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tbl>
      <w:tblPr>
        <w:tblInd w:w="0" w:type="dxa"/>
        <w:tblW w:w="10314" w:type="dxa"/>
        <w:tblCellMar>
          <w:left w:w="108" w:type="dxa"/>
          <w:top w:w="0" w:type="dxa"/>
          <w:right w:w="108" w:type="dxa"/>
          <w:bottom w:w="0" w:type="dxa"/>
        </w:tblCellMar>
        <w:tblBorders/>
        <w:tblLayout w:type="fixed"/>
        <w:tblLook w:val="04A0" w:firstRow="1" w:lastRow="0" w:firstColumn="1" w:lastColumn="0" w:noHBand="0" w:noVBand="1"/>
      </w:tblPr>
      <w:tblGrid>
        <w:gridCol w:w="10314"/>
      </w:tblGrid>
      <w:tr>
        <w:trPr>
          <w:trHeight w:val="1619"/>
        </w:trPr>
        <w:tc>
          <w:tcPr>
            <w:tcBorders>
              <w:top w:val="single" w:color="000000" w:sz="4" w:space="0"/>
              <w:left w:val="single" w:color="000000" w:sz="4" w:space="0"/>
              <w:bottom w:val="single" w:color="000000" w:sz="4" w:space="0"/>
              <w:right w:val="single" w:color="000000" w:sz="4" w:space="0"/>
            </w:tcBorders>
            <w:tcW w:w="10314" w:type="dxa"/>
            <w:textDirection w:val="lrTb"/>
            <w:noWrap w:val="false"/>
          </w:tcPr>
          <w:p>
            <w:pPr>
              <w:pStyle w:val="887"/>
              <w:pBdr/>
              <w:spacing/>
              <w:ind/>
              <w:rPr>
                <w:rFonts w:ascii="Arial" w:hAnsi="Arial" w:cs="Arial"/>
                <w:i/>
                <w:sz w:val="24"/>
                <w:szCs w:val="24"/>
              </w:rPr>
            </w:pPr>
            <w:r>
              <w:rPr>
                <w:rFonts w:ascii="Arial" w:hAnsi="Arial" w:eastAsia="Arial" w:cs="Arial"/>
                <w:i/>
                <w:sz w:val="24"/>
                <w:szCs w:val="24"/>
              </w:rPr>
            </w:r>
            <w:r>
              <w:rPr>
                <w:rFonts w:ascii="Arial" w:hAnsi="Arial" w:cs="Arial"/>
                <w:i/>
                <w:sz w:val="24"/>
                <w:szCs w:val="24"/>
              </w:rPr>
            </w:r>
            <w:r>
              <w:rPr>
                <w:rFonts w:ascii="Arial" w:hAnsi="Arial" w:cs="Arial"/>
                <w:i/>
                <w:sz w:val="24"/>
                <w:szCs w:val="24"/>
              </w:rPr>
            </w:r>
          </w:p>
          <w:tbl>
            <w:tblPr>
              <w:tblInd w:w="0" w:type="dxa"/>
              <w:tblW w:w="9918" w:type="dxa"/>
              <w:tblCellMar>
                <w:left w:w="108" w:type="dxa"/>
                <w:top w:w="0" w:type="dxa"/>
                <w:right w:w="108" w:type="dxa"/>
                <w:bottom w:w="0" w:type="dxa"/>
              </w:tblCellMar>
              <w:tblBorders/>
              <w:tblLayout w:type="fixed"/>
              <w:tblLook w:val="04A0" w:firstRow="1" w:lastRow="0" w:firstColumn="1" w:lastColumn="0" w:noHBand="0" w:noVBand="1"/>
            </w:tblPr>
            <w:tblGrid>
              <w:gridCol w:w="9918"/>
            </w:tblGrid>
            <w:tr>
              <w:trPr>
                <w:trHeight w:val="1050"/>
              </w:trPr>
              <w:tc>
                <w:tcPr>
                  <w:tcBorders>
                    <w:top w:val="single" w:color="000000" w:sz="4" w:space="0"/>
                    <w:left w:val="single" w:color="000000" w:sz="4" w:space="0"/>
                    <w:bottom w:val="single" w:color="000000" w:sz="4" w:space="0"/>
                    <w:right w:val="single" w:color="000000" w:sz="4" w:space="0"/>
                  </w:tcBorders>
                  <w:tcW w:w="9918" w:type="dxa"/>
                  <w:textDirection w:val="lrTb"/>
                  <w:noWrap w:val="false"/>
                </w:tcPr>
                <w:p>
                  <w:pPr>
                    <w:pStyle w:val="887"/>
                    <w:pBdr/>
                    <w:tabs>
                      <w:tab w:val="clear" w:leader="none" w:pos="708"/>
                      <w:tab w:val="left" w:leader="none" w:pos="2790"/>
                      <w:tab w:val="center" w:leader="none" w:pos="4851"/>
                    </w:tabs>
                    <w:spacing/>
                    <w:ind/>
                    <w:jc w:val="center"/>
                    <w:rPr>
                      <w:rFonts w:ascii="Arial" w:hAnsi="Arial" w:cs="Arial"/>
                    </w:rPr>
                  </w:pPr>
                  <w:r>
                    <w:rPr>
                      <w:rFonts w:ascii="Arial" w:hAnsi="Arial" w:eastAsia="Arial" w:cs="Arial"/>
                      <w:b/>
                      <w:sz w:val="24"/>
                      <w:szCs w:val="24"/>
                    </w:rPr>
                    <w:t xml:space="preserve">PREGÃO ELETRÔNICO N.º 44/2026</w:t>
                  </w:r>
                  <w:r>
                    <w:rPr>
                      <w:rFonts w:ascii="Arial" w:hAnsi="Arial" w:cs="Arial"/>
                    </w:rPr>
                  </w:r>
                  <w:r>
                    <w:rPr>
                      <w:rFonts w:ascii="Arial" w:hAnsi="Arial" w:cs="Arial"/>
                    </w:rPr>
                  </w:r>
                </w:p>
                <w:p>
                  <w:pPr>
                    <w:pStyle w:val="887"/>
                    <w:pBdr/>
                    <w:spacing/>
                    <w:ind/>
                    <w:jc w:val="center"/>
                    <w:rPr>
                      <w:rFonts w:ascii="Arial" w:hAnsi="Arial" w:cs="Arial"/>
                    </w:rPr>
                  </w:pPr>
                  <w:r>
                    <w:rPr>
                      <w:rFonts w:ascii="Arial" w:hAnsi="Arial" w:eastAsia="Arial" w:cs="Arial"/>
                      <w:b/>
                      <w:sz w:val="24"/>
                      <w:szCs w:val="24"/>
                    </w:rPr>
                    <w:t xml:space="preserve">Processo n.º 347/2026</w:t>
                  </w:r>
                  <w:r>
                    <w:rPr>
                      <w:rFonts w:ascii="Arial" w:hAnsi="Arial" w:cs="Arial"/>
                    </w:rPr>
                  </w:r>
                  <w:r>
                    <w:rPr>
                      <w:rFonts w:ascii="Arial" w:hAnsi="Arial" w:cs="Arial"/>
                    </w:rPr>
                  </w:r>
                </w:p>
                <w:p w14:paraId="2631270D">
                  <w:pPr>
                    <w:pBdr/>
                    <w:tabs>
                      <w:tab w:val="left" w:leader="none" w:pos="1895"/>
                    </w:tabs>
                    <w:spacing/>
                    <w:ind/>
                    <w:rPr>
                      <w:rFonts w:ascii="Arial" w:hAnsi="Arial" w:cs="Arial"/>
                    </w:rPr>
                  </w:pPr>
                  <w:r>
                    <w:rPr>
                      <w:rFonts w:ascii="Arial" w:hAnsi="Arial" w:eastAsia="Arial" w:cs="Arial"/>
                    </w:rPr>
                    <w:tab/>
                  </w:r>
                  <w:r>
                    <w:rPr>
                      <w:rFonts w:ascii="Arial" w:hAnsi="Arial" w:cs="Arial"/>
                    </w:rPr>
                  </w:r>
                  <w:r>
                    <w:rPr>
                      <w:rFonts w:ascii="Arial" w:hAnsi="Arial" w:cs="Arial"/>
                    </w:rPr>
                  </w:r>
                </w:p>
              </w:tc>
            </w:tr>
          </w:tbl>
          <w:p>
            <w:pPr>
              <w:pStyle w:val="887"/>
              <w:pBdr/>
              <w:spacing/>
              <w:ind/>
              <w:jc w:val="both"/>
              <w:rPr>
                <w:rFonts w:ascii="Arial" w:hAnsi="Arial" w:cs="Arial"/>
                <w:sz w:val="24"/>
                <w:szCs w:val="24"/>
              </w:rPr>
            </w:pPr>
            <w:r>
              <w:rPr>
                <w:rFonts w:ascii="Arial" w:hAnsi="Arial" w:eastAsia="Arial" w:cs="Arial"/>
                <w:sz w:val="24"/>
                <w:szCs w:val="24"/>
              </w:rPr>
            </w:r>
            <w:r>
              <w:rPr>
                <w:rFonts w:ascii="Arial" w:hAnsi="Arial" w:cs="Arial"/>
                <w:sz w:val="24"/>
                <w:szCs w:val="24"/>
              </w:rPr>
            </w:r>
            <w:r>
              <w:rPr>
                <w:rFonts w:ascii="Arial" w:hAnsi="Arial" w:cs="Arial"/>
                <w:sz w:val="24"/>
                <w:szCs w:val="24"/>
              </w:rPr>
            </w:r>
          </w:p>
        </w:tc>
      </w:tr>
    </w:tbl>
    <w:p>
      <w:pPr>
        <w:pStyle w:val="887"/>
        <w:pBdr/>
        <w:spacing/>
        <w:ind/>
        <w:jc w:val="both"/>
        <w:rPr>
          <w:rFonts w:ascii="Arial" w:hAnsi="Arial" w:cs="Arial"/>
          <w:sz w:val="24"/>
          <w:szCs w:val="24"/>
        </w:rPr>
      </w:pPr>
      <w:r>
        <w:rPr>
          <w:rFonts w:ascii="Arial" w:hAnsi="Arial" w:eastAsia="Arial" w:cs="Arial"/>
          <w:sz w:val="24"/>
          <w:szCs w:val="24"/>
        </w:rPr>
      </w:r>
      <w:r>
        <w:rPr>
          <w:rFonts w:ascii="Arial" w:hAnsi="Arial" w:cs="Arial"/>
          <w:sz w:val="24"/>
          <w:szCs w:val="24"/>
        </w:rPr>
      </w:r>
      <w:r>
        <w:rPr>
          <w:rFonts w:ascii="Arial" w:hAnsi="Arial" w:cs="Arial"/>
          <w:sz w:val="24"/>
          <w:szCs w:val="24"/>
        </w:rPr>
      </w:r>
    </w:p>
    <w:tbl>
      <w:tblPr>
        <w:tblInd w:w="0" w:type="dxa"/>
        <w:tblW w:w="10281" w:type="dxa"/>
        <w:tblCellMar>
          <w:left w:w="108" w:type="dxa"/>
          <w:top w:w="0" w:type="dxa"/>
          <w:right w:w="108" w:type="dxa"/>
          <w:bottom w:w="0" w:type="dxa"/>
        </w:tblCellMar>
        <w:tblBorders/>
        <w:tblLayout w:type="fixed"/>
        <w:tblLook w:val="04A0" w:firstRow="1" w:lastRow="0" w:firstColumn="1" w:lastColumn="0" w:noHBand="0" w:noVBand="1"/>
      </w:tblPr>
      <w:tblGrid>
        <w:gridCol w:w="10281"/>
      </w:tblGrid>
      <w:tr>
        <w:trPr/>
        <w:tc>
          <w:tcPr>
            <w:tcBorders>
              <w:top w:val="single" w:color="000000" w:sz="4" w:space="0"/>
              <w:left w:val="single" w:color="000000" w:sz="4" w:space="0"/>
              <w:bottom w:val="single" w:color="000000" w:sz="4" w:space="0"/>
              <w:right w:val="single" w:color="000000" w:sz="4" w:space="0"/>
            </w:tcBorders>
            <w:tcW w:w="10281" w:type="dxa"/>
            <w:textDirection w:val="lrTb"/>
            <w:noWrap w:val="false"/>
          </w:tcPr>
          <w:p>
            <w:pPr>
              <w:pStyle w:val="887"/>
              <w:pBdr/>
              <w:spacing/>
              <w:ind/>
              <w:jc w:val="both"/>
              <w:rPr>
                <w:rFonts w:ascii="Arial" w:hAnsi="Arial" w:cs="Arial"/>
                <w:sz w:val="24"/>
                <w:szCs w:val="24"/>
              </w:rPr>
            </w:pPr>
            <w:r>
              <w:rPr>
                <w:rFonts w:ascii="Arial" w:hAnsi="Arial" w:eastAsia="Arial" w:cs="Arial"/>
                <w:sz w:val="24"/>
                <w:szCs w:val="24"/>
              </w:rPr>
            </w:r>
            <w:r>
              <w:rPr>
                <w:rFonts w:ascii="Arial" w:hAnsi="Arial" w:cs="Arial"/>
                <w:sz w:val="24"/>
                <w:szCs w:val="24"/>
              </w:rPr>
            </w:r>
            <w:r>
              <w:rPr>
                <w:rFonts w:ascii="Arial" w:hAnsi="Arial" w:cs="Arial"/>
                <w:sz w:val="24"/>
                <w:szCs w:val="24"/>
              </w:rPr>
            </w:r>
          </w:p>
          <w:tbl>
            <w:tblPr>
              <w:tblInd w:w="0" w:type="dxa"/>
              <w:tblW w:w="10055" w:type="dxa"/>
              <w:tblCellMar>
                <w:left w:w="108" w:type="dxa"/>
                <w:top w:w="0" w:type="dxa"/>
                <w:right w:w="108" w:type="dxa"/>
                <w:bottom w:w="0" w:type="dxa"/>
              </w:tblCellMar>
              <w:tblBorders/>
              <w:tblLayout w:type="fixed"/>
              <w:tblLook w:val="04A0" w:firstRow="1" w:lastRow="0" w:firstColumn="1" w:lastColumn="0" w:noHBand="0" w:noVBand="1"/>
            </w:tblPr>
            <w:tblGrid>
              <w:gridCol w:w="10055"/>
            </w:tblGrid>
            <w:tr>
              <w:trPr/>
              <w:tc>
                <w:tcPr>
                  <w:tcBorders>
                    <w:top w:val="single" w:color="000000" w:sz="4" w:space="0"/>
                    <w:left w:val="single" w:color="000000" w:sz="4" w:space="0"/>
                    <w:bottom w:val="single" w:color="000000" w:sz="4" w:space="0"/>
                    <w:right w:val="single" w:color="000000" w:sz="4" w:space="0"/>
                  </w:tcBorders>
                  <w:tcW w:w="10055" w:type="dxa"/>
                  <w:textDirection w:val="lrTb"/>
                  <w:noWrap w:val="false"/>
                </w:tcPr>
                <w:p>
                  <w:pPr>
                    <w:pStyle w:val="887"/>
                    <w:pBdr/>
                    <w:spacing/>
                    <w:ind/>
                    <w:jc w:val="both"/>
                    <w:rPr>
                      <w:rFonts w:ascii="Arial" w:hAnsi="Arial" w:cs="Arial"/>
                      <w:sz w:val="24"/>
                      <w:szCs w:val="24"/>
                    </w:rPr>
                  </w:pPr>
                  <w:r>
                    <w:rPr>
                      <w:rFonts w:ascii="Arial" w:hAnsi="Arial" w:eastAsia="Arial" w:cs="Arial"/>
                      <w:sz w:val="24"/>
                      <w:szCs w:val="24"/>
                    </w:rPr>
                  </w:r>
                  <w:r>
                    <w:rPr>
                      <w:rFonts w:ascii="Arial" w:hAnsi="Arial" w:cs="Arial"/>
                      <w:sz w:val="24"/>
                      <w:szCs w:val="24"/>
                    </w:rPr>
                  </w:r>
                  <w:r>
                    <w:rPr>
                      <w:rFonts w:ascii="Arial" w:hAnsi="Arial" w:cs="Arial"/>
                      <w:sz w:val="24"/>
                      <w:szCs w:val="24"/>
                    </w:rPr>
                  </w:r>
                </w:p>
                <w:p>
                  <w:pPr>
                    <w:pBdr/>
                    <w:spacing/>
                    <w:ind/>
                    <w:jc w:val="both"/>
                    <w:rPr>
                      <w:rFonts w:ascii="Arial" w:hAnsi="Arial" w:cs="Arial"/>
                      <w:b/>
                      <w:bCs/>
                      <w:color w:val="000000"/>
                      <w:sz w:val="22"/>
                      <w:szCs w:val="22"/>
                      <w14:ligatures w14:val="none"/>
                    </w:rPr>
                  </w:pPr>
                  <w:r>
                    <w:rPr>
                      <w:rFonts w:ascii="Arial" w:hAnsi="Arial" w:eastAsia="Arial" w:cs="Arial"/>
                      <w:sz w:val="24"/>
                      <w:szCs w:val="24"/>
                    </w:rPr>
                    <w:t xml:space="preserve">O Presente </w:t>
                  </w:r>
                  <w:r>
                    <w:rPr>
                      <w:rFonts w:ascii="Arial" w:hAnsi="Arial" w:eastAsia="Arial" w:cs="Arial"/>
                      <w:b/>
                      <w:sz w:val="24"/>
                      <w:szCs w:val="24"/>
                    </w:rPr>
                    <w:t xml:space="preserve">Pregão Eletrônico</w:t>
                  </w:r>
                  <w:r>
                    <w:rPr>
                      <w:rFonts w:ascii="Arial" w:hAnsi="Arial" w:eastAsia="Arial" w:cs="Arial"/>
                      <w:sz w:val="24"/>
                      <w:szCs w:val="24"/>
                    </w:rPr>
                    <w:t xml:space="preserve"> tem por objeto </w:t>
                  </w:r>
                  <w:r>
                    <w:rPr>
                      <w:rFonts w:ascii="Arial" w:hAnsi="Arial" w:eastAsia="Arial" w:cs="Arial"/>
                      <w:b/>
                      <w:bCs/>
                      <w:color w:val="000000"/>
                      <w:sz w:val="22"/>
                      <w:szCs w:val="22"/>
                    </w:rPr>
                    <w:t xml:space="preserve">REGISTRO DE PREÇOS PARA FUTURA E EVENTUAL AQUISIÇÃO </w:t>
                  </w:r>
                  <w:r>
                    <w:rPr>
                      <w:rFonts w:ascii="Arial" w:hAnsi="Arial" w:eastAsia="Arial" w:cs="Arial"/>
                      <w:b/>
                      <w:bCs/>
                      <w:color w:val="000000"/>
                      <w:sz w:val="22"/>
                      <w:szCs w:val="22"/>
                    </w:rPr>
                    <w:t xml:space="preserve">DE TUBOS E AGULHAS PARA COLETA DE SANGUE A VÁCUO LABORATORIAL, DE USO CONTÍNUO</w:t>
                  </w:r>
                  <w:r>
                    <w:rPr>
                      <w:rFonts w:ascii="Arial" w:hAnsi="Arial" w:eastAsia="Arial" w:cs="Arial"/>
                      <w:b/>
                      <w:bCs/>
                      <w:color w:val="000000"/>
                      <w:sz w:val="22"/>
                      <w:szCs w:val="22"/>
                    </w:rPr>
                    <w:t xml:space="preserve">, PARA ATENDER AS DEMANDAS DA SECRETARIA MUNICIPAL DE SAÚDE DE RONDONÓPOLIS - MT, CONFORME ESPECIFICAÇÕES E QUANTITATIVOS ESTABELECIDOS NO EDITAL E SEUS ANEXOS.</w:t>
                  </w:r>
                  <w:r>
                    <w:rPr>
                      <w:rFonts w:ascii="Arial" w:hAnsi="Arial" w:cs="Arial"/>
                      <w:b/>
                      <w:bCs/>
                      <w:color w:val="000000"/>
                      <w:sz w:val="22"/>
                      <w:szCs w:val="22"/>
                      <w14:ligatures w14:val="none"/>
                    </w:rPr>
                  </w:r>
                  <w:r>
                    <w:rPr>
                      <w:rFonts w:ascii="Arial" w:hAnsi="Arial" w:cs="Arial"/>
                      <w:b/>
                      <w:bCs/>
                      <w:color w:val="000000"/>
                      <w:sz w:val="22"/>
                      <w:szCs w:val="22"/>
                      <w14:ligatures w14:val="none"/>
                    </w:rPr>
                  </w:r>
                </w:p>
                <w:p>
                  <w:pPr>
                    <w:pStyle w:val="887"/>
                    <w:pBdr/>
                    <w:spacing/>
                    <w:ind/>
                    <w:jc w:val="both"/>
                    <w:rPr>
                      <w:rFonts w:ascii="Arial" w:hAnsi="Arial" w:cs="Arial"/>
                      <w:sz w:val="24"/>
                      <w:szCs w:val="24"/>
                    </w:rPr>
                  </w:pPr>
                  <w:r>
                    <w:rPr>
                      <w:rFonts w:ascii="Arial" w:hAnsi="Arial" w:eastAsia="Arial" w:cs="Arial"/>
                      <w:sz w:val="24"/>
                      <w:szCs w:val="24"/>
                    </w:rPr>
                  </w:r>
                  <w:r>
                    <w:rPr>
                      <w:rFonts w:ascii="Arial" w:hAnsi="Arial" w:cs="Arial"/>
                      <w:sz w:val="24"/>
                      <w:szCs w:val="24"/>
                    </w:rPr>
                  </w:r>
                  <w:r>
                    <w:rPr>
                      <w:rFonts w:ascii="Arial" w:hAnsi="Arial" w:cs="Arial"/>
                      <w:sz w:val="24"/>
                      <w:szCs w:val="24"/>
                    </w:rPr>
                  </w:r>
                </w:p>
                <w:p>
                  <w:pPr>
                    <w:pStyle w:val="887"/>
                    <w:pBdr/>
                    <w:spacing/>
                    <w:ind/>
                    <w:jc w:val="both"/>
                    <w:rPr>
                      <w:rFonts w:ascii="Arial" w:hAnsi="Arial" w:cs="Arial"/>
                      <w:sz w:val="24"/>
                      <w:szCs w:val="24"/>
                    </w:rPr>
                  </w:pPr>
                  <w:r>
                    <w:rPr>
                      <w:rFonts w:ascii="Arial" w:hAnsi="Arial" w:eastAsia="Arial" w:cs="Arial"/>
                      <w:sz w:val="24"/>
                      <w:szCs w:val="24"/>
                    </w:rPr>
                  </w:r>
                  <w:r>
                    <w:rPr>
                      <w:rFonts w:ascii="Arial" w:hAnsi="Arial" w:cs="Arial"/>
                      <w:sz w:val="24"/>
                      <w:szCs w:val="24"/>
                    </w:rPr>
                  </w:r>
                  <w:r>
                    <w:rPr>
                      <w:rFonts w:ascii="Arial" w:hAnsi="Arial" w:cs="Arial"/>
                      <w:sz w:val="24"/>
                      <w:szCs w:val="24"/>
                    </w:rPr>
                  </w:r>
                </w:p>
              </w:tc>
            </w:tr>
          </w:tbl>
          <w:p>
            <w:pPr>
              <w:pStyle w:val="887"/>
              <w:pBdr/>
              <w:spacing/>
              <w:ind/>
              <w:jc w:val="both"/>
              <w:rPr>
                <w:rFonts w:ascii="Arial" w:hAnsi="Arial" w:cs="Arial"/>
                <w:sz w:val="24"/>
                <w:szCs w:val="24"/>
              </w:rPr>
            </w:pPr>
            <w:r>
              <w:rPr>
                <w:rFonts w:ascii="Arial" w:hAnsi="Arial" w:eastAsia="Arial" w:cs="Arial"/>
                <w:sz w:val="24"/>
                <w:szCs w:val="24"/>
              </w:rPr>
            </w:r>
            <w:r>
              <w:rPr>
                <w:rFonts w:ascii="Arial" w:hAnsi="Arial" w:cs="Arial"/>
                <w:sz w:val="24"/>
                <w:szCs w:val="24"/>
              </w:rPr>
            </w:r>
            <w:r>
              <w:rPr>
                <w:rFonts w:ascii="Arial" w:hAnsi="Arial" w:cs="Arial"/>
                <w:sz w:val="24"/>
                <w:szCs w:val="24"/>
              </w:rPr>
            </w:r>
          </w:p>
          <w:tbl>
            <w:tblPr>
              <w:tblInd w:w="0" w:type="dxa"/>
              <w:tblW w:w="10055" w:type="dxa"/>
              <w:tblCellMar>
                <w:left w:w="108" w:type="dxa"/>
                <w:top w:w="0" w:type="dxa"/>
                <w:right w:w="108" w:type="dxa"/>
                <w:bottom w:w="0" w:type="dxa"/>
              </w:tblCellMar>
              <w:tblBorders/>
              <w:tblLayout w:type="fixed"/>
              <w:tblLook w:val="04A0" w:firstRow="1" w:lastRow="0" w:firstColumn="1" w:lastColumn="0" w:noHBand="0" w:noVBand="1"/>
            </w:tblPr>
            <w:tblGrid>
              <w:gridCol w:w="10055"/>
            </w:tblGrid>
            <w:tr>
              <w:trPr/>
              <w:tc>
                <w:tcPr>
                  <w:tcBorders>
                    <w:top w:val="single" w:color="000000" w:sz="4" w:space="0"/>
                    <w:left w:val="single" w:color="000000" w:sz="4" w:space="0"/>
                    <w:bottom w:val="single" w:color="000000" w:sz="4" w:space="0"/>
                    <w:right w:val="single" w:color="000000" w:sz="4" w:space="0"/>
                  </w:tcBorders>
                  <w:tcW w:w="10055" w:type="dxa"/>
                  <w:textDirection w:val="lrTb"/>
                  <w:noWrap w:val="false"/>
                </w:tcPr>
                <w:p>
                  <w:pPr>
                    <w:pStyle w:val="887"/>
                    <w:pBdr/>
                    <w:spacing/>
                    <w:ind/>
                    <w:jc w:val="center"/>
                    <w:rPr>
                      <w:rFonts w:ascii="Arial" w:hAnsi="Arial" w:cs="Arial"/>
                      <w:sz w:val="24"/>
                      <w:szCs w:val="24"/>
                    </w:rPr>
                  </w:pPr>
                  <w:r>
                    <w:rPr>
                      <w:rFonts w:ascii="Arial" w:hAnsi="Arial" w:eastAsia="Arial" w:cs="Arial"/>
                      <w:sz w:val="24"/>
                      <w:szCs w:val="24"/>
                    </w:rPr>
                  </w:r>
                  <w:r>
                    <w:rPr>
                      <w:rFonts w:ascii="Arial" w:hAnsi="Arial" w:cs="Arial"/>
                      <w:sz w:val="24"/>
                      <w:szCs w:val="24"/>
                    </w:rPr>
                  </w:r>
                  <w:r>
                    <w:rPr>
                      <w:rFonts w:ascii="Arial" w:hAnsi="Arial" w:cs="Arial"/>
                      <w:sz w:val="24"/>
                      <w:szCs w:val="24"/>
                    </w:rPr>
                  </w:r>
                </w:p>
                <w:p>
                  <w:pPr>
                    <w:pStyle w:val="887"/>
                    <w:pBdr/>
                    <w:spacing/>
                    <w:ind/>
                    <w:jc w:val="center"/>
                    <w:rPr>
                      <w:rFonts w:ascii="Arial" w:hAnsi="Arial" w:cs="Arial"/>
                    </w:rPr>
                  </w:pPr>
                  <w:r>
                    <w:rPr>
                      <w:rFonts w:ascii="Arial" w:hAnsi="Arial" w:eastAsia="Arial" w:cs="Arial"/>
                      <w:sz w:val="24"/>
                      <w:szCs w:val="24"/>
                    </w:rPr>
                    <w:t xml:space="preserve">SESSÃO PÚBLICA PARA RECEBIMENTO DAS PROPOSTAS E DOCUMENTOS PARA HABILITAÇÃO</w:t>
                  </w:r>
                  <w:r>
                    <w:rPr>
                      <w:rFonts w:ascii="Arial" w:hAnsi="Arial" w:cs="Arial"/>
                    </w:rPr>
                  </w:r>
                  <w:r>
                    <w:rPr>
                      <w:rFonts w:ascii="Arial" w:hAnsi="Arial" w:cs="Arial"/>
                    </w:rPr>
                  </w:r>
                </w:p>
                <w:p>
                  <w:pPr>
                    <w:pStyle w:val="887"/>
                    <w:pBdr/>
                    <w:spacing/>
                    <w:ind/>
                    <w:jc w:val="center"/>
                    <w:rPr>
                      <w:rFonts w:ascii="Arial" w:hAnsi="Arial" w:cs="Arial"/>
                      <w:sz w:val="24"/>
                      <w:szCs w:val="24"/>
                    </w:rPr>
                  </w:pPr>
                  <w:r>
                    <w:rPr>
                      <w:rFonts w:ascii="Arial" w:hAnsi="Arial" w:eastAsia="Arial" w:cs="Arial"/>
                      <w:sz w:val="24"/>
                      <w:szCs w:val="24"/>
                    </w:rPr>
                  </w:r>
                  <w:r>
                    <w:rPr>
                      <w:rFonts w:ascii="Arial" w:hAnsi="Arial" w:cs="Arial"/>
                      <w:sz w:val="24"/>
                      <w:szCs w:val="24"/>
                    </w:rPr>
                  </w:r>
                  <w:r>
                    <w:rPr>
                      <w:rFonts w:ascii="Arial" w:hAnsi="Arial" w:cs="Arial"/>
                      <w:sz w:val="24"/>
                      <w:szCs w:val="24"/>
                    </w:rPr>
                  </w:r>
                </w:p>
              </w:tc>
            </w:tr>
          </w:tbl>
          <w:p>
            <w:pPr>
              <w:pStyle w:val="887"/>
              <w:pBdr/>
              <w:spacing/>
              <w:ind/>
              <w:jc w:val="both"/>
              <w:rPr>
                <w:rFonts w:ascii="Arial" w:hAnsi="Arial" w:cs="Arial"/>
                <w:sz w:val="24"/>
                <w:szCs w:val="24"/>
              </w:rPr>
            </w:pPr>
            <w:r>
              <w:rPr>
                <w:rFonts w:ascii="Arial" w:hAnsi="Arial" w:eastAsia="Arial" w:cs="Arial"/>
                <w:sz w:val="24"/>
                <w:szCs w:val="24"/>
              </w:rPr>
            </w:r>
            <w:r>
              <w:rPr>
                <w:rFonts w:ascii="Arial" w:hAnsi="Arial" w:cs="Arial"/>
                <w:sz w:val="24"/>
                <w:szCs w:val="24"/>
              </w:rPr>
            </w:r>
            <w:r>
              <w:rPr>
                <w:rFonts w:ascii="Arial" w:hAnsi="Arial" w:cs="Arial"/>
                <w:sz w:val="24"/>
                <w:szCs w:val="24"/>
              </w:rPr>
            </w:r>
          </w:p>
          <w:tbl>
            <w:tblPr>
              <w:tblInd w:w="0" w:type="dxa"/>
              <w:tblW w:w="10055" w:type="dxa"/>
              <w:tblCellMar>
                <w:left w:w="108" w:type="dxa"/>
                <w:top w:w="0" w:type="dxa"/>
                <w:right w:w="108" w:type="dxa"/>
                <w:bottom w:w="0" w:type="dxa"/>
              </w:tblCellMar>
              <w:tblBorders/>
              <w:tblLayout w:type="fixed"/>
              <w:tblLook w:val="04A0" w:firstRow="1" w:lastRow="0" w:firstColumn="1" w:lastColumn="0" w:noHBand="0" w:noVBand="1"/>
            </w:tblPr>
            <w:tblGrid>
              <w:gridCol w:w="10055"/>
            </w:tblGrid>
            <w:tr>
              <w:trPr/>
              <w:tc>
                <w:tcPr>
                  <w:tcBorders>
                    <w:top w:val="single" w:color="000000" w:sz="4" w:space="0"/>
                    <w:left w:val="single" w:color="000000" w:sz="4" w:space="0"/>
                    <w:bottom w:val="single" w:color="000000" w:sz="4" w:space="0"/>
                    <w:right w:val="single" w:color="000000" w:sz="4" w:space="0"/>
                  </w:tcBorders>
                  <w:tcW w:w="10055" w:type="dxa"/>
                  <w:textDirection w:val="lrTb"/>
                  <w:noWrap w:val="false"/>
                </w:tcPr>
                <w:p>
                  <w:pPr>
                    <w:pStyle w:val="887"/>
                    <w:pBdr/>
                    <w:spacing/>
                    <w:ind/>
                    <w:jc w:val="both"/>
                    <w:rPr>
                      <w:rFonts w:ascii="Arial" w:hAnsi="Arial" w:cs="Arial"/>
                      <w:sz w:val="24"/>
                      <w:szCs w:val="24"/>
                    </w:rPr>
                  </w:pPr>
                  <w:r>
                    <w:rPr>
                      <w:rFonts w:ascii="Arial" w:hAnsi="Arial" w:eastAsia="Arial" w:cs="Arial"/>
                      <w:sz w:val="24"/>
                      <w:szCs w:val="24"/>
                    </w:rPr>
                  </w:r>
                  <w:r>
                    <w:rPr>
                      <w:rFonts w:ascii="Arial" w:hAnsi="Arial" w:cs="Arial"/>
                      <w:sz w:val="24"/>
                      <w:szCs w:val="24"/>
                    </w:rPr>
                  </w:r>
                  <w:r>
                    <w:rPr>
                      <w:rFonts w:ascii="Arial" w:hAnsi="Arial" w:cs="Arial"/>
                      <w:sz w:val="24"/>
                      <w:szCs w:val="24"/>
                    </w:rPr>
                  </w:r>
                </w:p>
                <w:p>
                  <w:pPr>
                    <w:pStyle w:val="887"/>
                    <w:pBdr/>
                    <w:spacing/>
                    <w:ind/>
                    <w:jc w:val="both"/>
                    <w:rPr>
                      <w:rFonts w:ascii="Arial" w:hAnsi="Arial" w:cs="Arial"/>
                      <w:b/>
                      <w:sz w:val="24"/>
                      <w:szCs w:val="24"/>
                    </w:rPr>
                  </w:pPr>
                  <w:r>
                    <w:rPr>
                      <w:rFonts w:ascii="Arial" w:hAnsi="Arial" w:eastAsia="Arial" w:cs="Arial"/>
                      <w:sz w:val="24"/>
                      <w:szCs w:val="24"/>
                    </w:rPr>
                    <w:t xml:space="preserve">Local: </w:t>
                  </w:r>
                  <w:hyperlink r:id="rId12" w:tooltip="http://www.bllcompras.org.br/" w:history="1">
                    <w:r>
                      <w:rPr>
                        <w:rStyle w:val="994"/>
                        <w:rFonts w:ascii="Arial" w:hAnsi="Arial" w:eastAsia="Arial" w:cs="Arial"/>
                        <w:b/>
                        <w:sz w:val="24"/>
                        <w:szCs w:val="24"/>
                      </w:rPr>
                      <w:t xml:space="preserve">bllcompras.com</w:t>
                    </w:r>
                  </w:hyperlink>
                  <w:r>
                    <w:rPr>
                      <w:rFonts w:ascii="Arial" w:hAnsi="Arial" w:cs="Arial"/>
                      <w:b/>
                      <w:sz w:val="24"/>
                      <w:szCs w:val="24"/>
                    </w:rPr>
                  </w:r>
                  <w:r>
                    <w:rPr>
                      <w:rFonts w:ascii="Arial" w:hAnsi="Arial" w:cs="Arial"/>
                      <w:b/>
                      <w:sz w:val="24"/>
                      <w:szCs w:val="24"/>
                    </w:rPr>
                  </w:r>
                </w:p>
                <w:p>
                  <w:pPr>
                    <w:pStyle w:val="887"/>
                    <w:pBdr/>
                    <w:spacing/>
                    <w:ind/>
                    <w:jc w:val="both"/>
                    <w:rPr>
                      <w:rFonts w:ascii="Arial" w:hAnsi="Arial" w:cs="Arial"/>
                      <w:b/>
                      <w:sz w:val="24"/>
                      <w:szCs w:val="24"/>
                    </w:rPr>
                  </w:pPr>
                  <w:r>
                    <w:rPr>
                      <w:rFonts w:ascii="Arial" w:hAnsi="Arial" w:eastAsia="Arial" w:cs="Arial"/>
                      <w:b/>
                      <w:sz w:val="24"/>
                      <w:szCs w:val="24"/>
                    </w:rPr>
                  </w:r>
                  <w:r>
                    <w:rPr>
                      <w:rFonts w:ascii="Arial" w:hAnsi="Arial" w:cs="Arial"/>
                      <w:b/>
                      <w:sz w:val="24"/>
                      <w:szCs w:val="24"/>
                    </w:rPr>
                  </w:r>
                  <w:r>
                    <w:rPr>
                      <w:rFonts w:ascii="Arial" w:hAnsi="Arial" w:cs="Arial"/>
                      <w:b/>
                      <w:sz w:val="24"/>
                      <w:szCs w:val="24"/>
                    </w:rPr>
                  </w:r>
                </w:p>
              </w:tc>
            </w:tr>
          </w:tbl>
          <w:p>
            <w:pPr>
              <w:pStyle w:val="887"/>
              <w:pBdr/>
              <w:spacing/>
              <w:ind/>
              <w:jc w:val="both"/>
              <w:rPr>
                <w:rFonts w:ascii="Arial" w:hAnsi="Arial" w:cs="Arial"/>
                <w:sz w:val="24"/>
                <w:szCs w:val="24"/>
              </w:rPr>
            </w:pPr>
            <w:r>
              <w:rPr>
                <w:rFonts w:ascii="Arial" w:hAnsi="Arial" w:eastAsia="Arial" w:cs="Arial"/>
                <w:sz w:val="24"/>
                <w:szCs w:val="24"/>
              </w:rPr>
            </w:r>
            <w:r>
              <w:rPr>
                <w:rFonts w:ascii="Arial" w:hAnsi="Arial" w:cs="Arial"/>
                <w:sz w:val="24"/>
                <w:szCs w:val="24"/>
              </w:rPr>
            </w:r>
            <w:r>
              <w:rPr>
                <w:rFonts w:ascii="Arial" w:hAnsi="Arial" w:cs="Arial"/>
                <w:sz w:val="24"/>
                <w:szCs w:val="24"/>
              </w:rPr>
            </w:r>
          </w:p>
          <w:tbl>
            <w:tblPr>
              <w:tblInd w:w="0" w:type="dxa"/>
              <w:tblW w:w="10055" w:type="dxa"/>
              <w:tblCellMar>
                <w:left w:w="108" w:type="dxa"/>
                <w:top w:w="0" w:type="dxa"/>
                <w:right w:w="108" w:type="dxa"/>
                <w:bottom w:w="0" w:type="dxa"/>
              </w:tblCellMar>
              <w:tblBorders/>
              <w:tblLayout w:type="fixed"/>
              <w:tblLook w:val="04A0" w:firstRow="1" w:lastRow="0" w:firstColumn="1" w:lastColumn="0" w:noHBand="0" w:noVBand="1"/>
            </w:tblPr>
            <w:tblGrid>
              <w:gridCol w:w="10055"/>
            </w:tblGrid>
            <w:tr>
              <w:trPr/>
              <w:tc>
                <w:tcPr>
                  <w:tcBorders>
                    <w:top w:val="single" w:color="000000" w:sz="4" w:space="0"/>
                    <w:left w:val="single" w:color="000000" w:sz="4" w:space="0"/>
                    <w:bottom w:val="single" w:color="000000" w:sz="4" w:space="0"/>
                    <w:right w:val="single" w:color="000000" w:sz="4" w:space="0"/>
                  </w:tcBorders>
                  <w:tcW w:w="10055" w:type="dxa"/>
                  <w:textDirection w:val="lrTb"/>
                  <w:noWrap w:val="false"/>
                </w:tcPr>
                <w:p>
                  <w:pPr>
                    <w:pStyle w:val="887"/>
                    <w:pBdr/>
                    <w:spacing/>
                    <w:ind/>
                    <w:jc w:val="both"/>
                    <w:rPr>
                      <w:rFonts w:ascii="Arial" w:hAnsi="Arial" w:cs="Arial"/>
                      <w:sz w:val="24"/>
                      <w:szCs w:val="24"/>
                    </w:rPr>
                  </w:pPr>
                  <w:r>
                    <w:rPr>
                      <w:rFonts w:ascii="Arial" w:hAnsi="Arial" w:eastAsia="Arial" w:cs="Arial"/>
                      <w:sz w:val="24"/>
                      <w:szCs w:val="24"/>
                    </w:rPr>
                  </w:r>
                  <w:r>
                    <w:rPr>
                      <w:rFonts w:ascii="Arial" w:hAnsi="Arial" w:cs="Arial"/>
                      <w:sz w:val="24"/>
                      <w:szCs w:val="24"/>
                    </w:rPr>
                  </w:r>
                  <w:r>
                    <w:rPr>
                      <w:rFonts w:ascii="Arial" w:hAnsi="Arial" w:cs="Arial"/>
                      <w:sz w:val="24"/>
                      <w:szCs w:val="24"/>
                    </w:rPr>
                  </w:r>
                </w:p>
                <w:p>
                  <w:pPr>
                    <w:pBdr/>
                    <w:spacing/>
                    <w:ind/>
                    <w:jc w:val="both"/>
                    <w:rPr>
                      <w:rFonts w:ascii="Arial" w:hAnsi="Arial" w:cs="Arial"/>
                      <w:b/>
                      <w:bCs/>
                      <w:color w:val="ff0000"/>
                      <w:sz w:val="24"/>
                      <w:szCs w:val="24"/>
                      <w:highlight w:val="none"/>
                      <w14:ligatures w14:val="none"/>
                    </w:rPr>
                  </w:pPr>
                  <w:r>
                    <w:rPr>
                      <w:rFonts w:ascii="Arial" w:hAnsi="Arial" w:eastAsia="Arial" w:cs="Arial"/>
                      <w:sz w:val="24"/>
                      <w:szCs w:val="24"/>
                    </w:rPr>
                    <w:t xml:space="preserve">Data da sessão: </w:t>
                  </w:r>
                  <w:r>
                    <w:rPr>
                      <w:rFonts w:ascii="Arial" w:hAnsi="Arial" w:eastAsia="Arial" w:cs="Arial"/>
                      <w:b/>
                      <w:bCs/>
                      <w:color w:val="ff0000"/>
                      <w:sz w:val="24"/>
                      <w:szCs w:val="24"/>
                    </w:rPr>
                    <w:t xml:space="preserve">07/10/2026</w:t>
                  </w:r>
                  <w:r>
                    <w:rPr>
                      <w:rFonts w:ascii="Arial" w:hAnsi="Arial" w:cs="Arial"/>
                      <w:b/>
                      <w:bCs/>
                      <w:color w:val="ff0000"/>
                      <w:sz w:val="24"/>
                      <w:szCs w:val="24"/>
                      <w:highlight w:val="none"/>
                      <w14:ligatures w14:val="none"/>
                    </w:rPr>
                  </w:r>
                  <w:r>
                    <w:rPr>
                      <w:rFonts w:ascii="Arial" w:hAnsi="Arial" w:cs="Arial"/>
                      <w:b/>
                      <w:bCs/>
                      <w:color w:val="ff0000"/>
                      <w:sz w:val="24"/>
                      <w:szCs w:val="24"/>
                      <w:highlight w:val="none"/>
                      <w14:ligatures w14:val="none"/>
                    </w:rPr>
                  </w:r>
                </w:p>
                <w:p w14:paraId="7402D9D9">
                  <w:pPr>
                    <w:pBdr/>
                    <w:spacing/>
                    <w:ind/>
                    <w:jc w:val="both"/>
                    <w:rPr>
                      <w:rFonts w:ascii="Arial" w:hAnsi="Arial" w:cs="Arial"/>
                      <w:b/>
                      <w:bCs/>
                      <w:color w:val="ff0000"/>
                      <w:sz w:val="24"/>
                      <w:szCs w:val="24"/>
                      <w14:ligatures w14:val="none"/>
                    </w:rPr>
                  </w:pPr>
                  <w:r>
                    <w:rPr>
                      <w:rFonts w:ascii="Arial" w:hAnsi="Arial" w:eastAsia="Arial" w:cs="Arial"/>
                      <w:b/>
                      <w:bCs/>
                      <w:color w:val="ff0000"/>
                      <w:sz w:val="24"/>
                      <w:szCs w:val="24"/>
                      <w:highlight w:val="none"/>
                    </w:rPr>
                  </w:r>
                  <w:r>
                    <w:rPr>
                      <w:rFonts w:ascii="Arial" w:hAnsi="Arial" w:cs="Arial"/>
                      <w:b/>
                      <w:bCs/>
                      <w:color w:val="ff0000"/>
                      <w:sz w:val="24"/>
                      <w:szCs w:val="24"/>
                      <w14:ligatures w14:val="none"/>
                    </w:rPr>
                  </w:r>
                  <w:r>
                    <w:rPr>
                      <w:rFonts w:ascii="Arial" w:hAnsi="Arial" w:cs="Arial"/>
                      <w:b/>
                      <w:bCs/>
                      <w:color w:val="ff0000"/>
                      <w:sz w:val="24"/>
                      <w:szCs w:val="24"/>
                      <w14:ligatures w14:val="none"/>
                    </w:rPr>
                  </w:r>
                </w:p>
                <w:p>
                  <w:pPr>
                    <w:pStyle w:val="887"/>
                    <w:pBdr/>
                    <w:spacing/>
                    <w:ind/>
                    <w:jc w:val="both"/>
                    <w:rPr>
                      <w:rFonts w:ascii="Arial" w:hAnsi="Arial" w:cs="Arial"/>
                      <w:b/>
                      <w:color w:val="000000"/>
                      <w:sz w:val="24"/>
                      <w:szCs w:val="24"/>
                    </w:rPr>
                  </w:pPr>
                  <w:r>
                    <w:rPr>
                      <w:rFonts w:ascii="Arial" w:hAnsi="Arial" w:eastAsia="Arial" w:cs="Arial"/>
                      <w:b/>
                      <w:color w:val="000000"/>
                      <w:sz w:val="24"/>
                      <w:szCs w:val="24"/>
                    </w:rPr>
                  </w:r>
                  <w:r>
                    <w:rPr>
                      <w:rFonts w:ascii="Arial" w:hAnsi="Arial" w:cs="Arial"/>
                      <w:b/>
                      <w:color w:val="000000"/>
                      <w:sz w:val="24"/>
                      <w:szCs w:val="24"/>
                    </w:rPr>
                  </w:r>
                  <w:r>
                    <w:rPr>
                      <w:rFonts w:ascii="Arial" w:hAnsi="Arial" w:cs="Arial"/>
                      <w:b/>
                      <w:color w:val="000000"/>
                      <w:sz w:val="24"/>
                      <w:szCs w:val="24"/>
                    </w:rPr>
                  </w:r>
                </w:p>
              </w:tc>
            </w:tr>
          </w:tbl>
          <w:p>
            <w:pPr>
              <w:pStyle w:val="887"/>
              <w:pBdr/>
              <w:spacing/>
              <w:ind/>
              <w:jc w:val="both"/>
              <w:rPr>
                <w:rFonts w:ascii="Arial" w:hAnsi="Arial" w:cs="Arial"/>
                <w:sz w:val="24"/>
                <w:szCs w:val="24"/>
              </w:rPr>
            </w:pPr>
            <w:r>
              <w:rPr>
                <w:rFonts w:ascii="Arial" w:hAnsi="Arial" w:eastAsia="Arial" w:cs="Arial"/>
                <w:sz w:val="24"/>
                <w:szCs w:val="24"/>
              </w:rPr>
            </w:r>
            <w:r>
              <w:rPr>
                <w:rFonts w:ascii="Arial" w:hAnsi="Arial" w:cs="Arial"/>
                <w:sz w:val="24"/>
                <w:szCs w:val="24"/>
              </w:rPr>
            </w:r>
            <w:r>
              <w:rPr>
                <w:rFonts w:ascii="Arial" w:hAnsi="Arial" w:cs="Arial"/>
                <w:sz w:val="24"/>
                <w:szCs w:val="24"/>
              </w:rPr>
            </w:r>
          </w:p>
          <w:p>
            <w:pPr>
              <w:pStyle w:val="887"/>
              <w:pBdr/>
              <w:spacing/>
              <w:ind/>
              <w:jc w:val="both"/>
              <w:rPr>
                <w:rFonts w:ascii="Arial" w:hAnsi="Arial" w:cs="Arial"/>
                <w:sz w:val="24"/>
                <w:szCs w:val="24"/>
              </w:rPr>
            </w:pPr>
            <w:r>
              <w:rPr>
                <w:rFonts w:ascii="Arial" w:hAnsi="Arial" w:eastAsia="Arial" w:cs="Arial"/>
                <w:sz w:val="24"/>
                <w:szCs w:val="24"/>
              </w:rPr>
            </w:r>
            <w:r>
              <w:rPr>
                <w:rFonts w:ascii="Arial" w:hAnsi="Arial" w:cs="Arial"/>
                <w:sz w:val="24"/>
                <w:szCs w:val="24"/>
              </w:rPr>
            </w:r>
            <w:r>
              <w:rPr>
                <w:rFonts w:ascii="Arial" w:hAnsi="Arial" w:cs="Arial"/>
                <w:sz w:val="24"/>
                <w:szCs w:val="24"/>
              </w:rPr>
            </w:r>
          </w:p>
          <w:tbl>
            <w:tblPr>
              <w:tblInd w:w="0" w:type="dxa"/>
              <w:tblW w:w="10055" w:type="dxa"/>
              <w:tblCellMar>
                <w:left w:w="108" w:type="dxa"/>
                <w:top w:w="0" w:type="dxa"/>
                <w:right w:w="108" w:type="dxa"/>
                <w:bottom w:w="0" w:type="dxa"/>
              </w:tblCellMar>
              <w:tblBorders/>
              <w:tblLayout w:type="fixed"/>
              <w:tblLook w:val="04A0" w:firstRow="1" w:lastRow="0" w:firstColumn="1" w:lastColumn="0" w:noHBand="0" w:noVBand="1"/>
            </w:tblPr>
            <w:tblGrid>
              <w:gridCol w:w="10055"/>
            </w:tblGrid>
            <w:tr>
              <w:trPr/>
              <w:tc>
                <w:tcPr>
                  <w:tcBorders>
                    <w:top w:val="single" w:color="000000" w:sz="4" w:space="0"/>
                    <w:left w:val="single" w:color="000000" w:sz="4" w:space="0"/>
                    <w:bottom w:val="single" w:color="000000" w:sz="4" w:space="0"/>
                    <w:right w:val="single" w:color="000000" w:sz="4" w:space="0"/>
                  </w:tcBorders>
                  <w:tcW w:w="10055" w:type="dxa"/>
                  <w:textDirection w:val="lrTb"/>
                  <w:noWrap w:val="false"/>
                </w:tcPr>
                <w:p>
                  <w:pPr>
                    <w:pStyle w:val="887"/>
                    <w:pBdr/>
                    <w:spacing/>
                    <w:ind/>
                    <w:jc w:val="both"/>
                    <w:rPr>
                      <w:rFonts w:ascii="Arial" w:hAnsi="Arial" w:cs="Arial"/>
                      <w:sz w:val="24"/>
                      <w:szCs w:val="24"/>
                    </w:rPr>
                  </w:pPr>
                  <w:r>
                    <w:rPr>
                      <w:rFonts w:ascii="Arial" w:hAnsi="Arial" w:eastAsia="Arial" w:cs="Arial"/>
                      <w:sz w:val="24"/>
                      <w:szCs w:val="24"/>
                    </w:rPr>
                  </w:r>
                  <w:r>
                    <w:rPr>
                      <w:rFonts w:ascii="Arial" w:hAnsi="Arial" w:cs="Arial"/>
                      <w:sz w:val="24"/>
                      <w:szCs w:val="24"/>
                    </w:rPr>
                  </w:r>
                  <w:r>
                    <w:rPr>
                      <w:rFonts w:ascii="Arial" w:hAnsi="Arial" w:cs="Arial"/>
                      <w:sz w:val="24"/>
                      <w:szCs w:val="24"/>
                    </w:rPr>
                  </w:r>
                </w:p>
                <w:p>
                  <w:pPr>
                    <w:pStyle w:val="887"/>
                    <w:pBdr/>
                    <w:spacing/>
                    <w:ind/>
                    <w:jc w:val="both"/>
                    <w:rPr>
                      <w:rFonts w:ascii="Arial" w:hAnsi="Arial" w:cs="Arial"/>
                      <w:b/>
                      <w:bCs/>
                      <w:color w:val="000000"/>
                      <w:sz w:val="24"/>
                      <w:szCs w:val="24"/>
                    </w:rPr>
                  </w:pPr>
                  <w:r>
                    <w:rPr>
                      <w:rFonts w:ascii="Arial" w:hAnsi="Arial" w:eastAsia="Arial" w:cs="Arial"/>
                      <w:sz w:val="24"/>
                      <w:szCs w:val="24"/>
                    </w:rPr>
                    <w:t xml:space="preserve">Horário: </w:t>
                  </w:r>
                  <w:r>
                    <w:rPr>
                      <w:rFonts w:ascii="Arial" w:hAnsi="Arial" w:eastAsia="Arial" w:cs="Arial"/>
                      <w:b/>
                      <w:color w:val="000000"/>
                      <w:sz w:val="24"/>
                      <w:szCs w:val="24"/>
                    </w:rPr>
                    <w:t xml:space="preserve">09h30min – Horário de Brasília</w:t>
                  </w:r>
                  <w:r>
                    <w:rPr>
                      <w:rFonts w:ascii="Arial" w:hAnsi="Arial" w:cs="Arial"/>
                      <w:b/>
                      <w:bCs/>
                      <w:color w:val="000000"/>
                      <w:sz w:val="24"/>
                      <w:szCs w:val="24"/>
                    </w:rPr>
                  </w:r>
                  <w:r>
                    <w:rPr>
                      <w:rFonts w:ascii="Arial" w:hAnsi="Arial" w:cs="Arial"/>
                      <w:b/>
                      <w:bCs/>
                      <w:color w:val="000000"/>
                      <w:sz w:val="24"/>
                      <w:szCs w:val="24"/>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b/>
                      <w:color w:val="000000"/>
                      <w:sz w:val="24"/>
                      <w:szCs w:val="24"/>
                    </w:rPr>
                  </w:pPr>
                  <w:r>
                    <w:rPr>
                      <w:rFonts w:ascii="Arial" w:hAnsi="Arial" w:eastAsia="Arial" w:cs="Arial"/>
                      <w:b/>
                      <w:color w:val="000000"/>
                      <w:sz w:val="24"/>
                      <w:szCs w:val="24"/>
                    </w:rPr>
                  </w:r>
                  <w:r>
                    <w:rPr>
                      <w:rFonts w:ascii="Arial" w:hAnsi="Arial" w:cs="Arial"/>
                      <w:b/>
                      <w:color w:val="000000"/>
                      <w:sz w:val="24"/>
                      <w:szCs w:val="24"/>
                    </w:rPr>
                  </w:r>
                  <w:r>
                    <w:rPr>
                      <w:rFonts w:ascii="Arial" w:hAnsi="Arial" w:cs="Arial"/>
                      <w:b/>
                      <w:color w:val="000000"/>
                      <w:sz w:val="24"/>
                      <w:szCs w:val="24"/>
                    </w:rPr>
                  </w:r>
                </w:p>
              </w:tc>
            </w:tr>
          </w:tbl>
          <w:p>
            <w:pPr>
              <w:pStyle w:val="887"/>
              <w:pBdr/>
              <w:spacing/>
              <w:ind/>
              <w:jc w:val="both"/>
              <w:rPr>
                <w:rFonts w:ascii="Arial" w:hAnsi="Arial" w:cs="Arial"/>
                <w:sz w:val="24"/>
                <w:szCs w:val="24"/>
              </w:rPr>
            </w:pPr>
            <w:r>
              <w:rPr>
                <w:rFonts w:ascii="Arial" w:hAnsi="Arial" w:eastAsia="Arial" w:cs="Arial"/>
                <w:sz w:val="24"/>
                <w:szCs w:val="24"/>
              </w:rPr>
            </w:r>
            <w:r>
              <w:rPr>
                <w:rFonts w:ascii="Arial" w:hAnsi="Arial" w:cs="Arial"/>
                <w:sz w:val="24"/>
                <w:szCs w:val="24"/>
              </w:rPr>
            </w:r>
            <w:r>
              <w:rPr>
                <w:rFonts w:ascii="Arial" w:hAnsi="Arial" w:cs="Arial"/>
                <w:sz w:val="24"/>
                <w:szCs w:val="24"/>
              </w:rPr>
            </w:r>
          </w:p>
          <w:p>
            <w:pPr>
              <w:pStyle w:val="887"/>
              <w:pBdr/>
              <w:spacing/>
              <w:ind/>
              <w:jc w:val="both"/>
              <w:rPr>
                <w:rFonts w:ascii="Arial" w:hAnsi="Arial" w:cs="Arial"/>
                <w:sz w:val="24"/>
                <w:szCs w:val="24"/>
              </w:rPr>
            </w:pPr>
            <w:r>
              <w:rPr>
                <w:rFonts w:ascii="Arial" w:hAnsi="Arial" w:eastAsia="Arial" w:cs="Arial"/>
                <w:sz w:val="24"/>
                <w:szCs w:val="24"/>
              </w:rPr>
            </w:r>
            <w:r>
              <w:rPr>
                <w:rFonts w:ascii="Arial" w:hAnsi="Arial" w:cs="Arial"/>
                <w:sz w:val="24"/>
                <w:szCs w:val="24"/>
              </w:rPr>
            </w:r>
            <w:r>
              <w:rPr>
                <w:rFonts w:ascii="Arial" w:hAnsi="Arial" w:cs="Arial"/>
                <w:sz w:val="24"/>
                <w:szCs w:val="24"/>
              </w:rPr>
            </w:r>
          </w:p>
          <w:tbl>
            <w:tblPr>
              <w:tblInd w:w="0" w:type="dxa"/>
              <w:tblW w:w="10055" w:type="dxa"/>
              <w:tblCellMar>
                <w:left w:w="108" w:type="dxa"/>
                <w:top w:w="0" w:type="dxa"/>
                <w:right w:w="108" w:type="dxa"/>
                <w:bottom w:w="0" w:type="dxa"/>
              </w:tblCellMar>
              <w:tblBorders/>
              <w:tblLayout w:type="fixed"/>
              <w:tblLook w:val="04A0" w:firstRow="1" w:lastRow="0" w:firstColumn="1" w:lastColumn="0" w:noHBand="0" w:noVBand="1"/>
            </w:tblPr>
            <w:tblGrid>
              <w:gridCol w:w="10055"/>
            </w:tblGrid>
            <w:tr>
              <w:trPr/>
              <w:tc>
                <w:tcPr>
                  <w:tcBorders>
                    <w:top w:val="single" w:color="000000" w:sz="4" w:space="0"/>
                    <w:left w:val="single" w:color="000000" w:sz="4" w:space="0"/>
                    <w:bottom w:val="single" w:color="000000" w:sz="4" w:space="0"/>
                    <w:right w:val="single" w:color="000000" w:sz="4" w:space="0"/>
                  </w:tcBorders>
                  <w:tcW w:w="10055" w:type="dxa"/>
                  <w:textDirection w:val="lrTb"/>
                  <w:noWrap w:val="false"/>
                </w:tcPr>
                <w:p>
                  <w:pPr>
                    <w:pStyle w:val="887"/>
                    <w:pBdr/>
                    <w:spacing/>
                    <w:ind/>
                    <w:jc w:val="both"/>
                    <w:rPr>
                      <w:rFonts w:ascii="Arial" w:hAnsi="Arial" w:cs="Arial"/>
                      <w:sz w:val="24"/>
                      <w:szCs w:val="24"/>
                    </w:rPr>
                  </w:pPr>
                  <w:r>
                    <w:rPr>
                      <w:rFonts w:ascii="Arial" w:hAnsi="Arial" w:eastAsia="Arial" w:cs="Arial"/>
                      <w:sz w:val="24"/>
                      <w:szCs w:val="24"/>
                    </w:rPr>
                  </w:r>
                  <w:r>
                    <w:rPr>
                      <w:rFonts w:ascii="Arial" w:hAnsi="Arial" w:cs="Arial"/>
                      <w:sz w:val="24"/>
                      <w:szCs w:val="24"/>
                    </w:rPr>
                  </w:r>
                  <w:r>
                    <w:rPr>
                      <w:rFonts w:ascii="Arial" w:hAnsi="Arial" w:cs="Arial"/>
                      <w:sz w:val="24"/>
                      <w:szCs w:val="24"/>
                    </w:rPr>
                  </w:r>
                </w:p>
                <w:p>
                  <w:pPr>
                    <w:pStyle w:val="887"/>
                    <w:pBdr/>
                    <w:spacing/>
                    <w:ind/>
                    <w:jc w:val="center"/>
                    <w:rPr>
                      <w:rFonts w:ascii="Arial" w:hAnsi="Arial" w:cs="Arial"/>
                    </w:rPr>
                  </w:pPr>
                  <w:r>
                    <w:rPr>
                      <w:rFonts w:ascii="Arial" w:hAnsi="Arial" w:eastAsia="Arial" w:cs="Arial"/>
                      <w:b/>
                      <w:sz w:val="24"/>
                      <w:szCs w:val="24"/>
                    </w:rPr>
                    <w:t xml:space="preserve">CONTATO</w:t>
                  </w:r>
                  <w:r>
                    <w:rPr>
                      <w:rFonts w:ascii="Arial" w:hAnsi="Arial" w:cs="Arial"/>
                    </w:rPr>
                  </w:r>
                  <w:r>
                    <w:rPr>
                      <w:rFonts w:ascii="Arial" w:hAnsi="Arial" w:cs="Arial"/>
                    </w:rPr>
                  </w:r>
                </w:p>
                <w:p>
                  <w:pPr>
                    <w:pStyle w:val="887"/>
                    <w:pBdr/>
                    <w:spacing/>
                    <w:ind/>
                    <w:jc w:val="center"/>
                    <w:rPr>
                      <w:rFonts w:ascii="Arial" w:hAnsi="Arial" w:cs="Arial"/>
                      <w:b/>
                      <w:sz w:val="24"/>
                      <w:szCs w:val="24"/>
                    </w:rPr>
                  </w:pPr>
                  <w:r>
                    <w:rPr>
                      <w:rFonts w:ascii="Arial" w:hAnsi="Arial" w:eastAsia="Arial" w:cs="Arial"/>
                      <w:b/>
                      <w:sz w:val="24"/>
                      <w:szCs w:val="24"/>
                    </w:rPr>
                  </w:r>
                  <w:r>
                    <w:rPr>
                      <w:rFonts w:ascii="Arial" w:hAnsi="Arial" w:cs="Arial"/>
                      <w:b/>
                      <w:sz w:val="24"/>
                      <w:szCs w:val="24"/>
                    </w:rPr>
                  </w:r>
                  <w:r>
                    <w:rPr>
                      <w:rFonts w:ascii="Arial" w:hAnsi="Arial" w:cs="Arial"/>
                      <w:b/>
                      <w:sz w:val="24"/>
                      <w:szCs w:val="24"/>
                    </w:rPr>
                  </w:r>
                </w:p>
                <w:p>
                  <w:pPr>
                    <w:pStyle w:val="887"/>
                    <w:pBdr/>
                    <w:spacing/>
                    <w:ind/>
                    <w:jc w:val="center"/>
                    <w:rPr>
                      <w:rFonts w:ascii="Arial" w:hAnsi="Arial" w:cs="Arial"/>
                    </w:rPr>
                  </w:pPr>
                  <w:r>
                    <w:rPr>
                      <w:rFonts w:ascii="Arial" w:hAnsi="Arial" w:eastAsia="Arial" w:cs="Arial"/>
                      <w:b/>
                      <w:sz w:val="24"/>
                      <w:szCs w:val="24"/>
                    </w:rPr>
                    <w:t xml:space="preserve">(66) 3411 5734</w:t>
                  </w:r>
                  <w:r>
                    <w:rPr>
                      <w:rFonts w:ascii="Arial" w:hAnsi="Arial" w:cs="Arial"/>
                    </w:rPr>
                  </w:r>
                  <w:r>
                    <w:rPr>
                      <w:rFonts w:ascii="Arial" w:hAnsi="Arial" w:cs="Arial"/>
                    </w:rPr>
                  </w:r>
                </w:p>
                <w:p>
                  <w:pPr>
                    <w:pStyle w:val="887"/>
                    <w:pBdr/>
                    <w:spacing/>
                    <w:ind/>
                    <w:jc w:val="center"/>
                    <w:rPr>
                      <w:rFonts w:ascii="Arial" w:hAnsi="Arial" w:cs="Arial"/>
                    </w:rPr>
                  </w:pPr>
                  <w:r>
                    <w:rPr>
                      <w:rFonts w:ascii="Arial" w:hAnsi="Arial" w:eastAsia="Arial" w:cs="Arial"/>
                    </w:rPr>
                  </w:r>
                  <w:hyperlink r:id="rId13" w:tooltip="mailto:pmrroo@hotmail.com" w:history="1">
                    <w:r>
                      <w:rPr>
                        <w:rStyle w:val="994"/>
                        <w:rFonts w:ascii="Arial" w:hAnsi="Arial" w:eastAsia="Arial" w:cs="Arial"/>
                        <w:sz w:val="24"/>
                        <w:szCs w:val="24"/>
                      </w:rPr>
                      <w:t xml:space="preserve">pmrroo@hotmail.com</w:t>
                    </w:r>
                  </w:hyperlink>
                  <w:r>
                    <w:rPr>
                      <w:rFonts w:ascii="Arial" w:hAnsi="Arial" w:cs="Arial"/>
                    </w:rPr>
                  </w:r>
                  <w:r>
                    <w:rPr>
                      <w:rFonts w:ascii="Arial" w:hAnsi="Arial" w:cs="Arial"/>
                    </w:rPr>
                  </w:r>
                </w:p>
                <w:p>
                  <w:pPr>
                    <w:pStyle w:val="887"/>
                    <w:pBdr/>
                    <w:spacing/>
                    <w:ind/>
                    <w:jc w:val="center"/>
                    <w:rPr>
                      <w:rFonts w:ascii="Arial" w:hAnsi="Arial" w:cs="Arial"/>
                      <w:sz w:val="24"/>
                      <w:szCs w:val="24"/>
                    </w:rPr>
                  </w:pPr>
                  <w:r>
                    <w:rPr>
                      <w:rFonts w:ascii="Arial" w:hAnsi="Arial" w:eastAsia="Arial" w:cs="Arial"/>
                      <w:sz w:val="24"/>
                      <w:szCs w:val="24"/>
                    </w:rPr>
                  </w:r>
                  <w:r>
                    <w:rPr>
                      <w:rFonts w:ascii="Arial" w:hAnsi="Arial" w:cs="Arial"/>
                      <w:sz w:val="24"/>
                      <w:szCs w:val="24"/>
                    </w:rPr>
                  </w:r>
                  <w:r>
                    <w:rPr>
                      <w:rFonts w:ascii="Arial" w:hAnsi="Arial" w:cs="Arial"/>
                      <w:sz w:val="24"/>
                      <w:szCs w:val="24"/>
                    </w:rPr>
                  </w:r>
                </w:p>
                <w:p>
                  <w:pPr>
                    <w:pStyle w:val="887"/>
                    <w:pBdr/>
                    <w:spacing/>
                    <w:ind/>
                    <w:jc w:val="center"/>
                    <w:rPr>
                      <w:rFonts w:ascii="Arial" w:hAnsi="Arial" w:cs="Arial"/>
                      <w:sz w:val="24"/>
                      <w:szCs w:val="24"/>
                    </w:rPr>
                  </w:pPr>
                  <w:r>
                    <w:rPr>
                      <w:rFonts w:ascii="Arial" w:hAnsi="Arial" w:eastAsia="Arial" w:cs="Arial"/>
                      <w:sz w:val="24"/>
                      <w:szCs w:val="24"/>
                    </w:rPr>
                  </w:r>
                  <w:r>
                    <w:rPr>
                      <w:rFonts w:ascii="Arial" w:hAnsi="Arial" w:cs="Arial"/>
                      <w:sz w:val="24"/>
                      <w:szCs w:val="24"/>
                    </w:rPr>
                  </w:r>
                  <w:r>
                    <w:rPr>
                      <w:rFonts w:ascii="Arial" w:hAnsi="Arial" w:cs="Arial"/>
                      <w:sz w:val="24"/>
                      <w:szCs w:val="24"/>
                    </w:rPr>
                  </w:r>
                </w:p>
                <w:p>
                  <w:pPr>
                    <w:pStyle w:val="887"/>
                    <w:pBdr/>
                    <w:spacing/>
                    <w:ind/>
                    <w:jc w:val="both"/>
                    <w:rPr>
                      <w:rFonts w:ascii="Arial" w:hAnsi="Arial" w:cs="Arial"/>
                      <w:sz w:val="24"/>
                      <w:szCs w:val="24"/>
                    </w:rPr>
                  </w:pPr>
                  <w:r>
                    <w:rPr>
                      <w:rFonts w:ascii="Arial" w:hAnsi="Arial" w:eastAsia="Arial" w:cs="Arial"/>
                      <w:sz w:val="24"/>
                      <w:szCs w:val="24"/>
                    </w:rPr>
                  </w:r>
                  <w:r>
                    <w:rPr>
                      <w:rFonts w:ascii="Arial" w:hAnsi="Arial" w:cs="Arial"/>
                      <w:sz w:val="24"/>
                      <w:szCs w:val="24"/>
                    </w:rPr>
                  </w:r>
                  <w:r>
                    <w:rPr>
                      <w:rFonts w:ascii="Arial" w:hAnsi="Arial" w:cs="Arial"/>
                      <w:sz w:val="24"/>
                      <w:szCs w:val="24"/>
                    </w:rPr>
                  </w:r>
                </w:p>
              </w:tc>
            </w:tr>
          </w:tbl>
          <w:p>
            <w:pPr>
              <w:pStyle w:val="887"/>
              <w:pBdr/>
              <w:spacing/>
              <w:ind/>
              <w:jc w:val="both"/>
              <w:rPr>
                <w:rFonts w:ascii="Arial" w:hAnsi="Arial" w:cs="Arial"/>
                <w:sz w:val="24"/>
                <w:szCs w:val="24"/>
              </w:rPr>
            </w:pPr>
            <w:r>
              <w:rPr>
                <w:rFonts w:ascii="Arial" w:hAnsi="Arial" w:eastAsia="Arial" w:cs="Arial"/>
                <w:sz w:val="24"/>
                <w:szCs w:val="24"/>
              </w:rPr>
            </w:r>
            <w:r>
              <w:rPr>
                <w:rFonts w:ascii="Arial" w:hAnsi="Arial" w:cs="Arial"/>
                <w:sz w:val="24"/>
                <w:szCs w:val="24"/>
              </w:rPr>
            </w:r>
            <w:r>
              <w:rPr>
                <w:rFonts w:ascii="Arial" w:hAnsi="Arial" w:cs="Arial"/>
                <w:sz w:val="24"/>
                <w:szCs w:val="24"/>
              </w:rPr>
            </w:r>
          </w:p>
          <w:p>
            <w:pPr>
              <w:pStyle w:val="887"/>
              <w:pBdr/>
              <w:spacing/>
              <w:ind/>
              <w:jc w:val="both"/>
              <w:rPr>
                <w:rFonts w:ascii="Arial" w:hAnsi="Arial" w:cs="Arial"/>
                <w:sz w:val="24"/>
                <w:szCs w:val="24"/>
              </w:rPr>
            </w:pPr>
            <w:r>
              <w:rPr>
                <w:rFonts w:ascii="Arial" w:hAnsi="Arial" w:eastAsia="Arial" w:cs="Arial"/>
                <w:sz w:val="24"/>
                <w:szCs w:val="24"/>
              </w:rPr>
            </w:r>
            <w:r>
              <w:rPr>
                <w:rFonts w:ascii="Arial" w:hAnsi="Arial" w:cs="Arial"/>
                <w:sz w:val="24"/>
                <w:szCs w:val="24"/>
              </w:rPr>
            </w:r>
            <w:r>
              <w:rPr>
                <w:rFonts w:ascii="Arial" w:hAnsi="Arial" w:cs="Arial"/>
                <w:sz w:val="24"/>
                <w:szCs w:val="24"/>
              </w:rPr>
            </w:r>
          </w:p>
        </w:tc>
      </w:tr>
    </w:tbl>
    <w:p>
      <w:pPr>
        <w:pStyle w:val="887"/>
        <w:pBdr/>
        <w:spacing/>
        <w:ind/>
        <w:rPr>
          <w:rFonts w:ascii="Arial" w:hAnsi="Arial" w:cs="Arial"/>
          <w:b/>
          <w:bCs/>
          <w:color w:val="000000"/>
          <w:sz w:val="18"/>
          <w:szCs w:val="18"/>
        </w:rPr>
      </w:pPr>
      <w:r>
        <w:rPr>
          <w:rFonts w:ascii="Arial" w:hAnsi="Arial" w:eastAsia="Arial" w:cs="Arial"/>
          <w:b/>
          <w:bCs/>
          <w:color w:val="000000"/>
          <w:sz w:val="18"/>
          <w:szCs w:val="18"/>
        </w:rPr>
      </w:r>
      <w:r>
        <w:rPr>
          <w:rFonts w:ascii="Arial" w:hAnsi="Arial" w:cs="Arial"/>
          <w:b/>
          <w:bCs/>
          <w:color w:val="000000"/>
          <w:sz w:val="18"/>
          <w:szCs w:val="18"/>
        </w:rPr>
      </w:r>
      <w:r>
        <w:rPr>
          <w:rFonts w:ascii="Arial" w:hAnsi="Arial" w:cs="Arial"/>
          <w:b/>
          <w:bCs/>
          <w:color w:val="000000"/>
          <w:sz w:val="18"/>
          <w:szCs w:val="18"/>
        </w:rPr>
      </w:r>
    </w:p>
    <w:p w14:paraId="5E6C3104">
      <w:pPr>
        <w:pStyle w:val="2046"/>
        <w:pBdr/>
        <w:tabs>
          <w:tab w:val="clear" w:leader="none" w:pos="708"/>
          <w:tab w:val="right" w:leader="dot" w:pos="9771"/>
        </w:tabs>
        <w:spacing/>
        <w:ind/>
        <w:rPr>
          <w:rFonts w:ascii="Arial" w:hAnsi="Arial" w:cs="Arial"/>
          <w:sz w:val="18"/>
          <w:szCs w:val="18"/>
          <w:highlight w:val="none"/>
        </w:rPr>
      </w:pPr>
      <w:r>
        <w:rPr>
          <w:rFonts w:ascii="Arial" w:hAnsi="Arial" w:eastAsia="Arial" w:cs="Arial"/>
          <w:sz w:val="18"/>
          <w:szCs w:val="18"/>
        </w:rPr>
        <w:t xml:space="preserve">SUMÁRIO:</w:t>
      </w:r>
      <w:r>
        <w:rPr>
          <w:rFonts w:ascii="Arial" w:hAnsi="Arial" w:cs="Arial"/>
          <w:sz w:val="18"/>
          <w:szCs w:val="18"/>
          <w:highlight w:val="none"/>
        </w:rPr>
      </w:r>
      <w:r>
        <w:rPr>
          <w:rFonts w:ascii="Arial" w:hAnsi="Arial" w:cs="Arial"/>
          <w:sz w:val="18"/>
          <w:szCs w:val="18"/>
          <w:highlight w:val="none"/>
        </w:rPr>
      </w:r>
    </w:p>
    <w:p w14:paraId="49749E01">
      <w:pPr>
        <w:pStyle w:val="2046"/>
        <w:pBdr/>
        <w:tabs>
          <w:tab w:val="right" w:leader="dot" w:pos="9771"/>
        </w:tabs>
        <w:spacing/>
        <w:ind/>
        <w:rPr>
          <w:rFonts w:ascii="Arial" w:hAnsi="Arial" w:cs="Arial"/>
          <w:b/>
          <w:bCs/>
          <w:sz w:val="18"/>
          <w:szCs w:val="18"/>
        </w:rPr>
      </w:pPr>
      <w:r>
        <w:rPr>
          <w:rFonts w:ascii="Arial" w:hAnsi="Arial" w:eastAsia="Arial" w:cs="Arial"/>
          <w:sz w:val="18"/>
          <w:szCs w:val="18"/>
        </w:rPr>
        <w:fldChar w:fldCharType="begin"/>
      </w:r>
      <w:r>
        <w:rPr>
          <w:rFonts w:ascii="Arial" w:hAnsi="Arial" w:eastAsia="Arial" w:cs="Arial"/>
          <w:sz w:val="18"/>
          <w:szCs w:val="18"/>
        </w:rPr>
        <w:instrText xml:space="preserve"> TOC \o "1-3" \h \z \u </w:instrText>
      </w:r>
      <w:r>
        <w:rPr>
          <w:rFonts w:ascii="Arial" w:hAnsi="Arial" w:eastAsia="Arial" w:cs="Arial"/>
          <w:sz w:val="18"/>
          <w:szCs w:val="18"/>
        </w:rPr>
        <w:fldChar w:fldCharType="separate"/>
      </w:r>
      <w:r>
        <w:rPr>
          <w:rFonts w:ascii="Arial" w:hAnsi="Arial" w:cs="Arial"/>
          <w:sz w:val="18"/>
          <w:szCs w:val="18"/>
        </w:rPr>
      </w:r>
      <w:hyperlink w:tooltip="#_Toc1" w:anchor="_Toc1" w:history="1">
        <w:r>
          <w:rPr>
            <w:rStyle w:val="994"/>
            <w:sz w:val="18"/>
            <w:szCs w:val="18"/>
          </w:rPr>
        </w:r>
        <w:r>
          <w:rPr>
            <w:rStyle w:val="994"/>
            <w:rFonts w:ascii="Arial" w:hAnsi="Arial" w:eastAsia="Arial" w:cs="Arial"/>
            <w:b/>
            <w:bCs/>
            <w:sz w:val="18"/>
            <w:szCs w:val="18"/>
          </w:rPr>
          <w:t xml:space="preserve">2. DO OBJETO:</w:t>
        </w:r>
        <w:r>
          <w:rPr>
            <w:rStyle w:val="994"/>
            <w:rFonts w:ascii="Arial" w:hAnsi="Arial" w:cs="Arial"/>
            <w:b/>
            <w:bCs/>
            <w:sz w:val="18"/>
            <w:szCs w:val="18"/>
          </w:rPr>
        </w:r>
        <w:r>
          <w:rPr>
            <w:sz w:val="18"/>
            <w:szCs w:val="18"/>
          </w:rPr>
          <w:tab/>
        </w:r>
        <w:r>
          <w:rPr>
            <w:sz w:val="18"/>
            <w:szCs w:val="18"/>
          </w:rPr>
          <w:fldChar w:fldCharType="begin"/>
          <w:instrText xml:space="preserve">PAGEREF _Toc1 \h</w:instrText>
          <w:fldChar w:fldCharType="separate"/>
          <w:t xml:space="preserve">3</w:t>
          <w:fldChar w:fldCharType="end"/>
        </w:r>
      </w:hyperlink>
      <w:r>
        <w:rPr>
          <w:rFonts w:ascii="Arial" w:hAnsi="Arial" w:cs="Arial"/>
          <w:b/>
          <w:bCs/>
          <w:sz w:val="18"/>
          <w:szCs w:val="18"/>
        </w:rPr>
      </w:r>
      <w:r>
        <w:rPr>
          <w:rFonts w:ascii="Arial" w:hAnsi="Arial" w:cs="Arial"/>
          <w:b/>
          <w:bCs/>
          <w:sz w:val="18"/>
          <w:szCs w:val="18"/>
        </w:rPr>
      </w:r>
    </w:p>
    <w:p w14:paraId="0A95C384">
      <w:pPr>
        <w:pStyle w:val="2046"/>
        <w:pBdr/>
        <w:tabs>
          <w:tab w:val="right" w:leader="dot" w:pos="9771"/>
        </w:tabs>
        <w:spacing/>
        <w:ind/>
        <w:rPr>
          <w:rFonts w:ascii="Arial" w:hAnsi="Arial" w:cs="Arial"/>
          <w:b/>
          <w:bCs/>
          <w:sz w:val="18"/>
          <w:szCs w:val="18"/>
        </w:rPr>
      </w:pPr>
      <w:r/>
      <w:hyperlink w:tooltip="#_Toc2" w:anchor="_Toc2" w:history="1">
        <w:r>
          <w:rPr>
            <w:rStyle w:val="994"/>
            <w:sz w:val="18"/>
            <w:szCs w:val="18"/>
          </w:rPr>
        </w:r>
        <w:r>
          <w:rPr>
            <w:rStyle w:val="994"/>
            <w:rFonts w:ascii="Arial" w:hAnsi="Arial" w:eastAsia="Arial" w:cs="Arial"/>
            <w:b/>
            <w:bCs/>
            <w:sz w:val="18"/>
            <w:szCs w:val="18"/>
          </w:rPr>
          <w:t xml:space="preserve">3. DA REFERÊNCIA DE HORÁRIO NO EDITAL: </w:t>
        </w:r>
        <w:r>
          <w:rPr>
            <w:rStyle w:val="994"/>
            <w:rFonts w:ascii="Arial" w:hAnsi="Arial" w:cs="Arial"/>
            <w:b/>
            <w:bCs/>
            <w:sz w:val="18"/>
            <w:szCs w:val="18"/>
          </w:rPr>
        </w:r>
        <w:r>
          <w:rPr>
            <w:sz w:val="18"/>
            <w:szCs w:val="18"/>
          </w:rPr>
          <w:tab/>
        </w:r>
        <w:r>
          <w:rPr>
            <w:sz w:val="18"/>
            <w:szCs w:val="18"/>
          </w:rPr>
          <w:fldChar w:fldCharType="begin"/>
          <w:instrText xml:space="preserve">PAGEREF _Toc2 \h</w:instrText>
          <w:fldChar w:fldCharType="separate"/>
          <w:t xml:space="preserve">3</w:t>
          <w:fldChar w:fldCharType="end"/>
        </w:r>
      </w:hyperlink>
      <w:r>
        <w:rPr>
          <w:rFonts w:ascii="Arial" w:hAnsi="Arial" w:cs="Arial"/>
          <w:b/>
          <w:bCs/>
          <w:sz w:val="18"/>
          <w:szCs w:val="18"/>
        </w:rPr>
      </w:r>
      <w:r>
        <w:rPr>
          <w:rFonts w:ascii="Arial" w:hAnsi="Arial" w:cs="Arial"/>
          <w:b/>
          <w:bCs/>
          <w:sz w:val="18"/>
          <w:szCs w:val="18"/>
        </w:rPr>
      </w:r>
    </w:p>
    <w:p w14:paraId="17B297A8">
      <w:pPr>
        <w:pStyle w:val="2046"/>
        <w:pBdr/>
        <w:tabs>
          <w:tab w:val="right" w:leader="dot" w:pos="9771"/>
        </w:tabs>
        <w:spacing/>
        <w:ind/>
        <w:rPr>
          <w:rFonts w:ascii="Arial" w:hAnsi="Arial" w:cs="Arial"/>
          <w:b/>
          <w:bCs/>
          <w:sz w:val="18"/>
          <w:szCs w:val="18"/>
        </w:rPr>
      </w:pPr>
      <w:r/>
      <w:hyperlink w:tooltip="#_Toc3" w:anchor="_Toc3" w:history="1">
        <w:r>
          <w:rPr>
            <w:rStyle w:val="994"/>
            <w:sz w:val="18"/>
            <w:szCs w:val="18"/>
          </w:rPr>
        </w:r>
        <w:r>
          <w:rPr>
            <w:rStyle w:val="994"/>
            <w:rFonts w:ascii="Arial" w:hAnsi="Arial" w:eastAsia="Arial" w:cs="Arial"/>
            <w:b/>
            <w:bCs/>
            <w:sz w:val="18"/>
            <w:szCs w:val="18"/>
          </w:rPr>
          <w:t xml:space="preserve">4. DAS CONDIÇÕES PARA PARTICIPAÇÃO NO CERTAME:</w:t>
        </w:r>
        <w:r>
          <w:rPr>
            <w:rStyle w:val="994"/>
            <w:rFonts w:ascii="Arial" w:hAnsi="Arial" w:eastAsia="Arial" w:cs="Arial"/>
            <w:b/>
            <w:bCs/>
            <w:sz w:val="18"/>
            <w:szCs w:val="18"/>
          </w:rPr>
          <w:t xml:space="preserve"> </w:t>
        </w:r>
        <w:r>
          <w:rPr>
            <w:rStyle w:val="994"/>
            <w:rFonts w:ascii="Arial" w:hAnsi="Arial" w:cs="Arial"/>
            <w:b/>
            <w:bCs/>
            <w:sz w:val="18"/>
            <w:szCs w:val="18"/>
          </w:rPr>
        </w:r>
        <w:r>
          <w:rPr>
            <w:sz w:val="18"/>
            <w:szCs w:val="18"/>
          </w:rPr>
          <w:tab/>
        </w:r>
        <w:r>
          <w:rPr>
            <w:sz w:val="18"/>
            <w:szCs w:val="18"/>
          </w:rPr>
          <w:fldChar w:fldCharType="begin"/>
          <w:instrText xml:space="preserve">PAGEREF _Toc3 \h</w:instrText>
          <w:fldChar w:fldCharType="separate"/>
          <w:t xml:space="preserve">3</w:t>
          <w:fldChar w:fldCharType="end"/>
        </w:r>
      </w:hyperlink>
      <w:r>
        <w:rPr>
          <w:rFonts w:ascii="Arial" w:hAnsi="Arial" w:cs="Arial"/>
          <w:b/>
          <w:bCs/>
          <w:sz w:val="18"/>
          <w:szCs w:val="18"/>
        </w:rPr>
      </w:r>
      <w:r>
        <w:rPr>
          <w:rFonts w:ascii="Arial" w:hAnsi="Arial" w:cs="Arial"/>
          <w:b/>
          <w:bCs/>
          <w:sz w:val="18"/>
          <w:szCs w:val="18"/>
        </w:rPr>
      </w:r>
    </w:p>
    <w:p w14:paraId="72E695DF">
      <w:pPr>
        <w:pStyle w:val="2046"/>
        <w:pBdr/>
        <w:tabs>
          <w:tab w:val="right" w:leader="dot" w:pos="9771"/>
        </w:tabs>
        <w:spacing/>
        <w:ind/>
        <w:rPr>
          <w:rFonts w:ascii="Arial" w:hAnsi="Arial" w:cs="Arial"/>
          <w:b/>
          <w:bCs/>
          <w:sz w:val="18"/>
          <w:szCs w:val="18"/>
        </w:rPr>
      </w:pPr>
      <w:r/>
      <w:hyperlink w:tooltip="#_Toc4" w:anchor="_Toc4" w:history="1">
        <w:r>
          <w:rPr>
            <w:rStyle w:val="994"/>
            <w:sz w:val="18"/>
            <w:szCs w:val="18"/>
          </w:rPr>
        </w:r>
        <w:r>
          <w:rPr>
            <w:rStyle w:val="994"/>
            <w:rFonts w:ascii="Arial" w:hAnsi="Arial" w:eastAsia="Arial" w:cs="Arial"/>
            <w:b/>
            <w:bCs/>
            <w:sz w:val="18"/>
            <w:szCs w:val="18"/>
          </w:rPr>
          <w:t xml:space="preserve">5. DO CREDENCIAMENTO:</w:t>
        </w:r>
        <w:r>
          <w:rPr>
            <w:rStyle w:val="994"/>
            <w:rFonts w:ascii="Arial" w:hAnsi="Arial" w:eastAsia="Arial" w:cs="Arial"/>
            <w:b/>
            <w:bCs/>
            <w:sz w:val="18"/>
            <w:szCs w:val="18"/>
          </w:rPr>
          <w:t xml:space="preserve"> </w:t>
        </w:r>
        <w:r>
          <w:rPr>
            <w:rStyle w:val="994"/>
            <w:rFonts w:ascii="Arial" w:hAnsi="Arial" w:cs="Arial"/>
            <w:b/>
            <w:bCs/>
            <w:sz w:val="18"/>
            <w:szCs w:val="18"/>
          </w:rPr>
        </w:r>
        <w:r>
          <w:rPr>
            <w:sz w:val="18"/>
            <w:szCs w:val="18"/>
          </w:rPr>
          <w:tab/>
        </w:r>
        <w:r>
          <w:rPr>
            <w:sz w:val="18"/>
            <w:szCs w:val="18"/>
          </w:rPr>
          <w:fldChar w:fldCharType="begin"/>
          <w:instrText xml:space="preserve">PAGEREF _Toc4 \h</w:instrText>
          <w:fldChar w:fldCharType="separate"/>
          <w:t xml:space="preserve">5</w:t>
          <w:fldChar w:fldCharType="end"/>
        </w:r>
      </w:hyperlink>
      <w:r>
        <w:rPr>
          <w:rFonts w:ascii="Arial" w:hAnsi="Arial" w:cs="Arial"/>
          <w:b/>
          <w:bCs/>
          <w:sz w:val="18"/>
          <w:szCs w:val="18"/>
        </w:rPr>
      </w:r>
      <w:r>
        <w:rPr>
          <w:rFonts w:ascii="Arial" w:hAnsi="Arial" w:cs="Arial"/>
          <w:b/>
          <w:bCs/>
          <w:sz w:val="18"/>
          <w:szCs w:val="18"/>
        </w:rPr>
      </w:r>
    </w:p>
    <w:p w14:paraId="25F3F681">
      <w:pPr>
        <w:pStyle w:val="2046"/>
        <w:pBdr/>
        <w:tabs>
          <w:tab w:val="right" w:leader="dot" w:pos="9771"/>
        </w:tabs>
        <w:spacing/>
        <w:ind/>
        <w:rPr>
          <w:rFonts w:ascii="Arial" w:hAnsi="Arial" w:cs="Arial"/>
          <w:b/>
          <w:bCs/>
          <w:sz w:val="18"/>
          <w:szCs w:val="18"/>
        </w:rPr>
      </w:pPr>
      <w:r/>
      <w:hyperlink w:tooltip="#_Toc5" w:anchor="_Toc5" w:history="1">
        <w:r>
          <w:rPr>
            <w:rStyle w:val="994"/>
            <w:sz w:val="18"/>
            <w:szCs w:val="18"/>
          </w:rPr>
        </w:r>
        <w:r>
          <w:rPr>
            <w:rStyle w:val="994"/>
            <w:rFonts w:ascii="Arial" w:hAnsi="Arial" w:eastAsia="Arial" w:cs="Arial"/>
            <w:b/>
            <w:bCs/>
            <w:sz w:val="18"/>
            <w:szCs w:val="18"/>
          </w:rPr>
          <w:t xml:space="preserve">6. DA PARTICIPAÇÃO NA LICITAÇÃO E CADASTRO DA PROPOSTA NO SISTEMA BLL:</w:t>
        </w:r>
        <w:r>
          <w:rPr>
            <w:rStyle w:val="994"/>
            <w:rFonts w:ascii="Arial" w:hAnsi="Arial" w:cs="Arial"/>
            <w:b/>
            <w:bCs/>
            <w:sz w:val="18"/>
            <w:szCs w:val="18"/>
          </w:rPr>
        </w:r>
        <w:r>
          <w:rPr>
            <w:sz w:val="18"/>
            <w:szCs w:val="18"/>
          </w:rPr>
          <w:tab/>
        </w:r>
        <w:r>
          <w:rPr>
            <w:sz w:val="18"/>
            <w:szCs w:val="18"/>
          </w:rPr>
          <w:fldChar w:fldCharType="begin"/>
          <w:instrText xml:space="preserve">PAGEREF _Toc5 \h</w:instrText>
          <w:fldChar w:fldCharType="separate"/>
          <w:t xml:space="preserve">6</w:t>
          <w:fldChar w:fldCharType="end"/>
        </w:r>
      </w:hyperlink>
      <w:r>
        <w:rPr>
          <w:rFonts w:ascii="Arial" w:hAnsi="Arial" w:cs="Arial"/>
          <w:b/>
          <w:bCs/>
          <w:sz w:val="18"/>
          <w:szCs w:val="18"/>
        </w:rPr>
      </w:r>
      <w:r>
        <w:rPr>
          <w:rFonts w:ascii="Arial" w:hAnsi="Arial" w:cs="Arial"/>
          <w:b/>
          <w:bCs/>
          <w:sz w:val="18"/>
          <w:szCs w:val="18"/>
        </w:rPr>
      </w:r>
    </w:p>
    <w:p w14:paraId="61D2486D">
      <w:pPr>
        <w:pStyle w:val="2046"/>
        <w:pBdr/>
        <w:tabs>
          <w:tab w:val="right" w:leader="dot" w:pos="9771"/>
        </w:tabs>
        <w:spacing/>
        <w:ind/>
        <w:rPr>
          <w:rFonts w:ascii="Arial" w:hAnsi="Arial" w:cs="Arial"/>
          <w:b/>
          <w:bCs/>
          <w:sz w:val="18"/>
          <w:szCs w:val="18"/>
        </w:rPr>
      </w:pPr>
      <w:r/>
      <w:hyperlink w:tooltip="#_Toc6" w:anchor="_Toc6" w:history="1">
        <w:r>
          <w:rPr>
            <w:rStyle w:val="994"/>
            <w:sz w:val="18"/>
            <w:szCs w:val="18"/>
          </w:rPr>
        </w:r>
        <w:r>
          <w:rPr>
            <w:rStyle w:val="994"/>
            <w:rFonts w:ascii="Arial" w:hAnsi="Arial" w:eastAsia="Arial" w:cs="Arial"/>
            <w:b/>
            <w:bCs/>
            <w:sz w:val="18"/>
            <w:szCs w:val="18"/>
          </w:rPr>
          <w:t xml:space="preserve">7. DA ANÁLISE INICIAL NA PROPOSTA DE PREÇOS NO MOMENTO DA SESSÃO:</w:t>
        </w:r>
        <w:r>
          <w:rPr>
            <w:rStyle w:val="994"/>
            <w:rFonts w:ascii="Arial" w:hAnsi="Arial" w:eastAsia="Arial" w:cs="Arial"/>
            <w:b/>
            <w:bCs/>
            <w:sz w:val="18"/>
            <w:szCs w:val="18"/>
          </w:rPr>
          <w:t xml:space="preserve"> </w:t>
        </w:r>
        <w:r>
          <w:rPr>
            <w:rStyle w:val="994"/>
            <w:rFonts w:ascii="Arial" w:hAnsi="Arial" w:cs="Arial"/>
            <w:b/>
            <w:bCs/>
            <w:sz w:val="18"/>
            <w:szCs w:val="18"/>
          </w:rPr>
        </w:r>
        <w:r>
          <w:rPr>
            <w:sz w:val="18"/>
            <w:szCs w:val="18"/>
          </w:rPr>
          <w:tab/>
        </w:r>
        <w:r>
          <w:rPr>
            <w:sz w:val="18"/>
            <w:szCs w:val="18"/>
          </w:rPr>
          <w:fldChar w:fldCharType="begin"/>
          <w:instrText xml:space="preserve">PAGEREF _Toc6 \h</w:instrText>
          <w:fldChar w:fldCharType="separate"/>
          <w:t xml:space="preserve">8</w:t>
          <w:fldChar w:fldCharType="end"/>
        </w:r>
      </w:hyperlink>
      <w:r>
        <w:rPr>
          <w:rFonts w:ascii="Arial" w:hAnsi="Arial" w:cs="Arial"/>
          <w:b/>
          <w:bCs/>
          <w:sz w:val="18"/>
          <w:szCs w:val="18"/>
        </w:rPr>
      </w:r>
      <w:r>
        <w:rPr>
          <w:rFonts w:ascii="Arial" w:hAnsi="Arial" w:cs="Arial"/>
          <w:b/>
          <w:bCs/>
          <w:sz w:val="18"/>
          <w:szCs w:val="18"/>
        </w:rPr>
      </w:r>
    </w:p>
    <w:p w14:paraId="47816A07">
      <w:pPr>
        <w:pStyle w:val="2046"/>
        <w:pBdr/>
        <w:tabs>
          <w:tab w:val="right" w:leader="dot" w:pos="9771"/>
        </w:tabs>
        <w:spacing/>
        <w:ind/>
        <w:rPr>
          <w:rFonts w:ascii="Arial" w:hAnsi="Arial" w:cs="Arial"/>
          <w:b/>
          <w:bCs/>
          <w:sz w:val="18"/>
          <w:szCs w:val="18"/>
        </w:rPr>
      </w:pPr>
      <w:r/>
      <w:hyperlink w:tooltip="#_Toc7" w:anchor="_Toc7" w:history="1">
        <w:r>
          <w:rPr>
            <w:rStyle w:val="994"/>
            <w:sz w:val="18"/>
            <w:szCs w:val="18"/>
          </w:rPr>
        </w:r>
        <w:r>
          <w:rPr>
            <w:rStyle w:val="994"/>
            <w:rFonts w:ascii="Arial" w:hAnsi="Arial" w:eastAsia="Arial" w:cs="Arial"/>
            <w:b/>
            <w:bCs/>
            <w:sz w:val="18"/>
            <w:szCs w:val="18"/>
          </w:rPr>
          <w:t xml:space="preserve">8. DA FORMA DE DISPUTA:</w:t>
        </w:r>
        <w:r>
          <w:rPr>
            <w:rStyle w:val="994"/>
            <w:rFonts w:ascii="Arial" w:hAnsi="Arial" w:cs="Arial"/>
            <w:b/>
            <w:bCs/>
            <w:sz w:val="18"/>
            <w:szCs w:val="18"/>
          </w:rPr>
        </w:r>
        <w:r>
          <w:rPr>
            <w:sz w:val="18"/>
            <w:szCs w:val="18"/>
          </w:rPr>
          <w:tab/>
        </w:r>
        <w:r>
          <w:rPr>
            <w:sz w:val="18"/>
            <w:szCs w:val="18"/>
          </w:rPr>
          <w:fldChar w:fldCharType="begin"/>
          <w:instrText xml:space="preserve">PAGEREF _Toc7 \h</w:instrText>
          <w:fldChar w:fldCharType="separate"/>
          <w:t xml:space="preserve">8</w:t>
          <w:fldChar w:fldCharType="end"/>
        </w:r>
      </w:hyperlink>
      <w:r>
        <w:rPr>
          <w:rFonts w:ascii="Arial" w:hAnsi="Arial" w:cs="Arial"/>
          <w:b/>
          <w:bCs/>
          <w:sz w:val="18"/>
          <w:szCs w:val="18"/>
        </w:rPr>
      </w:r>
      <w:r>
        <w:rPr>
          <w:rFonts w:ascii="Arial" w:hAnsi="Arial" w:cs="Arial"/>
          <w:b/>
          <w:bCs/>
          <w:sz w:val="18"/>
          <w:szCs w:val="18"/>
        </w:rPr>
      </w:r>
    </w:p>
    <w:p w14:paraId="504F3EEC">
      <w:pPr>
        <w:pStyle w:val="2046"/>
        <w:pBdr/>
        <w:tabs>
          <w:tab w:val="right" w:leader="dot" w:pos="9771"/>
        </w:tabs>
        <w:spacing/>
        <w:ind/>
        <w:rPr>
          <w:rFonts w:ascii="Arial" w:hAnsi="Arial" w:cs="Arial"/>
          <w:b/>
          <w:bCs/>
          <w:sz w:val="18"/>
          <w:szCs w:val="18"/>
        </w:rPr>
      </w:pPr>
      <w:r/>
      <w:hyperlink w:tooltip="#_Toc8" w:anchor="_Toc8" w:history="1">
        <w:r>
          <w:rPr>
            <w:rStyle w:val="994"/>
            <w:sz w:val="18"/>
            <w:szCs w:val="18"/>
          </w:rPr>
        </w:r>
        <w:r>
          <w:rPr>
            <w:rStyle w:val="994"/>
            <w:rFonts w:ascii="Arial" w:hAnsi="Arial" w:eastAsia="Arial" w:cs="Arial"/>
            <w:b/>
            <w:bCs/>
            <w:sz w:val="18"/>
            <w:szCs w:val="18"/>
          </w:rPr>
          <w:t xml:space="preserve">9. DA FASE DE LANCES: </w:t>
        </w:r>
        <w:r>
          <w:rPr>
            <w:rStyle w:val="994"/>
            <w:rFonts w:ascii="Arial" w:hAnsi="Arial" w:cs="Arial"/>
            <w:b/>
            <w:bCs/>
            <w:sz w:val="18"/>
            <w:szCs w:val="18"/>
          </w:rPr>
        </w:r>
        <w:r>
          <w:rPr>
            <w:sz w:val="18"/>
            <w:szCs w:val="18"/>
          </w:rPr>
          <w:tab/>
        </w:r>
        <w:r>
          <w:rPr>
            <w:sz w:val="18"/>
            <w:szCs w:val="18"/>
          </w:rPr>
          <w:fldChar w:fldCharType="begin"/>
          <w:instrText xml:space="preserve">PAGEREF _Toc8 \h</w:instrText>
          <w:fldChar w:fldCharType="separate"/>
          <w:t xml:space="preserve">8</w:t>
          <w:fldChar w:fldCharType="end"/>
        </w:r>
      </w:hyperlink>
      <w:r>
        <w:rPr>
          <w:rFonts w:ascii="Arial" w:hAnsi="Arial" w:cs="Arial"/>
          <w:b/>
          <w:bCs/>
          <w:sz w:val="18"/>
          <w:szCs w:val="18"/>
        </w:rPr>
      </w:r>
      <w:r>
        <w:rPr>
          <w:rFonts w:ascii="Arial" w:hAnsi="Arial" w:cs="Arial"/>
          <w:b/>
          <w:bCs/>
          <w:sz w:val="18"/>
          <w:szCs w:val="18"/>
        </w:rPr>
      </w:r>
    </w:p>
    <w:p w14:paraId="5343C789">
      <w:pPr>
        <w:pStyle w:val="2046"/>
        <w:pBdr/>
        <w:tabs>
          <w:tab w:val="right" w:leader="dot" w:pos="9771"/>
        </w:tabs>
        <w:spacing/>
        <w:ind/>
        <w:rPr>
          <w:rFonts w:ascii="Arial" w:hAnsi="Arial" w:cs="Arial"/>
          <w:b/>
          <w:bCs/>
          <w:sz w:val="18"/>
          <w:szCs w:val="18"/>
        </w:rPr>
      </w:pPr>
      <w:r/>
      <w:hyperlink w:tooltip="#_Toc9" w:anchor="_Toc9" w:history="1">
        <w:r>
          <w:rPr>
            <w:rStyle w:val="994"/>
            <w:sz w:val="18"/>
            <w:szCs w:val="18"/>
          </w:rPr>
        </w:r>
        <w:r>
          <w:rPr>
            <w:rStyle w:val="994"/>
            <w:rFonts w:ascii="Arial" w:hAnsi="Arial" w:eastAsia="Arial" w:cs="Arial"/>
            <w:b/>
            <w:bCs/>
            <w:sz w:val="18"/>
            <w:szCs w:val="18"/>
          </w:rPr>
          <w:t xml:space="preserve">10. DO JULGAMENTO DA(S) PROPOSTA(S) DE PREÇOS APÓS A CLASSIFICAÇÃO FINAL: </w:t>
        </w:r>
        <w:r>
          <w:rPr>
            <w:rStyle w:val="994"/>
            <w:rFonts w:ascii="Arial" w:hAnsi="Arial" w:cs="Arial"/>
            <w:b/>
            <w:bCs/>
            <w:sz w:val="18"/>
            <w:szCs w:val="18"/>
          </w:rPr>
        </w:r>
        <w:r>
          <w:rPr>
            <w:sz w:val="18"/>
            <w:szCs w:val="18"/>
          </w:rPr>
          <w:tab/>
        </w:r>
        <w:r>
          <w:rPr>
            <w:sz w:val="18"/>
            <w:szCs w:val="18"/>
          </w:rPr>
          <w:fldChar w:fldCharType="begin"/>
          <w:instrText xml:space="preserve">PAGEREF _Toc9 \h</w:instrText>
          <w:fldChar w:fldCharType="separate"/>
          <w:t xml:space="preserve">10</w:t>
          <w:fldChar w:fldCharType="end"/>
        </w:r>
      </w:hyperlink>
      <w:r>
        <w:rPr>
          <w:rFonts w:ascii="Arial" w:hAnsi="Arial" w:cs="Arial"/>
          <w:b/>
          <w:bCs/>
          <w:sz w:val="18"/>
          <w:szCs w:val="18"/>
        </w:rPr>
      </w:r>
      <w:r>
        <w:rPr>
          <w:rFonts w:ascii="Arial" w:hAnsi="Arial" w:cs="Arial"/>
          <w:b/>
          <w:bCs/>
          <w:sz w:val="18"/>
          <w:szCs w:val="18"/>
        </w:rPr>
      </w:r>
    </w:p>
    <w:p w14:paraId="7254A2E2">
      <w:pPr>
        <w:pStyle w:val="2046"/>
        <w:pBdr/>
        <w:tabs>
          <w:tab w:val="right" w:leader="dot" w:pos="9771"/>
        </w:tabs>
        <w:spacing/>
        <w:ind/>
        <w:rPr>
          <w:rFonts w:ascii="Arial" w:hAnsi="Arial" w:cs="Arial"/>
          <w:b/>
          <w:bCs/>
          <w:sz w:val="18"/>
          <w:szCs w:val="18"/>
        </w:rPr>
      </w:pPr>
      <w:r/>
      <w:hyperlink w:tooltip="#_Toc10" w:anchor="_Toc10" w:history="1">
        <w:r>
          <w:rPr>
            <w:rStyle w:val="994"/>
            <w:sz w:val="18"/>
            <w:szCs w:val="18"/>
          </w:rPr>
        </w:r>
        <w:r>
          <w:rPr>
            <w:rStyle w:val="994"/>
            <w:rFonts w:ascii="Arial" w:hAnsi="Arial" w:eastAsia="Arial" w:cs="Arial"/>
            <w:b/>
            <w:bCs/>
            <w:sz w:val="18"/>
            <w:szCs w:val="18"/>
          </w:rPr>
          <w:t xml:space="preserve">11. DO ENVIO DAS PROPOSTAS REALINHADAS APÓS CONHECIDA A EMPRESA VENCEDORA:</w:t>
        </w:r>
        <w:r>
          <w:rPr>
            <w:rStyle w:val="994"/>
            <w:rFonts w:ascii="Arial" w:hAnsi="Arial" w:cs="Arial"/>
            <w:b/>
            <w:bCs/>
            <w:sz w:val="18"/>
            <w:szCs w:val="18"/>
          </w:rPr>
        </w:r>
        <w:r>
          <w:rPr>
            <w:sz w:val="18"/>
            <w:szCs w:val="18"/>
          </w:rPr>
          <w:tab/>
        </w:r>
        <w:r>
          <w:rPr>
            <w:sz w:val="18"/>
            <w:szCs w:val="18"/>
          </w:rPr>
          <w:fldChar w:fldCharType="begin"/>
          <w:instrText xml:space="preserve">PAGEREF _Toc10 \h</w:instrText>
          <w:fldChar w:fldCharType="separate"/>
          <w:t xml:space="preserve">11</w:t>
          <w:fldChar w:fldCharType="end"/>
        </w:r>
      </w:hyperlink>
      <w:r>
        <w:rPr>
          <w:rFonts w:ascii="Arial" w:hAnsi="Arial" w:cs="Arial"/>
          <w:b/>
          <w:bCs/>
          <w:sz w:val="18"/>
          <w:szCs w:val="18"/>
        </w:rPr>
      </w:r>
      <w:r>
        <w:rPr>
          <w:rFonts w:ascii="Arial" w:hAnsi="Arial" w:cs="Arial"/>
          <w:b/>
          <w:bCs/>
          <w:sz w:val="18"/>
          <w:szCs w:val="18"/>
        </w:rPr>
      </w:r>
    </w:p>
    <w:p w14:paraId="23C6D405">
      <w:pPr>
        <w:pStyle w:val="2046"/>
        <w:pBdr/>
        <w:tabs>
          <w:tab w:val="right" w:leader="dot" w:pos="9771"/>
        </w:tabs>
        <w:spacing/>
        <w:ind/>
        <w:rPr>
          <w:rFonts w:ascii="Arial" w:hAnsi="Arial" w:cs="Arial"/>
          <w:b/>
          <w:bCs/>
          <w:sz w:val="18"/>
          <w:szCs w:val="18"/>
        </w:rPr>
      </w:pPr>
      <w:r/>
      <w:hyperlink w:tooltip="#_Toc11" w:anchor="_Toc11" w:history="1">
        <w:r>
          <w:rPr>
            <w:rStyle w:val="994"/>
            <w:sz w:val="18"/>
            <w:szCs w:val="18"/>
          </w:rPr>
        </w:r>
        <w:r>
          <w:rPr>
            <w:rStyle w:val="994"/>
            <w:rFonts w:ascii="Arial" w:hAnsi="Arial" w:eastAsia="Arial" w:cs="Arial"/>
            <w:b/>
            <w:bCs/>
            <w:sz w:val="18"/>
            <w:szCs w:val="18"/>
          </w:rPr>
          <w:t xml:space="preserve">12. DA PARTICIPAÇÃO DE MICROEMPRESA E EMPRESA DE PEQUENO PORTE:</w:t>
        </w:r>
        <w:r>
          <w:rPr>
            <w:rStyle w:val="994"/>
            <w:rFonts w:ascii="Arial" w:hAnsi="Arial" w:cs="Arial"/>
            <w:b/>
            <w:bCs/>
            <w:sz w:val="18"/>
            <w:szCs w:val="18"/>
          </w:rPr>
        </w:r>
        <w:r>
          <w:rPr>
            <w:sz w:val="18"/>
            <w:szCs w:val="18"/>
          </w:rPr>
          <w:tab/>
        </w:r>
        <w:r>
          <w:rPr>
            <w:sz w:val="18"/>
            <w:szCs w:val="18"/>
          </w:rPr>
          <w:fldChar w:fldCharType="begin"/>
          <w:instrText xml:space="preserve">PAGEREF _Toc11 \h</w:instrText>
          <w:fldChar w:fldCharType="separate"/>
          <w:t xml:space="preserve">11</w:t>
          <w:fldChar w:fldCharType="end"/>
        </w:r>
      </w:hyperlink>
      <w:r>
        <w:rPr>
          <w:rFonts w:ascii="Arial" w:hAnsi="Arial" w:cs="Arial"/>
          <w:b/>
          <w:bCs/>
          <w:sz w:val="18"/>
          <w:szCs w:val="18"/>
        </w:rPr>
      </w:r>
      <w:r>
        <w:rPr>
          <w:rFonts w:ascii="Arial" w:hAnsi="Arial" w:cs="Arial"/>
          <w:b/>
          <w:bCs/>
          <w:sz w:val="18"/>
          <w:szCs w:val="18"/>
        </w:rPr>
      </w:r>
    </w:p>
    <w:p w14:paraId="2918F6F1">
      <w:pPr>
        <w:pStyle w:val="2046"/>
        <w:pBdr/>
        <w:tabs>
          <w:tab w:val="right" w:leader="dot" w:pos="9771"/>
        </w:tabs>
        <w:spacing/>
        <w:ind/>
        <w:rPr>
          <w:rFonts w:ascii="Arial" w:hAnsi="Arial" w:cs="Arial"/>
          <w:b/>
          <w:bCs/>
          <w:sz w:val="18"/>
          <w:szCs w:val="18"/>
        </w:rPr>
      </w:pPr>
      <w:r/>
      <w:hyperlink w:tooltip="#_Toc12" w:anchor="_Toc12" w:history="1">
        <w:r>
          <w:rPr>
            <w:rStyle w:val="994"/>
            <w:sz w:val="18"/>
            <w:szCs w:val="18"/>
          </w:rPr>
        </w:r>
        <w:r>
          <w:rPr>
            <w:rStyle w:val="994"/>
            <w:rFonts w:ascii="Arial" w:hAnsi="Arial" w:eastAsia="Arial" w:cs="Arial"/>
            <w:b/>
            <w:bCs/>
            <w:sz w:val="18"/>
            <w:szCs w:val="18"/>
          </w:rPr>
          <w:t xml:space="preserve">13. DOS DOCUMENTOS EXIGIDOS PARA HABILITAÇÃO:</w:t>
        </w:r>
        <w:r>
          <w:rPr>
            <w:rStyle w:val="994"/>
            <w:rFonts w:ascii="Arial" w:hAnsi="Arial" w:eastAsia="Arial" w:cs="Arial"/>
            <w:b/>
            <w:bCs/>
            <w:sz w:val="18"/>
            <w:szCs w:val="18"/>
          </w:rPr>
          <w:t xml:space="preserve">  </w:t>
        </w:r>
        <w:r>
          <w:rPr>
            <w:rStyle w:val="994"/>
            <w:rFonts w:ascii="Arial" w:hAnsi="Arial" w:cs="Arial"/>
            <w:b/>
            <w:bCs/>
            <w:sz w:val="18"/>
            <w:szCs w:val="18"/>
          </w:rPr>
        </w:r>
        <w:r>
          <w:rPr>
            <w:sz w:val="18"/>
            <w:szCs w:val="18"/>
          </w:rPr>
          <w:tab/>
        </w:r>
        <w:r>
          <w:rPr>
            <w:sz w:val="18"/>
            <w:szCs w:val="18"/>
          </w:rPr>
          <w:fldChar w:fldCharType="begin"/>
          <w:instrText xml:space="preserve">PAGEREF _Toc12 \h</w:instrText>
          <w:fldChar w:fldCharType="separate"/>
          <w:t xml:space="preserve">12</w:t>
          <w:fldChar w:fldCharType="end"/>
        </w:r>
      </w:hyperlink>
      <w:r>
        <w:rPr>
          <w:rFonts w:ascii="Arial" w:hAnsi="Arial" w:cs="Arial"/>
          <w:b/>
          <w:bCs/>
          <w:sz w:val="18"/>
          <w:szCs w:val="18"/>
        </w:rPr>
      </w:r>
      <w:r>
        <w:rPr>
          <w:rFonts w:ascii="Arial" w:hAnsi="Arial" w:cs="Arial"/>
          <w:b/>
          <w:bCs/>
          <w:sz w:val="18"/>
          <w:szCs w:val="18"/>
        </w:rPr>
      </w:r>
    </w:p>
    <w:p w14:paraId="022F9C11">
      <w:pPr>
        <w:pStyle w:val="2046"/>
        <w:pBdr/>
        <w:tabs>
          <w:tab w:val="right" w:leader="dot" w:pos="9771"/>
        </w:tabs>
        <w:spacing/>
        <w:ind/>
        <w:rPr>
          <w:rFonts w:ascii="Arial" w:hAnsi="Arial" w:cs="Arial"/>
          <w:b/>
          <w:bCs/>
          <w:sz w:val="18"/>
          <w:szCs w:val="18"/>
        </w:rPr>
      </w:pPr>
      <w:r/>
      <w:hyperlink w:tooltip="#_Toc13" w:anchor="_Toc13" w:history="1">
        <w:r>
          <w:rPr>
            <w:rStyle w:val="994"/>
            <w:sz w:val="18"/>
            <w:szCs w:val="18"/>
          </w:rPr>
        </w:r>
        <w:r>
          <w:rPr>
            <w:rStyle w:val="994"/>
            <w:rFonts w:ascii="Arial" w:hAnsi="Arial" w:eastAsia="Arial" w:cs="Arial"/>
            <w:b/>
            <w:bCs/>
            <w:sz w:val="18"/>
            <w:szCs w:val="18"/>
          </w:rPr>
          <w:t xml:space="preserve">14. DO ENVIO DE DOCUMENTOS COMPLEMENTARES QUANDO FOR O CASO:</w:t>
        </w:r>
        <w:r>
          <w:rPr>
            <w:rStyle w:val="994"/>
            <w:rFonts w:ascii="Arial" w:hAnsi="Arial" w:cs="Arial"/>
            <w:b/>
            <w:bCs/>
            <w:sz w:val="18"/>
            <w:szCs w:val="18"/>
          </w:rPr>
        </w:r>
        <w:r>
          <w:rPr>
            <w:sz w:val="18"/>
            <w:szCs w:val="18"/>
          </w:rPr>
          <w:tab/>
        </w:r>
        <w:r>
          <w:rPr>
            <w:sz w:val="18"/>
            <w:szCs w:val="18"/>
          </w:rPr>
          <w:fldChar w:fldCharType="begin"/>
          <w:instrText xml:space="preserve">PAGEREF _Toc13 \h</w:instrText>
          <w:fldChar w:fldCharType="separate"/>
          <w:t xml:space="preserve">16</w:t>
          <w:fldChar w:fldCharType="end"/>
        </w:r>
      </w:hyperlink>
      <w:r>
        <w:rPr>
          <w:rFonts w:ascii="Arial" w:hAnsi="Arial" w:cs="Arial"/>
          <w:b/>
          <w:bCs/>
          <w:sz w:val="18"/>
          <w:szCs w:val="18"/>
        </w:rPr>
      </w:r>
      <w:r>
        <w:rPr>
          <w:rFonts w:ascii="Arial" w:hAnsi="Arial" w:cs="Arial"/>
          <w:b/>
          <w:bCs/>
          <w:sz w:val="18"/>
          <w:szCs w:val="18"/>
        </w:rPr>
      </w:r>
    </w:p>
    <w:p w14:paraId="0469895E">
      <w:pPr>
        <w:pStyle w:val="2046"/>
        <w:pBdr/>
        <w:tabs>
          <w:tab w:val="right" w:leader="dot" w:pos="9771"/>
        </w:tabs>
        <w:spacing/>
        <w:ind/>
        <w:rPr>
          <w:rFonts w:ascii="Arial" w:hAnsi="Arial" w:cs="Arial"/>
          <w:b/>
          <w:bCs/>
          <w:sz w:val="18"/>
          <w:szCs w:val="18"/>
        </w:rPr>
      </w:pPr>
      <w:r/>
      <w:hyperlink w:tooltip="#_Toc14" w:anchor="_Toc14" w:history="1">
        <w:r>
          <w:rPr>
            <w:rStyle w:val="994"/>
            <w:sz w:val="18"/>
            <w:szCs w:val="18"/>
          </w:rPr>
        </w:r>
        <w:r>
          <w:rPr>
            <w:rStyle w:val="994"/>
            <w:rFonts w:ascii="Arial" w:hAnsi="Arial" w:eastAsia="Arial" w:cs="Arial"/>
            <w:b/>
            <w:bCs/>
            <w:sz w:val="18"/>
            <w:szCs w:val="18"/>
          </w:rPr>
          <w:t xml:space="preserve">15. DA ADJUDICAÇÃO E HOMOLOGAÇÃO:</w:t>
        </w:r>
        <w:r>
          <w:rPr>
            <w:rStyle w:val="994"/>
            <w:rFonts w:ascii="Arial" w:hAnsi="Arial" w:cs="Arial"/>
            <w:b/>
            <w:bCs/>
            <w:sz w:val="18"/>
            <w:szCs w:val="18"/>
          </w:rPr>
        </w:r>
        <w:r>
          <w:rPr>
            <w:sz w:val="18"/>
            <w:szCs w:val="18"/>
          </w:rPr>
          <w:tab/>
        </w:r>
        <w:r>
          <w:rPr>
            <w:sz w:val="18"/>
            <w:szCs w:val="18"/>
          </w:rPr>
          <w:fldChar w:fldCharType="begin"/>
          <w:instrText xml:space="preserve">PAGEREF _Toc14 \h</w:instrText>
          <w:fldChar w:fldCharType="separate"/>
          <w:t xml:space="preserve">16</w:t>
          <w:fldChar w:fldCharType="end"/>
        </w:r>
      </w:hyperlink>
      <w:r>
        <w:rPr>
          <w:rFonts w:ascii="Arial" w:hAnsi="Arial" w:cs="Arial"/>
          <w:b/>
          <w:bCs/>
          <w:sz w:val="18"/>
          <w:szCs w:val="18"/>
        </w:rPr>
      </w:r>
      <w:r>
        <w:rPr>
          <w:rFonts w:ascii="Arial" w:hAnsi="Arial" w:cs="Arial"/>
          <w:b/>
          <w:bCs/>
          <w:sz w:val="18"/>
          <w:szCs w:val="18"/>
        </w:rPr>
      </w:r>
    </w:p>
    <w:p w14:paraId="4E4E3990">
      <w:pPr>
        <w:pStyle w:val="2046"/>
        <w:pBdr/>
        <w:tabs>
          <w:tab w:val="right" w:leader="dot" w:pos="9771"/>
        </w:tabs>
        <w:spacing/>
        <w:ind/>
        <w:rPr>
          <w:rFonts w:ascii="Arial" w:hAnsi="Arial" w:cs="Arial"/>
          <w:b/>
          <w:bCs/>
          <w:sz w:val="18"/>
          <w:szCs w:val="18"/>
        </w:rPr>
      </w:pPr>
      <w:r/>
      <w:hyperlink w:tooltip="#_Toc15" w:anchor="_Toc15" w:history="1">
        <w:r>
          <w:rPr>
            <w:rStyle w:val="994"/>
            <w:sz w:val="18"/>
            <w:szCs w:val="18"/>
          </w:rPr>
        </w:r>
        <w:r>
          <w:rPr>
            <w:rStyle w:val="994"/>
            <w:rFonts w:ascii="Arial" w:hAnsi="Arial" w:eastAsia="Arial" w:cs="Arial"/>
            <w:b/>
            <w:bCs/>
            <w:sz w:val="18"/>
            <w:szCs w:val="18"/>
          </w:rPr>
          <w:t xml:space="preserve">16. DA ATA DE REGISTRO DE PREÇOS:</w:t>
        </w:r>
        <w:r>
          <w:rPr>
            <w:rStyle w:val="994"/>
            <w:rFonts w:ascii="Arial" w:hAnsi="Arial" w:eastAsia="Arial" w:cs="Arial"/>
            <w:b/>
            <w:bCs/>
            <w:sz w:val="18"/>
            <w:szCs w:val="18"/>
          </w:rPr>
          <w:t xml:space="preserve"> </w:t>
        </w:r>
        <w:r>
          <w:rPr>
            <w:rStyle w:val="994"/>
            <w:rFonts w:ascii="Arial" w:hAnsi="Arial" w:cs="Arial"/>
            <w:b/>
            <w:bCs/>
            <w:sz w:val="18"/>
            <w:szCs w:val="18"/>
          </w:rPr>
        </w:r>
        <w:r>
          <w:rPr>
            <w:sz w:val="18"/>
            <w:szCs w:val="18"/>
          </w:rPr>
          <w:tab/>
        </w:r>
        <w:r>
          <w:rPr>
            <w:sz w:val="18"/>
            <w:szCs w:val="18"/>
          </w:rPr>
          <w:fldChar w:fldCharType="begin"/>
          <w:instrText xml:space="preserve">PAGEREF _Toc15 \h</w:instrText>
          <w:fldChar w:fldCharType="separate"/>
          <w:t xml:space="preserve">16</w:t>
          <w:fldChar w:fldCharType="end"/>
        </w:r>
      </w:hyperlink>
      <w:r>
        <w:rPr>
          <w:rFonts w:ascii="Arial" w:hAnsi="Arial" w:cs="Arial"/>
          <w:b/>
          <w:bCs/>
          <w:sz w:val="18"/>
          <w:szCs w:val="18"/>
        </w:rPr>
      </w:r>
      <w:r>
        <w:rPr>
          <w:rFonts w:ascii="Arial" w:hAnsi="Arial" w:cs="Arial"/>
          <w:b/>
          <w:bCs/>
          <w:sz w:val="18"/>
          <w:szCs w:val="18"/>
        </w:rPr>
      </w:r>
    </w:p>
    <w:p w14:paraId="16D5F0B9">
      <w:pPr>
        <w:pStyle w:val="2046"/>
        <w:pBdr/>
        <w:tabs>
          <w:tab w:val="right" w:leader="dot" w:pos="9771"/>
        </w:tabs>
        <w:spacing/>
        <w:ind/>
        <w:rPr>
          <w:rFonts w:ascii="Arial" w:hAnsi="Arial" w:cs="Arial"/>
          <w:b/>
          <w:bCs/>
          <w:sz w:val="18"/>
          <w:szCs w:val="18"/>
        </w:rPr>
      </w:pPr>
      <w:r/>
      <w:hyperlink w:tooltip="#_Toc16" w:anchor="_Toc16" w:history="1">
        <w:r>
          <w:rPr>
            <w:rStyle w:val="994"/>
            <w:sz w:val="18"/>
            <w:szCs w:val="18"/>
          </w:rPr>
        </w:r>
        <w:r>
          <w:rPr>
            <w:rStyle w:val="994"/>
            <w:rFonts w:ascii="Arial" w:hAnsi="Arial" w:eastAsia="Arial" w:cs="Arial"/>
            <w:b/>
            <w:bCs/>
            <w:sz w:val="18"/>
            <w:szCs w:val="18"/>
          </w:rPr>
          <w:t xml:space="preserve">17. DOS RECURSOS SOBRE PROPOSTA, HABILITAÇÃO OU INABILITAÇÃO DE LICITANTES:</w:t>
        </w:r>
        <w:r>
          <w:rPr>
            <w:rStyle w:val="994"/>
            <w:rFonts w:ascii="Arial" w:hAnsi="Arial" w:cs="Arial"/>
            <w:b/>
            <w:bCs/>
            <w:sz w:val="18"/>
            <w:szCs w:val="18"/>
          </w:rPr>
        </w:r>
        <w:r>
          <w:rPr>
            <w:sz w:val="18"/>
            <w:szCs w:val="18"/>
          </w:rPr>
          <w:tab/>
        </w:r>
        <w:r>
          <w:rPr>
            <w:sz w:val="18"/>
            <w:szCs w:val="18"/>
          </w:rPr>
          <w:fldChar w:fldCharType="begin"/>
          <w:instrText xml:space="preserve">PAGEREF _Toc16 \h</w:instrText>
          <w:fldChar w:fldCharType="separate"/>
          <w:t xml:space="preserve">18</w:t>
          <w:fldChar w:fldCharType="end"/>
        </w:r>
      </w:hyperlink>
      <w:r>
        <w:rPr>
          <w:rFonts w:ascii="Arial" w:hAnsi="Arial" w:cs="Arial"/>
          <w:b/>
          <w:bCs/>
          <w:sz w:val="18"/>
          <w:szCs w:val="18"/>
        </w:rPr>
      </w:r>
      <w:r>
        <w:rPr>
          <w:rFonts w:ascii="Arial" w:hAnsi="Arial" w:cs="Arial"/>
          <w:b/>
          <w:bCs/>
          <w:sz w:val="18"/>
          <w:szCs w:val="18"/>
        </w:rPr>
      </w:r>
    </w:p>
    <w:p w14:paraId="1480C998">
      <w:pPr>
        <w:pStyle w:val="2046"/>
        <w:pBdr/>
        <w:tabs>
          <w:tab w:val="right" w:leader="dot" w:pos="9771"/>
        </w:tabs>
        <w:spacing/>
        <w:ind/>
        <w:rPr>
          <w:rFonts w:ascii="Arial" w:hAnsi="Arial" w:cs="Arial"/>
          <w:b/>
          <w:bCs/>
          <w:sz w:val="18"/>
          <w:szCs w:val="18"/>
        </w:rPr>
      </w:pPr>
      <w:r/>
      <w:hyperlink w:tooltip="#_Toc17" w:anchor="_Toc17" w:history="1">
        <w:r>
          <w:rPr>
            <w:rStyle w:val="994"/>
            <w:sz w:val="18"/>
            <w:szCs w:val="18"/>
          </w:rPr>
        </w:r>
        <w:r>
          <w:rPr>
            <w:rStyle w:val="994"/>
            <w:rFonts w:ascii="Arial" w:hAnsi="Arial" w:eastAsia="Arial" w:cs="Arial"/>
            <w:b/>
            <w:bCs/>
            <w:sz w:val="18"/>
            <w:szCs w:val="18"/>
          </w:rPr>
          <w:t xml:space="preserve">18. </w:t>
        </w:r>
        <w:r>
          <w:rPr>
            <w:rStyle w:val="994"/>
            <w:rFonts w:ascii="Arial" w:hAnsi="Arial" w:eastAsia="Arial" w:cs="Arial"/>
            <w:b/>
            <w:sz w:val="18"/>
            <w:szCs w:val="18"/>
          </w:rPr>
          <w:t xml:space="preserve">DO TERMO DE CONTRATO OU INSTRUMENTO EQUIVALENTE</w:t>
        </w:r>
        <w:r>
          <w:rPr>
            <w:rStyle w:val="994"/>
            <w:rFonts w:ascii="Arial" w:hAnsi="Arial" w:eastAsia="Arial" w:cs="Arial"/>
            <w:b/>
            <w:bCs/>
            <w:sz w:val="18"/>
            <w:szCs w:val="18"/>
          </w:rPr>
          <w:t xml:space="preserve">:</w:t>
        </w:r>
        <w:r>
          <w:rPr>
            <w:rStyle w:val="994"/>
            <w:rFonts w:ascii="Arial" w:hAnsi="Arial" w:cs="Arial"/>
            <w:b/>
            <w:bCs/>
            <w:sz w:val="18"/>
            <w:szCs w:val="18"/>
          </w:rPr>
        </w:r>
        <w:r>
          <w:rPr>
            <w:sz w:val="18"/>
            <w:szCs w:val="18"/>
          </w:rPr>
          <w:tab/>
        </w:r>
        <w:r>
          <w:rPr>
            <w:sz w:val="18"/>
            <w:szCs w:val="18"/>
          </w:rPr>
          <w:fldChar w:fldCharType="begin"/>
          <w:instrText xml:space="preserve">PAGEREF _Toc17 \h</w:instrText>
          <w:fldChar w:fldCharType="separate"/>
          <w:t xml:space="preserve">19</w:t>
          <w:fldChar w:fldCharType="end"/>
        </w:r>
      </w:hyperlink>
      <w:r>
        <w:rPr>
          <w:rFonts w:ascii="Arial" w:hAnsi="Arial" w:cs="Arial"/>
          <w:b/>
          <w:bCs/>
          <w:sz w:val="18"/>
          <w:szCs w:val="18"/>
        </w:rPr>
      </w:r>
      <w:r>
        <w:rPr>
          <w:rFonts w:ascii="Arial" w:hAnsi="Arial" w:cs="Arial"/>
          <w:b/>
          <w:bCs/>
          <w:sz w:val="18"/>
          <w:szCs w:val="18"/>
        </w:rPr>
      </w:r>
    </w:p>
    <w:p w14:paraId="067F6B08">
      <w:pPr>
        <w:pStyle w:val="2046"/>
        <w:pBdr/>
        <w:tabs>
          <w:tab w:val="right" w:leader="dot" w:pos="9771"/>
        </w:tabs>
        <w:spacing/>
        <w:ind/>
        <w:rPr>
          <w:rFonts w:ascii="Arial" w:hAnsi="Arial" w:cs="Arial"/>
          <w:b/>
          <w:bCs/>
          <w:sz w:val="18"/>
          <w:szCs w:val="18"/>
        </w:rPr>
      </w:pPr>
      <w:r/>
      <w:hyperlink w:tooltip="#_Toc18" w:anchor="_Toc18" w:history="1">
        <w:r>
          <w:rPr>
            <w:rStyle w:val="994"/>
            <w:sz w:val="18"/>
            <w:szCs w:val="18"/>
          </w:rPr>
        </w:r>
        <w:r>
          <w:rPr>
            <w:rStyle w:val="994"/>
            <w:rFonts w:ascii="Arial" w:hAnsi="Arial" w:eastAsia="Arial" w:cs="Arial"/>
            <w:b/>
            <w:bCs/>
            <w:sz w:val="18"/>
            <w:szCs w:val="18"/>
          </w:rPr>
          <w:t xml:space="preserve">19. A FORMA DE ENTREGA DO PRODUTO:</w:t>
        </w:r>
        <w:r>
          <w:rPr>
            <w:rStyle w:val="994"/>
            <w:rFonts w:ascii="Arial" w:hAnsi="Arial" w:cs="Arial"/>
            <w:b/>
            <w:bCs/>
            <w:sz w:val="18"/>
            <w:szCs w:val="18"/>
          </w:rPr>
        </w:r>
        <w:r>
          <w:rPr>
            <w:sz w:val="18"/>
            <w:szCs w:val="18"/>
          </w:rPr>
          <w:tab/>
        </w:r>
        <w:r>
          <w:rPr>
            <w:sz w:val="18"/>
            <w:szCs w:val="18"/>
          </w:rPr>
          <w:fldChar w:fldCharType="begin"/>
          <w:instrText xml:space="preserve">PAGEREF _Toc18 \h</w:instrText>
          <w:fldChar w:fldCharType="separate"/>
          <w:t xml:space="preserve">19</w:t>
          <w:fldChar w:fldCharType="end"/>
        </w:r>
      </w:hyperlink>
      <w:r>
        <w:rPr>
          <w:rFonts w:ascii="Arial" w:hAnsi="Arial" w:cs="Arial"/>
          <w:b/>
          <w:bCs/>
          <w:sz w:val="18"/>
          <w:szCs w:val="18"/>
        </w:rPr>
      </w:r>
      <w:r>
        <w:rPr>
          <w:rFonts w:ascii="Arial" w:hAnsi="Arial" w:cs="Arial"/>
          <w:b/>
          <w:bCs/>
          <w:sz w:val="18"/>
          <w:szCs w:val="18"/>
        </w:rPr>
      </w:r>
    </w:p>
    <w:p w14:paraId="7BB94AD2">
      <w:pPr>
        <w:pStyle w:val="2046"/>
        <w:pBdr/>
        <w:tabs>
          <w:tab w:val="right" w:leader="dot" w:pos="9771"/>
        </w:tabs>
        <w:spacing/>
        <w:ind/>
        <w:rPr>
          <w:rFonts w:ascii="Arial" w:hAnsi="Arial" w:cs="Arial"/>
          <w:b/>
          <w:bCs/>
          <w:sz w:val="18"/>
          <w:szCs w:val="18"/>
        </w:rPr>
      </w:pPr>
      <w:r/>
      <w:hyperlink w:tooltip="#_Toc19" w:anchor="_Toc19" w:history="1">
        <w:r>
          <w:rPr>
            <w:rStyle w:val="994"/>
            <w:sz w:val="18"/>
            <w:szCs w:val="18"/>
          </w:rPr>
        </w:r>
        <w:r>
          <w:rPr>
            <w:rStyle w:val="994"/>
            <w:rFonts w:ascii="Arial" w:hAnsi="Arial" w:eastAsia="Arial" w:cs="Arial"/>
            <w:b/>
            <w:bCs/>
            <w:sz w:val="18"/>
            <w:szCs w:val="18"/>
          </w:rPr>
          <w:t xml:space="preserve">20. </w:t>
        </w:r>
        <w:r>
          <w:rPr>
            <w:rStyle w:val="994"/>
            <w:rFonts w:ascii="Arial" w:hAnsi="Arial" w:eastAsia="Arial" w:cs="Arial"/>
            <w:b/>
            <w:sz w:val="18"/>
            <w:szCs w:val="18"/>
          </w:rPr>
          <w:t xml:space="preserve">DOS ITENS ENTREGUES EM DESACORDO</w:t>
        </w:r>
        <w:r>
          <w:rPr>
            <w:rStyle w:val="994"/>
            <w:rFonts w:ascii="Arial" w:hAnsi="Arial" w:eastAsia="Arial" w:cs="Arial"/>
            <w:b/>
            <w:bCs/>
            <w:sz w:val="18"/>
            <w:szCs w:val="18"/>
          </w:rPr>
          <w:t xml:space="preserve">:</w:t>
        </w:r>
        <w:r>
          <w:rPr>
            <w:rStyle w:val="994"/>
            <w:rFonts w:ascii="Arial" w:hAnsi="Arial" w:cs="Arial"/>
            <w:b/>
            <w:bCs/>
            <w:sz w:val="18"/>
            <w:szCs w:val="18"/>
          </w:rPr>
        </w:r>
        <w:r>
          <w:rPr>
            <w:sz w:val="18"/>
            <w:szCs w:val="18"/>
          </w:rPr>
          <w:tab/>
        </w:r>
        <w:r>
          <w:rPr>
            <w:sz w:val="18"/>
            <w:szCs w:val="18"/>
          </w:rPr>
          <w:fldChar w:fldCharType="begin"/>
          <w:instrText xml:space="preserve">PAGEREF _Toc19 \h</w:instrText>
          <w:fldChar w:fldCharType="separate"/>
          <w:t xml:space="preserve">21</w:t>
          <w:fldChar w:fldCharType="end"/>
        </w:r>
      </w:hyperlink>
      <w:r>
        <w:rPr>
          <w:rFonts w:ascii="Arial" w:hAnsi="Arial" w:cs="Arial"/>
          <w:b/>
          <w:bCs/>
          <w:sz w:val="18"/>
          <w:szCs w:val="18"/>
        </w:rPr>
      </w:r>
      <w:r>
        <w:rPr>
          <w:rFonts w:ascii="Arial" w:hAnsi="Arial" w:cs="Arial"/>
          <w:b/>
          <w:bCs/>
          <w:sz w:val="18"/>
          <w:szCs w:val="18"/>
        </w:rPr>
      </w:r>
    </w:p>
    <w:p w14:paraId="392B8589">
      <w:pPr>
        <w:pStyle w:val="2046"/>
        <w:pBdr/>
        <w:tabs>
          <w:tab w:val="right" w:leader="dot" w:pos="9771"/>
        </w:tabs>
        <w:spacing/>
        <w:ind/>
        <w:rPr>
          <w:rFonts w:ascii="Arial" w:hAnsi="Arial" w:cs="Arial"/>
          <w:b/>
          <w:bCs/>
          <w:sz w:val="18"/>
          <w:szCs w:val="18"/>
        </w:rPr>
      </w:pPr>
      <w:r/>
      <w:hyperlink w:tooltip="#_Toc20" w:anchor="_Toc20" w:history="1">
        <w:r>
          <w:rPr>
            <w:rStyle w:val="994"/>
            <w:sz w:val="18"/>
            <w:szCs w:val="18"/>
          </w:rPr>
        </w:r>
        <w:r>
          <w:rPr>
            <w:rStyle w:val="994"/>
            <w:rFonts w:ascii="Arial" w:hAnsi="Arial" w:eastAsia="Arial" w:cs="Arial"/>
            <w:b/>
            <w:bCs/>
            <w:sz w:val="18"/>
            <w:szCs w:val="18"/>
          </w:rPr>
          <w:t xml:space="preserve">21. </w:t>
        </w:r>
        <w:r>
          <w:rPr>
            <w:rStyle w:val="994"/>
            <w:rFonts w:ascii="Arial" w:hAnsi="Arial" w:eastAsia="Arial" w:cs="Arial"/>
            <w:b/>
            <w:sz w:val="18"/>
            <w:szCs w:val="18"/>
          </w:rPr>
          <w:t xml:space="preserve">ESPECIFICAÇÃO DA GARANTIA EXIGIDA</w:t>
        </w:r>
        <w:r>
          <w:rPr>
            <w:rStyle w:val="994"/>
            <w:rFonts w:ascii="Arial" w:hAnsi="Arial" w:eastAsia="Arial" w:cs="Arial"/>
            <w:b/>
            <w:bCs/>
            <w:sz w:val="18"/>
            <w:szCs w:val="18"/>
          </w:rPr>
          <w:t xml:space="preserve">:</w:t>
        </w:r>
        <w:r>
          <w:rPr>
            <w:rStyle w:val="994"/>
            <w:rFonts w:ascii="Arial" w:hAnsi="Arial" w:cs="Arial"/>
            <w:b/>
            <w:bCs/>
            <w:sz w:val="18"/>
            <w:szCs w:val="18"/>
          </w:rPr>
        </w:r>
        <w:r>
          <w:rPr>
            <w:sz w:val="18"/>
            <w:szCs w:val="18"/>
          </w:rPr>
          <w:tab/>
        </w:r>
        <w:r>
          <w:rPr>
            <w:sz w:val="18"/>
            <w:szCs w:val="18"/>
          </w:rPr>
          <w:fldChar w:fldCharType="begin"/>
          <w:instrText xml:space="preserve">PAGEREF _Toc20 \h</w:instrText>
          <w:fldChar w:fldCharType="separate"/>
          <w:t xml:space="preserve">21</w:t>
          <w:fldChar w:fldCharType="end"/>
        </w:r>
      </w:hyperlink>
      <w:r>
        <w:rPr>
          <w:rFonts w:ascii="Arial" w:hAnsi="Arial" w:cs="Arial"/>
          <w:b/>
          <w:bCs/>
          <w:sz w:val="18"/>
          <w:szCs w:val="18"/>
        </w:rPr>
      </w:r>
      <w:r>
        <w:rPr>
          <w:rFonts w:ascii="Arial" w:hAnsi="Arial" w:cs="Arial"/>
          <w:b/>
          <w:bCs/>
          <w:sz w:val="18"/>
          <w:szCs w:val="18"/>
        </w:rPr>
      </w:r>
    </w:p>
    <w:p w14:paraId="4078AA05">
      <w:pPr>
        <w:pStyle w:val="2046"/>
        <w:pBdr/>
        <w:tabs>
          <w:tab w:val="right" w:leader="dot" w:pos="9771"/>
        </w:tabs>
        <w:spacing/>
        <w:ind/>
        <w:rPr>
          <w:rFonts w:ascii="Arial" w:hAnsi="Arial" w:cs="Arial"/>
          <w:b/>
          <w:bCs/>
          <w:sz w:val="18"/>
          <w:szCs w:val="18"/>
        </w:rPr>
      </w:pPr>
      <w:r/>
      <w:hyperlink w:tooltip="#_Toc21" w:anchor="_Toc21" w:history="1">
        <w:r>
          <w:rPr>
            <w:rStyle w:val="994"/>
            <w:sz w:val="18"/>
            <w:szCs w:val="18"/>
          </w:rPr>
        </w:r>
        <w:r>
          <w:rPr>
            <w:rStyle w:val="994"/>
            <w:rFonts w:ascii="Arial" w:hAnsi="Arial" w:eastAsia="Arial" w:cs="Arial"/>
            <w:b/>
            <w:bCs/>
            <w:sz w:val="18"/>
            <w:szCs w:val="18"/>
          </w:rPr>
          <w:t xml:space="preserve">22.</w:t>
        </w:r>
        <w:r>
          <w:rPr>
            <w:rStyle w:val="994"/>
            <w:rFonts w:ascii="Arial" w:hAnsi="Arial" w:eastAsia="Arial" w:cs="Arial"/>
            <w:b/>
            <w:sz w:val="18"/>
            <w:szCs w:val="18"/>
          </w:rPr>
          <w:t xml:space="preserve"> DA GESTÃO DE CONTRATO E FISCALIZAÇÃO</w:t>
        </w:r>
        <w:r>
          <w:rPr>
            <w:rStyle w:val="994"/>
            <w:rFonts w:ascii="Arial" w:hAnsi="Arial" w:eastAsia="Arial" w:cs="Arial"/>
            <w:b/>
            <w:bCs/>
            <w:sz w:val="18"/>
            <w:szCs w:val="18"/>
          </w:rPr>
          <w:t xml:space="preserve">:</w:t>
        </w:r>
        <w:r>
          <w:rPr>
            <w:rStyle w:val="994"/>
            <w:rFonts w:ascii="Arial" w:hAnsi="Arial" w:cs="Arial"/>
            <w:b/>
            <w:bCs/>
            <w:sz w:val="18"/>
            <w:szCs w:val="18"/>
          </w:rPr>
        </w:r>
        <w:r>
          <w:rPr>
            <w:sz w:val="18"/>
            <w:szCs w:val="18"/>
          </w:rPr>
          <w:tab/>
        </w:r>
        <w:r>
          <w:rPr>
            <w:sz w:val="18"/>
            <w:szCs w:val="18"/>
          </w:rPr>
          <w:fldChar w:fldCharType="begin"/>
          <w:instrText xml:space="preserve">PAGEREF _Toc21 \h</w:instrText>
          <w:fldChar w:fldCharType="separate"/>
          <w:t xml:space="preserve">22</w:t>
          <w:fldChar w:fldCharType="end"/>
        </w:r>
      </w:hyperlink>
      <w:r>
        <w:rPr>
          <w:rFonts w:ascii="Arial" w:hAnsi="Arial" w:cs="Arial"/>
          <w:b/>
          <w:bCs/>
          <w:sz w:val="18"/>
          <w:szCs w:val="18"/>
        </w:rPr>
      </w:r>
      <w:r>
        <w:rPr>
          <w:rFonts w:ascii="Arial" w:hAnsi="Arial" w:cs="Arial"/>
          <w:b/>
          <w:bCs/>
          <w:sz w:val="18"/>
          <w:szCs w:val="18"/>
        </w:rPr>
      </w:r>
    </w:p>
    <w:p w14:paraId="2F7D95AC">
      <w:pPr>
        <w:pStyle w:val="2046"/>
        <w:pBdr/>
        <w:tabs>
          <w:tab w:val="right" w:leader="dot" w:pos="9771"/>
        </w:tabs>
        <w:spacing/>
        <w:ind/>
        <w:rPr>
          <w:rFonts w:ascii="Arial" w:hAnsi="Arial" w:cs="Arial"/>
          <w:b/>
          <w:bCs/>
          <w:sz w:val="18"/>
          <w:szCs w:val="18"/>
        </w:rPr>
      </w:pPr>
      <w:r/>
      <w:hyperlink w:tooltip="#_Toc22" w:anchor="_Toc22" w:history="1">
        <w:r>
          <w:rPr>
            <w:rStyle w:val="994"/>
            <w:sz w:val="18"/>
            <w:szCs w:val="18"/>
          </w:rPr>
        </w:r>
        <w:r>
          <w:rPr>
            <w:rStyle w:val="994"/>
            <w:rFonts w:ascii="Arial" w:hAnsi="Arial" w:eastAsia="Arial" w:cs="Arial"/>
            <w:b/>
            <w:bCs/>
            <w:sz w:val="18"/>
            <w:szCs w:val="18"/>
          </w:rPr>
          <w:t xml:space="preserve">23.</w:t>
        </w:r>
        <w:r>
          <w:rPr>
            <w:rStyle w:val="994"/>
            <w:rFonts w:ascii="Arial" w:hAnsi="Arial" w:eastAsia="Arial" w:cs="Arial"/>
            <w:b/>
            <w:sz w:val="18"/>
            <w:szCs w:val="18"/>
          </w:rPr>
          <w:t xml:space="preserve"> </w:t>
        </w:r>
        <w:r>
          <w:rPr>
            <w:rStyle w:val="994"/>
            <w:rFonts w:ascii="Arial" w:hAnsi="Arial" w:eastAsia="Arial" w:cs="Arial"/>
            <w:b/>
            <w:sz w:val="18"/>
            <w:szCs w:val="18"/>
          </w:rPr>
          <w:t xml:space="preserve">DA VIGÊNCIA DO FUTURO CONTRATO</w:t>
        </w:r>
        <w:r>
          <w:rPr>
            <w:rStyle w:val="994"/>
            <w:rFonts w:ascii="Arial" w:hAnsi="Arial" w:eastAsia="Arial" w:cs="Arial"/>
            <w:b/>
            <w:bCs/>
            <w:sz w:val="18"/>
            <w:szCs w:val="18"/>
          </w:rPr>
          <w:t xml:space="preserve">:</w:t>
        </w:r>
        <w:r>
          <w:rPr>
            <w:rStyle w:val="994"/>
            <w:rFonts w:ascii="Arial" w:hAnsi="Arial" w:cs="Arial"/>
            <w:b/>
            <w:bCs/>
            <w:sz w:val="18"/>
            <w:szCs w:val="18"/>
          </w:rPr>
        </w:r>
        <w:r>
          <w:rPr>
            <w:sz w:val="18"/>
            <w:szCs w:val="18"/>
          </w:rPr>
          <w:tab/>
        </w:r>
        <w:r>
          <w:rPr>
            <w:sz w:val="18"/>
            <w:szCs w:val="18"/>
          </w:rPr>
          <w:fldChar w:fldCharType="begin"/>
          <w:instrText xml:space="preserve">PAGEREF _Toc22 \h</w:instrText>
          <w:fldChar w:fldCharType="separate"/>
          <w:t xml:space="preserve">22</w:t>
          <w:fldChar w:fldCharType="end"/>
        </w:r>
      </w:hyperlink>
      <w:r>
        <w:rPr>
          <w:rFonts w:ascii="Arial" w:hAnsi="Arial" w:cs="Arial"/>
          <w:b/>
          <w:bCs/>
          <w:sz w:val="18"/>
          <w:szCs w:val="18"/>
        </w:rPr>
      </w:r>
      <w:r>
        <w:rPr>
          <w:rFonts w:ascii="Arial" w:hAnsi="Arial" w:cs="Arial"/>
          <w:b/>
          <w:bCs/>
          <w:sz w:val="18"/>
          <w:szCs w:val="18"/>
        </w:rPr>
      </w:r>
    </w:p>
    <w:p w14:paraId="6FCAB001">
      <w:pPr>
        <w:pStyle w:val="2046"/>
        <w:pBdr/>
        <w:tabs>
          <w:tab w:val="right" w:leader="dot" w:pos="9771"/>
        </w:tabs>
        <w:spacing/>
        <w:ind/>
        <w:rPr>
          <w:rFonts w:ascii="Arial" w:hAnsi="Arial" w:cs="Arial"/>
          <w:b/>
          <w:bCs/>
          <w:sz w:val="18"/>
          <w:szCs w:val="18"/>
        </w:rPr>
      </w:pPr>
      <w:r/>
      <w:hyperlink w:tooltip="#_Toc23" w:anchor="_Toc23" w:history="1">
        <w:r>
          <w:rPr>
            <w:rStyle w:val="994"/>
            <w:sz w:val="18"/>
            <w:szCs w:val="18"/>
          </w:rPr>
        </w:r>
        <w:r>
          <w:rPr>
            <w:rStyle w:val="994"/>
            <w:rFonts w:ascii="Arial" w:hAnsi="Arial" w:eastAsia="Arial" w:cs="Arial"/>
            <w:b/>
            <w:bCs/>
            <w:sz w:val="18"/>
            <w:szCs w:val="18"/>
          </w:rPr>
          <w:t xml:space="preserve">24.</w:t>
        </w:r>
        <w:r>
          <w:rPr>
            <w:rStyle w:val="994"/>
            <w:rFonts w:ascii="Arial" w:hAnsi="Arial" w:eastAsia="Arial" w:cs="Arial"/>
            <w:b/>
            <w:sz w:val="18"/>
            <w:szCs w:val="18"/>
          </w:rPr>
          <w:t xml:space="preserve"> </w:t>
        </w:r>
        <w:r>
          <w:rPr>
            <w:rStyle w:val="994"/>
            <w:rFonts w:ascii="Arial" w:hAnsi="Arial" w:eastAsia="Arial" w:cs="Arial"/>
            <w:b/>
            <w:sz w:val="18"/>
            <w:szCs w:val="18"/>
          </w:rPr>
          <w:t xml:space="preserve">DA ALTERAÇÃO DO CONTRATO</w:t>
        </w:r>
        <w:r>
          <w:rPr>
            <w:rStyle w:val="994"/>
            <w:rFonts w:ascii="Arial" w:hAnsi="Arial" w:eastAsia="Arial" w:cs="Arial"/>
            <w:b/>
            <w:bCs/>
            <w:sz w:val="18"/>
            <w:szCs w:val="18"/>
          </w:rPr>
          <w:t xml:space="preserve">:</w:t>
        </w:r>
        <w:r>
          <w:rPr>
            <w:rStyle w:val="994"/>
            <w:rFonts w:ascii="Arial" w:hAnsi="Arial" w:cs="Arial"/>
            <w:b/>
            <w:bCs/>
            <w:sz w:val="18"/>
            <w:szCs w:val="18"/>
          </w:rPr>
        </w:r>
        <w:r>
          <w:rPr>
            <w:sz w:val="18"/>
            <w:szCs w:val="18"/>
          </w:rPr>
          <w:tab/>
        </w:r>
        <w:r>
          <w:rPr>
            <w:sz w:val="18"/>
            <w:szCs w:val="18"/>
          </w:rPr>
          <w:fldChar w:fldCharType="begin"/>
          <w:instrText xml:space="preserve">PAGEREF _Toc23 \h</w:instrText>
          <w:fldChar w:fldCharType="separate"/>
          <w:t xml:space="preserve">22</w:t>
          <w:fldChar w:fldCharType="end"/>
        </w:r>
      </w:hyperlink>
      <w:r>
        <w:rPr>
          <w:rFonts w:ascii="Arial" w:hAnsi="Arial" w:cs="Arial"/>
          <w:b/>
          <w:bCs/>
          <w:sz w:val="18"/>
          <w:szCs w:val="18"/>
        </w:rPr>
      </w:r>
      <w:r>
        <w:rPr>
          <w:rFonts w:ascii="Arial" w:hAnsi="Arial" w:cs="Arial"/>
          <w:b/>
          <w:bCs/>
          <w:sz w:val="18"/>
          <w:szCs w:val="18"/>
        </w:rPr>
      </w:r>
    </w:p>
    <w:p w14:paraId="5C771639">
      <w:pPr>
        <w:pStyle w:val="2046"/>
        <w:pBdr/>
        <w:tabs>
          <w:tab w:val="right" w:leader="dot" w:pos="9771"/>
        </w:tabs>
        <w:spacing/>
        <w:ind/>
        <w:rPr>
          <w:rFonts w:ascii="Arial" w:hAnsi="Arial" w:cs="Arial"/>
          <w:b/>
          <w:bCs/>
          <w:sz w:val="18"/>
          <w:szCs w:val="18"/>
        </w:rPr>
      </w:pPr>
      <w:r/>
      <w:hyperlink w:tooltip="#_Toc24" w:anchor="_Toc24" w:history="1">
        <w:r>
          <w:rPr>
            <w:rStyle w:val="994"/>
            <w:sz w:val="18"/>
            <w:szCs w:val="18"/>
          </w:rPr>
        </w:r>
        <w:r>
          <w:rPr>
            <w:rStyle w:val="994"/>
            <w:rFonts w:ascii="Arial" w:hAnsi="Arial" w:eastAsia="Arial" w:cs="Arial"/>
            <w:b/>
            <w:bCs/>
            <w:sz w:val="18"/>
            <w:szCs w:val="18"/>
          </w:rPr>
          <w:t xml:space="preserve">25.</w:t>
        </w:r>
        <w:r>
          <w:rPr>
            <w:rStyle w:val="994"/>
            <w:rFonts w:ascii="Arial" w:hAnsi="Arial" w:eastAsia="Arial" w:cs="Arial"/>
            <w:b/>
            <w:sz w:val="18"/>
            <w:szCs w:val="18"/>
          </w:rPr>
          <w:t xml:space="preserve"> </w:t>
        </w:r>
        <w:r>
          <w:rPr>
            <w:rStyle w:val="994"/>
            <w:rFonts w:ascii="Arial" w:hAnsi="Arial" w:eastAsia="Arial" w:cs="Arial"/>
            <w:b/>
            <w:sz w:val="18"/>
            <w:szCs w:val="18"/>
          </w:rPr>
          <w:t xml:space="preserve">DA EXTINÇÃO DO CONTRATO</w:t>
        </w:r>
        <w:r>
          <w:rPr>
            <w:rStyle w:val="994"/>
            <w:rFonts w:ascii="Arial" w:hAnsi="Arial" w:eastAsia="Arial" w:cs="Arial"/>
            <w:b/>
            <w:bCs/>
            <w:sz w:val="18"/>
            <w:szCs w:val="18"/>
          </w:rPr>
          <w:t xml:space="preserve">:</w:t>
        </w:r>
        <w:r>
          <w:rPr>
            <w:rStyle w:val="994"/>
            <w:rFonts w:ascii="Arial" w:hAnsi="Arial" w:cs="Arial"/>
            <w:b/>
            <w:bCs/>
            <w:sz w:val="18"/>
            <w:szCs w:val="18"/>
          </w:rPr>
        </w:r>
        <w:r>
          <w:rPr>
            <w:sz w:val="18"/>
            <w:szCs w:val="18"/>
          </w:rPr>
          <w:tab/>
        </w:r>
        <w:r>
          <w:rPr>
            <w:sz w:val="18"/>
            <w:szCs w:val="18"/>
          </w:rPr>
          <w:fldChar w:fldCharType="begin"/>
          <w:instrText xml:space="preserve">PAGEREF _Toc24 \h</w:instrText>
          <w:fldChar w:fldCharType="separate"/>
          <w:t xml:space="preserve">22</w:t>
          <w:fldChar w:fldCharType="end"/>
        </w:r>
      </w:hyperlink>
      <w:r>
        <w:rPr>
          <w:rFonts w:ascii="Arial" w:hAnsi="Arial" w:cs="Arial"/>
          <w:b/>
          <w:bCs/>
          <w:sz w:val="18"/>
          <w:szCs w:val="18"/>
        </w:rPr>
      </w:r>
      <w:r>
        <w:rPr>
          <w:rFonts w:ascii="Arial" w:hAnsi="Arial" w:cs="Arial"/>
          <w:b/>
          <w:bCs/>
          <w:sz w:val="18"/>
          <w:szCs w:val="18"/>
        </w:rPr>
      </w:r>
    </w:p>
    <w:p w14:paraId="69D98AB4">
      <w:pPr>
        <w:pStyle w:val="2046"/>
        <w:pBdr/>
        <w:tabs>
          <w:tab w:val="right" w:leader="dot" w:pos="9771"/>
        </w:tabs>
        <w:spacing/>
        <w:ind/>
        <w:rPr>
          <w:rFonts w:ascii="Arial" w:hAnsi="Arial" w:cs="Arial"/>
          <w:b/>
          <w:bCs/>
          <w:sz w:val="18"/>
          <w:szCs w:val="18"/>
        </w:rPr>
      </w:pPr>
      <w:r/>
      <w:hyperlink w:tooltip="#_Toc25" w:anchor="_Toc25" w:history="1">
        <w:r>
          <w:rPr>
            <w:rStyle w:val="994"/>
            <w:sz w:val="18"/>
            <w:szCs w:val="18"/>
          </w:rPr>
        </w:r>
        <w:r>
          <w:rPr>
            <w:rStyle w:val="994"/>
            <w:rFonts w:ascii="Arial" w:hAnsi="Arial" w:eastAsia="Arial" w:cs="Arial"/>
            <w:b/>
            <w:bCs/>
            <w:sz w:val="18"/>
            <w:szCs w:val="18"/>
          </w:rPr>
          <w:t xml:space="preserve">26.</w:t>
        </w:r>
        <w:r>
          <w:rPr>
            <w:rStyle w:val="994"/>
            <w:rFonts w:ascii="Arial" w:hAnsi="Arial" w:eastAsia="Arial" w:cs="Arial"/>
            <w:b/>
            <w:sz w:val="18"/>
            <w:szCs w:val="18"/>
          </w:rPr>
          <w:t xml:space="preserve"> </w:t>
        </w:r>
        <w:r>
          <w:rPr>
            <w:rStyle w:val="994"/>
            <w:rFonts w:ascii="Arial" w:hAnsi="Arial" w:eastAsia="Arial" w:cs="Arial"/>
            <w:b/>
            <w:sz w:val="18"/>
            <w:szCs w:val="18"/>
          </w:rPr>
          <w:t xml:space="preserve">DO REAJUSTAMENTO, REPACTUAÇÃO, REVISÃO, SUPRESSÕES E ACRÉSCIMOS</w:t>
        </w:r>
        <w:r>
          <w:rPr>
            <w:rStyle w:val="994"/>
            <w:rFonts w:ascii="Arial" w:hAnsi="Arial" w:eastAsia="Arial" w:cs="Arial"/>
            <w:b/>
            <w:bCs/>
            <w:sz w:val="18"/>
            <w:szCs w:val="18"/>
          </w:rPr>
          <w:t xml:space="preserve">:</w:t>
        </w:r>
        <w:r>
          <w:rPr>
            <w:rStyle w:val="994"/>
            <w:rFonts w:ascii="Arial" w:hAnsi="Arial" w:cs="Arial"/>
            <w:b/>
            <w:bCs/>
            <w:sz w:val="18"/>
            <w:szCs w:val="18"/>
          </w:rPr>
        </w:r>
        <w:r>
          <w:rPr>
            <w:sz w:val="18"/>
            <w:szCs w:val="18"/>
          </w:rPr>
          <w:tab/>
        </w:r>
        <w:r>
          <w:rPr>
            <w:sz w:val="18"/>
            <w:szCs w:val="18"/>
          </w:rPr>
          <w:fldChar w:fldCharType="begin"/>
          <w:instrText xml:space="preserve">PAGEREF _Toc25 \h</w:instrText>
          <w:fldChar w:fldCharType="separate"/>
          <w:t xml:space="preserve">23</w:t>
          <w:fldChar w:fldCharType="end"/>
        </w:r>
      </w:hyperlink>
      <w:r>
        <w:rPr>
          <w:rFonts w:ascii="Arial" w:hAnsi="Arial" w:cs="Arial"/>
          <w:b/>
          <w:bCs/>
          <w:sz w:val="18"/>
          <w:szCs w:val="18"/>
        </w:rPr>
      </w:r>
      <w:r>
        <w:rPr>
          <w:rFonts w:ascii="Arial" w:hAnsi="Arial" w:cs="Arial"/>
          <w:b/>
          <w:bCs/>
          <w:sz w:val="18"/>
          <w:szCs w:val="18"/>
        </w:rPr>
      </w:r>
    </w:p>
    <w:p w14:paraId="79EE8198">
      <w:pPr>
        <w:pStyle w:val="2046"/>
        <w:pBdr/>
        <w:tabs>
          <w:tab w:val="right" w:leader="dot" w:pos="9771"/>
        </w:tabs>
        <w:spacing/>
        <w:ind/>
        <w:rPr>
          <w:rFonts w:ascii="Arial" w:hAnsi="Arial" w:cs="Arial"/>
          <w:b/>
          <w:bCs/>
          <w:sz w:val="18"/>
          <w:szCs w:val="18"/>
        </w:rPr>
      </w:pPr>
      <w:r/>
      <w:hyperlink w:tooltip="#_Toc26" w:anchor="_Toc26" w:history="1">
        <w:r>
          <w:rPr>
            <w:rStyle w:val="994"/>
            <w:sz w:val="18"/>
            <w:szCs w:val="18"/>
          </w:rPr>
        </w:r>
        <w:r>
          <w:rPr>
            <w:rStyle w:val="994"/>
            <w:rFonts w:ascii="Arial" w:hAnsi="Arial" w:eastAsia="Arial" w:cs="Arial"/>
            <w:b/>
            <w:bCs/>
            <w:sz w:val="18"/>
            <w:szCs w:val="18"/>
          </w:rPr>
          <w:t xml:space="preserve">27.</w:t>
        </w:r>
        <w:r>
          <w:rPr>
            <w:rStyle w:val="994"/>
            <w:rFonts w:ascii="Arial" w:hAnsi="Arial" w:eastAsia="Arial" w:cs="Arial"/>
            <w:b/>
            <w:sz w:val="18"/>
            <w:szCs w:val="18"/>
          </w:rPr>
          <w:t xml:space="preserve"> </w:t>
        </w:r>
        <w:r>
          <w:rPr>
            <w:rStyle w:val="994"/>
            <w:rFonts w:ascii="Arial" w:hAnsi="Arial" w:eastAsia="Arial" w:cs="Arial"/>
            <w:b/>
            <w:sz w:val="18"/>
            <w:szCs w:val="18"/>
          </w:rPr>
          <w:t xml:space="preserve">DO PRAZO PARA LIQUIDAÇÃO (ART. 92, IV, da Lei 14.133/2021)</w:t>
        </w:r>
        <w:r>
          <w:rPr>
            <w:rStyle w:val="994"/>
            <w:rFonts w:ascii="Arial" w:hAnsi="Arial" w:eastAsia="Arial" w:cs="Arial"/>
            <w:b/>
            <w:bCs/>
            <w:sz w:val="18"/>
            <w:szCs w:val="18"/>
          </w:rPr>
          <w:t xml:space="preserve">:</w:t>
        </w:r>
        <w:r>
          <w:rPr>
            <w:rStyle w:val="994"/>
            <w:rFonts w:ascii="Arial" w:hAnsi="Arial" w:cs="Arial"/>
            <w:b/>
            <w:bCs/>
            <w:sz w:val="18"/>
            <w:szCs w:val="18"/>
          </w:rPr>
        </w:r>
        <w:r>
          <w:rPr>
            <w:sz w:val="18"/>
            <w:szCs w:val="18"/>
          </w:rPr>
          <w:tab/>
        </w:r>
        <w:r>
          <w:rPr>
            <w:sz w:val="18"/>
            <w:szCs w:val="18"/>
          </w:rPr>
          <w:fldChar w:fldCharType="begin"/>
          <w:instrText xml:space="preserve">PAGEREF _Toc26 \h</w:instrText>
          <w:fldChar w:fldCharType="separate"/>
          <w:t xml:space="preserve">25</w:t>
          <w:fldChar w:fldCharType="end"/>
        </w:r>
      </w:hyperlink>
      <w:r>
        <w:rPr>
          <w:rFonts w:ascii="Arial" w:hAnsi="Arial" w:cs="Arial"/>
          <w:b/>
          <w:bCs/>
          <w:sz w:val="18"/>
          <w:szCs w:val="18"/>
        </w:rPr>
      </w:r>
      <w:r>
        <w:rPr>
          <w:rFonts w:ascii="Arial" w:hAnsi="Arial" w:cs="Arial"/>
          <w:b/>
          <w:bCs/>
          <w:sz w:val="18"/>
          <w:szCs w:val="18"/>
        </w:rPr>
      </w:r>
    </w:p>
    <w:p w14:paraId="71CA63C3">
      <w:pPr>
        <w:pStyle w:val="2046"/>
        <w:pBdr/>
        <w:tabs>
          <w:tab w:val="right" w:leader="dot" w:pos="9771"/>
        </w:tabs>
        <w:spacing/>
        <w:ind/>
        <w:rPr>
          <w:rFonts w:ascii="Arial" w:hAnsi="Arial" w:cs="Arial"/>
          <w:b/>
          <w:bCs/>
          <w:sz w:val="18"/>
          <w:szCs w:val="18"/>
        </w:rPr>
      </w:pPr>
      <w:r/>
      <w:hyperlink w:tooltip="#_Toc27" w:anchor="_Toc27" w:history="1">
        <w:r>
          <w:rPr>
            <w:rStyle w:val="994"/>
            <w:sz w:val="18"/>
            <w:szCs w:val="18"/>
          </w:rPr>
        </w:r>
        <w:r>
          <w:rPr>
            <w:rStyle w:val="994"/>
            <w:rFonts w:ascii="Arial" w:hAnsi="Arial" w:eastAsia="Arial" w:cs="Arial"/>
            <w:b/>
            <w:bCs/>
            <w:sz w:val="18"/>
            <w:szCs w:val="18"/>
          </w:rPr>
          <w:t xml:space="preserve">28.</w:t>
        </w:r>
        <w:r>
          <w:rPr>
            <w:rStyle w:val="994"/>
            <w:rFonts w:ascii="Arial" w:hAnsi="Arial" w:eastAsia="Arial" w:cs="Arial"/>
            <w:b/>
            <w:sz w:val="18"/>
            <w:szCs w:val="18"/>
          </w:rPr>
          <w:t xml:space="preserve"> DAS INFRAÇÕES ADMINISTRATIVAS E SANÇÕES REFERENTE AO CONTRATO</w:t>
        </w:r>
        <w:r>
          <w:rPr>
            <w:rStyle w:val="994"/>
            <w:rFonts w:ascii="Arial" w:hAnsi="Arial" w:eastAsia="Arial" w:cs="Arial"/>
            <w:b/>
            <w:bCs/>
            <w:sz w:val="18"/>
            <w:szCs w:val="18"/>
          </w:rPr>
          <w:t xml:space="preserve">:</w:t>
        </w:r>
        <w:r>
          <w:rPr>
            <w:rStyle w:val="994"/>
            <w:rFonts w:ascii="Arial" w:hAnsi="Arial" w:cs="Arial"/>
            <w:b/>
            <w:bCs/>
            <w:sz w:val="18"/>
            <w:szCs w:val="18"/>
          </w:rPr>
        </w:r>
        <w:r>
          <w:rPr>
            <w:sz w:val="18"/>
            <w:szCs w:val="18"/>
          </w:rPr>
          <w:tab/>
        </w:r>
        <w:r>
          <w:rPr>
            <w:sz w:val="18"/>
            <w:szCs w:val="18"/>
          </w:rPr>
          <w:fldChar w:fldCharType="begin"/>
          <w:instrText xml:space="preserve">PAGEREF _Toc27 \h</w:instrText>
          <w:fldChar w:fldCharType="separate"/>
          <w:t xml:space="preserve">25</w:t>
          <w:fldChar w:fldCharType="end"/>
        </w:r>
      </w:hyperlink>
      <w:r>
        <w:rPr>
          <w:rFonts w:ascii="Arial" w:hAnsi="Arial" w:cs="Arial"/>
          <w:b/>
          <w:bCs/>
          <w:sz w:val="18"/>
          <w:szCs w:val="18"/>
        </w:rPr>
      </w:r>
      <w:r>
        <w:rPr>
          <w:rFonts w:ascii="Arial" w:hAnsi="Arial" w:cs="Arial"/>
          <w:b/>
          <w:bCs/>
          <w:sz w:val="18"/>
          <w:szCs w:val="18"/>
        </w:rPr>
      </w:r>
    </w:p>
    <w:p w14:paraId="3C83D869">
      <w:pPr>
        <w:pStyle w:val="2046"/>
        <w:pBdr/>
        <w:tabs>
          <w:tab w:val="right" w:leader="dot" w:pos="9771"/>
        </w:tabs>
        <w:spacing/>
        <w:ind/>
        <w:rPr>
          <w:rFonts w:ascii="Arial" w:hAnsi="Arial" w:cs="Arial"/>
          <w:b/>
          <w:bCs/>
          <w:sz w:val="18"/>
          <w:szCs w:val="18"/>
        </w:rPr>
      </w:pPr>
      <w:r/>
      <w:hyperlink w:tooltip="#_Toc28" w:anchor="_Toc28" w:history="1">
        <w:r>
          <w:rPr>
            <w:rStyle w:val="994"/>
            <w:sz w:val="18"/>
            <w:szCs w:val="18"/>
          </w:rPr>
        </w:r>
        <w:r>
          <w:rPr>
            <w:rStyle w:val="994"/>
            <w:rFonts w:ascii="Arial" w:hAnsi="Arial" w:eastAsia="Arial" w:cs="Arial"/>
            <w:b/>
            <w:bCs/>
            <w:sz w:val="18"/>
            <w:szCs w:val="18"/>
          </w:rPr>
          <w:t xml:space="preserve">29.</w:t>
        </w:r>
        <w:r>
          <w:rPr>
            <w:rStyle w:val="994"/>
            <w:rFonts w:ascii="Arial" w:hAnsi="Arial" w:eastAsia="Arial" w:cs="Arial"/>
            <w:b/>
            <w:sz w:val="18"/>
            <w:szCs w:val="18"/>
          </w:rPr>
          <w:t xml:space="preserve"> </w:t>
        </w:r>
        <w:r>
          <w:rPr>
            <w:rStyle w:val="994"/>
            <w:rFonts w:ascii="Arial" w:hAnsi="Arial" w:eastAsia="Arial" w:cs="Arial"/>
            <w:b/>
            <w:bCs/>
            <w:sz w:val="18"/>
            <w:szCs w:val="18"/>
          </w:rPr>
          <w:t xml:space="preserve">DAS OBRIGAÇÕES DA CONTRATADA</w:t>
        </w:r>
        <w:r>
          <w:rPr>
            <w:rStyle w:val="994"/>
            <w:rFonts w:ascii="Arial" w:hAnsi="Arial" w:eastAsia="Arial" w:cs="Arial"/>
            <w:b/>
            <w:bCs/>
            <w:sz w:val="18"/>
            <w:szCs w:val="18"/>
          </w:rPr>
          <w:t xml:space="preserve">:</w:t>
        </w:r>
        <w:r>
          <w:rPr>
            <w:rStyle w:val="994"/>
            <w:rFonts w:ascii="Arial" w:hAnsi="Arial" w:cs="Arial"/>
            <w:b/>
            <w:bCs/>
            <w:sz w:val="18"/>
            <w:szCs w:val="18"/>
          </w:rPr>
        </w:r>
        <w:r>
          <w:rPr>
            <w:sz w:val="18"/>
            <w:szCs w:val="18"/>
          </w:rPr>
          <w:tab/>
        </w:r>
        <w:r>
          <w:rPr>
            <w:sz w:val="18"/>
            <w:szCs w:val="18"/>
          </w:rPr>
          <w:fldChar w:fldCharType="begin"/>
          <w:instrText xml:space="preserve">PAGEREF _Toc28 \h</w:instrText>
          <w:fldChar w:fldCharType="separate"/>
          <w:t xml:space="preserve">28</w:t>
          <w:fldChar w:fldCharType="end"/>
        </w:r>
      </w:hyperlink>
      <w:r>
        <w:rPr>
          <w:rFonts w:ascii="Arial" w:hAnsi="Arial" w:cs="Arial"/>
          <w:b/>
          <w:bCs/>
          <w:sz w:val="18"/>
          <w:szCs w:val="18"/>
        </w:rPr>
      </w:r>
      <w:r>
        <w:rPr>
          <w:rFonts w:ascii="Arial" w:hAnsi="Arial" w:cs="Arial"/>
          <w:b/>
          <w:bCs/>
          <w:sz w:val="18"/>
          <w:szCs w:val="18"/>
        </w:rPr>
      </w:r>
    </w:p>
    <w:p w14:paraId="0F05B084">
      <w:pPr>
        <w:pStyle w:val="2046"/>
        <w:pBdr/>
        <w:tabs>
          <w:tab w:val="right" w:leader="dot" w:pos="9771"/>
        </w:tabs>
        <w:spacing/>
        <w:ind/>
        <w:rPr>
          <w:rFonts w:ascii="Arial" w:hAnsi="Arial" w:cs="Arial"/>
          <w:b/>
          <w:bCs/>
          <w:sz w:val="18"/>
          <w:szCs w:val="18"/>
        </w:rPr>
      </w:pPr>
      <w:r/>
      <w:hyperlink w:tooltip="#_Toc29" w:anchor="_Toc29" w:history="1">
        <w:r>
          <w:rPr>
            <w:rStyle w:val="994"/>
            <w:sz w:val="18"/>
            <w:szCs w:val="18"/>
          </w:rPr>
        </w:r>
        <w:r>
          <w:rPr>
            <w:rStyle w:val="994"/>
            <w:rFonts w:ascii="Arial" w:hAnsi="Arial" w:eastAsia="Arial" w:cs="Arial"/>
            <w:b/>
            <w:bCs/>
            <w:sz w:val="18"/>
            <w:szCs w:val="18"/>
          </w:rPr>
          <w:t xml:space="preserve">30.</w:t>
        </w:r>
        <w:r>
          <w:rPr>
            <w:rStyle w:val="994"/>
            <w:rFonts w:ascii="Arial" w:hAnsi="Arial" w:eastAsia="Arial" w:cs="Arial"/>
            <w:b/>
            <w:sz w:val="18"/>
            <w:szCs w:val="18"/>
          </w:rPr>
          <w:t xml:space="preserve"> </w:t>
        </w:r>
        <w:r>
          <w:rPr>
            <w:rStyle w:val="994"/>
            <w:rFonts w:ascii="Arial" w:hAnsi="Arial" w:eastAsia="Arial" w:cs="Arial"/>
            <w:b/>
            <w:bCs/>
            <w:sz w:val="18"/>
            <w:szCs w:val="18"/>
          </w:rPr>
          <w:t xml:space="preserve">DAS OBRIGAÇÕES DA CONTRATANTE</w:t>
        </w:r>
        <w:r>
          <w:rPr>
            <w:rStyle w:val="994"/>
            <w:rFonts w:ascii="Arial" w:hAnsi="Arial" w:eastAsia="Arial" w:cs="Arial"/>
            <w:b/>
            <w:bCs/>
            <w:sz w:val="18"/>
            <w:szCs w:val="18"/>
          </w:rPr>
          <w:t xml:space="preserve">:</w:t>
        </w:r>
        <w:r>
          <w:rPr>
            <w:rStyle w:val="994"/>
            <w:rFonts w:ascii="Arial" w:hAnsi="Arial" w:cs="Arial"/>
            <w:b/>
            <w:bCs/>
            <w:sz w:val="18"/>
            <w:szCs w:val="18"/>
          </w:rPr>
        </w:r>
        <w:r>
          <w:rPr>
            <w:sz w:val="18"/>
            <w:szCs w:val="18"/>
          </w:rPr>
          <w:tab/>
        </w:r>
        <w:r>
          <w:rPr>
            <w:sz w:val="18"/>
            <w:szCs w:val="18"/>
          </w:rPr>
          <w:fldChar w:fldCharType="begin"/>
          <w:instrText xml:space="preserve">PAGEREF _Toc29 \h</w:instrText>
          <w:fldChar w:fldCharType="separate"/>
          <w:t xml:space="preserve">29</w:t>
          <w:fldChar w:fldCharType="end"/>
        </w:r>
      </w:hyperlink>
      <w:r>
        <w:rPr>
          <w:rFonts w:ascii="Arial" w:hAnsi="Arial" w:cs="Arial"/>
          <w:b/>
          <w:bCs/>
          <w:sz w:val="18"/>
          <w:szCs w:val="18"/>
        </w:rPr>
      </w:r>
      <w:r>
        <w:rPr>
          <w:rFonts w:ascii="Arial" w:hAnsi="Arial" w:cs="Arial"/>
          <w:b/>
          <w:bCs/>
          <w:sz w:val="18"/>
          <w:szCs w:val="18"/>
        </w:rPr>
      </w:r>
    </w:p>
    <w:p w14:paraId="545A17CF">
      <w:pPr>
        <w:pStyle w:val="2046"/>
        <w:pBdr/>
        <w:tabs>
          <w:tab w:val="right" w:leader="dot" w:pos="9771"/>
        </w:tabs>
        <w:spacing/>
        <w:ind/>
        <w:rPr>
          <w:rFonts w:ascii="Arial" w:hAnsi="Arial" w:cs="Arial"/>
          <w:b/>
          <w:bCs/>
          <w:sz w:val="18"/>
          <w:szCs w:val="18"/>
        </w:rPr>
      </w:pPr>
      <w:r/>
      <w:hyperlink w:tooltip="#_Toc30" w:anchor="_Toc30" w:history="1">
        <w:r>
          <w:rPr>
            <w:rStyle w:val="994"/>
            <w:sz w:val="18"/>
            <w:szCs w:val="18"/>
          </w:rPr>
        </w:r>
        <w:r>
          <w:rPr>
            <w:rStyle w:val="994"/>
            <w:rFonts w:ascii="Arial" w:hAnsi="Arial" w:eastAsia="Arial" w:cs="Arial"/>
            <w:b/>
            <w:bCs/>
            <w:sz w:val="18"/>
            <w:szCs w:val="18"/>
          </w:rPr>
          <w:t xml:space="preserve">31.</w:t>
        </w:r>
        <w:r>
          <w:rPr>
            <w:rStyle w:val="994"/>
            <w:rFonts w:ascii="Arial" w:hAnsi="Arial" w:eastAsia="Arial" w:cs="Arial"/>
            <w:b/>
            <w:sz w:val="18"/>
            <w:szCs w:val="18"/>
          </w:rPr>
          <w:t xml:space="preserve"> </w:t>
        </w:r>
        <w:r>
          <w:rPr>
            <w:rStyle w:val="994"/>
            <w:rFonts w:ascii="Arial" w:hAnsi="Arial" w:eastAsia="Arial" w:cs="Arial"/>
            <w:b/>
            <w:sz w:val="18"/>
            <w:szCs w:val="18"/>
          </w:rPr>
          <w:t xml:space="preserve">DA DOTAÇÃO ORÇAMENTÁRIA</w:t>
        </w:r>
        <w:r>
          <w:rPr>
            <w:rStyle w:val="994"/>
            <w:rFonts w:ascii="Arial" w:hAnsi="Arial" w:eastAsia="Arial" w:cs="Arial"/>
            <w:b/>
            <w:bCs/>
            <w:sz w:val="18"/>
            <w:szCs w:val="18"/>
          </w:rPr>
          <w:t xml:space="preserve">:</w:t>
        </w:r>
        <w:r>
          <w:rPr>
            <w:rStyle w:val="994"/>
            <w:rFonts w:ascii="Arial" w:hAnsi="Arial" w:cs="Arial"/>
            <w:b/>
            <w:bCs/>
            <w:sz w:val="18"/>
            <w:szCs w:val="18"/>
          </w:rPr>
        </w:r>
        <w:r>
          <w:rPr>
            <w:sz w:val="18"/>
            <w:szCs w:val="18"/>
          </w:rPr>
          <w:tab/>
        </w:r>
        <w:r>
          <w:rPr>
            <w:sz w:val="18"/>
            <w:szCs w:val="18"/>
          </w:rPr>
          <w:fldChar w:fldCharType="begin"/>
          <w:instrText xml:space="preserve">PAGEREF _Toc30 \h</w:instrText>
          <w:fldChar w:fldCharType="separate"/>
          <w:t xml:space="preserve">29</w:t>
          <w:fldChar w:fldCharType="end"/>
        </w:r>
      </w:hyperlink>
      <w:r>
        <w:rPr>
          <w:rFonts w:ascii="Arial" w:hAnsi="Arial" w:cs="Arial"/>
          <w:b/>
          <w:bCs/>
          <w:sz w:val="18"/>
          <w:szCs w:val="18"/>
        </w:rPr>
      </w:r>
      <w:r>
        <w:rPr>
          <w:rFonts w:ascii="Arial" w:hAnsi="Arial" w:cs="Arial"/>
          <w:b/>
          <w:bCs/>
          <w:sz w:val="18"/>
          <w:szCs w:val="18"/>
        </w:rPr>
      </w:r>
    </w:p>
    <w:p w14:paraId="42983733">
      <w:pPr>
        <w:pStyle w:val="2046"/>
        <w:pBdr/>
        <w:tabs>
          <w:tab w:val="right" w:leader="dot" w:pos="9771"/>
        </w:tabs>
        <w:spacing/>
        <w:ind/>
        <w:rPr>
          <w:rFonts w:ascii="Arial" w:hAnsi="Arial" w:cs="Arial"/>
          <w:sz w:val="18"/>
          <w:szCs w:val="18"/>
        </w:rPr>
      </w:pPr>
      <w:r/>
      <w:hyperlink w:tooltip="#_Toc31" w:anchor="_Toc31" w:history="1">
        <w:r>
          <w:rPr>
            <w:rStyle w:val="994"/>
            <w:sz w:val="18"/>
            <w:szCs w:val="18"/>
          </w:rPr>
        </w:r>
        <w:r>
          <w:rPr>
            <w:rStyle w:val="994"/>
            <w:rFonts w:ascii="Arial" w:hAnsi="Arial" w:eastAsia="Arial" w:cs="Arial"/>
            <w:b/>
            <w:bCs/>
            <w:sz w:val="18"/>
            <w:szCs w:val="18"/>
          </w:rPr>
          <w:t xml:space="preserve">32.</w:t>
        </w:r>
        <w:r>
          <w:rPr>
            <w:rStyle w:val="994"/>
            <w:rFonts w:ascii="Arial" w:hAnsi="Arial" w:eastAsia="Arial" w:cs="Arial"/>
            <w:b/>
            <w:sz w:val="18"/>
            <w:szCs w:val="18"/>
          </w:rPr>
          <w:t xml:space="preserve"> DOS CRITÉRIOS DE MEDIÇÃO E DE PAGAMENTO</w:t>
        </w:r>
        <w:r>
          <w:rPr>
            <w:rStyle w:val="994"/>
            <w:rFonts w:ascii="Arial" w:hAnsi="Arial" w:eastAsia="Arial" w:cs="Arial"/>
            <w:b/>
            <w:bCs/>
            <w:sz w:val="18"/>
            <w:szCs w:val="18"/>
          </w:rPr>
          <w:t xml:space="preserve">:</w:t>
        </w:r>
        <w:r>
          <w:rPr>
            <w:rStyle w:val="994"/>
            <w:rFonts w:ascii="Arial" w:hAnsi="Arial" w:cs="Arial"/>
            <w:sz w:val="18"/>
            <w:szCs w:val="18"/>
          </w:rPr>
        </w:r>
        <w:r>
          <w:rPr>
            <w:sz w:val="18"/>
            <w:szCs w:val="18"/>
          </w:rPr>
          <w:tab/>
        </w:r>
        <w:r>
          <w:rPr>
            <w:sz w:val="18"/>
            <w:szCs w:val="18"/>
          </w:rPr>
          <w:fldChar w:fldCharType="begin"/>
          <w:instrText xml:space="preserve">PAGEREF _Toc31 \h</w:instrText>
          <w:fldChar w:fldCharType="separate"/>
          <w:t xml:space="preserve">31</w:t>
          <w:fldChar w:fldCharType="end"/>
        </w:r>
      </w:hyperlink>
      <w:r>
        <w:rPr>
          <w:rFonts w:ascii="Arial" w:hAnsi="Arial" w:cs="Arial"/>
          <w:sz w:val="18"/>
          <w:szCs w:val="18"/>
        </w:rPr>
      </w:r>
      <w:r>
        <w:rPr>
          <w:rFonts w:ascii="Arial" w:hAnsi="Arial" w:cs="Arial"/>
          <w:sz w:val="18"/>
          <w:szCs w:val="18"/>
        </w:rPr>
      </w:r>
    </w:p>
    <w:p w14:paraId="13C09D0A">
      <w:pPr>
        <w:pStyle w:val="2046"/>
        <w:pBdr/>
        <w:tabs>
          <w:tab w:val="right" w:leader="dot" w:pos="9771"/>
        </w:tabs>
        <w:spacing/>
        <w:ind/>
        <w:rPr>
          <w:rFonts w:ascii="Arial" w:hAnsi="Arial" w:cs="Arial"/>
          <w:b/>
          <w:bCs/>
          <w:sz w:val="18"/>
          <w:szCs w:val="18"/>
        </w:rPr>
      </w:pPr>
      <w:r/>
      <w:hyperlink w:tooltip="#_Toc32" w:anchor="_Toc32" w:history="1">
        <w:r>
          <w:rPr>
            <w:rStyle w:val="994"/>
            <w:sz w:val="18"/>
            <w:szCs w:val="18"/>
          </w:rPr>
        </w:r>
        <w:r>
          <w:rPr>
            <w:rStyle w:val="994"/>
            <w:rFonts w:ascii="Arial" w:hAnsi="Arial" w:eastAsia="Arial" w:cs="Arial"/>
            <w:b/>
            <w:bCs/>
            <w:sz w:val="18"/>
            <w:szCs w:val="18"/>
          </w:rPr>
          <w:t xml:space="preserve">33.</w:t>
        </w:r>
        <w:r>
          <w:rPr>
            <w:rStyle w:val="994"/>
            <w:rFonts w:ascii="Arial" w:hAnsi="Arial" w:eastAsia="Arial" w:cs="Arial"/>
            <w:b/>
            <w:sz w:val="18"/>
            <w:szCs w:val="18"/>
          </w:rPr>
          <w:t xml:space="preserve"> </w:t>
        </w:r>
        <w:r>
          <w:rPr>
            <w:rStyle w:val="994"/>
            <w:rFonts w:ascii="Arial" w:hAnsi="Arial" w:eastAsia="Arial" w:cs="Arial"/>
            <w:b/>
            <w:sz w:val="18"/>
            <w:szCs w:val="18"/>
          </w:rPr>
          <w:t xml:space="preserve">DA FORMA, CONDIÇÕES, PRAZOS DE PAGAMENTO</w:t>
        </w:r>
        <w:r>
          <w:rPr>
            <w:rStyle w:val="994"/>
            <w:rFonts w:ascii="Arial" w:hAnsi="Arial" w:eastAsia="Arial" w:cs="Arial"/>
            <w:b/>
            <w:bCs/>
            <w:sz w:val="18"/>
            <w:szCs w:val="18"/>
          </w:rPr>
          <w:t xml:space="preserve">:</w:t>
        </w:r>
        <w:r>
          <w:rPr>
            <w:rStyle w:val="994"/>
            <w:rFonts w:ascii="Arial" w:hAnsi="Arial" w:cs="Arial"/>
            <w:b/>
            <w:bCs/>
            <w:sz w:val="18"/>
            <w:szCs w:val="18"/>
          </w:rPr>
        </w:r>
        <w:r>
          <w:rPr>
            <w:sz w:val="18"/>
            <w:szCs w:val="18"/>
          </w:rPr>
          <w:tab/>
        </w:r>
        <w:r>
          <w:rPr>
            <w:sz w:val="18"/>
            <w:szCs w:val="18"/>
          </w:rPr>
          <w:fldChar w:fldCharType="begin"/>
          <w:instrText xml:space="preserve">PAGEREF _Toc32 \h</w:instrText>
          <w:fldChar w:fldCharType="separate"/>
          <w:t xml:space="preserve">31</w:t>
          <w:fldChar w:fldCharType="end"/>
        </w:r>
      </w:hyperlink>
      <w:r>
        <w:rPr>
          <w:rFonts w:ascii="Arial" w:hAnsi="Arial" w:cs="Arial"/>
          <w:b/>
          <w:bCs/>
          <w:sz w:val="18"/>
          <w:szCs w:val="18"/>
        </w:rPr>
      </w:r>
      <w:r>
        <w:rPr>
          <w:rFonts w:ascii="Arial" w:hAnsi="Arial" w:cs="Arial"/>
          <w:b/>
          <w:bCs/>
          <w:sz w:val="18"/>
          <w:szCs w:val="18"/>
        </w:rPr>
      </w:r>
    </w:p>
    <w:p w14:paraId="5CF6B61B">
      <w:pPr>
        <w:pStyle w:val="2046"/>
        <w:pBdr/>
        <w:tabs>
          <w:tab w:val="right" w:leader="dot" w:pos="9771"/>
        </w:tabs>
        <w:spacing/>
        <w:ind/>
        <w:rPr>
          <w:rFonts w:ascii="Arial" w:hAnsi="Arial" w:cs="Arial"/>
          <w:b/>
          <w:bCs/>
          <w:sz w:val="18"/>
          <w:szCs w:val="18"/>
        </w:rPr>
      </w:pPr>
      <w:r/>
      <w:hyperlink w:tooltip="#_Toc33" w:anchor="_Toc33" w:history="1">
        <w:r>
          <w:rPr>
            <w:rStyle w:val="994"/>
            <w:sz w:val="18"/>
            <w:szCs w:val="18"/>
          </w:rPr>
        </w:r>
        <w:r>
          <w:rPr>
            <w:rStyle w:val="994"/>
            <w:rFonts w:ascii="Arial" w:hAnsi="Arial" w:eastAsia="Arial" w:cs="Arial"/>
            <w:b/>
            <w:bCs/>
            <w:sz w:val="18"/>
            <w:szCs w:val="18"/>
          </w:rPr>
          <w:t xml:space="preserve">34.</w:t>
        </w:r>
        <w:r>
          <w:rPr>
            <w:rStyle w:val="994"/>
            <w:rFonts w:ascii="Arial" w:hAnsi="Arial" w:eastAsia="Arial" w:cs="Arial"/>
            <w:b/>
            <w:sz w:val="18"/>
            <w:szCs w:val="18"/>
          </w:rPr>
          <w:t xml:space="preserve"> DAS INFRAÇÕES ADMINISTRATIVAS E SANÇÕES REFERENTE A LICITAÇÃO</w:t>
        </w:r>
        <w:r>
          <w:rPr>
            <w:rStyle w:val="994"/>
            <w:rFonts w:ascii="Arial" w:hAnsi="Arial" w:eastAsia="Arial" w:cs="Arial"/>
            <w:b/>
            <w:bCs/>
            <w:sz w:val="18"/>
            <w:szCs w:val="18"/>
          </w:rPr>
          <w:t xml:space="preserve">:</w:t>
        </w:r>
        <w:r>
          <w:rPr>
            <w:rStyle w:val="994"/>
            <w:rFonts w:ascii="Arial" w:hAnsi="Arial" w:cs="Arial"/>
            <w:b/>
            <w:bCs/>
            <w:sz w:val="18"/>
            <w:szCs w:val="18"/>
          </w:rPr>
        </w:r>
        <w:r>
          <w:rPr>
            <w:sz w:val="18"/>
            <w:szCs w:val="18"/>
          </w:rPr>
          <w:tab/>
        </w:r>
        <w:r>
          <w:rPr>
            <w:sz w:val="18"/>
            <w:szCs w:val="18"/>
          </w:rPr>
          <w:fldChar w:fldCharType="begin"/>
          <w:instrText xml:space="preserve">PAGEREF _Toc33 \h</w:instrText>
          <w:fldChar w:fldCharType="separate"/>
          <w:t xml:space="preserve">32</w:t>
          <w:fldChar w:fldCharType="end"/>
        </w:r>
      </w:hyperlink>
      <w:r>
        <w:rPr>
          <w:rFonts w:ascii="Arial" w:hAnsi="Arial" w:cs="Arial"/>
          <w:b/>
          <w:bCs/>
          <w:sz w:val="18"/>
          <w:szCs w:val="18"/>
        </w:rPr>
      </w:r>
      <w:r>
        <w:rPr>
          <w:rFonts w:ascii="Arial" w:hAnsi="Arial" w:cs="Arial"/>
          <w:b/>
          <w:bCs/>
          <w:sz w:val="18"/>
          <w:szCs w:val="18"/>
        </w:rPr>
      </w:r>
    </w:p>
    <w:p w14:paraId="4E8D3F03">
      <w:pPr>
        <w:pStyle w:val="2046"/>
        <w:pBdr/>
        <w:tabs>
          <w:tab w:val="right" w:leader="dot" w:pos="9771"/>
        </w:tabs>
        <w:spacing/>
        <w:ind/>
        <w:rPr>
          <w:rFonts w:ascii="Arial" w:hAnsi="Arial" w:cs="Arial"/>
          <w:b/>
          <w:bCs/>
          <w:sz w:val="18"/>
          <w:szCs w:val="18"/>
        </w:rPr>
      </w:pPr>
      <w:r/>
      <w:hyperlink w:tooltip="#_Toc34" w:anchor="_Toc34" w:history="1">
        <w:r>
          <w:rPr>
            <w:rStyle w:val="994"/>
            <w:sz w:val="18"/>
            <w:szCs w:val="18"/>
          </w:rPr>
        </w:r>
        <w:r>
          <w:rPr>
            <w:rStyle w:val="994"/>
            <w:rFonts w:ascii="Arial" w:hAnsi="Arial" w:eastAsia="Arial" w:cs="Arial"/>
            <w:b/>
            <w:bCs/>
            <w:sz w:val="18"/>
            <w:szCs w:val="18"/>
          </w:rPr>
          <w:t xml:space="preserve">35.</w:t>
        </w:r>
        <w:r>
          <w:rPr>
            <w:rStyle w:val="994"/>
            <w:rFonts w:ascii="Arial" w:hAnsi="Arial" w:eastAsia="Arial" w:cs="Arial"/>
            <w:b/>
            <w:sz w:val="18"/>
            <w:szCs w:val="18"/>
          </w:rPr>
          <w:t xml:space="preserve">  DA IMPUGNAÇÃO AO EDITAL E DO PEDIDO DE ESCLARECIMENTO</w:t>
        </w:r>
        <w:r>
          <w:rPr>
            <w:rStyle w:val="994"/>
            <w:rFonts w:ascii="Arial" w:hAnsi="Arial" w:eastAsia="Arial" w:cs="Arial"/>
            <w:b/>
            <w:bCs/>
            <w:sz w:val="18"/>
            <w:szCs w:val="18"/>
          </w:rPr>
          <w:t xml:space="preserve">:</w:t>
        </w:r>
        <w:r>
          <w:rPr>
            <w:rStyle w:val="994"/>
            <w:rFonts w:ascii="Arial" w:hAnsi="Arial" w:cs="Arial"/>
            <w:b/>
            <w:bCs/>
            <w:sz w:val="18"/>
            <w:szCs w:val="18"/>
          </w:rPr>
        </w:r>
        <w:r>
          <w:rPr>
            <w:sz w:val="18"/>
            <w:szCs w:val="18"/>
          </w:rPr>
          <w:tab/>
        </w:r>
        <w:r>
          <w:rPr>
            <w:sz w:val="18"/>
            <w:szCs w:val="18"/>
          </w:rPr>
          <w:fldChar w:fldCharType="begin"/>
          <w:instrText xml:space="preserve">PAGEREF _Toc34 \h</w:instrText>
          <w:fldChar w:fldCharType="separate"/>
          <w:t xml:space="preserve">34</w:t>
          <w:fldChar w:fldCharType="end"/>
        </w:r>
      </w:hyperlink>
      <w:r>
        <w:rPr>
          <w:rFonts w:ascii="Arial" w:hAnsi="Arial" w:cs="Arial"/>
          <w:b/>
          <w:bCs/>
          <w:sz w:val="18"/>
          <w:szCs w:val="18"/>
        </w:rPr>
      </w:r>
      <w:r>
        <w:rPr>
          <w:rFonts w:ascii="Arial" w:hAnsi="Arial" w:cs="Arial"/>
          <w:b/>
          <w:bCs/>
          <w:sz w:val="18"/>
          <w:szCs w:val="18"/>
        </w:rPr>
      </w:r>
    </w:p>
    <w:p w14:paraId="2A7AED70">
      <w:pPr>
        <w:pStyle w:val="2046"/>
        <w:pBdr/>
        <w:tabs>
          <w:tab w:val="right" w:leader="dot" w:pos="9771"/>
        </w:tabs>
        <w:spacing/>
        <w:ind/>
        <w:rPr>
          <w:rFonts w:ascii="Arial" w:hAnsi="Arial" w:cs="Arial"/>
          <w:b/>
          <w:bCs/>
          <w:sz w:val="18"/>
          <w:szCs w:val="18"/>
        </w:rPr>
      </w:pPr>
      <w:r/>
      <w:hyperlink w:tooltip="#_Toc35" w:anchor="_Toc35" w:history="1">
        <w:r>
          <w:rPr>
            <w:rStyle w:val="994"/>
            <w:sz w:val="18"/>
            <w:szCs w:val="18"/>
          </w:rPr>
        </w:r>
        <w:r>
          <w:rPr>
            <w:rStyle w:val="994"/>
            <w:rFonts w:ascii="Arial" w:hAnsi="Arial" w:eastAsia="Arial" w:cs="Arial"/>
            <w:b/>
            <w:bCs/>
            <w:sz w:val="18"/>
            <w:szCs w:val="18"/>
          </w:rPr>
          <w:t xml:space="preserve">36.</w:t>
        </w:r>
        <w:r>
          <w:rPr>
            <w:rStyle w:val="994"/>
            <w:rFonts w:ascii="Arial" w:hAnsi="Arial" w:eastAsia="Arial" w:cs="Arial"/>
            <w:b/>
            <w:sz w:val="18"/>
            <w:szCs w:val="18"/>
          </w:rPr>
          <w:t xml:space="preserve"> DAS DISPOSIÇÕES GERAIS</w:t>
        </w:r>
        <w:r>
          <w:rPr>
            <w:rStyle w:val="994"/>
            <w:rFonts w:ascii="Arial" w:hAnsi="Arial" w:eastAsia="Arial" w:cs="Arial"/>
            <w:b/>
            <w:bCs/>
            <w:sz w:val="18"/>
            <w:szCs w:val="18"/>
          </w:rPr>
          <w:t xml:space="preserve">:</w:t>
        </w:r>
        <w:r>
          <w:rPr>
            <w:rStyle w:val="994"/>
            <w:rFonts w:ascii="Arial" w:hAnsi="Arial" w:cs="Arial"/>
            <w:b/>
            <w:bCs/>
            <w:sz w:val="18"/>
            <w:szCs w:val="18"/>
          </w:rPr>
        </w:r>
        <w:r>
          <w:rPr>
            <w:sz w:val="18"/>
            <w:szCs w:val="18"/>
          </w:rPr>
          <w:tab/>
        </w:r>
        <w:r>
          <w:rPr>
            <w:sz w:val="18"/>
            <w:szCs w:val="18"/>
          </w:rPr>
          <w:fldChar w:fldCharType="begin"/>
          <w:instrText xml:space="preserve">PAGEREF _Toc35 \h</w:instrText>
          <w:fldChar w:fldCharType="separate"/>
          <w:t xml:space="preserve">35</w:t>
          <w:fldChar w:fldCharType="end"/>
        </w:r>
      </w:hyperlink>
      <w:r>
        <w:rPr>
          <w:rFonts w:ascii="Arial" w:hAnsi="Arial" w:cs="Arial"/>
          <w:b/>
          <w:bCs/>
          <w:sz w:val="18"/>
          <w:szCs w:val="18"/>
        </w:rPr>
      </w:r>
      <w:r>
        <w:rPr>
          <w:rFonts w:ascii="Arial" w:hAnsi="Arial" w:cs="Arial"/>
          <w:b/>
          <w:bCs/>
          <w:sz w:val="18"/>
          <w:szCs w:val="18"/>
        </w:rPr>
      </w:r>
    </w:p>
    <w:p w14:paraId="0987ABDA">
      <w:pPr>
        <w:pStyle w:val="2046"/>
        <w:pBdr/>
        <w:tabs>
          <w:tab w:val="right" w:leader="dot" w:pos="9771"/>
        </w:tabs>
        <w:spacing/>
        <w:ind/>
        <w:rPr>
          <w:rFonts w:ascii="Arial" w:hAnsi="Arial" w:cs="Arial"/>
          <w:b/>
          <w:bCs/>
          <w:sz w:val="18"/>
          <w:szCs w:val="18"/>
        </w:rPr>
      </w:pPr>
      <w:r/>
      <w:hyperlink w:tooltip="#_Toc36" w:anchor="_Toc36" w:history="1">
        <w:r>
          <w:rPr>
            <w:rStyle w:val="994"/>
            <w:sz w:val="18"/>
            <w:szCs w:val="18"/>
          </w:rPr>
        </w:r>
        <w:r>
          <w:rPr>
            <w:rStyle w:val="994"/>
            <w:rFonts w:ascii="Arial" w:hAnsi="Arial" w:eastAsia="Arial" w:cs="Arial"/>
            <w:b/>
            <w:bCs/>
            <w:sz w:val="18"/>
            <w:szCs w:val="18"/>
          </w:rPr>
          <w:t xml:space="preserve">37.</w:t>
        </w:r>
        <w:r>
          <w:rPr>
            <w:rStyle w:val="994"/>
            <w:rFonts w:ascii="Arial" w:hAnsi="Arial" w:eastAsia="Arial" w:cs="Arial"/>
            <w:b/>
            <w:sz w:val="18"/>
            <w:szCs w:val="18"/>
          </w:rPr>
          <w:t xml:space="preserve"> </w:t>
        </w:r>
        <w:r>
          <w:rPr>
            <w:rStyle w:val="994"/>
            <w:rFonts w:ascii="Arial" w:hAnsi="Arial" w:eastAsia="Arial" w:cs="Arial"/>
            <w:b/>
            <w:sz w:val="18"/>
            <w:szCs w:val="18"/>
          </w:rPr>
          <w:t xml:space="preserve"> INTEGRAM ESTE EDITAL, PARA TODOS OS FINS E EFEITOS, OS SEGUINTES ANEXOS</w:t>
        </w:r>
        <w:r>
          <w:rPr>
            <w:rStyle w:val="994"/>
            <w:rFonts w:ascii="Arial" w:hAnsi="Arial" w:eastAsia="Arial" w:cs="Arial"/>
            <w:b/>
            <w:bCs/>
            <w:sz w:val="18"/>
            <w:szCs w:val="18"/>
          </w:rPr>
          <w:t xml:space="preserve">:</w:t>
        </w:r>
        <w:r>
          <w:rPr>
            <w:rStyle w:val="994"/>
            <w:rFonts w:ascii="Arial" w:hAnsi="Arial" w:cs="Arial"/>
            <w:b/>
            <w:bCs/>
            <w:sz w:val="18"/>
            <w:szCs w:val="18"/>
          </w:rPr>
        </w:r>
        <w:r>
          <w:rPr>
            <w:sz w:val="18"/>
            <w:szCs w:val="18"/>
          </w:rPr>
          <w:tab/>
        </w:r>
        <w:r>
          <w:rPr>
            <w:sz w:val="18"/>
            <w:szCs w:val="18"/>
          </w:rPr>
          <w:fldChar w:fldCharType="begin"/>
          <w:instrText xml:space="preserve">PAGEREF _Toc36 \h</w:instrText>
          <w:fldChar w:fldCharType="separate"/>
          <w:t xml:space="preserve">36</w:t>
          <w:fldChar w:fldCharType="end"/>
        </w:r>
      </w:hyperlink>
      <w:r>
        <w:rPr>
          <w:rFonts w:ascii="Arial" w:hAnsi="Arial" w:cs="Arial"/>
          <w:b/>
          <w:bCs/>
          <w:sz w:val="18"/>
          <w:szCs w:val="18"/>
        </w:rPr>
      </w:r>
      <w:r>
        <w:rPr>
          <w:rFonts w:ascii="Arial" w:hAnsi="Arial" w:cs="Arial"/>
          <w:b/>
          <w:bCs/>
          <w:sz w:val="18"/>
          <w:szCs w:val="18"/>
        </w:rPr>
      </w:r>
    </w:p>
    <w:p w14:paraId="2B0E1111">
      <w:pPr>
        <w:pStyle w:val="2046"/>
        <w:pBdr/>
        <w:tabs>
          <w:tab w:val="right" w:leader="dot" w:pos="9771"/>
        </w:tabs>
        <w:spacing/>
        <w:ind/>
        <w:rPr>
          <w:rFonts w:ascii="Arial" w:hAnsi="Arial" w:cs="Arial"/>
          <w:sz w:val="18"/>
          <w:szCs w:val="18"/>
        </w:rPr>
      </w:pPr>
      <w:r/>
      <w:hyperlink w:tooltip="#_Toc37" w:anchor="_Toc37" w:history="1">
        <w:r>
          <w:rPr>
            <w:rFonts w:ascii="Arial" w:hAnsi="Arial" w:eastAsia="NSimSun" w:cs="Arial"/>
            <w:sz w:val="18"/>
            <w:szCs w:val="18"/>
          </w:rPr>
        </w:r>
        <w:r>
          <w:rPr>
            <w:rStyle w:val="994"/>
            <w:sz w:val="18"/>
            <w:szCs w:val="18"/>
          </w:rPr>
        </w:r>
        <w:r>
          <w:rPr>
            <w:rStyle w:val="994"/>
            <w:rFonts w:ascii="Arial" w:hAnsi="Arial" w:eastAsia="Arial" w:cs="Arial"/>
            <w:sz w:val="18"/>
            <w:szCs w:val="18"/>
          </w:rPr>
          <w:t xml:space="preserve">ANEXO I: TERMO DE REFERÊNCIA.</w:t>
        </w:r>
        <w:r>
          <w:rPr>
            <w:rStyle w:val="994"/>
            <w:rFonts w:ascii="Arial" w:hAnsi="Arial" w:cs="Arial"/>
            <w:sz w:val="18"/>
            <w:szCs w:val="18"/>
          </w:rPr>
        </w:r>
        <w:r>
          <w:rPr>
            <w:sz w:val="18"/>
            <w:szCs w:val="18"/>
          </w:rPr>
          <w:tab/>
        </w:r>
        <w:r>
          <w:rPr>
            <w:sz w:val="18"/>
            <w:szCs w:val="18"/>
          </w:rPr>
          <w:fldChar w:fldCharType="begin"/>
          <w:instrText xml:space="preserve">PAGEREF _Toc37 \h</w:instrText>
          <w:fldChar w:fldCharType="separate"/>
          <w:t xml:space="preserve">37</w:t>
          <w:fldChar w:fldCharType="end"/>
        </w:r>
      </w:hyperlink>
      <w:r>
        <w:rPr>
          <w:rFonts w:ascii="Arial" w:hAnsi="Arial" w:cs="Arial"/>
          <w:sz w:val="18"/>
          <w:szCs w:val="18"/>
        </w:rPr>
      </w:r>
      <w:r>
        <w:rPr>
          <w:rFonts w:ascii="Arial" w:hAnsi="Arial" w:cs="Arial"/>
          <w:sz w:val="18"/>
          <w:szCs w:val="18"/>
        </w:rPr>
      </w:r>
    </w:p>
    <w:p w14:paraId="0C8E455C">
      <w:pPr>
        <w:pStyle w:val="2046"/>
        <w:pBdr/>
        <w:tabs>
          <w:tab w:val="right" w:leader="dot" w:pos="9771"/>
        </w:tabs>
        <w:spacing/>
        <w:ind/>
        <w:rPr>
          <w:rFonts w:ascii="Arial" w:hAnsi="Arial" w:cs="Arial"/>
          <w:sz w:val="18"/>
          <w:szCs w:val="18"/>
        </w:rPr>
      </w:pPr>
      <w:r/>
      <w:hyperlink w:tooltip="#_Toc38" w:anchor="_Toc38" w:history="1">
        <w:r>
          <w:rPr>
            <w:rFonts w:ascii="Arial" w:hAnsi="Arial" w:eastAsia="NSimSun" w:cs="Arial"/>
            <w:sz w:val="18"/>
            <w:szCs w:val="18"/>
          </w:rPr>
        </w:r>
        <w:r>
          <w:rPr>
            <w:rStyle w:val="994"/>
            <w:sz w:val="18"/>
            <w:szCs w:val="18"/>
          </w:rPr>
        </w:r>
        <w:r>
          <w:rPr>
            <w:rStyle w:val="994"/>
            <w:rFonts w:ascii="Arial" w:hAnsi="Arial" w:eastAsia="Arial" w:cs="Arial"/>
            <w:sz w:val="18"/>
            <w:szCs w:val="18"/>
          </w:rPr>
          <w:t xml:space="preserve">ANEXO II: MINUTA DA ATA DE REGISTRO DE PREÇOS.</w:t>
        </w:r>
        <w:r>
          <w:rPr>
            <w:rStyle w:val="994"/>
            <w:rFonts w:ascii="Arial" w:hAnsi="Arial" w:cs="Arial"/>
            <w:sz w:val="18"/>
            <w:szCs w:val="18"/>
          </w:rPr>
        </w:r>
        <w:r>
          <w:rPr>
            <w:sz w:val="18"/>
            <w:szCs w:val="18"/>
          </w:rPr>
          <w:tab/>
        </w:r>
        <w:r>
          <w:rPr>
            <w:sz w:val="18"/>
            <w:szCs w:val="18"/>
          </w:rPr>
          <w:fldChar w:fldCharType="begin"/>
          <w:instrText xml:space="preserve">PAGEREF _Toc38 \h</w:instrText>
          <w:fldChar w:fldCharType="separate"/>
          <w:t xml:space="preserve">64</w:t>
          <w:fldChar w:fldCharType="end"/>
        </w:r>
      </w:hyperlink>
      <w:r>
        <w:rPr>
          <w:rFonts w:ascii="Arial" w:hAnsi="Arial" w:cs="Arial"/>
          <w:sz w:val="18"/>
          <w:szCs w:val="18"/>
        </w:rPr>
      </w:r>
      <w:r>
        <w:rPr>
          <w:rFonts w:ascii="Arial" w:hAnsi="Arial" w:cs="Arial"/>
          <w:sz w:val="18"/>
          <w:szCs w:val="18"/>
        </w:rPr>
      </w:r>
    </w:p>
    <w:p w14:paraId="336E4C29">
      <w:pPr>
        <w:pStyle w:val="2046"/>
        <w:pBdr/>
        <w:tabs>
          <w:tab w:val="right" w:leader="dot" w:pos="9771"/>
        </w:tabs>
        <w:spacing/>
        <w:ind/>
        <w:rPr>
          <w:rFonts w:ascii="Arial" w:hAnsi="Arial" w:cs="Arial"/>
          <w:sz w:val="18"/>
          <w:szCs w:val="18"/>
        </w:rPr>
      </w:pPr>
      <w:r/>
      <w:hyperlink w:tooltip="#_Toc39" w:anchor="_Toc39" w:history="1">
        <w:r>
          <w:rPr>
            <w:rFonts w:ascii="Arial" w:hAnsi="Arial" w:eastAsia="NSimSun" w:cs="Arial"/>
            <w:sz w:val="18"/>
            <w:szCs w:val="18"/>
          </w:rPr>
        </w:r>
        <w:r>
          <w:rPr>
            <w:rStyle w:val="994"/>
            <w:sz w:val="18"/>
            <w:szCs w:val="18"/>
          </w:rPr>
        </w:r>
        <w:r>
          <w:rPr>
            <w:rStyle w:val="994"/>
            <w:rFonts w:ascii="Arial" w:hAnsi="Arial" w:eastAsia="Arial" w:cs="Arial"/>
            <w:sz w:val="18"/>
            <w:szCs w:val="18"/>
          </w:rPr>
          <w:t xml:space="preserve">ANEXO III: MINUTA DO CONTRATO.</w:t>
        </w:r>
        <w:r>
          <w:rPr>
            <w:rStyle w:val="994"/>
            <w:rFonts w:ascii="Arial" w:hAnsi="Arial" w:cs="Arial"/>
            <w:sz w:val="18"/>
            <w:szCs w:val="18"/>
          </w:rPr>
        </w:r>
        <w:r>
          <w:rPr>
            <w:sz w:val="18"/>
            <w:szCs w:val="18"/>
          </w:rPr>
          <w:tab/>
        </w:r>
        <w:r>
          <w:rPr>
            <w:sz w:val="18"/>
            <w:szCs w:val="18"/>
          </w:rPr>
          <w:fldChar w:fldCharType="begin"/>
          <w:instrText xml:space="preserve">PAGEREF _Toc39 \h</w:instrText>
          <w:fldChar w:fldCharType="separate"/>
          <w:t xml:space="preserve">75</w:t>
          <w:fldChar w:fldCharType="end"/>
        </w:r>
      </w:hyperlink>
      <w:r>
        <w:rPr>
          <w:rFonts w:ascii="Arial" w:hAnsi="Arial" w:cs="Arial"/>
          <w:sz w:val="18"/>
          <w:szCs w:val="18"/>
        </w:rPr>
      </w:r>
      <w:r>
        <w:rPr>
          <w:rFonts w:ascii="Arial" w:hAnsi="Arial" w:cs="Arial"/>
          <w:sz w:val="18"/>
          <w:szCs w:val="18"/>
        </w:rPr>
      </w:r>
    </w:p>
    <w:p w14:paraId="2688D032">
      <w:pPr>
        <w:pStyle w:val="2046"/>
        <w:pBdr/>
        <w:tabs>
          <w:tab w:val="right" w:leader="dot" w:pos="9771"/>
        </w:tabs>
        <w:spacing/>
        <w:ind/>
        <w:rPr>
          <w:rFonts w:ascii="Arial" w:hAnsi="Arial" w:cs="Arial"/>
          <w:sz w:val="18"/>
          <w:szCs w:val="18"/>
        </w:rPr>
      </w:pPr>
      <w:r/>
      <w:hyperlink w:tooltip="#_Toc40" w:anchor="_Toc40" w:history="1">
        <w:r>
          <w:rPr>
            <w:rFonts w:ascii="Arial" w:hAnsi="Arial" w:eastAsia="NSimSun" w:cs="Arial"/>
            <w:sz w:val="18"/>
            <w:szCs w:val="18"/>
          </w:rPr>
        </w:r>
        <w:r>
          <w:rPr>
            <w:rStyle w:val="994"/>
            <w:sz w:val="18"/>
            <w:szCs w:val="18"/>
          </w:rPr>
        </w:r>
        <w:r>
          <w:rPr>
            <w:rStyle w:val="994"/>
            <w:rFonts w:ascii="Arial" w:hAnsi="Arial" w:eastAsia="Arial" w:cs="Arial"/>
            <w:sz w:val="18"/>
            <w:szCs w:val="18"/>
          </w:rPr>
          <w:t xml:space="preserve">ANEXO IV: </w:t>
        </w:r>
        <w:r>
          <w:rPr>
            <w:rStyle w:val="994"/>
            <w:rFonts w:ascii="Arial" w:hAnsi="Arial" w:eastAsia="Arial" w:cs="Arial"/>
            <w:sz w:val="18"/>
            <w:szCs w:val="18"/>
          </w:rPr>
          <w:t xml:space="preserve">MODELO DE PROPOSTA COMERCIAL.</w:t>
        </w:r>
        <w:r>
          <w:rPr>
            <w:rStyle w:val="994"/>
            <w:rFonts w:ascii="Arial" w:hAnsi="Arial" w:cs="Arial"/>
            <w:sz w:val="18"/>
            <w:szCs w:val="18"/>
          </w:rPr>
        </w:r>
        <w:r>
          <w:rPr>
            <w:sz w:val="18"/>
            <w:szCs w:val="18"/>
          </w:rPr>
          <w:tab/>
        </w:r>
        <w:r>
          <w:rPr>
            <w:sz w:val="18"/>
            <w:szCs w:val="18"/>
          </w:rPr>
          <w:fldChar w:fldCharType="begin"/>
          <w:instrText xml:space="preserve">PAGEREF _Toc40 \h</w:instrText>
          <w:fldChar w:fldCharType="separate"/>
          <w:t xml:space="preserve">91</w:t>
          <w:fldChar w:fldCharType="end"/>
        </w:r>
      </w:hyperlink>
      <w:r>
        <w:rPr>
          <w:rFonts w:ascii="Arial" w:hAnsi="Arial" w:cs="Arial"/>
          <w:sz w:val="18"/>
          <w:szCs w:val="18"/>
        </w:rPr>
      </w:r>
      <w:r>
        <w:rPr>
          <w:rFonts w:ascii="Arial" w:hAnsi="Arial" w:cs="Arial"/>
          <w:sz w:val="18"/>
          <w:szCs w:val="18"/>
        </w:rPr>
      </w:r>
    </w:p>
    <w:p w14:paraId="50C1B98A">
      <w:pPr>
        <w:pStyle w:val="2046"/>
        <w:pBdr/>
        <w:tabs>
          <w:tab w:val="right" w:leader="dot" w:pos="9771"/>
        </w:tabs>
        <w:spacing/>
        <w:ind/>
        <w:rPr>
          <w:rFonts w:ascii="Arial" w:hAnsi="Arial" w:cs="Arial"/>
          <w:sz w:val="18"/>
          <w:szCs w:val="18"/>
        </w:rPr>
      </w:pPr>
      <w:r/>
      <w:hyperlink w:tooltip="#_Toc41" w:anchor="_Toc41" w:history="1">
        <w:r>
          <w:rPr>
            <w:rFonts w:ascii="Arial" w:hAnsi="Arial" w:eastAsia="NSimSun" w:cs="Arial"/>
            <w:sz w:val="18"/>
            <w:szCs w:val="18"/>
          </w:rPr>
        </w:r>
        <w:r>
          <w:rPr>
            <w:rStyle w:val="994"/>
            <w:sz w:val="18"/>
            <w:szCs w:val="18"/>
          </w:rPr>
        </w:r>
        <w:r>
          <w:rPr>
            <w:rStyle w:val="994"/>
            <w:rFonts w:ascii="Arial" w:hAnsi="Arial" w:eastAsia="Arial" w:cs="Arial"/>
            <w:sz w:val="18"/>
            <w:szCs w:val="18"/>
          </w:rPr>
          <w:t xml:space="preserve">ANEXO V: MODELO CREDENCIAMENTO E COMPROVAÇÕES COMPLEMENTARES ESPECIAIS.</w:t>
        </w:r>
        <w:r>
          <w:rPr>
            <w:rStyle w:val="994"/>
            <w:rFonts w:ascii="Arial" w:hAnsi="Arial" w:cs="Arial"/>
            <w:sz w:val="18"/>
            <w:szCs w:val="18"/>
          </w:rPr>
        </w:r>
        <w:r>
          <w:rPr>
            <w:sz w:val="18"/>
            <w:szCs w:val="18"/>
          </w:rPr>
          <w:tab/>
        </w:r>
        <w:r>
          <w:rPr>
            <w:sz w:val="18"/>
            <w:szCs w:val="18"/>
          </w:rPr>
          <w:fldChar w:fldCharType="begin"/>
          <w:instrText xml:space="preserve">PAGEREF _Toc41 \h</w:instrText>
          <w:fldChar w:fldCharType="separate"/>
          <w:t xml:space="preserve">92</w:t>
          <w:fldChar w:fldCharType="end"/>
        </w:r>
      </w:hyperlink>
      <w:r>
        <w:rPr>
          <w:rFonts w:ascii="Arial" w:hAnsi="Arial" w:cs="Arial"/>
          <w:sz w:val="18"/>
          <w:szCs w:val="18"/>
        </w:rPr>
      </w:r>
      <w:r>
        <w:rPr>
          <w:rFonts w:ascii="Arial" w:hAnsi="Arial" w:cs="Arial"/>
          <w:sz w:val="18"/>
          <w:szCs w:val="18"/>
        </w:rPr>
      </w:r>
    </w:p>
    <w:p w14:paraId="520DEE48">
      <w:pPr>
        <w:pStyle w:val="2046"/>
        <w:pBdr/>
        <w:tabs>
          <w:tab w:val="right" w:leader="dot" w:pos="9771"/>
        </w:tabs>
        <w:spacing/>
        <w:ind/>
        <w:rPr>
          <w:rFonts w:ascii="Arial" w:hAnsi="Arial" w:cs="Arial"/>
          <w:sz w:val="18"/>
          <w:szCs w:val="18"/>
        </w:rPr>
      </w:pPr>
      <w:r/>
      <w:hyperlink w:tooltip="#_Toc42" w:anchor="_Toc42" w:history="1">
        <w:r>
          <w:rPr>
            <w:rFonts w:ascii="Arial" w:hAnsi="Arial" w:eastAsia="NSimSun" w:cs="Arial"/>
            <w:sz w:val="18"/>
            <w:szCs w:val="18"/>
          </w:rPr>
        </w:r>
        <w:r>
          <w:rPr>
            <w:rStyle w:val="994"/>
            <w:sz w:val="18"/>
            <w:szCs w:val="18"/>
          </w:rPr>
        </w:r>
        <w:r>
          <w:rPr>
            <w:rStyle w:val="994"/>
            <w:rFonts w:ascii="Arial" w:hAnsi="Arial" w:eastAsia="Arial" w:cs="Arial"/>
            <w:sz w:val="18"/>
            <w:szCs w:val="18"/>
          </w:rPr>
          <w:t xml:space="preserve">ANEXO VI: FICHA DE ATUALIZAÇÃO CADASTRAL.</w:t>
        </w:r>
        <w:r>
          <w:rPr>
            <w:rStyle w:val="994"/>
            <w:rFonts w:ascii="Arial" w:hAnsi="Arial" w:cs="Arial"/>
            <w:sz w:val="18"/>
            <w:szCs w:val="18"/>
          </w:rPr>
        </w:r>
        <w:r>
          <w:rPr>
            <w:sz w:val="18"/>
            <w:szCs w:val="18"/>
          </w:rPr>
          <w:tab/>
        </w:r>
        <w:r>
          <w:rPr>
            <w:sz w:val="18"/>
            <w:szCs w:val="18"/>
          </w:rPr>
          <w:fldChar w:fldCharType="begin"/>
          <w:instrText xml:space="preserve">PAGEREF _Toc42 \h</w:instrText>
          <w:fldChar w:fldCharType="separate"/>
          <w:t xml:space="preserve">93</w:t>
          <w:fldChar w:fldCharType="end"/>
        </w:r>
      </w:hyperlink>
      <w:r>
        <w:rPr>
          <w:rFonts w:ascii="Arial" w:hAnsi="Arial" w:cs="Arial"/>
          <w:sz w:val="18"/>
          <w:szCs w:val="18"/>
        </w:rPr>
      </w:r>
      <w:r>
        <w:rPr>
          <w:rFonts w:ascii="Arial" w:hAnsi="Arial" w:cs="Arial"/>
          <w:sz w:val="18"/>
          <w:szCs w:val="18"/>
        </w:rPr>
      </w:r>
    </w:p>
    <w:p w14:paraId="660154C9">
      <w:pPr>
        <w:pStyle w:val="2046"/>
        <w:pBdr/>
        <w:tabs>
          <w:tab w:val="clear" w:leader="none" w:pos="708"/>
          <w:tab w:val="right" w:leader="dot" w:pos="9771"/>
        </w:tabs>
        <w:spacing/>
        <w:ind/>
        <w:rPr>
          <w:rFonts w:ascii="Arial" w:hAnsi="Arial" w:cs="Arial"/>
          <w:sz w:val="18"/>
          <w:szCs w:val="18"/>
        </w:rPr>
      </w:pPr>
      <w:r>
        <w:rPr>
          <w:rFonts w:ascii="Arial" w:hAnsi="Arial" w:eastAsia="Arial" w:cs="Arial"/>
          <w:sz w:val="18"/>
          <w:szCs w:val="18"/>
        </w:rPr>
      </w:r>
      <w:r>
        <w:rPr>
          <w:rFonts w:ascii="Arial" w:hAnsi="Arial" w:eastAsia="Arial" w:cs="Arial"/>
          <w:sz w:val="18"/>
          <w:szCs w:val="18"/>
        </w:rPr>
        <w:fldChar w:fldCharType="end"/>
      </w:r>
      <w:r>
        <w:rPr>
          <w:rFonts w:ascii="Arial" w:hAnsi="Arial" w:eastAsia="Arial" w:cs="Arial"/>
          <w:b/>
          <w:bCs/>
          <w:color w:val="000000"/>
        </w:rPr>
        <w:t xml:space="preserve">1. PREÂMBULO:</w:t>
      </w:r>
      <w:r>
        <w:rPr>
          <w:rFonts w:ascii="Arial" w:hAnsi="Arial" w:cs="Arial"/>
          <w:sz w:val="18"/>
          <w:szCs w:val="18"/>
        </w:rPr>
      </w:r>
    </w:p>
    <w:p>
      <w:pPr>
        <w:pStyle w:val="887"/>
        <w:pBdr/>
        <w:spacing/>
        <w:ind/>
        <w:jc w:val="both"/>
        <w:rPr>
          <w:rFonts w:ascii="Arial" w:hAnsi="Arial" w:cs="Arial"/>
          <w:b/>
          <w:bCs/>
        </w:rPr>
      </w:pPr>
      <w:r>
        <w:rPr>
          <w:rFonts w:ascii="Arial" w:hAnsi="Arial" w:eastAsia="Arial" w:cs="Arial"/>
          <w:b/>
          <w:bCs/>
        </w:rPr>
      </w:r>
      <w:r>
        <w:rPr>
          <w:rFonts w:ascii="Arial" w:hAnsi="Arial" w:cs="Arial"/>
          <w:b/>
          <w:bCs/>
        </w:rPr>
      </w:r>
      <w:r>
        <w:rPr>
          <w:rFonts w:ascii="Arial" w:hAnsi="Arial" w:cs="Arial"/>
          <w:b/>
          <w:bCs/>
        </w:rPr>
      </w:r>
    </w:p>
    <w:p>
      <w:pPr>
        <w:pStyle w:val="887"/>
        <w:numPr>
          <w:ilvl w:val="1"/>
          <w:numId w:val="7"/>
        </w:numPr>
        <w:pBdr/>
        <w:tabs>
          <w:tab w:val="clear" w:leader="none" w:pos="708"/>
        </w:tabs>
        <w:spacing/>
        <w:ind/>
        <w:jc w:val="both"/>
        <w:rPr>
          <w:rFonts w:ascii="Arial" w:hAnsi="Arial" w:cs="Arial"/>
          <w:b/>
          <w:bCs/>
        </w:rPr>
      </w:pPr>
      <w:r>
        <w:rPr>
          <w:rFonts w:ascii="Arial" w:hAnsi="Arial" w:eastAsia="Arial" w:cs="Arial"/>
          <w:b/>
          <w:bCs/>
        </w:rPr>
        <w:t xml:space="preserve">1.1. EDITAL DE LICITAÇÃO: PREGÃO ELETRÔNICO N.º 44/2026, PROCESSO Nº 347/2026.</w:t>
      </w:r>
      <w:r>
        <w:rPr>
          <w:rFonts w:ascii="Arial" w:hAnsi="Arial" w:cs="Arial"/>
          <w:b/>
          <w:bCs/>
        </w:rPr>
      </w:r>
      <w:r>
        <w:rPr>
          <w:rFonts w:ascii="Arial" w:hAnsi="Arial" w:cs="Arial"/>
          <w:b/>
          <w:bCs/>
        </w:rPr>
      </w:r>
    </w:p>
    <w:p>
      <w:pPr>
        <w:pStyle w:val="887"/>
        <w:pBdr/>
        <w:spacing/>
        <w:ind/>
        <w:jc w:val="both"/>
        <w:rPr>
          <w:rFonts w:ascii="Arial" w:hAnsi="Arial" w:cs="Arial"/>
          <w:b/>
          <w:bCs/>
        </w:rPr>
      </w:pPr>
      <w:r>
        <w:rPr>
          <w:rFonts w:ascii="Arial" w:hAnsi="Arial" w:eastAsia="Arial" w:cs="Arial"/>
          <w:b/>
          <w:bCs/>
        </w:rPr>
      </w:r>
      <w:r>
        <w:rPr>
          <w:rFonts w:ascii="Arial" w:hAnsi="Arial" w:cs="Arial"/>
          <w:b/>
          <w:bCs/>
        </w:rPr>
      </w:r>
      <w:r>
        <w:rPr>
          <w:rFonts w:ascii="Arial" w:hAnsi="Arial" w:cs="Arial"/>
          <w:b/>
          <w:bCs/>
        </w:rPr>
      </w:r>
    </w:p>
    <w:p>
      <w:pPr>
        <w:pStyle w:val="887"/>
        <w:pBdr/>
        <w:spacing/>
        <w:ind/>
        <w:jc w:val="both"/>
        <w:rPr>
          <w:rFonts w:ascii="Arial" w:hAnsi="Arial" w:cs="Arial"/>
        </w:rPr>
      </w:pPr>
      <w:r>
        <w:rPr>
          <w:rFonts w:ascii="Arial" w:hAnsi="Arial" w:eastAsia="Arial" w:cs="Arial"/>
          <w:b/>
          <w:bCs/>
        </w:rPr>
        <w:t xml:space="preserve">1.2. CRITÉRIO DE JULGAMENTO DA LICITAÇÃO</w:t>
      </w:r>
      <w:r>
        <w:rPr>
          <w:rFonts w:ascii="Arial" w:hAnsi="Arial" w:eastAsia="Arial" w:cs="Arial"/>
        </w:rPr>
        <w:t xml:space="preserve">: </w:t>
      </w:r>
      <w:r>
        <w:rPr>
          <w:rFonts w:ascii="Arial" w:hAnsi="Arial" w:cs="Arial"/>
        </w:rPr>
      </w:r>
      <w:r>
        <w:rPr>
          <w:rFonts w:ascii="Arial" w:hAnsi="Arial" w:cs="Arial"/>
        </w:rPr>
      </w:r>
    </w:p>
    <w:p>
      <w:pPr>
        <w:pStyle w:val="887"/>
        <w:pBdr/>
        <w:spacing/>
        <w:ind w:left="284"/>
        <w:jc w:val="both"/>
        <w:rPr>
          <w:rFonts w:ascii="Arial" w:hAnsi="Arial" w:cs="Arial"/>
          <w:b/>
          <w:bCs/>
        </w:rPr>
      </w:pPr>
      <w:r>
        <w:rPr>
          <w:rFonts w:ascii="Arial" w:hAnsi="Arial" w:eastAsia="Arial" w:cs="Arial"/>
          <w:b/>
          <w:bCs/>
        </w:rPr>
      </w:r>
      <w:r>
        <w:rPr>
          <w:rFonts w:ascii="Arial" w:hAnsi="Arial" w:cs="Arial"/>
          <w:b/>
          <w:bCs/>
        </w:rPr>
      </w:r>
      <w:r>
        <w:rPr>
          <w:rFonts w:ascii="Arial" w:hAnsi="Arial" w:cs="Arial"/>
          <w:b/>
          <w:bCs/>
        </w:rPr>
      </w:r>
    </w:p>
    <w:p>
      <w:pPr>
        <w:pStyle w:val="887"/>
        <w:pBdr/>
        <w:spacing/>
        <w:ind/>
        <w:jc w:val="both"/>
        <w:rPr>
          <w:rFonts w:ascii="Arial" w:hAnsi="Arial" w:cs="Arial"/>
          <w:b/>
          <w:bCs/>
          <w:color w:val="000000"/>
        </w:rPr>
      </w:pPr>
      <w:r>
        <w:rPr>
          <w:rFonts w:ascii="Arial" w:hAnsi="Arial" w:eastAsia="Arial" w:cs="Arial"/>
          <w:b/>
          <w:bCs/>
          <w:color w:val="000000"/>
        </w:rPr>
        <w:t xml:space="preserve">1.2.1. MENOR PREÇO POR LOTE.</w:t>
      </w:r>
      <w:r>
        <w:rPr>
          <w:rFonts w:ascii="Arial" w:hAnsi="Arial" w:cs="Arial"/>
          <w:b/>
          <w:bCs/>
          <w:color w:val="000000"/>
        </w:rPr>
      </w:r>
      <w:r>
        <w:rPr>
          <w:rFonts w:ascii="Arial" w:hAnsi="Arial" w:cs="Arial"/>
          <w:b/>
          <w:bCs/>
          <w:color w:val="000000"/>
        </w:rPr>
      </w:r>
    </w:p>
    <w:p>
      <w:pPr>
        <w:pStyle w:val="887"/>
        <w:pBdr/>
        <w:spacing/>
        <w:ind w:right="99" w:left="284"/>
        <w:jc w:val="both"/>
        <w:rPr>
          <w:rFonts w:ascii="Arial" w:hAnsi="Arial" w:cs="Arial"/>
          <w:b/>
          <w:bCs/>
          <w:color w:val="000000"/>
        </w:rPr>
      </w:pPr>
      <w:r>
        <w:rPr>
          <w:rFonts w:ascii="Arial" w:hAnsi="Arial" w:eastAsia="Arial" w:cs="Arial"/>
          <w:b/>
          <w:bCs/>
          <w:color w:val="000000"/>
        </w:rPr>
        <w:t xml:space="preserve"> </w:t>
      </w:r>
      <w:r>
        <w:rPr>
          <w:rFonts w:ascii="Arial" w:hAnsi="Arial" w:cs="Arial"/>
          <w:b/>
          <w:bCs/>
          <w:color w:val="000000"/>
        </w:rPr>
      </w:r>
      <w:r>
        <w:rPr>
          <w:rFonts w:ascii="Arial" w:hAnsi="Arial" w:cs="Arial"/>
          <w:b/>
          <w:bCs/>
          <w:color w:val="000000"/>
        </w:rPr>
      </w:r>
    </w:p>
    <w:p>
      <w:pPr>
        <w:pStyle w:val="887"/>
        <w:pBdr/>
        <w:spacing/>
        <w:ind/>
        <w:jc w:val="both"/>
        <w:rPr>
          <w:rFonts w:ascii="Arial" w:hAnsi="Arial" w:eastAsia="Arial" w:cs="Arial"/>
          <w:b/>
          <w:bCs/>
          <w:highlight w:val="none"/>
        </w:rPr>
      </w:pPr>
      <w:r>
        <w:rPr>
          <w:rFonts w:ascii="Arial" w:hAnsi="Arial" w:eastAsia="Arial" w:cs="Arial"/>
          <w:b/>
          <w:bCs/>
        </w:rPr>
        <w:t xml:space="preserve">1.3. Data:</w:t>
      </w:r>
      <w:r>
        <w:rPr>
          <w:rFonts w:ascii="Arial" w:hAnsi="Arial" w:eastAsia="Arial" w:cs="Arial"/>
          <w:b/>
          <w:bCs/>
          <w:color w:val="ff0000"/>
        </w:rPr>
        <w:t xml:space="preserve"> 07/10/2026</w:t>
      </w:r>
      <w:r>
        <w:rPr>
          <w:rFonts w:ascii="Arial" w:hAnsi="Arial" w:eastAsia="Arial" w:cs="Arial"/>
          <w:b/>
          <w:bCs/>
          <w:color w:val="000000"/>
        </w:rPr>
        <w:t xml:space="preserve">,</w:t>
      </w:r>
      <w:r>
        <w:rPr>
          <w:rFonts w:ascii="Arial" w:hAnsi="Arial" w:eastAsia="Arial" w:cs="Arial"/>
          <w:b/>
          <w:bCs/>
        </w:rPr>
        <w:t xml:space="preserve"> Horário Brasília: </w:t>
      </w:r>
      <w:r>
        <w:rPr>
          <w:rFonts w:ascii="Arial" w:hAnsi="Arial" w:eastAsia="Arial" w:cs="Arial"/>
          <w:b/>
          <w:bCs/>
          <w:color w:val="000000"/>
        </w:rPr>
        <w:t xml:space="preserve">09:30hs</w:t>
      </w:r>
      <w:r>
        <w:rPr>
          <w:rFonts w:ascii="Arial" w:hAnsi="Arial" w:eastAsia="Arial" w:cs="Arial"/>
          <w:b/>
          <w:bCs/>
        </w:rPr>
        <w:t xml:space="preserve">, Endereço: Prefeitura Municipal de Rondonópolis - Estado de Mato Grosso, Avenida Duque de Caxias n.º 1.000, Cep.: 78.740-022, Bairro: Vila Aurora - Sala de Licitações – PISO SUPERIOR.</w:t>
      </w:r>
      <w:r>
        <w:rPr>
          <w:rFonts w:ascii="Arial" w:hAnsi="Arial" w:cs="Arial"/>
          <w:b/>
          <w:bCs/>
        </w:rPr>
      </w:r>
      <w:r>
        <w:rPr>
          <w:rFonts w:ascii="Arial" w:hAnsi="Arial" w:eastAsia="Arial" w:cs="Arial"/>
          <w:b/>
          <w:bCs/>
          <w:highlight w:val="none"/>
        </w:rPr>
      </w:r>
    </w:p>
    <w:p w14:paraId="0A1CDE40">
      <w:pPr>
        <w:pBdr/>
        <w:spacing/>
        <w:ind/>
        <w:jc w:val="both"/>
        <w:rPr>
          <w:rFonts w:ascii="Arial" w:hAnsi="Arial" w:eastAsia="Arial" w:cs="Arial"/>
          <w:b/>
          <w:bCs/>
          <w14:ligatures w14:val="none"/>
        </w:rPr>
      </w:pPr>
      <w:r>
        <w:rPr>
          <w:rFonts w:ascii="Arial" w:hAnsi="Arial" w:eastAsia="Arial" w:cs="Arial"/>
          <w:b/>
          <w:bCs/>
        </w:rPr>
      </w:r>
      <w:r>
        <w:rPr>
          <w:rFonts w:ascii="Arial" w:hAnsi="Arial" w:eastAsia="Arial" w:cs="Arial"/>
          <w:b/>
          <w:bCs/>
        </w:rPr>
      </w:r>
      <w:r>
        <w:rPr>
          <w:rFonts w:ascii="Arial" w:hAnsi="Arial" w:eastAsia="Arial" w:cs="Arial"/>
          <w:b/>
          <w:bCs/>
          <w14:ligatures w14:val="none"/>
        </w:rPr>
      </w:r>
    </w:p>
    <w:p w14:paraId="1E9AF6A0">
      <w:pPr>
        <w:pBdr/>
        <w:spacing/>
        <w:ind/>
        <w:jc w:val="both"/>
        <w:rPr>
          <w:rFonts w:ascii="Arial" w:hAnsi="Arial" w:eastAsia="Arial" w:cs="Arial"/>
          <w:highlight w:val="none"/>
          <w14:ligatures w14:val="none"/>
        </w:rPr>
      </w:pPr>
      <w:r>
        <w:rPr>
          <w:rFonts w:ascii="Arial" w:hAnsi="Arial" w:eastAsia="Arial" w:cs="Arial"/>
          <w:b/>
          <w:bCs/>
        </w:rPr>
        <w:t xml:space="preserve">1.3.</w:t>
      </w:r>
      <w:r>
        <w:rPr>
          <w:rFonts w:ascii="Arial" w:hAnsi="Arial" w:eastAsia="Arial" w:cs="Arial"/>
          <w:b/>
          <w:bCs/>
        </w:rPr>
        <w:t xml:space="preserve">1 </w:t>
      </w:r>
      <w:r>
        <w:rPr>
          <w:rFonts w:ascii="Arial" w:hAnsi="Arial" w:eastAsia="Arial" w:cs="Arial"/>
        </w:rPr>
        <w:t xml:space="preserve">O Edital e seus anexos serão disponibilizados na Plataforma BLL, no sítio eletrônico oficial do Município de Rondonópolis/MT e no Portal Nacional de Contratações Públicas – PNCP, observadas as demais formas de publicidade legalmente exigidas.</w:t>
      </w:r>
      <w:r>
        <w:rPr>
          <w:rFonts w:ascii="Arial" w:hAnsi="Arial" w:eastAsia="Arial" w:cs="Arial"/>
          <w14:ligatures w14:val="none"/>
        </w:rPr>
      </w:r>
      <w:r>
        <w:rPr>
          <w:rFonts w:ascii="Arial" w:hAnsi="Arial" w:eastAsia="Arial" w:cs="Arial"/>
          <w:highlight w:val="none"/>
          <w14:ligatures w14:val="none"/>
        </w:rPr>
      </w:r>
    </w:p>
    <w:p>
      <w:pPr>
        <w:pStyle w:val="887"/>
        <w:pBdr/>
        <w:spacing/>
        <w:ind w:left="284"/>
        <w:jc w:val="both"/>
        <w:rPr>
          <w:rFonts w:ascii="Arial" w:hAnsi="Arial" w:cs="Arial"/>
          <w:bCs/>
          <w:color w:val="000000"/>
        </w:rPr>
      </w:pPr>
      <w:r>
        <w:rPr>
          <w:rFonts w:ascii="Arial" w:hAnsi="Arial" w:eastAsia="Arial" w:cs="Arial"/>
          <w:bCs/>
          <w:color w:val="000000"/>
        </w:rPr>
      </w:r>
      <w:r>
        <w:rPr>
          <w:rFonts w:ascii="Arial" w:hAnsi="Arial" w:cs="Arial"/>
          <w:bCs/>
          <w:color w:val="000000"/>
        </w:rPr>
      </w:r>
      <w:r>
        <w:rPr>
          <w:rFonts w:ascii="Arial" w:hAnsi="Arial" w:cs="Arial"/>
          <w:bCs/>
          <w:color w:val="000000"/>
        </w:rPr>
      </w:r>
    </w:p>
    <w:p>
      <w:pPr>
        <w:pStyle w:val="2318"/>
        <w:pBdr/>
        <w:spacing/>
        <w:ind/>
        <w:jc w:val="both"/>
        <w:rPr>
          <w:rFonts w:ascii="Arial" w:hAnsi="Arial" w:cs="Arial"/>
        </w:rPr>
      </w:pPr>
      <w:r>
        <w:rPr>
          <w:rFonts w:ascii="Arial" w:hAnsi="Arial" w:eastAsia="Arial" w:cs="Arial"/>
          <w:b/>
          <w:bCs/>
        </w:rPr>
        <w:t xml:space="preserve">1.4.</w:t>
      </w:r>
      <w:r>
        <w:rPr>
          <w:rFonts w:ascii="Arial" w:hAnsi="Arial" w:eastAsia="Arial" w:cs="Arial"/>
        </w:rPr>
        <w:t xml:space="preserve"> O Pregão Eletr</w:t>
      </w:r>
      <w:r>
        <w:rPr>
          <w:rFonts w:ascii="Arial" w:hAnsi="Arial" w:eastAsia="Arial" w:cs="Arial"/>
        </w:rPr>
        <w:t xml:space="preserve">ônico será realizado em sessão pública, por meio da INTERNET, mediante condições de segurança - criptografia e autenticação em todas as suas fases. Os trabalhos serão conduzidos por servidor integrante do quadro efetivo da Prefeitura Municipal, denominado </w:t>
      </w:r>
      <w:r>
        <w:rPr>
          <w:rFonts w:ascii="Arial" w:hAnsi="Arial" w:eastAsia="Arial" w:cs="Arial"/>
          <w:b/>
          <w:bCs/>
        </w:rPr>
        <w:t xml:space="preserve">Pregoeiro</w:t>
      </w:r>
      <w:r>
        <w:rPr>
          <w:rFonts w:ascii="Arial" w:hAnsi="Arial" w:eastAsia="Arial" w:cs="Arial"/>
        </w:rPr>
        <w:t xml:space="preserve">, mediante a inserção e monitoramento de dados gerados ou transferidos para o aplicativo, constante da página eletrônica da </w:t>
      </w:r>
      <w:r>
        <w:rPr>
          <w:rFonts w:ascii="Arial" w:hAnsi="Arial" w:eastAsia="Arial" w:cs="Arial"/>
          <w:b/>
          <w:bCs/>
        </w:rPr>
        <w:t xml:space="preserve">BLL– Bolsa de Licitações e Leilões: </w:t>
      </w:r>
      <w:hyperlink r:id="rId14" w:tooltip="http://www.bllcompras.org.br/" w:history="1">
        <w:r>
          <w:rPr>
            <w:rFonts w:ascii="Arial" w:hAnsi="Arial" w:eastAsia="Arial" w:cs="Arial"/>
            <w:b/>
            <w:bCs/>
            <w:color w:val="0000ff"/>
            <w:u w:val="single"/>
          </w:rPr>
          <w:t xml:space="preserve">bllcompras.com</w:t>
        </w:r>
      </w:hyperlink>
      <w:r>
        <w:rPr>
          <w:rFonts w:ascii="Arial" w:hAnsi="Arial" w:eastAsia="Arial" w:cs="Arial"/>
        </w:rPr>
        <w:t xml:space="preserve">. A utilização do sistema de pregão eletrônico da Bolsa de Licitações e Leilões do Brasil está consubstanciada nos § 1º, 2º e 3º do Artigo 87 do Decreto nº 11.685, de 18 de setembro de 2023.</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t xml:space="preserve">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bCs/>
        </w:rPr>
        <w:t xml:space="preserve">1.5.</w:t>
      </w:r>
      <w:r>
        <w:rPr>
          <w:rFonts w:ascii="Arial" w:hAnsi="Arial" w:eastAsia="Arial" w:cs="Arial"/>
        </w:rPr>
        <w:t xml:space="preserve"> O número da Licitação no </w:t>
      </w:r>
      <w:r>
        <w:rPr>
          <w:rFonts w:ascii="Arial" w:hAnsi="Arial" w:eastAsia="Arial" w:cs="Arial"/>
          <w:b/>
          <w:bCs/>
        </w:rPr>
        <w:t xml:space="preserve">site da BLL é Pregão Eletrônico n.º 44/2026 e Processo n.º 347/2026</w:t>
      </w:r>
      <w:r>
        <w:rPr>
          <w:rFonts w:ascii="Arial" w:hAnsi="Arial" w:eastAsia="Arial" w:cs="Arial"/>
        </w:rPr>
        <w:t xml:space="preserve"> e nome utilizado é </w:t>
      </w:r>
      <w:r>
        <w:rPr>
          <w:rFonts w:ascii="Arial" w:hAnsi="Arial" w:eastAsia="Arial" w:cs="Arial"/>
          <w:b/>
          <w:bCs/>
        </w:rPr>
        <w:t xml:space="preserve">Prefeitura Municipal de Rondonópolis – MT.</w:t>
      </w:r>
      <w:r>
        <w:rPr>
          <w:rFonts w:ascii="Arial" w:hAnsi="Arial" w:cs="Arial"/>
        </w:rPr>
      </w:r>
      <w:r>
        <w:rPr>
          <w:rFonts w:ascii="Arial" w:hAnsi="Arial" w:cs="Arial"/>
        </w:rPr>
      </w:r>
    </w:p>
    <w:p>
      <w:pPr>
        <w:pStyle w:val="887"/>
        <w:pBdr/>
        <w:spacing/>
        <w:ind/>
        <w:jc w:val="both"/>
        <w:rPr>
          <w:rFonts w:ascii="Arial" w:hAnsi="Arial" w:cs="Arial"/>
          <w:b/>
          <w:bCs/>
        </w:rPr>
      </w:pPr>
      <w:r>
        <w:rPr>
          <w:rFonts w:ascii="Arial" w:hAnsi="Arial" w:eastAsia="Arial" w:cs="Arial"/>
          <w:b/>
          <w:bCs/>
        </w:rPr>
      </w:r>
      <w:r>
        <w:rPr>
          <w:rFonts w:ascii="Arial" w:hAnsi="Arial" w:cs="Arial"/>
          <w:b/>
          <w:bCs/>
        </w:rPr>
      </w:r>
      <w:r>
        <w:rPr>
          <w:rFonts w:ascii="Arial" w:hAnsi="Arial" w:cs="Arial"/>
          <w:b/>
          <w:bCs/>
        </w:rPr>
      </w:r>
    </w:p>
    <w:p>
      <w:pPr>
        <w:pStyle w:val="2318"/>
        <w:pBdr/>
        <w:spacing/>
        <w:ind/>
        <w:jc w:val="both"/>
        <w:rPr>
          <w:rFonts w:ascii="Arial" w:hAnsi="Arial" w:cs="Arial"/>
          <w:highlight w:val="none"/>
          <w14:ligatures w14:val="none"/>
        </w:rPr>
      </w:pPr>
      <w:r>
        <w:rPr>
          <w:rFonts w:ascii="Arial" w:hAnsi="Arial" w:eastAsia="Arial" w:cs="Arial"/>
          <w:b/>
          <w:bCs/>
          <w:color w:val="000000"/>
        </w:rPr>
        <w:t xml:space="preserve">1.6. FUNDAMENTO LEGAL: </w:t>
      </w:r>
      <w:r>
        <w:rPr>
          <w:rFonts w:ascii="Arial" w:hAnsi="Arial" w:eastAsia="Arial" w:cs="Arial"/>
        </w:rPr>
        <w:t xml:space="preserve">O</w:t>
      </w:r>
      <w:r>
        <w:rPr>
          <w:rFonts w:ascii="Arial" w:hAnsi="Arial" w:eastAsia="Arial" w:cs="Arial"/>
        </w:rPr>
        <w:t xml:space="preserve"> Município de Rondonópolis, Estado de Mato Grosso, mediante ao (a) Pregoeiro (a) e Equipe de Apoio</w:t>
      </w:r>
      <w:r>
        <w:rPr>
          <w:rFonts w:ascii="Arial" w:hAnsi="Arial" w:eastAsia="Arial" w:cs="Arial"/>
        </w:rPr>
        <w:t xml:space="preserve">, designados</w:t>
      </w:r>
      <w:r>
        <w:rPr>
          <w:rFonts w:ascii="Arial" w:hAnsi="Arial" w:eastAsia="Arial" w:cs="Arial"/>
        </w:rPr>
        <w:t xml:space="preserve"> pela Portaria nº </w:t>
      </w:r>
      <w:r>
        <w:rPr>
          <w:rFonts w:ascii="Arial" w:hAnsi="Arial" w:eastAsia="Arial" w:cs="Arial"/>
        </w:rPr>
        <w:t xml:space="preserve">41.146</w:t>
      </w:r>
      <w:r>
        <w:rPr>
          <w:rFonts w:ascii="Arial" w:hAnsi="Arial" w:eastAsia="Arial" w:cs="Arial"/>
        </w:rPr>
        <w:t xml:space="preserve"> de 01</w:t>
      </w:r>
      <w:r>
        <w:rPr>
          <w:rFonts w:ascii="Arial" w:hAnsi="Arial" w:eastAsia="Arial" w:cs="Arial"/>
        </w:rPr>
        <w:t xml:space="preserve"> de Abril de 2026,</w:t>
      </w:r>
      <w:r>
        <w:rPr>
          <w:rFonts w:ascii="Arial" w:hAnsi="Arial" w:eastAsia="Arial" w:cs="Arial"/>
        </w:rPr>
        <w:t xml:space="preserve"> </w:t>
      </w:r>
      <w:r>
        <w:rPr>
          <w:rFonts w:ascii="Arial" w:hAnsi="Arial" w:eastAsia="Arial" w:cs="Arial"/>
        </w:rPr>
        <w:t xml:space="preserve">torna público para conhecimento dos inter</w:t>
      </w:r>
      <w:r>
        <w:rPr>
          <w:rFonts w:ascii="Arial" w:hAnsi="Arial" w:eastAsia="Arial" w:cs="Arial"/>
        </w:rPr>
        <w:t xml:space="preserve">essados</w:t>
      </w:r>
      <w:r>
        <w:rPr>
          <w:rFonts w:ascii="Arial" w:hAnsi="Arial" w:eastAsia="Arial" w:cs="Arial"/>
        </w:rPr>
        <w:t xml:space="preserve"> que est</w:t>
      </w:r>
      <w:r>
        <w:rPr>
          <w:rFonts w:ascii="Arial" w:hAnsi="Arial" w:eastAsia="Arial" w:cs="Arial"/>
        </w:rPr>
        <w:t xml:space="preserve">e </w:t>
      </w:r>
      <w:r>
        <w:rPr>
          <w:rFonts w:ascii="Arial" w:hAnsi="Arial" w:eastAsia="Arial" w:cs="Arial"/>
        </w:rPr>
        <w:t xml:space="preserve">procedimento licitatório será regido pela Lei Federal nº 14.133, de 1º de abril de 2021, pelo Decreto Municipal nº 11.685/2023, pela Lei Complementar nº 123/2006, pela legislação municipal aplicável, </w:t>
      </w:r>
      <w:r>
        <w:rPr>
          <w:rFonts w:ascii="Arial" w:hAnsi="Arial" w:eastAsia="Arial" w:cs="Arial"/>
        </w:rPr>
        <w:t xml:space="preserve">observadas as condições estabelecidas neste Edital e em seus Anexos</w:t>
      </w:r>
      <w:r>
        <w:rPr>
          <w:rFonts w:ascii="Arial" w:hAnsi="Arial" w:eastAsia="Arial" w:cs="Arial"/>
        </w:rPr>
        <w:t xml:space="preserve">.</w:t>
      </w:r>
      <w:r>
        <w:rPr>
          <w:rFonts w:ascii="Arial" w:hAnsi="Arial" w:cs="Arial"/>
          <w14:ligatures w14:val="none"/>
        </w:rPr>
      </w:r>
      <w:r>
        <w:rPr>
          <w:rFonts w:ascii="Arial" w:hAnsi="Arial" w:cs="Arial"/>
          <w:highlight w:val="none"/>
          <w14:ligatures w14:val="none"/>
        </w:rPr>
      </w:r>
    </w:p>
    <w:p w14:paraId="334E0E3E">
      <w:pPr>
        <w:pStyle w:val="2318"/>
        <w:pBdr/>
        <w:spacing/>
        <w:ind/>
        <w:jc w:val="both"/>
        <w:rPr>
          <w:rFonts w:ascii="Arial" w:hAnsi="Arial" w:cs="Arial"/>
          <w14:ligatures w14:val="none"/>
        </w:rPr>
      </w:pPr>
      <w:r>
        <w:rPr>
          <w:rFonts w:ascii="Arial" w:hAnsi="Arial" w:cs="Arial"/>
          <w14:ligatures w14:val="none"/>
        </w:rPr>
      </w:r>
      <w:r>
        <w:rPr>
          <w:rFonts w:ascii="Arial" w:hAnsi="Arial" w:cs="Arial"/>
          <w14:ligatures w14:val="none"/>
        </w:rPr>
      </w:r>
      <w:r>
        <w:rPr>
          <w:rFonts w:ascii="Arial" w:hAnsi="Arial" w:cs="Arial"/>
          <w14:ligatures w14:val="none"/>
        </w:rPr>
      </w:r>
    </w:p>
    <w:p>
      <w:pPr>
        <w:pStyle w:val="887"/>
        <w:numPr>
          <w:ilvl w:val="0"/>
          <w:numId w:val="0"/>
        </w:numPr>
        <w:pBdr/>
        <w:spacing/>
        <w:ind/>
        <w:jc w:val="both"/>
        <w:outlineLvl w:val="0"/>
        <w:rPr>
          <w:rFonts w:ascii="Arial" w:hAnsi="Arial" w:cs="Arial"/>
          <w:b/>
          <w:bCs/>
          <w:color w:val="000000"/>
        </w:rPr>
      </w:pPr>
      <w:r/>
      <w:bookmarkStart w:id="64" w:name="_Toc1"/>
      <w:r>
        <w:rPr>
          <w:rFonts w:ascii="Arial" w:hAnsi="Arial" w:eastAsia="Arial" w:cs="Arial"/>
          <w:b/>
          <w:bCs/>
          <w:color w:val="000000"/>
        </w:rPr>
        <w:t xml:space="preserve">2. DO OBJETO:</w:t>
      </w:r>
      <w:bookmarkEnd w:id="64"/>
      <w:r>
        <w:rPr>
          <w:rFonts w:ascii="Arial" w:hAnsi="Arial" w:cs="Arial"/>
          <w:b/>
          <w:bCs/>
          <w:color w:val="000000"/>
        </w:rPr>
      </w:r>
      <w:r>
        <w:rPr>
          <w:rFonts w:ascii="Arial" w:hAnsi="Arial" w:cs="Arial"/>
          <w:b/>
          <w:bCs/>
          <w:color w:val="000000"/>
        </w:rPr>
      </w:r>
    </w:p>
    <w:p>
      <w:pPr>
        <w:pStyle w:val="887"/>
        <w:pBdr/>
        <w:spacing/>
        <w:ind w:right="99"/>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2.1.</w:t>
      </w:r>
      <w:r>
        <w:rPr>
          <w:rFonts w:ascii="Arial" w:hAnsi="Arial" w:eastAsia="Arial" w:cs="Arial"/>
          <w:color w:val="000000"/>
        </w:rPr>
        <w:t xml:space="preserve"> O objeto da presente licitação é </w:t>
      </w:r>
      <w:r>
        <w:rPr>
          <w:rFonts w:ascii="Arial" w:hAnsi="Arial" w:eastAsia="Arial" w:cs="Arial"/>
          <w:b/>
          <w:bCs/>
          <w:color w:val="000000"/>
        </w:rPr>
        <w:t xml:space="preserve"> REGISTRO DE PREÇOS PARA FUTURA E E</w:t>
      </w:r>
      <w:r>
        <w:rPr>
          <w:rFonts w:ascii="Arial" w:hAnsi="Arial" w:eastAsia="Arial" w:cs="Arial"/>
          <w:b/>
          <w:bCs/>
          <w:color w:val="000000"/>
        </w:rPr>
        <w:t xml:space="preserve">VENTUAL AQUISIÇÃO DE TUBOS E AGULHAS PARA COLETA DE SANGUE A VÁCUO LABORATORIAL, DE USO CONTÍNUO, PARA ATENDER AS DEMANDAS DA SECRETARIA MUNICIPAL DE SAÚDE DE RONDONÓPOLIS - MT, CONFORME ESPECIFICAÇÕES E QUANTITATIVOS ESTABELECIDOS NO EDITAL E SEUS ANEXOS.</w:t>
      </w:r>
      <w:r>
        <w:rPr>
          <w:rFonts w:ascii="Arial" w:hAnsi="Arial" w:cs="Arial"/>
        </w:rPr>
      </w:r>
      <w:r>
        <w:rPr>
          <w:rFonts w:ascii="Arial" w:hAnsi="Arial" w:cs="Arial"/>
        </w:rPr>
      </w:r>
    </w:p>
    <w:p>
      <w:pPr>
        <w:pStyle w:val="887"/>
        <w:pBdr/>
        <w:spacing/>
        <w:ind w:left="284"/>
        <w:jc w:val="both"/>
        <w:rPr>
          <w:rFonts w:ascii="Arial" w:hAnsi="Arial" w:cs="Arial"/>
          <w:bCs/>
          <w:color w:val="000000"/>
        </w:rPr>
      </w:pPr>
      <w:r>
        <w:rPr>
          <w:rFonts w:ascii="Arial" w:hAnsi="Arial" w:eastAsia="Arial" w:cs="Arial"/>
          <w:bCs/>
          <w:color w:val="000000"/>
        </w:rPr>
      </w:r>
      <w:r>
        <w:rPr>
          <w:rFonts w:ascii="Arial" w:hAnsi="Arial" w:cs="Arial"/>
          <w:bCs/>
          <w:color w:val="000000"/>
        </w:rPr>
      </w:r>
      <w:r>
        <w:rPr>
          <w:rFonts w:ascii="Arial" w:hAnsi="Arial" w:cs="Arial"/>
          <w:bCs/>
          <w:color w:val="000000"/>
        </w:rPr>
      </w:r>
    </w:p>
    <w:p>
      <w:pPr>
        <w:pStyle w:val="887"/>
        <w:pBdr/>
        <w:spacing/>
        <w:ind/>
        <w:jc w:val="both"/>
        <w:rPr>
          <w:rFonts w:ascii="Arial" w:hAnsi="Arial" w:cs="Arial"/>
        </w:rPr>
      </w:pPr>
      <w:r>
        <w:rPr>
          <w:rFonts w:ascii="Arial" w:hAnsi="Arial" w:eastAsia="Arial" w:cs="Arial"/>
          <w:b/>
          <w:bCs/>
        </w:rPr>
        <w:t xml:space="preserve">2.2.</w:t>
      </w:r>
      <w:r>
        <w:rPr>
          <w:rFonts w:ascii="Arial" w:hAnsi="Arial" w:eastAsia="Arial" w:cs="Arial"/>
        </w:rPr>
        <w:t xml:space="preserve"> O referido fornecimento do objeto deverá ser solicitado de forma parcial, através de ordem de fornecimento ou instrumento equivalente emitido pela contratante a contratada.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14:paraId="41713CEF">
      <w:pPr>
        <w:pBdr/>
        <w:spacing/>
        <w:ind/>
        <w:jc w:val="both"/>
        <w:rPr>
          <w:rFonts w:ascii="Arial" w:hAnsi="Arial" w:cs="Arial"/>
          <w:b/>
          <w:bCs/>
          <w:color w:val="000000"/>
          <w14:ligatures w14:val="none"/>
        </w:rPr>
      </w:pPr>
      <w:r>
        <w:rPr>
          <w:rFonts w:ascii="Arial" w:hAnsi="Arial" w:eastAsia="Arial" w:cs="Arial"/>
          <w:b/>
          <w:bCs/>
          <w:highlight w:val="none"/>
        </w:rPr>
        <w:t xml:space="preserve">2.3.</w:t>
      </w:r>
      <w:r>
        <w:rPr>
          <w:rFonts w:ascii="Arial" w:hAnsi="Arial" w:eastAsia="Arial" w:cs="Arial"/>
          <w:highlight w:val="none"/>
        </w:rPr>
        <w:t xml:space="preserve"> A presente licitação será por lote, conforme Termo de Referência e anexo Formação de Preços emitido pelo sistema, com Valor total estimado de</w:t>
      </w:r>
      <w:r>
        <w:rPr>
          <w:rFonts w:ascii="Arial" w:hAnsi="Arial" w:eastAsia="Arial" w:cs="Arial"/>
          <w:b/>
          <w:bCs/>
          <w:highlight w:val="none"/>
        </w:rPr>
        <w:t xml:space="preserve"> </w:t>
      </w:r>
      <w:r>
        <w:rPr>
          <w:rFonts w:ascii="Arial" w:hAnsi="Arial" w:eastAsia="Arial" w:cs="Arial"/>
          <w:b/>
          <w:bCs/>
          <w:color w:val="000000"/>
        </w:rPr>
        <w:t xml:space="preserve">R$ 1.405.533,00 (UM MILHÃO, QUATROCENTOS E CINCO MIL, QUINHENTOS E TRINTA E TRÊS REAIS)</w:t>
      </w:r>
      <w:r>
        <w:rPr>
          <w:rFonts w:ascii="Arial" w:hAnsi="Arial" w:eastAsia="Arial" w:cs="Arial"/>
          <w:b/>
          <w:bCs/>
          <w:color w:val="000000"/>
          <w:lang w:val="pt-BR"/>
        </w:rPr>
        <w:t xml:space="preserve">.</w:t>
      </w:r>
      <w:r>
        <w:rPr>
          <w:rFonts w:ascii="Arial" w:hAnsi="Arial" w:cs="Arial"/>
          <w:b/>
          <w:bCs/>
          <w:color w:val="000000"/>
          <w14:ligatures w14:val="none"/>
        </w:rPr>
      </w:r>
      <w:r>
        <w:rPr>
          <w:rFonts w:ascii="Arial" w:hAnsi="Arial" w:cs="Arial"/>
          <w:b/>
          <w:bCs/>
          <w:color w:val="000000"/>
          <w14:ligatures w14:val="none"/>
        </w:rPr>
      </w:r>
    </w:p>
    <w:p>
      <w:pPr>
        <w:pBdr/>
        <w:spacing/>
        <w:ind/>
        <w:jc w:val="both"/>
        <w:rPr>
          <w:rFonts w:ascii="Arial" w:hAnsi="Arial" w:cs="Arial"/>
          <w:b/>
          <w:bCs/>
          <w:color w:val="000000"/>
          <w:highlight w:val="yellow"/>
          <w14:ligatures w14:val="none"/>
        </w:rPr>
      </w:pPr>
      <w:r>
        <w:rPr>
          <w:rFonts w:ascii="Arial" w:hAnsi="Arial" w:eastAsia="Arial" w:cs="Arial"/>
          <w:b/>
          <w:bCs/>
          <w:color w:val="000000"/>
          <w:highlight w:val="yellow"/>
        </w:rPr>
      </w:r>
      <w:r>
        <w:rPr>
          <w:rFonts w:ascii="Arial" w:hAnsi="Arial" w:cs="Arial"/>
          <w:b/>
          <w:bCs/>
          <w:color w:val="000000"/>
          <w:highlight w:val="yellow"/>
          <w14:ligatures w14:val="none"/>
        </w:rPr>
      </w:r>
      <w:r>
        <w:rPr>
          <w:rFonts w:ascii="Arial" w:hAnsi="Arial" w:cs="Arial"/>
          <w:b/>
          <w:bCs/>
          <w:color w:val="000000"/>
          <w:highlight w:val="yellow"/>
          <w14:ligatures w14:val="none"/>
        </w:rPr>
      </w:r>
    </w:p>
    <w:p>
      <w:pPr>
        <w:pStyle w:val="887"/>
        <w:numPr>
          <w:ilvl w:val="0"/>
          <w:numId w:val="0"/>
        </w:numPr>
        <w:pBdr/>
        <w:spacing/>
        <w:ind/>
        <w:jc w:val="both"/>
        <w:outlineLvl w:val="0"/>
        <w:rPr>
          <w:rFonts w:ascii="Arial" w:hAnsi="Arial" w:cs="Arial"/>
          <w:b/>
          <w:bCs/>
          <w:color w:val="000000"/>
        </w:rPr>
      </w:pPr>
      <w:r/>
      <w:bookmarkStart w:id="65" w:name="_Toc2"/>
      <w:r>
        <w:rPr>
          <w:rFonts w:ascii="Arial" w:hAnsi="Arial" w:eastAsia="Arial" w:cs="Arial"/>
          <w:b/>
          <w:bCs/>
          <w:color w:val="000000"/>
        </w:rPr>
        <w:t xml:space="preserve">3. DA REFERÊNCIA DE HORÁRIO NO EDITAL: </w:t>
      </w:r>
      <w:bookmarkEnd w:id="65"/>
      <w:r>
        <w:rPr>
          <w:rFonts w:ascii="Arial" w:hAnsi="Arial" w:cs="Arial"/>
          <w:b/>
          <w:bCs/>
          <w:color w:val="000000"/>
        </w:rPr>
      </w:r>
      <w:r>
        <w:rPr>
          <w:rFonts w:ascii="Arial" w:hAnsi="Arial" w:cs="Arial"/>
          <w:b/>
          <w:bCs/>
          <w:color w:val="000000"/>
        </w:rPr>
      </w:r>
    </w:p>
    <w:p>
      <w:pPr>
        <w:pStyle w:val="887"/>
        <w:pBdr/>
        <w:spacing/>
        <w:ind/>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color w:val="000000"/>
        </w:rPr>
      </w:pPr>
      <w:r>
        <w:rPr>
          <w:rFonts w:ascii="Arial" w:hAnsi="Arial" w:eastAsia="Arial" w:cs="Arial"/>
          <w:b/>
          <w:bCs/>
          <w:color w:val="000000"/>
        </w:rPr>
        <w:t xml:space="preserve">3.1.</w:t>
      </w:r>
      <w:r>
        <w:rPr>
          <w:rFonts w:ascii="Arial" w:hAnsi="Arial" w:eastAsia="Arial" w:cs="Arial"/>
          <w:color w:val="000000"/>
        </w:rPr>
        <w:t xml:space="preserve"> Todas as referências de horário constantes do Edital, do Aviso e de quaisquer atos praticados durante a Sessão Pública observarão, obrigatoriamente, o </w:t>
      </w:r>
      <w:r>
        <w:rPr>
          <w:rFonts w:ascii="Arial" w:hAnsi="Arial" w:eastAsia="Arial" w:cs="Arial"/>
          <w:b/>
          <w:bCs/>
          <w:color w:val="000000"/>
        </w:rPr>
        <w:t xml:space="preserve">Horário de Brasília – DF</w:t>
      </w:r>
      <w:r>
        <w:rPr>
          <w:rFonts w:ascii="Arial" w:hAnsi="Arial" w:eastAsia="Arial" w:cs="Arial"/>
          <w:color w:val="000000"/>
        </w:rPr>
        <w:t xml:space="preserve">, sendo esse horário utilizado para registro no sistema eletrônico e em toda a documentação relativa ao certame.</w:t>
      </w:r>
      <w:r>
        <w:rPr>
          <w:rFonts w:ascii="Arial" w:hAnsi="Arial" w:cs="Arial"/>
          <w:color w:val="000000"/>
        </w:rPr>
      </w:r>
      <w:r>
        <w:rPr>
          <w:rFonts w:ascii="Arial" w:hAnsi="Arial" w:cs="Arial"/>
          <w:color w:val="000000"/>
        </w:rPr>
      </w:r>
    </w:p>
    <w:p>
      <w:pPr>
        <w:pStyle w:val="887"/>
        <w:pBdr/>
        <w:spacing/>
        <w:ind/>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numPr>
          <w:ilvl w:val="0"/>
          <w:numId w:val="0"/>
        </w:numPr>
        <w:pBdr/>
        <w:spacing/>
        <w:ind/>
        <w:jc w:val="both"/>
        <w:outlineLvl w:val="0"/>
        <w:rPr>
          <w:rFonts w:ascii="Arial" w:hAnsi="Arial" w:cs="Arial"/>
          <w:b/>
          <w:bCs/>
        </w:rPr>
      </w:pPr>
      <w:r/>
      <w:bookmarkStart w:id="66" w:name="_Toc3"/>
      <w:r>
        <w:rPr>
          <w:rFonts w:ascii="Arial" w:hAnsi="Arial" w:eastAsia="Arial" w:cs="Arial"/>
          <w:b/>
          <w:bCs/>
          <w:color w:val="000000"/>
        </w:rPr>
        <w:t xml:space="preserve">4. DAS CONDIÇÕES PARA PARTICIPAÇÃO NO CERTAME:</w:t>
      </w:r>
      <w:r>
        <w:rPr>
          <w:rFonts w:ascii="Arial" w:hAnsi="Arial" w:eastAsia="Arial" w:cs="Arial"/>
          <w:b/>
          <w:bCs/>
        </w:rPr>
        <w:t xml:space="preserve"> </w:t>
      </w:r>
      <w:bookmarkEnd w:id="66"/>
      <w:r>
        <w:rPr>
          <w:rFonts w:ascii="Arial" w:hAnsi="Arial" w:cs="Arial"/>
          <w:b/>
          <w:bCs/>
        </w:rPr>
      </w:r>
      <w:r>
        <w:rPr>
          <w:rFonts w:ascii="Arial" w:hAnsi="Arial" w:cs="Arial"/>
          <w:b/>
          <w:bCs/>
        </w:rPr>
      </w:r>
    </w:p>
    <w:p>
      <w:pPr>
        <w:pStyle w:val="887"/>
        <w:pBdr/>
        <w:spacing/>
        <w:ind w:left="284"/>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color w:val="000000"/>
        </w:rPr>
      </w:pPr>
      <w:r>
        <w:rPr>
          <w:rFonts w:ascii="Arial" w:hAnsi="Arial" w:eastAsia="Arial" w:cs="Arial"/>
          <w:b/>
          <w:bCs/>
          <w:color w:val="000000"/>
        </w:rPr>
        <w:t xml:space="preserve">4.1.</w:t>
      </w:r>
      <w:r>
        <w:rPr>
          <w:rFonts w:ascii="Arial" w:hAnsi="Arial" w:eastAsia="Arial" w:cs="Arial"/>
          <w:color w:val="000000"/>
        </w:rPr>
        <w:t xml:space="preserve"> A participação no certame se dará por meio da digitação da senha pessoal e intransferível do representante credenciado e subsequente encaminhamento da proposta de preços, exclusivamente, por meio do sistema eletrônico no site </w:t>
      </w:r>
      <w:r>
        <w:rPr>
          <w:rFonts w:ascii="Arial" w:hAnsi="Arial" w:eastAsia="Arial" w:cs="Arial"/>
          <w:b/>
          <w:bCs/>
          <w:color w:val="000000"/>
        </w:rPr>
        <w:t xml:space="preserve">bllcompras.com</w:t>
      </w:r>
      <w:r>
        <w:rPr>
          <w:rFonts w:ascii="Arial" w:hAnsi="Arial" w:eastAsia="Arial" w:cs="Arial"/>
          <w:color w:val="000000"/>
        </w:rPr>
        <w:t xml:space="preserve"> e ou, opção "</w:t>
      </w:r>
      <w:r>
        <w:rPr>
          <w:rFonts w:ascii="Arial" w:hAnsi="Arial" w:eastAsia="Arial" w:cs="Arial"/>
          <w:b/>
          <w:bCs/>
          <w:color w:val="000000"/>
        </w:rPr>
        <w:t xml:space="preserve">Acesso Identificado</w:t>
      </w:r>
      <w:r>
        <w:rPr>
          <w:rFonts w:ascii="Arial" w:hAnsi="Arial" w:eastAsia="Arial" w:cs="Arial"/>
          <w:color w:val="000000"/>
        </w:rPr>
        <w:t xml:space="preserve">", </w:t>
      </w:r>
      <w:r>
        <w:rPr>
          <w:rFonts w:ascii="Arial" w:hAnsi="Arial" w:eastAsia="Arial" w:cs="Arial"/>
          <w:b/>
          <w:bCs/>
          <w:color w:val="000000"/>
        </w:rPr>
        <w:t xml:space="preserve">observadas a data e horário limite estabelecido neste edital.</w:t>
      </w:r>
      <w:r>
        <w:rPr>
          <w:rFonts w:ascii="Arial" w:hAnsi="Arial" w:eastAsia="Arial" w:cs="Arial"/>
          <w:color w:val="000000"/>
        </w:rPr>
        <w:t xml:space="preserve"> (Horário de Brasília).</w:t>
      </w:r>
      <w:r>
        <w:rPr>
          <w:rFonts w:ascii="Arial" w:hAnsi="Arial" w:cs="Arial"/>
          <w:color w:val="000000"/>
        </w:rPr>
      </w:r>
      <w:r>
        <w:rPr>
          <w:rFonts w:ascii="Arial" w:hAnsi="Arial" w:cs="Arial"/>
          <w:color w:val="000000"/>
        </w:rPr>
      </w:r>
    </w:p>
    <w:p>
      <w:pPr>
        <w:pStyle w:val="887"/>
        <w:pBdr/>
        <w:spacing/>
        <w:ind/>
        <w:jc w:val="both"/>
        <w:rPr>
          <w:rFonts w:ascii="Arial" w:hAnsi="Arial" w:cs="Arial"/>
          <w:b/>
          <w:bCs/>
        </w:rPr>
      </w:pPr>
      <w:r>
        <w:rPr>
          <w:rFonts w:ascii="Arial" w:hAnsi="Arial" w:eastAsia="Arial" w:cs="Arial"/>
          <w:b/>
          <w:bCs/>
        </w:rPr>
      </w:r>
      <w:r>
        <w:rPr>
          <w:rFonts w:ascii="Arial" w:hAnsi="Arial" w:cs="Arial"/>
          <w:b/>
          <w:bCs/>
        </w:rPr>
      </w:r>
      <w:r>
        <w:rPr>
          <w:rFonts w:ascii="Arial" w:hAnsi="Arial" w:cs="Arial"/>
          <w:b/>
          <w:bCs/>
        </w:rPr>
      </w:r>
    </w:p>
    <w:p>
      <w:pPr>
        <w:pStyle w:val="887"/>
        <w:pBdr/>
        <w:spacing/>
        <w:ind/>
        <w:jc w:val="both"/>
        <w:rPr>
          <w:rFonts w:ascii="Arial" w:hAnsi="Arial" w:cs="Arial"/>
        </w:rPr>
      </w:pPr>
      <w:r>
        <w:rPr>
          <w:rFonts w:ascii="Arial" w:hAnsi="Arial" w:eastAsia="Arial" w:cs="Arial"/>
          <w:b/>
          <w:bCs/>
        </w:rPr>
        <w:t xml:space="preserve">4.2.</w:t>
      </w:r>
      <w:r>
        <w:rPr>
          <w:rFonts w:ascii="Arial" w:hAnsi="Arial" w:eastAsia="Arial" w:cs="Arial"/>
        </w:rPr>
        <w:t xml:space="preserve"> O licitante arcará integralmente com todos os custos de preparação e apresentação de sua proposta, independente do resultado do procedimento licitatório. </w:t>
      </w:r>
      <w:r>
        <w:rPr>
          <w:rFonts w:ascii="Arial" w:hAnsi="Arial" w:cs="Arial"/>
        </w:rPr>
      </w:r>
      <w:r>
        <w:rPr>
          <w:rFonts w:ascii="Arial" w:hAnsi="Arial" w:cs="Arial"/>
        </w:rPr>
      </w:r>
    </w:p>
    <w:p>
      <w:pPr>
        <w:pStyle w:val="887"/>
        <w:pBdr/>
        <w:spacing/>
        <w:ind w:left="426"/>
        <w:jc w:val="both"/>
        <w:rPr>
          <w:rFonts w:ascii="Arial" w:hAnsi="Arial" w:cs="Arial"/>
          <w:b/>
          <w:bCs/>
        </w:rPr>
      </w:pPr>
      <w:r>
        <w:rPr>
          <w:rFonts w:ascii="Arial" w:hAnsi="Arial" w:eastAsia="Arial" w:cs="Arial"/>
          <w:b/>
          <w:bCs/>
        </w:rPr>
      </w:r>
      <w:r>
        <w:rPr>
          <w:rFonts w:ascii="Arial" w:hAnsi="Arial" w:cs="Arial"/>
          <w:b/>
          <w:bCs/>
        </w:rPr>
      </w:r>
      <w:r>
        <w:rPr>
          <w:rFonts w:ascii="Arial" w:hAnsi="Arial" w:cs="Arial"/>
          <w:b/>
          <w:bCs/>
        </w:rPr>
      </w:r>
    </w:p>
    <w:p>
      <w:pPr>
        <w:pStyle w:val="887"/>
        <w:pBdr/>
        <w:spacing/>
        <w:ind/>
        <w:jc w:val="both"/>
        <w:rPr>
          <w:rFonts w:ascii="Arial" w:hAnsi="Arial" w:cs="Arial"/>
        </w:rPr>
      </w:pPr>
      <w:r>
        <w:rPr>
          <w:rFonts w:ascii="Arial" w:hAnsi="Arial" w:eastAsia="Arial" w:cs="Arial"/>
          <w:b/>
          <w:bCs/>
        </w:rPr>
        <w:t xml:space="preserve">4.3.</w:t>
      </w:r>
      <w:r>
        <w:rPr>
          <w:rFonts w:ascii="Arial" w:hAnsi="Arial" w:eastAsia="Arial" w:cs="Arial"/>
        </w:rPr>
        <w:t xml:space="preserve"> Some</w:t>
      </w:r>
      <w:r>
        <w:rPr>
          <w:rFonts w:ascii="Arial" w:hAnsi="Arial" w:eastAsia="Arial" w:cs="Arial"/>
        </w:rPr>
        <w:t xml:space="preserve">nte será admitida a participação neste certame, de pessoas jurídicas, que comprovem com documentos de registros ou autorizações legais, que explorem ramo de atividade compatível com o objeto desta licitação e atendam às exigências do edital e seus anexos; </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bCs/>
        </w:rPr>
        <w:t xml:space="preserve">4.4.</w:t>
      </w:r>
      <w:r>
        <w:rPr>
          <w:rFonts w:ascii="Arial" w:hAnsi="Arial" w:eastAsia="Arial" w:cs="Arial"/>
        </w:rPr>
        <w:t xml:space="preserve"> O licitante responsabiliza-se exclusiva e formalmente pelas transações efetuadas em seu nome, assume como firmes e verdadeiras suas propostas e seus lances, inclusiv</w:t>
      </w:r>
      <w:r>
        <w:rPr>
          <w:rFonts w:ascii="Arial" w:hAnsi="Arial" w:eastAsia="Arial" w:cs="Arial"/>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bCs/>
        </w:rPr>
        <w:t xml:space="preserve">4.4.1.</w:t>
      </w:r>
      <w:r>
        <w:rPr>
          <w:rFonts w:ascii="Arial" w:hAnsi="Arial" w:eastAsia="Arial" w:cs="Arial"/>
        </w:rPr>
        <w:t xml:space="preserve"> Poderão participar deste certame pessoas jurídicas que explorem ramo de atividade compatível e pertinente com o</w:t>
      </w:r>
      <w:r>
        <w:rPr>
          <w:rFonts w:ascii="Arial" w:hAnsi="Arial" w:eastAsia="Arial" w:cs="Arial"/>
        </w:rPr>
        <w:t xml:space="preserve"> objeto desta licitação e atendam às exigências deste Edital e seus anexos, correndo por sua conta todos os custos decorrentes da elaboração e apresentação de suas propostas, não sendo devida nenhuma indenização aos licitantes pela realização de tais atos.</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color w:val="000000"/>
        </w:rPr>
      </w:pPr>
      <w:r>
        <w:rPr>
          <w:rFonts w:ascii="Arial" w:hAnsi="Arial" w:eastAsia="Arial" w:cs="Arial"/>
          <w:b/>
          <w:bCs/>
          <w:color w:val="000000"/>
        </w:rPr>
        <w:t xml:space="preserve">4.4.2.</w:t>
      </w:r>
      <w:r>
        <w:rPr>
          <w:rFonts w:ascii="Arial" w:hAnsi="Arial" w:eastAsia="Arial" w:cs="Arial"/>
          <w:color w:val="000000"/>
        </w:rPr>
        <w:t xml:space="preserve"> Será concedido tratamento favorecido para as microempresas e empresas de pequeno porte, para as sociedades cooperativas mencionadas no </w:t>
      </w:r>
      <w:hyperlink r:id="rId15" w:tooltip="http://www.planalto.gov.br/ccivil_03/_ato2019-2022/2021/lei/L14133.htm" w:history="1">
        <w:r>
          <w:rPr>
            <w:rFonts w:ascii="Arial" w:hAnsi="Arial" w:eastAsia="Arial" w:cs="Arial"/>
            <w:color w:val="000000"/>
            <w:u w:val="single"/>
          </w:rPr>
          <w:t xml:space="preserve">artigo 16 da Lei nº 14.133, de 2021</w:t>
        </w:r>
      </w:hyperlink>
      <w:r>
        <w:rPr>
          <w:rFonts w:ascii="Arial" w:hAnsi="Arial" w:eastAsia="Arial" w:cs="Arial"/>
          <w:color w:val="000000"/>
        </w:rPr>
        <w:t xml:space="preserve">, para o agricultor familiar, o produtor rural pessoa física e para o microempreendedor individual - MEI, nos limites previstos da </w:t>
      </w:r>
      <w:hyperlink r:id="rId16" w:tooltip="https://www.planalto.gov.br/ccivil_03/leis/lcp/lcp123.htm" w:history="1">
        <w:r>
          <w:rPr>
            <w:rFonts w:ascii="Arial" w:hAnsi="Arial" w:eastAsia="Arial" w:cs="Arial"/>
            <w:color w:val="000000"/>
            <w:u w:val="single"/>
          </w:rPr>
          <w:t xml:space="preserve">Lei Complementar nº 123, de 2006</w:t>
        </w:r>
      </w:hyperlink>
      <w:r>
        <w:rPr>
          <w:rFonts w:ascii="Arial" w:hAnsi="Arial" w:eastAsia="Arial" w:cs="Arial"/>
          <w:color w:val="000000"/>
        </w:rPr>
        <w:t xml:space="preserve"> e do Decreto n.º 8.538, de 2015.</w:t>
      </w:r>
      <w:r>
        <w:rPr>
          <w:rFonts w:ascii="Arial" w:hAnsi="Arial" w:cs="Arial"/>
          <w:color w:val="000000"/>
        </w:rPr>
      </w:r>
      <w:r>
        <w:rPr>
          <w:rFonts w:ascii="Arial" w:hAnsi="Arial" w:cs="Arial"/>
          <w:color w:val="000000"/>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bCs/>
          <w:color w:val="000000"/>
        </w:rPr>
        <w:t xml:space="preserve">4.5. NÃO PODERÃO DISPUTAR ESTA LICITAÇÃO:</w:t>
      </w:r>
      <w:r>
        <w:rPr>
          <w:rFonts w:ascii="Arial" w:hAnsi="Arial" w:cs="Arial"/>
          <w:color w:val="000000"/>
        </w:rPr>
      </w:r>
      <w:r>
        <w:rPr>
          <w:rFonts w:ascii="Arial" w:hAnsi="Arial" w:cs="Arial"/>
          <w:color w:val="000000"/>
        </w:rPr>
      </w:r>
    </w:p>
    <w:p>
      <w:pPr>
        <w:pStyle w:val="887"/>
        <w:pBdr/>
        <w:spacing/>
        <w:ind w:left="284"/>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color w:val="000000"/>
        </w:rPr>
      </w:pPr>
      <w:r>
        <w:rPr>
          <w:rFonts w:ascii="Arial" w:hAnsi="Arial" w:eastAsia="Arial" w:cs="Arial"/>
          <w:b/>
          <w:bCs/>
          <w:color w:val="000000"/>
        </w:rPr>
        <w:t xml:space="preserve">4.5.1.</w:t>
      </w:r>
      <w:r>
        <w:rPr>
          <w:rFonts w:ascii="Arial" w:hAnsi="Arial" w:eastAsia="Arial" w:cs="Arial"/>
          <w:color w:val="000000"/>
        </w:rPr>
        <w:t xml:space="preserve"> Aquele que não atender às condições estabelecidas neste Edital e em seus anexos;</w:t>
      </w:r>
      <w:r>
        <w:rPr>
          <w:rFonts w:ascii="Arial" w:hAnsi="Arial" w:cs="Arial"/>
          <w:color w:val="000000"/>
        </w:rPr>
      </w:r>
      <w:r>
        <w:rPr>
          <w:rFonts w:ascii="Arial" w:hAnsi="Arial" w:cs="Arial"/>
          <w:color w:val="000000"/>
        </w:rPr>
      </w:r>
    </w:p>
    <w:p>
      <w:pPr>
        <w:pStyle w:val="887"/>
        <w:pBdr/>
        <w:spacing/>
        <w:ind w:left="284"/>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color w:val="000000"/>
        </w:rPr>
      </w:pPr>
      <w:r>
        <w:rPr>
          <w:rFonts w:ascii="Arial" w:hAnsi="Arial" w:eastAsia="Arial" w:cs="Arial"/>
          <w:b/>
          <w:bCs/>
          <w:color w:val="000000"/>
        </w:rPr>
        <w:t xml:space="preserve">4.5.2.</w:t>
      </w:r>
      <w:r>
        <w:rPr>
          <w:rFonts w:ascii="Arial" w:hAnsi="Arial" w:eastAsia="Arial" w:cs="Arial"/>
          <w:color w:val="000000"/>
        </w:rPr>
        <w:t xml:space="preserve"> Empresas ou pessoas físicas que se encontrem em situação de falência, concurso de credores, dissolução ou liquidação, ressalvadas aquelas que possuam plano de recuperação judicial aprovado em assembleia geral de credores e homologado pelo juiz;</w:t>
      </w:r>
      <w:r>
        <w:rPr>
          <w:rFonts w:ascii="Arial" w:hAnsi="Arial" w:cs="Arial"/>
          <w:color w:val="000000"/>
        </w:rPr>
      </w:r>
      <w:r>
        <w:rPr>
          <w:rFonts w:ascii="Arial" w:hAnsi="Arial" w:cs="Arial"/>
          <w:color w:val="000000"/>
        </w:rPr>
      </w:r>
    </w:p>
    <w:p>
      <w:pPr>
        <w:pStyle w:val="887"/>
        <w:pBdr/>
        <w:spacing/>
        <w:ind w:left="284"/>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color w:val="000000"/>
        </w:rPr>
      </w:pPr>
      <w:r>
        <w:rPr>
          <w:rFonts w:ascii="Arial" w:hAnsi="Arial" w:eastAsia="Arial" w:cs="Arial"/>
          <w:b/>
          <w:bCs/>
          <w:color w:val="000000"/>
        </w:rPr>
        <w:t xml:space="preserve">4.5.3.</w:t>
      </w:r>
      <w:r>
        <w:rPr>
          <w:rFonts w:ascii="Arial" w:hAnsi="Arial" w:eastAsia="Arial" w:cs="Arial"/>
          <w:color w:val="000000"/>
        </w:rPr>
        <w:t xml:space="preserve"> </w:t>
      </w:r>
      <w:r>
        <w:rPr>
          <w:rFonts w:ascii="Arial" w:hAnsi="Arial" w:eastAsia="Arial" w:cs="Arial"/>
          <w:color w:val="000000"/>
        </w:rPr>
        <w:t xml:space="preserve">Agente público do órgão ou entidade licitante;</w:t>
      </w:r>
      <w:r>
        <w:rPr>
          <w:rFonts w:ascii="Arial" w:hAnsi="Arial" w:cs="Arial"/>
          <w:color w:val="000000"/>
        </w:rPr>
      </w:r>
      <w:r>
        <w:rPr>
          <w:rFonts w:ascii="Arial" w:hAnsi="Arial" w:cs="Arial"/>
          <w:color w:val="000000"/>
        </w:rPr>
      </w:r>
    </w:p>
    <w:p>
      <w:pPr>
        <w:pStyle w:val="887"/>
        <w:pBdr/>
        <w:spacing/>
        <w:ind w:left="284"/>
        <w:jc w:val="both"/>
        <w:rPr>
          <w:rFonts w:ascii="Arial" w:hAnsi="Arial" w:cs="Arial"/>
          <w:b/>
          <w:bCs/>
          <w:color w:val="000000"/>
          <w:highlight w:val="yellow"/>
        </w:rPr>
      </w:pPr>
      <w:r>
        <w:rPr>
          <w:rFonts w:ascii="Arial" w:hAnsi="Arial" w:eastAsia="Arial" w:cs="Arial"/>
          <w:b/>
          <w:bCs/>
          <w:color w:val="000000"/>
          <w:highlight w:val="yellow"/>
        </w:rPr>
      </w:r>
      <w:r>
        <w:rPr>
          <w:rFonts w:ascii="Arial" w:hAnsi="Arial" w:cs="Arial"/>
          <w:b/>
          <w:bCs/>
          <w:color w:val="000000"/>
          <w:highlight w:val="yellow"/>
        </w:rPr>
      </w:r>
      <w:r>
        <w:rPr>
          <w:rFonts w:ascii="Arial" w:hAnsi="Arial" w:cs="Arial"/>
          <w:b/>
          <w:bCs/>
          <w:color w:val="000000"/>
          <w:highlight w:val="yellow"/>
        </w:rPr>
      </w:r>
    </w:p>
    <w:p>
      <w:pPr>
        <w:pStyle w:val="887"/>
        <w:pBdr/>
        <w:spacing/>
        <w:ind/>
        <w:jc w:val="both"/>
        <w:rPr>
          <w:rFonts w:ascii="Arial" w:hAnsi="Arial" w:cs="Arial"/>
          <w:color w:val="000000"/>
        </w:rPr>
      </w:pPr>
      <w:r>
        <w:rPr>
          <w:rFonts w:ascii="Arial" w:hAnsi="Arial" w:eastAsia="Arial" w:cs="Arial"/>
          <w:b/>
          <w:bCs/>
          <w:color w:val="000000"/>
        </w:rPr>
        <w:t xml:space="preserve">4.5.4.</w:t>
      </w:r>
      <w:r>
        <w:rPr>
          <w:rFonts w:ascii="Arial" w:hAnsi="Arial" w:eastAsia="Arial" w:cs="Arial"/>
          <w:color w:val="000000"/>
        </w:rPr>
        <w:t xml:space="preserve"> Organizações da Sociedade Civil de Interesse Público – OSCIP, atuando nessa condição;</w:t>
      </w:r>
      <w:r>
        <w:rPr>
          <w:rFonts w:ascii="Arial" w:hAnsi="Arial" w:cs="Arial"/>
          <w:color w:val="000000"/>
        </w:rPr>
      </w:r>
      <w:r>
        <w:rPr>
          <w:rFonts w:ascii="Arial" w:hAnsi="Arial" w:cs="Arial"/>
          <w:color w:val="000000"/>
        </w:rPr>
      </w:r>
    </w:p>
    <w:p>
      <w:pPr>
        <w:pStyle w:val="887"/>
        <w:pBdr/>
        <w:spacing/>
        <w:ind w:left="284"/>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color w:val="000000"/>
        </w:rPr>
      </w:pPr>
      <w:r>
        <w:rPr>
          <w:rFonts w:ascii="Arial" w:hAnsi="Arial" w:eastAsia="Arial" w:cs="Arial"/>
          <w:b/>
          <w:bCs/>
          <w:color w:val="000000"/>
        </w:rPr>
        <w:t xml:space="preserve">4.5.5.</w:t>
      </w:r>
      <w:r>
        <w:rPr>
          <w:rFonts w:ascii="Arial" w:hAnsi="Arial" w:eastAsia="Arial" w:cs="Arial"/>
          <w:color w:val="000000"/>
        </w:rPr>
        <w:t xml:space="preserve"> Empresas suspensas de licitar ou contratar com a Prefeitura Municipal de Rondonópolis;</w:t>
      </w:r>
      <w:r>
        <w:rPr>
          <w:rFonts w:ascii="Arial" w:hAnsi="Arial" w:cs="Arial"/>
          <w:color w:val="000000"/>
        </w:rPr>
      </w:r>
      <w:r>
        <w:rPr>
          <w:rFonts w:ascii="Arial" w:hAnsi="Arial" w:cs="Arial"/>
          <w:color w:val="000000"/>
        </w:rPr>
      </w:r>
    </w:p>
    <w:p>
      <w:pPr>
        <w:pStyle w:val="887"/>
        <w:pBdr/>
        <w:spacing/>
        <w:ind w:left="284"/>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color w:val="000000"/>
        </w:rPr>
      </w:pPr>
      <w:r>
        <w:rPr>
          <w:rFonts w:ascii="Arial" w:hAnsi="Arial" w:eastAsia="Arial" w:cs="Arial"/>
          <w:b/>
          <w:bCs/>
          <w:color w:val="000000"/>
        </w:rPr>
        <w:t xml:space="preserve">4.5.6.</w:t>
      </w:r>
      <w:r>
        <w:rPr>
          <w:rFonts w:ascii="Arial" w:hAnsi="Arial" w:eastAsia="Arial" w:cs="Arial"/>
          <w:color w:val="000000"/>
        </w:rPr>
        <w:t xml:space="preserve"> Empresas declaradas inidôneas para licitar ou contratar com a Administração Pública, enquanto perdurarem os motivos da punição ou até que seja promovida a reabilitação perante a autoridade que aplicou a penalidade;</w:t>
      </w:r>
      <w:r>
        <w:rPr>
          <w:rFonts w:ascii="Arial" w:hAnsi="Arial" w:cs="Arial"/>
          <w:color w:val="000000"/>
        </w:rPr>
      </w:r>
      <w:r>
        <w:rPr>
          <w:rFonts w:ascii="Arial" w:hAnsi="Arial" w:cs="Arial"/>
          <w:color w:val="000000"/>
        </w:rPr>
      </w:r>
    </w:p>
    <w:p>
      <w:pPr>
        <w:pStyle w:val="887"/>
        <w:pBdr/>
        <w:spacing/>
        <w:ind/>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color w:val="000000"/>
        </w:rPr>
      </w:pPr>
      <w:r>
        <w:rPr>
          <w:rFonts w:ascii="Arial" w:hAnsi="Arial" w:eastAsia="Arial" w:cs="Arial"/>
          <w:b/>
          <w:bCs/>
          <w:color w:val="000000"/>
        </w:rPr>
        <w:t xml:space="preserve">4.5.7.</w:t>
      </w:r>
      <w:r>
        <w:rPr>
          <w:rFonts w:ascii="Arial" w:hAnsi="Arial" w:eastAsia="Arial" w:cs="Arial"/>
          <w:color w:val="000000"/>
        </w:rPr>
        <w:t xml:space="preserve"> Cooperativas, exclusivamente quando o objeto do certame exigir subordinação de mão de obra (fundamentação: art. 5º da Lei nº 12.690/12 e acórdãos TCU 1937/03, 307/04, 1148/05);</w:t>
      </w:r>
      <w:r>
        <w:rPr>
          <w:rFonts w:ascii="Arial" w:hAnsi="Arial" w:cs="Arial"/>
          <w:color w:val="000000"/>
        </w:rPr>
      </w:r>
      <w:r>
        <w:rPr>
          <w:rFonts w:ascii="Arial" w:hAnsi="Arial" w:cs="Arial"/>
          <w:color w:val="000000"/>
        </w:rPr>
      </w:r>
    </w:p>
    <w:p>
      <w:pPr>
        <w:pStyle w:val="887"/>
        <w:pBdr/>
        <w:spacing/>
        <w:ind w:left="284"/>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color w:val="000000"/>
        </w:rPr>
      </w:pPr>
      <w:r>
        <w:rPr>
          <w:rFonts w:ascii="Arial" w:hAnsi="Arial" w:eastAsia="Arial" w:cs="Arial"/>
          <w:b/>
          <w:bCs/>
          <w:color w:val="000000"/>
        </w:rPr>
        <w:t xml:space="preserve">4.5.8.</w:t>
      </w:r>
      <w:r>
        <w:rPr>
          <w:rFonts w:ascii="Arial" w:hAnsi="Arial" w:eastAsia="Arial" w:cs="Arial"/>
          <w:color w:val="000000"/>
        </w:rPr>
        <w:t xml:space="preserve"> Cooperativas cujo objeto social não seja compatível com o objeto do certame (fundamentação: art. 10, §2º da Lei nº 12.690/12);</w:t>
      </w:r>
      <w:r>
        <w:rPr>
          <w:rFonts w:ascii="Arial" w:hAnsi="Arial" w:cs="Arial"/>
          <w:color w:val="000000"/>
        </w:rPr>
      </w:r>
      <w:r>
        <w:rPr>
          <w:rFonts w:ascii="Arial" w:hAnsi="Arial" w:cs="Arial"/>
          <w:color w:val="000000"/>
        </w:rPr>
      </w:r>
    </w:p>
    <w:p>
      <w:pPr>
        <w:pStyle w:val="887"/>
        <w:pBdr/>
        <w:spacing/>
        <w:ind w:left="284"/>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color w:val="000000"/>
        </w:rPr>
      </w:pPr>
      <w:r>
        <w:rPr>
          <w:rFonts w:ascii="Arial" w:hAnsi="Arial" w:eastAsia="Arial" w:cs="Arial"/>
          <w:b/>
          <w:bCs/>
          <w:color w:val="000000"/>
        </w:rPr>
        <w:t xml:space="preserve">4.5.9.</w:t>
      </w:r>
      <w:r>
        <w:rPr>
          <w:rFonts w:ascii="Arial" w:hAnsi="Arial" w:eastAsia="Arial" w:cs="Arial"/>
          <w:color w:val="000000"/>
        </w:rPr>
        <w:t xml:space="preserve"> Empresas controladoras, controladas ou coligadas, nos termos da Lei nº 6.404, de 15 de dezembro de 1976, concorrendo entre si;</w:t>
      </w:r>
      <w:r>
        <w:rPr>
          <w:rFonts w:ascii="Arial" w:hAnsi="Arial" w:cs="Arial"/>
          <w:color w:val="000000"/>
        </w:rPr>
      </w:r>
      <w:r>
        <w:rPr>
          <w:rFonts w:ascii="Arial" w:hAnsi="Arial" w:cs="Arial"/>
          <w:color w:val="000000"/>
        </w:rPr>
      </w:r>
    </w:p>
    <w:p>
      <w:pPr>
        <w:pStyle w:val="887"/>
        <w:pBdr/>
        <w:spacing/>
        <w:ind w:left="284"/>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color w:val="000000"/>
        </w:rPr>
      </w:pPr>
      <w:r>
        <w:rPr>
          <w:rFonts w:ascii="Arial" w:hAnsi="Arial" w:eastAsia="Arial" w:cs="Arial"/>
          <w:b/>
          <w:bCs/>
          <w:color w:val="000000"/>
        </w:rPr>
        <w:t xml:space="preserve">4.5.10.</w:t>
      </w:r>
      <w:r>
        <w:rPr>
          <w:rFonts w:ascii="Arial" w:hAnsi="Arial" w:eastAsia="Arial" w:cs="Arial"/>
          <w:color w:val="000000"/>
        </w:rPr>
        <w:t xml:space="preserve"> Empresas estrangeiras que não possuam funcionamento no território nacional;</w:t>
      </w:r>
      <w:r>
        <w:rPr>
          <w:rFonts w:ascii="Arial" w:hAnsi="Arial" w:cs="Arial"/>
          <w:color w:val="000000"/>
        </w:rPr>
      </w:r>
      <w:r>
        <w:rPr>
          <w:rFonts w:ascii="Arial" w:hAnsi="Arial" w:cs="Arial"/>
          <w:color w:val="000000"/>
        </w:rPr>
      </w:r>
    </w:p>
    <w:p>
      <w:pPr>
        <w:pStyle w:val="887"/>
        <w:pBdr/>
        <w:spacing/>
        <w:ind w:left="284"/>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color w:val="000000"/>
        </w:rPr>
      </w:pPr>
      <w:r>
        <w:rPr>
          <w:rFonts w:ascii="Arial" w:hAnsi="Arial" w:eastAsia="Arial" w:cs="Arial"/>
          <w:b/>
          <w:bCs/>
          <w:color w:val="000000"/>
        </w:rPr>
        <w:t xml:space="preserve">4.5.11.</w:t>
      </w:r>
      <w:r>
        <w:rPr>
          <w:rFonts w:ascii="Arial" w:hAnsi="Arial" w:eastAsia="Arial" w:cs="Arial"/>
          <w:color w:val="000000"/>
        </w:rPr>
        <w:t xml:space="preserve"> Autor do anteprojeto, projeto básico ou executivo, pessoa física ou jurídica, quando a licitação versar sobre obra, serviço ou fornecimento de bens a ele relacionados;</w:t>
      </w:r>
      <w:r>
        <w:rPr>
          <w:rFonts w:ascii="Arial" w:hAnsi="Arial" w:cs="Arial"/>
          <w:color w:val="000000"/>
        </w:rPr>
      </w:r>
      <w:r>
        <w:rPr>
          <w:rFonts w:ascii="Arial" w:hAnsi="Arial" w:cs="Arial"/>
          <w:color w:val="000000"/>
        </w:rPr>
      </w:r>
    </w:p>
    <w:p>
      <w:pPr>
        <w:pStyle w:val="887"/>
        <w:pBdr/>
        <w:spacing/>
        <w:ind w:left="284"/>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color w:val="000000"/>
        </w:rPr>
      </w:pPr>
      <w:r>
        <w:rPr>
          <w:rFonts w:ascii="Arial" w:hAnsi="Arial" w:eastAsia="Arial" w:cs="Arial"/>
          <w:b/>
          <w:bCs/>
          <w:color w:val="000000"/>
        </w:rPr>
        <w:t xml:space="preserve">4.5.11.1.</w:t>
      </w:r>
      <w:r>
        <w:rPr>
          <w:rFonts w:ascii="Arial" w:hAnsi="Arial" w:eastAsia="Arial" w:cs="Arial"/>
          <w:color w:val="000000"/>
        </w:rPr>
        <w:t xml:space="preserve"> Equiparam-se aos autores do projeto as empresas integrantes do mesmo grupo econômico;</w:t>
      </w:r>
      <w:r>
        <w:rPr>
          <w:rFonts w:ascii="Arial" w:hAnsi="Arial" w:cs="Arial"/>
          <w:color w:val="000000"/>
        </w:rPr>
      </w:r>
      <w:r>
        <w:rPr>
          <w:rFonts w:ascii="Arial" w:hAnsi="Arial" w:cs="Arial"/>
          <w:color w:val="000000"/>
        </w:rPr>
      </w:r>
    </w:p>
    <w:p>
      <w:pPr>
        <w:pStyle w:val="887"/>
        <w:pBdr/>
        <w:spacing/>
        <w:ind w:left="284"/>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color w:val="000000"/>
        </w:rPr>
      </w:pPr>
      <w:r>
        <w:rPr>
          <w:rFonts w:ascii="Arial" w:hAnsi="Arial" w:eastAsia="Arial" w:cs="Arial"/>
          <w:b/>
          <w:bCs/>
          <w:color w:val="000000"/>
        </w:rPr>
        <w:t xml:space="preserve">4.5.12.</w:t>
      </w:r>
      <w:r>
        <w:rPr>
          <w:rFonts w:ascii="Arial" w:hAnsi="Arial" w:eastAsia="Arial" w:cs="Arial"/>
          <w:color w:val="000000"/>
        </w:rPr>
        <w:t xml:space="preserve"> Aquele que, isoladamente ou em consórcio, seja responsável pela elaboração do projeto básico ou executivo, ou empresa da qual o autor do p</w:t>
      </w:r>
      <w:r>
        <w:rPr>
          <w:rFonts w:ascii="Arial" w:hAnsi="Arial" w:eastAsia="Arial" w:cs="Arial"/>
          <w:color w:val="000000"/>
        </w:rPr>
        <w:t xml:space="preserve">rojeto seja dirigente, gerente, controlador, acionista ou detentor de mais de 5% (cinco por cento) do capital com direito a voto, responsável técnico ou subcontratado, quando a licitação versar sobre obra, serviço ou fornecimento de bens a ela necessários;</w:t>
      </w:r>
      <w:r>
        <w:rPr>
          <w:rFonts w:ascii="Arial" w:hAnsi="Arial" w:cs="Arial"/>
          <w:color w:val="000000"/>
        </w:rPr>
      </w:r>
      <w:r>
        <w:rPr>
          <w:rFonts w:ascii="Arial" w:hAnsi="Arial" w:cs="Arial"/>
          <w:color w:val="000000"/>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bCs/>
          <w:color w:val="000000"/>
        </w:rPr>
        <w:t xml:space="preserve">4.5.13.</w:t>
      </w:r>
      <w:r>
        <w:rPr>
          <w:rFonts w:ascii="Arial" w:hAnsi="Arial" w:eastAsia="Arial" w:cs="Arial"/>
          <w:color w:val="000000"/>
        </w:rPr>
        <w:t xml:space="preserve"> A critério da Administração e exclusivamente a seu serviço, o</w:t>
      </w:r>
      <w:r>
        <w:rPr>
          <w:rFonts w:ascii="Arial" w:hAnsi="Arial" w:eastAsia="Arial" w:cs="Arial"/>
          <w:color w:val="000000"/>
        </w:rPr>
        <w:t xml:space="preserve">s autores dos projetos mencionados nos itens 4.5.11 e 4.5.12 poderão participar do apoio às atividades de planejamento da contratação, execução da licitação ou gestão do contrato, desde que sob supervisão exclusiva de agentes públicos do órgão ou entidade;</w:t>
      </w:r>
      <w:r>
        <w:rPr>
          <w:rFonts w:ascii="Arial" w:hAnsi="Arial" w:cs="Arial"/>
          <w:color w:val="000000"/>
        </w:rPr>
      </w:r>
      <w:r>
        <w:rPr>
          <w:rFonts w:ascii="Arial" w:hAnsi="Arial" w:cs="Arial"/>
          <w:color w:val="000000"/>
        </w:rPr>
      </w:r>
    </w:p>
    <w:p>
      <w:pPr>
        <w:pStyle w:val="887"/>
        <w:pBdr/>
        <w:spacing/>
        <w:ind w:left="284"/>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color w:val="000000"/>
        </w:rPr>
      </w:pPr>
      <w:r>
        <w:rPr>
          <w:rFonts w:ascii="Arial" w:hAnsi="Arial" w:eastAsia="Arial" w:cs="Arial"/>
          <w:b/>
          <w:bCs/>
          <w:color w:val="000000"/>
        </w:rPr>
        <w:t xml:space="preserve">4.5.14.</w:t>
      </w:r>
      <w:r>
        <w:rPr>
          <w:rFonts w:ascii="Arial" w:hAnsi="Arial" w:eastAsia="Arial" w:cs="Arial"/>
          <w:color w:val="000000"/>
        </w:rPr>
        <w:t xml:space="preserve"> Pessoa física ou jurídica que, ao tempo da licitação, esteja impossibili</w:t>
      </w:r>
      <w:r>
        <w:rPr>
          <w:rFonts w:ascii="Arial" w:hAnsi="Arial" w:eastAsia="Arial" w:cs="Arial"/>
          <w:color w:val="000000"/>
        </w:rPr>
        <w:t xml:space="preserve">tada de participar em razão de sanção que lhe foi imposta, aplicando-se também ao licitante que atue em substituição a outro com o intuito de burlar a sanção, desde que devidamente comprovado o ilícito ou a utilização fraudulenta da personalidade jurídica;</w:t>
      </w:r>
      <w:r>
        <w:rPr>
          <w:rFonts w:ascii="Arial" w:hAnsi="Arial" w:cs="Arial"/>
          <w:color w:val="000000"/>
        </w:rPr>
      </w:r>
      <w:r>
        <w:rPr>
          <w:rFonts w:ascii="Arial" w:hAnsi="Arial" w:cs="Arial"/>
          <w:color w:val="000000"/>
        </w:rPr>
      </w:r>
    </w:p>
    <w:p>
      <w:pPr>
        <w:pStyle w:val="887"/>
        <w:pBdr/>
        <w:spacing/>
        <w:ind w:left="284"/>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color w:val="000000"/>
        </w:rPr>
      </w:pPr>
      <w:r>
        <w:rPr>
          <w:rFonts w:ascii="Arial" w:hAnsi="Arial" w:eastAsia="Arial" w:cs="Arial"/>
          <w:b/>
          <w:bCs/>
          <w:color w:val="000000"/>
        </w:rPr>
        <w:t xml:space="preserve">4.5.15.</w:t>
      </w:r>
      <w:r>
        <w:rPr>
          <w:rFonts w:ascii="Arial" w:hAnsi="Arial" w:eastAsia="Arial" w:cs="Arial"/>
          <w:color w:val="000000"/>
        </w:rPr>
        <w:t xml:space="preserve"> Aquele que mantenha vínculo de natureza técnica, comercial, econômica, fina</w:t>
      </w:r>
      <w:r>
        <w:rPr>
          <w:rFonts w:ascii="Arial" w:hAnsi="Arial" w:eastAsia="Arial" w:cs="Arial"/>
          <w:color w:val="000000"/>
        </w:rPr>
        <w:t xml:space="preserve">nceira, trabalhista ou civil com dirigente do contratante ou agente público que desempenhe função na licitação, fiscalização ou gestão do contrato, ou que seja cônjuge, companheiro ou parente, em linha reta, colateral ou por afinidade, até o terceiro grau;</w:t>
      </w:r>
      <w:r>
        <w:rPr>
          <w:rFonts w:ascii="Arial" w:hAnsi="Arial" w:cs="Arial"/>
          <w:color w:val="000000"/>
        </w:rPr>
      </w:r>
      <w:r>
        <w:rPr>
          <w:rFonts w:ascii="Arial" w:hAnsi="Arial" w:cs="Arial"/>
          <w:color w:val="000000"/>
        </w:rPr>
      </w:r>
    </w:p>
    <w:p>
      <w:pPr>
        <w:pStyle w:val="887"/>
        <w:pBdr/>
        <w:spacing/>
        <w:ind w:left="284"/>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color w:val="000000"/>
        </w:rPr>
      </w:pPr>
      <w:r>
        <w:rPr>
          <w:rFonts w:ascii="Arial" w:hAnsi="Arial" w:eastAsia="Arial" w:cs="Arial"/>
          <w:b/>
          <w:bCs/>
          <w:color w:val="000000"/>
        </w:rPr>
        <w:t xml:space="preserve">4.5.16.</w:t>
      </w:r>
      <w:r>
        <w:rPr>
          <w:rFonts w:ascii="Arial" w:hAnsi="Arial" w:eastAsia="Arial" w:cs="Arial"/>
          <w:color w:val="000000"/>
        </w:rPr>
        <w:t xml:space="preserve"> Pessoa física ou jurídica que, nos últimos cinco (05) anos anteriores à di</w:t>
      </w:r>
      <w:r>
        <w:rPr>
          <w:rFonts w:ascii="Arial" w:hAnsi="Arial" w:eastAsia="Arial" w:cs="Arial"/>
          <w:color w:val="000000"/>
        </w:rPr>
        <w:t xml:space="preserve">vulgação do Edital, tenha sido condenada judicialmente, com trânsito em julgado, por exploração de trabalho infantil, submissão de trabalhadores a condições análogas à escravidão ou contratação de adolescentes nos casos vedados pela legislação trabalhista;</w:t>
      </w:r>
      <w:r>
        <w:rPr>
          <w:rFonts w:ascii="Arial" w:hAnsi="Arial" w:cs="Arial"/>
          <w:color w:val="000000"/>
        </w:rPr>
      </w:r>
      <w:r>
        <w:rPr>
          <w:rFonts w:ascii="Arial" w:hAnsi="Arial" w:cs="Arial"/>
          <w:color w:val="000000"/>
        </w:rPr>
      </w:r>
    </w:p>
    <w:p>
      <w:pPr>
        <w:pStyle w:val="887"/>
        <w:pBdr/>
        <w:spacing/>
        <w:ind w:left="284"/>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rPr>
      </w:pPr>
      <w:r>
        <w:rPr>
          <w:rFonts w:ascii="Arial" w:hAnsi="Arial" w:eastAsia="Arial" w:cs="Arial"/>
          <w:b/>
          <w:bCs/>
        </w:rPr>
        <w:t xml:space="preserve">4.5.17.</w:t>
      </w:r>
      <w:r>
        <w:rPr>
          <w:rFonts w:ascii="Arial" w:hAnsi="Arial" w:eastAsia="Arial" w:cs="Arial"/>
        </w:rPr>
        <w:t xml:space="preserve"> Não poderá participar, direta ou indiretamente, da licitação ou da execução do contrato agente público do órgão ou ent</w:t>
      </w:r>
      <w:r>
        <w:rPr>
          <w:rFonts w:ascii="Arial" w:hAnsi="Arial" w:eastAsia="Arial" w:cs="Arial"/>
        </w:rPr>
        <w:t xml:space="preserve">idade contratante, devendo ser observadas as situações que possam configurar conflito de interesses no exercício ou após o exercício do cargo ou emprego, nos termos da legislação que disciplina a matéria, conforme § 1º do art. 9º da Lei nº 14.133, de 2021.</w:t>
      </w:r>
      <w:r>
        <w:rPr>
          <w:rFonts w:ascii="Arial" w:hAnsi="Arial" w:cs="Arial"/>
        </w:rPr>
      </w:r>
      <w:r>
        <w:rPr>
          <w:rFonts w:ascii="Arial" w:hAnsi="Arial" w:cs="Arial"/>
        </w:rPr>
      </w:r>
    </w:p>
    <w:p>
      <w:pPr>
        <w:pStyle w:val="887"/>
        <w:pBdr/>
        <w:spacing/>
        <w:ind w:left="284"/>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color w:val="000000"/>
        </w:rPr>
      </w:pPr>
      <w:r>
        <w:rPr>
          <w:rFonts w:ascii="Arial" w:hAnsi="Arial" w:eastAsia="Arial" w:cs="Arial"/>
          <w:b/>
          <w:bCs/>
        </w:rPr>
        <w:t xml:space="preserve">4.5.18.</w:t>
      </w:r>
      <w:r>
        <w:rPr>
          <w:rFonts w:ascii="Arial" w:hAnsi="Arial" w:eastAsia="Arial" w:cs="Arial"/>
        </w:rPr>
        <w:t xml:space="preserve"> A vedação estabelecida no item anterior estende-se a terceiro que auxilie a condução da contratação na qualidade de integrante de equipe de apoio, profissional especializado ou funcionário ou representante de empresa que preste assessoria técnica</w:t>
      </w:r>
      <w:r>
        <w:rPr>
          <w:rFonts w:ascii="Arial" w:hAnsi="Arial" w:eastAsia="Arial" w:cs="Arial"/>
          <w:b/>
          <w:bCs/>
          <w:color w:val="000000"/>
        </w:rPr>
        <w:t xml:space="preserve">.</w:t>
      </w:r>
      <w:r>
        <w:rPr>
          <w:rFonts w:ascii="Arial" w:hAnsi="Arial" w:cs="Arial"/>
          <w:color w:val="000000"/>
        </w:rPr>
      </w:r>
      <w:r>
        <w:rPr>
          <w:rFonts w:ascii="Arial" w:hAnsi="Arial" w:cs="Arial"/>
          <w:color w:val="000000"/>
        </w:rPr>
      </w:r>
    </w:p>
    <w:p>
      <w:pPr>
        <w:pStyle w:val="887"/>
        <w:pBdr/>
        <w:spacing/>
        <w:ind w:left="284"/>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color w:val="000000"/>
        </w:rPr>
      </w:pPr>
      <w:r>
        <w:rPr>
          <w:rFonts w:ascii="Arial" w:hAnsi="Arial" w:eastAsia="Arial" w:cs="Arial"/>
          <w:b/>
          <w:bCs/>
          <w:color w:val="000000"/>
        </w:rPr>
        <w:t xml:space="preserve">4.5.19.</w:t>
      </w:r>
      <w:r>
        <w:rPr>
          <w:rFonts w:ascii="Arial" w:hAnsi="Arial" w:eastAsia="Arial" w:cs="Arial"/>
          <w:color w:val="000000"/>
        </w:rPr>
        <w:t xml:space="preserve"> Órgão o</w:t>
      </w:r>
      <w:r>
        <w:rPr>
          <w:rFonts w:ascii="Arial" w:hAnsi="Arial" w:eastAsia="Arial" w:cs="Arial"/>
          <w:color w:val="000000"/>
        </w:rPr>
        <w:t xml:space="preserve">u entidade que já participe de outra Ata de Registro de Preços com o mesmo objeto, salvo se a ARP anterior tiver registrado quantitativo inferior ao máximo previsto no edital (art. 82, VIII da Lei nº 14.133/2021 e art. 301, XIII do Decreto nº 11.685/2023).</w:t>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numPr>
          <w:ilvl w:val="0"/>
          <w:numId w:val="0"/>
        </w:numPr>
        <w:pBdr/>
        <w:spacing/>
        <w:ind/>
        <w:jc w:val="both"/>
        <w:outlineLvl w:val="0"/>
        <w:rPr>
          <w:rFonts w:ascii="Arial" w:hAnsi="Arial" w:cs="Arial"/>
          <w:b/>
          <w:bCs/>
        </w:rPr>
      </w:pPr>
      <w:r/>
      <w:bookmarkStart w:id="67" w:name="_Toc4"/>
      <w:r>
        <w:rPr>
          <w:rFonts w:ascii="Arial" w:hAnsi="Arial" w:eastAsia="Arial" w:cs="Arial"/>
          <w:b/>
          <w:bCs/>
          <w:color w:val="000000"/>
        </w:rPr>
        <w:t xml:space="preserve">5. DO CREDENCIAMENTO:</w:t>
      </w:r>
      <w:r>
        <w:rPr>
          <w:rFonts w:ascii="Arial" w:hAnsi="Arial" w:eastAsia="Arial" w:cs="Arial"/>
          <w:b/>
          <w:bCs/>
        </w:rPr>
        <w:t xml:space="preserve"> </w:t>
      </w:r>
      <w:bookmarkEnd w:id="67"/>
      <w:r>
        <w:rPr>
          <w:rFonts w:ascii="Arial" w:hAnsi="Arial" w:cs="Arial"/>
          <w:b/>
          <w:bCs/>
        </w:rPr>
      </w:r>
      <w:r>
        <w:rPr>
          <w:rFonts w:ascii="Arial" w:hAnsi="Arial" w:cs="Arial"/>
          <w:b/>
          <w:bCs/>
        </w:rPr>
      </w:r>
    </w:p>
    <w:p>
      <w:pPr>
        <w:pStyle w:val="887"/>
        <w:pBdr/>
        <w:spacing/>
        <w:ind w:left="284"/>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bCs/>
          <w:color w:val="000000"/>
        </w:rPr>
      </w:pPr>
      <w:r>
        <w:rPr>
          <w:rFonts w:ascii="Arial" w:hAnsi="Arial" w:eastAsia="Arial" w:cs="Arial"/>
          <w:b/>
          <w:bCs/>
          <w:color w:val="000000"/>
        </w:rPr>
        <w:t xml:space="preserve">5.1.</w:t>
      </w:r>
      <w:r>
        <w:rPr>
          <w:rFonts w:ascii="Arial" w:hAnsi="Arial" w:eastAsia="Arial" w:cs="Arial"/>
          <w:b/>
          <w:color w:val="000000"/>
        </w:rPr>
        <w:t xml:space="preserve"> </w:t>
      </w:r>
      <w:r>
        <w:rPr>
          <w:rFonts w:ascii="Arial" w:hAnsi="Arial" w:eastAsia="Arial" w:cs="Arial"/>
          <w:bCs/>
          <w:color w:val="000000"/>
        </w:rPr>
        <w:t xml:space="preserve">Para participação na licitação, bem como para o simples acompanhamento de seus atos, o interessado deverá acessar a página eletrônica </w:t>
      </w:r>
      <w:hyperlink r:id="rId17" w:tooltip="http://www.bllcompras.com/" w:history="1">
        <w:r>
          <w:rPr>
            <w:rStyle w:val="994"/>
            <w:rFonts w:ascii="Arial" w:hAnsi="Arial" w:eastAsia="Arial" w:cs="Arial"/>
            <w:bCs/>
          </w:rPr>
          <w:t xml:space="preserve">www.bllcompras.com</w:t>
        </w:r>
      </w:hyperlink>
      <w:r>
        <w:rPr>
          <w:rFonts w:ascii="Arial" w:hAnsi="Arial" w:eastAsia="Arial" w:cs="Arial"/>
          <w:bCs/>
          <w:color w:val="000000"/>
        </w:rPr>
        <w:t xml:space="preserve">, por meio do link denominado “</w:t>
      </w:r>
      <w:r>
        <w:rPr>
          <w:rFonts w:ascii="Arial" w:hAnsi="Arial" w:eastAsia="Arial" w:cs="Arial"/>
          <w:b/>
          <w:color w:val="000000"/>
        </w:rPr>
        <w:t xml:space="preserve">Acesso Identificado</w:t>
      </w:r>
      <w:r>
        <w:rPr>
          <w:rFonts w:ascii="Arial" w:hAnsi="Arial" w:eastAsia="Arial" w:cs="Arial"/>
          <w:bCs/>
          <w:color w:val="000000"/>
        </w:rPr>
        <w:t xml:space="preserve">”, sendo imprescindível a utilização de chave de identificação e senha pessoais e intransferíveis, obtidas junto à </w:t>
      </w:r>
      <w:r>
        <w:rPr>
          <w:rFonts w:ascii="Arial" w:hAnsi="Arial" w:eastAsia="Arial" w:cs="Arial"/>
          <w:b/>
          <w:color w:val="000000"/>
        </w:rPr>
        <w:t xml:space="preserve">BLL – Bolsa de Licitações e Leilões</w:t>
      </w:r>
      <w:r>
        <w:rPr>
          <w:rFonts w:ascii="Arial" w:hAnsi="Arial" w:eastAsia="Arial" w:cs="Arial"/>
          <w:bCs/>
          <w:color w:val="000000"/>
        </w:rPr>
        <w:t xml:space="preserve">.</w:t>
      </w:r>
      <w:r>
        <w:rPr>
          <w:rFonts w:ascii="Arial" w:hAnsi="Arial" w:cs="Arial"/>
          <w:bCs/>
          <w:color w:val="000000"/>
        </w:rPr>
      </w:r>
      <w:r>
        <w:rPr>
          <w:rFonts w:ascii="Arial" w:hAnsi="Arial" w:cs="Arial"/>
          <w:bCs/>
          <w:color w:val="000000"/>
        </w:rPr>
      </w:r>
    </w:p>
    <w:p>
      <w:pPr>
        <w:pStyle w:val="887"/>
        <w:pBdr/>
        <w:spacing/>
        <w:ind w:left="284"/>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bCs/>
          <w:color w:val="000000"/>
        </w:rPr>
      </w:pPr>
      <w:r>
        <w:rPr>
          <w:rFonts w:ascii="Arial" w:hAnsi="Arial" w:eastAsia="Arial" w:cs="Arial"/>
          <w:b/>
          <w:bCs/>
          <w:color w:val="000000"/>
        </w:rPr>
        <w:t xml:space="preserve">5.2.</w:t>
      </w:r>
      <w:r>
        <w:rPr>
          <w:rFonts w:ascii="Arial" w:hAnsi="Arial" w:eastAsia="Arial" w:cs="Arial"/>
          <w:b/>
          <w:color w:val="000000"/>
        </w:rPr>
        <w:t xml:space="preserve"> </w:t>
      </w:r>
      <w:r>
        <w:rPr>
          <w:rFonts w:ascii="Arial" w:hAnsi="Arial" w:eastAsia="Arial" w:cs="Arial"/>
        </w:rPr>
        <w:t xml:space="preserve">As propostas comerciais e os documentos exigidos para habilitação poderão ser cadastrados até </w:t>
      </w:r>
      <w:r>
        <w:rPr>
          <w:rFonts w:ascii="Arial" w:hAnsi="Arial" w:eastAsia="Arial" w:cs="Arial"/>
          <w:b/>
          <w:bCs/>
        </w:rPr>
        <w:t xml:space="preserve">meia hora antes</w:t>
      </w:r>
      <w:r>
        <w:rPr>
          <w:rFonts w:ascii="Arial" w:hAnsi="Arial" w:eastAsia="Arial" w:cs="Arial"/>
        </w:rPr>
        <w:t xml:space="preserve"> do horário estabelecido no preambulo deste edital </w:t>
      </w:r>
      <w:r>
        <w:rPr>
          <w:rFonts w:ascii="Arial" w:hAnsi="Arial" w:eastAsia="Arial" w:cs="Arial"/>
          <w:b/>
          <w:bCs/>
          <w:color w:val="000000"/>
        </w:rPr>
        <w:t xml:space="preserve">(horário de Brasília) </w:t>
      </w:r>
      <w:r>
        <w:rPr>
          <w:rFonts w:ascii="Arial" w:hAnsi="Arial" w:eastAsia="Arial" w:cs="Arial"/>
        </w:rPr>
        <w:t xml:space="preserve">por meio do endereço </w:t>
      </w:r>
      <w:r>
        <w:rPr>
          <w:rFonts w:ascii="Arial" w:hAnsi="Arial" w:eastAsia="Arial" w:cs="Arial"/>
          <w:b/>
          <w:bCs/>
        </w:rPr>
        <w:t xml:space="preserve">bllcompras.com</w:t>
      </w:r>
      <w:r>
        <w:rPr>
          <w:rFonts w:ascii="Arial" w:hAnsi="Arial" w:eastAsia="Arial" w:cs="Arial"/>
        </w:rPr>
        <w:t xml:space="preserve">, onde se encontra o link para o “</w:t>
      </w:r>
      <w:r>
        <w:rPr>
          <w:rFonts w:ascii="Arial" w:hAnsi="Arial" w:eastAsia="Arial" w:cs="Arial"/>
          <w:b/>
          <w:bCs/>
        </w:rPr>
        <w:t xml:space="preserve">Acesso Identificado</w:t>
      </w:r>
      <w:r>
        <w:rPr>
          <w:rFonts w:ascii="Arial" w:hAnsi="Arial" w:eastAsia="Arial" w:cs="Arial"/>
        </w:rPr>
        <w:t xml:space="preserve">”, podendo os interessados cadastrar ou substituir propostas no sistema eletrônico.</w:t>
      </w:r>
      <w:r>
        <w:rPr>
          <w:rFonts w:ascii="Arial" w:hAnsi="Arial" w:cs="Arial"/>
          <w:bCs/>
          <w:color w:val="000000"/>
        </w:rPr>
      </w:r>
      <w:r>
        <w:rPr>
          <w:rFonts w:ascii="Arial" w:hAnsi="Arial" w:cs="Arial"/>
          <w:bCs/>
          <w:color w:val="000000"/>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color w:val="000000"/>
          <w:sz w:val="19"/>
          <w:szCs w:val="19"/>
        </w:rPr>
      </w:pPr>
      <w:r>
        <w:rPr>
          <w:rFonts w:ascii="Arial" w:hAnsi="Arial" w:eastAsia="Arial" w:cs="Arial"/>
          <w:b/>
          <w:bCs/>
          <w:color w:val="000000"/>
          <w:sz w:val="19"/>
          <w:szCs w:val="19"/>
        </w:rPr>
        <w:t xml:space="preserve">5.2.1.</w:t>
      </w:r>
      <w:r>
        <w:rPr>
          <w:rFonts w:ascii="Arial" w:hAnsi="Arial" w:eastAsia="Arial" w:cs="Arial"/>
          <w:color w:val="000000"/>
          <w:sz w:val="19"/>
          <w:szCs w:val="19"/>
        </w:rPr>
        <w:t xml:space="preserve"> Eventuais dúvidas quanto à obtenção da senha de acesso, bem como quaisquer problemas relaci</w:t>
      </w:r>
      <w:r>
        <w:rPr>
          <w:rFonts w:ascii="Arial" w:hAnsi="Arial" w:eastAsia="Arial" w:cs="Arial"/>
          <w:color w:val="000000"/>
          <w:sz w:val="19"/>
          <w:szCs w:val="19"/>
        </w:rPr>
        <w:t xml:space="preserve">onados ao cadastramento das propostas, deverão ser sanados diretamente junto à BLL, por meio dos telefones (041) 3097-4600, 3097-4623, 3097-4646 ou 3148-9870, sendo de inteira responsabilidade da referida empresa a solução de questões relativas ao sistema.</w:t>
      </w:r>
      <w:r>
        <w:rPr>
          <w:rFonts w:ascii="Arial" w:hAnsi="Arial" w:cs="Arial"/>
          <w:color w:val="000000"/>
          <w:sz w:val="19"/>
          <w:szCs w:val="19"/>
        </w:rPr>
      </w:r>
      <w:r>
        <w:rPr>
          <w:rFonts w:ascii="Arial" w:hAnsi="Arial" w:cs="Arial"/>
          <w:color w:val="000000"/>
          <w:sz w:val="19"/>
          <w:szCs w:val="19"/>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bCs/>
        </w:rPr>
        <w:t xml:space="preserve">5.3.</w:t>
      </w:r>
      <w:r>
        <w:rPr>
          <w:rFonts w:ascii="Arial" w:hAnsi="Arial" w:eastAsia="Arial" w:cs="Arial"/>
        </w:rPr>
        <w:t xml:space="preserve"> A chave de identificação e a senha poderão ser utilizadas em qualquer pregão eletrônico, exceto quando canceladas por solicitação do credenciado ou por iniciativa da BLL, devidamente justificada.</w:t>
      </w:r>
      <w:r>
        <w:rPr>
          <w:rFonts w:ascii="Arial" w:hAnsi="Arial" w:cs="Arial"/>
        </w:rPr>
      </w:r>
      <w:r>
        <w:rPr>
          <w:rFonts w:ascii="Arial" w:hAnsi="Arial" w:cs="Arial"/>
        </w:rPr>
      </w:r>
    </w:p>
    <w:p>
      <w:pPr>
        <w:pStyle w:val="887"/>
        <w:pBdr/>
        <w:spacing/>
        <w:ind w:left="284"/>
        <w:jc w:val="both"/>
        <w:rPr>
          <w:rFonts w:ascii="Arial" w:hAnsi="Arial" w:cs="Arial"/>
          <w:b/>
          <w:bCs/>
        </w:rPr>
      </w:pPr>
      <w:r>
        <w:rPr>
          <w:rFonts w:ascii="Arial" w:hAnsi="Arial" w:eastAsia="Arial" w:cs="Arial"/>
          <w:b/>
          <w:bCs/>
        </w:rPr>
      </w:r>
      <w:r>
        <w:rPr>
          <w:rFonts w:ascii="Arial" w:hAnsi="Arial" w:cs="Arial"/>
          <w:b/>
          <w:bCs/>
        </w:rPr>
      </w:r>
      <w:r>
        <w:rPr>
          <w:rFonts w:ascii="Arial" w:hAnsi="Arial" w:cs="Arial"/>
          <w:b/>
          <w:bCs/>
        </w:rPr>
      </w:r>
    </w:p>
    <w:p>
      <w:pPr>
        <w:pStyle w:val="887"/>
        <w:pBdr/>
        <w:spacing/>
        <w:ind/>
        <w:jc w:val="both"/>
        <w:rPr>
          <w:rFonts w:ascii="Arial" w:hAnsi="Arial" w:cs="Arial"/>
        </w:rPr>
      </w:pPr>
      <w:r>
        <w:rPr>
          <w:rFonts w:ascii="Arial" w:hAnsi="Arial" w:eastAsia="Arial" w:cs="Arial"/>
          <w:b/>
          <w:bCs/>
        </w:rPr>
        <w:t xml:space="preserve">5.4.</w:t>
      </w:r>
      <w:r>
        <w:rPr>
          <w:rFonts w:ascii="Arial" w:hAnsi="Arial" w:eastAsia="Arial" w:cs="Arial"/>
        </w:rPr>
        <w:t xml:space="preserve"> É de exclusiva responsabilidade do usuário manter o sigilo da senha, bem como pelo seu uso em </w:t>
      </w:r>
      <w:r>
        <w:rPr>
          <w:rFonts w:ascii="Arial" w:hAnsi="Arial" w:eastAsia="Arial" w:cs="Arial"/>
        </w:rPr>
        <w:t xml:space="preserve">qualquer transação efetuada diretamente ou por intermédio de seu representante, não cabendo à Prefeitura Municipal de Rondonópolis-MT e/ou à BLL a responsabilidade por eventuais danos decorrentes do uso indevido da senha, ainda que praticado por terceiros.</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bCs/>
        </w:rPr>
        <w:t xml:space="preserve">5.5.</w:t>
      </w:r>
      <w:r>
        <w:rPr>
          <w:rFonts w:ascii="Arial" w:hAnsi="Arial" w:eastAsia="Arial" w:cs="Arial"/>
        </w:rPr>
        <w:t xml:space="preserve"> O credenciamento do fornecedor e de seu representante legal junto ao sistema eletrônico implica responsabilidade legal pelos atos praticados, bem como a presunção de capacidade técnica para a realização das transações inerentes ao pregão eletrônico.</w:t>
      </w:r>
      <w:r>
        <w:rPr>
          <w:rFonts w:ascii="Arial" w:hAnsi="Arial" w:cs="Arial"/>
        </w:rPr>
      </w:r>
      <w:r>
        <w:rPr>
          <w:rFonts w:ascii="Arial" w:hAnsi="Arial" w:cs="Arial"/>
        </w:rPr>
      </w:r>
    </w:p>
    <w:p>
      <w:pPr>
        <w:pStyle w:val="887"/>
        <w:pBdr/>
        <w:spacing/>
        <w:ind w:left="284"/>
        <w:jc w:val="both"/>
        <w:rPr>
          <w:rFonts w:ascii="Arial" w:hAnsi="Arial" w:cs="Arial"/>
          <w:b/>
          <w:bCs/>
        </w:rPr>
      </w:pPr>
      <w:r>
        <w:rPr>
          <w:rFonts w:ascii="Arial" w:hAnsi="Arial" w:eastAsia="Arial" w:cs="Arial"/>
          <w:b/>
          <w:bCs/>
        </w:rPr>
      </w:r>
      <w:r>
        <w:rPr>
          <w:rFonts w:ascii="Arial" w:hAnsi="Arial" w:cs="Arial"/>
          <w:b/>
          <w:bCs/>
        </w:rPr>
      </w:r>
      <w:r>
        <w:rPr>
          <w:rFonts w:ascii="Arial" w:hAnsi="Arial" w:cs="Arial"/>
          <w:b/>
          <w:bCs/>
        </w:rPr>
      </w:r>
    </w:p>
    <w:p>
      <w:pPr>
        <w:pStyle w:val="887"/>
        <w:pBdr/>
        <w:spacing/>
        <w:ind/>
        <w:jc w:val="both"/>
        <w:rPr>
          <w:rFonts w:ascii="Arial" w:hAnsi="Arial" w:cs="Arial"/>
        </w:rPr>
      </w:pPr>
      <w:r>
        <w:rPr>
          <w:rFonts w:ascii="Arial" w:hAnsi="Arial" w:eastAsia="Arial" w:cs="Arial"/>
          <w:b/>
          <w:bCs/>
        </w:rPr>
        <w:t xml:space="preserve">5.6.</w:t>
      </w:r>
      <w:r>
        <w:rPr>
          <w:rFonts w:ascii="Arial" w:hAnsi="Arial" w:eastAsia="Arial" w:cs="Arial"/>
        </w:rPr>
        <w:t xml:space="preserve"> Como requisito para participação neste Pregão Eletrônico, o Licitante deverá manifestar, em campo próprio do Sist</w:t>
      </w:r>
      <w:r>
        <w:rPr>
          <w:rFonts w:ascii="Arial" w:hAnsi="Arial" w:eastAsia="Arial" w:cs="Arial"/>
        </w:rPr>
        <w:t xml:space="preserve">ema BLL, que sua proposta se encontra em conformidade com as exigências previstas e cumpre plenamente os requisitos de habilitação deste Edital, ressalvados os casos de microempresa e de empresa de pequeno porte, quanto à regularidade fiscal e trabalhista.</w:t>
      </w:r>
      <w:r>
        <w:rPr>
          <w:rFonts w:ascii="Arial" w:hAnsi="Arial" w:cs="Arial"/>
        </w:rPr>
      </w:r>
      <w:r>
        <w:rPr>
          <w:rFonts w:ascii="Arial" w:hAnsi="Arial" w:cs="Arial"/>
        </w:rPr>
      </w:r>
    </w:p>
    <w:p>
      <w:pPr>
        <w:pStyle w:val="887"/>
        <w:pBdr/>
        <w:spacing/>
        <w:ind w:left="284"/>
        <w:jc w:val="both"/>
        <w:rPr>
          <w:rFonts w:ascii="Arial" w:hAnsi="Arial" w:cs="Arial"/>
          <w:b/>
          <w:strike/>
          <w:color w:val="000000"/>
        </w:rPr>
      </w:pPr>
      <w:r>
        <w:rPr>
          <w:rFonts w:ascii="Arial" w:hAnsi="Arial" w:eastAsia="Arial" w:cs="Arial"/>
          <w:b/>
          <w:strike/>
          <w:color w:val="000000"/>
        </w:rPr>
      </w:r>
      <w:r>
        <w:rPr>
          <w:rFonts w:ascii="Arial" w:hAnsi="Arial" w:cs="Arial"/>
          <w:b/>
          <w:strike/>
          <w:color w:val="000000"/>
        </w:rPr>
      </w:r>
      <w:r>
        <w:rPr>
          <w:rFonts w:ascii="Arial" w:hAnsi="Arial" w:cs="Arial"/>
          <w:b/>
          <w:strike/>
          <w:color w:val="000000"/>
        </w:rPr>
      </w:r>
    </w:p>
    <w:p>
      <w:pPr>
        <w:pStyle w:val="887"/>
        <w:pBdr/>
        <w:spacing/>
        <w:ind/>
        <w:jc w:val="both"/>
        <w:rPr>
          <w:rFonts w:ascii="Arial" w:hAnsi="Arial" w:cs="Arial"/>
        </w:rPr>
      </w:pPr>
      <w:r>
        <w:rPr>
          <w:rFonts w:ascii="Arial" w:hAnsi="Arial" w:eastAsia="Arial" w:cs="Arial"/>
          <w:b/>
          <w:bCs/>
        </w:rPr>
        <w:t xml:space="preserve">5.7.</w:t>
      </w:r>
      <w:r>
        <w:rPr>
          <w:rFonts w:ascii="Arial" w:hAnsi="Arial" w:eastAsia="Arial" w:cs="Arial"/>
        </w:rPr>
        <w:t xml:space="preserve"> No caso de microempresa e empresa de pequeno porte, nos termos da Lei Complementar nº 123, de 14/12/2006, alterada pela Lei Complementar nº 147, de 07/08/2014, para que possa gozar dos </w:t>
      </w:r>
      <w:r>
        <w:rPr>
          <w:rFonts w:ascii="Arial" w:hAnsi="Arial" w:eastAsia="Arial" w:cs="Arial"/>
        </w:rPr>
        <w:t xml:space="preserve">benefícios previstos no Capítulo V da referida Lei, é necessário, à época do credenciamento, acrescentar as expressões “Microempresa” ou “Empresa de Pequeno Porte”, ou suas respectivas abreviações “ME” ou “EPP”, à sua firma ou denominação, conforme o caso.</w:t>
      </w:r>
      <w:r>
        <w:rPr>
          <w:rFonts w:ascii="Arial" w:hAnsi="Arial" w:cs="Arial"/>
        </w:rPr>
      </w:r>
      <w:r>
        <w:rPr>
          <w:rFonts w:ascii="Arial" w:hAnsi="Arial" w:cs="Arial"/>
        </w:rPr>
      </w:r>
    </w:p>
    <w:p>
      <w:pPr>
        <w:pStyle w:val="887"/>
        <w:pBdr/>
        <w:spacing/>
        <w:ind w:left="284"/>
        <w:jc w:val="both"/>
        <w:rPr>
          <w:rFonts w:ascii="Arial" w:hAnsi="Arial" w:cs="Arial"/>
          <w:b/>
          <w:bCs/>
        </w:rPr>
      </w:pPr>
      <w:r>
        <w:rPr>
          <w:rFonts w:ascii="Arial" w:hAnsi="Arial" w:eastAsia="Arial" w:cs="Arial"/>
          <w:b/>
          <w:bCs/>
        </w:rPr>
      </w:r>
      <w:r>
        <w:rPr>
          <w:rFonts w:ascii="Arial" w:hAnsi="Arial" w:cs="Arial"/>
          <w:b/>
          <w:bCs/>
        </w:rPr>
      </w:r>
      <w:r>
        <w:rPr>
          <w:rFonts w:ascii="Arial" w:hAnsi="Arial" w:cs="Arial"/>
          <w:b/>
          <w:bCs/>
        </w:rPr>
      </w:r>
    </w:p>
    <w:p>
      <w:pPr>
        <w:pStyle w:val="887"/>
        <w:pBdr/>
        <w:spacing/>
        <w:ind/>
        <w:jc w:val="both"/>
        <w:rPr>
          <w:rFonts w:ascii="Arial" w:hAnsi="Arial" w:cs="Arial"/>
        </w:rPr>
      </w:pPr>
      <w:r>
        <w:rPr>
          <w:rFonts w:ascii="Arial" w:hAnsi="Arial" w:eastAsia="Arial" w:cs="Arial"/>
          <w:b/>
          <w:bCs/>
        </w:rPr>
        <w:t xml:space="preserve">5.7.1.</w:t>
      </w:r>
      <w:r>
        <w:rPr>
          <w:rFonts w:ascii="Arial" w:hAnsi="Arial" w:eastAsia="Arial" w:cs="Arial"/>
        </w:rPr>
        <w:t xml:space="preserve"> Caso o proponente já esteja cadastrado no Sistema e não constem os dados acima em sua firma ou denominação, deverá providenciar a atualização de seu cadastro junto à BLL.</w:t>
      </w:r>
      <w:r>
        <w:rPr>
          <w:rFonts w:ascii="Arial" w:hAnsi="Arial" w:cs="Arial"/>
        </w:rPr>
      </w:r>
      <w:r>
        <w:rPr>
          <w:rFonts w:ascii="Arial" w:hAnsi="Arial" w:cs="Arial"/>
        </w:rPr>
      </w:r>
    </w:p>
    <w:p>
      <w:pPr>
        <w:pStyle w:val="887"/>
        <w:pBdr/>
        <w:spacing/>
        <w:ind w:left="284"/>
        <w:jc w:val="both"/>
        <w:rPr>
          <w:rFonts w:ascii="Arial" w:hAnsi="Arial" w:cs="Arial"/>
          <w:b/>
          <w:bCs/>
        </w:rPr>
      </w:pPr>
      <w:r>
        <w:rPr>
          <w:rFonts w:ascii="Arial" w:hAnsi="Arial" w:eastAsia="Arial" w:cs="Arial"/>
          <w:b/>
          <w:bCs/>
        </w:rPr>
      </w:r>
      <w:r>
        <w:rPr>
          <w:rFonts w:ascii="Arial" w:hAnsi="Arial" w:cs="Arial"/>
          <w:b/>
          <w:bCs/>
        </w:rPr>
      </w:r>
      <w:r>
        <w:rPr>
          <w:rFonts w:ascii="Arial" w:hAnsi="Arial" w:cs="Arial"/>
          <w:b/>
          <w:bCs/>
        </w:rPr>
      </w:r>
    </w:p>
    <w:p>
      <w:pPr>
        <w:pStyle w:val="887"/>
        <w:pBdr/>
        <w:spacing/>
        <w:ind/>
        <w:jc w:val="both"/>
        <w:rPr>
          <w:rFonts w:ascii="Arial" w:hAnsi="Arial" w:cs="Arial"/>
        </w:rPr>
      </w:pPr>
      <w:r>
        <w:rPr>
          <w:rFonts w:ascii="Arial" w:hAnsi="Arial" w:eastAsia="Arial" w:cs="Arial"/>
          <w:b/>
          <w:bCs/>
        </w:rPr>
        <w:t xml:space="preserve">5.8.</w:t>
      </w:r>
      <w:r>
        <w:rPr>
          <w:rFonts w:ascii="Arial" w:hAnsi="Arial" w:eastAsia="Arial" w:cs="Arial"/>
        </w:rPr>
        <w:t xml:space="preserve"> É vedado a qualquer credenciado representar mais de uma empresa proponente, exceto nos casos de representação para itens distintos.</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numPr>
          <w:ilvl w:val="0"/>
          <w:numId w:val="0"/>
        </w:numPr>
        <w:pBdr/>
        <w:spacing/>
        <w:ind/>
        <w:jc w:val="both"/>
        <w:outlineLvl w:val="0"/>
        <w:rPr>
          <w:rFonts w:ascii="Arial" w:hAnsi="Arial" w:cs="Arial"/>
          <w:b/>
          <w:bCs/>
          <w:color w:val="000000"/>
        </w:rPr>
      </w:pPr>
      <w:r/>
      <w:bookmarkStart w:id="68" w:name="_Toc5"/>
      <w:r>
        <w:rPr>
          <w:rFonts w:ascii="Arial" w:hAnsi="Arial" w:eastAsia="Arial" w:cs="Arial"/>
          <w:b/>
          <w:bCs/>
          <w:color w:val="000000"/>
        </w:rPr>
        <w:t xml:space="preserve">6. DA PARTICIPAÇÃO NA LICITAÇÃO E CADASTRO DA PROPOSTA NO SISTEMA BLL:</w:t>
      </w:r>
      <w:bookmarkEnd w:id="68"/>
      <w:r>
        <w:rPr>
          <w:rFonts w:ascii="Arial" w:hAnsi="Arial" w:cs="Arial"/>
          <w:b/>
          <w:bCs/>
          <w:color w:val="000000"/>
        </w:rPr>
      </w:r>
      <w:r>
        <w:rPr>
          <w:rFonts w:ascii="Arial" w:hAnsi="Arial" w:cs="Arial"/>
          <w:b/>
          <w:bCs/>
          <w:color w:val="000000"/>
        </w:rPr>
      </w:r>
    </w:p>
    <w:p>
      <w:pPr>
        <w:pStyle w:val="887"/>
        <w:pBdr/>
        <w:spacing/>
        <w:ind w:left="284"/>
        <w:jc w:val="both"/>
        <w:rPr>
          <w:rFonts w:ascii="Arial" w:hAnsi="Arial" w:cs="Arial"/>
          <w:b/>
          <w:color w:val="000000"/>
          <w:sz w:val="19"/>
          <w:szCs w:val="19"/>
        </w:rPr>
      </w:pPr>
      <w:r>
        <w:rPr>
          <w:rFonts w:ascii="Arial" w:hAnsi="Arial" w:eastAsia="Arial" w:cs="Arial"/>
          <w:b/>
          <w:color w:val="000000"/>
          <w:sz w:val="19"/>
          <w:szCs w:val="19"/>
        </w:rPr>
      </w:r>
      <w:r>
        <w:rPr>
          <w:rFonts w:ascii="Arial" w:hAnsi="Arial" w:cs="Arial"/>
          <w:b/>
          <w:color w:val="000000"/>
          <w:sz w:val="19"/>
          <w:szCs w:val="19"/>
        </w:rPr>
      </w:r>
      <w:r>
        <w:rPr>
          <w:rFonts w:ascii="Arial" w:hAnsi="Arial" w:cs="Arial"/>
          <w:b/>
          <w:color w:val="000000"/>
          <w:sz w:val="19"/>
          <w:szCs w:val="19"/>
        </w:rPr>
      </w:r>
    </w:p>
    <w:p>
      <w:pPr>
        <w:pStyle w:val="2075"/>
        <w:pBdr/>
        <w:spacing/>
        <w:ind/>
        <w:jc w:val="both"/>
        <w:rPr>
          <w:rFonts w:ascii="Arial" w:hAnsi="Arial" w:cs="Arial"/>
          <w:sz w:val="20"/>
          <w:szCs w:val="20"/>
        </w:rPr>
      </w:pPr>
      <w:r>
        <w:rPr>
          <w:rFonts w:ascii="Arial" w:hAnsi="Arial" w:eastAsia="Arial" w:cs="Arial"/>
          <w:b/>
          <w:bCs/>
          <w:sz w:val="20"/>
          <w:szCs w:val="20"/>
        </w:rPr>
        <w:t xml:space="preserve">6.1.</w:t>
      </w:r>
      <w:r>
        <w:rPr>
          <w:rFonts w:ascii="Arial" w:hAnsi="Arial" w:eastAsia="Arial" w:cs="Arial"/>
          <w:sz w:val="20"/>
          <w:szCs w:val="20"/>
        </w:rPr>
        <w:t xml:space="preserve"> Não haverá a possibilidade de o licitante oferecer proposta em quantitativo inferior ao máximo previsto no edital, obrigando-se nos limites dele (art. 82, IV da Lei 14.133/2021 e art. 301, IX do Decreto 11.685/2023).</w:t>
      </w:r>
      <w:r>
        <w:rPr>
          <w:rFonts w:ascii="Arial" w:hAnsi="Arial" w:cs="Arial"/>
          <w:sz w:val="20"/>
          <w:szCs w:val="20"/>
        </w:rPr>
      </w:r>
      <w:r>
        <w:rPr>
          <w:rFonts w:ascii="Arial" w:hAnsi="Arial" w:cs="Arial"/>
          <w:sz w:val="20"/>
          <w:szCs w:val="20"/>
        </w:rPr>
      </w:r>
    </w:p>
    <w:p>
      <w:pPr>
        <w:pStyle w:val="2075"/>
        <w:pBdr/>
        <w:spacing/>
        <w:ind/>
        <w:jc w:val="both"/>
        <w:rPr>
          <w:rFonts w:ascii="Arial" w:hAnsi="Arial" w:cs="Arial"/>
          <w:b/>
          <w:bCs/>
          <w:sz w:val="20"/>
          <w:szCs w:val="20"/>
        </w:rPr>
      </w:pPr>
      <w:r>
        <w:rPr>
          <w:rFonts w:ascii="Arial" w:hAnsi="Arial" w:eastAsia="Arial" w:cs="Arial"/>
          <w:b/>
          <w:bCs/>
          <w:sz w:val="20"/>
          <w:szCs w:val="20"/>
        </w:rPr>
      </w:r>
      <w:r>
        <w:rPr>
          <w:rFonts w:ascii="Arial" w:hAnsi="Arial" w:cs="Arial"/>
          <w:b/>
          <w:bCs/>
          <w:sz w:val="20"/>
          <w:szCs w:val="20"/>
        </w:rPr>
      </w:r>
      <w:r>
        <w:rPr>
          <w:rFonts w:ascii="Arial" w:hAnsi="Arial" w:cs="Arial"/>
          <w:b/>
          <w:bCs/>
          <w:sz w:val="20"/>
          <w:szCs w:val="20"/>
        </w:rPr>
      </w:r>
    </w:p>
    <w:p>
      <w:pPr>
        <w:pStyle w:val="2075"/>
        <w:pBdr/>
        <w:spacing/>
        <w:ind/>
        <w:jc w:val="both"/>
        <w:rPr>
          <w:rFonts w:ascii="Arial" w:hAnsi="Arial" w:eastAsia="Arial" w:cs="Arial"/>
          <w:sz w:val="20"/>
          <w:szCs w:val="20"/>
          <w14:ligatures w14:val="none"/>
        </w:rPr>
      </w:pPr>
      <w:r>
        <w:rPr>
          <w:rFonts w:ascii="Arial" w:hAnsi="Arial" w:eastAsia="Arial" w:cs="Arial"/>
          <w:b/>
          <w:bCs/>
          <w:sz w:val="20"/>
          <w:szCs w:val="20"/>
        </w:rPr>
        <w:t xml:space="preserve">6.1.1.</w:t>
      </w:r>
      <w:r>
        <w:rPr>
          <w:rFonts w:ascii="Arial" w:hAnsi="Arial" w:eastAsia="Arial" w:cs="Arial"/>
        </w:rPr>
        <w:t xml:space="preserve"> </w:t>
      </w:r>
      <w:r>
        <w:rPr>
          <w:rFonts w:ascii="Arial" w:hAnsi="Arial" w:eastAsia="Arial" w:cs="Arial"/>
          <w:b/>
          <w:bCs/>
          <w:sz w:val="20"/>
          <w:szCs w:val="20"/>
        </w:rPr>
        <w:t xml:space="preserve">Não haverá diferença de preços em função do local de entrega</w:t>
      </w:r>
      <w:r>
        <w:rPr>
          <w:rFonts w:ascii="Arial" w:hAnsi="Arial" w:eastAsia="Arial" w:cs="Arial"/>
          <w:sz w:val="20"/>
          <w:szCs w:val="20"/>
        </w:rPr>
        <w:t xml:space="preserve">, considerando que os produtos serão entregues, ordinariamente, no Almoxarifado da Secretaria Municipal de Saúde, situado na Avenida Ângelo Thum, nº 181, Jardim Monte Líbano, Rondonópolis/MT, CEP </w:t>
      </w:r>
      <w:r>
        <w:rPr>
          <w:rFonts w:ascii="Arial" w:hAnsi="Arial" w:eastAsia="Arial" w:cs="Arial"/>
          <w:sz w:val="20"/>
          <w:szCs w:val="20"/>
        </w:rPr>
        <w:t xml:space="preserve">78710-272, sem prejuízo de eventual indicação de outro local situado no perímetro urbano do Município, expressamente consignado na Ordem de Fornecimento e sem alteração das condições econômicas da proposta.</w:t>
      </w:r>
      <w:r>
        <w:rPr>
          <w:rFonts w:ascii="Arial" w:hAnsi="Arial" w:eastAsia="Arial" w:cs="Arial"/>
          <w:sz w:val="20"/>
          <w:szCs w:val="20"/>
        </w:rPr>
      </w:r>
      <w:r>
        <w:rPr>
          <w:rFonts w:ascii="Arial" w:hAnsi="Arial" w:eastAsia="Arial" w:cs="Arial"/>
          <w:sz w:val="20"/>
          <w:szCs w:val="20"/>
          <w14:ligatures w14:val="none"/>
        </w:rPr>
      </w:r>
    </w:p>
    <w:p>
      <w:pPr>
        <w:pStyle w:val="2075"/>
        <w:pBdr/>
        <w:spacing/>
        <w:ind w:left="284"/>
        <w:jc w:val="both"/>
        <w:rPr>
          <w:rFonts w:ascii="Arial" w:hAnsi="Arial" w:cs="Arial"/>
          <w:b/>
          <w:bCs/>
        </w:rPr>
      </w:pPr>
      <w:r>
        <w:rPr>
          <w:rFonts w:ascii="Arial" w:hAnsi="Arial" w:eastAsia="Arial" w:cs="Arial"/>
          <w:b/>
          <w:bCs/>
        </w:rPr>
      </w:r>
      <w:r>
        <w:rPr>
          <w:rFonts w:ascii="Arial" w:hAnsi="Arial" w:cs="Arial"/>
          <w:b/>
          <w:bCs/>
        </w:rPr>
      </w:r>
      <w:r>
        <w:rPr>
          <w:rFonts w:ascii="Arial" w:hAnsi="Arial" w:cs="Arial"/>
          <w:b/>
          <w:bCs/>
        </w:rPr>
      </w:r>
    </w:p>
    <w:p>
      <w:pPr>
        <w:pStyle w:val="2075"/>
        <w:pBdr/>
        <w:spacing/>
        <w:ind/>
        <w:jc w:val="both"/>
        <w:rPr>
          <w:rFonts w:ascii="Arial" w:hAnsi="Arial" w:cs="Arial"/>
          <w:bCs/>
          <w:sz w:val="20"/>
          <w:szCs w:val="20"/>
        </w:rPr>
      </w:pPr>
      <w:r>
        <w:rPr>
          <w:rFonts w:ascii="Arial" w:hAnsi="Arial" w:eastAsia="Arial" w:cs="Arial"/>
          <w:b/>
          <w:bCs/>
          <w:sz w:val="20"/>
          <w:szCs w:val="20"/>
        </w:rPr>
        <w:t xml:space="preserve">6.2.</w:t>
      </w:r>
      <w:r>
        <w:rPr>
          <w:rFonts w:ascii="Arial" w:hAnsi="Arial" w:eastAsia="Arial" w:cs="Arial"/>
          <w:b/>
          <w:sz w:val="20"/>
          <w:szCs w:val="20"/>
        </w:rPr>
        <w:t xml:space="preserve"> </w:t>
      </w:r>
      <w:r>
        <w:rPr>
          <w:rFonts w:ascii="Arial" w:hAnsi="Arial" w:eastAsia="Arial" w:cs="Arial"/>
          <w:sz w:val="20"/>
          <w:szCs w:val="20"/>
        </w:rPr>
        <w:t xml:space="preserve">As propostas d</w:t>
      </w:r>
      <w:r>
        <w:rPr>
          <w:rFonts w:ascii="Arial" w:hAnsi="Arial" w:eastAsia="Arial" w:cs="Arial"/>
          <w:sz w:val="20"/>
          <w:szCs w:val="20"/>
        </w:rPr>
        <w:t xml:space="preserve">everão ser cadastradas demonstrando o valor unitário de cada item, tendo em vista que o próprio sistema da BLL fará a multiplicação e emitirá os relatórios com o (s) valor (es) total (is) do (s) item (ns), já os lances serão sobre o valor total do lote.</w:t>
      </w:r>
      <w:r>
        <w:rPr>
          <w:rFonts w:ascii="Arial" w:hAnsi="Arial" w:cs="Arial"/>
          <w:bCs/>
          <w:sz w:val="20"/>
          <w:szCs w:val="20"/>
        </w:rPr>
      </w:r>
      <w:r>
        <w:rPr>
          <w:rFonts w:ascii="Arial" w:hAnsi="Arial" w:cs="Arial"/>
          <w:bCs/>
          <w:sz w:val="20"/>
          <w:szCs w:val="20"/>
        </w:rPr>
      </w:r>
    </w:p>
    <w:p>
      <w:pPr>
        <w:pStyle w:val="2075"/>
        <w:pBdr/>
        <w:spacing/>
        <w:ind w:left="284"/>
        <w:jc w:val="both"/>
        <w:rPr>
          <w:rFonts w:ascii="Arial" w:hAnsi="Arial" w:cs="Arial"/>
          <w:b/>
          <w:bCs/>
          <w:sz w:val="20"/>
          <w:szCs w:val="20"/>
        </w:rPr>
      </w:pPr>
      <w:r>
        <w:rPr>
          <w:rFonts w:ascii="Arial" w:hAnsi="Arial" w:eastAsia="Arial" w:cs="Arial"/>
          <w:b/>
          <w:bCs/>
          <w:sz w:val="20"/>
          <w:szCs w:val="20"/>
        </w:rPr>
      </w:r>
      <w:r>
        <w:rPr>
          <w:rFonts w:ascii="Arial" w:hAnsi="Arial" w:cs="Arial"/>
          <w:b/>
          <w:bCs/>
          <w:sz w:val="20"/>
          <w:szCs w:val="20"/>
        </w:rPr>
      </w:r>
      <w:r>
        <w:rPr>
          <w:rFonts w:ascii="Arial" w:hAnsi="Arial" w:cs="Arial"/>
          <w:b/>
          <w:bCs/>
          <w:sz w:val="20"/>
          <w:szCs w:val="20"/>
        </w:rPr>
      </w:r>
    </w:p>
    <w:p>
      <w:pPr>
        <w:pStyle w:val="887"/>
        <w:pBdr/>
        <w:spacing/>
        <w:ind/>
        <w:jc w:val="both"/>
        <w:rPr>
          <w:rFonts w:ascii="Arial" w:hAnsi="Arial" w:cs="Arial"/>
        </w:rPr>
      </w:pPr>
      <w:r>
        <w:rPr>
          <w:rFonts w:ascii="Arial" w:hAnsi="Arial" w:eastAsia="Arial" w:cs="Arial"/>
          <w:b/>
          <w:bCs/>
        </w:rPr>
        <w:t xml:space="preserve">6.2.1.</w:t>
      </w:r>
      <w:r>
        <w:rPr>
          <w:rFonts w:ascii="Arial" w:hAnsi="Arial" w:eastAsia="Arial" w:cs="Arial"/>
        </w:rPr>
        <w:t xml:space="preserve"> As propostas cadastradas divergentes ao solicitado no item 6.2 poderão ser desclassificadas, uma vez que dificulta a operacionalização do sistema em razão da classificação de ME, EPP.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bCs/>
        </w:rPr>
        <w:t xml:space="preserve">6.3.</w:t>
      </w:r>
      <w:r>
        <w:rPr>
          <w:rFonts w:ascii="Arial" w:hAnsi="Arial" w:eastAsia="Arial" w:cs="Arial"/>
        </w:rPr>
        <w:t xml:space="preserve"> As propostas iniciais deverão ser cadastrados via sistema eletrônico na plataforma BLL.</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bCs/>
        </w:rPr>
        <w:t xml:space="preserve">6.4.</w:t>
      </w:r>
      <w:r>
        <w:rPr>
          <w:rFonts w:ascii="Arial" w:hAnsi="Arial" w:eastAsia="Arial" w:cs="Arial"/>
        </w:rPr>
        <w:t xml:space="preserve"> A apresentação da(s) proposta(s) inicial(ais), bem como, os lances ofertados quando for o caso, demonstra que o licitante te</w:t>
      </w:r>
      <w:r>
        <w:rPr>
          <w:rFonts w:ascii="Arial" w:hAnsi="Arial" w:eastAsia="Arial" w:cs="Arial"/>
        </w:rPr>
        <w:t xml:space="preserve">m conhecimento do objeto, valor estimado devidamente descrito no formulário padrão da P.M.R. denominado de formação de preços e atendimento às exigências para habilitação, portanto, demostra pleno conhecimento das regras previstas no Edital e seus Anexos.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bCs/>
        </w:rPr>
        <w:t xml:space="preserve">6.4.1.</w:t>
      </w:r>
      <w:r>
        <w:rPr>
          <w:rFonts w:ascii="Arial" w:hAnsi="Arial" w:eastAsia="Arial" w:cs="Arial"/>
        </w:rPr>
        <w:t xml:space="preserve"> A empresa/licitante será</w:t>
      </w:r>
      <w:r>
        <w:rPr>
          <w:rFonts w:ascii="Arial" w:hAnsi="Arial" w:eastAsia="Arial" w:cs="Arial"/>
        </w:rPr>
        <w:t xml:space="preserve"> responsável por todas as transações que forem efetuadas em seu nome no sistema BLL, assumindo como firmes e verdadeiras suas propostas iniciais cadastradas, lances, bem como, fica obrigada a cadastrar a recomposição dentro do prazo estabelecido no edital.</w:t>
      </w:r>
      <w:r>
        <w:rPr>
          <w:rFonts w:ascii="Arial" w:hAnsi="Arial" w:cs="Arial"/>
        </w:rPr>
      </w:r>
      <w:r>
        <w:rPr>
          <w:rFonts w:ascii="Arial" w:hAnsi="Arial" w:cs="Arial"/>
        </w:rPr>
      </w:r>
    </w:p>
    <w:p>
      <w:pPr>
        <w:pStyle w:val="887"/>
        <w:pBdr/>
        <w:spacing/>
        <w:ind/>
        <w:jc w:val="both"/>
        <w:rPr>
          <w:rFonts w:ascii="Arial" w:hAnsi="Arial" w:cs="Arial"/>
          <w:b/>
          <w:bCs/>
        </w:rPr>
      </w:pPr>
      <w:r>
        <w:rPr>
          <w:rFonts w:ascii="Arial" w:hAnsi="Arial" w:eastAsia="Arial" w:cs="Arial"/>
          <w:b/>
          <w:bCs/>
        </w:rPr>
      </w:r>
      <w:r>
        <w:rPr>
          <w:rFonts w:ascii="Arial" w:hAnsi="Arial" w:cs="Arial"/>
          <w:b/>
          <w:bCs/>
        </w:rPr>
      </w:r>
      <w:r>
        <w:rPr>
          <w:rFonts w:ascii="Arial" w:hAnsi="Arial" w:cs="Arial"/>
          <w:b/>
          <w:bCs/>
        </w:rPr>
      </w:r>
    </w:p>
    <w:p>
      <w:pPr>
        <w:pStyle w:val="887"/>
        <w:pBdr/>
        <w:spacing/>
        <w:ind/>
        <w:jc w:val="both"/>
        <w:rPr>
          <w:rFonts w:ascii="Arial" w:hAnsi="Arial" w:cs="Arial"/>
        </w:rPr>
      </w:pPr>
      <w:r>
        <w:rPr>
          <w:rFonts w:ascii="Arial" w:hAnsi="Arial" w:eastAsia="Arial" w:cs="Arial"/>
          <w:b/>
          <w:bCs/>
        </w:rPr>
        <w:t xml:space="preserve">6.5.</w:t>
      </w:r>
      <w:r>
        <w:rPr>
          <w:rFonts w:ascii="Arial" w:hAnsi="Arial" w:eastAsia="Arial" w:cs="Arial"/>
        </w:rPr>
        <w:t xml:space="preserve"> Portanto, o licitante responsabiliza-se exclusiva e formalmente pelas transações efetuadas em seu nome, assume como firmes e verdadeiras suas propostas e seus lances, inclusive</w:t>
      </w:r>
      <w:r>
        <w:rPr>
          <w:rFonts w:ascii="Arial" w:hAnsi="Arial" w:eastAsia="Arial" w:cs="Arial"/>
        </w:rPr>
        <w:t xml:space="preserve"> os atos praticados diretamente ou por seu representante, excluída a responsabilidade do provedor do sistema ou do órgão ou entidade promotora da licitação por eventuais danos decorrentes de uso indevido das credenciais de acesso, ainda que por terceiros. </w:t>
      </w:r>
      <w:r>
        <w:rPr>
          <w:rFonts w:ascii="Arial" w:hAnsi="Arial" w:cs="Arial"/>
        </w:rPr>
      </w:r>
      <w:r>
        <w:rPr>
          <w:rFonts w:ascii="Arial" w:hAnsi="Arial" w:cs="Arial"/>
        </w:rPr>
      </w:r>
    </w:p>
    <w:p>
      <w:pPr>
        <w:pStyle w:val="887"/>
        <w:pBdr/>
        <w:spacing/>
        <w:ind/>
        <w:jc w:val="both"/>
        <w:rPr>
          <w:rFonts w:ascii="Arial" w:hAnsi="Arial" w:cs="Arial"/>
          <w:b/>
          <w:bCs/>
        </w:rPr>
      </w:pPr>
      <w:r>
        <w:rPr>
          <w:rFonts w:ascii="Arial" w:hAnsi="Arial" w:eastAsia="Arial" w:cs="Arial"/>
          <w:b/>
          <w:bCs/>
        </w:rPr>
      </w:r>
      <w:r>
        <w:rPr>
          <w:rFonts w:ascii="Arial" w:hAnsi="Arial" w:cs="Arial"/>
          <w:b/>
          <w:bCs/>
        </w:rPr>
      </w:r>
      <w:r>
        <w:rPr>
          <w:rFonts w:ascii="Arial" w:hAnsi="Arial" w:cs="Arial"/>
          <w:b/>
          <w:bCs/>
        </w:rPr>
      </w:r>
    </w:p>
    <w:p>
      <w:pPr>
        <w:pStyle w:val="887"/>
        <w:pBdr/>
        <w:spacing/>
        <w:ind/>
        <w:jc w:val="both"/>
        <w:rPr>
          <w:rFonts w:ascii="Arial" w:hAnsi="Arial" w:cs="Arial"/>
          <w:sz w:val="24"/>
          <w:szCs w:val="24"/>
        </w:rPr>
      </w:pPr>
      <w:r>
        <w:rPr>
          <w:rFonts w:ascii="Arial" w:hAnsi="Arial" w:eastAsia="Arial" w:cs="Arial"/>
          <w:b/>
          <w:bCs/>
        </w:rPr>
        <w:t xml:space="preserve">6.6.</w:t>
      </w:r>
      <w:r>
        <w:rPr>
          <w:rFonts w:ascii="Arial" w:hAnsi="Arial" w:eastAsia="Arial" w:cs="Arial"/>
        </w:rPr>
        <w:t xml:space="preserve"> Será concedido tratamento favorecido para as microempresas e empresas de pequeno porte, </w:t>
      </w:r>
      <w:r>
        <w:rPr>
          <w:rFonts w:ascii="Arial" w:hAnsi="Arial" w:eastAsia="Arial" w:cs="Arial"/>
          <w:color w:val="000000"/>
        </w:rPr>
        <w:t xml:space="preserve">para as sociedades cooperativas mencionadas no </w:t>
      </w:r>
      <w:hyperlink r:id="rId18" w:tooltip="http://www.planalto.gov.br/ccivil_03/_ato2019-2022/2021/lei/L14133.htm" w:history="1">
        <w:r>
          <w:rPr>
            <w:rFonts w:ascii="Arial" w:hAnsi="Arial" w:eastAsia="Arial" w:cs="Arial"/>
            <w:color w:val="000000"/>
            <w:u w:val="single"/>
          </w:rPr>
          <w:t xml:space="preserve">artigo 16 da Lei nº 14.133, de 2021</w:t>
        </w:r>
      </w:hyperlink>
      <w:r>
        <w:rPr>
          <w:rFonts w:ascii="Arial" w:hAnsi="Arial" w:eastAsia="Arial" w:cs="Arial"/>
        </w:rPr>
        <w:t xml:space="preserve">, para o agricultor familiar, o produtor rural pessoa física e para o microempreendedor individual - MEI, nos limites previstos da </w:t>
      </w:r>
      <w:hyperlink r:id="rId19" w:tooltip="https://www.planalto.gov.br/ccivil_03/leis/lcp/lcp123.htm" w:history="1">
        <w:r>
          <w:rPr>
            <w:rFonts w:ascii="Arial" w:hAnsi="Arial" w:eastAsia="Arial" w:cs="Arial"/>
            <w:color w:val="0000ff"/>
            <w:u w:val="single"/>
          </w:rPr>
          <w:t xml:space="preserve">Lei Complementar nº 123, de 2006</w:t>
        </w:r>
      </w:hyperlink>
      <w:r>
        <w:rPr>
          <w:rFonts w:ascii="Arial" w:hAnsi="Arial" w:eastAsia="Arial" w:cs="Arial"/>
        </w:rPr>
        <w:t xml:space="preserve"> e do Decreto n.º 8.538, de 2015.</w:t>
      </w:r>
      <w:r>
        <w:rPr>
          <w:rFonts w:ascii="Arial" w:hAnsi="Arial" w:cs="Arial"/>
          <w:sz w:val="24"/>
          <w:szCs w:val="24"/>
        </w:rPr>
      </w:r>
      <w:r>
        <w:rPr>
          <w:rFonts w:ascii="Arial" w:hAnsi="Arial" w:cs="Arial"/>
          <w:sz w:val="24"/>
          <w:szCs w:val="24"/>
        </w:rPr>
      </w:r>
    </w:p>
    <w:p>
      <w:pPr>
        <w:pStyle w:val="2075"/>
        <w:pBdr/>
        <w:spacing/>
        <w:ind w:left="284"/>
        <w:jc w:val="both"/>
        <w:rPr>
          <w:rFonts w:ascii="Arial" w:hAnsi="Arial" w:cs="Arial"/>
          <w:b/>
          <w:sz w:val="20"/>
          <w:szCs w:val="20"/>
        </w:rPr>
      </w:pPr>
      <w:r>
        <w:rPr>
          <w:rFonts w:ascii="Arial" w:hAnsi="Arial" w:eastAsia="Arial" w:cs="Arial"/>
          <w:b/>
          <w:sz w:val="20"/>
          <w:szCs w:val="20"/>
        </w:rPr>
      </w:r>
      <w:r>
        <w:rPr>
          <w:rFonts w:ascii="Arial" w:hAnsi="Arial" w:cs="Arial"/>
          <w:b/>
          <w:sz w:val="20"/>
          <w:szCs w:val="20"/>
        </w:rPr>
      </w:r>
      <w:r>
        <w:rPr>
          <w:rFonts w:ascii="Arial" w:hAnsi="Arial" w:cs="Arial"/>
          <w:b/>
          <w:sz w:val="20"/>
          <w:szCs w:val="20"/>
        </w:rPr>
      </w:r>
    </w:p>
    <w:p>
      <w:pPr>
        <w:pStyle w:val="887"/>
        <w:pBdr/>
        <w:spacing/>
        <w:ind/>
        <w:jc w:val="both"/>
        <w:rPr>
          <w:rFonts w:ascii="Arial" w:hAnsi="Arial" w:cs="Arial"/>
          <w:b/>
          <w:bCs/>
          <w:color w:val="000000"/>
        </w:rPr>
      </w:pPr>
      <w:r>
        <w:rPr>
          <w:rFonts w:ascii="Arial" w:hAnsi="Arial" w:eastAsia="Arial" w:cs="Arial"/>
          <w:b/>
          <w:bCs/>
          <w:color w:val="000000"/>
        </w:rPr>
        <w:t xml:space="preserve">6.7. </w:t>
      </w:r>
      <w:r>
        <w:rPr>
          <w:rFonts w:ascii="Arial" w:hAnsi="Arial" w:eastAsia="Arial" w:cs="Arial"/>
          <w:color w:val="000000"/>
        </w:rPr>
        <w:t xml:space="preserve">NA PROPOSTA DE PREÇOS DEVERÁ CONTER: </w:t>
      </w:r>
      <w:r>
        <w:rPr>
          <w:rFonts w:ascii="Arial" w:hAnsi="Arial" w:cs="Arial"/>
          <w:b/>
          <w:bCs/>
          <w:color w:val="000000"/>
        </w:rPr>
      </w:r>
      <w:r>
        <w:rPr>
          <w:rFonts w:ascii="Arial" w:hAnsi="Arial" w:cs="Arial"/>
          <w:b/>
          <w:bCs/>
          <w:color w:val="000000"/>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bCs/>
          <w:color w:val="000000"/>
        </w:rPr>
        <w:t xml:space="preserve">6.7.1.</w:t>
      </w:r>
      <w:r>
        <w:rPr>
          <w:rFonts w:ascii="Arial" w:hAnsi="Arial" w:eastAsia="Arial" w:cs="Arial"/>
          <w:color w:val="000000"/>
        </w:rPr>
        <w:t xml:space="preserve"> A proposta deverá indicar o prazo de sua eficácia, que não poderá ser inferior a 120 dias corridos, contados a partir da data da realização da sessão pública da licitação.</w:t>
      </w:r>
      <w:r>
        <w:rPr>
          <w:rFonts w:ascii="Arial" w:hAnsi="Arial" w:cs="Arial"/>
          <w:color w:val="000000"/>
        </w:rPr>
      </w:r>
      <w:r>
        <w:rPr>
          <w:rFonts w:ascii="Arial" w:hAnsi="Arial" w:cs="Arial"/>
          <w:color w:val="000000"/>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tabs>
          <w:tab w:val="clear" w:leader="none" w:pos="708"/>
          <w:tab w:val="left" w:leader="none" w:pos="720"/>
        </w:tabs>
        <w:spacing/>
        <w:ind/>
        <w:jc w:val="both"/>
        <w:rPr>
          <w:rFonts w:ascii="Arial" w:hAnsi="Arial" w:cs="Arial"/>
          <w:color w:val="000000"/>
        </w:rPr>
      </w:pPr>
      <w:r>
        <w:rPr>
          <w:rFonts w:ascii="Arial" w:hAnsi="Arial" w:eastAsia="Arial" w:cs="Arial"/>
          <w:b/>
          <w:bCs/>
          <w:color w:val="000000"/>
        </w:rPr>
        <w:t xml:space="preserve">6.7.2.</w:t>
      </w:r>
      <w:r>
        <w:rPr>
          <w:rFonts w:ascii="Arial" w:hAnsi="Arial" w:eastAsia="Arial" w:cs="Arial"/>
          <w:color w:val="000000"/>
        </w:rPr>
        <w:t xml:space="preserve"> Os preços deverão ser cotados em moeda corrente nacional, expressos em algarismos, sem previsão inflacionária. Em caso de divergência: entre valores unitários e totais, prevalecerão os valores unitários; entre valores </w:t>
      </w:r>
      <w:r>
        <w:rPr>
          <w:rFonts w:ascii="Arial" w:hAnsi="Arial" w:eastAsia="Arial" w:cs="Arial"/>
          <w:color w:val="000000"/>
        </w:rPr>
        <w:t xml:space="preserve">em algarismos e por extenso (quando houver), prevalecerá o valor em algarismos. Os preços deverão incluir todas as despesas, tais como fretes, encargos sociais e trabalhistas, seguros, tributos diretos e indiretos incidentes sobre o fornecimento do objeto.</w:t>
      </w:r>
      <w:r>
        <w:rPr>
          <w:rFonts w:ascii="Arial" w:hAnsi="Arial" w:cs="Arial"/>
          <w:color w:val="000000"/>
        </w:rPr>
      </w:r>
      <w:r>
        <w:rPr>
          <w:rFonts w:ascii="Arial" w:hAnsi="Arial" w:cs="Arial"/>
          <w:color w:val="000000"/>
        </w:rPr>
      </w:r>
    </w:p>
    <w:p>
      <w:pPr>
        <w:pStyle w:val="887"/>
        <w:pBdr/>
        <w:tabs>
          <w:tab w:val="clear" w:leader="none" w:pos="708"/>
          <w:tab w:val="left" w:leader="none" w:pos="720"/>
        </w:tabs>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bCs/>
          <w:color w:val="000000"/>
        </w:rPr>
        <w:t xml:space="preserve">6.7.3.</w:t>
      </w:r>
      <w:r>
        <w:rPr>
          <w:rFonts w:ascii="Arial" w:hAnsi="Arial" w:eastAsia="Arial" w:cs="Arial"/>
          <w:color w:val="000000"/>
        </w:rPr>
        <w:t xml:space="preserve"> Na análise das propostas, serão considerados erros de somatórios e outros aspectos que beneficiem a Administração Pública, desde que não impliquem nulidade do procedimento, sendo tratados como exigências formais.</w:t>
      </w:r>
      <w:r>
        <w:rPr>
          <w:rFonts w:ascii="Arial" w:hAnsi="Arial" w:cs="Arial"/>
          <w:color w:val="000000"/>
        </w:rPr>
      </w:r>
      <w:r>
        <w:rPr>
          <w:rFonts w:ascii="Arial" w:hAnsi="Arial" w:cs="Arial"/>
          <w:color w:val="000000"/>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bCs/>
          <w:color w:val="000000"/>
        </w:rPr>
        <w:t xml:space="preserve">6.7.4.</w:t>
      </w:r>
      <w:r>
        <w:rPr>
          <w:rFonts w:ascii="Arial" w:hAnsi="Arial" w:eastAsia="Arial" w:cs="Arial"/>
          <w:color w:val="000000"/>
        </w:rPr>
        <w:t xml:space="preserve"> O proponente deverá apresentar proposta que atenda integralmente às especificações do objeto solicitado, as quais não poderão ser alteradas, sob pena de desclassificação.</w:t>
      </w:r>
      <w:r>
        <w:rPr>
          <w:rFonts w:ascii="Arial" w:hAnsi="Arial" w:cs="Arial"/>
          <w:color w:val="000000"/>
        </w:rPr>
      </w:r>
      <w:r>
        <w:rPr>
          <w:rFonts w:ascii="Arial" w:hAnsi="Arial" w:cs="Arial"/>
          <w:color w:val="000000"/>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tabs>
          <w:tab w:val="clear" w:leader="none" w:pos="708"/>
          <w:tab w:val="left" w:leader="none" w:pos="720"/>
        </w:tabs>
        <w:spacing/>
        <w:ind/>
        <w:jc w:val="both"/>
        <w:rPr>
          <w:rFonts w:ascii="Arial" w:hAnsi="Arial" w:cs="Arial"/>
          <w:color w:val="000000"/>
        </w:rPr>
      </w:pPr>
      <w:r>
        <w:rPr>
          <w:rFonts w:ascii="Arial" w:hAnsi="Arial" w:eastAsia="Arial" w:cs="Arial"/>
          <w:b/>
          <w:bCs/>
          <w:color w:val="000000"/>
        </w:rPr>
        <w:t xml:space="preserve">6.7.5.</w:t>
      </w:r>
      <w:r>
        <w:rPr>
          <w:rFonts w:ascii="Arial" w:hAnsi="Arial" w:eastAsia="Arial" w:cs="Arial"/>
          <w:color w:val="000000"/>
        </w:rPr>
        <w:t xml:space="preserve"> As propostas relativas aos produtos, objeto deste Edital, d</w:t>
      </w:r>
      <w:r>
        <w:rPr>
          <w:rFonts w:ascii="Arial" w:hAnsi="Arial" w:eastAsia="Arial" w:cs="Arial"/>
          <w:color w:val="000000"/>
        </w:rPr>
        <w:t xml:space="preserve">everão conter: marca, modelo e procedência; nome do fabricante; informações corretas, claras, precisas e ostensivas em língua portuguesa sobre características, qualidades, preço, garantia e origem; dados sobre eventuais riscos à segurança dos utilizadores.</w:t>
      </w:r>
      <w:r>
        <w:rPr>
          <w:rFonts w:ascii="Arial" w:hAnsi="Arial" w:cs="Arial"/>
          <w:color w:val="000000"/>
        </w:rPr>
      </w:r>
      <w:r>
        <w:rPr>
          <w:rFonts w:ascii="Arial" w:hAnsi="Arial" w:cs="Arial"/>
          <w:color w:val="000000"/>
        </w:rPr>
      </w:r>
    </w:p>
    <w:p>
      <w:pPr>
        <w:pStyle w:val="887"/>
        <w:pBdr/>
        <w:tabs>
          <w:tab w:val="clear" w:leader="none" w:pos="708"/>
          <w:tab w:val="left" w:leader="none" w:pos="720"/>
        </w:tabs>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Bdr/>
        <w:tabs>
          <w:tab w:val="clear" w:leader="none" w:pos="708"/>
          <w:tab w:val="left" w:leader="none" w:pos="720"/>
        </w:tabs>
        <w:spacing/>
        <w:ind/>
        <w:jc w:val="both"/>
        <w:rPr>
          <w:rFonts w:ascii="Arial" w:hAnsi="Arial" w:cs="Arial"/>
          <w:color w:val="000000"/>
          <w14:ligatures w14:val="none"/>
        </w:rPr>
      </w:pPr>
      <w:r>
        <w:rPr>
          <w:rFonts w:ascii="Arial" w:hAnsi="Arial" w:eastAsia="Arial" w:cs="Arial"/>
          <w:b/>
          <w:bCs/>
          <w:color w:val="000000"/>
        </w:rPr>
        <w:t xml:space="preserve">6.7.6.</w:t>
      </w:r>
      <w:r>
        <w:rPr>
          <w:rFonts w:ascii="Arial" w:hAnsi="Arial" w:eastAsia="Arial" w:cs="Arial"/>
          <w:color w:val="000000"/>
        </w:rPr>
        <w:t xml:space="preserve"> </w:t>
      </w:r>
      <w:r>
        <w:rPr>
          <w:rFonts w:ascii="Arial" w:hAnsi="Arial" w:eastAsia="Arial" w:cs="Arial"/>
          <w:color w:val="000000"/>
        </w:rPr>
        <w:t xml:space="preserve">Para fins do art. 82, inciso II, da Lei nº 14.133/2021, </w:t>
      </w:r>
      <w:r>
        <w:rPr>
          <w:rFonts w:ascii="Arial" w:hAnsi="Arial" w:eastAsia="Arial" w:cs="Arial"/>
          <w:b/>
          <w:bCs/>
          <w:color w:val="000000"/>
        </w:rPr>
        <w:t xml:space="preserve">a quantidade mínima</w:t>
      </w:r>
      <w:r>
        <w:rPr>
          <w:rFonts w:ascii="Arial" w:hAnsi="Arial" w:eastAsia="Arial" w:cs="Arial"/>
          <w:color w:val="000000"/>
        </w:rPr>
        <w:t xml:space="preserve"> a ser cotada corresponderá a </w:t>
      </w:r>
      <w:r>
        <w:rPr>
          <w:rFonts w:ascii="Arial" w:hAnsi="Arial" w:eastAsia="Arial" w:cs="Arial"/>
          <w:b/>
          <w:bCs/>
          <w:color w:val="000000"/>
        </w:rPr>
        <w:t xml:space="preserve">100% </w:t>
      </w:r>
      <w:r>
        <w:rPr>
          <w:rFonts w:ascii="Arial" w:hAnsi="Arial" w:eastAsia="Arial" w:cs="Arial"/>
          <w:color w:val="000000"/>
        </w:rPr>
        <w:t xml:space="preserve">do quantitativo máximo estimado de </w:t>
      </w:r>
      <w:r>
        <w:rPr>
          <w:rFonts w:ascii="Arial" w:hAnsi="Arial" w:eastAsia="Arial" w:cs="Arial"/>
          <w:b/>
          <w:bCs/>
          <w:color w:val="000000"/>
        </w:rPr>
        <w:t xml:space="preserve">cada item</w:t>
      </w:r>
      <w:r>
        <w:rPr>
          <w:rFonts w:ascii="Arial" w:hAnsi="Arial" w:eastAsia="Arial" w:cs="Arial"/>
          <w:color w:val="000000"/>
        </w:rPr>
        <w:t xml:space="preserve">, não sendo admitida proposta com quantitativo inferior ao previsto no edital, em razão da necessidade</w:t>
      </w:r>
      <w:r>
        <w:rPr>
          <w:rFonts w:ascii="Arial" w:hAnsi="Arial" w:eastAsia="Arial" w:cs="Arial"/>
          <w:color w:val="000000"/>
        </w:rPr>
        <w:t xml:space="preserve"> de assegurar o fornecimento contínuo e integral dos insumos</w:t>
      </w:r>
      <w:r>
        <w:rPr>
          <w:rFonts w:ascii="Arial" w:hAnsi="Arial" w:cs="Arial"/>
          <w:color w:val="000000"/>
          <w14:ligatures w14:val="none"/>
        </w:rPr>
        <w:t xml:space="preserve">.</w:t>
      </w:r>
      <w:r>
        <w:rPr>
          <w:rFonts w:ascii="Arial" w:hAnsi="Arial" w:cs="Arial"/>
          <w:color w:val="000000"/>
          <w14:ligatures w14:val="none"/>
        </w:rPr>
      </w:r>
      <w:r>
        <w:rPr>
          <w:rFonts w:ascii="Arial" w:hAnsi="Arial" w:cs="Arial"/>
          <w:color w:val="000000"/>
          <w14:ligatures w14:val="none"/>
        </w:rPr>
      </w:r>
    </w:p>
    <w:p>
      <w:pPr>
        <w:pStyle w:val="887"/>
        <w:pBdr/>
        <w:spacing/>
        <w:ind w:left="284"/>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color w:val="000000"/>
        </w:rPr>
      </w:pPr>
      <w:r>
        <w:rPr>
          <w:rFonts w:ascii="Arial" w:hAnsi="Arial" w:eastAsia="Arial" w:cs="Arial"/>
          <w:b/>
          <w:bCs/>
          <w:color w:val="000000"/>
        </w:rPr>
        <w:t xml:space="preserve">6.7.7.</w:t>
      </w:r>
      <w:r>
        <w:rPr>
          <w:rFonts w:ascii="Arial" w:hAnsi="Arial" w:eastAsia="Arial" w:cs="Arial"/>
          <w:color w:val="000000"/>
        </w:rPr>
        <w:t xml:space="preserve"> Considerando a natureza do objeto e a capacidade das emp</w:t>
      </w:r>
      <w:r>
        <w:rPr>
          <w:rFonts w:ascii="Arial" w:hAnsi="Arial" w:eastAsia="Arial" w:cs="Arial"/>
          <w:color w:val="000000"/>
        </w:rPr>
        <w:t xml:space="preserve">resas do ramo e</w:t>
      </w:r>
      <w:r>
        <w:rPr>
          <w:rFonts w:ascii="Arial" w:hAnsi="Arial" w:eastAsia="Arial" w:cs="Arial"/>
          <w:color w:val="000000"/>
        </w:rPr>
        <w:t xml:space="preserve">m fornecer os itens nas quantidades solicitadas, não será admitida proposta com quantitativo inferior ao máximo para cada item previsto no edital, obrigando-se o licitante a ofertar dentro dos limites estabelecidos (Art. 82, inciso IV, da Lei 14.133/2021).</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bCs/>
          <w:color w:val="000000"/>
        </w:rPr>
        <w:t xml:space="preserve">6.7.8.</w:t>
      </w:r>
      <w:r>
        <w:rPr>
          <w:rFonts w:ascii="Arial" w:hAnsi="Arial" w:eastAsia="Arial" w:cs="Arial"/>
          <w:color w:val="000000"/>
        </w:rPr>
        <w:t xml:space="preserve"> Não haverá diferença de preços em função do local de entrega, considerando que o endereço indicado é de fácil acesso.</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bCs/>
        </w:rPr>
        <w:t xml:space="preserve">6.7.9.</w:t>
      </w:r>
      <w:r>
        <w:rPr>
          <w:rFonts w:ascii="Arial" w:hAnsi="Arial" w:eastAsia="Arial" w:cs="Arial"/>
        </w:rPr>
        <w:t xml:space="preserve"> A quantidade </w:t>
      </w:r>
      <w:r>
        <w:rPr>
          <w:rFonts w:ascii="Arial" w:hAnsi="Arial" w:eastAsia="Arial" w:cs="Arial"/>
          <w:b/>
          <w:bCs/>
        </w:rPr>
        <w:t xml:space="preserve">MÁXIMA</w:t>
      </w:r>
      <w:r>
        <w:rPr>
          <w:rFonts w:ascii="Arial" w:hAnsi="Arial" w:eastAsia="Arial" w:cs="Arial"/>
        </w:rPr>
        <w:t xml:space="preserve"> estimada de </w:t>
      </w:r>
      <w:r>
        <w:rPr>
          <w:rFonts w:ascii="Arial" w:hAnsi="Arial" w:eastAsia="Arial" w:cs="Arial"/>
          <w:b/>
          <w:bCs/>
        </w:rPr>
        <w:t xml:space="preserve">cada item</w:t>
      </w:r>
      <w:r>
        <w:rPr>
          <w:rFonts w:ascii="Arial" w:hAnsi="Arial" w:eastAsia="Arial" w:cs="Arial"/>
        </w:rPr>
        <w:t xml:space="preserve"> que poderá ser adquirida pelo município aqui denominado órgão gerenciador é a constante no </w:t>
      </w:r>
      <w:r>
        <w:rPr>
          <w:rFonts w:ascii="Arial" w:hAnsi="Arial" w:eastAsia="Arial" w:cs="Arial"/>
          <w:b/>
          <w:bCs/>
        </w:rPr>
        <w:t xml:space="preserve">Anexo Itens do Pregão</w:t>
      </w:r>
      <w:r>
        <w:rPr>
          <w:rFonts w:ascii="Arial" w:hAnsi="Arial" w:eastAsia="Arial" w:cs="Arial"/>
        </w:rPr>
        <w:t xml:space="preserve">, tendo em vista que para este certame não haverá a possibilidade de contemplação para órgão não participante. (Art. 82, Inciso I, da Lei 14.133/2021).</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bCs/>
        </w:rPr>
        <w:t xml:space="preserve">6.7.10.</w:t>
      </w:r>
      <w:r>
        <w:rPr>
          <w:rFonts w:ascii="Arial" w:hAnsi="Arial" w:eastAsia="Arial" w:cs="Arial"/>
        </w:rPr>
        <w:t xml:space="preserve"> Nos processos</w:t>
      </w:r>
      <w:r>
        <w:rPr>
          <w:rFonts w:ascii="Arial" w:hAnsi="Arial" w:eastAsia="Arial" w:cs="Arial"/>
        </w:rPr>
        <w:t xml:space="preserve"> de Registro de Preços, a definição de uma quantidade </w:t>
      </w:r>
      <w:r>
        <w:rPr>
          <w:rFonts w:ascii="Arial" w:hAnsi="Arial" w:eastAsia="Arial" w:cs="Arial"/>
          <w:b/>
          <w:bCs/>
        </w:rPr>
        <w:t xml:space="preserve">MÍNIMA</w:t>
      </w:r>
      <w:r>
        <w:rPr>
          <w:rFonts w:ascii="Arial" w:hAnsi="Arial" w:eastAsia="Arial" w:cs="Arial"/>
        </w:rPr>
        <w:t xml:space="preserve"> é opcional , conform</w:t>
      </w:r>
      <w:r>
        <w:rPr>
          <w:rFonts w:ascii="Arial" w:hAnsi="Arial" w:eastAsia="Arial" w:cs="Arial"/>
        </w:rPr>
        <w:t xml:space="preserve">e a Lei nº 14.133/2021. Essa definição seria justificável para estimular a competitividade, garantir a economia de escala ou adequar a logística do fornecimento, sendo que a ausência dessa previsão não obriga a Administração a comprar nenhum quantitativo. </w:t>
      </w:r>
      <w:r>
        <w:rPr>
          <w:rFonts w:ascii="Arial" w:hAnsi="Arial" w:cs="Arial"/>
        </w:rPr>
      </w:r>
      <w:r>
        <w:rPr>
          <w:rFonts w:ascii="Arial" w:hAnsi="Arial" w:cs="Arial"/>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bCs/>
        </w:rPr>
        <w:t xml:space="preserve">6.8. DAS INFORMAÇÕES ADICIONAIS ATRAVÉS DE CATÁLOGOS OU SIMILARES</w:t>
      </w:r>
      <w:r>
        <w:rPr>
          <w:rFonts w:ascii="Arial" w:hAnsi="Arial" w:cs="Arial"/>
        </w:rPr>
      </w:r>
      <w:r>
        <w:rPr>
          <w:rFonts w:ascii="Arial" w:hAnsi="Arial" w:cs="Arial"/>
        </w:rPr>
      </w:r>
    </w:p>
    <w:p>
      <w:pPr>
        <w:pStyle w:val="887"/>
        <w:pBdr/>
        <w:spacing/>
        <w:ind w:left="284"/>
        <w:jc w:val="both"/>
        <w:rPr>
          <w:rFonts w:ascii="Arial" w:hAnsi="Arial" w:cs="Arial"/>
          <w:b/>
          <w:bCs/>
        </w:rPr>
      </w:pPr>
      <w:r>
        <w:rPr>
          <w:rFonts w:ascii="Arial" w:hAnsi="Arial" w:eastAsia="Arial" w:cs="Arial"/>
          <w:b/>
          <w:bCs/>
        </w:rPr>
      </w:r>
      <w:r>
        <w:rPr>
          <w:rFonts w:ascii="Arial" w:hAnsi="Arial" w:cs="Arial"/>
          <w:b/>
          <w:bCs/>
        </w:rPr>
      </w:r>
      <w:r>
        <w:rPr>
          <w:rFonts w:ascii="Arial" w:hAnsi="Arial" w:cs="Arial"/>
          <w:b/>
          <w:bCs/>
        </w:rPr>
      </w:r>
    </w:p>
    <w:p w14:paraId="3E1A496C">
      <w:pPr>
        <w:pBdr>
          <w:top w:val="none" w:color="000000" w:sz="4" w:space="0"/>
          <w:left w:val="none" w:color="000000" w:sz="4" w:space="0"/>
          <w:bottom w:val="none" w:color="000000" w:sz="4" w:space="0"/>
          <w:right w:val="none" w:color="000000" w:sz="4" w:space="0"/>
        </w:pBdr>
        <w:spacing/>
        <w:ind/>
        <w:jc w:val="both"/>
        <w:rPr>
          <w:rFonts w:ascii="Arial" w:hAnsi="Arial" w:eastAsia="Arial" w:cs="Arial"/>
          <w14:ligatures w14:val="none"/>
        </w:rPr>
      </w:pPr>
      <w:r>
        <w:rPr>
          <w:rFonts w:ascii="Arial" w:hAnsi="Arial" w:eastAsia="Arial" w:cs="Arial"/>
          <w:b/>
          <w:bCs/>
        </w:rPr>
        <w:t xml:space="preserve">6.</w:t>
      </w:r>
      <w:r>
        <w:rPr>
          <w:rFonts w:ascii="Arial" w:hAnsi="Arial" w:eastAsia="Arial" w:cs="Arial"/>
          <w:b/>
          <w:bCs/>
          <w:lang w:val="pt-BR"/>
        </w:rPr>
        <w:t xml:space="preserve">8</w:t>
      </w:r>
      <w:r>
        <w:rPr>
          <w:rFonts w:ascii="Arial" w:hAnsi="Arial" w:eastAsia="Arial" w:cs="Arial"/>
          <w:b/>
          <w:bCs/>
        </w:rPr>
        <w:t xml:space="preserve">.</w:t>
      </w:r>
      <w:r>
        <w:rPr>
          <w:rFonts w:ascii="Arial" w:hAnsi="Arial" w:eastAsia="Arial" w:cs="Arial"/>
          <w:b/>
          <w:bCs/>
          <w:lang w:val="pt-BR"/>
        </w:rPr>
        <w:t xml:space="preserve">1.</w:t>
      </w:r>
      <w:r>
        <w:rPr>
          <w:rFonts w:ascii="Arial" w:hAnsi="Arial" w:eastAsia="Arial" w:cs="Arial"/>
        </w:rPr>
        <w:t xml:space="preserve"> Considerando a necessidade de compatibilidade técnica e operacional do sistema de coleta de sangue a vácuo, os tubos e as agulhas integrantes do LOTE ÚNICO deverão ser do mesmo fabricante e da mesma marca, conforme condições e justificativas técnicas cons</w:t>
      </w:r>
      <w:r>
        <w:rPr>
          <w:rFonts w:ascii="Arial" w:hAnsi="Arial" w:eastAsia="Arial" w:cs="Arial"/>
        </w:rPr>
        <w:t xml:space="preserve">tantes do Termo de Referência.</w:t>
      </w:r>
      <w:r>
        <w:rPr>
          <w:rFonts w:ascii="Arial" w:hAnsi="Arial" w:eastAsia="Arial" w:cs="Arial"/>
        </w:rPr>
      </w:r>
      <w:r>
        <w:rPr>
          <w:rFonts w:ascii="Arial" w:hAnsi="Arial" w:eastAsia="Arial" w:cs="Arial"/>
          <w14:ligatures w14:val="none"/>
        </w:rPr>
      </w:r>
    </w:p>
    <w:p w14:paraId="1FD665E3">
      <w:pPr>
        <w:pBdr>
          <w:top w:val="none" w:color="000000" w:sz="4" w:space="0"/>
          <w:left w:val="none" w:color="000000" w:sz="4" w:space="0"/>
          <w:bottom w:val="none" w:color="000000" w:sz="4" w:space="0"/>
          <w:right w:val="none" w:color="000000" w:sz="4" w:space="0"/>
        </w:pBdr>
        <w:spacing/>
        <w:ind/>
        <w:jc w:val="both"/>
        <w:rPr>
          <w:rFonts w:ascii="Arial" w:hAnsi="Arial" w:eastAsia="Arial" w:cs="Arial"/>
          <w14:ligatures w14:val="none"/>
        </w:rPr>
      </w:pPr>
      <w:r>
        <w:rPr>
          <w:rFonts w:ascii="Arial" w:hAnsi="Arial" w:eastAsia="Arial" w:cs="Arial"/>
          <w:highlight w:val="none"/>
        </w:rPr>
      </w:r>
      <w:r>
        <w:rPr>
          <w:rFonts w:ascii="Arial" w:hAnsi="Arial" w:eastAsia="Arial" w:cs="Arial"/>
          <w:highlight w:val="none"/>
        </w:rPr>
      </w:r>
      <w:r>
        <w:rPr>
          <w:rFonts w:ascii="Arial" w:hAnsi="Arial" w:eastAsia="Arial" w:cs="Arial"/>
          <w14:ligatures w14:val="none"/>
        </w:rPr>
      </w:r>
    </w:p>
    <w:p w14:paraId="4D152B64">
      <w:pPr>
        <w:pBdr>
          <w:top w:val="none" w:color="000000" w:sz="4" w:space="0"/>
          <w:left w:val="none" w:color="000000" w:sz="4" w:space="0"/>
          <w:bottom w:val="none" w:color="000000" w:sz="4" w:space="0"/>
          <w:right w:val="none" w:color="000000" w:sz="4" w:space="0"/>
        </w:pBdr>
        <w:spacing/>
        <w:ind/>
        <w:jc w:val="both"/>
        <w:rPr>
          <w:rFonts w:ascii="Arial" w:hAnsi="Arial" w:eastAsia="Arial" w:cs="Arial"/>
          <w:highlight w:val="none"/>
          <w14:ligatures w14:val="none"/>
        </w:rPr>
      </w:pPr>
      <w:r>
        <w:rPr>
          <w:rFonts w:ascii="Arial" w:hAnsi="Arial" w:eastAsia="Arial" w:cs="Arial"/>
          <w:b/>
          <w:bCs/>
        </w:rPr>
        <w:t xml:space="preserve">6.</w:t>
      </w:r>
      <w:r>
        <w:rPr>
          <w:rFonts w:ascii="Arial" w:hAnsi="Arial" w:eastAsia="Arial" w:cs="Arial"/>
          <w:b/>
          <w:bCs/>
        </w:rPr>
        <w:t xml:space="preserve">8</w:t>
      </w:r>
      <w:r>
        <w:rPr>
          <w:rFonts w:ascii="Arial" w:hAnsi="Arial" w:eastAsia="Arial" w:cs="Arial"/>
          <w:b/>
          <w:bCs/>
        </w:rPr>
        <w:t xml:space="preserve">.</w:t>
      </w:r>
      <w:r>
        <w:rPr>
          <w:rFonts w:ascii="Arial" w:hAnsi="Arial" w:eastAsia="Arial" w:cs="Arial"/>
          <w:b/>
          <w:bCs/>
        </w:rPr>
        <w:t xml:space="preserve">2</w:t>
      </w:r>
      <w:r>
        <w:rPr>
          <w:rFonts w:ascii="Arial" w:hAnsi="Arial" w:eastAsia="Arial" w:cs="Arial"/>
          <w:b/>
          <w:bCs/>
        </w:rPr>
        <w:t xml:space="preserve">.</w:t>
      </w:r>
      <w:r>
        <w:rPr>
          <w:rFonts w:ascii="Arial" w:hAnsi="Arial" w:eastAsia="Arial" w:cs="Arial"/>
        </w:rPr>
        <w:t xml:space="preserve"> A comprovação será realizada mediante catálogo, ficha técnica, manual do fabricante, declaração do fabricante ou outro documento técnico idôneo que identifique a marca e o fabricante dos produtos ofertados.</w:t>
      </w:r>
      <w:r>
        <w:rPr>
          <w:rFonts w:ascii="Arial" w:hAnsi="Arial" w:eastAsia="Arial" w:cs="Arial"/>
        </w:rPr>
      </w:r>
      <w:r>
        <w:rPr>
          <w:rFonts w:ascii="Arial" w:hAnsi="Arial" w:eastAsia="Arial" w:cs="Arial"/>
          <w:highlight w:val="none"/>
          <w14:ligatures w14:val="none"/>
        </w:rPr>
      </w:r>
    </w:p>
    <w:p w14:paraId="76BDEAEB">
      <w:pPr>
        <w:pStyle w:val="887"/>
        <w:pBdr/>
        <w:spacing/>
        <w:ind/>
        <w:jc w:val="both"/>
        <w:rPr>
          <w:rFonts w:ascii="Arial" w:hAnsi="Arial" w:cs="Arial"/>
        </w:rPr>
      </w:pPr>
      <w:r>
        <w:rPr>
          <w:rFonts w:ascii="Arial" w:hAnsi="Arial" w:eastAsia="Arial" w:cs="Arial"/>
          <w:highlight w:val="none"/>
        </w:rPr>
      </w:r>
      <w:r>
        <w:rPr>
          <w:rFonts w:ascii="Arial" w:hAnsi="Arial" w:eastAsia="Arial" w:cs="Arial"/>
          <w:highlight w:val="none"/>
        </w:rPr>
      </w:r>
      <w:r>
        <w:rPr>
          <w:rFonts w:ascii="Arial" w:hAnsi="Arial" w:cs="Arial"/>
        </w:rPr>
      </w:r>
    </w:p>
    <w:p>
      <w:pPr>
        <w:pStyle w:val="887"/>
        <w:pBdr/>
        <w:spacing/>
        <w:ind/>
        <w:jc w:val="both"/>
        <w:rPr>
          <w:rFonts w:ascii="Arial" w:hAnsi="Arial" w:eastAsia="Arial" w:cs="Arial"/>
          <w:highlight w:val="none"/>
        </w:rPr>
      </w:pPr>
      <w:r>
        <w:rPr>
          <w:rFonts w:ascii="Arial" w:hAnsi="Arial" w:eastAsia="Arial" w:cs="Arial"/>
          <w:b/>
          <w:bCs/>
        </w:rPr>
        <w:t xml:space="preserve">6.8.3.</w:t>
      </w:r>
      <w:r>
        <w:rPr>
          <w:rFonts w:ascii="Arial" w:hAnsi="Arial" w:eastAsia="Arial" w:cs="Arial"/>
        </w:rPr>
        <w:t xml:space="preserve"> A licitante que não apresentar essas informações complementares no prazo estabelecido, ou que apresentar informações incompatíveis, poderá ter sua proposta desclassificada, sendo então convocada a próxima licitante na ordem de classificação.</w:t>
      </w:r>
      <w:r>
        <w:rPr>
          <w:rFonts w:ascii="Arial" w:hAnsi="Arial" w:cs="Arial"/>
        </w:rPr>
      </w:r>
      <w:r>
        <w:rPr>
          <w:rFonts w:ascii="Arial" w:hAnsi="Arial" w:eastAsia="Arial" w:cs="Arial"/>
          <w:highlight w:val="none"/>
        </w:rPr>
      </w:r>
    </w:p>
    <w:p>
      <w:pPr>
        <w:pStyle w:val="887"/>
        <w:pBdr/>
        <w:spacing/>
        <w:ind w:left="284"/>
        <w:jc w:val="both"/>
        <w:rPr>
          <w:rFonts w:ascii="Arial" w:hAnsi="Arial" w:cs="Arial"/>
          <w:highlight w:val="yellow"/>
        </w:rPr>
      </w:pPr>
      <w:r>
        <w:rPr>
          <w:rFonts w:ascii="Arial" w:hAnsi="Arial" w:eastAsia="Arial" w:cs="Arial"/>
          <w:highlight w:val="yellow"/>
        </w:rPr>
      </w:r>
      <w:r>
        <w:rPr>
          <w:rFonts w:ascii="Arial" w:hAnsi="Arial" w:cs="Arial"/>
          <w:highlight w:val="yellow"/>
        </w:rPr>
      </w:r>
      <w:r>
        <w:rPr>
          <w:rFonts w:ascii="Arial" w:hAnsi="Arial" w:cs="Arial"/>
          <w:highlight w:val="yellow"/>
        </w:rPr>
      </w:r>
    </w:p>
    <w:p>
      <w:pPr>
        <w:pStyle w:val="887"/>
        <w:pBdr/>
        <w:spacing/>
        <w:ind/>
        <w:jc w:val="both"/>
        <w:rPr>
          <w:rFonts w:ascii="Arial" w:hAnsi="Arial" w:cs="Arial"/>
          <w:b/>
        </w:rPr>
      </w:pPr>
      <w:r>
        <w:rPr>
          <w:rFonts w:ascii="Arial" w:hAnsi="Arial" w:eastAsia="Arial" w:cs="Arial"/>
          <w:b/>
          <w:bCs/>
        </w:rPr>
        <w:t xml:space="preserve">6.9. DA INDICAÇÃO DE MARCA PARADIGMA (ART. 41, INCISO I, DA LEI Nº 14.133/2021)</w:t>
      </w:r>
      <w:r>
        <w:rPr>
          <w:rFonts w:ascii="Arial" w:hAnsi="Arial" w:cs="Arial"/>
          <w:b/>
        </w:rPr>
      </w:r>
      <w:r>
        <w:rPr>
          <w:rFonts w:ascii="Arial" w:hAnsi="Arial" w:cs="Arial"/>
          <w:b/>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bCs/>
        </w:rPr>
        <w:t xml:space="preserve">6.9.1.</w:t>
      </w:r>
      <w:r>
        <w:rPr>
          <w:rFonts w:ascii="Arial" w:hAnsi="Arial" w:eastAsia="Arial" w:cs="Arial"/>
        </w:rPr>
        <w:t xml:space="preserve"> Consideram-se marcas paradigma aquelas quando indicadas no Anexo “Termo de Referência”, servindo como referência de qualidade para a especificação do objeto.</w:t>
      </w:r>
      <w:r>
        <w:rPr>
          <w:rFonts w:ascii="Arial" w:hAnsi="Arial" w:cs="Arial"/>
        </w:rPr>
      </w:r>
      <w:r>
        <w:rPr>
          <w:rFonts w:ascii="Arial" w:hAnsi="Arial" w:cs="Arial"/>
        </w:rPr>
      </w:r>
    </w:p>
    <w:p>
      <w:pPr>
        <w:pStyle w:val="887"/>
        <w:pBdr/>
        <w:spacing/>
        <w:ind w:left="284"/>
        <w:jc w:val="both"/>
        <w:rPr>
          <w:rFonts w:ascii="Arial" w:hAnsi="Arial" w:cs="Arial"/>
          <w:bCs/>
        </w:rPr>
      </w:pPr>
      <w:r>
        <w:rPr>
          <w:rFonts w:ascii="Arial" w:hAnsi="Arial" w:eastAsia="Arial" w:cs="Arial"/>
          <w:bCs/>
        </w:rPr>
      </w:r>
      <w:r>
        <w:rPr>
          <w:rFonts w:ascii="Arial" w:hAnsi="Arial" w:cs="Arial"/>
          <w:bCs/>
        </w:rPr>
      </w:r>
      <w:r>
        <w:rPr>
          <w:rFonts w:ascii="Arial" w:hAnsi="Arial" w:cs="Arial"/>
          <w:bCs/>
        </w:rPr>
      </w:r>
    </w:p>
    <w:p>
      <w:pPr>
        <w:pStyle w:val="887"/>
        <w:numPr>
          <w:ilvl w:val="0"/>
          <w:numId w:val="0"/>
        </w:numPr>
        <w:pBdr/>
        <w:spacing/>
        <w:ind/>
        <w:jc w:val="both"/>
        <w:outlineLvl w:val="0"/>
        <w:rPr>
          <w:rFonts w:ascii="Arial" w:hAnsi="Arial" w:cs="Arial"/>
          <w:b/>
          <w:bCs/>
        </w:rPr>
      </w:pPr>
      <w:r/>
      <w:bookmarkStart w:id="69" w:name="_Toc6"/>
      <w:r>
        <w:rPr>
          <w:rFonts w:ascii="Arial" w:hAnsi="Arial" w:eastAsia="Arial" w:cs="Arial"/>
          <w:b/>
          <w:bCs/>
          <w:color w:val="000000"/>
        </w:rPr>
        <w:t xml:space="preserve">7. DA ANÁLISE INICIAL NA PROPOSTA DE PREÇOS NO MOMENTO DA SESSÃO:</w:t>
      </w:r>
      <w:r>
        <w:rPr>
          <w:rFonts w:ascii="Arial" w:hAnsi="Arial" w:eastAsia="Arial" w:cs="Arial"/>
          <w:b/>
          <w:bCs/>
        </w:rPr>
        <w:t xml:space="preserve"> </w:t>
      </w:r>
      <w:bookmarkEnd w:id="69"/>
      <w:r>
        <w:rPr>
          <w:rFonts w:ascii="Arial" w:hAnsi="Arial" w:cs="Arial"/>
          <w:b/>
          <w:bCs/>
        </w:rPr>
      </w:r>
      <w:r>
        <w:rPr>
          <w:rFonts w:ascii="Arial" w:hAnsi="Arial" w:cs="Arial"/>
          <w:b/>
          <w:bCs/>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color w:val="000000"/>
        </w:rPr>
      </w:pPr>
      <w:r>
        <w:rPr>
          <w:rFonts w:ascii="Arial" w:hAnsi="Arial" w:eastAsia="Arial" w:cs="Arial"/>
          <w:b/>
          <w:bCs/>
          <w:color w:val="000000"/>
        </w:rPr>
        <w:t xml:space="preserve">7.1.</w:t>
      </w:r>
      <w:r>
        <w:rPr>
          <w:rFonts w:ascii="Arial" w:hAnsi="Arial" w:eastAsia="Arial" w:cs="Arial"/>
          <w:color w:val="000000"/>
        </w:rPr>
        <w:t xml:space="preserve"> Na data e horário previstos no ato convo</w:t>
      </w:r>
      <w:r>
        <w:rPr>
          <w:rFonts w:ascii="Arial" w:hAnsi="Arial" w:eastAsia="Arial" w:cs="Arial"/>
          <w:color w:val="000000"/>
        </w:rPr>
        <w:t xml:space="preserve">catório, terá início a sessão pública. Nesse momento, o sistema não identifica as empresas participantes, e as propostas aparecerão numeradas sequencialmente (Participante 1, 2, 3, etc.). No item seguinte, o sistema alternará a numeração dos participantes.</w:t>
      </w:r>
      <w:r>
        <w:rPr>
          <w:rFonts w:ascii="Arial" w:hAnsi="Arial" w:cs="Arial"/>
          <w:color w:val="000000"/>
        </w:rPr>
      </w:r>
      <w:r>
        <w:rPr>
          <w:rFonts w:ascii="Arial" w:hAnsi="Arial" w:cs="Arial"/>
          <w:color w:val="000000"/>
        </w:rPr>
      </w:r>
    </w:p>
    <w:p>
      <w:pPr>
        <w:pStyle w:val="887"/>
        <w:pBdr/>
        <w:spacing/>
        <w:ind w:left="284"/>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color w:val="000000"/>
        </w:rPr>
      </w:pPr>
      <w:r>
        <w:rPr>
          <w:rFonts w:ascii="Arial" w:hAnsi="Arial" w:eastAsia="Arial" w:cs="Arial"/>
          <w:b/>
          <w:bCs/>
          <w:color w:val="000000"/>
        </w:rPr>
        <w:t xml:space="preserve">7.2.</w:t>
      </w:r>
      <w:r>
        <w:rPr>
          <w:rFonts w:ascii="Arial" w:hAnsi="Arial" w:eastAsia="Arial" w:cs="Arial"/>
          <w:color w:val="000000"/>
        </w:rPr>
        <w:t xml:space="preserve"> O Pregoeiro após análise das propostas de preços apresentadas de forma eletrônica, </w:t>
      </w:r>
      <w:r>
        <w:rPr>
          <w:rFonts w:ascii="Arial" w:hAnsi="Arial" w:eastAsia="Arial" w:cs="Arial"/>
          <w:color w:val="000000"/>
          <w:u w:val="single"/>
        </w:rPr>
        <w:t xml:space="preserve">desclassificará aquelas que não estiverem em consonância com as regras estabelecidas no instrumento convocatório</w:t>
      </w:r>
      <w:r>
        <w:rPr>
          <w:rFonts w:ascii="Arial" w:hAnsi="Arial" w:eastAsia="Arial" w:cs="Arial"/>
          <w:color w:val="000000"/>
        </w:rPr>
        <w:t xml:space="preserve">, tais como: </w:t>
      </w:r>
      <w:r>
        <w:rPr>
          <w:rFonts w:ascii="Arial" w:hAnsi="Arial" w:cs="Arial"/>
          <w:color w:val="000000"/>
        </w:rPr>
      </w:r>
      <w:r>
        <w:rPr>
          <w:rFonts w:ascii="Arial" w:hAnsi="Arial" w:cs="Arial"/>
          <w:color w:val="000000"/>
        </w:rPr>
      </w:r>
    </w:p>
    <w:p>
      <w:pPr>
        <w:pStyle w:val="887"/>
        <w:pBdr/>
        <w:spacing/>
        <w:ind w:left="284"/>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Bdr/>
        <w:spacing/>
        <w:ind/>
        <w:jc w:val="both"/>
        <w:rPr>
          <w:rFonts w:ascii="Arial" w:hAnsi="Arial" w:eastAsia="Arial" w:cs="Arial"/>
          <w:color w:val="000000"/>
          <w:highlight w:val="none"/>
          <w14:ligatures w14:val="none"/>
        </w:rPr>
      </w:pPr>
      <w:r>
        <w:rPr>
          <w:rFonts w:ascii="Arial" w:hAnsi="Arial" w:eastAsia="Arial" w:cs="Arial"/>
          <w:b/>
          <w:bCs/>
          <w:color w:val="000000"/>
        </w:rPr>
        <w:t xml:space="preserve">7.2.1.</w:t>
      </w:r>
      <w:r>
        <w:rPr>
          <w:rFonts w:ascii="Arial" w:hAnsi="Arial" w:eastAsia="Arial" w:cs="Arial"/>
          <w:color w:val="000000"/>
        </w:rPr>
        <w:t xml:space="preserve"> </w:t>
      </w:r>
      <w:r>
        <w:rPr>
          <w:rFonts w:ascii="Arial" w:hAnsi="Arial" w:eastAsia="Arial" w:cs="Arial"/>
          <w:color w:val="000000"/>
        </w:rPr>
        <w:t xml:space="preserve">Quando houver indicação de marca de referência ou paradigma e a licitante ofertar produto de marca diversa, deverá demonstrar o atendimento integral às especificações, bem como sua equivalência, similaridade ou qualidade superior, mediante catálogo, ficha </w:t>
      </w:r>
      <w:r>
        <w:rPr>
          <w:rFonts w:ascii="Arial" w:hAnsi="Arial" w:eastAsia="Arial" w:cs="Arial"/>
          <w:color w:val="000000"/>
        </w:rPr>
        <w:t xml:space="preserve">técnica, manual do fabricante, declaração do fabricante, registro ou regularização sanitária aplicável, laudo técnico ou outro documento técnico idôneo apto à comprovação das características do produto ofertado.</w:t>
      </w:r>
      <w:r>
        <w:rPr>
          <w:rFonts w:ascii="Arial" w:hAnsi="Arial" w:eastAsia="Arial" w:cs="Arial"/>
          <w:color w:val="000000"/>
        </w:rPr>
      </w:r>
      <w:r>
        <w:rPr>
          <w:rFonts w:ascii="Arial" w:hAnsi="Arial" w:eastAsia="Arial" w:cs="Arial"/>
          <w:color w:val="000000"/>
          <w:highlight w:val="none"/>
          <w14:ligatures w14:val="none"/>
        </w:rPr>
      </w:r>
    </w:p>
    <w:p w14:paraId="55DAF9E6">
      <w:pPr>
        <w:pBdr>
          <w:top w:val="none" w:color="000000" w:sz="4" w:space="0"/>
          <w:left w:val="none" w:color="000000" w:sz="4" w:space="0"/>
          <w:bottom w:val="none" w:color="000000" w:sz="4" w:space="0"/>
          <w:right w:val="none" w:color="000000" w:sz="4" w:space="0"/>
        </w:pBdr>
        <w:spacing/>
        <w:ind/>
        <w:jc w:val="both"/>
        <w:rPr>
          <w:rFonts w:ascii="Arial" w:hAnsi="Arial" w:eastAsia="Arial" w:cs="Arial"/>
          <w:color w:val="000000"/>
          <w14:ligatures w14:val="none"/>
        </w:rPr>
      </w:pPr>
      <w:r>
        <w:rPr>
          <w:rFonts w:ascii="Arial" w:hAnsi="Arial" w:eastAsia="Arial" w:cs="Arial"/>
          <w:color w:val="000000"/>
          <w:highlight w:val="none"/>
        </w:rPr>
      </w:r>
      <w:r>
        <w:rPr>
          <w:rFonts w:ascii="Arial" w:hAnsi="Arial" w:eastAsia="Arial" w:cs="Arial"/>
          <w:color w:val="000000"/>
          <w:highlight w:val="none"/>
        </w:rPr>
      </w:r>
      <w:r>
        <w:rPr>
          <w:rFonts w:ascii="Arial" w:hAnsi="Arial" w:eastAsia="Arial" w:cs="Arial"/>
          <w:color w:val="000000"/>
          <w14:ligatures w14:val="none"/>
        </w:rPr>
      </w:r>
    </w:p>
    <w:p w14:paraId="10BFC295">
      <w:pPr>
        <w:pBdr>
          <w:top w:val="none" w:color="000000" w:sz="4" w:space="0"/>
          <w:left w:val="none" w:color="000000" w:sz="4" w:space="0"/>
          <w:bottom w:val="none" w:color="000000" w:sz="4" w:space="0"/>
          <w:right w:val="none" w:color="000000" w:sz="4" w:space="0"/>
        </w:pBdr>
        <w:spacing/>
        <w:ind/>
        <w:jc w:val="both"/>
        <w:rPr>
          <w:rFonts w:ascii="Arial" w:hAnsi="Arial" w:eastAsia="Arial" w:cs="Arial"/>
          <w:color w:val="000000"/>
          <w:highlight w:val="none"/>
          <w14:ligatures w14:val="none"/>
        </w:rPr>
      </w:pPr>
      <w:r>
        <w:rPr>
          <w:rFonts w:ascii="Arial" w:hAnsi="Arial" w:eastAsia="Arial" w:cs="Arial"/>
          <w:b/>
          <w:bCs/>
          <w:color w:val="000000"/>
        </w:rPr>
        <w:t xml:space="preserve">7.2.1.1.</w:t>
      </w:r>
      <w:r>
        <w:rPr>
          <w:rFonts w:ascii="Arial" w:hAnsi="Arial" w:eastAsia="Arial" w:cs="Arial"/>
          <w:color w:val="000000"/>
        </w:rPr>
        <w:t xml:space="preserve"> A indicação de marca de referência, quando existente, não implicará exclusividade, sendo admitidos produtos equivalentes, similares ou de qualidade superior que comprovadamente atendam às especificações técnicas estabelecidas.</w:t>
      </w:r>
      <w:r>
        <w:rPr>
          <w:rFonts w:ascii="Arial" w:hAnsi="Arial" w:eastAsia="Arial" w:cs="Arial"/>
          <w:color w:val="000000"/>
        </w:rPr>
      </w:r>
      <w:r>
        <w:rPr>
          <w:rFonts w:ascii="Arial" w:hAnsi="Arial" w:eastAsia="Arial" w:cs="Arial"/>
          <w:color w:val="000000"/>
          <w:highlight w:val="none"/>
          <w14:ligatures w14:val="none"/>
        </w:rPr>
      </w:r>
    </w:p>
    <w:p w14:paraId="18EEC17E">
      <w:pPr>
        <w:pBdr>
          <w:top w:val="none" w:color="000000" w:sz="4" w:space="0"/>
          <w:left w:val="none" w:color="000000" w:sz="4" w:space="0"/>
          <w:bottom w:val="none" w:color="000000" w:sz="4" w:space="0"/>
          <w:right w:val="none" w:color="000000" w:sz="4" w:space="0"/>
        </w:pBdr>
        <w:spacing/>
        <w:ind/>
        <w:jc w:val="both"/>
        <w:rPr>
          <w:rFonts w:ascii="Arial" w:hAnsi="Arial" w:eastAsia="Arial" w:cs="Arial"/>
          <w:color w:val="000000"/>
          <w14:ligatures w14:val="none"/>
        </w:rPr>
      </w:pPr>
      <w:r>
        <w:rPr>
          <w:rFonts w:ascii="Arial" w:hAnsi="Arial" w:eastAsia="Arial" w:cs="Arial"/>
          <w:color w:val="000000"/>
          <w:highlight w:val="none"/>
        </w:rPr>
      </w:r>
      <w:r>
        <w:rPr>
          <w:rFonts w:ascii="Arial" w:hAnsi="Arial" w:eastAsia="Arial" w:cs="Arial"/>
          <w:color w:val="000000"/>
          <w:highlight w:val="none"/>
        </w:rPr>
      </w:r>
      <w:r>
        <w:rPr>
          <w:rFonts w:ascii="Arial" w:hAnsi="Arial" w:eastAsia="Arial" w:cs="Arial"/>
          <w:color w:val="000000"/>
          <w14:ligatures w14:val="none"/>
        </w:rPr>
      </w:r>
    </w:p>
    <w:p w14:paraId="3818AFFC">
      <w:pPr>
        <w:pBdr>
          <w:top w:val="none" w:color="000000" w:sz="4" w:space="0"/>
          <w:left w:val="none" w:color="000000" w:sz="4" w:space="0"/>
          <w:bottom w:val="none" w:color="000000" w:sz="4" w:space="0"/>
          <w:right w:val="none" w:color="000000" w:sz="4" w:space="0"/>
        </w:pBdr>
        <w:spacing/>
        <w:ind/>
        <w:jc w:val="both"/>
        <w:rPr>
          <w:rFonts w:ascii="Arial" w:hAnsi="Arial" w:eastAsia="Arial" w:cs="Arial"/>
          <w:color w:val="000000"/>
          <w:highlight w:val="none"/>
          <w14:ligatures w14:val="none"/>
        </w:rPr>
      </w:pPr>
      <w:r>
        <w:rPr>
          <w:rFonts w:ascii="Arial" w:hAnsi="Arial" w:eastAsia="Arial" w:cs="Arial"/>
          <w:b/>
          <w:bCs/>
          <w:color w:val="000000"/>
        </w:rPr>
        <w:t xml:space="preserve">7.2.1.2.</w:t>
      </w:r>
      <w:r>
        <w:rPr>
          <w:rFonts w:ascii="Arial" w:hAnsi="Arial" w:eastAsia="Arial" w:cs="Arial"/>
          <w:color w:val="000000"/>
        </w:rPr>
        <w:t xml:space="preserve"> A insuficiência da documentação técnica apresentada poderá ensejar diligência para esclarecimento ou complementação de informações relativas ao produto ofertado, observadas as regras de saneamento estabelecidas neste Edital.</w:t>
      </w:r>
      <w:r>
        <w:rPr>
          <w:rFonts w:ascii="Arial" w:hAnsi="Arial" w:eastAsia="Arial" w:cs="Arial"/>
          <w:color w:val="000000"/>
        </w:rPr>
      </w:r>
      <w:r>
        <w:rPr>
          <w:rFonts w:ascii="Arial" w:hAnsi="Arial" w:eastAsia="Arial" w:cs="Arial"/>
          <w:color w:val="000000"/>
          <w:highlight w:val="none"/>
          <w14:ligatures w14:val="none"/>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bCs/>
          <w:color w:val="000000"/>
        </w:rPr>
        <w:t xml:space="preserve">7.2.2.</w:t>
      </w:r>
      <w:r>
        <w:rPr>
          <w:rFonts w:ascii="Arial" w:hAnsi="Arial" w:eastAsia="Arial" w:cs="Arial"/>
          <w:color w:val="000000"/>
        </w:rPr>
        <w:t xml:space="preserve"> Propostas com valores iguais a zero ou que contenham erros ou divergências nos preços que possam gerar interpretação dúbia.</w:t>
      </w:r>
      <w:r>
        <w:rPr>
          <w:rFonts w:ascii="Arial" w:hAnsi="Arial" w:cs="Arial"/>
          <w:color w:val="000000"/>
        </w:rPr>
      </w:r>
      <w:r>
        <w:rPr>
          <w:rFonts w:ascii="Arial" w:hAnsi="Arial" w:cs="Arial"/>
          <w:color w:val="000000"/>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bCs/>
          <w:color w:val="000000"/>
        </w:rPr>
        <w:t xml:space="preserve">7.3.</w:t>
      </w:r>
      <w:r>
        <w:rPr>
          <w:rFonts w:ascii="Arial" w:hAnsi="Arial" w:eastAsia="Arial" w:cs="Arial"/>
          <w:color w:val="000000"/>
        </w:rPr>
        <w:t xml:space="preserve"> A decisão sobre a classificação ou desclassificação das propostas comerciais será disponibilizada no sistema eletrônico para acompanhamento em tempo real por todas as empresas licitantes.</w:t>
      </w:r>
      <w:r>
        <w:rPr>
          <w:rFonts w:ascii="Arial" w:hAnsi="Arial" w:cs="Arial"/>
          <w:color w:val="000000"/>
        </w:rPr>
      </w:r>
      <w:r>
        <w:rPr>
          <w:rFonts w:ascii="Arial" w:hAnsi="Arial" w:cs="Arial"/>
          <w:color w:val="000000"/>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numPr>
          <w:ilvl w:val="0"/>
          <w:numId w:val="0"/>
        </w:numPr>
        <w:pBdr/>
        <w:spacing/>
        <w:ind/>
        <w:jc w:val="both"/>
        <w:outlineLvl w:val="0"/>
        <w:rPr>
          <w:rFonts w:ascii="Arial" w:hAnsi="Arial" w:cs="Arial"/>
          <w:b/>
          <w:bCs/>
          <w:color w:val="000000"/>
        </w:rPr>
      </w:pPr>
      <w:r/>
      <w:bookmarkStart w:id="70" w:name="_Toc7"/>
      <w:r>
        <w:rPr>
          <w:rFonts w:ascii="Arial" w:hAnsi="Arial" w:eastAsia="Arial" w:cs="Arial"/>
          <w:b/>
          <w:bCs/>
          <w:color w:val="000000"/>
        </w:rPr>
        <w:t xml:space="preserve">8. DA FORMA DE DISPUTA:</w:t>
      </w:r>
      <w:bookmarkEnd w:id="70"/>
      <w:r>
        <w:rPr>
          <w:rFonts w:ascii="Arial" w:hAnsi="Arial" w:cs="Arial"/>
          <w:b/>
          <w:bCs/>
          <w:color w:val="000000"/>
        </w:rPr>
      </w:r>
      <w:r>
        <w:rPr>
          <w:rFonts w:ascii="Arial" w:hAnsi="Arial" w:cs="Arial"/>
          <w:b/>
          <w:bCs/>
          <w:color w:val="000000"/>
        </w:rPr>
      </w:r>
    </w:p>
    <w:p>
      <w:pPr>
        <w:pStyle w:val="887"/>
        <w:pBdr/>
        <w:spacing/>
        <w:ind w:left="284"/>
        <w:jc w:val="both"/>
        <w:rPr>
          <w:rFonts w:ascii="Arial" w:hAnsi="Arial" w:cs="Arial"/>
          <w:b/>
          <w:color w:val="000000"/>
          <w:sz w:val="19"/>
          <w:szCs w:val="19"/>
          <w:highlight w:val="red"/>
        </w:rPr>
      </w:pPr>
      <w:r>
        <w:rPr>
          <w:rFonts w:ascii="Arial" w:hAnsi="Arial" w:eastAsia="Arial" w:cs="Arial"/>
          <w:b/>
          <w:color w:val="000000"/>
          <w:sz w:val="19"/>
          <w:szCs w:val="19"/>
          <w:highlight w:val="red"/>
        </w:rPr>
      </w:r>
      <w:r>
        <w:rPr>
          <w:rFonts w:ascii="Arial" w:hAnsi="Arial" w:cs="Arial"/>
          <w:b/>
          <w:color w:val="000000"/>
          <w:sz w:val="19"/>
          <w:szCs w:val="19"/>
          <w:highlight w:val="red"/>
        </w:rPr>
      </w:r>
      <w:r>
        <w:rPr>
          <w:rFonts w:ascii="Arial" w:hAnsi="Arial" w:cs="Arial"/>
          <w:b/>
          <w:color w:val="000000"/>
          <w:sz w:val="19"/>
          <w:szCs w:val="19"/>
          <w:highlight w:val="red"/>
        </w:rPr>
      </w:r>
    </w:p>
    <w:p>
      <w:pPr>
        <w:pStyle w:val="887"/>
        <w:pBdr/>
        <w:spacing/>
        <w:ind/>
        <w:jc w:val="both"/>
        <w:rPr>
          <w:rFonts w:ascii="Arial" w:hAnsi="Arial" w:cs="Arial"/>
          <w:sz w:val="19"/>
          <w:szCs w:val="19"/>
        </w:rPr>
      </w:pPr>
      <w:r>
        <w:rPr>
          <w:rFonts w:ascii="Arial" w:hAnsi="Arial" w:eastAsia="Arial" w:cs="Arial"/>
          <w:b/>
          <w:color w:val="000000"/>
          <w:sz w:val="19"/>
          <w:szCs w:val="19"/>
        </w:rPr>
        <w:t xml:space="preserve">8.1.</w:t>
      </w:r>
      <w:r>
        <w:rPr>
          <w:rFonts w:ascii="Arial" w:hAnsi="Arial" w:eastAsia="Arial" w:cs="Arial"/>
          <w:color w:val="000000"/>
          <w:sz w:val="19"/>
          <w:szCs w:val="19"/>
        </w:rPr>
        <w:t xml:space="preserve"> Será adotado para o envio de lances no pregão eletrônico o </w:t>
      </w:r>
      <w:r>
        <w:rPr>
          <w:rFonts w:ascii="Arial" w:hAnsi="Arial" w:eastAsia="Arial" w:cs="Arial"/>
          <w:b/>
          <w:color w:val="000000"/>
          <w:sz w:val="19"/>
          <w:szCs w:val="19"/>
        </w:rPr>
        <w:t xml:space="preserve">modo de disputa aberto</w:t>
      </w:r>
      <w:r>
        <w:rPr>
          <w:rFonts w:ascii="Arial" w:hAnsi="Arial" w:eastAsia="Arial" w:cs="Arial"/>
          <w:color w:val="000000"/>
          <w:sz w:val="19"/>
          <w:szCs w:val="19"/>
        </w:rPr>
        <w:t xml:space="preserve"> onde os licitantes apresentarão lances públicos e sucessivos, com prorrogações, conforme o critério de julgamento adotado no edital.</w:t>
      </w:r>
      <w:r>
        <w:rPr>
          <w:rFonts w:ascii="Arial" w:hAnsi="Arial" w:cs="Arial"/>
          <w:sz w:val="19"/>
          <w:szCs w:val="19"/>
        </w:rPr>
      </w:r>
      <w:r>
        <w:rPr>
          <w:rFonts w:ascii="Arial" w:hAnsi="Arial" w:cs="Arial"/>
          <w:sz w:val="19"/>
          <w:szCs w:val="19"/>
        </w:rPr>
      </w:r>
    </w:p>
    <w:p>
      <w:pPr>
        <w:pStyle w:val="887"/>
        <w:pBdr/>
        <w:spacing/>
        <w:ind w:left="284"/>
        <w:jc w:val="both"/>
        <w:rPr>
          <w:rFonts w:ascii="Arial" w:hAnsi="Arial" w:cs="Arial"/>
          <w:b/>
          <w:color w:val="000000"/>
          <w:sz w:val="19"/>
          <w:szCs w:val="19"/>
        </w:rPr>
      </w:pPr>
      <w:r>
        <w:rPr>
          <w:rFonts w:ascii="Arial" w:hAnsi="Arial" w:eastAsia="Arial" w:cs="Arial"/>
          <w:b/>
          <w:color w:val="000000"/>
          <w:sz w:val="19"/>
          <w:szCs w:val="19"/>
        </w:rPr>
      </w:r>
      <w:r>
        <w:rPr>
          <w:rFonts w:ascii="Arial" w:hAnsi="Arial" w:cs="Arial"/>
          <w:b/>
          <w:color w:val="000000"/>
          <w:sz w:val="19"/>
          <w:szCs w:val="19"/>
        </w:rPr>
      </w:r>
      <w:r>
        <w:rPr>
          <w:rFonts w:ascii="Arial" w:hAnsi="Arial" w:cs="Arial"/>
          <w:b/>
          <w:color w:val="000000"/>
          <w:sz w:val="19"/>
          <w:szCs w:val="19"/>
        </w:rPr>
      </w:r>
    </w:p>
    <w:p>
      <w:pPr>
        <w:pStyle w:val="887"/>
        <w:pBdr/>
        <w:spacing/>
        <w:ind/>
        <w:jc w:val="both"/>
        <w:rPr>
          <w:rFonts w:ascii="Arial" w:hAnsi="Arial" w:cs="Arial"/>
        </w:rPr>
      </w:pPr>
      <w:r>
        <w:rPr>
          <w:rFonts w:ascii="Arial" w:hAnsi="Arial" w:eastAsia="Arial" w:cs="Arial"/>
          <w:b/>
          <w:color w:val="000000"/>
        </w:rPr>
        <w:t xml:space="preserve">8.</w:t>
      </w:r>
      <w:r>
        <w:rPr>
          <w:rFonts w:ascii="Arial" w:hAnsi="Arial" w:eastAsia="Arial" w:cs="Arial"/>
          <w:b/>
          <w:bCs/>
          <w:color w:val="000000"/>
        </w:rPr>
        <w:t xml:space="preserve">2. </w:t>
      </w:r>
      <w:r>
        <w:rPr>
          <w:rFonts w:ascii="Arial" w:hAnsi="Arial" w:eastAsia="Arial" w:cs="Arial"/>
          <w:color w:val="000000"/>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8.3.</w:t>
      </w:r>
      <w:r>
        <w:rPr>
          <w:rFonts w:ascii="Arial" w:hAnsi="Arial" w:eastAsia="Arial" w:cs="Arial"/>
          <w:color w:val="000000"/>
        </w:rPr>
        <w:t xml:space="preserve"> A prorrogação automática da etapa de envio de lances, será de dois minutos e ocorrerá sucessivamente sempre que houver lances enviados nesse período de prorrogação, inclusive quando se tratar de lances intermediários.</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8.4.</w:t>
      </w:r>
      <w:r>
        <w:rPr>
          <w:rFonts w:ascii="Arial" w:hAnsi="Arial" w:eastAsia="Arial" w:cs="Arial"/>
          <w:color w:val="000000"/>
        </w:rPr>
        <w:t xml:space="preserve"> Não havendo novos lances na forma estabelecida nos itens </w:t>
      </w:r>
      <w:r>
        <w:rPr>
          <w:rFonts w:ascii="Arial" w:hAnsi="Arial" w:eastAsia="Arial" w:cs="Arial"/>
          <w:b/>
          <w:color w:val="000000"/>
        </w:rPr>
        <w:t xml:space="preserve">8.2</w:t>
      </w:r>
      <w:r>
        <w:rPr>
          <w:rFonts w:ascii="Arial" w:hAnsi="Arial" w:eastAsia="Arial" w:cs="Arial"/>
          <w:color w:val="000000"/>
        </w:rPr>
        <w:t xml:space="preserve"> e </w:t>
      </w:r>
      <w:r>
        <w:rPr>
          <w:rFonts w:ascii="Arial" w:hAnsi="Arial" w:eastAsia="Arial" w:cs="Arial"/>
          <w:b/>
          <w:color w:val="000000"/>
        </w:rPr>
        <w:t xml:space="preserve">8.3</w:t>
      </w:r>
      <w:r>
        <w:rPr>
          <w:rFonts w:ascii="Arial" w:hAnsi="Arial" w:eastAsia="Arial" w:cs="Arial"/>
          <w:color w:val="000000"/>
        </w:rPr>
        <w:t xml:space="preserve">, a sessão pública encerrar-se-á automaticamente, e o sistema ordenará e divulgará os lances conforme a ordem final de classificação.</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numPr>
          <w:ilvl w:val="0"/>
          <w:numId w:val="0"/>
        </w:numPr>
        <w:pBdr/>
        <w:spacing/>
        <w:ind/>
        <w:jc w:val="both"/>
        <w:outlineLvl w:val="0"/>
        <w:rPr>
          <w:rFonts w:ascii="Arial" w:hAnsi="Arial" w:cs="Arial"/>
          <w:b/>
          <w:bCs/>
          <w:color w:val="000000"/>
        </w:rPr>
      </w:pPr>
      <w:r/>
      <w:bookmarkStart w:id="71" w:name="_Toc8"/>
      <w:r>
        <w:rPr>
          <w:rFonts w:ascii="Arial" w:hAnsi="Arial" w:eastAsia="Arial" w:cs="Arial"/>
          <w:b/>
          <w:bCs/>
          <w:color w:val="000000"/>
        </w:rPr>
        <w:t xml:space="preserve">9. DA FASE DE LANCES: </w:t>
      </w:r>
      <w:bookmarkEnd w:id="71"/>
      <w:r>
        <w:rPr>
          <w:rFonts w:ascii="Arial" w:hAnsi="Arial" w:cs="Arial"/>
          <w:b/>
          <w:bCs/>
          <w:color w:val="000000"/>
        </w:rPr>
      </w:r>
      <w:r>
        <w:rPr>
          <w:rFonts w:ascii="Arial" w:hAnsi="Arial" w:cs="Arial"/>
          <w:b/>
          <w:bCs/>
          <w:color w:val="000000"/>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9.1.</w:t>
      </w:r>
      <w:r>
        <w:rPr>
          <w:rFonts w:ascii="Arial" w:hAnsi="Arial" w:eastAsia="Arial" w:cs="Arial"/>
          <w:color w:val="000000"/>
        </w:rPr>
        <w:t xml:space="preserve"> Após a classificação das propostas, iniciar-se-á a fase de lances, na qual os autores das propostas classificadas pelo Pregoeiro poderão </w:t>
      </w:r>
      <w:r>
        <w:rPr>
          <w:rFonts w:ascii="Arial" w:hAnsi="Arial" w:eastAsia="Arial" w:cs="Arial"/>
          <w:b/>
          <w:color w:val="000000"/>
        </w:rPr>
        <w:t xml:space="preserve">oferecer lances</w:t>
      </w:r>
      <w:r>
        <w:rPr>
          <w:rFonts w:ascii="Arial" w:hAnsi="Arial" w:eastAsia="Arial" w:cs="Arial"/>
          <w:color w:val="000000"/>
        </w:rPr>
        <w:t xml:space="preserve">, obrigatoriamente por meio do sistema eletrônico, sem restrições de quantidade de lances ou de qualquer ordem classificatória ou cronológica específica, mas sempre inferior ao último lance ofertado. </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9.2.</w:t>
      </w:r>
      <w:r>
        <w:rPr>
          <w:rFonts w:ascii="Arial" w:hAnsi="Arial" w:eastAsia="Arial" w:cs="Arial"/>
          <w:color w:val="000000"/>
        </w:rPr>
        <w:t xml:space="preserve"> Caberá a licitante acompanha</w:t>
      </w:r>
      <w:r>
        <w:rPr>
          <w:rFonts w:ascii="Arial" w:hAnsi="Arial" w:eastAsia="Arial" w:cs="Arial"/>
          <w:color w:val="000000"/>
        </w:rPr>
        <w:t xml:space="preserve">r as operações no sistema eletrônico durante a sessão pública deste Pregão Eletrônico, ficando responsável pelo ônus decorrente da perda de negócios diante da inobservância de quaisquer mensagens emitidas pelo sistema ou da desconexão do seu representante;</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9.3.</w:t>
      </w:r>
      <w:r>
        <w:rPr>
          <w:rFonts w:ascii="Arial" w:hAnsi="Arial" w:eastAsia="Arial" w:cs="Arial"/>
          <w:color w:val="000000"/>
        </w:rPr>
        <w:t xml:space="preserve"> No caso de desconexão do sistema com o Pregoeiro no decorrer da et</w:t>
      </w:r>
      <w:r>
        <w:rPr>
          <w:rFonts w:ascii="Arial" w:hAnsi="Arial" w:eastAsia="Arial" w:cs="Arial"/>
          <w:color w:val="000000"/>
        </w:rPr>
        <w:t xml:space="preserve">apa competitiva do pregão, o sistema eletrônico poderá permanecer acessível aos licitantes para a recepção dos lances, os quais continuarão sendo registrados, retornando a conexão o Pregoeiro dará continuidade ao certame, sem prejuízo dos atos realizados. </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9.4.</w:t>
      </w:r>
      <w:r>
        <w:rPr>
          <w:rFonts w:ascii="Arial" w:hAnsi="Arial" w:eastAsia="Arial" w:cs="Arial"/>
          <w:color w:val="000000"/>
        </w:rPr>
        <w:t xml:space="preserve"> Quando a desconexão persistir por tempo superior a 10 (dez) minutos, a sessão do pregão será suspensa e terá reinício somente após comunicação expressa aos participantes por meio do próprio sistema. Ficando o licitante responsável pelo acompanhamento. </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9.5.</w:t>
      </w:r>
      <w:r>
        <w:rPr>
          <w:rFonts w:ascii="Arial" w:hAnsi="Arial" w:eastAsia="Arial" w:cs="Arial"/>
          <w:color w:val="000000"/>
        </w:rPr>
        <w:t xml:space="preserve"> Durante o transcurso da sessão de lances, os participantes serão informados em tempo real, do valor do menor lance registrado. </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9.5.1.</w:t>
      </w:r>
      <w:r>
        <w:rPr>
          <w:rFonts w:ascii="Arial" w:hAnsi="Arial" w:eastAsia="Arial" w:cs="Arial"/>
          <w:color w:val="000000"/>
        </w:rPr>
        <w:t xml:space="preserve"> Nesse momento o sistema ainda não identifica as empresas participantes as propostas continuam aparecendo em forma de número (participante 1, 2, 3 e assim sucessivamente, no item seguinte o sistema alterna o número dos participantes). </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9.5.2.</w:t>
      </w:r>
      <w:r>
        <w:rPr>
          <w:rFonts w:ascii="Arial" w:hAnsi="Arial" w:eastAsia="Arial" w:cs="Arial"/>
          <w:color w:val="000000"/>
        </w:rPr>
        <w:t xml:space="preserve"> </w:t>
      </w:r>
      <w:r>
        <w:rPr>
          <w:rFonts w:ascii="Arial" w:hAnsi="Arial" w:eastAsia="Arial" w:cs="Arial"/>
          <w:color w:val="000000"/>
        </w:rPr>
        <w:t xml:space="preserve">O intervalo mínimo de diferença de valores entre os lances, que incidirá tanto em relação aos lances intermediários quanto em relaç</w:t>
      </w:r>
      <w:r>
        <w:rPr>
          <w:rFonts w:ascii="Arial" w:hAnsi="Arial" w:eastAsia="Arial" w:cs="Arial"/>
          <w:color w:val="000000"/>
        </w:rPr>
        <w:t xml:space="preserve">ã</w:t>
      </w:r>
      <w:r>
        <w:rPr>
          <w:rFonts w:ascii="Arial" w:hAnsi="Arial" w:eastAsia="Arial" w:cs="Arial"/>
          <w:color w:val="000000"/>
        </w:rPr>
        <w:t xml:space="preserve">o à proposta que cobrir a melhor oferta deverá ser de R$ 0,0001 (um décimo de milésimo de Reais). Podendo esse valor ser elevado até o percentual de 10% do item, para coibir sistemas ou robôs que fiquem apresentando lances que não cubram a melhor proposta.</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sz w:val="19"/>
          <w:szCs w:val="19"/>
        </w:rPr>
      </w:pPr>
      <w:r>
        <w:rPr>
          <w:rFonts w:ascii="Arial" w:hAnsi="Arial" w:eastAsia="Arial" w:cs="Arial"/>
          <w:b/>
          <w:color w:val="000000"/>
          <w:sz w:val="19"/>
          <w:szCs w:val="19"/>
        </w:rPr>
        <w:t xml:space="preserve">9.6.</w:t>
      </w:r>
      <w:r>
        <w:rPr>
          <w:rFonts w:ascii="Arial" w:hAnsi="Arial" w:eastAsia="Arial" w:cs="Arial"/>
          <w:color w:val="000000"/>
          <w:sz w:val="19"/>
          <w:szCs w:val="19"/>
        </w:rPr>
        <w:t xml:space="preserve"> O licitante somente poderá oferecer valor inferior ao último lance po</w:t>
      </w:r>
      <w:r>
        <w:rPr>
          <w:rFonts w:ascii="Arial" w:hAnsi="Arial" w:eastAsia="Arial" w:cs="Arial"/>
          <w:color w:val="000000"/>
          <w:sz w:val="19"/>
          <w:szCs w:val="19"/>
        </w:rPr>
        <w:t xml:space="preserve">r ele ofertado e registrado pelo sistema, observado, quando houver, o intervalo mínimo de diferença de valores ou de percentuais entre os lances, que incidirá tanto em relação aos lances intermediários quanto em relação ao lance que cobrir a melhor oferta.</w:t>
      </w:r>
      <w:r>
        <w:rPr>
          <w:rFonts w:ascii="Arial" w:hAnsi="Arial" w:cs="Arial"/>
          <w:sz w:val="19"/>
          <w:szCs w:val="19"/>
        </w:rPr>
      </w:r>
      <w:r>
        <w:rPr>
          <w:rFonts w:ascii="Arial" w:hAnsi="Arial" w:cs="Arial"/>
          <w:sz w:val="19"/>
          <w:szCs w:val="19"/>
        </w:rPr>
      </w:r>
    </w:p>
    <w:p>
      <w:pPr>
        <w:pStyle w:val="887"/>
        <w:pBdr/>
        <w:spacing/>
        <w:ind w:left="284"/>
        <w:jc w:val="both"/>
        <w:rPr>
          <w:rFonts w:ascii="Arial" w:hAnsi="Arial" w:cs="Arial"/>
          <w:b/>
          <w:color w:val="000000"/>
          <w:sz w:val="19"/>
          <w:szCs w:val="19"/>
        </w:rPr>
      </w:pPr>
      <w:r>
        <w:rPr>
          <w:rFonts w:ascii="Arial" w:hAnsi="Arial" w:eastAsia="Arial" w:cs="Arial"/>
          <w:b/>
          <w:color w:val="000000"/>
          <w:sz w:val="19"/>
          <w:szCs w:val="19"/>
        </w:rPr>
      </w:r>
      <w:r>
        <w:rPr>
          <w:rFonts w:ascii="Arial" w:hAnsi="Arial" w:cs="Arial"/>
          <w:b/>
          <w:color w:val="000000"/>
          <w:sz w:val="19"/>
          <w:szCs w:val="19"/>
        </w:rPr>
      </w:r>
      <w:r>
        <w:rPr>
          <w:rFonts w:ascii="Arial" w:hAnsi="Arial" w:cs="Arial"/>
          <w:b/>
          <w:color w:val="000000"/>
          <w:sz w:val="19"/>
          <w:szCs w:val="19"/>
        </w:rPr>
      </w:r>
    </w:p>
    <w:p>
      <w:pPr>
        <w:pStyle w:val="887"/>
        <w:pBdr/>
        <w:spacing/>
        <w:ind/>
        <w:jc w:val="both"/>
        <w:rPr>
          <w:rFonts w:ascii="Arial" w:hAnsi="Arial" w:cs="Arial"/>
        </w:rPr>
      </w:pPr>
      <w:r>
        <w:rPr>
          <w:rFonts w:ascii="Arial" w:hAnsi="Arial" w:eastAsia="Arial" w:cs="Arial"/>
          <w:b/>
          <w:color w:val="000000"/>
        </w:rPr>
        <w:t xml:space="preserve">9.7.</w:t>
      </w:r>
      <w:r>
        <w:rPr>
          <w:rFonts w:ascii="Arial" w:hAnsi="Arial" w:eastAsia="Arial" w:cs="Arial"/>
          <w:color w:val="000000"/>
        </w:rPr>
        <w:t xml:space="preserve"> Quando houver um único licitante ou uma única proposta válida, caberá ao Pregoeiro verificar a aceitabilidade do valor ofertado. </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9.8.</w:t>
      </w:r>
      <w:r>
        <w:rPr>
          <w:rFonts w:ascii="Arial" w:hAnsi="Arial" w:eastAsia="Arial" w:cs="Arial"/>
          <w:color w:val="000000"/>
        </w:rPr>
        <w:t xml:space="preserve"> Na hipótese de haver lances ou propostas iguais prevalecerão como de menor valor o lance que tiver sido primeiramente registrado. </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9.9.</w:t>
      </w:r>
      <w:r>
        <w:rPr>
          <w:rFonts w:ascii="Arial" w:hAnsi="Arial" w:eastAsia="Arial" w:cs="Arial"/>
          <w:color w:val="000000"/>
        </w:rPr>
        <w:t xml:space="preserve"> Nesse momento após o encerramento da etapa de lances o sistema informará a propos</w:t>
      </w:r>
      <w:r>
        <w:rPr>
          <w:rFonts w:ascii="Arial" w:hAnsi="Arial" w:eastAsia="Arial" w:cs="Arial"/>
          <w:color w:val="000000"/>
        </w:rPr>
        <w:t xml:space="preserve">ta de menor valor, identificando as empresas participantes pela razão social, verificará e classificará a licitante que se enquadrar como microempresa ou empresa de pequeno porte, nos termos do art. 3º da Lei Complementar nº 123, de 14 de dezembro de 2006.</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9.10. </w:t>
      </w:r>
      <w:r>
        <w:rPr>
          <w:rFonts w:ascii="Arial" w:hAnsi="Arial" w:eastAsia="Arial" w:cs="Arial"/>
          <w:color w:val="000000"/>
        </w:rPr>
        <w:t xml:space="preserve">Apó</w:t>
      </w:r>
      <w:r>
        <w:rPr>
          <w:rFonts w:ascii="Arial" w:hAnsi="Arial" w:eastAsia="Arial" w:cs="Arial"/>
          <w:color w:val="000000"/>
        </w:rPr>
        <w:t xml:space="preserve">s a disputa final, no caso de empate entre duas ou mais propostas, hipótese em que os licitantes empatados poderão apresentar nova proposta em ato contínuo à classificação, nesse caso, os critérios de desempate são os previstos no art. 60 da Lei 14.133/21.</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9.10.1.</w:t>
      </w:r>
      <w:r>
        <w:rPr>
          <w:rFonts w:ascii="Arial" w:hAnsi="Arial" w:eastAsia="Arial" w:cs="Arial"/>
          <w:color w:val="000000"/>
        </w:rPr>
        <w:t xml:space="preserve"> Só poderá haver empate entre propostas iguais (não seguidas de lances).</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9.10.2.</w:t>
      </w:r>
      <w:r>
        <w:rPr>
          <w:rFonts w:ascii="Arial" w:hAnsi="Arial" w:eastAsia="Arial" w:cs="Arial"/>
          <w:color w:val="000000"/>
        </w:rPr>
        <w:t xml:space="preserve"> Havendo eventual empate entre propostas ou lances, o critério de desempate será aquele previsto no art. 60 da Lei nº 14.133, de 2021.</w:t>
      </w:r>
      <w:r>
        <w:rPr>
          <w:rFonts w:ascii="Arial" w:hAnsi="Arial" w:cs="Arial"/>
        </w:rPr>
      </w:r>
      <w:r>
        <w:rPr>
          <w:rFonts w:ascii="Arial" w:hAnsi="Arial" w:cs="Arial"/>
        </w:rPr>
      </w:r>
    </w:p>
    <w:p>
      <w:pPr>
        <w:pStyle w:val="887"/>
        <w:pBdr/>
        <w:spacing/>
        <w:ind w:left="284"/>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rPr>
      </w:pPr>
      <w:r>
        <w:rPr>
          <w:rFonts w:ascii="Arial" w:hAnsi="Arial" w:eastAsia="Arial" w:cs="Arial"/>
          <w:b/>
          <w:bCs/>
          <w:color w:val="000000"/>
        </w:rPr>
        <w:t xml:space="preserve">9.10.3. </w:t>
      </w:r>
      <w:r>
        <w:rPr>
          <w:rFonts w:ascii="Arial" w:hAnsi="Arial" w:eastAsia="Arial" w:cs="Arial"/>
          <w:color w:val="000000"/>
        </w:rPr>
        <w:t xml:space="preserve">As regras previstas no (item 9.10) acima mencionado não prejudicarão a aplicação do disposto no art. 44 da Lei Complementar nº 123, de 14 de dezembro de 2006. (Conforme art. 60 da Lei 14.133/21, </w:t>
      </w:r>
      <w:r>
        <w:rPr>
          <w:rFonts w:ascii="Arial" w:hAnsi="Arial" w:eastAsia="Arial" w:cs="Arial"/>
          <w:bCs/>
          <w:color w:val="000000"/>
        </w:rPr>
        <w:t xml:space="preserve">§ 2º).</w:t>
      </w:r>
      <w:r>
        <w:rPr>
          <w:rFonts w:ascii="Arial" w:hAnsi="Arial" w:eastAsia="Arial" w:cs="Arial"/>
          <w:color w:val="000000"/>
        </w:rPr>
        <w:t xml:space="preserve"> </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9.11.</w:t>
      </w:r>
      <w:r>
        <w:rPr>
          <w:rFonts w:ascii="Arial" w:hAnsi="Arial" w:eastAsia="Arial" w:cs="Arial"/>
          <w:color w:val="000000"/>
        </w:rPr>
        <w:t xml:space="preserve"> Encerrada a etapa de envio</w:t>
      </w:r>
      <w:r>
        <w:rPr>
          <w:rFonts w:ascii="Arial" w:hAnsi="Arial" w:eastAsia="Arial" w:cs="Arial"/>
          <w:color w:val="000000"/>
        </w:rPr>
        <w:t xml:space="preserve"> de lances da sessão pública, na hipótese da proposta do primeiro colocado permanecer acima do preço máximo ou inferior ao desconto definido para a contratação, o pregoeiro poderá negociar condições mais vantajosas, após definido o resultado do julgamento.</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9.12.</w:t>
      </w:r>
      <w:r>
        <w:rPr>
          <w:rFonts w:ascii="Arial" w:hAnsi="Arial" w:eastAsia="Arial" w:cs="Arial"/>
          <w:color w:val="000000"/>
        </w:rPr>
        <w:t xml:space="preserve"> A negociação poderá</w:t>
      </w:r>
      <w:r>
        <w:rPr>
          <w:rFonts w:ascii="Arial" w:hAnsi="Arial" w:eastAsia="Arial" w:cs="Arial"/>
          <w:color w:val="000000"/>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sz w:val="19"/>
          <w:szCs w:val="19"/>
        </w:rPr>
      </w:pPr>
      <w:r>
        <w:rPr>
          <w:rFonts w:ascii="Arial" w:hAnsi="Arial" w:eastAsia="Arial" w:cs="Arial"/>
          <w:b/>
          <w:color w:val="000000"/>
          <w:sz w:val="19"/>
          <w:szCs w:val="19"/>
        </w:rPr>
        <w:t xml:space="preserve">9.13.</w:t>
      </w:r>
      <w:r>
        <w:rPr>
          <w:rFonts w:ascii="Arial" w:hAnsi="Arial" w:eastAsia="Arial" w:cs="Arial"/>
          <w:color w:val="000000"/>
          <w:sz w:val="19"/>
          <w:szCs w:val="19"/>
        </w:rPr>
        <w:t xml:space="preserve"> O pregoeiro solicitará ao licitante mais bem classificad</w:t>
      </w:r>
      <w:r>
        <w:rPr>
          <w:rFonts w:ascii="Arial" w:hAnsi="Arial" w:eastAsia="Arial" w:cs="Arial"/>
          <w:color w:val="000000"/>
          <w:sz w:val="19"/>
          <w:szCs w:val="19"/>
        </w:rPr>
        <w:t xml:space="preserve">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9" w:name="_Hlk117016948"/>
      <w:r>
        <w:rPr>
          <w:rFonts w:ascii="Arial" w:hAnsi="Arial" w:eastAsia="Arial" w:cs="Arial"/>
        </w:rPr>
      </w:r>
      <w:bookmarkEnd w:id="9"/>
      <w:r>
        <w:rPr>
          <w:rFonts w:ascii="Arial" w:hAnsi="Arial" w:cs="Arial"/>
          <w:sz w:val="19"/>
          <w:szCs w:val="19"/>
        </w:rPr>
      </w:r>
      <w:r>
        <w:rPr>
          <w:rFonts w:ascii="Arial" w:hAnsi="Arial" w:cs="Arial"/>
          <w:sz w:val="19"/>
          <w:szCs w:val="19"/>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9.14.</w:t>
      </w:r>
      <w:r>
        <w:rPr>
          <w:rFonts w:ascii="Arial" w:hAnsi="Arial" w:eastAsia="Arial" w:cs="Arial"/>
          <w:color w:val="000000"/>
        </w:rPr>
        <w:t xml:space="preserve"> É facultado ao pregoeiro prorrogar o prazo estabelecido, a partir de solicitação fundamentada feita no chat pelo licitante, antes de findo o prazo.</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numPr>
          <w:ilvl w:val="0"/>
          <w:numId w:val="0"/>
        </w:numPr>
        <w:pBdr/>
        <w:spacing/>
        <w:ind/>
        <w:jc w:val="both"/>
        <w:outlineLvl w:val="0"/>
        <w:rPr>
          <w:rFonts w:ascii="Arial" w:hAnsi="Arial" w:cs="Arial"/>
          <w:b/>
          <w:bCs/>
          <w:color w:val="000000"/>
        </w:rPr>
      </w:pPr>
      <w:r/>
      <w:bookmarkStart w:id="72" w:name="_Toc9"/>
      <w:r>
        <w:rPr>
          <w:rFonts w:ascii="Arial" w:hAnsi="Arial" w:eastAsia="Arial" w:cs="Arial"/>
          <w:b/>
          <w:bCs/>
          <w:color w:val="000000"/>
        </w:rPr>
        <w:t xml:space="preserve">10. DO JULGAMENTO DA(S) PROPOSTA(S) DE PREÇOS APÓS A CLASSIFICAÇÃO FINAL: </w:t>
      </w:r>
      <w:bookmarkEnd w:id="72"/>
      <w:r>
        <w:rPr>
          <w:rFonts w:ascii="Arial" w:hAnsi="Arial" w:cs="Arial"/>
          <w:b/>
          <w:bCs/>
          <w:color w:val="000000"/>
        </w:rPr>
      </w:r>
      <w:r>
        <w:rPr>
          <w:rFonts w:ascii="Arial" w:hAnsi="Arial" w:cs="Arial"/>
          <w:b/>
          <w:bCs/>
          <w:color w:val="000000"/>
        </w:rPr>
      </w:r>
    </w:p>
    <w:p>
      <w:pPr>
        <w:pStyle w:val="887"/>
        <w:pBdr/>
        <w:spacing/>
        <w:ind w:left="284"/>
        <w:jc w:val="both"/>
        <w:rPr>
          <w:rFonts w:ascii="Arial" w:hAnsi="Arial" w:cs="Arial"/>
          <w:b/>
          <w:color w:val="000000"/>
        </w:rPr>
      </w:pPr>
      <w:r>
        <w:rPr>
          <w:rFonts w:ascii="Arial" w:hAnsi="Arial" w:eastAsia="Arial" w:cs="Arial"/>
          <w:b/>
          <w:color w:val="000000"/>
        </w:rPr>
      </w:r>
      <w:bookmarkStart w:id="12" w:name="_Ref117019424"/>
      <w:r>
        <w:rPr>
          <w:rFonts w:ascii="Arial" w:hAnsi="Arial" w:cs="Arial"/>
          <w:b/>
          <w:color w:val="000000"/>
        </w:rPr>
      </w:r>
      <w:r>
        <w:rPr>
          <w:rFonts w:ascii="Arial" w:hAnsi="Arial" w:cs="Arial"/>
          <w:b/>
          <w:color w:val="000000"/>
        </w:rPr>
      </w:r>
    </w:p>
    <w:p>
      <w:pPr>
        <w:pStyle w:val="887"/>
        <w:pBdr/>
        <w:spacing/>
        <w:ind/>
        <w:jc w:val="both"/>
        <w:rPr>
          <w:rFonts w:ascii="Arial" w:hAnsi="Arial" w:cs="Arial"/>
          <w:sz w:val="19"/>
          <w:szCs w:val="19"/>
        </w:rPr>
      </w:pPr>
      <w:r>
        <w:rPr>
          <w:rFonts w:ascii="Arial" w:hAnsi="Arial" w:eastAsia="Arial" w:cs="Arial"/>
          <w:b/>
          <w:color w:val="000000"/>
          <w:sz w:val="19"/>
          <w:szCs w:val="19"/>
        </w:rPr>
        <w:t xml:space="preserve">10.1.</w:t>
      </w:r>
      <w:r>
        <w:rPr>
          <w:rFonts w:ascii="Arial" w:hAnsi="Arial" w:eastAsia="Arial" w:cs="Arial"/>
          <w:color w:val="000000"/>
          <w:sz w:val="19"/>
          <w:szCs w:val="19"/>
        </w:rPr>
        <w:t xml:space="preserve"> Encerrada a etapa de negociação, o pregoeiro verificará se o licitante provisoriamente classificado em primeiro lugar atende às condições de participação no certame, conforme previsto no </w:t>
      </w:r>
      <w:hyperlink r:id="rId20" w:tooltip="http://www.planalto.gov.br/ccivil_03/_ato2019-2022/2021/lei/L14133.htm#art14" w:anchor="art14" w:history="1">
        <w:r>
          <w:rPr>
            <w:rStyle w:val="994"/>
            <w:rFonts w:ascii="Arial" w:hAnsi="Arial" w:eastAsia="Arial" w:cs="Arial"/>
            <w:color w:val="000000"/>
            <w:sz w:val="19"/>
            <w:szCs w:val="19"/>
          </w:rPr>
          <w:t xml:space="preserve">art. 14 da Lei nº 14.133/2021</w:t>
        </w:r>
      </w:hyperlink>
      <w:r>
        <w:rPr>
          <w:rFonts w:ascii="Arial" w:hAnsi="Arial" w:eastAsia="Arial" w:cs="Arial"/>
          <w:color w:val="000000"/>
          <w:sz w:val="19"/>
          <w:szCs w:val="19"/>
        </w:rPr>
        <w:t xml:space="preserve">, legislação correlata, e descrição contida neste edital, </w:t>
      </w:r>
      <w:bookmarkEnd w:id="12"/>
      <w:r>
        <w:rPr>
          <w:rFonts w:ascii="Arial" w:hAnsi="Arial" w:eastAsia="Arial" w:cs="Arial"/>
          <w:color w:val="000000"/>
          <w:sz w:val="19"/>
          <w:szCs w:val="19"/>
        </w:rPr>
        <w:t xml:space="preserve">especialmente quanto à existência de sanção que impeça a participação no certame ou a futura contratação, mediante a consulta aos seguintes cadastros:</w:t>
      </w:r>
      <w:r>
        <w:rPr>
          <w:rFonts w:ascii="Arial" w:hAnsi="Arial" w:cs="Arial"/>
          <w:sz w:val="19"/>
          <w:szCs w:val="19"/>
        </w:rPr>
      </w:r>
      <w:r>
        <w:rPr>
          <w:rFonts w:ascii="Arial" w:hAnsi="Arial" w:cs="Arial"/>
          <w:sz w:val="19"/>
          <w:szCs w:val="19"/>
        </w:rPr>
      </w:r>
    </w:p>
    <w:p>
      <w:pPr>
        <w:pStyle w:val="887"/>
        <w:pBdr/>
        <w:spacing/>
        <w:ind w:left="284"/>
        <w:jc w:val="both"/>
        <w:rPr>
          <w:rFonts w:ascii="Arial" w:hAnsi="Arial" w:cs="Arial"/>
          <w:b/>
          <w:bCs/>
          <w:color w:val="000000"/>
          <w:sz w:val="19"/>
          <w:szCs w:val="19"/>
        </w:rPr>
      </w:pPr>
      <w:r>
        <w:rPr>
          <w:rFonts w:ascii="Arial" w:hAnsi="Arial" w:eastAsia="Arial" w:cs="Arial"/>
          <w:b/>
          <w:bCs/>
          <w:color w:val="000000"/>
          <w:sz w:val="19"/>
          <w:szCs w:val="19"/>
        </w:rPr>
      </w:r>
      <w:r>
        <w:rPr>
          <w:rFonts w:ascii="Arial" w:hAnsi="Arial" w:cs="Arial"/>
          <w:b/>
          <w:bCs/>
          <w:color w:val="000000"/>
          <w:sz w:val="19"/>
          <w:szCs w:val="19"/>
        </w:rPr>
      </w:r>
      <w:r>
        <w:rPr>
          <w:rFonts w:ascii="Arial" w:hAnsi="Arial" w:cs="Arial"/>
          <w:b/>
          <w:bCs/>
          <w:color w:val="000000"/>
          <w:sz w:val="19"/>
          <w:szCs w:val="19"/>
        </w:rPr>
      </w:r>
    </w:p>
    <w:p>
      <w:pPr>
        <w:pStyle w:val="887"/>
        <w:pBdr/>
        <w:spacing/>
        <w:ind/>
        <w:jc w:val="both"/>
        <w:rPr>
          <w:rFonts w:ascii="Arial" w:hAnsi="Arial" w:cs="Arial"/>
        </w:rPr>
      </w:pPr>
      <w:r>
        <w:rPr>
          <w:rFonts w:ascii="Arial" w:hAnsi="Arial" w:eastAsia="Arial" w:cs="Arial"/>
          <w:b/>
          <w:bCs/>
          <w:color w:val="000000"/>
        </w:rPr>
        <w:t xml:space="preserve">10.1.1. </w:t>
      </w:r>
      <w:r>
        <w:rPr>
          <w:rFonts w:ascii="Arial" w:hAnsi="Arial" w:eastAsia="Arial" w:cs="Arial"/>
          <w:color w:val="000000"/>
        </w:rPr>
        <w:t xml:space="preserve">Caso não se realize lances serão verificados a conformidade entre a proposta de menor valor e o valor estimado da contratação, podendo o Pregoeiro negociar com o licitante afim de conseguir menor preço. </w:t>
      </w:r>
      <w:r>
        <w:rPr>
          <w:rFonts w:ascii="Arial" w:hAnsi="Arial" w:cs="Arial"/>
        </w:rPr>
      </w:r>
      <w:r>
        <w:rPr>
          <w:rFonts w:ascii="Arial" w:hAnsi="Arial" w:cs="Arial"/>
        </w:rPr>
      </w:r>
    </w:p>
    <w:p>
      <w:pPr>
        <w:pStyle w:val="887"/>
        <w:pBdr/>
        <w:spacing/>
        <w:ind w:left="284"/>
        <w:jc w:val="both"/>
        <w:rPr>
          <w:rFonts w:ascii="Arial" w:hAnsi="Arial" w:cs="Arial"/>
          <w:sz w:val="19"/>
          <w:szCs w:val="19"/>
        </w:rPr>
      </w:pPr>
      <w:r>
        <w:rPr>
          <w:rFonts w:ascii="Arial" w:hAnsi="Arial" w:eastAsia="Arial" w:cs="Arial"/>
          <w:sz w:val="19"/>
          <w:szCs w:val="19"/>
        </w:rPr>
      </w:r>
      <w:r>
        <w:rPr>
          <w:rFonts w:ascii="Arial" w:hAnsi="Arial" w:cs="Arial"/>
          <w:sz w:val="19"/>
          <w:szCs w:val="19"/>
        </w:rPr>
      </w:r>
      <w:r>
        <w:rPr>
          <w:rFonts w:ascii="Arial" w:hAnsi="Arial" w:cs="Arial"/>
          <w:sz w:val="19"/>
          <w:szCs w:val="19"/>
        </w:rPr>
      </w:r>
    </w:p>
    <w:p>
      <w:pPr>
        <w:pStyle w:val="887"/>
        <w:pBdr/>
        <w:spacing/>
        <w:ind/>
        <w:jc w:val="both"/>
        <w:rPr>
          <w:rFonts w:ascii="Arial" w:hAnsi="Arial" w:cs="Arial"/>
          <w:color w:val="000000"/>
          <w:sz w:val="19"/>
          <w:szCs w:val="19"/>
        </w:rPr>
      </w:pPr>
      <w:r>
        <w:rPr>
          <w:rFonts w:ascii="Arial" w:hAnsi="Arial" w:eastAsia="Arial" w:cs="Arial"/>
        </w:rPr>
      </w:r>
      <w:r>
        <w:rPr>
          <w:rFonts w:ascii="Arial" w:hAnsi="Arial" w:eastAsia="Arial" w:cs="Arial"/>
          <w:b/>
          <w:bCs/>
          <w:color w:val="000000"/>
          <w:sz w:val="19"/>
          <w:szCs w:val="19"/>
        </w:rPr>
        <w:t xml:space="preserve">10.2. </w:t>
      </w:r>
      <w:r>
        <w:rPr>
          <w:rFonts w:ascii="Arial" w:hAnsi="Arial" w:eastAsia="Arial" w:cs="Arial"/>
          <w:bCs/>
          <w:color w:val="000000"/>
          <w:sz w:val="19"/>
          <w:szCs w:val="19"/>
        </w:rPr>
        <w:t xml:space="preserve">Da aceitabilidade da proposta mais bem classificada, não será aceita a proposta ou melhor lance classificado cujo preço seja acima do valor estimado pela Secretaria solicitante ou quando este for manifestamente inexequível. </w:t>
      </w:r>
      <w:r>
        <w:rPr>
          <w:rFonts w:ascii="Arial" w:hAnsi="Arial" w:cs="Arial"/>
          <w:color w:val="000000"/>
          <w:sz w:val="19"/>
          <w:szCs w:val="19"/>
        </w:rPr>
      </w:r>
      <w:r>
        <w:rPr>
          <w:rFonts w:ascii="Arial" w:hAnsi="Arial" w:cs="Arial"/>
          <w:color w:val="000000"/>
          <w:sz w:val="19"/>
          <w:szCs w:val="19"/>
        </w:rPr>
      </w:r>
    </w:p>
    <w:p>
      <w:pPr>
        <w:pStyle w:val="887"/>
        <w:pBdr/>
        <w:spacing/>
        <w:ind w:left="284"/>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rPr>
      </w:pPr>
      <w:r>
        <w:rPr>
          <w:rFonts w:ascii="Arial" w:hAnsi="Arial" w:eastAsia="Arial" w:cs="Arial"/>
          <w:b/>
          <w:bCs/>
          <w:color w:val="000000"/>
        </w:rPr>
        <w:t xml:space="preserve">10.2.1. </w:t>
      </w:r>
      <w:r>
        <w:rPr>
          <w:rFonts w:ascii="Arial" w:hAnsi="Arial" w:eastAsia="Arial" w:cs="Arial"/>
          <w:bCs/>
          <w:color w:val="000000"/>
        </w:rPr>
        <w:t xml:space="preserve">Considera-se inexequível a proposta de preços ou menor lance </w:t>
      </w:r>
      <w:r>
        <w:rPr>
          <w:rFonts w:ascii="Arial" w:hAnsi="Arial" w:eastAsia="Arial" w:cs="Arial"/>
          <w:bCs/>
          <w:color w:val="000000"/>
        </w:rPr>
        <w:t xml:space="preserve">que comprovadamente, for insuficiente para a cobertura dos custos da contratação, apresente preços global ou unitários simbólicos, irrisórios ou de valor zero, incompatíveis com os preços dos insumos e salários de mercado, acrescidos dos respectivos encarg</w:t>
      </w:r>
      <w:r>
        <w:rPr>
          <w:rFonts w:ascii="Arial" w:hAnsi="Arial" w:eastAsia="Arial" w:cs="Arial"/>
          <w:bCs/>
          <w:color w:val="000000"/>
        </w:rPr>
        <w:t xml:space="preserve">os, ainda que o ato convocatório da licitação não tenha estabelecido limites mínimos, exceto quando se referirem a materiais e serviços de instalações de propriedade do próprio licitante, para os quais ele renuncie a parcela ou à totalidade da remuneração.</w:t>
      </w:r>
      <w:r>
        <w:rPr>
          <w:rFonts w:ascii="Arial" w:hAnsi="Arial" w:cs="Arial"/>
        </w:rPr>
      </w:r>
      <w:r>
        <w:rPr>
          <w:rFonts w:ascii="Arial" w:hAnsi="Arial" w:cs="Arial"/>
        </w:rPr>
      </w:r>
    </w:p>
    <w:p>
      <w:pPr>
        <w:pStyle w:val="887"/>
        <w:pBdr/>
        <w:spacing/>
        <w:ind w:left="284"/>
        <w:jc w:val="both"/>
        <w:rPr>
          <w:rFonts w:ascii="Arial" w:hAnsi="Arial" w:cs="Arial"/>
          <w:bCs/>
          <w:color w:val="000000"/>
        </w:rPr>
      </w:pPr>
      <w:r>
        <w:rPr>
          <w:rFonts w:ascii="Arial" w:hAnsi="Arial" w:eastAsia="Arial" w:cs="Arial"/>
          <w:bCs/>
          <w:color w:val="000000"/>
        </w:rPr>
      </w:r>
      <w:r>
        <w:rPr>
          <w:rFonts w:ascii="Arial" w:hAnsi="Arial" w:cs="Arial"/>
          <w:bCs/>
          <w:color w:val="000000"/>
        </w:rPr>
      </w:r>
      <w:r>
        <w:rPr>
          <w:rFonts w:ascii="Arial" w:hAnsi="Arial" w:cs="Arial"/>
          <w:bCs/>
          <w:color w:val="000000"/>
        </w:rPr>
      </w:r>
    </w:p>
    <w:p>
      <w:pPr>
        <w:pStyle w:val="887"/>
        <w:pBdr/>
        <w:spacing/>
        <w:ind/>
        <w:jc w:val="both"/>
        <w:rPr>
          <w:rFonts w:ascii="Arial" w:hAnsi="Arial" w:cs="Arial"/>
        </w:rPr>
      </w:pPr>
      <w:r>
        <w:rPr>
          <w:rFonts w:ascii="Arial" w:hAnsi="Arial" w:eastAsia="Arial" w:cs="Arial"/>
          <w:b/>
          <w:bCs/>
          <w:color w:val="000000"/>
        </w:rPr>
        <w:t xml:space="preserve">10.3. </w:t>
      </w:r>
      <w:r>
        <w:rPr>
          <w:rFonts w:ascii="Arial" w:hAnsi="Arial" w:eastAsia="Arial" w:cs="Arial"/>
          <w:bCs/>
          <w:color w:val="000000"/>
        </w:rPr>
        <w:t xml:space="preserve">Se houver indícios de inexequibilidade da proposta de preço, ou em caso da necessidade de esclarecimentos complementares, poderão ser efetuadas diligências, </w:t>
      </w:r>
      <w:r>
        <w:rPr>
          <w:rFonts w:ascii="Arial" w:hAnsi="Arial" w:eastAsia="Arial" w:cs="Arial"/>
          <w:color w:val="000000"/>
        </w:rPr>
        <w:t xml:space="preserve">para aferir a exequibilidade das propostas ou exigir dos licitantes que ela seja demonstrada, conforme disposto no inciso IV do </w:t>
      </w:r>
      <w:r>
        <w:rPr>
          <w:rFonts w:ascii="Arial" w:hAnsi="Arial" w:eastAsia="Arial" w:cs="Arial"/>
          <w:b/>
          <w:bCs/>
          <w:color w:val="000000"/>
        </w:rPr>
        <w:t xml:space="preserve">caput </w:t>
      </w:r>
      <w:r>
        <w:rPr>
          <w:rFonts w:ascii="Arial" w:hAnsi="Arial" w:eastAsia="Arial" w:cs="Arial"/>
          <w:color w:val="000000"/>
        </w:rPr>
        <w:t xml:space="preserve">do artigo 59 da 14.133/2021.</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bCs/>
          <w:color w:val="000000"/>
        </w:rPr>
        <w:t xml:space="preserve">10.4. </w:t>
      </w:r>
      <w:r>
        <w:rPr>
          <w:rFonts w:ascii="Arial" w:hAnsi="Arial" w:eastAsia="Arial" w:cs="Arial"/>
          <w:color w:val="000000"/>
        </w:rPr>
        <w:t xml:space="preserve">P</w:t>
      </w:r>
      <w:r>
        <w:rPr>
          <w:rFonts w:ascii="Arial" w:hAnsi="Arial" w:eastAsia="Arial" w:cs="Arial"/>
          <w:color w:val="000000"/>
          <w:lang w:eastAsia="en-US"/>
        </w:rPr>
        <w:t xml:space="preserve">oderá convocar o licitante para enviar planilhas de custo readequadas com o valor final por ele ofertado, nesse sentido, todos</w:t>
      </w:r>
      <w:r>
        <w:rPr>
          <w:rFonts w:ascii="Arial" w:hAnsi="Arial" w:eastAsia="Arial" w:cs="Arial"/>
          <w:bCs/>
          <w:iCs/>
          <w:color w:val="000000"/>
        </w:rPr>
        <w:t xml:space="preserve"> os dados informados pelo licitante em sua planilha deverão refletir com fidelidade os custos especificados e a margem de lucro pretendida, </w:t>
      </w:r>
      <w:r>
        <w:rPr>
          <w:rFonts w:ascii="Arial" w:hAnsi="Arial" w:eastAsia="Arial" w:cs="Arial"/>
          <w:color w:val="000000"/>
          <w:lang w:eastAsia="en-US"/>
        </w:rPr>
        <w:t xml:space="preserve">sob pena de não aceitação da proposta.</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lang w:eastAsia="en-US"/>
        </w:rPr>
      </w:r>
      <w:r>
        <w:rPr>
          <w:rFonts w:ascii="Arial" w:hAnsi="Arial" w:cs="Arial"/>
          <w:color w:val="000000"/>
        </w:rPr>
      </w:r>
      <w:r>
        <w:rPr>
          <w:rFonts w:ascii="Arial" w:hAnsi="Arial" w:cs="Arial"/>
          <w:color w:val="000000"/>
        </w:rPr>
      </w:r>
    </w:p>
    <w:p>
      <w:pPr>
        <w:pStyle w:val="887"/>
        <w:pBdr/>
        <w:spacing/>
        <w:ind/>
        <w:jc w:val="both"/>
        <w:rPr>
          <w:rFonts w:ascii="Arial" w:hAnsi="Arial" w:eastAsia="Arial" w:cs="Arial"/>
          <w:sz w:val="19"/>
          <w:szCs w:val="19"/>
          <w:highlight w:val="none"/>
        </w:rPr>
      </w:pPr>
      <w:r>
        <w:rPr>
          <w:rFonts w:ascii="Arial" w:hAnsi="Arial" w:eastAsia="Arial" w:cs="Arial"/>
          <w:b/>
          <w:color w:val="000000"/>
          <w:sz w:val="19"/>
          <w:szCs w:val="19"/>
          <w:lang w:eastAsia="en-US"/>
        </w:rPr>
        <w:t xml:space="preserve">10.5.</w:t>
      </w:r>
      <w:r>
        <w:rPr>
          <w:rFonts w:ascii="Arial" w:hAnsi="Arial" w:eastAsia="Arial" w:cs="Arial"/>
          <w:color w:val="000000"/>
          <w:sz w:val="19"/>
          <w:szCs w:val="19"/>
          <w:lang w:eastAsia="en-US"/>
        </w:rPr>
        <w:t xml:space="preserve"> O Pregoeiro auxiliado pela equipe técnica analisará a compatibilidade dos preços unitários apresentados na Planilha de Custos e Formação de Preços com aqueles </w:t>
      </w:r>
      <w:r>
        <w:rPr>
          <w:rFonts w:ascii="Arial" w:hAnsi="Arial" w:eastAsia="Arial" w:cs="Arial"/>
          <w:bCs/>
          <w:sz w:val="19"/>
          <w:szCs w:val="19"/>
        </w:rPr>
        <w:t xml:space="preserve">prescritas neste Edital e todos seus anexos</w:t>
      </w:r>
      <w:r>
        <w:rPr>
          <w:rFonts w:ascii="Arial" w:hAnsi="Arial" w:eastAsia="Arial" w:cs="Arial"/>
          <w:color w:val="000000"/>
          <w:sz w:val="19"/>
          <w:szCs w:val="19"/>
          <w:lang w:eastAsia="en-US"/>
        </w:rPr>
        <w:t xml:space="preserve">.</w:t>
      </w:r>
      <w:r>
        <w:rPr>
          <w:rFonts w:ascii="Arial" w:hAnsi="Arial" w:cs="Arial"/>
          <w:sz w:val="19"/>
          <w:szCs w:val="19"/>
        </w:rPr>
      </w:r>
      <w:r>
        <w:rPr>
          <w:rFonts w:ascii="Arial" w:hAnsi="Arial" w:eastAsia="Arial" w:cs="Arial"/>
          <w:sz w:val="19"/>
          <w:szCs w:val="19"/>
          <w:highlight w:val="none"/>
        </w:rPr>
      </w:r>
    </w:p>
    <w:p w14:paraId="4FAFD670">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sz w:val="24"/>
          <w:szCs w:val="24"/>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rPr>
          <w:rFonts w:ascii="Times New Roman" w:hAnsi="Times New Roman" w:eastAsia="Times New Roman" w:cs="Times New Roman"/>
          <w:sz w:val="24"/>
          <w:szCs w:val="24"/>
        </w:rPr>
      </w:r>
    </w:p>
    <w:p w14:paraId="5D339C05">
      <w:pPr>
        <w:pBdr>
          <w:top w:val="none" w:color="000000" w:sz="4" w:space="0"/>
          <w:left w:val="none" w:color="000000" w:sz="4" w:space="0"/>
          <w:bottom w:val="none" w:color="000000" w:sz="4" w:space="0"/>
          <w:right w:val="none" w:color="000000" w:sz="4" w:space="0"/>
        </w:pBdr>
        <w:spacing/>
        <w:ind/>
        <w:jc w:val="both"/>
        <w:rPr>
          <w:rFonts w:ascii="Arial" w:hAnsi="Arial" w:eastAsia="Arial" w:cs="Arial"/>
          <w:color w:val="000000"/>
          <w:lang w:eastAsia="en-US"/>
          <w14:ligatures w14:val="none"/>
        </w:rPr>
      </w:pPr>
      <w:r>
        <w:rPr>
          <w:rFonts w:ascii="Arial" w:hAnsi="Arial" w:eastAsia="Arial" w:cs="Arial"/>
          <w:b/>
          <w:bCs/>
          <w:color w:val="000000"/>
        </w:rPr>
        <w:t xml:space="preserve">10.6.</w:t>
      </w:r>
      <w:r>
        <w:rPr>
          <w:rFonts w:ascii="Arial" w:hAnsi="Arial" w:eastAsia="Arial" w:cs="Arial"/>
          <w:color w:val="000000"/>
        </w:rPr>
        <w:t xml:space="preserve"> Não será exigida amostra como condição geral de participação no certame.</w:t>
      </w:r>
      <w:r>
        <w:rPr>
          <w:rFonts w:ascii="Arial" w:hAnsi="Arial" w:eastAsia="Arial" w:cs="Arial"/>
          <w:color w:val="000000"/>
        </w:rPr>
      </w:r>
      <w:r>
        <w:rPr>
          <w:rFonts w:ascii="Arial" w:hAnsi="Arial" w:eastAsia="Arial" w:cs="Arial"/>
          <w:color w:val="000000"/>
          <w:lang w:eastAsia="en-US"/>
          <w14:ligatures w14:val="none"/>
        </w:rPr>
      </w:r>
    </w:p>
    <w:p w14:paraId="7D0955B9">
      <w:pPr>
        <w:pBdr>
          <w:top w:val="none" w:color="000000" w:sz="4" w:space="0"/>
          <w:left w:val="none" w:color="000000" w:sz="4" w:space="0"/>
          <w:bottom w:val="none" w:color="000000" w:sz="4" w:space="0"/>
          <w:right w:val="none" w:color="000000" w:sz="4" w:space="0"/>
        </w:pBdr>
        <w:spacing/>
        <w:ind/>
        <w:jc w:val="both"/>
        <w:rPr>
          <w:rFonts w:ascii="Arial" w:hAnsi="Arial" w:eastAsia="Arial" w:cs="Arial"/>
          <w:color w:val="000000"/>
          <w:lang w:eastAsia="en-US"/>
          <w14:ligatures w14:val="none"/>
        </w:rPr>
      </w:pPr>
      <w:r>
        <w:rPr>
          <w:rFonts w:ascii="Arial" w:hAnsi="Arial" w:eastAsia="Arial" w:cs="Arial"/>
          <w:color w:val="000000"/>
        </w:rPr>
      </w:r>
      <w:r>
        <w:rPr>
          <w:rFonts w:ascii="Arial" w:hAnsi="Arial" w:eastAsia="Arial" w:cs="Arial"/>
          <w:color w:val="000000"/>
        </w:rPr>
      </w:r>
      <w:r>
        <w:rPr>
          <w:rFonts w:ascii="Arial" w:hAnsi="Arial" w:eastAsia="Arial" w:cs="Arial"/>
          <w:color w:val="000000"/>
          <w:lang w:eastAsia="en-US"/>
          <w14:ligatures w14:val="none"/>
        </w:rPr>
      </w:r>
    </w:p>
    <w:p w14:paraId="4B73E65F">
      <w:pPr>
        <w:pBdr>
          <w:top w:val="none" w:color="000000" w:sz="4" w:space="0"/>
          <w:left w:val="none" w:color="000000" w:sz="4" w:space="0"/>
          <w:bottom w:val="none" w:color="000000" w:sz="4" w:space="0"/>
          <w:right w:val="none" w:color="000000" w:sz="4" w:space="0"/>
        </w:pBdr>
        <w:spacing/>
        <w:ind/>
        <w:jc w:val="both"/>
        <w:rPr>
          <w:rFonts w:ascii="Arial" w:hAnsi="Arial" w:eastAsia="Arial" w:cs="Arial"/>
          <w:color w:val="000000"/>
          <w:lang w:eastAsia="en-US"/>
          <w14:ligatures w14:val="none"/>
        </w:rPr>
      </w:pPr>
      <w:r>
        <w:rPr>
          <w:rFonts w:ascii="Arial" w:hAnsi="Arial" w:eastAsia="Arial" w:cs="Arial"/>
          <w:b/>
          <w:bCs/>
          <w:color w:val="000000"/>
        </w:rPr>
        <w:t xml:space="preserve">10.6.1.</w:t>
      </w:r>
      <w:r>
        <w:rPr>
          <w:rFonts w:ascii="Arial" w:hAnsi="Arial" w:eastAsia="Arial" w:cs="Arial"/>
          <w:color w:val="000000"/>
        </w:rPr>
        <w:t xml:space="preserve"> Excepcionalmente, caso a documentação técnica apresentada não permita concluir, de forma segura, quanto ao atendimento às especificações, poderá ser solicitada amostra exclusivamente ao licitante provisoriamente classificado em primeiro lugar.</w:t>
      </w:r>
      <w:r>
        <w:rPr>
          <w:rFonts w:ascii="Arial" w:hAnsi="Arial" w:eastAsia="Arial" w:cs="Arial"/>
          <w:color w:val="000000"/>
        </w:rPr>
      </w:r>
      <w:r>
        <w:rPr>
          <w:rFonts w:ascii="Arial" w:hAnsi="Arial" w:eastAsia="Arial" w:cs="Arial"/>
          <w:color w:val="000000"/>
          <w:lang w:eastAsia="en-US"/>
          <w14:ligatures w14:val="none"/>
        </w:rPr>
      </w:r>
    </w:p>
    <w:p w14:paraId="202B0F4D">
      <w:pPr>
        <w:pBdr>
          <w:top w:val="none" w:color="000000" w:sz="4" w:space="0"/>
          <w:left w:val="none" w:color="000000" w:sz="4" w:space="0"/>
          <w:bottom w:val="none" w:color="000000" w:sz="4" w:space="0"/>
          <w:right w:val="none" w:color="000000" w:sz="4" w:space="0"/>
        </w:pBdr>
        <w:spacing/>
        <w:ind/>
        <w:jc w:val="both"/>
        <w:rPr>
          <w:rFonts w:ascii="Arial" w:hAnsi="Arial" w:eastAsia="Arial" w:cs="Arial"/>
          <w:color w:val="000000"/>
          <w:lang w:eastAsia="en-US"/>
          <w14:ligatures w14:val="none"/>
        </w:rPr>
      </w:pPr>
      <w:r>
        <w:rPr>
          <w:rFonts w:ascii="Arial" w:hAnsi="Arial" w:eastAsia="Arial" w:cs="Arial"/>
          <w:color w:val="000000"/>
        </w:rPr>
      </w:r>
      <w:r>
        <w:rPr>
          <w:rFonts w:ascii="Arial" w:hAnsi="Arial" w:eastAsia="Arial" w:cs="Arial"/>
          <w:color w:val="000000"/>
        </w:rPr>
      </w:r>
      <w:r>
        <w:rPr>
          <w:rFonts w:ascii="Arial" w:hAnsi="Arial" w:eastAsia="Arial" w:cs="Arial"/>
          <w:color w:val="000000"/>
          <w:lang w:eastAsia="en-US"/>
          <w14:ligatures w14:val="none"/>
        </w:rPr>
      </w:r>
    </w:p>
    <w:p w14:paraId="37307E42">
      <w:pPr>
        <w:pBdr>
          <w:top w:val="none" w:color="000000" w:sz="4" w:space="0"/>
          <w:left w:val="none" w:color="000000" w:sz="4" w:space="0"/>
          <w:bottom w:val="none" w:color="000000" w:sz="4" w:space="0"/>
          <w:right w:val="none" w:color="000000" w:sz="4" w:space="0"/>
        </w:pBdr>
        <w:spacing/>
        <w:ind/>
        <w:jc w:val="both"/>
        <w:rPr>
          <w:rFonts w:ascii="Arial" w:hAnsi="Arial" w:eastAsia="Arial" w:cs="Arial"/>
          <w:color w:val="000000"/>
          <w:lang w:eastAsia="en-US"/>
          <w14:ligatures w14:val="none"/>
        </w:rPr>
      </w:pPr>
      <w:r>
        <w:rPr>
          <w:rFonts w:ascii="Arial" w:hAnsi="Arial" w:eastAsia="Arial" w:cs="Arial"/>
          <w:b/>
          <w:bCs/>
          <w:color w:val="000000"/>
        </w:rPr>
        <w:t xml:space="preserve">10.6.2.</w:t>
      </w:r>
      <w:r>
        <w:rPr>
          <w:rFonts w:ascii="Arial" w:hAnsi="Arial" w:eastAsia="Arial" w:cs="Arial"/>
          <w:color w:val="000000"/>
        </w:rPr>
        <w:t xml:space="preserve"> A solicitação deverá ser motivada pela área técnica, com indicação expressa do item e do aspecto técnico cuja comprovação demande avaliação física.</w:t>
      </w:r>
      <w:r>
        <w:rPr>
          <w:rFonts w:ascii="Arial" w:hAnsi="Arial" w:eastAsia="Arial" w:cs="Arial"/>
          <w:color w:val="000000"/>
        </w:rPr>
      </w:r>
      <w:r>
        <w:rPr>
          <w:rFonts w:ascii="Arial" w:hAnsi="Arial" w:eastAsia="Arial" w:cs="Arial"/>
          <w:color w:val="000000"/>
          <w:lang w:eastAsia="en-US"/>
          <w14:ligatures w14:val="none"/>
        </w:rPr>
      </w:r>
    </w:p>
    <w:p w14:paraId="4C245100">
      <w:pPr>
        <w:pBdr>
          <w:top w:val="none" w:color="000000" w:sz="4" w:space="0"/>
          <w:left w:val="none" w:color="000000" w:sz="4" w:space="0"/>
          <w:bottom w:val="none" w:color="000000" w:sz="4" w:space="0"/>
          <w:right w:val="none" w:color="000000" w:sz="4" w:space="0"/>
        </w:pBdr>
        <w:spacing/>
        <w:ind/>
        <w:jc w:val="both"/>
        <w:rPr>
          <w:rFonts w:ascii="Arial" w:hAnsi="Arial" w:eastAsia="Arial" w:cs="Arial"/>
          <w:color w:val="000000"/>
          <w:lang w:eastAsia="en-US"/>
          <w14:ligatures w14:val="none"/>
        </w:rPr>
      </w:pPr>
      <w:r>
        <w:rPr>
          <w:rFonts w:ascii="Arial" w:hAnsi="Arial" w:eastAsia="Arial" w:cs="Arial"/>
          <w:color w:val="000000"/>
        </w:rPr>
      </w:r>
      <w:r>
        <w:rPr>
          <w:rFonts w:ascii="Arial" w:hAnsi="Arial" w:eastAsia="Arial" w:cs="Arial"/>
          <w:color w:val="000000"/>
        </w:rPr>
      </w:r>
      <w:r>
        <w:rPr>
          <w:rFonts w:ascii="Arial" w:hAnsi="Arial" w:eastAsia="Arial" w:cs="Arial"/>
          <w:color w:val="000000"/>
          <w:lang w:eastAsia="en-US"/>
          <w14:ligatures w14:val="none"/>
        </w:rPr>
      </w:r>
    </w:p>
    <w:p w14:paraId="5D201842">
      <w:pPr>
        <w:pBdr>
          <w:top w:val="none" w:color="000000" w:sz="4" w:space="0"/>
          <w:left w:val="none" w:color="000000" w:sz="4" w:space="0"/>
          <w:bottom w:val="none" w:color="000000" w:sz="4" w:space="0"/>
          <w:right w:val="none" w:color="000000" w:sz="4" w:space="0"/>
        </w:pBdr>
        <w:spacing/>
        <w:ind/>
        <w:jc w:val="both"/>
        <w:rPr>
          <w:rFonts w:ascii="Arial" w:hAnsi="Arial" w:eastAsia="Arial" w:cs="Arial"/>
          <w:color w:val="000000"/>
          <w:lang w:eastAsia="en-US"/>
          <w14:ligatures w14:val="none"/>
        </w:rPr>
      </w:pPr>
      <w:r>
        <w:rPr>
          <w:rFonts w:ascii="Arial" w:hAnsi="Arial" w:eastAsia="Arial" w:cs="Arial"/>
          <w:b/>
          <w:bCs/>
          <w:color w:val="000000"/>
        </w:rPr>
        <w:t xml:space="preserve">10.6.3.</w:t>
      </w:r>
      <w:r>
        <w:rPr>
          <w:rFonts w:ascii="Arial" w:hAnsi="Arial" w:eastAsia="Arial" w:cs="Arial"/>
          <w:color w:val="000000"/>
        </w:rPr>
        <w:t xml:space="preserve"> A convocação será realizada pela Plataforma BLL e indicará o produto, a quantidade de amostra necessária, o local e o prazo para entrega, observado prazo razoável compatível com a localização do licitante e a natureza do produto.</w:t>
      </w:r>
      <w:r>
        <w:rPr>
          <w:rFonts w:ascii="Arial" w:hAnsi="Arial" w:eastAsia="Arial" w:cs="Arial"/>
          <w:color w:val="000000"/>
        </w:rPr>
      </w:r>
      <w:r>
        <w:rPr>
          <w:rFonts w:ascii="Arial" w:hAnsi="Arial" w:eastAsia="Arial" w:cs="Arial"/>
          <w:color w:val="000000"/>
          <w:lang w:eastAsia="en-US"/>
          <w14:ligatures w14:val="none"/>
        </w:rPr>
      </w:r>
    </w:p>
    <w:p>
      <w:pPr>
        <w:pStyle w:val="887"/>
        <w:pBdr/>
        <w:spacing/>
        <w:ind w:left="284"/>
        <w:jc w:val="both"/>
        <w:rPr>
          <w:rFonts w:ascii="Arial" w:hAnsi="Arial" w:cs="Arial"/>
          <w:b/>
          <w:color w:val="000000"/>
        </w:rPr>
      </w:pPr>
      <w:r>
        <w:rPr>
          <w:rFonts w:ascii="Arial" w:hAnsi="Arial" w:eastAsia="Arial" w:cs="Arial"/>
          <w:b/>
          <w:color w:val="000000"/>
          <w:lang w:eastAsia="en-US"/>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lang w:eastAsia="en-US"/>
        </w:rPr>
        <w:t xml:space="preserve">10.7.</w:t>
      </w:r>
      <w:r>
        <w:rPr>
          <w:rFonts w:ascii="Arial" w:hAnsi="Arial" w:eastAsia="Arial" w:cs="Arial"/>
          <w:color w:val="000000"/>
          <w:lang w:eastAsia="en-US"/>
        </w:rPr>
        <w:t xml:space="preserve"> </w:t>
      </w:r>
      <w:r>
        <w:rPr>
          <w:rFonts w:ascii="Arial" w:hAnsi="Arial" w:eastAsia="Arial" w:cs="Arial"/>
          <w:b/>
          <w:color w:val="000000"/>
          <w:lang w:eastAsia="en-US"/>
        </w:rPr>
        <w:t xml:space="preserve">Se a oferta primeira classificada</w:t>
      </w:r>
      <w:r>
        <w:rPr>
          <w:rFonts w:ascii="Arial" w:hAnsi="Arial" w:eastAsia="Arial" w:cs="Arial"/>
          <w:color w:val="000000"/>
          <w:lang w:eastAsia="en-US"/>
        </w:rPr>
        <w:t xml:space="preserve"> não for aceitável ou se a licitante desatender às exigências habilitarias, será examinado a oferta subsequente, verifican</w:t>
      </w:r>
      <w:r>
        <w:rPr>
          <w:rFonts w:ascii="Arial" w:hAnsi="Arial" w:eastAsia="Arial" w:cs="Arial"/>
          <w:color w:val="000000"/>
          <w:lang w:eastAsia="en-US"/>
        </w:rPr>
        <w:t xml:space="preserve">do a sua aceitabilidade e procedendo à habilitação do licitante, na ordem de classificação, e assim sucessivamente, até a apuração de uma proposta que atenda ao edital, sendo o respectivo licitante declarado vencedor e a ele adjudicado o objeto do certame.</w:t>
      </w:r>
      <w:r>
        <w:rPr>
          <w:rFonts w:ascii="Arial" w:hAnsi="Arial" w:cs="Arial"/>
        </w:rPr>
      </w:r>
      <w:r>
        <w:rPr>
          <w:rFonts w:ascii="Arial" w:hAnsi="Arial" w:cs="Arial"/>
        </w:rPr>
      </w:r>
    </w:p>
    <w:p>
      <w:pPr>
        <w:pStyle w:val="887"/>
        <w:pBdr/>
        <w:spacing/>
        <w:ind/>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numPr>
          <w:ilvl w:val="0"/>
          <w:numId w:val="0"/>
        </w:numPr>
        <w:pBdr/>
        <w:spacing/>
        <w:ind/>
        <w:jc w:val="both"/>
        <w:outlineLvl w:val="0"/>
        <w:rPr>
          <w:rFonts w:ascii="Arial" w:hAnsi="Arial" w:cs="Arial"/>
          <w:b/>
          <w:bCs/>
          <w:color w:val="000000"/>
        </w:rPr>
      </w:pPr>
      <w:r/>
      <w:bookmarkStart w:id="73" w:name="_Toc10"/>
      <w:r>
        <w:rPr>
          <w:rFonts w:ascii="Arial" w:hAnsi="Arial" w:eastAsia="Arial" w:cs="Arial"/>
          <w:b/>
          <w:bCs/>
          <w:color w:val="000000"/>
        </w:rPr>
        <w:t xml:space="preserve">11. DO ENVIO DAS PROPOSTAS REALINHADAS APÓS CONHECIDA A EMPRESA VENCEDORA:</w:t>
      </w:r>
      <w:bookmarkEnd w:id="73"/>
      <w:r>
        <w:rPr>
          <w:rFonts w:ascii="Arial" w:hAnsi="Arial" w:cs="Arial"/>
          <w:b/>
          <w:bCs/>
          <w:color w:val="000000"/>
        </w:rPr>
      </w:r>
      <w:r>
        <w:rPr>
          <w:rFonts w:ascii="Arial" w:hAnsi="Arial" w:cs="Arial"/>
          <w:b/>
          <w:bCs/>
          <w:color w:val="000000"/>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11.1.</w:t>
      </w:r>
      <w:r>
        <w:rPr>
          <w:rFonts w:ascii="Arial" w:hAnsi="Arial" w:eastAsia="Arial" w:cs="Arial"/>
          <w:color w:val="000000"/>
        </w:rPr>
        <w:t xml:space="preserve"> Após a realização da sessão pública a licitante vencedora da etapa de lances e habilitada na fase de documentos no prazo máximo de </w:t>
      </w:r>
      <w:r>
        <w:rPr>
          <w:rFonts w:ascii="Arial" w:hAnsi="Arial" w:eastAsia="Arial" w:cs="Arial"/>
          <w:color w:val="000000"/>
          <w:u w:val="single"/>
        </w:rPr>
        <w:t xml:space="preserve">02 (duas) horas</w:t>
      </w:r>
      <w:r>
        <w:rPr>
          <w:rFonts w:ascii="Arial" w:hAnsi="Arial" w:eastAsia="Arial" w:cs="Arial"/>
          <w:color w:val="000000"/>
        </w:rPr>
        <w:t xml:space="preserve">, contados do encerramento da sessão, deverá cadastrar a </w:t>
      </w:r>
      <w:r>
        <w:rPr>
          <w:rFonts w:ascii="Arial" w:hAnsi="Arial" w:eastAsia="Arial" w:cs="Arial"/>
          <w:b/>
          <w:color w:val="000000"/>
        </w:rPr>
        <w:t xml:space="preserve">Proposta de Preços Realinhada na plataforma BLL, </w:t>
      </w:r>
      <w:r>
        <w:rPr>
          <w:rFonts w:ascii="Arial" w:hAnsi="Arial" w:eastAsia="Arial" w:cs="Arial"/>
          <w:color w:val="000000"/>
        </w:rPr>
        <w:t xml:space="preserve">bem como, encaminhá-la devidamente datadas e assinadas na última folha e rubricadas nas demais pelo representante legal da empresa.</w:t>
      </w:r>
      <w:r>
        <w:rPr>
          <w:rFonts w:ascii="Arial" w:hAnsi="Arial" w:cs="Arial"/>
        </w:rPr>
      </w:r>
      <w:r>
        <w:rPr>
          <w:rFonts w:ascii="Arial" w:hAnsi="Arial" w:cs="Arial"/>
        </w:rPr>
      </w:r>
    </w:p>
    <w:p>
      <w:pPr>
        <w:pStyle w:val="887"/>
        <w:pBdr/>
        <w:spacing/>
        <w:ind w:left="284"/>
        <w:jc w:val="both"/>
        <w:rPr>
          <w:rFonts w:ascii="Arial" w:hAnsi="Arial" w:cs="Arial"/>
          <w:b/>
          <w:color w:val="000000"/>
          <w:sz w:val="19"/>
          <w:szCs w:val="19"/>
        </w:rPr>
      </w:pPr>
      <w:r>
        <w:rPr>
          <w:rFonts w:ascii="Arial" w:hAnsi="Arial" w:eastAsia="Arial" w:cs="Arial"/>
          <w:b/>
          <w:color w:val="000000"/>
          <w:sz w:val="19"/>
          <w:szCs w:val="19"/>
        </w:rPr>
      </w:r>
      <w:r>
        <w:rPr>
          <w:rFonts w:ascii="Arial" w:hAnsi="Arial" w:cs="Arial"/>
          <w:b/>
          <w:color w:val="000000"/>
          <w:sz w:val="19"/>
          <w:szCs w:val="19"/>
        </w:rPr>
      </w:r>
      <w:r>
        <w:rPr>
          <w:rFonts w:ascii="Arial" w:hAnsi="Arial" w:cs="Arial"/>
          <w:b/>
          <w:color w:val="000000"/>
          <w:sz w:val="19"/>
          <w:szCs w:val="19"/>
        </w:rPr>
      </w:r>
    </w:p>
    <w:p>
      <w:pPr>
        <w:pStyle w:val="887"/>
        <w:pBdr/>
        <w:spacing/>
        <w:ind/>
        <w:jc w:val="both"/>
        <w:rPr>
          <w:rFonts w:ascii="Arial" w:hAnsi="Arial" w:cs="Arial"/>
          <w:sz w:val="19"/>
          <w:szCs w:val="19"/>
        </w:rPr>
      </w:pPr>
      <w:r>
        <w:rPr>
          <w:rFonts w:ascii="Arial" w:hAnsi="Arial" w:eastAsia="Arial" w:cs="Arial"/>
          <w:b/>
          <w:color w:val="000000"/>
          <w:sz w:val="19"/>
          <w:szCs w:val="19"/>
        </w:rPr>
        <w:t xml:space="preserve">11.1.1.</w:t>
      </w:r>
      <w:r>
        <w:rPr>
          <w:rFonts w:ascii="Arial" w:hAnsi="Arial" w:eastAsia="Arial" w:cs="Arial"/>
          <w:color w:val="000000"/>
          <w:sz w:val="19"/>
          <w:szCs w:val="19"/>
        </w:rPr>
        <w:t xml:space="preserve"> Caso o licitante venha a ser classificado em razão da desclassificação do(s) primeiro(s) colocado(s), este também terá </w:t>
      </w:r>
      <w:r>
        <w:rPr>
          <w:rFonts w:ascii="Arial" w:hAnsi="Arial" w:eastAsia="Arial" w:cs="Arial"/>
          <w:color w:val="000000"/>
          <w:sz w:val="19"/>
          <w:szCs w:val="19"/>
          <w:u w:val="single"/>
        </w:rPr>
        <w:t xml:space="preserve">02 (duas) horas</w:t>
      </w:r>
      <w:r>
        <w:rPr>
          <w:rFonts w:ascii="Arial" w:hAnsi="Arial" w:eastAsia="Arial" w:cs="Arial"/>
          <w:color w:val="000000"/>
          <w:sz w:val="19"/>
          <w:szCs w:val="19"/>
        </w:rPr>
        <w:t xml:space="preserve">, a partir da comunicação de sua classificação para efetuar a recomposição de preços. </w:t>
      </w:r>
      <w:r>
        <w:rPr>
          <w:rFonts w:ascii="Arial" w:hAnsi="Arial" w:cs="Arial"/>
          <w:sz w:val="19"/>
          <w:szCs w:val="19"/>
        </w:rPr>
      </w:r>
      <w:r>
        <w:rPr>
          <w:rFonts w:ascii="Arial" w:hAnsi="Arial" w:cs="Arial"/>
          <w:sz w:val="19"/>
          <w:szCs w:val="19"/>
        </w:rPr>
      </w:r>
    </w:p>
    <w:p>
      <w:pPr>
        <w:pStyle w:val="887"/>
        <w:pBdr/>
        <w:spacing/>
        <w:ind w:left="284"/>
        <w:jc w:val="both"/>
        <w:rPr>
          <w:rFonts w:ascii="Arial" w:hAnsi="Arial" w:cs="Arial"/>
          <w:b/>
          <w:color w:val="000000"/>
          <w:sz w:val="19"/>
          <w:szCs w:val="19"/>
        </w:rPr>
      </w:pPr>
      <w:r>
        <w:rPr>
          <w:rFonts w:ascii="Arial" w:hAnsi="Arial" w:eastAsia="Arial" w:cs="Arial"/>
          <w:b/>
          <w:color w:val="000000"/>
          <w:sz w:val="19"/>
          <w:szCs w:val="19"/>
        </w:rPr>
      </w:r>
      <w:r>
        <w:rPr>
          <w:rFonts w:ascii="Arial" w:hAnsi="Arial" w:cs="Arial"/>
          <w:b/>
          <w:color w:val="000000"/>
          <w:sz w:val="19"/>
          <w:szCs w:val="19"/>
        </w:rPr>
      </w:r>
      <w:r>
        <w:rPr>
          <w:rFonts w:ascii="Arial" w:hAnsi="Arial" w:cs="Arial"/>
          <w:b/>
          <w:color w:val="000000"/>
          <w:sz w:val="19"/>
          <w:szCs w:val="19"/>
        </w:rPr>
      </w:r>
    </w:p>
    <w:p>
      <w:pPr>
        <w:pStyle w:val="887"/>
        <w:pBdr/>
        <w:spacing/>
        <w:ind/>
        <w:jc w:val="both"/>
        <w:rPr>
          <w:rFonts w:ascii="Arial" w:hAnsi="Arial" w:cs="Arial"/>
        </w:rPr>
      </w:pPr>
      <w:r>
        <w:rPr>
          <w:rFonts w:ascii="Arial" w:hAnsi="Arial" w:eastAsia="Arial" w:cs="Arial"/>
          <w:b/>
          <w:color w:val="000000"/>
        </w:rPr>
        <w:t xml:space="preserve">11.2.</w:t>
      </w:r>
      <w:r>
        <w:rPr>
          <w:rFonts w:ascii="Arial" w:hAnsi="Arial" w:eastAsia="Arial" w:cs="Arial"/>
          <w:color w:val="000000"/>
        </w:rPr>
        <w:t xml:space="preserve"> A proposta de preços realinhada deverá ser redigida com clareza em língua portuguesa, salvo quanto a expressões técnicas de uso corrente, sem alternativas, emendas, rasuras ou entrelinhas.</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14:paraId="4742CC6D">
      <w:pPr>
        <w:pBdr>
          <w:top w:val="none" w:color="000000" w:sz="4" w:space="0"/>
          <w:left w:val="none" w:color="000000" w:sz="4" w:space="0"/>
          <w:bottom w:val="none" w:color="000000" w:sz="4" w:space="0"/>
          <w:right w:val="none" w:color="000000" w:sz="4" w:space="0"/>
        </w:pBdr>
        <w:spacing/>
        <w:ind/>
        <w:jc w:val="both"/>
        <w:rPr>
          <w:rFonts w:ascii="Arial" w:hAnsi="Arial" w:eastAsia="Arial" w:cs="Arial"/>
          <w:color w:val="000000"/>
          <w14:ligatures w14:val="none"/>
        </w:rPr>
      </w:pPr>
      <w:r>
        <w:rPr>
          <w:rFonts w:ascii="Arial" w:hAnsi="Arial" w:eastAsia="Arial" w:cs="Arial"/>
          <w:b/>
          <w:bCs/>
          <w:color w:val="000000"/>
        </w:rPr>
        <w:t xml:space="preserve">11.3.</w:t>
      </w:r>
      <w:r>
        <w:rPr>
          <w:rFonts w:ascii="Arial" w:hAnsi="Arial" w:eastAsia="Arial" w:cs="Arial"/>
          <w:color w:val="000000"/>
          <w:lang w:val="pt-BR"/>
        </w:rPr>
        <w:t xml:space="preserve"> </w:t>
      </w:r>
      <w:r>
        <w:rPr>
          <w:rFonts w:ascii="Arial" w:hAnsi="Arial" w:eastAsia="Arial" w:cs="Arial"/>
          <w:color w:val="000000"/>
        </w:rPr>
        <w:t xml:space="preserve">Os valores unitários poderão ser apresentados com até 04 (quatro) casas decimais, enquanto os valores totais de cada item e o valor global do LOTE ÚNICO deverão ser apresentados com até 02 (duas) casas decimais.</w:t>
      </w:r>
      <w:r>
        <w:rPr>
          <w:rFonts w:ascii="Arial" w:hAnsi="Arial" w:eastAsia="Arial" w:cs="Arial"/>
          <w:color w:val="000000"/>
        </w:rPr>
      </w:r>
      <w:r>
        <w:rPr>
          <w:rFonts w:ascii="Arial" w:hAnsi="Arial" w:eastAsia="Arial" w:cs="Arial"/>
          <w:color w:val="000000"/>
          <w14:ligatures w14:val="none"/>
        </w:rPr>
      </w:r>
    </w:p>
    <w:p w14:paraId="1ACC4698">
      <w:pPr>
        <w:pBdr>
          <w:top w:val="none" w:color="000000" w:sz="4" w:space="0"/>
          <w:left w:val="none" w:color="000000" w:sz="4" w:space="0"/>
          <w:bottom w:val="none" w:color="000000" w:sz="4" w:space="0"/>
          <w:right w:val="none" w:color="000000" w:sz="4" w:space="0"/>
        </w:pBdr>
        <w:spacing/>
        <w:ind/>
        <w:jc w:val="both"/>
        <w:rPr>
          <w:rFonts w:ascii="Arial" w:hAnsi="Arial" w:eastAsia="Arial" w:cs="Arial"/>
          <w:color w:val="000000"/>
          <w14:ligatures w14:val="none"/>
        </w:rPr>
      </w:pPr>
      <w:r>
        <w:rPr>
          <w:rFonts w:ascii="Arial" w:hAnsi="Arial" w:eastAsia="Arial" w:cs="Arial"/>
          <w:color w:val="000000"/>
          <w:highlight w:val="none"/>
        </w:rPr>
      </w:r>
      <w:r>
        <w:rPr>
          <w:rFonts w:ascii="Arial" w:hAnsi="Arial" w:eastAsia="Arial" w:cs="Arial"/>
          <w:color w:val="000000"/>
          <w:highlight w:val="none"/>
        </w:rPr>
      </w:r>
      <w:r>
        <w:rPr>
          <w:rFonts w:ascii="Arial" w:hAnsi="Arial" w:eastAsia="Arial" w:cs="Arial"/>
          <w:color w:val="000000"/>
          <w14:ligatures w14:val="none"/>
        </w:rPr>
      </w:r>
    </w:p>
    <w:p w14:paraId="564814DC">
      <w:pPr>
        <w:pBdr>
          <w:top w:val="none" w:color="000000" w:sz="4" w:space="0"/>
          <w:left w:val="none" w:color="000000" w:sz="4" w:space="0"/>
          <w:bottom w:val="none" w:color="000000" w:sz="4" w:space="0"/>
          <w:right w:val="none" w:color="000000" w:sz="4" w:space="0"/>
        </w:pBdr>
        <w:spacing/>
        <w:ind/>
        <w:jc w:val="both"/>
        <w:rPr>
          <w:rFonts w:ascii="Arial" w:hAnsi="Arial" w:eastAsia="Arial" w:cs="Arial"/>
          <w:color w:val="000000"/>
          <w:highlight w:val="none"/>
          <w14:ligatures w14:val="none"/>
        </w:rPr>
      </w:pPr>
      <w:r>
        <w:rPr>
          <w:rFonts w:ascii="Arial" w:hAnsi="Arial" w:eastAsia="Arial" w:cs="Arial"/>
          <w:b/>
          <w:bCs/>
          <w:color w:val="000000"/>
        </w:rPr>
        <w:t xml:space="preserve">11.3.1.</w:t>
      </w:r>
      <w:r>
        <w:rPr>
          <w:rFonts w:ascii="Arial" w:hAnsi="Arial" w:eastAsia="Arial" w:cs="Arial"/>
          <w:b/>
          <w:bCs/>
          <w:color w:val="000000"/>
        </w:rPr>
        <w:t xml:space="preserve"> </w:t>
      </w:r>
      <w:r>
        <w:rPr>
          <w:rFonts w:ascii="Arial" w:hAnsi="Arial" w:eastAsia="Arial" w:cs="Arial"/>
          <w:color w:val="000000"/>
        </w:rPr>
        <w:t xml:space="preserve">Eventual arredondamento deverá preservar o valor global final ofertado pelo licitante e observar as regras operacionais da plataforma eletrônica.</w:t>
      </w:r>
      <w:r>
        <w:rPr>
          <w:rFonts w:ascii="Arial" w:hAnsi="Arial" w:eastAsia="Arial" w:cs="Arial"/>
          <w:color w:val="000000"/>
        </w:rPr>
      </w:r>
      <w:r>
        <w:rPr>
          <w:rFonts w:ascii="Arial" w:hAnsi="Arial" w:eastAsia="Arial" w:cs="Arial"/>
          <w:color w:val="000000"/>
          <w:highlight w:val="none"/>
          <w14:ligatures w14:val="none"/>
        </w:rPr>
      </w:r>
    </w:p>
    <w:p w14:paraId="08A75C33">
      <w:pPr>
        <w:pStyle w:val="887"/>
        <w:pBdr/>
        <w:spacing/>
        <w:ind/>
        <w:jc w:val="both"/>
        <w:rPr>
          <w:rFonts w:ascii="Arial" w:hAnsi="Arial" w:cs="Arial"/>
        </w:rPr>
      </w:pPr>
      <w:r>
        <w:rPr>
          <w:rFonts w:ascii="Arial" w:hAnsi="Arial" w:eastAsia="Arial" w:cs="Arial"/>
          <w:b/>
          <w:color w:val="000000"/>
        </w:rPr>
      </w:r>
      <w:r>
        <w:rPr>
          <w:rFonts w:ascii="Arial" w:hAnsi="Arial" w:cs="Arial"/>
        </w:rPr>
      </w:r>
      <w:r>
        <w:rPr>
          <w:rFonts w:ascii="Arial" w:hAnsi="Arial" w:cs="Arial"/>
        </w:rPr>
      </w:r>
    </w:p>
    <w:p>
      <w:pPr>
        <w:pStyle w:val="887"/>
        <w:numPr>
          <w:ilvl w:val="0"/>
          <w:numId w:val="0"/>
        </w:numPr>
        <w:pBdr/>
        <w:spacing/>
        <w:ind/>
        <w:jc w:val="both"/>
        <w:outlineLvl w:val="0"/>
        <w:rPr>
          <w:rFonts w:ascii="Arial" w:hAnsi="Arial" w:cs="Arial"/>
          <w:b/>
          <w:bCs/>
          <w:color w:val="000000"/>
        </w:rPr>
      </w:pPr>
      <w:r/>
      <w:bookmarkStart w:id="74" w:name="_Toc11"/>
      <w:r>
        <w:rPr>
          <w:rFonts w:ascii="Arial" w:hAnsi="Arial" w:eastAsia="Arial" w:cs="Arial"/>
          <w:b/>
          <w:bCs/>
          <w:color w:val="000000"/>
        </w:rPr>
        <w:t xml:space="preserve">12. DA PARTICIPAÇÃO DE MICROEMPRESA E EMPRESA DE PEQUENO PORTE:</w:t>
      </w:r>
      <w:bookmarkEnd w:id="74"/>
      <w:r>
        <w:rPr>
          <w:rFonts w:ascii="Arial" w:hAnsi="Arial" w:cs="Arial"/>
          <w:b/>
          <w:bCs/>
          <w:color w:val="000000"/>
        </w:rPr>
      </w:r>
      <w:r>
        <w:rPr>
          <w:rFonts w:ascii="Arial" w:hAnsi="Arial" w:cs="Arial"/>
          <w:b/>
          <w:bCs/>
          <w:color w:val="000000"/>
        </w:rPr>
      </w:r>
    </w:p>
    <w:p>
      <w:pPr>
        <w:pStyle w:val="2075"/>
        <w:pBdr/>
        <w:spacing/>
        <w:ind w:left="284"/>
        <w:jc w:val="both"/>
        <w:rPr>
          <w:rFonts w:ascii="Arial" w:hAnsi="Arial" w:cs="Arial"/>
          <w:b/>
          <w:sz w:val="20"/>
          <w:szCs w:val="20"/>
        </w:rPr>
      </w:pPr>
      <w:r>
        <w:rPr>
          <w:rFonts w:ascii="Arial" w:hAnsi="Arial" w:eastAsia="Arial" w:cs="Arial"/>
          <w:b/>
          <w:sz w:val="20"/>
          <w:szCs w:val="20"/>
        </w:rPr>
      </w:r>
      <w:r>
        <w:rPr>
          <w:rFonts w:ascii="Arial" w:hAnsi="Arial" w:cs="Arial"/>
          <w:b/>
          <w:sz w:val="20"/>
          <w:szCs w:val="20"/>
        </w:rPr>
      </w:r>
      <w:r>
        <w:rPr>
          <w:rFonts w:ascii="Arial" w:hAnsi="Arial" w:cs="Arial"/>
          <w:b/>
          <w:sz w:val="20"/>
          <w:szCs w:val="20"/>
        </w:rPr>
      </w:r>
    </w:p>
    <w:p>
      <w:pPr>
        <w:pStyle w:val="2075"/>
        <w:pBdr/>
        <w:spacing/>
        <w:ind/>
        <w:jc w:val="both"/>
        <w:rPr>
          <w:rFonts w:ascii="Arial" w:hAnsi="Arial" w:cs="Arial"/>
          <w:sz w:val="20"/>
          <w:szCs w:val="20"/>
        </w:rPr>
      </w:pPr>
      <w:r>
        <w:rPr>
          <w:rFonts w:ascii="Arial" w:hAnsi="Arial" w:eastAsia="Arial" w:cs="Arial"/>
          <w:b/>
          <w:sz w:val="20"/>
          <w:szCs w:val="20"/>
        </w:rPr>
        <w:t xml:space="preserve">12.1.</w:t>
      </w:r>
      <w:r>
        <w:rPr>
          <w:rFonts w:ascii="Arial" w:hAnsi="Arial" w:eastAsia="Arial" w:cs="Arial"/>
          <w:sz w:val="20"/>
          <w:szCs w:val="20"/>
        </w:rPr>
        <w:t xml:space="preserve"> A participação de Microempresas e Empresas de Pequeno Porte se dará conforme preceituado na Lei Complementar nº 123/2006, e demais alterações, Decreto Municipal nº 11.685/2023.</w:t>
      </w:r>
      <w:r>
        <w:rPr>
          <w:rFonts w:ascii="Arial" w:hAnsi="Arial" w:cs="Arial"/>
          <w:sz w:val="20"/>
          <w:szCs w:val="20"/>
        </w:rPr>
      </w:r>
      <w:r>
        <w:rPr>
          <w:rFonts w:ascii="Arial" w:hAnsi="Arial" w:cs="Arial"/>
          <w:sz w:val="20"/>
          <w:szCs w:val="20"/>
        </w:rPr>
      </w:r>
    </w:p>
    <w:p>
      <w:pPr>
        <w:pStyle w:val="2075"/>
        <w:pBdr/>
        <w:spacing/>
        <w:ind w:left="284"/>
        <w:jc w:val="both"/>
        <w:rPr>
          <w:rFonts w:ascii="Arial" w:hAnsi="Arial" w:cs="Arial"/>
          <w:b/>
          <w:sz w:val="20"/>
          <w:szCs w:val="20"/>
        </w:rPr>
      </w:pPr>
      <w:r>
        <w:rPr>
          <w:rFonts w:ascii="Arial" w:hAnsi="Arial" w:eastAsia="Arial" w:cs="Arial"/>
          <w:b/>
          <w:sz w:val="20"/>
          <w:szCs w:val="20"/>
        </w:rPr>
      </w:r>
      <w:r>
        <w:rPr>
          <w:rFonts w:ascii="Arial" w:hAnsi="Arial" w:cs="Arial"/>
          <w:b/>
          <w:sz w:val="20"/>
          <w:szCs w:val="20"/>
        </w:rPr>
      </w:r>
      <w:r>
        <w:rPr>
          <w:rFonts w:ascii="Arial" w:hAnsi="Arial" w:cs="Arial"/>
          <w:b/>
          <w:sz w:val="20"/>
          <w:szCs w:val="20"/>
        </w:rPr>
      </w:r>
    </w:p>
    <w:p>
      <w:pPr>
        <w:pStyle w:val="887"/>
        <w:pBdr/>
        <w:spacing/>
        <w:ind/>
        <w:jc w:val="both"/>
        <w:rPr>
          <w:rFonts w:ascii="Arial" w:hAnsi="Arial" w:cs="Arial"/>
          <w:color w:val="000000"/>
        </w:rPr>
      </w:pPr>
      <w:r>
        <w:rPr>
          <w:rFonts w:ascii="Arial" w:hAnsi="Arial" w:eastAsia="Arial" w:cs="Arial"/>
          <w:b/>
        </w:rPr>
        <w:t xml:space="preserve">12.2.</w:t>
      </w:r>
      <w:r>
        <w:rPr>
          <w:rFonts w:ascii="Arial" w:hAnsi="Arial" w:eastAsia="Arial" w:cs="Arial"/>
        </w:rPr>
        <w:t xml:space="preserve"> As</w:t>
      </w:r>
      <w:r>
        <w:rPr>
          <w:rFonts w:ascii="Arial" w:hAnsi="Arial" w:eastAsia="Arial" w:cs="Arial"/>
        </w:rPr>
        <w:t xml:space="preserve"> Microempresas e Empresas de Pequeno que desejarem obter os benefícios da Lei Complementar Federal nº 123/2006, deverão solicitar o tratamento diferenciado declarando no Ato do Credenciamento e no momento de Habilitação comprovar a situação de beneficiária</w:t>
      </w:r>
      <w:bookmarkStart w:id="16" w:name="_Ref497141703"/>
      <w:r>
        <w:rPr>
          <w:rFonts w:ascii="Arial" w:hAnsi="Arial" w:eastAsia="Arial" w:cs="Arial"/>
          <w:color w:val="000000"/>
        </w:rPr>
        <w:t xml:space="preserve"> por meio da </w:t>
      </w:r>
      <w:r>
        <w:rPr>
          <w:rFonts w:ascii="Arial" w:hAnsi="Arial" w:eastAsia="Arial" w:cs="Arial"/>
          <w:b/>
          <w:color w:val="000000"/>
        </w:rPr>
        <w:t xml:space="preserve">Certidão Simplificada emitida pela Junta Comercial ou outro documento equivalente</w:t>
      </w:r>
      <w:r>
        <w:rPr>
          <w:rFonts w:ascii="Arial" w:hAnsi="Arial" w:eastAsia="Arial" w:cs="Arial"/>
          <w:color w:val="000000"/>
        </w:rPr>
        <w:t xml:space="preserve">.</w:t>
      </w:r>
      <w:bookmarkEnd w:id="16"/>
      <w:r>
        <w:rPr>
          <w:rFonts w:ascii="Arial" w:hAnsi="Arial" w:eastAsia="Arial" w:cs="Arial"/>
          <w:color w:val="000000"/>
        </w:rPr>
        <w:t xml:space="preserve"> </w:t>
      </w:r>
      <w:r>
        <w:rPr>
          <w:rFonts w:ascii="Arial" w:hAnsi="Arial" w:cs="Arial"/>
          <w:color w:val="000000"/>
        </w:rPr>
      </w:r>
      <w:r>
        <w:rPr>
          <w:rFonts w:ascii="Arial" w:hAnsi="Arial" w:cs="Arial"/>
          <w:color w:val="000000"/>
        </w:rPr>
      </w:r>
    </w:p>
    <w:p>
      <w:pPr>
        <w:pStyle w:val="887"/>
        <w:pBdr/>
        <w:spacing/>
        <w:ind w:right="99"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12.3.</w:t>
      </w:r>
      <w:r>
        <w:rPr>
          <w:rFonts w:ascii="Arial" w:hAnsi="Arial" w:eastAsia="Arial" w:cs="Arial"/>
        </w:rPr>
        <w:t xml:space="preserve"> A não apresentação dos documentos mencionados no item acima configurará renúncia aos benefícios da citada legislação.</w:t>
      </w:r>
      <w:r>
        <w:rPr>
          <w:rFonts w:ascii="Arial" w:hAnsi="Arial" w:cs="Arial"/>
        </w:rPr>
      </w:r>
      <w:r>
        <w:rPr>
          <w:rFonts w:ascii="Arial" w:hAnsi="Arial" w:cs="Arial"/>
        </w:rPr>
      </w:r>
    </w:p>
    <w:p>
      <w:pPr>
        <w:pStyle w:val="887"/>
        <w:pBdr/>
        <w:spacing/>
        <w:ind w:right="99"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right="99"/>
        <w:jc w:val="both"/>
        <w:rPr>
          <w:rFonts w:ascii="Arial" w:hAnsi="Arial" w:cs="Arial"/>
        </w:rPr>
      </w:pPr>
      <w:r>
        <w:rPr>
          <w:rFonts w:ascii="Arial" w:hAnsi="Arial" w:eastAsia="Arial" w:cs="Arial"/>
          <w:b/>
        </w:rPr>
        <w:t xml:space="preserve">12.4. </w:t>
      </w:r>
      <w:r>
        <w:rPr>
          <w:rFonts w:ascii="Arial" w:hAnsi="Arial" w:eastAsia="Arial" w:cs="Arial"/>
        </w:rPr>
        <w:t xml:space="preserve">Após a fase de </w:t>
      </w:r>
      <w:r>
        <w:rPr>
          <w:rFonts w:ascii="Arial" w:hAnsi="Arial" w:eastAsia="Arial" w:cs="Arial"/>
        </w:rPr>
        <w:t xml:space="preserve">lances, caso seja configurado “empate ficto” quando houver proposta de microempresa ou empresa de pequeno porte que seja igual ou até 5% (cinco por cento) superior à menor proposta oferecida por uma empresa não beneficiária da Lei Complementar nº 123/2006.</w:t>
      </w:r>
      <w:r>
        <w:rPr>
          <w:rFonts w:ascii="Arial" w:hAnsi="Arial" w:cs="Arial"/>
        </w:rPr>
      </w:r>
      <w:r>
        <w:rPr>
          <w:rFonts w:ascii="Arial" w:hAnsi="Arial" w:cs="Arial"/>
        </w:rPr>
      </w:r>
    </w:p>
    <w:p>
      <w:pPr>
        <w:pStyle w:val="887"/>
        <w:pBdr/>
        <w:spacing/>
        <w:ind w:right="99"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right="99"/>
        <w:jc w:val="both"/>
        <w:rPr>
          <w:rFonts w:ascii="Arial" w:hAnsi="Arial" w:cs="Arial"/>
        </w:rPr>
      </w:pPr>
      <w:r>
        <w:rPr>
          <w:rFonts w:ascii="Arial" w:hAnsi="Arial" w:eastAsia="Arial" w:cs="Arial"/>
          <w:b/>
        </w:rPr>
        <w:t xml:space="preserve">12.4.1.</w:t>
      </w:r>
      <w:r>
        <w:rPr>
          <w:rFonts w:ascii="Arial" w:hAnsi="Arial" w:eastAsia="Arial" w:cs="Arial"/>
        </w:rPr>
        <w:t xml:space="preserve"> Quando não for o caso de microempresas e empresas de pequeno porte, os critérios utilizados serão os previstos no </w:t>
      </w:r>
      <w:r>
        <w:rPr>
          <w:rFonts w:ascii="Arial" w:hAnsi="Arial" w:eastAsia="Arial" w:cs="Arial"/>
          <w:lang w:eastAsia="en-US"/>
        </w:rPr>
        <w:t xml:space="preserve">art. 60 da Lei 14.133/21.</w:t>
      </w:r>
      <w:r>
        <w:rPr>
          <w:rFonts w:ascii="Arial" w:hAnsi="Arial" w:cs="Arial"/>
        </w:rPr>
      </w:r>
      <w:r>
        <w:rPr>
          <w:rFonts w:ascii="Arial" w:hAnsi="Arial" w:cs="Arial"/>
        </w:rPr>
      </w:r>
    </w:p>
    <w:p>
      <w:pPr>
        <w:pStyle w:val="887"/>
        <w:pBdr/>
        <w:spacing/>
        <w:ind w:right="99"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right="99"/>
        <w:jc w:val="both"/>
        <w:rPr>
          <w:rFonts w:ascii="Arial" w:hAnsi="Arial" w:cs="Arial"/>
          <w:b/>
        </w:rPr>
      </w:pPr>
      <w:r>
        <w:rPr>
          <w:rFonts w:ascii="Arial" w:hAnsi="Arial" w:eastAsia="Arial" w:cs="Arial"/>
          <w:b/>
        </w:rPr>
        <w:t xml:space="preserve">12.5. </w:t>
      </w:r>
      <w:r>
        <w:rPr>
          <w:rFonts w:ascii="Arial" w:hAnsi="Arial" w:eastAsia="Arial" w:cs="Arial"/>
        </w:rPr>
        <w:t xml:space="preserve">A M</w:t>
      </w:r>
      <w:r>
        <w:rPr>
          <w:rFonts w:ascii="Arial" w:hAnsi="Arial" w:eastAsia="Arial" w:cs="Arial"/>
        </w:rPr>
        <w:t xml:space="preserve">icroempresas e a Empresas de Pequeno melhor classificada poderá, no prazo de 5 (cinco) minutos, apresentar proposta de preço inferior ao preço do licitante mais bem classificado e, se atendidas as exigências deste edital, passará a ser a vencedora do item.</w:t>
      </w:r>
      <w:r>
        <w:rPr>
          <w:rFonts w:ascii="Arial" w:hAnsi="Arial" w:cs="Arial"/>
          <w:b/>
        </w:rPr>
      </w:r>
      <w:r>
        <w:rPr>
          <w:rFonts w:ascii="Arial" w:hAnsi="Arial" w:cs="Arial"/>
          <w:b/>
        </w:rPr>
      </w:r>
    </w:p>
    <w:p>
      <w:pPr>
        <w:pStyle w:val="887"/>
        <w:pBdr/>
        <w:spacing/>
        <w:ind w:right="99"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right="99"/>
        <w:jc w:val="both"/>
        <w:rPr>
          <w:rFonts w:ascii="Arial" w:hAnsi="Arial" w:cs="Arial"/>
        </w:rPr>
      </w:pPr>
      <w:r>
        <w:rPr>
          <w:rFonts w:ascii="Arial" w:hAnsi="Arial" w:eastAsia="Arial" w:cs="Arial"/>
          <w:b/>
        </w:rPr>
        <w:t xml:space="preserve">12.6. </w:t>
      </w:r>
      <w:r>
        <w:rPr>
          <w:rFonts w:ascii="Arial" w:hAnsi="Arial" w:eastAsia="Arial" w:cs="Arial"/>
        </w:rPr>
        <w:t xml:space="preserve">O convocado que não apresentar proposta dentro do prazo de 5 (cinco) minutos, controlados pelo sistema, decairá do direito contido nos arts. 44 e 45 da Lei Complementar nº 123/2006.</w:t>
      </w:r>
      <w:r>
        <w:rPr>
          <w:rFonts w:ascii="Arial" w:hAnsi="Arial" w:cs="Arial"/>
        </w:rPr>
      </w:r>
      <w:r>
        <w:rPr>
          <w:rFonts w:ascii="Arial" w:hAnsi="Arial" w:cs="Arial"/>
        </w:rPr>
      </w:r>
    </w:p>
    <w:p>
      <w:pPr>
        <w:pStyle w:val="887"/>
        <w:pBdr/>
        <w:spacing/>
        <w:ind w:right="99"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ight="99"/>
        <w:jc w:val="both"/>
        <w:rPr>
          <w:rFonts w:ascii="Arial" w:hAnsi="Arial" w:cs="Arial"/>
        </w:rPr>
      </w:pPr>
      <w:r>
        <w:rPr>
          <w:rFonts w:ascii="Arial" w:hAnsi="Arial" w:eastAsia="Arial" w:cs="Arial"/>
          <w:b/>
        </w:rPr>
        <w:t xml:space="preserve">12.7.</w:t>
      </w:r>
      <w:r>
        <w:rPr>
          <w:rFonts w:ascii="Arial" w:hAnsi="Arial" w:eastAsia="Arial" w:cs="Arial"/>
        </w:rPr>
        <w:t xml:space="preserve"> Havendo outras licitantes que se enquadram na condição prevista no </w:t>
      </w:r>
      <w:r>
        <w:rPr>
          <w:rFonts w:ascii="Arial" w:hAnsi="Arial" w:eastAsia="Arial" w:cs="Arial"/>
          <w:u w:val="single"/>
        </w:rPr>
        <w:t xml:space="preserve">subitem 12.4</w:t>
      </w:r>
      <w:r>
        <w:rPr>
          <w:rFonts w:ascii="Arial" w:hAnsi="Arial" w:eastAsia="Arial" w:cs="Arial"/>
        </w:rPr>
        <w:t xml:space="preserve">, estas serão convocadas na ordem classificatória, para o exercício do mesmo direito, desde que que a microempresa ou a empresa de pequeno porte mais bem classificada quando convocada não tenha apresentado proposta.</w:t>
      </w:r>
      <w:r>
        <w:rPr>
          <w:rFonts w:ascii="Arial" w:hAnsi="Arial" w:cs="Arial"/>
        </w:rPr>
      </w:r>
      <w:r>
        <w:rPr>
          <w:rFonts w:ascii="Arial" w:hAnsi="Arial" w:cs="Arial"/>
        </w:rPr>
      </w:r>
    </w:p>
    <w:p>
      <w:pPr>
        <w:pStyle w:val="887"/>
        <w:pBdr/>
        <w:spacing/>
        <w:ind w:right="99"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ight="99"/>
        <w:jc w:val="both"/>
        <w:rPr>
          <w:rFonts w:ascii="Arial" w:hAnsi="Arial" w:cs="Arial"/>
        </w:rPr>
      </w:pPr>
      <w:r>
        <w:rPr>
          <w:rFonts w:ascii="Arial" w:hAnsi="Arial" w:eastAsia="Arial" w:cs="Arial"/>
          <w:b/>
        </w:rPr>
        <w:t xml:space="preserve">12.8.</w:t>
      </w:r>
      <w:r>
        <w:rPr>
          <w:rFonts w:ascii="Arial" w:hAnsi="Arial" w:eastAsia="Arial" w:cs="Arial"/>
        </w:rPr>
        <w:t xml:space="preserve"> Havendo alguma restrição na comprovação da regularidade fiscal e trabalhista, será assegurado o prazo de 5 (cinco) dias úteis, cujo termo inicial corresponderá ao momento em que o proponente for declarado o vencedor do certame, pr</w:t>
      </w:r>
      <w:r>
        <w:rPr>
          <w:rFonts w:ascii="Arial" w:hAnsi="Arial" w:eastAsia="Arial" w:cs="Arial"/>
        </w:rPr>
        <w:t xml:space="preserve">orrogável por igual período, a critério da administração pública, para a regularização da documentação, pagamento ou parcelamento do débito e emissão de eventuais certidões negativas ou positivas com efeito de certidão negativa. (art. 43, §1º LC 123/2006).</w:t>
      </w:r>
      <w:r>
        <w:rPr>
          <w:rFonts w:ascii="Arial" w:hAnsi="Arial" w:cs="Arial"/>
        </w:rPr>
      </w:r>
      <w:r>
        <w:rPr>
          <w:rFonts w:ascii="Arial" w:hAnsi="Arial" w:cs="Arial"/>
        </w:rPr>
      </w:r>
    </w:p>
    <w:p>
      <w:pPr>
        <w:pStyle w:val="887"/>
        <w:pBdr/>
        <w:spacing/>
        <w:ind w:right="99"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ight="99"/>
        <w:jc w:val="both"/>
        <w:rPr>
          <w:rFonts w:ascii="Arial" w:hAnsi="Arial" w:cs="Arial"/>
        </w:rPr>
      </w:pPr>
      <w:r>
        <w:rPr>
          <w:rFonts w:ascii="Arial" w:hAnsi="Arial" w:eastAsia="Arial" w:cs="Arial"/>
          <w:b/>
        </w:rPr>
        <w:t xml:space="preserve">12.9.</w:t>
      </w:r>
      <w:r>
        <w:rPr>
          <w:rFonts w:ascii="Arial" w:hAnsi="Arial" w:eastAsia="Arial" w:cs="Arial"/>
        </w:rPr>
        <w:t xml:space="preserve"> A prorrogação do prazo prevista no item acima, poderá ser concedida, a critério da administração pública, quando requerida pelo licitante, mediante apresentação de justificativa.</w:t>
      </w:r>
      <w:r>
        <w:rPr>
          <w:rFonts w:ascii="Arial" w:hAnsi="Arial" w:cs="Arial"/>
        </w:rPr>
      </w:r>
      <w:r>
        <w:rPr>
          <w:rFonts w:ascii="Arial" w:hAnsi="Arial" w:cs="Arial"/>
        </w:rPr>
      </w:r>
    </w:p>
    <w:p>
      <w:pPr>
        <w:pStyle w:val="887"/>
        <w:pBdr/>
        <w:spacing/>
        <w:ind w:right="99"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ight="99"/>
        <w:jc w:val="both"/>
        <w:rPr>
          <w:rFonts w:ascii="Arial" w:hAnsi="Arial" w:cs="Arial"/>
        </w:rPr>
      </w:pPr>
      <w:r>
        <w:rPr>
          <w:rFonts w:ascii="Arial" w:hAnsi="Arial" w:eastAsia="Arial" w:cs="Arial"/>
          <w:b/>
        </w:rPr>
        <w:t xml:space="preserve">12.10.</w:t>
      </w:r>
      <w:r>
        <w:rPr>
          <w:rFonts w:ascii="Arial" w:hAnsi="Arial" w:eastAsia="Arial" w:cs="Arial"/>
        </w:rPr>
        <w:t xml:space="preserve"> A não regularização da documentação no prazo previsto no </w:t>
      </w:r>
      <w:r>
        <w:rPr>
          <w:rFonts w:ascii="Arial" w:hAnsi="Arial" w:eastAsia="Arial" w:cs="Arial"/>
          <w:u w:val="single"/>
        </w:rPr>
        <w:t xml:space="preserve">item 12.8</w:t>
      </w:r>
      <w:r>
        <w:rPr>
          <w:rFonts w:ascii="Arial" w:hAnsi="Arial" w:eastAsia="Arial" w:cs="Arial"/>
        </w:rPr>
        <w:t xml:space="preserve">, implicará na dec</w:t>
      </w:r>
      <w:r>
        <w:rPr>
          <w:rFonts w:ascii="Arial" w:hAnsi="Arial" w:eastAsia="Arial" w:cs="Arial"/>
        </w:rPr>
        <w:t xml:space="preserve">adência do direito à contratação, sem prejuízo das sanções previstas na legislação vigente, sendo facultado à Administração convocar para nova sessão pública os licitantes remanescentes, na ordem de classificação, para contratação, ou revogar a licitação. </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12.11.</w:t>
      </w:r>
      <w:r>
        <w:rPr>
          <w:rFonts w:ascii="Arial" w:hAnsi="Arial" w:eastAsia="Arial" w:cs="Arial"/>
        </w:rPr>
        <w:t xml:space="preserve"> A obtenção dos benefícios a que se refere este tópico fica limitada às microempresas e às empresas </w:t>
      </w:r>
      <w:r>
        <w:rPr>
          <w:rFonts w:ascii="Arial" w:hAnsi="Arial" w:eastAsia="Arial" w:cs="Arial"/>
        </w:rPr>
        <w:t xml:space="preserve">de pequeno porte que, no ano-calendário de realização da licitação, ainda não tenham celebrado contratos com a Administração Pública, cujos valores somados extrapolem a receita bruta máxima admitida para fins de enquadramento como empresa de pequeno porte.</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14:paraId="28009E78">
      <w:pPr>
        <w:pBdr>
          <w:top w:val="none" w:color="000000" w:sz="4" w:space="0"/>
          <w:left w:val="none" w:color="000000" w:sz="4" w:space="0"/>
          <w:bottom w:val="none" w:color="000000" w:sz="4" w:space="0"/>
          <w:right w:val="none" w:color="000000" w:sz="4" w:space="0"/>
        </w:pBdr>
        <w:spacing/>
        <w:ind/>
        <w:jc w:val="both"/>
        <w:rPr>
          <w:rFonts w:ascii="Arial" w:hAnsi="Arial" w:eastAsia="Arial" w:cs="Arial"/>
          <w14:ligatures w14:val="none"/>
        </w:rPr>
      </w:pPr>
      <w:r>
        <w:rPr>
          <w:rFonts w:ascii="Arial" w:hAnsi="Arial" w:eastAsia="Arial" w:cs="Arial"/>
          <w:b/>
          <w:bCs/>
        </w:rPr>
        <w:t xml:space="preserve">12.12.</w:t>
      </w:r>
      <w:r>
        <w:rPr>
          <w:rFonts w:ascii="Arial" w:hAnsi="Arial" w:eastAsia="Arial" w:cs="Arial"/>
          <w:b/>
          <w:bCs/>
        </w:rPr>
        <w:t xml:space="preserve"> </w:t>
      </w:r>
      <w:r>
        <w:rPr>
          <w:rFonts w:ascii="Arial" w:hAnsi="Arial" w:eastAsia="Arial" w:cs="Arial"/>
        </w:rPr>
        <w:t xml:space="preserve">Não será adotada cota reservada para microempresas e empresas de pequeno porte, considerando que a contratação foi tecnicamente estruturada em LOTE ÚNICO, com necessidade de padronização e compatibilidade técnica entre os componentes do sistema de coleta </w:t>
      </w:r>
      <w:r>
        <w:rPr>
          <w:rFonts w:ascii="Arial" w:hAnsi="Arial" w:eastAsia="Arial" w:cs="Arial"/>
        </w:rPr>
        <w:t xml:space="preserve">de sangue a vácuo, inclusive mediante fornecimento dos tubos e agulhas pela mesma marca e fabricante.</w:t>
      </w:r>
      <w:r>
        <w:rPr>
          <w:rFonts w:ascii="Arial" w:hAnsi="Arial" w:eastAsia="Arial" w:cs="Arial"/>
        </w:rPr>
      </w:r>
      <w:r>
        <w:rPr>
          <w:rFonts w:ascii="Arial" w:hAnsi="Arial" w:eastAsia="Arial" w:cs="Arial"/>
          <w14:ligatures w14:val="none"/>
        </w:rPr>
      </w:r>
    </w:p>
    <w:p w14:paraId="05CFB213">
      <w:pPr>
        <w:pBdr>
          <w:top w:val="none" w:color="000000" w:sz="4" w:space="0"/>
          <w:left w:val="none" w:color="000000" w:sz="4" w:space="0"/>
          <w:bottom w:val="none" w:color="000000" w:sz="4" w:space="0"/>
          <w:right w:val="none" w:color="000000" w:sz="4" w:space="0"/>
        </w:pBdr>
        <w:spacing/>
        <w:ind/>
        <w:jc w:val="both"/>
        <w:rPr>
          <w:rFonts w:ascii="Arial" w:hAnsi="Arial" w:eastAsia="Arial" w:cs="Arial"/>
          <w14:ligatures w14:val="none"/>
        </w:rPr>
      </w:pPr>
      <w:r>
        <w:rPr>
          <w:rFonts w:ascii="Arial" w:hAnsi="Arial" w:eastAsia="Arial" w:cs="Arial"/>
          <w:highlight w:val="none"/>
        </w:rPr>
      </w:r>
      <w:r>
        <w:rPr>
          <w:rFonts w:ascii="Arial" w:hAnsi="Arial" w:eastAsia="Arial" w:cs="Arial"/>
          <w:highlight w:val="none"/>
        </w:rPr>
      </w:r>
      <w:r>
        <w:rPr>
          <w:rFonts w:ascii="Arial" w:hAnsi="Arial" w:eastAsia="Arial" w:cs="Arial"/>
          <w14:ligatures w14:val="none"/>
        </w:rPr>
      </w:r>
    </w:p>
    <w:p w14:paraId="172C1E06">
      <w:pPr>
        <w:pBdr>
          <w:top w:val="none" w:color="000000" w:sz="4" w:space="0"/>
          <w:left w:val="none" w:color="000000" w:sz="4" w:space="0"/>
          <w:bottom w:val="none" w:color="000000" w:sz="4" w:space="0"/>
          <w:right w:val="none" w:color="000000" w:sz="4" w:space="0"/>
        </w:pBdr>
        <w:spacing/>
        <w:ind/>
        <w:jc w:val="both"/>
        <w:rPr>
          <w:rFonts w:ascii="Arial" w:hAnsi="Arial" w:eastAsia="Arial" w:cs="Arial"/>
          <w:highlight w:val="none"/>
          <w14:ligatures w14:val="none"/>
        </w:rPr>
      </w:pPr>
      <w:r>
        <w:rPr>
          <w:rFonts w:ascii="Arial" w:hAnsi="Arial" w:eastAsia="Arial" w:cs="Arial"/>
          <w:b/>
          <w:bCs/>
        </w:rPr>
        <w:t xml:space="preserve">12.12.1.</w:t>
      </w:r>
      <w:r>
        <w:rPr>
          <w:rFonts w:ascii="Arial" w:hAnsi="Arial" w:eastAsia="Arial" w:cs="Arial"/>
        </w:rPr>
        <w:t xml:space="preserve"> O fracionamento do lote para fins de formação de cota reservada poderá comprometer a padronização técnica, a compatibilidade operacional e a responsabilidade pelo conjunto da solução, razão pela qual, no caso concreto, não se mostra adequado ao interesse </w:t>
      </w:r>
      <w:r>
        <w:rPr>
          <w:rFonts w:ascii="Arial" w:hAnsi="Arial" w:eastAsia="Arial" w:cs="Arial"/>
        </w:rPr>
        <w:t xml:space="preserve">da Administração.</w:t>
      </w:r>
      <w:r>
        <w:rPr>
          <w:rFonts w:ascii="Arial" w:hAnsi="Arial" w:eastAsia="Arial" w:cs="Arial"/>
        </w:rPr>
      </w:r>
      <w:r>
        <w:rPr>
          <w:rFonts w:ascii="Arial" w:hAnsi="Arial" w:eastAsia="Arial" w:cs="Arial"/>
          <w:highlight w:val="none"/>
          <w14:ligatures w14:val="none"/>
        </w:rPr>
      </w:r>
    </w:p>
    <w:p w14:paraId="463A1749">
      <w:pPr>
        <w:pBdr>
          <w:top w:val="none" w:color="000000" w:sz="4" w:space="0"/>
          <w:left w:val="none" w:color="000000" w:sz="4" w:space="0"/>
          <w:bottom w:val="none" w:color="000000" w:sz="4" w:space="0"/>
          <w:right w:val="none" w:color="000000" w:sz="4" w:space="0"/>
        </w:pBdr>
        <w:spacing/>
        <w:ind/>
        <w:jc w:val="both"/>
        <w:rPr>
          <w:rFonts w:ascii="Arial" w:hAnsi="Arial" w:eastAsia="Arial" w:cs="Arial"/>
          <w14:ligatures w14:val="none"/>
        </w:rPr>
      </w:pPr>
      <w:r>
        <w:rPr>
          <w:rFonts w:ascii="Arial" w:hAnsi="Arial" w:eastAsia="Arial" w:cs="Arial"/>
          <w:highlight w:val="none"/>
        </w:rPr>
      </w:r>
      <w:r>
        <w:rPr>
          <w:rFonts w:ascii="Arial" w:hAnsi="Arial" w:eastAsia="Arial" w:cs="Arial"/>
          <w:highlight w:val="none"/>
        </w:rPr>
      </w:r>
      <w:r>
        <w:rPr>
          <w:rFonts w:ascii="Arial" w:hAnsi="Arial" w:eastAsia="Arial" w:cs="Arial"/>
          <w14:ligatures w14:val="none"/>
        </w:rPr>
      </w:r>
    </w:p>
    <w:p w14:paraId="640769B6">
      <w:pPr>
        <w:pBdr>
          <w:top w:val="none" w:color="000000" w:sz="4" w:space="0"/>
          <w:left w:val="none" w:color="000000" w:sz="4" w:space="0"/>
          <w:bottom w:val="none" w:color="000000" w:sz="4" w:space="0"/>
          <w:right w:val="none" w:color="000000" w:sz="4" w:space="0"/>
        </w:pBdr>
        <w:spacing/>
        <w:ind/>
        <w:jc w:val="both"/>
        <w:rPr>
          <w:rFonts w:ascii="Arial" w:hAnsi="Arial" w:eastAsia="Arial" w:cs="Arial"/>
          <w:highlight w:val="none"/>
          <w14:ligatures w14:val="none"/>
        </w:rPr>
      </w:pPr>
      <w:r>
        <w:rPr>
          <w:rFonts w:ascii="Arial" w:hAnsi="Arial" w:eastAsia="Arial" w:cs="Arial"/>
          <w:b/>
          <w:bCs/>
        </w:rPr>
        <w:t xml:space="preserve">12.12.2.</w:t>
      </w:r>
      <w:r>
        <w:rPr>
          <w:rFonts w:ascii="Arial" w:hAnsi="Arial" w:eastAsia="Arial" w:cs="Arial"/>
        </w:rPr>
        <w:t xml:space="preserve"> Permanecem assegurados às microempresas e empresas de pequeno porte os demais benefícios previstos na legislação aplicável.</w:t>
      </w:r>
      <w:r>
        <w:rPr>
          <w:rFonts w:ascii="Arial" w:hAnsi="Arial" w:eastAsia="Arial" w:cs="Arial"/>
        </w:rPr>
      </w:r>
      <w:r>
        <w:rPr>
          <w:rFonts w:ascii="Arial" w:hAnsi="Arial" w:eastAsia="Arial" w:cs="Arial"/>
          <w:highlight w:val="none"/>
          <w14:ligatures w14:val="none"/>
        </w:rPr>
      </w:r>
    </w:p>
    <w:p>
      <w:pPr>
        <w:pStyle w:val="887"/>
        <w:numPr>
          <w:ilvl w:val="0"/>
          <w:numId w:val="2"/>
        </w:numPr>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numPr>
          <w:ilvl w:val="0"/>
          <w:numId w:val="0"/>
        </w:numPr>
        <w:pBdr/>
        <w:spacing/>
        <w:ind/>
        <w:jc w:val="both"/>
        <w:outlineLvl w:val="0"/>
        <w:rPr>
          <w:rFonts w:ascii="Arial" w:hAnsi="Arial" w:cs="Arial"/>
          <w:b/>
          <w:bCs/>
        </w:rPr>
      </w:pPr>
      <w:r/>
      <w:bookmarkStart w:id="75" w:name="_Toc12"/>
      <w:r>
        <w:rPr>
          <w:rFonts w:ascii="Arial" w:hAnsi="Arial" w:eastAsia="Arial" w:cs="Arial"/>
          <w:b/>
          <w:bCs/>
          <w:color w:val="000000"/>
        </w:rPr>
        <w:t xml:space="preserve">13. DOS DOCUMENTOS EXIGIDOS PARA HABILITAÇÃO:</w:t>
      </w:r>
      <w:r>
        <w:rPr>
          <w:rFonts w:ascii="Arial" w:hAnsi="Arial" w:eastAsia="Arial" w:cs="Arial"/>
          <w:b/>
          <w:bCs/>
        </w:rPr>
        <w:t xml:space="preserve">  </w:t>
      </w:r>
      <w:bookmarkEnd w:id="75"/>
      <w:r>
        <w:rPr>
          <w:rFonts w:ascii="Arial" w:hAnsi="Arial" w:cs="Arial"/>
          <w:b/>
          <w:bCs/>
        </w:rPr>
      </w:r>
      <w:r>
        <w:rPr>
          <w:rFonts w:ascii="Arial" w:hAnsi="Arial" w:cs="Arial"/>
          <w:b/>
          <w:bCs/>
        </w:rPr>
      </w:r>
    </w:p>
    <w:p>
      <w:pPr>
        <w:pStyle w:val="887"/>
        <w:numPr>
          <w:ilvl w:val="0"/>
          <w:numId w:val="2"/>
        </w:numPr>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color w:val="000000"/>
        </w:rPr>
      </w:pPr>
      <w:r>
        <w:rPr>
          <w:rFonts w:ascii="Arial" w:hAnsi="Arial" w:eastAsia="Arial" w:cs="Arial"/>
          <w:b/>
          <w:color w:val="000000"/>
        </w:rPr>
        <w:t xml:space="preserve">13.1. </w:t>
      </w:r>
      <w:r>
        <w:rPr>
          <w:rFonts w:ascii="Arial" w:hAnsi="Arial" w:eastAsia="Arial" w:cs="Arial"/>
          <w:color w:val="000000"/>
        </w:rPr>
        <w:t xml:space="preserve">Deverá anexar na BLL concomitantemente com a proposta realinhada de preço as seguintes Declarações em formato digital no campo (documentos exigidos para o processo):</w:t>
      </w:r>
      <w:r>
        <w:rPr>
          <w:rFonts w:ascii="Arial" w:hAnsi="Arial" w:cs="Arial"/>
          <w:color w:val="000000"/>
        </w:rPr>
      </w:r>
      <w:r>
        <w:rPr>
          <w:rFonts w:ascii="Arial" w:hAnsi="Arial" w:cs="Arial"/>
          <w:color w:val="000000"/>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13.1.1.</w:t>
      </w:r>
      <w:r>
        <w:rPr>
          <w:rFonts w:ascii="Arial" w:hAnsi="Arial" w:eastAsia="Arial" w:cs="Arial"/>
          <w:color w:val="000000"/>
        </w:rPr>
        <w:t xml:space="preserve"> Está ciente e concorda com as condições contidas no edital e seus anexos, bem como de que a proposta apresentada compreende a integralidade dos custos para atendimento dos direitos trabalhistas assegurados na Constituição Federal, nas </w:t>
      </w:r>
      <w:r>
        <w:rPr>
          <w:rFonts w:ascii="Arial" w:hAnsi="Arial" w:eastAsia="Arial" w:cs="Arial"/>
          <w:color w:val="000000"/>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rPr>
          <w:rFonts w:ascii="Arial" w:hAnsi="Arial" w:cs="Arial"/>
        </w:rPr>
      </w:r>
      <w:r>
        <w:rPr>
          <w:rFonts w:ascii="Arial" w:hAnsi="Arial" w:cs="Arial"/>
        </w:rPr>
      </w:r>
    </w:p>
    <w:p>
      <w:pPr>
        <w:pStyle w:val="887"/>
        <w:numPr>
          <w:ilvl w:val="0"/>
          <w:numId w:val="2"/>
        </w:numPr>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color w:val="000000"/>
        </w:rPr>
        <w:t xml:space="preserve">13.1.2.</w:t>
      </w:r>
      <w:r>
        <w:rPr>
          <w:rFonts w:ascii="Arial" w:hAnsi="Arial" w:eastAsia="Arial" w:cs="Arial"/>
          <w:color w:val="000000"/>
        </w:rPr>
        <w:t xml:space="preserve"> Não emprega menor de 18 anos em trabalho noturno, perigoso ou insalubre e não emprega menor de 16 anos, em qualquer trabalho, salvo menor, a partir de 14 anos, na condição de aprendiz, nos termos do </w:t>
      </w:r>
      <w:hyperlink r:id="rId21" w:tooltip="https://www.planalto.gov.br/ccivil_03/constituicao/constituicaocompilado.htm#art7" w:anchor="art7" w:history="1">
        <w:r>
          <w:rPr>
            <w:rStyle w:val="994"/>
            <w:rFonts w:ascii="Arial" w:hAnsi="Arial" w:eastAsia="Arial" w:cs="Arial"/>
            <w:color w:val="000000"/>
          </w:rPr>
          <w:t xml:space="preserve">artigo 7°, XXXIII da Constituição</w:t>
        </w:r>
      </w:hyperlink>
      <w:r>
        <w:rPr>
          <w:rFonts w:ascii="Arial" w:hAnsi="Arial" w:eastAsia="Arial" w:cs="Arial"/>
          <w:color w:val="000000"/>
        </w:rPr>
        <w:t xml:space="preserve"> Federal, </w:t>
      </w:r>
      <w:r>
        <w:rPr>
          <w:rFonts w:ascii="Arial" w:hAnsi="Arial" w:eastAsia="Arial" w:cs="Arial"/>
        </w:rPr>
        <w:t xml:space="preserve">bem como, no </w:t>
      </w:r>
      <w:r>
        <w:rPr>
          <w:rFonts w:ascii="Arial" w:hAnsi="Arial" w:eastAsia="Arial" w:cs="Arial"/>
          <w:color w:val="000000"/>
        </w:rPr>
        <w:t xml:space="preserve">artigo 68, inciso VI, da Lei nº 14.133/2021;</w:t>
      </w:r>
      <w:r>
        <w:rPr>
          <w:rFonts w:ascii="Arial" w:hAnsi="Arial" w:cs="Arial"/>
        </w:rPr>
      </w:r>
      <w:r>
        <w:rPr>
          <w:rFonts w:ascii="Arial" w:hAnsi="Arial" w:cs="Arial"/>
        </w:rPr>
      </w:r>
    </w:p>
    <w:p>
      <w:pPr>
        <w:pStyle w:val="887"/>
        <w:numPr>
          <w:ilvl w:val="0"/>
          <w:numId w:val="2"/>
        </w:numPr>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13.1.3.</w:t>
      </w:r>
      <w:r>
        <w:rPr>
          <w:rFonts w:ascii="Arial" w:hAnsi="Arial" w:eastAsia="Arial" w:cs="Arial"/>
          <w:color w:val="000000"/>
        </w:rPr>
        <w:t xml:space="preserve"> Não possui empregados executando trabalho degradante ou forçado, observando o disposto nos </w:t>
      </w:r>
      <w:hyperlink r:id="rId22" w:tooltip="https://www.planalto.gov.br/ccivil_03/constituicao/constituicaocompilado.htm" w:history="1">
        <w:r>
          <w:rPr>
            <w:rStyle w:val="994"/>
            <w:rFonts w:ascii="Arial" w:hAnsi="Arial" w:eastAsia="Arial" w:cs="Arial"/>
            <w:color w:val="000000"/>
          </w:rPr>
          <w:t xml:space="preserve">incisos III e IV do art. 1º e no inciso III do art. 5º da C.F.</w:t>
        </w:r>
      </w:hyperlink>
      <w:r>
        <w:rPr>
          <w:rStyle w:val="994"/>
          <w:rFonts w:ascii="Arial" w:hAnsi="Arial" w:eastAsia="Arial" w:cs="Arial"/>
          <w:color w:val="000000"/>
          <w:u w:val="none"/>
        </w:rPr>
        <w:t xml:space="preserve">, </w:t>
      </w:r>
      <w:r>
        <w:rPr>
          <w:rFonts w:ascii="Arial" w:hAnsi="Arial" w:eastAsia="Arial" w:cs="Arial"/>
        </w:rPr>
        <w:t xml:space="preserve">e art. 14, inciso VI da Lei nº 14.133/2021.</w:t>
      </w:r>
      <w:r>
        <w:rPr>
          <w:rFonts w:ascii="Arial" w:hAnsi="Arial" w:cs="Arial"/>
        </w:rPr>
      </w:r>
      <w:r>
        <w:rPr>
          <w:rFonts w:ascii="Arial" w:hAnsi="Arial" w:cs="Arial"/>
        </w:rPr>
      </w:r>
    </w:p>
    <w:p>
      <w:pPr>
        <w:pStyle w:val="887"/>
        <w:numPr>
          <w:ilvl w:val="0"/>
          <w:numId w:val="2"/>
        </w:numPr>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13.1.4.</w:t>
      </w:r>
      <w:r>
        <w:rPr>
          <w:rFonts w:ascii="Arial" w:hAnsi="Arial" w:eastAsia="Arial" w:cs="Arial"/>
          <w:color w:val="000000"/>
        </w:rPr>
        <w:t xml:space="preserve"> Cumpre as exigências de reserva de cargos para pessoa com deficiência (PcD) e para reabilitado da Previdência Social, previstas em lei e em outras normas específicas, art. 63, IV, da Lei nº 14.133/2021;</w:t>
      </w:r>
      <w:r>
        <w:rPr>
          <w:rFonts w:ascii="Arial" w:hAnsi="Arial" w:cs="Arial"/>
        </w:rPr>
      </w:r>
      <w:r>
        <w:rPr>
          <w:rFonts w:ascii="Arial" w:hAnsi="Arial" w:cs="Arial"/>
        </w:rPr>
      </w:r>
    </w:p>
    <w:p>
      <w:pPr>
        <w:pStyle w:val="887"/>
        <w:numPr>
          <w:ilvl w:val="0"/>
          <w:numId w:val="2"/>
        </w:numPr>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13.1.5.</w:t>
      </w:r>
      <w:r>
        <w:rPr>
          <w:rFonts w:ascii="Arial" w:hAnsi="Arial" w:eastAsia="Arial" w:cs="Arial"/>
          <w:color w:val="000000"/>
        </w:rPr>
        <w:t xml:space="preserve"> Que suas propostas econômicas compreendem a integralidade dos custos para atendimento dos direit</w:t>
      </w:r>
      <w:r>
        <w:rPr>
          <w:rFonts w:ascii="Arial" w:hAnsi="Arial" w:eastAsia="Arial" w:cs="Arial"/>
          <w:color w:val="000000"/>
        </w:rPr>
        <w:t xml:space="preserve">os trabalhistas assegurados na Constituição Federal, nas leis trabalhistas, nas normas infralegais, nas convenções coletivas de trabalho e nos termos de ajustamento de conduta vigentes na data de entrega das propostas, art. 63, § 1º, da Lei nº 14.133/2021;</w:t>
      </w:r>
      <w:r>
        <w:rPr>
          <w:rFonts w:ascii="Arial" w:hAnsi="Arial" w:cs="Arial"/>
        </w:rPr>
      </w:r>
      <w:r>
        <w:rPr>
          <w:rFonts w:ascii="Arial" w:hAnsi="Arial" w:cs="Arial"/>
        </w:rPr>
      </w:r>
    </w:p>
    <w:p>
      <w:pPr>
        <w:pStyle w:val="887"/>
        <w:numPr>
          <w:ilvl w:val="0"/>
          <w:numId w:val="2"/>
        </w:numPr>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13.1.6.</w:t>
      </w:r>
      <w:r>
        <w:rPr>
          <w:rFonts w:ascii="Arial" w:hAnsi="Arial" w:eastAsia="Arial" w:cs="Arial"/>
          <w:color w:val="000000"/>
        </w:rPr>
        <w:t xml:space="preserve"> N</w:t>
      </w:r>
      <w:r>
        <w:rPr>
          <w:rFonts w:ascii="Arial" w:hAnsi="Arial" w:eastAsia="Arial" w:cs="Arial"/>
        </w:rPr>
        <w:t xml:space="preserve">ão possui em seu quadro de pessoal e societário, servidor público do Pode</w:t>
      </w:r>
      <w:r>
        <w:rPr>
          <w:rFonts w:ascii="Arial" w:hAnsi="Arial" w:eastAsia="Arial" w:cs="Arial"/>
        </w:rPr>
        <w:t xml:space="preserve">r Executivo Estadual exercendo funções de gerência ou administração, conforme art. 1, inciso X da Lei Complementar Estadual nº 04/1990, ou servidor do Órgão/Entidade contratante em qualquer função, nos termos do art. 9º, §1º da Lei Federal nº 14.133/2021; </w:t>
      </w:r>
      <w:r>
        <w:rPr>
          <w:rFonts w:ascii="Arial" w:hAnsi="Arial" w:cs="Arial"/>
        </w:rPr>
      </w:r>
      <w:r>
        <w:rPr>
          <w:rFonts w:ascii="Arial" w:hAnsi="Arial" w:cs="Arial"/>
        </w:rPr>
      </w:r>
    </w:p>
    <w:p>
      <w:pPr>
        <w:pStyle w:val="887"/>
        <w:numPr>
          <w:ilvl w:val="0"/>
          <w:numId w:val="2"/>
        </w:numPr>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color w:val="000000"/>
        </w:rPr>
      </w:pPr>
      <w:r>
        <w:rPr>
          <w:rFonts w:ascii="Arial" w:hAnsi="Arial" w:eastAsia="Arial" w:cs="Arial"/>
          <w:b/>
          <w:color w:val="000000"/>
        </w:rPr>
        <w:t xml:space="preserve">13.1.7.</w:t>
      </w:r>
      <w:r>
        <w:rPr>
          <w:rFonts w:ascii="Arial" w:hAnsi="Arial" w:eastAsia="Arial" w:cs="Arial"/>
          <w:color w:val="000000"/>
        </w:rPr>
        <w:t xml:space="preserve"> </w:t>
      </w:r>
      <w:r>
        <w:rPr>
          <w:rFonts w:ascii="Arial" w:hAnsi="Arial" w:eastAsia="Arial" w:cs="Arial"/>
          <w:color w:val="000000"/>
          <w:u w:val="single"/>
        </w:rPr>
        <w:t xml:space="preserve">O licitante enquadrado como microempresa, empresa de pequeno porte ou sociedade cooperativa</w:t>
      </w:r>
      <w:r>
        <w:rPr>
          <w:rFonts w:ascii="Arial" w:hAnsi="Arial" w:eastAsia="Arial" w:cs="Arial"/>
          <w:color w:val="000000"/>
        </w:rPr>
        <w:t xml:space="preserve"> deverá declarar, que cumpre os requisitos estabelecidos no </w:t>
      </w:r>
      <w:hyperlink r:id="rId23" w:tooltip="https://www.planalto.gov.br/ccivil_03/leis/lcp/lcp123.htm#art3" w:anchor="art3" w:history="1">
        <w:r>
          <w:rPr>
            <w:rStyle w:val="994"/>
            <w:rFonts w:ascii="Arial" w:hAnsi="Arial" w:eastAsia="Arial" w:cs="Arial"/>
            <w:color w:val="000000"/>
          </w:rPr>
          <w:t xml:space="preserve">artigo 3° da Lei Complementar nº 123, de 2006</w:t>
        </w:r>
      </w:hyperlink>
      <w:r>
        <w:rPr>
          <w:rFonts w:ascii="Arial" w:hAnsi="Arial" w:eastAsia="Arial" w:cs="Arial"/>
          <w:color w:val="000000"/>
        </w:rPr>
        <w:t xml:space="preserve">, estando apto a usufruir do tratamento favorecido estabelecido em seus </w:t>
      </w:r>
      <w:hyperlink r:id="rId24" w:tooltip="https://www.planalto.gov.br/ccivil_03/leis/lcp/lcp123.htm#art42" w:anchor="art42" w:history="1">
        <w:r>
          <w:rPr>
            <w:rStyle w:val="994"/>
            <w:rFonts w:ascii="Arial" w:hAnsi="Arial" w:eastAsia="Arial" w:cs="Arial"/>
            <w:color w:val="000000"/>
          </w:rPr>
          <w:t xml:space="preserve">arts. 42 a 49</w:t>
        </w:r>
      </w:hyperlink>
      <w:r>
        <w:rPr>
          <w:rFonts w:ascii="Arial" w:hAnsi="Arial" w:eastAsia="Arial" w:cs="Arial"/>
          <w:color w:val="000000"/>
        </w:rPr>
        <w:t xml:space="preserve">, observado o disposto nos </w:t>
      </w:r>
      <w:hyperlink r:id="rId25" w:tooltip="http://www.planalto.gov.br/ccivil_03/_ato2019-2022/2021/lei/L14133.htm#art4§1" w:anchor="art4§1" w:history="1">
        <w:r>
          <w:rPr>
            <w:rStyle w:val="994"/>
            <w:rFonts w:ascii="Arial" w:hAnsi="Arial" w:eastAsia="Arial" w:cs="Arial"/>
            <w:color w:val="000000"/>
          </w:rPr>
          <w:t xml:space="preserve">§§ 1º ao 3º do art. 4º, da Lei n.º 14.133, de 2021;</w:t>
        </w:r>
      </w:hyperlink>
      <w:r>
        <w:rPr>
          <w:rFonts w:ascii="Arial" w:hAnsi="Arial" w:cs="Arial"/>
          <w:color w:val="000000"/>
        </w:rPr>
      </w:r>
      <w:r>
        <w:rPr>
          <w:rFonts w:ascii="Arial" w:hAnsi="Arial" w:cs="Arial"/>
          <w:color w:val="000000"/>
        </w:rPr>
      </w:r>
    </w:p>
    <w:p>
      <w:pPr>
        <w:pStyle w:val="887"/>
        <w:numPr>
          <w:ilvl w:val="0"/>
          <w:numId w:val="2"/>
        </w:numPr>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color w:val="000000"/>
        </w:rPr>
        <w:t xml:space="preserve">13.1.8.</w:t>
      </w:r>
      <w:r>
        <w:rPr>
          <w:rFonts w:ascii="Arial" w:hAnsi="Arial" w:eastAsia="Arial" w:cs="Arial"/>
          <w:color w:val="000000"/>
        </w:rPr>
        <w:t xml:space="preserve"> O licitante organizado em cooperativa deverá declarar, ainda que, cumpre os requisitos estabelecidos no </w:t>
      </w:r>
      <w:hyperlink r:id="rId26" w:tooltip="http://www.planalto.gov.br/ccivil_03/_ato2019-2022/2021/lei/L14133.htm#art16" w:anchor="art16" w:history="1">
        <w:r>
          <w:rPr>
            <w:rStyle w:val="994"/>
            <w:rFonts w:ascii="Arial" w:hAnsi="Arial" w:eastAsia="Arial" w:cs="Arial"/>
            <w:color w:val="000000"/>
          </w:rPr>
          <w:t xml:space="preserve">artigo 16 da Lei nº 14.133, de 2021</w:t>
        </w:r>
      </w:hyperlink>
      <w:r>
        <w:rPr>
          <w:rFonts w:ascii="Arial" w:hAnsi="Arial" w:eastAsia="Arial" w:cs="Arial"/>
          <w:color w:val="000000"/>
        </w:rPr>
        <w:t xml:space="preserve">;</w:t>
      </w:r>
      <w:r>
        <w:rPr>
          <w:rFonts w:ascii="Arial" w:hAnsi="Arial" w:cs="Arial"/>
        </w:rPr>
      </w:r>
      <w:r>
        <w:rPr>
          <w:rFonts w:ascii="Arial" w:hAnsi="Arial" w:cs="Arial"/>
        </w:rPr>
      </w:r>
    </w:p>
    <w:p>
      <w:pPr>
        <w:pStyle w:val="887"/>
        <w:numPr>
          <w:ilvl w:val="0"/>
          <w:numId w:val="2"/>
        </w:numPr>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color w:val="000000"/>
        </w:rPr>
        <w:t xml:space="preserve">13.1.9. </w:t>
      </w:r>
      <w:r>
        <w:rPr>
          <w:rFonts w:ascii="Arial" w:hAnsi="Arial" w:eastAsia="Arial" w:cs="Arial"/>
          <w:color w:val="000000"/>
        </w:rPr>
        <w:t xml:space="preserve">Que não há sanções vigentes que legalmente proíbam a participante de licitar e/ou contratar com o Órgão/Entidade contratante;</w:t>
      </w:r>
      <w:r>
        <w:rPr>
          <w:rFonts w:ascii="Arial" w:hAnsi="Arial" w:cs="Arial"/>
        </w:rPr>
      </w:r>
      <w:r>
        <w:rPr>
          <w:rFonts w:ascii="Arial" w:hAnsi="Arial" w:cs="Arial"/>
        </w:rPr>
      </w:r>
    </w:p>
    <w:p>
      <w:pPr>
        <w:pStyle w:val="887"/>
        <w:numPr>
          <w:ilvl w:val="0"/>
          <w:numId w:val="2"/>
        </w:numPr>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13.1.10.</w:t>
      </w:r>
      <w:r>
        <w:rPr>
          <w:rFonts w:ascii="Arial" w:hAnsi="Arial" w:eastAsia="Arial" w:cs="Arial"/>
          <w:color w:val="000000"/>
        </w:rPr>
        <w:t xml:space="preserve"> O declarante responderá pela veracidade das informações prestadas, sujeitando-se às sanções previstas na forma da lei, e neste Edital.</w:t>
      </w:r>
      <w:r>
        <w:rPr>
          <w:rFonts w:ascii="Arial" w:hAnsi="Arial" w:cs="Arial"/>
        </w:rPr>
      </w:r>
      <w:r>
        <w:rPr>
          <w:rFonts w:ascii="Arial" w:hAnsi="Arial" w:cs="Arial"/>
        </w:rPr>
      </w:r>
    </w:p>
    <w:p>
      <w:pPr>
        <w:pStyle w:val="887"/>
        <w:numPr>
          <w:ilvl w:val="0"/>
          <w:numId w:val="2"/>
        </w:numPr>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color w:val="000000"/>
        </w:rPr>
        <w:t xml:space="preserve">13.1.11.</w:t>
      </w:r>
      <w:r>
        <w:rPr>
          <w:rFonts w:ascii="Arial" w:hAnsi="Arial" w:eastAsia="Arial" w:cs="Arial"/>
          <w:color w:val="000000"/>
        </w:rPr>
        <w:t xml:space="preserve"> No caso em que a empresa apresente as r</w:t>
      </w:r>
      <w:r>
        <w:rPr>
          <w:rFonts w:ascii="Arial" w:hAnsi="Arial" w:eastAsia="Arial" w:cs="Arial"/>
          <w:color w:val="000000"/>
        </w:rPr>
        <w:t xml:space="preserve">eferidas declarações e não cumpra as exigências habilitatórias do certame o qual está participando, será passível de punição na forma da lei e deste Edital. Bem como, caso não apresente as respectivas declarações o licitante será passível de inabilitação. </w:t>
      </w:r>
      <w:r>
        <w:rPr>
          <w:rFonts w:ascii="Arial" w:hAnsi="Arial" w:cs="Arial"/>
        </w:rPr>
      </w:r>
      <w:r>
        <w:rPr>
          <w:rFonts w:ascii="Arial" w:hAnsi="Arial" w:cs="Arial"/>
        </w:rPr>
      </w:r>
    </w:p>
    <w:p>
      <w:pPr>
        <w:pStyle w:val="887"/>
        <w:pBdr/>
        <w:spacing/>
        <w:ind w:left="851"/>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left="567"/>
        <w:jc w:val="both"/>
        <w:rPr>
          <w:rFonts w:ascii="Arial" w:hAnsi="Arial" w:cs="Arial"/>
          <w:b/>
          <w:bCs/>
          <w:color w:val="000000"/>
        </w:rPr>
      </w:pPr>
      <w:r>
        <w:rPr>
          <w:rFonts w:ascii="Arial" w:hAnsi="Arial" w:eastAsia="Arial" w:cs="Arial"/>
          <w:b/>
          <w:bCs/>
          <w:color w:val="000000"/>
        </w:rPr>
        <w:t xml:space="preserve">NOTA: AS COMPROVAÇÕES</w:t>
      </w:r>
      <w:r>
        <w:rPr>
          <w:rFonts w:ascii="Arial" w:hAnsi="Arial" w:eastAsia="Arial" w:cs="Arial"/>
          <w:b/>
          <w:bCs/>
          <w:color w:val="000000"/>
          <w:u w:val="single"/>
        </w:rPr>
        <w:t xml:space="preserve"> CONTIDAS NO ITEM 13.1. A CRITÉRIO DO LICITANTE PODERÃO SEREM APRESENTADAS EM UMA ÚNICA FOLHA, CONFORME MODELO SUGERIDO NO ANEXO V</w:t>
      </w:r>
      <w:r>
        <w:rPr>
          <w:rFonts w:ascii="Arial" w:hAnsi="Arial" w:eastAsia="Arial" w:cs="Arial"/>
          <w:b/>
          <w:bCs/>
          <w:color w:val="000000"/>
        </w:rPr>
        <w:t xml:space="preserve">.</w:t>
      </w:r>
      <w:r>
        <w:rPr>
          <w:rFonts w:ascii="Arial" w:hAnsi="Arial" w:cs="Arial"/>
          <w:b/>
          <w:bCs/>
          <w:color w:val="000000"/>
        </w:rPr>
      </w:r>
      <w:r>
        <w:rPr>
          <w:rFonts w:ascii="Arial" w:hAnsi="Arial" w:cs="Arial"/>
          <w:b/>
          <w:bCs/>
          <w:color w:val="000000"/>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numPr>
          <w:ilvl w:val="0"/>
          <w:numId w:val="2"/>
        </w:numPr>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numPr>
          <w:ilvl w:val="0"/>
          <w:numId w:val="2"/>
        </w:numPr>
        <w:pBdr/>
        <w:spacing/>
        <w:ind/>
        <w:jc w:val="both"/>
        <w:rPr>
          <w:rFonts w:ascii="Arial" w:hAnsi="Arial" w:cs="Arial"/>
        </w:rPr>
      </w:pPr>
      <w:r>
        <w:rPr>
          <w:rFonts w:ascii="Arial" w:hAnsi="Arial" w:eastAsia="Arial" w:cs="Arial"/>
          <w:b/>
        </w:rPr>
        <w:t xml:space="preserve">13.2. </w:t>
      </w:r>
      <w:r>
        <w:rPr>
          <w:rFonts w:ascii="Arial" w:hAnsi="Arial" w:eastAsia="Arial" w:cs="Arial"/>
          <w:b/>
          <w:color w:val="000000"/>
        </w:rPr>
        <w:t xml:space="preserve">SERÁ EXIGIDA OS DOCUMENTOS DE HABILITAÇÃO APENAS DO LICITANTE CLASSIFICADO EM PRIMEIRO LUGAR, </w:t>
      </w:r>
      <w:r>
        <w:rPr>
          <w:rFonts w:ascii="Arial" w:hAnsi="Arial" w:eastAsia="Arial" w:cs="Arial"/>
          <w:b/>
        </w:rPr>
        <w:t xml:space="preserve">DEVERÃO SER ANEXADOS NA PLATAFORMA BLL EM ATÉ 02 HORAS, EM FORMATO DIGITAL. </w:t>
      </w:r>
      <w:r>
        <w:rPr>
          <w:rFonts w:ascii="Arial" w:hAnsi="Arial" w:eastAsia="Arial" w:cs="Arial"/>
        </w:rPr>
        <w:t xml:space="preserve">(</w:t>
      </w:r>
      <w:r>
        <w:rPr>
          <w:rFonts w:ascii="Arial" w:hAnsi="Arial" w:eastAsia="Arial" w:cs="Arial"/>
          <w:bCs/>
          <w:color w:val="000000"/>
        </w:rPr>
        <w:t xml:space="preserve">Art. 63, II, </w:t>
      </w:r>
      <w:r>
        <w:rPr>
          <w:rFonts w:ascii="Arial" w:hAnsi="Arial" w:eastAsia="Arial" w:cs="Arial"/>
          <w:color w:val="000000"/>
        </w:rPr>
        <w:t xml:space="preserve">Lei nº 14.133/2021)</w:t>
      </w:r>
      <w:r>
        <w:rPr>
          <w:rFonts w:ascii="Arial" w:hAnsi="Arial" w:cs="Arial"/>
        </w:rPr>
      </w:r>
      <w:r>
        <w:rPr>
          <w:rFonts w:ascii="Arial" w:hAnsi="Arial" w:cs="Arial"/>
        </w:rPr>
      </w:r>
    </w:p>
    <w:p>
      <w:pPr>
        <w:pStyle w:val="887"/>
        <w:numPr>
          <w:ilvl w:val="0"/>
          <w:numId w:val="2"/>
        </w:numPr>
        <w:pBdr/>
        <w:spacing/>
        <w:ind/>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numPr>
          <w:ilvl w:val="0"/>
          <w:numId w:val="2"/>
        </w:numPr>
        <w:pBdr/>
        <w:spacing/>
        <w:ind/>
        <w:jc w:val="both"/>
        <w:rPr>
          <w:rFonts w:ascii="Arial" w:hAnsi="Arial" w:cs="Arial"/>
        </w:rPr>
      </w:pPr>
      <w:r>
        <w:rPr>
          <w:rFonts w:ascii="Arial" w:hAnsi="Arial" w:eastAsia="Arial" w:cs="Arial"/>
          <w:b/>
        </w:rPr>
        <w:t xml:space="preserve">13.2.1. A DOCUMENTAÇÃO RELATIVA À HABILITAÇÃO JURÍDICA CONSISTE EM: </w:t>
      </w:r>
      <w:r>
        <w:rPr>
          <w:rFonts w:ascii="Arial" w:hAnsi="Arial" w:cs="Arial"/>
        </w:rPr>
      </w:r>
      <w:r>
        <w:rPr>
          <w:rFonts w:ascii="Arial" w:hAnsi="Arial" w:cs="Arial"/>
        </w:rPr>
      </w:r>
    </w:p>
    <w:p>
      <w:pPr>
        <w:pStyle w:val="887"/>
        <w:numPr>
          <w:ilvl w:val="0"/>
          <w:numId w:val="2"/>
        </w:numPr>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13.2.1.1.</w:t>
      </w:r>
      <w:r>
        <w:rPr>
          <w:rFonts w:ascii="Arial" w:hAnsi="Arial" w:eastAsia="Arial" w:cs="Arial"/>
        </w:rPr>
        <w:t xml:space="preserve"> Registro comercial, no caso de empresa individual; </w:t>
      </w:r>
      <w:r>
        <w:rPr>
          <w:rFonts w:ascii="Arial" w:hAnsi="Arial" w:cs="Arial"/>
        </w:rPr>
      </w:r>
      <w:r>
        <w:rPr>
          <w:rFonts w:ascii="Arial" w:hAnsi="Arial" w:cs="Arial"/>
        </w:rPr>
      </w:r>
    </w:p>
    <w:p>
      <w:pPr>
        <w:pStyle w:val="887"/>
        <w:numPr>
          <w:ilvl w:val="0"/>
          <w:numId w:val="2"/>
        </w:numPr>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13.2.1.2.</w:t>
      </w:r>
      <w:r>
        <w:rPr>
          <w:rFonts w:ascii="Arial" w:hAnsi="Arial" w:eastAsia="Arial" w:cs="Arial"/>
        </w:rPr>
        <w:t xml:space="preserve">  Ato constitutivo, estatuto ou contrato social e alterações em vigor, devidamente registrado, em se tratando de sociedades comerciais e, no caso de sociedades por ações, acompanhado de documentos de eleição de seus administradores; </w:t>
      </w:r>
      <w:r>
        <w:rPr>
          <w:rFonts w:ascii="Arial" w:hAnsi="Arial" w:cs="Arial"/>
        </w:rPr>
      </w:r>
      <w:r>
        <w:rPr>
          <w:rFonts w:ascii="Arial" w:hAnsi="Arial" w:cs="Arial"/>
        </w:rPr>
      </w:r>
    </w:p>
    <w:p>
      <w:pPr>
        <w:pStyle w:val="887"/>
        <w:numPr>
          <w:ilvl w:val="0"/>
          <w:numId w:val="2"/>
        </w:numPr>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13.2.1.3.</w:t>
      </w:r>
      <w:r>
        <w:rPr>
          <w:rFonts w:ascii="Arial" w:hAnsi="Arial" w:eastAsia="Arial" w:cs="Arial"/>
        </w:rPr>
        <w:t xml:space="preserve">  Inscrição do ato constitutivo, no caso de sociedades civis, acompanhada de prova de diretoria em exercício; </w:t>
      </w:r>
      <w:r>
        <w:rPr>
          <w:rFonts w:ascii="Arial" w:hAnsi="Arial" w:cs="Arial"/>
        </w:rPr>
      </w:r>
      <w:r>
        <w:rPr>
          <w:rFonts w:ascii="Arial" w:hAnsi="Arial" w:cs="Arial"/>
        </w:rPr>
      </w:r>
    </w:p>
    <w:p>
      <w:pPr>
        <w:pStyle w:val="887"/>
        <w:numPr>
          <w:ilvl w:val="0"/>
          <w:numId w:val="2"/>
        </w:numPr>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13.2.1.4.</w:t>
      </w:r>
      <w:r>
        <w:rPr>
          <w:rFonts w:ascii="Arial" w:hAnsi="Arial" w:eastAsia="Arial" w:cs="Arial"/>
        </w:rPr>
        <w:t xml:space="preserve"> Decreto de autorização, em se tratando de empresa ou sociedade estrangeira em funcionamento no País, e ato de registro ou autorização para funcionamento expedido pelo Órgão competente, quando a atividade assim o exigir; </w:t>
      </w:r>
      <w:r>
        <w:rPr>
          <w:rFonts w:ascii="Arial" w:hAnsi="Arial" w:cs="Arial"/>
        </w:rPr>
      </w:r>
      <w:r>
        <w:rPr>
          <w:rFonts w:ascii="Arial" w:hAnsi="Arial" w:cs="Arial"/>
        </w:rPr>
      </w:r>
    </w:p>
    <w:p>
      <w:pPr>
        <w:pStyle w:val="887"/>
        <w:numPr>
          <w:ilvl w:val="0"/>
          <w:numId w:val="2"/>
        </w:numPr>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13.2.1.5.</w:t>
      </w:r>
      <w:r>
        <w:rPr>
          <w:rFonts w:ascii="Arial" w:hAnsi="Arial" w:eastAsia="Arial" w:cs="Arial"/>
        </w:rPr>
        <w:t xml:space="preserve"> Cópia do documento de Identidade e CPF dos Representantes Legais da empresa; </w:t>
      </w:r>
      <w:r>
        <w:rPr>
          <w:rFonts w:ascii="Arial" w:hAnsi="Arial" w:cs="Arial"/>
        </w:rPr>
      </w:r>
      <w:r>
        <w:rPr>
          <w:rFonts w:ascii="Arial" w:hAnsi="Arial" w:cs="Arial"/>
        </w:rPr>
      </w:r>
    </w:p>
    <w:p>
      <w:pPr>
        <w:pStyle w:val="887"/>
        <w:numPr>
          <w:ilvl w:val="0"/>
          <w:numId w:val="2"/>
        </w:numPr>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numPr>
          <w:ilvl w:val="0"/>
          <w:numId w:val="2"/>
        </w:numPr>
        <w:pBdr/>
        <w:spacing/>
        <w:ind/>
        <w:jc w:val="both"/>
        <w:rPr>
          <w:rFonts w:ascii="Arial" w:hAnsi="Arial" w:cs="Arial"/>
        </w:rPr>
      </w:pPr>
      <w:r>
        <w:rPr>
          <w:rFonts w:ascii="Arial" w:hAnsi="Arial" w:eastAsia="Arial" w:cs="Arial"/>
          <w:b/>
        </w:rPr>
        <w:t xml:space="preserve">13.3. DA COMPROVAÇÃO DE LOCALIZAÇÃO E FUNCIONAMENTO: </w:t>
      </w:r>
      <w:r>
        <w:rPr>
          <w:rFonts w:ascii="Arial" w:hAnsi="Arial" w:cs="Arial"/>
        </w:rPr>
      </w:r>
      <w:r>
        <w:rPr>
          <w:rFonts w:ascii="Arial" w:hAnsi="Arial" w:cs="Arial"/>
        </w:rPr>
      </w:r>
    </w:p>
    <w:p>
      <w:pPr>
        <w:pStyle w:val="887"/>
        <w:numPr>
          <w:ilvl w:val="0"/>
          <w:numId w:val="2"/>
        </w:numPr>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14:paraId="4B94803F">
      <w:pPr>
        <w:pBdr>
          <w:top w:val="none" w:color="000000" w:sz="4" w:space="0"/>
          <w:left w:val="none" w:color="000000" w:sz="4" w:space="0"/>
          <w:bottom w:val="none" w:color="000000" w:sz="4" w:space="0"/>
          <w:right w:val="none" w:color="000000" w:sz="4" w:space="0"/>
        </w:pBdr>
        <w:spacing/>
        <w:ind/>
        <w:jc w:val="both"/>
        <w:rPr>
          <w:rFonts w:ascii="Arial" w:hAnsi="Arial" w:eastAsia="Arial" w:cs="Arial"/>
          <w:color w:val="000000"/>
          <w:highlight w:val="none"/>
          <w14:ligatures w14:val="none"/>
        </w:rPr>
      </w:pPr>
      <w:r>
        <w:rPr>
          <w:rFonts w:ascii="Arial" w:hAnsi="Arial" w:eastAsia="Arial" w:cs="Arial"/>
          <w:b/>
          <w:bCs/>
          <w:color w:val="000000"/>
        </w:rPr>
        <w:t xml:space="preserve">13.3.1.</w:t>
      </w:r>
      <w:r>
        <w:rPr>
          <w:rFonts w:ascii="Arial" w:hAnsi="Arial" w:eastAsia="Arial" w:cs="Arial"/>
          <w:b/>
          <w:bCs/>
          <w:color w:val="000000"/>
        </w:rPr>
        <w:t xml:space="preserve"> </w:t>
      </w:r>
      <w:r>
        <w:rPr>
          <w:rFonts w:ascii="Arial" w:hAnsi="Arial" w:eastAsia="Arial" w:cs="Arial"/>
          <w:b/>
          <w:bCs/>
          <w:color w:val="000000"/>
        </w:rPr>
        <w:t xml:space="preserve">Alvará de Localização e Funcionamento</w:t>
      </w:r>
      <w:r>
        <w:rPr>
          <w:rFonts w:ascii="Arial" w:hAnsi="Arial" w:eastAsia="Arial" w:cs="Arial"/>
          <w:color w:val="000000"/>
        </w:rPr>
        <w:t xml:space="preserve">, licença equivalente ou documento comprobatório de regularidade para funcionamento, quando exigível pela legislação aplicável à sede e à atividade exercida pela licitante.</w:t>
      </w:r>
      <w:r>
        <w:rPr>
          <w:rFonts w:ascii="Arial" w:hAnsi="Arial" w:eastAsia="Arial" w:cs="Arial"/>
          <w:color w:val="000000"/>
          <w:lang w:eastAsia="pt-BR"/>
        </w:rPr>
      </w:r>
      <w:r>
        <w:rPr>
          <w:rFonts w:ascii="Arial" w:hAnsi="Arial" w:eastAsia="Arial" w:cs="Arial"/>
          <w:color w:val="000000"/>
          <w:highlight w:val="none"/>
          <w14:ligatures w14:val="none"/>
        </w:rPr>
      </w:r>
    </w:p>
    <w:p w14:paraId="2B64836A">
      <w:pPr>
        <w:pBdr>
          <w:top w:val="none" w:color="000000" w:sz="4" w:space="0"/>
          <w:left w:val="none" w:color="000000" w:sz="4" w:space="0"/>
          <w:bottom w:val="none" w:color="000000" w:sz="4" w:space="0"/>
          <w:right w:val="none" w:color="000000" w:sz="4" w:space="0"/>
        </w:pBdr>
        <w:spacing/>
        <w:ind/>
        <w:jc w:val="both"/>
        <w:rPr>
          <w:rFonts w:ascii="Arial" w:hAnsi="Arial" w:eastAsia="Arial" w:cs="Arial"/>
          <w:color w:val="000000"/>
          <w:lang w:eastAsia="pt-BR"/>
          <w14:ligatures w14:val="none"/>
        </w:rPr>
      </w:pPr>
      <w:r>
        <w:rPr>
          <w:rFonts w:ascii="Arial" w:hAnsi="Arial" w:eastAsia="Arial" w:cs="Arial"/>
          <w:color w:val="000000"/>
          <w:highlight w:val="none"/>
        </w:rPr>
      </w:r>
      <w:r>
        <w:rPr>
          <w:rFonts w:ascii="Arial" w:hAnsi="Arial" w:eastAsia="Arial" w:cs="Arial"/>
          <w:color w:val="000000"/>
          <w:highlight w:val="none"/>
        </w:rPr>
      </w:r>
      <w:r>
        <w:rPr>
          <w:rFonts w:ascii="Arial" w:hAnsi="Arial" w:eastAsia="Arial" w:cs="Arial"/>
          <w:color w:val="000000"/>
          <w:lang w:eastAsia="pt-BR"/>
          <w14:ligatures w14:val="none"/>
        </w:rPr>
      </w:r>
    </w:p>
    <w:p w14:paraId="1A1E8A69">
      <w:pPr>
        <w:pBdr>
          <w:top w:val="none" w:color="000000" w:sz="4" w:space="0"/>
          <w:left w:val="none" w:color="000000" w:sz="4" w:space="0"/>
          <w:bottom w:val="none" w:color="000000" w:sz="4" w:space="0"/>
          <w:right w:val="none" w:color="000000" w:sz="4" w:space="0"/>
        </w:pBdr>
        <w:spacing/>
        <w:ind/>
        <w:jc w:val="both"/>
        <w:rPr>
          <w:rFonts w:ascii="Arial" w:hAnsi="Arial" w:eastAsia="Arial" w:cs="Arial"/>
          <w:color w:val="000000"/>
          <w:lang w:eastAsia="pt-BR"/>
          <w14:ligatures w14:val="none"/>
        </w:rPr>
      </w:pPr>
      <w:r>
        <w:rPr>
          <w:rFonts w:ascii="Arial" w:hAnsi="Arial" w:eastAsia="Arial" w:cs="Arial"/>
          <w:b/>
          <w:bCs/>
          <w:color w:val="000000"/>
        </w:rPr>
        <w:t xml:space="preserve">13.3.1.1.</w:t>
      </w:r>
      <w:r>
        <w:rPr>
          <w:rFonts w:ascii="Arial" w:hAnsi="Arial" w:eastAsia="Arial" w:cs="Arial"/>
          <w:b/>
          <w:bCs/>
          <w:color w:val="000000"/>
        </w:rPr>
        <w:t xml:space="preserve"> </w:t>
      </w:r>
      <w:r>
        <w:rPr>
          <w:rFonts w:ascii="Arial" w:hAnsi="Arial" w:eastAsia="Arial" w:cs="Arial"/>
          <w:color w:val="000000"/>
        </w:rPr>
        <w:t xml:space="preserve">Quando a legislação local dispensar a emissão de alvará ou licença específica, será admitido documento oficial que comprove a dispensa ou documento equivalente apto a demonstrar a regularidade do estabelecimento.</w:t>
      </w:r>
      <w:r>
        <w:rPr>
          <w:rFonts w:ascii="Arial" w:hAnsi="Arial" w:eastAsia="Arial" w:cs="Arial"/>
          <w:color w:val="000000"/>
        </w:rPr>
      </w:r>
      <w:r>
        <w:rPr>
          <w:rFonts w:ascii="Arial" w:hAnsi="Arial" w:eastAsia="Arial" w:cs="Arial"/>
          <w:color w:val="000000"/>
          <w:lang w:eastAsia="pt-BR"/>
          <w14:ligatures w14:val="none"/>
        </w:rPr>
      </w:r>
    </w:p>
    <w:p>
      <w:pPr>
        <w:pStyle w:val="887"/>
        <w:numPr>
          <w:ilvl w:val="0"/>
          <w:numId w:val="2"/>
        </w:numPr>
        <w:pBdr/>
        <w:tabs>
          <w:tab w:val="clear" w:leader="none" w:pos="708"/>
        </w:tabs>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bCs/>
          <w:color w:val="000000"/>
          <w:lang w:eastAsia="pt-BR"/>
        </w:rPr>
        <w:t xml:space="preserve">13.3.2.</w:t>
      </w:r>
      <w:r>
        <w:rPr>
          <w:rFonts w:ascii="Arial" w:hAnsi="Arial" w:eastAsia="Arial" w:cs="Arial"/>
          <w:color w:val="000000"/>
          <w:lang w:eastAsia="pt-BR"/>
        </w:rPr>
        <w:t xml:space="preserve"> A aceitação de documentos provisórios ou alternativos </w:t>
      </w:r>
      <w:r>
        <w:rPr>
          <w:rFonts w:ascii="Arial" w:hAnsi="Arial" w:eastAsia="Arial" w:cs="Arial"/>
          <w:b/>
          <w:bCs/>
          <w:color w:val="000000"/>
          <w:lang w:eastAsia="pt-BR"/>
        </w:rPr>
        <w:t xml:space="preserve">não exime o licitante</w:t>
      </w:r>
      <w:r>
        <w:rPr>
          <w:rFonts w:ascii="Arial" w:hAnsi="Arial" w:eastAsia="Arial" w:cs="Arial"/>
          <w:color w:val="000000"/>
          <w:lang w:eastAsia="pt-BR"/>
        </w:rPr>
        <w:t xml:space="preserve"> da obrigação de apresentar, posteriormente, o alvará definitivo, quando exigido para a contratação.</w:t>
      </w:r>
      <w:r>
        <w:rPr>
          <w:rFonts w:ascii="Arial" w:hAnsi="Arial" w:cs="Arial"/>
          <w:color w:val="000000"/>
        </w:rPr>
      </w:r>
      <w:r>
        <w:rPr>
          <w:rFonts w:ascii="Arial" w:hAnsi="Arial" w:cs="Arial"/>
          <w:color w:val="000000"/>
        </w:rPr>
      </w:r>
    </w:p>
    <w:p>
      <w:pPr>
        <w:pStyle w:val="887"/>
        <w:numPr>
          <w:ilvl w:val="0"/>
          <w:numId w:val="2"/>
        </w:numPr>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numPr>
          <w:ilvl w:val="0"/>
          <w:numId w:val="2"/>
        </w:numPr>
        <w:pBdr/>
        <w:spacing/>
        <w:ind/>
        <w:jc w:val="both"/>
        <w:rPr>
          <w:rFonts w:ascii="Arial" w:hAnsi="Arial" w:cs="Arial"/>
        </w:rPr>
      </w:pPr>
      <w:r>
        <w:rPr>
          <w:rFonts w:ascii="Arial" w:hAnsi="Arial" w:eastAsia="Arial" w:cs="Arial"/>
          <w:b/>
        </w:rPr>
        <w:t xml:space="preserve">13.4. A DOCUMENTAÇÃO RELATIVA À QUALIFICAÇÃO ECONÔMICA FINANCEIRA CONSISTE EM: </w:t>
      </w:r>
      <w:r>
        <w:rPr>
          <w:rFonts w:ascii="Arial" w:hAnsi="Arial" w:cs="Arial"/>
        </w:rPr>
      </w:r>
      <w:r>
        <w:rPr>
          <w:rFonts w:ascii="Arial" w:hAnsi="Arial" w:cs="Arial"/>
        </w:rPr>
      </w:r>
    </w:p>
    <w:p>
      <w:pPr>
        <w:pStyle w:val="887"/>
        <w:numPr>
          <w:ilvl w:val="0"/>
          <w:numId w:val="2"/>
        </w:numPr>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13.4.1. Certidão Negativa de Falência, Concordata, ou Recuperação Judicial ou Extrajudicial</w:t>
      </w:r>
      <w:r>
        <w:rPr>
          <w:rFonts w:ascii="Arial" w:hAnsi="Arial" w:eastAsia="Arial" w:cs="Arial"/>
        </w:rPr>
        <w:t xml:space="preserve">, expedida pelo distribuidor da </w:t>
      </w:r>
      <w:r>
        <w:rPr>
          <w:rFonts w:ascii="Arial" w:hAnsi="Arial" w:eastAsia="Arial" w:cs="Arial"/>
        </w:rPr>
        <w:t xml:space="preserve">sede da pessoa jurídica, ou de execução patrimonial, expedida pelo distribuidor do domicílio da pessoa física, em data não superior a 60 (sessenta) dias da data designada para apresentação do documento, exceto se outro prazo constar do referido documento; </w:t>
      </w:r>
      <w:r>
        <w:rPr>
          <w:rFonts w:ascii="Arial" w:hAnsi="Arial" w:cs="Arial"/>
        </w:rPr>
      </w:r>
      <w:r>
        <w:rPr>
          <w:rFonts w:ascii="Arial" w:hAnsi="Arial" w:cs="Arial"/>
        </w:rPr>
      </w:r>
    </w:p>
    <w:p>
      <w:pPr>
        <w:pStyle w:val="887"/>
        <w:numPr>
          <w:ilvl w:val="0"/>
          <w:numId w:val="2"/>
        </w:numPr>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13.4.1.1.</w:t>
      </w:r>
      <w:r>
        <w:rPr>
          <w:rFonts w:ascii="Arial" w:hAnsi="Arial" w:eastAsia="Arial" w:cs="Arial"/>
          <w:color w:val="000000"/>
        </w:rPr>
        <w:t xml:space="preserve"> Caso a certidão exigida acima seja emitida na forma </w:t>
      </w:r>
      <w:r>
        <w:rPr>
          <w:rFonts w:ascii="Arial" w:hAnsi="Arial" w:eastAsia="Arial" w:cs="Arial"/>
          <w:b/>
          <w:color w:val="000000"/>
          <w:u w:val="single"/>
        </w:rPr>
        <w:t xml:space="preserve">positiva </w:t>
      </w:r>
      <w:r>
        <w:rPr>
          <w:rFonts w:ascii="Arial" w:hAnsi="Arial" w:eastAsia="Arial" w:cs="Arial"/>
          <w:color w:val="000000"/>
        </w:rPr>
        <w:t xml:space="preserve">para recuperação judicial, o licitante deverá comprovar, por meio de certidão emitida pela instância judicia</w:t>
      </w:r>
      <w:r>
        <w:rPr>
          <w:rFonts w:ascii="Arial" w:hAnsi="Arial" w:eastAsia="Arial" w:cs="Arial"/>
          <w:color w:val="000000"/>
        </w:rPr>
        <w:t xml:space="preserve">l competente, que o plano de recuperação foi aprovado em assembleia geral de credores e homologado pelo juiz, e que está sendo cumprido regularmente, demonstrando que a empresa está apta econômica e financeiramente a participar de procedimento licitatório.</w:t>
      </w:r>
      <w:r>
        <w:rPr>
          <w:rFonts w:ascii="Arial" w:hAnsi="Arial" w:cs="Arial"/>
          <w:color w:val="000000"/>
        </w:rPr>
      </w:r>
      <w:r>
        <w:rPr>
          <w:rFonts w:ascii="Arial" w:hAnsi="Arial" w:cs="Arial"/>
          <w:color w:val="000000"/>
        </w:rPr>
      </w:r>
    </w:p>
    <w:p>
      <w:pPr>
        <w:pStyle w:val="887"/>
        <w:numPr>
          <w:ilvl w:val="0"/>
          <w:numId w:val="2"/>
        </w:numPr>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13.4.1.2. </w:t>
      </w:r>
      <w:r>
        <w:rPr>
          <w:rFonts w:ascii="Arial" w:hAnsi="Arial" w:eastAsia="Arial" w:cs="Arial"/>
        </w:rPr>
        <w:t xml:space="preserve">Se a licitante for cooperativa, a certidões mencionadas nas alíneas, subitens anteriores, deverá ser substituída por certidão negativa de ações de insolvência civil. </w:t>
      </w:r>
      <w:r>
        <w:rPr>
          <w:rFonts w:ascii="Arial" w:hAnsi="Arial" w:cs="Arial"/>
        </w:rPr>
      </w:r>
      <w:r>
        <w:rPr>
          <w:rFonts w:ascii="Arial" w:hAnsi="Arial" w:cs="Arial"/>
        </w:rPr>
      </w:r>
    </w:p>
    <w:p>
      <w:pPr>
        <w:pStyle w:val="887"/>
        <w:numPr>
          <w:ilvl w:val="0"/>
          <w:numId w:val="2"/>
        </w:numPr>
        <w:pBdr/>
        <w:spacing/>
        <w:ind/>
        <w:jc w:val="both"/>
        <w:rPr>
          <w:rFonts w:ascii="Arial" w:hAnsi="Arial" w:cs="Arial"/>
          <w:sz w:val="19"/>
          <w:szCs w:val="19"/>
        </w:rPr>
      </w:pPr>
      <w:r>
        <w:rPr>
          <w:rFonts w:ascii="Arial" w:hAnsi="Arial" w:eastAsia="Arial" w:cs="Arial"/>
          <w:sz w:val="19"/>
          <w:szCs w:val="19"/>
        </w:rPr>
      </w:r>
      <w:r>
        <w:rPr>
          <w:rFonts w:ascii="Arial" w:hAnsi="Arial" w:cs="Arial"/>
          <w:sz w:val="19"/>
          <w:szCs w:val="19"/>
        </w:rPr>
      </w:r>
      <w:r>
        <w:rPr>
          <w:rFonts w:ascii="Arial" w:hAnsi="Arial" w:cs="Arial"/>
          <w:sz w:val="19"/>
          <w:szCs w:val="19"/>
        </w:rPr>
      </w:r>
    </w:p>
    <w:p>
      <w:pPr>
        <w:pStyle w:val="887"/>
        <w:numPr>
          <w:ilvl w:val="0"/>
          <w:numId w:val="2"/>
        </w:numPr>
        <w:pBdr/>
        <w:spacing/>
        <w:ind/>
        <w:jc w:val="both"/>
        <w:rPr>
          <w:rFonts w:ascii="Arial" w:hAnsi="Arial" w:cs="Arial"/>
        </w:rPr>
      </w:pPr>
      <w:r>
        <w:rPr>
          <w:rFonts w:ascii="Arial" w:hAnsi="Arial" w:eastAsia="Arial" w:cs="Arial"/>
          <w:b/>
        </w:rPr>
        <w:t xml:space="preserve">13.5. A DOCUMENTAÇÃO RELATIVA À REGULARIDADE FISCAL E TRABALHISTA CONSISTE EM:</w:t>
      </w:r>
      <w:r>
        <w:rPr>
          <w:rFonts w:ascii="Arial" w:hAnsi="Arial" w:cs="Arial"/>
        </w:rPr>
      </w:r>
      <w:r>
        <w:rPr>
          <w:rFonts w:ascii="Arial" w:hAnsi="Arial" w:cs="Arial"/>
        </w:rPr>
      </w:r>
    </w:p>
    <w:p>
      <w:pPr>
        <w:pStyle w:val="2069"/>
        <w:numPr>
          <w:ilvl w:val="0"/>
          <w:numId w:val="2"/>
        </w:numPr>
        <w:pBdr/>
        <w:spacing/>
        <w:ind/>
        <w:rPr>
          <w:rFonts w:ascii="Arial" w:hAnsi="Arial" w:cs="Arial"/>
          <w:b/>
          <w:sz w:val="20"/>
        </w:rPr>
      </w:pPr>
      <w:r>
        <w:rPr>
          <w:rFonts w:ascii="Arial" w:hAnsi="Arial" w:eastAsia="Arial" w:cs="Arial"/>
          <w:b/>
          <w:sz w:val="20"/>
        </w:rPr>
      </w:r>
      <w:r>
        <w:rPr>
          <w:rFonts w:ascii="Arial" w:hAnsi="Arial" w:cs="Arial"/>
          <w:b/>
          <w:sz w:val="20"/>
        </w:rPr>
      </w:r>
      <w:r>
        <w:rPr>
          <w:rFonts w:ascii="Arial" w:hAnsi="Arial" w:cs="Arial"/>
          <w:b/>
          <w:sz w:val="20"/>
        </w:rPr>
      </w:r>
    </w:p>
    <w:p>
      <w:pPr>
        <w:pStyle w:val="887"/>
        <w:pBdr/>
        <w:spacing/>
        <w:ind/>
        <w:jc w:val="both"/>
        <w:rPr>
          <w:rFonts w:ascii="Arial" w:hAnsi="Arial" w:cs="Arial"/>
        </w:rPr>
      </w:pPr>
      <w:r>
        <w:rPr>
          <w:rFonts w:ascii="Arial" w:hAnsi="Arial" w:eastAsia="Arial" w:cs="Arial"/>
          <w:b/>
        </w:rPr>
        <w:t xml:space="preserve">13.5.1</w:t>
      </w:r>
      <w:r>
        <w:rPr>
          <w:rFonts w:ascii="Arial" w:hAnsi="Arial" w:eastAsia="Arial" w:cs="Arial"/>
        </w:rPr>
        <w:t xml:space="preserve">. Prova de inscrição no Cadastro Nacional de Pessoas Jurídicas (CNPJ);</w:t>
      </w:r>
      <w:r>
        <w:rPr>
          <w:rFonts w:ascii="Arial" w:hAnsi="Arial" w:cs="Arial"/>
        </w:rPr>
      </w:r>
      <w:r>
        <w:rPr>
          <w:rFonts w:ascii="Arial" w:hAnsi="Arial" w:cs="Arial"/>
        </w:rPr>
      </w:r>
    </w:p>
    <w:p>
      <w:pPr>
        <w:pStyle w:val="887"/>
        <w:numPr>
          <w:ilvl w:val="0"/>
          <w:numId w:val="2"/>
        </w:numPr>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color w:val="000000"/>
        </w:rPr>
        <w:t xml:space="preserve">13.5.2.</w:t>
      </w:r>
      <w:r>
        <w:rPr>
          <w:rFonts w:ascii="Arial" w:hAnsi="Arial" w:eastAsia="Arial" w:cs="Arial"/>
          <w:color w:val="000000"/>
        </w:rPr>
        <w:t xml:space="preserve"> Prova de Inscrição no Cadastro de Contribuinte Estadual, relativo à sede da licitante, pertinente ao seu ramo de atividade e compatível com o objeto do certame.</w:t>
      </w:r>
      <w:r>
        <w:rPr>
          <w:rFonts w:ascii="Arial" w:hAnsi="Arial" w:cs="Arial"/>
        </w:rPr>
      </w:r>
      <w:r>
        <w:rPr>
          <w:rFonts w:ascii="Arial" w:hAnsi="Arial" w:cs="Arial"/>
        </w:rPr>
      </w:r>
    </w:p>
    <w:p>
      <w:pPr>
        <w:pStyle w:val="887"/>
        <w:numPr>
          <w:ilvl w:val="0"/>
          <w:numId w:val="2"/>
        </w:numPr>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rPr>
        <w:t xml:space="preserve">13.5.3.</w:t>
      </w:r>
      <w:r>
        <w:rPr>
          <w:rFonts w:ascii="Arial" w:hAnsi="Arial" w:eastAsia="Arial" w:cs="Arial"/>
        </w:rPr>
        <w:t xml:space="preserve"> Certidão Negativa de Débitos exped</w:t>
      </w:r>
      <w:r>
        <w:rPr>
          <w:rFonts w:ascii="Arial" w:hAnsi="Arial" w:eastAsia="Arial" w:cs="Arial"/>
        </w:rPr>
        <w:t xml:space="preserve">ida conjuntamente pela Secretaria da Receita Federal do Brasil (RFB) e pela Procuradoria-Geral da Fazenda Nacional (PGFN), referente a todos os créditos tributários federais e à Dívida Ativa da União (DAU) por elas administrados, inclusive os créditos trib</w:t>
      </w:r>
      <w:r>
        <w:rPr>
          <w:rFonts w:ascii="Arial" w:hAnsi="Arial" w:eastAsia="Arial" w:cs="Arial"/>
        </w:rPr>
        <w:t xml:space="preserve">utários relativos às Contribuições Sociais previstas nas alíneas “a”, “b”, e “c” do parágrafo único do art. 11 da Lei nº 8.212, de 24 de julho de 1991, às contribuições instituídas a título de substituição, e às contribuições devidas, por lei, a terceiros;</w:t>
      </w:r>
      <w:r>
        <w:rPr>
          <w:rFonts w:ascii="Arial" w:hAnsi="Arial" w:cs="Arial"/>
        </w:rPr>
      </w:r>
      <w:r>
        <w:rPr>
          <w:rFonts w:ascii="Arial" w:hAnsi="Arial" w:cs="Arial"/>
        </w:rPr>
      </w:r>
    </w:p>
    <w:p>
      <w:pPr>
        <w:pStyle w:val="887"/>
        <w:numPr>
          <w:ilvl w:val="0"/>
          <w:numId w:val="2"/>
        </w:numPr>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Bdr/>
        <w:spacing/>
        <w:ind/>
        <w:jc w:val="both"/>
        <w:rPr>
          <w:rFonts w:ascii="Arial" w:hAnsi="Arial" w:cs="Arial"/>
          <w14:ligatures w14:val="none"/>
        </w:rPr>
      </w:pPr>
      <w:r>
        <w:rPr>
          <w:rFonts w:ascii="Arial" w:hAnsi="Arial" w:eastAsia="Arial" w:cs="Arial"/>
          <w:b/>
        </w:rPr>
        <w:t xml:space="preserve">13.5.4.</w:t>
      </w:r>
      <w:r>
        <w:rPr>
          <w:rFonts w:ascii="Arial" w:hAnsi="Arial" w:eastAsia="Arial" w:cs="Arial"/>
        </w:rPr>
        <w:t xml:space="preserve"> Certidão Negativa de Débitos Fiscal com a Fazenda Estadual, emit</w:t>
      </w:r>
      <w:r>
        <w:rPr>
          <w:rFonts w:ascii="Arial" w:hAnsi="Arial" w:eastAsia="Arial" w:cs="Arial"/>
        </w:rPr>
        <w:t xml:space="preserve">ida pela Agência Fazendária da </w:t>
      </w:r>
      <w:r>
        <w:rPr>
          <w:rFonts w:ascii="Arial" w:hAnsi="Arial" w:eastAsia="Arial" w:cs="Arial"/>
        </w:rPr>
        <w:t xml:space="preserve">Secretaria de Estado de Fazenda</w:t>
      </w:r>
      <w:r>
        <w:rPr>
          <w:rFonts w:ascii="Arial" w:hAnsi="Arial" w:eastAsia="Arial" w:cs="Arial"/>
        </w:rPr>
        <w:t xml:space="preserve"> do respectivo domicílio tributário;</w:t>
      </w:r>
      <w:r>
        <w:rPr>
          <w:rFonts w:ascii="Arial" w:hAnsi="Arial" w:cs="Arial"/>
          <w14:ligatures w14:val="none"/>
        </w:rPr>
      </w:r>
      <w:r>
        <w:rPr>
          <w:rFonts w:ascii="Arial" w:hAnsi="Arial" w:cs="Arial"/>
          <w14:ligatures w14:val="none"/>
        </w:rPr>
      </w:r>
    </w:p>
    <w:p>
      <w:pPr>
        <w:pBdr/>
        <w:tabs>
          <w:tab w:val="clear" w:leader="none" w:pos="0"/>
        </w:tabs>
        <w:spacing/>
        <w:ind w:firstLine="0" w:left="0"/>
        <w:jc w:val="both"/>
        <w:rPr>
          <w:rFonts w:ascii="Arial" w:hAnsi="Arial" w:cs="Arial"/>
          <w14:ligatures w14:val="none"/>
        </w:rPr>
      </w:pPr>
      <w:r>
        <w:rPr>
          <w:rFonts w:ascii="Arial" w:hAnsi="Arial" w:eastAsia="Arial" w:cs="Arial"/>
        </w:rPr>
      </w:r>
      <w:r>
        <w:rPr>
          <w:rFonts w:ascii="Arial" w:hAnsi="Arial" w:cs="Arial"/>
          <w14:ligatures w14:val="none"/>
        </w:rPr>
      </w:r>
      <w:r>
        <w:rPr>
          <w:rFonts w:ascii="Arial" w:hAnsi="Arial" w:cs="Arial"/>
          <w14:ligatures w14:val="none"/>
        </w:rPr>
      </w:r>
    </w:p>
    <w:p>
      <w:pPr>
        <w:pStyle w:val="887"/>
        <w:pBdr/>
        <w:spacing/>
        <w:ind/>
        <w:jc w:val="both"/>
        <w:rPr>
          <w:rFonts w:ascii="Arial" w:hAnsi="Arial" w:cs="Arial"/>
        </w:rPr>
      </w:pPr>
      <w:r>
        <w:rPr>
          <w:rFonts w:ascii="Arial" w:hAnsi="Arial" w:eastAsia="Arial" w:cs="Arial"/>
          <w:b/>
        </w:rPr>
        <w:t xml:space="preserve">13.5.5.</w:t>
      </w:r>
      <w:r>
        <w:rPr>
          <w:rFonts w:ascii="Arial" w:hAnsi="Arial" w:eastAsia="Arial" w:cs="Arial"/>
        </w:rPr>
        <w:t xml:space="preserve"> Certidão Negativa de Débitos referentes aos tributos municipais, expedida pela Secretaria Municipal da Fazenda ou Finanças do respectivo domicílio tributário;</w:t>
      </w:r>
      <w:r>
        <w:rPr>
          <w:rFonts w:ascii="Arial" w:hAnsi="Arial" w:cs="Arial"/>
        </w:rPr>
      </w:r>
      <w:r>
        <w:rPr>
          <w:rFonts w:ascii="Arial" w:hAnsi="Arial" w:cs="Arial"/>
        </w:rPr>
      </w:r>
    </w:p>
    <w:p>
      <w:pPr>
        <w:pStyle w:val="887"/>
        <w:numPr>
          <w:ilvl w:val="0"/>
          <w:numId w:val="2"/>
        </w:numPr>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color w:val="000000"/>
        </w:rPr>
        <w:t xml:space="preserve">13.5.6.</w:t>
      </w:r>
      <w:r>
        <w:rPr>
          <w:rFonts w:ascii="Arial" w:hAnsi="Arial" w:eastAsia="Arial" w:cs="Arial"/>
          <w:color w:val="000000"/>
        </w:rPr>
        <w:t xml:space="preserve"> Certificado de Regularidade de Situação para com o Fundo de Garantia de Tempo de Serviço (CRF/FGTS), emitida pela Caixa Econômica Federal;</w:t>
      </w:r>
      <w:r>
        <w:rPr>
          <w:rFonts w:ascii="Arial" w:hAnsi="Arial" w:cs="Arial"/>
        </w:rPr>
      </w:r>
      <w:r>
        <w:rPr>
          <w:rFonts w:ascii="Arial" w:hAnsi="Arial" w:cs="Arial"/>
        </w:rPr>
      </w:r>
    </w:p>
    <w:p>
      <w:pPr>
        <w:pStyle w:val="887"/>
        <w:numPr>
          <w:ilvl w:val="0"/>
          <w:numId w:val="2"/>
        </w:numPr>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sz w:val="19"/>
          <w:szCs w:val="19"/>
        </w:rPr>
      </w:pPr>
      <w:r>
        <w:rPr>
          <w:rFonts w:ascii="Arial" w:hAnsi="Arial" w:eastAsia="Arial" w:cs="Arial"/>
          <w:b/>
          <w:sz w:val="19"/>
          <w:szCs w:val="19"/>
        </w:rPr>
        <w:t xml:space="preserve">13.5.7.</w:t>
      </w:r>
      <w:r>
        <w:rPr>
          <w:rFonts w:ascii="Arial" w:hAnsi="Arial" w:eastAsia="Arial" w:cs="Arial"/>
          <w:sz w:val="19"/>
          <w:szCs w:val="19"/>
        </w:rPr>
        <w:t xml:space="preserve"> Certidão Negativa de Débito Trabalhista (CNDT), perante a Justiça do Trabalho, redação dada pela Lei nº 12.440/2011. (obtida através do site: </w:t>
      </w:r>
      <w:hyperlink r:id="rId27" w:tooltip="http://www.tst.jus.br/" w:history="1">
        <w:r>
          <w:rPr>
            <w:rStyle w:val="994"/>
            <w:rFonts w:ascii="Arial" w:hAnsi="Arial" w:eastAsia="Arial" w:cs="Arial"/>
            <w:color w:val="000000"/>
            <w:sz w:val="19"/>
            <w:szCs w:val="19"/>
          </w:rPr>
          <w:t xml:space="preserve">www.tst.jus.br</w:t>
        </w:r>
      </w:hyperlink>
      <w:r>
        <w:rPr>
          <w:rFonts w:ascii="Arial" w:hAnsi="Arial" w:eastAsia="Arial" w:cs="Arial"/>
          <w:sz w:val="19"/>
          <w:szCs w:val="19"/>
        </w:rPr>
        <w:t xml:space="preserve">). </w:t>
      </w:r>
      <w:r>
        <w:rPr>
          <w:rFonts w:ascii="Arial" w:hAnsi="Arial" w:eastAsia="Arial" w:cs="Arial"/>
          <w:b/>
          <w:sz w:val="19"/>
          <w:szCs w:val="19"/>
        </w:rPr>
        <w:t xml:space="preserve">Observação:</w:t>
      </w:r>
      <w:r>
        <w:rPr>
          <w:rFonts w:ascii="Arial" w:hAnsi="Arial" w:eastAsia="Arial" w:cs="Arial"/>
          <w:sz w:val="19"/>
          <w:szCs w:val="19"/>
        </w:rPr>
        <w:t xml:space="preserve"> As microempresas, empresas de pequeno porte, </w:t>
      </w:r>
      <w:r>
        <w:rPr>
          <w:rFonts w:ascii="Arial" w:hAnsi="Arial" w:eastAsia="Arial" w:cs="Arial"/>
          <w:color w:val="000000"/>
          <w:sz w:val="19"/>
          <w:szCs w:val="19"/>
        </w:rPr>
        <w:t xml:space="preserve">e as sociedades cooperativas,</w:t>
      </w:r>
      <w:r>
        <w:rPr>
          <w:rFonts w:ascii="Arial" w:hAnsi="Arial" w:eastAsia="Arial" w:cs="Arial"/>
          <w:sz w:val="19"/>
          <w:szCs w:val="19"/>
        </w:rPr>
        <w:t xml:space="preserve"> deverão apresentar toda a documentação exigida para efeito de comprovação de regularidade fiscal</w:t>
      </w:r>
      <w:r>
        <w:rPr>
          <w:rFonts w:ascii="Arial" w:hAnsi="Arial" w:eastAsia="Arial" w:cs="Arial"/>
          <w:color w:val="ff0000"/>
          <w:sz w:val="19"/>
          <w:szCs w:val="19"/>
        </w:rPr>
        <w:t xml:space="preserve"> </w:t>
      </w:r>
      <w:r>
        <w:rPr>
          <w:rFonts w:ascii="Arial" w:hAnsi="Arial" w:eastAsia="Arial" w:cs="Arial"/>
          <w:sz w:val="19"/>
          <w:szCs w:val="19"/>
        </w:rPr>
        <w:t xml:space="preserve">e trabalhista, mesmo que está apresente alguma restrição. </w:t>
      </w:r>
      <w:r>
        <w:rPr>
          <w:rFonts w:ascii="Arial" w:hAnsi="Arial" w:cs="Arial"/>
          <w:sz w:val="19"/>
          <w:szCs w:val="19"/>
        </w:rPr>
      </w:r>
      <w:r>
        <w:rPr>
          <w:rFonts w:ascii="Arial" w:hAnsi="Arial" w:cs="Arial"/>
          <w:sz w:val="19"/>
          <w:szCs w:val="19"/>
        </w:rPr>
      </w:r>
    </w:p>
    <w:p>
      <w:pPr>
        <w:pStyle w:val="887"/>
        <w:numPr>
          <w:ilvl w:val="0"/>
          <w:numId w:val="2"/>
        </w:numPr>
        <w:pBdr/>
        <w:spacing/>
        <w:ind w:left="284"/>
        <w:jc w:val="both"/>
        <w:rPr>
          <w:rFonts w:ascii="Arial" w:hAnsi="Arial" w:cs="Arial"/>
          <w:sz w:val="19"/>
          <w:szCs w:val="19"/>
        </w:rPr>
      </w:pPr>
      <w:r>
        <w:rPr>
          <w:rFonts w:ascii="Arial" w:hAnsi="Arial" w:eastAsia="Arial" w:cs="Arial"/>
          <w:sz w:val="19"/>
          <w:szCs w:val="19"/>
        </w:rPr>
      </w:r>
      <w:r>
        <w:rPr>
          <w:rFonts w:ascii="Arial" w:hAnsi="Arial" w:cs="Arial"/>
          <w:sz w:val="19"/>
          <w:szCs w:val="19"/>
        </w:rPr>
      </w:r>
      <w:r>
        <w:rPr>
          <w:rFonts w:ascii="Arial" w:hAnsi="Arial" w:cs="Arial"/>
          <w:sz w:val="19"/>
          <w:szCs w:val="19"/>
        </w:rPr>
      </w:r>
    </w:p>
    <w:p>
      <w:pPr>
        <w:pStyle w:val="887"/>
        <w:pBdr/>
        <w:spacing/>
        <w:ind/>
        <w:jc w:val="both"/>
        <w:rPr>
          <w:rFonts w:ascii="Arial" w:hAnsi="Arial" w:cs="Arial"/>
          <w:sz w:val="19"/>
          <w:szCs w:val="19"/>
        </w:rPr>
      </w:pPr>
      <w:r>
        <w:rPr>
          <w:rFonts w:ascii="Arial" w:hAnsi="Arial" w:eastAsia="Arial" w:cs="Arial"/>
          <w:b/>
          <w:sz w:val="19"/>
          <w:szCs w:val="19"/>
        </w:rPr>
        <w:t xml:space="preserve">a) </w:t>
      </w:r>
      <w:r>
        <w:rPr>
          <w:rFonts w:ascii="Arial" w:hAnsi="Arial" w:eastAsia="Arial" w:cs="Arial"/>
          <w:sz w:val="19"/>
          <w:szCs w:val="19"/>
        </w:rPr>
        <w:t xml:space="preserve">Havendo alguma restrição na comprovação da regularidade fiscal e trabalhista, será assegurado o prazo de 5 (cinco) dias úteis, cujo termo inicial corresponderá ao momento em que o proponente for declarado o vencedor do certame, pr</w:t>
      </w:r>
      <w:r>
        <w:rPr>
          <w:rFonts w:ascii="Arial" w:hAnsi="Arial" w:eastAsia="Arial" w:cs="Arial"/>
          <w:sz w:val="19"/>
          <w:szCs w:val="19"/>
        </w:rPr>
        <w:t xml:space="preserve">orrogável por igual período, a critério da administração pública, para a regularização da documentação, pagamento ou parcelamento do débito e emissão de eventuais certidões negativas ou positivas com efeito de certidão negativa. (Art. 43, §1º LC 123/2006).</w:t>
      </w:r>
      <w:r>
        <w:rPr>
          <w:rFonts w:ascii="Arial" w:hAnsi="Arial" w:cs="Arial"/>
          <w:sz w:val="19"/>
          <w:szCs w:val="19"/>
        </w:rPr>
      </w:r>
      <w:r>
        <w:rPr>
          <w:rFonts w:ascii="Arial" w:hAnsi="Arial" w:cs="Arial"/>
          <w:sz w:val="19"/>
          <w:szCs w:val="19"/>
        </w:rPr>
      </w:r>
    </w:p>
    <w:p>
      <w:pPr>
        <w:pStyle w:val="887"/>
        <w:numPr>
          <w:ilvl w:val="0"/>
          <w:numId w:val="2"/>
        </w:numPr>
        <w:pBdr/>
        <w:spacing/>
        <w:ind w:left="284"/>
        <w:jc w:val="both"/>
        <w:rPr>
          <w:rFonts w:ascii="Arial" w:hAnsi="Arial" w:cs="Arial"/>
          <w:sz w:val="19"/>
          <w:szCs w:val="19"/>
        </w:rPr>
      </w:pPr>
      <w:r>
        <w:rPr>
          <w:rFonts w:ascii="Arial" w:hAnsi="Arial" w:eastAsia="Arial" w:cs="Arial"/>
          <w:sz w:val="19"/>
          <w:szCs w:val="19"/>
        </w:rPr>
      </w:r>
      <w:r>
        <w:rPr>
          <w:rFonts w:ascii="Arial" w:hAnsi="Arial" w:cs="Arial"/>
          <w:sz w:val="19"/>
          <w:szCs w:val="19"/>
        </w:rPr>
      </w:r>
      <w:r>
        <w:rPr>
          <w:rFonts w:ascii="Arial" w:hAnsi="Arial" w:cs="Arial"/>
          <w:sz w:val="19"/>
          <w:szCs w:val="19"/>
        </w:rPr>
      </w:r>
    </w:p>
    <w:p>
      <w:pPr>
        <w:pStyle w:val="887"/>
        <w:pBdr/>
        <w:spacing/>
        <w:ind/>
        <w:jc w:val="both"/>
        <w:rPr>
          <w:rFonts w:ascii="Arial" w:hAnsi="Arial" w:cs="Arial"/>
        </w:rPr>
      </w:pPr>
      <w:r>
        <w:rPr>
          <w:rFonts w:ascii="Arial" w:hAnsi="Arial" w:eastAsia="Arial" w:cs="Arial"/>
          <w:b/>
          <w:color w:val="000000"/>
        </w:rPr>
        <w:t xml:space="preserve">b)</w:t>
      </w:r>
      <w:r>
        <w:rPr>
          <w:rFonts w:ascii="Arial" w:hAnsi="Arial" w:eastAsia="Arial" w:cs="Arial"/>
          <w:color w:val="000000"/>
        </w:rPr>
        <w:t xml:space="preserve"> A prorrogação do prazo prevista na alínea “a”, poderá ser concedida, a critério da administração pública, quando requerida pelo licitante, mediante apresentação de justificativa.</w:t>
      </w:r>
      <w:r>
        <w:rPr>
          <w:rFonts w:ascii="Arial" w:hAnsi="Arial" w:cs="Arial"/>
        </w:rPr>
      </w:r>
      <w:r>
        <w:rPr>
          <w:rFonts w:ascii="Arial" w:hAnsi="Arial" w:cs="Arial"/>
        </w:rPr>
      </w:r>
    </w:p>
    <w:p>
      <w:pPr>
        <w:pStyle w:val="887"/>
        <w:numPr>
          <w:ilvl w:val="0"/>
          <w:numId w:val="2"/>
        </w:numPr>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2075"/>
        <w:pBdr/>
        <w:spacing/>
        <w:ind/>
        <w:jc w:val="both"/>
        <w:rPr>
          <w:rFonts w:ascii="Arial" w:hAnsi="Arial" w:cs="Arial"/>
          <w:sz w:val="20"/>
          <w:szCs w:val="20"/>
        </w:rPr>
      </w:pPr>
      <w:r>
        <w:rPr>
          <w:rFonts w:ascii="Arial" w:hAnsi="Arial" w:eastAsia="Arial" w:cs="Arial"/>
          <w:b/>
          <w:sz w:val="20"/>
          <w:szCs w:val="20"/>
        </w:rPr>
        <w:t xml:space="preserve">c)</w:t>
      </w:r>
      <w:r>
        <w:rPr>
          <w:rFonts w:ascii="Arial" w:hAnsi="Arial" w:eastAsia="Arial" w:cs="Arial"/>
          <w:sz w:val="20"/>
          <w:szCs w:val="20"/>
        </w:rPr>
        <w:t xml:space="preserve"> A não regularização da documentação no prazo previsto na alínea “a”, i</w:t>
      </w:r>
      <w:r>
        <w:rPr>
          <w:rFonts w:ascii="Arial" w:hAnsi="Arial" w:eastAsia="Arial" w:cs="Arial"/>
          <w:sz w:val="20"/>
          <w:szCs w:val="20"/>
        </w:rPr>
        <w:t xml:space="preserve">mplicará na decadência do direito à contratação, sem prejuízo das sanções previstas em Lei, sendo facultado à Administração convocar para nova sessão pública os licitantes remanescentes, na ordem de classificação, para contratação, ou revogar a licitação. </w:t>
      </w:r>
      <w:r>
        <w:rPr>
          <w:rFonts w:ascii="Arial" w:hAnsi="Arial" w:cs="Arial"/>
          <w:sz w:val="20"/>
          <w:szCs w:val="20"/>
        </w:rPr>
      </w:r>
      <w:r>
        <w:rPr>
          <w:rFonts w:ascii="Arial" w:hAnsi="Arial" w:cs="Arial"/>
          <w:sz w:val="20"/>
          <w:szCs w:val="20"/>
        </w:rPr>
      </w:r>
    </w:p>
    <w:p>
      <w:pPr>
        <w:pStyle w:val="887"/>
        <w:numPr>
          <w:ilvl w:val="0"/>
          <w:numId w:val="2"/>
        </w:numPr>
        <w:pBdr/>
        <w:spacing/>
        <w:ind/>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numPr>
          <w:ilvl w:val="0"/>
          <w:numId w:val="2"/>
        </w:numPr>
        <w:pBdr/>
        <w:spacing/>
        <w:ind/>
        <w:jc w:val="both"/>
        <w:rPr>
          <w:rFonts w:ascii="Arial" w:hAnsi="Arial" w:cs="Arial"/>
          <w:b/>
          <w:color w:val="000000" w:themeColor="text1"/>
        </w:rPr>
      </w:pPr>
      <w:r>
        <w:rPr>
          <w:rFonts w:ascii="Arial" w:hAnsi="Arial" w:eastAsia="Arial" w:cs="Arial"/>
          <w:b/>
          <w:bCs/>
          <w:color w:val="000000"/>
        </w:rPr>
        <w:t xml:space="preserve">13.6. QUALIFICAÇÃO TÉCNICA </w:t>
      </w:r>
      <w:r>
        <w:rPr>
          <w:rFonts w:ascii="Arial" w:hAnsi="Arial" w:eastAsia="Arial" w:cs="Arial"/>
          <w:b/>
          <w:bCs/>
        </w:rPr>
        <w:t xml:space="preserve">CONFORME TERMO DE REFERÊNCIA: </w:t>
      </w:r>
      <w:r>
        <w:rPr>
          <w:rFonts w:ascii="Arial" w:hAnsi="Arial" w:cs="Arial"/>
          <w:b/>
          <w:color w:val="000000" w:themeColor="text1"/>
        </w:rPr>
      </w:r>
      <w:r>
        <w:rPr>
          <w:rFonts w:ascii="Arial" w:hAnsi="Arial" w:cs="Arial"/>
          <w:b/>
          <w:color w:val="000000" w:themeColor="text1"/>
        </w:rPr>
      </w:r>
    </w:p>
    <w:p>
      <w:pPr>
        <w:pStyle w:val="887"/>
        <w:numPr>
          <w:ilvl w:val="0"/>
          <w:numId w:val="2"/>
        </w:numPr>
        <w:pBdr/>
        <w:spacing/>
        <w:ind/>
        <w:jc w:val="both"/>
        <w:rPr>
          <w:rFonts w:ascii="Arial" w:hAnsi="Arial" w:cs="Arial"/>
          <w:b/>
          <w:bCs/>
          <w:color w:val="000000" w:themeColor="text1"/>
        </w:rPr>
      </w:pPr>
      <w:r>
        <w:rPr>
          <w:rFonts w:ascii="Arial" w:hAnsi="Arial" w:eastAsia="Arial" w:cs="Arial"/>
          <w:b/>
          <w:bCs/>
          <w:color w:val="000000" w:themeColor="text1"/>
        </w:rPr>
      </w:r>
      <w:r>
        <w:rPr>
          <w:rFonts w:ascii="Arial" w:hAnsi="Arial" w:cs="Arial"/>
          <w:b/>
          <w:bCs/>
          <w:color w:val="000000" w:themeColor="text1"/>
        </w:rPr>
      </w:r>
      <w:r>
        <w:rPr>
          <w:rFonts w:ascii="Arial" w:hAnsi="Arial" w:cs="Arial"/>
          <w:b/>
          <w:bCs/>
          <w:color w:val="000000" w:themeColor="text1"/>
        </w:rPr>
      </w:r>
    </w:p>
    <w:p w14:paraId="14CE128B">
      <w:pPr>
        <w:pBdr>
          <w:top w:val="none" w:color="000000" w:sz="4" w:space="0"/>
          <w:left w:val="none" w:color="000000" w:sz="4" w:space="0"/>
          <w:bottom w:val="none" w:color="000000" w:sz="4" w:space="0"/>
          <w:right w:val="none" w:color="000000" w:sz="4" w:space="0"/>
        </w:pBdr>
        <w:spacing/>
        <w:ind/>
        <w:jc w:val="both"/>
        <w:rPr>
          <w:rFonts w:ascii="Arial" w:hAnsi="Arial" w:eastAsia="Arial" w:cs="Arial"/>
          <w:color w:val="000000"/>
          <w14:ligatures w14:val="none"/>
        </w:rPr>
      </w:pPr>
      <w:r>
        <w:rPr>
          <w:rFonts w:ascii="Arial" w:hAnsi="Arial" w:eastAsia="Arial" w:cs="Arial"/>
          <w:b/>
          <w:bCs/>
          <w:color w:val="000000"/>
        </w:rPr>
        <w:t xml:space="preserve">13.6.1.</w:t>
      </w:r>
      <w:r>
        <w:rPr>
          <w:rFonts w:ascii="Arial" w:hAnsi="Arial" w:eastAsia="Arial" w:cs="Arial"/>
          <w:color w:val="000000"/>
        </w:rPr>
        <w:t xml:space="preserve"> Apresentar uma ou mais certidões ou </w:t>
      </w:r>
      <w:r>
        <w:rPr>
          <w:rFonts w:ascii="Arial" w:hAnsi="Arial" w:eastAsia="Arial" w:cs="Arial"/>
          <w:b/>
          <w:bCs/>
          <w:color w:val="000000"/>
        </w:rPr>
        <w:t xml:space="preserve">atestados de capacidade técnica</w:t>
      </w:r>
      <w:r>
        <w:rPr>
          <w:rFonts w:ascii="Arial" w:hAnsi="Arial" w:eastAsia="Arial" w:cs="Arial"/>
          <w:color w:val="000000"/>
        </w:rPr>
        <w:t xml:space="preserve">, emitidos por pessoa jurídica de direito público ou privado, que comprovem o fornecimento satisfatório de tubos, agulhas, adaptadores ou outros materiais médico-hospitalares de natureza e</w:t>
      </w:r>
      <w:r>
        <w:rPr>
          <w:rFonts w:ascii="Arial" w:hAnsi="Arial" w:eastAsia="Arial" w:cs="Arial"/>
          <w:color w:val="000000"/>
        </w:rPr>
        <w:t xml:space="preserve"> complexidade semelhantes ao objeto da contratação.</w:t>
      </w:r>
      <w:r>
        <w:rPr>
          <w:rFonts w:ascii="Arial" w:hAnsi="Arial" w:eastAsia="Arial" w:cs="Arial"/>
          <w:color w:val="000000"/>
        </w:rPr>
      </w:r>
      <w:r>
        <w:rPr>
          <w:rFonts w:ascii="Arial" w:hAnsi="Arial" w:eastAsia="Arial" w:cs="Arial"/>
          <w:color w:val="000000"/>
          <w14:ligatures w14:val="none"/>
        </w:rPr>
      </w:r>
    </w:p>
    <w:p w14:paraId="4AA77551">
      <w:pPr>
        <w:pBdr>
          <w:top w:val="none" w:color="000000" w:sz="4" w:space="0"/>
          <w:left w:val="none" w:color="000000" w:sz="4" w:space="0"/>
          <w:bottom w:val="none" w:color="000000" w:sz="4" w:space="0"/>
          <w:right w:val="none" w:color="000000" w:sz="4" w:space="0"/>
        </w:pBdr>
        <w:spacing/>
        <w:ind/>
        <w:jc w:val="both"/>
        <w:rPr>
          <w:rFonts w:ascii="Arial" w:hAnsi="Arial" w:eastAsia="Arial" w:cs="Arial"/>
          <w:color w:val="000000"/>
          <w14:ligatures w14:val="none"/>
        </w:rPr>
      </w:pPr>
      <w:r>
        <w:rPr>
          <w:rFonts w:ascii="Arial" w:hAnsi="Arial" w:eastAsia="Arial" w:cs="Arial"/>
          <w:color w:val="000000"/>
          <w:highlight w:val="none"/>
        </w:rPr>
      </w:r>
      <w:r>
        <w:rPr>
          <w:rFonts w:ascii="Arial" w:hAnsi="Arial" w:eastAsia="Arial" w:cs="Arial"/>
          <w:color w:val="000000"/>
          <w:highlight w:val="none"/>
        </w:rPr>
      </w:r>
      <w:r>
        <w:rPr>
          <w:rFonts w:ascii="Arial" w:hAnsi="Arial" w:eastAsia="Arial" w:cs="Arial"/>
          <w:color w:val="000000"/>
          <w14:ligatures w14:val="none"/>
        </w:rPr>
      </w:r>
    </w:p>
    <w:p w14:paraId="5807F5D2">
      <w:pPr>
        <w:pBdr>
          <w:top w:val="none" w:color="000000" w:sz="4" w:space="0"/>
          <w:left w:val="none" w:color="000000" w:sz="4" w:space="0"/>
          <w:bottom w:val="none" w:color="000000" w:sz="4" w:space="0"/>
          <w:right w:val="none" w:color="000000" w:sz="4" w:space="0"/>
        </w:pBdr>
        <w:spacing/>
        <w:ind/>
        <w:jc w:val="both"/>
        <w:rPr>
          <w:rFonts w:ascii="Arial" w:hAnsi="Arial" w:eastAsia="Arial" w:cs="Arial"/>
          <w:color w:val="000000"/>
          <w:highlight w:val="none"/>
          <w14:ligatures w14:val="none"/>
        </w:rPr>
      </w:pPr>
      <w:r>
        <w:rPr>
          <w:rFonts w:ascii="Arial" w:hAnsi="Arial" w:eastAsia="Arial" w:cs="Arial"/>
          <w:b/>
          <w:bCs/>
          <w:color w:val="000000"/>
        </w:rPr>
        <w:t xml:space="preserve">13.6.1.1.</w:t>
      </w:r>
      <w:r>
        <w:rPr>
          <w:rFonts w:ascii="Arial" w:hAnsi="Arial" w:eastAsia="Arial" w:cs="Arial"/>
          <w:color w:val="000000"/>
        </w:rPr>
        <w:t xml:space="preserve"> O atestado deverá conter elementos suficientes à identificação da pessoa jurídica emitente, da licitante e do objeto fornecido, possibilitando à Administração, quando necessário, promover diligência para confirmação de sua autenticidade e das informações </w:t>
      </w:r>
      <w:r>
        <w:rPr>
          <w:rFonts w:ascii="Arial" w:hAnsi="Arial" w:eastAsia="Arial" w:cs="Arial"/>
          <w:color w:val="000000"/>
        </w:rPr>
        <w:t xml:space="preserve">nele constantes.</w:t>
      </w:r>
      <w:r>
        <w:rPr>
          <w:rFonts w:ascii="Arial" w:hAnsi="Arial" w:eastAsia="Arial" w:cs="Arial"/>
          <w:color w:val="000000"/>
        </w:rPr>
      </w:r>
      <w:r>
        <w:rPr>
          <w:rFonts w:ascii="Arial" w:hAnsi="Arial" w:eastAsia="Arial" w:cs="Arial"/>
          <w:color w:val="000000"/>
          <w:highlight w:val="none"/>
          <w14:ligatures w14:val="none"/>
        </w:rPr>
      </w:r>
    </w:p>
    <w:p w14:paraId="31705DE4">
      <w:pPr>
        <w:pBdr>
          <w:top w:val="none" w:color="000000" w:sz="4" w:space="0"/>
          <w:left w:val="none" w:color="000000" w:sz="4" w:space="0"/>
          <w:bottom w:val="none" w:color="000000" w:sz="4" w:space="0"/>
          <w:right w:val="none" w:color="000000" w:sz="4" w:space="0"/>
        </w:pBdr>
        <w:spacing/>
        <w:ind/>
        <w:jc w:val="both"/>
        <w:rPr>
          <w:rFonts w:ascii="Arial" w:hAnsi="Arial" w:eastAsia="Arial" w:cs="Arial"/>
          <w:color w:val="000000"/>
          <w14:ligatures w14:val="none"/>
        </w:rPr>
      </w:pPr>
      <w:r>
        <w:rPr>
          <w:rFonts w:ascii="Arial" w:hAnsi="Arial" w:eastAsia="Arial" w:cs="Arial"/>
          <w:color w:val="000000"/>
          <w:highlight w:val="none"/>
        </w:rPr>
      </w:r>
      <w:r>
        <w:rPr>
          <w:rFonts w:ascii="Arial" w:hAnsi="Arial" w:eastAsia="Arial" w:cs="Arial"/>
          <w:color w:val="000000"/>
          <w:highlight w:val="none"/>
        </w:rPr>
      </w:r>
      <w:r>
        <w:rPr>
          <w:rFonts w:ascii="Arial" w:hAnsi="Arial" w:eastAsia="Arial" w:cs="Arial"/>
          <w:color w:val="000000"/>
          <w14:ligatures w14:val="none"/>
        </w:rPr>
      </w:r>
    </w:p>
    <w:p w14:paraId="4191011A">
      <w:pPr>
        <w:pBdr>
          <w:top w:val="none" w:color="000000" w:sz="4" w:space="0"/>
          <w:left w:val="none" w:color="000000" w:sz="4" w:space="0"/>
          <w:bottom w:val="none" w:color="000000" w:sz="4" w:space="0"/>
          <w:right w:val="none" w:color="000000" w:sz="4" w:space="0"/>
        </w:pBdr>
        <w:spacing/>
        <w:ind/>
        <w:jc w:val="both"/>
        <w:rPr>
          <w:rFonts w:ascii="Arial" w:hAnsi="Arial" w:eastAsia="Arial" w:cs="Arial"/>
          <w:color w:val="000000"/>
          <w:highlight w:val="none"/>
          <w14:ligatures w14:val="none"/>
        </w:rPr>
      </w:pPr>
      <w:r>
        <w:rPr>
          <w:rFonts w:ascii="Arial" w:hAnsi="Arial" w:eastAsia="Arial" w:cs="Arial"/>
          <w:b/>
          <w:bCs/>
          <w:color w:val="000000"/>
        </w:rPr>
        <w:t xml:space="preserve">13.6.1.2.</w:t>
      </w:r>
      <w:r>
        <w:rPr>
          <w:rFonts w:ascii="Arial" w:hAnsi="Arial" w:eastAsia="Arial" w:cs="Arial"/>
          <w:color w:val="000000"/>
        </w:rPr>
        <w:t xml:space="preserve"> Não será exigido reconhecimento de firma, autenticação cartorial ou requisito formal não indispensável à comprovação da capacidade técnica, sem prejuízo da realização de diligência quando houver dúvida fundada quanto à autenticidade do documento.</w:t>
      </w:r>
      <w:r>
        <w:rPr>
          <w:rFonts w:ascii="Arial" w:hAnsi="Arial" w:eastAsia="Arial" w:cs="Arial"/>
          <w:color w:val="000000"/>
        </w:rPr>
      </w:r>
      <w:r>
        <w:rPr>
          <w:rFonts w:ascii="Arial" w:hAnsi="Arial" w:eastAsia="Arial" w:cs="Arial"/>
          <w:color w:val="000000"/>
          <w:highlight w:val="none"/>
          <w14:ligatures w14:val="none"/>
        </w:rPr>
      </w:r>
    </w:p>
    <w:p w14:paraId="635F9329">
      <w:pPr>
        <w:pBdr/>
        <w:spacing/>
        <w:ind/>
        <w:jc w:val="both"/>
        <w:rPr>
          <w:rFonts w:ascii="Arial" w:hAnsi="Arial" w:eastAsia="Arial" w:cs="Arial"/>
          <w:color w:val="000000"/>
          <w14:ligatures w14:val="none"/>
        </w:rPr>
      </w:pPr>
      <w:r>
        <w:rPr>
          <w:rFonts w:ascii="Arial" w:hAnsi="Arial" w:eastAsia="Arial" w:cs="Arial"/>
          <w:color w:val="000000"/>
          <w:highlight w:val="none"/>
        </w:rPr>
      </w:r>
      <w:r>
        <w:rPr>
          <w:rFonts w:ascii="Arial" w:hAnsi="Arial" w:eastAsia="Arial" w:cs="Arial"/>
          <w:color w:val="000000"/>
          <w:highlight w:val="none"/>
        </w:rPr>
      </w:r>
      <w:r>
        <w:rPr>
          <w:rFonts w:ascii="Arial" w:hAnsi="Arial" w:eastAsia="Arial" w:cs="Arial"/>
          <w:color w:val="000000"/>
          <w14:ligatures w14:val="none"/>
        </w:rPr>
      </w:r>
    </w:p>
    <w:p>
      <w:pPr>
        <w:pBdr/>
        <w:spacing/>
        <w:ind/>
        <w:jc w:val="both"/>
        <w:rPr>
          <w:rFonts w:ascii="Arial" w:hAnsi="Arial" w:eastAsia="Arial" w:cs="Arial"/>
          <w:color w:val="000000"/>
          <w:highlight w:val="none"/>
          <w14:ligatures w14:val="none"/>
        </w:rPr>
      </w:pPr>
      <w:r>
        <w:rPr>
          <w:rFonts w:ascii="Arial" w:hAnsi="Arial" w:eastAsia="Arial" w:cs="Arial"/>
          <w:b/>
          <w:bCs/>
          <w:color w:val="000000"/>
        </w:rPr>
        <w:t xml:space="preserve">13.6.2.</w:t>
      </w:r>
      <w:r>
        <w:rPr>
          <w:rFonts w:ascii="Arial" w:hAnsi="Arial" w:eastAsia="Arial" w:cs="Arial"/>
          <w:color w:val="000000"/>
        </w:rPr>
        <w:t xml:space="preserve"> </w:t>
      </w:r>
      <w:r>
        <w:rPr>
          <w:rFonts w:ascii="Arial" w:hAnsi="Arial" w:eastAsia="Arial" w:cs="Arial"/>
          <w:b/>
          <w:bCs/>
          <w:color w:val="000000"/>
        </w:rPr>
        <w:t xml:space="preserve">Alvará Sanitário</w:t>
      </w:r>
      <w:r>
        <w:rPr>
          <w:rFonts w:ascii="Arial" w:hAnsi="Arial" w:eastAsia="Arial" w:cs="Arial"/>
          <w:color w:val="000000"/>
        </w:rPr>
        <w:t xml:space="preserve"> ou Licença de Funcionamento </w:t>
      </w:r>
      <w:r>
        <w:rPr>
          <w:rFonts w:ascii="Arial" w:hAnsi="Arial" w:eastAsia="Arial" w:cs="Arial"/>
          <w:color w:val="000000"/>
        </w:rPr>
        <w:t xml:space="preserve">ou Licença Sanitária Estadual, Municipal ou do Distrito Federal, emitida pela Vigilância Sanitária da Secretaria de Saúde Estadual, Municipal ou do Distrito Federal, atualizada, pertinente com o objeto licitado. </w:t>
      </w:r>
      <w:r>
        <w:rPr>
          <w:rFonts w:ascii="Arial" w:hAnsi="Arial" w:eastAsia="Arial" w:cs="Arial"/>
          <w:color w:val="000000"/>
        </w:rPr>
      </w:r>
      <w:r>
        <w:rPr>
          <w:rFonts w:ascii="Arial" w:hAnsi="Arial" w:eastAsia="Arial" w:cs="Arial"/>
          <w:color w:val="000000"/>
          <w:highlight w:val="none"/>
          <w14:ligatures w14:val="none"/>
        </w:rPr>
      </w:r>
    </w:p>
    <w:p w14:paraId="507FCB2F">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14:paraId="703C5D9B">
      <w:pPr>
        <w:pBdr/>
        <w:spacing/>
        <w:ind/>
        <w:jc w:val="both"/>
        <w:rPr>
          <w:rFonts w:ascii="Arial" w:hAnsi="Arial" w:cs="Arial"/>
          <w:color w:val="000000"/>
          <w14:ligatures w14:val="none"/>
        </w:rPr>
      </w:pPr>
      <w:r>
        <w:rPr>
          <w:rFonts w:ascii="Arial" w:hAnsi="Arial" w:eastAsia="Arial" w:cs="Arial"/>
          <w:color w:val="000000"/>
        </w:rPr>
      </w:r>
      <w:r>
        <w:rPr>
          <w:rFonts w:ascii="Arial" w:hAnsi="Arial" w:eastAsia="Arial" w:cs="Arial"/>
          <w:b/>
          <w:bCs/>
          <w:color w:val="000000"/>
        </w:rPr>
        <w:t xml:space="preserve">13.6.3.</w:t>
      </w:r>
      <w:r>
        <w:rPr>
          <w:rFonts w:ascii="Arial" w:hAnsi="Arial" w:eastAsia="Arial" w:cs="Arial"/>
          <w:color w:val="000000"/>
        </w:rPr>
        <w:t xml:space="preserve"> </w:t>
      </w:r>
      <w:r>
        <w:rPr>
          <w:rFonts w:ascii="Arial" w:hAnsi="Arial" w:eastAsia="Arial" w:cs="Arial"/>
          <w:color w:val="000000"/>
        </w:rPr>
        <w:t xml:space="preserve">Apresentar</w:t>
      </w:r>
      <w:r>
        <w:rPr>
          <w:rFonts w:ascii="Arial" w:hAnsi="Arial" w:eastAsia="Arial" w:cs="Arial"/>
          <w:b/>
          <w:bCs/>
          <w:color w:val="000000"/>
        </w:rPr>
        <w:t xml:space="preserve"> Autorização de Funcionamento de Empresa – </w:t>
      </w:r>
      <w:r>
        <w:rPr>
          <w:rFonts w:ascii="Arial" w:hAnsi="Arial" w:eastAsia="Arial" w:cs="Arial"/>
          <w:b/>
          <w:bCs/>
          <w:color w:val="000000"/>
        </w:rPr>
        <w:t xml:space="preserve">AFE</w:t>
      </w:r>
      <w:r>
        <w:rPr>
          <w:rFonts w:ascii="Arial" w:hAnsi="Arial" w:eastAsia="Arial" w:cs="Arial"/>
          <w:color w:val="000000"/>
        </w:rPr>
        <w:t xml:space="preserve">, quando exigível pela legislação sanitária aplicável à atividade exercida pela licitante, compatível com o objeto licitado, sem prejuízo da apresentação do </w:t>
      </w:r>
      <w:r>
        <w:rPr>
          <w:rFonts w:ascii="Arial" w:hAnsi="Arial" w:eastAsia="Arial" w:cs="Arial"/>
          <w:color w:val="000000"/>
        </w:rPr>
        <w:t xml:space="preserve">registro ou regularização do produto ofertado perante a ANVISA.</w:t>
      </w:r>
      <w:r>
        <w:rPr>
          <w:rFonts w:ascii="Arial" w:hAnsi="Arial" w:cs="Arial"/>
          <w:color w:val="000000"/>
          <w14:ligatures w14:val="none"/>
        </w:rPr>
      </w:r>
      <w:r>
        <w:rPr>
          <w:rFonts w:ascii="Arial" w:hAnsi="Arial" w:cs="Arial"/>
          <w:color w:val="000000"/>
          <w14:ligatures w14:val="none"/>
        </w:rPr>
      </w:r>
    </w:p>
    <w:p w14:paraId="0B4DD3B6">
      <w:pPr>
        <w:pStyle w:val="887"/>
        <w:pBdr/>
        <w:spacing/>
        <w:ind/>
        <w:jc w:val="both"/>
        <w:rPr>
          <w:rFonts w:ascii="Arial" w:hAnsi="Arial" w:cs="Arial"/>
          <w:color w:val="000000"/>
        </w:rPr>
      </w:pPr>
      <w:r>
        <w:rPr>
          <w:rFonts w:ascii="Arial" w:hAnsi="Arial" w:eastAsia="Arial" w:cs="Arial"/>
          <w:highlight w:val="none"/>
        </w:rPr>
      </w:r>
      <w:r>
        <w:rPr>
          <w:rFonts w:ascii="Arial" w:hAnsi="Arial" w:cs="Arial"/>
          <w:color w:val="000000"/>
        </w:rPr>
      </w:r>
      <w:r>
        <w:rPr>
          <w:rFonts w:ascii="Arial" w:hAnsi="Arial" w:cs="Arial"/>
          <w:color w:val="000000"/>
        </w:rPr>
      </w:r>
    </w:p>
    <w:p w14:paraId="1B3638E5">
      <w:pPr>
        <w:pBdr/>
        <w:spacing/>
        <w:ind/>
        <w:jc w:val="both"/>
        <w:rPr>
          <w:rFonts w:ascii="Arial" w:hAnsi="Arial" w:cs="Arial"/>
          <w:color w:val="000000"/>
          <w14:ligatures w14:val="none"/>
        </w:rPr>
      </w:pPr>
      <w:r>
        <w:rPr>
          <w:rFonts w:ascii="Arial" w:hAnsi="Arial" w:eastAsia="Arial" w:cs="Arial"/>
          <w:color w:val="000000"/>
          <w:highlight w:val="none"/>
        </w:rPr>
      </w:r>
      <w:r>
        <w:rPr>
          <w:rFonts w:ascii="Arial" w:hAnsi="Arial" w:eastAsia="Arial" w:cs="Arial"/>
          <w:b/>
          <w:bCs/>
          <w:color w:val="000000"/>
        </w:rPr>
        <w:t xml:space="preserve">13.6.3.</w:t>
      </w:r>
      <w:r>
        <w:rPr>
          <w:rFonts w:ascii="Arial" w:hAnsi="Arial" w:eastAsia="Arial" w:cs="Arial"/>
          <w:b/>
          <w:bCs/>
          <w:color w:val="000000"/>
        </w:rPr>
        <w:t xml:space="preserve">1.</w:t>
      </w:r>
      <w:r>
        <w:rPr>
          <w:rFonts w:ascii="Arial" w:hAnsi="Arial" w:eastAsia="Arial" w:cs="Arial"/>
          <w:color w:val="000000"/>
          <w:highlight w:val="none"/>
        </w:rPr>
        <w:t xml:space="preserve"> </w:t>
      </w:r>
      <w:r>
        <w:rPr>
          <w:rFonts w:ascii="Arial" w:hAnsi="Arial" w:eastAsia="Arial" w:cs="Arial"/>
          <w:color w:val="000000"/>
        </w:rPr>
        <w:t xml:space="preserve">O</w:t>
      </w:r>
      <w:r>
        <w:rPr>
          <w:rFonts w:ascii="Arial" w:hAnsi="Arial" w:eastAsia="Arial" w:cs="Arial"/>
          <w:color w:val="000000"/>
        </w:rPr>
        <w:t xml:space="preserve">s p</w:t>
      </w:r>
      <w:r>
        <w:rPr>
          <w:rFonts w:ascii="Arial" w:hAnsi="Arial" w:eastAsia="Arial" w:cs="Arial"/>
          <w:color w:val="000000"/>
        </w:rPr>
        <w:t xml:space="preserve">rodutos deverão estar devidamente regularizados peran</w:t>
      </w:r>
      <w:r>
        <w:rPr>
          <w:rFonts w:ascii="Arial" w:hAnsi="Arial" w:eastAsia="Arial" w:cs="Arial"/>
          <w:color w:val="000000"/>
        </w:rPr>
        <w:t xml:space="preserve">te a Agência Nacional de Vigilância Sanitária – Anvisa, conforme o respectivo enquadramento sanitário, devendo a licitante apresentar, quando exigido, registro, notificação, cadastro ou documento que comprove eventual hipótese de dispensa de regularização.</w:t>
      </w:r>
      <w:r>
        <w:rPr>
          <w:rFonts w:ascii="Arial" w:hAnsi="Arial" w:cs="Arial"/>
          <w:color w:val="000000"/>
          <w14:ligatures w14:val="none"/>
        </w:rPr>
      </w:r>
      <w:r>
        <w:rPr>
          <w:rFonts w:ascii="Arial" w:hAnsi="Arial" w:cs="Arial"/>
          <w:color w:val="000000"/>
          <w14:ligatures w14:val="none"/>
        </w:rPr>
      </w:r>
    </w:p>
    <w:p>
      <w:pPr>
        <w:pStyle w:val="887"/>
        <w:numPr>
          <w:ilvl w:val="0"/>
          <w:numId w:val="2"/>
        </w:numPr>
        <w:pBdr/>
        <w:tabs>
          <w:tab w:val="left" w:leader="none" w:pos="284"/>
          <w:tab w:val="clear" w:leader="none" w:pos="708"/>
        </w:tabs>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color w:val="000000"/>
        </w:rPr>
      </w:pPr>
      <w:r>
        <w:rPr>
          <w:rFonts w:ascii="Arial" w:hAnsi="Arial" w:eastAsia="Arial" w:cs="Arial"/>
          <w:b/>
          <w:bCs/>
          <w:color w:val="000000"/>
        </w:rPr>
        <w:t xml:space="preserve">13.6.4. </w:t>
      </w:r>
      <w:r>
        <w:rPr>
          <w:rFonts w:ascii="Arial" w:hAnsi="Arial" w:eastAsia="Arial" w:cs="Arial"/>
          <w:color w:val="000000"/>
        </w:rPr>
        <w:t xml:space="preserve">A exigência da qualificação técnica está fundamentada na Lei nº 14.133/202</w:t>
      </w:r>
      <w:r>
        <w:rPr>
          <w:rFonts w:ascii="Arial" w:hAnsi="Arial" w:eastAsia="Arial" w:cs="Arial"/>
          <w:color w:val="000000"/>
        </w:rPr>
        <w:t xml:space="preserve">1, e visa garantir a capacidade técnica dos fornecedores para assegurar a qualidade e eficiência dos materiais e serviços prestados, conforme termo de referência. Além da garantia de que os fornecedores cumprem com as regras sanitárias pertinentes ao caso.</w:t>
      </w:r>
      <w:r>
        <w:rPr>
          <w:rFonts w:ascii="Arial" w:hAnsi="Arial" w:cs="Arial"/>
          <w:color w:val="000000"/>
        </w:rPr>
      </w:r>
      <w:r>
        <w:rPr>
          <w:rFonts w:ascii="Arial" w:hAnsi="Arial" w:cs="Arial"/>
          <w:color w:val="000000"/>
        </w:rPr>
      </w:r>
    </w:p>
    <w:p>
      <w:pPr>
        <w:pStyle w:val="887"/>
        <w:numPr>
          <w:ilvl w:val="0"/>
          <w:numId w:val="2"/>
        </w:numPr>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rPr>
        <w:t xml:space="preserve">13.7. DA REALIZAÇÃO DE CONSULTA EM NOME DA SOCIEDADE EMPRESÁRIA, LICITANTE E DE EVENTUAL MATRIZ OU FILIAL E DE SEUS SÓCIOS JUNTO AO: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bCs/>
        </w:rPr>
        <w:t xml:space="preserve">13.7.1.</w:t>
      </w:r>
      <w:r>
        <w:rPr>
          <w:rFonts w:ascii="Arial" w:hAnsi="Arial" w:eastAsia="Arial" w:cs="Arial"/>
        </w:rPr>
        <w:t xml:space="preserve"> </w:t>
      </w:r>
      <w:r>
        <w:rPr>
          <w:rFonts w:ascii="Arial" w:hAnsi="Arial" w:eastAsia="Arial" w:cs="Arial"/>
          <w:color w:val="000000"/>
        </w:rPr>
        <w:t xml:space="preserve">Cadastro Nacional de Condenações Cíveis por Atos de Improbidade Administrativa, mantido pelo Conselho Nacional de Justiça – CNJ, no endereço eletrônico </w:t>
      </w:r>
      <w:hyperlink r:id="rId28" w:tooltip="http://www.cnj.jus.br/improbidade_adm/consultar_requerido.php" w:history="1">
        <w:r>
          <w:rPr>
            <w:rFonts w:ascii="Arial" w:hAnsi="Arial" w:eastAsia="Arial" w:cs="Arial"/>
            <w:color w:val="2e74b5"/>
            <w:u w:val="single"/>
          </w:rPr>
          <w:t xml:space="preserve">www.cnj.jus.br/improbidade_adm/consultar_requerido.php</w:t>
        </w:r>
      </w:hyperlink>
      <w:r>
        <w:rPr>
          <w:rFonts w:ascii="Arial" w:hAnsi="Arial" w:eastAsia="Arial" w:cs="Arial"/>
          <w:color w:val="000000"/>
        </w:rPr>
        <w:t xml:space="preserve">;</w:t>
      </w:r>
      <w:r>
        <w:rPr>
          <w:rFonts w:ascii="Arial" w:hAnsi="Arial" w:cs="Arial"/>
        </w:rPr>
      </w:r>
      <w:r>
        <w:rPr>
          <w:rFonts w:ascii="Arial" w:hAnsi="Arial" w:cs="Arial"/>
        </w:rPr>
      </w:r>
    </w:p>
    <w:p>
      <w:pPr>
        <w:pStyle w:val="887"/>
        <w:pBdr/>
        <w:spacing/>
        <w:ind w:left="426"/>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bCs/>
        </w:rPr>
        <w:t xml:space="preserve">13.7.2.</w:t>
      </w:r>
      <w:r>
        <w:rPr>
          <w:rFonts w:ascii="Arial" w:hAnsi="Arial" w:eastAsia="Arial" w:cs="Arial"/>
        </w:rPr>
        <w:t xml:space="preserve"> Cadastro Nacional das Empresas Inidôneas e Suspensas – CEIS, no endereço eletrônico </w:t>
      </w:r>
      <w:hyperlink r:id="rId29" w:tooltip="http://www.portaldatransparencia.gov.br/ceis" w:history="1">
        <w:r>
          <w:rPr>
            <w:rFonts w:ascii="Arial" w:hAnsi="Arial" w:eastAsia="Arial" w:cs="Arial"/>
            <w:color w:val="2e74b5"/>
            <w:u w:val="single"/>
          </w:rPr>
          <w:t xml:space="preserve">www.portaldatransparencia.gov.br/ceis</w:t>
        </w:r>
      </w:hyperlink>
      <w:r>
        <w:rPr>
          <w:rFonts w:ascii="Arial" w:hAnsi="Arial" w:eastAsia="Arial" w:cs="Arial"/>
        </w:rPr>
        <w:t xml:space="preserve">.</w:t>
      </w:r>
      <w:r>
        <w:rPr>
          <w:rFonts w:ascii="Arial" w:hAnsi="Arial" w:cs="Arial"/>
        </w:rPr>
      </w:r>
      <w:r>
        <w:rPr>
          <w:rFonts w:ascii="Arial" w:hAnsi="Arial" w:cs="Arial"/>
        </w:rPr>
      </w:r>
    </w:p>
    <w:p>
      <w:pPr>
        <w:pStyle w:val="887"/>
        <w:pBdr/>
        <w:spacing/>
        <w:ind w:left="426"/>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color w:val="2e74b5"/>
          <w:u w:val="single"/>
        </w:rPr>
      </w:pPr>
      <w:r>
        <w:rPr>
          <w:rFonts w:ascii="Arial" w:hAnsi="Arial" w:eastAsia="Arial" w:cs="Arial"/>
          <w:b/>
          <w:bCs/>
        </w:rPr>
        <w:t xml:space="preserve">13.7.3. </w:t>
      </w:r>
      <w:r>
        <w:rPr>
          <w:rFonts w:ascii="Arial" w:hAnsi="Arial" w:eastAsia="Arial" w:cs="Arial"/>
        </w:rPr>
        <w:t xml:space="preserve">No caso dos licitantes Pessoa Jurídica as consultas acima poderão ser substituídas pela Consulta Consolidada de Pessoa Jurídica do TCU, no endereço eletrônico </w:t>
      </w:r>
      <w:hyperlink r:id="rId30" w:tooltip="https://certidoes-apf.apps.tcu.gov.br/" w:history="1">
        <w:r>
          <w:rPr>
            <w:rFonts w:ascii="Arial" w:hAnsi="Arial" w:eastAsia="Arial" w:cs="Arial"/>
            <w:color w:val="2e74b5"/>
            <w:u w:val="single"/>
          </w:rPr>
          <w:t xml:space="preserve">https://certidoes-apf.apps.tcu.gov.br</w:t>
        </w:r>
      </w:hyperlink>
      <w:r>
        <w:rPr>
          <w:rFonts w:ascii="Arial" w:hAnsi="Arial" w:eastAsia="Arial" w:cs="Arial"/>
          <w:color w:val="2e74b5"/>
          <w:u w:val="single"/>
        </w:rPr>
        <w:t xml:space="preserve">.</w:t>
      </w:r>
      <w:r>
        <w:rPr>
          <w:rFonts w:ascii="Arial" w:hAnsi="Arial" w:cs="Arial"/>
          <w:color w:val="2e74b5"/>
          <w:u w:val="single"/>
        </w:rPr>
      </w:r>
      <w:r>
        <w:rPr>
          <w:rFonts w:ascii="Arial" w:hAnsi="Arial" w:cs="Arial"/>
          <w:color w:val="2e74b5"/>
          <w:u w:val="single"/>
        </w:rPr>
      </w:r>
    </w:p>
    <w:p>
      <w:pPr>
        <w:pStyle w:val="887"/>
        <w:pBdr/>
        <w:spacing/>
        <w:ind w:left="284"/>
        <w:jc w:val="both"/>
        <w:rPr>
          <w:rFonts w:ascii="Arial" w:hAnsi="Arial" w:cs="Arial"/>
          <w:b/>
          <w:bCs/>
        </w:rPr>
      </w:pPr>
      <w:r>
        <w:rPr>
          <w:rFonts w:ascii="Arial" w:hAnsi="Arial" w:eastAsia="Arial" w:cs="Arial"/>
          <w:b/>
          <w:bCs/>
        </w:rPr>
      </w:r>
      <w:r>
        <w:rPr>
          <w:rFonts w:ascii="Arial" w:hAnsi="Arial" w:cs="Arial"/>
          <w:b/>
          <w:bCs/>
        </w:rPr>
      </w:r>
      <w:r>
        <w:rPr>
          <w:rFonts w:ascii="Arial" w:hAnsi="Arial" w:cs="Arial"/>
          <w:b/>
          <w:bCs/>
        </w:rPr>
      </w:r>
    </w:p>
    <w:p>
      <w:pPr>
        <w:pStyle w:val="887"/>
        <w:pBdr/>
        <w:spacing/>
        <w:ind/>
        <w:jc w:val="both"/>
        <w:rPr>
          <w:rFonts w:ascii="Arial" w:hAnsi="Arial" w:cs="Arial"/>
        </w:rPr>
      </w:pPr>
      <w:r>
        <w:rPr>
          <w:rFonts w:ascii="Arial" w:hAnsi="Arial" w:eastAsia="Arial" w:cs="Arial"/>
          <w:b/>
        </w:rPr>
        <w:t xml:space="preserve">13.8. Sob pena de inabilitação, todos os documentos apresentados para habilitação deverão estar em nome da licitante, e, preferencialmente</w:t>
      </w:r>
      <w:r>
        <w:rPr>
          <w:rFonts w:ascii="Arial" w:hAnsi="Arial" w:eastAsia="Arial" w:cs="Arial"/>
        </w:rPr>
        <w:t xml:space="preserve">, com número do CNPJ e com o endereço respectivo: </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13.8.1.</w:t>
      </w:r>
      <w:r>
        <w:rPr>
          <w:rFonts w:ascii="Arial" w:hAnsi="Arial" w:eastAsia="Arial" w:cs="Arial"/>
        </w:rPr>
        <w:t xml:space="preserve"> Se a licitante for a matriz, todos os documentos deverão estar em nome da matriz; </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13.8.2.</w:t>
      </w:r>
      <w:r>
        <w:rPr>
          <w:rFonts w:ascii="Arial" w:hAnsi="Arial" w:eastAsia="Arial" w:cs="Arial"/>
        </w:rPr>
        <w:t xml:space="preserve"> Se a licitante for a filial, todos os documentos deverão estar em nome da filial, exceto aqueles documentos que, pela própria natureza, comprovadamente, forem emitidos somente em nome da matriz; </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14:paraId="0C08370E">
      <w:pPr>
        <w:pBdr>
          <w:top w:val="none" w:color="000000" w:sz="4" w:space="0"/>
          <w:left w:val="none" w:color="000000" w:sz="4" w:space="0"/>
          <w:bottom w:val="none" w:color="000000" w:sz="4" w:space="0"/>
          <w:right w:val="none" w:color="000000" w:sz="4" w:space="0"/>
        </w:pBdr>
        <w:spacing/>
        <w:ind/>
        <w:jc w:val="both"/>
        <w:rPr>
          <w:rFonts w:ascii="Arial" w:hAnsi="Arial" w:eastAsia="Arial" w:cs="Arial"/>
          <w:highlight w:val="none"/>
          <w:lang w:val="pt-BR"/>
          <w14:ligatures w14:val="none"/>
        </w:rPr>
      </w:pPr>
      <w:r>
        <w:rPr>
          <w:rFonts w:ascii="Arial" w:hAnsi="Arial" w:eastAsia="Arial" w:cs="Arial"/>
          <w:b/>
          <w:bCs/>
        </w:rPr>
        <w:t xml:space="preserve">13.9.</w:t>
      </w:r>
      <w:r>
        <w:rPr>
          <w:rFonts w:ascii="Arial" w:hAnsi="Arial" w:eastAsia="Arial" w:cs="Arial"/>
        </w:rPr>
        <w:t xml:space="preserve"> As certidões e documentos cuja natureza seja sujeita a prazo de validade e que não contenham prazo expressamente indicado pelo órgão emissor </w:t>
      </w:r>
      <w:r>
        <w:rPr>
          <w:rFonts w:ascii="Arial" w:hAnsi="Arial" w:eastAsia="Arial" w:cs="Arial"/>
          <w:b/>
          <w:bCs/>
        </w:rPr>
        <w:t xml:space="preserve">serão considerados válidos por 60 (sessenta) dias</w:t>
      </w:r>
      <w:r>
        <w:rPr>
          <w:rFonts w:ascii="Arial" w:hAnsi="Arial" w:eastAsia="Arial" w:cs="Arial"/>
        </w:rPr>
        <w:t xml:space="preserve"> contados da data de emissão.</w:t>
      </w:r>
      <w:r>
        <w:rPr>
          <w:rFonts w:ascii="Arial" w:hAnsi="Arial" w:eastAsia="Arial" w:cs="Arial"/>
        </w:rPr>
      </w:r>
      <w:r>
        <w:rPr>
          <w:rFonts w:ascii="Arial" w:hAnsi="Arial" w:eastAsia="Arial" w:cs="Arial"/>
          <w:highlight w:val="none"/>
          <w:lang w:val="pt-BR"/>
          <w14:ligatures w14:val="none"/>
        </w:rPr>
      </w:r>
    </w:p>
    <w:p w14:paraId="3F74C2AB">
      <w:pPr>
        <w:pBdr>
          <w:top w:val="none" w:color="000000" w:sz="4" w:space="0"/>
          <w:left w:val="none" w:color="000000" w:sz="4" w:space="0"/>
          <w:bottom w:val="none" w:color="000000" w:sz="4" w:space="0"/>
          <w:right w:val="none" w:color="000000" w:sz="4" w:space="0"/>
        </w:pBdr>
        <w:spacing/>
        <w:ind/>
        <w:jc w:val="both"/>
        <w:rPr>
          <w:rFonts w:ascii="Arial" w:hAnsi="Arial" w:eastAsia="Arial" w:cs="Arial"/>
          <w14:ligatures w14:val="none"/>
        </w:rPr>
      </w:pPr>
      <w:r>
        <w:rPr>
          <w:rFonts w:ascii="Arial" w:hAnsi="Arial" w:eastAsia="Arial" w:cs="Arial"/>
          <w:highlight w:val="none"/>
          <w:lang w:val="pt-BR"/>
        </w:rPr>
      </w:r>
      <w:r>
        <w:rPr>
          <w:rFonts w:ascii="Arial" w:hAnsi="Arial" w:eastAsia="Arial" w:cs="Arial"/>
          <w:highlight w:val="none"/>
          <w:lang w:val="pt-BR"/>
        </w:rPr>
      </w:r>
      <w:r>
        <w:rPr>
          <w:rFonts w:ascii="Arial" w:hAnsi="Arial" w:eastAsia="Arial" w:cs="Arial"/>
          <w14:ligatures w14:val="none"/>
        </w:rPr>
      </w:r>
    </w:p>
    <w:p w14:paraId="79A44F5D">
      <w:pPr>
        <w:pBdr>
          <w:top w:val="none" w:color="000000" w:sz="4" w:space="0"/>
          <w:left w:val="none" w:color="000000" w:sz="4" w:space="0"/>
          <w:bottom w:val="none" w:color="000000" w:sz="4" w:space="0"/>
          <w:right w:val="none" w:color="000000" w:sz="4" w:space="0"/>
        </w:pBdr>
        <w:spacing/>
        <w:ind/>
        <w:jc w:val="both"/>
        <w:rPr>
          <w:rFonts w:ascii="Arial" w:hAnsi="Arial" w:eastAsia="Arial" w:cs="Arial"/>
          <w14:ligatures w14:val="none"/>
        </w:rPr>
      </w:pPr>
      <w:r>
        <w:rPr>
          <w:rFonts w:ascii="Arial" w:hAnsi="Arial" w:eastAsia="Arial" w:cs="Arial"/>
          <w:b/>
          <w:bCs/>
        </w:rPr>
        <w:t xml:space="preserve">13.9.1.</w:t>
      </w:r>
      <w:r>
        <w:rPr>
          <w:rFonts w:ascii="Arial" w:hAnsi="Arial" w:eastAsia="Arial" w:cs="Arial"/>
        </w:rPr>
        <w:t xml:space="preserve"> A regra do item anterior não se aplica a atos constitutivos, atestados de capacidade técnica, documentos de identificação ou outros documentos que, por sua natureza, não estejam sujeitos a prazo de validade.</w:t>
      </w:r>
      <w:r>
        <w:rPr>
          <w:rFonts w:ascii="Arial" w:hAnsi="Arial" w:eastAsia="Arial" w:cs="Arial"/>
        </w:rPr>
      </w:r>
      <w:r>
        <w:rPr>
          <w:rFonts w:ascii="Arial" w:hAnsi="Arial" w:eastAsia="Arial" w:cs="Arial"/>
          <w14:ligatures w14:val="none"/>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13.10.</w:t>
      </w:r>
      <w:r>
        <w:rPr>
          <w:rFonts w:ascii="Arial" w:hAnsi="Arial" w:eastAsia="Arial" w:cs="Arial"/>
        </w:rPr>
        <w:t xml:space="preserve"> Poderá ser declarado qualquer fato formal, des</w:t>
      </w:r>
      <w:r>
        <w:rPr>
          <w:rFonts w:ascii="Arial" w:hAnsi="Arial" w:eastAsia="Arial" w:cs="Arial"/>
        </w:rPr>
        <w:t xml:space="preserve">de que não implique desobediência à legislação e for evidente a vantagem para a Administração, devendo também, se necessário, promover diligência para dirimir a dúvida, cabendo, inclusive, estabelecer um prazo máximo de 02 (dois) dias úteis para a solução;</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13.11.</w:t>
      </w:r>
      <w:r>
        <w:rPr>
          <w:rFonts w:ascii="Arial" w:hAnsi="Arial" w:eastAsia="Arial" w:cs="Arial"/>
        </w:rPr>
        <w:t xml:space="preserve"> A verificação pelo pregoeiro, em sítios eletrônicos oficiais de órgãos e entidades emissores de certidões constitui meio legal de prova, para fins de habilitação;</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13.12.</w:t>
      </w:r>
      <w:r>
        <w:rPr>
          <w:rFonts w:ascii="Arial" w:hAnsi="Arial" w:eastAsia="Arial" w:cs="Arial"/>
        </w:rPr>
        <w:t xml:space="preserve"> Constatando, por meio de diligência, o não atendimento ao estabelecido, o Pregoeiro considerará a proponente inabilitada e prosseguirá a sessão; </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13.13. </w:t>
      </w:r>
      <w:r>
        <w:rPr>
          <w:rFonts w:ascii="Arial" w:hAnsi="Arial" w:eastAsia="Arial" w:cs="Arial"/>
          <w:color w:val="000000"/>
        </w:rPr>
        <w:t xml:space="preserve">O</w:t>
      </w:r>
      <w:r>
        <w:rPr>
          <w:rFonts w:ascii="Arial" w:hAnsi="Arial" w:eastAsia="Arial" w:cs="Arial"/>
          <w:color w:val="000000"/>
          <w:shd w:val="clear" w:color="auto" w:fill="ffffff"/>
        </w:rPr>
        <w:t xml:space="preserve">s atos e os documentos para habilitação, constantes dos arquivos e registros digitais, serão válidos para todos os efeitos legais, inclusive para comprovação e prestação de contas. (Conf. </w:t>
      </w:r>
      <w:r>
        <w:rPr>
          <w:rFonts w:ascii="Arial" w:hAnsi="Arial" w:eastAsia="Arial" w:cs="Arial"/>
          <w:bCs/>
          <w:color w:val="000000"/>
        </w:rPr>
        <w:t xml:space="preserve">Decreto 10.024 /2019, </w:t>
      </w:r>
      <w:r>
        <w:rPr>
          <w:rFonts w:ascii="Arial" w:hAnsi="Arial" w:eastAsia="Arial" w:cs="Arial"/>
          <w:color w:val="000000"/>
          <w:shd w:val="clear" w:color="auto" w:fill="ffffff"/>
        </w:rPr>
        <w:t xml:space="preserve">Art. 8º, § 1º</w:t>
      </w:r>
      <w:r>
        <w:rPr>
          <w:rFonts w:ascii="Arial" w:hAnsi="Arial" w:eastAsia="Arial" w:cs="Arial"/>
          <w:bCs/>
          <w:color w:val="000000"/>
        </w:rPr>
        <w:t xml:space="preserve">);</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13.14.</w:t>
      </w:r>
      <w:r>
        <w:rPr>
          <w:rFonts w:ascii="Arial" w:hAnsi="Arial" w:eastAsia="Arial" w:cs="Arial"/>
        </w:rPr>
        <w:t xml:space="preserve"> Somente haverá a necessidade de comprovação do preenchimento de requisitos mediante apresentação dos documentos originais não digitais quando houver dúvida em relação à integridade do documento digital ou quando a lei expressamente o exigir. (</w:t>
      </w:r>
      <w:hyperlink r:id="rId31" w:tooltip="https://www.gov.br/compras/pt-br/acesso-a-informacao/legislacao/instrucoes-normativas/instrucao-normativa-no-3-de-26-de-abril-de-2018#art4" w:anchor="art4" w:history="1">
        <w:r>
          <w:rPr>
            <w:rStyle w:val="994"/>
            <w:rFonts w:ascii="Arial" w:hAnsi="Arial" w:eastAsia="Arial" w:cs="Arial"/>
          </w:rPr>
          <w:t xml:space="preserve">IN nº 3/2018, art. 4º, §1º, e art. 6º, §4º</w:t>
        </w:r>
      </w:hyperlink>
      <w:r>
        <w:rPr>
          <w:rFonts w:ascii="Arial" w:hAnsi="Arial" w:eastAsia="Arial" w:cs="Arial"/>
        </w:rPr>
        <w:t xml:space="preserve">);</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13.15.</w:t>
      </w:r>
      <w:r>
        <w:rPr>
          <w:rFonts w:ascii="Arial" w:hAnsi="Arial" w:eastAsia="Arial" w:cs="Arial"/>
        </w:rPr>
        <w:t xml:space="preserve"> O Pregoeiro reserva-se o direito de solicitar o original de qualquer documento, sempre que tiver dúvida e julgar necessário.</w:t>
      </w:r>
      <w:r>
        <w:rPr>
          <w:rFonts w:ascii="Arial" w:hAnsi="Arial" w:cs="Arial"/>
        </w:rPr>
      </w:r>
      <w:r>
        <w:rPr>
          <w:rFonts w:ascii="Arial" w:hAnsi="Arial" w:cs="Arial"/>
        </w:rPr>
      </w:r>
    </w:p>
    <w:p>
      <w:pPr>
        <w:pStyle w:val="887"/>
        <w:pBdr/>
        <w:spacing/>
        <w:ind/>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numPr>
          <w:ilvl w:val="0"/>
          <w:numId w:val="0"/>
        </w:numPr>
        <w:pBdr/>
        <w:spacing/>
        <w:ind/>
        <w:jc w:val="both"/>
        <w:outlineLvl w:val="0"/>
        <w:rPr>
          <w:rFonts w:ascii="Arial" w:hAnsi="Arial" w:cs="Arial"/>
          <w:b/>
          <w:bCs/>
          <w:color w:val="000000"/>
        </w:rPr>
      </w:pPr>
      <w:r/>
      <w:bookmarkStart w:id="76" w:name="_Toc13"/>
      <w:r>
        <w:rPr>
          <w:rFonts w:ascii="Arial" w:hAnsi="Arial" w:eastAsia="Arial" w:cs="Arial"/>
          <w:b/>
          <w:bCs/>
          <w:color w:val="000000"/>
        </w:rPr>
        <w:t xml:space="preserve">14. DO ENVIO DE DOCUMENTOS COMPLEMENTARES QUANDO FOR O CASO:</w:t>
      </w:r>
      <w:bookmarkEnd w:id="76"/>
      <w:r>
        <w:rPr>
          <w:rFonts w:ascii="Arial" w:hAnsi="Arial" w:cs="Arial"/>
          <w:b/>
          <w:bCs/>
          <w:color w:val="000000"/>
        </w:rPr>
      </w:r>
      <w:r>
        <w:rPr>
          <w:rFonts w:ascii="Arial" w:hAnsi="Arial" w:cs="Arial"/>
          <w:b/>
          <w:bCs/>
          <w:color w:val="000000"/>
        </w:rPr>
      </w:r>
    </w:p>
    <w:p>
      <w:pPr>
        <w:pStyle w:val="887"/>
        <w:pBdr/>
        <w:spacing/>
        <w:ind w:left="284"/>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14:paraId="18DD76A3">
      <w:pPr>
        <w:pBdr>
          <w:top w:val="none" w:color="000000" w:sz="4" w:space="0"/>
          <w:left w:val="none" w:color="000000" w:sz="4" w:space="0"/>
          <w:bottom w:val="none" w:color="000000" w:sz="4" w:space="0"/>
          <w:right w:val="none" w:color="000000" w:sz="4" w:space="0"/>
        </w:pBdr>
        <w:spacing/>
        <w:ind/>
        <w:jc w:val="both"/>
        <w:rPr>
          <w:rFonts w:ascii="Arial" w:hAnsi="Arial" w:eastAsia="Arial" w:cs="Arial"/>
          <w14:ligatures w14:val="none"/>
        </w:rPr>
      </w:pPr>
      <w:r>
        <w:rPr>
          <w:rFonts w:ascii="Arial" w:hAnsi="Arial" w:eastAsia="Arial" w:cs="Arial"/>
          <w:b/>
          <w:bCs/>
        </w:rPr>
        <w:t xml:space="preserve">14.1.</w:t>
      </w:r>
      <w:r>
        <w:rPr>
          <w:rFonts w:ascii="Arial" w:hAnsi="Arial" w:eastAsia="Arial" w:cs="Arial"/>
        </w:rPr>
        <w:t xml:space="preserve"> O Pregoeiro poderá promover diligência destinada a esclarecer ou complementar informações constantes dos documentos apresentados pelo licitante ou a atualizar documentos cuja validade tenha expirado após a data de recebimento das propostas.</w:t>
      </w:r>
      <w:r>
        <w:rPr>
          <w:rFonts w:ascii="Arial" w:hAnsi="Arial" w:eastAsia="Arial" w:cs="Arial"/>
        </w:rPr>
      </w:r>
      <w:r>
        <w:rPr>
          <w:rFonts w:ascii="Arial" w:hAnsi="Arial" w:eastAsia="Arial" w:cs="Arial"/>
          <w14:ligatures w14:val="none"/>
        </w:rPr>
      </w:r>
    </w:p>
    <w:p w14:paraId="279D1BB1">
      <w:pPr>
        <w:pBdr>
          <w:top w:val="none" w:color="000000" w:sz="4" w:space="0"/>
          <w:left w:val="none" w:color="000000" w:sz="4" w:space="0"/>
          <w:bottom w:val="none" w:color="000000" w:sz="4" w:space="0"/>
          <w:right w:val="none" w:color="000000" w:sz="4" w:space="0"/>
        </w:pBdr>
        <w:spacing/>
        <w:ind/>
        <w:jc w:val="both"/>
        <w:rPr>
          <w:rFonts w:ascii="Arial" w:hAnsi="Arial" w:eastAsia="Arial" w:cs="Arial"/>
          <w14:ligatures w14:val="none"/>
        </w:rPr>
      </w:pPr>
      <w:r>
        <w:rPr>
          <w:rFonts w:ascii="Arial" w:hAnsi="Arial" w:eastAsia="Arial" w:cs="Arial"/>
          <w:highlight w:val="none"/>
        </w:rPr>
      </w:r>
      <w:r>
        <w:rPr>
          <w:rFonts w:ascii="Arial" w:hAnsi="Arial" w:eastAsia="Arial" w:cs="Arial"/>
          <w:highlight w:val="none"/>
        </w:rPr>
      </w:r>
      <w:r>
        <w:rPr>
          <w:rFonts w:ascii="Arial" w:hAnsi="Arial" w:eastAsia="Arial" w:cs="Arial"/>
          <w14:ligatures w14:val="none"/>
        </w:rPr>
      </w:r>
    </w:p>
    <w:p w14:paraId="6C900BAE">
      <w:pPr>
        <w:pBdr>
          <w:top w:val="none" w:color="000000" w:sz="4" w:space="0"/>
          <w:left w:val="none" w:color="000000" w:sz="4" w:space="0"/>
          <w:bottom w:val="none" w:color="000000" w:sz="4" w:space="0"/>
          <w:right w:val="none" w:color="000000" w:sz="4" w:space="0"/>
        </w:pBdr>
        <w:spacing/>
        <w:ind/>
        <w:jc w:val="both"/>
        <w:rPr>
          <w:rFonts w:ascii="Arial" w:hAnsi="Arial" w:eastAsia="Arial" w:cs="Arial"/>
          <w:highlight w:val="none"/>
          <w14:ligatures w14:val="none"/>
        </w:rPr>
      </w:pPr>
      <w:r>
        <w:rPr>
          <w:rFonts w:ascii="Arial" w:hAnsi="Arial" w:eastAsia="Arial" w:cs="Arial"/>
          <w:b/>
          <w:bCs/>
        </w:rPr>
        <w:t xml:space="preserve">14.1.1.</w:t>
      </w:r>
      <w:r>
        <w:rPr>
          <w:rFonts w:ascii="Arial" w:hAnsi="Arial" w:eastAsia="Arial" w:cs="Arial"/>
          <w:b/>
          <w:bCs/>
        </w:rPr>
        <w:t xml:space="preserve"> </w:t>
      </w:r>
      <w:r>
        <w:rPr>
          <w:rFonts w:ascii="Arial" w:hAnsi="Arial" w:eastAsia="Arial" w:cs="Arial"/>
        </w:rPr>
        <w:t xml:space="preserve">Será admitida a apresentação de documento destinado a comprovar condição ou fato preexistente à abertura do certame, inclusive quando necessário para esclarecer, complementar ou sanar falha ou omissão de natureza formal na documentação apresentada.</w:t>
      </w:r>
      <w:r>
        <w:rPr>
          <w:rFonts w:ascii="Arial" w:hAnsi="Arial" w:eastAsia="Arial" w:cs="Arial"/>
        </w:rPr>
      </w:r>
      <w:r>
        <w:rPr>
          <w:rFonts w:ascii="Arial" w:hAnsi="Arial" w:eastAsia="Arial" w:cs="Arial"/>
          <w:highlight w:val="none"/>
          <w14:ligatures w14:val="none"/>
        </w:rPr>
      </w:r>
    </w:p>
    <w:p w14:paraId="3346258D">
      <w:pPr>
        <w:pBdr>
          <w:top w:val="none" w:color="000000" w:sz="4" w:space="0"/>
          <w:left w:val="none" w:color="000000" w:sz="4" w:space="0"/>
          <w:bottom w:val="none" w:color="000000" w:sz="4" w:space="0"/>
          <w:right w:val="none" w:color="000000" w:sz="4" w:space="0"/>
        </w:pBdr>
        <w:spacing/>
        <w:ind/>
        <w:jc w:val="both"/>
        <w:rPr>
          <w:rFonts w:ascii="Arial" w:hAnsi="Arial" w:eastAsia="Arial" w:cs="Arial"/>
          <w14:ligatures w14:val="none"/>
        </w:rPr>
      </w:pPr>
      <w:r>
        <w:rPr>
          <w:rFonts w:ascii="Arial" w:hAnsi="Arial" w:eastAsia="Arial" w:cs="Arial"/>
          <w:highlight w:val="none"/>
        </w:rPr>
      </w:r>
      <w:r>
        <w:rPr>
          <w:rFonts w:ascii="Arial" w:hAnsi="Arial" w:eastAsia="Arial" w:cs="Arial"/>
          <w:highlight w:val="none"/>
        </w:rPr>
      </w:r>
      <w:r>
        <w:rPr>
          <w:rFonts w:ascii="Arial" w:hAnsi="Arial" w:eastAsia="Arial" w:cs="Arial"/>
          <w14:ligatures w14:val="none"/>
        </w:rPr>
      </w:r>
    </w:p>
    <w:p w14:paraId="6F756236">
      <w:pPr>
        <w:pBdr>
          <w:top w:val="none" w:color="000000" w:sz="4" w:space="0"/>
          <w:left w:val="none" w:color="000000" w:sz="4" w:space="0"/>
          <w:bottom w:val="none" w:color="000000" w:sz="4" w:space="0"/>
          <w:right w:val="none" w:color="000000" w:sz="4" w:space="0"/>
        </w:pBdr>
        <w:spacing/>
        <w:ind/>
        <w:jc w:val="both"/>
        <w:rPr>
          <w:rFonts w:ascii="Arial" w:hAnsi="Arial" w:eastAsia="Arial" w:cs="Arial"/>
          <w:highlight w:val="none"/>
          <w14:ligatures w14:val="none"/>
        </w:rPr>
      </w:pPr>
      <w:r>
        <w:rPr>
          <w:rFonts w:ascii="Arial" w:hAnsi="Arial" w:eastAsia="Arial" w:cs="Arial"/>
          <w:b/>
          <w:bCs/>
        </w:rPr>
        <w:t xml:space="preserve">14.1.2.</w:t>
      </w:r>
      <w:r>
        <w:rPr>
          <w:rFonts w:ascii="Arial" w:hAnsi="Arial" w:eastAsia="Arial" w:cs="Arial"/>
        </w:rPr>
        <w:t xml:space="preserve"> Não será admitida a criação posterior de condição de habilitação ou de requisito material que não estivesse atendido pelo licitante na data própria.</w:t>
      </w:r>
      <w:r>
        <w:rPr>
          <w:rFonts w:ascii="Arial" w:hAnsi="Arial" w:eastAsia="Arial" w:cs="Arial"/>
        </w:rPr>
      </w:r>
      <w:r>
        <w:rPr>
          <w:rFonts w:ascii="Arial" w:hAnsi="Arial" w:eastAsia="Arial" w:cs="Arial"/>
          <w:highlight w:val="none"/>
          <w14:ligatures w14:val="none"/>
        </w:rPr>
      </w:r>
    </w:p>
    <w:p w14:paraId="23176F40">
      <w:pPr>
        <w:pBdr>
          <w:top w:val="none" w:color="000000" w:sz="4" w:space="0"/>
          <w:left w:val="none" w:color="000000" w:sz="4" w:space="0"/>
          <w:bottom w:val="none" w:color="000000" w:sz="4" w:space="0"/>
          <w:right w:val="none" w:color="000000" w:sz="4" w:space="0"/>
        </w:pBdr>
        <w:spacing/>
        <w:ind/>
        <w:jc w:val="both"/>
        <w:rPr>
          <w:rFonts w:ascii="Arial" w:hAnsi="Arial" w:eastAsia="Arial" w:cs="Arial"/>
          <w14:ligatures w14:val="none"/>
        </w:rPr>
      </w:pPr>
      <w:r>
        <w:rPr>
          <w:rFonts w:ascii="Arial" w:hAnsi="Arial" w:eastAsia="Arial" w:cs="Arial"/>
          <w:highlight w:val="none"/>
        </w:rPr>
      </w:r>
      <w:r>
        <w:rPr>
          <w:rFonts w:ascii="Arial" w:hAnsi="Arial" w:eastAsia="Arial" w:cs="Arial"/>
          <w:highlight w:val="none"/>
        </w:rPr>
      </w:r>
      <w:r>
        <w:rPr>
          <w:rFonts w:ascii="Arial" w:hAnsi="Arial" w:eastAsia="Arial" w:cs="Arial"/>
          <w14:ligatures w14:val="none"/>
        </w:rPr>
      </w:r>
    </w:p>
    <w:p w14:paraId="25E07C4C">
      <w:pPr>
        <w:pBdr>
          <w:top w:val="none" w:color="000000" w:sz="4" w:space="0"/>
          <w:left w:val="none" w:color="000000" w:sz="4" w:space="0"/>
          <w:bottom w:val="none" w:color="000000" w:sz="4" w:space="0"/>
          <w:right w:val="none" w:color="000000" w:sz="4" w:space="0"/>
        </w:pBdr>
        <w:spacing/>
        <w:ind/>
        <w:jc w:val="both"/>
        <w:rPr>
          <w:rFonts w:ascii="Arial" w:hAnsi="Arial" w:eastAsia="Arial" w:cs="Arial"/>
          <w:highlight w:val="none"/>
          <w14:ligatures w14:val="none"/>
        </w:rPr>
      </w:pPr>
      <w:r>
        <w:rPr>
          <w:rFonts w:ascii="Arial" w:hAnsi="Arial" w:eastAsia="Arial" w:cs="Arial"/>
          <w:b/>
          <w:bCs/>
        </w:rPr>
        <w:t xml:space="preserve">14.1.3.</w:t>
      </w:r>
      <w:r>
        <w:rPr>
          <w:rFonts w:ascii="Arial" w:hAnsi="Arial" w:eastAsia="Arial" w:cs="Arial"/>
        </w:rPr>
        <w:t xml:space="preserve"> O prazo para atendimento da diligência será fixado pelo Pregoeiro de acordo com a natureza da providência solicitada, observado prazo razoável e tratamento isonômico entre os licitantes.</w:t>
      </w:r>
      <w:r>
        <w:rPr>
          <w:rFonts w:ascii="Arial" w:hAnsi="Arial" w:eastAsia="Arial" w:cs="Arial"/>
        </w:rPr>
      </w:r>
      <w:r>
        <w:rPr>
          <w:rFonts w:ascii="Arial" w:hAnsi="Arial" w:eastAsia="Arial" w:cs="Arial"/>
          <w:highlight w:val="none"/>
          <w14:ligatures w14:val="none"/>
        </w:rPr>
      </w:r>
    </w:p>
    <w:p>
      <w:pPr>
        <w:pBdr/>
        <w:spacing/>
        <w:ind/>
        <w:jc w:val="both"/>
        <w:rPr>
          <w:rFonts w:ascii="Arial" w:hAnsi="Arial" w:eastAsia="Arial" w:cs="Arial"/>
          <w14:ligatures w14:val="none"/>
        </w:rPr>
      </w:pPr>
      <w:r>
        <w:rPr>
          <w:rFonts w:ascii="Arial" w:hAnsi="Arial" w:eastAsia="Arial" w:cs="Arial"/>
        </w:rPr>
      </w:r>
      <w:r>
        <w:rPr>
          <w:rFonts w:ascii="Arial" w:hAnsi="Arial" w:eastAsia="Arial" w:cs="Arial"/>
        </w:rPr>
      </w:r>
      <w:r>
        <w:rPr>
          <w:rFonts w:ascii="Arial" w:hAnsi="Arial" w:eastAsia="Arial" w:cs="Arial"/>
          <w14:ligatures w14:val="none"/>
        </w:rPr>
      </w:r>
    </w:p>
    <w:p>
      <w:pPr>
        <w:pStyle w:val="887"/>
        <w:numPr>
          <w:ilvl w:val="0"/>
          <w:numId w:val="0"/>
        </w:numPr>
        <w:pBdr/>
        <w:spacing/>
        <w:ind/>
        <w:jc w:val="both"/>
        <w:outlineLvl w:val="0"/>
        <w:rPr>
          <w:rFonts w:ascii="Arial" w:hAnsi="Arial" w:cs="Arial"/>
          <w:b/>
          <w:bCs/>
          <w:color w:val="000000"/>
        </w:rPr>
      </w:pPr>
      <w:r/>
      <w:bookmarkStart w:id="77" w:name="_Toc14"/>
      <w:r>
        <w:rPr>
          <w:rFonts w:ascii="Arial" w:hAnsi="Arial" w:eastAsia="Arial" w:cs="Arial"/>
          <w:b/>
          <w:bCs/>
          <w:color w:val="000000"/>
        </w:rPr>
        <w:t xml:space="preserve">15. DA ADJUDICAÇÃO E HOMOLOGAÇÃO:</w:t>
      </w:r>
      <w:bookmarkEnd w:id="77"/>
      <w:r>
        <w:rPr>
          <w:rFonts w:ascii="Arial" w:hAnsi="Arial" w:cs="Arial"/>
          <w:b/>
          <w:bCs/>
          <w:color w:val="000000"/>
        </w:rPr>
      </w:r>
      <w:r>
        <w:rPr>
          <w:rFonts w:ascii="Arial" w:hAnsi="Arial" w:cs="Arial"/>
          <w:b/>
          <w:bCs/>
          <w:color w:val="000000"/>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bCs/>
        </w:rPr>
        <w:t xml:space="preserve">15.1.</w:t>
      </w:r>
      <w:r>
        <w:rPr>
          <w:rFonts w:ascii="Arial" w:hAnsi="Arial" w:eastAsia="Arial" w:cs="Arial"/>
        </w:rPr>
        <w:t xml:space="preserve"> Não havendo recurso e constatado o atendimento das exigências fixadas neste Edital, a licitante será declarada vencedora do certame, sendo-lhe adjudicado o objeto pela autoridade competente.</w:t>
      </w:r>
      <w:r>
        <w:rPr>
          <w:rFonts w:ascii="Arial" w:hAnsi="Arial" w:cs="Arial"/>
        </w:rPr>
      </w:r>
      <w:r>
        <w:rPr>
          <w:rFonts w:ascii="Arial" w:hAnsi="Arial" w:cs="Arial"/>
        </w:rPr>
      </w:r>
    </w:p>
    <w:p>
      <w:pPr>
        <w:pStyle w:val="887"/>
        <w:pBdr/>
        <w:spacing/>
        <w:ind w:left="708"/>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bCs/>
        </w:rPr>
        <w:t xml:space="preserve">15.2.</w:t>
      </w:r>
      <w:r>
        <w:rPr>
          <w:rFonts w:ascii="Arial" w:hAnsi="Arial" w:eastAsia="Arial" w:cs="Arial"/>
        </w:rPr>
        <w:t xml:space="preserve"> Havendo recurso, e mantida a decisão do(a) pregoeiro(a), a autoridade competente, após deliberar sobre o mesmo e constatada a regularidade dos atos procedimentais, poderá adjudicar o objeto à licitante vencedora e homologar o processo licitatório.</w:t>
      </w:r>
      <w:r>
        <w:rPr>
          <w:rFonts w:ascii="Arial" w:hAnsi="Arial" w:cs="Arial"/>
        </w:rPr>
      </w:r>
      <w:r>
        <w:rPr>
          <w:rFonts w:ascii="Arial" w:hAnsi="Arial" w:cs="Arial"/>
        </w:rPr>
      </w:r>
    </w:p>
    <w:p>
      <w:pPr>
        <w:pStyle w:val="887"/>
        <w:pBdr/>
        <w:spacing/>
        <w:ind w:left="708"/>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bCs/>
        </w:rPr>
        <w:t xml:space="preserve">15.3.</w:t>
      </w:r>
      <w:r>
        <w:rPr>
          <w:rFonts w:ascii="Arial" w:hAnsi="Arial" w:eastAsia="Arial" w:cs="Arial"/>
        </w:rPr>
        <w:t xml:space="preserve"> Encerrada a etapa de recurso o(a) pregoeiro(a) encaminhará os autos do processo para a autoridade competente, para adjudicação e homologação do procedimento licitatório, observadas, no que couber, as disposições do </w:t>
      </w:r>
      <w:r>
        <w:rPr>
          <w:rFonts w:ascii="Arial" w:hAnsi="Arial" w:eastAsia="Arial" w:cs="Arial"/>
          <w:color w:val="000000"/>
          <w:u w:val="single"/>
        </w:rPr>
        <w:t xml:space="preserve">art. 71 da Lei Federal nº 14.133/2021</w:t>
      </w:r>
      <w:r>
        <w:rPr>
          <w:rFonts w:ascii="Arial" w:hAnsi="Arial" w:eastAsia="Arial" w:cs="Arial"/>
        </w:rPr>
        <w:t xml:space="preserve">.</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numPr>
          <w:ilvl w:val="0"/>
          <w:numId w:val="0"/>
        </w:numPr>
        <w:pBdr/>
        <w:spacing/>
        <w:ind/>
        <w:jc w:val="both"/>
        <w:outlineLvl w:val="0"/>
        <w:rPr>
          <w:rFonts w:ascii="Arial" w:hAnsi="Arial" w:cs="Arial"/>
          <w:b/>
          <w:bCs/>
        </w:rPr>
      </w:pPr>
      <w:r/>
      <w:bookmarkStart w:id="78" w:name="_Toc15"/>
      <w:r>
        <w:rPr>
          <w:rFonts w:ascii="Arial" w:hAnsi="Arial" w:eastAsia="Arial" w:cs="Arial"/>
          <w:b/>
          <w:bCs/>
          <w:color w:val="000000"/>
        </w:rPr>
        <w:t xml:space="preserve">16. DA ATA DE REGISTRO DE PREÇOS:</w:t>
      </w:r>
      <w:r>
        <w:rPr>
          <w:rFonts w:ascii="Arial" w:hAnsi="Arial" w:eastAsia="Arial" w:cs="Arial"/>
          <w:b/>
          <w:bCs/>
        </w:rPr>
        <w:t xml:space="preserve"> </w:t>
      </w:r>
      <w:bookmarkEnd w:id="78"/>
      <w:r>
        <w:rPr>
          <w:rFonts w:ascii="Arial" w:hAnsi="Arial" w:cs="Arial"/>
          <w:b/>
          <w:bCs/>
        </w:rPr>
      </w:r>
      <w:r>
        <w:rPr>
          <w:rFonts w:ascii="Arial" w:hAnsi="Arial" w:cs="Arial"/>
          <w:b/>
          <w:bCs/>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16.1.</w:t>
      </w:r>
      <w:r>
        <w:rPr>
          <w:rFonts w:ascii="Arial" w:hAnsi="Arial" w:eastAsia="Arial" w:cs="Arial"/>
          <w:color w:val="000000"/>
        </w:rPr>
        <w:t xml:space="preserve"> Homologado o resultado da licitação, o licitante melhor classificado terá o prazo de 05 (cin</w:t>
      </w:r>
      <w:r>
        <w:rPr>
          <w:rFonts w:ascii="Arial" w:hAnsi="Arial" w:eastAsia="Arial" w:cs="Arial"/>
          <w:color w:val="000000"/>
        </w:rPr>
        <w:t xml:space="preserve">co) dias, contados a partir da data de sua convocação, para assinar a Ata de Registro de Preços, cujo prazo de validade encontra-se nela fixado, sob pena de decadência do direito à contratação, sem prejuízo das sanções previstas na Lei nº 14.133, de 2021;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bCs/>
        </w:rPr>
        <w:t xml:space="preserve">16.1.2.</w:t>
      </w:r>
      <w:r>
        <w:rPr>
          <w:rFonts w:ascii="Arial" w:hAnsi="Arial" w:eastAsia="Arial" w:cs="Arial"/>
        </w:rPr>
        <w:t xml:space="preserve"> Alternativamente à convocação para comparecer perante o órgão ou entidade para a assinat</w:t>
      </w:r>
      <w:r>
        <w:rPr>
          <w:rFonts w:ascii="Arial" w:hAnsi="Arial" w:eastAsia="Arial" w:cs="Arial"/>
        </w:rPr>
        <w:t xml:space="preserve">ura da Ata de Registro de Preços, a Administração poderá encaminhá-la para assinatura, mediante correspondência postal com aviso de recebimento (AR) ou meio eletrônico, para que seja assinada no prazo de 5 (cinco) dias, a contar da data de seu recebimento;</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16.2.</w:t>
      </w:r>
      <w:r>
        <w:rPr>
          <w:rFonts w:ascii="Arial" w:hAnsi="Arial" w:eastAsia="Arial" w:cs="Arial"/>
          <w:color w:val="000000"/>
        </w:rPr>
        <w:t xml:space="preserve"> O prazo de convocação poderá ser prorrogado uma vez, por igual período, mediante solicitação do licitante mais bem classificado ou do fornecedor convocado, desde que:</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16.2.1. </w:t>
      </w:r>
      <w:r>
        <w:rPr>
          <w:rFonts w:ascii="Arial" w:hAnsi="Arial" w:eastAsia="Arial" w:cs="Arial"/>
          <w:color w:val="000000"/>
        </w:rPr>
        <w:t xml:space="preserve">A solicitação seja devidamente justificada e apresentada dentro do prazo; e</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16.2.2. </w:t>
      </w:r>
      <w:r>
        <w:rPr>
          <w:rFonts w:ascii="Arial" w:hAnsi="Arial" w:eastAsia="Arial" w:cs="Arial"/>
          <w:color w:val="000000"/>
        </w:rPr>
        <w:t xml:space="preserve">A justificativa apresentada seja aceita pela Administração;</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16.3.</w:t>
      </w:r>
      <w:r>
        <w:rPr>
          <w:rFonts w:ascii="Arial" w:hAnsi="Arial" w:eastAsia="Arial" w:cs="Arial"/>
          <w:color w:val="000000"/>
        </w:rPr>
        <w:t xml:space="preserve"> A ata de registro de preços será assinada por meio de assinatura digital e disponibilizada no sistema de registro de preços;</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16.4.</w:t>
      </w:r>
      <w:r>
        <w:rPr>
          <w:rFonts w:ascii="Arial" w:hAnsi="Arial" w:eastAsia="Arial" w:cs="Arial"/>
          <w:color w:val="000000"/>
        </w:rPr>
        <w:t xml:space="preserve"> Serão formalizadas tantas Atas de Registro de Preços quantas forem necessárias para o registro de todos os itens </w:t>
      </w:r>
      <w:r>
        <w:rPr>
          <w:rFonts w:ascii="Arial" w:hAnsi="Arial" w:eastAsia="Arial" w:cs="Arial"/>
          <w:bCs/>
        </w:rPr>
        <w:t xml:space="preserve">prescritas neste Edital</w:t>
      </w:r>
      <w:r>
        <w:rPr>
          <w:rFonts w:ascii="Arial" w:hAnsi="Arial" w:eastAsia="Arial" w:cs="Arial"/>
          <w:color w:val="000000"/>
        </w:rPr>
        <w:t xml:space="preserve">, com a indicação do licitante vencedor, a descrição do(s) item(ns), as respectivas quantidades, preços registrados e demais condições;</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16.5.</w:t>
      </w:r>
      <w:r>
        <w:rPr>
          <w:rFonts w:ascii="Arial" w:hAnsi="Arial" w:eastAsia="Arial" w:cs="Arial"/>
          <w:color w:val="000000"/>
        </w:rPr>
        <w:t xml:space="preserve"> O preço registrado, com a indicação dos fornecedores, será divulgado no DIORONDON e disponibilizado durante a vigência da ata de registro de preços;</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color w:val="000000"/>
        </w:rPr>
      </w:pPr>
      <w:r>
        <w:rPr>
          <w:rFonts w:ascii="Arial" w:hAnsi="Arial" w:eastAsia="Arial" w:cs="Arial"/>
          <w:b/>
          <w:color w:val="000000"/>
        </w:rPr>
        <w:t xml:space="preserve">16.6.</w:t>
      </w:r>
      <w:r>
        <w:rPr>
          <w:rFonts w:ascii="Arial" w:hAnsi="Arial" w:eastAsia="Arial" w:cs="Arial"/>
          <w:color w:val="000000"/>
        </w:rPr>
        <w:t xml:space="preserve"> A </w:t>
      </w:r>
      <w:r>
        <w:rPr>
          <w:rFonts w:ascii="Arial" w:hAnsi="Arial" w:eastAsia="Arial" w:cs="Arial"/>
          <w:color w:val="000000"/>
        </w:rPr>
        <w:t xml:space="preserve">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rFonts w:ascii="Arial" w:hAnsi="Arial" w:cs="Arial"/>
          <w:color w:val="000000"/>
        </w:rPr>
      </w:r>
      <w:r>
        <w:rPr>
          <w:rFonts w:ascii="Arial" w:hAnsi="Arial" w:cs="Arial"/>
          <w:color w:val="000000"/>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16.7.</w:t>
      </w:r>
      <w:r>
        <w:rPr>
          <w:rFonts w:ascii="Arial" w:hAnsi="Arial" w:eastAsia="Arial" w:cs="Arial"/>
          <w:color w:val="000000"/>
        </w:rPr>
        <w:t xml:space="preserve"> Na hipótese de o convocado não assinar a ata de reg</w:t>
      </w:r>
      <w:r>
        <w:rPr>
          <w:rFonts w:ascii="Arial" w:hAnsi="Arial" w:eastAsia="Arial" w:cs="Arial"/>
          <w:color w:val="000000"/>
        </w:rPr>
        <w:t xml:space="preserve">istro de preços no prazo e nas condições estabelecidas, fica facultado à Administração convocar os licitantes remanescentes do cadastro de reserva, na ordem de classificação, para fazê-lo em igual prazo e nas condições propostas pelo primeiro classificado;</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bCs/>
          <w:color w:val="000000"/>
        </w:rPr>
        <w:t xml:space="preserve">16.8. </w:t>
      </w:r>
      <w:r>
        <w:rPr>
          <w:rFonts w:ascii="Arial" w:hAnsi="Arial" w:eastAsia="Arial" w:cs="Arial"/>
          <w:color w:val="000000"/>
        </w:rPr>
        <w:t xml:space="preserve">Serão formalizadas tantas Atas de Re</w:t>
      </w:r>
      <w:r>
        <w:rPr>
          <w:rFonts w:ascii="Arial" w:hAnsi="Arial" w:eastAsia="Arial" w:cs="Arial"/>
          <w:color w:val="000000"/>
        </w:rPr>
        <w:t xml:space="preserve">gistro de Preços quanto necessárias para o registro de todos os itens constantes no Edital (Anexo - formação de preços), com a indicação do licitante vencedor, a descrição do (s) item (ns), as respectivas quantidades, preços registrados e demais condições.</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16.9.</w:t>
      </w:r>
      <w:r>
        <w:rPr>
          <w:rFonts w:ascii="Arial" w:hAnsi="Arial" w:eastAsia="Arial" w:cs="Arial"/>
          <w:color w:val="000000"/>
        </w:rPr>
        <w:t xml:space="preserve"> Em conformidade com o disposto no Decreto Municipal nº 11.685/2023, especialmente após a alteração promovida pelo art. 1º, que conferiu nova redação ao ar</w:t>
      </w:r>
      <w:r>
        <w:rPr>
          <w:rFonts w:ascii="Arial" w:hAnsi="Arial" w:eastAsia="Arial" w:cs="Arial"/>
          <w:color w:val="000000"/>
        </w:rPr>
        <w:t xml:space="preserve">t. 303 do Decreto Municipal n.º 11.685, a vigência da Ata de Registro de Preços será de 01 (um) ano, podendo ser prorrogada por igual período, desde que comprovada a vantajosidade dos preços registrados para a Administração. Ainda, nos termos do §2º-A do r</w:t>
      </w:r>
      <w:r>
        <w:rPr>
          <w:rFonts w:ascii="Arial" w:hAnsi="Arial" w:eastAsia="Arial" w:cs="Arial"/>
          <w:color w:val="000000"/>
        </w:rPr>
        <w:t xml:space="preserve">eferido artigo, havendo prorrogação da vigência da Ata, fica autorizada a renovação do quantitativo originalmente registrado, mediante comprovação de que os preços permanecem vantajosos e desde que haja anuência expressa do fornecedor detentor do registro.</w:t>
      </w:r>
      <w:r>
        <w:rPr>
          <w:rFonts w:ascii="Arial" w:hAnsi="Arial" w:cs="Arial"/>
        </w:rPr>
      </w:r>
      <w:r>
        <w:rPr>
          <w:rFonts w:ascii="Arial" w:hAnsi="Arial" w:cs="Arial"/>
        </w:rPr>
      </w:r>
    </w:p>
    <w:p>
      <w:pPr>
        <w:pStyle w:val="887"/>
        <w:pBdr/>
        <w:spacing/>
        <w:ind/>
        <w:rPr>
          <w:rFonts w:ascii="Arial" w:hAnsi="Arial" w:cs="Arial"/>
          <w:b/>
          <w:bCs/>
          <w:color w:val="000000"/>
        </w:rPr>
      </w:pPr>
      <w:r>
        <w:rPr>
          <w:rFonts w:ascii="Arial" w:hAnsi="Arial" w:eastAsia="Arial" w:cs="Arial"/>
          <w:b/>
          <w:bCs/>
          <w:color w:val="000000"/>
        </w:rPr>
      </w:r>
      <w:bookmarkStart w:id="23" w:name="_GoBack"/>
      <w:r>
        <w:rPr>
          <w:rFonts w:ascii="Arial" w:hAnsi="Arial" w:eastAsia="Arial" w:cs="Arial"/>
        </w:rPr>
      </w:r>
      <w:bookmarkEnd w:id="23"/>
      <w:r>
        <w:rPr>
          <w:rFonts w:ascii="Arial" w:hAnsi="Arial" w:cs="Arial"/>
          <w:b/>
          <w:bCs/>
          <w:color w:val="000000"/>
        </w:rPr>
      </w:r>
      <w:r>
        <w:rPr>
          <w:rFonts w:ascii="Arial" w:hAnsi="Arial" w:cs="Arial"/>
          <w:b/>
          <w:bCs/>
          <w:color w:val="000000"/>
        </w:rPr>
      </w:r>
    </w:p>
    <w:p>
      <w:pPr>
        <w:pStyle w:val="887"/>
        <w:pBdr/>
        <w:spacing/>
        <w:ind/>
        <w:rPr>
          <w:rFonts w:ascii="Arial" w:hAnsi="Arial" w:cs="Arial"/>
        </w:rPr>
      </w:pPr>
      <w:r>
        <w:rPr>
          <w:rFonts w:ascii="Arial" w:hAnsi="Arial" w:eastAsia="Arial" w:cs="Arial"/>
          <w:b/>
          <w:bCs/>
          <w:color w:val="000000"/>
        </w:rPr>
        <w:t xml:space="preserve">16.10. DA FORMAÇÃO DO CADASTRO DE RESERVA:</w:t>
      </w:r>
      <w:r>
        <w:rPr>
          <w:rFonts w:ascii="Arial" w:hAnsi="Arial" w:cs="Arial"/>
        </w:rPr>
      </w:r>
      <w:r>
        <w:rPr>
          <w:rFonts w:ascii="Arial" w:hAnsi="Arial" w:cs="Arial"/>
        </w:rPr>
      </w:r>
    </w:p>
    <w:p>
      <w:pPr>
        <w:pStyle w:val="887"/>
        <w:pBdr/>
        <w:spacing/>
        <w:ind/>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color w:val="000000"/>
        </w:rPr>
        <w:t xml:space="preserve">16.10.1.</w:t>
      </w:r>
      <w:r>
        <w:rPr>
          <w:rFonts w:ascii="Arial" w:hAnsi="Arial" w:eastAsia="Arial" w:cs="Arial"/>
          <w:color w:val="000000"/>
        </w:rPr>
        <w:t xml:space="preserve"> Após a homologação da licitação, será incluído na ata, na forma de anexo, o registro:</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16.10.1.1.</w:t>
      </w:r>
      <w:r>
        <w:rPr>
          <w:rFonts w:ascii="Arial" w:hAnsi="Arial" w:eastAsia="Arial" w:cs="Arial"/>
          <w:color w:val="000000"/>
        </w:rPr>
        <w:t xml:space="preserve"> Dos licitantes </w:t>
      </w:r>
      <w:bookmarkStart w:id="24" w:name="_Hlk132991372"/>
      <w:r>
        <w:rPr>
          <w:rFonts w:ascii="Arial" w:hAnsi="Arial" w:eastAsia="Arial" w:cs="Arial"/>
          <w:color w:val="000000"/>
        </w:rPr>
        <w:t xml:space="preserve">que </w:t>
      </w:r>
      <w:bookmarkStart w:id="25" w:name="_Hlk132989696"/>
      <w:r>
        <w:rPr>
          <w:rFonts w:ascii="Arial" w:hAnsi="Arial" w:eastAsia="Arial" w:cs="Arial"/>
          <w:color w:val="000000"/>
        </w:rPr>
        <w:t xml:space="preserve">aceitarem cotar o objeto com preço igual ao do adjudicatári</w:t>
      </w:r>
      <w:bookmarkEnd w:id="24"/>
      <w:r>
        <w:rPr>
          <w:rFonts w:ascii="Arial" w:hAnsi="Arial" w:eastAsia="Arial" w:cs="Arial"/>
          <w:color w:val="000000"/>
        </w:rPr>
        <w:t xml:space="preserve">o</w:t>
      </w:r>
      <w:bookmarkEnd w:id="25"/>
      <w:r>
        <w:rPr>
          <w:rFonts w:ascii="Arial" w:hAnsi="Arial" w:eastAsia="Arial" w:cs="Arial"/>
          <w:color w:val="000000"/>
        </w:rPr>
        <w:t xml:space="preserve">, observada a classificação na licitação; e </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16.10.1.2.</w:t>
      </w:r>
      <w:r>
        <w:rPr>
          <w:rFonts w:ascii="Arial" w:hAnsi="Arial" w:eastAsia="Arial" w:cs="Arial"/>
          <w:color w:val="000000"/>
        </w:rPr>
        <w:t xml:space="preserve"> Dos licitantes que mantiverem sua proposta original;</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16.10.2.</w:t>
      </w:r>
      <w:r>
        <w:rPr>
          <w:rFonts w:ascii="Arial" w:hAnsi="Arial" w:eastAsia="Arial" w:cs="Arial"/>
          <w:color w:val="000000"/>
        </w:rPr>
        <w:t xml:space="preserve"> Será respeitada, nas contratações, a ordem de classificação dos licitantes ou fornecedores registrados na ata;</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16.10.2.1.</w:t>
      </w:r>
      <w:r>
        <w:rPr>
          <w:rFonts w:ascii="Arial" w:hAnsi="Arial" w:eastAsia="Arial" w:cs="Arial"/>
          <w:color w:val="000000"/>
        </w:rPr>
        <w:t xml:space="preserve"> A apresentação de novas propostas na forma deste item não prejudicará o resultado do certame em relação ao licitante mais bem classificado;</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16.10.2.2.</w:t>
      </w:r>
      <w:r>
        <w:rPr>
          <w:rFonts w:ascii="Arial" w:hAnsi="Arial" w:eastAsia="Arial" w:cs="Arial"/>
          <w:color w:val="000000"/>
        </w:rPr>
        <w:t xml:space="preserve"> Para fins da ordem de classificação, os licitantes ou fornecedores que aceitarem cotar o objeto com preço igual ao do adjudicatário antecederão aqueles que mantiverem sua proposta original;</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16.10.3.</w:t>
      </w:r>
      <w:r>
        <w:rPr>
          <w:rFonts w:ascii="Arial" w:hAnsi="Arial" w:eastAsia="Arial" w:cs="Arial"/>
          <w:color w:val="000000"/>
        </w:rPr>
        <w:t xml:space="preserve"> A habilitação dos licitantes que comporão o cadastro de reserva será efetuada quando houver necessidade de contratação dos licitantes remanescentes, nas seguintes hipóteses:</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16.10.3.1.</w:t>
      </w:r>
      <w:r>
        <w:rPr>
          <w:rFonts w:ascii="Arial" w:hAnsi="Arial" w:eastAsia="Arial" w:cs="Arial"/>
          <w:color w:val="000000"/>
        </w:rPr>
        <w:t xml:space="preserve"> Quando o licitante vencedor não assinar a ata de registro de preços no prazo e nas condições estabelecidos no edital; ou</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16.10.3.2.</w:t>
      </w:r>
      <w:r>
        <w:rPr>
          <w:rFonts w:ascii="Arial" w:hAnsi="Arial" w:eastAsia="Arial" w:cs="Arial"/>
          <w:color w:val="000000"/>
        </w:rPr>
        <w:t xml:space="preserve"> Quando houver o cancelamento do registro do fornecedor ou do registro de preços;</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16.10.4.</w:t>
      </w:r>
      <w:r>
        <w:rPr>
          <w:rFonts w:ascii="Arial" w:hAnsi="Arial" w:eastAsia="Arial" w:cs="Arial"/>
          <w:color w:val="000000"/>
        </w:rPr>
        <w:t xml:space="preserve"> Na hipótese de nenhum dos licitantes que aceitaram cotar o objet</w:t>
      </w:r>
      <w:r>
        <w:rPr>
          <w:rFonts w:ascii="Arial" w:hAnsi="Arial" w:eastAsia="Arial" w:cs="Arial"/>
          <w:color w:val="000000"/>
        </w:rPr>
        <w:t xml:space="preserve">o com preço igual ao do adjudicatário concordar com a contratação nos termos em igual prazo e nas condições propostas pelo primeiro classificado, a Administração, observados o valor estimado e a sua eventual atualização na forma prevista no edital, poderá:</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16.10.4.1. </w:t>
      </w:r>
      <w:r>
        <w:rPr>
          <w:rFonts w:ascii="Arial" w:hAnsi="Arial" w:eastAsia="Arial" w:cs="Arial"/>
          <w:color w:val="000000"/>
        </w:rPr>
        <w:t xml:space="preserve">Convocar os licitantes que mantiveram sua proposta original para negociação, na ordem de classificação, com vistas à obtenção de preço melhor, mesmo que acima do preço do adjudicatário; ou</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16.10.4.2. </w:t>
      </w:r>
      <w:r>
        <w:rPr>
          <w:rFonts w:ascii="Arial" w:hAnsi="Arial" w:eastAsia="Arial" w:cs="Arial"/>
          <w:color w:val="000000"/>
        </w:rPr>
        <w:t xml:space="preserve">Adjudicar e firmar o contrato nas condições ofertadas pelos licitantes remanescentes, observada a ordem de classificação, quando frustrada a negociação de melhor condição.</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16.11. DA POSSIBILIDADE DE ADESÃO A ARP ("CARONA"):</w:t>
      </w:r>
      <w:r>
        <w:rPr>
          <w:rFonts w:ascii="Arial" w:hAnsi="Arial" w:cs="Arial"/>
        </w:rPr>
      </w:r>
      <w:r>
        <w:rPr>
          <w:rFonts w:ascii="Arial" w:hAnsi="Arial" w:cs="Arial"/>
        </w:rPr>
      </w:r>
    </w:p>
    <w:p>
      <w:pPr>
        <w:pStyle w:val="887"/>
        <w:pBdr/>
        <w:spacing/>
        <w:ind/>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color w:val="000000"/>
        </w:rPr>
      </w:pPr>
      <w:r>
        <w:rPr>
          <w:rFonts w:ascii="Arial" w:hAnsi="Arial" w:eastAsia="Arial" w:cs="Arial"/>
          <w:b/>
          <w:bCs/>
          <w:color w:val="000000"/>
        </w:rPr>
        <w:t xml:space="preserve">16.11.1.</w:t>
      </w:r>
      <w:r>
        <w:rPr>
          <w:rFonts w:ascii="Arial" w:hAnsi="Arial" w:eastAsia="Arial" w:cs="Arial"/>
          <w:color w:val="000000"/>
        </w:rPr>
        <w:t xml:space="preserve"> Por falta de justific</w:t>
      </w:r>
      <w:r>
        <w:rPr>
          <w:rFonts w:ascii="Arial" w:hAnsi="Arial" w:eastAsia="Arial" w:cs="Arial"/>
          <w:color w:val="000000"/>
        </w:rPr>
        <w:t xml:space="preserve">ativa ou motivação por parte das unidades demandantes a clausula foi excluída, conforme orientação do TCU: “A inserção de cláusula em edital licitatório prevendo a possibilidade de adesão a ata de registro de preços por órgãos ou entidades não participante</w:t>
      </w:r>
      <w:r>
        <w:rPr>
          <w:rFonts w:ascii="Arial" w:hAnsi="Arial" w:eastAsia="Arial" w:cs="Arial"/>
          <w:color w:val="000000"/>
        </w:rPr>
        <w:t xml:space="preserve">s do planejamento da contratação ("carona") exige justificativa específica, lastreada em estudo técnico referente ao objeto licitado e devidamente registrada no documento de planejamento da contratação.” (Acórdão 311/2018-Plenário | Relator: BRUNO DANTAS).</w:t>
      </w:r>
      <w:r>
        <w:rPr>
          <w:rFonts w:ascii="Arial" w:hAnsi="Arial" w:cs="Arial"/>
          <w:color w:val="000000"/>
        </w:rPr>
      </w:r>
      <w:r>
        <w:rPr>
          <w:rFonts w:ascii="Arial" w:hAnsi="Arial" w:cs="Arial"/>
          <w:color w:val="000000"/>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bCs/>
          <w:color w:val="000000"/>
        </w:rPr>
        <w:t xml:space="preserve">16.11.2.</w:t>
      </w:r>
      <w:r>
        <w:rPr>
          <w:rFonts w:ascii="Arial" w:hAnsi="Arial" w:eastAsia="Arial" w:cs="Arial"/>
          <w:color w:val="000000"/>
        </w:rPr>
        <w:t xml:space="preserve"> Fica vedada à participação do órgão ou entidade</w:t>
      </w:r>
      <w:r>
        <w:rPr>
          <w:rFonts w:ascii="Arial" w:hAnsi="Arial" w:eastAsia="Arial" w:cs="Arial"/>
          <w:color w:val="000000"/>
        </w:rPr>
        <w:t xml:space="preserve"> em mais de uma ata de registro de preços com o mesmo objeto no prazo de validade daquela de que já tiver participado, salvo na ocorrência de ata que tenha registrado quantitativo inferior ao máximo previsto no edital; (Art.82 Inciso VIII, Lei 14.133/2021)</w:t>
      </w:r>
      <w:r>
        <w:rPr>
          <w:rFonts w:ascii="Arial" w:hAnsi="Arial" w:eastAsia="Arial" w:cs="Arial"/>
          <w:color w:val="000000"/>
        </w:rPr>
        <w:t xml:space="preserve">.</w:t>
      </w:r>
      <w:r>
        <w:rPr>
          <w:rFonts w:ascii="Arial" w:hAnsi="Arial" w:cs="Arial"/>
          <w:color w:val="000000"/>
        </w:rPr>
      </w:r>
      <w:r>
        <w:rPr>
          <w:rFonts w:ascii="Arial" w:hAnsi="Arial" w:cs="Arial"/>
          <w:color w:val="000000"/>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numPr>
          <w:ilvl w:val="0"/>
          <w:numId w:val="0"/>
        </w:numPr>
        <w:pBdr/>
        <w:spacing/>
        <w:ind/>
        <w:jc w:val="both"/>
        <w:outlineLvl w:val="0"/>
        <w:rPr>
          <w:rFonts w:ascii="Arial" w:hAnsi="Arial" w:cs="Arial"/>
          <w:b/>
          <w:bCs/>
          <w:color w:val="000000"/>
        </w:rPr>
      </w:pPr>
      <w:r/>
      <w:bookmarkStart w:id="79" w:name="_Toc16"/>
      <w:r>
        <w:rPr>
          <w:rFonts w:ascii="Arial" w:hAnsi="Arial" w:eastAsia="Arial" w:cs="Arial"/>
          <w:b/>
          <w:bCs/>
          <w:color w:val="000000"/>
        </w:rPr>
        <w:t xml:space="preserve">17. DOS RECURSOS SOBRE PROPOSTA, HABILITAÇÃO OU INABILITAÇÃO DE LICITANTES:</w:t>
      </w:r>
      <w:bookmarkEnd w:id="79"/>
      <w:r>
        <w:rPr>
          <w:rFonts w:ascii="Arial" w:hAnsi="Arial" w:cs="Arial"/>
          <w:b/>
          <w:bCs/>
          <w:color w:val="000000"/>
        </w:rPr>
      </w:r>
      <w:r>
        <w:rPr>
          <w:rFonts w:ascii="Arial" w:hAnsi="Arial" w:cs="Arial"/>
          <w:b/>
          <w:bCs/>
          <w:color w:val="000000"/>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color w:val="000000"/>
        </w:rPr>
        <w:t xml:space="preserve">17.1.</w:t>
      </w:r>
      <w:r>
        <w:rPr>
          <w:rFonts w:ascii="Arial" w:hAnsi="Arial" w:eastAsia="Arial" w:cs="Arial"/>
          <w:color w:val="000000"/>
        </w:rPr>
        <w:t xml:space="preserve"> Ao final da sessão </w:t>
      </w:r>
      <w:r>
        <w:rPr>
          <w:rFonts w:ascii="Arial" w:hAnsi="Arial" w:eastAsia="Arial" w:cs="Arial"/>
          <w:b/>
          <w:color w:val="000000"/>
        </w:rPr>
        <w:t xml:space="preserve">Declarado o(s) Vencedor(es)</w:t>
      </w:r>
      <w:r>
        <w:rPr>
          <w:rFonts w:ascii="Arial" w:hAnsi="Arial" w:eastAsia="Arial" w:cs="Arial"/>
          <w:color w:val="000000"/>
        </w:rPr>
        <w:t xml:space="preserve">, qualquer licitante poderá, </w:t>
      </w:r>
      <w:r>
        <w:rPr>
          <w:rFonts w:ascii="Arial" w:hAnsi="Arial" w:eastAsia="Arial" w:cs="Arial"/>
          <w:color w:val="000000"/>
          <w:shd w:val="clear" w:color="auto" w:fill="ffffff"/>
        </w:rPr>
        <w:t xml:space="preserve">durante o </w:t>
      </w:r>
      <w:r>
        <w:rPr>
          <w:rFonts w:ascii="Arial" w:hAnsi="Arial" w:eastAsia="Arial" w:cs="Arial"/>
          <w:b/>
          <w:color w:val="000000"/>
          <w:shd w:val="clear" w:color="auto" w:fill="ffffff"/>
        </w:rPr>
        <w:t xml:space="preserve">prazo de 60 (sessenta) minutos</w:t>
      </w:r>
      <w:r>
        <w:rPr>
          <w:rFonts w:ascii="Arial" w:hAnsi="Arial" w:eastAsia="Arial" w:cs="Arial"/>
          <w:color w:val="000000"/>
          <w:shd w:val="clear" w:color="auto" w:fill="ffffff"/>
        </w:rPr>
        <w:t xml:space="preserve">, </w:t>
      </w:r>
      <w:r>
        <w:rPr>
          <w:rFonts w:ascii="Arial" w:hAnsi="Arial" w:eastAsia="Arial" w:cs="Arial"/>
          <w:color w:val="000000"/>
        </w:rPr>
        <w:t xml:space="preserve">de forma imediata, em campo próprio no sítio eletrônico  </w:t>
      </w:r>
      <w:hyperlink r:id="rId32" w:tooltip="mailto:bllcompras.com" w:history="1">
        <w:r>
          <w:rPr>
            <w:rStyle w:val="994"/>
            <w:rFonts w:ascii="Arial" w:hAnsi="Arial" w:eastAsia="Arial" w:cs="Arial"/>
            <w:b/>
            <w:color w:val="000000"/>
          </w:rPr>
          <w:t xml:space="preserve">bllcompras.com</w:t>
        </w:r>
      </w:hyperlink>
      <w:r>
        <w:rPr>
          <w:rFonts w:ascii="Arial" w:hAnsi="Arial" w:eastAsia="Arial" w:cs="Arial"/>
          <w:color w:val="000000"/>
        </w:rPr>
        <w:t xml:space="preserve">, manifestar sua intenção de recorrer, impugnando o julgamento da(s) proposta(s) ou o ato de habilitação ou inabilitação do(s) licitante(s), sob pena de preclusão desse direito;</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17.1.1.</w:t>
      </w:r>
      <w:r>
        <w:rPr>
          <w:rFonts w:ascii="Arial" w:hAnsi="Arial" w:eastAsia="Arial" w:cs="Arial"/>
          <w:color w:val="000000"/>
        </w:rPr>
        <w:t xml:space="preserve"> A interposição de recurso referente ao julgamento das propostas, à habilitação ou inabilitação de licitantes, à anulação ou revogação da licitação, observará o disposto no </w:t>
      </w:r>
      <w:hyperlink r:id="rId33" w:tooltip="http://www.planalto.gov.br/ccivil_03/_ato2019-2022/2021/lei/L14133.htm#art165" w:anchor="art165" w:history="1">
        <w:r>
          <w:rPr>
            <w:rStyle w:val="994"/>
            <w:rFonts w:ascii="Arial" w:hAnsi="Arial" w:eastAsia="Arial" w:cs="Arial"/>
            <w:color w:val="000000"/>
          </w:rPr>
          <w:t xml:space="preserve">art. 165 da Lei nº 14.133, de 2021</w:t>
        </w:r>
      </w:hyperlink>
      <w:r>
        <w:rPr>
          <w:rFonts w:ascii="Arial" w:hAnsi="Arial" w:eastAsia="Arial" w:cs="Arial"/>
          <w:color w:val="000000"/>
        </w:rPr>
        <w:t xml:space="preserve">;</w:t>
      </w:r>
      <w:r>
        <w:rPr>
          <w:rFonts w:ascii="Arial" w:hAnsi="Arial" w:cs="Arial"/>
        </w:rPr>
      </w:r>
      <w:r>
        <w:rPr>
          <w:rFonts w:ascii="Arial" w:hAnsi="Arial" w:cs="Arial"/>
        </w:rPr>
      </w:r>
    </w:p>
    <w:p>
      <w:pPr>
        <w:pStyle w:val="887"/>
        <w:pBdr/>
        <w:spacing/>
        <w:ind w:left="284"/>
        <w:jc w:val="both"/>
        <w:rPr>
          <w:rFonts w:ascii="Arial" w:hAnsi="Arial" w:cs="Arial"/>
          <w:b/>
          <w:color w:val="000000"/>
          <w:shd w:val="clear" w:color="auto" w:fill="ffffff"/>
        </w:rPr>
      </w:pPr>
      <w:r>
        <w:rPr>
          <w:rFonts w:ascii="Arial" w:hAnsi="Arial" w:eastAsia="Arial" w:cs="Arial"/>
          <w:b/>
          <w:color w:val="000000"/>
          <w:shd w:val="clear" w:color="auto" w:fill="ffffff"/>
        </w:rPr>
      </w:r>
      <w:r>
        <w:rPr>
          <w:rFonts w:ascii="Arial" w:hAnsi="Arial" w:cs="Arial"/>
          <w:b/>
          <w:color w:val="000000"/>
          <w:shd w:val="clear" w:color="auto" w:fill="ffffff"/>
        </w:rPr>
      </w:r>
      <w:r>
        <w:rPr>
          <w:rFonts w:ascii="Arial" w:hAnsi="Arial" w:cs="Arial"/>
          <w:b/>
          <w:color w:val="000000"/>
          <w:shd w:val="clear" w:color="auto" w:fill="ffffff"/>
        </w:rPr>
      </w:r>
    </w:p>
    <w:p>
      <w:pPr>
        <w:pStyle w:val="887"/>
        <w:pBdr/>
        <w:spacing/>
        <w:ind/>
        <w:jc w:val="both"/>
        <w:rPr>
          <w:rFonts w:ascii="Arial" w:hAnsi="Arial" w:cs="Arial"/>
        </w:rPr>
      </w:pPr>
      <w:r>
        <w:rPr>
          <w:rFonts w:ascii="Arial" w:hAnsi="Arial" w:eastAsia="Arial" w:cs="Arial"/>
          <w:b/>
          <w:color w:val="000000"/>
          <w:shd w:val="clear" w:color="auto" w:fill="ffffff"/>
        </w:rPr>
        <w:t xml:space="preserve">17.2.</w:t>
      </w:r>
      <w:r>
        <w:rPr>
          <w:rFonts w:ascii="Arial" w:hAnsi="Arial" w:eastAsia="Arial" w:cs="Arial"/>
          <w:color w:val="000000"/>
          <w:shd w:val="clear" w:color="auto" w:fill="ffffff"/>
        </w:rPr>
        <w:t xml:space="preserve"> A ausência de manifestação imediata e motivada do licitante nos termos do disposto no </w:t>
      </w:r>
      <w:r>
        <w:rPr>
          <w:rFonts w:ascii="Arial" w:hAnsi="Arial" w:eastAsia="Arial" w:cs="Arial"/>
          <w:b/>
          <w:color w:val="000000"/>
          <w:shd w:val="clear" w:color="auto" w:fill="ffffff"/>
        </w:rPr>
        <w:t xml:space="preserve">item 17.1</w:t>
      </w:r>
      <w:r>
        <w:rPr>
          <w:rFonts w:ascii="Arial" w:hAnsi="Arial" w:eastAsia="Arial" w:cs="Arial"/>
          <w:color w:val="000000"/>
          <w:shd w:val="clear" w:color="auto" w:fill="ffffff"/>
        </w:rPr>
        <w:t xml:space="preserve">, importará na decadência </w:t>
      </w:r>
      <w:r>
        <w:rPr>
          <w:rFonts w:ascii="Arial" w:hAnsi="Arial" w:eastAsia="Arial" w:cs="Arial"/>
          <w:color w:val="000000"/>
        </w:rPr>
        <w:t xml:space="preserve">do direito de recurso</w:t>
      </w:r>
      <w:r>
        <w:rPr>
          <w:rFonts w:ascii="Arial" w:hAnsi="Arial" w:eastAsia="Arial" w:cs="Arial"/>
          <w:color w:val="000000"/>
          <w:shd w:val="clear" w:color="auto" w:fill="ffffff"/>
        </w:rPr>
        <w:t xml:space="preserve">, e o Pregoeiro estará autorizado a adjudicar o objeto ao licitante declarado vencedor;</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color w:val="000000"/>
        </w:rPr>
      </w:pPr>
      <w:r>
        <w:rPr>
          <w:rFonts w:ascii="Arial" w:hAnsi="Arial" w:eastAsia="Arial" w:cs="Arial"/>
          <w:b/>
          <w:color w:val="000000"/>
        </w:rPr>
        <w:t xml:space="preserve">17.3.</w:t>
      </w:r>
      <w:r>
        <w:rPr>
          <w:rFonts w:ascii="Arial" w:hAnsi="Arial" w:eastAsia="Arial" w:cs="Arial"/>
          <w:color w:val="000000"/>
        </w:rPr>
        <w:t xml:space="preserve"> Só será acatado o recurso em memorial descritivo, a mensagem postada no site só servirá para efeito de manifestação de intenção de recorrer.</w:t>
      </w:r>
      <w:r>
        <w:rPr>
          <w:rFonts w:ascii="Arial" w:hAnsi="Arial" w:cs="Arial"/>
          <w:color w:val="000000"/>
        </w:rPr>
      </w:r>
      <w:r>
        <w:rPr>
          <w:rFonts w:ascii="Arial" w:hAnsi="Arial" w:cs="Arial"/>
          <w:color w:val="000000"/>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14:paraId="0C221010">
      <w:pPr>
        <w:pBdr>
          <w:top w:val="none" w:color="000000" w:sz="4" w:space="0"/>
          <w:left w:val="none" w:color="000000" w:sz="4" w:space="0"/>
          <w:bottom w:val="none" w:color="000000" w:sz="4" w:space="0"/>
          <w:right w:val="none" w:color="000000" w:sz="4" w:space="0"/>
        </w:pBdr>
        <w:spacing/>
        <w:ind/>
        <w:jc w:val="both"/>
        <w:rPr>
          <w:rFonts w:ascii="Arial" w:hAnsi="Arial" w:eastAsia="Arial" w:cs="Arial"/>
          <w:color w:val="000000"/>
          <w14:ligatures w14:val="none"/>
        </w:rPr>
      </w:pPr>
      <w:r>
        <w:rPr>
          <w:rFonts w:ascii="Arial" w:hAnsi="Arial" w:eastAsia="Arial" w:cs="Arial"/>
          <w:b/>
          <w:bCs/>
          <w:color w:val="000000"/>
        </w:rPr>
        <w:t xml:space="preserve">17.4.</w:t>
      </w:r>
      <w:r>
        <w:rPr>
          <w:rFonts w:ascii="Arial" w:hAnsi="Arial" w:eastAsia="Arial" w:cs="Arial"/>
          <w:color w:val="000000"/>
        </w:rPr>
        <w:t xml:space="preserve"> A manifestação da intenção de recorrer deverá indicar, de forma sucinta, o ato ou decisão objeto da insurgência, ficando assegurado ao recorrente desenvolver e fundamentar suas razões no prazo legalmente estabelecido.</w:t>
      </w:r>
      <w:r>
        <w:rPr>
          <w:rFonts w:ascii="Arial" w:hAnsi="Arial" w:eastAsia="Arial" w:cs="Arial"/>
          <w:color w:val="000000"/>
        </w:rPr>
      </w:r>
      <w:r>
        <w:rPr>
          <w:rFonts w:ascii="Arial" w:hAnsi="Arial" w:eastAsia="Arial" w:cs="Arial"/>
          <w:color w:val="000000"/>
          <w14:ligatures w14:val="none"/>
        </w:rPr>
      </w:r>
    </w:p>
    <w:p w14:paraId="75D24F42">
      <w:pPr>
        <w:pBdr>
          <w:top w:val="none" w:color="000000" w:sz="4" w:space="0"/>
          <w:left w:val="none" w:color="000000" w:sz="4" w:space="0"/>
          <w:bottom w:val="none" w:color="000000" w:sz="4" w:space="0"/>
          <w:right w:val="none" w:color="000000" w:sz="4" w:space="0"/>
        </w:pBdr>
        <w:spacing/>
        <w:ind/>
        <w:jc w:val="both"/>
        <w:rPr>
          <w:rFonts w:ascii="Arial" w:hAnsi="Arial" w:eastAsia="Arial" w:cs="Arial"/>
          <w:color w:val="000000"/>
          <w14:ligatures w14:val="none"/>
        </w:rPr>
      </w:pPr>
      <w:r>
        <w:rPr>
          <w:rFonts w:ascii="Arial" w:hAnsi="Arial" w:eastAsia="Arial" w:cs="Arial"/>
          <w:b/>
          <w:bCs/>
          <w:color w:val="000000"/>
        </w:rPr>
        <w:t xml:space="preserve">17.4.1.</w:t>
      </w:r>
      <w:r>
        <w:rPr>
          <w:rFonts w:ascii="Arial" w:hAnsi="Arial" w:eastAsia="Arial" w:cs="Arial"/>
          <w:color w:val="000000"/>
        </w:rPr>
        <w:t xml:space="preserve"> As razões recursais deverão guardar pertinência com o ato ou decisão que motivou a manifestação de intenção de recorrer, não sendo exigida, no momento da manifestação inicial, a apresentação antecipada da fundamentação completa do recurso.</w:t>
      </w:r>
      <w:r>
        <w:rPr>
          <w:rFonts w:ascii="Arial" w:hAnsi="Arial" w:eastAsia="Arial" w:cs="Arial"/>
          <w:color w:val="000000"/>
        </w:rPr>
      </w:r>
      <w:r>
        <w:rPr>
          <w:rFonts w:ascii="Arial" w:hAnsi="Arial" w:eastAsia="Arial" w:cs="Arial"/>
          <w:color w:val="000000"/>
          <w14:ligatures w14:val="none"/>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17.5.</w:t>
      </w:r>
      <w:r>
        <w:rPr>
          <w:rFonts w:ascii="Arial" w:hAnsi="Arial" w:eastAsia="Arial" w:cs="Arial"/>
          <w:color w:val="000000"/>
        </w:rPr>
        <w:t xml:space="preserve"> O prazo para apresentação das razões recursais será de 3 (três) dias úteis, contados da data de lavratura da ata de habilitação ou inabilitação ou da intimação conforme o caso;</w:t>
      </w:r>
      <w:r>
        <w:rPr>
          <w:rFonts w:ascii="Arial" w:hAnsi="Arial" w:cs="Arial"/>
          <w:color w:val="000000"/>
        </w:rPr>
      </w:r>
      <w:r>
        <w:rPr>
          <w:rFonts w:ascii="Arial" w:hAnsi="Arial" w:cs="Arial"/>
          <w:color w:val="000000"/>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17.6. </w:t>
      </w:r>
      <w:r>
        <w:rPr>
          <w:rFonts w:ascii="Arial" w:hAnsi="Arial" w:eastAsia="Arial" w:cs="Arial"/>
          <w:color w:val="000000"/>
        </w:rPr>
        <w:t xml:space="preserve">O prazo para aprese</w:t>
      </w:r>
      <w:r>
        <w:rPr>
          <w:rFonts w:ascii="Arial" w:hAnsi="Arial" w:eastAsia="Arial" w:cs="Arial"/>
          <w:color w:val="000000"/>
        </w:rPr>
        <w:t xml:space="preserve">ntação de contrarrazões ao recurso pelos demais licitantes será de 3 (três) dias úteis, contados da data da intimação pessoal ou da divulgação da interposição do recurso, assegurada a vista imediata dos elementos indispensáveis à defesa de seus interesses.</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17.7. </w:t>
      </w:r>
      <w:r>
        <w:rPr>
          <w:rFonts w:ascii="Arial" w:hAnsi="Arial" w:eastAsia="Arial" w:cs="Arial"/>
          <w:color w:val="000000"/>
        </w:rPr>
        <w:t xml:space="preserve">Os recursos e contrarrazões ao recurso deverão ser encaminhados exclusivamente em campo próprio no sítio eletrônico bllcompras.com;</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17.8. </w:t>
      </w:r>
      <w:r>
        <w:rPr>
          <w:rFonts w:ascii="Arial" w:hAnsi="Arial" w:eastAsia="Arial" w:cs="Arial"/>
          <w:color w:val="000000"/>
        </w:rPr>
        <w:t xml:space="preserve">Os recursos interpostos fora do prazo não serão conhecidos;</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17.9. </w:t>
      </w:r>
      <w:r>
        <w:rPr>
          <w:rFonts w:ascii="Arial" w:hAnsi="Arial" w:eastAsia="Arial" w:cs="Arial"/>
          <w:color w:val="000000"/>
        </w:rPr>
        <w:t xml:space="preserve">Os autos do processo permanecerão com vista franqueada aos interessados no sítio eletrônico bllcompras.com;</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17.10. </w:t>
      </w:r>
      <w:r>
        <w:rPr>
          <w:rFonts w:ascii="Arial" w:hAnsi="Arial" w:eastAsia="Arial" w:cs="Arial"/>
          <w:color w:val="000000"/>
        </w:rPr>
        <w:t xml:space="preserve">O recurso e o pedido de reconsideração terão efeito suspensivo do ato ou da decisão recorrida até que sobrevenha decisão final da autoridade competente; </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17.11. </w:t>
      </w:r>
      <w:r>
        <w:rPr>
          <w:rFonts w:ascii="Arial" w:hAnsi="Arial" w:eastAsia="Arial" w:cs="Arial"/>
          <w:color w:val="000000"/>
        </w:rPr>
        <w:t xml:space="preserve">O acolhimento do recurso invalida tão somente os atos insuscetíveis de aproveitamento;</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17.12. </w:t>
      </w:r>
      <w:r>
        <w:rPr>
          <w:rFonts w:ascii="Arial" w:hAnsi="Arial" w:eastAsia="Arial" w:cs="Arial"/>
          <w:color w:val="000000"/>
        </w:rPr>
        <w:t xml:space="preserve">O recurso será dirigido à autoridade que tiver editado o ato ou proferido a decisã</w:t>
      </w:r>
      <w:r>
        <w:rPr>
          <w:rFonts w:ascii="Arial" w:hAnsi="Arial" w:eastAsia="Arial" w:cs="Arial"/>
          <w:color w:val="000000"/>
        </w:rPr>
        <w:t xml:space="preserve">o recorrida, a qual poderá reconsiderar sua decisão no prazo de 3 (três) dias úteis, ou, nesse mesmo prazo, encaminhar recurso para a autoridade superior, a qual deverá proferir sua decisão no prazo de 10 (dez) dias úteis, contado do recebimento dos autos.</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numPr>
          <w:ilvl w:val="0"/>
          <w:numId w:val="0"/>
        </w:numPr>
        <w:pBdr/>
        <w:spacing/>
        <w:ind/>
        <w:jc w:val="both"/>
        <w:outlineLvl w:val="0"/>
        <w:rPr>
          <w:rFonts w:ascii="Arial" w:hAnsi="Arial" w:cs="Arial"/>
          <w:b/>
          <w:bCs/>
          <w:color w:val="000000"/>
        </w:rPr>
      </w:pPr>
      <w:r/>
      <w:bookmarkStart w:id="80" w:name="_Toc17"/>
      <w:r>
        <w:rPr>
          <w:rFonts w:ascii="Arial" w:hAnsi="Arial" w:eastAsia="Arial" w:cs="Arial"/>
          <w:b/>
          <w:bCs/>
          <w:color w:val="000000"/>
        </w:rPr>
        <w:t xml:space="preserve">18. </w:t>
      </w:r>
      <w:r>
        <w:rPr>
          <w:rFonts w:ascii="Arial" w:hAnsi="Arial" w:eastAsia="Arial" w:cs="Arial"/>
          <w:b/>
        </w:rPr>
        <w:t xml:space="preserve">DO TERMO DE CONTRATO OU INSTRUMENTO EQUIVALENTE</w:t>
      </w:r>
      <w:r>
        <w:rPr>
          <w:rFonts w:ascii="Arial" w:hAnsi="Arial" w:eastAsia="Arial" w:cs="Arial"/>
          <w:b/>
          <w:bCs/>
          <w:color w:val="000000"/>
        </w:rPr>
        <w:t xml:space="preserve">:</w:t>
      </w:r>
      <w:bookmarkEnd w:id="80"/>
      <w:r>
        <w:rPr>
          <w:rFonts w:ascii="Arial" w:hAnsi="Arial" w:cs="Arial"/>
          <w:b/>
          <w:bCs/>
          <w:color w:val="000000"/>
        </w:rPr>
      </w:r>
      <w:r>
        <w:rPr>
          <w:rFonts w:ascii="Arial" w:hAnsi="Arial" w:cs="Arial"/>
          <w:b/>
          <w:bCs/>
          <w:color w:val="000000"/>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18.1.</w:t>
      </w:r>
      <w:r>
        <w:rPr>
          <w:rFonts w:ascii="Arial" w:hAnsi="Arial" w:eastAsia="Arial" w:cs="Arial"/>
        </w:rPr>
        <w:t xml:space="preserve"> </w:t>
      </w:r>
      <w:r>
        <w:rPr>
          <w:rFonts w:ascii="Arial" w:hAnsi="Arial" w:eastAsia="Arial" w:cs="Arial"/>
        </w:rPr>
        <w:t xml:space="preserve">Dentro da validade da Ata de Registro de Preços, o fornecedor registrado poderá ser convocado para assinar o Termo de Contrato ou aceitar/retirar o instrumento equivalente, conforme artigo 95 da Lei 14.133/2021.</w:t>
      </w:r>
      <w:r>
        <w:rPr>
          <w:rFonts w:ascii="Arial" w:hAnsi="Arial" w:cs="Arial"/>
        </w:rPr>
      </w:r>
      <w:r>
        <w:rPr>
          <w:rFonts w:ascii="Arial" w:hAnsi="Arial" w:cs="Arial"/>
        </w:rPr>
      </w:r>
    </w:p>
    <w:p w14:paraId="6FDE9AAA">
      <w:pPr>
        <w:pBdr/>
        <w:spacing/>
        <w:ind/>
        <w:jc w:val="both"/>
        <w:rPr>
          <w:rFonts w:ascii="Arial" w:hAnsi="Arial" w:eastAsia="Arial" w:cs="Arial"/>
          <w:b/>
          <w:bCs/>
          <w14:ligatures w14:val="none"/>
        </w:rPr>
      </w:pPr>
      <w:r>
        <w:rPr>
          <w:rFonts w:ascii="Arial" w:hAnsi="Arial" w:eastAsia="Arial" w:cs="Arial"/>
          <w:b/>
          <w:bCs/>
        </w:rPr>
      </w:r>
      <w:r>
        <w:rPr>
          <w:rFonts w:ascii="Arial" w:hAnsi="Arial" w:eastAsia="Arial" w:cs="Arial"/>
          <w:b/>
          <w:bCs/>
        </w:rPr>
      </w:r>
      <w:r>
        <w:rPr>
          <w:rFonts w:ascii="Arial" w:hAnsi="Arial" w:eastAsia="Arial" w:cs="Arial"/>
          <w:b/>
          <w:bCs/>
          <w14:ligatures w14:val="none"/>
        </w:rPr>
      </w:r>
    </w:p>
    <w:p>
      <w:pPr>
        <w:pBdr/>
        <w:spacing/>
        <w:ind/>
        <w:jc w:val="both"/>
        <w:rPr>
          <w:rFonts w:ascii="Arial" w:hAnsi="Arial" w:eastAsia="Arial" w:cs="Arial"/>
          <w14:ligatures w14:val="none"/>
        </w:rPr>
      </w:pPr>
      <w:r>
        <w:rPr>
          <w:rFonts w:ascii="Arial" w:hAnsi="Arial" w:eastAsia="Arial" w:cs="Arial"/>
          <w:b/>
          <w:bCs/>
        </w:rPr>
      </w:r>
      <w:r>
        <w:rPr>
          <w:rFonts w:ascii="Arial" w:hAnsi="Arial" w:eastAsia="Arial" w:cs="Arial"/>
          <w:b/>
          <w:bCs/>
        </w:rPr>
        <w:t xml:space="preserve">18.1.1. </w:t>
      </w:r>
      <w:r>
        <w:rPr>
          <w:rFonts w:ascii="Arial" w:hAnsi="Arial" w:eastAsia="Arial" w:cs="Arial"/>
        </w:rPr>
        <w:t xml:space="preserve">A Nota de Empenho e a Ordem de Fornecimento constituirão instrumentos de execução da contratação, destinados à indicação dos quantitativos, prazos e demais informações necessárias a cada fornecimento, não substituindo o Termo de Contrato.</w:t>
      </w:r>
      <w:r>
        <w:rPr>
          <w:rFonts w:ascii="Arial" w:hAnsi="Arial" w:eastAsia="Arial" w:cs="Arial"/>
        </w:rPr>
      </w:r>
      <w:r>
        <w:rPr>
          <w:rFonts w:ascii="Arial" w:hAnsi="Arial" w:eastAsia="Arial" w:cs="Arial"/>
          <w14:ligatures w14:val="none"/>
        </w:rPr>
      </w:r>
    </w:p>
    <w:p w14:paraId="0408124C">
      <w:pPr>
        <w:pBdr/>
        <w:spacing/>
        <w:ind/>
        <w:jc w:val="both"/>
        <w:rPr>
          <w:rFonts w:ascii="Arial" w:hAnsi="Arial" w:eastAsia="Arial" w:cs="Arial"/>
          <w:b/>
          <w:bCs/>
          <w14:ligatures w14:val="none"/>
        </w:rPr>
      </w:pPr>
      <w:r>
        <w:rPr>
          <w:rFonts w:ascii="Arial" w:hAnsi="Arial" w:eastAsia="Arial" w:cs="Arial"/>
          <w:b/>
          <w:bCs/>
          <w:highlight w:val="none"/>
        </w:rPr>
      </w:r>
      <w:r>
        <w:rPr>
          <w:rFonts w:ascii="Arial" w:hAnsi="Arial" w:eastAsia="Arial" w:cs="Arial"/>
          <w:b/>
          <w:bCs/>
          <w:highlight w:val="none"/>
        </w:rPr>
      </w:r>
      <w:r>
        <w:rPr>
          <w:rFonts w:ascii="Arial" w:hAnsi="Arial" w:eastAsia="Arial" w:cs="Arial"/>
          <w:b/>
          <w:bCs/>
          <w14:ligatures w14:val="none"/>
        </w:rPr>
      </w:r>
    </w:p>
    <w:p>
      <w:pPr>
        <w:pStyle w:val="887"/>
        <w:pBdr/>
        <w:spacing/>
        <w:ind/>
        <w:jc w:val="both"/>
        <w:rPr>
          <w:rFonts w:ascii="Arial" w:hAnsi="Arial" w:cs="Arial"/>
        </w:rPr>
      </w:pPr>
      <w:r>
        <w:rPr>
          <w:rFonts w:ascii="Arial" w:hAnsi="Arial" w:eastAsia="Arial" w:cs="Arial"/>
          <w:b/>
        </w:rPr>
        <w:t xml:space="preserve">18.2.</w:t>
      </w:r>
      <w:r>
        <w:rPr>
          <w:rFonts w:ascii="Arial" w:hAnsi="Arial" w:eastAsia="Arial" w:cs="Arial"/>
        </w:rPr>
        <w:t xml:space="preserve"> A Administração, a</w:t>
      </w:r>
      <w:r>
        <w:rPr>
          <w:rFonts w:ascii="Arial" w:hAnsi="Arial" w:eastAsia="Arial" w:cs="Arial"/>
        </w:rPr>
        <w:t xml:space="preserve">o invés de convocar o adjudicatário, poderá encaminhar o instrumento contratual, mediante correspondência postal com aviso de recebimento (AR) ou meio eletrônico, para que seja assinado no prazo de 03 (três) dias úteis, a contar da data de seu recebimento.</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18.3.</w:t>
      </w:r>
      <w:r>
        <w:rPr>
          <w:rFonts w:ascii="Arial" w:hAnsi="Arial" w:eastAsia="Arial" w:cs="Arial"/>
        </w:rPr>
        <w:t xml:space="preserve"> O prazo previsto no subitem anterior poderá ser prorrogado, por igual período, por solicitação justificada do adjudicatário e aceita pela Administração.</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18.4.</w:t>
      </w:r>
      <w:r>
        <w:rPr>
          <w:rFonts w:ascii="Arial" w:hAnsi="Arial" w:eastAsia="Arial" w:cs="Arial"/>
        </w:rPr>
        <w:t xml:space="preserve"> Como condição para a celebração do contrato, a licitante vencedora deverá manter as condições de habilitação. Caso não seja comprovada a situação regular do</w:t>
      </w:r>
      <w:r>
        <w:rPr>
          <w:rFonts w:ascii="Arial" w:hAnsi="Arial" w:eastAsia="Arial" w:cs="Arial"/>
        </w:rPr>
        <w:t xml:space="preserve"> licitante vencedor, será convocado outro licitante, na ordem de classificação, para fazê-lo nas condições de suas respectivas ofertas observando que o(a) Pregoeiro(a) examinará a aceitabilidade, quanto ao objeto e valor, sem prejuízo das sanções cabíveis.</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18.5.</w:t>
      </w:r>
      <w:r>
        <w:rPr>
          <w:rFonts w:ascii="Arial" w:hAnsi="Arial" w:eastAsia="Arial" w:cs="Arial"/>
        </w:rPr>
        <w:t xml:space="preserve"> Se a licitante vencedora se recusar a assinar o contrato no prazo e condições estabelecidas neste Edital, ou por qualquer outro motivo injustifi</w:t>
      </w:r>
      <w:r>
        <w:rPr>
          <w:rFonts w:ascii="Arial" w:hAnsi="Arial" w:eastAsia="Arial" w:cs="Arial"/>
        </w:rPr>
        <w:t xml:space="preserve">cado, serão examinadas as ofertas subsequentes e a qualificação das licitantes na ordem de classificação e, assim sucessivamente, até a apuração de uma licitante que atenda ao edital, sendo a mesma vencedora, sem prejuízo da aplicação das sanções cabíveis.</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Bdr/>
        <w:spacing/>
        <w:ind/>
        <w:jc w:val="both"/>
        <w:rPr>
          <w:rFonts w:ascii="Arial" w:hAnsi="Arial" w:cs="Arial"/>
          <w14:ligatures w14:val="none"/>
        </w:rPr>
      </w:pPr>
      <w:r>
        <w:rPr>
          <w:rFonts w:ascii="Arial" w:hAnsi="Arial" w:eastAsia="Arial" w:cs="Arial"/>
          <w:b/>
        </w:rPr>
        <w:t xml:space="preserve">18.6.</w:t>
      </w:r>
      <w:r>
        <w:rPr>
          <w:rFonts w:ascii="Arial" w:hAnsi="Arial" w:eastAsia="Arial" w:cs="Arial"/>
        </w:rPr>
        <w:t xml:space="preserve"> </w:t>
      </w:r>
      <w:r>
        <w:rPr>
          <w:rFonts w:ascii="Arial" w:hAnsi="Arial" w:eastAsia="Arial" w:cs="Arial"/>
        </w:rPr>
        <w:t xml:space="preserve">O prazo de vigência do futuro contrato será de 12 (doze) meses, contados de sua assinatura, podendo ser prorrogado, </w:t>
      </w:r>
      <w:r>
        <w:rPr>
          <w:rFonts w:ascii="Arial" w:hAnsi="Arial" w:eastAsia="Arial" w:cs="Arial"/>
        </w:rPr>
        <w:t xml:space="preserve">desde que haja interesse da Administração e justificativa formal, observadas as disposições da Lei nº 14.133/2021 e do Decreto Municipal nº 11.685/2023, mantidas as condições pactuadas e atendidos os pressupostos legais aplicáveis à prorrogação contratual.</w:t>
      </w:r>
      <w:r>
        <w:rPr>
          <w:rFonts w:ascii="Arial" w:hAnsi="Arial" w:cs="Arial"/>
          <w14:ligatures w14:val="none"/>
        </w:rPr>
      </w:r>
      <w:r>
        <w:rPr>
          <w:rFonts w:ascii="Arial" w:hAnsi="Arial" w:cs="Arial"/>
          <w14:ligatures w14:val="none"/>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numPr>
          <w:ilvl w:val="0"/>
          <w:numId w:val="0"/>
        </w:numPr>
        <w:pBdr/>
        <w:spacing/>
        <w:ind/>
        <w:jc w:val="both"/>
        <w:outlineLvl w:val="0"/>
        <w:rPr>
          <w:rFonts w:ascii="Arial" w:hAnsi="Arial" w:cs="Arial"/>
          <w:b/>
          <w:bCs/>
          <w:color w:val="000000"/>
        </w:rPr>
      </w:pPr>
      <w:r/>
      <w:bookmarkStart w:id="81" w:name="_Toc18"/>
      <w:r>
        <w:rPr>
          <w:rFonts w:ascii="Arial" w:hAnsi="Arial" w:eastAsia="Arial" w:cs="Arial"/>
          <w:b/>
          <w:bCs/>
          <w:color w:val="000000"/>
        </w:rPr>
        <w:t xml:space="preserve">19. A FORMA DE ENTREGA DO PRODUTO:</w:t>
      </w:r>
      <w:bookmarkEnd w:id="81"/>
      <w:r>
        <w:rPr>
          <w:rFonts w:ascii="Arial" w:hAnsi="Arial" w:cs="Arial"/>
          <w:b/>
          <w:bCs/>
          <w:color w:val="000000"/>
        </w:rPr>
      </w:r>
      <w:r>
        <w:rPr>
          <w:rFonts w:ascii="Arial" w:hAnsi="Arial" w:cs="Arial"/>
          <w:b/>
          <w:bCs/>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spacing w:val="-1"/>
        </w:rPr>
        <w:t xml:space="preserve">19.1. DA </w:t>
      </w:r>
      <w:r>
        <w:rPr>
          <w:rFonts w:ascii="Arial" w:hAnsi="Arial" w:eastAsia="Arial" w:cs="Arial"/>
          <w:b/>
        </w:rPr>
        <w:t xml:space="preserve">INDICAÇÃO DO LOCAL DE ENTREGA DOS PRODUTOS</w:t>
      </w:r>
      <w:r>
        <w:rPr>
          <w:rFonts w:ascii="Arial" w:hAnsi="Arial" w:eastAsia="Arial" w:cs="Arial"/>
          <w:b/>
          <w:spacing w:val="-1"/>
        </w:rPr>
        <w:t xml:space="preserve">:</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Bdr/>
        <w:spacing/>
        <w:ind/>
        <w:jc w:val="both"/>
        <w:rPr>
          <w:rFonts w:ascii="Arial" w:hAnsi="Arial" w:eastAsia="Arial" w:cs="Arial"/>
          <w14:ligatures w14:val="none"/>
        </w:rPr>
      </w:pPr>
      <w:r>
        <w:rPr>
          <w:rFonts w:ascii="Arial" w:hAnsi="Arial" w:eastAsia="Arial" w:cs="Arial"/>
          <w:b/>
          <w:bCs/>
        </w:rPr>
        <w:t xml:space="preserve">19.1.1. </w:t>
      </w:r>
      <w:r>
        <w:rPr>
          <w:rFonts w:ascii="Arial" w:hAnsi="Arial" w:eastAsia="Arial" w:cs="Arial"/>
        </w:rPr>
        <w:t xml:space="preserve">A contratada deverá efetuar a entrega dos insumos de forma parcelada, conforme demanda da Contratante e mediante solicitação formal, no Almoxarifado da Secretaria Municipal de Saúde, situado na Avenida Ângelo Thum, nº 181, Jardim Monte Líbano, Rondonópolis</w:t>
      </w:r>
      <w:r>
        <w:rPr>
          <w:rFonts w:ascii="Arial" w:hAnsi="Arial" w:eastAsia="Arial" w:cs="Arial"/>
        </w:rPr>
        <w:t xml:space="preserve">/MT, CEP 78710-272, de segunda a sexta-feira, das 07h00 às 11h00 e das 13h00 às 17h00.</w:t>
      </w:r>
      <w:r>
        <w:rPr>
          <w:rFonts w:ascii="Arial" w:hAnsi="Arial" w:eastAsia="Arial" w:cs="Arial"/>
        </w:rPr>
      </w:r>
      <w:r>
        <w:rPr>
          <w:rFonts w:ascii="Arial" w:hAnsi="Arial" w:eastAsia="Arial" w:cs="Arial"/>
          <w14:ligatures w14:val="none"/>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bCs/>
        </w:rPr>
        <w:t xml:space="preserve">19.1.2.</w:t>
      </w:r>
      <w:r>
        <w:rPr>
          <w:rFonts w:ascii="Arial" w:hAnsi="Arial" w:eastAsia="Arial" w:cs="Arial"/>
        </w:rPr>
        <w:t xml:space="preserve"> O </w:t>
      </w:r>
      <w:r>
        <w:rPr>
          <w:rFonts w:ascii="Arial" w:hAnsi="Arial" w:eastAsia="Arial" w:cs="Arial"/>
        </w:rPr>
        <w:t xml:space="preserve">transporte dos insumos até o local de entrega será de responsabilidade exclusiva da contratada, a qual responderá integralmente por eventuais danos ou prejuízos causados ao Município de Rondonópolis-MT ou a terceiros durante o transporte, carga e descarga.</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bCs/>
        </w:rPr>
        <w:t xml:space="preserve">19.1.3.</w:t>
      </w:r>
      <w:r>
        <w:rPr>
          <w:rFonts w:ascii="Arial" w:hAnsi="Arial" w:eastAsia="Arial" w:cs="Arial"/>
        </w:rPr>
        <w:t xml:space="preserve"> As entregas deverão ser realizadas nas quantidades solicitadas, no </w:t>
      </w:r>
      <w:r>
        <w:rPr>
          <w:rFonts w:ascii="Arial" w:hAnsi="Arial" w:eastAsia="Arial" w:cs="Arial"/>
          <w:highlight w:val="white"/>
        </w:rPr>
        <w:t xml:space="preserve">prazo máximo de 15 (quinze) dias </w:t>
      </w:r>
      <w:r>
        <w:rPr>
          <w:rFonts w:ascii="Arial" w:hAnsi="Arial" w:eastAsia="Arial" w:cs="Arial"/>
          <w:highlight w:val="none"/>
        </w:rPr>
        <w:t xml:space="preserve">corridos</w:t>
      </w:r>
      <w:r>
        <w:rPr>
          <w:rFonts w:ascii="Arial" w:hAnsi="Arial" w:eastAsia="Arial" w:cs="Arial"/>
        </w:rPr>
        <w:t xml:space="preserve"> contados a partir do recebimento da solicitação formal. Esse prazo poderá ser prorrogado, mediante pedido justificado da contratada, desde que aprovado pela Secretaria demandante.</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bCs/>
        </w:rPr>
        <w:t xml:space="preserve">19.1.4.</w:t>
      </w:r>
      <w:r>
        <w:rPr>
          <w:rFonts w:ascii="Arial" w:hAnsi="Arial" w:eastAsia="Arial" w:cs="Arial"/>
        </w:rPr>
        <w:t xml:space="preserve"> Caso algum item seja entregue em desa</w:t>
      </w:r>
      <w:r>
        <w:rPr>
          <w:rFonts w:ascii="Arial" w:hAnsi="Arial" w:eastAsia="Arial" w:cs="Arial"/>
        </w:rPr>
        <w:t xml:space="preserve">cordo com as especificações exigidas, será formalmente devolvido mediante lavratura de Termo de Recusa. Nessa hipótese, a contratada deverá providenciar a substituição no prazo máximo de 05 (cinco) dias úteis, contados da data de emissão do referido termo.</w:t>
      </w:r>
      <w:r>
        <w:rPr>
          <w:rFonts w:ascii="Arial" w:hAnsi="Arial" w:cs="Arial"/>
        </w:rPr>
      </w:r>
      <w:r>
        <w:rPr>
          <w:rFonts w:ascii="Arial" w:hAnsi="Arial" w:cs="Arial"/>
        </w:rPr>
      </w:r>
    </w:p>
    <w:p>
      <w:pPr>
        <w:pBdr/>
        <w:spacing/>
        <w:ind/>
        <w:jc w:val="both"/>
        <w:rPr>
          <w:rFonts w:ascii="Arial" w:hAnsi="Arial" w:cs="Arial"/>
          <w14:ligatures w14:val="none"/>
        </w:rPr>
      </w:pPr>
      <w:r>
        <w:rPr>
          <w:rFonts w:ascii="Arial" w:hAnsi="Arial" w:eastAsia="Arial" w:cs="Arial"/>
        </w:rPr>
      </w:r>
      <w:r>
        <w:rPr>
          <w:rFonts w:ascii="Arial" w:hAnsi="Arial" w:cs="Arial"/>
          <w14:ligatures w14:val="none"/>
        </w:rPr>
      </w:r>
      <w:r>
        <w:rPr>
          <w:rFonts w:ascii="Arial" w:hAnsi="Arial" w:cs="Arial"/>
          <w14:ligatures w14:val="none"/>
        </w:rPr>
      </w:r>
    </w:p>
    <w:p>
      <w:pPr>
        <w:pBdr/>
        <w:spacing/>
        <w:ind/>
        <w:jc w:val="both"/>
        <w:rPr>
          <w:rFonts w:ascii="Arial" w:hAnsi="Arial" w:cs="Arial"/>
          <w14:ligatures w14:val="none"/>
        </w:rPr>
      </w:pPr>
      <w:r>
        <w:rPr>
          <w:rFonts w:ascii="Arial" w:hAnsi="Arial" w:eastAsia="Arial" w:cs="Arial"/>
          <w:b/>
          <w:bCs/>
        </w:rPr>
        <w:t xml:space="preserve">19.1.5.</w:t>
      </w:r>
      <w:r>
        <w:rPr>
          <w:rFonts w:ascii="Arial" w:hAnsi="Arial" w:eastAsia="Arial" w:cs="Arial"/>
          <w:lang w:val="pt-BR"/>
        </w:rPr>
        <w:t xml:space="preserve"> </w:t>
      </w:r>
      <w:r>
        <w:rPr>
          <w:rFonts w:ascii="Arial" w:hAnsi="Arial" w:eastAsia="Arial" w:cs="Arial"/>
        </w:rPr>
        <w:t xml:space="preserve">Quando necessário, a contratada deverá prestar esclarecimentos técnicos ou sanitários relacionados ao acondicionamento, transporte, rastreabilidade, lote, validade, manuseio seguro e regularidade do produto, sem que isso configure obrigação de treinamento </w:t>
      </w:r>
      <w:r>
        <w:rPr>
          <w:rFonts w:ascii="Arial" w:hAnsi="Arial" w:eastAsia="Arial" w:cs="Arial"/>
        </w:rPr>
        <w:t xml:space="preserve">operacional, instalação ou assistência técnica de equipamento.</w:t>
      </w:r>
      <w:r>
        <w:rPr>
          <w:rFonts w:ascii="Arial" w:hAnsi="Arial" w:cs="Arial"/>
          <w14:ligatures w14:val="none"/>
        </w:rPr>
      </w:r>
      <w:r>
        <w:rPr>
          <w:rFonts w:ascii="Arial" w:hAnsi="Arial" w:cs="Arial"/>
          <w14:ligatures w14:val="none"/>
        </w:rPr>
      </w:r>
    </w:p>
    <w:p>
      <w:pPr>
        <w:pStyle w:val="2059"/>
        <w:pBdr/>
        <w:spacing/>
        <w:ind w:left="284"/>
        <w:jc w:val="both"/>
        <w:rPr>
          <w:rFonts w:ascii="Arial" w:hAnsi="Arial" w:cs="Arial"/>
          <w:b/>
          <w:color w:val="000000"/>
          <w:sz w:val="20"/>
          <w:szCs w:val="20"/>
        </w:rPr>
      </w:pPr>
      <w:r>
        <w:rPr>
          <w:rFonts w:ascii="Arial" w:hAnsi="Arial" w:eastAsia="Arial" w:cs="Arial"/>
          <w:b/>
          <w:color w:val="000000"/>
          <w:sz w:val="20"/>
          <w:szCs w:val="20"/>
        </w:rPr>
      </w:r>
      <w:r>
        <w:rPr>
          <w:rFonts w:ascii="Arial" w:hAnsi="Arial" w:cs="Arial"/>
          <w:b/>
          <w:color w:val="000000"/>
          <w:sz w:val="20"/>
          <w:szCs w:val="20"/>
        </w:rPr>
      </w:r>
      <w:r>
        <w:rPr>
          <w:rFonts w:ascii="Arial" w:hAnsi="Arial" w:cs="Arial"/>
          <w:b/>
          <w:color w:val="000000"/>
          <w:sz w:val="20"/>
          <w:szCs w:val="20"/>
        </w:rPr>
      </w:r>
    </w:p>
    <w:p>
      <w:pPr>
        <w:pStyle w:val="2059"/>
        <w:pBdr/>
        <w:spacing/>
        <w:ind/>
        <w:jc w:val="both"/>
        <w:rPr>
          <w:rFonts w:ascii="Arial" w:hAnsi="Arial" w:cs="Arial"/>
          <w:b/>
          <w:sz w:val="20"/>
          <w:szCs w:val="20"/>
        </w:rPr>
      </w:pPr>
      <w:r>
        <w:rPr>
          <w:rFonts w:ascii="Arial" w:hAnsi="Arial" w:eastAsia="Arial" w:cs="Arial"/>
          <w:b/>
          <w:sz w:val="20"/>
          <w:szCs w:val="20"/>
          <w:lang w:bidi="ar-SA"/>
        </w:rPr>
        <w:t xml:space="preserve">19.2. DAS REGRAS PARA RECEBIMENTOS PROVISÓRIO E DEFINITIVO:</w:t>
      </w:r>
      <w:r>
        <w:rPr>
          <w:rFonts w:ascii="Arial" w:hAnsi="Arial" w:cs="Arial"/>
          <w:b/>
          <w:sz w:val="20"/>
          <w:szCs w:val="20"/>
        </w:rPr>
      </w:r>
      <w:r>
        <w:rPr>
          <w:rFonts w:ascii="Arial" w:hAnsi="Arial" w:cs="Arial"/>
          <w:b/>
          <w:sz w:val="20"/>
          <w:szCs w:val="20"/>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19.2.1.</w:t>
      </w:r>
      <w:r>
        <w:rPr>
          <w:rFonts w:ascii="Arial" w:hAnsi="Arial" w:eastAsia="Arial" w:cs="Arial"/>
          <w:b/>
          <w:bCs/>
        </w:rPr>
        <w:t xml:space="preserve"> Recebimento Provisório: </w:t>
      </w:r>
      <w:r>
        <w:rPr>
          <w:rFonts w:ascii="Arial" w:hAnsi="Arial" w:eastAsia="Arial" w:cs="Arial"/>
        </w:rPr>
        <w:t xml:space="preserve">dos insumos já referenciados objet</w:t>
      </w:r>
      <w:r>
        <w:rPr>
          <w:rFonts w:ascii="Arial" w:hAnsi="Arial" w:eastAsia="Arial" w:cs="Arial"/>
        </w:rPr>
        <w:t xml:space="preserve">os da presente contratação serão recebidos provisoriamente no ato da entrega, mediante apresentação da Nota Fiscal ou outro instrumento de cobrança equivalente, pelo responsável pelo acompanhamento e fiscalização do contrato. Este recebimento terá caráter </w:t>
      </w:r>
      <w:r>
        <w:rPr>
          <w:rFonts w:ascii="Arial" w:hAnsi="Arial" w:eastAsia="Arial" w:cs="Arial"/>
          <w:b/>
          <w:bCs/>
        </w:rPr>
        <w:t xml:space="preserve">provisório</w:t>
      </w:r>
      <w:r>
        <w:rPr>
          <w:rFonts w:ascii="Arial" w:hAnsi="Arial" w:eastAsia="Arial" w:cs="Arial"/>
        </w:rPr>
        <w:t xml:space="preserve">, servindo para verificação inicial da conformidade com as especificações do Termo de Referência e da proposta vencedora.</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clear" w:leader="none" w:pos="708"/>
          <w:tab w:val="left" w:leader="none" w:pos="720"/>
        </w:tabs>
        <w:spacing/>
        <w:ind/>
        <w:jc w:val="both"/>
        <w:rPr>
          <w:rFonts w:ascii="Arial" w:hAnsi="Arial" w:cs="Arial"/>
        </w:rPr>
      </w:pPr>
      <w:r>
        <w:rPr>
          <w:rFonts w:ascii="Arial" w:hAnsi="Arial" w:eastAsia="Arial" w:cs="Arial"/>
          <w:b/>
        </w:rPr>
        <w:t xml:space="preserve">19.2.2.</w:t>
      </w:r>
      <w:r>
        <w:rPr>
          <w:rFonts w:ascii="Arial" w:hAnsi="Arial" w:eastAsia="Arial" w:cs="Arial"/>
          <w:b/>
          <w:bCs/>
        </w:rPr>
        <w:t xml:space="preserve">  Recebimento Definitivo: </w:t>
      </w:r>
      <w:r>
        <w:rPr>
          <w:rFonts w:ascii="Arial" w:hAnsi="Arial" w:eastAsia="Arial" w:cs="Arial"/>
        </w:rPr>
        <w:t xml:space="preserve">Após a entrega, insumos passarão por inspeção detalhada</w:t>
      </w:r>
      <w:r>
        <w:rPr>
          <w:rFonts w:ascii="Arial" w:hAnsi="Arial" w:eastAsia="Arial" w:cs="Arial"/>
        </w:rPr>
        <w:t xml:space="preserve">.</w:t>
      </w:r>
      <w:r>
        <w:rPr>
          <w:rFonts w:ascii="Arial" w:hAnsi="Arial" w:cs="Arial"/>
        </w:rPr>
      </w:r>
      <w:r>
        <w:rPr>
          <w:rFonts w:ascii="Arial" w:hAnsi="Arial" w:cs="Arial"/>
        </w:rPr>
      </w:r>
    </w:p>
    <w:p>
      <w:pPr>
        <w:pStyle w:val="887"/>
        <w:pBdr/>
        <w:tabs>
          <w:tab w:val="clear" w:leader="none" w:pos="708"/>
          <w:tab w:val="left" w:leader="none" w:pos="720"/>
        </w:tabs>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19.2.2.1.</w:t>
      </w:r>
      <w:r>
        <w:rPr>
          <w:rFonts w:ascii="Arial" w:hAnsi="Arial" w:eastAsia="Arial" w:cs="Arial"/>
          <w:b/>
          <w:bCs/>
        </w:rPr>
        <w:t xml:space="preserve"> </w:t>
      </w:r>
      <w:r>
        <w:rPr>
          <w:rFonts w:ascii="Arial" w:hAnsi="Arial" w:eastAsia="Arial" w:cs="Arial"/>
        </w:rPr>
        <w:t xml:space="preserve">O recebimento definitivo será formalizado mediante </w:t>
      </w:r>
      <w:r>
        <w:rPr>
          <w:rFonts w:ascii="Arial" w:hAnsi="Arial" w:eastAsia="Arial" w:cs="Arial"/>
          <w:b/>
          <w:bCs/>
        </w:rPr>
        <w:t xml:space="preserve">termo de aceitação</w:t>
      </w:r>
      <w:r>
        <w:rPr>
          <w:rFonts w:ascii="Arial" w:hAnsi="Arial" w:eastAsia="Arial" w:cs="Arial"/>
        </w:rPr>
        <w:t xml:space="preserve">, assinado pelo responsável pelo acompanhamento e fiscalização, </w:t>
      </w:r>
      <w:r>
        <w:rPr>
          <w:rFonts w:ascii="Arial" w:hAnsi="Arial" w:eastAsia="Arial" w:cs="Arial"/>
          <w:b/>
          <w:bCs/>
        </w:rPr>
        <w:t xml:space="preserve">somente após constatação de que os itens estão em plena conformidade com as especificações técnicas do Termo de Referência e da proposta contratada</w:t>
      </w:r>
      <w:r>
        <w:rPr>
          <w:rFonts w:ascii="Arial" w:hAnsi="Arial" w:eastAsia="Arial" w:cs="Arial"/>
        </w:rPr>
        <w:t xml:space="preserve">.</w:t>
      </w:r>
      <w:r>
        <w:rPr>
          <w:rFonts w:ascii="Arial" w:hAnsi="Arial" w:cs="Arial"/>
        </w:rPr>
      </w:r>
      <w:r>
        <w:rPr>
          <w:rFonts w:ascii="Arial" w:hAnsi="Arial" w:cs="Arial"/>
        </w:rPr>
      </w:r>
    </w:p>
    <w:p>
      <w:pPr>
        <w:pStyle w:val="887"/>
        <w:pBdr/>
        <w:spacing/>
        <w:ind w:left="284"/>
        <w:jc w:val="both"/>
        <w:rPr>
          <w:rFonts w:ascii="Arial" w:hAnsi="Arial" w:cs="Arial"/>
          <w:b/>
          <w:bCs/>
        </w:rPr>
      </w:pPr>
      <w:r>
        <w:rPr>
          <w:rFonts w:ascii="Arial" w:hAnsi="Arial" w:eastAsia="Arial" w:cs="Arial"/>
          <w:b/>
          <w:bCs/>
        </w:rPr>
      </w:r>
      <w:r>
        <w:rPr>
          <w:rFonts w:ascii="Arial" w:hAnsi="Arial" w:cs="Arial"/>
          <w:b/>
          <w:bCs/>
        </w:rPr>
      </w:r>
      <w:r>
        <w:rPr>
          <w:rFonts w:ascii="Arial" w:hAnsi="Arial" w:cs="Arial"/>
          <w:b/>
          <w:bCs/>
        </w:rPr>
      </w:r>
    </w:p>
    <w:p>
      <w:pPr>
        <w:pBdr/>
        <w:spacing/>
        <w:ind/>
        <w:jc w:val="both"/>
        <w:rPr>
          <w:rFonts w:ascii="Arial" w:hAnsi="Arial" w:cs="Arial"/>
          <w:sz w:val="20"/>
          <w:szCs w:val="20"/>
          <w14:ligatures w14:val="none"/>
        </w:rPr>
      </w:pPr>
      <w:r>
        <w:rPr>
          <w:rFonts w:ascii="Arial" w:hAnsi="Arial" w:eastAsia="Arial" w:cs="Arial"/>
          <w:b/>
        </w:rPr>
        <w:t xml:space="preserve">19.2.3.</w:t>
      </w:r>
      <w:r>
        <w:rPr>
          <w:rFonts w:ascii="Arial" w:hAnsi="Arial" w:eastAsia="Arial" w:cs="Arial"/>
          <w:b/>
          <w:bCs/>
        </w:rPr>
        <w:t xml:space="preserve"> </w:t>
      </w:r>
      <w:r>
        <w:rPr>
          <w:rFonts w:ascii="Arial" w:hAnsi="Arial" w:eastAsia="Arial" w:cs="Arial"/>
          <w:b/>
          <w:bCs/>
        </w:rPr>
        <w:t xml:space="preserve">Rejeição e Correções:</w:t>
      </w:r>
      <w:r>
        <w:rPr>
          <w:rFonts w:ascii="Arial" w:hAnsi="Arial" w:eastAsia="Arial" w:cs="Arial"/>
          <w:b/>
          <w:bCs/>
        </w:rPr>
        <w:t xml:space="preserve"> </w:t>
      </w:r>
      <w:r>
        <w:rPr>
          <w:rFonts w:ascii="Arial" w:hAnsi="Arial" w:eastAsia="Arial" w:cs="Arial"/>
          <w:sz w:val="20"/>
          <w:szCs w:val="20"/>
        </w:rPr>
        <w:t xml:space="preserve">Caso algum item não atenda aos requisitos exigidos, total ou parcialmente, deverá ser recusado pela Administração e substituído pela contratada, sem ônus ao Município, no prazo previsto neste edital e seus anexos, vedado qualquer reparo, ajuste, reprocessa</w:t>
      </w:r>
      <w:r>
        <w:rPr>
          <w:rFonts w:ascii="Arial" w:hAnsi="Arial" w:eastAsia="Arial" w:cs="Arial"/>
          <w:sz w:val="20"/>
          <w:szCs w:val="20"/>
        </w:rPr>
        <w:t xml:space="preserve">mento ou reaproveitamento do produto recusado.</w:t>
      </w:r>
      <w:r>
        <w:rPr>
          <w:rFonts w:ascii="Arial" w:hAnsi="Arial" w:cs="Arial"/>
          <w:sz w:val="20"/>
          <w:szCs w:val="20"/>
          <w14:ligatures w14:val="none"/>
        </w:rPr>
      </w:r>
      <w:r>
        <w:rPr>
          <w:rFonts w:ascii="Arial" w:hAnsi="Arial" w:cs="Arial"/>
          <w:sz w:val="20"/>
          <w:szCs w:val="20"/>
          <w14:ligatures w14:val="none"/>
        </w:rPr>
      </w:r>
    </w:p>
    <w:p>
      <w:pPr>
        <w:pStyle w:val="887"/>
        <w:pBdr/>
        <w:tabs>
          <w:tab w:val="clear" w:leader="none" w:pos="708"/>
          <w:tab w:val="left" w:leader="none" w:pos="720"/>
        </w:tabs>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Bdr/>
        <w:spacing/>
        <w:ind/>
        <w:jc w:val="both"/>
        <w:rPr>
          <w:rFonts w:ascii="Arial" w:hAnsi="Arial" w:cs="Arial"/>
          <w14:ligatures w14:val="none"/>
        </w:rPr>
      </w:pPr>
      <w:r>
        <w:rPr>
          <w:rFonts w:ascii="Arial" w:hAnsi="Arial" w:eastAsia="Arial" w:cs="Arial"/>
          <w:b/>
          <w:sz w:val="20"/>
          <w:szCs w:val="20"/>
        </w:rPr>
        <w:t xml:space="preserve">19.2.3.1.</w:t>
      </w:r>
      <w:r>
        <w:rPr>
          <w:rFonts w:ascii="Arial" w:hAnsi="Arial" w:eastAsia="Arial" w:cs="Arial"/>
          <w:sz w:val="20"/>
          <w:szCs w:val="20"/>
        </w:rPr>
        <w:t xml:space="preserve"> </w:t>
      </w:r>
      <w:r>
        <w:rPr>
          <w:rFonts w:ascii="Arial" w:hAnsi="Arial" w:eastAsia="Arial" w:cs="Arial"/>
        </w:rPr>
        <w:t xml:space="preserve">O recebimento não excluirá a Adjudicatária da responsabilidade civil, nem ético profissional, pelo perfeito fornecimento do objeto, dentro dos limites estabelecidos pela Lei nº 14.133/2021; </w:t>
      </w:r>
      <w:r>
        <w:rPr>
          <w:rFonts w:ascii="Arial" w:hAnsi="Arial" w:cs="Arial"/>
          <w14:ligatures w14:val="none"/>
        </w:rPr>
      </w:r>
      <w:r>
        <w:rPr>
          <w:rFonts w:ascii="Arial" w:hAnsi="Arial" w:cs="Arial"/>
          <w14:ligatures w14:val="none"/>
        </w:rPr>
      </w:r>
    </w:p>
    <w:p>
      <w:pPr>
        <w:pStyle w:val="2059"/>
        <w:pBdr/>
        <w:spacing/>
        <w:ind w:left="284"/>
        <w:jc w:val="both"/>
        <w:rPr>
          <w:rFonts w:ascii="Arial" w:hAnsi="Arial" w:cs="Arial"/>
          <w:sz w:val="20"/>
          <w:szCs w:val="20"/>
        </w:rPr>
      </w:pPr>
      <w:r>
        <w:rPr>
          <w:rFonts w:ascii="Arial" w:hAnsi="Arial" w:eastAsia="Arial" w:cs="Arial"/>
          <w:sz w:val="20"/>
          <w:szCs w:val="20"/>
        </w:rPr>
      </w:r>
      <w:r>
        <w:rPr>
          <w:rFonts w:ascii="Arial" w:hAnsi="Arial" w:cs="Arial"/>
          <w:sz w:val="20"/>
          <w:szCs w:val="20"/>
        </w:rPr>
      </w:r>
      <w:r>
        <w:rPr>
          <w:rFonts w:ascii="Arial" w:hAnsi="Arial" w:cs="Arial"/>
          <w:sz w:val="20"/>
          <w:szCs w:val="20"/>
        </w:rPr>
      </w:r>
    </w:p>
    <w:p>
      <w:pPr>
        <w:pBdr/>
        <w:spacing/>
        <w:ind/>
        <w:jc w:val="both"/>
        <w:rPr>
          <w:rFonts w:ascii="Arial" w:hAnsi="Arial" w:cs="Arial"/>
          <w14:ligatures w14:val="none"/>
        </w:rPr>
      </w:pPr>
      <w:r>
        <w:rPr>
          <w:rFonts w:ascii="Arial" w:hAnsi="Arial" w:eastAsia="Arial" w:cs="Arial"/>
          <w:b/>
        </w:rPr>
        <w:t xml:space="preserve">19.2.3.2.</w:t>
      </w:r>
      <w:r>
        <w:rPr>
          <w:rFonts w:ascii="Arial" w:hAnsi="Arial" w:eastAsia="Arial" w:cs="Arial"/>
        </w:rPr>
        <w:t xml:space="preserve"> </w:t>
      </w:r>
      <w:r>
        <w:rPr>
          <w:rFonts w:ascii="Arial" w:hAnsi="Arial" w:eastAsia="Arial" w:cs="Arial"/>
          <w:b/>
          <w:bCs/>
        </w:rPr>
        <w:t xml:space="preserve">Critérios de Medição para Pagamento: </w:t>
      </w:r>
      <w:r>
        <w:rPr>
          <w:rFonts w:ascii="Arial" w:hAnsi="Arial" w:eastAsia="Arial" w:cs="Arial"/>
        </w:rPr>
        <w:t xml:space="preserve">O pagamento será realizado exclusivamente pelos insumos efetivamente entregues, aceitos e atestados pela fiscalização, conforme os valores unitários registrados para cada item, vedada qualquer cobrança adicional relativa a frete, descarga, acondicionamento</w:t>
      </w:r>
      <w:r>
        <w:rPr>
          <w:rFonts w:ascii="Arial" w:hAnsi="Arial" w:eastAsia="Arial" w:cs="Arial"/>
        </w:rPr>
        <w:t xml:space="preserve">, disponibilidade, suporte ou outros custos não previstos na proposta. A liquidação e o pagamento observarão os prazos previstos nos itens próprios deste edital e na minuta contratual.</w:t>
      </w:r>
      <w:r>
        <w:rPr>
          <w:rFonts w:ascii="Arial" w:hAnsi="Arial" w:eastAsia="Arial" w:cs="Arial"/>
        </w:rPr>
        <w:t xml:space="preserve"> </w:t>
      </w:r>
      <w:r>
        <w:rPr>
          <w:rFonts w:ascii="Arial" w:hAnsi="Arial" w:cs="Arial"/>
          <w14:ligatures w14:val="none"/>
        </w:rPr>
      </w:r>
      <w:r>
        <w:rPr>
          <w:rFonts w:ascii="Arial" w:hAnsi="Arial" w:cs="Arial"/>
          <w14:ligatures w14:val="none"/>
        </w:rPr>
      </w:r>
    </w:p>
    <w:p>
      <w:pPr>
        <w:pStyle w:val="887"/>
        <w:pBdr/>
        <w:spacing/>
        <w:ind/>
        <w:jc w:val="both"/>
        <w:rPr>
          <w:rFonts w:ascii="Arial" w:hAnsi="Arial" w:cs="Arial"/>
          <w:b/>
          <w:u w:val="single"/>
        </w:rPr>
      </w:pPr>
      <w:r>
        <w:rPr>
          <w:rFonts w:ascii="Arial" w:hAnsi="Arial" w:eastAsia="Arial" w:cs="Arial"/>
          <w:b/>
          <w:u w:val="single"/>
        </w:rPr>
      </w:r>
      <w:r>
        <w:rPr>
          <w:rFonts w:ascii="Arial" w:hAnsi="Arial" w:cs="Arial"/>
          <w:b/>
          <w:u w:val="single"/>
        </w:rPr>
      </w:r>
      <w:r>
        <w:rPr>
          <w:rFonts w:ascii="Arial" w:hAnsi="Arial" w:cs="Arial"/>
          <w:b/>
          <w:u w:val="single"/>
        </w:rPr>
      </w:r>
    </w:p>
    <w:p>
      <w:pPr>
        <w:pStyle w:val="887"/>
        <w:pBdr/>
        <w:spacing/>
        <w:ind/>
        <w:jc w:val="both"/>
        <w:rPr>
          <w:rFonts w:ascii="Arial" w:hAnsi="Arial" w:cs="Arial"/>
        </w:rPr>
      </w:pPr>
      <w:r>
        <w:rPr>
          <w:rFonts w:ascii="Arial" w:hAnsi="Arial" w:eastAsia="Arial" w:cs="Arial"/>
          <w:b/>
          <w:u w:val="single"/>
        </w:rPr>
        <w:t xml:space="preserve">19.3. DAS CARACTERÍSTICAS DOS PRODUTOS</w:t>
      </w:r>
      <w:r>
        <w:rPr>
          <w:rFonts w:ascii="Arial" w:hAnsi="Arial" w:eastAsia="Arial" w:cs="Arial"/>
          <w:b/>
        </w:rPr>
        <w:t xml:space="preserve">:</w:t>
      </w:r>
      <w:r>
        <w:rPr>
          <w:rFonts w:ascii="Arial" w:hAnsi="Arial" w:cs="Arial"/>
        </w:rPr>
      </w:r>
      <w:r>
        <w:rPr>
          <w:rFonts w:ascii="Arial" w:hAnsi="Arial" w:cs="Arial"/>
        </w:rPr>
      </w:r>
    </w:p>
    <w:p>
      <w:pPr>
        <w:pStyle w:val="887"/>
        <w:pBdr/>
        <w:spacing/>
        <w:ind w:left="284"/>
        <w:jc w:val="both"/>
        <w:rPr>
          <w:rFonts w:ascii="Arial" w:hAnsi="Arial" w:cs="Arial"/>
          <w:b/>
          <w:bCs/>
        </w:rPr>
      </w:pPr>
      <w:r>
        <w:rPr>
          <w:rFonts w:ascii="Arial" w:hAnsi="Arial" w:eastAsia="Arial" w:cs="Arial"/>
          <w:b/>
          <w:bCs/>
        </w:rPr>
      </w:r>
      <w:r>
        <w:rPr>
          <w:rFonts w:ascii="Arial" w:hAnsi="Arial" w:cs="Arial"/>
          <w:b/>
          <w:bCs/>
        </w:rPr>
      </w:r>
      <w:r>
        <w:rPr>
          <w:rFonts w:ascii="Arial" w:hAnsi="Arial" w:cs="Arial"/>
          <w:b/>
          <w:bCs/>
        </w:rPr>
      </w:r>
    </w:p>
    <w:p>
      <w:pPr>
        <w:pStyle w:val="887"/>
        <w:pBdr/>
        <w:spacing/>
        <w:ind/>
        <w:jc w:val="both"/>
        <w:rPr>
          <w:rFonts w:ascii="Arial" w:hAnsi="Arial" w:cs="Arial"/>
        </w:rPr>
      </w:pPr>
      <w:r>
        <w:rPr>
          <w:rFonts w:ascii="Arial" w:hAnsi="Arial" w:eastAsia="Arial" w:cs="Arial"/>
          <w:b/>
          <w:bCs/>
        </w:rPr>
        <w:t xml:space="preserve">19.3.1.</w:t>
      </w:r>
      <w:r>
        <w:rPr>
          <w:rFonts w:ascii="Arial" w:hAnsi="Arial" w:eastAsia="Arial" w:cs="Arial"/>
        </w:rPr>
        <w:t xml:space="preserve"> Os insumos </w:t>
      </w:r>
      <w:r>
        <w:rPr>
          <w:rFonts w:ascii="Arial" w:hAnsi="Arial" w:eastAsia="Arial" w:cs="Arial"/>
        </w:rPr>
        <w:t xml:space="preserve">objeto dessa licitação já referenciados a serem adquiridos, deverão atender integralmente às especificações técnicas definidas no edital e em seus anexos, obedecendo às legislações vigentes e à literatura técnica de referência aplicável ao objeto licitado.</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bookmarkStart w:id="29" w:name="_Hlk206401903"/>
      <w:r>
        <w:rPr>
          <w:rFonts w:ascii="Arial" w:hAnsi="Arial" w:eastAsia="Arial" w:cs="Arial"/>
          <w:b/>
          <w:bCs/>
        </w:rPr>
        <w:t xml:space="preserve">19.3.2.</w:t>
      </w:r>
      <w:r>
        <w:rPr>
          <w:rFonts w:ascii="Arial" w:hAnsi="Arial" w:eastAsia="Arial" w:cs="Arial"/>
        </w:rPr>
        <w:t xml:space="preserve"> Os respectivos insumos </w:t>
      </w:r>
      <w:bookmarkEnd w:id="29"/>
      <w:r>
        <w:rPr>
          <w:rFonts w:ascii="Arial" w:hAnsi="Arial" w:eastAsia="Arial" w:cs="Arial"/>
          <w:b/>
          <w:bCs/>
        </w:rPr>
        <w:t xml:space="preserve">deverão ser novos,</w:t>
      </w:r>
      <w:r>
        <w:rPr>
          <w:rFonts w:ascii="Arial" w:hAnsi="Arial" w:eastAsia="Arial" w:cs="Arial"/>
        </w:rPr>
        <w:t xml:space="preserve"> sem uso anterior, fabricados e embalados com tecnologia atualizada, compatíveis com as exigências ambientais e operacionais.</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2059"/>
        <w:pBdr/>
        <w:spacing/>
        <w:ind/>
        <w:jc w:val="both"/>
        <w:rPr>
          <w:rFonts w:ascii="Arial" w:hAnsi="Arial" w:cs="Arial"/>
          <w:b/>
          <w:sz w:val="20"/>
          <w:szCs w:val="20"/>
        </w:rPr>
      </w:pPr>
      <w:r>
        <w:rPr>
          <w:rFonts w:ascii="Arial" w:hAnsi="Arial" w:eastAsia="Arial" w:cs="Arial"/>
          <w:b/>
          <w:bCs/>
          <w:sz w:val="20"/>
          <w:szCs w:val="20"/>
          <w:u w:val="single"/>
        </w:rPr>
        <w:t xml:space="preserve">19.4.</w:t>
      </w:r>
      <w:r>
        <w:rPr>
          <w:rFonts w:ascii="Arial" w:hAnsi="Arial" w:eastAsia="Arial" w:cs="Arial"/>
          <w:b/>
          <w:sz w:val="20"/>
          <w:szCs w:val="20"/>
          <w:u w:val="single"/>
        </w:rPr>
        <w:t xml:space="preserve"> DO TRANSPORTE</w:t>
      </w:r>
      <w:r>
        <w:rPr>
          <w:rFonts w:ascii="Arial" w:hAnsi="Arial" w:eastAsia="Arial" w:cs="Arial"/>
          <w:b/>
          <w:sz w:val="20"/>
          <w:szCs w:val="20"/>
        </w:rPr>
        <w:t xml:space="preserve">: </w:t>
      </w:r>
      <w:r>
        <w:rPr>
          <w:rFonts w:ascii="Arial" w:hAnsi="Arial" w:cs="Arial"/>
          <w:b/>
          <w:sz w:val="20"/>
          <w:szCs w:val="20"/>
        </w:rPr>
      </w:r>
      <w:r>
        <w:rPr>
          <w:rFonts w:ascii="Arial" w:hAnsi="Arial" w:cs="Arial"/>
          <w:b/>
          <w:sz w:val="20"/>
          <w:szCs w:val="20"/>
        </w:rPr>
      </w:r>
    </w:p>
    <w:p>
      <w:pPr>
        <w:pStyle w:val="887"/>
        <w:pBdr/>
        <w:spacing/>
        <w:ind w:left="284"/>
        <w:jc w:val="both"/>
        <w:rPr>
          <w:rFonts w:ascii="Arial" w:hAnsi="Arial" w:cs="Arial"/>
          <w:b/>
          <w:u w:val="single"/>
        </w:rPr>
      </w:pPr>
      <w:r>
        <w:rPr>
          <w:rFonts w:ascii="Arial" w:hAnsi="Arial" w:eastAsia="Arial" w:cs="Arial"/>
          <w:b/>
          <w:u w:val="single"/>
        </w:rPr>
      </w:r>
      <w:r>
        <w:rPr>
          <w:rFonts w:ascii="Arial" w:hAnsi="Arial" w:cs="Arial"/>
          <w:b/>
          <w:u w:val="single"/>
        </w:rPr>
      </w:r>
      <w:r>
        <w:rPr>
          <w:rFonts w:ascii="Arial" w:hAnsi="Arial" w:cs="Arial"/>
          <w:b/>
          <w:u w:val="single"/>
        </w:rPr>
      </w:r>
    </w:p>
    <w:p>
      <w:pPr>
        <w:pStyle w:val="2059"/>
        <w:pBdr/>
        <w:spacing/>
        <w:ind/>
        <w:jc w:val="both"/>
        <w:rPr>
          <w:rFonts w:ascii="Arial" w:hAnsi="Arial" w:cs="Arial"/>
          <w:color w:val="000000"/>
          <w:sz w:val="20"/>
          <w:szCs w:val="20"/>
        </w:rPr>
      </w:pPr>
      <w:r>
        <w:rPr>
          <w:rFonts w:ascii="Arial" w:hAnsi="Arial" w:eastAsia="Arial" w:cs="Arial"/>
          <w:b/>
          <w:bCs/>
          <w:color w:val="000000"/>
          <w:sz w:val="20"/>
          <w:szCs w:val="20"/>
        </w:rPr>
        <w:t xml:space="preserve">19.4.1.</w:t>
      </w:r>
      <w:r>
        <w:rPr>
          <w:rFonts w:ascii="Arial" w:hAnsi="Arial" w:eastAsia="Arial" w:cs="Arial"/>
          <w:color w:val="000000"/>
          <w:sz w:val="20"/>
          <w:szCs w:val="20"/>
        </w:rPr>
        <w:t xml:space="preserve"> A contratada será responsável pelo transporte dos insumos, desde o local de origem até o endereço indicado pela contratante.</w:t>
      </w:r>
      <w:r>
        <w:rPr>
          <w:rFonts w:ascii="Arial" w:hAnsi="Arial" w:cs="Arial"/>
          <w:color w:val="000000"/>
          <w:sz w:val="20"/>
          <w:szCs w:val="20"/>
        </w:rPr>
      </w:r>
      <w:r>
        <w:rPr>
          <w:rFonts w:ascii="Arial" w:hAnsi="Arial" w:cs="Arial"/>
          <w:color w:val="000000"/>
          <w:sz w:val="20"/>
          <w:szCs w:val="20"/>
        </w:rPr>
      </w:r>
    </w:p>
    <w:p>
      <w:pPr>
        <w:pStyle w:val="2059"/>
        <w:pBdr/>
        <w:spacing/>
        <w:ind w:left="284"/>
        <w:jc w:val="both"/>
        <w:rPr>
          <w:rFonts w:ascii="Arial" w:hAnsi="Arial" w:cs="Arial"/>
          <w:b/>
          <w:bCs/>
          <w:color w:val="000000"/>
          <w:sz w:val="20"/>
          <w:szCs w:val="20"/>
        </w:rPr>
      </w:pPr>
      <w:r>
        <w:rPr>
          <w:rFonts w:ascii="Arial" w:hAnsi="Arial" w:eastAsia="Arial" w:cs="Arial"/>
          <w:b/>
          <w:bCs/>
          <w:color w:val="000000"/>
          <w:sz w:val="20"/>
          <w:szCs w:val="20"/>
        </w:rPr>
      </w:r>
      <w:r>
        <w:rPr>
          <w:rFonts w:ascii="Arial" w:hAnsi="Arial" w:cs="Arial"/>
          <w:b/>
          <w:bCs/>
          <w:color w:val="000000"/>
          <w:sz w:val="20"/>
          <w:szCs w:val="20"/>
        </w:rPr>
      </w:r>
      <w:r>
        <w:rPr>
          <w:rFonts w:ascii="Arial" w:hAnsi="Arial" w:cs="Arial"/>
          <w:b/>
          <w:bCs/>
          <w:color w:val="000000"/>
          <w:sz w:val="20"/>
          <w:szCs w:val="20"/>
        </w:rPr>
      </w:r>
    </w:p>
    <w:p>
      <w:pPr>
        <w:pStyle w:val="2059"/>
        <w:pBdr/>
        <w:spacing/>
        <w:ind/>
        <w:jc w:val="both"/>
        <w:rPr>
          <w:rFonts w:ascii="Arial" w:hAnsi="Arial" w:cs="Arial"/>
          <w:color w:val="000000"/>
          <w:sz w:val="20"/>
          <w:szCs w:val="20"/>
        </w:rPr>
      </w:pPr>
      <w:r>
        <w:rPr>
          <w:rFonts w:ascii="Arial" w:hAnsi="Arial" w:eastAsia="Arial" w:cs="Arial"/>
          <w:b/>
          <w:bCs/>
          <w:color w:val="000000"/>
          <w:sz w:val="20"/>
          <w:szCs w:val="20"/>
        </w:rPr>
        <w:t xml:space="preserve">19.4.2.</w:t>
      </w:r>
      <w:r>
        <w:rPr>
          <w:rFonts w:ascii="Arial" w:hAnsi="Arial" w:eastAsia="Arial" w:cs="Arial"/>
          <w:color w:val="000000"/>
          <w:sz w:val="20"/>
          <w:szCs w:val="20"/>
        </w:rPr>
        <w:t xml:space="preserve"> O transporte deverá ser realizado em conformidade com as normas técnicas e regulamentações vigentes aplicáveis ao deslocamento do objeto apresentado em sua proposta, observando integralmente a legislação pertinente ao objeto contratual.</w:t>
      </w:r>
      <w:r>
        <w:rPr>
          <w:rFonts w:ascii="Arial" w:hAnsi="Arial" w:cs="Arial"/>
          <w:color w:val="000000"/>
          <w:sz w:val="20"/>
          <w:szCs w:val="20"/>
        </w:rPr>
      </w:r>
      <w:r>
        <w:rPr>
          <w:rFonts w:ascii="Arial" w:hAnsi="Arial" w:cs="Arial"/>
          <w:color w:val="000000"/>
          <w:sz w:val="20"/>
          <w:szCs w:val="20"/>
        </w:rPr>
      </w:r>
    </w:p>
    <w:p>
      <w:pPr>
        <w:pStyle w:val="2059"/>
        <w:pBdr/>
        <w:spacing/>
        <w:ind w:left="284"/>
        <w:jc w:val="both"/>
        <w:rPr>
          <w:rFonts w:ascii="Arial" w:hAnsi="Arial" w:cs="Arial"/>
          <w:b/>
          <w:bCs/>
          <w:color w:val="000000"/>
          <w:sz w:val="20"/>
          <w:szCs w:val="20"/>
        </w:rPr>
      </w:pPr>
      <w:r>
        <w:rPr>
          <w:rFonts w:ascii="Arial" w:hAnsi="Arial" w:eastAsia="Arial" w:cs="Arial"/>
          <w:b/>
          <w:bCs/>
          <w:color w:val="000000"/>
          <w:sz w:val="20"/>
          <w:szCs w:val="20"/>
        </w:rPr>
      </w:r>
      <w:r>
        <w:rPr>
          <w:rFonts w:ascii="Arial" w:hAnsi="Arial" w:cs="Arial"/>
          <w:b/>
          <w:bCs/>
          <w:color w:val="000000"/>
          <w:sz w:val="20"/>
          <w:szCs w:val="20"/>
        </w:rPr>
      </w:r>
      <w:r>
        <w:rPr>
          <w:rFonts w:ascii="Arial" w:hAnsi="Arial" w:cs="Arial"/>
          <w:b/>
          <w:bCs/>
          <w:color w:val="000000"/>
          <w:sz w:val="20"/>
          <w:szCs w:val="20"/>
        </w:rPr>
      </w:r>
    </w:p>
    <w:p>
      <w:pPr>
        <w:pStyle w:val="2059"/>
        <w:pBdr/>
        <w:spacing/>
        <w:ind/>
        <w:jc w:val="both"/>
        <w:rPr>
          <w:rFonts w:ascii="Arial" w:hAnsi="Arial" w:cs="Arial"/>
          <w:color w:val="000000"/>
          <w:sz w:val="20"/>
          <w:szCs w:val="20"/>
        </w:rPr>
      </w:pPr>
      <w:r>
        <w:rPr>
          <w:rFonts w:ascii="Arial" w:hAnsi="Arial" w:eastAsia="Arial" w:cs="Arial"/>
          <w:b/>
          <w:bCs/>
          <w:color w:val="000000"/>
          <w:sz w:val="20"/>
          <w:szCs w:val="20"/>
        </w:rPr>
        <w:t xml:space="preserve">19.4.3.</w:t>
      </w:r>
      <w:r>
        <w:rPr>
          <w:rFonts w:ascii="Arial" w:hAnsi="Arial" w:eastAsia="Arial" w:cs="Arial"/>
          <w:color w:val="000000"/>
          <w:sz w:val="20"/>
          <w:szCs w:val="20"/>
        </w:rPr>
        <w:t xml:space="preserve"> Compete à contratada assegurar que os insumos </w:t>
      </w:r>
      <w:r>
        <w:rPr>
          <w:rFonts w:ascii="Arial" w:hAnsi="Arial" w:eastAsia="Arial" w:cs="Arial"/>
          <w:color w:val="000000"/>
          <w:sz w:val="20"/>
          <w:szCs w:val="20"/>
        </w:rPr>
        <w:t xml:space="preserve">sejam entregues em perfeitas condições de funcionamento e conservação, livres de danos, avarias ou prejuízos, em estrita observância às disposições constantes no edital e seus anexos, bem como aos princípios de segurança, eficiência e integridade da carga.</w:t>
      </w:r>
      <w:r>
        <w:rPr>
          <w:rFonts w:ascii="Arial" w:hAnsi="Arial" w:cs="Arial"/>
          <w:color w:val="000000"/>
          <w:sz w:val="20"/>
          <w:szCs w:val="20"/>
        </w:rPr>
      </w:r>
      <w:r>
        <w:rPr>
          <w:rFonts w:ascii="Arial" w:hAnsi="Arial" w:cs="Arial"/>
          <w:color w:val="000000"/>
          <w:sz w:val="20"/>
          <w:szCs w:val="20"/>
        </w:rPr>
      </w:r>
    </w:p>
    <w:p>
      <w:pPr>
        <w:pStyle w:val="2059"/>
        <w:pBdr/>
        <w:spacing/>
        <w:ind w:left="284"/>
        <w:jc w:val="both"/>
        <w:rPr>
          <w:rFonts w:ascii="Arial" w:hAnsi="Arial" w:cs="Arial"/>
          <w:b/>
          <w:bCs/>
          <w:color w:val="000000"/>
          <w:sz w:val="20"/>
          <w:szCs w:val="20"/>
        </w:rPr>
      </w:pPr>
      <w:r>
        <w:rPr>
          <w:rFonts w:ascii="Arial" w:hAnsi="Arial" w:eastAsia="Arial" w:cs="Arial"/>
          <w:b/>
          <w:bCs/>
          <w:color w:val="000000"/>
          <w:sz w:val="20"/>
          <w:szCs w:val="20"/>
        </w:rPr>
      </w:r>
      <w:r>
        <w:rPr>
          <w:rFonts w:ascii="Arial" w:hAnsi="Arial" w:cs="Arial"/>
          <w:b/>
          <w:bCs/>
          <w:color w:val="000000"/>
          <w:sz w:val="20"/>
          <w:szCs w:val="20"/>
        </w:rPr>
      </w:r>
      <w:r>
        <w:rPr>
          <w:rFonts w:ascii="Arial" w:hAnsi="Arial" w:cs="Arial"/>
          <w:b/>
          <w:bCs/>
          <w:color w:val="000000"/>
          <w:sz w:val="20"/>
          <w:szCs w:val="20"/>
        </w:rPr>
      </w:r>
    </w:p>
    <w:p>
      <w:pPr>
        <w:pStyle w:val="2059"/>
        <w:pBdr/>
        <w:spacing/>
        <w:ind/>
        <w:jc w:val="both"/>
        <w:rPr>
          <w:rFonts w:ascii="Arial" w:hAnsi="Arial" w:cs="Arial"/>
          <w:color w:val="000000"/>
          <w:sz w:val="20"/>
          <w:szCs w:val="20"/>
        </w:rPr>
      </w:pPr>
      <w:r>
        <w:rPr>
          <w:rFonts w:ascii="Arial" w:hAnsi="Arial" w:eastAsia="Arial" w:cs="Arial"/>
          <w:b/>
          <w:bCs/>
          <w:color w:val="000000"/>
          <w:sz w:val="20"/>
          <w:szCs w:val="20"/>
        </w:rPr>
        <w:t xml:space="preserve">19.4.3.1.</w:t>
      </w:r>
      <w:r>
        <w:rPr>
          <w:rFonts w:ascii="Arial" w:hAnsi="Arial" w:eastAsia="Arial" w:cs="Arial"/>
          <w:color w:val="000000"/>
          <w:sz w:val="20"/>
          <w:szCs w:val="20"/>
        </w:rPr>
        <w:t xml:space="preserve"> A carg</w:t>
      </w:r>
      <w:r>
        <w:rPr>
          <w:rFonts w:ascii="Arial" w:hAnsi="Arial" w:eastAsia="Arial" w:cs="Arial"/>
          <w:color w:val="000000"/>
          <w:sz w:val="20"/>
          <w:szCs w:val="20"/>
        </w:rPr>
        <w:t xml:space="preserve">a d</w:t>
      </w:r>
      <w:r>
        <w:rPr>
          <w:rFonts w:ascii="Arial" w:hAnsi="Arial" w:eastAsia="Arial" w:cs="Arial"/>
          <w:color w:val="000000"/>
          <w:sz w:val="20"/>
          <w:szCs w:val="20"/>
        </w:rPr>
        <w:t xml:space="preserve">everá ser devidamente acondicionada e fixada de modo a evitar qualquer tipo de dano durante o transporte. Caso sejam constatadas avarias no momento da entrega, os insumos poderão ser recusados pela contratante, sem prejuízo das demais penalidades cabíveis.</w:t>
      </w:r>
      <w:r>
        <w:rPr>
          <w:rFonts w:ascii="Arial" w:hAnsi="Arial" w:cs="Arial"/>
          <w:color w:val="000000"/>
          <w:sz w:val="20"/>
          <w:szCs w:val="20"/>
        </w:rPr>
      </w:r>
      <w:r>
        <w:rPr>
          <w:rFonts w:ascii="Arial" w:hAnsi="Arial" w:cs="Arial"/>
          <w:color w:val="000000"/>
          <w:sz w:val="20"/>
          <w:szCs w:val="20"/>
        </w:rPr>
      </w:r>
    </w:p>
    <w:p>
      <w:pPr>
        <w:pStyle w:val="2059"/>
        <w:pBdr/>
        <w:spacing/>
        <w:ind w:left="284"/>
        <w:jc w:val="both"/>
        <w:rPr>
          <w:rFonts w:ascii="Arial" w:hAnsi="Arial" w:cs="Arial"/>
          <w:b/>
          <w:bCs/>
          <w:color w:val="000000"/>
          <w:sz w:val="20"/>
          <w:szCs w:val="20"/>
        </w:rPr>
      </w:pPr>
      <w:r>
        <w:rPr>
          <w:rFonts w:ascii="Arial" w:hAnsi="Arial" w:eastAsia="Arial" w:cs="Arial"/>
          <w:b/>
          <w:bCs/>
          <w:color w:val="000000"/>
          <w:sz w:val="20"/>
          <w:szCs w:val="20"/>
        </w:rPr>
      </w:r>
      <w:r>
        <w:rPr>
          <w:rFonts w:ascii="Arial" w:hAnsi="Arial" w:cs="Arial"/>
          <w:b/>
          <w:bCs/>
          <w:color w:val="000000"/>
          <w:sz w:val="20"/>
          <w:szCs w:val="20"/>
        </w:rPr>
      </w:r>
      <w:r>
        <w:rPr>
          <w:rFonts w:ascii="Arial" w:hAnsi="Arial" w:cs="Arial"/>
          <w:b/>
          <w:bCs/>
          <w:color w:val="000000"/>
          <w:sz w:val="20"/>
          <w:szCs w:val="20"/>
        </w:rPr>
      </w:r>
    </w:p>
    <w:p>
      <w:pPr>
        <w:pStyle w:val="887"/>
        <w:numPr>
          <w:ilvl w:val="0"/>
          <w:numId w:val="0"/>
        </w:numPr>
        <w:pBdr/>
        <w:spacing/>
        <w:ind/>
        <w:jc w:val="both"/>
        <w:outlineLvl w:val="0"/>
        <w:rPr>
          <w:rFonts w:ascii="Arial" w:hAnsi="Arial" w:cs="Arial"/>
          <w:b/>
          <w:bCs/>
          <w:color w:val="000000"/>
        </w:rPr>
      </w:pPr>
      <w:r/>
      <w:bookmarkStart w:id="82" w:name="_Toc19"/>
      <w:r>
        <w:rPr>
          <w:rFonts w:ascii="Arial" w:hAnsi="Arial" w:eastAsia="Arial" w:cs="Arial"/>
          <w:b/>
          <w:bCs/>
          <w:color w:val="000000"/>
        </w:rPr>
        <w:t xml:space="preserve">20. </w:t>
      </w:r>
      <w:r>
        <w:rPr>
          <w:rFonts w:ascii="Arial" w:hAnsi="Arial" w:eastAsia="Arial" w:cs="Arial"/>
          <w:b/>
          <w:color w:val="000000"/>
        </w:rPr>
        <w:t xml:space="preserve">DOS ITENS ENTREGUES EM DESACORDO</w:t>
      </w:r>
      <w:r>
        <w:rPr>
          <w:rFonts w:ascii="Arial" w:hAnsi="Arial" w:eastAsia="Arial" w:cs="Arial"/>
          <w:b/>
          <w:bCs/>
          <w:color w:val="000000"/>
        </w:rPr>
        <w:t xml:space="preserve">:</w:t>
      </w:r>
      <w:bookmarkEnd w:id="82"/>
      <w:r>
        <w:rPr>
          <w:rFonts w:ascii="Arial" w:hAnsi="Arial" w:cs="Arial"/>
          <w:b/>
          <w:bCs/>
          <w:color w:val="000000"/>
        </w:rPr>
      </w:r>
      <w:r>
        <w:rPr>
          <w:rFonts w:ascii="Arial" w:hAnsi="Arial" w:cs="Arial"/>
          <w:b/>
          <w:bCs/>
          <w:color w:val="000000"/>
        </w:rPr>
      </w:r>
    </w:p>
    <w:p>
      <w:pPr>
        <w:pStyle w:val="2059"/>
        <w:pBdr/>
        <w:spacing/>
        <w:ind w:left="284"/>
        <w:jc w:val="both"/>
        <w:rPr>
          <w:rFonts w:ascii="Arial" w:hAnsi="Arial" w:cs="Arial"/>
          <w:b/>
          <w:sz w:val="20"/>
          <w:szCs w:val="20"/>
        </w:rPr>
      </w:pPr>
      <w:r>
        <w:rPr>
          <w:rFonts w:ascii="Arial" w:hAnsi="Arial" w:eastAsia="Arial" w:cs="Arial"/>
          <w:b/>
          <w:sz w:val="20"/>
          <w:szCs w:val="20"/>
        </w:rPr>
      </w:r>
      <w:r>
        <w:rPr>
          <w:rFonts w:ascii="Arial" w:hAnsi="Arial" w:cs="Arial"/>
          <w:b/>
          <w:sz w:val="20"/>
          <w:szCs w:val="20"/>
        </w:rPr>
      </w:r>
      <w:r>
        <w:rPr>
          <w:rFonts w:ascii="Arial" w:hAnsi="Arial" w:cs="Arial"/>
          <w:b/>
          <w:sz w:val="20"/>
          <w:szCs w:val="20"/>
        </w:rPr>
      </w:r>
    </w:p>
    <w:p>
      <w:pPr>
        <w:pStyle w:val="2059"/>
        <w:pBdr/>
        <w:spacing/>
        <w:ind/>
        <w:jc w:val="both"/>
        <w:rPr>
          <w:rFonts w:ascii="Arial" w:hAnsi="Arial" w:cs="Arial"/>
          <w:color w:val="000000"/>
          <w:sz w:val="20"/>
          <w:szCs w:val="20"/>
          <w:highlight w:val="white"/>
        </w:rPr>
      </w:pPr>
      <w:r>
        <w:rPr>
          <w:rFonts w:ascii="Arial" w:hAnsi="Arial" w:eastAsia="Arial" w:cs="Arial"/>
          <w:b/>
          <w:bCs/>
          <w:sz w:val="20"/>
          <w:szCs w:val="20"/>
          <w:highlight w:val="white"/>
        </w:rPr>
        <w:t xml:space="preserve">20.1.</w:t>
      </w:r>
      <w:r>
        <w:rPr>
          <w:rFonts w:ascii="Arial" w:hAnsi="Arial" w:eastAsia="Arial" w:cs="Arial"/>
          <w:sz w:val="20"/>
          <w:szCs w:val="20"/>
          <w:highlight w:val="white"/>
        </w:rPr>
        <w:t xml:space="preserve"> </w:t>
      </w:r>
      <w:r>
        <w:rPr>
          <w:rFonts w:ascii="Arial" w:hAnsi="Arial" w:eastAsia="Arial" w:cs="Arial"/>
          <w:color w:val="000000"/>
          <w:sz w:val="20"/>
          <w:szCs w:val="20"/>
          <w:highlight w:val="white"/>
        </w:rPr>
        <w:t xml:space="preserve">Os insumos objeto dessa licitação</w:t>
      </w:r>
      <w:r>
        <w:rPr>
          <w:rFonts w:ascii="Arial" w:hAnsi="Arial" w:eastAsia="Arial" w:cs="Arial"/>
          <w:highlight w:val="white"/>
        </w:rPr>
        <w:t xml:space="preserve"> </w:t>
      </w:r>
      <w:r>
        <w:rPr>
          <w:rFonts w:ascii="Arial" w:hAnsi="Arial" w:eastAsia="Arial" w:cs="Arial"/>
          <w:sz w:val="20"/>
          <w:szCs w:val="20"/>
          <w:highlight w:val="white"/>
        </w:rPr>
        <w:t xml:space="preserve">já referenciados</w:t>
      </w:r>
      <w:r>
        <w:rPr>
          <w:rFonts w:ascii="Arial" w:hAnsi="Arial" w:eastAsia="Arial" w:cs="Arial"/>
          <w:highlight w:val="white"/>
        </w:rPr>
        <w:t xml:space="preserve"> </w:t>
      </w:r>
      <w:r>
        <w:rPr>
          <w:rFonts w:ascii="Arial" w:hAnsi="Arial" w:eastAsia="Arial" w:cs="Arial"/>
          <w:sz w:val="20"/>
          <w:szCs w:val="20"/>
          <w:highlight w:val="white"/>
        </w:rPr>
        <w:t xml:space="preserve">deverão ser ent</w:t>
      </w:r>
      <w:r>
        <w:rPr>
          <w:rFonts w:ascii="Arial" w:hAnsi="Arial" w:eastAsia="Arial" w:cs="Arial"/>
          <w:sz w:val="20"/>
          <w:szCs w:val="20"/>
          <w:highlight w:val="white"/>
        </w:rPr>
        <w:t xml:space="preserve">reg</w:t>
      </w:r>
      <w:r>
        <w:rPr>
          <w:rFonts w:ascii="Arial" w:hAnsi="Arial" w:eastAsia="Arial" w:cs="Arial"/>
          <w:sz w:val="20"/>
          <w:szCs w:val="20"/>
          <w:highlight w:val="white"/>
        </w:rPr>
        <w:t xml:space="preserve">ues no prazo máximo de 15 (quinze) dias corridos contados a partir do recebimento da solicitação formal de entrega. Caso sejam entregues em desacordo com as especificações técnicas previstas no Edital, Termo de Referência ou demais documentos contratuais, </w:t>
      </w:r>
      <w:r>
        <w:rPr>
          <w:rFonts w:ascii="Arial" w:hAnsi="Arial" w:eastAsia="Arial" w:cs="Arial"/>
          <w:color w:val="000000"/>
          <w:sz w:val="20"/>
          <w:szCs w:val="20"/>
          <w:highlight w:val="white"/>
        </w:rPr>
        <w:t xml:space="preserve">a contratada deverá substituí-los obrigatoriamente no prazo de até 05 (cinco) dias úteis, contados do recebimento da notificação expedida pela Administração. </w:t>
      </w:r>
      <w:r>
        <w:rPr>
          <w:rFonts w:ascii="Arial" w:hAnsi="Arial" w:cs="Arial"/>
          <w:color w:val="000000"/>
          <w:sz w:val="20"/>
          <w:szCs w:val="20"/>
          <w:highlight w:val="white"/>
        </w:rPr>
      </w:r>
      <w:r>
        <w:rPr>
          <w:rFonts w:ascii="Arial" w:hAnsi="Arial" w:cs="Arial"/>
          <w:color w:val="000000"/>
          <w:sz w:val="20"/>
          <w:szCs w:val="20"/>
          <w:highlight w:val="white"/>
        </w:rPr>
      </w:r>
    </w:p>
    <w:p>
      <w:pPr>
        <w:pStyle w:val="2059"/>
        <w:pBdr/>
        <w:spacing/>
        <w:ind w:left="284"/>
        <w:jc w:val="both"/>
        <w:rPr>
          <w:rFonts w:ascii="Arial" w:hAnsi="Arial" w:cs="Arial"/>
          <w:b/>
          <w:bCs/>
          <w:sz w:val="20"/>
          <w:szCs w:val="20"/>
        </w:rPr>
      </w:pPr>
      <w:r>
        <w:rPr>
          <w:rFonts w:ascii="Arial" w:hAnsi="Arial" w:eastAsia="Arial" w:cs="Arial"/>
          <w:b/>
          <w:bCs/>
          <w:sz w:val="20"/>
          <w:szCs w:val="20"/>
        </w:rPr>
      </w:r>
      <w:r>
        <w:rPr>
          <w:rFonts w:ascii="Arial" w:hAnsi="Arial" w:cs="Arial"/>
          <w:b/>
          <w:bCs/>
          <w:sz w:val="20"/>
          <w:szCs w:val="20"/>
        </w:rPr>
      </w:r>
      <w:r>
        <w:rPr>
          <w:rFonts w:ascii="Arial" w:hAnsi="Arial" w:cs="Arial"/>
          <w:b/>
          <w:bCs/>
          <w:sz w:val="20"/>
          <w:szCs w:val="20"/>
        </w:rPr>
      </w:r>
    </w:p>
    <w:p>
      <w:pPr>
        <w:pStyle w:val="2059"/>
        <w:pBdr/>
        <w:spacing/>
        <w:ind/>
        <w:jc w:val="both"/>
        <w:rPr>
          <w:rFonts w:ascii="Arial" w:hAnsi="Arial" w:cs="Arial"/>
          <w:sz w:val="20"/>
          <w:szCs w:val="20"/>
        </w:rPr>
      </w:pPr>
      <w:r>
        <w:rPr>
          <w:rFonts w:ascii="Arial" w:hAnsi="Arial" w:eastAsia="Arial" w:cs="Arial"/>
          <w:b/>
          <w:bCs/>
          <w:sz w:val="20"/>
          <w:szCs w:val="20"/>
        </w:rPr>
        <w:t xml:space="preserve">20.2.</w:t>
      </w:r>
      <w:r>
        <w:rPr>
          <w:rFonts w:ascii="Arial" w:hAnsi="Arial" w:eastAsia="Arial" w:cs="Arial"/>
          <w:sz w:val="20"/>
          <w:szCs w:val="20"/>
        </w:rPr>
        <w:t xml:space="preserve"> O descumprimento do prazo de substituição implicará a aplicação das sanções previstas no Edital, no Termo de Referência, na Minuta do </w:t>
      </w:r>
      <w:r>
        <w:rPr>
          <w:rFonts w:ascii="Arial" w:hAnsi="Arial" w:eastAsia="Arial" w:cs="Arial"/>
          <w:sz w:val="20"/>
          <w:szCs w:val="20"/>
        </w:rPr>
        <w:t xml:space="preserve">Contrato e na legislação aplicável, especialmente a Lei nº 14.133/2021, incluindo, mas não se limitando a: advertência, multa e impedimento de contratar com a Administração, ou declaração de inidoneidade.</w:t>
      </w:r>
      <w:r>
        <w:rPr>
          <w:rFonts w:ascii="Arial" w:hAnsi="Arial" w:cs="Arial"/>
          <w:sz w:val="20"/>
          <w:szCs w:val="20"/>
        </w:rPr>
      </w:r>
      <w:r>
        <w:rPr>
          <w:rFonts w:ascii="Arial" w:hAnsi="Arial" w:cs="Arial"/>
          <w:sz w:val="20"/>
          <w:szCs w:val="20"/>
        </w:rPr>
      </w:r>
    </w:p>
    <w:p>
      <w:pPr>
        <w:pStyle w:val="2059"/>
        <w:pBdr/>
        <w:spacing/>
        <w:ind w:left="284"/>
        <w:jc w:val="both"/>
        <w:rPr>
          <w:rFonts w:ascii="Arial" w:hAnsi="Arial" w:cs="Arial"/>
          <w:b/>
          <w:bCs/>
          <w:sz w:val="20"/>
          <w:szCs w:val="20"/>
        </w:rPr>
      </w:pPr>
      <w:r>
        <w:rPr>
          <w:rFonts w:ascii="Arial" w:hAnsi="Arial" w:eastAsia="Arial" w:cs="Arial"/>
          <w:b/>
          <w:bCs/>
          <w:sz w:val="20"/>
          <w:szCs w:val="20"/>
        </w:rPr>
      </w:r>
      <w:r>
        <w:rPr>
          <w:rFonts w:ascii="Arial" w:hAnsi="Arial" w:cs="Arial"/>
          <w:b/>
          <w:bCs/>
          <w:sz w:val="20"/>
          <w:szCs w:val="20"/>
        </w:rPr>
      </w:r>
      <w:r>
        <w:rPr>
          <w:rFonts w:ascii="Arial" w:hAnsi="Arial" w:cs="Arial"/>
          <w:b/>
          <w:bCs/>
          <w:sz w:val="20"/>
          <w:szCs w:val="20"/>
        </w:rPr>
      </w:r>
    </w:p>
    <w:p>
      <w:pPr>
        <w:pStyle w:val="2059"/>
        <w:pBdr/>
        <w:spacing/>
        <w:ind/>
        <w:jc w:val="both"/>
        <w:rPr>
          <w:rFonts w:ascii="Arial" w:hAnsi="Arial" w:cs="Arial"/>
          <w:sz w:val="20"/>
          <w:szCs w:val="20"/>
        </w:rPr>
      </w:pPr>
      <w:r>
        <w:rPr>
          <w:rFonts w:ascii="Arial" w:hAnsi="Arial" w:eastAsia="Arial" w:cs="Arial"/>
          <w:b/>
          <w:bCs/>
          <w:sz w:val="20"/>
          <w:szCs w:val="20"/>
        </w:rPr>
        <w:t xml:space="preserve">20.3.</w:t>
      </w:r>
      <w:r>
        <w:rPr>
          <w:rFonts w:ascii="Arial" w:hAnsi="Arial" w:eastAsia="Arial" w:cs="Arial"/>
          <w:sz w:val="20"/>
          <w:szCs w:val="20"/>
        </w:rPr>
        <w:t xml:space="preserve"> Constatada, por laudo técnico ou perícia, a entrega de produtos em desconformidade com as especificações exigidas, a contratada ficará obrig</w:t>
      </w:r>
      <w:r>
        <w:rPr>
          <w:rFonts w:ascii="Arial" w:hAnsi="Arial" w:eastAsia="Arial" w:cs="Arial"/>
          <w:sz w:val="20"/>
          <w:szCs w:val="20"/>
        </w:rPr>
        <w:t xml:space="preserve">ada a ressarcir integralmente a Administração Pública Municipal por todos os custos decorrentes da realização da perícia, além de indenizar eventuais prejuízos e danos materiais ou morais causados ao erário ou a terceiros, nos termos da legislação vigente.</w:t>
      </w:r>
      <w:r>
        <w:rPr>
          <w:rFonts w:ascii="Arial" w:hAnsi="Arial" w:cs="Arial"/>
          <w:sz w:val="20"/>
          <w:szCs w:val="20"/>
        </w:rPr>
      </w:r>
      <w:r>
        <w:rPr>
          <w:rFonts w:ascii="Arial" w:hAnsi="Arial" w:cs="Arial"/>
          <w:sz w:val="20"/>
          <w:szCs w:val="20"/>
        </w:rPr>
      </w:r>
    </w:p>
    <w:p>
      <w:pPr>
        <w:pStyle w:val="2059"/>
        <w:pBdr/>
        <w:spacing/>
        <w:ind w:left="284"/>
        <w:jc w:val="both"/>
        <w:rPr>
          <w:rFonts w:ascii="Arial" w:hAnsi="Arial" w:cs="Arial"/>
          <w:b/>
          <w:bCs/>
          <w:sz w:val="20"/>
          <w:szCs w:val="20"/>
        </w:rPr>
      </w:pPr>
      <w:r>
        <w:rPr>
          <w:rFonts w:ascii="Arial" w:hAnsi="Arial" w:eastAsia="Arial" w:cs="Arial"/>
          <w:b/>
          <w:bCs/>
          <w:sz w:val="20"/>
          <w:szCs w:val="20"/>
        </w:rPr>
      </w:r>
      <w:r>
        <w:rPr>
          <w:rFonts w:ascii="Arial" w:hAnsi="Arial" w:cs="Arial"/>
          <w:b/>
          <w:bCs/>
          <w:sz w:val="20"/>
          <w:szCs w:val="20"/>
        </w:rPr>
      </w:r>
      <w:r>
        <w:rPr>
          <w:rFonts w:ascii="Arial" w:hAnsi="Arial" w:cs="Arial"/>
          <w:b/>
          <w:bCs/>
          <w:sz w:val="20"/>
          <w:szCs w:val="20"/>
        </w:rPr>
      </w:r>
    </w:p>
    <w:p>
      <w:pPr>
        <w:pStyle w:val="2059"/>
        <w:pBdr/>
        <w:spacing/>
        <w:ind/>
        <w:jc w:val="both"/>
        <w:rPr>
          <w:rFonts w:ascii="Arial" w:hAnsi="Arial" w:cs="Arial"/>
          <w:sz w:val="20"/>
          <w:szCs w:val="20"/>
        </w:rPr>
      </w:pPr>
      <w:r>
        <w:rPr>
          <w:rFonts w:ascii="Arial" w:hAnsi="Arial" w:eastAsia="Arial" w:cs="Arial"/>
          <w:b/>
          <w:bCs/>
          <w:sz w:val="20"/>
          <w:szCs w:val="20"/>
        </w:rPr>
        <w:t xml:space="preserve">20.4.</w:t>
      </w:r>
      <w:r>
        <w:rPr>
          <w:rFonts w:ascii="Arial" w:hAnsi="Arial" w:eastAsia="Arial" w:cs="Arial"/>
          <w:sz w:val="20"/>
          <w:szCs w:val="20"/>
        </w:rPr>
        <w:t xml:space="preserve"> A subs</w:t>
      </w:r>
      <w:r>
        <w:rPr>
          <w:rFonts w:ascii="Arial" w:hAnsi="Arial" w:eastAsia="Arial" w:cs="Arial"/>
          <w:sz w:val="20"/>
          <w:szCs w:val="20"/>
        </w:rPr>
        <w:t xml:space="preserve">tituição deverá obedecer integralmente aos padrões de qualidade e características técnicas inicialmente exigidos, sendo vedada a entrega de produtos recondicionados, usados ou com especificações inferiores, sob pena de rejeição imediata pela Administração.</w:t>
      </w:r>
      <w:r>
        <w:rPr>
          <w:rFonts w:ascii="Arial" w:hAnsi="Arial" w:cs="Arial"/>
          <w:sz w:val="20"/>
          <w:szCs w:val="20"/>
        </w:rPr>
      </w:r>
      <w:r>
        <w:rPr>
          <w:rFonts w:ascii="Arial" w:hAnsi="Arial" w:cs="Arial"/>
          <w:sz w:val="20"/>
          <w:szCs w:val="20"/>
        </w:rPr>
      </w:r>
    </w:p>
    <w:p>
      <w:pPr>
        <w:pStyle w:val="2059"/>
        <w:pBdr/>
        <w:spacing/>
        <w:ind w:left="284"/>
        <w:jc w:val="both"/>
        <w:rPr>
          <w:rFonts w:ascii="Arial" w:hAnsi="Arial" w:cs="Arial"/>
          <w:b/>
          <w:bCs/>
          <w:sz w:val="20"/>
          <w:szCs w:val="20"/>
        </w:rPr>
      </w:pPr>
      <w:r>
        <w:rPr>
          <w:rFonts w:ascii="Arial" w:hAnsi="Arial" w:eastAsia="Arial" w:cs="Arial"/>
          <w:b/>
          <w:bCs/>
          <w:sz w:val="20"/>
          <w:szCs w:val="20"/>
        </w:rPr>
      </w:r>
      <w:r>
        <w:rPr>
          <w:rFonts w:ascii="Arial" w:hAnsi="Arial" w:cs="Arial"/>
          <w:b/>
          <w:bCs/>
          <w:sz w:val="20"/>
          <w:szCs w:val="20"/>
        </w:rPr>
      </w:r>
      <w:r>
        <w:rPr>
          <w:rFonts w:ascii="Arial" w:hAnsi="Arial" w:cs="Arial"/>
          <w:b/>
          <w:bCs/>
          <w:sz w:val="20"/>
          <w:szCs w:val="20"/>
        </w:rPr>
      </w:r>
    </w:p>
    <w:p>
      <w:pPr>
        <w:pStyle w:val="2059"/>
        <w:pBdr/>
        <w:spacing/>
        <w:ind/>
        <w:jc w:val="both"/>
        <w:rPr>
          <w:rFonts w:ascii="Arial" w:hAnsi="Arial" w:cs="Arial"/>
          <w:sz w:val="20"/>
          <w:szCs w:val="20"/>
        </w:rPr>
      </w:pPr>
      <w:r>
        <w:rPr>
          <w:rFonts w:ascii="Arial" w:hAnsi="Arial" w:eastAsia="Arial" w:cs="Arial"/>
          <w:b/>
          <w:bCs/>
          <w:sz w:val="20"/>
          <w:szCs w:val="20"/>
        </w:rPr>
        <w:t xml:space="preserve">20.5.</w:t>
      </w:r>
      <w:r>
        <w:rPr>
          <w:rFonts w:ascii="Arial" w:hAnsi="Arial" w:eastAsia="Arial" w:cs="Arial"/>
          <w:sz w:val="20"/>
          <w:szCs w:val="20"/>
        </w:rPr>
        <w:t xml:space="preserve"> A Administração reserva-se o direito de recusar o recebimento definitivo dos insumos até a plena regularização da entrega, sem prejuízo da aplicação das penalidades administrativas cabíveis.</w:t>
      </w:r>
      <w:r>
        <w:rPr>
          <w:rFonts w:ascii="Arial" w:hAnsi="Arial" w:cs="Arial"/>
          <w:sz w:val="20"/>
          <w:szCs w:val="20"/>
        </w:rPr>
      </w:r>
      <w:r>
        <w:rPr>
          <w:rFonts w:ascii="Arial" w:hAnsi="Arial" w:cs="Arial"/>
          <w:sz w:val="20"/>
          <w:szCs w:val="20"/>
        </w:rPr>
      </w:r>
    </w:p>
    <w:p>
      <w:pPr>
        <w:pStyle w:val="2059"/>
        <w:pBdr/>
        <w:spacing/>
        <w:ind w:left="284"/>
        <w:jc w:val="both"/>
        <w:rPr>
          <w:rFonts w:ascii="Arial" w:hAnsi="Arial" w:cs="Arial"/>
          <w:sz w:val="20"/>
          <w:szCs w:val="20"/>
        </w:rPr>
      </w:pPr>
      <w:r>
        <w:rPr>
          <w:rFonts w:ascii="Arial" w:hAnsi="Arial" w:eastAsia="Arial" w:cs="Arial"/>
          <w:sz w:val="20"/>
          <w:szCs w:val="20"/>
        </w:rPr>
      </w:r>
      <w:r>
        <w:rPr>
          <w:rFonts w:ascii="Arial" w:hAnsi="Arial" w:cs="Arial"/>
          <w:sz w:val="20"/>
          <w:szCs w:val="20"/>
        </w:rPr>
      </w:r>
      <w:r>
        <w:rPr>
          <w:rFonts w:ascii="Arial" w:hAnsi="Arial" w:cs="Arial"/>
          <w:sz w:val="20"/>
          <w:szCs w:val="20"/>
        </w:rPr>
      </w:r>
    </w:p>
    <w:p>
      <w:pPr>
        <w:pStyle w:val="887"/>
        <w:numPr>
          <w:ilvl w:val="0"/>
          <w:numId w:val="0"/>
        </w:numPr>
        <w:pBdr/>
        <w:spacing/>
        <w:ind/>
        <w:jc w:val="both"/>
        <w:outlineLvl w:val="0"/>
        <w:rPr>
          <w:rFonts w:ascii="Arial" w:hAnsi="Arial" w:cs="Arial"/>
          <w:b/>
          <w:bCs/>
          <w:color w:val="000000"/>
        </w:rPr>
      </w:pPr>
      <w:r/>
      <w:bookmarkStart w:id="83" w:name="_Toc20"/>
      <w:r>
        <w:rPr>
          <w:rFonts w:ascii="Arial" w:hAnsi="Arial" w:eastAsia="Arial" w:cs="Arial"/>
          <w:b/>
          <w:bCs/>
          <w:color w:val="000000"/>
        </w:rPr>
        <w:t xml:space="preserve">21. </w:t>
      </w:r>
      <w:r>
        <w:rPr>
          <w:rFonts w:ascii="Arial" w:hAnsi="Arial" w:eastAsia="Arial" w:cs="Arial"/>
          <w:b/>
        </w:rPr>
        <w:t xml:space="preserve">ESPECIFICAÇÃO DA GARANTIA EXIGIDA</w:t>
      </w:r>
      <w:r>
        <w:rPr>
          <w:rFonts w:ascii="Arial" w:hAnsi="Arial" w:eastAsia="Arial" w:cs="Arial"/>
          <w:b/>
          <w:bCs/>
          <w:color w:val="000000"/>
        </w:rPr>
        <w:t xml:space="preserve">:</w:t>
      </w:r>
      <w:bookmarkEnd w:id="83"/>
      <w:r>
        <w:rPr>
          <w:rFonts w:ascii="Arial" w:hAnsi="Arial" w:cs="Arial"/>
          <w:b/>
          <w:bCs/>
          <w:color w:val="000000"/>
        </w:rPr>
      </w:r>
      <w:r>
        <w:rPr>
          <w:rFonts w:ascii="Arial" w:hAnsi="Arial" w:cs="Arial"/>
          <w:b/>
          <w:bCs/>
          <w:color w:val="000000"/>
        </w:rPr>
      </w:r>
    </w:p>
    <w:p>
      <w:pPr>
        <w:pStyle w:val="2059"/>
        <w:pBdr/>
        <w:spacing/>
        <w:ind w:left="284"/>
        <w:jc w:val="both"/>
        <w:rPr>
          <w:rFonts w:ascii="Arial" w:hAnsi="Arial" w:cs="Arial"/>
          <w:b/>
          <w:sz w:val="20"/>
          <w:szCs w:val="20"/>
        </w:rPr>
      </w:pPr>
      <w:r>
        <w:rPr>
          <w:rFonts w:ascii="Arial" w:hAnsi="Arial" w:eastAsia="Arial" w:cs="Arial"/>
          <w:b/>
          <w:sz w:val="20"/>
          <w:szCs w:val="20"/>
        </w:rPr>
      </w:r>
      <w:r>
        <w:rPr>
          <w:rFonts w:ascii="Arial" w:hAnsi="Arial" w:cs="Arial"/>
          <w:b/>
          <w:sz w:val="20"/>
          <w:szCs w:val="20"/>
        </w:rPr>
      </w:r>
      <w:r>
        <w:rPr>
          <w:rFonts w:ascii="Arial" w:hAnsi="Arial" w:cs="Arial"/>
          <w:b/>
          <w:sz w:val="20"/>
          <w:szCs w:val="20"/>
        </w:rPr>
      </w:r>
    </w:p>
    <w:p>
      <w:pPr>
        <w:pStyle w:val="2059"/>
        <w:pBdr/>
        <w:spacing/>
        <w:ind/>
        <w:jc w:val="both"/>
        <w:rPr>
          <w:rFonts w:ascii="Arial" w:hAnsi="Arial" w:cs="Arial"/>
          <w:b/>
          <w:color w:val="000000"/>
          <w:sz w:val="20"/>
          <w:szCs w:val="20"/>
        </w:rPr>
      </w:pPr>
      <w:r>
        <w:rPr>
          <w:rFonts w:ascii="Arial" w:hAnsi="Arial" w:eastAsia="Arial" w:cs="Arial"/>
        </w:rPr>
      </w:r>
      <w:bookmarkStart w:id="32" w:name="_Hlk205307692"/>
      <w:r>
        <w:rPr>
          <w:rFonts w:ascii="Arial" w:hAnsi="Arial" w:eastAsia="Arial" w:cs="Arial"/>
          <w:b/>
          <w:sz w:val="20"/>
          <w:szCs w:val="20"/>
          <w:lang w:bidi="ar-SA"/>
        </w:rPr>
        <w:t xml:space="preserve">21.1. ESPECIFICAÇÃO DA GARANTIA EXIGIDA (</w:t>
      </w:r>
      <w:r>
        <w:rPr>
          <w:rFonts w:ascii="Arial" w:hAnsi="Arial" w:eastAsia="Arial" w:cs="Arial"/>
          <w:b/>
          <w:color w:val="000000"/>
          <w:sz w:val="20"/>
          <w:szCs w:val="20"/>
          <w:lang w:bidi="ar-SA"/>
        </w:rPr>
        <w:t xml:space="preserve">ART.23, § 1º, INCISO XII, DEC.</w:t>
      </w:r>
      <w:r>
        <w:rPr>
          <w:rFonts w:ascii="Arial" w:hAnsi="Arial" w:eastAsia="Arial" w:cs="Arial"/>
          <w:b/>
          <w:color w:val="000000"/>
          <w:sz w:val="20"/>
          <w:szCs w:val="20"/>
        </w:rPr>
        <w:t xml:space="preserve"> 11.685/2023): </w:t>
      </w:r>
      <w:r>
        <w:rPr>
          <w:rFonts w:ascii="Arial" w:hAnsi="Arial" w:eastAsia="Arial" w:cs="Arial"/>
          <w:bCs/>
          <w:sz w:val="16"/>
          <w:szCs w:val="16"/>
        </w:rPr>
        <w:t xml:space="preserve">(XIII - especificação da garantia exigida e das condições de manutenção e assistência técnica, quando for o caso;)</w:t>
      </w:r>
      <w:bookmarkEnd w:id="32"/>
      <w:r>
        <w:rPr>
          <w:rFonts w:ascii="Arial" w:hAnsi="Arial" w:cs="Arial"/>
          <w:b/>
          <w:color w:val="000000"/>
          <w:sz w:val="20"/>
          <w:szCs w:val="20"/>
        </w:rPr>
      </w:r>
      <w:r>
        <w:rPr>
          <w:rFonts w:ascii="Arial" w:hAnsi="Arial" w:cs="Arial"/>
          <w:b/>
          <w:color w:val="000000"/>
          <w:sz w:val="20"/>
          <w:szCs w:val="20"/>
        </w:rPr>
      </w:r>
    </w:p>
    <w:p>
      <w:pPr>
        <w:pStyle w:val="887"/>
        <w:pBdr/>
        <w:spacing/>
        <w:ind/>
        <w:jc w:val="both"/>
        <w:rPr>
          <w:rFonts w:ascii="Arial" w:hAnsi="Arial" w:cs="Arial"/>
          <w:bCs/>
          <w:sz w:val="16"/>
          <w:szCs w:val="16"/>
        </w:rPr>
      </w:pPr>
      <w:r>
        <w:rPr>
          <w:rFonts w:ascii="Arial" w:hAnsi="Arial" w:eastAsia="Arial" w:cs="Arial"/>
          <w:bCs/>
          <w:sz w:val="16"/>
          <w:szCs w:val="16"/>
        </w:rPr>
      </w:r>
      <w:r>
        <w:rPr>
          <w:rFonts w:ascii="Arial" w:hAnsi="Arial" w:cs="Arial"/>
          <w:bCs/>
          <w:sz w:val="16"/>
          <w:szCs w:val="16"/>
        </w:rPr>
      </w:r>
      <w:r>
        <w:rPr>
          <w:rFonts w:ascii="Arial" w:hAnsi="Arial" w:cs="Arial"/>
          <w:bCs/>
          <w:sz w:val="16"/>
          <w:szCs w:val="16"/>
        </w:rPr>
      </w:r>
    </w:p>
    <w:p>
      <w:pPr>
        <w:pStyle w:val="2059"/>
        <w:pBdr/>
        <w:spacing/>
        <w:ind/>
        <w:jc w:val="both"/>
        <w:rPr>
          <w:rFonts w:ascii="Arial" w:hAnsi="Arial" w:eastAsia="Arial" w:cs="Arial"/>
          <w:sz w:val="20"/>
          <w:szCs w:val="20"/>
          <w14:ligatures w14:val="none"/>
        </w:rPr>
      </w:pPr>
      <w:r>
        <w:rPr>
          <w:rFonts w:ascii="Arial" w:hAnsi="Arial" w:eastAsia="Arial" w:cs="Arial"/>
          <w:b/>
        </w:rPr>
        <w:t xml:space="preserve">21.1.1. </w:t>
      </w:r>
      <w:r>
        <w:rPr>
          <w:rFonts w:ascii="Arial" w:hAnsi="Arial" w:eastAsia="Arial" w:cs="Arial"/>
          <w:sz w:val="20"/>
          <w:szCs w:val="20"/>
        </w:rPr>
        <w:t xml:space="preserve">Os produtos deverão possuir, na data da entrega, prazo de validade remanescente correspondente a, no mínimo, 75% (setenta e cinco por cento) do prazo total de validade estabelecido pelo fabricante, ressalvada situação excepcional devidamente justificada e </w:t>
      </w:r>
      <w:r>
        <w:rPr>
          <w:rFonts w:ascii="Arial" w:hAnsi="Arial" w:eastAsia="Arial" w:cs="Arial"/>
          <w:sz w:val="20"/>
          <w:szCs w:val="20"/>
        </w:rPr>
        <w:t xml:space="preserve">previamente aceita pela Administração.</w:t>
      </w:r>
      <w:r>
        <w:rPr>
          <w:rFonts w:ascii="Arial" w:hAnsi="Arial" w:eastAsia="Arial" w:cs="Arial"/>
          <w:sz w:val="20"/>
          <w:szCs w:val="20"/>
        </w:rPr>
      </w:r>
      <w:r>
        <w:rPr>
          <w:rFonts w:ascii="Arial" w:hAnsi="Arial" w:eastAsia="Arial" w:cs="Arial"/>
          <w:sz w:val="20"/>
          <w:szCs w:val="20"/>
          <w14:ligatures w14:val="none"/>
        </w:rPr>
      </w:r>
    </w:p>
    <w:p w14:paraId="605AA604">
      <w:pPr>
        <w:pStyle w:val="887"/>
        <w:pBdr/>
        <w:spacing/>
        <w:ind/>
        <w:jc w:val="both"/>
        <w:rPr>
          <w:rFonts w:ascii="Arial" w:hAnsi="Arial" w:cs="Arial"/>
          <w:highlight w:val="none"/>
        </w:rPr>
      </w:pPr>
      <w:r>
        <w:rPr>
          <w:rFonts w:ascii="Arial" w:hAnsi="Arial" w:eastAsia="Arial" w:cs="Arial"/>
          <w:bCs/>
          <w:highlight w:val="none"/>
        </w:rPr>
      </w:r>
      <w:r>
        <w:rPr>
          <w:rFonts w:ascii="Arial" w:hAnsi="Arial" w:cs="Arial"/>
          <w:highlight w:val="none"/>
        </w:rPr>
      </w:r>
      <w:r>
        <w:rPr>
          <w:rFonts w:ascii="Arial" w:hAnsi="Arial" w:cs="Arial"/>
          <w:highlight w:val="none"/>
        </w:rPr>
      </w:r>
    </w:p>
    <w:p w14:paraId="311CE41C">
      <w:pPr>
        <w:pStyle w:val="2059"/>
        <w:pBdr/>
        <w:spacing/>
        <w:ind/>
        <w:jc w:val="both"/>
        <w:rPr>
          <w:rFonts w:ascii="Arial" w:hAnsi="Arial" w:eastAsia="Arial" w:cs="Arial"/>
          <w:sz w:val="20"/>
          <w:szCs w:val="20"/>
          <w14:ligatures w14:val="none"/>
        </w:rPr>
      </w:pPr>
      <w:r>
        <w:rPr>
          <w:rFonts w:ascii="Arial" w:hAnsi="Arial" w:eastAsia="Arial" w:cs="Arial"/>
        </w:rPr>
      </w:r>
      <w:r>
        <w:rPr>
          <w:rFonts w:ascii="Arial" w:hAnsi="Arial" w:eastAsia="Arial" w:cs="Arial"/>
          <w:b/>
        </w:rPr>
        <w:t xml:space="preserve">21.1.2. </w:t>
      </w:r>
      <w:r>
        <w:rPr>
          <w:rFonts w:ascii="Arial" w:hAnsi="Arial" w:eastAsia="Arial" w:cs="Arial"/>
          <w:sz w:val="20"/>
          <w:szCs w:val="20"/>
        </w:rPr>
        <w:t xml:space="preserve">Durante todo o prazo de validade dos produtos fornecidos, a Contratada permanecerá responsável pela qualidade, integridade, esterilidade, regularidade sanitária, rastreabilidade, funcionalidade e conformidade dos materiais, devendo substituir, sem ônus à A</w:t>
      </w:r>
      <w:r>
        <w:rPr>
          <w:rFonts w:ascii="Arial" w:hAnsi="Arial" w:eastAsia="Arial" w:cs="Arial"/>
          <w:sz w:val="20"/>
          <w:szCs w:val="20"/>
        </w:rPr>
        <w:t xml:space="preserve">dministração, aqueles que apresentarem vícios ou desconformidades imputáveis ao produto.</w:t>
      </w:r>
      <w:r>
        <w:rPr>
          <w:rFonts w:ascii="Arial" w:hAnsi="Arial" w:eastAsia="Arial" w:cs="Arial"/>
          <w:sz w:val="20"/>
          <w:szCs w:val="20"/>
        </w:rPr>
      </w:r>
      <w:r>
        <w:rPr>
          <w:rFonts w:ascii="Arial" w:hAnsi="Arial" w:eastAsia="Arial" w:cs="Arial"/>
          <w:sz w:val="20"/>
          <w:szCs w:val="20"/>
          <w14:ligatures w14:val="none"/>
        </w:rPr>
      </w:r>
    </w:p>
    <w:p>
      <w:pPr>
        <w:pStyle w:val="887"/>
        <w:pBdr/>
        <w:spacing/>
        <w:ind w:left="284"/>
        <w:jc w:val="both"/>
        <w:rPr>
          <w:rFonts w:ascii="Arial" w:hAnsi="Arial" w:cs="Arial"/>
          <w:bCs/>
        </w:rPr>
      </w:pPr>
      <w:r>
        <w:rPr>
          <w:rFonts w:ascii="Arial" w:hAnsi="Arial" w:eastAsia="Arial" w:cs="Arial"/>
          <w:bCs/>
        </w:rPr>
      </w:r>
      <w:r>
        <w:rPr>
          <w:rFonts w:ascii="Arial" w:hAnsi="Arial" w:cs="Arial"/>
          <w:bCs/>
        </w:rPr>
      </w:r>
      <w:r>
        <w:rPr>
          <w:rFonts w:ascii="Arial" w:hAnsi="Arial" w:cs="Arial"/>
          <w:bCs/>
        </w:rPr>
      </w:r>
    </w:p>
    <w:p>
      <w:pPr>
        <w:numPr>
          <w:ilvl w:val="0"/>
          <w:numId w:val="0"/>
        </w:numPr>
        <w:pBdr/>
        <w:spacing/>
        <w:ind/>
        <w:jc w:val="both"/>
        <w:rPr>
          <w:rFonts w:ascii="Arial" w:hAnsi="Arial" w:eastAsia="Arial" w:cs="Arial"/>
          <w:b/>
          <w:bCs/>
          <w:color w:val="000000"/>
          <w14:ligatures w14:val="none"/>
        </w:rPr>
      </w:pPr>
      <w:r>
        <w:rPr>
          <w:rFonts w:ascii="Arial" w:hAnsi="Arial" w:eastAsia="Arial" w:cs="Arial"/>
          <w:b/>
          <w:bCs/>
          <w:color w:val="000000"/>
        </w:rPr>
        <w:t xml:space="preserve">21.2. </w:t>
      </w:r>
      <w:r>
        <w:rPr>
          <w:rFonts w:ascii="Arial" w:hAnsi="Arial" w:eastAsia="Arial" w:cs="Arial"/>
          <w:b/>
          <w:bCs/>
          <w:color w:val="000000"/>
        </w:rPr>
        <w:t xml:space="preserve">GARANTIA DE EXECUÇÃO CONTRATUAL</w:t>
      </w:r>
      <w:r>
        <w:rPr>
          <w:rFonts w:ascii="Arial" w:hAnsi="Arial" w:eastAsia="Arial" w:cs="Arial"/>
          <w:b/>
          <w:bCs/>
          <w:color w:val="000000"/>
        </w:rPr>
        <w:t xml:space="preserve">:</w:t>
      </w:r>
      <w:r>
        <w:rPr>
          <w:rFonts w:ascii="Arial" w:hAnsi="Arial" w:eastAsia="Arial" w:cs="Arial"/>
          <w:b/>
          <w:bCs/>
          <w:color w:val="000000"/>
        </w:rPr>
      </w:r>
      <w:r>
        <w:rPr>
          <w:rFonts w:ascii="Arial" w:hAnsi="Arial" w:eastAsia="Arial" w:cs="Arial"/>
          <w:b/>
          <w:bCs/>
          <w:color w:val="000000"/>
          <w14:ligatures w14:val="none"/>
        </w:rPr>
      </w:r>
    </w:p>
    <w:p>
      <w:pPr>
        <w:pStyle w:val="887"/>
        <w:pBdr/>
        <w:spacing/>
        <w:ind/>
        <w:jc w:val="both"/>
        <w:rPr>
          <w:rFonts w:ascii="Arial" w:hAnsi="Arial" w:cs="Arial"/>
          <w:b/>
          <w:bCs/>
          <w:szCs w:val="24"/>
        </w:rPr>
      </w:pPr>
      <w:r>
        <w:rPr>
          <w:rFonts w:ascii="Arial" w:hAnsi="Arial" w:eastAsia="Arial" w:cs="Arial"/>
          <w:b/>
          <w:bCs/>
          <w:szCs w:val="24"/>
        </w:rPr>
      </w:r>
      <w:r>
        <w:rPr>
          <w:rFonts w:ascii="Arial" w:hAnsi="Arial" w:cs="Arial"/>
          <w:b/>
          <w:bCs/>
          <w:szCs w:val="24"/>
        </w:rPr>
      </w:r>
      <w:r>
        <w:rPr>
          <w:rFonts w:ascii="Arial" w:hAnsi="Arial" w:cs="Arial"/>
          <w:b/>
          <w:bCs/>
          <w:szCs w:val="24"/>
        </w:rPr>
      </w:r>
    </w:p>
    <w:p>
      <w:pPr>
        <w:pBdr/>
        <w:spacing/>
        <w:ind w:right="-5"/>
        <w:jc w:val="both"/>
        <w:rPr>
          <w:rFonts w:ascii="Arial" w:hAnsi="Arial" w:cs="Arial"/>
          <w14:ligatures w14:val="none"/>
        </w:rPr>
      </w:pPr>
      <w:r>
        <w:rPr>
          <w:rFonts w:ascii="Arial" w:hAnsi="Arial" w:eastAsia="Arial" w:cs="Arial"/>
          <w:b/>
          <w:bCs/>
          <w:szCs w:val="24"/>
        </w:rPr>
        <w:t xml:space="preserve">21.2.1.</w:t>
      </w:r>
      <w:r>
        <w:rPr>
          <w:rFonts w:ascii="Arial" w:hAnsi="Arial" w:eastAsia="Arial" w:cs="Arial"/>
          <w:color w:val="000000"/>
        </w:rPr>
        <w:t xml:space="preserve"> </w:t>
      </w:r>
      <w:r>
        <w:rPr>
          <w:rFonts w:ascii="Arial" w:hAnsi="Arial" w:eastAsia="Arial" w:cs="Arial"/>
        </w:rPr>
        <w:t xml:space="preserve">A garantia contratual prevista nos arts. 96 a 101 da Lei nº 14.133/2021 consiste em instrumento destinado a assegurar o fiel cumpr</w:t>
      </w:r>
      <w:r>
        <w:rPr>
          <w:rFonts w:ascii="Arial" w:hAnsi="Arial" w:eastAsia="Arial" w:cs="Arial"/>
        </w:rPr>
        <w:t xml:space="preserve">imento das obrigações assumidas pela contratada, podendo ser exigida pela Administração Pública em contratações que envolvam maior complexidade, elevado risco de inadimplemento, prejuízo financeiro relevante ou necessidade ampliada de segurança contratual.</w:t>
      </w:r>
      <w:r>
        <w:rPr>
          <w:rFonts w:ascii="Arial" w:hAnsi="Arial" w:cs="Arial"/>
          <w14:ligatures w14:val="none"/>
        </w:rPr>
      </w:r>
      <w:r>
        <w:rPr>
          <w:rFonts w:ascii="Arial" w:hAnsi="Arial" w:cs="Arial"/>
          <w14:ligatures w14:val="none"/>
        </w:rPr>
      </w:r>
    </w:p>
    <w:p w14:paraId="64FCB05A">
      <w:pPr>
        <w:pBdr>
          <w:top w:val="none" w:color="000000" w:sz="4" w:space="0"/>
          <w:left w:val="none" w:color="000000" w:sz="4" w:space="0"/>
          <w:bottom w:val="none" w:color="000000" w:sz="4" w:space="0"/>
          <w:right w:val="none" w:color="000000" w:sz="4" w:space="0"/>
        </w:pBdr>
        <w:spacing/>
        <w:ind w:right="-5"/>
        <w:jc w:val="both"/>
        <w:rPr>
          <w:rFonts w:ascii="Arial" w:hAnsi="Arial" w:eastAsia="Arial" w:cs="Arial"/>
          <w14:ligatures w14:val="none"/>
        </w:rPr>
      </w:pPr>
      <w:r>
        <w:rPr>
          <w:rFonts w:ascii="Arial" w:hAnsi="Arial" w:eastAsia="Arial" w:cs="Arial"/>
          <w:highlight w:val="none"/>
        </w:rPr>
      </w:r>
      <w:r>
        <w:rPr>
          <w:rFonts w:ascii="Arial" w:hAnsi="Arial" w:eastAsia="Arial" w:cs="Arial"/>
          <w:highlight w:val="none"/>
        </w:rPr>
      </w:r>
      <w:r>
        <w:rPr>
          <w:rFonts w:ascii="Arial" w:hAnsi="Arial" w:eastAsia="Arial" w:cs="Arial"/>
          <w14:ligatures w14:val="none"/>
        </w:rPr>
      </w:r>
    </w:p>
    <w:p w14:paraId="3DB7844C">
      <w:pPr>
        <w:pBdr>
          <w:top w:val="none" w:color="000000" w:sz="4" w:space="0"/>
          <w:left w:val="none" w:color="000000" w:sz="4" w:space="0"/>
          <w:bottom w:val="none" w:color="000000" w:sz="4" w:space="0"/>
          <w:right w:val="none" w:color="000000" w:sz="4" w:space="0"/>
        </w:pBdr>
        <w:spacing/>
        <w:ind w:right="-5"/>
        <w:jc w:val="both"/>
        <w:rPr>
          <w:rFonts w:ascii="Arial" w:hAnsi="Arial" w:eastAsia="Arial" w:cs="Arial"/>
          <w:highlight w:val="none"/>
          <w14:ligatures w14:val="none"/>
        </w:rPr>
      </w:pPr>
      <w:r>
        <w:rPr>
          <w:rFonts w:ascii="Arial" w:hAnsi="Arial" w:eastAsia="Arial" w:cs="Arial"/>
          <w:b/>
          <w:bCs/>
        </w:rPr>
        <w:t xml:space="preserve">21.2.1.</w:t>
      </w:r>
      <w:r>
        <w:rPr>
          <w:rFonts w:ascii="Arial" w:hAnsi="Arial" w:eastAsia="Arial" w:cs="Arial"/>
          <w:b/>
          <w:bCs/>
          <w:lang w:val="pt-BR"/>
        </w:rPr>
        <w:t xml:space="preserve">1</w:t>
      </w:r>
      <w:r>
        <w:rPr>
          <w:rFonts w:ascii="Arial" w:hAnsi="Arial" w:eastAsia="Arial" w:cs="Arial"/>
          <w:b/>
          <w:bCs/>
        </w:rPr>
        <w:t xml:space="preserve"> </w:t>
      </w:r>
      <w:r>
        <w:rPr>
          <w:rFonts w:ascii="Arial" w:hAnsi="Arial" w:eastAsia="Arial" w:cs="Arial"/>
        </w:rPr>
        <w:t xml:space="preserve">Será exigida garantia de execução correspondente a 5% (cinco por cento) do valor inicial do contrato decorrente da Ata de Registro de Preços.</w:t>
      </w:r>
      <w:r>
        <w:rPr>
          <w:rFonts w:ascii="Arial" w:hAnsi="Arial" w:eastAsia="Arial" w:cs="Arial"/>
        </w:rPr>
      </w:r>
      <w:r>
        <w:rPr>
          <w:rFonts w:ascii="Arial" w:hAnsi="Arial" w:eastAsia="Arial" w:cs="Arial"/>
          <w:highlight w:val="none"/>
          <w14:ligatures w14:val="none"/>
        </w:rPr>
      </w:r>
    </w:p>
    <w:p w14:paraId="16E4F9DB">
      <w:pPr>
        <w:pBdr>
          <w:top w:val="none" w:color="000000" w:sz="4" w:space="0"/>
          <w:left w:val="none" w:color="000000" w:sz="4" w:space="0"/>
          <w:bottom w:val="none" w:color="000000" w:sz="4" w:space="0"/>
          <w:right w:val="none" w:color="000000" w:sz="4" w:space="0"/>
        </w:pBdr>
        <w:spacing/>
        <w:ind w:right="-5"/>
        <w:jc w:val="both"/>
        <w:rPr>
          <w:rFonts w:ascii="Arial" w:hAnsi="Arial" w:eastAsia="Arial" w:cs="Arial"/>
          <w14:ligatures w14:val="none"/>
        </w:rPr>
      </w:pPr>
      <w:r>
        <w:rPr>
          <w:rFonts w:ascii="Arial" w:hAnsi="Arial" w:eastAsia="Arial" w:cs="Arial"/>
          <w:highlight w:val="none"/>
        </w:rPr>
      </w:r>
      <w:r>
        <w:rPr>
          <w:rFonts w:ascii="Arial" w:hAnsi="Arial" w:eastAsia="Arial" w:cs="Arial"/>
          <w:highlight w:val="none"/>
        </w:rPr>
      </w:r>
      <w:r>
        <w:rPr>
          <w:rFonts w:ascii="Arial" w:hAnsi="Arial" w:eastAsia="Arial" w:cs="Arial"/>
          <w14:ligatures w14:val="none"/>
        </w:rPr>
      </w:r>
    </w:p>
    <w:p w14:paraId="39166C61">
      <w:pPr>
        <w:pBdr>
          <w:top w:val="none" w:color="000000" w:sz="4" w:space="0"/>
          <w:left w:val="none" w:color="000000" w:sz="4" w:space="0"/>
          <w:bottom w:val="none" w:color="000000" w:sz="4" w:space="0"/>
          <w:right w:val="none" w:color="000000" w:sz="4" w:space="0"/>
        </w:pBdr>
        <w:spacing/>
        <w:ind w:right="-5"/>
        <w:jc w:val="both"/>
        <w:rPr>
          <w:rFonts w:ascii="Arial" w:hAnsi="Arial" w:eastAsia="Arial" w:cs="Arial"/>
          <w:highlight w:val="none"/>
          <w14:ligatures w14:val="none"/>
        </w:rPr>
      </w:pPr>
      <w:r>
        <w:rPr>
          <w:rFonts w:ascii="Arial" w:hAnsi="Arial" w:eastAsia="Arial" w:cs="Arial"/>
          <w:b/>
          <w:bCs/>
        </w:rPr>
        <w:t xml:space="preserve">21.2.2.</w:t>
      </w:r>
      <w:r>
        <w:rPr>
          <w:rFonts w:ascii="Arial" w:hAnsi="Arial" w:eastAsia="Arial" w:cs="Arial"/>
        </w:rPr>
        <w:t xml:space="preserve"> A Contratada poderá optar pelas modalidades de garantia admitidas na legislação aplicável, observados os respectivos procedimentos, prazos e condições.</w:t>
      </w:r>
      <w:r>
        <w:rPr>
          <w:rFonts w:ascii="Arial" w:hAnsi="Arial" w:eastAsia="Arial" w:cs="Arial"/>
        </w:rPr>
      </w:r>
      <w:r>
        <w:rPr>
          <w:rFonts w:ascii="Arial" w:hAnsi="Arial" w:eastAsia="Arial" w:cs="Arial"/>
          <w:highlight w:val="none"/>
          <w14:ligatures w14:val="none"/>
        </w:rPr>
      </w:r>
    </w:p>
    <w:p w14:paraId="4F967EC1">
      <w:pPr>
        <w:pBdr>
          <w:top w:val="none" w:color="000000" w:sz="4" w:space="0"/>
          <w:left w:val="none" w:color="000000" w:sz="4" w:space="0"/>
          <w:bottom w:val="none" w:color="000000" w:sz="4" w:space="0"/>
          <w:right w:val="none" w:color="000000" w:sz="4" w:space="0"/>
        </w:pBdr>
        <w:spacing/>
        <w:ind w:right="-5"/>
        <w:jc w:val="both"/>
        <w:rPr>
          <w:rFonts w:ascii="Arial" w:hAnsi="Arial" w:eastAsia="Arial" w:cs="Arial"/>
          <w:b/>
          <w:bCs/>
          <w14:ligatures w14:val="none"/>
        </w:rPr>
      </w:pPr>
      <w:r>
        <w:rPr>
          <w:rFonts w:ascii="Arial" w:hAnsi="Arial" w:eastAsia="Arial" w:cs="Arial"/>
          <w:b/>
          <w:bCs/>
        </w:rPr>
      </w:r>
      <w:r>
        <w:rPr>
          <w:rFonts w:ascii="Arial" w:hAnsi="Arial" w:eastAsia="Arial" w:cs="Arial"/>
          <w:b/>
          <w:bCs/>
        </w:rPr>
      </w:r>
      <w:r>
        <w:rPr>
          <w:rFonts w:ascii="Arial" w:hAnsi="Arial" w:eastAsia="Arial" w:cs="Arial"/>
          <w:b/>
          <w:bCs/>
          <w14:ligatures w14:val="none"/>
        </w:rPr>
      </w:r>
    </w:p>
    <w:p w14:paraId="1D931F32">
      <w:pPr>
        <w:pBdr>
          <w:top w:val="none" w:color="000000" w:sz="4" w:space="0"/>
          <w:left w:val="none" w:color="000000" w:sz="4" w:space="0"/>
          <w:bottom w:val="none" w:color="000000" w:sz="4" w:space="0"/>
          <w:right w:val="none" w:color="000000" w:sz="4" w:space="0"/>
        </w:pBdr>
        <w:spacing/>
        <w:ind w:right="-5"/>
        <w:jc w:val="both"/>
        <w:rPr>
          <w:rFonts w:ascii="Arial" w:hAnsi="Arial" w:eastAsia="Arial" w:cs="Arial"/>
          <w:highlight w:val="none"/>
          <w14:ligatures w14:val="none"/>
        </w:rPr>
      </w:pPr>
      <w:r>
        <w:rPr>
          <w:rFonts w:ascii="Arial" w:hAnsi="Arial" w:eastAsia="Arial" w:cs="Arial"/>
          <w:b/>
          <w:bCs/>
        </w:rPr>
        <w:t xml:space="preserve">21.2.3.</w:t>
      </w:r>
      <w:r>
        <w:rPr>
          <w:rFonts w:ascii="Arial" w:hAnsi="Arial" w:eastAsia="Arial" w:cs="Arial"/>
        </w:rPr>
        <w:t xml:space="preserve"> A garantia será prestada após a assinatura do contrato, no prazo nele estabelecido, e deverá permanecer válida durante toda a vigência contratual e enquanto subsistirem obrigações garantidas.</w:t>
      </w:r>
      <w:r>
        <w:rPr>
          <w:rFonts w:ascii="Arial" w:hAnsi="Arial" w:eastAsia="Arial" w:cs="Arial"/>
        </w:rPr>
      </w:r>
      <w:r>
        <w:rPr>
          <w:rFonts w:ascii="Arial" w:hAnsi="Arial" w:eastAsia="Arial" w:cs="Arial"/>
          <w:highlight w:val="none"/>
          <w14:ligatures w14:val="none"/>
        </w:rPr>
      </w:r>
    </w:p>
    <w:p w14:paraId="3E191613">
      <w:pPr>
        <w:pStyle w:val="887"/>
        <w:pBdr/>
        <w:spacing/>
        <w:ind w:right="-5"/>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numPr>
          <w:ilvl w:val="0"/>
          <w:numId w:val="0"/>
        </w:numPr>
        <w:pBdr/>
        <w:spacing/>
        <w:ind/>
        <w:jc w:val="both"/>
        <w:outlineLvl w:val="0"/>
        <w:rPr>
          <w:rFonts w:ascii="Arial" w:hAnsi="Arial" w:cs="Arial"/>
          <w:b/>
          <w:bCs/>
          <w:color w:val="000000"/>
        </w:rPr>
      </w:pPr>
      <w:r/>
      <w:bookmarkStart w:id="84" w:name="_Toc21"/>
      <w:r>
        <w:rPr>
          <w:rFonts w:ascii="Arial" w:hAnsi="Arial" w:eastAsia="Arial" w:cs="Arial"/>
          <w:b/>
          <w:bCs/>
          <w:color w:val="000000"/>
        </w:rPr>
        <w:t xml:space="preserve">22.</w:t>
      </w:r>
      <w:r>
        <w:rPr>
          <w:rFonts w:ascii="Arial" w:hAnsi="Arial" w:eastAsia="Arial" w:cs="Arial"/>
          <w:b/>
          <w:color w:val="000000"/>
        </w:rPr>
        <w:t xml:space="preserve"> DA GESTÃO DE CONTRATO E FISCALIZAÇÃO</w:t>
      </w:r>
      <w:r>
        <w:rPr>
          <w:rFonts w:ascii="Arial" w:hAnsi="Arial" w:eastAsia="Arial" w:cs="Arial"/>
          <w:b/>
          <w:bCs/>
          <w:color w:val="000000"/>
        </w:rPr>
        <w:t xml:space="preserve">:</w:t>
      </w:r>
      <w:bookmarkEnd w:id="84"/>
      <w:r>
        <w:rPr>
          <w:rFonts w:ascii="Arial" w:hAnsi="Arial" w:cs="Arial"/>
          <w:b/>
          <w:bCs/>
          <w:color w:val="000000"/>
        </w:rPr>
      </w:r>
      <w:r>
        <w:rPr>
          <w:rFonts w:ascii="Arial" w:hAnsi="Arial" w:cs="Arial"/>
          <w:b/>
          <w:bCs/>
          <w:color w:val="000000"/>
        </w:rPr>
      </w:r>
    </w:p>
    <w:p>
      <w:pPr>
        <w:pStyle w:val="887"/>
        <w:pBdr/>
        <w:spacing/>
        <w:ind/>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b/>
          <w:bCs/>
          <w:color w:val="000000"/>
        </w:rPr>
      </w:pPr>
      <w:r>
        <w:rPr>
          <w:rFonts w:ascii="Arial" w:hAnsi="Arial" w:eastAsia="Arial" w:cs="Arial"/>
          <w:b/>
          <w:color w:val="000000"/>
        </w:rPr>
        <w:t xml:space="preserve">22.1. DA GESTÃO DE CONTRATO E FISCALIZAÇÃO (Art. 6º, Inciso XXIII, Lei 14.133/2021):</w:t>
      </w:r>
      <w:r>
        <w:rPr>
          <w:rFonts w:ascii="Arial" w:hAnsi="Arial" w:cs="Arial"/>
          <w:b/>
          <w:bCs/>
          <w:color w:val="000000"/>
        </w:rPr>
      </w:r>
      <w:r>
        <w:rPr>
          <w:rFonts w:ascii="Arial" w:hAnsi="Arial" w:cs="Arial"/>
          <w:b/>
          <w:bCs/>
          <w:color w:val="000000"/>
        </w:rPr>
      </w:r>
    </w:p>
    <w:p>
      <w:pPr>
        <w:pStyle w:val="887"/>
        <w:pBdr/>
        <w:spacing/>
        <w:ind/>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rPr>
      </w:pPr>
      <w:r>
        <w:rPr>
          <w:rFonts w:ascii="Arial" w:hAnsi="Arial" w:eastAsia="Arial" w:cs="Arial"/>
          <w:b/>
        </w:rPr>
        <w:t xml:space="preserve">22.1.1.</w:t>
      </w:r>
      <w:r>
        <w:rPr>
          <w:rFonts w:ascii="Arial" w:hAnsi="Arial" w:eastAsia="Arial" w:cs="Arial"/>
        </w:rPr>
        <w:t xml:space="preserve"> O contrato deverá ser executado fielmente pelas partes, de acordo com as cláusulas avençadas e as normas da Lei n.º 14.133/2021, e cada parte responderá pelas consequências de sua inexecução total ou parcial.</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22.2.</w:t>
      </w:r>
      <w:r>
        <w:rPr>
          <w:rFonts w:ascii="Arial" w:hAnsi="Arial" w:eastAsia="Arial" w:cs="Arial"/>
        </w:rPr>
        <w:t xml:space="preserve"> O gestor do contrato (secretário da pasta solicitante do objeto licitado) deverá nomear, via Portaria Interna e publicar no DIORONDON, o servidor responsável pelo acompanhamento</w:t>
      </w:r>
      <w:r>
        <w:rPr>
          <w:rFonts w:ascii="Arial" w:hAnsi="Arial" w:eastAsia="Arial" w:cs="Arial"/>
        </w:rPr>
        <w:t xml:space="preserve"> e fiscalização da execução do objeto contratado, nesse sentido, o pagamento da nota fiscal referente ao fornecimento realizado pelo contratante será condicionado à apresentação do relatório do Fiscal do contrato. (Conforme Recomendação Técnica nº21/2014).</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22.3.</w:t>
      </w:r>
      <w:r>
        <w:rPr>
          <w:rFonts w:ascii="Arial" w:hAnsi="Arial" w:eastAsia="Arial" w:cs="Arial"/>
        </w:rPr>
        <w:t xml:space="preserve"> A entrega dos produtos será acompanhada e fiscalizada por servidor da Contratante o qual devera atestar os documentos da despesa, quando comprovada a fiel e correta entrega para fins de pagamento.</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22.4.</w:t>
      </w:r>
      <w:r>
        <w:rPr>
          <w:rFonts w:ascii="Arial" w:hAnsi="Arial" w:eastAsia="Arial" w:cs="Arial"/>
        </w:rPr>
        <w:t xml:space="preserve"> A presença da fiscalização Contratante não elide nem diminui a responsabilidade da empresa contratada.</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22.5.</w:t>
      </w:r>
      <w:r>
        <w:rPr>
          <w:rFonts w:ascii="Arial" w:hAnsi="Arial" w:eastAsia="Arial" w:cs="Arial"/>
        </w:rPr>
        <w:t xml:space="preserve"> O servidor designado poderá rejeitar totalmente ou em parte, qualquer produto que não esteja de acordo com regras definidas no </w:t>
      </w:r>
      <w:r>
        <w:rPr>
          <w:rFonts w:ascii="Arial" w:hAnsi="Arial" w:eastAsia="Arial" w:cs="Arial"/>
        </w:rPr>
        <w:t xml:space="preserve">Edital, seus anexos</w:t>
      </w:r>
      <w:r>
        <w:rPr>
          <w:rFonts w:ascii="Arial" w:hAnsi="Arial" w:eastAsia="Arial" w:cs="Arial"/>
          <w:color w:val="000000"/>
        </w:rPr>
        <w:t xml:space="preserve"> e legislação correlata</w:t>
      </w:r>
      <w:r>
        <w:rPr>
          <w:rFonts w:ascii="Arial" w:hAnsi="Arial" w:eastAsia="Arial" w:cs="Arial"/>
        </w:rPr>
        <w:t xml:space="preserve"> pertinente que define o objeto licitado.</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numPr>
          <w:ilvl w:val="0"/>
          <w:numId w:val="0"/>
        </w:numPr>
        <w:pBdr/>
        <w:spacing/>
        <w:ind/>
        <w:jc w:val="both"/>
        <w:outlineLvl w:val="0"/>
        <w:rPr>
          <w:rFonts w:ascii="Arial" w:hAnsi="Arial" w:cs="Arial"/>
          <w:b/>
          <w:bCs/>
          <w:color w:val="000000"/>
        </w:rPr>
      </w:pPr>
      <w:r/>
      <w:bookmarkStart w:id="85" w:name="_Toc22"/>
      <w:r>
        <w:rPr>
          <w:rFonts w:ascii="Arial" w:hAnsi="Arial" w:eastAsia="Arial" w:cs="Arial"/>
          <w:b/>
          <w:bCs/>
          <w:color w:val="000000"/>
        </w:rPr>
        <w:t xml:space="preserve">23.</w:t>
      </w:r>
      <w:r>
        <w:rPr>
          <w:rFonts w:ascii="Arial" w:hAnsi="Arial" w:eastAsia="Arial" w:cs="Arial"/>
          <w:b/>
          <w:color w:val="000000"/>
        </w:rPr>
        <w:t xml:space="preserve"> </w:t>
      </w:r>
      <w:r>
        <w:rPr>
          <w:rFonts w:ascii="Arial" w:hAnsi="Arial" w:eastAsia="Arial" w:cs="Arial"/>
          <w:b/>
        </w:rPr>
        <w:t xml:space="preserve">DA VIGÊNCIA DO FUTURO CONTRATO</w:t>
      </w:r>
      <w:r>
        <w:rPr>
          <w:rFonts w:ascii="Arial" w:hAnsi="Arial" w:eastAsia="Arial" w:cs="Arial"/>
          <w:b/>
          <w:bCs/>
          <w:color w:val="000000"/>
        </w:rPr>
        <w:t xml:space="preserve">:</w:t>
      </w:r>
      <w:bookmarkEnd w:id="85"/>
      <w:r>
        <w:rPr>
          <w:rFonts w:ascii="Arial" w:hAnsi="Arial" w:cs="Arial"/>
          <w:b/>
          <w:bCs/>
          <w:color w:val="000000"/>
        </w:rPr>
      </w:r>
      <w:r>
        <w:rPr>
          <w:rFonts w:ascii="Arial" w:hAnsi="Arial" w:cs="Arial"/>
          <w:b/>
          <w:bCs/>
          <w:color w:val="000000"/>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color w:val="000000"/>
        </w:rPr>
      </w:pPr>
      <w:r>
        <w:rPr>
          <w:rFonts w:ascii="Arial" w:hAnsi="Arial" w:eastAsia="Arial" w:cs="Arial"/>
          <w:b/>
          <w:color w:val="000000"/>
        </w:rPr>
        <w:t xml:space="preserve">23.1</w:t>
      </w:r>
      <w:r>
        <w:rPr>
          <w:rFonts w:ascii="Arial" w:hAnsi="Arial" w:eastAsia="Arial" w:cs="Arial"/>
          <w:color w:val="000000"/>
        </w:rPr>
        <w:t xml:space="preserve">. O prazo de vigência deste termo de contrato é de 12 (doze) meses, contados da data de sua assinatura, devendo ser observada a existência de créditos orçamentários.</w:t>
      </w:r>
      <w:r>
        <w:rPr>
          <w:rFonts w:ascii="Arial" w:hAnsi="Arial" w:cs="Arial"/>
          <w:color w:val="000000"/>
        </w:rPr>
      </w:r>
      <w:r>
        <w:rPr>
          <w:rFonts w:ascii="Arial" w:hAnsi="Arial" w:cs="Arial"/>
          <w:color w:val="000000"/>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color w:val="000000"/>
        </w:rPr>
      </w:pPr>
      <w:r>
        <w:rPr>
          <w:rFonts w:ascii="Arial" w:hAnsi="Arial" w:eastAsia="Arial" w:cs="Arial"/>
          <w:b/>
          <w:color w:val="000000"/>
        </w:rPr>
        <w:t xml:space="preserve">23.2.</w:t>
      </w:r>
      <w:r>
        <w:rPr>
          <w:rFonts w:ascii="Arial" w:hAnsi="Arial" w:eastAsia="Arial" w:cs="Arial"/>
          <w:color w:val="000000"/>
        </w:rPr>
        <w:t xml:space="preserve"> O prazo de vigência poderá ser </w:t>
      </w:r>
      <w:r>
        <w:rPr>
          <w:rFonts w:ascii="Arial" w:hAnsi="Arial" w:eastAsia="Arial" w:cs="Arial"/>
        </w:rPr>
        <w:t xml:space="preserve">prorrogado nos termos do art. 107 da Lei nº 14.133/2021.</w:t>
      </w:r>
      <w:r>
        <w:rPr>
          <w:rFonts w:ascii="Arial" w:hAnsi="Arial" w:cs="Arial"/>
          <w:color w:val="000000"/>
        </w:rPr>
      </w:r>
      <w:r>
        <w:rPr>
          <w:rFonts w:ascii="Arial" w:hAnsi="Arial" w:cs="Arial"/>
          <w:color w:val="000000"/>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numPr>
          <w:ilvl w:val="0"/>
          <w:numId w:val="0"/>
        </w:numPr>
        <w:pBdr/>
        <w:spacing/>
        <w:ind/>
        <w:jc w:val="both"/>
        <w:outlineLvl w:val="0"/>
        <w:rPr>
          <w:rFonts w:ascii="Arial" w:hAnsi="Arial" w:cs="Arial"/>
          <w:b/>
          <w:bCs/>
          <w:color w:val="000000"/>
        </w:rPr>
      </w:pPr>
      <w:r/>
      <w:bookmarkStart w:id="86" w:name="_Toc23"/>
      <w:r>
        <w:rPr>
          <w:rFonts w:ascii="Arial" w:hAnsi="Arial" w:eastAsia="Arial" w:cs="Arial"/>
          <w:b/>
          <w:bCs/>
          <w:color w:val="000000"/>
        </w:rPr>
        <w:t xml:space="preserve">24.</w:t>
      </w:r>
      <w:r>
        <w:rPr>
          <w:rFonts w:ascii="Arial" w:hAnsi="Arial" w:eastAsia="Arial" w:cs="Arial"/>
          <w:b/>
          <w:color w:val="000000"/>
        </w:rPr>
        <w:t xml:space="preserve"> </w:t>
      </w:r>
      <w:r>
        <w:rPr>
          <w:rFonts w:ascii="Arial" w:hAnsi="Arial" w:eastAsia="Arial" w:cs="Arial"/>
          <w:b/>
        </w:rPr>
        <w:t xml:space="preserve">DA ALTERAÇÃO DO CONTRATO</w:t>
      </w:r>
      <w:r>
        <w:rPr>
          <w:rFonts w:ascii="Arial" w:hAnsi="Arial" w:eastAsia="Arial" w:cs="Arial"/>
          <w:b/>
          <w:bCs/>
          <w:color w:val="000000"/>
        </w:rPr>
        <w:t xml:space="preserve">:</w:t>
      </w:r>
      <w:bookmarkEnd w:id="86"/>
      <w:r>
        <w:rPr>
          <w:rFonts w:ascii="Arial" w:hAnsi="Arial" w:cs="Arial"/>
          <w:b/>
          <w:bCs/>
          <w:color w:val="000000"/>
        </w:rPr>
      </w:r>
      <w:r>
        <w:rPr>
          <w:rFonts w:ascii="Arial" w:hAnsi="Arial" w:cs="Arial"/>
          <w:b/>
          <w:bCs/>
          <w:color w:val="000000"/>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24.1.</w:t>
      </w:r>
      <w:r>
        <w:rPr>
          <w:rFonts w:ascii="Arial" w:hAnsi="Arial" w:eastAsia="Arial" w:cs="Arial"/>
        </w:rPr>
        <w:t xml:space="preserve"> O contrato poderá ser alterado na forma do artigo 124 e seguintes da Lei nº 14.133/2021 e Decreto Municipal nº 11.685/2023.</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24.2.</w:t>
      </w:r>
      <w:r>
        <w:rPr>
          <w:rFonts w:ascii="Arial" w:hAnsi="Arial" w:eastAsia="Arial" w:cs="Arial"/>
        </w:rPr>
        <w:t xml:space="preserve"> A contratada é obrigada a aceitar, nas mesmas condições contratuais, os acréscimos ou supressões que se fizerem necessários, até o limite de 25% (vinte e cinco por cento) do valor inicial atualizado do contrato.</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24.3.</w:t>
      </w:r>
      <w:r>
        <w:rPr>
          <w:rFonts w:ascii="Arial" w:hAnsi="Arial" w:eastAsia="Arial" w:cs="Arial"/>
        </w:rPr>
        <w:t xml:space="preserve"> Registros que não caracterizam alteração do contrato podem ser realizados por simples apostila, dispensada a celebração de termo aditivo, na forma do artigo 136 da Lei nº 14.133, de 2021.</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24.4.</w:t>
      </w:r>
      <w:r>
        <w:rPr>
          <w:rFonts w:ascii="Arial" w:hAnsi="Arial" w:eastAsia="Arial" w:cs="Arial"/>
        </w:rPr>
        <w:t xml:space="preserve"> Durante a vigência do contrato </w:t>
      </w:r>
      <w:r>
        <w:rPr>
          <w:rFonts w:ascii="Arial" w:hAnsi="Arial" w:eastAsia="Arial" w:cs="Arial"/>
        </w:rPr>
        <w:t xml:space="preserve">a contratada poderá solicitar a revisão dos preços para manter o equilíbrio econômico-financeiro obtido na licitação, mediante a comprovação dos fatos previstos no artigo 124, inciso II, alínea “d”, da Lei nº 14.133/2021, conforme cláusula décima primeira.</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numPr>
          <w:ilvl w:val="0"/>
          <w:numId w:val="0"/>
        </w:numPr>
        <w:pBdr/>
        <w:spacing/>
        <w:ind/>
        <w:jc w:val="both"/>
        <w:outlineLvl w:val="0"/>
        <w:rPr>
          <w:rFonts w:ascii="Arial" w:hAnsi="Arial" w:cs="Arial"/>
          <w:b/>
          <w:bCs/>
          <w:color w:val="000000"/>
        </w:rPr>
      </w:pPr>
      <w:r/>
      <w:bookmarkStart w:id="87" w:name="_Toc24"/>
      <w:r>
        <w:rPr>
          <w:rFonts w:ascii="Arial" w:hAnsi="Arial" w:eastAsia="Arial" w:cs="Arial"/>
          <w:b/>
          <w:bCs/>
          <w:color w:val="000000"/>
        </w:rPr>
        <w:t xml:space="preserve">25.</w:t>
      </w:r>
      <w:r>
        <w:rPr>
          <w:rFonts w:ascii="Arial" w:hAnsi="Arial" w:eastAsia="Arial" w:cs="Arial"/>
          <w:b/>
          <w:color w:val="000000"/>
        </w:rPr>
        <w:t xml:space="preserve"> </w:t>
      </w:r>
      <w:r>
        <w:rPr>
          <w:rFonts w:ascii="Arial" w:hAnsi="Arial" w:eastAsia="Arial" w:cs="Arial"/>
          <w:b/>
        </w:rPr>
        <w:t xml:space="preserve">DA EXTINÇÃO DO CONTRATO</w:t>
      </w:r>
      <w:r>
        <w:rPr>
          <w:rFonts w:ascii="Arial" w:hAnsi="Arial" w:eastAsia="Arial" w:cs="Arial"/>
          <w:b/>
          <w:bCs/>
          <w:color w:val="000000"/>
        </w:rPr>
        <w:t xml:space="preserve">:</w:t>
      </w:r>
      <w:bookmarkEnd w:id="87"/>
      <w:r>
        <w:rPr>
          <w:rFonts w:ascii="Arial" w:hAnsi="Arial" w:cs="Arial"/>
          <w:b/>
          <w:bCs/>
          <w:color w:val="000000"/>
        </w:rPr>
      </w:r>
      <w:r>
        <w:rPr>
          <w:rFonts w:ascii="Arial" w:hAnsi="Arial" w:cs="Arial"/>
          <w:b/>
          <w:bCs/>
          <w:color w:val="000000"/>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25.1.</w:t>
      </w:r>
      <w:r>
        <w:rPr>
          <w:rFonts w:ascii="Arial" w:hAnsi="Arial" w:eastAsia="Arial" w:cs="Arial"/>
        </w:rPr>
        <w:t xml:space="preserve"> O contrato se extingue quando cumpridas as obrigações de ambas as partes, ainda que isso ocorra antes do prazo estipulado para tanto.</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25.2.</w:t>
      </w:r>
      <w:r>
        <w:rPr>
          <w:rFonts w:ascii="Arial" w:hAnsi="Arial" w:eastAsia="Arial" w:cs="Arial"/>
        </w:rPr>
        <w:t xml:space="preserve"> Se as obrigações não forem cumpridas no prazo estipulado, a vigência ficará prorrogada até a conclusão do objeto, caso em que deverá a Administração providenciar a readequação do cronograma fixado para o contrato.</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25.3.</w:t>
      </w:r>
      <w:r>
        <w:rPr>
          <w:rFonts w:ascii="Arial" w:hAnsi="Arial" w:eastAsia="Arial" w:cs="Arial"/>
        </w:rPr>
        <w:t xml:space="preserve"> Quando a não conclusão do contrato referida no item anterior decorrer de culpa da contrata</w:t>
      </w:r>
      <w:r>
        <w:rPr>
          <w:rFonts w:ascii="Arial" w:hAnsi="Arial" w:eastAsia="Arial" w:cs="Arial"/>
        </w:rPr>
        <w:t xml:space="preserve">da: (a) ficará ela constituída em mora, sendo-lhe aplicáveis as respectivas sanções administrativas; e (b) poderá a Administração optar pela extinção do contrato e, nesse caso, adotará as medidas admitidas em lei para a continuidade da execução contratual.</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25.4.</w:t>
      </w:r>
      <w:r>
        <w:rPr>
          <w:rFonts w:ascii="Arial" w:hAnsi="Arial" w:eastAsia="Arial" w:cs="Arial"/>
        </w:rPr>
        <w:t xml:space="preserve"> O presente termo de contrato poderá ser extinto nas hipóteses previstas no rol do </w:t>
      </w:r>
      <w:r>
        <w:rPr>
          <w:rFonts w:ascii="Arial" w:hAnsi="Arial" w:eastAsia="Arial" w:cs="Arial"/>
        </w:rPr>
        <w:t xml:space="preserve">artigo 137 da Lei nº 14.133/2021, devendo a extinção ser formalmente motivada nos autos do processo, assegurado o contraditório e ampla defesa e respeitados os procedimentos descritos no Decreto Municipal nº 11.685/2023 e nas demais legislações aplicáveis.</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25.4.1.</w:t>
      </w:r>
      <w:r>
        <w:rPr>
          <w:rFonts w:ascii="Arial" w:hAnsi="Arial" w:eastAsia="Arial" w:cs="Arial"/>
        </w:rPr>
        <w:t xml:space="preserve"> Nesta hipótese, aplicam-se também os artigos 138 e 139 da Lei 14.133/2021.</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25.4.2.</w:t>
      </w:r>
      <w:r>
        <w:rPr>
          <w:rFonts w:ascii="Arial" w:hAnsi="Arial" w:eastAsia="Arial" w:cs="Arial"/>
        </w:rPr>
        <w:t xml:space="preserve"> A alteração social ou a modificação da finalidade ou da estrutura da empresa não ensejará a rescisão se não restringir sua capacidade de concluir o contrato.</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25.4.3.</w:t>
      </w:r>
      <w:r>
        <w:rPr>
          <w:rFonts w:ascii="Arial" w:hAnsi="Arial" w:eastAsia="Arial" w:cs="Arial"/>
        </w:rPr>
        <w:t xml:space="preserve"> Se a operação implicar mudança da pessoa jurídica contratada, deverá ser formalizado termo aditivo para alteração subjetiva.</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25.5.</w:t>
      </w:r>
      <w:r>
        <w:rPr>
          <w:rFonts w:ascii="Arial" w:hAnsi="Arial" w:eastAsia="Arial" w:cs="Arial"/>
        </w:rPr>
        <w:t xml:space="preserve"> A extinção determinada por ato unilateral da Administração e a extinção consensual deverão ser precedidas de autorização escrita e fundamentada da autoridade competente e reduzidas a termo no respectivo processo.</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color w:val="000000"/>
        </w:rPr>
      </w:pPr>
      <w:r>
        <w:rPr>
          <w:rFonts w:ascii="Arial" w:hAnsi="Arial" w:eastAsia="Arial" w:cs="Arial"/>
          <w:b/>
          <w:color w:val="000000"/>
        </w:rPr>
        <w:t xml:space="preserve">25.6.</w:t>
      </w:r>
      <w:r>
        <w:rPr>
          <w:rFonts w:ascii="Arial" w:hAnsi="Arial" w:eastAsia="Arial" w:cs="Arial"/>
          <w:color w:val="000000"/>
        </w:rPr>
        <w:t xml:space="preserve"> O contrato poderá ser extinto caso se constate que o contratado mantém vínculo de natureza técnica, comercial, econômica, financeira, trabalhista ou civil com dirigente do órgão ou entidade contratante ou com agente públic</w:t>
      </w:r>
      <w:r>
        <w:rPr>
          <w:rFonts w:ascii="Arial" w:hAnsi="Arial" w:eastAsia="Arial" w:cs="Arial"/>
          <w:color w:val="000000"/>
        </w:rPr>
        <w:t xml:space="preserve">o que tenha desempenhado função na licitação ou atue na fiscalização ou na gestão do contrato, ou que deles seja cônjuge, companheiro ou parente em linha reta, colateral ou por afinidade, até o terceiro grau (Art. 14, inciso IV, da Lei nº 14.133, de 2021).</w:t>
      </w:r>
      <w:r>
        <w:rPr>
          <w:rFonts w:ascii="Arial" w:hAnsi="Arial" w:cs="Arial"/>
          <w:color w:val="000000"/>
        </w:rPr>
      </w:r>
      <w:r>
        <w:rPr>
          <w:rFonts w:ascii="Arial" w:hAnsi="Arial" w:cs="Arial"/>
          <w:color w:val="000000"/>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25.7.</w:t>
      </w:r>
      <w:r>
        <w:rPr>
          <w:rFonts w:ascii="Arial" w:hAnsi="Arial" w:eastAsia="Arial" w:cs="Arial"/>
        </w:rPr>
        <w:t xml:space="preserve"> A extinção do contrato não configura óbice para o reconhecimento do desequilíbrio econômico-financeiro, hipótese em que será concedida indenização por meio de termo indenizatório (Art. 131, caput, da Lei nº 14.133, de 2021).</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numPr>
          <w:ilvl w:val="0"/>
          <w:numId w:val="0"/>
        </w:numPr>
        <w:pBdr/>
        <w:spacing/>
        <w:ind/>
        <w:jc w:val="both"/>
        <w:outlineLvl w:val="0"/>
        <w:rPr>
          <w:rFonts w:ascii="Arial" w:hAnsi="Arial" w:cs="Arial"/>
          <w:b/>
          <w:bCs/>
          <w:color w:val="000000"/>
        </w:rPr>
      </w:pPr>
      <w:r/>
      <w:bookmarkStart w:id="88" w:name="_Toc25"/>
      <w:r>
        <w:rPr>
          <w:rFonts w:ascii="Arial" w:hAnsi="Arial" w:eastAsia="Arial" w:cs="Arial"/>
          <w:b/>
          <w:bCs/>
          <w:color w:val="000000"/>
        </w:rPr>
        <w:t xml:space="preserve">26.</w:t>
      </w:r>
      <w:r>
        <w:rPr>
          <w:rFonts w:ascii="Arial" w:hAnsi="Arial" w:eastAsia="Arial" w:cs="Arial"/>
          <w:b/>
          <w:color w:val="000000"/>
        </w:rPr>
        <w:t xml:space="preserve"> </w:t>
      </w:r>
      <w:r>
        <w:rPr>
          <w:rFonts w:ascii="Arial" w:hAnsi="Arial" w:eastAsia="Arial" w:cs="Arial"/>
          <w:b/>
        </w:rPr>
        <w:t xml:space="preserve">DO REAJUSTAMENTO, REPACTUAÇÃO, REVISÃO, SUPRESSÕES E ACRÉSCIMOS</w:t>
      </w:r>
      <w:r>
        <w:rPr>
          <w:rFonts w:ascii="Arial" w:hAnsi="Arial" w:eastAsia="Arial" w:cs="Arial"/>
          <w:b/>
          <w:bCs/>
          <w:color w:val="000000"/>
        </w:rPr>
        <w:t xml:space="preserve">:</w:t>
      </w:r>
      <w:bookmarkEnd w:id="88"/>
      <w:r>
        <w:rPr>
          <w:rFonts w:ascii="Arial" w:hAnsi="Arial" w:cs="Arial"/>
          <w:b/>
          <w:bCs/>
          <w:color w:val="000000"/>
        </w:rPr>
      </w:r>
      <w:r>
        <w:rPr>
          <w:rFonts w:ascii="Arial" w:hAnsi="Arial" w:cs="Arial"/>
          <w:b/>
          <w:bCs/>
          <w:color w:val="000000"/>
        </w:rPr>
      </w:r>
    </w:p>
    <w:p>
      <w:pPr>
        <w:pStyle w:val="887"/>
        <w:pBdr/>
        <w:spacing/>
        <w:ind/>
        <w:jc w:val="both"/>
        <w:rPr>
          <w:rFonts w:ascii="Arial" w:hAnsi="Arial" w:cs="Arial"/>
          <w:b/>
          <w:bCs/>
        </w:rPr>
      </w:pPr>
      <w:r>
        <w:rPr>
          <w:rFonts w:ascii="Arial" w:hAnsi="Arial" w:eastAsia="Arial" w:cs="Arial"/>
          <w:b/>
          <w:bCs/>
        </w:rPr>
      </w:r>
      <w:r>
        <w:rPr>
          <w:rFonts w:ascii="Arial" w:hAnsi="Arial" w:cs="Arial"/>
          <w:b/>
          <w:bCs/>
        </w:rPr>
      </w:r>
      <w:r>
        <w:rPr>
          <w:rFonts w:ascii="Arial" w:hAnsi="Arial" w:cs="Arial"/>
          <w:b/>
          <w:bCs/>
        </w:rPr>
      </w:r>
    </w:p>
    <w:p>
      <w:pPr>
        <w:pStyle w:val="887"/>
        <w:pBdr/>
        <w:spacing/>
        <w:ind/>
        <w:jc w:val="both"/>
        <w:rPr>
          <w:rFonts w:ascii="Arial" w:hAnsi="Arial" w:cs="Arial"/>
          <w:b/>
          <w:bCs/>
        </w:rPr>
      </w:pPr>
      <w:r>
        <w:rPr>
          <w:rFonts w:ascii="Arial" w:hAnsi="Arial" w:eastAsia="Arial" w:cs="Arial"/>
          <w:b/>
        </w:rPr>
        <w:t xml:space="preserve">26.1. DO REAJUSTE:</w:t>
      </w:r>
      <w:r>
        <w:rPr>
          <w:rFonts w:ascii="Arial" w:hAnsi="Arial" w:cs="Arial"/>
          <w:b/>
          <w:bCs/>
        </w:rPr>
      </w:r>
      <w:r>
        <w:rPr>
          <w:rFonts w:ascii="Arial" w:hAnsi="Arial" w:cs="Arial"/>
          <w:b/>
          <w:bCs/>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14:paraId="03D37B89">
      <w:pPr>
        <w:pBdr>
          <w:top w:val="none" w:color="000000" w:sz="4" w:space="0"/>
          <w:left w:val="none" w:color="000000" w:sz="4" w:space="0"/>
          <w:bottom w:val="none" w:color="000000" w:sz="4" w:space="0"/>
          <w:right w:val="none" w:color="000000" w:sz="4" w:space="0"/>
        </w:pBdr>
        <w:spacing/>
        <w:ind/>
        <w:jc w:val="both"/>
        <w:rPr>
          <w:rFonts w:ascii="Arial" w:hAnsi="Arial" w:eastAsia="Arial" w:cs="Arial"/>
          <w14:ligatures w14:val="none"/>
        </w:rPr>
      </w:pPr>
      <w:r>
        <w:rPr>
          <w:rFonts w:ascii="Arial" w:hAnsi="Arial" w:eastAsia="Arial" w:cs="Arial"/>
          <w:b/>
          <w:bCs/>
        </w:rPr>
        <w:t xml:space="preserve">26.1.1.</w:t>
      </w:r>
      <w:r>
        <w:rPr>
          <w:rFonts w:ascii="Arial" w:hAnsi="Arial" w:eastAsia="Arial" w:cs="Arial"/>
        </w:rPr>
        <w:t xml:space="preserve"> Os preços inicialmente contratados permanecerão fixos e irreajustáveis pelo período de 12 (doze) meses contado da data do orçamento estimado da contratação, correspondente a </w:t>
      </w:r>
      <w:r>
        <w:rPr>
          <w:rFonts w:ascii="Arial" w:hAnsi="Arial" w:eastAsia="Arial" w:cs="Arial"/>
        </w:rPr>
        <w:t xml:space="preserve">/</w:t>
      </w:r>
      <w:r>
        <w:rPr>
          <w:rFonts w:ascii="Arial" w:hAnsi="Arial" w:eastAsia="Arial" w:cs="Arial"/>
        </w:rPr>
        <w:t xml:space="preserve">/2026.</w:t>
      </w:r>
      <w:r>
        <w:rPr>
          <w:rFonts w:ascii="Arial" w:hAnsi="Arial" w:eastAsia="Arial" w:cs="Arial"/>
        </w:rPr>
      </w:r>
      <w:r>
        <w:rPr>
          <w:rFonts w:ascii="Arial" w:hAnsi="Arial" w:eastAsia="Arial" w:cs="Arial"/>
          <w14:ligatures w14:val="none"/>
        </w:rPr>
      </w:r>
    </w:p>
    <w:p w14:paraId="5E3FC298">
      <w:pPr>
        <w:pBdr>
          <w:top w:val="none" w:color="000000" w:sz="4" w:space="0"/>
          <w:left w:val="none" w:color="000000" w:sz="4" w:space="0"/>
          <w:bottom w:val="none" w:color="000000" w:sz="4" w:space="0"/>
          <w:right w:val="none" w:color="000000" w:sz="4" w:space="0"/>
        </w:pBdr>
        <w:spacing/>
        <w:ind/>
        <w:jc w:val="both"/>
        <w:rPr>
          <w:rFonts w:ascii="Arial" w:hAnsi="Arial" w:eastAsia="Arial" w:cs="Arial"/>
          <w14:ligatures w14:val="none"/>
        </w:rPr>
      </w:pPr>
      <w:r>
        <w:rPr>
          <w:rFonts w:ascii="Arial" w:hAnsi="Arial" w:eastAsia="Arial" w:cs="Arial"/>
          <w:highlight w:val="none"/>
        </w:rPr>
      </w:r>
      <w:r>
        <w:rPr>
          <w:rFonts w:ascii="Arial" w:hAnsi="Arial" w:eastAsia="Arial" w:cs="Arial"/>
          <w:highlight w:val="none"/>
        </w:rPr>
      </w:r>
      <w:r>
        <w:rPr>
          <w:rFonts w:ascii="Arial" w:hAnsi="Arial" w:eastAsia="Arial" w:cs="Arial"/>
          <w14:ligatures w14:val="none"/>
        </w:rPr>
      </w:r>
    </w:p>
    <w:p w14:paraId="322038ED">
      <w:pPr>
        <w:pBdr>
          <w:top w:val="none" w:color="000000" w:sz="4" w:space="0"/>
          <w:left w:val="none" w:color="000000" w:sz="4" w:space="0"/>
          <w:bottom w:val="none" w:color="000000" w:sz="4" w:space="0"/>
          <w:right w:val="none" w:color="000000" w:sz="4" w:space="0"/>
        </w:pBdr>
        <w:spacing/>
        <w:ind/>
        <w:jc w:val="both"/>
        <w:rPr>
          <w:rFonts w:ascii="Arial" w:hAnsi="Arial" w:eastAsia="Arial" w:cs="Arial"/>
          <w:highlight w:val="none"/>
          <w14:ligatures w14:val="none"/>
        </w:rPr>
      </w:pPr>
      <w:r>
        <w:rPr>
          <w:rFonts w:ascii="Arial" w:hAnsi="Arial" w:eastAsia="Arial" w:cs="Arial"/>
          <w:b/>
          <w:bCs/>
        </w:rPr>
        <w:t xml:space="preserve">26.1.2.</w:t>
      </w:r>
      <w:r>
        <w:rPr>
          <w:rFonts w:ascii="Arial" w:hAnsi="Arial" w:eastAsia="Arial" w:cs="Arial"/>
        </w:rPr>
        <w:t xml:space="preserve"> Após o interregno de 12 (doze) meses, os preços poderão ser reajustados pela variação acumulada do Índice Nacional de Preços ao Consumidor Amplo – IPCA, divulgado pelo IBGE, ou outro índice oficial que venha legalmente a substituí-lo.</w:t>
      </w:r>
      <w:r>
        <w:rPr>
          <w:rFonts w:ascii="Arial" w:hAnsi="Arial" w:eastAsia="Arial" w:cs="Arial"/>
        </w:rPr>
      </w:r>
      <w:r>
        <w:rPr>
          <w:rFonts w:ascii="Arial" w:hAnsi="Arial" w:eastAsia="Arial" w:cs="Arial"/>
          <w:highlight w:val="none"/>
          <w14:ligatures w14:val="none"/>
        </w:rPr>
      </w:r>
    </w:p>
    <w:p w14:paraId="55D6CE53">
      <w:pPr>
        <w:pBdr>
          <w:top w:val="none" w:color="000000" w:sz="4" w:space="0"/>
          <w:left w:val="none" w:color="000000" w:sz="4" w:space="0"/>
          <w:bottom w:val="none" w:color="000000" w:sz="4" w:space="0"/>
          <w:right w:val="none" w:color="000000" w:sz="4" w:space="0"/>
        </w:pBdr>
        <w:spacing/>
        <w:ind/>
        <w:jc w:val="both"/>
        <w:rPr>
          <w:rFonts w:ascii="Arial" w:hAnsi="Arial" w:eastAsia="Arial" w:cs="Arial"/>
          <w14:ligatures w14:val="none"/>
        </w:rPr>
      </w:pPr>
      <w:r>
        <w:rPr>
          <w:rFonts w:ascii="Arial" w:hAnsi="Arial" w:eastAsia="Arial" w:cs="Arial"/>
          <w:highlight w:val="none"/>
        </w:rPr>
      </w:r>
      <w:r>
        <w:rPr>
          <w:rFonts w:ascii="Arial" w:hAnsi="Arial" w:eastAsia="Arial" w:cs="Arial"/>
          <w:highlight w:val="none"/>
        </w:rPr>
      </w:r>
      <w:r>
        <w:rPr>
          <w:rFonts w:ascii="Arial" w:hAnsi="Arial" w:eastAsia="Arial" w:cs="Arial"/>
          <w14:ligatures w14:val="none"/>
        </w:rPr>
      </w:r>
    </w:p>
    <w:p w14:paraId="422FDEE7">
      <w:pPr>
        <w:pBdr>
          <w:top w:val="none" w:color="000000" w:sz="4" w:space="0"/>
          <w:left w:val="none" w:color="000000" w:sz="4" w:space="0"/>
          <w:bottom w:val="none" w:color="000000" w:sz="4" w:space="0"/>
          <w:right w:val="none" w:color="000000" w:sz="4" w:space="0"/>
        </w:pBdr>
        <w:spacing/>
        <w:ind/>
        <w:jc w:val="both"/>
        <w:rPr>
          <w:rFonts w:ascii="Arial" w:hAnsi="Arial" w:eastAsia="Arial" w:cs="Arial"/>
          <w:highlight w:val="none"/>
          <w14:ligatures w14:val="none"/>
        </w:rPr>
      </w:pPr>
      <w:r>
        <w:rPr>
          <w:rFonts w:ascii="Arial" w:hAnsi="Arial" w:eastAsia="Arial" w:cs="Arial"/>
          <w:b/>
          <w:bCs/>
        </w:rPr>
        <w:t xml:space="preserve">26.1.3.</w:t>
      </w:r>
      <w:r>
        <w:rPr>
          <w:rFonts w:ascii="Arial" w:hAnsi="Arial" w:eastAsia="Arial" w:cs="Arial"/>
        </w:rPr>
        <w:t xml:space="preserve"> O reajuste possui natureza distinta do restabelecimento do equilíbrio econômico-financeiro, não se confundindo com revisão extraordinária dos preços.</w:t>
      </w:r>
      <w:r>
        <w:rPr>
          <w:rFonts w:ascii="Arial" w:hAnsi="Arial" w:eastAsia="Arial" w:cs="Arial"/>
        </w:rPr>
      </w:r>
      <w:r>
        <w:rPr>
          <w:rFonts w:ascii="Arial" w:hAnsi="Arial" w:eastAsia="Arial" w:cs="Arial"/>
          <w:highlight w:val="none"/>
          <w14:ligatures w14:val="none"/>
        </w:rPr>
      </w:r>
    </w:p>
    <w:p>
      <w:pPr>
        <w:pBdr/>
        <w:spacing/>
        <w:ind/>
        <w:jc w:val="both"/>
        <w:rPr>
          <w:rFonts w:ascii="Arial" w:hAnsi="Arial" w:eastAsia="Arial" w:cs="Arial"/>
          <w14:ligatures w14:val="none"/>
        </w:rPr>
      </w:pPr>
      <w:r>
        <w:rPr>
          <w:rFonts w:ascii="Arial" w:hAnsi="Arial" w:eastAsia="Arial" w:cs="Arial"/>
        </w:rPr>
      </w:r>
      <w:r>
        <w:rPr>
          <w:rFonts w:ascii="Arial" w:hAnsi="Arial" w:eastAsia="Arial" w:cs="Arial"/>
        </w:rPr>
      </w:r>
      <w:r>
        <w:rPr>
          <w:rFonts w:ascii="Arial" w:hAnsi="Arial" w:eastAsia="Arial" w:cs="Arial"/>
          <w14:ligatures w14:val="none"/>
        </w:rPr>
      </w:r>
    </w:p>
    <w:p>
      <w:pPr>
        <w:pBdr/>
        <w:spacing/>
        <w:ind/>
        <w:jc w:val="both"/>
        <w:rPr>
          <w:rFonts w:ascii="Arial" w:hAnsi="Arial" w:eastAsia="Arial" w:cs="Arial"/>
          <w14:ligatures w14:val="none"/>
        </w:rPr>
      </w:pPr>
      <w:r>
        <w:rPr>
          <w:rFonts w:ascii="Arial" w:hAnsi="Arial" w:eastAsia="Arial" w:cs="Arial"/>
          <w:b/>
          <w:bCs/>
        </w:rPr>
        <w:t xml:space="preserve">26.1.4.</w:t>
      </w:r>
      <w:r>
        <w:rPr>
          <w:rFonts w:ascii="Arial" w:hAnsi="Arial" w:eastAsia="Arial" w:cs="Arial"/>
        </w:rPr>
        <w:t xml:space="preserve"> No caso de atraso ou não divulgação dos índices de reajustamento, o contratante pagará ao contratado a importância calculada pela última variação conhecida, liquidando a diferença correspondente tão logo seja(m) divulgado(s) os índices definitivos. </w:t>
      </w:r>
      <w:r>
        <w:rPr>
          <w:rFonts w:ascii="Arial" w:hAnsi="Arial" w:eastAsia="Arial" w:cs="Arial"/>
        </w:rPr>
      </w:r>
      <w:r>
        <w:rPr>
          <w:rFonts w:ascii="Arial" w:hAnsi="Arial" w:eastAsia="Arial" w:cs="Arial"/>
          <w14:ligatures w14:val="none"/>
        </w:rPr>
      </w:r>
    </w:p>
    <w:p>
      <w:pPr>
        <w:pBdr/>
        <w:spacing/>
        <w:ind/>
        <w:jc w:val="both"/>
        <w:rPr>
          <w:rFonts w:ascii="Arial" w:hAnsi="Arial" w:eastAsia="Arial" w:cs="Arial"/>
          <w14:ligatures w14:val="none"/>
        </w:rPr>
      </w:pPr>
      <w:r>
        <w:rPr>
          <w:rFonts w:ascii="Arial" w:hAnsi="Arial" w:eastAsia="Arial" w:cs="Arial"/>
        </w:rPr>
      </w:r>
      <w:r>
        <w:rPr>
          <w:rFonts w:ascii="Arial" w:hAnsi="Arial" w:eastAsia="Arial" w:cs="Arial"/>
        </w:rPr>
      </w:r>
      <w:r>
        <w:rPr>
          <w:rFonts w:ascii="Arial" w:hAnsi="Arial" w:eastAsia="Arial" w:cs="Arial"/>
          <w14:ligatures w14:val="none"/>
        </w:rPr>
      </w:r>
    </w:p>
    <w:p>
      <w:pPr>
        <w:pStyle w:val="887"/>
        <w:pBdr/>
        <w:spacing/>
        <w:ind/>
        <w:jc w:val="both"/>
        <w:rPr>
          <w:rFonts w:ascii="Arial" w:hAnsi="Arial" w:cs="Arial"/>
        </w:rPr>
      </w:pPr>
      <w:r>
        <w:rPr>
          <w:rFonts w:ascii="Arial" w:hAnsi="Arial" w:eastAsia="Arial" w:cs="Arial"/>
          <w:b/>
        </w:rPr>
        <w:t xml:space="preserve">26.1.5.</w:t>
      </w:r>
      <w:r>
        <w:rPr>
          <w:rFonts w:ascii="Arial" w:hAnsi="Arial" w:eastAsia="Arial" w:cs="Arial"/>
        </w:rPr>
        <w:t xml:space="preserve"> Nas aferições finais, os índices utilizados para reajuste serão, obrigatoriamente, os definitivos.</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26.1.6</w:t>
      </w:r>
      <w:r>
        <w:rPr>
          <w:rFonts w:ascii="Arial" w:hAnsi="Arial" w:eastAsia="Arial" w:cs="Arial"/>
        </w:rPr>
        <w:t xml:space="preserve">. Caso os índices estabelecidos para reajustamento venham a ser extintos ou de qualquer forma não possam mais ser utilizados, serão adotados, em substituição, os que vierem a ser determinados pela legislação então em vigor.</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26.1.7.</w:t>
      </w:r>
      <w:r>
        <w:rPr>
          <w:rFonts w:ascii="Arial" w:hAnsi="Arial" w:eastAsia="Arial" w:cs="Arial"/>
        </w:rPr>
        <w:t xml:space="preserve"> Na ausência de previsão legal quanto ao índice substituto, as partes elegerão novo índice oficial, para reajustamento do preço do valor remanescente, por meio de termo aditivo. O reajuste será realizado por apostilamento.</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26.1.8.</w:t>
      </w:r>
      <w:r>
        <w:rPr>
          <w:rFonts w:ascii="Arial" w:hAnsi="Arial" w:eastAsia="Arial" w:cs="Arial"/>
        </w:rPr>
        <w:t xml:space="preserve"> Os preços contratados serão reajustados, para mais</w:t>
      </w:r>
      <w:r>
        <w:rPr>
          <w:rFonts w:ascii="Arial" w:hAnsi="Arial" w:eastAsia="Arial" w:cs="Arial"/>
        </w:rPr>
        <w:t xml:space="preserve"> ou para menos, conforme o caso, se houver, após a data da apresentação da proposta, criação, alteração ou extinção de quaisquer tributos ou encargos legais, ou a superveniência de disposições legais, com comprovada repercussão sobre os preços contratados.</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26.1.9.</w:t>
      </w:r>
      <w:r>
        <w:rPr>
          <w:rFonts w:ascii="Arial" w:hAnsi="Arial" w:eastAsia="Arial" w:cs="Arial"/>
        </w:rPr>
        <w:t xml:space="preserve"> Na hipótese de prorrogação da ata de registro de preços, os preços registrados serão atualizados conforme índice previsto em edital, a contar do início de sua vigência.</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26.1.10.</w:t>
      </w:r>
      <w:r>
        <w:rPr>
          <w:rFonts w:ascii="Arial" w:hAnsi="Arial" w:eastAsia="Arial" w:cs="Arial"/>
        </w:rPr>
        <w:t xml:space="preserve"> Para fins de pagamento, será considerado o preço vigente na data do pedido.</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26.2. DA REVISÃO</w:t>
      </w:r>
      <w:r>
        <w:rPr>
          <w:rFonts w:ascii="Arial" w:hAnsi="Arial" w:eastAsia="Arial" w:cs="Arial"/>
        </w:rPr>
        <w:t xml:space="preserve">:</w:t>
      </w:r>
      <w:r>
        <w:rPr>
          <w:rFonts w:ascii="Arial" w:hAnsi="Arial" w:cs="Arial"/>
        </w:rPr>
      </w:r>
      <w:r>
        <w:rPr>
          <w:rFonts w:ascii="Arial" w:hAnsi="Arial" w:cs="Arial"/>
        </w:rPr>
      </w:r>
    </w:p>
    <w:p>
      <w:pPr>
        <w:pBdr/>
        <w:spacing/>
        <w:ind/>
        <w:jc w:val="both"/>
        <w:rPr>
          <w:rFonts w:ascii="Arial" w:hAnsi="Arial" w:eastAsia="Arial" w:cs="Arial"/>
          <w14:ligatures w14:val="none"/>
        </w:rPr>
      </w:pPr>
      <w:r>
        <w:rPr>
          <w:rFonts w:ascii="Arial" w:hAnsi="Arial" w:eastAsia="Arial" w:cs="Arial"/>
        </w:rPr>
      </w:r>
      <w:r>
        <w:rPr>
          <w:rFonts w:ascii="Arial" w:hAnsi="Arial" w:eastAsia="Arial" w:cs="Arial"/>
        </w:rPr>
      </w:r>
      <w:r>
        <w:rPr>
          <w:rFonts w:ascii="Arial" w:hAnsi="Arial" w:eastAsia="Arial" w:cs="Arial"/>
          <w14:ligatures w14:val="none"/>
        </w:rPr>
      </w:r>
    </w:p>
    <w:p>
      <w:pPr>
        <w:pBdr/>
        <w:spacing/>
        <w:ind/>
        <w:jc w:val="both"/>
        <w:rPr>
          <w:rFonts w:ascii="Arial" w:hAnsi="Arial" w:eastAsia="Arial" w:cs="Arial"/>
          <w14:ligatures w14:val="none"/>
        </w:rPr>
      </w:pPr>
      <w:r>
        <w:rPr>
          <w:rFonts w:ascii="Arial" w:hAnsi="Arial" w:eastAsia="Arial" w:cs="Arial"/>
          <w:b/>
          <w:bCs/>
        </w:rPr>
        <w:t xml:space="preserve">26.2.1.</w:t>
      </w:r>
      <w:r>
        <w:rPr>
          <w:rFonts w:ascii="Arial" w:hAnsi="Arial" w:eastAsia="Arial" w:cs="Arial"/>
        </w:rPr>
        <w:t xml:space="preserve"> </w:t>
      </w:r>
      <w:r>
        <w:rPr>
          <w:rFonts w:ascii="Arial" w:hAnsi="Arial" w:eastAsia="Arial" w:cs="Arial"/>
        </w:rPr>
        <w:t xml:space="preserve">Independentemente do reajuste anual, será assegurado o restabelecimento do equilíbrio econômico-financeiro quando ocorrer fato superveniente enquadrável nas hipóteses legalmente previstas, desde que devidamente demonstrados o evento, sua repercussão sobre </w:t>
      </w:r>
      <w:r>
        <w:rPr>
          <w:rFonts w:ascii="Arial" w:hAnsi="Arial" w:eastAsia="Arial" w:cs="Arial"/>
        </w:rPr>
        <w:t xml:space="preserve">os custos e o nexo entre ambos.</w:t>
      </w:r>
      <w:r>
        <w:rPr>
          <w:rFonts w:ascii="Arial" w:hAnsi="Arial" w:eastAsia="Arial" w:cs="Arial"/>
        </w:rPr>
      </w:r>
      <w:r>
        <w:rPr>
          <w:rFonts w:ascii="Arial" w:hAnsi="Arial" w:eastAsia="Arial" w:cs="Arial"/>
          <w14:ligatures w14:val="none"/>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26.2.2.</w:t>
      </w:r>
      <w:r>
        <w:rPr>
          <w:rFonts w:ascii="Arial" w:hAnsi="Arial" w:eastAsia="Arial" w:cs="Arial"/>
        </w:rPr>
        <w:t xml:space="preserve"> Os fornecedores que não aceitarem reduzir seus preços aos valores praticados pelo mercado serão liberados do compromisso assumido, sem aplicação de penalidade. </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26.2.3.</w:t>
      </w:r>
      <w:r>
        <w:rPr>
          <w:rFonts w:ascii="Arial" w:hAnsi="Arial" w:eastAsia="Arial" w:cs="Arial"/>
        </w:rPr>
        <w:t xml:space="preserve"> O pedido de revisão de preços será processado e julgado pelo Órgão Gerenciador. </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26.2.4.</w:t>
      </w:r>
      <w:r>
        <w:rPr>
          <w:rFonts w:ascii="Arial" w:hAnsi="Arial" w:eastAsia="Arial" w:cs="Arial"/>
        </w:rPr>
        <w:t xml:space="preserve"> Nos casos em que a majoração do preço for pleiteada pela DETENTORA, o ÓRGÃO GERENCIADOR analisará a solicitação de revi</w:t>
      </w:r>
      <w:r>
        <w:rPr>
          <w:rFonts w:ascii="Arial" w:hAnsi="Arial" w:eastAsia="Arial" w:cs="Arial"/>
        </w:rPr>
        <w:t xml:space="preserve">são do preço registrado a partir da fundamentação e do conjunto probatório apresentados, em cotejo com pesquisa de mercado atualizada e diligências que se mostrem necessárias para avaliação do pedido, mantendo a economia obtida no procedimento licitatório.</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2059"/>
        <w:pBdr/>
        <w:spacing/>
        <w:ind/>
        <w:jc w:val="both"/>
        <w:rPr>
          <w:rFonts w:ascii="Arial" w:hAnsi="Arial" w:cs="Arial"/>
          <w:sz w:val="20"/>
          <w:szCs w:val="20"/>
        </w:rPr>
      </w:pPr>
      <w:r>
        <w:rPr>
          <w:rFonts w:ascii="Arial" w:hAnsi="Arial" w:eastAsia="Arial" w:cs="Arial"/>
          <w:b/>
          <w:bCs/>
          <w:sz w:val="20"/>
          <w:szCs w:val="20"/>
        </w:rPr>
        <w:t xml:space="preserve">26.2.5.</w:t>
      </w:r>
      <w:r>
        <w:rPr>
          <w:rFonts w:ascii="Arial" w:hAnsi="Arial" w:eastAsia="Arial" w:cs="Arial"/>
          <w:sz w:val="20"/>
          <w:szCs w:val="20"/>
        </w:rPr>
        <w:t xml:space="preserve"> Ocorrendo uma das hipóteses previstas na alínea “d” do inciso II do artigo 124 da Lei n. 14</w:t>
      </w:r>
      <w:r>
        <w:rPr>
          <w:rFonts w:ascii="Arial" w:hAnsi="Arial" w:eastAsia="Arial" w:cs="Arial"/>
          <w:sz w:val="20"/>
          <w:szCs w:val="20"/>
        </w:rPr>
        <w:t xml:space="preserve">.133/2021, poderá haver a repactuação, reajuste, revisão ou realinhamento, onde deverão ser precedidos de demonstração analítica do aumento dos custos, bem como análise Técnico Contábil do setor Financeiro e Jurídica da Assessoria Jurídica deste Município.</w:t>
      </w:r>
      <w:r>
        <w:rPr>
          <w:rFonts w:ascii="Arial" w:hAnsi="Arial" w:cs="Arial"/>
          <w:sz w:val="20"/>
          <w:szCs w:val="20"/>
        </w:rPr>
      </w:r>
      <w:r>
        <w:rPr>
          <w:rFonts w:ascii="Arial" w:hAnsi="Arial" w:cs="Arial"/>
          <w:sz w:val="20"/>
          <w:szCs w:val="20"/>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color w:val="000000"/>
        </w:rPr>
      </w:pPr>
      <w:r>
        <w:rPr>
          <w:rFonts w:ascii="Arial" w:hAnsi="Arial" w:eastAsia="Arial" w:cs="Arial"/>
          <w:b/>
          <w:color w:val="000000"/>
        </w:rPr>
        <w:t xml:space="preserve">26.2.5.1.</w:t>
      </w:r>
      <w:r>
        <w:rPr>
          <w:rFonts w:ascii="Arial" w:hAnsi="Arial" w:eastAsia="Arial" w:cs="Arial"/>
          <w:color w:val="000000"/>
        </w:rPr>
        <w:t xml:space="preserve"> O prazo para resposta ao pedido de repactuação de preços, quando for o caso, será de até 30 (trinta)  dias úteis prorrogáveis por igual período. (Art. 92 Inciso X da Lei 14.133/2021).</w:t>
      </w:r>
      <w:r>
        <w:rPr>
          <w:rFonts w:ascii="Arial" w:hAnsi="Arial" w:cs="Arial"/>
          <w:color w:val="000000"/>
        </w:rPr>
      </w:r>
      <w:r>
        <w:rPr>
          <w:rFonts w:ascii="Arial" w:hAnsi="Arial" w:cs="Arial"/>
          <w:color w:val="000000"/>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color w:val="000000"/>
        </w:rPr>
      </w:pPr>
      <w:r>
        <w:rPr>
          <w:rFonts w:ascii="Arial" w:hAnsi="Arial" w:eastAsia="Arial" w:cs="Arial"/>
          <w:b/>
          <w:color w:val="000000"/>
        </w:rPr>
        <w:t xml:space="preserve">26.2.5.2.</w:t>
      </w:r>
      <w:r>
        <w:rPr>
          <w:rFonts w:ascii="Arial" w:hAnsi="Arial" w:eastAsia="Arial" w:cs="Arial"/>
          <w:color w:val="000000"/>
        </w:rPr>
        <w:t xml:space="preserve"> O prazo para resposta ao pedido de restabelecimento do equilíbrio econômico-financeiro, quando for o caso¸ será de até 30 (trinta) úteis dias prorrogáveis por igual período. (Art. 92 Inciso XI da Lei 14.133/2021).</w:t>
      </w:r>
      <w:r>
        <w:rPr>
          <w:rFonts w:ascii="Arial" w:hAnsi="Arial" w:cs="Arial"/>
          <w:color w:val="000000"/>
        </w:rPr>
      </w:r>
      <w:r>
        <w:rPr>
          <w:rFonts w:ascii="Arial" w:hAnsi="Arial" w:cs="Arial"/>
          <w:color w:val="000000"/>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Bdr/>
        <w:spacing/>
        <w:ind/>
        <w:jc w:val="both"/>
        <w:rPr>
          <w:rFonts w:ascii="Arial" w:hAnsi="Arial" w:cs="Arial"/>
          <w:color w:val="000000"/>
          <w14:ligatures w14:val="none"/>
        </w:rPr>
      </w:pPr>
      <w:r>
        <w:rPr>
          <w:rFonts w:ascii="Arial" w:hAnsi="Arial" w:eastAsia="Arial" w:cs="Arial"/>
          <w:b/>
          <w:color w:val="000000"/>
        </w:rPr>
        <w:t xml:space="preserve">26.2.6.</w:t>
      </w:r>
      <w:r>
        <w:rPr>
          <w:rFonts w:ascii="Arial" w:hAnsi="Arial" w:eastAsia="Arial" w:cs="Arial"/>
          <w:color w:val="000000"/>
        </w:rPr>
        <w:t xml:space="preserve"> A atualização monetária em razão do processo inflacionário e da desvalorização da moeda, será calculada desde a data em que deveria ser efetuado o pagamento da fatura de determinada parcela do contrato até seu pagamento efetiv</w:t>
      </w:r>
      <w:r>
        <w:rPr>
          <w:rFonts w:ascii="Arial" w:hAnsi="Arial" w:eastAsia="Arial" w:cs="Arial"/>
          <w:color w:val="000000"/>
        </w:rPr>
        <w:t xml:space="preserve">o. Após 30 (trinta) dias da data em que deveria ser efetuado o pagamento das faturas, incidirá sobre o valor faturado atualização monetária com base no índice de referência</w:t>
      </w:r>
      <w:r>
        <w:rPr>
          <w:rFonts w:ascii="Arial" w:hAnsi="Arial" w:eastAsia="Arial" w:cs="Arial"/>
          <w:color w:val="000000"/>
        </w:rPr>
        <w:t xml:space="preserve"> </w:t>
      </w:r>
      <w:r>
        <w:rPr>
          <w:rFonts w:ascii="Arial" w:hAnsi="Arial" w:eastAsia="Arial" w:cs="Arial"/>
          <w:color w:val="000000"/>
        </w:rPr>
        <w:t xml:space="preserve">IPCA (Índice Nacional de Preços ao Consumidor Amplo) calculado pelo IBGE, ou outro que venha a substituí-lo. </w:t>
      </w:r>
      <w:r>
        <w:rPr>
          <w:rFonts w:ascii="Arial" w:hAnsi="Arial" w:cs="Arial"/>
          <w:color w:val="000000"/>
          <w14:ligatures w14:val="none"/>
        </w:rPr>
      </w:r>
      <w:r>
        <w:rPr>
          <w:rFonts w:ascii="Arial" w:hAnsi="Arial" w:cs="Arial"/>
          <w:color w:val="000000"/>
          <w14:ligatures w14:val="none"/>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t xml:space="preserve">26.3. DA NEGOCIAÇÃO DE PREÇOS REGISTRADOS: </w:t>
      </w:r>
      <w:r>
        <w:rPr>
          <w:rFonts w:ascii="Arial" w:hAnsi="Arial" w:cs="Arial"/>
          <w:b/>
        </w:rPr>
      </w:r>
      <w:r>
        <w:rPr>
          <w:rFonts w:ascii="Arial" w:hAnsi="Arial" w:cs="Arial"/>
          <w:b/>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26.3.1.</w:t>
      </w:r>
      <w:r>
        <w:rPr>
          <w:rFonts w:ascii="Arial" w:hAnsi="Arial" w:eastAsia="Arial" w:cs="Arial"/>
        </w:rPr>
        <w:t xml:space="preserve"> A negociação será cabível quando o preço requerido pela DETENTORA estiver acima do preço de mercado apurado pela Administração. </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26.3.1.1.</w:t>
      </w:r>
      <w:r>
        <w:rPr>
          <w:rFonts w:ascii="Arial" w:hAnsi="Arial" w:eastAsia="Arial" w:cs="Arial"/>
        </w:rPr>
        <w:t xml:space="preserve"> Caso frustrada a negociação, caberá ao ÓRGÃO GERENCIADOR liberar a DETENTORA do compromisso assumido, se confirmada a pertinência da motivação apresentada e convocar os demais fornecedores constantes no cadastro reserva, se houver;</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26.3.2.</w:t>
      </w:r>
      <w:r>
        <w:rPr>
          <w:rFonts w:ascii="Arial" w:hAnsi="Arial" w:eastAsia="Arial" w:cs="Arial"/>
        </w:rPr>
        <w:t xml:space="preserve"> Caso a motivação apresentada pelo DETENTORA não seja acolhida pelo ÓRGÃO GERENCIADOR, o descumprimento da obrigação de fornecer ensejará a aplicação das sanções cabíveis;</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26.3.3.</w:t>
      </w:r>
      <w:r>
        <w:rPr>
          <w:rFonts w:ascii="Arial" w:hAnsi="Arial" w:eastAsia="Arial" w:cs="Arial"/>
        </w:rPr>
        <w:t xml:space="preserve"> Poderá a Administração convocar os licitantes do cadastro reserva, se houver, observada a ordem de registro e de classificação, para assumirem o compromisso pelo preço de mercado; </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26.3.4.</w:t>
      </w:r>
      <w:r>
        <w:rPr>
          <w:rFonts w:ascii="Arial" w:hAnsi="Arial" w:eastAsia="Arial" w:cs="Arial"/>
        </w:rPr>
        <w:t xml:space="preserve"> Havendo êxito na negociação, o novo valor registrado, que constará no termo aditivo da ata, terá efeito a partir da publicação do termo aditivo à ata de registro de preços.</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26.3.5.</w:t>
      </w:r>
      <w:r>
        <w:rPr>
          <w:rFonts w:ascii="Arial" w:hAnsi="Arial" w:eastAsia="Arial" w:cs="Arial"/>
        </w:rPr>
        <w:t xml:space="preserve"> O reequilíbrio dos preços da ata de registro de preços implicará a revisão dos preços dos contratos vigentes.</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numPr>
          <w:ilvl w:val="0"/>
          <w:numId w:val="0"/>
        </w:numPr>
        <w:pBdr/>
        <w:spacing/>
        <w:ind/>
        <w:jc w:val="both"/>
        <w:outlineLvl w:val="0"/>
        <w:rPr>
          <w:rFonts w:ascii="Arial" w:hAnsi="Arial" w:cs="Arial"/>
          <w:b/>
          <w:bCs/>
          <w:color w:val="000000"/>
        </w:rPr>
      </w:pPr>
      <w:r/>
      <w:bookmarkStart w:id="89" w:name="_Toc26"/>
      <w:r>
        <w:rPr>
          <w:rFonts w:ascii="Arial" w:hAnsi="Arial" w:eastAsia="Arial" w:cs="Arial"/>
          <w:b/>
          <w:bCs/>
          <w:color w:val="000000"/>
        </w:rPr>
        <w:t xml:space="preserve">27.</w:t>
      </w:r>
      <w:r>
        <w:rPr>
          <w:rFonts w:ascii="Arial" w:hAnsi="Arial" w:eastAsia="Arial" w:cs="Arial"/>
          <w:b/>
          <w:color w:val="000000"/>
        </w:rPr>
        <w:t xml:space="preserve"> </w:t>
      </w:r>
      <w:r>
        <w:rPr>
          <w:rFonts w:ascii="Arial" w:hAnsi="Arial" w:eastAsia="Arial" w:cs="Arial"/>
          <w:b/>
        </w:rPr>
        <w:t xml:space="preserve">DO PRAZO PARA LIQUIDAÇÃO (ART. 92, IV, da Lei 14.133/2021)</w:t>
      </w:r>
      <w:r>
        <w:rPr>
          <w:rFonts w:ascii="Arial" w:hAnsi="Arial" w:eastAsia="Arial" w:cs="Arial"/>
          <w:b/>
          <w:bCs/>
          <w:color w:val="000000"/>
        </w:rPr>
        <w:t xml:space="preserve">:</w:t>
      </w:r>
      <w:bookmarkEnd w:id="89"/>
      <w:r>
        <w:rPr>
          <w:rFonts w:ascii="Arial" w:hAnsi="Arial" w:cs="Arial"/>
          <w:b/>
          <w:bCs/>
          <w:color w:val="000000"/>
        </w:rPr>
      </w:r>
      <w:r>
        <w:rPr>
          <w:rFonts w:ascii="Arial" w:hAnsi="Arial" w:cs="Arial"/>
          <w:b/>
          <w:bCs/>
          <w:color w:val="000000"/>
        </w:rPr>
      </w:r>
    </w:p>
    <w:p>
      <w:pPr>
        <w:pStyle w:val="887"/>
        <w:pBdr/>
        <w:spacing/>
        <w:ind/>
        <w:jc w:val="both"/>
        <w:rPr>
          <w:rFonts w:ascii="Arial" w:hAnsi="Arial" w:cs="Arial"/>
          <w:b/>
          <w:bCs/>
        </w:rPr>
      </w:pPr>
      <w:r>
        <w:rPr>
          <w:rFonts w:ascii="Arial" w:hAnsi="Arial" w:eastAsia="Arial" w:cs="Arial"/>
          <w:b/>
          <w:bCs/>
        </w:rPr>
      </w:r>
      <w:r>
        <w:rPr>
          <w:rFonts w:ascii="Arial" w:hAnsi="Arial" w:cs="Arial"/>
          <w:b/>
          <w:bCs/>
        </w:rPr>
      </w:r>
      <w:r>
        <w:rPr>
          <w:rFonts w:ascii="Arial" w:hAnsi="Arial" w:cs="Arial"/>
          <w:b/>
          <w:bCs/>
        </w:rPr>
      </w:r>
    </w:p>
    <w:p>
      <w:pPr>
        <w:pStyle w:val="887"/>
        <w:pBdr/>
        <w:spacing/>
        <w:ind/>
        <w:jc w:val="both"/>
        <w:rPr>
          <w:rFonts w:ascii="Arial" w:hAnsi="Arial" w:cs="Arial"/>
        </w:rPr>
      </w:pPr>
      <w:r>
        <w:rPr>
          <w:rFonts w:ascii="Arial" w:hAnsi="Arial" w:eastAsia="Arial" w:cs="Arial"/>
          <w:b/>
        </w:rPr>
        <w:t xml:space="preserve">27.1. </w:t>
      </w:r>
      <w:r>
        <w:rPr>
          <w:rFonts w:ascii="Arial" w:hAnsi="Arial" w:eastAsia="Arial" w:cs="Arial"/>
        </w:rPr>
        <w:t xml:space="preserve">O prazo para liquidação será de 15 (quinze) dias úteis.</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numPr>
          <w:ilvl w:val="0"/>
          <w:numId w:val="0"/>
        </w:numPr>
        <w:pBdr/>
        <w:spacing/>
        <w:ind/>
        <w:jc w:val="both"/>
        <w:outlineLvl w:val="0"/>
        <w:rPr>
          <w:rFonts w:ascii="Arial" w:hAnsi="Arial" w:cs="Arial"/>
          <w:b/>
          <w:bCs/>
          <w:color w:val="000000"/>
        </w:rPr>
      </w:pPr>
      <w:r/>
      <w:bookmarkStart w:id="90" w:name="_Toc27"/>
      <w:r>
        <w:rPr>
          <w:rFonts w:ascii="Arial" w:hAnsi="Arial" w:eastAsia="Arial" w:cs="Arial"/>
          <w:b/>
          <w:bCs/>
          <w:color w:val="000000"/>
        </w:rPr>
        <w:t xml:space="preserve">28.</w:t>
      </w:r>
      <w:r>
        <w:rPr>
          <w:rFonts w:ascii="Arial" w:hAnsi="Arial" w:eastAsia="Arial" w:cs="Arial"/>
          <w:b/>
          <w:color w:val="000000"/>
        </w:rPr>
        <w:t xml:space="preserve"> DAS INFRAÇÕES ADMINISTRATIVAS E SANÇÕES REFERENTE AO CONTRATO</w:t>
      </w:r>
      <w:r>
        <w:rPr>
          <w:rFonts w:ascii="Arial" w:hAnsi="Arial" w:eastAsia="Arial" w:cs="Arial"/>
          <w:b/>
          <w:bCs/>
          <w:color w:val="000000"/>
        </w:rPr>
        <w:t xml:space="preserve">:</w:t>
      </w:r>
      <w:bookmarkEnd w:id="90"/>
      <w:r>
        <w:rPr>
          <w:rFonts w:ascii="Arial" w:hAnsi="Arial" w:cs="Arial"/>
          <w:b/>
          <w:bCs/>
          <w:color w:val="000000"/>
        </w:rPr>
      </w:r>
      <w:r>
        <w:rPr>
          <w:rFonts w:ascii="Arial" w:hAnsi="Arial" w:cs="Arial"/>
          <w:b/>
          <w:bCs/>
          <w:color w:val="000000"/>
        </w:rPr>
      </w:r>
    </w:p>
    <w:p>
      <w:pPr>
        <w:pStyle w:val="887"/>
        <w:pBdr/>
        <w:spacing/>
        <w:ind/>
        <w:jc w:val="both"/>
        <w:rPr>
          <w:rFonts w:ascii="Arial" w:hAnsi="Arial" w:cs="Arial"/>
          <w:b/>
          <w:bCs/>
        </w:rPr>
      </w:pPr>
      <w:r>
        <w:rPr>
          <w:rFonts w:ascii="Arial" w:hAnsi="Arial" w:eastAsia="Arial" w:cs="Arial"/>
          <w:b/>
          <w:bCs/>
        </w:rPr>
      </w:r>
      <w:r>
        <w:rPr>
          <w:rFonts w:ascii="Arial" w:hAnsi="Arial" w:cs="Arial"/>
          <w:b/>
          <w:bCs/>
        </w:rPr>
      </w:r>
      <w:r>
        <w:rPr>
          <w:rFonts w:ascii="Arial" w:hAnsi="Arial" w:cs="Arial"/>
          <w:b/>
          <w:bCs/>
        </w:rPr>
      </w:r>
    </w:p>
    <w:p>
      <w:pPr>
        <w:pStyle w:val="887"/>
        <w:pBdr/>
        <w:spacing/>
        <w:ind/>
        <w:jc w:val="both"/>
        <w:rPr>
          <w:rFonts w:ascii="Arial" w:hAnsi="Arial" w:cs="Arial"/>
        </w:rPr>
      </w:pPr>
      <w:r>
        <w:rPr>
          <w:rFonts w:ascii="Arial" w:hAnsi="Arial" w:eastAsia="Arial" w:cs="Arial"/>
          <w:b/>
        </w:rPr>
        <w:t xml:space="preserve">28.1.</w:t>
      </w:r>
      <w:r>
        <w:rPr>
          <w:rFonts w:ascii="Arial" w:hAnsi="Arial" w:eastAsia="Arial" w:cs="Arial"/>
        </w:rPr>
        <w:t xml:space="preserve"> A aplicação de penalidade é de competência do Secretário gestor do contrato, portanto, pela administração do órgão recebedor dos produtos devendo constar do documento a forma detalhada dos motivos da infração;</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28.2.</w:t>
      </w:r>
      <w:r>
        <w:rPr>
          <w:rFonts w:ascii="Arial" w:hAnsi="Arial" w:eastAsia="Arial" w:cs="Arial"/>
        </w:rPr>
        <w:t xml:space="preserve"> Comete infração administrativa, nos termos da Lei nº 14.133/2021 (Art. 155) e do Decreto Municipal nº 11.685/2023 o contratado que:</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28.2.1.</w:t>
      </w:r>
      <w:r>
        <w:rPr>
          <w:rFonts w:ascii="Arial" w:hAnsi="Arial" w:eastAsia="Arial" w:cs="Arial"/>
        </w:rPr>
        <w:t xml:space="preserve"> Dar causa à inexecução parcial do contrato que cause grave dano à Administração, ao funcionamento dos serviços públicos ou ao interesse coletivo.</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28.2.2.</w:t>
      </w:r>
      <w:r>
        <w:rPr>
          <w:rFonts w:ascii="Arial" w:hAnsi="Arial" w:eastAsia="Arial" w:cs="Arial"/>
        </w:rPr>
        <w:t xml:space="preserve"> Dar causa à inexecução total do contrato. </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28.2.3.</w:t>
      </w:r>
      <w:r>
        <w:rPr>
          <w:rFonts w:ascii="Arial" w:hAnsi="Arial" w:eastAsia="Arial" w:cs="Arial"/>
        </w:rPr>
        <w:t xml:space="preserve"> Não celebrar o contrato ou não entregar a documentação exigida para a contratação, quando convocado dentro do prazo de validade de sua proposta.</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28.2.4.</w:t>
      </w:r>
      <w:r>
        <w:rPr>
          <w:rFonts w:ascii="Arial" w:hAnsi="Arial" w:eastAsia="Arial" w:cs="Arial"/>
        </w:rPr>
        <w:t xml:space="preserve"> Ensejar o retardamento da execução ou da entrega do objeto da licitação sem motivo justificado.</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28.2.5.</w:t>
      </w:r>
      <w:r>
        <w:rPr>
          <w:rFonts w:ascii="Arial" w:hAnsi="Arial" w:eastAsia="Arial" w:cs="Arial"/>
        </w:rPr>
        <w:t xml:space="preserve"> Apresentar declaração ou documentação falsa exigida para o certame ou prestar declaração falsa durante a licitação ou a execução do contrato.</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28.2.6. </w:t>
      </w:r>
      <w:r>
        <w:rPr>
          <w:rFonts w:ascii="Arial" w:hAnsi="Arial" w:eastAsia="Arial" w:cs="Arial"/>
        </w:rPr>
        <w:t xml:space="preserve">Fraudar a licitação ou praticar ato fraudulento na execução do contrato.</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28.2.7.</w:t>
      </w:r>
      <w:r>
        <w:rPr>
          <w:rFonts w:ascii="Arial" w:hAnsi="Arial" w:eastAsia="Arial" w:cs="Arial"/>
        </w:rPr>
        <w:t xml:space="preserve"> Comportar-se de modo inidôneo ou cometer fraude de qualquer natureza.</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28.2.8.</w:t>
      </w:r>
      <w:r>
        <w:rPr>
          <w:rFonts w:ascii="Arial" w:hAnsi="Arial" w:eastAsia="Arial" w:cs="Arial"/>
        </w:rPr>
        <w:t xml:space="preserve"> Praticar atos ilícitos com vistas a frustrar os objetivos da licitação.</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28.2.9.</w:t>
      </w:r>
      <w:r>
        <w:rPr>
          <w:rFonts w:ascii="Arial" w:hAnsi="Arial" w:eastAsia="Arial" w:cs="Arial"/>
        </w:rPr>
        <w:t xml:space="preserve"> Praticar ato lesivo previsto no art. 5º, da Lei nº 12.846/2013.</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28.3.</w:t>
      </w:r>
      <w:r>
        <w:rPr>
          <w:rFonts w:ascii="Arial" w:hAnsi="Arial" w:eastAsia="Arial" w:cs="Arial"/>
        </w:rPr>
        <w:t xml:space="preserve"> Serão aplicadas ao contratado que incorrer nas infrações acima descritas as seguintes sanções:</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28.3.1.</w:t>
      </w:r>
      <w:r>
        <w:rPr>
          <w:rFonts w:ascii="Arial" w:hAnsi="Arial" w:eastAsia="Arial" w:cs="Arial"/>
        </w:rPr>
        <w:t xml:space="preserve"> Advertência, quan</w:t>
      </w:r>
      <w:r>
        <w:rPr>
          <w:rFonts w:ascii="Arial" w:hAnsi="Arial" w:eastAsia="Arial" w:cs="Arial"/>
        </w:rPr>
        <w:t xml:space="preserve">do o contratado der causa à inexecução parcial do contrato que não implique em prejuízo ou dano à administração, bem como na hipótese de descumprimento de pequena relevância praticado pelo contratado e que não justifique imposição de penalidade mais grave;</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28.3.2.</w:t>
      </w:r>
      <w:r>
        <w:rPr>
          <w:rFonts w:ascii="Arial" w:hAnsi="Arial" w:eastAsia="Arial" w:cs="Arial"/>
        </w:rPr>
        <w:t xml:space="preserve"> Multa:</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28.3.2.1.</w:t>
      </w:r>
      <w:r>
        <w:rPr>
          <w:rFonts w:ascii="Arial" w:hAnsi="Arial" w:eastAsia="Arial" w:cs="Arial"/>
        </w:rPr>
        <w:t xml:space="preserve"> Moratória: em razão do atraso injustificado: na proporção de </w:t>
      </w:r>
      <w:r>
        <w:rPr>
          <w:rFonts w:ascii="Arial" w:hAnsi="Arial" w:eastAsia="Arial" w:cs="Arial"/>
        </w:rPr>
        <w:t xml:space="preserve"> 0,5%</w:t>
      </w:r>
      <w:r>
        <w:rPr>
          <w:rFonts w:ascii="Arial" w:hAnsi="Arial" w:eastAsia="Arial" w:cs="Arial"/>
        </w:rPr>
        <w:t xml:space="preserve"> (meio por cento) do valor da parcela inadimplida por dia de atraso injustificado até o limite de 30 (trinta) dias corridos.</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28.3.2.1.1</w:t>
      </w:r>
      <w:r>
        <w:rPr>
          <w:rFonts w:ascii="Arial" w:hAnsi="Arial" w:eastAsia="Arial" w:cs="Arial"/>
        </w:rPr>
        <w:t xml:space="preserve">. O atraso superior a 30 (trinta) dias autoriza a Administração a promover a extinção do contrato por descumprimento ou cumprimento irregular de suas cláusulas, conforme dispõe o inciso I do art. 137 da Lei n. 14.133, de 2021.</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 </w:t>
      </w:r>
      <w:r>
        <w:rPr>
          <w:rFonts w:ascii="Arial" w:hAnsi="Arial" w:eastAsia="Arial" w:cs="Arial"/>
          <w:b/>
        </w:rPr>
        <w:t xml:space="preserve">28.3.2.2.</w:t>
      </w:r>
      <w:r>
        <w:rPr>
          <w:rFonts w:ascii="Arial" w:hAnsi="Arial" w:eastAsia="Arial" w:cs="Arial"/>
        </w:rPr>
        <w:t xml:space="preserve"> Compensatória: será aplicada multa de 0,5% até 30% sobre o valor do contrato, devendo a autoridade competente observar, na dosimetria da pena, as seguintes recomendações:</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28.3.2.2.1. </w:t>
      </w:r>
      <w:r>
        <w:rPr>
          <w:rFonts w:ascii="Arial" w:hAnsi="Arial" w:eastAsia="Arial" w:cs="Arial"/>
        </w:rPr>
        <w:t xml:space="preserve">Em casos</w:t>
      </w:r>
      <w:r>
        <w:rPr>
          <w:rFonts w:ascii="Arial" w:hAnsi="Arial" w:eastAsia="Arial" w:cs="Arial"/>
        </w:rPr>
        <w:t xml:space="preserve"> de inexecução parcial do contrato, que cause grave dano à Administração, ao funcionamento dos serviços públicos ou ao interesse coletivo (item 28.2.1), bem como quantos aos itens: 28.2.3 e 28.2.4, a multa será de 0,5% a 15% do valor do contrato licitado. </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28.3.2.2.2.</w:t>
      </w:r>
      <w:r>
        <w:rPr>
          <w:rFonts w:ascii="Arial" w:hAnsi="Arial" w:eastAsia="Arial" w:cs="Arial"/>
        </w:rPr>
        <w:t xml:space="preserve"> Em casos de ine</w:t>
      </w:r>
      <w:r>
        <w:rPr>
          <w:rFonts w:ascii="Arial" w:hAnsi="Arial" w:eastAsia="Arial" w:cs="Arial"/>
        </w:rPr>
        <w:t xml:space="preserve">xecução total do contrato (item 28.1.2), bem como quanto aos itens: 28.2.5; 28.2.6; 28.2.7; 28.2.8 e 28.2.9) nas hipóteses de atos fraudulentos com o objetivo de obter vantagens indevidas, a multa será fixada entre 15% a 30% do valor do contrato licitado. </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28.3.2.2.3.</w:t>
      </w:r>
      <w:r>
        <w:rPr>
          <w:rFonts w:ascii="Arial" w:hAnsi="Arial" w:eastAsia="Arial" w:cs="Arial"/>
        </w:rPr>
        <w:t xml:space="preserve"> No caso de inexecução total, a multa será aplicada independentemente da existência ou não do prejuízo ao contratante, implicando ainda na possibilidade de rescisão do contrato.</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28.3.2.3.</w:t>
      </w:r>
      <w:r>
        <w:rPr>
          <w:rFonts w:ascii="Arial" w:hAnsi="Arial" w:eastAsia="Arial" w:cs="Arial"/>
        </w:rPr>
        <w:t xml:space="preserve"> Antes da aplicação da multa será facultada a defesa do interessado no prazo de 15 (quinze) dias úteis, contado da data de sua intimação.</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28.3.2.4.</w:t>
      </w:r>
      <w:r>
        <w:rPr>
          <w:rFonts w:ascii="Arial" w:hAnsi="Arial" w:eastAsia="Arial" w:cs="Arial"/>
        </w:rPr>
        <w:t xml:space="preserve"> Se a multa aplicada e as indenizações cabíveis forem superiores ao valor do pagamento eventualmente devido pelo contratante ao contratado, além da perda desse valor, a diferença será descontada da garantia prestada ou será cobrada judicialmente.</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28.3.2.5.</w:t>
      </w:r>
      <w:r>
        <w:rPr>
          <w:rFonts w:ascii="Arial" w:hAnsi="Arial" w:eastAsia="Arial" w:cs="Arial"/>
        </w:rPr>
        <w:t xml:space="preserve"> Caso o cont</w:t>
      </w:r>
      <w:r>
        <w:rPr>
          <w:rFonts w:ascii="Arial" w:hAnsi="Arial" w:eastAsia="Arial" w:cs="Arial"/>
        </w:rPr>
        <w:t xml:space="preserve">ratado não tenha nenhum valor a receber do contratante, ou os valores do pagamento e da garantia contratual forem insuficientes, o contratante concederá o prazo de 05 (cinco) dias úteis, contados do recebimento de sua intimação, para que a multa seja paga.</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28.3.2.6.</w:t>
      </w:r>
      <w:r>
        <w:rPr>
          <w:rFonts w:ascii="Arial" w:hAnsi="Arial" w:eastAsia="Arial" w:cs="Arial"/>
        </w:rPr>
        <w:t xml:space="preserve"> Esgotados os meios administrativos para a cobrança dos valores devidos, o contratante providenciará o encaminhamento do processo à Procuradoria-Geral do Município para que seja realizada a cobrança judicial.</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28.3.2.7.</w:t>
      </w:r>
      <w:r>
        <w:rPr>
          <w:rFonts w:ascii="Arial" w:hAnsi="Arial" w:eastAsia="Arial" w:cs="Arial"/>
        </w:rPr>
        <w:t xml:space="preserve"> Caso o contratante tenha de recorrer ou comparecer a juízo para haver o que lhe for devido, o contratado ficará sujeita ao pagamento, além do princi</w:t>
      </w:r>
      <w:r>
        <w:rPr>
          <w:rFonts w:ascii="Arial" w:hAnsi="Arial" w:eastAsia="Arial" w:cs="Arial"/>
        </w:rPr>
        <w:t xml:space="preserve">pal do débito, da pena convencional de 10% (dez por cento) sobre o valor do litígio, dos juros de mora de 1% (um por cento) ao mês, despesas de processo e honorários de advogado, estes fixados, desde logo, em 20% (vinte por cento) sobre o valor em litígio.</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28.3.2.8.</w:t>
      </w:r>
      <w:r>
        <w:rPr>
          <w:rFonts w:ascii="Arial" w:hAnsi="Arial" w:eastAsia="Arial" w:cs="Arial"/>
        </w:rPr>
        <w:t xml:space="preserve"> A aplicação de multa de mora não impedirá que a Administração a converta em compensatória e promova a extinção unilateral do contrato com a aplicação cumulada de outras sanções previstas na Lei 14.133/2021.</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28.3.3.</w:t>
      </w:r>
      <w:r>
        <w:rPr>
          <w:rFonts w:ascii="Arial" w:hAnsi="Arial" w:eastAsia="Arial" w:cs="Arial"/>
        </w:rPr>
        <w:t xml:space="preserve"> Impedimento de licitar e contratar, caso não se justifique imposição de penalidade mais grave.</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28.3.3.1.</w:t>
      </w:r>
      <w:r>
        <w:rPr>
          <w:rFonts w:ascii="Arial" w:hAnsi="Arial" w:eastAsia="Arial" w:cs="Arial"/>
        </w:rPr>
        <w:t xml:space="preserve"> Essa penalidade poderá ser aplicada nas seguintes hipóteses:</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28.3.3.1.1.</w:t>
      </w:r>
      <w:r>
        <w:rPr>
          <w:rFonts w:ascii="Arial" w:hAnsi="Arial" w:eastAsia="Arial" w:cs="Arial"/>
        </w:rPr>
        <w:t xml:space="preserve"> Der causa à inexecução parcial do contrato que cause grave dano à Administração, ao funcionamento dos serviços públicos ou ao interesse coletivo;</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28.3.3.1.2</w:t>
      </w:r>
      <w:r>
        <w:rPr>
          <w:rFonts w:ascii="Arial" w:hAnsi="Arial" w:eastAsia="Arial" w:cs="Arial"/>
        </w:rPr>
        <w:t xml:space="preserve">. Der causa à inexecução total do contrato;</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28.3.3.1.3</w:t>
      </w:r>
      <w:r>
        <w:rPr>
          <w:rFonts w:ascii="Arial" w:hAnsi="Arial" w:eastAsia="Arial" w:cs="Arial"/>
        </w:rPr>
        <w:t xml:space="preserve">. Deixar de entregar a documentação exigida para o certame;</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28.3.3.1.4</w:t>
      </w:r>
      <w:r>
        <w:rPr>
          <w:rFonts w:ascii="Arial" w:hAnsi="Arial" w:eastAsia="Arial" w:cs="Arial"/>
        </w:rPr>
        <w:t xml:space="preserve">. Não manter a proposta, salvo em decorrência de fato superveniente devidamente justificado;</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28.3.3.1.5.</w:t>
      </w:r>
      <w:r>
        <w:rPr>
          <w:rFonts w:ascii="Arial" w:hAnsi="Arial" w:eastAsia="Arial" w:cs="Arial"/>
        </w:rPr>
        <w:t xml:space="preserve"> Não celebrar o contrato ou não entregar a documentação exigida para a contratação, quando convocado dentro do prazo de validade de sua proposta;</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28.3.3.1.6.</w:t>
      </w:r>
      <w:r>
        <w:rPr>
          <w:rFonts w:ascii="Arial" w:hAnsi="Arial" w:eastAsia="Arial" w:cs="Arial"/>
        </w:rPr>
        <w:t xml:space="preserve"> Ensejar o retardamento da execução ou da entrega do objeto da licitação sem motivo justificado.</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28.3.4.</w:t>
      </w:r>
      <w:r>
        <w:rPr>
          <w:rFonts w:ascii="Arial" w:hAnsi="Arial" w:eastAsia="Arial" w:cs="Arial"/>
        </w:rPr>
        <w:t xml:space="preserve"> As condutas aqui enumeradas também podem justificar a aplicação da declaração de inidoneidade quando as circunstâncias do caso concreto justificarem a imposição de penalidade mais grave.</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28.3.4.1.</w:t>
      </w:r>
      <w:r>
        <w:rPr>
          <w:rFonts w:ascii="Arial" w:hAnsi="Arial" w:eastAsia="Arial" w:cs="Arial"/>
        </w:rPr>
        <w:t xml:space="preserve"> Declaração de inidoneidade para licitar e contratar.</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28.3.4.2.</w:t>
      </w:r>
      <w:r>
        <w:rPr>
          <w:rFonts w:ascii="Arial" w:hAnsi="Arial" w:eastAsia="Arial" w:cs="Arial"/>
        </w:rPr>
        <w:t xml:space="preserve"> A declaração de inidoneidade par</w:t>
      </w:r>
      <w:r>
        <w:rPr>
          <w:rFonts w:ascii="Arial" w:hAnsi="Arial" w:eastAsia="Arial" w:cs="Arial"/>
        </w:rPr>
        <w:t xml:space="preserve">a licitar e contratar pode ser aplicada por qualquer ente da federação impedirá o responsável de licitar e contratar com a Administração Pública direta e indireta do município de Rondonópolis-MT pelo prazo mínimo de 3 (três) anos e máximo de 6 (seis) anos.</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28.3.4.2.1</w:t>
      </w:r>
      <w:r>
        <w:rPr>
          <w:rFonts w:ascii="Arial" w:hAnsi="Arial" w:eastAsia="Arial" w:cs="Arial"/>
        </w:rPr>
        <w:t xml:space="preserve">. Essa penalidade poderá ser aplicada nas seguintes hipóteses:</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28.3.4.2.2.</w:t>
      </w:r>
      <w:r>
        <w:rPr>
          <w:rFonts w:ascii="Arial" w:hAnsi="Arial" w:eastAsia="Arial" w:cs="Arial"/>
        </w:rPr>
        <w:t xml:space="preserve"> Apresentar declaração ou documentação falsa exigida para o certame ou prestar declaração falsa durante a licitação ou a execução do contrato;</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28.3.4.2.3.</w:t>
      </w:r>
      <w:r>
        <w:rPr>
          <w:rFonts w:ascii="Arial" w:hAnsi="Arial" w:eastAsia="Arial" w:cs="Arial"/>
        </w:rPr>
        <w:t xml:space="preserve"> Fraudar a licitação ou praticar ato fraudulento na execução do contrato;</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28.3.4.2.4.</w:t>
      </w:r>
      <w:r>
        <w:rPr>
          <w:rFonts w:ascii="Arial" w:hAnsi="Arial" w:eastAsia="Arial" w:cs="Arial"/>
        </w:rPr>
        <w:t xml:space="preserve"> Comportar-se de modo inidôneo ou cometer fraude de qualquer natureza;</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28.3.4.2.5.</w:t>
      </w:r>
      <w:r>
        <w:rPr>
          <w:rFonts w:ascii="Arial" w:hAnsi="Arial" w:eastAsia="Arial" w:cs="Arial"/>
        </w:rPr>
        <w:t xml:space="preserve"> Praticar atos ilícitos com vistas a frustrar os objetivos da licitação;</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28.3.4.2.6.</w:t>
      </w:r>
      <w:r>
        <w:rPr>
          <w:rFonts w:ascii="Arial" w:hAnsi="Arial" w:eastAsia="Arial" w:cs="Arial"/>
        </w:rPr>
        <w:t xml:space="preserve"> Praticar ato lesivo previsto no art. 5º da Lei nº 12.846/2013.</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28.4.</w:t>
      </w:r>
      <w:r>
        <w:rPr>
          <w:rFonts w:ascii="Arial" w:hAnsi="Arial" w:eastAsia="Arial" w:cs="Arial"/>
        </w:rPr>
        <w:t xml:space="preserve"> Todas as sanções previstas neste Contrato poderão ser aplicadas cumulativamente com a multa (art. 156, §7º, da Lei nº 14.133, de 2021).</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28.5.</w:t>
      </w:r>
      <w:r>
        <w:rPr>
          <w:rFonts w:ascii="Arial" w:hAnsi="Arial" w:eastAsia="Arial" w:cs="Arial"/>
        </w:rPr>
        <w:t xml:space="preserve"> A aplicação das sanções previstas neste Contrato não exclui, em hipótese alguma, a obrigação de reparação integral do dano causado ao contratante (art. 156, §9º, da Lei nº 14.133, de 2021).</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28.6.</w:t>
      </w:r>
      <w:r>
        <w:rPr>
          <w:rFonts w:ascii="Arial" w:hAnsi="Arial" w:eastAsia="Arial" w:cs="Arial"/>
        </w:rPr>
        <w:t xml:space="preserve"> A aplicação de qualquer das penalidades previstas realizar-se-á em processo administrativo que assegurará o contraditório e a ampla defesa, observando-se o procedimento previsto na Lei nº 14.133/2021 e no Decreto Municipal nº 11.685/2023.</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t xml:space="preserve">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28.7.</w:t>
      </w:r>
      <w:r>
        <w:rPr>
          <w:rFonts w:ascii="Arial" w:hAnsi="Arial" w:eastAsia="Arial" w:cs="Arial"/>
        </w:rPr>
        <w:t xml:space="preserve"> A autoridade competente, na aplicação das sanções, levará em consideração:</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28.7.1.</w:t>
      </w:r>
      <w:r>
        <w:rPr>
          <w:rFonts w:ascii="Arial" w:hAnsi="Arial" w:eastAsia="Arial" w:cs="Arial"/>
        </w:rPr>
        <w:t xml:space="preserve"> A natureza e a gravidade da infração cometida; </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28.7.2.</w:t>
      </w:r>
      <w:r>
        <w:rPr>
          <w:rFonts w:ascii="Arial" w:hAnsi="Arial" w:eastAsia="Arial" w:cs="Arial"/>
        </w:rPr>
        <w:t xml:space="preserve"> As peculiaridades do caso concreto;</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28.7.3.</w:t>
      </w:r>
      <w:r>
        <w:rPr>
          <w:rFonts w:ascii="Arial" w:hAnsi="Arial" w:eastAsia="Arial" w:cs="Arial"/>
        </w:rPr>
        <w:t xml:space="preserve"> As circunstâncias agravantes ou atenuantes;</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28.7.4.</w:t>
      </w:r>
      <w:r>
        <w:rPr>
          <w:rFonts w:ascii="Arial" w:hAnsi="Arial" w:eastAsia="Arial" w:cs="Arial"/>
        </w:rPr>
        <w:t xml:space="preserve"> Os danos que dela provierem para o contratante;</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28.7.5.</w:t>
      </w:r>
      <w:r>
        <w:rPr>
          <w:rFonts w:ascii="Arial" w:hAnsi="Arial" w:eastAsia="Arial" w:cs="Arial"/>
        </w:rPr>
        <w:t xml:space="preserve"> A implantação ou o aperfeiçoamento de programa de integridade, conforme normas e orientações dos órgãos de controle.</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28.8.</w:t>
      </w:r>
      <w:r>
        <w:rPr>
          <w:rFonts w:ascii="Arial" w:hAnsi="Arial" w:eastAsia="Arial" w:cs="Arial"/>
        </w:rPr>
        <w:t xml:space="preserve"> Os atos previstos como infrações administrativas na Lei nº 14.133, de 2021, ou em outras leis de licitações e contratos da Administração Pública </w:t>
      </w:r>
      <w:r>
        <w:rPr>
          <w:rFonts w:ascii="Arial" w:hAnsi="Arial" w:eastAsia="Arial" w:cs="Arial"/>
        </w:rPr>
        <w:t xml:space="preserve">que também sejam tipificados como atos lesivos na Lei nº 12.846, de 2013, serão apurados e julgados conjuntamente, nos mesmos autos, observados o rito procedimental e autoridade competente definidos na referida Lei e nos demais regulamentos complementares.</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28.9.</w:t>
      </w:r>
      <w:r>
        <w:rPr>
          <w:rFonts w:ascii="Arial" w:hAnsi="Arial" w:eastAsia="Arial" w:cs="Arial"/>
        </w:rPr>
        <w:t xml:space="preserve"> A personalidade jurídica do Contratado poderá ser desconsiderada sempre que utilizada com abuso do direito para facilitar, </w:t>
      </w:r>
      <w:r>
        <w:rPr>
          <w:rFonts w:ascii="Arial" w:hAnsi="Arial" w:eastAsia="Arial" w:cs="Arial"/>
        </w:rPr>
        <w:t xml:space="preserve">encobrir ou dissimular a prática dos atos ilícitos previstos neste Contrato ou para provocar confusão patrimonial, e, nesse caso, todos os efeitos das sanções aplicadas à pessoa jurídica serão estendidos aos seus administradores e sócios com poderes de adm</w:t>
      </w:r>
      <w:r>
        <w:rPr>
          <w:rFonts w:ascii="Arial" w:hAnsi="Arial" w:eastAsia="Arial" w:cs="Arial"/>
        </w:rPr>
        <w:t xml:space="preserve">inistração, à pessoa jurídica sucessora ou à empresa do mesmo ramo com relação de coligação ou controle, de fato ou de direito, com o Contratado, observados, em todos os casos, o contraditório, a ampla defesa e a obrigatoriedade de análise jurídica prévia.</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28.10.</w:t>
      </w:r>
      <w:r>
        <w:rPr>
          <w:rFonts w:ascii="Arial" w:hAnsi="Arial" w:eastAsia="Arial" w:cs="Arial"/>
        </w:rPr>
        <w:t xml:space="preserve"> As sanções de impedimento de licitar e contratar e declaração de inidoneidade para licitar ou contratar são passíveis de reabilitação na forma do art. 163 da Lei nº 14.133/2021.</w:t>
      </w:r>
      <w:r>
        <w:rPr>
          <w:rFonts w:ascii="Arial" w:hAnsi="Arial" w:cs="Arial"/>
        </w:rPr>
      </w:r>
      <w:r>
        <w:rPr>
          <w:rFonts w:ascii="Arial" w:hAnsi="Arial" w:cs="Arial"/>
        </w:rPr>
      </w:r>
    </w:p>
    <w:p>
      <w:pPr>
        <w:pStyle w:val="887"/>
        <w:pBdr/>
        <w:spacing/>
        <w:ind w:left="284"/>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numPr>
          <w:ilvl w:val="0"/>
          <w:numId w:val="0"/>
        </w:numPr>
        <w:pBdr/>
        <w:spacing/>
        <w:ind/>
        <w:jc w:val="both"/>
        <w:outlineLvl w:val="0"/>
        <w:rPr>
          <w:rFonts w:ascii="Arial" w:hAnsi="Arial" w:cs="Arial"/>
          <w:b/>
          <w:bCs/>
          <w:color w:val="000000"/>
        </w:rPr>
      </w:pPr>
      <w:r/>
      <w:bookmarkStart w:id="91" w:name="_Toc28"/>
      <w:r>
        <w:rPr>
          <w:rFonts w:ascii="Arial" w:hAnsi="Arial" w:eastAsia="Arial" w:cs="Arial"/>
          <w:b/>
          <w:bCs/>
          <w:color w:val="000000"/>
        </w:rPr>
        <w:t xml:space="preserve">29.</w:t>
      </w:r>
      <w:r>
        <w:rPr>
          <w:rFonts w:ascii="Arial" w:hAnsi="Arial" w:eastAsia="Arial" w:cs="Arial"/>
          <w:b/>
          <w:color w:val="000000"/>
        </w:rPr>
        <w:t xml:space="preserve"> </w:t>
      </w:r>
      <w:r>
        <w:rPr>
          <w:rFonts w:ascii="Arial" w:hAnsi="Arial" w:eastAsia="Arial" w:cs="Arial"/>
          <w:b/>
          <w:bCs/>
          <w:color w:val="000000"/>
        </w:rPr>
        <w:t xml:space="preserve">DAS OBRIGAÇÕES DA CONTRATADA</w:t>
      </w:r>
      <w:r>
        <w:rPr>
          <w:rFonts w:ascii="Arial" w:hAnsi="Arial" w:eastAsia="Arial" w:cs="Arial"/>
          <w:b/>
          <w:bCs/>
          <w:color w:val="000000"/>
        </w:rPr>
        <w:t xml:space="preserve">:</w:t>
      </w:r>
      <w:bookmarkEnd w:id="91"/>
      <w:r>
        <w:rPr>
          <w:rFonts w:ascii="Arial" w:hAnsi="Arial" w:cs="Arial"/>
          <w:b/>
          <w:bCs/>
          <w:color w:val="000000"/>
        </w:rPr>
      </w:r>
      <w:r>
        <w:rPr>
          <w:rFonts w:ascii="Arial" w:hAnsi="Arial" w:cs="Arial"/>
          <w:b/>
          <w:bCs/>
          <w:color w:val="000000"/>
        </w:rPr>
      </w:r>
    </w:p>
    <w:p>
      <w:pPr>
        <w:pStyle w:val="2059"/>
        <w:pBdr/>
        <w:spacing/>
        <w:ind/>
        <w:jc w:val="both"/>
        <w:rPr>
          <w:rFonts w:ascii="Arial" w:hAnsi="Arial" w:cs="Arial"/>
          <w:color w:val="000000"/>
          <w:sz w:val="20"/>
          <w:szCs w:val="20"/>
        </w:rPr>
      </w:pPr>
      <w:r>
        <w:rPr>
          <w:rFonts w:ascii="Arial" w:hAnsi="Arial" w:eastAsia="Arial" w:cs="Arial"/>
          <w:color w:val="000000"/>
          <w:sz w:val="20"/>
          <w:szCs w:val="20"/>
        </w:rPr>
      </w:r>
      <w:r>
        <w:rPr>
          <w:rFonts w:ascii="Arial" w:hAnsi="Arial" w:cs="Arial"/>
          <w:color w:val="000000"/>
          <w:sz w:val="20"/>
          <w:szCs w:val="20"/>
        </w:rPr>
      </w:r>
      <w:r>
        <w:rPr>
          <w:rFonts w:ascii="Arial" w:hAnsi="Arial" w:cs="Arial"/>
          <w:color w:val="000000"/>
          <w:sz w:val="20"/>
          <w:szCs w:val="20"/>
        </w:rPr>
      </w:r>
    </w:p>
    <w:p>
      <w:pPr>
        <w:pStyle w:val="2059"/>
        <w:pBdr/>
        <w:spacing/>
        <w:ind/>
        <w:jc w:val="both"/>
        <w:rPr>
          <w:rFonts w:ascii="Arial" w:hAnsi="Arial" w:cs="Arial"/>
          <w:color w:val="000000"/>
          <w:sz w:val="20"/>
          <w:szCs w:val="20"/>
        </w:rPr>
      </w:pPr>
      <w:r>
        <w:rPr>
          <w:rFonts w:ascii="Arial" w:hAnsi="Arial" w:eastAsia="Arial" w:cs="Arial"/>
          <w:b/>
          <w:bCs/>
          <w:color w:val="000000"/>
          <w:sz w:val="20"/>
          <w:szCs w:val="20"/>
        </w:rPr>
        <w:t xml:space="preserve">29.1.</w:t>
      </w:r>
      <w:r>
        <w:rPr>
          <w:rFonts w:ascii="Arial" w:hAnsi="Arial" w:eastAsia="Arial" w:cs="Arial"/>
          <w:bCs/>
          <w:color w:val="000000"/>
          <w:sz w:val="20"/>
          <w:szCs w:val="20"/>
        </w:rPr>
        <w:t xml:space="preserve"> </w:t>
      </w:r>
      <w:r>
        <w:rPr>
          <w:rFonts w:ascii="Arial" w:hAnsi="Arial" w:eastAsia="Arial" w:cs="Arial"/>
          <w:color w:val="000000"/>
          <w:sz w:val="20"/>
          <w:szCs w:val="20"/>
        </w:rPr>
        <w:t xml:space="preserve">Fornecer os produtos </w:t>
      </w:r>
      <w:r>
        <w:rPr>
          <w:rFonts w:ascii="Arial" w:hAnsi="Arial" w:eastAsia="Arial" w:cs="Arial"/>
          <w:bCs/>
          <w:color w:val="000000"/>
          <w:sz w:val="20"/>
          <w:szCs w:val="20"/>
        </w:rPr>
        <w:t xml:space="preserve">para o atendimento do</w:t>
      </w:r>
      <w:r>
        <w:rPr>
          <w:rFonts w:ascii="Arial" w:hAnsi="Arial" w:eastAsia="Arial" w:cs="Arial"/>
          <w:color w:val="000000"/>
          <w:sz w:val="20"/>
          <w:szCs w:val="20"/>
        </w:rPr>
        <w:t xml:space="preserve"> objeto licitado, estritamente, com as mesmas características das especificações exigidas nesse </w:t>
      </w:r>
      <w:r>
        <w:rPr>
          <w:rFonts w:ascii="Arial" w:hAnsi="Arial" w:eastAsia="Arial" w:cs="Arial"/>
          <w:sz w:val="20"/>
          <w:szCs w:val="20"/>
        </w:rPr>
        <w:t xml:space="preserve">Edital, seus anexos</w:t>
      </w:r>
      <w:r>
        <w:rPr>
          <w:rFonts w:ascii="Arial" w:hAnsi="Arial" w:eastAsia="Arial" w:cs="Arial"/>
          <w:color w:val="000000"/>
          <w:sz w:val="20"/>
          <w:szCs w:val="20"/>
        </w:rPr>
        <w:t xml:space="preserve"> e legislação correlata;</w:t>
      </w:r>
      <w:r>
        <w:rPr>
          <w:rFonts w:ascii="Arial" w:hAnsi="Arial" w:cs="Arial"/>
          <w:color w:val="000000"/>
          <w:sz w:val="20"/>
          <w:szCs w:val="20"/>
        </w:rPr>
      </w:r>
      <w:r>
        <w:rPr>
          <w:rFonts w:ascii="Arial" w:hAnsi="Arial" w:cs="Arial"/>
          <w:color w:val="000000"/>
          <w:sz w:val="20"/>
          <w:szCs w:val="20"/>
        </w:rPr>
      </w:r>
    </w:p>
    <w:p>
      <w:pPr>
        <w:pStyle w:val="2059"/>
        <w:pBdr/>
        <w:spacing/>
        <w:ind w:left="284"/>
        <w:jc w:val="both"/>
        <w:rPr>
          <w:rFonts w:ascii="Arial" w:hAnsi="Arial" w:cs="Arial"/>
          <w:bCs/>
          <w:color w:val="000000"/>
          <w:sz w:val="20"/>
          <w:szCs w:val="20"/>
        </w:rPr>
      </w:pPr>
      <w:r>
        <w:rPr>
          <w:rFonts w:ascii="Arial" w:hAnsi="Arial" w:eastAsia="Arial" w:cs="Arial"/>
          <w:bCs/>
          <w:color w:val="000000"/>
          <w:sz w:val="20"/>
          <w:szCs w:val="20"/>
        </w:rPr>
      </w:r>
      <w:r>
        <w:rPr>
          <w:rFonts w:ascii="Arial" w:hAnsi="Arial" w:cs="Arial"/>
          <w:bCs/>
          <w:color w:val="000000"/>
          <w:sz w:val="20"/>
          <w:szCs w:val="20"/>
        </w:rPr>
      </w:r>
      <w:r>
        <w:rPr>
          <w:rFonts w:ascii="Arial" w:hAnsi="Arial" w:cs="Arial"/>
          <w:bCs/>
          <w:color w:val="000000"/>
          <w:sz w:val="20"/>
          <w:szCs w:val="20"/>
        </w:rPr>
      </w:r>
    </w:p>
    <w:p>
      <w:pPr>
        <w:pStyle w:val="2059"/>
        <w:pBdr/>
        <w:spacing/>
        <w:ind/>
        <w:jc w:val="both"/>
        <w:rPr>
          <w:rFonts w:ascii="Arial" w:hAnsi="Arial" w:cs="Arial"/>
          <w:color w:val="000000"/>
          <w:sz w:val="20"/>
          <w:szCs w:val="20"/>
        </w:rPr>
      </w:pPr>
      <w:r>
        <w:rPr>
          <w:rFonts w:ascii="Arial" w:hAnsi="Arial" w:eastAsia="Arial" w:cs="Arial"/>
          <w:b/>
          <w:bCs/>
          <w:color w:val="000000"/>
          <w:sz w:val="20"/>
          <w:szCs w:val="20"/>
        </w:rPr>
        <w:t xml:space="preserve">29.2. </w:t>
      </w:r>
      <w:r>
        <w:rPr>
          <w:rFonts w:ascii="Arial" w:hAnsi="Arial" w:eastAsia="Arial" w:cs="Arial"/>
          <w:color w:val="000000"/>
          <w:sz w:val="20"/>
          <w:szCs w:val="20"/>
        </w:rPr>
        <w:t xml:space="preserve">O transporte </w:t>
      </w:r>
      <w:r>
        <w:rPr>
          <w:rFonts w:ascii="Arial" w:hAnsi="Arial" w:eastAsia="Arial" w:cs="Arial"/>
          <w:bCs/>
          <w:color w:val="000000"/>
          <w:sz w:val="20"/>
          <w:szCs w:val="20"/>
        </w:rPr>
        <w:t xml:space="preserve">dos produtos para o atendimento do</w:t>
      </w:r>
      <w:r>
        <w:rPr>
          <w:rFonts w:ascii="Arial" w:hAnsi="Arial" w:eastAsia="Arial" w:cs="Arial"/>
          <w:color w:val="000000"/>
          <w:sz w:val="20"/>
          <w:szCs w:val="20"/>
        </w:rPr>
        <w:t xml:space="preserve"> objeto licitado, deverá ser efetuado em veículos adequados que atendam a todas as exigências da legislação e demais normas vigentes;</w:t>
      </w:r>
      <w:r>
        <w:rPr>
          <w:rFonts w:ascii="Arial" w:hAnsi="Arial" w:cs="Arial"/>
          <w:color w:val="000000"/>
          <w:sz w:val="20"/>
          <w:szCs w:val="20"/>
        </w:rPr>
      </w:r>
      <w:r>
        <w:rPr>
          <w:rFonts w:ascii="Arial" w:hAnsi="Arial" w:cs="Arial"/>
          <w:color w:val="000000"/>
          <w:sz w:val="20"/>
          <w:szCs w:val="20"/>
        </w:rPr>
      </w:r>
    </w:p>
    <w:p>
      <w:pPr>
        <w:pStyle w:val="2059"/>
        <w:pBdr/>
        <w:spacing/>
        <w:ind w:left="284"/>
        <w:jc w:val="both"/>
        <w:rPr>
          <w:rFonts w:ascii="Arial" w:hAnsi="Arial" w:cs="Arial"/>
          <w:b/>
          <w:bCs/>
          <w:color w:val="000000"/>
          <w:sz w:val="20"/>
          <w:szCs w:val="20"/>
        </w:rPr>
      </w:pPr>
      <w:r>
        <w:rPr>
          <w:rFonts w:ascii="Arial" w:hAnsi="Arial" w:eastAsia="Arial" w:cs="Arial"/>
          <w:b/>
          <w:bCs/>
          <w:color w:val="000000"/>
          <w:sz w:val="20"/>
          <w:szCs w:val="20"/>
        </w:rPr>
      </w:r>
      <w:r>
        <w:rPr>
          <w:rFonts w:ascii="Arial" w:hAnsi="Arial" w:cs="Arial"/>
          <w:b/>
          <w:bCs/>
          <w:color w:val="000000"/>
          <w:sz w:val="20"/>
          <w:szCs w:val="20"/>
        </w:rPr>
      </w:r>
      <w:r>
        <w:rPr>
          <w:rFonts w:ascii="Arial" w:hAnsi="Arial" w:cs="Arial"/>
          <w:b/>
          <w:bCs/>
          <w:color w:val="000000"/>
          <w:sz w:val="20"/>
          <w:szCs w:val="20"/>
        </w:rPr>
      </w:r>
    </w:p>
    <w:p>
      <w:pPr>
        <w:pStyle w:val="2059"/>
        <w:pBdr/>
        <w:spacing/>
        <w:ind/>
        <w:jc w:val="both"/>
        <w:rPr>
          <w:rFonts w:ascii="Arial" w:hAnsi="Arial" w:cs="Arial"/>
          <w:color w:val="000000"/>
          <w:sz w:val="20"/>
          <w:szCs w:val="20"/>
        </w:rPr>
      </w:pPr>
      <w:r>
        <w:rPr>
          <w:rFonts w:ascii="Arial" w:hAnsi="Arial" w:eastAsia="Arial" w:cs="Arial"/>
          <w:b/>
          <w:bCs/>
          <w:color w:val="000000"/>
          <w:sz w:val="20"/>
          <w:szCs w:val="20"/>
        </w:rPr>
        <w:t xml:space="preserve">29.3.</w:t>
      </w:r>
      <w:r>
        <w:rPr>
          <w:rFonts w:ascii="Arial" w:hAnsi="Arial" w:eastAsia="Arial" w:cs="Arial"/>
          <w:color w:val="000000"/>
          <w:sz w:val="20"/>
          <w:szCs w:val="20"/>
        </w:rPr>
        <w:t xml:space="preserve"> São de responsabilidades do fornecedor todos os encargos sociais e despesas com a entrega dos itens à Secretarias solicitantes;</w:t>
      </w:r>
      <w:r>
        <w:rPr>
          <w:rFonts w:ascii="Arial" w:hAnsi="Arial" w:cs="Arial"/>
          <w:color w:val="000000"/>
          <w:sz w:val="20"/>
          <w:szCs w:val="20"/>
        </w:rPr>
      </w:r>
      <w:r>
        <w:rPr>
          <w:rFonts w:ascii="Arial" w:hAnsi="Arial" w:cs="Arial"/>
          <w:color w:val="000000"/>
          <w:sz w:val="20"/>
          <w:szCs w:val="20"/>
        </w:rPr>
      </w:r>
    </w:p>
    <w:p>
      <w:pPr>
        <w:pStyle w:val="2059"/>
        <w:pBdr/>
        <w:spacing/>
        <w:ind w:left="284"/>
        <w:jc w:val="both"/>
        <w:rPr>
          <w:rFonts w:ascii="Arial" w:hAnsi="Arial" w:cs="Arial"/>
          <w:b/>
          <w:bCs/>
          <w:color w:val="000000"/>
          <w:sz w:val="20"/>
          <w:szCs w:val="20"/>
        </w:rPr>
      </w:pPr>
      <w:r>
        <w:rPr>
          <w:rFonts w:ascii="Arial" w:hAnsi="Arial" w:eastAsia="Arial" w:cs="Arial"/>
          <w:b/>
          <w:bCs/>
          <w:color w:val="000000"/>
          <w:sz w:val="20"/>
          <w:szCs w:val="20"/>
        </w:rPr>
      </w:r>
      <w:r>
        <w:rPr>
          <w:rFonts w:ascii="Arial" w:hAnsi="Arial" w:cs="Arial"/>
          <w:b/>
          <w:bCs/>
          <w:color w:val="000000"/>
          <w:sz w:val="20"/>
          <w:szCs w:val="20"/>
        </w:rPr>
      </w:r>
      <w:r>
        <w:rPr>
          <w:rFonts w:ascii="Arial" w:hAnsi="Arial" w:cs="Arial"/>
          <w:b/>
          <w:bCs/>
          <w:color w:val="000000"/>
          <w:sz w:val="20"/>
          <w:szCs w:val="20"/>
        </w:rPr>
      </w:r>
    </w:p>
    <w:p>
      <w:pPr>
        <w:pStyle w:val="2059"/>
        <w:pBdr/>
        <w:spacing/>
        <w:ind/>
        <w:jc w:val="both"/>
        <w:rPr>
          <w:rFonts w:ascii="Arial" w:hAnsi="Arial" w:cs="Arial"/>
          <w:color w:val="000000"/>
          <w:sz w:val="20"/>
          <w:szCs w:val="20"/>
        </w:rPr>
      </w:pPr>
      <w:r>
        <w:rPr>
          <w:rFonts w:ascii="Arial" w:hAnsi="Arial" w:eastAsia="Arial" w:cs="Arial"/>
          <w:b/>
          <w:bCs/>
          <w:color w:val="000000"/>
          <w:sz w:val="20"/>
          <w:szCs w:val="20"/>
        </w:rPr>
        <w:t xml:space="preserve">29.4.</w:t>
      </w:r>
      <w:r>
        <w:rPr>
          <w:rFonts w:ascii="Arial" w:hAnsi="Arial" w:eastAsia="Arial" w:cs="Arial"/>
          <w:color w:val="000000"/>
          <w:sz w:val="20"/>
          <w:szCs w:val="20"/>
        </w:rPr>
        <w:t xml:space="preserve"> O fornecedor será responsável pelo fornecimento </w:t>
      </w:r>
      <w:r>
        <w:rPr>
          <w:rFonts w:ascii="Arial" w:hAnsi="Arial" w:eastAsia="Arial" w:cs="Arial"/>
          <w:sz w:val="20"/>
          <w:szCs w:val="20"/>
        </w:rPr>
        <w:t xml:space="preserve">dos produtos </w:t>
      </w:r>
      <w:r>
        <w:rPr>
          <w:rFonts w:ascii="Arial" w:hAnsi="Arial" w:eastAsia="Arial" w:cs="Arial"/>
          <w:color w:val="000000"/>
          <w:sz w:val="20"/>
          <w:szCs w:val="20"/>
        </w:rPr>
        <w:t xml:space="preserve">dentro dos padrões adequados de qualidade e segurança e demais quesitos previstos na Lei n.º 8.078/90, assegurando a Contratante todos os direitos inerentes a qualidade de Consumidor decorrente do Código de Defesa do Consumidor.</w:t>
      </w:r>
      <w:r>
        <w:rPr>
          <w:rFonts w:ascii="Arial" w:hAnsi="Arial" w:cs="Arial"/>
          <w:color w:val="000000"/>
          <w:sz w:val="20"/>
          <w:szCs w:val="20"/>
        </w:rPr>
      </w:r>
      <w:r>
        <w:rPr>
          <w:rFonts w:ascii="Arial" w:hAnsi="Arial" w:cs="Arial"/>
          <w:color w:val="000000"/>
          <w:sz w:val="20"/>
          <w:szCs w:val="20"/>
        </w:rPr>
      </w:r>
    </w:p>
    <w:p>
      <w:pPr>
        <w:pStyle w:val="2059"/>
        <w:pBdr/>
        <w:spacing/>
        <w:ind w:left="284"/>
        <w:jc w:val="both"/>
        <w:rPr>
          <w:rFonts w:ascii="Arial" w:hAnsi="Arial" w:cs="Arial"/>
          <w:b/>
          <w:bCs/>
          <w:color w:val="000000"/>
          <w:sz w:val="20"/>
          <w:szCs w:val="20"/>
        </w:rPr>
      </w:pPr>
      <w:r>
        <w:rPr>
          <w:rFonts w:ascii="Arial" w:hAnsi="Arial" w:eastAsia="Arial" w:cs="Arial"/>
          <w:b/>
          <w:bCs/>
          <w:color w:val="000000"/>
          <w:sz w:val="20"/>
          <w:szCs w:val="20"/>
        </w:rPr>
      </w:r>
      <w:r>
        <w:rPr>
          <w:rFonts w:ascii="Arial" w:hAnsi="Arial" w:cs="Arial"/>
          <w:b/>
          <w:bCs/>
          <w:color w:val="000000"/>
          <w:sz w:val="20"/>
          <w:szCs w:val="20"/>
        </w:rPr>
      </w:r>
      <w:r>
        <w:rPr>
          <w:rFonts w:ascii="Arial" w:hAnsi="Arial" w:cs="Arial"/>
          <w:b/>
          <w:bCs/>
          <w:color w:val="000000"/>
          <w:sz w:val="20"/>
          <w:szCs w:val="20"/>
        </w:rPr>
      </w:r>
    </w:p>
    <w:p>
      <w:pPr>
        <w:pStyle w:val="2059"/>
        <w:pBdr/>
        <w:spacing/>
        <w:ind/>
        <w:jc w:val="both"/>
        <w:rPr>
          <w:rFonts w:ascii="Arial" w:hAnsi="Arial" w:cs="Arial"/>
          <w:color w:val="000000"/>
          <w:sz w:val="20"/>
          <w:szCs w:val="20"/>
        </w:rPr>
      </w:pPr>
      <w:r>
        <w:rPr>
          <w:rFonts w:ascii="Arial" w:hAnsi="Arial" w:eastAsia="Arial" w:cs="Arial"/>
          <w:b/>
          <w:bCs/>
          <w:color w:val="000000"/>
          <w:sz w:val="20"/>
          <w:szCs w:val="20"/>
        </w:rPr>
        <w:t xml:space="preserve">29.5. </w:t>
      </w:r>
      <w:r>
        <w:rPr>
          <w:rFonts w:ascii="Arial" w:hAnsi="Arial" w:eastAsia="Arial" w:cs="Arial"/>
          <w:color w:val="000000"/>
          <w:sz w:val="20"/>
          <w:szCs w:val="20"/>
        </w:rPr>
        <w:t xml:space="preserve">Assumir, ainda, a responsabilidade por todas as providências e obrigações estabelecidas na legislação específica de acidentes de</w:t>
      </w:r>
      <w:r>
        <w:rPr>
          <w:rFonts w:ascii="Arial" w:hAnsi="Arial" w:eastAsia="Arial" w:cs="Arial"/>
          <w:color w:val="000000"/>
          <w:sz w:val="20"/>
          <w:szCs w:val="20"/>
        </w:rPr>
        <w:t xml:space="preserve"> trabalho quando, em ocorrência da espécie, forem vítimas seus empregados no desempenho dos serviços de entrega ou em conexão com eles, ainda que ocorridos em dependências da Prefeitura de Rondonópolis-MT, Secretarias e outras Unidades Públicas Municipais;</w:t>
      </w:r>
      <w:r>
        <w:rPr>
          <w:rFonts w:ascii="Arial" w:hAnsi="Arial" w:cs="Arial"/>
          <w:color w:val="000000"/>
          <w:sz w:val="20"/>
          <w:szCs w:val="20"/>
        </w:rPr>
      </w:r>
      <w:r>
        <w:rPr>
          <w:rFonts w:ascii="Arial" w:hAnsi="Arial" w:cs="Arial"/>
          <w:color w:val="000000"/>
          <w:sz w:val="20"/>
          <w:szCs w:val="20"/>
        </w:rPr>
      </w:r>
    </w:p>
    <w:p>
      <w:pPr>
        <w:pStyle w:val="2059"/>
        <w:pBdr/>
        <w:spacing/>
        <w:ind w:left="284"/>
        <w:jc w:val="both"/>
        <w:rPr>
          <w:rFonts w:ascii="Arial" w:hAnsi="Arial" w:cs="Arial"/>
          <w:b/>
          <w:bCs/>
          <w:color w:val="000000"/>
          <w:sz w:val="20"/>
          <w:szCs w:val="20"/>
        </w:rPr>
      </w:pPr>
      <w:r>
        <w:rPr>
          <w:rFonts w:ascii="Arial" w:hAnsi="Arial" w:eastAsia="Arial" w:cs="Arial"/>
          <w:b/>
          <w:bCs/>
          <w:color w:val="000000"/>
          <w:sz w:val="20"/>
          <w:szCs w:val="20"/>
        </w:rPr>
      </w:r>
      <w:r>
        <w:rPr>
          <w:rFonts w:ascii="Arial" w:hAnsi="Arial" w:cs="Arial"/>
          <w:b/>
          <w:bCs/>
          <w:color w:val="000000"/>
          <w:sz w:val="20"/>
          <w:szCs w:val="20"/>
        </w:rPr>
      </w:r>
      <w:r>
        <w:rPr>
          <w:rFonts w:ascii="Arial" w:hAnsi="Arial" w:cs="Arial"/>
          <w:b/>
          <w:bCs/>
          <w:color w:val="000000"/>
          <w:sz w:val="20"/>
          <w:szCs w:val="20"/>
        </w:rPr>
      </w:r>
    </w:p>
    <w:p>
      <w:pPr>
        <w:pStyle w:val="2059"/>
        <w:pBdr/>
        <w:spacing/>
        <w:ind/>
        <w:jc w:val="both"/>
        <w:rPr>
          <w:rFonts w:ascii="Arial" w:hAnsi="Arial" w:cs="Arial"/>
          <w:color w:val="000000"/>
          <w:sz w:val="20"/>
          <w:szCs w:val="20"/>
        </w:rPr>
      </w:pPr>
      <w:r>
        <w:rPr>
          <w:rFonts w:ascii="Arial" w:hAnsi="Arial" w:eastAsia="Arial" w:cs="Arial"/>
          <w:b/>
          <w:bCs/>
          <w:color w:val="000000"/>
          <w:sz w:val="20"/>
          <w:szCs w:val="20"/>
        </w:rPr>
        <w:t xml:space="preserve">29.6. </w:t>
      </w:r>
      <w:r>
        <w:rPr>
          <w:rFonts w:ascii="Arial" w:hAnsi="Arial" w:eastAsia="Arial" w:cs="Arial"/>
          <w:color w:val="000000"/>
          <w:sz w:val="20"/>
          <w:szCs w:val="20"/>
        </w:rPr>
        <w:t xml:space="preserve">Substituir, as suas expensas, nos prazos estabelecidos nos itens </w:t>
      </w:r>
      <w:r>
        <w:rPr>
          <w:rFonts w:ascii="Arial" w:hAnsi="Arial" w:eastAsia="Arial" w:cs="Arial"/>
          <w:b/>
          <w:color w:val="000000"/>
          <w:sz w:val="20"/>
          <w:szCs w:val="20"/>
        </w:rPr>
        <w:t xml:space="preserve">20.1, 20.1.1, 20.2, 20.3, 20.4,</w:t>
      </w:r>
      <w:r>
        <w:rPr>
          <w:rFonts w:ascii="Arial" w:hAnsi="Arial" w:eastAsia="Arial" w:cs="Arial"/>
          <w:color w:val="000000"/>
          <w:sz w:val="20"/>
          <w:szCs w:val="20"/>
        </w:rPr>
        <w:t xml:space="preserve"> após notificação formal, os itens entregues em desacordo com as especificações deste Edital ou que apresente vicio de qualidade, isentando o Município de quaisquer ônus financeiros adicionais;</w:t>
      </w:r>
      <w:r>
        <w:rPr>
          <w:rFonts w:ascii="Arial" w:hAnsi="Arial" w:cs="Arial"/>
          <w:color w:val="000000"/>
          <w:sz w:val="20"/>
          <w:szCs w:val="20"/>
        </w:rPr>
      </w:r>
      <w:r>
        <w:rPr>
          <w:rFonts w:ascii="Arial" w:hAnsi="Arial" w:cs="Arial"/>
          <w:color w:val="000000"/>
          <w:sz w:val="20"/>
          <w:szCs w:val="20"/>
        </w:rPr>
      </w:r>
    </w:p>
    <w:p>
      <w:pPr>
        <w:pStyle w:val="2059"/>
        <w:pBdr/>
        <w:spacing/>
        <w:ind w:left="284"/>
        <w:jc w:val="both"/>
        <w:rPr>
          <w:rFonts w:ascii="Arial" w:hAnsi="Arial" w:cs="Arial"/>
          <w:b/>
          <w:bCs/>
          <w:sz w:val="20"/>
          <w:szCs w:val="20"/>
        </w:rPr>
      </w:pPr>
      <w:r>
        <w:rPr>
          <w:rFonts w:ascii="Arial" w:hAnsi="Arial" w:eastAsia="Arial" w:cs="Arial"/>
          <w:b/>
          <w:bCs/>
          <w:sz w:val="20"/>
          <w:szCs w:val="20"/>
        </w:rPr>
      </w:r>
      <w:r>
        <w:rPr>
          <w:rFonts w:ascii="Arial" w:hAnsi="Arial" w:cs="Arial"/>
          <w:b/>
          <w:bCs/>
          <w:sz w:val="20"/>
          <w:szCs w:val="20"/>
        </w:rPr>
      </w:r>
      <w:r>
        <w:rPr>
          <w:rFonts w:ascii="Arial" w:hAnsi="Arial" w:cs="Arial"/>
          <w:b/>
          <w:bCs/>
          <w:sz w:val="20"/>
          <w:szCs w:val="20"/>
        </w:rPr>
      </w:r>
    </w:p>
    <w:p>
      <w:pPr>
        <w:pStyle w:val="2059"/>
        <w:pBdr/>
        <w:spacing/>
        <w:ind/>
        <w:jc w:val="both"/>
        <w:rPr>
          <w:rFonts w:ascii="Arial" w:hAnsi="Arial" w:cs="Arial"/>
          <w:color w:val="000000"/>
          <w:sz w:val="20"/>
          <w:szCs w:val="20"/>
        </w:rPr>
      </w:pPr>
      <w:r>
        <w:rPr>
          <w:rFonts w:ascii="Arial" w:hAnsi="Arial" w:eastAsia="Arial" w:cs="Arial"/>
          <w:b/>
          <w:bCs/>
          <w:color w:val="000000"/>
          <w:sz w:val="20"/>
          <w:szCs w:val="20"/>
        </w:rPr>
        <w:t xml:space="preserve">29.7. </w:t>
      </w:r>
      <w:r>
        <w:rPr>
          <w:rFonts w:ascii="Arial" w:hAnsi="Arial" w:eastAsia="Arial" w:cs="Arial"/>
          <w:color w:val="000000"/>
          <w:sz w:val="20"/>
          <w:szCs w:val="20"/>
        </w:rPr>
        <w:t xml:space="preserve">Providenciar a imediata correção das deficiências, falhas ou irregularidades constatadas pela Contratante referente à forma de fornecimento dos produtos </w:t>
      </w:r>
      <w:r>
        <w:rPr>
          <w:rFonts w:ascii="Arial" w:hAnsi="Arial" w:eastAsia="Arial" w:cs="Arial"/>
          <w:bCs/>
          <w:color w:val="000000"/>
          <w:sz w:val="20"/>
          <w:szCs w:val="20"/>
        </w:rPr>
        <w:t xml:space="preserve">para o atendimento do</w:t>
      </w:r>
      <w:r>
        <w:rPr>
          <w:rFonts w:ascii="Arial" w:hAnsi="Arial" w:eastAsia="Arial" w:cs="Arial"/>
          <w:color w:val="000000"/>
          <w:sz w:val="20"/>
          <w:szCs w:val="20"/>
        </w:rPr>
        <w:t xml:space="preserve"> objeto licitado e ao cumprimento das demais obrigações assumidas.</w:t>
      </w:r>
      <w:r>
        <w:rPr>
          <w:rFonts w:ascii="Arial" w:hAnsi="Arial" w:cs="Arial"/>
          <w:color w:val="000000"/>
          <w:sz w:val="20"/>
          <w:szCs w:val="20"/>
        </w:rPr>
      </w:r>
      <w:r>
        <w:rPr>
          <w:rFonts w:ascii="Arial" w:hAnsi="Arial" w:cs="Arial"/>
          <w:color w:val="000000"/>
          <w:sz w:val="20"/>
          <w:szCs w:val="20"/>
        </w:rPr>
      </w:r>
    </w:p>
    <w:p>
      <w:pPr>
        <w:pStyle w:val="2059"/>
        <w:pBdr/>
        <w:spacing/>
        <w:ind w:left="284"/>
        <w:jc w:val="both"/>
        <w:rPr>
          <w:rFonts w:ascii="Arial" w:hAnsi="Arial" w:cs="Arial"/>
          <w:b/>
          <w:bCs/>
          <w:color w:val="000000"/>
          <w:sz w:val="20"/>
          <w:szCs w:val="20"/>
        </w:rPr>
      </w:pPr>
      <w:r>
        <w:rPr>
          <w:rFonts w:ascii="Arial" w:hAnsi="Arial" w:eastAsia="Arial" w:cs="Arial"/>
          <w:b/>
          <w:bCs/>
          <w:color w:val="000000"/>
          <w:sz w:val="20"/>
          <w:szCs w:val="20"/>
        </w:rPr>
      </w:r>
      <w:r>
        <w:rPr>
          <w:rFonts w:ascii="Arial" w:hAnsi="Arial" w:cs="Arial"/>
          <w:b/>
          <w:bCs/>
          <w:color w:val="000000"/>
          <w:sz w:val="20"/>
          <w:szCs w:val="20"/>
        </w:rPr>
      </w:r>
      <w:r>
        <w:rPr>
          <w:rFonts w:ascii="Arial" w:hAnsi="Arial" w:cs="Arial"/>
          <w:b/>
          <w:bCs/>
          <w:color w:val="000000"/>
          <w:sz w:val="20"/>
          <w:szCs w:val="20"/>
        </w:rPr>
      </w:r>
    </w:p>
    <w:p>
      <w:pPr>
        <w:pStyle w:val="2059"/>
        <w:pBdr/>
        <w:spacing/>
        <w:ind/>
        <w:jc w:val="both"/>
        <w:rPr>
          <w:rFonts w:ascii="Arial" w:hAnsi="Arial" w:cs="Arial"/>
          <w:color w:val="000000"/>
          <w:sz w:val="20"/>
          <w:szCs w:val="20"/>
        </w:rPr>
      </w:pPr>
      <w:r>
        <w:rPr>
          <w:rFonts w:ascii="Arial" w:hAnsi="Arial" w:eastAsia="Arial" w:cs="Arial"/>
          <w:b/>
          <w:bCs/>
          <w:color w:val="000000"/>
          <w:sz w:val="20"/>
          <w:szCs w:val="20"/>
        </w:rPr>
        <w:t xml:space="preserve">29.8. </w:t>
      </w:r>
      <w:r>
        <w:rPr>
          <w:rFonts w:ascii="Arial" w:hAnsi="Arial" w:eastAsia="Arial" w:cs="Arial"/>
          <w:color w:val="000000"/>
          <w:sz w:val="20"/>
          <w:szCs w:val="20"/>
        </w:rPr>
        <w:t xml:space="preserve">No ato da entrega dos produtos </w:t>
      </w:r>
      <w:r>
        <w:rPr>
          <w:rFonts w:ascii="Arial" w:hAnsi="Arial" w:eastAsia="Arial" w:cs="Arial"/>
          <w:bCs/>
          <w:color w:val="000000"/>
          <w:sz w:val="20"/>
          <w:szCs w:val="20"/>
        </w:rPr>
        <w:t xml:space="preserve">para o atendimento do objeto</w:t>
      </w:r>
      <w:r>
        <w:rPr>
          <w:rFonts w:ascii="Arial" w:hAnsi="Arial" w:eastAsia="Arial" w:cs="Arial"/>
          <w:color w:val="000000"/>
          <w:sz w:val="20"/>
          <w:szCs w:val="20"/>
        </w:rPr>
        <w:t xml:space="preserve">, a Contratada, de posse da Nota de Empenho ou documento equivalente, deverá apresentar a Nota Fiscal/Fatura correspondente ao fornecimento do produto ao setor competente, a qual será atestada por servidor designado pela Contratante;</w:t>
      </w:r>
      <w:r>
        <w:rPr>
          <w:rFonts w:ascii="Arial" w:hAnsi="Arial" w:cs="Arial"/>
          <w:color w:val="000000"/>
          <w:sz w:val="20"/>
          <w:szCs w:val="20"/>
        </w:rPr>
      </w:r>
      <w:r>
        <w:rPr>
          <w:rFonts w:ascii="Arial" w:hAnsi="Arial" w:cs="Arial"/>
          <w:color w:val="000000"/>
          <w:sz w:val="20"/>
          <w:szCs w:val="20"/>
        </w:rPr>
      </w:r>
    </w:p>
    <w:p>
      <w:pPr>
        <w:pStyle w:val="2059"/>
        <w:pBdr/>
        <w:spacing/>
        <w:ind w:left="284"/>
        <w:jc w:val="both"/>
        <w:rPr>
          <w:rFonts w:ascii="Arial" w:hAnsi="Arial" w:cs="Arial"/>
          <w:b/>
          <w:bCs/>
          <w:color w:val="000000"/>
          <w:sz w:val="20"/>
          <w:szCs w:val="20"/>
        </w:rPr>
      </w:pPr>
      <w:r>
        <w:rPr>
          <w:rFonts w:ascii="Arial" w:hAnsi="Arial" w:eastAsia="Arial" w:cs="Arial"/>
          <w:b/>
          <w:bCs/>
          <w:color w:val="000000"/>
          <w:sz w:val="20"/>
          <w:szCs w:val="20"/>
        </w:rPr>
      </w:r>
      <w:r>
        <w:rPr>
          <w:rFonts w:ascii="Arial" w:hAnsi="Arial" w:cs="Arial"/>
          <w:b/>
          <w:bCs/>
          <w:color w:val="000000"/>
          <w:sz w:val="20"/>
          <w:szCs w:val="20"/>
        </w:rPr>
      </w:r>
      <w:r>
        <w:rPr>
          <w:rFonts w:ascii="Arial" w:hAnsi="Arial" w:cs="Arial"/>
          <w:b/>
          <w:bCs/>
          <w:color w:val="000000"/>
          <w:sz w:val="20"/>
          <w:szCs w:val="20"/>
        </w:rPr>
      </w:r>
    </w:p>
    <w:p>
      <w:pPr>
        <w:pStyle w:val="2059"/>
        <w:pBdr/>
        <w:spacing/>
        <w:ind/>
        <w:jc w:val="both"/>
        <w:rPr>
          <w:rFonts w:ascii="Arial" w:hAnsi="Arial" w:cs="Arial"/>
          <w:color w:val="000000"/>
          <w:sz w:val="20"/>
          <w:szCs w:val="20"/>
        </w:rPr>
      </w:pPr>
      <w:r>
        <w:rPr>
          <w:rFonts w:ascii="Arial" w:hAnsi="Arial" w:eastAsia="Arial" w:cs="Arial"/>
          <w:b/>
          <w:bCs/>
          <w:color w:val="000000"/>
          <w:sz w:val="20"/>
          <w:szCs w:val="20"/>
        </w:rPr>
        <w:t xml:space="preserve">29.9. </w:t>
      </w:r>
      <w:r>
        <w:rPr>
          <w:rFonts w:ascii="Arial" w:hAnsi="Arial" w:eastAsia="Arial" w:cs="Arial"/>
          <w:color w:val="000000"/>
          <w:sz w:val="20"/>
          <w:szCs w:val="20"/>
        </w:rPr>
        <w:t xml:space="preserve">Comunicar, por escrito e imediatamente, ao gestor do contrato, qualquer motivo que impossibilite o fornecimento do objeto licitado, nas condições pactuadas.</w:t>
      </w:r>
      <w:r>
        <w:rPr>
          <w:rFonts w:ascii="Arial" w:hAnsi="Arial" w:cs="Arial"/>
          <w:color w:val="000000"/>
          <w:sz w:val="20"/>
          <w:szCs w:val="20"/>
        </w:rPr>
      </w:r>
      <w:r>
        <w:rPr>
          <w:rFonts w:ascii="Arial" w:hAnsi="Arial" w:cs="Arial"/>
          <w:color w:val="000000"/>
          <w:sz w:val="20"/>
          <w:szCs w:val="20"/>
        </w:rPr>
      </w:r>
    </w:p>
    <w:p>
      <w:pPr>
        <w:pStyle w:val="2059"/>
        <w:pBdr/>
        <w:spacing/>
        <w:ind w:left="284"/>
        <w:jc w:val="both"/>
        <w:rPr>
          <w:rFonts w:ascii="Arial" w:hAnsi="Arial" w:cs="Arial"/>
          <w:b/>
          <w:bCs/>
          <w:color w:val="000000"/>
          <w:sz w:val="20"/>
          <w:szCs w:val="20"/>
        </w:rPr>
      </w:pPr>
      <w:r>
        <w:rPr>
          <w:rFonts w:ascii="Arial" w:hAnsi="Arial" w:eastAsia="Arial" w:cs="Arial"/>
          <w:b/>
          <w:bCs/>
          <w:color w:val="000000"/>
          <w:sz w:val="20"/>
          <w:szCs w:val="20"/>
        </w:rPr>
      </w:r>
      <w:r>
        <w:rPr>
          <w:rFonts w:ascii="Arial" w:hAnsi="Arial" w:cs="Arial"/>
          <w:b/>
          <w:bCs/>
          <w:color w:val="000000"/>
          <w:sz w:val="20"/>
          <w:szCs w:val="20"/>
        </w:rPr>
      </w:r>
      <w:r>
        <w:rPr>
          <w:rFonts w:ascii="Arial" w:hAnsi="Arial" w:cs="Arial"/>
          <w:b/>
          <w:bCs/>
          <w:color w:val="000000"/>
          <w:sz w:val="20"/>
          <w:szCs w:val="20"/>
        </w:rPr>
      </w:r>
    </w:p>
    <w:p>
      <w:pPr>
        <w:pStyle w:val="2059"/>
        <w:pBdr/>
        <w:spacing/>
        <w:ind/>
        <w:jc w:val="both"/>
        <w:rPr>
          <w:rFonts w:ascii="Arial" w:hAnsi="Arial" w:cs="Arial"/>
          <w:color w:val="000000"/>
          <w:sz w:val="20"/>
          <w:szCs w:val="20"/>
        </w:rPr>
      </w:pPr>
      <w:r>
        <w:rPr>
          <w:rFonts w:ascii="Arial" w:hAnsi="Arial" w:eastAsia="Arial" w:cs="Arial"/>
          <w:b/>
          <w:bCs/>
          <w:color w:val="000000"/>
          <w:sz w:val="20"/>
          <w:szCs w:val="20"/>
        </w:rPr>
        <w:t xml:space="preserve">29.10. </w:t>
      </w:r>
      <w:r>
        <w:rPr>
          <w:rFonts w:ascii="Arial" w:hAnsi="Arial" w:eastAsia="Arial" w:cs="Arial"/>
          <w:color w:val="000000"/>
          <w:sz w:val="20"/>
          <w:szCs w:val="20"/>
        </w:rPr>
        <w:t xml:space="preserve">Os preços deverão ser cotados em moeda corrente nacional, expressos em algarismos e por extenso, sem previsão inflacionária. Em caso de divergência entre os valores unitários e totais, serão considerados os primeiros, e entre</w:t>
      </w:r>
      <w:r>
        <w:rPr>
          <w:rFonts w:ascii="Arial" w:hAnsi="Arial" w:eastAsia="Arial" w:cs="Arial"/>
          <w:color w:val="000000"/>
          <w:sz w:val="20"/>
          <w:szCs w:val="20"/>
        </w:rPr>
        <w:t xml:space="preserve"> os valores expressos em algarismo e por extenso, será considerado este último, e estar inclusa, toda e quaisquer despesas, tais como: fretes, encargos sociais e trabalhistas, seguros, tributos diretos e indiretos incidentes sobre o fornecimento do objeto.</w:t>
      </w:r>
      <w:r>
        <w:rPr>
          <w:rFonts w:ascii="Arial" w:hAnsi="Arial" w:cs="Arial"/>
          <w:color w:val="000000"/>
          <w:sz w:val="20"/>
          <w:szCs w:val="20"/>
        </w:rPr>
      </w:r>
      <w:r>
        <w:rPr>
          <w:rFonts w:ascii="Arial" w:hAnsi="Arial" w:cs="Arial"/>
          <w:color w:val="000000"/>
          <w:sz w:val="20"/>
          <w:szCs w:val="20"/>
        </w:rPr>
      </w:r>
    </w:p>
    <w:p>
      <w:pPr>
        <w:pStyle w:val="2059"/>
        <w:pBdr/>
        <w:spacing/>
        <w:ind w:left="284"/>
        <w:jc w:val="both"/>
        <w:rPr>
          <w:rFonts w:ascii="Arial" w:hAnsi="Arial" w:cs="Arial"/>
          <w:b/>
          <w:bCs/>
          <w:color w:val="000000"/>
          <w:sz w:val="20"/>
          <w:szCs w:val="20"/>
        </w:rPr>
      </w:pPr>
      <w:r>
        <w:rPr>
          <w:rFonts w:ascii="Arial" w:hAnsi="Arial" w:eastAsia="Arial" w:cs="Arial"/>
          <w:b/>
          <w:bCs/>
          <w:color w:val="000000"/>
          <w:sz w:val="20"/>
          <w:szCs w:val="20"/>
        </w:rPr>
      </w:r>
      <w:r>
        <w:rPr>
          <w:rFonts w:ascii="Arial" w:hAnsi="Arial" w:cs="Arial"/>
          <w:b/>
          <w:bCs/>
          <w:color w:val="000000"/>
          <w:sz w:val="20"/>
          <w:szCs w:val="20"/>
        </w:rPr>
      </w:r>
      <w:r>
        <w:rPr>
          <w:rFonts w:ascii="Arial" w:hAnsi="Arial" w:cs="Arial"/>
          <w:b/>
          <w:bCs/>
          <w:color w:val="000000"/>
          <w:sz w:val="20"/>
          <w:szCs w:val="20"/>
        </w:rPr>
      </w:r>
    </w:p>
    <w:p>
      <w:pPr>
        <w:pStyle w:val="2059"/>
        <w:pBdr/>
        <w:spacing/>
        <w:ind/>
        <w:jc w:val="both"/>
        <w:rPr>
          <w:rFonts w:ascii="Arial" w:hAnsi="Arial" w:cs="Arial"/>
          <w:color w:val="000000"/>
          <w:sz w:val="20"/>
          <w:szCs w:val="20"/>
        </w:rPr>
      </w:pPr>
      <w:r>
        <w:rPr>
          <w:rFonts w:ascii="Arial" w:hAnsi="Arial" w:eastAsia="Arial" w:cs="Arial"/>
          <w:b/>
          <w:bCs/>
          <w:color w:val="000000"/>
          <w:sz w:val="20"/>
          <w:szCs w:val="20"/>
        </w:rPr>
        <w:t xml:space="preserve">29.11. </w:t>
      </w:r>
      <w:r>
        <w:rPr>
          <w:rFonts w:ascii="Arial" w:hAnsi="Arial" w:eastAsia="Arial" w:cs="Arial"/>
          <w:color w:val="000000"/>
          <w:sz w:val="20"/>
          <w:szCs w:val="20"/>
        </w:rPr>
        <w:t xml:space="preserve">O aceite/aprovação do (s) objeto licitado (s) pela s) Secretaria (s) solicitante s) não exclui a responsabilidade civil do forn</w:t>
      </w:r>
      <w:r>
        <w:rPr>
          <w:rFonts w:ascii="Arial" w:hAnsi="Arial" w:eastAsia="Arial" w:cs="Arial"/>
          <w:color w:val="000000"/>
          <w:sz w:val="20"/>
          <w:szCs w:val="20"/>
        </w:rPr>
        <w:t xml:space="preserve">ecedor por vícios de quantidade ou qualidade do(s) produto(s) ou disparidades com as especificações estabelecidas no edital e seus anexos, verificadas, posteriormente, garantindo-se ao órgão licitante as faculdades previstas no art. 18 da Lei n.º 8.078/90;</w:t>
      </w:r>
      <w:r>
        <w:rPr>
          <w:rFonts w:ascii="Arial" w:hAnsi="Arial" w:cs="Arial"/>
          <w:color w:val="000000"/>
          <w:sz w:val="20"/>
          <w:szCs w:val="20"/>
        </w:rPr>
      </w:r>
      <w:r>
        <w:rPr>
          <w:rFonts w:ascii="Arial" w:hAnsi="Arial" w:cs="Arial"/>
          <w:color w:val="000000"/>
          <w:sz w:val="20"/>
          <w:szCs w:val="20"/>
        </w:rPr>
      </w:r>
    </w:p>
    <w:p>
      <w:pPr>
        <w:pStyle w:val="2059"/>
        <w:pBdr/>
        <w:spacing/>
        <w:ind w:left="284"/>
        <w:jc w:val="both"/>
        <w:rPr>
          <w:rFonts w:ascii="Arial" w:hAnsi="Arial" w:cs="Arial"/>
          <w:b/>
          <w:bCs/>
          <w:color w:val="000000"/>
          <w:sz w:val="20"/>
          <w:szCs w:val="20"/>
        </w:rPr>
      </w:pPr>
      <w:r>
        <w:rPr>
          <w:rFonts w:ascii="Arial" w:hAnsi="Arial" w:eastAsia="Arial" w:cs="Arial"/>
          <w:b/>
          <w:bCs/>
          <w:color w:val="000000"/>
          <w:sz w:val="20"/>
          <w:szCs w:val="20"/>
        </w:rPr>
      </w:r>
      <w:r>
        <w:rPr>
          <w:rFonts w:ascii="Arial" w:hAnsi="Arial" w:cs="Arial"/>
          <w:b/>
          <w:bCs/>
          <w:color w:val="000000"/>
          <w:sz w:val="20"/>
          <w:szCs w:val="20"/>
        </w:rPr>
      </w:r>
      <w:r>
        <w:rPr>
          <w:rFonts w:ascii="Arial" w:hAnsi="Arial" w:cs="Arial"/>
          <w:b/>
          <w:bCs/>
          <w:color w:val="000000"/>
          <w:sz w:val="20"/>
          <w:szCs w:val="20"/>
        </w:rPr>
      </w:r>
    </w:p>
    <w:p>
      <w:pPr>
        <w:pStyle w:val="2059"/>
        <w:pBdr/>
        <w:spacing/>
        <w:ind/>
        <w:jc w:val="both"/>
        <w:rPr>
          <w:rFonts w:ascii="Arial" w:hAnsi="Arial" w:cs="Arial"/>
          <w:color w:val="000000"/>
          <w:sz w:val="20"/>
          <w:szCs w:val="20"/>
        </w:rPr>
      </w:pPr>
      <w:r>
        <w:rPr>
          <w:rFonts w:ascii="Arial" w:hAnsi="Arial" w:eastAsia="Arial" w:cs="Arial"/>
          <w:b/>
          <w:bCs/>
          <w:color w:val="000000"/>
          <w:sz w:val="20"/>
          <w:szCs w:val="20"/>
        </w:rPr>
        <w:t xml:space="preserve">29.12.</w:t>
      </w:r>
      <w:r>
        <w:rPr>
          <w:rFonts w:ascii="Arial" w:hAnsi="Arial" w:eastAsia="Arial" w:cs="Arial"/>
          <w:color w:val="000000"/>
          <w:sz w:val="20"/>
          <w:szCs w:val="20"/>
        </w:rPr>
        <w:t xml:space="preserve"> Transportar e entregar os produtos devidamente embalados e identificados conforme espécie e quantidade, no local indicado pela Secretaria sol</w:t>
      </w:r>
      <w:r>
        <w:rPr>
          <w:rFonts w:ascii="Arial" w:hAnsi="Arial" w:eastAsia="Arial" w:cs="Arial"/>
          <w:color w:val="000000"/>
          <w:sz w:val="20"/>
          <w:szCs w:val="20"/>
        </w:rPr>
        <w:t xml:space="preserve">icitante, em dias e horários previamente estabelecidos, não se interrompendo ou suspendendo sem que haja anuência da contratante, os produtos deverão ser entregues dentro das condições e preços ajustados em sua proposta e nos prazos previstos neste Edital.</w:t>
      </w:r>
      <w:r>
        <w:rPr>
          <w:rFonts w:ascii="Arial" w:hAnsi="Arial" w:cs="Arial"/>
          <w:color w:val="000000"/>
          <w:sz w:val="20"/>
          <w:szCs w:val="20"/>
        </w:rPr>
      </w:r>
      <w:r>
        <w:rPr>
          <w:rFonts w:ascii="Arial" w:hAnsi="Arial" w:cs="Arial"/>
          <w:color w:val="000000"/>
          <w:sz w:val="20"/>
          <w:szCs w:val="20"/>
        </w:rPr>
      </w:r>
    </w:p>
    <w:p>
      <w:pPr>
        <w:pStyle w:val="2059"/>
        <w:pBdr/>
        <w:spacing/>
        <w:ind w:left="284"/>
        <w:jc w:val="both"/>
        <w:rPr>
          <w:rFonts w:ascii="Arial" w:hAnsi="Arial" w:cs="Arial"/>
          <w:color w:val="000000"/>
          <w:sz w:val="20"/>
          <w:szCs w:val="20"/>
        </w:rPr>
      </w:pPr>
      <w:r>
        <w:rPr>
          <w:rFonts w:ascii="Arial" w:hAnsi="Arial" w:eastAsia="Arial" w:cs="Arial"/>
          <w:color w:val="000000"/>
          <w:sz w:val="20"/>
          <w:szCs w:val="20"/>
        </w:rPr>
      </w:r>
      <w:r>
        <w:rPr>
          <w:rFonts w:ascii="Arial" w:hAnsi="Arial" w:cs="Arial"/>
          <w:color w:val="000000"/>
          <w:sz w:val="20"/>
          <w:szCs w:val="20"/>
        </w:rPr>
      </w:r>
      <w:r>
        <w:rPr>
          <w:rFonts w:ascii="Arial" w:hAnsi="Arial" w:cs="Arial"/>
          <w:color w:val="000000"/>
          <w:sz w:val="20"/>
          <w:szCs w:val="20"/>
        </w:rPr>
      </w:r>
    </w:p>
    <w:p>
      <w:pPr>
        <w:pStyle w:val="2059"/>
        <w:pBdr/>
        <w:spacing/>
        <w:ind/>
        <w:jc w:val="both"/>
        <w:rPr>
          <w:rFonts w:ascii="Arial" w:hAnsi="Arial" w:cs="Arial"/>
          <w:color w:val="000000"/>
          <w:sz w:val="20"/>
          <w:szCs w:val="20"/>
        </w:rPr>
      </w:pPr>
      <w:r>
        <w:rPr>
          <w:rFonts w:ascii="Arial" w:hAnsi="Arial" w:eastAsia="Arial" w:cs="Arial"/>
          <w:b/>
          <w:color w:val="000000"/>
          <w:sz w:val="20"/>
          <w:szCs w:val="20"/>
          <w:shd w:val="clear" w:color="auto" w:fill="ffffff"/>
        </w:rPr>
        <w:t xml:space="preserve">29.13.</w:t>
      </w:r>
      <w:r>
        <w:rPr>
          <w:rFonts w:ascii="Arial" w:hAnsi="Arial" w:eastAsia="Arial" w:cs="Arial"/>
          <w:color w:val="000000"/>
          <w:sz w:val="20"/>
          <w:szCs w:val="20"/>
          <w:shd w:val="clear" w:color="auto" w:fill="ffffff"/>
        </w:rPr>
        <w:t xml:space="preserve"> Co</w:t>
      </w:r>
      <w:r>
        <w:rPr>
          <w:rFonts w:ascii="Arial" w:hAnsi="Arial" w:eastAsia="Arial" w:cs="Arial"/>
          <w:color w:val="000000"/>
          <w:sz w:val="20"/>
          <w:szCs w:val="20"/>
          <w:shd w:val="clear" w:color="auto" w:fill="ffffff"/>
        </w:rPr>
        <w:t xml:space="preserve">nceder livre acesso aos documentos e registros contábeis da empresa, referente ao objeto da licitação, para os servidores ou empregados do órgão ou entidade contratante e dos órgãos de controle interno e externo, conforme Art. 169, § 2º da Lei 14.133/2021.</w:t>
      </w:r>
      <w:r>
        <w:rPr>
          <w:rFonts w:ascii="Arial" w:hAnsi="Arial" w:eastAsia="Arial" w:cs="Arial"/>
          <w:color w:val="000000"/>
          <w:sz w:val="20"/>
          <w:szCs w:val="20"/>
        </w:rPr>
        <w:t xml:space="preserve"> </w:t>
      </w:r>
      <w:r>
        <w:rPr>
          <w:rFonts w:ascii="Arial" w:hAnsi="Arial" w:cs="Arial"/>
          <w:color w:val="000000"/>
          <w:sz w:val="20"/>
          <w:szCs w:val="20"/>
        </w:rPr>
      </w:r>
      <w:r>
        <w:rPr>
          <w:rFonts w:ascii="Arial" w:hAnsi="Arial" w:cs="Arial"/>
          <w:color w:val="000000"/>
          <w:sz w:val="20"/>
          <w:szCs w:val="20"/>
        </w:rPr>
      </w:r>
    </w:p>
    <w:p>
      <w:pPr>
        <w:pStyle w:val="2059"/>
        <w:pBdr/>
        <w:spacing/>
        <w:ind w:left="284"/>
        <w:jc w:val="both"/>
        <w:rPr>
          <w:rFonts w:ascii="Arial" w:hAnsi="Arial" w:cs="Arial"/>
          <w:color w:val="000000"/>
          <w:sz w:val="20"/>
          <w:szCs w:val="20"/>
        </w:rPr>
      </w:pPr>
      <w:r>
        <w:rPr>
          <w:rFonts w:ascii="Arial" w:hAnsi="Arial" w:eastAsia="Arial" w:cs="Arial"/>
          <w:color w:val="000000"/>
          <w:sz w:val="20"/>
          <w:szCs w:val="20"/>
        </w:rPr>
      </w:r>
      <w:r>
        <w:rPr>
          <w:rFonts w:ascii="Arial" w:hAnsi="Arial" w:cs="Arial"/>
          <w:color w:val="000000"/>
          <w:sz w:val="20"/>
          <w:szCs w:val="20"/>
        </w:rPr>
      </w:r>
      <w:r>
        <w:rPr>
          <w:rFonts w:ascii="Arial" w:hAnsi="Arial" w:cs="Arial"/>
          <w:color w:val="000000"/>
          <w:sz w:val="20"/>
          <w:szCs w:val="20"/>
        </w:rPr>
      </w:r>
    </w:p>
    <w:p>
      <w:pPr>
        <w:pStyle w:val="887"/>
        <w:numPr>
          <w:ilvl w:val="0"/>
          <w:numId w:val="0"/>
        </w:numPr>
        <w:pBdr/>
        <w:spacing/>
        <w:ind/>
        <w:jc w:val="both"/>
        <w:outlineLvl w:val="0"/>
        <w:rPr>
          <w:rFonts w:ascii="Arial" w:hAnsi="Arial" w:cs="Arial"/>
          <w:b/>
          <w:bCs/>
          <w:color w:val="000000"/>
        </w:rPr>
      </w:pPr>
      <w:r/>
      <w:bookmarkStart w:id="92" w:name="_Toc29"/>
      <w:r>
        <w:rPr>
          <w:rFonts w:ascii="Arial" w:hAnsi="Arial" w:eastAsia="Arial" w:cs="Arial"/>
          <w:b/>
          <w:bCs/>
          <w:color w:val="000000"/>
        </w:rPr>
        <w:t xml:space="preserve">30.</w:t>
      </w:r>
      <w:r>
        <w:rPr>
          <w:rFonts w:ascii="Arial" w:hAnsi="Arial" w:eastAsia="Arial" w:cs="Arial"/>
          <w:b/>
          <w:color w:val="000000"/>
        </w:rPr>
        <w:t xml:space="preserve"> </w:t>
      </w:r>
      <w:r>
        <w:rPr>
          <w:rFonts w:ascii="Arial" w:hAnsi="Arial" w:eastAsia="Arial" w:cs="Arial"/>
          <w:b/>
          <w:bCs/>
        </w:rPr>
        <w:t xml:space="preserve">DAS OBRIGAÇÕES DA CONTRATANTE</w:t>
      </w:r>
      <w:r>
        <w:rPr>
          <w:rFonts w:ascii="Arial" w:hAnsi="Arial" w:eastAsia="Arial" w:cs="Arial"/>
          <w:b/>
          <w:bCs/>
          <w:color w:val="000000"/>
        </w:rPr>
        <w:t xml:space="preserve">:</w:t>
      </w:r>
      <w:bookmarkEnd w:id="92"/>
      <w:r>
        <w:rPr>
          <w:rFonts w:ascii="Arial" w:hAnsi="Arial" w:cs="Arial"/>
          <w:b/>
          <w:bCs/>
          <w:color w:val="000000"/>
        </w:rPr>
      </w:r>
      <w:r>
        <w:rPr>
          <w:rFonts w:ascii="Arial" w:hAnsi="Arial" w:cs="Arial"/>
          <w:b/>
          <w:bCs/>
          <w:color w:val="000000"/>
        </w:rPr>
      </w:r>
    </w:p>
    <w:p>
      <w:pPr>
        <w:pStyle w:val="2059"/>
        <w:pBdr/>
        <w:spacing/>
        <w:ind/>
        <w:jc w:val="both"/>
        <w:rPr>
          <w:rFonts w:ascii="Arial" w:hAnsi="Arial" w:cs="Arial"/>
          <w:sz w:val="20"/>
          <w:szCs w:val="20"/>
        </w:rPr>
      </w:pPr>
      <w:r>
        <w:rPr>
          <w:rFonts w:ascii="Arial" w:hAnsi="Arial" w:eastAsia="Arial" w:cs="Arial"/>
          <w:sz w:val="20"/>
          <w:szCs w:val="20"/>
        </w:rPr>
      </w:r>
      <w:r>
        <w:rPr>
          <w:rFonts w:ascii="Arial" w:hAnsi="Arial" w:cs="Arial"/>
          <w:sz w:val="20"/>
          <w:szCs w:val="20"/>
        </w:rPr>
      </w:r>
      <w:r>
        <w:rPr>
          <w:rFonts w:ascii="Arial" w:hAnsi="Arial" w:cs="Arial"/>
          <w:sz w:val="20"/>
          <w:szCs w:val="20"/>
        </w:rPr>
      </w:r>
    </w:p>
    <w:p>
      <w:pPr>
        <w:pStyle w:val="2059"/>
        <w:pBdr/>
        <w:spacing/>
        <w:ind/>
        <w:jc w:val="both"/>
        <w:rPr>
          <w:rFonts w:ascii="Arial" w:hAnsi="Arial" w:cs="Arial"/>
          <w:sz w:val="20"/>
          <w:szCs w:val="20"/>
        </w:rPr>
      </w:pPr>
      <w:r>
        <w:rPr>
          <w:rFonts w:ascii="Arial" w:hAnsi="Arial" w:eastAsia="Arial" w:cs="Arial"/>
          <w:b/>
          <w:bCs/>
          <w:sz w:val="20"/>
          <w:szCs w:val="20"/>
        </w:rPr>
        <w:t xml:space="preserve">30.1. </w:t>
      </w:r>
      <w:r>
        <w:rPr>
          <w:rFonts w:ascii="Arial" w:hAnsi="Arial" w:eastAsia="Arial" w:cs="Arial"/>
          <w:sz w:val="20"/>
          <w:szCs w:val="20"/>
        </w:rPr>
        <w:t xml:space="preserve">Notificar a licitante vencedora a assinar o contrato, ou outro documento equivalente, no prazo de até 05 (cinco) dias úteis e comunicar demais informações que achar pertinentes para o bom cumprimento do objeto;</w:t>
      </w:r>
      <w:r>
        <w:rPr>
          <w:rFonts w:ascii="Arial" w:hAnsi="Arial" w:cs="Arial"/>
          <w:sz w:val="20"/>
          <w:szCs w:val="20"/>
        </w:rPr>
      </w:r>
      <w:r>
        <w:rPr>
          <w:rFonts w:ascii="Arial" w:hAnsi="Arial" w:cs="Arial"/>
          <w:sz w:val="20"/>
          <w:szCs w:val="20"/>
        </w:rPr>
      </w:r>
    </w:p>
    <w:p>
      <w:pPr>
        <w:pStyle w:val="2059"/>
        <w:pBdr/>
        <w:spacing/>
        <w:ind w:left="284"/>
        <w:jc w:val="both"/>
        <w:rPr>
          <w:rFonts w:ascii="Arial" w:hAnsi="Arial" w:cs="Arial"/>
          <w:b/>
          <w:bCs/>
          <w:sz w:val="20"/>
          <w:szCs w:val="20"/>
        </w:rPr>
      </w:pPr>
      <w:r>
        <w:rPr>
          <w:rFonts w:ascii="Arial" w:hAnsi="Arial" w:eastAsia="Arial" w:cs="Arial"/>
          <w:b/>
          <w:bCs/>
          <w:sz w:val="20"/>
          <w:szCs w:val="20"/>
        </w:rPr>
      </w:r>
      <w:r>
        <w:rPr>
          <w:rFonts w:ascii="Arial" w:hAnsi="Arial" w:cs="Arial"/>
          <w:b/>
          <w:bCs/>
          <w:sz w:val="20"/>
          <w:szCs w:val="20"/>
        </w:rPr>
      </w:r>
      <w:r>
        <w:rPr>
          <w:rFonts w:ascii="Arial" w:hAnsi="Arial" w:cs="Arial"/>
          <w:b/>
          <w:bCs/>
          <w:sz w:val="20"/>
          <w:szCs w:val="20"/>
        </w:rPr>
      </w:r>
    </w:p>
    <w:p>
      <w:pPr>
        <w:pStyle w:val="2059"/>
        <w:pBdr/>
        <w:spacing/>
        <w:ind/>
        <w:jc w:val="both"/>
        <w:rPr>
          <w:rFonts w:ascii="Arial" w:hAnsi="Arial" w:cs="Arial"/>
          <w:sz w:val="20"/>
          <w:szCs w:val="20"/>
        </w:rPr>
      </w:pPr>
      <w:r>
        <w:rPr>
          <w:rFonts w:ascii="Arial" w:hAnsi="Arial" w:eastAsia="Arial" w:cs="Arial"/>
          <w:b/>
          <w:bCs/>
          <w:sz w:val="20"/>
          <w:szCs w:val="20"/>
        </w:rPr>
        <w:t xml:space="preserve">30.2.</w:t>
      </w:r>
      <w:r>
        <w:rPr>
          <w:rFonts w:ascii="Arial" w:hAnsi="Arial" w:eastAsia="Arial" w:cs="Arial"/>
          <w:sz w:val="20"/>
          <w:szCs w:val="20"/>
        </w:rPr>
        <w:t xml:space="preserve"> Proporcionar todas as facilidades indispensáveis à boa execução das obrigações contratuais, inclusive permitindo o acesso de empregados, prepostos ou representantes da contratada em suas dependências.</w:t>
      </w:r>
      <w:r>
        <w:rPr>
          <w:rFonts w:ascii="Arial" w:hAnsi="Arial" w:cs="Arial"/>
          <w:sz w:val="20"/>
          <w:szCs w:val="20"/>
        </w:rPr>
      </w:r>
      <w:r>
        <w:rPr>
          <w:rFonts w:ascii="Arial" w:hAnsi="Arial" w:cs="Arial"/>
          <w:sz w:val="20"/>
          <w:szCs w:val="20"/>
        </w:rPr>
      </w:r>
    </w:p>
    <w:p>
      <w:pPr>
        <w:pStyle w:val="2059"/>
        <w:pBdr/>
        <w:spacing/>
        <w:ind w:left="284"/>
        <w:jc w:val="both"/>
        <w:rPr>
          <w:rFonts w:ascii="Arial" w:hAnsi="Arial" w:cs="Arial"/>
          <w:b/>
          <w:bCs/>
          <w:sz w:val="20"/>
          <w:szCs w:val="20"/>
        </w:rPr>
      </w:pPr>
      <w:r>
        <w:rPr>
          <w:rFonts w:ascii="Arial" w:hAnsi="Arial" w:eastAsia="Arial" w:cs="Arial"/>
          <w:b/>
          <w:bCs/>
          <w:sz w:val="20"/>
          <w:szCs w:val="20"/>
        </w:rPr>
      </w:r>
      <w:r>
        <w:rPr>
          <w:rFonts w:ascii="Arial" w:hAnsi="Arial" w:cs="Arial"/>
          <w:b/>
          <w:bCs/>
          <w:sz w:val="20"/>
          <w:szCs w:val="20"/>
        </w:rPr>
      </w:r>
      <w:r>
        <w:rPr>
          <w:rFonts w:ascii="Arial" w:hAnsi="Arial" w:cs="Arial"/>
          <w:b/>
          <w:bCs/>
          <w:sz w:val="20"/>
          <w:szCs w:val="20"/>
        </w:rPr>
      </w:r>
    </w:p>
    <w:p>
      <w:pPr>
        <w:pStyle w:val="2059"/>
        <w:pBdr/>
        <w:spacing/>
        <w:ind/>
        <w:jc w:val="both"/>
        <w:rPr>
          <w:rFonts w:ascii="Arial" w:hAnsi="Arial" w:cs="Arial"/>
          <w:sz w:val="20"/>
          <w:szCs w:val="20"/>
        </w:rPr>
      </w:pPr>
      <w:r>
        <w:rPr>
          <w:rFonts w:ascii="Arial" w:hAnsi="Arial" w:eastAsia="Arial" w:cs="Arial"/>
          <w:b/>
          <w:bCs/>
          <w:sz w:val="20"/>
          <w:szCs w:val="20"/>
        </w:rPr>
        <w:t xml:space="preserve">30.3.</w:t>
      </w:r>
      <w:r>
        <w:rPr>
          <w:rFonts w:ascii="Arial" w:hAnsi="Arial" w:eastAsia="Arial" w:cs="Arial"/>
          <w:sz w:val="20"/>
          <w:szCs w:val="20"/>
        </w:rPr>
        <w:t xml:space="preserve"> Rejeitar, no todo ou em parte, os itens entregues em desacordo com as obrigações assumidas pelo fornecedor.</w:t>
      </w:r>
      <w:r>
        <w:rPr>
          <w:rFonts w:ascii="Arial" w:hAnsi="Arial" w:cs="Arial"/>
          <w:sz w:val="20"/>
          <w:szCs w:val="20"/>
        </w:rPr>
      </w:r>
      <w:r>
        <w:rPr>
          <w:rFonts w:ascii="Arial" w:hAnsi="Arial" w:cs="Arial"/>
          <w:sz w:val="20"/>
          <w:szCs w:val="20"/>
        </w:rPr>
      </w:r>
    </w:p>
    <w:p>
      <w:pPr>
        <w:pStyle w:val="2059"/>
        <w:pBdr/>
        <w:spacing/>
        <w:ind w:left="284"/>
        <w:jc w:val="both"/>
        <w:rPr>
          <w:rFonts w:ascii="Arial" w:hAnsi="Arial" w:cs="Arial"/>
          <w:b/>
          <w:bCs/>
          <w:sz w:val="20"/>
          <w:szCs w:val="20"/>
        </w:rPr>
      </w:pPr>
      <w:r>
        <w:rPr>
          <w:rFonts w:ascii="Arial" w:hAnsi="Arial" w:eastAsia="Arial" w:cs="Arial"/>
          <w:b/>
          <w:bCs/>
          <w:sz w:val="20"/>
          <w:szCs w:val="20"/>
        </w:rPr>
      </w:r>
      <w:r>
        <w:rPr>
          <w:rFonts w:ascii="Arial" w:hAnsi="Arial" w:cs="Arial"/>
          <w:b/>
          <w:bCs/>
          <w:sz w:val="20"/>
          <w:szCs w:val="20"/>
        </w:rPr>
      </w:r>
      <w:r>
        <w:rPr>
          <w:rFonts w:ascii="Arial" w:hAnsi="Arial" w:cs="Arial"/>
          <w:b/>
          <w:bCs/>
          <w:sz w:val="20"/>
          <w:szCs w:val="20"/>
        </w:rPr>
      </w:r>
    </w:p>
    <w:p>
      <w:pPr>
        <w:pStyle w:val="2059"/>
        <w:pBdr/>
        <w:spacing/>
        <w:ind/>
        <w:jc w:val="both"/>
        <w:rPr>
          <w:rFonts w:ascii="Arial" w:hAnsi="Arial" w:cs="Arial"/>
          <w:sz w:val="20"/>
          <w:szCs w:val="20"/>
        </w:rPr>
      </w:pPr>
      <w:r>
        <w:rPr>
          <w:rFonts w:ascii="Arial" w:hAnsi="Arial" w:eastAsia="Arial" w:cs="Arial"/>
          <w:b/>
          <w:bCs/>
          <w:sz w:val="20"/>
          <w:szCs w:val="20"/>
        </w:rPr>
        <w:t xml:space="preserve">30.4.</w:t>
      </w:r>
      <w:r>
        <w:rPr>
          <w:rFonts w:ascii="Arial" w:hAnsi="Arial" w:eastAsia="Arial" w:cs="Arial"/>
          <w:sz w:val="20"/>
          <w:szCs w:val="20"/>
        </w:rPr>
        <w:t xml:space="preserve"> Notificar a CONTRATADA de qualquer irregularidade encontrada nos produtos fornecidos. </w:t>
      </w:r>
      <w:r>
        <w:rPr>
          <w:rFonts w:ascii="Arial" w:hAnsi="Arial" w:eastAsia="Arial" w:cs="Arial"/>
          <w:sz w:val="20"/>
          <w:szCs w:val="20"/>
        </w:rPr>
        <w:t xml:space="preserve">Efetuar o pagamento à CONTRATADA, nas condições estabelecidas no edital.</w:t>
      </w:r>
      <w:r>
        <w:rPr>
          <w:rFonts w:ascii="Arial" w:hAnsi="Arial" w:cs="Arial"/>
          <w:sz w:val="20"/>
          <w:szCs w:val="20"/>
        </w:rPr>
      </w:r>
      <w:r>
        <w:rPr>
          <w:rFonts w:ascii="Arial" w:hAnsi="Arial" w:cs="Arial"/>
          <w:sz w:val="20"/>
          <w:szCs w:val="20"/>
        </w:rPr>
      </w:r>
    </w:p>
    <w:p>
      <w:pPr>
        <w:pStyle w:val="2059"/>
        <w:pBdr/>
        <w:spacing/>
        <w:ind w:left="284"/>
        <w:jc w:val="both"/>
        <w:rPr>
          <w:rFonts w:ascii="Arial" w:hAnsi="Arial" w:cs="Arial"/>
          <w:b/>
          <w:bCs/>
          <w:sz w:val="20"/>
          <w:szCs w:val="20"/>
        </w:rPr>
      </w:pPr>
      <w:r>
        <w:rPr>
          <w:rFonts w:ascii="Arial" w:hAnsi="Arial" w:eastAsia="Arial" w:cs="Arial"/>
          <w:b/>
          <w:bCs/>
          <w:sz w:val="20"/>
          <w:szCs w:val="20"/>
        </w:rPr>
      </w:r>
      <w:r>
        <w:rPr>
          <w:rFonts w:ascii="Arial" w:hAnsi="Arial" w:cs="Arial"/>
          <w:b/>
          <w:bCs/>
          <w:sz w:val="20"/>
          <w:szCs w:val="20"/>
        </w:rPr>
      </w:r>
      <w:r>
        <w:rPr>
          <w:rFonts w:ascii="Arial" w:hAnsi="Arial" w:cs="Arial"/>
          <w:b/>
          <w:bCs/>
          <w:sz w:val="20"/>
          <w:szCs w:val="20"/>
        </w:rPr>
      </w:r>
    </w:p>
    <w:p>
      <w:pPr>
        <w:pStyle w:val="2059"/>
        <w:pBdr/>
        <w:spacing/>
        <w:ind/>
        <w:jc w:val="both"/>
        <w:rPr>
          <w:rFonts w:ascii="Arial" w:hAnsi="Arial" w:cs="Arial"/>
          <w:sz w:val="20"/>
          <w:szCs w:val="20"/>
        </w:rPr>
      </w:pPr>
      <w:r>
        <w:rPr>
          <w:rFonts w:ascii="Arial" w:hAnsi="Arial" w:eastAsia="Arial" w:cs="Arial"/>
          <w:b/>
          <w:bCs/>
          <w:sz w:val="20"/>
          <w:szCs w:val="20"/>
        </w:rPr>
        <w:t xml:space="preserve">30.5.</w:t>
      </w:r>
      <w:r>
        <w:rPr>
          <w:rFonts w:ascii="Arial" w:hAnsi="Arial" w:eastAsia="Arial" w:cs="Arial"/>
          <w:sz w:val="20"/>
          <w:szCs w:val="20"/>
        </w:rPr>
        <w:t xml:space="preserve"> Nenhum pagamento será efetuado à empresa adjudicatária, enquanto pendente de liquidação qualquer obrigação. Esse fato não será gerador de direito a reajustamento de preços ou a atualização monetária.</w:t>
      </w:r>
      <w:r>
        <w:rPr>
          <w:rFonts w:ascii="Arial" w:hAnsi="Arial" w:cs="Arial"/>
          <w:sz w:val="20"/>
          <w:szCs w:val="20"/>
        </w:rPr>
      </w:r>
      <w:r>
        <w:rPr>
          <w:rFonts w:ascii="Arial" w:hAnsi="Arial" w:cs="Arial"/>
          <w:sz w:val="20"/>
          <w:szCs w:val="20"/>
        </w:rPr>
      </w:r>
    </w:p>
    <w:p>
      <w:pPr>
        <w:pStyle w:val="2059"/>
        <w:pBdr/>
        <w:spacing/>
        <w:ind w:left="284"/>
        <w:jc w:val="both"/>
        <w:rPr>
          <w:rFonts w:ascii="Arial" w:hAnsi="Arial" w:cs="Arial"/>
          <w:b/>
          <w:bCs/>
          <w:sz w:val="20"/>
          <w:szCs w:val="20"/>
        </w:rPr>
      </w:pPr>
      <w:r>
        <w:rPr>
          <w:rFonts w:ascii="Arial" w:hAnsi="Arial" w:eastAsia="Arial" w:cs="Arial"/>
          <w:b/>
          <w:bCs/>
          <w:sz w:val="20"/>
          <w:szCs w:val="20"/>
        </w:rPr>
      </w:r>
      <w:r>
        <w:rPr>
          <w:rFonts w:ascii="Arial" w:hAnsi="Arial" w:cs="Arial"/>
          <w:b/>
          <w:bCs/>
          <w:sz w:val="20"/>
          <w:szCs w:val="20"/>
        </w:rPr>
      </w:r>
      <w:r>
        <w:rPr>
          <w:rFonts w:ascii="Arial" w:hAnsi="Arial" w:cs="Arial"/>
          <w:b/>
          <w:bCs/>
          <w:sz w:val="20"/>
          <w:szCs w:val="20"/>
        </w:rPr>
      </w:r>
    </w:p>
    <w:p>
      <w:pPr>
        <w:pStyle w:val="2059"/>
        <w:pBdr/>
        <w:spacing/>
        <w:ind/>
        <w:jc w:val="both"/>
        <w:rPr>
          <w:rFonts w:ascii="Arial" w:hAnsi="Arial" w:cs="Arial"/>
          <w:sz w:val="20"/>
          <w:szCs w:val="20"/>
        </w:rPr>
      </w:pPr>
      <w:r>
        <w:rPr>
          <w:rFonts w:ascii="Arial" w:hAnsi="Arial" w:eastAsia="Arial" w:cs="Arial"/>
          <w:b/>
          <w:bCs/>
          <w:sz w:val="20"/>
          <w:szCs w:val="20"/>
        </w:rPr>
        <w:t xml:space="preserve">30.6. </w:t>
      </w:r>
      <w:r>
        <w:rPr>
          <w:rFonts w:ascii="Arial" w:hAnsi="Arial" w:eastAsia="Arial" w:cs="Arial"/>
          <w:sz w:val="20"/>
          <w:szCs w:val="20"/>
        </w:rPr>
        <w:t xml:space="preserve">Não haverá, sob hipótese alguma, pagamento antecipado.</w:t>
      </w:r>
      <w:r>
        <w:rPr>
          <w:rFonts w:ascii="Arial" w:hAnsi="Arial" w:cs="Arial"/>
          <w:sz w:val="20"/>
          <w:szCs w:val="20"/>
        </w:rPr>
      </w:r>
      <w:r>
        <w:rPr>
          <w:rFonts w:ascii="Arial" w:hAnsi="Arial" w:cs="Arial"/>
          <w:sz w:val="20"/>
          <w:szCs w:val="20"/>
        </w:rPr>
      </w:r>
    </w:p>
    <w:p>
      <w:pPr>
        <w:pStyle w:val="2059"/>
        <w:pBdr/>
        <w:spacing/>
        <w:ind w:left="284"/>
        <w:jc w:val="both"/>
        <w:rPr>
          <w:rFonts w:ascii="Arial" w:hAnsi="Arial" w:cs="Arial"/>
          <w:b/>
          <w:bCs/>
          <w:sz w:val="20"/>
          <w:szCs w:val="20"/>
        </w:rPr>
      </w:pPr>
      <w:r>
        <w:rPr>
          <w:rFonts w:ascii="Arial" w:hAnsi="Arial" w:eastAsia="Arial" w:cs="Arial"/>
          <w:b/>
          <w:bCs/>
          <w:sz w:val="20"/>
          <w:szCs w:val="20"/>
        </w:rPr>
      </w:r>
      <w:r>
        <w:rPr>
          <w:rFonts w:ascii="Arial" w:hAnsi="Arial" w:cs="Arial"/>
          <w:b/>
          <w:bCs/>
          <w:sz w:val="20"/>
          <w:szCs w:val="20"/>
        </w:rPr>
      </w:r>
      <w:r>
        <w:rPr>
          <w:rFonts w:ascii="Arial" w:hAnsi="Arial" w:cs="Arial"/>
          <w:b/>
          <w:bCs/>
          <w:sz w:val="20"/>
          <w:szCs w:val="20"/>
        </w:rPr>
      </w:r>
    </w:p>
    <w:p>
      <w:pPr>
        <w:pStyle w:val="2059"/>
        <w:pBdr/>
        <w:spacing/>
        <w:ind/>
        <w:jc w:val="both"/>
        <w:rPr>
          <w:rFonts w:ascii="Arial" w:hAnsi="Arial" w:cs="Arial"/>
          <w:sz w:val="20"/>
          <w:szCs w:val="20"/>
        </w:rPr>
      </w:pPr>
      <w:r>
        <w:rPr>
          <w:rFonts w:ascii="Arial" w:hAnsi="Arial" w:eastAsia="Arial" w:cs="Arial"/>
          <w:b/>
          <w:bCs/>
          <w:sz w:val="20"/>
          <w:szCs w:val="20"/>
        </w:rPr>
        <w:t xml:space="preserve">30.7. </w:t>
      </w:r>
      <w:r>
        <w:rPr>
          <w:rFonts w:ascii="Arial" w:hAnsi="Arial" w:eastAsia="Arial" w:cs="Arial"/>
          <w:sz w:val="20"/>
          <w:szCs w:val="20"/>
        </w:rPr>
        <w:t xml:space="preserve">Coordenar e fiscalizar a entrega dos produtos pertinentes à aquisição.</w:t>
      </w:r>
      <w:r>
        <w:rPr>
          <w:rFonts w:ascii="Arial" w:hAnsi="Arial" w:cs="Arial"/>
          <w:sz w:val="20"/>
          <w:szCs w:val="20"/>
        </w:rPr>
      </w:r>
      <w:r>
        <w:rPr>
          <w:rFonts w:ascii="Arial" w:hAnsi="Arial" w:cs="Arial"/>
          <w:sz w:val="20"/>
          <w:szCs w:val="20"/>
        </w:rPr>
      </w:r>
    </w:p>
    <w:p>
      <w:pPr>
        <w:pStyle w:val="2059"/>
        <w:pBdr/>
        <w:spacing/>
        <w:ind w:left="284"/>
        <w:jc w:val="both"/>
        <w:rPr>
          <w:rStyle w:val="1010"/>
          <w:rFonts w:ascii="Arial" w:hAnsi="Arial" w:cs="Arial"/>
          <w:b/>
          <w:bCs/>
          <w:sz w:val="20"/>
          <w:szCs w:val="20"/>
        </w:rPr>
      </w:pPr>
      <w:r>
        <w:rPr>
          <w:rFonts w:ascii="Arial" w:hAnsi="Arial" w:eastAsia="Arial" w:cs="Arial"/>
          <w:b/>
          <w:bCs/>
          <w:sz w:val="20"/>
          <w:szCs w:val="20"/>
          <w:lang w:bidi="ar-SA"/>
        </w:rPr>
      </w:r>
      <w:r>
        <w:rPr>
          <w:rStyle w:val="1010"/>
          <w:rFonts w:ascii="Arial" w:hAnsi="Arial" w:cs="Arial"/>
          <w:b/>
          <w:bCs/>
          <w:sz w:val="20"/>
          <w:szCs w:val="20"/>
        </w:rPr>
      </w:r>
      <w:r>
        <w:rPr>
          <w:rStyle w:val="1010"/>
          <w:rFonts w:ascii="Arial" w:hAnsi="Arial" w:cs="Arial"/>
          <w:b/>
          <w:bCs/>
          <w:sz w:val="20"/>
          <w:szCs w:val="20"/>
        </w:rPr>
      </w:r>
    </w:p>
    <w:p>
      <w:pPr>
        <w:pStyle w:val="2059"/>
        <w:pBdr/>
        <w:spacing/>
        <w:ind/>
        <w:jc w:val="both"/>
        <w:rPr>
          <w:rFonts w:ascii="Arial" w:hAnsi="Arial" w:cs="Arial"/>
          <w:sz w:val="20"/>
          <w:szCs w:val="20"/>
        </w:rPr>
      </w:pPr>
      <w:r>
        <w:rPr>
          <w:rStyle w:val="1010"/>
          <w:rFonts w:ascii="Arial" w:hAnsi="Arial" w:eastAsia="Arial" w:cs="Arial"/>
          <w:b/>
          <w:bCs/>
          <w:sz w:val="20"/>
          <w:szCs w:val="20"/>
          <w:lang w:bidi="ar-SA"/>
        </w:rPr>
        <w:t xml:space="preserve">30.8.</w:t>
      </w:r>
      <w:r>
        <w:rPr>
          <w:rStyle w:val="1010"/>
          <w:rFonts w:ascii="Arial" w:hAnsi="Arial" w:eastAsia="Arial" w:cs="Arial"/>
          <w:sz w:val="20"/>
          <w:szCs w:val="20"/>
          <w:lang w:bidi="ar-SA"/>
        </w:rPr>
        <w:t xml:space="preserve"> Prestar as informações e os esclarecimentos que fizerem necessários.</w:t>
      </w:r>
      <w:r>
        <w:rPr>
          <w:rFonts w:ascii="Arial" w:hAnsi="Arial" w:cs="Arial"/>
          <w:sz w:val="20"/>
          <w:szCs w:val="20"/>
        </w:rPr>
      </w:r>
      <w:r>
        <w:rPr>
          <w:rFonts w:ascii="Arial" w:hAnsi="Arial" w:cs="Arial"/>
          <w:sz w:val="20"/>
          <w:szCs w:val="20"/>
        </w:rPr>
      </w:r>
    </w:p>
    <w:p>
      <w:pPr>
        <w:pStyle w:val="2059"/>
        <w:pBdr/>
        <w:spacing/>
        <w:ind w:left="284"/>
        <w:jc w:val="both"/>
        <w:rPr>
          <w:rFonts w:ascii="Arial" w:hAnsi="Arial" w:cs="Arial"/>
          <w:b/>
          <w:bCs/>
          <w:sz w:val="20"/>
          <w:szCs w:val="20"/>
        </w:rPr>
      </w:pPr>
      <w:r>
        <w:rPr>
          <w:rFonts w:ascii="Arial" w:hAnsi="Arial" w:eastAsia="Arial" w:cs="Arial"/>
          <w:b/>
          <w:bCs/>
          <w:sz w:val="20"/>
          <w:szCs w:val="20"/>
        </w:rPr>
      </w:r>
      <w:r>
        <w:rPr>
          <w:rFonts w:ascii="Arial" w:hAnsi="Arial" w:cs="Arial"/>
          <w:b/>
          <w:bCs/>
          <w:sz w:val="20"/>
          <w:szCs w:val="20"/>
        </w:rPr>
      </w:r>
      <w:r>
        <w:rPr>
          <w:rFonts w:ascii="Arial" w:hAnsi="Arial" w:cs="Arial"/>
          <w:b/>
          <w:bCs/>
          <w:sz w:val="20"/>
          <w:szCs w:val="20"/>
        </w:rPr>
      </w:r>
    </w:p>
    <w:p>
      <w:pPr>
        <w:pStyle w:val="887"/>
        <w:numPr>
          <w:ilvl w:val="0"/>
          <w:numId w:val="0"/>
        </w:numPr>
        <w:pBdr/>
        <w:spacing/>
        <w:ind/>
        <w:jc w:val="both"/>
        <w:outlineLvl w:val="0"/>
        <w:rPr>
          <w:rFonts w:ascii="Arial" w:hAnsi="Arial" w:cs="Arial"/>
          <w:b/>
          <w:bCs/>
          <w:color w:val="000000"/>
        </w:rPr>
      </w:pPr>
      <w:r/>
      <w:bookmarkStart w:id="93" w:name="_Toc30"/>
      <w:r>
        <w:rPr>
          <w:rFonts w:ascii="Arial" w:hAnsi="Arial" w:eastAsia="Arial" w:cs="Arial"/>
          <w:b/>
          <w:bCs/>
          <w:color w:val="000000"/>
        </w:rPr>
        <w:t xml:space="preserve">31.</w:t>
      </w:r>
      <w:r>
        <w:rPr>
          <w:rFonts w:ascii="Arial" w:hAnsi="Arial" w:eastAsia="Arial" w:cs="Arial"/>
          <w:b/>
          <w:color w:val="000000"/>
        </w:rPr>
        <w:t xml:space="preserve"> </w:t>
      </w:r>
      <w:r>
        <w:rPr>
          <w:rFonts w:ascii="Arial" w:hAnsi="Arial" w:eastAsia="Arial" w:cs="Arial"/>
          <w:b/>
        </w:rPr>
        <w:t xml:space="preserve">DA DOTAÇÃO ORÇAMENTÁRIA</w:t>
      </w:r>
      <w:r>
        <w:rPr>
          <w:rFonts w:ascii="Arial" w:hAnsi="Arial" w:eastAsia="Arial" w:cs="Arial"/>
          <w:b/>
          <w:bCs/>
          <w:color w:val="000000"/>
        </w:rPr>
        <w:t xml:space="preserve">:</w:t>
      </w:r>
      <w:bookmarkEnd w:id="93"/>
      <w:r>
        <w:rPr>
          <w:rFonts w:ascii="Arial" w:hAnsi="Arial" w:cs="Arial"/>
          <w:b/>
          <w:bCs/>
          <w:color w:val="000000"/>
        </w:rPr>
      </w:r>
      <w:r>
        <w:rPr>
          <w:rFonts w:ascii="Arial" w:hAnsi="Arial" w:cs="Arial"/>
          <w:b/>
          <w:bCs/>
          <w:color w:val="000000"/>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highlight w:val="none"/>
        </w:rPr>
      </w:pPr>
      <w:r>
        <w:rPr>
          <w:rFonts w:ascii="Arial" w:hAnsi="Arial" w:eastAsia="Arial" w:cs="Arial"/>
          <w:b/>
        </w:rPr>
        <w:t xml:space="preserve">31.1.</w:t>
      </w:r>
      <w:r>
        <w:rPr>
          <w:rFonts w:ascii="Arial" w:hAnsi="Arial" w:eastAsia="Arial" w:cs="Arial"/>
        </w:rPr>
        <w:t xml:space="preserve"> </w:t>
      </w:r>
      <w:r>
        <w:rPr>
          <w:rFonts w:ascii="Arial" w:hAnsi="Arial" w:eastAsia="Arial" w:cs="Arial"/>
          <w:color w:val="000000"/>
        </w:rPr>
        <w:t xml:space="preserve">As despesas oriundas do presente Contrato correrão à conta de recursos específicos consignados no orçamento vigente do Município de Rondonópolis, os quais serão discriminados para a formalização do contrato ou outro instrumento hábil. (Art. 7º § 2</w:t>
      </w:r>
      <w:r>
        <w:rPr>
          <w:rFonts w:ascii="Arial" w:hAnsi="Arial" w:eastAsia="Arial" w:cs="Arial"/>
          <w:color w:val="000000"/>
          <w:u w:val="single"/>
          <w:vertAlign w:val="superscript"/>
        </w:rPr>
        <w:t xml:space="preserve">o</w:t>
      </w:r>
      <w:r>
        <w:rPr>
          <w:rFonts w:ascii="Arial" w:hAnsi="Arial" w:eastAsia="Arial" w:cs="Arial"/>
          <w:color w:val="000000"/>
        </w:rPr>
        <w:t xml:space="preserve"> do Dec. 7.892/2013 e Resolução de Consulta n.º 09/2012).</w:t>
      </w:r>
      <w:r>
        <w:rPr>
          <w:rFonts w:ascii="Arial" w:hAnsi="Arial" w:cs="Arial"/>
          <w:highlight w:val="none"/>
        </w:rPr>
      </w:r>
      <w:r>
        <w:rPr>
          <w:rFonts w:ascii="Arial" w:hAnsi="Arial" w:cs="Arial"/>
          <w:highlight w:val="none"/>
        </w:rPr>
      </w:r>
    </w:p>
    <w:tbl>
      <w:tblPr>
        <w:jc w:val="center"/>
        <w:tblW w:w="8969" w:type="dxa"/>
        <w:tblBorders/>
        <w:tblLayout w:type="fixed"/>
        <w:tblLook w:val="04A0" w:firstRow="1" w:lastRow="0" w:firstColumn="1" w:lastColumn="0" w:noHBand="0" w:noVBand="1"/>
      </w:tblPr>
      <w:tblGrid>
        <w:gridCol w:w="2189"/>
        <w:gridCol w:w="6780"/>
      </w:tblGrid>
      <w:tr>
        <w:trPr>
          <w:jc w:val="center"/>
          <w:trHeight w:val="196"/>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048E6005">
            <w:pPr>
              <w:pBdr/>
              <w:spacing/>
              <w:ind/>
              <w:jc w:val="center"/>
              <w:rPr>
                <w:rFonts w:ascii="Arial" w:hAnsi="Arial" w:cs="Arial"/>
                <w:sz w:val="16"/>
                <w:szCs w:val="16"/>
              </w:rPr>
            </w:pPr>
            <w:r>
              <w:rPr>
                <w:rFonts w:ascii="Arial" w:hAnsi="Arial" w:eastAsia="Arial" w:cs="Arial"/>
                <w:b/>
                <w:color w:val="000000"/>
                <w:sz w:val="16"/>
                <w:szCs w:val="16"/>
                <w:lang w:val="pt-BR" w:eastAsia="pt-BR"/>
              </w:rPr>
              <w:t xml:space="preserve">Classificação Orçamentária da Despesa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506F8816">
            <w:pPr>
              <w:pBdr/>
              <w:spacing/>
              <w:ind/>
              <w:jc w:val="right"/>
              <w:rPr>
                <w:rFonts w:ascii="Arial" w:hAnsi="Arial" w:cs="Arial"/>
                <w:sz w:val="16"/>
                <w:szCs w:val="16"/>
              </w:rPr>
            </w:pPr>
            <w:r>
              <w:rPr>
                <w:rFonts w:ascii="Arial" w:hAnsi="Arial" w:eastAsia="Arial" w:cs="Arial"/>
                <w:color w:val="000000"/>
                <w:sz w:val="16"/>
                <w:szCs w:val="16"/>
                <w:lang w:val="pt-BR" w:eastAsia="pt-BR"/>
              </w:rPr>
              <w:t xml:space="preserve">Órgão: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54D5352F">
            <w:pPr>
              <w:pBdr/>
              <w:spacing/>
              <w:ind/>
              <w:rPr>
                <w:rFonts w:ascii="Arial" w:hAnsi="Arial" w:cs="Arial"/>
                <w:sz w:val="16"/>
                <w:szCs w:val="16"/>
              </w:rPr>
            </w:pPr>
            <w:r>
              <w:rPr>
                <w:rFonts w:ascii="Arial" w:hAnsi="Arial" w:eastAsia="Arial" w:cs="Arial"/>
                <w:color w:val="000000"/>
                <w:sz w:val="16"/>
                <w:szCs w:val="16"/>
                <w:lang w:val="pt-BR" w:eastAsia="pt-BR"/>
              </w:rPr>
              <w:t xml:space="preserve">02 – Prefeitura Municipal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26A9C565">
            <w:pPr>
              <w:pBdr/>
              <w:spacing/>
              <w:ind/>
              <w:jc w:val="right"/>
              <w:rPr>
                <w:rFonts w:ascii="Arial" w:hAnsi="Arial" w:cs="Arial"/>
                <w:sz w:val="16"/>
                <w:szCs w:val="16"/>
              </w:rPr>
            </w:pPr>
            <w:r>
              <w:rPr>
                <w:rFonts w:ascii="Arial" w:hAnsi="Arial" w:eastAsia="Arial" w:cs="Arial"/>
                <w:color w:val="000000"/>
                <w:sz w:val="16"/>
                <w:szCs w:val="16"/>
                <w:lang w:val="pt-BR" w:eastAsia="pt-BR"/>
              </w:rPr>
              <w:t xml:space="preserve">Unidade:</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6D54588F">
            <w:pPr>
              <w:pBdr/>
              <w:spacing/>
              <w:ind/>
              <w:rPr>
                <w:rFonts w:ascii="Arial" w:hAnsi="Arial" w:cs="Arial"/>
                <w:sz w:val="16"/>
                <w:szCs w:val="16"/>
              </w:rPr>
            </w:pPr>
            <w:r>
              <w:rPr>
                <w:rFonts w:ascii="Arial" w:hAnsi="Arial" w:eastAsia="Arial" w:cs="Arial"/>
                <w:color w:val="000000"/>
                <w:sz w:val="16"/>
                <w:szCs w:val="16"/>
                <w:lang w:val="pt-BR" w:eastAsia="pt-BR"/>
              </w:rPr>
              <w:t xml:space="preserve">14 – Fundo Municipal de Saúde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2664AEE7">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Funcional Programática: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0BE050B8">
            <w:pPr>
              <w:pBdr/>
              <w:spacing/>
              <w:ind/>
              <w:rPr>
                <w:rFonts w:ascii="Arial" w:hAnsi="Arial" w:cs="Arial"/>
                <w:sz w:val="16"/>
                <w:szCs w:val="16"/>
              </w:rPr>
            </w:pPr>
            <w:r>
              <w:rPr>
                <w:rFonts w:ascii="Arial" w:hAnsi="Arial" w:eastAsia="Arial" w:cs="Arial"/>
                <w:sz w:val="16"/>
                <w:szCs w:val="16"/>
              </w:rPr>
              <w:t xml:space="preserve">10.301.2202.2180 - MANUTENÇÃO E CONSERVAÇÃO DA ATENÇÃO PRIMÁRIA À SAÚDE - APS E PROGRAMAS ESPECIAIS.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B191E90">
            <w:pPr>
              <w:pBdr/>
              <w:spacing/>
              <w:ind/>
              <w:jc w:val="right"/>
              <w:rPr>
                <w:rFonts w:ascii="Arial" w:hAnsi="Arial" w:cs="Arial"/>
                <w:sz w:val="16"/>
                <w:szCs w:val="16"/>
              </w:rPr>
            </w:pPr>
            <w:r>
              <w:rPr>
                <w:rFonts w:ascii="Arial" w:hAnsi="Arial" w:eastAsia="Arial" w:cs="Arial"/>
                <w:color w:val="000000"/>
                <w:sz w:val="16"/>
                <w:szCs w:val="16"/>
                <w:lang w:val="pt-BR" w:eastAsia="pt-BR"/>
              </w:rPr>
              <w:t xml:space="preserve">Elemento de Despesa: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7A9E5589">
            <w:pPr>
              <w:pBdr/>
              <w:spacing/>
              <w:ind/>
              <w:rPr>
                <w:rFonts w:ascii="Arial" w:hAnsi="Arial" w:cs="Arial"/>
                <w:sz w:val="16"/>
                <w:szCs w:val="16"/>
              </w:rPr>
            </w:pPr>
            <w:r>
              <w:rPr>
                <w:rFonts w:ascii="Arial" w:hAnsi="Arial" w:eastAsia="Arial" w:cs="Arial"/>
                <w:sz w:val="16"/>
                <w:szCs w:val="16"/>
              </w:rPr>
              <w:t xml:space="preserve">3.3.90.30.00.00 – MATERIAL DE CONSUMO</w:t>
            </w:r>
            <w:r>
              <w:rPr>
                <w:rFonts w:ascii="Arial" w:hAnsi="Arial" w:cs="Arial"/>
                <w:sz w:val="16"/>
                <w:szCs w:val="16"/>
              </w:rPr>
            </w:r>
            <w:r>
              <w:rPr>
                <w:rFonts w:ascii="Arial" w:hAnsi="Arial" w:cs="Arial"/>
                <w:sz w:val="16"/>
                <w:szCs w:val="16"/>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679F68BB">
            <w:pPr>
              <w:pBdr/>
              <w:spacing/>
              <w:ind/>
              <w:jc w:val="right"/>
              <w:rPr>
                <w:rFonts w:ascii="Arial" w:hAnsi="Arial" w:cs="Arial"/>
                <w:sz w:val="16"/>
                <w:szCs w:val="16"/>
              </w:rPr>
            </w:pPr>
            <w:r>
              <w:rPr>
                <w:rFonts w:ascii="Arial" w:hAnsi="Arial" w:eastAsia="Arial" w:cs="Arial"/>
                <w:color w:val="000000"/>
                <w:sz w:val="16"/>
                <w:szCs w:val="16"/>
                <w:lang w:val="pt-BR" w:eastAsia="pt-BR"/>
              </w:rPr>
              <w:t xml:space="preserve">Reduzido:</w:t>
            </w:r>
            <w:r>
              <w:rPr>
                <w:rFonts w:ascii="Arial" w:hAnsi="Arial" w:cs="Arial"/>
                <w:sz w:val="16"/>
                <w:szCs w:val="16"/>
              </w:rPr>
            </w:r>
            <w:r>
              <w:rPr>
                <w:rFonts w:ascii="Arial" w:hAnsi="Arial" w:cs="Arial"/>
                <w:sz w:val="16"/>
                <w:szCs w:val="16"/>
              </w:rPr>
            </w:r>
          </w:p>
        </w:tc>
        <w:tc>
          <w:tcPr>
            <w:tcBorders>
              <w:left w:val="single" w:color="000000" w:sz="4" w:space="0"/>
              <w:bottom w:val="single" w:color="000000" w:sz="4" w:space="0"/>
              <w:right w:val="single" w:color="000000" w:sz="4" w:space="0"/>
            </w:tcBorders>
            <w:tcW w:w="6780" w:type="dxa"/>
            <w:textDirection w:val="lrTb"/>
            <w:noWrap w:val="false"/>
          </w:tcPr>
          <w:p w14:paraId="190F5CF0">
            <w:pPr>
              <w:pBdr/>
              <w:spacing/>
              <w:ind/>
              <w:rPr>
                <w:rFonts w:ascii="Arial" w:hAnsi="Arial" w:cs="Arial"/>
                <w:sz w:val="16"/>
                <w:szCs w:val="16"/>
              </w:rPr>
            </w:pPr>
            <w:r>
              <w:rPr>
                <w:rFonts w:ascii="Arial" w:hAnsi="Arial" w:eastAsia="Arial" w:cs="Arial"/>
                <w:b/>
                <w:sz w:val="16"/>
                <w:szCs w:val="16"/>
              </w:rPr>
              <w:t xml:space="preserve">673</w:t>
            </w:r>
            <w:r>
              <w:rPr>
                <w:rFonts w:ascii="Arial" w:hAnsi="Arial" w:cs="Arial"/>
                <w:sz w:val="16"/>
                <w:szCs w:val="16"/>
              </w:rPr>
            </w:r>
            <w:r>
              <w:rPr>
                <w:rFonts w:ascii="Arial" w:hAnsi="Arial" w:cs="Arial"/>
                <w:sz w:val="16"/>
                <w:szCs w:val="16"/>
              </w:rPr>
            </w:r>
          </w:p>
        </w:tc>
      </w:tr>
      <w:tr>
        <w:trPr>
          <w:jc w:val="center"/>
          <w:trHeight w:val="108"/>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3655D621">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Fonte de Recurso: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33BD657E">
            <w:pPr>
              <w:pBdr/>
              <w:spacing/>
              <w:ind/>
              <w:rPr>
                <w:rFonts w:ascii="Arial" w:hAnsi="Arial" w:cs="Arial"/>
                <w:sz w:val="16"/>
                <w:szCs w:val="16"/>
              </w:rPr>
            </w:pPr>
            <w:r>
              <w:rPr>
                <w:rFonts w:ascii="Arial" w:hAnsi="Arial" w:eastAsia="Arial" w:cs="Arial"/>
                <w:sz w:val="16"/>
                <w:szCs w:val="16"/>
              </w:rPr>
              <w:t xml:space="preserve">1.500.1002000</w:t>
            </w:r>
            <w:r>
              <w:rPr>
                <w:rFonts w:ascii="Arial" w:hAnsi="Arial" w:cs="Arial"/>
                <w:sz w:val="16"/>
                <w:szCs w:val="16"/>
              </w:rPr>
            </w:r>
            <w:r>
              <w:rPr>
                <w:rFonts w:ascii="Arial" w:hAnsi="Arial" w:cs="Arial"/>
                <w:sz w:val="16"/>
                <w:szCs w:val="16"/>
              </w:rPr>
            </w:r>
          </w:p>
        </w:tc>
      </w:tr>
    </w:tbl>
    <w:p w14:paraId="468B06FD">
      <w:pPr>
        <w:pBdr/>
        <w:spacing/>
        <w:ind/>
        <w:jc w:val="both"/>
        <w:rPr>
          <w:rFonts w:ascii="Arial" w:hAnsi="Arial" w:cs="Arial"/>
          <w:sz w:val="16"/>
          <w:szCs w:val="16"/>
        </w:rPr>
      </w:pPr>
      <w:r>
        <w:rPr>
          <w:rFonts w:ascii="Arial" w:hAnsi="Arial" w:eastAsia="Arial" w:cs="Arial"/>
          <w:sz w:val="16"/>
          <w:szCs w:val="16"/>
        </w:rPr>
      </w:r>
      <w:r>
        <w:rPr>
          <w:rFonts w:ascii="Arial" w:hAnsi="Arial" w:cs="Arial"/>
          <w:sz w:val="16"/>
          <w:szCs w:val="16"/>
        </w:rPr>
      </w:r>
      <w:r>
        <w:rPr>
          <w:rFonts w:ascii="Arial" w:hAnsi="Arial" w:cs="Arial"/>
          <w:sz w:val="16"/>
          <w:szCs w:val="16"/>
        </w:rPr>
      </w:r>
    </w:p>
    <w:tbl>
      <w:tblPr>
        <w:jc w:val="center"/>
        <w:tblW w:w="8969" w:type="dxa"/>
        <w:tblBorders/>
        <w:tblLayout w:type="fixed"/>
        <w:tblLook w:val="04A0" w:firstRow="1" w:lastRow="0" w:firstColumn="1" w:lastColumn="0" w:noHBand="0" w:noVBand="1"/>
      </w:tblPr>
      <w:tblGrid>
        <w:gridCol w:w="2189"/>
        <w:gridCol w:w="6780"/>
      </w:tblGrid>
      <w:tr>
        <w:trPr>
          <w:jc w:val="center"/>
          <w:trHeight w:val="158"/>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5EE91B72">
            <w:pPr>
              <w:pBdr/>
              <w:spacing/>
              <w:ind/>
              <w:jc w:val="center"/>
              <w:rPr>
                <w:rFonts w:ascii="Arial" w:hAnsi="Arial" w:cs="Arial"/>
                <w:sz w:val="16"/>
                <w:szCs w:val="16"/>
              </w:rPr>
            </w:pPr>
            <w:r>
              <w:rPr>
                <w:rFonts w:ascii="Arial" w:hAnsi="Arial" w:eastAsia="Arial" w:cs="Arial"/>
                <w:b/>
                <w:color w:val="000000"/>
                <w:sz w:val="16"/>
                <w:szCs w:val="16"/>
                <w:lang w:val="pt-BR" w:eastAsia="pt-BR"/>
              </w:rPr>
              <w:t xml:space="preserve">Classificação Orçamentária da Despesa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65FD0DA">
            <w:pPr>
              <w:pBdr/>
              <w:spacing/>
              <w:ind/>
              <w:jc w:val="right"/>
              <w:rPr>
                <w:rFonts w:ascii="Arial" w:hAnsi="Arial" w:cs="Arial"/>
                <w:sz w:val="16"/>
                <w:szCs w:val="16"/>
              </w:rPr>
            </w:pPr>
            <w:r>
              <w:rPr>
                <w:rFonts w:ascii="Arial" w:hAnsi="Arial" w:eastAsia="Arial" w:cs="Arial"/>
                <w:color w:val="000000"/>
                <w:sz w:val="16"/>
                <w:szCs w:val="16"/>
                <w:lang w:val="pt-BR" w:eastAsia="pt-BR"/>
              </w:rPr>
              <w:t xml:space="preserve">Órgão: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18F56D6C">
            <w:pPr>
              <w:pBdr/>
              <w:spacing/>
              <w:ind/>
              <w:rPr>
                <w:rFonts w:ascii="Arial" w:hAnsi="Arial" w:cs="Arial"/>
                <w:sz w:val="16"/>
                <w:szCs w:val="16"/>
              </w:rPr>
            </w:pPr>
            <w:r>
              <w:rPr>
                <w:rFonts w:ascii="Arial" w:hAnsi="Arial" w:eastAsia="Arial" w:cs="Arial"/>
                <w:color w:val="000000"/>
                <w:sz w:val="16"/>
                <w:szCs w:val="16"/>
                <w:lang w:val="pt-BR" w:eastAsia="pt-BR"/>
              </w:rPr>
              <w:t xml:space="preserve">02 – Prefeitura Municipal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5A2C6EC">
            <w:pPr>
              <w:pBdr/>
              <w:spacing/>
              <w:ind/>
              <w:jc w:val="right"/>
              <w:rPr>
                <w:rFonts w:ascii="Arial" w:hAnsi="Arial" w:cs="Arial"/>
                <w:sz w:val="16"/>
                <w:szCs w:val="16"/>
              </w:rPr>
            </w:pPr>
            <w:r>
              <w:rPr>
                <w:rFonts w:ascii="Arial" w:hAnsi="Arial" w:eastAsia="Arial" w:cs="Arial"/>
                <w:color w:val="000000"/>
                <w:sz w:val="16"/>
                <w:szCs w:val="16"/>
                <w:lang w:val="pt-BR" w:eastAsia="pt-BR"/>
              </w:rPr>
              <w:t xml:space="preserve">Unidade:</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2FB34D43">
            <w:pPr>
              <w:pBdr/>
              <w:spacing/>
              <w:ind/>
              <w:rPr>
                <w:rFonts w:ascii="Arial" w:hAnsi="Arial" w:cs="Arial"/>
                <w:sz w:val="16"/>
                <w:szCs w:val="16"/>
              </w:rPr>
            </w:pPr>
            <w:r>
              <w:rPr>
                <w:rFonts w:ascii="Arial" w:hAnsi="Arial" w:eastAsia="Arial" w:cs="Arial"/>
                <w:color w:val="000000"/>
                <w:sz w:val="16"/>
                <w:szCs w:val="16"/>
                <w:lang w:val="pt-BR" w:eastAsia="pt-BR"/>
              </w:rPr>
              <w:t xml:space="preserve">14 – Fundo Municipal de Saúde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21484B4">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Funcional Programática: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71B96BD6">
            <w:pPr>
              <w:pBdr/>
              <w:spacing/>
              <w:ind/>
              <w:rPr>
                <w:rFonts w:ascii="Arial" w:hAnsi="Arial" w:cs="Arial"/>
                <w:sz w:val="16"/>
                <w:szCs w:val="16"/>
              </w:rPr>
            </w:pPr>
            <w:r>
              <w:rPr>
                <w:rFonts w:ascii="Arial" w:hAnsi="Arial" w:eastAsia="Arial" w:cs="Arial"/>
                <w:sz w:val="16"/>
                <w:szCs w:val="16"/>
              </w:rPr>
              <w:t xml:space="preserve">10.301.2202.2180 - MANUTENÇÃO E CONSERVAÇÃO DA ATENÇÃO PRIMÁRIA À SAÚDE - APS E PROGRAMAS ESPECIAIS.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CA4DDDB">
            <w:pPr>
              <w:pBdr/>
              <w:spacing/>
              <w:ind/>
              <w:jc w:val="right"/>
              <w:rPr>
                <w:rFonts w:ascii="Arial" w:hAnsi="Arial" w:cs="Arial"/>
                <w:sz w:val="16"/>
                <w:szCs w:val="16"/>
              </w:rPr>
            </w:pPr>
            <w:r>
              <w:rPr>
                <w:rFonts w:ascii="Arial" w:hAnsi="Arial" w:eastAsia="Arial" w:cs="Arial"/>
                <w:color w:val="000000"/>
                <w:sz w:val="16"/>
                <w:szCs w:val="16"/>
                <w:lang w:val="pt-BR" w:eastAsia="pt-BR"/>
              </w:rPr>
              <w:t xml:space="preserve">Elemento de Despesa: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2373B500">
            <w:pPr>
              <w:pBdr/>
              <w:spacing/>
              <w:ind/>
              <w:rPr>
                <w:rFonts w:ascii="Arial" w:hAnsi="Arial" w:cs="Arial"/>
                <w:sz w:val="16"/>
                <w:szCs w:val="16"/>
              </w:rPr>
            </w:pPr>
            <w:r>
              <w:rPr>
                <w:rFonts w:ascii="Arial" w:hAnsi="Arial" w:eastAsia="Arial" w:cs="Arial"/>
                <w:sz w:val="16"/>
                <w:szCs w:val="16"/>
              </w:rPr>
              <w:t xml:space="preserve">3.3.90.30.00.00 – MATERIAL DE CONSUMO</w:t>
            </w:r>
            <w:r>
              <w:rPr>
                <w:rFonts w:ascii="Arial" w:hAnsi="Arial" w:cs="Arial"/>
                <w:sz w:val="16"/>
                <w:szCs w:val="16"/>
              </w:rPr>
            </w:r>
            <w:r>
              <w:rPr>
                <w:rFonts w:ascii="Arial" w:hAnsi="Arial" w:cs="Arial"/>
                <w:sz w:val="16"/>
                <w:szCs w:val="16"/>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1ACDDC0B">
            <w:pPr>
              <w:pBdr/>
              <w:spacing/>
              <w:ind/>
              <w:jc w:val="right"/>
              <w:rPr>
                <w:rFonts w:ascii="Arial" w:hAnsi="Arial" w:cs="Arial"/>
                <w:sz w:val="16"/>
                <w:szCs w:val="16"/>
              </w:rPr>
            </w:pPr>
            <w:r>
              <w:rPr>
                <w:rFonts w:ascii="Arial" w:hAnsi="Arial" w:eastAsia="Arial" w:cs="Arial"/>
                <w:color w:val="000000"/>
                <w:sz w:val="16"/>
                <w:szCs w:val="16"/>
                <w:lang w:val="pt-BR" w:eastAsia="pt-BR"/>
              </w:rPr>
              <w:t xml:space="preserve">Reduzido:</w:t>
            </w:r>
            <w:r>
              <w:rPr>
                <w:rFonts w:ascii="Arial" w:hAnsi="Arial" w:cs="Arial"/>
                <w:sz w:val="16"/>
                <w:szCs w:val="16"/>
              </w:rPr>
            </w:r>
            <w:r>
              <w:rPr>
                <w:rFonts w:ascii="Arial" w:hAnsi="Arial" w:cs="Arial"/>
                <w:sz w:val="16"/>
                <w:szCs w:val="16"/>
              </w:rPr>
            </w:r>
          </w:p>
        </w:tc>
        <w:tc>
          <w:tcPr>
            <w:tcBorders>
              <w:left w:val="single" w:color="000000" w:sz="4" w:space="0"/>
              <w:bottom w:val="single" w:color="000000" w:sz="4" w:space="0"/>
              <w:right w:val="single" w:color="000000" w:sz="4" w:space="0"/>
            </w:tcBorders>
            <w:tcW w:w="6780" w:type="dxa"/>
            <w:textDirection w:val="lrTb"/>
            <w:noWrap w:val="false"/>
          </w:tcPr>
          <w:p w14:paraId="5D90CD6B">
            <w:pPr>
              <w:pBdr/>
              <w:spacing/>
              <w:ind/>
              <w:rPr>
                <w:rFonts w:ascii="Arial" w:hAnsi="Arial" w:cs="Arial"/>
                <w:sz w:val="16"/>
                <w:szCs w:val="16"/>
              </w:rPr>
            </w:pPr>
            <w:r>
              <w:rPr>
                <w:rFonts w:ascii="Arial" w:hAnsi="Arial" w:eastAsia="Arial" w:cs="Arial"/>
                <w:b/>
                <w:sz w:val="16"/>
                <w:szCs w:val="16"/>
              </w:rPr>
              <w:t xml:space="preserve">674</w:t>
            </w:r>
            <w:r>
              <w:rPr>
                <w:rFonts w:ascii="Arial" w:hAnsi="Arial" w:cs="Arial"/>
                <w:sz w:val="16"/>
                <w:szCs w:val="16"/>
              </w:rPr>
            </w:r>
            <w:r>
              <w:rPr>
                <w:rFonts w:ascii="Arial" w:hAnsi="Arial" w:cs="Arial"/>
                <w:sz w:val="16"/>
                <w:szCs w:val="16"/>
              </w:rPr>
            </w:r>
          </w:p>
        </w:tc>
      </w:tr>
      <w:tr>
        <w:trPr>
          <w:jc w:val="center"/>
          <w:trHeight w:val="227"/>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BFF2517">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Fonte de Recurso: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21CE997F">
            <w:pPr>
              <w:pBdr/>
              <w:spacing/>
              <w:ind/>
              <w:rPr>
                <w:rFonts w:ascii="Arial" w:hAnsi="Arial" w:cs="Arial"/>
                <w:sz w:val="16"/>
                <w:szCs w:val="16"/>
              </w:rPr>
            </w:pPr>
            <w:r>
              <w:rPr>
                <w:rFonts w:ascii="Arial" w:hAnsi="Arial" w:eastAsia="Arial" w:cs="Arial"/>
                <w:sz w:val="16"/>
                <w:szCs w:val="16"/>
              </w:rPr>
              <w:t xml:space="preserve">1.600.0000600</w:t>
            </w:r>
            <w:r>
              <w:rPr>
                <w:rFonts w:ascii="Arial" w:hAnsi="Arial" w:cs="Arial"/>
                <w:sz w:val="16"/>
                <w:szCs w:val="16"/>
              </w:rPr>
            </w:r>
            <w:r>
              <w:rPr>
                <w:rFonts w:ascii="Arial" w:hAnsi="Arial" w:cs="Arial"/>
                <w:sz w:val="16"/>
                <w:szCs w:val="16"/>
              </w:rPr>
            </w:r>
          </w:p>
        </w:tc>
      </w:tr>
    </w:tbl>
    <w:p w14:paraId="0B1E025E">
      <w:pPr>
        <w:pBdr/>
        <w:spacing/>
        <w:ind/>
        <w:jc w:val="both"/>
        <w:rPr>
          <w:rFonts w:ascii="Arial" w:hAnsi="Arial" w:cs="Arial"/>
          <w:sz w:val="16"/>
          <w:szCs w:val="16"/>
        </w:rPr>
      </w:pPr>
      <w:r>
        <w:rPr>
          <w:rFonts w:ascii="Arial" w:hAnsi="Arial" w:eastAsia="Arial" w:cs="Arial"/>
          <w:sz w:val="16"/>
          <w:szCs w:val="16"/>
        </w:rPr>
      </w:r>
      <w:r>
        <w:rPr>
          <w:rFonts w:ascii="Arial" w:hAnsi="Arial" w:cs="Arial"/>
          <w:sz w:val="16"/>
          <w:szCs w:val="16"/>
        </w:rPr>
      </w:r>
      <w:r>
        <w:rPr>
          <w:rFonts w:ascii="Arial" w:hAnsi="Arial" w:cs="Arial"/>
          <w:sz w:val="16"/>
          <w:szCs w:val="16"/>
        </w:rPr>
      </w:r>
    </w:p>
    <w:tbl>
      <w:tblPr>
        <w:jc w:val="center"/>
        <w:tblW w:w="8969" w:type="dxa"/>
        <w:tblBorders/>
        <w:tblLayout w:type="fixed"/>
        <w:tblLook w:val="04A0" w:firstRow="1" w:lastRow="0" w:firstColumn="1" w:lastColumn="0" w:noHBand="0" w:noVBand="1"/>
      </w:tblPr>
      <w:tblGrid>
        <w:gridCol w:w="2189"/>
        <w:gridCol w:w="6780"/>
      </w:tblGrid>
      <w:tr>
        <w:trPr>
          <w:jc w:val="center"/>
          <w:trHeight w:val="136"/>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411D6E23">
            <w:pPr>
              <w:pBdr/>
              <w:spacing/>
              <w:ind/>
              <w:jc w:val="center"/>
              <w:rPr>
                <w:rFonts w:ascii="Arial" w:hAnsi="Arial" w:cs="Arial"/>
                <w:sz w:val="16"/>
                <w:szCs w:val="16"/>
              </w:rPr>
            </w:pPr>
            <w:r>
              <w:rPr>
                <w:rFonts w:ascii="Arial" w:hAnsi="Arial" w:eastAsia="Arial" w:cs="Arial"/>
                <w:b/>
                <w:color w:val="000000"/>
                <w:sz w:val="16"/>
                <w:szCs w:val="16"/>
                <w:lang w:val="pt-BR" w:eastAsia="pt-BR"/>
              </w:rPr>
              <w:t xml:space="preserve">Classificação Orçamentária da Despesa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1AD38FA">
            <w:pPr>
              <w:pBdr/>
              <w:spacing/>
              <w:ind/>
              <w:jc w:val="right"/>
              <w:rPr>
                <w:rFonts w:ascii="Arial" w:hAnsi="Arial" w:cs="Arial"/>
                <w:sz w:val="16"/>
                <w:szCs w:val="16"/>
              </w:rPr>
            </w:pPr>
            <w:r>
              <w:rPr>
                <w:rFonts w:ascii="Arial" w:hAnsi="Arial" w:eastAsia="Arial" w:cs="Arial"/>
                <w:color w:val="000000"/>
                <w:sz w:val="16"/>
                <w:szCs w:val="16"/>
                <w:lang w:val="pt-BR" w:eastAsia="pt-BR"/>
              </w:rPr>
              <w:t xml:space="preserve">Órgão: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1ED59573">
            <w:pPr>
              <w:pBdr/>
              <w:spacing/>
              <w:ind/>
              <w:rPr>
                <w:rFonts w:ascii="Arial" w:hAnsi="Arial" w:cs="Arial"/>
                <w:sz w:val="16"/>
                <w:szCs w:val="16"/>
              </w:rPr>
            </w:pPr>
            <w:r>
              <w:rPr>
                <w:rFonts w:ascii="Arial" w:hAnsi="Arial" w:eastAsia="Arial" w:cs="Arial"/>
                <w:color w:val="000000"/>
                <w:sz w:val="16"/>
                <w:szCs w:val="16"/>
                <w:lang w:val="pt-BR" w:eastAsia="pt-BR"/>
              </w:rPr>
              <w:t xml:space="preserve">02 – Prefeitura Municipal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2BA60D37">
            <w:pPr>
              <w:pBdr/>
              <w:spacing/>
              <w:ind/>
              <w:jc w:val="right"/>
              <w:rPr>
                <w:rFonts w:ascii="Arial" w:hAnsi="Arial" w:cs="Arial"/>
                <w:sz w:val="16"/>
                <w:szCs w:val="16"/>
              </w:rPr>
            </w:pPr>
            <w:r>
              <w:rPr>
                <w:rFonts w:ascii="Arial" w:hAnsi="Arial" w:eastAsia="Arial" w:cs="Arial"/>
                <w:color w:val="000000"/>
                <w:sz w:val="16"/>
                <w:szCs w:val="16"/>
                <w:lang w:val="pt-BR" w:eastAsia="pt-BR"/>
              </w:rPr>
              <w:t xml:space="preserve">Unidade:</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020D9E97">
            <w:pPr>
              <w:pBdr/>
              <w:spacing/>
              <w:ind/>
              <w:rPr>
                <w:rFonts w:ascii="Arial" w:hAnsi="Arial" w:cs="Arial"/>
                <w:sz w:val="16"/>
                <w:szCs w:val="16"/>
              </w:rPr>
            </w:pPr>
            <w:r>
              <w:rPr>
                <w:rFonts w:ascii="Arial" w:hAnsi="Arial" w:eastAsia="Arial" w:cs="Arial"/>
                <w:color w:val="000000"/>
                <w:sz w:val="16"/>
                <w:szCs w:val="16"/>
                <w:lang w:val="pt-BR" w:eastAsia="pt-BR"/>
              </w:rPr>
              <w:t xml:space="preserve">14 – Fundo Municipal de Saúde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674C934B">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Funcional Programática: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29DE84A5">
            <w:pPr>
              <w:pBdr/>
              <w:spacing/>
              <w:ind/>
              <w:rPr>
                <w:rFonts w:ascii="Arial" w:hAnsi="Arial" w:cs="Arial"/>
                <w:sz w:val="16"/>
                <w:szCs w:val="16"/>
              </w:rPr>
            </w:pPr>
            <w:r>
              <w:rPr>
                <w:rFonts w:ascii="Arial" w:hAnsi="Arial" w:eastAsia="Arial" w:cs="Arial"/>
                <w:sz w:val="16"/>
                <w:szCs w:val="16"/>
              </w:rPr>
              <w:t xml:space="preserve">10.302.2203. 2189 - MANUTENÇÃO E EXPANSÃO DO SERVIÇO DE ATENDIMENTO MÓVEL DE URGÊNCIA-SAMU 192</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58106117">
            <w:pPr>
              <w:pBdr/>
              <w:spacing/>
              <w:ind/>
              <w:jc w:val="right"/>
              <w:rPr>
                <w:rFonts w:ascii="Arial" w:hAnsi="Arial" w:cs="Arial"/>
                <w:sz w:val="16"/>
                <w:szCs w:val="16"/>
              </w:rPr>
            </w:pPr>
            <w:r>
              <w:rPr>
                <w:rFonts w:ascii="Arial" w:hAnsi="Arial" w:eastAsia="Arial" w:cs="Arial"/>
                <w:color w:val="000000"/>
                <w:sz w:val="16"/>
                <w:szCs w:val="16"/>
                <w:lang w:val="pt-BR" w:eastAsia="pt-BR"/>
              </w:rPr>
              <w:t xml:space="preserve">Elemento de Despesa: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597C8727">
            <w:pPr>
              <w:pBdr/>
              <w:spacing/>
              <w:ind/>
              <w:rPr>
                <w:rFonts w:ascii="Arial" w:hAnsi="Arial" w:cs="Arial"/>
                <w:sz w:val="16"/>
                <w:szCs w:val="16"/>
              </w:rPr>
            </w:pPr>
            <w:r>
              <w:rPr>
                <w:rFonts w:ascii="Arial" w:hAnsi="Arial" w:eastAsia="Arial" w:cs="Arial"/>
                <w:sz w:val="16"/>
                <w:szCs w:val="16"/>
              </w:rPr>
              <w:t xml:space="preserve">3.3.90.30.00.00 – MATERIAL DE CONSUMO</w:t>
            </w:r>
            <w:r>
              <w:rPr>
                <w:rFonts w:ascii="Arial" w:hAnsi="Arial" w:cs="Arial"/>
                <w:sz w:val="16"/>
                <w:szCs w:val="16"/>
              </w:rPr>
            </w:r>
            <w:r>
              <w:rPr>
                <w:rFonts w:ascii="Arial" w:hAnsi="Arial" w:cs="Arial"/>
                <w:sz w:val="16"/>
                <w:szCs w:val="16"/>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616EAB6B">
            <w:pPr>
              <w:pBdr/>
              <w:spacing/>
              <w:ind/>
              <w:jc w:val="right"/>
              <w:rPr>
                <w:rFonts w:ascii="Arial" w:hAnsi="Arial" w:cs="Arial"/>
                <w:sz w:val="16"/>
                <w:szCs w:val="16"/>
              </w:rPr>
            </w:pPr>
            <w:r>
              <w:rPr>
                <w:rFonts w:ascii="Arial" w:hAnsi="Arial" w:eastAsia="Arial" w:cs="Arial"/>
                <w:color w:val="000000"/>
                <w:sz w:val="16"/>
                <w:szCs w:val="16"/>
                <w:lang w:val="pt-BR" w:eastAsia="pt-BR"/>
              </w:rPr>
              <w:t xml:space="preserve">Reduzido:</w:t>
            </w:r>
            <w:r>
              <w:rPr>
                <w:rFonts w:ascii="Arial" w:hAnsi="Arial" w:cs="Arial"/>
                <w:sz w:val="16"/>
                <w:szCs w:val="16"/>
              </w:rPr>
            </w:r>
            <w:r>
              <w:rPr>
                <w:rFonts w:ascii="Arial" w:hAnsi="Arial" w:cs="Arial"/>
                <w:sz w:val="16"/>
                <w:szCs w:val="16"/>
              </w:rPr>
            </w:r>
          </w:p>
        </w:tc>
        <w:tc>
          <w:tcPr>
            <w:tcBorders>
              <w:left w:val="single" w:color="000000" w:sz="4" w:space="0"/>
              <w:bottom w:val="single" w:color="000000" w:sz="4" w:space="0"/>
              <w:right w:val="single" w:color="000000" w:sz="4" w:space="0"/>
            </w:tcBorders>
            <w:tcW w:w="6780" w:type="dxa"/>
            <w:textDirection w:val="lrTb"/>
            <w:noWrap w:val="false"/>
          </w:tcPr>
          <w:p w14:paraId="3050F6C1">
            <w:pPr>
              <w:pBdr/>
              <w:spacing/>
              <w:ind/>
              <w:rPr>
                <w:rFonts w:ascii="Arial" w:hAnsi="Arial" w:cs="Arial"/>
                <w:sz w:val="16"/>
                <w:szCs w:val="16"/>
              </w:rPr>
            </w:pPr>
            <w:r>
              <w:rPr>
                <w:rFonts w:ascii="Arial" w:hAnsi="Arial" w:eastAsia="Arial" w:cs="Arial"/>
                <w:b/>
                <w:sz w:val="16"/>
                <w:szCs w:val="16"/>
              </w:rPr>
              <w:t xml:space="preserve">593</w:t>
            </w:r>
            <w:r>
              <w:rPr>
                <w:rFonts w:ascii="Arial" w:hAnsi="Arial" w:cs="Arial"/>
                <w:sz w:val="16"/>
                <w:szCs w:val="16"/>
              </w:rPr>
            </w:r>
            <w:r>
              <w:rPr>
                <w:rFonts w:ascii="Arial" w:hAnsi="Arial" w:cs="Arial"/>
                <w:sz w:val="16"/>
                <w:szCs w:val="16"/>
              </w:rPr>
            </w:r>
          </w:p>
        </w:tc>
      </w:tr>
      <w:tr>
        <w:trPr>
          <w:jc w:val="center"/>
          <w:trHeight w:val="205"/>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66FF0209">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Fonte de Recurso: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586E2598">
            <w:pPr>
              <w:pBdr/>
              <w:spacing/>
              <w:ind/>
              <w:rPr>
                <w:rFonts w:ascii="Arial" w:hAnsi="Arial" w:cs="Arial"/>
                <w:sz w:val="16"/>
                <w:szCs w:val="16"/>
              </w:rPr>
            </w:pPr>
            <w:r>
              <w:rPr>
                <w:rFonts w:ascii="Arial" w:hAnsi="Arial" w:eastAsia="Arial" w:cs="Arial"/>
                <w:sz w:val="16"/>
                <w:szCs w:val="16"/>
              </w:rPr>
              <w:t xml:space="preserve">1.600.0000603</w:t>
            </w:r>
            <w:r>
              <w:rPr>
                <w:rFonts w:ascii="Arial" w:hAnsi="Arial" w:cs="Arial"/>
                <w:sz w:val="16"/>
                <w:szCs w:val="16"/>
              </w:rPr>
            </w:r>
            <w:r>
              <w:rPr>
                <w:rFonts w:ascii="Arial" w:hAnsi="Arial" w:cs="Arial"/>
                <w:sz w:val="16"/>
                <w:szCs w:val="16"/>
              </w:rPr>
            </w:r>
          </w:p>
        </w:tc>
      </w:tr>
    </w:tbl>
    <w:p w14:paraId="37F2F13A">
      <w:pPr>
        <w:pBdr/>
        <w:spacing/>
        <w:ind/>
        <w:jc w:val="both"/>
        <w:rPr>
          <w:rFonts w:ascii="Arial" w:hAnsi="Arial" w:cs="Arial"/>
          <w:sz w:val="16"/>
          <w:szCs w:val="16"/>
        </w:rPr>
      </w:pPr>
      <w:r>
        <w:rPr>
          <w:rFonts w:ascii="Arial" w:hAnsi="Arial" w:eastAsia="Arial" w:cs="Arial"/>
          <w:sz w:val="16"/>
          <w:szCs w:val="16"/>
        </w:rPr>
      </w:r>
      <w:r>
        <w:rPr>
          <w:rFonts w:ascii="Arial" w:hAnsi="Arial" w:cs="Arial"/>
          <w:sz w:val="16"/>
          <w:szCs w:val="16"/>
        </w:rPr>
      </w:r>
      <w:r>
        <w:rPr>
          <w:rFonts w:ascii="Arial" w:hAnsi="Arial" w:cs="Arial"/>
          <w:sz w:val="16"/>
          <w:szCs w:val="16"/>
        </w:rPr>
      </w:r>
    </w:p>
    <w:tbl>
      <w:tblPr>
        <w:jc w:val="center"/>
        <w:tblW w:w="8969" w:type="dxa"/>
        <w:tblBorders/>
        <w:tblLayout w:type="fixed"/>
        <w:tblLook w:val="04A0" w:firstRow="1" w:lastRow="0" w:firstColumn="1" w:lastColumn="0" w:noHBand="0" w:noVBand="1"/>
      </w:tblPr>
      <w:tblGrid>
        <w:gridCol w:w="2189"/>
        <w:gridCol w:w="6780"/>
      </w:tblGrid>
      <w:tr>
        <w:trPr>
          <w:jc w:val="center"/>
          <w:trHeight w:val="113"/>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25381F80">
            <w:pPr>
              <w:pBdr/>
              <w:spacing/>
              <w:ind/>
              <w:jc w:val="center"/>
              <w:rPr>
                <w:rFonts w:ascii="Arial" w:hAnsi="Arial" w:cs="Arial"/>
                <w:sz w:val="16"/>
                <w:szCs w:val="16"/>
              </w:rPr>
            </w:pPr>
            <w:r>
              <w:rPr>
                <w:rFonts w:ascii="Arial" w:hAnsi="Arial" w:eastAsia="Arial" w:cs="Arial"/>
                <w:b/>
                <w:color w:val="000000"/>
                <w:sz w:val="16"/>
                <w:szCs w:val="16"/>
                <w:lang w:val="pt-BR" w:eastAsia="pt-BR"/>
              </w:rPr>
              <w:t xml:space="preserve">Classificação Orçamentária da Despesa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7A03FB6D">
            <w:pPr>
              <w:pBdr/>
              <w:spacing/>
              <w:ind/>
              <w:jc w:val="right"/>
              <w:rPr>
                <w:rFonts w:ascii="Arial" w:hAnsi="Arial" w:cs="Arial"/>
                <w:sz w:val="16"/>
                <w:szCs w:val="16"/>
              </w:rPr>
            </w:pPr>
            <w:r>
              <w:rPr>
                <w:rFonts w:ascii="Arial" w:hAnsi="Arial" w:eastAsia="Arial" w:cs="Arial"/>
                <w:color w:val="000000"/>
                <w:sz w:val="16"/>
                <w:szCs w:val="16"/>
                <w:lang w:val="pt-BR" w:eastAsia="pt-BR"/>
              </w:rPr>
              <w:t xml:space="preserve">Órgão: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45EADD4B">
            <w:pPr>
              <w:pBdr/>
              <w:spacing/>
              <w:ind/>
              <w:rPr>
                <w:rFonts w:ascii="Arial" w:hAnsi="Arial" w:cs="Arial"/>
                <w:sz w:val="16"/>
                <w:szCs w:val="16"/>
              </w:rPr>
            </w:pPr>
            <w:r>
              <w:rPr>
                <w:rFonts w:ascii="Arial" w:hAnsi="Arial" w:eastAsia="Arial" w:cs="Arial"/>
                <w:color w:val="000000"/>
                <w:sz w:val="16"/>
                <w:szCs w:val="16"/>
                <w:lang w:val="pt-BR" w:eastAsia="pt-BR"/>
              </w:rPr>
              <w:t xml:space="preserve">02 – Prefeitura Municipal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710AD04B">
            <w:pPr>
              <w:pBdr/>
              <w:spacing/>
              <w:ind/>
              <w:jc w:val="right"/>
              <w:rPr>
                <w:rFonts w:ascii="Arial" w:hAnsi="Arial" w:cs="Arial"/>
                <w:sz w:val="16"/>
                <w:szCs w:val="16"/>
              </w:rPr>
            </w:pPr>
            <w:r>
              <w:rPr>
                <w:rFonts w:ascii="Arial" w:hAnsi="Arial" w:eastAsia="Arial" w:cs="Arial"/>
                <w:color w:val="000000"/>
                <w:sz w:val="16"/>
                <w:szCs w:val="16"/>
                <w:lang w:val="pt-BR" w:eastAsia="pt-BR"/>
              </w:rPr>
              <w:t xml:space="preserve">Unidade:</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527A0AA0">
            <w:pPr>
              <w:pBdr/>
              <w:spacing/>
              <w:ind/>
              <w:rPr>
                <w:rFonts w:ascii="Arial" w:hAnsi="Arial" w:cs="Arial"/>
                <w:sz w:val="16"/>
                <w:szCs w:val="16"/>
              </w:rPr>
            </w:pPr>
            <w:r>
              <w:rPr>
                <w:rFonts w:ascii="Arial" w:hAnsi="Arial" w:eastAsia="Arial" w:cs="Arial"/>
                <w:color w:val="000000"/>
                <w:sz w:val="16"/>
                <w:szCs w:val="16"/>
                <w:lang w:val="pt-BR" w:eastAsia="pt-BR"/>
              </w:rPr>
              <w:t xml:space="preserve">14 – Fundo Municipal de Saúde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2EC80428">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Funcional Programática: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1B8850F7">
            <w:pPr>
              <w:pBdr/>
              <w:spacing/>
              <w:ind/>
              <w:rPr>
                <w:rFonts w:ascii="Arial" w:hAnsi="Arial" w:cs="Arial"/>
                <w:sz w:val="16"/>
                <w:szCs w:val="16"/>
              </w:rPr>
            </w:pPr>
            <w:r>
              <w:rPr>
                <w:rFonts w:ascii="Arial" w:hAnsi="Arial" w:eastAsia="Arial" w:cs="Arial"/>
                <w:sz w:val="16"/>
                <w:szCs w:val="16"/>
              </w:rPr>
              <w:t xml:space="preserve">10.302.2203.2192 - MANUTENÇÃO DOS SERVIÇOS DE NEFROLOGIA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67654BF6">
            <w:pPr>
              <w:pBdr/>
              <w:spacing/>
              <w:ind/>
              <w:jc w:val="right"/>
              <w:rPr>
                <w:rFonts w:ascii="Arial" w:hAnsi="Arial" w:cs="Arial"/>
                <w:sz w:val="16"/>
                <w:szCs w:val="16"/>
              </w:rPr>
            </w:pPr>
            <w:r>
              <w:rPr>
                <w:rFonts w:ascii="Arial" w:hAnsi="Arial" w:eastAsia="Arial" w:cs="Arial"/>
                <w:color w:val="000000"/>
                <w:sz w:val="16"/>
                <w:szCs w:val="16"/>
                <w:lang w:val="pt-BR" w:eastAsia="pt-BR"/>
              </w:rPr>
              <w:t xml:space="preserve">Elemento de Despesa: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0CFE82A2">
            <w:pPr>
              <w:pBdr/>
              <w:spacing/>
              <w:ind/>
              <w:rPr>
                <w:rFonts w:ascii="Arial" w:hAnsi="Arial" w:cs="Arial"/>
                <w:sz w:val="16"/>
                <w:szCs w:val="16"/>
              </w:rPr>
            </w:pPr>
            <w:r>
              <w:rPr>
                <w:rFonts w:ascii="Arial" w:hAnsi="Arial" w:eastAsia="Arial" w:cs="Arial"/>
                <w:sz w:val="16"/>
                <w:szCs w:val="16"/>
              </w:rPr>
              <w:t xml:space="preserve">3.3.90.30.00.00 – MATERIAL DE CONSUMO</w:t>
            </w:r>
            <w:r>
              <w:rPr>
                <w:rFonts w:ascii="Arial" w:hAnsi="Arial" w:cs="Arial"/>
                <w:sz w:val="16"/>
                <w:szCs w:val="16"/>
              </w:rPr>
            </w:r>
            <w:r>
              <w:rPr>
                <w:rFonts w:ascii="Arial" w:hAnsi="Arial" w:cs="Arial"/>
                <w:sz w:val="16"/>
                <w:szCs w:val="16"/>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62EE561A">
            <w:pPr>
              <w:pBdr/>
              <w:spacing/>
              <w:ind/>
              <w:jc w:val="right"/>
              <w:rPr>
                <w:rFonts w:ascii="Arial" w:hAnsi="Arial" w:cs="Arial"/>
                <w:sz w:val="16"/>
                <w:szCs w:val="16"/>
              </w:rPr>
            </w:pPr>
            <w:r>
              <w:rPr>
                <w:rFonts w:ascii="Arial" w:hAnsi="Arial" w:eastAsia="Arial" w:cs="Arial"/>
                <w:color w:val="000000"/>
                <w:sz w:val="16"/>
                <w:szCs w:val="16"/>
                <w:lang w:val="pt-BR" w:eastAsia="pt-BR"/>
              </w:rPr>
              <w:t xml:space="preserve">Reduzido:</w:t>
            </w:r>
            <w:r>
              <w:rPr>
                <w:rFonts w:ascii="Arial" w:hAnsi="Arial" w:cs="Arial"/>
                <w:sz w:val="16"/>
                <w:szCs w:val="16"/>
              </w:rPr>
            </w:r>
            <w:r>
              <w:rPr>
                <w:rFonts w:ascii="Arial" w:hAnsi="Arial" w:cs="Arial"/>
                <w:sz w:val="16"/>
                <w:szCs w:val="16"/>
              </w:rPr>
            </w:r>
          </w:p>
        </w:tc>
        <w:tc>
          <w:tcPr>
            <w:tcBorders>
              <w:left w:val="single" w:color="000000" w:sz="4" w:space="0"/>
              <w:bottom w:val="single" w:color="000000" w:sz="4" w:space="0"/>
              <w:right w:val="single" w:color="000000" w:sz="4" w:space="0"/>
            </w:tcBorders>
            <w:tcW w:w="6780" w:type="dxa"/>
            <w:textDirection w:val="lrTb"/>
            <w:noWrap w:val="false"/>
          </w:tcPr>
          <w:p w14:paraId="08A41500">
            <w:pPr>
              <w:pBdr/>
              <w:spacing/>
              <w:ind/>
              <w:rPr>
                <w:rFonts w:ascii="Arial" w:hAnsi="Arial" w:cs="Arial"/>
                <w:sz w:val="16"/>
                <w:szCs w:val="16"/>
              </w:rPr>
            </w:pPr>
            <w:r>
              <w:rPr>
                <w:rFonts w:ascii="Arial" w:hAnsi="Arial" w:eastAsia="Arial" w:cs="Arial"/>
                <w:b/>
                <w:sz w:val="16"/>
                <w:szCs w:val="16"/>
              </w:rPr>
              <w:t xml:space="preserve">600</w:t>
            </w:r>
            <w:r>
              <w:rPr>
                <w:rFonts w:ascii="Arial" w:hAnsi="Arial" w:cs="Arial"/>
                <w:sz w:val="16"/>
                <w:szCs w:val="16"/>
              </w:rPr>
            </w:r>
            <w:r>
              <w:rPr>
                <w:rFonts w:ascii="Arial" w:hAnsi="Arial" w:cs="Arial"/>
                <w:sz w:val="16"/>
                <w:szCs w:val="16"/>
              </w:rPr>
            </w:r>
          </w:p>
        </w:tc>
      </w:tr>
      <w:tr>
        <w:trPr>
          <w:jc w:val="center"/>
          <w:trHeight w:val="225"/>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51C3FE11">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Fonte de Recurso: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2B97D27D">
            <w:pPr>
              <w:pBdr/>
              <w:spacing/>
              <w:ind/>
              <w:rPr>
                <w:rFonts w:ascii="Arial" w:hAnsi="Arial" w:cs="Arial"/>
                <w:sz w:val="16"/>
                <w:szCs w:val="16"/>
              </w:rPr>
            </w:pPr>
            <w:r>
              <w:rPr>
                <w:rFonts w:ascii="Arial" w:hAnsi="Arial" w:eastAsia="Arial" w:cs="Arial"/>
                <w:sz w:val="16"/>
                <w:szCs w:val="16"/>
              </w:rPr>
              <w:t xml:space="preserve">1.600.0000603</w:t>
            </w:r>
            <w:r>
              <w:rPr>
                <w:rFonts w:ascii="Arial" w:hAnsi="Arial" w:cs="Arial"/>
                <w:sz w:val="16"/>
                <w:szCs w:val="16"/>
              </w:rPr>
            </w:r>
            <w:r>
              <w:rPr>
                <w:rFonts w:ascii="Arial" w:hAnsi="Arial" w:cs="Arial"/>
                <w:sz w:val="16"/>
                <w:szCs w:val="16"/>
              </w:rPr>
            </w:r>
          </w:p>
        </w:tc>
      </w:tr>
    </w:tbl>
    <w:p w14:paraId="2EC7C06B">
      <w:pPr>
        <w:pBdr/>
        <w:spacing/>
        <w:ind/>
        <w:jc w:val="both"/>
        <w:rPr>
          <w:rFonts w:ascii="Arial" w:hAnsi="Arial" w:cs="Arial"/>
          <w:sz w:val="16"/>
          <w:szCs w:val="16"/>
        </w:rPr>
      </w:pPr>
      <w:r>
        <w:rPr>
          <w:rFonts w:ascii="Arial" w:hAnsi="Arial" w:eastAsia="Arial" w:cs="Arial"/>
          <w:sz w:val="16"/>
          <w:szCs w:val="16"/>
        </w:rPr>
      </w:r>
      <w:r>
        <w:rPr>
          <w:rFonts w:ascii="Arial" w:hAnsi="Arial" w:cs="Arial"/>
          <w:sz w:val="16"/>
          <w:szCs w:val="16"/>
        </w:rPr>
      </w:r>
      <w:r>
        <w:rPr>
          <w:rFonts w:ascii="Arial" w:hAnsi="Arial" w:cs="Arial"/>
          <w:sz w:val="16"/>
          <w:szCs w:val="16"/>
        </w:rPr>
      </w:r>
    </w:p>
    <w:tbl>
      <w:tblPr>
        <w:jc w:val="center"/>
        <w:tblW w:w="8969" w:type="dxa"/>
        <w:tblBorders/>
        <w:tblLayout w:type="fixed"/>
        <w:tblLook w:val="04A0" w:firstRow="1" w:lastRow="0" w:firstColumn="1" w:lastColumn="0" w:noHBand="0" w:noVBand="1"/>
      </w:tblPr>
      <w:tblGrid>
        <w:gridCol w:w="2189"/>
        <w:gridCol w:w="6780"/>
      </w:tblGrid>
      <w:tr>
        <w:trPr>
          <w:jc w:val="center"/>
          <w:trHeight w:val="133"/>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63B47937">
            <w:pPr>
              <w:pBdr/>
              <w:spacing/>
              <w:ind/>
              <w:jc w:val="center"/>
              <w:rPr>
                <w:rFonts w:ascii="Arial" w:hAnsi="Arial" w:cs="Arial"/>
                <w:sz w:val="16"/>
                <w:szCs w:val="16"/>
              </w:rPr>
            </w:pPr>
            <w:r>
              <w:rPr>
                <w:rFonts w:ascii="Arial" w:hAnsi="Arial" w:eastAsia="Arial" w:cs="Arial"/>
                <w:b/>
                <w:color w:val="000000"/>
                <w:sz w:val="16"/>
                <w:szCs w:val="16"/>
                <w:lang w:val="pt-BR" w:eastAsia="pt-BR"/>
              </w:rPr>
              <w:t xml:space="preserve">Classificação Orçamentária da Despesa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C552169">
            <w:pPr>
              <w:pBdr/>
              <w:spacing/>
              <w:ind/>
              <w:jc w:val="right"/>
              <w:rPr>
                <w:rFonts w:ascii="Arial" w:hAnsi="Arial" w:cs="Arial"/>
                <w:sz w:val="16"/>
                <w:szCs w:val="16"/>
              </w:rPr>
            </w:pPr>
            <w:r>
              <w:rPr>
                <w:rFonts w:ascii="Arial" w:hAnsi="Arial" w:eastAsia="Arial" w:cs="Arial"/>
                <w:color w:val="000000"/>
                <w:sz w:val="16"/>
                <w:szCs w:val="16"/>
                <w:lang w:val="pt-BR" w:eastAsia="pt-BR"/>
              </w:rPr>
              <w:t xml:space="preserve">Órgão: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59F86A20">
            <w:pPr>
              <w:pBdr/>
              <w:spacing/>
              <w:ind/>
              <w:rPr>
                <w:rFonts w:ascii="Arial" w:hAnsi="Arial" w:cs="Arial"/>
                <w:sz w:val="16"/>
                <w:szCs w:val="16"/>
              </w:rPr>
            </w:pPr>
            <w:r>
              <w:rPr>
                <w:rFonts w:ascii="Arial" w:hAnsi="Arial" w:eastAsia="Arial" w:cs="Arial"/>
                <w:color w:val="000000"/>
                <w:sz w:val="16"/>
                <w:szCs w:val="16"/>
                <w:lang w:val="pt-BR" w:eastAsia="pt-BR"/>
              </w:rPr>
              <w:t xml:space="preserve">02 – Prefeitura Municipal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77898CCE">
            <w:pPr>
              <w:pBdr/>
              <w:spacing/>
              <w:ind/>
              <w:jc w:val="right"/>
              <w:rPr>
                <w:rFonts w:ascii="Arial" w:hAnsi="Arial" w:cs="Arial"/>
                <w:sz w:val="16"/>
                <w:szCs w:val="16"/>
              </w:rPr>
            </w:pPr>
            <w:r>
              <w:rPr>
                <w:rFonts w:ascii="Arial" w:hAnsi="Arial" w:eastAsia="Arial" w:cs="Arial"/>
                <w:color w:val="000000"/>
                <w:sz w:val="16"/>
                <w:szCs w:val="16"/>
                <w:lang w:val="pt-BR" w:eastAsia="pt-BR"/>
              </w:rPr>
              <w:t xml:space="preserve">Unidade:</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533EB368">
            <w:pPr>
              <w:pBdr/>
              <w:spacing/>
              <w:ind/>
              <w:rPr>
                <w:rFonts w:ascii="Arial" w:hAnsi="Arial" w:cs="Arial"/>
                <w:sz w:val="16"/>
                <w:szCs w:val="16"/>
              </w:rPr>
            </w:pPr>
            <w:r>
              <w:rPr>
                <w:rFonts w:ascii="Arial" w:hAnsi="Arial" w:eastAsia="Arial" w:cs="Arial"/>
                <w:color w:val="000000"/>
                <w:sz w:val="16"/>
                <w:szCs w:val="16"/>
                <w:lang w:val="pt-BR" w:eastAsia="pt-BR"/>
              </w:rPr>
              <w:t xml:space="preserve">14 – Fundo Municipal de Saúde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9FFE3B8">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Funcional Programática: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5A3A5A25">
            <w:pPr>
              <w:pBdr/>
              <w:spacing/>
              <w:ind/>
              <w:rPr>
                <w:rFonts w:ascii="Arial" w:hAnsi="Arial" w:cs="Arial"/>
                <w:sz w:val="16"/>
                <w:szCs w:val="16"/>
              </w:rPr>
            </w:pPr>
            <w:r>
              <w:rPr>
                <w:rFonts w:ascii="Arial" w:hAnsi="Arial" w:eastAsia="Arial" w:cs="Arial"/>
                <w:sz w:val="16"/>
                <w:szCs w:val="16"/>
              </w:rPr>
              <w:t xml:space="preserve">10.302.2203.2193 - MANUTENÇÃO DOS SERVIÇOS DE MÉDIA E ALTA COMPLEXIDADE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6B012F54">
            <w:pPr>
              <w:pBdr/>
              <w:spacing/>
              <w:ind/>
              <w:jc w:val="right"/>
              <w:rPr>
                <w:rFonts w:ascii="Arial" w:hAnsi="Arial" w:cs="Arial"/>
                <w:sz w:val="16"/>
                <w:szCs w:val="16"/>
              </w:rPr>
            </w:pPr>
            <w:r>
              <w:rPr>
                <w:rFonts w:ascii="Arial" w:hAnsi="Arial" w:eastAsia="Arial" w:cs="Arial"/>
                <w:color w:val="000000"/>
                <w:sz w:val="16"/>
                <w:szCs w:val="16"/>
                <w:lang w:val="pt-BR" w:eastAsia="pt-BR"/>
              </w:rPr>
              <w:t xml:space="preserve">Elemento de Despesa: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13369E65">
            <w:pPr>
              <w:pBdr/>
              <w:spacing/>
              <w:ind/>
              <w:rPr>
                <w:rFonts w:ascii="Arial" w:hAnsi="Arial" w:cs="Arial"/>
                <w:sz w:val="16"/>
                <w:szCs w:val="16"/>
              </w:rPr>
            </w:pPr>
            <w:r>
              <w:rPr>
                <w:rFonts w:ascii="Arial" w:hAnsi="Arial" w:eastAsia="Arial" w:cs="Arial"/>
                <w:sz w:val="16"/>
                <w:szCs w:val="16"/>
              </w:rPr>
              <w:t xml:space="preserve">3.3.90.30.00.00 – MATERIAL DE CONSUMO</w:t>
            </w:r>
            <w:r>
              <w:rPr>
                <w:rFonts w:ascii="Arial" w:hAnsi="Arial" w:cs="Arial"/>
                <w:sz w:val="16"/>
                <w:szCs w:val="16"/>
              </w:rPr>
            </w:r>
            <w:r>
              <w:rPr>
                <w:rFonts w:ascii="Arial" w:hAnsi="Arial" w:cs="Arial"/>
                <w:sz w:val="16"/>
                <w:szCs w:val="16"/>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7CD45F84">
            <w:pPr>
              <w:pBdr/>
              <w:spacing/>
              <w:ind/>
              <w:jc w:val="right"/>
              <w:rPr>
                <w:rFonts w:ascii="Arial" w:hAnsi="Arial" w:cs="Arial"/>
                <w:sz w:val="16"/>
                <w:szCs w:val="16"/>
              </w:rPr>
            </w:pPr>
            <w:r>
              <w:rPr>
                <w:rFonts w:ascii="Arial" w:hAnsi="Arial" w:eastAsia="Arial" w:cs="Arial"/>
                <w:color w:val="000000"/>
                <w:sz w:val="16"/>
                <w:szCs w:val="16"/>
                <w:lang w:val="pt-BR" w:eastAsia="pt-BR"/>
              </w:rPr>
              <w:t xml:space="preserve">Reduzido:</w:t>
            </w:r>
            <w:r>
              <w:rPr>
                <w:rFonts w:ascii="Arial" w:hAnsi="Arial" w:cs="Arial"/>
                <w:sz w:val="16"/>
                <w:szCs w:val="16"/>
              </w:rPr>
            </w:r>
            <w:r>
              <w:rPr>
                <w:rFonts w:ascii="Arial" w:hAnsi="Arial" w:cs="Arial"/>
                <w:sz w:val="16"/>
                <w:szCs w:val="16"/>
              </w:rPr>
            </w:r>
          </w:p>
        </w:tc>
        <w:tc>
          <w:tcPr>
            <w:tcBorders>
              <w:left w:val="single" w:color="000000" w:sz="4" w:space="0"/>
              <w:bottom w:val="single" w:color="000000" w:sz="4" w:space="0"/>
              <w:right w:val="single" w:color="000000" w:sz="4" w:space="0"/>
            </w:tcBorders>
            <w:tcW w:w="6780" w:type="dxa"/>
            <w:textDirection w:val="lrTb"/>
            <w:noWrap w:val="false"/>
          </w:tcPr>
          <w:p w14:paraId="413AA4B0">
            <w:pPr>
              <w:pBdr/>
              <w:spacing/>
              <w:ind/>
              <w:rPr>
                <w:rFonts w:ascii="Arial" w:hAnsi="Arial" w:cs="Arial"/>
                <w:sz w:val="16"/>
                <w:szCs w:val="16"/>
              </w:rPr>
            </w:pPr>
            <w:r>
              <w:rPr>
                <w:rFonts w:ascii="Arial" w:hAnsi="Arial" w:eastAsia="Arial" w:cs="Arial"/>
                <w:b/>
                <w:sz w:val="16"/>
                <w:szCs w:val="16"/>
              </w:rPr>
              <w:t xml:space="preserve">556</w:t>
            </w:r>
            <w:r>
              <w:rPr>
                <w:rFonts w:ascii="Arial" w:hAnsi="Arial" w:cs="Arial"/>
                <w:sz w:val="16"/>
                <w:szCs w:val="16"/>
              </w:rPr>
            </w:r>
            <w:r>
              <w:rPr>
                <w:rFonts w:ascii="Arial" w:hAnsi="Arial" w:cs="Arial"/>
                <w:sz w:val="16"/>
                <w:szCs w:val="16"/>
              </w:rPr>
            </w:r>
          </w:p>
        </w:tc>
      </w:tr>
      <w:tr>
        <w:trPr>
          <w:jc w:val="center"/>
          <w:trHeight w:val="103"/>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467C3B01">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Fonte de Recurso: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2E2C4C0C">
            <w:pPr>
              <w:pBdr/>
              <w:spacing/>
              <w:ind/>
              <w:rPr>
                <w:rFonts w:ascii="Arial" w:hAnsi="Arial" w:cs="Arial"/>
                <w:sz w:val="16"/>
                <w:szCs w:val="16"/>
              </w:rPr>
            </w:pPr>
            <w:r>
              <w:rPr>
                <w:rFonts w:ascii="Arial" w:hAnsi="Arial" w:eastAsia="Arial" w:cs="Arial"/>
                <w:sz w:val="16"/>
                <w:szCs w:val="16"/>
              </w:rPr>
              <w:t xml:space="preserve">1.500.1002000</w:t>
            </w:r>
            <w:r>
              <w:rPr>
                <w:rFonts w:ascii="Arial" w:hAnsi="Arial" w:cs="Arial"/>
                <w:sz w:val="16"/>
                <w:szCs w:val="16"/>
              </w:rPr>
            </w:r>
            <w:r>
              <w:rPr>
                <w:rFonts w:ascii="Arial" w:hAnsi="Arial" w:cs="Arial"/>
                <w:sz w:val="16"/>
                <w:szCs w:val="16"/>
              </w:rPr>
            </w:r>
          </w:p>
        </w:tc>
      </w:tr>
    </w:tbl>
    <w:p w14:paraId="138EAFA7">
      <w:pPr>
        <w:pBdr/>
        <w:spacing/>
        <w:ind/>
        <w:jc w:val="both"/>
        <w:rPr>
          <w:rFonts w:ascii="Arial" w:hAnsi="Arial" w:cs="Arial"/>
          <w:sz w:val="16"/>
          <w:szCs w:val="16"/>
        </w:rPr>
      </w:pPr>
      <w:r>
        <w:rPr>
          <w:rFonts w:ascii="Arial" w:hAnsi="Arial" w:eastAsia="Arial" w:cs="Arial"/>
          <w:sz w:val="16"/>
          <w:szCs w:val="16"/>
        </w:rPr>
      </w:r>
      <w:r>
        <w:rPr>
          <w:rFonts w:ascii="Arial" w:hAnsi="Arial" w:cs="Arial"/>
          <w:sz w:val="16"/>
          <w:szCs w:val="16"/>
        </w:rPr>
      </w:r>
      <w:r>
        <w:rPr>
          <w:rFonts w:ascii="Arial" w:hAnsi="Arial" w:cs="Arial"/>
          <w:sz w:val="16"/>
          <w:szCs w:val="16"/>
        </w:rPr>
      </w:r>
    </w:p>
    <w:tbl>
      <w:tblPr>
        <w:jc w:val="center"/>
        <w:tblW w:w="8969" w:type="dxa"/>
        <w:tblBorders/>
        <w:tblLayout w:type="fixed"/>
        <w:tblLook w:val="04A0" w:firstRow="1" w:lastRow="0" w:firstColumn="1" w:lastColumn="0" w:noHBand="0" w:noVBand="1"/>
      </w:tblPr>
      <w:tblGrid>
        <w:gridCol w:w="2189"/>
        <w:gridCol w:w="6780"/>
      </w:tblGrid>
      <w:tr>
        <w:trPr>
          <w:jc w:val="center"/>
          <w:trHeight w:val="153"/>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3B35EC80">
            <w:pPr>
              <w:pBdr/>
              <w:spacing/>
              <w:ind/>
              <w:jc w:val="center"/>
              <w:rPr>
                <w:rFonts w:ascii="Arial" w:hAnsi="Arial" w:cs="Arial"/>
                <w:sz w:val="16"/>
                <w:szCs w:val="16"/>
              </w:rPr>
            </w:pPr>
            <w:r>
              <w:rPr>
                <w:rFonts w:ascii="Arial" w:hAnsi="Arial" w:eastAsia="Arial" w:cs="Arial"/>
                <w:b/>
                <w:color w:val="000000"/>
                <w:sz w:val="16"/>
                <w:szCs w:val="16"/>
                <w:lang w:val="pt-BR" w:eastAsia="pt-BR"/>
              </w:rPr>
              <w:t xml:space="preserve">Classificação Orçamentária da Despesa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3950CD65">
            <w:pPr>
              <w:pBdr/>
              <w:spacing/>
              <w:ind/>
              <w:jc w:val="right"/>
              <w:rPr>
                <w:rFonts w:ascii="Arial" w:hAnsi="Arial" w:cs="Arial"/>
                <w:sz w:val="16"/>
                <w:szCs w:val="16"/>
              </w:rPr>
            </w:pPr>
            <w:r>
              <w:rPr>
                <w:rFonts w:ascii="Arial" w:hAnsi="Arial" w:eastAsia="Arial" w:cs="Arial"/>
                <w:color w:val="000000"/>
                <w:sz w:val="16"/>
                <w:szCs w:val="16"/>
                <w:lang w:val="pt-BR" w:eastAsia="pt-BR"/>
              </w:rPr>
              <w:t xml:space="preserve">Órgão: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0C7691E2">
            <w:pPr>
              <w:pBdr/>
              <w:spacing/>
              <w:ind/>
              <w:rPr>
                <w:rFonts w:ascii="Arial" w:hAnsi="Arial" w:cs="Arial"/>
                <w:sz w:val="16"/>
                <w:szCs w:val="16"/>
              </w:rPr>
            </w:pPr>
            <w:r>
              <w:rPr>
                <w:rFonts w:ascii="Arial" w:hAnsi="Arial" w:eastAsia="Arial" w:cs="Arial"/>
                <w:color w:val="000000"/>
                <w:sz w:val="16"/>
                <w:szCs w:val="16"/>
                <w:lang w:val="pt-BR" w:eastAsia="pt-BR"/>
              </w:rPr>
              <w:t xml:space="preserve">02 – Prefeitura Municipal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5DA1EDE3">
            <w:pPr>
              <w:pBdr/>
              <w:spacing/>
              <w:ind/>
              <w:jc w:val="right"/>
              <w:rPr>
                <w:rFonts w:ascii="Arial" w:hAnsi="Arial" w:cs="Arial"/>
                <w:sz w:val="16"/>
                <w:szCs w:val="16"/>
              </w:rPr>
            </w:pPr>
            <w:r>
              <w:rPr>
                <w:rFonts w:ascii="Arial" w:hAnsi="Arial" w:eastAsia="Arial" w:cs="Arial"/>
                <w:color w:val="000000"/>
                <w:sz w:val="16"/>
                <w:szCs w:val="16"/>
                <w:lang w:val="pt-BR" w:eastAsia="pt-BR"/>
              </w:rPr>
              <w:t xml:space="preserve">Unidade:</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1D9CF6E4">
            <w:pPr>
              <w:pBdr/>
              <w:spacing/>
              <w:ind/>
              <w:rPr>
                <w:rFonts w:ascii="Arial" w:hAnsi="Arial" w:cs="Arial"/>
                <w:sz w:val="16"/>
                <w:szCs w:val="16"/>
              </w:rPr>
            </w:pPr>
            <w:r>
              <w:rPr>
                <w:rFonts w:ascii="Arial" w:hAnsi="Arial" w:eastAsia="Arial" w:cs="Arial"/>
                <w:color w:val="000000"/>
                <w:sz w:val="16"/>
                <w:szCs w:val="16"/>
                <w:lang w:val="pt-BR" w:eastAsia="pt-BR"/>
              </w:rPr>
              <w:t xml:space="preserve">14 – Fundo Municipal de Saúde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21E99A55">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Funcional Programática: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17A89D68">
            <w:pPr>
              <w:pBdr/>
              <w:spacing/>
              <w:ind/>
              <w:rPr>
                <w:rFonts w:ascii="Arial" w:hAnsi="Arial" w:cs="Arial"/>
                <w:sz w:val="16"/>
                <w:szCs w:val="16"/>
              </w:rPr>
            </w:pPr>
            <w:r>
              <w:rPr>
                <w:rFonts w:ascii="Arial" w:hAnsi="Arial" w:eastAsia="Arial" w:cs="Arial"/>
                <w:sz w:val="16"/>
                <w:szCs w:val="16"/>
              </w:rPr>
              <w:t xml:space="preserve">10.302.2203.2194 - MANUTENÇÃO DOS HOSPITAIS MUNICIPAIS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47A72570">
            <w:pPr>
              <w:pBdr/>
              <w:spacing/>
              <w:ind/>
              <w:jc w:val="right"/>
              <w:rPr>
                <w:rFonts w:ascii="Arial" w:hAnsi="Arial" w:cs="Arial"/>
                <w:sz w:val="16"/>
                <w:szCs w:val="16"/>
              </w:rPr>
            </w:pPr>
            <w:r>
              <w:rPr>
                <w:rFonts w:ascii="Arial" w:hAnsi="Arial" w:eastAsia="Arial" w:cs="Arial"/>
                <w:color w:val="000000"/>
                <w:sz w:val="16"/>
                <w:szCs w:val="16"/>
                <w:lang w:val="pt-BR" w:eastAsia="pt-BR"/>
              </w:rPr>
              <w:t xml:space="preserve">Elemento de Despesa: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634399C5">
            <w:pPr>
              <w:pBdr/>
              <w:spacing/>
              <w:ind/>
              <w:rPr>
                <w:rFonts w:ascii="Arial" w:hAnsi="Arial" w:cs="Arial"/>
                <w:sz w:val="16"/>
                <w:szCs w:val="16"/>
              </w:rPr>
            </w:pPr>
            <w:r>
              <w:rPr>
                <w:rFonts w:ascii="Arial" w:hAnsi="Arial" w:eastAsia="Arial" w:cs="Arial"/>
                <w:sz w:val="16"/>
                <w:szCs w:val="16"/>
              </w:rPr>
              <w:t xml:space="preserve">3.3.90.30.00.00 – MATERIAL DE CONSUMO</w:t>
            </w:r>
            <w:r>
              <w:rPr>
                <w:rFonts w:ascii="Arial" w:hAnsi="Arial" w:cs="Arial"/>
                <w:sz w:val="16"/>
                <w:szCs w:val="16"/>
              </w:rPr>
            </w:r>
            <w:r>
              <w:rPr>
                <w:rFonts w:ascii="Arial" w:hAnsi="Arial" w:cs="Arial"/>
                <w:sz w:val="16"/>
                <w:szCs w:val="16"/>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696FEE65">
            <w:pPr>
              <w:pBdr/>
              <w:spacing/>
              <w:ind/>
              <w:jc w:val="right"/>
              <w:rPr>
                <w:rFonts w:ascii="Arial" w:hAnsi="Arial" w:cs="Arial"/>
                <w:sz w:val="16"/>
                <w:szCs w:val="16"/>
              </w:rPr>
            </w:pPr>
            <w:r>
              <w:rPr>
                <w:rFonts w:ascii="Arial" w:hAnsi="Arial" w:eastAsia="Arial" w:cs="Arial"/>
                <w:color w:val="000000"/>
                <w:sz w:val="16"/>
                <w:szCs w:val="16"/>
                <w:lang w:val="pt-BR" w:eastAsia="pt-BR"/>
              </w:rPr>
              <w:t xml:space="preserve">Reduzido:</w:t>
            </w:r>
            <w:r>
              <w:rPr>
                <w:rFonts w:ascii="Arial" w:hAnsi="Arial" w:cs="Arial"/>
                <w:sz w:val="16"/>
                <w:szCs w:val="16"/>
              </w:rPr>
            </w:r>
            <w:r>
              <w:rPr>
                <w:rFonts w:ascii="Arial" w:hAnsi="Arial" w:cs="Arial"/>
                <w:sz w:val="16"/>
                <w:szCs w:val="16"/>
              </w:rPr>
            </w:r>
          </w:p>
        </w:tc>
        <w:tc>
          <w:tcPr>
            <w:tcBorders>
              <w:left w:val="single" w:color="000000" w:sz="4" w:space="0"/>
              <w:bottom w:val="single" w:color="000000" w:sz="4" w:space="0"/>
              <w:right w:val="single" w:color="000000" w:sz="4" w:space="0"/>
            </w:tcBorders>
            <w:tcW w:w="6780" w:type="dxa"/>
            <w:textDirection w:val="lrTb"/>
            <w:noWrap w:val="false"/>
          </w:tcPr>
          <w:p w14:paraId="2D4EDE86">
            <w:pPr>
              <w:pBdr/>
              <w:spacing/>
              <w:ind/>
              <w:rPr>
                <w:rFonts w:ascii="Arial" w:hAnsi="Arial" w:cs="Arial"/>
                <w:sz w:val="16"/>
                <w:szCs w:val="16"/>
              </w:rPr>
            </w:pPr>
            <w:r>
              <w:rPr>
                <w:rFonts w:ascii="Arial" w:hAnsi="Arial" w:eastAsia="Arial" w:cs="Arial"/>
                <w:b/>
                <w:sz w:val="16"/>
                <w:szCs w:val="16"/>
              </w:rPr>
              <w:t xml:space="preserve">636</w:t>
            </w:r>
            <w:r>
              <w:rPr>
                <w:rFonts w:ascii="Arial" w:hAnsi="Arial" w:cs="Arial"/>
                <w:sz w:val="16"/>
                <w:szCs w:val="16"/>
              </w:rPr>
            </w:r>
            <w:r>
              <w:rPr>
                <w:rFonts w:ascii="Arial" w:hAnsi="Arial" w:cs="Arial"/>
                <w:sz w:val="16"/>
                <w:szCs w:val="16"/>
              </w:rPr>
            </w:r>
          </w:p>
        </w:tc>
      </w:tr>
      <w:tr>
        <w:trPr>
          <w:jc w:val="center"/>
          <w:trHeight w:val="123"/>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3D70F97">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Fonte de Recurso: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7A06716B">
            <w:pPr>
              <w:pBdr/>
              <w:spacing/>
              <w:ind/>
              <w:rPr>
                <w:rFonts w:ascii="Arial" w:hAnsi="Arial" w:cs="Arial"/>
                <w:sz w:val="16"/>
                <w:szCs w:val="16"/>
              </w:rPr>
            </w:pPr>
            <w:r>
              <w:rPr>
                <w:rFonts w:ascii="Arial" w:hAnsi="Arial" w:eastAsia="Arial" w:cs="Arial"/>
                <w:sz w:val="16"/>
                <w:szCs w:val="16"/>
              </w:rPr>
              <w:t xml:space="preserve">1.500.1002000</w:t>
            </w:r>
            <w:r>
              <w:rPr>
                <w:rFonts w:ascii="Arial" w:hAnsi="Arial" w:cs="Arial"/>
                <w:sz w:val="16"/>
                <w:szCs w:val="16"/>
              </w:rPr>
            </w:r>
            <w:r>
              <w:rPr>
                <w:rFonts w:ascii="Arial" w:hAnsi="Arial" w:cs="Arial"/>
                <w:sz w:val="16"/>
                <w:szCs w:val="16"/>
              </w:rPr>
            </w:r>
          </w:p>
        </w:tc>
      </w:tr>
    </w:tbl>
    <w:p w14:paraId="5E05DCF0">
      <w:pPr>
        <w:pBdr/>
        <w:spacing/>
        <w:ind/>
        <w:jc w:val="both"/>
        <w:rPr>
          <w:rFonts w:ascii="Arial" w:hAnsi="Arial" w:cs="Arial"/>
          <w:sz w:val="16"/>
          <w:szCs w:val="16"/>
        </w:rPr>
      </w:pPr>
      <w:r>
        <w:rPr>
          <w:rFonts w:ascii="Arial" w:hAnsi="Arial" w:eastAsia="Arial" w:cs="Arial"/>
          <w:sz w:val="16"/>
          <w:szCs w:val="16"/>
        </w:rPr>
      </w:r>
      <w:r>
        <w:rPr>
          <w:rFonts w:ascii="Arial" w:hAnsi="Arial" w:cs="Arial"/>
          <w:sz w:val="16"/>
          <w:szCs w:val="16"/>
        </w:rPr>
      </w:r>
      <w:r>
        <w:rPr>
          <w:rFonts w:ascii="Arial" w:hAnsi="Arial" w:cs="Arial"/>
          <w:sz w:val="16"/>
          <w:szCs w:val="16"/>
        </w:rPr>
      </w:r>
    </w:p>
    <w:tbl>
      <w:tblPr>
        <w:jc w:val="center"/>
        <w:tblW w:w="8969" w:type="dxa"/>
        <w:tblBorders/>
        <w:tblLayout w:type="fixed"/>
        <w:tblLook w:val="04A0" w:firstRow="1" w:lastRow="0" w:firstColumn="1" w:lastColumn="0" w:noHBand="0" w:noVBand="1"/>
      </w:tblPr>
      <w:tblGrid>
        <w:gridCol w:w="2189"/>
        <w:gridCol w:w="6780"/>
      </w:tblGrid>
      <w:tr>
        <w:trPr>
          <w:jc w:val="center"/>
          <w:trHeight w:val="133"/>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33F2CF78">
            <w:pPr>
              <w:pBdr/>
              <w:spacing/>
              <w:ind/>
              <w:jc w:val="center"/>
              <w:rPr>
                <w:rFonts w:ascii="Arial" w:hAnsi="Arial" w:cs="Arial"/>
                <w:sz w:val="16"/>
                <w:szCs w:val="16"/>
              </w:rPr>
            </w:pPr>
            <w:r>
              <w:rPr>
                <w:rFonts w:ascii="Arial" w:hAnsi="Arial" w:eastAsia="Arial" w:cs="Arial"/>
                <w:b/>
                <w:color w:val="000000"/>
                <w:sz w:val="16"/>
                <w:szCs w:val="16"/>
                <w:lang w:val="pt-BR" w:eastAsia="pt-BR"/>
              </w:rPr>
              <w:t xml:space="preserve">Classificação Orçamentária da Despesa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62399E16">
            <w:pPr>
              <w:pBdr/>
              <w:spacing/>
              <w:ind/>
              <w:jc w:val="right"/>
              <w:rPr>
                <w:rFonts w:ascii="Arial" w:hAnsi="Arial" w:cs="Arial"/>
                <w:sz w:val="16"/>
                <w:szCs w:val="16"/>
              </w:rPr>
            </w:pPr>
            <w:r>
              <w:rPr>
                <w:rFonts w:ascii="Arial" w:hAnsi="Arial" w:eastAsia="Arial" w:cs="Arial"/>
                <w:color w:val="000000"/>
                <w:sz w:val="16"/>
                <w:szCs w:val="16"/>
                <w:lang w:val="pt-BR" w:eastAsia="pt-BR"/>
              </w:rPr>
              <w:t xml:space="preserve">Órgão: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0982EDCB">
            <w:pPr>
              <w:pBdr/>
              <w:spacing/>
              <w:ind/>
              <w:rPr>
                <w:rFonts w:ascii="Arial" w:hAnsi="Arial" w:cs="Arial"/>
                <w:sz w:val="16"/>
                <w:szCs w:val="16"/>
              </w:rPr>
            </w:pPr>
            <w:r>
              <w:rPr>
                <w:rFonts w:ascii="Arial" w:hAnsi="Arial" w:eastAsia="Arial" w:cs="Arial"/>
                <w:color w:val="000000"/>
                <w:sz w:val="16"/>
                <w:szCs w:val="16"/>
                <w:lang w:val="pt-BR" w:eastAsia="pt-BR"/>
              </w:rPr>
              <w:t xml:space="preserve">02 – Prefeitura Municipal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0F47E75">
            <w:pPr>
              <w:pBdr/>
              <w:spacing/>
              <w:ind/>
              <w:jc w:val="right"/>
              <w:rPr>
                <w:rFonts w:ascii="Arial" w:hAnsi="Arial" w:cs="Arial"/>
                <w:sz w:val="16"/>
                <w:szCs w:val="16"/>
              </w:rPr>
            </w:pPr>
            <w:r>
              <w:rPr>
                <w:rFonts w:ascii="Arial" w:hAnsi="Arial" w:eastAsia="Arial" w:cs="Arial"/>
                <w:color w:val="000000"/>
                <w:sz w:val="16"/>
                <w:szCs w:val="16"/>
                <w:lang w:val="pt-BR" w:eastAsia="pt-BR"/>
              </w:rPr>
              <w:t xml:space="preserve">Unidade:</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12BAADFF">
            <w:pPr>
              <w:pBdr/>
              <w:spacing/>
              <w:ind/>
              <w:rPr>
                <w:rFonts w:ascii="Arial" w:hAnsi="Arial" w:cs="Arial"/>
                <w:sz w:val="16"/>
                <w:szCs w:val="16"/>
              </w:rPr>
            </w:pPr>
            <w:r>
              <w:rPr>
                <w:rFonts w:ascii="Arial" w:hAnsi="Arial" w:eastAsia="Arial" w:cs="Arial"/>
                <w:color w:val="000000"/>
                <w:sz w:val="16"/>
                <w:szCs w:val="16"/>
                <w:lang w:val="pt-BR" w:eastAsia="pt-BR"/>
              </w:rPr>
              <w:t xml:space="preserve">14 – Fundo Municipal de Saúde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2750F3D3">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Funcional Programática: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4630C8F8">
            <w:pPr>
              <w:pBdr/>
              <w:spacing/>
              <w:ind/>
              <w:rPr>
                <w:rFonts w:ascii="Arial" w:hAnsi="Arial" w:cs="Arial"/>
                <w:sz w:val="16"/>
                <w:szCs w:val="16"/>
              </w:rPr>
            </w:pPr>
            <w:r>
              <w:rPr>
                <w:rFonts w:ascii="Arial" w:hAnsi="Arial" w:eastAsia="Arial" w:cs="Arial"/>
                <w:sz w:val="16"/>
                <w:szCs w:val="16"/>
              </w:rPr>
              <w:t xml:space="preserve">10.302.2203.2198 - MANUTENÇÃO E AMPLIAÇÃO DOS SERVIÇOS DO LABORATÓRIO CENTRAL-LACEN</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6B8F0DA">
            <w:pPr>
              <w:pBdr/>
              <w:spacing/>
              <w:ind/>
              <w:jc w:val="right"/>
              <w:rPr>
                <w:rFonts w:ascii="Arial" w:hAnsi="Arial" w:cs="Arial"/>
                <w:sz w:val="16"/>
                <w:szCs w:val="16"/>
              </w:rPr>
            </w:pPr>
            <w:r>
              <w:rPr>
                <w:rFonts w:ascii="Arial" w:hAnsi="Arial" w:eastAsia="Arial" w:cs="Arial"/>
                <w:color w:val="000000"/>
                <w:sz w:val="16"/>
                <w:szCs w:val="16"/>
                <w:lang w:val="pt-BR" w:eastAsia="pt-BR"/>
              </w:rPr>
              <w:t xml:space="preserve">Elemento de Despesa: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4E747A2E">
            <w:pPr>
              <w:pBdr/>
              <w:spacing/>
              <w:ind/>
              <w:rPr>
                <w:rFonts w:ascii="Arial" w:hAnsi="Arial" w:cs="Arial"/>
                <w:sz w:val="16"/>
                <w:szCs w:val="16"/>
              </w:rPr>
            </w:pPr>
            <w:r>
              <w:rPr>
                <w:rFonts w:ascii="Arial" w:hAnsi="Arial" w:eastAsia="Arial" w:cs="Arial"/>
                <w:sz w:val="16"/>
                <w:szCs w:val="16"/>
              </w:rPr>
              <w:t xml:space="preserve">3.3.90.30.00.00 – MATERIAL DE CONSUMO</w:t>
            </w:r>
            <w:r>
              <w:rPr>
                <w:rFonts w:ascii="Arial" w:hAnsi="Arial" w:cs="Arial"/>
                <w:sz w:val="16"/>
                <w:szCs w:val="16"/>
              </w:rPr>
            </w:r>
            <w:r>
              <w:rPr>
                <w:rFonts w:ascii="Arial" w:hAnsi="Arial" w:cs="Arial"/>
                <w:sz w:val="16"/>
                <w:szCs w:val="16"/>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77C5B53E">
            <w:pPr>
              <w:pBdr/>
              <w:spacing/>
              <w:ind/>
              <w:jc w:val="right"/>
              <w:rPr>
                <w:rFonts w:ascii="Arial" w:hAnsi="Arial" w:cs="Arial"/>
                <w:sz w:val="16"/>
                <w:szCs w:val="16"/>
              </w:rPr>
            </w:pPr>
            <w:r>
              <w:rPr>
                <w:rFonts w:ascii="Arial" w:hAnsi="Arial" w:eastAsia="Arial" w:cs="Arial"/>
                <w:color w:val="000000"/>
                <w:sz w:val="16"/>
                <w:szCs w:val="16"/>
                <w:lang w:val="pt-BR" w:eastAsia="pt-BR"/>
              </w:rPr>
              <w:t xml:space="preserve">Reduzido:</w:t>
            </w:r>
            <w:r>
              <w:rPr>
                <w:rFonts w:ascii="Arial" w:hAnsi="Arial" w:cs="Arial"/>
                <w:sz w:val="16"/>
                <w:szCs w:val="16"/>
              </w:rPr>
            </w:r>
            <w:r>
              <w:rPr>
                <w:rFonts w:ascii="Arial" w:hAnsi="Arial" w:cs="Arial"/>
                <w:sz w:val="16"/>
                <w:szCs w:val="16"/>
              </w:rPr>
            </w:r>
          </w:p>
        </w:tc>
        <w:tc>
          <w:tcPr>
            <w:tcBorders>
              <w:left w:val="single" w:color="000000" w:sz="4" w:space="0"/>
              <w:bottom w:val="single" w:color="000000" w:sz="4" w:space="0"/>
              <w:right w:val="single" w:color="000000" w:sz="4" w:space="0"/>
            </w:tcBorders>
            <w:tcW w:w="6780" w:type="dxa"/>
            <w:textDirection w:val="lrTb"/>
            <w:noWrap w:val="false"/>
          </w:tcPr>
          <w:p w14:paraId="1C599156">
            <w:pPr>
              <w:pBdr/>
              <w:spacing/>
              <w:ind/>
              <w:rPr>
                <w:rFonts w:ascii="Arial" w:hAnsi="Arial" w:cs="Arial"/>
                <w:sz w:val="16"/>
                <w:szCs w:val="16"/>
              </w:rPr>
            </w:pPr>
            <w:r>
              <w:rPr>
                <w:rFonts w:ascii="Arial" w:hAnsi="Arial" w:eastAsia="Arial" w:cs="Arial"/>
                <w:b/>
                <w:sz w:val="16"/>
                <w:szCs w:val="16"/>
              </w:rPr>
              <w:t xml:space="preserve">573</w:t>
            </w:r>
            <w:r>
              <w:rPr>
                <w:rFonts w:ascii="Arial" w:hAnsi="Arial" w:cs="Arial"/>
                <w:sz w:val="16"/>
                <w:szCs w:val="16"/>
              </w:rPr>
            </w:r>
            <w:r>
              <w:rPr>
                <w:rFonts w:ascii="Arial" w:hAnsi="Arial" w:cs="Arial"/>
                <w:sz w:val="16"/>
                <w:szCs w:val="16"/>
              </w:rPr>
            </w:r>
          </w:p>
        </w:tc>
      </w:tr>
      <w:tr>
        <w:trPr>
          <w:jc w:val="center"/>
          <w:trHeight w:val="65"/>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329FC2C8">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Fonte de Recurso: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372354DF">
            <w:pPr>
              <w:pBdr/>
              <w:spacing/>
              <w:ind/>
              <w:rPr>
                <w:rFonts w:ascii="Arial" w:hAnsi="Arial" w:cs="Arial"/>
                <w:sz w:val="16"/>
                <w:szCs w:val="16"/>
              </w:rPr>
            </w:pPr>
            <w:r>
              <w:rPr>
                <w:rFonts w:ascii="Arial" w:hAnsi="Arial" w:eastAsia="Arial" w:cs="Arial"/>
                <w:sz w:val="16"/>
                <w:szCs w:val="16"/>
              </w:rPr>
              <w:t xml:space="preserve">1.500.1002000</w:t>
            </w:r>
            <w:r>
              <w:rPr>
                <w:rFonts w:ascii="Arial" w:hAnsi="Arial" w:cs="Arial"/>
                <w:sz w:val="16"/>
                <w:szCs w:val="16"/>
              </w:rPr>
            </w:r>
            <w:r>
              <w:rPr>
                <w:rFonts w:ascii="Arial" w:hAnsi="Arial" w:cs="Arial"/>
                <w:sz w:val="16"/>
                <w:szCs w:val="16"/>
              </w:rPr>
            </w:r>
          </w:p>
        </w:tc>
      </w:tr>
    </w:tbl>
    <w:p w14:paraId="3B7D20CC">
      <w:pPr>
        <w:pBdr/>
        <w:spacing/>
        <w:ind/>
        <w:jc w:val="both"/>
        <w:rPr>
          <w:rFonts w:ascii="Arial" w:hAnsi="Arial" w:cs="Arial"/>
          <w:sz w:val="16"/>
          <w:szCs w:val="16"/>
        </w:rPr>
      </w:pPr>
      <w:r>
        <w:rPr>
          <w:rFonts w:ascii="Arial" w:hAnsi="Arial" w:eastAsia="Arial" w:cs="Arial"/>
          <w:sz w:val="16"/>
          <w:szCs w:val="16"/>
        </w:rPr>
      </w:r>
      <w:r>
        <w:rPr>
          <w:rFonts w:ascii="Arial" w:hAnsi="Arial" w:cs="Arial"/>
          <w:sz w:val="16"/>
          <w:szCs w:val="16"/>
        </w:rPr>
      </w:r>
      <w:r>
        <w:rPr>
          <w:rFonts w:ascii="Arial" w:hAnsi="Arial" w:cs="Arial"/>
          <w:sz w:val="16"/>
          <w:szCs w:val="16"/>
        </w:rPr>
      </w:r>
    </w:p>
    <w:tbl>
      <w:tblPr>
        <w:jc w:val="center"/>
        <w:tblW w:w="8969" w:type="dxa"/>
        <w:tblBorders/>
        <w:tblLayout w:type="fixed"/>
        <w:tblLook w:val="04A0" w:firstRow="1" w:lastRow="0" w:firstColumn="1" w:lastColumn="0" w:noHBand="0" w:noVBand="1"/>
      </w:tblPr>
      <w:tblGrid>
        <w:gridCol w:w="2189"/>
        <w:gridCol w:w="6780"/>
      </w:tblGrid>
      <w:tr>
        <w:trPr>
          <w:jc w:val="center"/>
          <w:trHeight w:val="240"/>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5D2123BA">
            <w:pPr>
              <w:pBdr/>
              <w:spacing/>
              <w:ind/>
              <w:jc w:val="center"/>
              <w:rPr>
                <w:rFonts w:ascii="Arial" w:hAnsi="Arial" w:cs="Arial"/>
                <w:sz w:val="16"/>
                <w:szCs w:val="16"/>
              </w:rPr>
            </w:pPr>
            <w:r>
              <w:rPr>
                <w:rFonts w:ascii="Arial" w:hAnsi="Arial" w:eastAsia="Arial" w:cs="Arial"/>
                <w:b/>
                <w:color w:val="000000"/>
                <w:sz w:val="16"/>
                <w:szCs w:val="16"/>
                <w:lang w:val="pt-BR" w:eastAsia="pt-BR"/>
              </w:rPr>
              <w:t xml:space="preserve">Classificação Orçamentária da Despesa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298FA52B">
            <w:pPr>
              <w:pBdr/>
              <w:spacing/>
              <w:ind/>
              <w:jc w:val="right"/>
              <w:rPr>
                <w:rFonts w:ascii="Arial" w:hAnsi="Arial" w:cs="Arial"/>
                <w:sz w:val="16"/>
                <w:szCs w:val="16"/>
              </w:rPr>
            </w:pPr>
            <w:r>
              <w:rPr>
                <w:rFonts w:ascii="Arial" w:hAnsi="Arial" w:eastAsia="Arial" w:cs="Arial"/>
                <w:color w:val="000000"/>
                <w:sz w:val="16"/>
                <w:szCs w:val="16"/>
                <w:lang w:val="pt-BR" w:eastAsia="pt-BR"/>
              </w:rPr>
              <w:t xml:space="preserve">Órgão: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72A387CF">
            <w:pPr>
              <w:pBdr/>
              <w:spacing/>
              <w:ind/>
              <w:rPr>
                <w:rFonts w:ascii="Arial" w:hAnsi="Arial" w:cs="Arial"/>
                <w:sz w:val="16"/>
                <w:szCs w:val="16"/>
              </w:rPr>
            </w:pPr>
            <w:r>
              <w:rPr>
                <w:rFonts w:ascii="Arial" w:hAnsi="Arial" w:eastAsia="Arial" w:cs="Arial"/>
                <w:color w:val="000000"/>
                <w:sz w:val="16"/>
                <w:szCs w:val="16"/>
                <w:lang w:val="pt-BR" w:eastAsia="pt-BR"/>
              </w:rPr>
              <w:t xml:space="preserve">02 – Prefeitura Municipal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642B85A2">
            <w:pPr>
              <w:pBdr/>
              <w:spacing/>
              <w:ind/>
              <w:jc w:val="right"/>
              <w:rPr>
                <w:rFonts w:ascii="Arial" w:hAnsi="Arial" w:cs="Arial"/>
                <w:sz w:val="16"/>
                <w:szCs w:val="16"/>
              </w:rPr>
            </w:pPr>
            <w:r>
              <w:rPr>
                <w:rFonts w:ascii="Arial" w:hAnsi="Arial" w:eastAsia="Arial" w:cs="Arial"/>
                <w:color w:val="000000"/>
                <w:sz w:val="16"/>
                <w:szCs w:val="16"/>
                <w:lang w:val="pt-BR" w:eastAsia="pt-BR"/>
              </w:rPr>
              <w:t xml:space="preserve">Unidade:</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5603F264">
            <w:pPr>
              <w:pBdr/>
              <w:spacing/>
              <w:ind/>
              <w:rPr>
                <w:rFonts w:ascii="Arial" w:hAnsi="Arial" w:cs="Arial"/>
                <w:sz w:val="16"/>
                <w:szCs w:val="16"/>
              </w:rPr>
            </w:pPr>
            <w:r>
              <w:rPr>
                <w:rFonts w:ascii="Arial" w:hAnsi="Arial" w:eastAsia="Arial" w:cs="Arial"/>
                <w:color w:val="000000"/>
                <w:sz w:val="16"/>
                <w:szCs w:val="16"/>
                <w:lang w:val="pt-BR" w:eastAsia="pt-BR"/>
              </w:rPr>
              <w:t xml:space="preserve">14 – Fundo Municipal de Saúde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739FA8D6">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Funcional Programática: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30442FC8">
            <w:pPr>
              <w:pBdr/>
              <w:spacing/>
              <w:ind/>
              <w:rPr>
                <w:rFonts w:ascii="Arial" w:hAnsi="Arial" w:cs="Arial"/>
                <w:sz w:val="16"/>
                <w:szCs w:val="16"/>
              </w:rPr>
            </w:pPr>
            <w:r>
              <w:rPr>
                <w:rFonts w:ascii="Arial" w:hAnsi="Arial" w:eastAsia="Arial" w:cs="Arial"/>
                <w:sz w:val="16"/>
                <w:szCs w:val="16"/>
              </w:rPr>
              <w:t xml:space="preserve">10.302.2203.2419 - MANUTENÇÃO DO CENTRO DE ATENDIMENTO INTEGRAL À SAÚDE DA MULHER - CAISM</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5B993ACC">
            <w:pPr>
              <w:pBdr/>
              <w:spacing/>
              <w:ind/>
              <w:jc w:val="right"/>
              <w:rPr>
                <w:rFonts w:ascii="Arial" w:hAnsi="Arial" w:cs="Arial"/>
                <w:sz w:val="16"/>
                <w:szCs w:val="16"/>
              </w:rPr>
            </w:pPr>
            <w:r>
              <w:rPr>
                <w:rFonts w:ascii="Arial" w:hAnsi="Arial" w:eastAsia="Arial" w:cs="Arial"/>
                <w:color w:val="000000"/>
                <w:sz w:val="16"/>
                <w:szCs w:val="16"/>
                <w:lang w:val="pt-BR" w:eastAsia="pt-BR"/>
              </w:rPr>
              <w:t xml:space="preserve">Elemento de Despesa: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6768704C">
            <w:pPr>
              <w:pBdr/>
              <w:spacing/>
              <w:ind/>
              <w:rPr>
                <w:rFonts w:ascii="Arial" w:hAnsi="Arial" w:cs="Arial"/>
                <w:sz w:val="16"/>
                <w:szCs w:val="16"/>
              </w:rPr>
            </w:pPr>
            <w:r>
              <w:rPr>
                <w:rFonts w:ascii="Arial" w:hAnsi="Arial" w:eastAsia="Arial" w:cs="Arial"/>
                <w:sz w:val="16"/>
                <w:szCs w:val="16"/>
              </w:rPr>
              <w:t xml:space="preserve">3.3.90.30.00.00 – MATERIAL DE CONSUMO</w:t>
            </w:r>
            <w:r>
              <w:rPr>
                <w:rFonts w:ascii="Arial" w:hAnsi="Arial" w:cs="Arial"/>
                <w:sz w:val="16"/>
                <w:szCs w:val="16"/>
              </w:rPr>
            </w:r>
            <w:r>
              <w:rPr>
                <w:rFonts w:ascii="Arial" w:hAnsi="Arial" w:cs="Arial"/>
                <w:sz w:val="16"/>
                <w:szCs w:val="16"/>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5F822017">
            <w:pPr>
              <w:pBdr/>
              <w:spacing/>
              <w:ind/>
              <w:jc w:val="right"/>
              <w:rPr>
                <w:rFonts w:ascii="Arial" w:hAnsi="Arial" w:cs="Arial"/>
                <w:sz w:val="16"/>
                <w:szCs w:val="16"/>
              </w:rPr>
            </w:pPr>
            <w:r>
              <w:rPr>
                <w:rFonts w:ascii="Arial" w:hAnsi="Arial" w:eastAsia="Arial" w:cs="Arial"/>
                <w:color w:val="000000"/>
                <w:sz w:val="16"/>
                <w:szCs w:val="16"/>
                <w:lang w:val="pt-BR" w:eastAsia="pt-BR"/>
              </w:rPr>
              <w:t xml:space="preserve">Reduzido:</w:t>
            </w:r>
            <w:r>
              <w:rPr>
                <w:rFonts w:ascii="Arial" w:hAnsi="Arial" w:cs="Arial"/>
                <w:sz w:val="16"/>
                <w:szCs w:val="16"/>
              </w:rPr>
            </w:r>
            <w:r>
              <w:rPr>
                <w:rFonts w:ascii="Arial" w:hAnsi="Arial" w:cs="Arial"/>
                <w:sz w:val="16"/>
                <w:szCs w:val="16"/>
              </w:rPr>
            </w:r>
          </w:p>
        </w:tc>
        <w:tc>
          <w:tcPr>
            <w:tcBorders>
              <w:left w:val="single" w:color="000000" w:sz="4" w:space="0"/>
              <w:bottom w:val="single" w:color="000000" w:sz="4" w:space="0"/>
              <w:right w:val="single" w:color="000000" w:sz="4" w:space="0"/>
            </w:tcBorders>
            <w:tcW w:w="6780" w:type="dxa"/>
            <w:textDirection w:val="lrTb"/>
            <w:noWrap w:val="false"/>
          </w:tcPr>
          <w:p w14:paraId="1B05DC8D">
            <w:pPr>
              <w:pBdr/>
              <w:spacing/>
              <w:ind/>
              <w:rPr>
                <w:rFonts w:ascii="Arial" w:hAnsi="Arial" w:cs="Arial"/>
                <w:sz w:val="16"/>
                <w:szCs w:val="16"/>
              </w:rPr>
            </w:pPr>
            <w:r>
              <w:rPr>
                <w:rFonts w:ascii="Arial" w:hAnsi="Arial" w:eastAsia="Arial" w:cs="Arial"/>
                <w:b/>
                <w:sz w:val="16"/>
                <w:szCs w:val="16"/>
              </w:rPr>
              <w:t xml:space="preserve">643</w:t>
            </w:r>
            <w:r>
              <w:rPr>
                <w:rFonts w:ascii="Arial" w:hAnsi="Arial" w:cs="Arial"/>
                <w:sz w:val="16"/>
                <w:szCs w:val="16"/>
              </w:rPr>
            </w:r>
            <w:r>
              <w:rPr>
                <w:rFonts w:ascii="Arial" w:hAnsi="Arial" w:cs="Arial"/>
                <w:sz w:val="16"/>
                <w:szCs w:val="16"/>
              </w:rPr>
            </w:r>
          </w:p>
        </w:tc>
      </w:tr>
      <w:tr>
        <w:trPr>
          <w:jc w:val="center"/>
          <w:trHeight w:val="253"/>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A19C5E4">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Fonte de Recurso: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5F95C0F1">
            <w:pPr>
              <w:pBdr/>
              <w:spacing/>
              <w:ind/>
              <w:rPr>
                <w:rFonts w:ascii="Arial" w:hAnsi="Arial" w:cs="Arial"/>
                <w:sz w:val="16"/>
                <w:szCs w:val="16"/>
              </w:rPr>
            </w:pPr>
            <w:r>
              <w:rPr>
                <w:rFonts w:ascii="Arial" w:hAnsi="Arial" w:eastAsia="Arial" w:cs="Arial"/>
                <w:sz w:val="16"/>
                <w:szCs w:val="16"/>
              </w:rPr>
              <w:t xml:space="preserve">1.500.1002000</w:t>
            </w:r>
            <w:r>
              <w:rPr>
                <w:rFonts w:ascii="Arial" w:hAnsi="Arial" w:cs="Arial"/>
                <w:sz w:val="16"/>
                <w:szCs w:val="16"/>
              </w:rPr>
            </w:r>
            <w:r>
              <w:rPr>
                <w:rFonts w:ascii="Arial" w:hAnsi="Arial" w:cs="Arial"/>
                <w:sz w:val="16"/>
                <w:szCs w:val="16"/>
              </w:rPr>
            </w:r>
          </w:p>
        </w:tc>
      </w:tr>
    </w:tbl>
    <w:p w14:paraId="127AC3C1">
      <w:pPr>
        <w:pBdr/>
        <w:spacing/>
        <w:ind/>
        <w:jc w:val="both"/>
        <w:rPr>
          <w:rFonts w:ascii="Arial" w:hAnsi="Arial" w:cs="Arial"/>
          <w:sz w:val="16"/>
          <w:szCs w:val="16"/>
        </w:rPr>
      </w:pPr>
      <w:r>
        <w:rPr>
          <w:rFonts w:ascii="Arial" w:hAnsi="Arial" w:eastAsia="Arial" w:cs="Arial"/>
          <w:sz w:val="16"/>
          <w:szCs w:val="16"/>
        </w:rPr>
      </w:r>
      <w:r>
        <w:rPr>
          <w:rFonts w:ascii="Arial" w:hAnsi="Arial" w:cs="Arial"/>
          <w:sz w:val="16"/>
          <w:szCs w:val="16"/>
        </w:rPr>
      </w:r>
      <w:r>
        <w:rPr>
          <w:rFonts w:ascii="Arial" w:hAnsi="Arial" w:cs="Arial"/>
          <w:sz w:val="16"/>
          <w:szCs w:val="16"/>
        </w:rPr>
      </w:r>
    </w:p>
    <w:tbl>
      <w:tblPr>
        <w:jc w:val="center"/>
        <w:tblW w:w="8969" w:type="dxa"/>
        <w:tblBorders/>
        <w:tblLayout w:type="fixed"/>
        <w:tblLook w:val="04A0" w:firstRow="1" w:lastRow="0" w:firstColumn="1" w:lastColumn="0" w:noHBand="0" w:noVBand="1"/>
      </w:tblPr>
      <w:tblGrid>
        <w:gridCol w:w="2189"/>
        <w:gridCol w:w="6780"/>
      </w:tblGrid>
      <w:tr>
        <w:trPr>
          <w:jc w:val="center"/>
          <w:trHeight w:val="79"/>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478919A6">
            <w:pPr>
              <w:pBdr/>
              <w:spacing/>
              <w:ind/>
              <w:jc w:val="center"/>
              <w:rPr>
                <w:rFonts w:ascii="Arial" w:hAnsi="Arial" w:cs="Arial"/>
                <w:sz w:val="16"/>
                <w:szCs w:val="16"/>
              </w:rPr>
            </w:pPr>
            <w:r>
              <w:rPr>
                <w:rFonts w:ascii="Arial" w:hAnsi="Arial" w:eastAsia="Arial" w:cs="Arial"/>
                <w:b/>
                <w:color w:val="000000"/>
                <w:sz w:val="16"/>
                <w:szCs w:val="16"/>
                <w:lang w:val="pt-BR" w:eastAsia="pt-BR"/>
              </w:rPr>
              <w:t xml:space="preserve">Classificação Orçamentária da Despesa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A76C1FD">
            <w:pPr>
              <w:pBdr/>
              <w:spacing/>
              <w:ind/>
              <w:jc w:val="right"/>
              <w:rPr>
                <w:rFonts w:ascii="Arial" w:hAnsi="Arial" w:cs="Arial"/>
                <w:sz w:val="16"/>
                <w:szCs w:val="16"/>
              </w:rPr>
            </w:pPr>
            <w:r>
              <w:rPr>
                <w:rFonts w:ascii="Arial" w:hAnsi="Arial" w:eastAsia="Arial" w:cs="Arial"/>
                <w:color w:val="000000"/>
                <w:sz w:val="16"/>
                <w:szCs w:val="16"/>
                <w:lang w:val="pt-BR" w:eastAsia="pt-BR"/>
              </w:rPr>
              <w:t xml:space="preserve">Órgão: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7C7E045C">
            <w:pPr>
              <w:pBdr/>
              <w:spacing/>
              <w:ind/>
              <w:rPr>
                <w:rFonts w:ascii="Arial" w:hAnsi="Arial" w:cs="Arial"/>
                <w:sz w:val="16"/>
                <w:szCs w:val="16"/>
              </w:rPr>
            </w:pPr>
            <w:r>
              <w:rPr>
                <w:rFonts w:ascii="Arial" w:hAnsi="Arial" w:eastAsia="Arial" w:cs="Arial"/>
                <w:color w:val="000000"/>
                <w:sz w:val="16"/>
                <w:szCs w:val="16"/>
                <w:lang w:val="pt-BR" w:eastAsia="pt-BR"/>
              </w:rPr>
              <w:t xml:space="preserve">02 – Prefeitura Municipal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4334DAC3">
            <w:pPr>
              <w:pBdr/>
              <w:spacing/>
              <w:ind/>
              <w:jc w:val="right"/>
              <w:rPr>
                <w:rFonts w:ascii="Arial" w:hAnsi="Arial" w:cs="Arial"/>
                <w:sz w:val="16"/>
                <w:szCs w:val="16"/>
              </w:rPr>
            </w:pPr>
            <w:r>
              <w:rPr>
                <w:rFonts w:ascii="Arial" w:hAnsi="Arial" w:eastAsia="Arial" w:cs="Arial"/>
                <w:color w:val="000000"/>
                <w:sz w:val="16"/>
                <w:szCs w:val="16"/>
                <w:lang w:val="pt-BR" w:eastAsia="pt-BR"/>
              </w:rPr>
              <w:t xml:space="preserve">Unidade:</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7D6A7C9A">
            <w:pPr>
              <w:pBdr/>
              <w:spacing/>
              <w:ind/>
              <w:rPr>
                <w:rFonts w:ascii="Arial" w:hAnsi="Arial" w:cs="Arial"/>
                <w:sz w:val="16"/>
                <w:szCs w:val="16"/>
              </w:rPr>
            </w:pPr>
            <w:r>
              <w:rPr>
                <w:rFonts w:ascii="Arial" w:hAnsi="Arial" w:eastAsia="Arial" w:cs="Arial"/>
                <w:color w:val="000000"/>
                <w:sz w:val="16"/>
                <w:szCs w:val="16"/>
                <w:lang w:val="pt-BR" w:eastAsia="pt-BR"/>
              </w:rPr>
              <w:t xml:space="preserve">14 – Fundo Municipal de Saúde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20A351B6">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Funcional Programática: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36A3A305">
            <w:pPr>
              <w:pBdr/>
              <w:spacing/>
              <w:ind/>
              <w:rPr>
                <w:rFonts w:ascii="Arial" w:hAnsi="Arial" w:cs="Arial"/>
                <w:sz w:val="16"/>
                <w:szCs w:val="16"/>
              </w:rPr>
            </w:pPr>
            <w:r>
              <w:rPr>
                <w:rFonts w:ascii="Arial" w:hAnsi="Arial" w:eastAsia="Arial" w:cs="Arial"/>
                <w:sz w:val="16"/>
                <w:szCs w:val="16"/>
              </w:rPr>
              <w:t xml:space="preserve">10.302.2203.2421 - MANUTENÇÃO E CONSERVAÇÃO DO CENTRO DE ESPECIALIDADES DE APOIO E DIAGNÓSTICO ALBERT SABIN- CEADAS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497D8695">
            <w:pPr>
              <w:pBdr/>
              <w:spacing/>
              <w:ind/>
              <w:jc w:val="right"/>
              <w:rPr>
                <w:rFonts w:ascii="Arial" w:hAnsi="Arial" w:cs="Arial"/>
                <w:sz w:val="16"/>
                <w:szCs w:val="16"/>
              </w:rPr>
            </w:pPr>
            <w:r>
              <w:rPr>
                <w:rFonts w:ascii="Arial" w:hAnsi="Arial" w:eastAsia="Arial" w:cs="Arial"/>
                <w:color w:val="000000"/>
                <w:sz w:val="16"/>
                <w:szCs w:val="16"/>
                <w:lang w:val="pt-BR" w:eastAsia="pt-BR"/>
              </w:rPr>
              <w:t xml:space="preserve">Elemento de Despesa: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09A06118">
            <w:pPr>
              <w:pBdr/>
              <w:spacing/>
              <w:ind/>
              <w:rPr>
                <w:rFonts w:ascii="Arial" w:hAnsi="Arial" w:cs="Arial"/>
                <w:sz w:val="16"/>
                <w:szCs w:val="16"/>
              </w:rPr>
            </w:pPr>
            <w:r>
              <w:rPr>
                <w:rFonts w:ascii="Arial" w:hAnsi="Arial" w:eastAsia="Arial" w:cs="Arial"/>
                <w:sz w:val="16"/>
                <w:szCs w:val="16"/>
              </w:rPr>
              <w:t xml:space="preserve">3.3.90.30.00.00 – MATERIAL DE CONSUMO</w:t>
            </w:r>
            <w:r>
              <w:rPr>
                <w:rFonts w:ascii="Arial" w:hAnsi="Arial" w:cs="Arial"/>
                <w:sz w:val="16"/>
                <w:szCs w:val="16"/>
              </w:rPr>
            </w:r>
            <w:r>
              <w:rPr>
                <w:rFonts w:ascii="Arial" w:hAnsi="Arial" w:cs="Arial"/>
                <w:sz w:val="16"/>
                <w:szCs w:val="16"/>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287D712D">
            <w:pPr>
              <w:pBdr/>
              <w:spacing/>
              <w:ind/>
              <w:jc w:val="right"/>
              <w:rPr>
                <w:rFonts w:ascii="Arial" w:hAnsi="Arial" w:cs="Arial"/>
                <w:sz w:val="16"/>
                <w:szCs w:val="16"/>
              </w:rPr>
            </w:pPr>
            <w:r>
              <w:rPr>
                <w:rFonts w:ascii="Arial" w:hAnsi="Arial" w:eastAsia="Arial" w:cs="Arial"/>
                <w:color w:val="000000"/>
                <w:sz w:val="16"/>
                <w:szCs w:val="16"/>
                <w:lang w:val="pt-BR" w:eastAsia="pt-BR"/>
              </w:rPr>
              <w:t xml:space="preserve">Reduzido:</w:t>
            </w:r>
            <w:r>
              <w:rPr>
                <w:rFonts w:ascii="Arial" w:hAnsi="Arial" w:cs="Arial"/>
                <w:sz w:val="16"/>
                <w:szCs w:val="16"/>
              </w:rPr>
            </w:r>
            <w:r>
              <w:rPr>
                <w:rFonts w:ascii="Arial" w:hAnsi="Arial" w:cs="Arial"/>
                <w:sz w:val="16"/>
                <w:szCs w:val="16"/>
              </w:rPr>
            </w:r>
          </w:p>
        </w:tc>
        <w:tc>
          <w:tcPr>
            <w:tcBorders>
              <w:left w:val="single" w:color="000000" w:sz="4" w:space="0"/>
              <w:bottom w:val="single" w:color="000000" w:sz="4" w:space="0"/>
              <w:right w:val="single" w:color="000000" w:sz="4" w:space="0"/>
            </w:tcBorders>
            <w:tcW w:w="6780" w:type="dxa"/>
            <w:textDirection w:val="lrTb"/>
            <w:noWrap w:val="false"/>
          </w:tcPr>
          <w:p w14:paraId="2D417B63">
            <w:pPr>
              <w:pBdr/>
              <w:spacing/>
              <w:ind/>
              <w:rPr>
                <w:rFonts w:ascii="Arial" w:hAnsi="Arial" w:cs="Arial"/>
                <w:sz w:val="16"/>
                <w:szCs w:val="16"/>
              </w:rPr>
            </w:pPr>
            <w:r>
              <w:rPr>
                <w:rFonts w:ascii="Arial" w:hAnsi="Arial" w:eastAsia="Arial" w:cs="Arial"/>
                <w:b/>
                <w:sz w:val="16"/>
                <w:szCs w:val="16"/>
              </w:rPr>
              <w:t xml:space="preserve">544</w:t>
            </w:r>
            <w:r>
              <w:rPr>
                <w:rFonts w:ascii="Arial" w:hAnsi="Arial" w:cs="Arial"/>
                <w:sz w:val="16"/>
                <w:szCs w:val="16"/>
              </w:rPr>
            </w:r>
            <w:r>
              <w:rPr>
                <w:rFonts w:ascii="Arial" w:hAnsi="Arial" w:cs="Arial"/>
                <w:sz w:val="16"/>
                <w:szCs w:val="16"/>
              </w:rPr>
            </w:r>
          </w:p>
        </w:tc>
      </w:tr>
      <w:tr>
        <w:trPr>
          <w:jc w:val="center"/>
          <w:trHeight w:val="198"/>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6ACBAF44">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Fonte de Recurso: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1264BCCD">
            <w:pPr>
              <w:pBdr/>
              <w:spacing/>
              <w:ind/>
              <w:rPr>
                <w:rFonts w:ascii="Arial" w:hAnsi="Arial" w:cs="Arial"/>
                <w:sz w:val="16"/>
                <w:szCs w:val="16"/>
              </w:rPr>
            </w:pPr>
            <w:r>
              <w:rPr>
                <w:rFonts w:ascii="Arial" w:hAnsi="Arial" w:eastAsia="Arial" w:cs="Arial"/>
                <w:sz w:val="16"/>
                <w:szCs w:val="16"/>
              </w:rPr>
              <w:t xml:space="preserve">1.500.1002000</w:t>
            </w:r>
            <w:r>
              <w:rPr>
                <w:rFonts w:ascii="Arial" w:hAnsi="Arial" w:cs="Arial"/>
                <w:sz w:val="16"/>
                <w:szCs w:val="16"/>
              </w:rPr>
            </w:r>
            <w:r>
              <w:rPr>
                <w:rFonts w:ascii="Arial" w:hAnsi="Arial" w:cs="Arial"/>
                <w:sz w:val="16"/>
                <w:szCs w:val="16"/>
              </w:rPr>
            </w:r>
          </w:p>
        </w:tc>
      </w:tr>
    </w:tbl>
    <w:p w14:paraId="45DEEB93">
      <w:pPr>
        <w:pBdr/>
        <w:spacing/>
        <w:ind/>
        <w:jc w:val="both"/>
        <w:rPr>
          <w:rFonts w:ascii="Arial" w:hAnsi="Arial" w:cs="Arial"/>
          <w:sz w:val="16"/>
          <w:szCs w:val="16"/>
        </w:rPr>
      </w:pPr>
      <w:r>
        <w:rPr>
          <w:rFonts w:ascii="Arial" w:hAnsi="Arial" w:eastAsia="Arial" w:cs="Arial"/>
          <w:sz w:val="16"/>
          <w:szCs w:val="16"/>
        </w:rPr>
      </w:r>
      <w:r>
        <w:rPr>
          <w:rFonts w:ascii="Arial" w:hAnsi="Arial" w:cs="Arial"/>
          <w:sz w:val="16"/>
          <w:szCs w:val="16"/>
        </w:rPr>
      </w:r>
      <w:r>
        <w:rPr>
          <w:rFonts w:ascii="Arial" w:hAnsi="Arial" w:cs="Arial"/>
          <w:sz w:val="16"/>
          <w:szCs w:val="16"/>
        </w:rPr>
      </w:r>
    </w:p>
    <w:tbl>
      <w:tblPr>
        <w:jc w:val="center"/>
        <w:tblW w:w="8969" w:type="dxa"/>
        <w:tblBorders/>
        <w:tblLayout w:type="fixed"/>
        <w:tblLook w:val="04A0" w:firstRow="1" w:lastRow="0" w:firstColumn="1" w:lastColumn="0" w:noHBand="0" w:noVBand="1"/>
      </w:tblPr>
      <w:tblGrid>
        <w:gridCol w:w="2189"/>
        <w:gridCol w:w="6780"/>
      </w:tblGrid>
      <w:tr>
        <w:trPr>
          <w:jc w:val="center"/>
          <w:trHeight w:val="221"/>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4B7BB761">
            <w:pPr>
              <w:pBdr/>
              <w:spacing/>
              <w:ind/>
              <w:jc w:val="center"/>
              <w:rPr>
                <w:rFonts w:ascii="Arial" w:hAnsi="Arial" w:cs="Arial"/>
                <w:sz w:val="16"/>
                <w:szCs w:val="16"/>
              </w:rPr>
            </w:pPr>
            <w:r>
              <w:rPr>
                <w:rFonts w:ascii="Arial" w:hAnsi="Arial" w:eastAsia="Arial" w:cs="Arial"/>
                <w:b/>
                <w:color w:val="000000"/>
                <w:sz w:val="16"/>
                <w:szCs w:val="16"/>
                <w:lang w:val="pt-BR" w:eastAsia="pt-BR"/>
              </w:rPr>
              <w:t xml:space="preserve">Classificação Orçamentária da Despesa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375C105">
            <w:pPr>
              <w:pBdr/>
              <w:spacing/>
              <w:ind/>
              <w:jc w:val="right"/>
              <w:rPr>
                <w:rFonts w:ascii="Arial" w:hAnsi="Arial" w:cs="Arial"/>
                <w:sz w:val="16"/>
                <w:szCs w:val="16"/>
              </w:rPr>
            </w:pPr>
            <w:r>
              <w:rPr>
                <w:rFonts w:ascii="Arial" w:hAnsi="Arial" w:eastAsia="Arial" w:cs="Arial"/>
                <w:color w:val="000000"/>
                <w:sz w:val="16"/>
                <w:szCs w:val="16"/>
                <w:lang w:val="pt-BR" w:eastAsia="pt-BR"/>
              </w:rPr>
              <w:t xml:space="preserve">Órgão: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381E2921">
            <w:pPr>
              <w:pBdr/>
              <w:spacing/>
              <w:ind/>
              <w:rPr>
                <w:rFonts w:ascii="Arial" w:hAnsi="Arial" w:cs="Arial"/>
                <w:sz w:val="16"/>
                <w:szCs w:val="16"/>
              </w:rPr>
            </w:pPr>
            <w:r>
              <w:rPr>
                <w:rFonts w:ascii="Arial" w:hAnsi="Arial" w:eastAsia="Arial" w:cs="Arial"/>
                <w:color w:val="000000"/>
                <w:sz w:val="16"/>
                <w:szCs w:val="16"/>
                <w:lang w:val="pt-BR" w:eastAsia="pt-BR"/>
              </w:rPr>
              <w:t xml:space="preserve">02 – Prefeitura Municipal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CF801F4">
            <w:pPr>
              <w:pBdr/>
              <w:spacing/>
              <w:ind/>
              <w:jc w:val="right"/>
              <w:rPr>
                <w:rFonts w:ascii="Arial" w:hAnsi="Arial" w:cs="Arial"/>
                <w:sz w:val="16"/>
                <w:szCs w:val="16"/>
              </w:rPr>
            </w:pPr>
            <w:r>
              <w:rPr>
                <w:rFonts w:ascii="Arial" w:hAnsi="Arial" w:eastAsia="Arial" w:cs="Arial"/>
                <w:color w:val="000000"/>
                <w:sz w:val="16"/>
                <w:szCs w:val="16"/>
                <w:lang w:val="pt-BR" w:eastAsia="pt-BR"/>
              </w:rPr>
              <w:t xml:space="preserve">Unidade:</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0445BD59">
            <w:pPr>
              <w:pBdr/>
              <w:spacing/>
              <w:ind/>
              <w:rPr>
                <w:rFonts w:ascii="Arial" w:hAnsi="Arial" w:cs="Arial"/>
                <w:sz w:val="16"/>
                <w:szCs w:val="16"/>
              </w:rPr>
            </w:pPr>
            <w:r>
              <w:rPr>
                <w:rFonts w:ascii="Arial" w:hAnsi="Arial" w:eastAsia="Arial" w:cs="Arial"/>
                <w:color w:val="000000"/>
                <w:sz w:val="16"/>
                <w:szCs w:val="16"/>
                <w:lang w:val="pt-BR" w:eastAsia="pt-BR"/>
              </w:rPr>
              <w:t xml:space="preserve">14 – Fundo Municipal de Saúde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24330A43">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Funcional Programática: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4F80BB78">
            <w:pPr>
              <w:pBdr/>
              <w:spacing/>
              <w:ind/>
              <w:rPr>
                <w:rFonts w:ascii="Arial" w:hAnsi="Arial" w:cs="Arial"/>
                <w:sz w:val="16"/>
                <w:szCs w:val="16"/>
              </w:rPr>
            </w:pPr>
            <w:r>
              <w:rPr>
                <w:rFonts w:ascii="Arial" w:hAnsi="Arial" w:eastAsia="Arial" w:cs="Arial"/>
                <w:sz w:val="16"/>
                <w:szCs w:val="16"/>
              </w:rPr>
              <w:t xml:space="preserve">10.302.2203. 2487 - MANUTENÇÃO DOS SERVIÇOS DE URGÊNCIA E EMERGÊNCIA - UPA 24 HORAS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674591DD">
            <w:pPr>
              <w:pBdr/>
              <w:spacing/>
              <w:ind/>
              <w:jc w:val="right"/>
              <w:rPr>
                <w:rFonts w:ascii="Arial" w:hAnsi="Arial" w:cs="Arial"/>
                <w:sz w:val="16"/>
                <w:szCs w:val="16"/>
              </w:rPr>
            </w:pPr>
            <w:r>
              <w:rPr>
                <w:rFonts w:ascii="Arial" w:hAnsi="Arial" w:eastAsia="Arial" w:cs="Arial"/>
                <w:color w:val="000000"/>
                <w:sz w:val="16"/>
                <w:szCs w:val="16"/>
                <w:lang w:val="pt-BR" w:eastAsia="pt-BR"/>
              </w:rPr>
              <w:t xml:space="preserve">Elemento de Despesa: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75EC5AEE">
            <w:pPr>
              <w:pBdr/>
              <w:spacing/>
              <w:ind/>
              <w:rPr>
                <w:rFonts w:ascii="Arial" w:hAnsi="Arial" w:cs="Arial"/>
                <w:sz w:val="16"/>
                <w:szCs w:val="16"/>
              </w:rPr>
            </w:pPr>
            <w:r>
              <w:rPr>
                <w:rFonts w:ascii="Arial" w:hAnsi="Arial" w:eastAsia="Arial" w:cs="Arial"/>
                <w:sz w:val="16"/>
                <w:szCs w:val="16"/>
              </w:rPr>
              <w:t xml:space="preserve">3.3.90.30.00.00 – MATERIAL DE CONSUMO</w:t>
            </w:r>
            <w:r>
              <w:rPr>
                <w:rFonts w:ascii="Arial" w:hAnsi="Arial" w:cs="Arial"/>
                <w:sz w:val="16"/>
                <w:szCs w:val="16"/>
              </w:rPr>
            </w:r>
            <w:r>
              <w:rPr>
                <w:rFonts w:ascii="Arial" w:hAnsi="Arial" w:cs="Arial"/>
                <w:sz w:val="16"/>
                <w:szCs w:val="16"/>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0F51A717">
            <w:pPr>
              <w:pBdr/>
              <w:spacing/>
              <w:ind/>
              <w:jc w:val="right"/>
              <w:rPr>
                <w:rFonts w:ascii="Arial" w:hAnsi="Arial" w:cs="Arial"/>
                <w:sz w:val="16"/>
                <w:szCs w:val="16"/>
              </w:rPr>
            </w:pPr>
            <w:r>
              <w:rPr>
                <w:rFonts w:ascii="Arial" w:hAnsi="Arial" w:eastAsia="Arial" w:cs="Arial"/>
                <w:color w:val="000000"/>
                <w:sz w:val="16"/>
                <w:szCs w:val="16"/>
                <w:lang w:val="pt-BR" w:eastAsia="pt-BR"/>
              </w:rPr>
              <w:t xml:space="preserve">Reduzido:</w:t>
            </w:r>
            <w:r>
              <w:rPr>
                <w:rFonts w:ascii="Arial" w:hAnsi="Arial" w:cs="Arial"/>
                <w:sz w:val="16"/>
                <w:szCs w:val="16"/>
              </w:rPr>
            </w:r>
            <w:r>
              <w:rPr>
                <w:rFonts w:ascii="Arial" w:hAnsi="Arial" w:cs="Arial"/>
                <w:sz w:val="16"/>
                <w:szCs w:val="16"/>
              </w:rPr>
            </w:r>
          </w:p>
        </w:tc>
        <w:tc>
          <w:tcPr>
            <w:tcBorders>
              <w:left w:val="single" w:color="000000" w:sz="4" w:space="0"/>
              <w:bottom w:val="single" w:color="000000" w:sz="4" w:space="0"/>
              <w:right w:val="single" w:color="000000" w:sz="4" w:space="0"/>
            </w:tcBorders>
            <w:tcW w:w="6780" w:type="dxa"/>
            <w:textDirection w:val="lrTb"/>
            <w:noWrap w:val="false"/>
          </w:tcPr>
          <w:p w14:paraId="2A088884">
            <w:pPr>
              <w:pBdr/>
              <w:spacing/>
              <w:ind/>
              <w:rPr>
                <w:rFonts w:ascii="Arial" w:hAnsi="Arial" w:cs="Arial"/>
                <w:sz w:val="16"/>
                <w:szCs w:val="16"/>
              </w:rPr>
            </w:pPr>
            <w:r>
              <w:rPr>
                <w:rFonts w:ascii="Arial" w:hAnsi="Arial" w:eastAsia="Arial" w:cs="Arial"/>
                <w:b/>
                <w:sz w:val="16"/>
                <w:szCs w:val="16"/>
              </w:rPr>
              <w:t xml:space="preserve">612</w:t>
            </w:r>
            <w:r>
              <w:rPr>
                <w:rFonts w:ascii="Arial" w:hAnsi="Arial" w:cs="Arial"/>
                <w:sz w:val="16"/>
                <w:szCs w:val="16"/>
              </w:rPr>
            </w:r>
            <w:r>
              <w:rPr>
                <w:rFonts w:ascii="Arial" w:hAnsi="Arial" w:cs="Arial"/>
                <w:sz w:val="16"/>
                <w:szCs w:val="16"/>
              </w:rPr>
            </w:r>
          </w:p>
        </w:tc>
      </w:tr>
      <w:tr>
        <w:trPr>
          <w:jc w:val="center"/>
          <w:trHeight w:val="112"/>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678E2FB6">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Fonte de Recurso: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4D783012">
            <w:pPr>
              <w:pBdr/>
              <w:spacing/>
              <w:ind/>
              <w:rPr>
                <w:rFonts w:ascii="Arial" w:hAnsi="Arial" w:cs="Arial"/>
                <w:sz w:val="16"/>
                <w:szCs w:val="16"/>
              </w:rPr>
            </w:pPr>
            <w:r>
              <w:rPr>
                <w:rFonts w:ascii="Arial" w:hAnsi="Arial" w:eastAsia="Arial" w:cs="Arial"/>
                <w:sz w:val="16"/>
                <w:szCs w:val="16"/>
              </w:rPr>
              <w:t xml:space="preserve">1.500.1002000</w:t>
            </w:r>
            <w:r>
              <w:rPr>
                <w:rFonts w:ascii="Arial" w:hAnsi="Arial" w:cs="Arial"/>
                <w:sz w:val="16"/>
                <w:szCs w:val="16"/>
              </w:rPr>
            </w:r>
            <w:r>
              <w:rPr>
                <w:rFonts w:ascii="Arial" w:hAnsi="Arial" w:cs="Arial"/>
                <w:sz w:val="16"/>
                <w:szCs w:val="16"/>
              </w:rPr>
            </w:r>
          </w:p>
        </w:tc>
      </w:tr>
    </w:tbl>
    <w:p w14:paraId="02E2EBD8">
      <w:pPr>
        <w:pBdr/>
        <w:spacing/>
        <w:ind/>
        <w:jc w:val="both"/>
        <w:rPr>
          <w:rFonts w:ascii="Arial" w:hAnsi="Arial" w:cs="Arial"/>
          <w:sz w:val="16"/>
          <w:szCs w:val="16"/>
        </w:rPr>
      </w:pPr>
      <w:r>
        <w:rPr>
          <w:rFonts w:ascii="Arial" w:hAnsi="Arial" w:eastAsia="Arial" w:cs="Arial"/>
          <w:sz w:val="16"/>
          <w:szCs w:val="16"/>
        </w:rPr>
      </w:r>
      <w:r>
        <w:rPr>
          <w:rFonts w:ascii="Arial" w:hAnsi="Arial" w:cs="Arial"/>
          <w:sz w:val="16"/>
          <w:szCs w:val="16"/>
        </w:rPr>
      </w:r>
      <w:r>
        <w:rPr>
          <w:rFonts w:ascii="Arial" w:hAnsi="Arial" w:cs="Arial"/>
          <w:sz w:val="16"/>
          <w:szCs w:val="16"/>
        </w:rPr>
      </w:r>
    </w:p>
    <w:tbl>
      <w:tblPr>
        <w:jc w:val="center"/>
        <w:tblW w:w="8969" w:type="dxa"/>
        <w:tblBorders/>
        <w:tblLayout w:type="fixed"/>
        <w:tblLook w:val="04A0" w:firstRow="1" w:lastRow="0" w:firstColumn="1" w:lastColumn="0" w:noHBand="0" w:noVBand="1"/>
      </w:tblPr>
      <w:tblGrid>
        <w:gridCol w:w="2189"/>
        <w:gridCol w:w="6780"/>
      </w:tblGrid>
      <w:tr>
        <w:trPr>
          <w:jc w:val="center"/>
          <w:trHeight w:val="149"/>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51D560A4">
            <w:pPr>
              <w:pBdr/>
              <w:spacing/>
              <w:ind/>
              <w:jc w:val="center"/>
              <w:rPr>
                <w:rFonts w:ascii="Arial" w:hAnsi="Arial" w:cs="Arial"/>
                <w:sz w:val="16"/>
                <w:szCs w:val="16"/>
              </w:rPr>
            </w:pPr>
            <w:r>
              <w:rPr>
                <w:rFonts w:ascii="Arial" w:hAnsi="Arial" w:eastAsia="Arial" w:cs="Arial"/>
                <w:b/>
                <w:color w:val="000000"/>
                <w:sz w:val="16"/>
                <w:szCs w:val="16"/>
                <w:lang w:val="pt-BR" w:eastAsia="pt-BR"/>
              </w:rPr>
              <w:t xml:space="preserve">Classificação Orçamentária da Despesa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301615CE">
            <w:pPr>
              <w:pBdr/>
              <w:spacing/>
              <w:ind/>
              <w:jc w:val="right"/>
              <w:rPr>
                <w:rFonts w:ascii="Arial" w:hAnsi="Arial" w:cs="Arial"/>
                <w:sz w:val="16"/>
                <w:szCs w:val="16"/>
              </w:rPr>
            </w:pPr>
            <w:r>
              <w:rPr>
                <w:rFonts w:ascii="Arial" w:hAnsi="Arial" w:eastAsia="Arial" w:cs="Arial"/>
                <w:color w:val="000000"/>
                <w:sz w:val="16"/>
                <w:szCs w:val="16"/>
                <w:lang w:val="pt-BR" w:eastAsia="pt-BR"/>
              </w:rPr>
              <w:t xml:space="preserve">Órgão: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28BBB1D3">
            <w:pPr>
              <w:pBdr/>
              <w:spacing/>
              <w:ind/>
              <w:rPr>
                <w:rFonts w:ascii="Arial" w:hAnsi="Arial" w:cs="Arial"/>
                <w:sz w:val="16"/>
                <w:szCs w:val="16"/>
              </w:rPr>
            </w:pPr>
            <w:r>
              <w:rPr>
                <w:rFonts w:ascii="Arial" w:hAnsi="Arial" w:eastAsia="Arial" w:cs="Arial"/>
                <w:color w:val="000000"/>
                <w:sz w:val="16"/>
                <w:szCs w:val="16"/>
                <w:lang w:val="pt-BR" w:eastAsia="pt-BR"/>
              </w:rPr>
              <w:t xml:space="preserve">02 – Prefeitura Municipal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5DDFC368">
            <w:pPr>
              <w:pBdr/>
              <w:spacing/>
              <w:ind/>
              <w:jc w:val="right"/>
              <w:rPr>
                <w:rFonts w:ascii="Arial" w:hAnsi="Arial" w:cs="Arial"/>
                <w:sz w:val="16"/>
                <w:szCs w:val="16"/>
              </w:rPr>
            </w:pPr>
            <w:r>
              <w:rPr>
                <w:rFonts w:ascii="Arial" w:hAnsi="Arial" w:eastAsia="Arial" w:cs="Arial"/>
                <w:color w:val="000000"/>
                <w:sz w:val="16"/>
                <w:szCs w:val="16"/>
                <w:lang w:val="pt-BR" w:eastAsia="pt-BR"/>
              </w:rPr>
              <w:t xml:space="preserve">Unidade:</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5F326EF3">
            <w:pPr>
              <w:pBdr/>
              <w:spacing/>
              <w:ind/>
              <w:rPr>
                <w:rFonts w:ascii="Arial" w:hAnsi="Arial" w:cs="Arial"/>
                <w:sz w:val="16"/>
                <w:szCs w:val="16"/>
              </w:rPr>
            </w:pPr>
            <w:r>
              <w:rPr>
                <w:rFonts w:ascii="Arial" w:hAnsi="Arial" w:eastAsia="Arial" w:cs="Arial"/>
                <w:color w:val="000000"/>
                <w:sz w:val="16"/>
                <w:szCs w:val="16"/>
                <w:lang w:val="pt-BR" w:eastAsia="pt-BR"/>
              </w:rPr>
              <w:t xml:space="preserve">14 – Fundo Municipal de Saúde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60C2BEFE">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Funcional Programática: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60B23831">
            <w:pPr>
              <w:pBdr/>
              <w:spacing/>
              <w:ind/>
              <w:rPr>
                <w:rFonts w:ascii="Arial" w:hAnsi="Arial" w:cs="Arial"/>
                <w:sz w:val="16"/>
                <w:szCs w:val="16"/>
              </w:rPr>
            </w:pPr>
            <w:r>
              <w:rPr>
                <w:rFonts w:ascii="Arial" w:hAnsi="Arial" w:eastAsia="Arial" w:cs="Arial"/>
                <w:sz w:val="16"/>
                <w:szCs w:val="16"/>
              </w:rPr>
              <w:t xml:space="preserve">10.302.2203. 2487 - MANUTENÇÃO DOS SERVIÇOS DE URGÊNCIA E EMERGÊNCIA - UPA 24 HORAS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A00AA51">
            <w:pPr>
              <w:pBdr/>
              <w:spacing/>
              <w:ind/>
              <w:jc w:val="right"/>
              <w:rPr>
                <w:rFonts w:ascii="Arial" w:hAnsi="Arial" w:cs="Arial"/>
                <w:sz w:val="16"/>
                <w:szCs w:val="16"/>
              </w:rPr>
            </w:pPr>
            <w:r>
              <w:rPr>
                <w:rFonts w:ascii="Arial" w:hAnsi="Arial" w:eastAsia="Arial" w:cs="Arial"/>
                <w:color w:val="000000"/>
                <w:sz w:val="16"/>
                <w:szCs w:val="16"/>
                <w:lang w:val="pt-BR" w:eastAsia="pt-BR"/>
              </w:rPr>
              <w:t xml:space="preserve">Elemento de Despesa: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210B5043">
            <w:pPr>
              <w:pBdr/>
              <w:spacing/>
              <w:ind/>
              <w:rPr>
                <w:rFonts w:ascii="Arial" w:hAnsi="Arial" w:cs="Arial"/>
                <w:sz w:val="16"/>
                <w:szCs w:val="16"/>
              </w:rPr>
            </w:pPr>
            <w:r>
              <w:rPr>
                <w:rFonts w:ascii="Arial" w:hAnsi="Arial" w:eastAsia="Arial" w:cs="Arial"/>
                <w:sz w:val="16"/>
                <w:szCs w:val="16"/>
              </w:rPr>
              <w:t xml:space="preserve">3.3.90.30.00.00 – MATERIAL DE CONSUMO</w:t>
            </w:r>
            <w:r>
              <w:rPr>
                <w:rFonts w:ascii="Arial" w:hAnsi="Arial" w:cs="Arial"/>
                <w:sz w:val="16"/>
                <w:szCs w:val="16"/>
              </w:rPr>
            </w:r>
            <w:r>
              <w:rPr>
                <w:rFonts w:ascii="Arial" w:hAnsi="Arial" w:cs="Arial"/>
                <w:sz w:val="16"/>
                <w:szCs w:val="16"/>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0304B0A6">
            <w:pPr>
              <w:pBdr/>
              <w:spacing/>
              <w:ind/>
              <w:jc w:val="right"/>
              <w:rPr>
                <w:rFonts w:ascii="Arial" w:hAnsi="Arial" w:cs="Arial"/>
                <w:sz w:val="16"/>
                <w:szCs w:val="16"/>
              </w:rPr>
            </w:pPr>
            <w:r>
              <w:rPr>
                <w:rFonts w:ascii="Arial" w:hAnsi="Arial" w:eastAsia="Arial" w:cs="Arial"/>
                <w:color w:val="000000"/>
                <w:sz w:val="16"/>
                <w:szCs w:val="16"/>
                <w:lang w:val="pt-BR" w:eastAsia="pt-BR"/>
              </w:rPr>
              <w:t xml:space="preserve">Reduzido:</w:t>
            </w:r>
            <w:r>
              <w:rPr>
                <w:rFonts w:ascii="Arial" w:hAnsi="Arial" w:cs="Arial"/>
                <w:sz w:val="16"/>
                <w:szCs w:val="16"/>
              </w:rPr>
            </w:r>
            <w:r>
              <w:rPr>
                <w:rFonts w:ascii="Arial" w:hAnsi="Arial" w:cs="Arial"/>
                <w:sz w:val="16"/>
                <w:szCs w:val="16"/>
              </w:rPr>
            </w:r>
          </w:p>
        </w:tc>
        <w:tc>
          <w:tcPr>
            <w:tcBorders>
              <w:left w:val="single" w:color="000000" w:sz="4" w:space="0"/>
              <w:bottom w:val="single" w:color="000000" w:sz="4" w:space="0"/>
              <w:right w:val="single" w:color="000000" w:sz="4" w:space="0"/>
            </w:tcBorders>
            <w:tcW w:w="6780" w:type="dxa"/>
            <w:textDirection w:val="lrTb"/>
            <w:noWrap w:val="false"/>
          </w:tcPr>
          <w:p w14:paraId="4103E5F7">
            <w:pPr>
              <w:pBdr/>
              <w:spacing/>
              <w:ind/>
              <w:rPr>
                <w:rFonts w:ascii="Arial" w:hAnsi="Arial" w:cs="Arial"/>
                <w:sz w:val="16"/>
                <w:szCs w:val="16"/>
              </w:rPr>
            </w:pPr>
            <w:r>
              <w:rPr>
                <w:rFonts w:ascii="Arial" w:hAnsi="Arial" w:eastAsia="Arial" w:cs="Arial"/>
                <w:b/>
                <w:sz w:val="16"/>
                <w:szCs w:val="16"/>
              </w:rPr>
              <w:t xml:space="preserve">613</w:t>
            </w:r>
            <w:r>
              <w:rPr>
                <w:rFonts w:ascii="Arial" w:hAnsi="Arial" w:cs="Arial"/>
                <w:sz w:val="16"/>
                <w:szCs w:val="16"/>
              </w:rPr>
            </w:r>
            <w:r>
              <w:rPr>
                <w:rFonts w:ascii="Arial" w:hAnsi="Arial" w:cs="Arial"/>
                <w:sz w:val="16"/>
                <w:szCs w:val="16"/>
              </w:rPr>
            </w:r>
          </w:p>
        </w:tc>
      </w:tr>
      <w:tr>
        <w:trPr>
          <w:jc w:val="center"/>
          <w:trHeight w:val="77"/>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5A2F869">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Fonte de Recurso: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62BAB42B">
            <w:pPr>
              <w:pBdr/>
              <w:spacing/>
              <w:ind/>
              <w:rPr>
                <w:rFonts w:ascii="Arial" w:hAnsi="Arial" w:cs="Arial"/>
                <w:sz w:val="16"/>
                <w:szCs w:val="16"/>
              </w:rPr>
            </w:pPr>
            <w:r>
              <w:rPr>
                <w:rFonts w:ascii="Arial" w:hAnsi="Arial" w:eastAsia="Arial" w:cs="Arial"/>
                <w:sz w:val="16"/>
                <w:szCs w:val="16"/>
              </w:rPr>
              <w:t xml:space="preserve">1.600.0000603</w:t>
            </w:r>
            <w:r>
              <w:rPr>
                <w:rFonts w:ascii="Arial" w:hAnsi="Arial" w:cs="Arial"/>
                <w:sz w:val="16"/>
                <w:szCs w:val="16"/>
              </w:rPr>
            </w:r>
            <w:r>
              <w:rPr>
                <w:rFonts w:ascii="Arial" w:hAnsi="Arial" w:cs="Arial"/>
                <w:sz w:val="16"/>
                <w:szCs w:val="16"/>
              </w:rPr>
            </w:r>
          </w:p>
        </w:tc>
      </w:tr>
    </w:tbl>
    <w:p w14:paraId="36D9BE6D">
      <w:pPr>
        <w:pBdr/>
        <w:spacing/>
        <w:ind/>
        <w:jc w:val="both"/>
        <w:rPr>
          <w:rFonts w:ascii="Arial" w:hAnsi="Arial" w:cs="Arial"/>
          <w:sz w:val="16"/>
          <w:szCs w:val="16"/>
        </w:rPr>
      </w:pPr>
      <w:r>
        <w:rPr>
          <w:rFonts w:ascii="Arial" w:hAnsi="Arial" w:eastAsia="Arial" w:cs="Arial"/>
          <w:sz w:val="16"/>
          <w:szCs w:val="16"/>
        </w:rPr>
      </w:r>
      <w:r>
        <w:rPr>
          <w:rFonts w:ascii="Arial" w:hAnsi="Arial" w:cs="Arial"/>
          <w:sz w:val="16"/>
          <w:szCs w:val="16"/>
        </w:rPr>
      </w:r>
      <w:r>
        <w:rPr>
          <w:rFonts w:ascii="Arial" w:hAnsi="Arial" w:cs="Arial"/>
          <w:sz w:val="16"/>
          <w:szCs w:val="16"/>
        </w:rPr>
      </w:r>
    </w:p>
    <w:tbl>
      <w:tblPr>
        <w:jc w:val="center"/>
        <w:tblW w:w="8969" w:type="dxa"/>
        <w:tblBorders/>
        <w:tblLayout w:type="fixed"/>
        <w:tblLook w:val="04A0" w:firstRow="1" w:lastRow="0" w:firstColumn="1" w:lastColumn="0" w:noHBand="0" w:noVBand="1"/>
      </w:tblPr>
      <w:tblGrid>
        <w:gridCol w:w="2189"/>
        <w:gridCol w:w="6780"/>
      </w:tblGrid>
      <w:tr>
        <w:trPr>
          <w:jc w:val="center"/>
          <w:trHeight w:val="114"/>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788274B7">
            <w:pPr>
              <w:pBdr/>
              <w:spacing/>
              <w:ind/>
              <w:jc w:val="center"/>
              <w:rPr>
                <w:rFonts w:ascii="Arial" w:hAnsi="Arial" w:cs="Arial"/>
                <w:sz w:val="16"/>
                <w:szCs w:val="16"/>
              </w:rPr>
            </w:pPr>
            <w:r>
              <w:rPr>
                <w:rFonts w:ascii="Arial" w:hAnsi="Arial" w:eastAsia="Arial" w:cs="Arial"/>
                <w:b/>
                <w:color w:val="000000"/>
                <w:sz w:val="16"/>
                <w:szCs w:val="16"/>
                <w:lang w:val="pt-BR" w:eastAsia="pt-BR"/>
              </w:rPr>
              <w:t xml:space="preserve">Classificação Orçamentária da Despesa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541D125F">
            <w:pPr>
              <w:pBdr/>
              <w:spacing/>
              <w:ind/>
              <w:jc w:val="right"/>
              <w:rPr>
                <w:rFonts w:ascii="Arial" w:hAnsi="Arial" w:cs="Arial"/>
                <w:sz w:val="16"/>
                <w:szCs w:val="16"/>
              </w:rPr>
            </w:pPr>
            <w:r>
              <w:rPr>
                <w:rFonts w:ascii="Arial" w:hAnsi="Arial" w:eastAsia="Arial" w:cs="Arial"/>
                <w:color w:val="000000"/>
                <w:sz w:val="16"/>
                <w:szCs w:val="16"/>
                <w:lang w:val="pt-BR" w:eastAsia="pt-BR"/>
              </w:rPr>
              <w:t xml:space="preserve">Órgão: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37F16AB0">
            <w:pPr>
              <w:pBdr/>
              <w:spacing/>
              <w:ind/>
              <w:rPr>
                <w:rFonts w:ascii="Arial" w:hAnsi="Arial" w:cs="Arial"/>
                <w:sz w:val="16"/>
                <w:szCs w:val="16"/>
              </w:rPr>
            </w:pPr>
            <w:r>
              <w:rPr>
                <w:rFonts w:ascii="Arial" w:hAnsi="Arial" w:eastAsia="Arial" w:cs="Arial"/>
                <w:color w:val="000000"/>
                <w:sz w:val="16"/>
                <w:szCs w:val="16"/>
                <w:lang w:val="pt-BR" w:eastAsia="pt-BR"/>
              </w:rPr>
              <w:t xml:space="preserve">02 – Prefeitura Municipal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458B9537">
            <w:pPr>
              <w:pBdr/>
              <w:spacing/>
              <w:ind/>
              <w:jc w:val="right"/>
              <w:rPr>
                <w:rFonts w:ascii="Arial" w:hAnsi="Arial" w:cs="Arial"/>
                <w:sz w:val="16"/>
                <w:szCs w:val="16"/>
              </w:rPr>
            </w:pPr>
            <w:r>
              <w:rPr>
                <w:rFonts w:ascii="Arial" w:hAnsi="Arial" w:eastAsia="Arial" w:cs="Arial"/>
                <w:color w:val="000000"/>
                <w:sz w:val="16"/>
                <w:szCs w:val="16"/>
                <w:lang w:val="pt-BR" w:eastAsia="pt-BR"/>
              </w:rPr>
              <w:t xml:space="preserve">Unidade:</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424BE962">
            <w:pPr>
              <w:pBdr/>
              <w:spacing/>
              <w:ind/>
              <w:rPr>
                <w:rFonts w:ascii="Arial" w:hAnsi="Arial" w:cs="Arial"/>
                <w:sz w:val="16"/>
                <w:szCs w:val="16"/>
              </w:rPr>
            </w:pPr>
            <w:r>
              <w:rPr>
                <w:rFonts w:ascii="Arial" w:hAnsi="Arial" w:eastAsia="Arial" w:cs="Arial"/>
                <w:color w:val="000000"/>
                <w:sz w:val="16"/>
                <w:szCs w:val="16"/>
                <w:lang w:val="pt-BR" w:eastAsia="pt-BR"/>
              </w:rPr>
              <w:t xml:space="preserve">14 – Fundo Municipal de Saúde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2FB18BAE">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Funcional Programática: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11974A56">
            <w:pPr>
              <w:pBdr/>
              <w:spacing/>
              <w:ind/>
              <w:rPr>
                <w:rFonts w:ascii="Arial" w:hAnsi="Arial" w:cs="Arial"/>
                <w:sz w:val="16"/>
                <w:szCs w:val="16"/>
              </w:rPr>
            </w:pPr>
            <w:r>
              <w:rPr>
                <w:rFonts w:ascii="Arial" w:hAnsi="Arial" w:eastAsia="Arial" w:cs="Arial"/>
                <w:sz w:val="16"/>
                <w:szCs w:val="16"/>
              </w:rPr>
              <w:t xml:space="preserve">10.305.2201.2184 - MANUTENÇÃO DA AÇÕES DA VIGILÂNCIA EPIDEMIOLÓGICA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6275D8B7">
            <w:pPr>
              <w:pBdr/>
              <w:spacing/>
              <w:ind/>
              <w:jc w:val="right"/>
              <w:rPr>
                <w:rFonts w:ascii="Arial" w:hAnsi="Arial" w:cs="Arial"/>
                <w:sz w:val="16"/>
                <w:szCs w:val="16"/>
              </w:rPr>
            </w:pPr>
            <w:r>
              <w:rPr>
                <w:rFonts w:ascii="Arial" w:hAnsi="Arial" w:eastAsia="Arial" w:cs="Arial"/>
                <w:color w:val="000000"/>
                <w:sz w:val="16"/>
                <w:szCs w:val="16"/>
                <w:lang w:val="pt-BR" w:eastAsia="pt-BR"/>
              </w:rPr>
              <w:t xml:space="preserve">Elemento de Despesa: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7612B0DC">
            <w:pPr>
              <w:pBdr/>
              <w:spacing/>
              <w:ind/>
              <w:rPr>
                <w:rFonts w:ascii="Arial" w:hAnsi="Arial" w:cs="Arial"/>
                <w:sz w:val="16"/>
                <w:szCs w:val="16"/>
              </w:rPr>
            </w:pPr>
            <w:r>
              <w:rPr>
                <w:rFonts w:ascii="Arial" w:hAnsi="Arial" w:eastAsia="Arial" w:cs="Arial"/>
                <w:sz w:val="16"/>
                <w:szCs w:val="16"/>
              </w:rPr>
              <w:t xml:space="preserve">3.3.90.30.00.00 – MATERIAL DE CONSUMO</w:t>
            </w:r>
            <w:r>
              <w:rPr>
                <w:rFonts w:ascii="Arial" w:hAnsi="Arial" w:cs="Arial"/>
                <w:sz w:val="16"/>
                <w:szCs w:val="16"/>
              </w:rPr>
            </w:r>
            <w:r>
              <w:rPr>
                <w:rFonts w:ascii="Arial" w:hAnsi="Arial" w:cs="Arial"/>
                <w:sz w:val="16"/>
                <w:szCs w:val="16"/>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373317F7">
            <w:pPr>
              <w:pBdr/>
              <w:spacing/>
              <w:ind/>
              <w:jc w:val="right"/>
              <w:rPr>
                <w:rFonts w:ascii="Arial" w:hAnsi="Arial" w:cs="Arial"/>
                <w:sz w:val="16"/>
                <w:szCs w:val="16"/>
              </w:rPr>
            </w:pPr>
            <w:r>
              <w:rPr>
                <w:rFonts w:ascii="Arial" w:hAnsi="Arial" w:eastAsia="Arial" w:cs="Arial"/>
                <w:color w:val="000000"/>
                <w:sz w:val="16"/>
                <w:szCs w:val="16"/>
                <w:lang w:val="pt-BR" w:eastAsia="pt-BR"/>
              </w:rPr>
              <w:t xml:space="preserve">Reduzido:</w:t>
            </w:r>
            <w:r>
              <w:rPr>
                <w:rFonts w:ascii="Arial" w:hAnsi="Arial" w:cs="Arial"/>
                <w:sz w:val="16"/>
                <w:szCs w:val="16"/>
              </w:rPr>
            </w:r>
            <w:r>
              <w:rPr>
                <w:rFonts w:ascii="Arial" w:hAnsi="Arial" w:cs="Arial"/>
                <w:sz w:val="16"/>
                <w:szCs w:val="16"/>
              </w:rPr>
            </w:r>
          </w:p>
        </w:tc>
        <w:tc>
          <w:tcPr>
            <w:tcBorders>
              <w:left w:val="single" w:color="000000" w:sz="4" w:space="0"/>
              <w:bottom w:val="single" w:color="000000" w:sz="4" w:space="0"/>
              <w:right w:val="single" w:color="000000" w:sz="4" w:space="0"/>
            </w:tcBorders>
            <w:tcW w:w="6780" w:type="dxa"/>
            <w:textDirection w:val="lrTb"/>
            <w:noWrap w:val="false"/>
          </w:tcPr>
          <w:p w14:paraId="0FF5415F">
            <w:pPr>
              <w:pBdr/>
              <w:spacing/>
              <w:ind/>
              <w:rPr>
                <w:rFonts w:ascii="Arial" w:hAnsi="Arial" w:cs="Arial"/>
                <w:sz w:val="16"/>
                <w:szCs w:val="16"/>
              </w:rPr>
            </w:pPr>
            <w:r>
              <w:rPr>
                <w:rFonts w:ascii="Arial" w:hAnsi="Arial" w:eastAsia="Arial" w:cs="Arial"/>
                <w:b/>
                <w:sz w:val="16"/>
                <w:szCs w:val="16"/>
              </w:rPr>
              <w:t xml:space="preserve">486</w:t>
            </w:r>
            <w:r>
              <w:rPr>
                <w:rFonts w:ascii="Arial" w:hAnsi="Arial" w:cs="Arial"/>
                <w:sz w:val="16"/>
                <w:szCs w:val="16"/>
              </w:rPr>
            </w:r>
            <w:r>
              <w:rPr>
                <w:rFonts w:ascii="Arial" w:hAnsi="Arial" w:cs="Arial"/>
                <w:sz w:val="16"/>
                <w:szCs w:val="16"/>
              </w:rPr>
            </w:r>
          </w:p>
        </w:tc>
      </w:tr>
      <w:tr>
        <w:trPr>
          <w:jc w:val="center"/>
          <w:trHeight w:val="225"/>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1976A83">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Fonte de Recurso: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11764861">
            <w:pPr>
              <w:pBdr/>
              <w:spacing/>
              <w:ind/>
              <w:rPr>
                <w:rFonts w:ascii="Arial" w:hAnsi="Arial" w:cs="Arial"/>
                <w:sz w:val="16"/>
                <w:szCs w:val="16"/>
              </w:rPr>
            </w:pPr>
            <w:r>
              <w:rPr>
                <w:rFonts w:ascii="Arial" w:hAnsi="Arial" w:eastAsia="Arial" w:cs="Arial"/>
                <w:sz w:val="16"/>
                <w:szCs w:val="16"/>
              </w:rPr>
              <w:t xml:space="preserve">1.600.0000605</w:t>
            </w:r>
            <w:r>
              <w:rPr>
                <w:rFonts w:ascii="Arial" w:hAnsi="Arial" w:cs="Arial"/>
                <w:sz w:val="16"/>
                <w:szCs w:val="16"/>
              </w:rPr>
            </w:r>
            <w:r>
              <w:rPr>
                <w:rFonts w:ascii="Arial" w:hAnsi="Arial" w:cs="Arial"/>
                <w:sz w:val="16"/>
                <w:szCs w:val="16"/>
              </w:rPr>
            </w:r>
          </w:p>
        </w:tc>
      </w:tr>
    </w:tbl>
    <w:p w14:paraId="0FBD0F7D">
      <w:pPr>
        <w:pBdr/>
        <w:spacing/>
        <w:ind/>
        <w:jc w:val="both"/>
        <w:rPr>
          <w:rFonts w:ascii="Arial" w:hAnsi="Arial" w:cs="Arial"/>
          <w:sz w:val="16"/>
          <w:szCs w:val="16"/>
        </w:rPr>
      </w:pPr>
      <w:r>
        <w:rPr>
          <w:rFonts w:ascii="Arial" w:hAnsi="Arial" w:eastAsia="Arial" w:cs="Arial"/>
          <w:sz w:val="16"/>
          <w:szCs w:val="16"/>
        </w:rPr>
      </w:r>
      <w:r>
        <w:rPr>
          <w:rFonts w:ascii="Arial" w:hAnsi="Arial" w:cs="Arial"/>
          <w:sz w:val="16"/>
          <w:szCs w:val="16"/>
        </w:rPr>
      </w:r>
      <w:r>
        <w:rPr>
          <w:rFonts w:ascii="Arial" w:hAnsi="Arial" w:cs="Arial"/>
          <w:sz w:val="16"/>
          <w:szCs w:val="16"/>
        </w:rPr>
      </w:r>
    </w:p>
    <w:tbl>
      <w:tblPr>
        <w:jc w:val="center"/>
        <w:tblW w:w="8969" w:type="dxa"/>
        <w:tblBorders/>
        <w:tblLayout w:type="fixed"/>
        <w:tblLook w:val="04A0" w:firstRow="1" w:lastRow="0" w:firstColumn="1" w:lastColumn="0" w:noHBand="0" w:noVBand="1"/>
      </w:tblPr>
      <w:tblGrid>
        <w:gridCol w:w="2189"/>
        <w:gridCol w:w="6780"/>
      </w:tblGrid>
      <w:tr>
        <w:trPr>
          <w:jc w:val="center"/>
          <w:trHeight w:val="221"/>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0FDDDD85">
            <w:pPr>
              <w:pBdr/>
              <w:spacing/>
              <w:ind/>
              <w:jc w:val="center"/>
              <w:rPr>
                <w:rFonts w:ascii="Arial" w:hAnsi="Arial" w:cs="Arial"/>
                <w:sz w:val="16"/>
                <w:szCs w:val="16"/>
              </w:rPr>
            </w:pPr>
            <w:r>
              <w:rPr>
                <w:rFonts w:ascii="Arial" w:hAnsi="Arial" w:eastAsia="Arial" w:cs="Arial"/>
                <w:b/>
                <w:color w:val="000000"/>
                <w:sz w:val="16"/>
                <w:szCs w:val="16"/>
                <w:lang w:val="pt-BR" w:eastAsia="pt-BR"/>
              </w:rPr>
              <w:t xml:space="preserve">Classificação Orçamentária da Despesa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3A3D4A00">
            <w:pPr>
              <w:pBdr/>
              <w:spacing/>
              <w:ind/>
              <w:jc w:val="right"/>
              <w:rPr>
                <w:rFonts w:ascii="Arial" w:hAnsi="Arial" w:cs="Arial"/>
                <w:sz w:val="16"/>
                <w:szCs w:val="16"/>
              </w:rPr>
            </w:pPr>
            <w:r>
              <w:rPr>
                <w:rFonts w:ascii="Arial" w:hAnsi="Arial" w:eastAsia="Arial" w:cs="Arial"/>
                <w:color w:val="000000"/>
                <w:sz w:val="16"/>
                <w:szCs w:val="16"/>
                <w:lang w:val="pt-BR" w:eastAsia="pt-BR"/>
              </w:rPr>
              <w:t xml:space="preserve">Órgão: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5F88D44F">
            <w:pPr>
              <w:pBdr/>
              <w:spacing/>
              <w:ind/>
              <w:rPr>
                <w:rFonts w:ascii="Arial" w:hAnsi="Arial" w:cs="Arial"/>
                <w:sz w:val="16"/>
                <w:szCs w:val="16"/>
              </w:rPr>
            </w:pPr>
            <w:r>
              <w:rPr>
                <w:rFonts w:ascii="Arial" w:hAnsi="Arial" w:eastAsia="Arial" w:cs="Arial"/>
                <w:color w:val="000000"/>
                <w:sz w:val="16"/>
                <w:szCs w:val="16"/>
                <w:lang w:val="pt-BR" w:eastAsia="pt-BR"/>
              </w:rPr>
              <w:t xml:space="preserve">02 – Prefeitura Municipal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4280085">
            <w:pPr>
              <w:pBdr/>
              <w:spacing/>
              <w:ind/>
              <w:jc w:val="right"/>
              <w:rPr>
                <w:rFonts w:ascii="Arial" w:hAnsi="Arial" w:cs="Arial"/>
                <w:sz w:val="16"/>
                <w:szCs w:val="16"/>
              </w:rPr>
            </w:pPr>
            <w:r>
              <w:rPr>
                <w:rFonts w:ascii="Arial" w:hAnsi="Arial" w:eastAsia="Arial" w:cs="Arial"/>
                <w:color w:val="000000"/>
                <w:sz w:val="16"/>
                <w:szCs w:val="16"/>
                <w:lang w:val="pt-BR" w:eastAsia="pt-BR"/>
              </w:rPr>
              <w:t xml:space="preserve">Unidade:</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55424B0C">
            <w:pPr>
              <w:pBdr/>
              <w:spacing/>
              <w:ind/>
              <w:rPr>
                <w:rFonts w:ascii="Arial" w:hAnsi="Arial" w:cs="Arial"/>
                <w:sz w:val="16"/>
                <w:szCs w:val="16"/>
              </w:rPr>
            </w:pPr>
            <w:r>
              <w:rPr>
                <w:rFonts w:ascii="Arial" w:hAnsi="Arial" w:eastAsia="Arial" w:cs="Arial"/>
                <w:color w:val="000000"/>
                <w:sz w:val="16"/>
                <w:szCs w:val="16"/>
                <w:lang w:val="pt-BR" w:eastAsia="pt-BR"/>
              </w:rPr>
              <w:t xml:space="preserve">14 – Fundo Municipal de Saúde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668ED393">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Funcional Programática: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2FAD7E00">
            <w:pPr>
              <w:pBdr/>
              <w:spacing/>
              <w:ind/>
              <w:rPr>
                <w:rFonts w:ascii="Arial" w:hAnsi="Arial" w:cs="Arial"/>
                <w:sz w:val="16"/>
                <w:szCs w:val="16"/>
              </w:rPr>
            </w:pPr>
            <w:r>
              <w:rPr>
                <w:rFonts w:ascii="Arial" w:hAnsi="Arial" w:eastAsia="Arial" w:cs="Arial"/>
                <w:sz w:val="16"/>
                <w:szCs w:val="16"/>
              </w:rPr>
              <w:t xml:space="preserve">10.305.2201.2187 - MANUTENÇÃO DAS AÇÕES DE VIGILÂNCIA AMBIENTAL E UNIDADE DE CONTROLE DE ZOONOZES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79CF901">
            <w:pPr>
              <w:pBdr/>
              <w:spacing/>
              <w:ind/>
              <w:jc w:val="right"/>
              <w:rPr>
                <w:rFonts w:ascii="Arial" w:hAnsi="Arial" w:cs="Arial"/>
                <w:sz w:val="16"/>
                <w:szCs w:val="16"/>
              </w:rPr>
            </w:pPr>
            <w:r>
              <w:rPr>
                <w:rFonts w:ascii="Arial" w:hAnsi="Arial" w:eastAsia="Arial" w:cs="Arial"/>
                <w:color w:val="000000"/>
                <w:sz w:val="16"/>
                <w:szCs w:val="16"/>
                <w:lang w:val="pt-BR" w:eastAsia="pt-BR"/>
              </w:rPr>
              <w:t xml:space="preserve">Elemento de Despesa: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304789D5">
            <w:pPr>
              <w:pBdr/>
              <w:spacing/>
              <w:ind/>
              <w:rPr>
                <w:rFonts w:ascii="Arial" w:hAnsi="Arial" w:cs="Arial"/>
                <w:sz w:val="16"/>
                <w:szCs w:val="16"/>
              </w:rPr>
            </w:pPr>
            <w:r>
              <w:rPr>
                <w:rFonts w:ascii="Arial" w:hAnsi="Arial" w:eastAsia="Arial" w:cs="Arial"/>
                <w:sz w:val="16"/>
                <w:szCs w:val="16"/>
              </w:rPr>
              <w:t xml:space="preserve">3.3.90.30.00.00 – MATERIAL DE CONSUMO</w:t>
            </w:r>
            <w:r>
              <w:rPr>
                <w:rFonts w:ascii="Arial" w:hAnsi="Arial" w:cs="Arial"/>
                <w:sz w:val="16"/>
                <w:szCs w:val="16"/>
              </w:rPr>
            </w:r>
            <w:r>
              <w:rPr>
                <w:rFonts w:ascii="Arial" w:hAnsi="Arial" w:cs="Arial"/>
                <w:sz w:val="16"/>
                <w:szCs w:val="16"/>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0E3097B9">
            <w:pPr>
              <w:pBdr/>
              <w:spacing/>
              <w:ind/>
              <w:jc w:val="right"/>
              <w:rPr>
                <w:rFonts w:ascii="Arial" w:hAnsi="Arial" w:cs="Arial"/>
                <w:sz w:val="16"/>
                <w:szCs w:val="16"/>
              </w:rPr>
            </w:pPr>
            <w:r>
              <w:rPr>
                <w:rFonts w:ascii="Arial" w:hAnsi="Arial" w:eastAsia="Arial" w:cs="Arial"/>
                <w:color w:val="000000"/>
                <w:sz w:val="16"/>
                <w:szCs w:val="16"/>
                <w:lang w:val="pt-BR" w:eastAsia="pt-BR"/>
              </w:rPr>
              <w:t xml:space="preserve">Reduzido:</w:t>
            </w:r>
            <w:r>
              <w:rPr>
                <w:rFonts w:ascii="Arial" w:hAnsi="Arial" w:cs="Arial"/>
                <w:sz w:val="16"/>
                <w:szCs w:val="16"/>
              </w:rPr>
            </w:r>
            <w:r>
              <w:rPr>
                <w:rFonts w:ascii="Arial" w:hAnsi="Arial" w:cs="Arial"/>
                <w:sz w:val="16"/>
                <w:szCs w:val="16"/>
              </w:rPr>
            </w:r>
          </w:p>
        </w:tc>
        <w:tc>
          <w:tcPr>
            <w:tcBorders>
              <w:left w:val="single" w:color="000000" w:sz="4" w:space="0"/>
              <w:bottom w:val="single" w:color="000000" w:sz="4" w:space="0"/>
              <w:right w:val="single" w:color="000000" w:sz="4" w:space="0"/>
            </w:tcBorders>
            <w:tcW w:w="6780" w:type="dxa"/>
            <w:textDirection w:val="lrTb"/>
            <w:noWrap w:val="false"/>
          </w:tcPr>
          <w:p w14:paraId="5D500442">
            <w:pPr>
              <w:pBdr/>
              <w:spacing/>
              <w:ind/>
              <w:rPr>
                <w:rFonts w:ascii="Arial" w:hAnsi="Arial" w:cs="Arial"/>
                <w:sz w:val="16"/>
                <w:szCs w:val="16"/>
              </w:rPr>
            </w:pPr>
            <w:r>
              <w:rPr>
                <w:rFonts w:ascii="Arial" w:hAnsi="Arial" w:eastAsia="Arial" w:cs="Arial"/>
                <w:b/>
                <w:sz w:val="16"/>
                <w:szCs w:val="16"/>
              </w:rPr>
              <w:t xml:space="preserve">497</w:t>
            </w:r>
            <w:r>
              <w:rPr>
                <w:rFonts w:ascii="Arial" w:hAnsi="Arial" w:cs="Arial"/>
                <w:sz w:val="16"/>
                <w:szCs w:val="16"/>
              </w:rPr>
            </w:r>
            <w:r>
              <w:rPr>
                <w:rFonts w:ascii="Arial" w:hAnsi="Arial" w:cs="Arial"/>
                <w:sz w:val="16"/>
                <w:szCs w:val="16"/>
              </w:rPr>
            </w:r>
          </w:p>
        </w:tc>
      </w:tr>
      <w:tr>
        <w:trPr>
          <w:jc w:val="center"/>
          <w:trHeight w:val="112"/>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7C26BCBD">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Fonte de Recurso: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5308FA69">
            <w:pPr>
              <w:pBdr/>
              <w:spacing/>
              <w:ind/>
              <w:rPr>
                <w:rFonts w:ascii="Arial" w:hAnsi="Arial" w:cs="Arial"/>
                <w:sz w:val="16"/>
                <w:szCs w:val="16"/>
              </w:rPr>
            </w:pPr>
            <w:r>
              <w:rPr>
                <w:rFonts w:ascii="Arial" w:hAnsi="Arial" w:eastAsia="Arial" w:cs="Arial"/>
                <w:sz w:val="16"/>
                <w:szCs w:val="16"/>
              </w:rPr>
              <w:t xml:space="preserve">1.500.1002000</w:t>
            </w:r>
            <w:r>
              <w:rPr>
                <w:rFonts w:ascii="Arial" w:hAnsi="Arial" w:cs="Arial"/>
                <w:sz w:val="16"/>
                <w:szCs w:val="16"/>
              </w:rPr>
            </w:r>
            <w:r>
              <w:rPr>
                <w:rFonts w:ascii="Arial" w:hAnsi="Arial" w:cs="Arial"/>
                <w:sz w:val="16"/>
                <w:szCs w:val="16"/>
              </w:rPr>
            </w:r>
          </w:p>
        </w:tc>
      </w:tr>
    </w:tbl>
    <w:p w14:paraId="0DFF448A">
      <w:pPr>
        <w:pBdr/>
        <w:spacing/>
        <w:ind/>
        <w:jc w:val="both"/>
        <w:rPr>
          <w:rFonts w:ascii="Arial" w:hAnsi="Arial" w:cs="Arial"/>
          <w:sz w:val="16"/>
          <w:szCs w:val="16"/>
        </w:rPr>
      </w:pPr>
      <w:r>
        <w:rPr>
          <w:rFonts w:ascii="Arial" w:hAnsi="Arial" w:eastAsia="Arial" w:cs="Arial"/>
          <w:sz w:val="16"/>
          <w:szCs w:val="16"/>
        </w:rPr>
      </w:r>
      <w:r>
        <w:rPr>
          <w:rFonts w:ascii="Arial" w:hAnsi="Arial" w:cs="Arial"/>
          <w:sz w:val="16"/>
          <w:szCs w:val="16"/>
        </w:rPr>
      </w:r>
      <w:r>
        <w:rPr>
          <w:rFonts w:ascii="Arial" w:hAnsi="Arial" w:cs="Arial"/>
          <w:sz w:val="16"/>
          <w:szCs w:val="16"/>
        </w:rPr>
      </w:r>
    </w:p>
    <w:tbl>
      <w:tblPr>
        <w:jc w:val="center"/>
        <w:tblW w:w="8969" w:type="dxa"/>
        <w:tblBorders/>
        <w:tblLayout w:type="fixed"/>
        <w:tblLook w:val="04A0" w:firstRow="1" w:lastRow="0" w:firstColumn="1" w:lastColumn="0" w:noHBand="0" w:noVBand="1"/>
      </w:tblPr>
      <w:tblGrid>
        <w:gridCol w:w="2189"/>
        <w:gridCol w:w="6780"/>
      </w:tblGrid>
      <w:tr>
        <w:trPr>
          <w:jc w:val="center"/>
          <w:trHeight w:val="107"/>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56186822">
            <w:pPr>
              <w:pBdr/>
              <w:spacing/>
              <w:ind/>
              <w:jc w:val="center"/>
              <w:rPr>
                <w:rFonts w:ascii="Arial" w:hAnsi="Arial" w:cs="Arial"/>
                <w:sz w:val="16"/>
                <w:szCs w:val="16"/>
              </w:rPr>
            </w:pPr>
            <w:r>
              <w:rPr>
                <w:rFonts w:ascii="Arial" w:hAnsi="Arial" w:eastAsia="Arial" w:cs="Arial"/>
                <w:b/>
                <w:color w:val="000000"/>
                <w:sz w:val="16"/>
                <w:szCs w:val="16"/>
                <w:lang w:val="pt-BR" w:eastAsia="pt-BR"/>
              </w:rPr>
              <w:t xml:space="preserve">Classificação Orçamentária da Despesa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3E7529B">
            <w:pPr>
              <w:pBdr/>
              <w:spacing/>
              <w:ind/>
              <w:jc w:val="right"/>
              <w:rPr>
                <w:rFonts w:ascii="Arial" w:hAnsi="Arial" w:cs="Arial"/>
                <w:sz w:val="16"/>
                <w:szCs w:val="16"/>
              </w:rPr>
            </w:pPr>
            <w:r>
              <w:rPr>
                <w:rFonts w:ascii="Arial" w:hAnsi="Arial" w:eastAsia="Arial" w:cs="Arial"/>
                <w:color w:val="000000"/>
                <w:sz w:val="16"/>
                <w:szCs w:val="16"/>
                <w:lang w:val="pt-BR" w:eastAsia="pt-BR"/>
              </w:rPr>
              <w:t xml:space="preserve">Órgão: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21BAAEAA">
            <w:pPr>
              <w:pBdr/>
              <w:spacing/>
              <w:ind/>
              <w:rPr>
                <w:rFonts w:ascii="Arial" w:hAnsi="Arial" w:cs="Arial"/>
                <w:sz w:val="16"/>
                <w:szCs w:val="16"/>
              </w:rPr>
            </w:pPr>
            <w:r>
              <w:rPr>
                <w:rFonts w:ascii="Arial" w:hAnsi="Arial" w:eastAsia="Arial" w:cs="Arial"/>
                <w:color w:val="000000"/>
                <w:sz w:val="16"/>
                <w:szCs w:val="16"/>
                <w:lang w:val="pt-BR" w:eastAsia="pt-BR"/>
              </w:rPr>
              <w:t xml:space="preserve">02 – Prefeitura Municipal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8106D9D">
            <w:pPr>
              <w:pBdr/>
              <w:spacing/>
              <w:ind/>
              <w:jc w:val="right"/>
              <w:rPr>
                <w:rFonts w:ascii="Arial" w:hAnsi="Arial" w:cs="Arial"/>
                <w:sz w:val="16"/>
                <w:szCs w:val="16"/>
              </w:rPr>
            </w:pPr>
            <w:r>
              <w:rPr>
                <w:rFonts w:ascii="Arial" w:hAnsi="Arial" w:eastAsia="Arial" w:cs="Arial"/>
                <w:color w:val="000000"/>
                <w:sz w:val="16"/>
                <w:szCs w:val="16"/>
                <w:lang w:val="pt-BR" w:eastAsia="pt-BR"/>
              </w:rPr>
              <w:t xml:space="preserve">Unidade:</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7C433F0F">
            <w:pPr>
              <w:pBdr/>
              <w:spacing/>
              <w:ind/>
              <w:rPr>
                <w:rFonts w:ascii="Arial" w:hAnsi="Arial" w:cs="Arial"/>
                <w:sz w:val="16"/>
                <w:szCs w:val="16"/>
              </w:rPr>
            </w:pPr>
            <w:r>
              <w:rPr>
                <w:rFonts w:ascii="Arial" w:hAnsi="Arial" w:eastAsia="Arial" w:cs="Arial"/>
                <w:color w:val="000000"/>
                <w:sz w:val="16"/>
                <w:szCs w:val="16"/>
                <w:lang w:val="pt-BR" w:eastAsia="pt-BR"/>
              </w:rPr>
              <w:t xml:space="preserve">14 – Fundo Municipal de Saúde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260470F5">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Funcional Programática: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03E9AE33">
            <w:pPr>
              <w:pBdr/>
              <w:spacing/>
              <w:ind/>
              <w:rPr>
                <w:rFonts w:ascii="Arial" w:hAnsi="Arial" w:cs="Arial"/>
                <w:sz w:val="16"/>
                <w:szCs w:val="16"/>
              </w:rPr>
            </w:pPr>
            <w:r>
              <w:rPr>
                <w:rFonts w:ascii="Arial" w:hAnsi="Arial" w:eastAsia="Arial" w:cs="Arial"/>
                <w:sz w:val="16"/>
                <w:szCs w:val="16"/>
              </w:rPr>
              <w:t xml:space="preserve">10.305.2201.2199 - MANUTENÇÃO DO PROGRAMA MUNICIPAL DE IST/AIDS/HV/TB E HANSENÍASE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41093250">
            <w:pPr>
              <w:pBdr/>
              <w:spacing/>
              <w:ind/>
              <w:jc w:val="right"/>
              <w:rPr>
                <w:rFonts w:ascii="Arial" w:hAnsi="Arial" w:cs="Arial"/>
                <w:sz w:val="16"/>
                <w:szCs w:val="16"/>
              </w:rPr>
            </w:pPr>
            <w:r>
              <w:rPr>
                <w:rFonts w:ascii="Arial" w:hAnsi="Arial" w:eastAsia="Arial" w:cs="Arial"/>
                <w:color w:val="000000"/>
                <w:sz w:val="16"/>
                <w:szCs w:val="16"/>
                <w:lang w:val="pt-BR" w:eastAsia="pt-BR"/>
              </w:rPr>
              <w:t xml:space="preserve">Elemento de Despesa: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1A37A264">
            <w:pPr>
              <w:pBdr/>
              <w:spacing/>
              <w:ind/>
              <w:rPr>
                <w:rFonts w:ascii="Arial" w:hAnsi="Arial" w:cs="Arial"/>
                <w:sz w:val="16"/>
                <w:szCs w:val="16"/>
              </w:rPr>
            </w:pPr>
            <w:r>
              <w:rPr>
                <w:rFonts w:ascii="Arial" w:hAnsi="Arial" w:eastAsia="Arial" w:cs="Arial"/>
                <w:sz w:val="16"/>
                <w:szCs w:val="16"/>
              </w:rPr>
              <w:t xml:space="preserve">3.3.90.30.00.00 – MATERIAL DE CONSUMO</w:t>
            </w:r>
            <w:r>
              <w:rPr>
                <w:rFonts w:ascii="Arial" w:hAnsi="Arial" w:cs="Arial"/>
                <w:sz w:val="16"/>
                <w:szCs w:val="16"/>
              </w:rPr>
            </w:r>
            <w:r>
              <w:rPr>
                <w:rFonts w:ascii="Arial" w:hAnsi="Arial" w:cs="Arial"/>
                <w:sz w:val="16"/>
                <w:szCs w:val="16"/>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0DBE7F8C">
            <w:pPr>
              <w:pBdr/>
              <w:spacing/>
              <w:ind/>
              <w:jc w:val="right"/>
              <w:rPr>
                <w:rFonts w:ascii="Arial" w:hAnsi="Arial" w:cs="Arial"/>
                <w:sz w:val="16"/>
                <w:szCs w:val="16"/>
              </w:rPr>
            </w:pPr>
            <w:r>
              <w:rPr>
                <w:rFonts w:ascii="Arial" w:hAnsi="Arial" w:eastAsia="Arial" w:cs="Arial"/>
                <w:color w:val="000000"/>
                <w:sz w:val="16"/>
                <w:szCs w:val="16"/>
                <w:lang w:val="pt-BR" w:eastAsia="pt-BR"/>
              </w:rPr>
              <w:t xml:space="preserve">Reduzido:</w:t>
            </w:r>
            <w:r>
              <w:rPr>
                <w:rFonts w:ascii="Arial" w:hAnsi="Arial" w:cs="Arial"/>
                <w:sz w:val="16"/>
                <w:szCs w:val="16"/>
              </w:rPr>
            </w:r>
            <w:r>
              <w:rPr>
                <w:rFonts w:ascii="Arial" w:hAnsi="Arial" w:cs="Arial"/>
                <w:sz w:val="16"/>
                <w:szCs w:val="16"/>
              </w:rPr>
            </w:r>
          </w:p>
        </w:tc>
        <w:tc>
          <w:tcPr>
            <w:tcBorders>
              <w:left w:val="single" w:color="000000" w:sz="4" w:space="0"/>
              <w:bottom w:val="single" w:color="000000" w:sz="4" w:space="0"/>
              <w:right w:val="single" w:color="000000" w:sz="4" w:space="0"/>
            </w:tcBorders>
            <w:tcW w:w="6780" w:type="dxa"/>
            <w:textDirection w:val="lrTb"/>
            <w:noWrap w:val="false"/>
          </w:tcPr>
          <w:p w14:paraId="2B4CC230">
            <w:pPr>
              <w:pBdr/>
              <w:spacing/>
              <w:ind/>
              <w:rPr>
                <w:rFonts w:ascii="Arial" w:hAnsi="Arial" w:cs="Arial"/>
                <w:sz w:val="16"/>
                <w:szCs w:val="16"/>
              </w:rPr>
            </w:pPr>
            <w:r>
              <w:rPr>
                <w:rFonts w:ascii="Arial" w:hAnsi="Arial" w:eastAsia="Arial" w:cs="Arial"/>
                <w:b/>
                <w:sz w:val="16"/>
                <w:szCs w:val="16"/>
              </w:rPr>
              <w:t xml:space="preserve">463</w:t>
            </w:r>
            <w:r>
              <w:rPr>
                <w:rFonts w:ascii="Arial" w:hAnsi="Arial" w:cs="Arial"/>
                <w:sz w:val="16"/>
                <w:szCs w:val="16"/>
              </w:rPr>
            </w:r>
            <w:r>
              <w:rPr>
                <w:rFonts w:ascii="Arial" w:hAnsi="Arial" w:cs="Arial"/>
                <w:sz w:val="16"/>
                <w:szCs w:val="16"/>
              </w:rPr>
            </w:r>
          </w:p>
        </w:tc>
      </w:tr>
      <w:tr>
        <w:trPr>
          <w:jc w:val="center"/>
          <w:trHeight w:val="176"/>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4AAD0BB3">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Fonte de Recurso: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383E38CD">
            <w:pPr>
              <w:pBdr/>
              <w:spacing/>
              <w:ind/>
              <w:rPr>
                <w:rFonts w:ascii="Arial" w:hAnsi="Arial" w:cs="Arial"/>
                <w:sz w:val="16"/>
                <w:szCs w:val="16"/>
              </w:rPr>
            </w:pPr>
            <w:r>
              <w:rPr>
                <w:rFonts w:ascii="Arial" w:hAnsi="Arial" w:eastAsia="Arial" w:cs="Arial"/>
                <w:sz w:val="16"/>
                <w:szCs w:val="16"/>
              </w:rPr>
              <w:t xml:space="preserve">1.600.0000605</w:t>
            </w:r>
            <w:r>
              <w:rPr>
                <w:rFonts w:ascii="Arial" w:hAnsi="Arial" w:cs="Arial"/>
                <w:sz w:val="16"/>
                <w:szCs w:val="16"/>
              </w:rPr>
            </w:r>
            <w:r>
              <w:rPr>
                <w:rFonts w:ascii="Arial" w:hAnsi="Arial" w:cs="Arial"/>
                <w:sz w:val="16"/>
                <w:szCs w:val="16"/>
              </w:rPr>
            </w:r>
          </w:p>
        </w:tc>
      </w:tr>
    </w:tbl>
    <w:p w14:paraId="17F78077">
      <w:pPr>
        <w:pBdr/>
        <w:spacing/>
        <w:ind/>
        <w:jc w:val="both"/>
        <w:rPr>
          <w:rFonts w:ascii="Arial" w:hAnsi="Arial" w:cs="Arial"/>
          <w:sz w:val="16"/>
          <w:szCs w:val="16"/>
        </w:rPr>
      </w:pPr>
      <w:r>
        <w:rPr>
          <w:rFonts w:ascii="Arial" w:hAnsi="Arial" w:eastAsia="Arial" w:cs="Arial"/>
          <w:sz w:val="16"/>
          <w:szCs w:val="16"/>
        </w:rPr>
      </w:r>
      <w:r>
        <w:rPr>
          <w:rFonts w:ascii="Arial" w:hAnsi="Arial" w:cs="Arial"/>
          <w:sz w:val="16"/>
          <w:szCs w:val="16"/>
        </w:rPr>
      </w:r>
      <w:r>
        <w:rPr>
          <w:rFonts w:ascii="Arial" w:hAnsi="Arial" w:cs="Arial"/>
          <w:sz w:val="16"/>
          <w:szCs w:val="16"/>
        </w:rPr>
      </w:r>
    </w:p>
    <w:p>
      <w:pPr>
        <w:pStyle w:val="887"/>
        <w:pBdr/>
        <w:spacing/>
        <w:ind/>
        <w:jc w:val="both"/>
        <w:rPr>
          <w:rFonts w:ascii="Arial" w:hAnsi="Arial" w:cs="Arial"/>
          <w:color w:val="231f20"/>
        </w:rPr>
      </w:pPr>
      <w:r>
        <w:rPr>
          <w:rFonts w:ascii="Arial" w:hAnsi="Arial" w:eastAsia="Arial" w:cs="Arial"/>
          <w:b/>
          <w:bCs/>
        </w:rPr>
        <w:t xml:space="preserve">31.1.1.</w:t>
      </w:r>
      <w:r>
        <w:rPr>
          <w:rFonts w:ascii="Arial" w:hAnsi="Arial" w:eastAsia="Arial" w:cs="Arial"/>
          <w:color w:val="231f20"/>
        </w:rPr>
        <w:t xml:space="preserve"> É possível encontrar o Plano Anual de Contratação no site: </w:t>
      </w:r>
      <w:hyperlink r:id="rId34" w:tooltip="https://transparencia.rondonopolis.mt.gov.br/rondonopolis/publicacoes/23" w:history="1">
        <w:r>
          <w:rPr>
            <w:rFonts w:ascii="Arial" w:hAnsi="Arial" w:eastAsia="Arial" w:cs="Arial"/>
            <w:color w:val="231f20"/>
          </w:rPr>
          <w:t xml:space="preserve">https://transparencia.rondonopolis.mt.gov.br/rondonopolis/publicacoes/23</w:t>
        </w:r>
      </w:hyperlink>
      <w:r>
        <w:rPr>
          <w:rFonts w:ascii="Arial" w:hAnsi="Arial" w:eastAsia="Arial" w:cs="Arial"/>
          <w:color w:val="231f20"/>
        </w:rPr>
        <w:t xml:space="preserve"> </w:t>
      </w:r>
      <w:r>
        <w:rPr>
          <w:rFonts w:ascii="Arial" w:hAnsi="Arial" w:cs="Arial"/>
          <w:color w:val="231f20"/>
        </w:rPr>
      </w:r>
      <w:r>
        <w:rPr>
          <w:rFonts w:ascii="Arial" w:hAnsi="Arial" w:cs="Arial"/>
          <w:color w:val="231f20"/>
        </w:rPr>
      </w:r>
    </w:p>
    <w:p>
      <w:pPr>
        <w:pStyle w:val="887"/>
        <w:numPr>
          <w:ilvl w:val="0"/>
          <w:numId w:val="0"/>
        </w:numPr>
        <w:pBdr/>
        <w:spacing/>
        <w:ind/>
        <w:jc w:val="both"/>
        <w:outlineLvl w:val="0"/>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numPr>
          <w:ilvl w:val="0"/>
          <w:numId w:val="0"/>
        </w:numPr>
        <w:pBdr/>
        <w:spacing/>
        <w:ind/>
        <w:jc w:val="both"/>
        <w:outlineLvl w:val="0"/>
        <w:rPr>
          <w:rFonts w:ascii="Arial" w:hAnsi="Arial" w:cs="Arial"/>
        </w:rPr>
      </w:pPr>
      <w:r/>
      <w:bookmarkStart w:id="94" w:name="_Toc31"/>
      <w:r>
        <w:rPr>
          <w:rFonts w:ascii="Arial" w:hAnsi="Arial" w:eastAsia="Arial" w:cs="Arial"/>
          <w:b/>
          <w:bCs/>
          <w:color w:val="000000"/>
        </w:rPr>
        <w:t xml:space="preserve">32.</w:t>
      </w:r>
      <w:r>
        <w:rPr>
          <w:rFonts w:ascii="Arial" w:hAnsi="Arial" w:eastAsia="Arial" w:cs="Arial"/>
          <w:b/>
          <w:color w:val="000000"/>
        </w:rPr>
        <w:t xml:space="preserve"> DOS CRITÉRIOS DE MEDIÇÃO E DE PAGAMENTO</w:t>
      </w:r>
      <w:r>
        <w:rPr>
          <w:rFonts w:ascii="Arial" w:hAnsi="Arial" w:eastAsia="Arial" w:cs="Arial"/>
          <w:b/>
          <w:bCs/>
          <w:color w:val="000000"/>
        </w:rPr>
        <w:t xml:space="preserve">:</w:t>
      </w:r>
      <w:bookmarkEnd w:id="94"/>
      <w:r>
        <w:rPr>
          <w:rFonts w:ascii="Arial" w:hAnsi="Arial" w:cs="Arial"/>
        </w:rPr>
      </w:r>
      <w:r>
        <w:rPr>
          <w:rFonts w:ascii="Arial" w:hAnsi="Arial" w:cs="Arial"/>
        </w:rPr>
      </w:r>
    </w:p>
    <w:p>
      <w:pPr>
        <w:pStyle w:val="887"/>
        <w:pBdr/>
        <w:spacing/>
        <w:ind/>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b/>
          <w:bCs/>
          <w:color w:val="000000"/>
        </w:rPr>
      </w:pPr>
      <w:r>
        <w:rPr>
          <w:rFonts w:ascii="Arial" w:hAnsi="Arial" w:eastAsia="Arial" w:cs="Arial"/>
          <w:b/>
          <w:color w:val="000000"/>
        </w:rPr>
        <w:t xml:space="preserve">32.1. DOS CRITÉRIOS DE MEDIÇÃO E DE PAGAMENTO (Art. 6º, Inciso XXIII, letra “g”, Lei 14.133/2021):</w:t>
      </w:r>
      <w:r>
        <w:rPr>
          <w:rFonts w:ascii="Arial" w:hAnsi="Arial" w:cs="Arial"/>
          <w:b/>
          <w:bCs/>
          <w:color w:val="000000"/>
        </w:rPr>
      </w:r>
      <w:r>
        <w:rPr>
          <w:rFonts w:ascii="Arial" w:hAnsi="Arial" w:cs="Arial"/>
          <w:b/>
          <w:bCs/>
          <w:color w:val="000000"/>
        </w:rPr>
      </w:r>
    </w:p>
    <w:p>
      <w:pPr>
        <w:pStyle w:val="887"/>
        <w:pBdr/>
        <w:spacing/>
        <w:ind/>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color w:val="000000"/>
        </w:rPr>
      </w:pPr>
      <w:r>
        <w:rPr>
          <w:rFonts w:ascii="Arial" w:hAnsi="Arial" w:eastAsia="Arial" w:cs="Arial"/>
          <w:b/>
          <w:bCs/>
          <w:color w:val="000000"/>
        </w:rPr>
        <w:t xml:space="preserve">32.1.1.</w:t>
      </w:r>
      <w:r>
        <w:rPr>
          <w:rFonts w:ascii="Arial" w:hAnsi="Arial" w:eastAsia="Arial" w:cs="Arial"/>
          <w:color w:val="000000"/>
        </w:rPr>
        <w:t xml:space="preserve"> O recebimento </w:t>
      </w:r>
      <w:r>
        <w:rPr>
          <w:rFonts w:ascii="Arial" w:hAnsi="Arial" w:eastAsia="Arial" w:cs="Arial"/>
          <w:bCs/>
          <w:color w:val="000000"/>
        </w:rPr>
        <w:t xml:space="preserve">dos itens </w:t>
      </w:r>
      <w:r>
        <w:rPr>
          <w:rFonts w:ascii="Arial" w:hAnsi="Arial" w:eastAsia="Arial" w:cs="Arial"/>
          <w:color w:val="000000"/>
        </w:rPr>
        <w:t xml:space="preserve">se dará pelo responsável por seu acompanhamento e fiscalização (artigo 140, Inciso II, alínea “a” da Lei n.º 14.133/2021), no ato da entrega dos insumos, medi</w:t>
      </w:r>
      <w:r>
        <w:rPr>
          <w:rFonts w:ascii="Arial" w:hAnsi="Arial" w:eastAsia="Arial" w:cs="Arial"/>
          <w:color w:val="000000"/>
        </w:rPr>
        <w:t xml:space="preserve">ante Relatório, contendo o registro, a análise e a conclusão acerca das ocorrências na execução do contrato. Deverão, também, serem anexados os demais documentos que o responsável julgar necessário e, encontrando irregularidade, fixará prazo para correção.</w:t>
      </w:r>
      <w:r>
        <w:rPr>
          <w:rFonts w:ascii="Arial" w:hAnsi="Arial" w:cs="Arial"/>
          <w:color w:val="000000"/>
        </w:rPr>
      </w:r>
      <w:r>
        <w:rPr>
          <w:rFonts w:ascii="Arial" w:hAnsi="Arial" w:cs="Arial"/>
          <w:color w:val="000000"/>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color w:val="000000"/>
        </w:rPr>
      </w:pPr>
      <w:r>
        <w:rPr>
          <w:rFonts w:ascii="Arial" w:hAnsi="Arial" w:eastAsia="Arial" w:cs="Arial"/>
          <w:b/>
          <w:color w:val="000000"/>
        </w:rPr>
        <w:t xml:space="preserve">32.2.</w:t>
      </w:r>
      <w:r>
        <w:rPr>
          <w:rFonts w:ascii="Arial" w:hAnsi="Arial" w:eastAsia="Arial" w:cs="Arial"/>
          <w:color w:val="000000"/>
        </w:rPr>
        <w:t xml:space="preserve"> A fiscalização notificará o contratado para se for o caso, no prazo de até 05 (cinco) dias úteis, impugnar os apontamentos do Relatório ou emitir a Nota Fiscal/Fatura no valor apurado.</w:t>
      </w:r>
      <w:r>
        <w:rPr>
          <w:rFonts w:ascii="Arial" w:hAnsi="Arial" w:cs="Arial"/>
          <w:color w:val="000000"/>
        </w:rPr>
      </w:r>
      <w:r>
        <w:rPr>
          <w:rFonts w:ascii="Arial" w:hAnsi="Arial" w:cs="Arial"/>
          <w:color w:val="000000"/>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32.3.</w:t>
      </w:r>
      <w:r>
        <w:rPr>
          <w:rFonts w:ascii="Arial" w:hAnsi="Arial" w:eastAsia="Arial" w:cs="Arial"/>
          <w:color w:val="000000"/>
        </w:rPr>
        <w:t xml:space="preserve"> Realizar a análise dos r</w:t>
      </w:r>
      <w:r>
        <w:rPr>
          <w:rFonts w:ascii="Arial" w:hAnsi="Arial" w:eastAsia="Arial" w:cs="Arial"/>
          <w:color w:val="000000"/>
        </w:rPr>
        <w:t xml:space="preserve">elatórios e de toda a documentação apresentada pela fiscalização e, caso haja irregularidades que impeçam a liquidação e o pagamento da despesa, indicar as cláusulas contratuais pertinentes, solicitando ao contratado, por escrito, as respectivas correções;</w:t>
      </w:r>
      <w:r>
        <w:rPr>
          <w:rFonts w:ascii="Arial" w:hAnsi="Arial" w:cs="Arial"/>
          <w:color w:val="000000"/>
        </w:rPr>
      </w:r>
      <w:r>
        <w:rPr>
          <w:rFonts w:ascii="Arial" w:hAnsi="Arial" w:cs="Arial"/>
          <w:color w:val="000000"/>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32.4.</w:t>
      </w:r>
      <w:r>
        <w:rPr>
          <w:rFonts w:ascii="Arial" w:hAnsi="Arial" w:eastAsia="Arial" w:cs="Arial"/>
          <w:color w:val="000000"/>
        </w:rPr>
        <w:t xml:space="preserve"> Realizar a aposição de assinatura nas vias do Documento Auxiliar da NF-e (Danfe) ou na Nota Fiscal, emitida pelo contratado para os itens fornecidos.</w:t>
      </w:r>
      <w:r>
        <w:rPr>
          <w:rFonts w:ascii="Arial" w:hAnsi="Arial" w:cs="Arial"/>
          <w:color w:val="000000"/>
        </w:rPr>
      </w:r>
      <w:r>
        <w:rPr>
          <w:rFonts w:ascii="Arial" w:hAnsi="Arial" w:cs="Arial"/>
          <w:color w:val="000000"/>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32.5.</w:t>
      </w:r>
      <w:r>
        <w:rPr>
          <w:rFonts w:ascii="Arial" w:hAnsi="Arial" w:eastAsia="Arial" w:cs="Arial"/>
          <w:color w:val="000000"/>
        </w:rPr>
        <w:t xml:space="preserve"> O pagament</w:t>
      </w:r>
      <w:r>
        <w:rPr>
          <w:rFonts w:ascii="Arial" w:hAnsi="Arial" w:eastAsia="Arial" w:cs="Arial"/>
          <w:color w:val="000000"/>
        </w:rPr>
        <w:t xml:space="preserve">o será efetuado pelo contratante em favor do contratado em até 30 (trinta) dias, mediante ordem bancária a ser depositada em conta corrente, no valor correspondente, após a apresentação da Nota Fiscal devidamente atestada pela fiscalização do contratante. </w:t>
      </w:r>
      <w:r>
        <w:rPr>
          <w:rFonts w:ascii="Arial" w:hAnsi="Arial" w:cs="Arial"/>
          <w:color w:val="000000"/>
        </w:rPr>
      </w:r>
      <w:r>
        <w:rPr>
          <w:rFonts w:ascii="Arial" w:hAnsi="Arial" w:cs="Arial"/>
          <w:color w:val="000000"/>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32.5.1.</w:t>
      </w:r>
      <w:r>
        <w:rPr>
          <w:rFonts w:ascii="Arial" w:hAnsi="Arial" w:eastAsia="Arial" w:cs="Arial"/>
          <w:color w:val="000000"/>
        </w:rPr>
        <w:t xml:space="preserve"> O(s) pagamento(s) não realizado(s) dentro do prazo por eventos decorrentes do contratado, não será(ão)</w:t>
      </w:r>
      <w:r>
        <w:rPr>
          <w:rFonts w:ascii="Arial" w:hAnsi="Arial" w:eastAsia="Arial" w:cs="Arial"/>
          <w:color w:val="000000"/>
        </w:rPr>
        <w:t xml:space="preserve"> gerador(es) de direito a qualquer acréscimo financeiro; A efetivação dos pagamentos não isentará o contratado das suas responsabilidades e das suas obrigações contratuais, especialmente aquelas relacionadas à qualidade e à garantia dos produtos entregues.</w:t>
      </w:r>
      <w:r>
        <w:rPr>
          <w:rFonts w:ascii="Arial" w:hAnsi="Arial" w:cs="Arial"/>
          <w:color w:val="000000"/>
        </w:rPr>
      </w:r>
      <w:r>
        <w:rPr>
          <w:rFonts w:ascii="Arial" w:hAnsi="Arial" w:cs="Arial"/>
          <w:color w:val="000000"/>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numPr>
          <w:ilvl w:val="0"/>
          <w:numId w:val="0"/>
        </w:numPr>
        <w:pBdr/>
        <w:spacing/>
        <w:ind/>
        <w:jc w:val="both"/>
        <w:outlineLvl w:val="0"/>
        <w:rPr>
          <w:rFonts w:ascii="Arial" w:hAnsi="Arial" w:cs="Arial"/>
          <w:b/>
          <w:bCs/>
          <w:color w:val="000000"/>
        </w:rPr>
      </w:pPr>
      <w:r/>
      <w:bookmarkStart w:id="95" w:name="_Toc32"/>
      <w:r>
        <w:rPr>
          <w:rFonts w:ascii="Arial" w:hAnsi="Arial" w:eastAsia="Arial" w:cs="Arial"/>
          <w:b/>
          <w:bCs/>
          <w:color w:val="000000"/>
        </w:rPr>
        <w:t xml:space="preserve">33.</w:t>
      </w:r>
      <w:r>
        <w:rPr>
          <w:rFonts w:ascii="Arial" w:hAnsi="Arial" w:eastAsia="Arial" w:cs="Arial"/>
          <w:b/>
          <w:color w:val="000000"/>
        </w:rPr>
        <w:t xml:space="preserve"> </w:t>
      </w:r>
      <w:r>
        <w:rPr>
          <w:rFonts w:ascii="Arial" w:hAnsi="Arial" w:eastAsia="Arial" w:cs="Arial"/>
          <w:b/>
          <w:color w:val="000000"/>
          <w:sz w:val="19"/>
          <w:szCs w:val="19"/>
        </w:rPr>
        <w:t xml:space="preserve">DA FORMA, CONDIÇÕES, PRAZOS DE PAGAMENTO</w:t>
      </w:r>
      <w:r>
        <w:rPr>
          <w:rFonts w:ascii="Arial" w:hAnsi="Arial" w:eastAsia="Arial" w:cs="Arial"/>
          <w:b/>
          <w:bCs/>
          <w:color w:val="000000"/>
        </w:rPr>
        <w:t xml:space="preserve">:</w:t>
      </w:r>
      <w:bookmarkEnd w:id="95"/>
      <w:r>
        <w:rPr>
          <w:rFonts w:ascii="Arial" w:hAnsi="Arial" w:cs="Arial"/>
          <w:b/>
          <w:bCs/>
          <w:color w:val="000000"/>
        </w:rPr>
      </w:r>
      <w:r>
        <w:rPr>
          <w:rFonts w:ascii="Arial" w:hAnsi="Arial" w:cs="Arial"/>
          <w:b/>
          <w:bCs/>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b/>
          <w:bCs/>
          <w:color w:val="000000"/>
        </w:rPr>
      </w:pPr>
      <w:r>
        <w:rPr>
          <w:rFonts w:ascii="Arial" w:hAnsi="Arial" w:eastAsia="Arial" w:cs="Arial"/>
          <w:b/>
          <w:color w:val="000000"/>
          <w:sz w:val="19"/>
          <w:szCs w:val="19"/>
        </w:rPr>
        <w:t xml:space="preserve">33.1. DA FORMA, CONDIÇÕES, PRAZOS DE PAGAMENTO, E CRITÉRIO DE REAJUSTE, QUANDO FOR O CASO: </w:t>
      </w:r>
      <w:r>
        <w:rPr>
          <w:rFonts w:ascii="Arial" w:hAnsi="Arial" w:eastAsia="Arial" w:cs="Arial"/>
          <w:b/>
          <w:color w:val="000000"/>
        </w:rPr>
        <w:t xml:space="preserve">(Conf. Art. 92, Lei 14.133/2021):</w:t>
      </w:r>
      <w:r>
        <w:rPr>
          <w:rFonts w:ascii="Arial" w:hAnsi="Arial" w:cs="Arial"/>
          <w:b/>
          <w:bCs/>
          <w:color w:val="000000"/>
        </w:rPr>
      </w:r>
      <w:r>
        <w:rPr>
          <w:rFonts w:ascii="Arial" w:hAnsi="Arial" w:cs="Arial"/>
          <w:b/>
          <w:bCs/>
          <w:color w:val="000000"/>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2090"/>
        <w:pBdr/>
        <w:spacing w:after="0" w:before="0" w:line="240" w:lineRule="auto"/>
        <w:ind/>
        <w:jc w:val="both"/>
        <w:rPr>
          <w:rFonts w:ascii="Arial" w:hAnsi="Arial" w:cs="Arial"/>
          <w:sz w:val="20"/>
          <w:szCs w:val="20"/>
        </w:rPr>
      </w:pPr>
      <w:r>
        <w:rPr>
          <w:rFonts w:ascii="Arial" w:hAnsi="Arial" w:eastAsia="Arial" w:cs="Arial"/>
          <w:b/>
          <w:sz w:val="20"/>
          <w:szCs w:val="20"/>
        </w:rPr>
        <w:t xml:space="preserve">33.1.1.</w:t>
      </w:r>
      <w:r>
        <w:rPr>
          <w:rFonts w:ascii="Arial" w:hAnsi="Arial" w:eastAsia="Arial" w:cs="Arial"/>
          <w:sz w:val="20"/>
          <w:szCs w:val="20"/>
        </w:rPr>
        <w:t xml:space="preserve"> O Município de Rondonópolis efetuará os pagamentos por meio de ordens bancárias, tomada junto ao Banco ou Cooperativa, endereçada ao banco discriminado na nota fiscal;</w:t>
      </w:r>
      <w:r>
        <w:rPr>
          <w:rFonts w:ascii="Arial" w:hAnsi="Arial" w:cs="Arial"/>
          <w:sz w:val="20"/>
          <w:szCs w:val="20"/>
        </w:rPr>
      </w:r>
      <w:r>
        <w:rPr>
          <w:rFonts w:ascii="Arial" w:hAnsi="Arial" w:cs="Arial"/>
          <w:sz w:val="20"/>
          <w:szCs w:val="20"/>
        </w:rPr>
      </w:r>
    </w:p>
    <w:p>
      <w:pPr>
        <w:pStyle w:val="2090"/>
        <w:pBdr/>
        <w:spacing w:after="0" w:before="0" w:line="240" w:lineRule="auto"/>
        <w:ind w:left="284"/>
        <w:jc w:val="both"/>
        <w:rPr>
          <w:rFonts w:ascii="Arial" w:hAnsi="Arial" w:cs="Arial"/>
          <w:sz w:val="20"/>
          <w:szCs w:val="20"/>
        </w:rPr>
      </w:pPr>
      <w:r>
        <w:rPr>
          <w:rFonts w:ascii="Arial" w:hAnsi="Arial" w:eastAsia="Arial" w:cs="Arial"/>
          <w:sz w:val="20"/>
          <w:szCs w:val="20"/>
        </w:rPr>
      </w:r>
      <w:r>
        <w:rPr>
          <w:rFonts w:ascii="Arial" w:hAnsi="Arial" w:cs="Arial"/>
          <w:sz w:val="20"/>
          <w:szCs w:val="20"/>
        </w:rPr>
      </w:r>
      <w:r>
        <w:rPr>
          <w:rFonts w:ascii="Arial" w:hAnsi="Arial" w:cs="Arial"/>
          <w:sz w:val="20"/>
          <w:szCs w:val="20"/>
        </w:rPr>
      </w:r>
    </w:p>
    <w:p>
      <w:pPr>
        <w:pStyle w:val="2090"/>
        <w:pBdr/>
        <w:spacing w:after="0" w:before="0" w:line="240" w:lineRule="auto"/>
        <w:ind/>
        <w:jc w:val="both"/>
        <w:rPr>
          <w:rFonts w:ascii="Arial" w:hAnsi="Arial" w:cs="Arial"/>
          <w:b/>
          <w:sz w:val="20"/>
          <w:szCs w:val="20"/>
        </w:rPr>
      </w:pPr>
      <w:r>
        <w:rPr>
          <w:rFonts w:ascii="Arial" w:hAnsi="Arial" w:eastAsia="Arial" w:cs="Arial"/>
          <w:b/>
          <w:sz w:val="20"/>
          <w:szCs w:val="20"/>
        </w:rPr>
        <w:t xml:space="preserve">33.2.</w:t>
      </w:r>
      <w:r>
        <w:rPr>
          <w:rFonts w:ascii="Arial" w:hAnsi="Arial" w:eastAsia="Arial" w:cs="Arial"/>
          <w:sz w:val="20"/>
          <w:szCs w:val="20"/>
        </w:rPr>
        <w:t xml:space="preserve"> A contratada deverá indicar no corpo da nota fiscal, n.º do contrato, mês de referência, descrição dos produtos, o número e nome do banco, agência e número da conta, na qual deverá ser feito o pagamento, via ordem bancária;</w:t>
      </w:r>
      <w:r>
        <w:rPr>
          <w:rFonts w:ascii="Arial" w:hAnsi="Arial" w:cs="Arial"/>
          <w:b/>
          <w:sz w:val="20"/>
          <w:szCs w:val="20"/>
        </w:rPr>
      </w:r>
      <w:r>
        <w:rPr>
          <w:rFonts w:ascii="Arial" w:hAnsi="Arial" w:cs="Arial"/>
          <w:b/>
          <w:sz w:val="20"/>
          <w:szCs w:val="20"/>
        </w:rPr>
      </w:r>
    </w:p>
    <w:p>
      <w:pPr>
        <w:pStyle w:val="2090"/>
        <w:pBdr/>
        <w:spacing w:after="0" w:before="0" w:line="240" w:lineRule="auto"/>
        <w:ind w:left="284"/>
        <w:jc w:val="both"/>
        <w:rPr>
          <w:rFonts w:ascii="Arial" w:hAnsi="Arial" w:cs="Arial"/>
          <w:b/>
          <w:sz w:val="20"/>
          <w:szCs w:val="20"/>
        </w:rPr>
      </w:pPr>
      <w:r>
        <w:rPr>
          <w:rFonts w:ascii="Arial" w:hAnsi="Arial" w:eastAsia="Arial" w:cs="Arial"/>
          <w:b/>
          <w:sz w:val="20"/>
          <w:szCs w:val="20"/>
        </w:rPr>
      </w:r>
      <w:r>
        <w:rPr>
          <w:rFonts w:ascii="Arial" w:hAnsi="Arial" w:cs="Arial"/>
          <w:b/>
          <w:sz w:val="20"/>
          <w:szCs w:val="20"/>
        </w:rPr>
      </w:r>
      <w:r>
        <w:rPr>
          <w:rFonts w:ascii="Arial" w:hAnsi="Arial" w:cs="Arial"/>
          <w:b/>
          <w:sz w:val="20"/>
          <w:szCs w:val="20"/>
        </w:rPr>
      </w:r>
    </w:p>
    <w:p>
      <w:pPr>
        <w:pStyle w:val="2090"/>
        <w:pBdr/>
        <w:spacing w:after="0" w:before="0" w:line="240" w:lineRule="auto"/>
        <w:ind/>
        <w:jc w:val="both"/>
        <w:rPr>
          <w:rFonts w:ascii="Arial" w:hAnsi="Arial" w:cs="Arial"/>
          <w:b/>
          <w:sz w:val="20"/>
          <w:szCs w:val="20"/>
        </w:rPr>
      </w:pPr>
      <w:r>
        <w:rPr>
          <w:rFonts w:ascii="Arial" w:hAnsi="Arial" w:eastAsia="Arial" w:cs="Arial"/>
          <w:b/>
          <w:sz w:val="20"/>
          <w:szCs w:val="20"/>
        </w:rPr>
        <w:t xml:space="preserve">33.2.1.</w:t>
      </w:r>
      <w:r>
        <w:rPr>
          <w:rFonts w:ascii="Arial" w:hAnsi="Arial" w:eastAsia="Arial" w:cs="Arial"/>
          <w:sz w:val="20"/>
          <w:szCs w:val="20"/>
        </w:rPr>
        <w:t xml:space="preserve"> As despesas bancárias decorrentes de transferências de valores para outras praças serão de responsabilidade da contratada;</w:t>
      </w:r>
      <w:r>
        <w:rPr>
          <w:rFonts w:ascii="Arial" w:hAnsi="Arial" w:cs="Arial"/>
          <w:b/>
          <w:sz w:val="20"/>
          <w:szCs w:val="20"/>
        </w:rPr>
      </w:r>
      <w:r>
        <w:rPr>
          <w:rFonts w:ascii="Arial" w:hAnsi="Arial" w:cs="Arial"/>
          <w:b/>
          <w:sz w:val="20"/>
          <w:szCs w:val="20"/>
        </w:rPr>
      </w:r>
    </w:p>
    <w:p>
      <w:pPr>
        <w:pStyle w:val="2090"/>
        <w:pBdr/>
        <w:spacing w:after="0" w:before="0" w:line="240" w:lineRule="auto"/>
        <w:ind w:left="284"/>
        <w:jc w:val="both"/>
        <w:rPr>
          <w:rFonts w:ascii="Arial" w:hAnsi="Arial" w:cs="Arial"/>
          <w:b/>
          <w:sz w:val="20"/>
          <w:szCs w:val="20"/>
        </w:rPr>
      </w:pPr>
      <w:r>
        <w:rPr>
          <w:rFonts w:ascii="Arial" w:hAnsi="Arial" w:eastAsia="Arial" w:cs="Arial"/>
          <w:b/>
          <w:sz w:val="20"/>
          <w:szCs w:val="20"/>
        </w:rPr>
      </w:r>
      <w:r>
        <w:rPr>
          <w:rFonts w:ascii="Arial" w:hAnsi="Arial" w:cs="Arial"/>
          <w:b/>
          <w:sz w:val="20"/>
          <w:szCs w:val="20"/>
        </w:rPr>
      </w:r>
      <w:r>
        <w:rPr>
          <w:rFonts w:ascii="Arial" w:hAnsi="Arial" w:cs="Arial"/>
          <w:b/>
          <w:sz w:val="20"/>
          <w:szCs w:val="20"/>
        </w:rPr>
      </w:r>
    </w:p>
    <w:p>
      <w:pPr>
        <w:pStyle w:val="2090"/>
        <w:pBdr/>
        <w:spacing w:after="0" w:before="0" w:line="240" w:lineRule="auto"/>
        <w:ind/>
        <w:jc w:val="both"/>
        <w:rPr>
          <w:rFonts w:ascii="Arial" w:hAnsi="Arial" w:cs="Arial"/>
          <w:sz w:val="20"/>
          <w:szCs w:val="20"/>
        </w:rPr>
      </w:pPr>
      <w:r>
        <w:rPr>
          <w:rFonts w:ascii="Arial" w:hAnsi="Arial" w:eastAsia="Arial" w:cs="Arial"/>
          <w:b/>
          <w:sz w:val="20"/>
          <w:szCs w:val="20"/>
        </w:rPr>
        <w:t xml:space="preserve">33.3.</w:t>
      </w:r>
      <w:r>
        <w:rPr>
          <w:rFonts w:ascii="Arial" w:hAnsi="Arial" w:eastAsia="Arial" w:cs="Arial"/>
          <w:sz w:val="20"/>
          <w:szCs w:val="20"/>
        </w:rPr>
        <w:t xml:space="preserve"> Pelo fiel e perfeito fornecimento do objeto des</w:t>
      </w:r>
      <w:r>
        <w:rPr>
          <w:rFonts w:ascii="Arial" w:hAnsi="Arial" w:eastAsia="Arial" w:cs="Arial"/>
          <w:sz w:val="20"/>
          <w:szCs w:val="20"/>
        </w:rPr>
        <w:t xml:space="preserve">ta licitação, o município de Rondonópolis-MT., pagará o valor total, em Reais (R$), à Contratada, mediante a entrega da Nota Fiscal, devidamente atestada pela Secretaria solicitante, que corresponderá ao valor do objeto licitado entregue, após verificação;</w:t>
      </w:r>
      <w:r>
        <w:rPr>
          <w:rFonts w:ascii="Arial" w:hAnsi="Arial" w:cs="Arial"/>
          <w:sz w:val="20"/>
          <w:szCs w:val="20"/>
        </w:rPr>
      </w:r>
      <w:r>
        <w:rPr>
          <w:rFonts w:ascii="Arial" w:hAnsi="Arial" w:cs="Arial"/>
          <w:sz w:val="20"/>
          <w:szCs w:val="20"/>
        </w:rPr>
      </w:r>
    </w:p>
    <w:p>
      <w:pPr>
        <w:pStyle w:val="2090"/>
        <w:pBdr/>
        <w:spacing w:after="0" w:before="0" w:line="240" w:lineRule="auto"/>
        <w:ind w:left="284"/>
        <w:jc w:val="both"/>
        <w:rPr>
          <w:rFonts w:ascii="Arial" w:hAnsi="Arial" w:cs="Arial"/>
          <w:b/>
          <w:sz w:val="20"/>
          <w:szCs w:val="20"/>
        </w:rPr>
      </w:pPr>
      <w:r>
        <w:rPr>
          <w:rFonts w:ascii="Arial" w:hAnsi="Arial" w:eastAsia="Arial" w:cs="Arial"/>
          <w:b/>
          <w:sz w:val="20"/>
          <w:szCs w:val="20"/>
        </w:rPr>
      </w:r>
      <w:r>
        <w:rPr>
          <w:rFonts w:ascii="Arial" w:hAnsi="Arial" w:cs="Arial"/>
          <w:b/>
          <w:sz w:val="20"/>
          <w:szCs w:val="20"/>
        </w:rPr>
      </w:r>
      <w:r>
        <w:rPr>
          <w:rFonts w:ascii="Arial" w:hAnsi="Arial" w:cs="Arial"/>
          <w:b/>
          <w:sz w:val="20"/>
          <w:szCs w:val="20"/>
        </w:rPr>
      </w:r>
    </w:p>
    <w:p>
      <w:pPr>
        <w:pStyle w:val="2090"/>
        <w:pBdr/>
        <w:spacing w:after="0" w:before="0" w:line="240" w:lineRule="auto"/>
        <w:ind/>
        <w:jc w:val="both"/>
        <w:rPr>
          <w:rFonts w:ascii="Arial" w:hAnsi="Arial" w:cs="Arial"/>
          <w:b/>
          <w:sz w:val="20"/>
          <w:szCs w:val="20"/>
        </w:rPr>
      </w:pPr>
      <w:r>
        <w:rPr>
          <w:rFonts w:ascii="Arial" w:hAnsi="Arial" w:eastAsia="Arial" w:cs="Arial"/>
          <w:b/>
          <w:sz w:val="20"/>
          <w:szCs w:val="20"/>
        </w:rPr>
        <w:t xml:space="preserve">33.3.1. </w:t>
      </w:r>
      <w:r>
        <w:rPr>
          <w:rFonts w:ascii="Arial" w:hAnsi="Arial" w:eastAsia="Arial" w:cs="Arial"/>
          <w:sz w:val="20"/>
          <w:szCs w:val="20"/>
        </w:rPr>
        <w:t xml:space="preserve">As Notas Fiscais deverão ser emitidas até o dia 25 de cada mês, conforme disposto no artigo 3º, § 1º da Instrução Normativa n. 03/2008.</w:t>
      </w:r>
      <w:r>
        <w:rPr>
          <w:rFonts w:ascii="Arial" w:hAnsi="Arial" w:cs="Arial"/>
          <w:b/>
          <w:sz w:val="20"/>
          <w:szCs w:val="20"/>
        </w:rPr>
      </w:r>
      <w:r>
        <w:rPr>
          <w:rFonts w:ascii="Arial" w:hAnsi="Arial" w:cs="Arial"/>
          <w:b/>
          <w:sz w:val="20"/>
          <w:szCs w:val="20"/>
        </w:rPr>
      </w:r>
    </w:p>
    <w:p>
      <w:pPr>
        <w:pStyle w:val="2090"/>
        <w:pBdr/>
        <w:spacing w:after="0" w:before="0" w:line="240" w:lineRule="auto"/>
        <w:ind w:left="284"/>
        <w:jc w:val="both"/>
        <w:rPr>
          <w:rFonts w:ascii="Arial" w:hAnsi="Arial" w:cs="Arial"/>
          <w:b/>
          <w:sz w:val="20"/>
          <w:szCs w:val="20"/>
        </w:rPr>
      </w:pPr>
      <w:r>
        <w:rPr>
          <w:rFonts w:ascii="Arial" w:hAnsi="Arial" w:eastAsia="Arial" w:cs="Arial"/>
          <w:b/>
          <w:sz w:val="20"/>
          <w:szCs w:val="20"/>
        </w:rPr>
      </w:r>
      <w:r>
        <w:rPr>
          <w:rFonts w:ascii="Arial" w:hAnsi="Arial" w:cs="Arial"/>
          <w:b/>
          <w:sz w:val="20"/>
          <w:szCs w:val="20"/>
        </w:rPr>
      </w:r>
      <w:r>
        <w:rPr>
          <w:rFonts w:ascii="Arial" w:hAnsi="Arial" w:cs="Arial"/>
          <w:b/>
          <w:sz w:val="20"/>
          <w:szCs w:val="20"/>
        </w:rPr>
      </w:r>
    </w:p>
    <w:p>
      <w:pPr>
        <w:pStyle w:val="2090"/>
        <w:pBdr/>
        <w:spacing w:after="0" w:before="0" w:line="240" w:lineRule="auto"/>
        <w:ind/>
        <w:jc w:val="both"/>
        <w:rPr>
          <w:rFonts w:ascii="Arial" w:hAnsi="Arial" w:cs="Arial"/>
          <w:b/>
          <w:sz w:val="20"/>
          <w:szCs w:val="20"/>
        </w:rPr>
      </w:pPr>
      <w:r>
        <w:rPr>
          <w:rFonts w:ascii="Arial" w:hAnsi="Arial" w:eastAsia="Arial" w:cs="Arial"/>
          <w:b/>
          <w:sz w:val="20"/>
          <w:szCs w:val="20"/>
        </w:rPr>
        <w:t xml:space="preserve">33.3.2.</w:t>
      </w:r>
      <w:r>
        <w:rPr>
          <w:rFonts w:ascii="Arial" w:hAnsi="Arial" w:eastAsia="Arial" w:cs="Arial"/>
          <w:sz w:val="20"/>
          <w:szCs w:val="20"/>
        </w:rPr>
        <w:t xml:space="preserve"> </w:t>
      </w:r>
      <w:r>
        <w:rPr>
          <w:rStyle w:val="1010"/>
          <w:rFonts w:ascii="Arial" w:hAnsi="Arial" w:eastAsia="Arial" w:cs="Arial"/>
          <w:sz w:val="20"/>
          <w:szCs w:val="20"/>
          <w:lang w:eastAsia="pt-BR"/>
        </w:rPr>
        <w:t xml:space="preserve">Nas Notas Fiscais deverão constar o número do processo e da modalidade da licitação, bem como a Secretaria solicitante. </w:t>
      </w:r>
      <w:r>
        <w:rPr>
          <w:rFonts w:ascii="Arial" w:hAnsi="Arial" w:cs="Arial"/>
          <w:b/>
          <w:sz w:val="20"/>
          <w:szCs w:val="20"/>
        </w:rPr>
      </w:r>
      <w:r>
        <w:rPr>
          <w:rFonts w:ascii="Arial" w:hAnsi="Arial" w:cs="Arial"/>
          <w:b/>
          <w:sz w:val="20"/>
          <w:szCs w:val="20"/>
        </w:rPr>
      </w:r>
    </w:p>
    <w:p>
      <w:pPr>
        <w:pStyle w:val="2090"/>
        <w:pBdr/>
        <w:spacing w:after="0" w:before="0" w:line="240" w:lineRule="auto"/>
        <w:ind w:left="284"/>
        <w:jc w:val="both"/>
        <w:rPr>
          <w:rFonts w:ascii="Arial" w:hAnsi="Arial" w:cs="Arial"/>
          <w:b/>
          <w:sz w:val="20"/>
          <w:szCs w:val="20"/>
        </w:rPr>
      </w:pPr>
      <w:r>
        <w:rPr>
          <w:rFonts w:ascii="Arial" w:hAnsi="Arial" w:eastAsia="Arial" w:cs="Arial"/>
          <w:b/>
          <w:sz w:val="20"/>
          <w:szCs w:val="20"/>
        </w:rPr>
      </w:r>
      <w:r>
        <w:rPr>
          <w:rFonts w:ascii="Arial" w:hAnsi="Arial" w:cs="Arial"/>
          <w:b/>
          <w:sz w:val="20"/>
          <w:szCs w:val="20"/>
        </w:rPr>
      </w:r>
      <w:r>
        <w:rPr>
          <w:rFonts w:ascii="Arial" w:hAnsi="Arial" w:cs="Arial"/>
          <w:b/>
          <w:sz w:val="20"/>
          <w:szCs w:val="20"/>
        </w:rPr>
      </w:r>
    </w:p>
    <w:p>
      <w:pPr>
        <w:pStyle w:val="887"/>
        <w:pBdr/>
        <w:spacing/>
        <w:ind/>
        <w:jc w:val="both"/>
        <w:rPr>
          <w:rFonts w:ascii="Arial" w:hAnsi="Arial" w:cs="Arial"/>
        </w:rPr>
      </w:pPr>
      <w:r>
        <w:rPr>
          <w:rFonts w:ascii="Arial" w:hAnsi="Arial" w:eastAsia="Arial" w:cs="Arial"/>
          <w:b/>
          <w:color w:val="000000"/>
        </w:rPr>
        <w:t xml:space="preserve">33.3.3. </w:t>
      </w:r>
      <w:r>
        <w:rPr>
          <w:rFonts w:ascii="Arial" w:hAnsi="Arial" w:eastAsia="Arial" w:cs="Arial"/>
          <w:color w:val="000000"/>
        </w:rPr>
        <w:t xml:space="preserve">O Município de Rondonópolis-MT., só autorizará a realização dos pagamentos, se houver por parte do setor requisitante dos produtos, o necessário ATESTO dos produtos entregues pela empresa vencedora, no verso da Nota Fiscal.</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2090"/>
        <w:pBdr/>
        <w:spacing w:after="0" w:before="0" w:line="240" w:lineRule="auto"/>
        <w:ind/>
        <w:jc w:val="both"/>
        <w:rPr>
          <w:rFonts w:ascii="Arial" w:hAnsi="Arial" w:cs="Arial"/>
          <w:sz w:val="20"/>
          <w:szCs w:val="20"/>
        </w:rPr>
      </w:pPr>
      <w:r>
        <w:rPr>
          <w:rFonts w:ascii="Arial" w:hAnsi="Arial" w:eastAsia="Arial" w:cs="Arial"/>
          <w:b/>
          <w:sz w:val="20"/>
          <w:szCs w:val="20"/>
        </w:rPr>
        <w:t xml:space="preserve">33.4.</w:t>
      </w:r>
      <w:r>
        <w:rPr>
          <w:rFonts w:ascii="Arial" w:hAnsi="Arial" w:eastAsia="Arial" w:cs="Arial"/>
          <w:sz w:val="20"/>
          <w:szCs w:val="20"/>
        </w:rPr>
        <w:t xml:space="preserve"> Nos preços a ser pago deverão estar in</w:t>
      </w:r>
      <w:r>
        <w:rPr>
          <w:rFonts w:ascii="Arial" w:hAnsi="Arial" w:eastAsia="Arial" w:cs="Arial"/>
          <w:sz w:val="20"/>
          <w:szCs w:val="20"/>
        </w:rPr>
        <w:t xml:space="preserve">clusas todas as despesas inerentes a: salários, encargos sociais, tributários, trabalhistas, comerciais (inclusive frete), materiais, enfim todas as despesas necessárias ao fornecimento do objeto deste Pregão a ser entregue no município de Rondonópolis-MT;</w:t>
      </w:r>
      <w:r>
        <w:rPr>
          <w:rFonts w:ascii="Arial" w:hAnsi="Arial" w:cs="Arial"/>
          <w:sz w:val="20"/>
          <w:szCs w:val="20"/>
        </w:rPr>
      </w:r>
      <w:r>
        <w:rPr>
          <w:rFonts w:ascii="Arial" w:hAnsi="Arial" w:cs="Arial"/>
          <w:sz w:val="20"/>
          <w:szCs w:val="20"/>
        </w:rPr>
      </w:r>
    </w:p>
    <w:p>
      <w:pPr>
        <w:pStyle w:val="2090"/>
        <w:pBdr/>
        <w:spacing w:after="0" w:before="0" w:line="240" w:lineRule="auto"/>
        <w:ind w:left="284"/>
        <w:jc w:val="both"/>
        <w:rPr>
          <w:rFonts w:ascii="Arial" w:hAnsi="Arial" w:cs="Arial"/>
          <w:b/>
          <w:sz w:val="20"/>
          <w:szCs w:val="20"/>
        </w:rPr>
      </w:pPr>
      <w:r>
        <w:rPr>
          <w:rFonts w:ascii="Arial" w:hAnsi="Arial" w:eastAsia="Arial" w:cs="Arial"/>
          <w:b/>
          <w:sz w:val="20"/>
          <w:szCs w:val="20"/>
        </w:rPr>
      </w:r>
      <w:r>
        <w:rPr>
          <w:rFonts w:ascii="Arial" w:hAnsi="Arial" w:cs="Arial"/>
          <w:b/>
          <w:sz w:val="20"/>
          <w:szCs w:val="20"/>
        </w:rPr>
      </w:r>
      <w:r>
        <w:rPr>
          <w:rFonts w:ascii="Arial" w:hAnsi="Arial" w:cs="Arial"/>
          <w:b/>
          <w:sz w:val="20"/>
          <w:szCs w:val="20"/>
        </w:rPr>
      </w:r>
    </w:p>
    <w:p>
      <w:pPr>
        <w:pStyle w:val="2090"/>
        <w:pBdr/>
        <w:spacing w:after="0" w:before="0" w:line="240" w:lineRule="auto"/>
        <w:ind/>
        <w:jc w:val="both"/>
        <w:rPr>
          <w:rFonts w:ascii="Arial" w:hAnsi="Arial" w:cs="Arial"/>
          <w:sz w:val="20"/>
          <w:szCs w:val="20"/>
        </w:rPr>
      </w:pPr>
      <w:r>
        <w:rPr>
          <w:rFonts w:ascii="Arial" w:hAnsi="Arial" w:eastAsia="Arial" w:cs="Arial"/>
          <w:b/>
          <w:sz w:val="20"/>
          <w:szCs w:val="20"/>
        </w:rPr>
        <w:t xml:space="preserve">33.5. </w:t>
      </w:r>
      <w:r>
        <w:rPr>
          <w:rFonts w:ascii="Arial" w:hAnsi="Arial" w:eastAsia="Arial" w:cs="Arial"/>
          <w:sz w:val="20"/>
          <w:szCs w:val="20"/>
        </w:rPr>
        <w:t xml:space="preserve">O pagamento será r</w:t>
      </w:r>
      <w:r>
        <w:rPr>
          <w:rFonts w:ascii="Arial" w:hAnsi="Arial" w:eastAsia="Arial" w:cs="Arial"/>
          <w:sz w:val="20"/>
          <w:szCs w:val="20"/>
        </w:rPr>
        <w:t xml:space="preserve">ealizado conforme contrato, devendo ainda atender aos termos do art. 60 da Lei federal n.º 4.320, de 17/03/1964, em até 30 (trinta) dias após entrega e atesto de recebimento definitivo do objeto licitado, mediante apresentação da Nota Fiscal, atestada pelo</w:t>
      </w:r>
      <w:r>
        <w:rPr>
          <w:rFonts w:ascii="Arial" w:hAnsi="Arial" w:eastAsia="Arial" w:cs="Arial"/>
          <w:sz w:val="20"/>
          <w:szCs w:val="20"/>
        </w:rPr>
        <w:t xml:space="preserve"> servidor da secretaria demandante responsável pelo recebimento, devidamente acompanhada dos documentos estabelecidos na Legislação Vigente ou o que venha a substituí-los, através de boleto ou transferência bancaria em conta jurídica da empresa contratada.</w:t>
      </w:r>
      <w:r>
        <w:rPr>
          <w:rFonts w:ascii="Arial" w:hAnsi="Arial" w:cs="Arial"/>
          <w:sz w:val="20"/>
          <w:szCs w:val="20"/>
        </w:rPr>
      </w:r>
      <w:r>
        <w:rPr>
          <w:rFonts w:ascii="Arial" w:hAnsi="Arial" w:cs="Arial"/>
          <w:sz w:val="20"/>
          <w:szCs w:val="20"/>
        </w:rPr>
      </w:r>
    </w:p>
    <w:p>
      <w:pPr>
        <w:pStyle w:val="2090"/>
        <w:pBdr/>
        <w:spacing w:after="0" w:before="0" w:line="240" w:lineRule="auto"/>
        <w:ind w:left="284"/>
        <w:jc w:val="both"/>
        <w:rPr>
          <w:rFonts w:ascii="Arial" w:hAnsi="Arial" w:cs="Arial"/>
          <w:b/>
          <w:sz w:val="20"/>
          <w:szCs w:val="20"/>
        </w:rPr>
      </w:pPr>
      <w:r>
        <w:rPr>
          <w:rFonts w:ascii="Arial" w:hAnsi="Arial" w:eastAsia="Arial" w:cs="Arial"/>
          <w:b/>
          <w:sz w:val="20"/>
          <w:szCs w:val="20"/>
        </w:rPr>
      </w:r>
      <w:r>
        <w:rPr>
          <w:rFonts w:ascii="Arial" w:hAnsi="Arial" w:cs="Arial"/>
          <w:b/>
          <w:sz w:val="20"/>
          <w:szCs w:val="20"/>
        </w:rPr>
      </w:r>
      <w:r>
        <w:rPr>
          <w:rFonts w:ascii="Arial" w:hAnsi="Arial" w:cs="Arial"/>
          <w:b/>
          <w:sz w:val="20"/>
          <w:szCs w:val="20"/>
        </w:rPr>
      </w:r>
    </w:p>
    <w:p>
      <w:pPr>
        <w:pStyle w:val="2090"/>
        <w:pBdr/>
        <w:spacing w:after="0" w:before="0" w:line="240" w:lineRule="auto"/>
        <w:ind/>
        <w:jc w:val="both"/>
        <w:rPr>
          <w:rFonts w:ascii="Arial" w:hAnsi="Arial" w:cs="Arial"/>
          <w:sz w:val="20"/>
          <w:szCs w:val="20"/>
        </w:rPr>
      </w:pPr>
      <w:r>
        <w:rPr>
          <w:rFonts w:ascii="Arial" w:hAnsi="Arial" w:eastAsia="Arial" w:cs="Arial"/>
          <w:b/>
          <w:sz w:val="20"/>
          <w:szCs w:val="20"/>
        </w:rPr>
        <w:t xml:space="preserve">33.5.1.</w:t>
      </w:r>
      <w:r>
        <w:rPr>
          <w:rFonts w:ascii="Arial" w:hAnsi="Arial" w:eastAsia="Arial" w:cs="Arial"/>
          <w:sz w:val="20"/>
          <w:szCs w:val="20"/>
        </w:rPr>
        <w:t xml:space="preserve"> Constando qualquer incorreção na nota fiscal, bem como, outra circunstância que desaconselhe o seu pagamento, o prazo para pagamento constante fluirá a partir da respectiva regularização;</w:t>
      </w:r>
      <w:r>
        <w:rPr>
          <w:rFonts w:ascii="Arial" w:hAnsi="Arial" w:cs="Arial"/>
          <w:sz w:val="20"/>
          <w:szCs w:val="20"/>
        </w:rPr>
      </w:r>
      <w:r>
        <w:rPr>
          <w:rFonts w:ascii="Arial" w:hAnsi="Arial" w:cs="Arial"/>
          <w:sz w:val="20"/>
          <w:szCs w:val="20"/>
        </w:rPr>
      </w:r>
    </w:p>
    <w:p>
      <w:pPr>
        <w:pStyle w:val="2090"/>
        <w:pBdr/>
        <w:spacing w:after="0" w:before="0" w:line="240" w:lineRule="auto"/>
        <w:ind w:left="284"/>
        <w:jc w:val="both"/>
        <w:rPr>
          <w:rFonts w:ascii="Arial" w:hAnsi="Arial" w:cs="Arial"/>
          <w:b/>
          <w:sz w:val="20"/>
          <w:szCs w:val="20"/>
        </w:rPr>
      </w:pPr>
      <w:r>
        <w:rPr>
          <w:rFonts w:ascii="Arial" w:hAnsi="Arial" w:eastAsia="Arial" w:cs="Arial"/>
          <w:b/>
          <w:sz w:val="20"/>
          <w:szCs w:val="20"/>
        </w:rPr>
      </w:r>
      <w:r>
        <w:rPr>
          <w:rFonts w:ascii="Arial" w:hAnsi="Arial" w:cs="Arial"/>
          <w:b/>
          <w:sz w:val="20"/>
          <w:szCs w:val="20"/>
        </w:rPr>
      </w:r>
      <w:r>
        <w:rPr>
          <w:rFonts w:ascii="Arial" w:hAnsi="Arial" w:cs="Arial"/>
          <w:b/>
          <w:sz w:val="20"/>
          <w:szCs w:val="20"/>
        </w:rPr>
      </w:r>
    </w:p>
    <w:p>
      <w:pPr>
        <w:pStyle w:val="2090"/>
        <w:pBdr/>
        <w:spacing w:after="0" w:before="0" w:line="240" w:lineRule="auto"/>
        <w:ind/>
        <w:jc w:val="both"/>
        <w:rPr>
          <w:rFonts w:ascii="Arial" w:hAnsi="Arial" w:cs="Arial"/>
          <w:sz w:val="20"/>
          <w:szCs w:val="20"/>
        </w:rPr>
      </w:pPr>
      <w:r>
        <w:rPr>
          <w:rFonts w:ascii="Arial" w:hAnsi="Arial" w:eastAsia="Arial" w:cs="Arial"/>
          <w:b/>
          <w:sz w:val="20"/>
          <w:szCs w:val="20"/>
        </w:rPr>
        <w:t xml:space="preserve">33.6.</w:t>
      </w:r>
      <w:r>
        <w:rPr>
          <w:rFonts w:ascii="Arial" w:hAnsi="Arial" w:eastAsia="Arial" w:cs="Arial"/>
          <w:sz w:val="20"/>
          <w:szCs w:val="20"/>
        </w:rPr>
        <w:t xml:space="preserve"> Qua</w:t>
      </w:r>
      <w:r>
        <w:rPr>
          <w:rFonts w:ascii="Arial" w:hAnsi="Arial" w:eastAsia="Arial" w:cs="Arial"/>
          <w:sz w:val="20"/>
          <w:szCs w:val="20"/>
        </w:rPr>
        <w:t xml:space="preserve">ndo do pagamento a ser efetuado ficará condicionado à apresentação pela empresa dos comprobatórios de quitação das obrigações para com o INSS e FGTS, referente ao mês anterior. Portanto, será efetuada a retenção tributária prevista na legislação aplicável.</w:t>
      </w:r>
      <w:r>
        <w:rPr>
          <w:rFonts w:ascii="Arial" w:hAnsi="Arial" w:cs="Arial"/>
          <w:sz w:val="20"/>
          <w:szCs w:val="20"/>
        </w:rPr>
      </w:r>
      <w:r>
        <w:rPr>
          <w:rFonts w:ascii="Arial" w:hAnsi="Arial" w:cs="Arial"/>
          <w:sz w:val="20"/>
          <w:szCs w:val="20"/>
        </w:rPr>
      </w:r>
    </w:p>
    <w:p>
      <w:pPr>
        <w:pStyle w:val="2090"/>
        <w:pBdr/>
        <w:spacing w:after="0" w:before="0" w:line="240" w:lineRule="auto"/>
        <w:ind w:left="284"/>
        <w:jc w:val="both"/>
        <w:rPr>
          <w:rFonts w:ascii="Arial" w:hAnsi="Arial" w:cs="Arial"/>
          <w:b/>
          <w:sz w:val="20"/>
          <w:szCs w:val="20"/>
        </w:rPr>
      </w:pPr>
      <w:r>
        <w:rPr>
          <w:rFonts w:ascii="Arial" w:hAnsi="Arial" w:eastAsia="Arial" w:cs="Arial"/>
          <w:b/>
          <w:sz w:val="20"/>
          <w:szCs w:val="20"/>
        </w:rPr>
      </w:r>
      <w:r>
        <w:rPr>
          <w:rFonts w:ascii="Arial" w:hAnsi="Arial" w:cs="Arial"/>
          <w:b/>
          <w:sz w:val="20"/>
          <w:szCs w:val="20"/>
        </w:rPr>
      </w:r>
      <w:r>
        <w:rPr>
          <w:rFonts w:ascii="Arial" w:hAnsi="Arial" w:cs="Arial"/>
          <w:b/>
          <w:sz w:val="20"/>
          <w:szCs w:val="20"/>
        </w:rPr>
      </w:r>
    </w:p>
    <w:p>
      <w:pPr>
        <w:pStyle w:val="2090"/>
        <w:pBdr/>
        <w:spacing w:after="0" w:before="0" w:line="240" w:lineRule="auto"/>
        <w:ind/>
        <w:jc w:val="both"/>
        <w:rPr>
          <w:rFonts w:ascii="Arial" w:hAnsi="Arial" w:cs="Arial"/>
          <w:sz w:val="20"/>
          <w:szCs w:val="20"/>
        </w:rPr>
      </w:pPr>
      <w:r>
        <w:rPr>
          <w:rFonts w:ascii="Arial" w:hAnsi="Arial" w:eastAsia="Arial" w:cs="Arial"/>
          <w:b/>
          <w:sz w:val="20"/>
          <w:szCs w:val="20"/>
        </w:rPr>
        <w:t xml:space="preserve">33.6.1.</w:t>
      </w:r>
      <w:r>
        <w:rPr>
          <w:rFonts w:ascii="Arial" w:hAnsi="Arial" w:eastAsia="Arial" w:cs="Arial"/>
          <w:sz w:val="20"/>
          <w:szCs w:val="20"/>
        </w:rPr>
        <w:t xml:space="preserve"> Quando do pagamento, será efetuada a retenção tributária prevista na legislação aplicável.</w:t>
      </w:r>
      <w:r>
        <w:rPr>
          <w:rFonts w:ascii="Arial" w:hAnsi="Arial" w:cs="Arial"/>
          <w:sz w:val="20"/>
          <w:szCs w:val="20"/>
        </w:rPr>
      </w:r>
      <w:r>
        <w:rPr>
          <w:rFonts w:ascii="Arial" w:hAnsi="Arial" w:cs="Arial"/>
          <w:sz w:val="20"/>
          <w:szCs w:val="20"/>
        </w:rPr>
      </w:r>
    </w:p>
    <w:p>
      <w:pPr>
        <w:pStyle w:val="2090"/>
        <w:pBdr/>
        <w:spacing w:after="0" w:before="0" w:line="240" w:lineRule="auto"/>
        <w:ind w:left="284"/>
        <w:jc w:val="both"/>
        <w:rPr>
          <w:rFonts w:ascii="Arial" w:hAnsi="Arial" w:cs="Arial"/>
          <w:sz w:val="20"/>
          <w:szCs w:val="20"/>
        </w:rPr>
      </w:pPr>
      <w:r>
        <w:rPr>
          <w:rFonts w:ascii="Arial" w:hAnsi="Arial" w:eastAsia="Arial" w:cs="Arial"/>
          <w:sz w:val="20"/>
          <w:szCs w:val="20"/>
        </w:rPr>
      </w:r>
      <w:r>
        <w:rPr>
          <w:rFonts w:ascii="Arial" w:hAnsi="Arial" w:cs="Arial"/>
          <w:sz w:val="20"/>
          <w:szCs w:val="20"/>
        </w:rPr>
      </w:r>
      <w:r>
        <w:rPr>
          <w:rFonts w:ascii="Arial" w:hAnsi="Arial" w:cs="Arial"/>
          <w:sz w:val="20"/>
          <w:szCs w:val="20"/>
        </w:rPr>
      </w:r>
    </w:p>
    <w:p>
      <w:pPr>
        <w:pStyle w:val="2090"/>
        <w:pBdr/>
        <w:spacing w:after="0" w:before="0" w:line="240" w:lineRule="auto"/>
        <w:ind/>
        <w:jc w:val="both"/>
        <w:rPr>
          <w:rFonts w:ascii="Arial" w:hAnsi="Arial" w:cs="Arial"/>
          <w:sz w:val="20"/>
          <w:szCs w:val="20"/>
        </w:rPr>
      </w:pPr>
      <w:r>
        <w:rPr>
          <w:rFonts w:ascii="Arial" w:hAnsi="Arial" w:eastAsia="Arial" w:cs="Arial"/>
          <w:b/>
          <w:sz w:val="20"/>
          <w:szCs w:val="20"/>
        </w:rPr>
        <w:t xml:space="preserve">33.6.2.</w:t>
      </w:r>
      <w:r>
        <w:rPr>
          <w:rFonts w:ascii="Arial" w:hAnsi="Arial" w:eastAsia="Arial" w:cs="Arial"/>
          <w:sz w:val="20"/>
          <w:szCs w:val="20"/>
        </w:rPr>
        <w:t xml:space="preserve"> O pagamento efetuado não isentará a contratada de suas responsabilidades vinculadas ao fornecimento, especialmente àquelas relacionadas com a qualidade e garantia dos itens fornecidos;</w:t>
      </w:r>
      <w:r>
        <w:rPr>
          <w:rFonts w:ascii="Arial" w:hAnsi="Arial" w:cs="Arial"/>
          <w:sz w:val="20"/>
          <w:szCs w:val="20"/>
        </w:rPr>
      </w:r>
      <w:r>
        <w:rPr>
          <w:rFonts w:ascii="Arial" w:hAnsi="Arial" w:cs="Arial"/>
          <w:sz w:val="20"/>
          <w:szCs w:val="20"/>
        </w:rPr>
      </w:r>
    </w:p>
    <w:p>
      <w:pPr>
        <w:pStyle w:val="2090"/>
        <w:pBdr/>
        <w:spacing w:after="0" w:before="0" w:line="240" w:lineRule="auto"/>
        <w:ind w:left="284"/>
        <w:jc w:val="both"/>
        <w:rPr>
          <w:rFonts w:ascii="Arial" w:hAnsi="Arial" w:cs="Arial"/>
          <w:b/>
          <w:sz w:val="19"/>
          <w:szCs w:val="19"/>
        </w:rPr>
      </w:pPr>
      <w:r>
        <w:rPr>
          <w:rFonts w:ascii="Arial" w:hAnsi="Arial" w:eastAsia="Arial" w:cs="Arial"/>
          <w:b/>
          <w:sz w:val="19"/>
          <w:szCs w:val="19"/>
        </w:rPr>
      </w:r>
      <w:r>
        <w:rPr>
          <w:rFonts w:ascii="Arial" w:hAnsi="Arial" w:cs="Arial"/>
          <w:b/>
          <w:sz w:val="19"/>
          <w:szCs w:val="19"/>
        </w:rPr>
      </w:r>
      <w:r>
        <w:rPr>
          <w:rFonts w:ascii="Arial" w:hAnsi="Arial" w:cs="Arial"/>
          <w:b/>
          <w:sz w:val="19"/>
          <w:szCs w:val="19"/>
        </w:rPr>
      </w:r>
    </w:p>
    <w:p>
      <w:pPr>
        <w:pStyle w:val="2090"/>
        <w:pBdr/>
        <w:spacing w:after="0" w:before="0" w:line="240" w:lineRule="auto"/>
        <w:ind/>
        <w:jc w:val="both"/>
        <w:rPr>
          <w:rFonts w:ascii="Arial" w:hAnsi="Arial" w:cs="Arial"/>
          <w:b/>
          <w:sz w:val="19"/>
          <w:szCs w:val="19"/>
        </w:rPr>
      </w:pPr>
      <w:r>
        <w:rPr>
          <w:rFonts w:ascii="Arial" w:hAnsi="Arial" w:eastAsia="Arial" w:cs="Arial"/>
          <w:b/>
          <w:sz w:val="19"/>
          <w:szCs w:val="19"/>
        </w:rPr>
        <w:t xml:space="preserve">33.7</w:t>
      </w:r>
      <w:r>
        <w:rPr>
          <w:rStyle w:val="1010"/>
          <w:rFonts w:ascii="Arial" w:hAnsi="Arial" w:eastAsia="Arial" w:cs="Arial"/>
          <w:b/>
          <w:sz w:val="19"/>
          <w:szCs w:val="19"/>
          <w:lang w:eastAsia="pt-BR" w:bidi="ar-SA"/>
        </w:rPr>
        <w:t xml:space="preserve">.</w:t>
      </w:r>
      <w:r>
        <w:rPr>
          <w:rStyle w:val="1010"/>
          <w:rFonts w:ascii="Arial" w:hAnsi="Arial" w:eastAsia="Arial" w:cs="Arial"/>
          <w:sz w:val="19"/>
          <w:szCs w:val="19"/>
          <w:lang w:eastAsia="pt-BR" w:bidi="ar-SA"/>
        </w:rPr>
        <w:t xml:space="preserve"> Ocorrendo umas das hipóteses previstas na alínea “d” do inciso II do artigo 124 da </w:t>
      </w:r>
      <w:r>
        <w:rPr>
          <w:rStyle w:val="1010"/>
          <w:rFonts w:ascii="Arial" w:hAnsi="Arial" w:eastAsia="Arial" w:cs="Arial"/>
          <w:sz w:val="19"/>
          <w:szCs w:val="19"/>
          <w:lang w:eastAsia="pt-BR" w:bidi="ar-SA"/>
        </w:rPr>
        <w:t xml:space="preserve">Lei n. 14.133/2021, poderá haver a repactuação, reajuste, revisão ou realinhamento, onde deverão ser precedidos de demonstração analítica do aumento dos custos, bem como análise Técnico Contábil do setor Financeiro e da Assessoria Jurídica deste Município.</w:t>
      </w:r>
      <w:r>
        <w:rPr>
          <w:rFonts w:ascii="Arial" w:hAnsi="Arial" w:cs="Arial"/>
          <w:b/>
          <w:sz w:val="19"/>
          <w:szCs w:val="19"/>
        </w:rPr>
      </w:r>
      <w:r>
        <w:rPr>
          <w:rFonts w:ascii="Arial" w:hAnsi="Arial" w:cs="Arial"/>
          <w:b/>
          <w:sz w:val="19"/>
          <w:szCs w:val="19"/>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numPr>
          <w:ilvl w:val="0"/>
          <w:numId w:val="0"/>
        </w:numPr>
        <w:pBdr/>
        <w:spacing/>
        <w:ind/>
        <w:jc w:val="both"/>
        <w:outlineLvl w:val="0"/>
        <w:rPr>
          <w:rFonts w:ascii="Arial" w:hAnsi="Arial" w:cs="Arial"/>
          <w:b/>
          <w:bCs/>
          <w:color w:val="000000"/>
        </w:rPr>
      </w:pPr>
      <w:r/>
      <w:bookmarkStart w:id="96" w:name="_Toc33"/>
      <w:r>
        <w:rPr>
          <w:rFonts w:ascii="Arial" w:hAnsi="Arial" w:eastAsia="Arial" w:cs="Arial"/>
          <w:b/>
          <w:bCs/>
          <w:color w:val="000000"/>
        </w:rPr>
        <w:t xml:space="preserve">34.</w:t>
      </w:r>
      <w:r>
        <w:rPr>
          <w:rFonts w:ascii="Arial" w:hAnsi="Arial" w:eastAsia="Arial" w:cs="Arial"/>
          <w:b/>
          <w:color w:val="000000"/>
        </w:rPr>
        <w:t xml:space="preserve"> DAS INFRAÇÕES ADMINISTRATIVAS E SANÇÕES REFERENTE A LICITAÇÃO</w:t>
      </w:r>
      <w:r>
        <w:rPr>
          <w:rFonts w:ascii="Arial" w:hAnsi="Arial" w:eastAsia="Arial" w:cs="Arial"/>
          <w:b/>
          <w:bCs/>
          <w:color w:val="000000"/>
        </w:rPr>
        <w:t xml:space="preserve">:</w:t>
      </w:r>
      <w:bookmarkEnd w:id="96"/>
      <w:r>
        <w:rPr>
          <w:rFonts w:ascii="Arial" w:hAnsi="Arial" w:cs="Arial"/>
          <w:b/>
          <w:bCs/>
          <w:color w:val="000000"/>
        </w:rPr>
      </w:r>
      <w:r>
        <w:rPr>
          <w:rFonts w:ascii="Arial" w:hAnsi="Arial" w:cs="Arial"/>
          <w:b/>
          <w:bCs/>
          <w:color w:val="000000"/>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34.1.</w:t>
      </w:r>
      <w:r>
        <w:rPr>
          <w:rFonts w:ascii="Arial" w:hAnsi="Arial" w:eastAsia="Arial" w:cs="Arial"/>
          <w:color w:val="000000"/>
        </w:rPr>
        <w:t xml:space="preserve"> Comete infração administrativa, nos termos da lei 14.133/2021, o licitante que, com dolo ou culpa: </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bookmarkStart w:id="48" w:name="_Ref114668085"/>
      <w:r>
        <w:rPr>
          <w:rFonts w:ascii="Arial" w:hAnsi="Arial" w:eastAsia="Arial" w:cs="Arial"/>
        </w:rPr>
      </w:r>
      <w:bookmarkStart w:id="49" w:name="_Hlk114652595"/>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34.1.1.</w:t>
      </w:r>
      <w:r>
        <w:rPr>
          <w:rFonts w:ascii="Arial" w:hAnsi="Arial" w:eastAsia="Arial" w:cs="Arial"/>
          <w:color w:val="000000"/>
        </w:rPr>
        <w:t xml:space="preserve"> Deixar de entregar a documentação exigida para o certame ou não entregar qualquer documento que tenha sido solicitado pelo/a pregoeiro/a durante o certame;</w:t>
      </w:r>
      <w:bookmarkEnd w:id="49"/>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bookmarkStart w:id="51" w:name="_Ref114668108"/>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34.1.2.</w:t>
      </w:r>
      <w:r>
        <w:rPr>
          <w:rFonts w:ascii="Arial" w:hAnsi="Arial" w:eastAsia="Arial" w:cs="Arial"/>
          <w:color w:val="000000"/>
        </w:rPr>
        <w:t xml:space="preserve"> Salvo em decorrência de fato superveniente devidamente justificado, não mantiver a proposta em especial quando:</w:t>
      </w:r>
      <w:bookmarkEnd w:id="48"/>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34.1</w:t>
      </w:r>
      <w:r>
        <w:rPr>
          <w:rFonts w:ascii="Arial" w:hAnsi="Arial" w:eastAsia="Arial" w:cs="Arial"/>
          <w:b/>
          <w:bCs/>
          <w:color w:val="000000"/>
        </w:rPr>
        <w:t xml:space="preserve">.2.1</w:t>
      </w:r>
      <w:r>
        <w:rPr>
          <w:rFonts w:ascii="Arial" w:hAnsi="Arial" w:eastAsia="Arial" w:cs="Arial"/>
          <w:color w:val="000000"/>
        </w:rPr>
        <w:t xml:space="preserve">. Não enviar a proposta adequada ao último lance ofertado ou após a negociação; </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34.1.2.2.</w:t>
      </w:r>
      <w:r>
        <w:rPr>
          <w:rFonts w:ascii="Arial" w:hAnsi="Arial" w:eastAsia="Arial" w:cs="Arial"/>
          <w:color w:val="000000"/>
        </w:rPr>
        <w:t xml:space="preserve"> Recusar-se a enviar o detalhamento da proposta quando exigível; </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color w:val="000000"/>
        </w:rPr>
        <w:t xml:space="preserve">34.1.2.3.</w:t>
      </w:r>
      <w:r>
        <w:rPr>
          <w:rFonts w:ascii="Arial" w:hAnsi="Arial" w:eastAsia="Arial" w:cs="Arial"/>
          <w:color w:val="000000"/>
        </w:rPr>
        <w:t xml:space="preserve"> Pedir para ser desclassificado quando encerrada a etapa competitiva; ou </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Bdr/>
        <w:spacing/>
        <w:ind/>
        <w:jc w:val="both"/>
        <w:rPr>
          <w:rFonts w:ascii="Arial" w:hAnsi="Arial" w:eastAsia="Arial" w:cs="Arial"/>
          <w:color w:val="000000"/>
          <w14:ligatures w14:val="none"/>
        </w:rPr>
      </w:pPr>
      <w:r>
        <w:rPr>
          <w:rFonts w:ascii="Arial" w:hAnsi="Arial" w:eastAsia="Arial" w:cs="Arial"/>
          <w:b/>
          <w:color w:val="000000"/>
        </w:rPr>
        <w:t xml:space="preserve">34.1.2.4.</w:t>
      </w:r>
      <w:r>
        <w:rPr>
          <w:rFonts w:ascii="Arial" w:hAnsi="Arial" w:eastAsia="Arial" w:cs="Arial"/>
          <w:color w:val="000000"/>
        </w:rPr>
        <w:t xml:space="preserve"> </w:t>
      </w:r>
      <w:r>
        <w:rPr>
          <w:rFonts w:ascii="Arial" w:hAnsi="Arial" w:eastAsia="Arial" w:cs="Arial"/>
          <w:color w:val="000000"/>
        </w:rPr>
        <w:t xml:space="preserve">Deixar de apresentar, sem justificativa aceita pela Administração, amostra regularmente solicitada nos termos e condições previamente estabelecidos neste Edital.</w:t>
      </w:r>
      <w:r>
        <w:rPr>
          <w:rFonts w:ascii="Arial" w:hAnsi="Arial" w:eastAsia="Arial" w:cs="Arial"/>
          <w:color w:val="000000"/>
        </w:rPr>
      </w:r>
      <w:r>
        <w:rPr>
          <w:rFonts w:ascii="Arial" w:hAnsi="Arial" w:eastAsia="Arial" w:cs="Arial"/>
          <w:color w:val="000000"/>
          <w14:ligatures w14:val="none"/>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34.1.2.5.</w:t>
      </w:r>
      <w:r>
        <w:rPr>
          <w:rFonts w:ascii="Arial" w:hAnsi="Arial" w:eastAsia="Arial" w:cs="Arial"/>
          <w:color w:val="000000"/>
        </w:rPr>
        <w:t xml:space="preserve"> Apresentar proposta ou amostra em desacordo com as especificações do edital; </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bookmarkStart w:id="53" w:name="_Ref114668139"/>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34.1.3.</w:t>
      </w:r>
      <w:r>
        <w:rPr>
          <w:rFonts w:ascii="Arial" w:hAnsi="Arial" w:eastAsia="Arial" w:cs="Arial"/>
          <w:color w:val="000000"/>
        </w:rPr>
        <w:t xml:space="preserve"> Não celebrar o contrato ou não entregar a documentação exigida para a contratação, quando convocado dentro do prazo de validade de sua proposta;</w:t>
      </w:r>
      <w:bookmarkEnd w:id="51"/>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34.1.3.1.</w:t>
      </w:r>
      <w:r>
        <w:rPr>
          <w:rFonts w:ascii="Arial" w:hAnsi="Arial" w:eastAsia="Arial" w:cs="Arial"/>
          <w:color w:val="000000"/>
        </w:rPr>
        <w:t xml:space="preserve"> Recusar-se, sem justificativa, a assinar o contrato ou a ata de registro de preço, ou a aceitar ou retirar o instrumento equivalente no prazo estabelecido pela Administração;</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bookmarkStart w:id="55" w:name="_Ref114668249"/>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34.1.4.</w:t>
      </w:r>
      <w:r>
        <w:rPr>
          <w:rFonts w:ascii="Arial" w:hAnsi="Arial" w:eastAsia="Arial" w:cs="Arial"/>
          <w:color w:val="000000"/>
        </w:rPr>
        <w:t xml:space="preserve"> Apresentar declaração ou documentação falsa exigida para o certame ou prestar declaração falsa durante a licitação</w:t>
      </w:r>
      <w:bookmarkEnd w:id="53"/>
      <w:r>
        <w:rPr>
          <w:rFonts w:ascii="Arial" w:hAnsi="Arial" w:eastAsia="Arial" w:cs="Arial"/>
          <w:color w:val="000000"/>
        </w:rPr>
        <w:t xml:space="preserve">;</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color w:val="000000"/>
        </w:rPr>
      </w:pPr>
      <w:r>
        <w:rPr>
          <w:rFonts w:ascii="Arial" w:hAnsi="Arial" w:eastAsia="Arial" w:cs="Arial"/>
        </w:rPr>
      </w:r>
      <w:bookmarkStart w:id="56" w:name="_Ref114668245"/>
      <w:r>
        <w:rPr>
          <w:rFonts w:ascii="Arial" w:hAnsi="Arial" w:eastAsia="Arial" w:cs="Arial"/>
          <w:b/>
          <w:color w:val="000000"/>
        </w:rPr>
        <w:t xml:space="preserve">34.1.5.</w:t>
      </w:r>
      <w:r>
        <w:rPr>
          <w:rFonts w:ascii="Arial" w:hAnsi="Arial" w:eastAsia="Arial" w:cs="Arial"/>
          <w:color w:val="000000"/>
        </w:rPr>
        <w:t xml:space="preserve"> Fraudar a licitação</w:t>
      </w:r>
      <w:bookmarkEnd w:id="55"/>
      <w:r>
        <w:rPr>
          <w:rFonts w:ascii="Arial" w:hAnsi="Arial" w:eastAsia="Arial" w:cs="Arial"/>
          <w:color w:val="000000"/>
        </w:rPr>
        <w:t xml:space="preserve">;</w:t>
      </w:r>
      <w:r>
        <w:rPr>
          <w:rFonts w:ascii="Arial" w:hAnsi="Arial" w:cs="Arial"/>
          <w:color w:val="000000"/>
        </w:rPr>
      </w:r>
      <w:r>
        <w:rPr>
          <w:rFonts w:ascii="Arial" w:hAnsi="Arial" w:cs="Arial"/>
          <w:color w:val="000000"/>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rPr>
      </w:r>
      <w:bookmarkStart w:id="57" w:name="_Ref114668247"/>
      <w:r>
        <w:rPr>
          <w:rFonts w:ascii="Arial" w:hAnsi="Arial" w:eastAsia="Arial" w:cs="Arial"/>
          <w:b/>
          <w:color w:val="000000"/>
        </w:rPr>
        <w:t xml:space="preserve">34.1.6.</w:t>
      </w:r>
      <w:r>
        <w:rPr>
          <w:rFonts w:ascii="Arial" w:hAnsi="Arial" w:eastAsia="Arial" w:cs="Arial"/>
          <w:color w:val="000000"/>
        </w:rPr>
        <w:t xml:space="preserve"> Comportar-se de modo inidôneo ou cometer fraude de qualquer natureza, em especial quando:</w:t>
      </w:r>
      <w:bookmarkEnd w:id="56"/>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34.1.6.1.</w:t>
      </w:r>
      <w:r>
        <w:rPr>
          <w:rFonts w:ascii="Arial" w:hAnsi="Arial" w:eastAsia="Arial" w:cs="Arial"/>
          <w:color w:val="000000"/>
        </w:rPr>
        <w:t xml:space="preserve"> Agir em conluio ou em desconformidade com a lei; </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34.1.6.2.</w:t>
      </w:r>
      <w:r>
        <w:rPr>
          <w:rFonts w:ascii="Arial" w:hAnsi="Arial" w:eastAsia="Arial" w:cs="Arial"/>
          <w:color w:val="000000"/>
        </w:rPr>
        <w:t xml:space="preserve"> Induzir deliberadamente a erro no julgamento; </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color w:val="000000"/>
        </w:rPr>
        <w:t xml:space="preserve">34.1.6.3.</w:t>
      </w:r>
      <w:r>
        <w:rPr>
          <w:rFonts w:ascii="Arial" w:hAnsi="Arial" w:eastAsia="Arial" w:cs="Arial"/>
          <w:color w:val="000000"/>
        </w:rPr>
        <w:t xml:space="preserve"> Apresentar amostra falsificada ou deteriorada; </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color w:val="000000"/>
        </w:rPr>
      </w:pPr>
      <w:r>
        <w:rPr>
          <w:rFonts w:ascii="Arial" w:hAnsi="Arial" w:eastAsia="Arial" w:cs="Arial"/>
          <w:b/>
          <w:color w:val="000000"/>
        </w:rPr>
        <w:t xml:space="preserve">34.1.7.</w:t>
      </w:r>
      <w:r>
        <w:rPr>
          <w:rFonts w:ascii="Arial" w:hAnsi="Arial" w:eastAsia="Arial" w:cs="Arial"/>
          <w:color w:val="000000"/>
        </w:rPr>
        <w:t xml:space="preserve">  Praticar atos ilícitos com vistas a frustrar os objetivos da licitação</w:t>
      </w:r>
      <w:bookmarkEnd w:id="57"/>
      <w:r>
        <w:rPr>
          <w:rFonts w:ascii="Arial" w:hAnsi="Arial" w:eastAsia="Arial" w:cs="Arial"/>
          <w:color w:val="000000"/>
        </w:rPr>
        <w:t xml:space="preserve">;</w:t>
      </w:r>
      <w:r>
        <w:rPr>
          <w:rFonts w:ascii="Arial" w:hAnsi="Arial" w:cs="Arial"/>
          <w:color w:val="000000"/>
        </w:rPr>
      </w:r>
      <w:r>
        <w:rPr>
          <w:rFonts w:ascii="Arial" w:hAnsi="Arial" w:cs="Arial"/>
          <w:color w:val="000000"/>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color w:val="000000"/>
        </w:rPr>
      </w:pPr>
      <w:r>
        <w:rPr>
          <w:rFonts w:ascii="Arial" w:hAnsi="Arial" w:eastAsia="Arial" w:cs="Arial"/>
          <w:b/>
          <w:color w:val="000000"/>
        </w:rPr>
        <w:t xml:space="preserve">34.1.8.</w:t>
      </w:r>
      <w:r>
        <w:rPr>
          <w:rFonts w:ascii="Arial" w:hAnsi="Arial" w:eastAsia="Arial" w:cs="Arial"/>
          <w:color w:val="000000"/>
        </w:rPr>
        <w:t xml:space="preserve">  Praticar ato lesivo previsto no </w:t>
      </w:r>
      <w:hyperlink r:id="rId35" w:tooltip="https://www.planalto.gov.br/ccivil_03/_ato2011-2014/2013/lei/l12846.htm#art5" w:anchor="art5" w:history="1">
        <w:r>
          <w:rPr>
            <w:rStyle w:val="994"/>
            <w:rFonts w:ascii="Arial" w:hAnsi="Arial" w:eastAsia="Arial" w:cs="Arial"/>
            <w:color w:val="000000"/>
          </w:rPr>
          <w:t xml:space="preserve">art. 5º da Lei n.º 12.846, de 2013</w:t>
        </w:r>
      </w:hyperlink>
      <w:r>
        <w:rPr>
          <w:rFonts w:ascii="Arial" w:hAnsi="Arial" w:eastAsia="Arial" w:cs="Arial"/>
          <w:color w:val="000000"/>
        </w:rPr>
        <w:t xml:space="preserve">;</w:t>
      </w:r>
      <w:r>
        <w:rPr>
          <w:rFonts w:ascii="Arial" w:hAnsi="Arial" w:cs="Arial"/>
          <w:color w:val="000000"/>
        </w:rPr>
      </w:r>
      <w:r>
        <w:rPr>
          <w:rFonts w:ascii="Arial" w:hAnsi="Arial" w:cs="Arial"/>
          <w:color w:val="000000"/>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34.2.</w:t>
      </w:r>
      <w:r>
        <w:rPr>
          <w:rFonts w:ascii="Arial" w:hAnsi="Arial" w:eastAsia="Arial" w:cs="Arial"/>
          <w:color w:val="000000"/>
        </w:rPr>
        <w:t xml:space="preserve"> Com fulcro na </w:t>
      </w:r>
      <w:hyperlink r:id="rId36" w:tooltip="http://www.planalto.gov.br/ccivil_03/_ato2019-2022/2021/lei/L14133.htm" w:history="1">
        <w:r>
          <w:rPr>
            <w:rStyle w:val="994"/>
            <w:rFonts w:ascii="Arial" w:hAnsi="Arial" w:eastAsia="Arial" w:cs="Arial"/>
            <w:color w:val="000000"/>
          </w:rPr>
          <w:t xml:space="preserve">Lei nº 14.133, de 2021</w:t>
        </w:r>
      </w:hyperlink>
      <w:r>
        <w:rPr>
          <w:rFonts w:ascii="Arial" w:hAnsi="Arial" w:eastAsia="Arial" w:cs="Arial"/>
          <w:color w:val="000000"/>
        </w:rPr>
        <w:t xml:space="preserve">, a Administração poderá, garantida a prévia defesa, aplicar aos licitantes e/ou adjudicatários as seguintes sanções, sem prejuízo das responsabilidades civil e criminal: </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34.2.1.</w:t>
      </w:r>
      <w:r>
        <w:rPr>
          <w:rFonts w:ascii="Arial" w:hAnsi="Arial" w:eastAsia="Arial" w:cs="Arial"/>
          <w:color w:val="000000"/>
        </w:rPr>
        <w:t xml:space="preserve"> Advertência;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color w:val="000000"/>
        </w:rPr>
      </w:pPr>
      <w:r>
        <w:rPr>
          <w:rFonts w:ascii="Arial" w:hAnsi="Arial" w:eastAsia="Arial" w:cs="Arial"/>
          <w:b/>
          <w:color w:val="000000"/>
        </w:rPr>
        <w:t xml:space="preserve">34.2.2.</w:t>
      </w:r>
      <w:r>
        <w:rPr>
          <w:rFonts w:ascii="Arial" w:hAnsi="Arial" w:eastAsia="Arial" w:cs="Arial"/>
          <w:color w:val="000000"/>
        </w:rPr>
        <w:t xml:space="preserve"> Multa;</w:t>
      </w:r>
      <w:r>
        <w:rPr>
          <w:rFonts w:ascii="Arial" w:hAnsi="Arial" w:cs="Arial"/>
          <w:color w:val="000000"/>
        </w:rPr>
      </w:r>
      <w:r>
        <w:rPr>
          <w:rFonts w:ascii="Arial" w:hAnsi="Arial" w:cs="Arial"/>
          <w:color w:val="000000"/>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34.2.3.</w:t>
      </w:r>
      <w:r>
        <w:rPr>
          <w:rFonts w:ascii="Arial" w:hAnsi="Arial" w:eastAsia="Arial" w:cs="Arial"/>
          <w:color w:val="000000"/>
        </w:rPr>
        <w:t xml:space="preserve"> Impedimento de licitar e contratar e</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34.2.4.</w:t>
      </w:r>
      <w:r>
        <w:rPr>
          <w:rFonts w:ascii="Arial" w:hAnsi="Arial" w:eastAsia="Arial" w:cs="Arial"/>
          <w:color w:val="000000"/>
        </w:rPr>
        <w:t xml:space="preserve"> Declaração de inidoneidade para licitar ou contratar, enquanto perdurarem os motivos determinantes da punição ou até que seja promovida sua reabilitação perante a própria autoridade que aplicou a penalidade.</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34.3. </w:t>
      </w:r>
      <w:r>
        <w:rPr>
          <w:rFonts w:ascii="Arial" w:hAnsi="Arial" w:eastAsia="Arial" w:cs="Arial"/>
          <w:b/>
          <w:color w:val="000000"/>
          <w:u w:val="single"/>
        </w:rPr>
        <w:t xml:space="preserve">Na Aplicação das Sanções Serão Considerados</w:t>
      </w:r>
      <w:r>
        <w:rPr>
          <w:rFonts w:ascii="Arial" w:hAnsi="Arial" w:eastAsia="Arial" w:cs="Arial"/>
          <w:b/>
          <w:color w:val="000000"/>
        </w:rPr>
        <w:t xml:space="preserve">:</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34.3.1. </w:t>
      </w:r>
      <w:r>
        <w:rPr>
          <w:rFonts w:ascii="Arial" w:hAnsi="Arial" w:eastAsia="Arial" w:cs="Arial"/>
          <w:color w:val="000000"/>
        </w:rPr>
        <w:t xml:space="preserve">A natureza e a gravidade da infração cometida.</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34.3.2. </w:t>
      </w:r>
      <w:r>
        <w:rPr>
          <w:rFonts w:ascii="Arial" w:hAnsi="Arial" w:eastAsia="Arial" w:cs="Arial"/>
          <w:color w:val="000000"/>
        </w:rPr>
        <w:t xml:space="preserve">As peculiaridades do caso concreto</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34.3.3. </w:t>
      </w:r>
      <w:r>
        <w:rPr>
          <w:rFonts w:ascii="Arial" w:hAnsi="Arial" w:eastAsia="Arial" w:cs="Arial"/>
          <w:color w:val="000000"/>
        </w:rPr>
        <w:t xml:space="preserve">As circunstâncias agravantes ou atenuantes</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34.3.4. </w:t>
      </w:r>
      <w:r>
        <w:rPr>
          <w:rFonts w:ascii="Arial" w:hAnsi="Arial" w:eastAsia="Arial" w:cs="Arial"/>
          <w:color w:val="000000"/>
        </w:rPr>
        <w:t xml:space="preserve">Os danos que dela provierem para a Administração Pública</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34.3.5. </w:t>
      </w:r>
      <w:r>
        <w:rPr>
          <w:rFonts w:ascii="Arial" w:hAnsi="Arial" w:eastAsia="Arial" w:cs="Arial"/>
          <w:color w:val="000000"/>
        </w:rPr>
        <w:t xml:space="preserve">A implantação ou o aperfeiçoamento de programa de integridade, conforme normas e orientações dos órgãos de controle.</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34.4.</w:t>
      </w:r>
      <w:r>
        <w:rPr>
          <w:rFonts w:ascii="Arial" w:hAnsi="Arial" w:eastAsia="Arial" w:cs="Arial"/>
          <w:color w:val="000000"/>
        </w:rPr>
        <w:t xml:space="preserve"> A multa será recolhida em percentual de 0,5% a 30% incidente sobre o valor do contrato licitado, recolhida no prazo máximo de </w:t>
      </w:r>
      <w:r>
        <w:rPr>
          <w:rFonts w:ascii="Arial" w:hAnsi="Arial" w:eastAsia="Arial" w:cs="Arial"/>
          <w:b/>
          <w:bCs/>
          <w:color w:val="000000"/>
        </w:rPr>
        <w:t xml:space="preserve">30 (trinta) dias</w:t>
      </w:r>
      <w:r>
        <w:rPr>
          <w:rFonts w:ascii="Arial" w:hAnsi="Arial" w:eastAsia="Arial" w:cs="Arial"/>
          <w:color w:val="000000"/>
        </w:rPr>
        <w:t xml:space="preserve"> úteis, a contar da comunicação oficial. </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34.4.</w:t>
      </w:r>
      <w:r>
        <w:rPr>
          <w:rFonts w:ascii="Arial" w:hAnsi="Arial" w:eastAsia="Arial" w:cs="Arial"/>
          <w:color w:val="000000"/>
        </w:rPr>
        <w:t xml:space="preserve">1. Para as infrações previstas nos itens </w:t>
      </w:r>
      <w:r>
        <w:rPr>
          <w:rFonts w:ascii="Arial" w:hAnsi="Arial" w:eastAsia="Arial" w:cs="Arial"/>
          <w:b/>
          <w:color w:val="000000"/>
          <w:u w:val="single"/>
        </w:rPr>
        <w:t xml:space="preserve">34.1.1, 34.1.2, e 34.1.3</w:t>
      </w:r>
      <w:r>
        <w:rPr>
          <w:rFonts w:ascii="Arial" w:hAnsi="Arial" w:eastAsia="Arial" w:cs="Arial"/>
          <w:color w:val="000000"/>
        </w:rPr>
        <w:t xml:space="preserve">, a multa será de </w:t>
      </w:r>
      <w:r>
        <w:rPr>
          <w:rFonts w:ascii="Arial" w:hAnsi="Arial" w:eastAsia="Arial" w:cs="Arial"/>
          <w:b/>
          <w:color w:val="000000"/>
        </w:rPr>
        <w:t xml:space="preserve">0,5%</w:t>
      </w:r>
      <w:r>
        <w:rPr>
          <w:rFonts w:ascii="Arial" w:hAnsi="Arial" w:eastAsia="Arial" w:cs="Arial"/>
          <w:color w:val="000000"/>
        </w:rPr>
        <w:t xml:space="preserve"> a </w:t>
      </w:r>
      <w:r>
        <w:rPr>
          <w:rFonts w:ascii="Arial" w:hAnsi="Arial" w:eastAsia="Arial" w:cs="Arial"/>
          <w:b/>
          <w:color w:val="000000"/>
        </w:rPr>
        <w:t xml:space="preserve">15%</w:t>
      </w:r>
      <w:r>
        <w:rPr>
          <w:rFonts w:ascii="Arial" w:hAnsi="Arial" w:eastAsia="Arial" w:cs="Arial"/>
          <w:color w:val="000000"/>
        </w:rPr>
        <w:t xml:space="preserve"> do valor do contrato licitado. </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34.4.2.</w:t>
      </w:r>
      <w:r>
        <w:rPr>
          <w:rFonts w:ascii="Arial" w:hAnsi="Arial" w:eastAsia="Arial" w:cs="Arial"/>
          <w:color w:val="000000"/>
        </w:rPr>
        <w:t xml:space="preserve"> Para as infrações previstas nos itens </w:t>
      </w:r>
      <w:r>
        <w:rPr>
          <w:rFonts w:ascii="Arial" w:hAnsi="Arial" w:eastAsia="Arial" w:cs="Arial"/>
          <w:b/>
          <w:color w:val="000000"/>
          <w:u w:val="single"/>
        </w:rPr>
        <w:t xml:space="preserve">34.1.4, 34.1.5, 34.1.6, 34.1.7, e 34.1.8,</w:t>
      </w:r>
      <w:r>
        <w:rPr>
          <w:rFonts w:ascii="Arial" w:hAnsi="Arial" w:eastAsia="Arial" w:cs="Arial"/>
          <w:color w:val="000000"/>
        </w:rPr>
        <w:t xml:space="preserve"> a multa será de </w:t>
      </w:r>
      <w:r>
        <w:rPr>
          <w:rFonts w:ascii="Arial" w:hAnsi="Arial" w:eastAsia="Arial" w:cs="Arial"/>
          <w:b/>
          <w:color w:val="000000"/>
        </w:rPr>
        <w:t xml:space="preserve">15%</w:t>
      </w:r>
      <w:r>
        <w:rPr>
          <w:rFonts w:ascii="Arial" w:hAnsi="Arial" w:eastAsia="Arial" w:cs="Arial"/>
          <w:color w:val="000000"/>
        </w:rPr>
        <w:t xml:space="preserve"> a </w:t>
      </w:r>
      <w:r>
        <w:rPr>
          <w:rFonts w:ascii="Arial" w:hAnsi="Arial" w:eastAsia="Arial" w:cs="Arial"/>
          <w:b/>
          <w:color w:val="000000"/>
        </w:rPr>
        <w:t xml:space="preserve">30%</w:t>
      </w:r>
      <w:r>
        <w:rPr>
          <w:rFonts w:ascii="Arial" w:hAnsi="Arial" w:eastAsia="Arial" w:cs="Arial"/>
          <w:color w:val="000000"/>
        </w:rPr>
        <w:t xml:space="preserve"> do valor do contrato licitado.</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color w:val="000000"/>
        </w:rPr>
        <w:t xml:space="preserve">34.5. </w:t>
      </w:r>
      <w:r>
        <w:rPr>
          <w:rFonts w:ascii="Arial" w:hAnsi="Arial" w:eastAsia="Arial" w:cs="Arial"/>
          <w:color w:val="000000"/>
        </w:rPr>
        <w:t xml:space="preserve">As sanções de advertência, impedimento de licitar e contratar e declaração de inidoneidade para licitar ou contratar poderão ser aplicadas, cumulativamente ou não, à penalidade de multa.</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34.6. </w:t>
      </w:r>
      <w:r>
        <w:rPr>
          <w:rFonts w:ascii="Arial" w:hAnsi="Arial" w:eastAsia="Arial" w:cs="Arial"/>
          <w:color w:val="000000"/>
        </w:rPr>
        <w:t xml:space="preserve">Na aplicação da sanção de multa será facultada a defesa do interessado no prazo de 15 (quinze) dias úteis, contado da data de sua intimação.</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34.7. </w:t>
      </w:r>
      <w:r>
        <w:rPr>
          <w:rFonts w:ascii="Arial" w:hAnsi="Arial" w:eastAsia="Arial" w:cs="Arial"/>
          <w:color w:val="000000"/>
        </w:rPr>
        <w:t xml:space="preserve">A sanção de impedimento de licitar e contratar será aplicada ao responsável em decorrência das infrações administrativas relacionadas nos itens </w:t>
      </w:r>
      <w:r>
        <w:rPr>
          <w:rFonts w:ascii="Arial" w:hAnsi="Arial" w:eastAsia="Arial" w:cs="Arial"/>
          <w:b/>
          <w:color w:val="000000"/>
          <w:u w:val="single"/>
        </w:rPr>
        <w:t xml:space="preserve">34.1.1, 34.1.2, e 34.1.3</w:t>
      </w:r>
      <w:r>
        <w:rPr>
          <w:rFonts w:ascii="Arial" w:hAnsi="Arial" w:eastAsia="Arial" w:cs="Arial"/>
          <w:color w:val="000000"/>
        </w:rPr>
        <w:t xml:space="preserve">, </w:t>
      </w:r>
      <w:r>
        <w:rPr>
          <w:rFonts w:ascii="Arial" w:hAnsi="Arial" w:eastAsia="Arial" w:cs="Arial"/>
          <w:color w:val="000000"/>
        </w:rPr>
        <w:t xml:space="preserve">quando não se justificar a imposição de penalidade mais grave, e impedirá o responsável de licitar e contratar no âmbito da Administração Pública direta e indireta do ente federativo a qual pertencer o órgão ou entidade, pelo prazo máximo de 3 (três) anos.</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34.8. </w:t>
      </w:r>
      <w:r>
        <w:rPr>
          <w:rFonts w:ascii="Arial" w:hAnsi="Arial" w:eastAsia="Arial" w:cs="Arial"/>
          <w:color w:val="000000"/>
        </w:rPr>
        <w:t xml:space="preserve">Poderá ser aplicada ao responsável a sanção de declaração de inidoneidade para licitar ou contratar, em decorrência da prática das infrações dispostas nos itens </w:t>
      </w:r>
      <w:r>
        <w:rPr>
          <w:rFonts w:ascii="Arial" w:hAnsi="Arial" w:eastAsia="Arial" w:cs="Arial"/>
          <w:b/>
          <w:color w:val="000000"/>
          <w:u w:val="single"/>
        </w:rPr>
        <w:t xml:space="preserve">34.1.4, 34.1.5, 34.1.6, 34.1.7, e 34.1.8,</w:t>
      </w:r>
      <w:r>
        <w:rPr>
          <w:rFonts w:ascii="Arial" w:hAnsi="Arial" w:eastAsia="Arial" w:cs="Arial"/>
          <w:color w:val="000000"/>
        </w:rPr>
        <w:t xml:space="preserve"> bem como pelas infrações administrativas previstas nos itens </w:t>
      </w:r>
      <w:r>
        <w:rPr>
          <w:rFonts w:ascii="Arial" w:hAnsi="Arial" w:eastAsia="Arial" w:cs="Arial"/>
          <w:b/>
          <w:color w:val="000000"/>
          <w:u w:val="single"/>
        </w:rPr>
        <w:t xml:space="preserve">34.1.1, 34.1.2, e 34.1.3</w:t>
      </w:r>
      <w:r>
        <w:rPr>
          <w:rFonts w:ascii="Arial" w:hAnsi="Arial" w:eastAsia="Arial" w:cs="Arial"/>
          <w:color w:val="000000"/>
        </w:rPr>
        <w:t xml:space="preserve">, que justifiquem a imposição de penalidade mais grave que a sanção de impedimento de licitar e contratar, cuja duração observará o prazo previsto no </w:t>
      </w:r>
      <w:hyperlink r:id="rId37" w:tooltip="http://www.planalto.gov.br/ccivil_03/_ato2019-2022/2021/lei/L14133.htm#art156§5" w:anchor="art156§5" w:history="1">
        <w:r>
          <w:rPr>
            <w:rStyle w:val="994"/>
            <w:rFonts w:ascii="Arial" w:hAnsi="Arial" w:eastAsia="Arial" w:cs="Arial"/>
            <w:color w:val="000000"/>
          </w:rPr>
          <w:t xml:space="preserve">art. 156, §5º, da Lei n.º 14.133/2021</w:t>
        </w:r>
      </w:hyperlink>
      <w:r>
        <w:rPr>
          <w:rFonts w:ascii="Arial" w:hAnsi="Arial" w:eastAsia="Arial" w:cs="Arial"/>
          <w:color w:val="000000"/>
        </w:rPr>
        <w:t xml:space="preserve">.</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Bdr/>
        <w:spacing/>
        <w:ind/>
        <w:jc w:val="both"/>
        <w:rPr>
          <w:rFonts w:ascii="Arial" w:hAnsi="Arial" w:eastAsia="Arial" w:cs="Arial"/>
          <w:color w:val="000000"/>
          <w14:ligatures w14:val="none"/>
        </w:rPr>
      </w:pPr>
      <w:r>
        <w:rPr>
          <w:rFonts w:ascii="Arial" w:hAnsi="Arial" w:eastAsia="Arial" w:cs="Arial"/>
          <w:b/>
          <w:color w:val="000000"/>
        </w:rPr>
        <w:t xml:space="preserve">34.9. </w:t>
      </w:r>
      <w:r>
        <w:rPr>
          <w:rFonts w:ascii="Arial" w:hAnsi="Arial" w:eastAsia="Arial" w:cs="Arial"/>
          <w:color w:val="000000"/>
        </w:rPr>
        <w:t xml:space="preserve">A recusa injustificada do adjudicatário em assinar a Ata de Registro de Preços ou o contrato no prazo estabelecido caracterizará descumprimento da obrigação assumida e poderá ensejar a aplicação das sanções administrativas cabíveis, observado o contraditór</w:t>
      </w:r>
      <w:r>
        <w:rPr>
          <w:rFonts w:ascii="Arial" w:hAnsi="Arial" w:eastAsia="Arial" w:cs="Arial"/>
          <w:color w:val="000000"/>
        </w:rPr>
        <w:t xml:space="preserve">io e a ampla defesa.</w:t>
      </w:r>
      <w:r>
        <w:rPr>
          <w:rFonts w:ascii="Arial" w:hAnsi="Arial" w:eastAsia="Arial" w:cs="Arial"/>
          <w:color w:val="000000"/>
        </w:rPr>
      </w:r>
      <w:r>
        <w:rPr>
          <w:rFonts w:ascii="Arial" w:hAnsi="Arial" w:eastAsia="Arial" w:cs="Arial"/>
          <w:color w:val="000000"/>
          <w14:ligatures w14:val="none"/>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34.10. </w:t>
      </w:r>
      <w:r>
        <w:rPr>
          <w:rFonts w:ascii="Arial" w:hAnsi="Arial" w:eastAsia="Arial" w:cs="Arial"/>
          <w:color w:val="000000"/>
        </w:rPr>
        <w:t xml:space="preserve">A apuração de </w:t>
      </w:r>
      <w:r>
        <w:rPr>
          <w:rFonts w:ascii="Arial" w:hAnsi="Arial" w:eastAsia="Arial" w:cs="Arial"/>
          <w:color w:val="000000"/>
        </w:rPr>
        <w:t xml:space="preserve">responsabilidade relacionadas às sanções de impedimento de licitar e contratar e de declaração de inidoneidade para licitar ou contratar demandará a instauração de processo de responsabilização a ser conduzido por comissão composta por 2 (dois) ou mais ser</w:t>
      </w:r>
      <w:r>
        <w:rPr>
          <w:rFonts w:ascii="Arial" w:hAnsi="Arial" w:eastAsia="Arial" w:cs="Arial"/>
          <w:color w:val="000000"/>
        </w:rPr>
        <w:t xml:space="preserve">vidores estáveis, que avaliará fatos e circunstâncias conhecidos e intimará o licitante ou o adjudicatário para, no prazo de 15 (quinze) dias úteis, contado da data de sua intimação, apresentar defesa escrita e especificar as provas que pretenda produzir. </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34.11. </w:t>
      </w:r>
      <w:r>
        <w:rPr>
          <w:rFonts w:ascii="Arial" w:hAnsi="Arial" w:eastAsia="Arial" w:cs="Arial"/>
          <w:color w:val="000000"/>
        </w:rPr>
        <w:t xml:space="preserve">Caberá recurso no prazo de 15 (quinze) dias úteis da aplicação das sanções de advertência, multa e impedimento de licitar e contratar, contado da data da intimação, o qual será dirigido à autoridade que tiver profer</w:t>
      </w:r>
      <w:r>
        <w:rPr>
          <w:rFonts w:ascii="Arial" w:hAnsi="Arial" w:eastAsia="Arial" w:cs="Arial"/>
          <w:color w:val="000000"/>
        </w:rPr>
        <w:t xml:space="preserve">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34.12. </w:t>
      </w:r>
      <w:r>
        <w:rPr>
          <w:rFonts w:ascii="Arial" w:hAnsi="Arial" w:eastAsia="Arial" w:cs="Arial"/>
          <w:color w:val="000000"/>
        </w:rPr>
        <w:t xml:space="preserve">Caberá a apresentaç</w:t>
      </w:r>
      <w:r>
        <w:rPr>
          <w:rFonts w:ascii="Arial" w:hAnsi="Arial" w:eastAsia="Arial" w:cs="Arial"/>
          <w:color w:val="000000"/>
        </w:rPr>
        <w:t xml:space="preserve">ão de pedido de reconsideração da aplicação da sanção de declaração de inidoneidade para licitar ou contratar no prazo de 15 (quinze) dias úteis, contado da data da intimação, e decidido no prazo máximo de 20 (vinte) dias úteis, contado do seu recebimento.</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34.13. </w:t>
      </w:r>
      <w:r>
        <w:rPr>
          <w:rFonts w:ascii="Arial" w:hAnsi="Arial" w:eastAsia="Arial" w:cs="Arial"/>
          <w:color w:val="000000"/>
        </w:rPr>
        <w:t xml:space="preserve">O recurso e o pedido de reconsideração terão efeito suspensivo do ato ou da decisão recorrida até que sobrevenha decisão final da autoridade competente.</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34.14. </w:t>
      </w:r>
      <w:r>
        <w:rPr>
          <w:rFonts w:ascii="Arial" w:hAnsi="Arial" w:eastAsia="Arial" w:cs="Arial"/>
          <w:color w:val="000000"/>
        </w:rPr>
        <w:t xml:space="preserve">A aplicação das sanções previstas neste edital não exclui, em hipótese alguma, a obrigação de reparação integral dos danos causados.</w:t>
      </w:r>
      <w:r>
        <w:rPr>
          <w:rFonts w:ascii="Arial" w:hAnsi="Arial" w:cs="Arial"/>
        </w:rPr>
      </w:r>
      <w:r>
        <w:rPr>
          <w:rFonts w:ascii="Arial" w:hAnsi="Arial" w:cs="Arial"/>
        </w:rPr>
      </w:r>
    </w:p>
    <w:p>
      <w:pPr>
        <w:pStyle w:val="887"/>
        <w:pBdr/>
        <w:spacing/>
        <w:ind/>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numPr>
          <w:ilvl w:val="0"/>
          <w:numId w:val="0"/>
        </w:numPr>
        <w:pBdr/>
        <w:spacing/>
        <w:ind/>
        <w:jc w:val="both"/>
        <w:outlineLvl w:val="0"/>
        <w:rPr>
          <w:rFonts w:ascii="Arial" w:hAnsi="Arial" w:cs="Arial"/>
          <w:b/>
          <w:bCs/>
          <w:color w:val="000000"/>
        </w:rPr>
      </w:pPr>
      <w:r/>
      <w:bookmarkStart w:id="97" w:name="_Toc34"/>
      <w:r>
        <w:rPr>
          <w:rFonts w:ascii="Arial" w:hAnsi="Arial" w:eastAsia="Arial" w:cs="Arial"/>
          <w:b/>
          <w:bCs/>
          <w:color w:val="000000"/>
        </w:rPr>
        <w:t xml:space="preserve">35.</w:t>
      </w:r>
      <w:r>
        <w:rPr>
          <w:rFonts w:ascii="Arial" w:hAnsi="Arial" w:eastAsia="Arial" w:cs="Arial"/>
          <w:b/>
          <w:color w:val="000000"/>
        </w:rPr>
        <w:t xml:space="preserve">  DA IMPUGNAÇÃO AO EDITAL E DO PEDIDO DE ESCLARECIMENTO</w:t>
      </w:r>
      <w:r>
        <w:rPr>
          <w:rFonts w:ascii="Arial" w:hAnsi="Arial" w:eastAsia="Arial" w:cs="Arial"/>
          <w:b/>
          <w:bCs/>
          <w:color w:val="000000"/>
        </w:rPr>
        <w:t xml:space="preserve">:</w:t>
      </w:r>
      <w:bookmarkEnd w:id="97"/>
      <w:r>
        <w:rPr>
          <w:rFonts w:ascii="Arial" w:hAnsi="Arial" w:cs="Arial"/>
          <w:b/>
          <w:bCs/>
          <w:color w:val="000000"/>
        </w:rPr>
      </w:r>
      <w:r>
        <w:rPr>
          <w:rFonts w:ascii="Arial" w:hAnsi="Arial" w:cs="Arial"/>
          <w:b/>
          <w:bCs/>
          <w:color w:val="000000"/>
        </w:rPr>
      </w:r>
    </w:p>
    <w:p>
      <w:pPr>
        <w:pStyle w:val="887"/>
        <w:pBdr/>
        <w:spacing/>
        <w:ind/>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35.1.</w:t>
      </w:r>
      <w:r>
        <w:rPr>
          <w:rFonts w:ascii="Arial" w:hAnsi="Arial" w:eastAsia="Arial" w:cs="Arial"/>
          <w:color w:val="000000"/>
        </w:rPr>
        <w:t xml:space="preserve"> Qualquer pessoa é parte legítima para impugnar edital de licitação por irregularidade na aplicação da Lei ou para solicitar esclarecimento sobre os seus termos, devendo protocolar o pedido exclusivamente na plataforma eletrônica </w:t>
      </w:r>
      <w:hyperlink r:id="rId38" w:tooltip="mailto:bllcompras.com" w:history="1">
        <w:r>
          <w:rPr>
            <w:rStyle w:val="994"/>
            <w:rFonts w:ascii="Arial" w:hAnsi="Arial" w:eastAsia="Arial" w:cs="Arial"/>
            <w:b/>
            <w:color w:val="000000"/>
          </w:rPr>
          <w:t xml:space="preserve">bllcompras.com</w:t>
        </w:r>
      </w:hyperlink>
      <w:r>
        <w:rPr>
          <w:rFonts w:ascii="Arial" w:hAnsi="Arial" w:eastAsia="Arial" w:cs="Arial"/>
          <w:b/>
          <w:color w:val="000000"/>
        </w:rPr>
        <w:t xml:space="preserve"> </w:t>
      </w:r>
      <w:r>
        <w:rPr>
          <w:rFonts w:ascii="Arial" w:hAnsi="Arial" w:eastAsia="Arial" w:cs="Arial"/>
          <w:color w:val="000000"/>
        </w:rPr>
        <w:t xml:space="preserve">até 3 (três) dias úteis antes da data de abertura do certame. (Art. 164 da Lei 14.133, de 2021).</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35.2.</w:t>
      </w:r>
      <w:r>
        <w:rPr>
          <w:rFonts w:ascii="Arial" w:hAnsi="Arial" w:eastAsia="Arial" w:cs="Arial"/>
          <w:color w:val="000000"/>
        </w:rPr>
        <w:t xml:space="preserve"> A resposta à impugnação ou ao pedido de esclarecimento será divulgado no </w:t>
      </w:r>
      <w:r>
        <w:rPr>
          <w:rFonts w:ascii="Arial" w:hAnsi="Arial" w:eastAsia="Arial" w:cs="Arial"/>
          <w:b/>
          <w:color w:val="000000"/>
        </w:rPr>
        <w:t xml:space="preserve">site bllcompras.com</w:t>
      </w:r>
      <w:r>
        <w:rPr>
          <w:rFonts w:ascii="Arial" w:hAnsi="Arial" w:eastAsia="Arial" w:cs="Arial"/>
          <w:color w:val="000000"/>
        </w:rPr>
        <w:t xml:space="preserve">, no campo “</w:t>
      </w:r>
      <w:r>
        <w:rPr>
          <w:rFonts w:ascii="Arial" w:hAnsi="Arial" w:eastAsia="Arial" w:cs="Arial"/>
          <w:b/>
          <w:color w:val="000000"/>
        </w:rPr>
        <w:t xml:space="preserve">DOCUMENTOS</w:t>
      </w:r>
      <w:r>
        <w:rPr>
          <w:rFonts w:ascii="Arial" w:hAnsi="Arial" w:eastAsia="Arial" w:cs="Arial"/>
          <w:color w:val="000000"/>
        </w:rPr>
        <w:t xml:space="preserve">”, no link correspondente a este Edital, no prazo de até 3 (três) dias úteis, limitado ao último dia útil anterior à data da abertura do certame.</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35.3.</w:t>
      </w:r>
      <w:r>
        <w:rPr>
          <w:rFonts w:ascii="Arial" w:hAnsi="Arial" w:eastAsia="Arial" w:cs="Arial"/>
          <w:color w:val="000000"/>
        </w:rPr>
        <w:t xml:space="preserve"> Na contagem dos prazos estabelecidos neste Edital e seus Anexos, excluir-se-á o dia do início e incluir-se-á o dia do vencimento. Só se iniciam e vencem os prazos em dias de expediente na Administração.</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color w:val="000000"/>
        </w:rPr>
      </w:pPr>
      <w:r>
        <w:rPr>
          <w:rFonts w:ascii="Arial" w:hAnsi="Arial" w:eastAsia="Arial" w:cs="Arial"/>
          <w:b/>
          <w:color w:val="000000"/>
        </w:rPr>
        <w:t xml:space="preserve">35.3.1.</w:t>
      </w:r>
      <w:r>
        <w:rPr>
          <w:rFonts w:ascii="Arial" w:hAnsi="Arial" w:eastAsia="Arial" w:cs="Arial"/>
          <w:color w:val="000000"/>
        </w:rPr>
        <w:t xml:space="preserve"> A contagem dos prazos para impugnar ou solicitar esclarecimento ao edital se dará da seguinte forma: o referido prazo será contado de trás para a frente, </w:t>
      </w:r>
      <w:r>
        <w:rPr>
          <w:rFonts w:ascii="Arial" w:hAnsi="Arial" w:eastAsia="Arial" w:cs="Arial"/>
          <w:color w:val="000000"/>
          <w:u w:val="single"/>
        </w:rPr>
        <w:t xml:space="preserve">o dia do início será o da sessão pública</w:t>
      </w:r>
      <w:r>
        <w:rPr>
          <w:rFonts w:ascii="Arial" w:hAnsi="Arial" w:eastAsia="Arial" w:cs="Arial"/>
          <w:color w:val="000000"/>
        </w:rPr>
        <w:t xml:space="preserve">, portanto, </w:t>
      </w:r>
      <w:r>
        <w:rPr>
          <w:rFonts w:ascii="Arial" w:hAnsi="Arial" w:eastAsia="Arial" w:cs="Arial"/>
          <w:color w:val="000000"/>
          <w:u w:val="single"/>
        </w:rPr>
        <w:t xml:space="preserve">exclui-se da contagem</w:t>
      </w:r>
      <w:r>
        <w:rPr>
          <w:rFonts w:ascii="Arial" w:hAnsi="Arial" w:eastAsia="Arial" w:cs="Arial"/>
          <w:color w:val="000000"/>
        </w:rPr>
        <w:t xml:space="preserve">, e </w:t>
      </w:r>
      <w:r>
        <w:rPr>
          <w:rFonts w:ascii="Arial" w:hAnsi="Arial" w:eastAsia="Arial" w:cs="Arial"/>
          <w:color w:val="000000"/>
          <w:u w:val="single"/>
        </w:rPr>
        <w:t xml:space="preserve">inclui-se o dia do vencimento</w:t>
      </w:r>
      <w:r>
        <w:rPr>
          <w:rFonts w:ascii="Arial" w:hAnsi="Arial" w:eastAsia="Arial" w:cs="Arial"/>
          <w:color w:val="000000"/>
        </w:rPr>
        <w:t xml:space="preserve">. Exemplo: uma licitação com sessão marcada para </w:t>
      </w:r>
      <w:r>
        <w:rPr>
          <w:rFonts w:ascii="Arial" w:hAnsi="Arial" w:eastAsia="Arial" w:cs="Arial"/>
          <w:b/>
          <w:color w:val="000000"/>
          <w:u w:val="single"/>
        </w:rPr>
        <w:t xml:space="preserve">sexta-feira</w:t>
      </w:r>
      <w:r>
        <w:rPr>
          <w:rFonts w:ascii="Arial" w:hAnsi="Arial" w:eastAsia="Arial" w:cs="Arial"/>
          <w:color w:val="000000"/>
        </w:rPr>
        <w:t xml:space="preserve"> o dia limite para impugnar ou pedir esclarecimento será na </w:t>
      </w:r>
      <w:r>
        <w:rPr>
          <w:rFonts w:ascii="Arial" w:hAnsi="Arial" w:eastAsia="Arial" w:cs="Arial"/>
          <w:b/>
          <w:color w:val="000000"/>
          <w:u w:val="single"/>
        </w:rPr>
        <w:t xml:space="preserve">terça feira</w:t>
      </w:r>
      <w:r>
        <w:rPr>
          <w:rFonts w:ascii="Arial" w:hAnsi="Arial" w:eastAsia="Arial" w:cs="Arial"/>
          <w:color w:val="000000"/>
        </w:rPr>
        <w:t xml:space="preserve">, considerando uma semana de expediente ininterrupto na Administração.</w:t>
      </w:r>
      <w:r>
        <w:rPr>
          <w:rFonts w:ascii="Arial" w:hAnsi="Arial" w:cs="Arial"/>
          <w:color w:val="000000"/>
        </w:rPr>
      </w:r>
      <w:r>
        <w:rPr>
          <w:rFonts w:ascii="Arial" w:hAnsi="Arial" w:cs="Arial"/>
          <w:color w:val="000000"/>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35.3.2. </w:t>
      </w:r>
      <w:r>
        <w:rPr>
          <w:rFonts w:ascii="Arial" w:hAnsi="Arial" w:eastAsia="Arial" w:cs="Arial"/>
          <w:color w:val="000000"/>
        </w:rPr>
        <w:t xml:space="preserve">Os pedidos de impugnações e esclarecimentos solicitados fora do prazo estabelecido neste edital não serão reconhecidos.</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35.4.</w:t>
      </w:r>
      <w:r>
        <w:rPr>
          <w:rFonts w:ascii="Arial" w:hAnsi="Arial" w:eastAsia="Arial" w:cs="Arial"/>
          <w:color w:val="000000"/>
        </w:rPr>
        <w:t xml:space="preserve">  As impugnações e pedidos de esclarecimentos não suspendem os prazos previstos no certame.</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35.5.</w:t>
      </w:r>
      <w:r>
        <w:rPr>
          <w:rFonts w:ascii="Arial" w:hAnsi="Arial" w:eastAsia="Arial" w:cs="Arial"/>
          <w:color w:val="000000"/>
        </w:rPr>
        <w:t xml:space="preserve">  A concessão de efeito suspensivo à impugnação é medida excepcional e deverá ser motivada pelo agente de contratação, nos autos do processo de licitação.</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35.6.</w:t>
      </w:r>
      <w:r>
        <w:rPr>
          <w:rFonts w:ascii="Arial" w:hAnsi="Arial" w:eastAsia="Arial" w:cs="Arial"/>
          <w:color w:val="000000"/>
        </w:rPr>
        <w:t xml:space="preserve">  Acolhida a impugnação, será definida e publicada nova data para a realização do certame.</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35.7.</w:t>
      </w:r>
      <w:r>
        <w:rPr>
          <w:rFonts w:ascii="Arial" w:hAnsi="Arial" w:eastAsia="Arial" w:cs="Arial"/>
          <w:color w:val="000000"/>
        </w:rPr>
        <w:t xml:space="preserve"> A impugnação não impede a impugnante de participar do processo licitatório até o trânsito em julgado da decisão a ela pertinente. </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Bdr/>
        <w:spacing/>
        <w:ind/>
        <w:jc w:val="both"/>
        <w:rPr>
          <w:rFonts w:ascii="Arial" w:hAnsi="Arial" w:eastAsia="Arial" w:cs="Arial"/>
          <w:color w:val="000000"/>
          <w14:ligatures w14:val="none"/>
        </w:rPr>
      </w:pPr>
      <w:r>
        <w:rPr>
          <w:rFonts w:ascii="Arial" w:hAnsi="Arial" w:eastAsia="Arial" w:cs="Arial"/>
          <w:b/>
          <w:color w:val="000000"/>
        </w:rPr>
        <w:t xml:space="preserve">35.8.</w:t>
      </w:r>
      <w:r>
        <w:rPr>
          <w:rFonts w:ascii="Arial" w:hAnsi="Arial" w:eastAsia="Arial" w:cs="Arial"/>
          <w:color w:val="000000"/>
        </w:rPr>
        <w:t xml:space="preserve"> </w:t>
      </w:r>
      <w:r>
        <w:rPr>
          <w:rFonts w:ascii="Arial" w:hAnsi="Arial" w:eastAsia="Arial" w:cs="Arial"/>
          <w:color w:val="000000"/>
        </w:rPr>
        <w:t xml:space="preserve">O exercício do direito de impugnação ou de solicitação de esclarecimento não ensejará penalidade ao interessado, ressalvada a prática comprovada de conduta ilícita especificamente tipificada na legislação aplicável, mediante procedimento próprio, assegurad</w:t>
      </w:r>
      <w:r>
        <w:rPr>
          <w:rFonts w:ascii="Arial" w:hAnsi="Arial" w:eastAsia="Arial" w:cs="Arial"/>
          <w:color w:val="000000"/>
        </w:rPr>
        <w:t xml:space="preserve">os o contraditório e a ampla defesa.</w:t>
      </w:r>
      <w:r>
        <w:rPr>
          <w:rFonts w:ascii="Arial" w:hAnsi="Arial" w:eastAsia="Arial" w:cs="Arial"/>
          <w:color w:val="000000"/>
        </w:rPr>
      </w:r>
      <w:r>
        <w:rPr>
          <w:rFonts w:ascii="Arial" w:hAnsi="Arial" w:eastAsia="Arial" w:cs="Arial"/>
          <w:color w:val="000000"/>
          <w14:ligatures w14:val="none"/>
        </w:rPr>
      </w:r>
    </w:p>
    <w:p>
      <w:pPr>
        <w:pStyle w:val="887"/>
        <w:pBdr/>
        <w:spacing/>
        <w:ind/>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numPr>
          <w:ilvl w:val="0"/>
          <w:numId w:val="0"/>
        </w:numPr>
        <w:pBdr/>
        <w:spacing/>
        <w:ind/>
        <w:jc w:val="both"/>
        <w:outlineLvl w:val="0"/>
        <w:rPr>
          <w:rFonts w:ascii="Arial" w:hAnsi="Arial" w:cs="Arial"/>
          <w:b/>
          <w:bCs/>
          <w:color w:val="000000"/>
        </w:rPr>
      </w:pPr>
      <w:r/>
      <w:bookmarkStart w:id="98" w:name="_Toc35"/>
      <w:r>
        <w:rPr>
          <w:rFonts w:ascii="Arial" w:hAnsi="Arial" w:eastAsia="Arial" w:cs="Arial"/>
          <w:b/>
          <w:bCs/>
          <w:color w:val="000000"/>
        </w:rPr>
        <w:t xml:space="preserve">36.</w:t>
      </w:r>
      <w:r>
        <w:rPr>
          <w:rFonts w:ascii="Arial" w:hAnsi="Arial" w:eastAsia="Arial" w:cs="Arial"/>
          <w:b/>
          <w:color w:val="000000"/>
        </w:rPr>
        <w:t xml:space="preserve"> DAS DISPOSIÇÕES GERAIS</w:t>
      </w:r>
      <w:r>
        <w:rPr>
          <w:rFonts w:ascii="Arial" w:hAnsi="Arial" w:eastAsia="Arial" w:cs="Arial"/>
          <w:b/>
          <w:bCs/>
          <w:color w:val="000000"/>
        </w:rPr>
        <w:t xml:space="preserve">:</w:t>
      </w:r>
      <w:bookmarkEnd w:id="98"/>
      <w:r>
        <w:rPr>
          <w:rFonts w:ascii="Arial" w:hAnsi="Arial" w:cs="Arial"/>
          <w:b/>
          <w:bCs/>
          <w:color w:val="000000"/>
        </w:rPr>
      </w:r>
      <w:r>
        <w:rPr>
          <w:rFonts w:ascii="Arial" w:hAnsi="Arial" w:cs="Arial"/>
          <w:b/>
          <w:bCs/>
          <w:color w:val="000000"/>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color w:val="000000"/>
        </w:rPr>
      </w:pPr>
      <w:r>
        <w:rPr>
          <w:rFonts w:ascii="Arial" w:hAnsi="Arial" w:eastAsia="Arial" w:cs="Arial"/>
          <w:b/>
          <w:color w:val="000000"/>
        </w:rPr>
        <w:t xml:space="preserve">36.1.</w:t>
      </w:r>
      <w:r>
        <w:rPr>
          <w:rFonts w:ascii="Arial" w:hAnsi="Arial" w:eastAsia="Arial" w:cs="Arial"/>
          <w:color w:val="000000"/>
        </w:rPr>
        <w:t xml:space="preserve"> Os licitantes assumem todos os custos de preparação e apresentação de suas propostas e a Administração não será, em nenhum caso, responsável por esses custos, independentemente da condução ou do resultado do processo licitatório.</w:t>
      </w:r>
      <w:r>
        <w:rPr>
          <w:rFonts w:ascii="Arial" w:hAnsi="Arial" w:cs="Arial"/>
          <w:color w:val="000000"/>
        </w:rPr>
      </w:r>
      <w:r>
        <w:rPr>
          <w:rFonts w:ascii="Arial" w:hAnsi="Arial" w:cs="Arial"/>
          <w:color w:val="000000"/>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36.2.</w:t>
      </w:r>
      <w:r>
        <w:rPr>
          <w:rFonts w:ascii="Arial" w:hAnsi="Arial" w:eastAsia="Arial" w:cs="Arial"/>
          <w:color w:val="000000"/>
        </w:rPr>
        <w:t xml:space="preserve"> O desatendimento de exigências formais não essenciais não importará o afastamento do licitante, desde que seja possível o aproveitamento do ato, observados os princípios da isonomia e do interesse público.</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36.3.</w:t>
      </w:r>
      <w:r>
        <w:rPr>
          <w:rFonts w:ascii="Arial" w:hAnsi="Arial" w:eastAsia="Arial" w:cs="Arial"/>
          <w:color w:val="000000"/>
        </w:rPr>
        <w:t xml:space="preserve"> A sessão pública poderá ser suspensa, por prazo a ser definido na própria sessão, para a análise prévia proposta ou de documento exigidos para habilitação que se fizer necessário. </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36.3.1.</w:t>
      </w:r>
      <w:r>
        <w:rPr>
          <w:rFonts w:ascii="Arial" w:hAnsi="Arial" w:eastAsia="Arial" w:cs="Arial"/>
          <w:color w:val="000000"/>
        </w:rPr>
        <w:t xml:space="preserve"> Todos e quaisquer avisos pertinentes ao certame, </w:t>
      </w:r>
      <w:r>
        <w:rPr>
          <w:rFonts w:ascii="Arial" w:hAnsi="Arial" w:eastAsia="Arial" w:cs="Arial"/>
          <w:b/>
          <w:color w:val="000000"/>
        </w:rPr>
        <w:t xml:space="preserve">adendos, esclarecimentos, impugnações, </w:t>
      </w:r>
      <w:r>
        <w:rPr>
          <w:rFonts w:ascii="Arial" w:hAnsi="Arial" w:eastAsia="Arial" w:cs="Arial"/>
          <w:color w:val="000000"/>
        </w:rPr>
        <w:t xml:space="preserve">farão parte do instrumento convocatório, suspensão em decorrência de horário de expediente ou fatos supervenientes, serão postados no chat e/ou anexados no campo “</w:t>
      </w:r>
      <w:r>
        <w:rPr>
          <w:rFonts w:ascii="Arial" w:hAnsi="Arial" w:eastAsia="Arial" w:cs="Arial"/>
          <w:b/>
          <w:color w:val="000000"/>
        </w:rPr>
        <w:t xml:space="preserve">DOCUMENTO</w:t>
      </w:r>
      <w:r>
        <w:rPr>
          <w:rFonts w:ascii="Arial" w:hAnsi="Arial" w:eastAsia="Arial" w:cs="Arial"/>
          <w:color w:val="000000"/>
        </w:rPr>
        <w:t xml:space="preserve">” no sistema </w:t>
      </w:r>
      <w:hyperlink r:id="rId39" w:tooltip="http://bllcompras.com/" w:history="1">
        <w:r>
          <w:rPr>
            <w:rStyle w:val="994"/>
            <w:rFonts w:ascii="Arial" w:hAnsi="Arial" w:eastAsia="Arial" w:cs="Arial"/>
            <w:b/>
            <w:color w:val="000000"/>
          </w:rPr>
          <w:t xml:space="preserve">bllcompras.com</w:t>
        </w:r>
      </w:hyperlink>
      <w:r>
        <w:rPr>
          <w:rFonts w:ascii="Arial" w:hAnsi="Arial" w:eastAsia="Arial" w:cs="Arial"/>
          <w:color w:val="000000"/>
        </w:rPr>
        <w:t xml:space="preserve">, sendo de inteira responsabilidade o acompanhamento por parte do licitante. Não podendo o licitante alegar desconhecimento da informação, sob pena de decair seus direitos. </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36.4.</w:t>
      </w:r>
      <w:r>
        <w:rPr>
          <w:rFonts w:ascii="Arial" w:hAnsi="Arial" w:eastAsia="Arial" w:cs="Arial"/>
          <w:color w:val="000000"/>
        </w:rPr>
        <w:t xml:space="preserve"> Não havendo expediente ou ocorrendo qualquer fato sup</w:t>
      </w:r>
      <w:r>
        <w:rPr>
          <w:rFonts w:ascii="Arial" w:hAnsi="Arial" w:eastAsia="Arial" w:cs="Arial"/>
          <w:color w:val="000000"/>
        </w:rPr>
        <w:t xml:space="preserve">erveniente que impeça a realização do certame na data marcada, a sessão será automaticamente transferida para o primeiro dia útil subseqüente, no mesmo horário e local, anteriormente estabelecidos, desde que não haja comunicação do Pregoeiro em contrário. </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36.5.</w:t>
      </w:r>
      <w:r>
        <w:rPr>
          <w:rFonts w:ascii="Arial" w:hAnsi="Arial" w:eastAsia="Arial" w:cs="Arial"/>
          <w:color w:val="000000"/>
        </w:rPr>
        <w:t xml:space="preserve"> Os licitantes deverão examinar detidamente as dispo</w:t>
      </w:r>
      <w:r>
        <w:rPr>
          <w:rFonts w:ascii="Arial" w:hAnsi="Arial" w:eastAsia="Arial" w:cs="Arial"/>
          <w:color w:val="000000"/>
        </w:rPr>
        <w:t xml:space="preserve">sições contidas neste Edital e em seus Anexos, pois a simples apresentação das propostas subentende a aceitação incondicional de seus termos, independentemente de transcrição, não sendo aceitas quaisquer alegações de desconhecimento de qualquer por menor. </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Bdr/>
        <w:spacing/>
        <w:ind/>
        <w:jc w:val="both"/>
        <w:rPr>
          <w:rFonts w:ascii="Arial" w:hAnsi="Arial" w:eastAsia="Arial" w:cs="Arial"/>
          <w:color w:val="000000"/>
          <w14:ligatures w14:val="none"/>
        </w:rPr>
      </w:pPr>
      <w:r>
        <w:rPr>
          <w:rFonts w:ascii="Arial" w:hAnsi="Arial" w:eastAsia="Arial" w:cs="Arial"/>
          <w:b/>
          <w:color w:val="000000"/>
        </w:rPr>
        <w:t xml:space="preserve">36.6.</w:t>
      </w:r>
      <w:r>
        <w:rPr>
          <w:rFonts w:ascii="Arial" w:hAnsi="Arial" w:eastAsia="Arial" w:cs="Arial"/>
          <w:color w:val="000000"/>
        </w:rPr>
        <w:t xml:space="preserve"> </w:t>
      </w:r>
      <w:r>
        <w:rPr>
          <w:rFonts w:ascii="Arial" w:hAnsi="Arial" w:eastAsia="Arial" w:cs="Arial"/>
          <w:color w:val="000000"/>
        </w:rPr>
        <w:t xml:space="preserve">É facultado ao Pregoeiro ou à autoridade competente, em qualquer fase da licitação, promover diligência destinada a esclarecer, complementar ou sanear informações ou documentos apresentados, inclusive mediante comprovação de condição ou fato preexistente à</w:t>
      </w:r>
      <w:r>
        <w:rPr>
          <w:rFonts w:ascii="Arial" w:hAnsi="Arial" w:eastAsia="Arial" w:cs="Arial"/>
          <w:color w:val="000000"/>
        </w:rPr>
        <w:t xml:space="preserve"> abertura do certame, vedada a criação posterior de requisito material que não estivesse atendido na data própria.</w:t>
      </w:r>
      <w:r>
        <w:rPr>
          <w:rFonts w:ascii="Arial" w:hAnsi="Arial" w:eastAsia="Arial" w:cs="Arial"/>
          <w:color w:val="000000"/>
        </w:rPr>
      </w:r>
      <w:r>
        <w:rPr>
          <w:rFonts w:ascii="Arial" w:hAnsi="Arial" w:eastAsia="Arial" w:cs="Arial"/>
          <w:color w:val="000000"/>
          <w14:ligatures w14:val="none"/>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36.7.</w:t>
      </w:r>
      <w:r>
        <w:rPr>
          <w:rFonts w:ascii="Arial" w:hAnsi="Arial" w:eastAsia="Arial" w:cs="Arial"/>
          <w:color w:val="000000"/>
        </w:rPr>
        <w:t xml:space="preserve"> A Autoridade co</w:t>
      </w:r>
      <w:r>
        <w:rPr>
          <w:rFonts w:ascii="Arial" w:hAnsi="Arial" w:eastAsia="Arial" w:cs="Arial"/>
          <w:color w:val="000000"/>
        </w:rPr>
        <w:t xml:space="preserve">mpetente poderá cancelar a licitação por fato superveniente devidamente comprovado, pertinente e suficiente para justificar tal conduta, devendo anulá-la por ilegalidade, de ofício ou por provocação de qualquer pessoa, mediante ato escrito e fundamentado. </w:t>
      </w:r>
      <w:r>
        <w:rPr>
          <w:rFonts w:ascii="Arial" w:hAnsi="Arial" w:cs="Arial"/>
        </w:rPr>
      </w:r>
      <w:r>
        <w:rPr>
          <w:rFonts w:ascii="Arial" w:hAnsi="Arial" w:cs="Arial"/>
        </w:rPr>
      </w:r>
    </w:p>
    <w:p>
      <w:pPr>
        <w:pStyle w:val="887"/>
        <w:pBdr/>
        <w:spacing/>
        <w:ind w:left="28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color w:val="000000"/>
        </w:rPr>
      </w:pPr>
      <w:r>
        <w:rPr>
          <w:rFonts w:ascii="Arial" w:hAnsi="Arial" w:eastAsia="Arial" w:cs="Arial"/>
          <w:b/>
          <w:color w:val="000000"/>
        </w:rPr>
        <w:t xml:space="preserve">36.7.1.</w:t>
      </w:r>
      <w:r>
        <w:rPr>
          <w:rFonts w:ascii="Arial" w:hAnsi="Arial" w:eastAsia="Arial" w:cs="Arial"/>
          <w:color w:val="000000"/>
        </w:rPr>
        <w:t xml:space="preserve"> A anulação do procedimento licitatório induz a anulação do contrato.</w:t>
      </w:r>
      <w:r>
        <w:rPr>
          <w:rFonts w:ascii="Arial" w:hAnsi="Arial" w:cs="Arial"/>
          <w:color w:val="000000"/>
        </w:rPr>
      </w:r>
      <w:r>
        <w:rPr>
          <w:rFonts w:ascii="Arial" w:hAnsi="Arial" w:cs="Arial"/>
          <w:color w:val="000000"/>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36.7.2.</w:t>
      </w:r>
      <w:r>
        <w:rPr>
          <w:rFonts w:ascii="Arial" w:hAnsi="Arial" w:eastAsia="Arial" w:cs="Arial"/>
          <w:color w:val="000000"/>
        </w:rPr>
        <w:t xml:space="preserve"> Os licitantes não terão direito à indenização em decorrência da anulação do procedimento licitatório, ressalvado o direito do contratado de boa-fé de ser ressarcido pelos encargos que tiver suportado no cumprimento das obrigações. </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36.8.</w:t>
      </w:r>
      <w:r>
        <w:rPr>
          <w:rFonts w:ascii="Arial" w:hAnsi="Arial" w:eastAsia="Arial" w:cs="Arial"/>
          <w:color w:val="000000"/>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36.9.</w:t>
      </w:r>
      <w:r>
        <w:rPr>
          <w:rFonts w:ascii="Arial" w:hAnsi="Arial" w:eastAsia="Arial" w:cs="Arial"/>
          <w:color w:val="000000"/>
        </w:rPr>
        <w:t xml:space="preserve"> A homologação do resultado desta licitação não implicará direito à contratação. </w:t>
      </w:r>
      <w:r>
        <w:rPr>
          <w:rFonts w:ascii="Arial" w:hAnsi="Arial" w:cs="Arial"/>
        </w:rPr>
      </w:r>
      <w:r>
        <w:rPr>
          <w:rFonts w:ascii="Arial" w:hAnsi="Arial" w:cs="Arial"/>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36.10.</w:t>
      </w:r>
      <w:r>
        <w:rPr>
          <w:rFonts w:ascii="Arial" w:hAnsi="Arial" w:eastAsia="Arial" w:cs="Arial"/>
          <w:color w:val="000000"/>
        </w:rPr>
        <w:t xml:space="preserve"> É de inteira responsabilidade do licitante o acompanhamento no </w:t>
      </w:r>
      <w:r>
        <w:rPr>
          <w:rFonts w:ascii="Arial" w:hAnsi="Arial" w:eastAsia="Arial" w:cs="Arial"/>
          <w:b/>
          <w:color w:val="000000"/>
        </w:rPr>
        <w:t xml:space="preserve">site bllcompras.com</w:t>
      </w:r>
      <w:r>
        <w:rPr>
          <w:rFonts w:ascii="Arial" w:hAnsi="Arial" w:eastAsia="Arial" w:cs="Arial"/>
          <w:color w:val="000000"/>
        </w:rPr>
        <w:t xml:space="preserve"> quanto a sua classificação/desclassificação/inabilitação, ficando responsável pelo ônus decorrente da perda de negócios diante da inobservância e cumprimento do prazo. </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Bdr/>
        <w:spacing/>
        <w:ind/>
        <w:jc w:val="both"/>
        <w:rPr>
          <w:rFonts w:ascii="Arial" w:hAnsi="Arial" w:eastAsia="Arial" w:cs="Arial"/>
          <w:color w:val="000000"/>
          <w14:ligatures w14:val="none"/>
        </w:rPr>
      </w:pPr>
      <w:r>
        <w:rPr>
          <w:rFonts w:ascii="Arial" w:hAnsi="Arial" w:eastAsia="Arial" w:cs="Arial"/>
          <w:b/>
          <w:color w:val="000000"/>
        </w:rPr>
        <w:t xml:space="preserve">36.11.</w:t>
      </w:r>
      <w:r>
        <w:rPr>
          <w:rFonts w:ascii="Arial" w:hAnsi="Arial" w:eastAsia="Arial" w:cs="Arial"/>
          <w:color w:val="000000"/>
        </w:rPr>
        <w:t xml:space="preserve"> </w:t>
      </w:r>
      <w:r>
        <w:rPr>
          <w:rFonts w:ascii="Arial" w:hAnsi="Arial" w:eastAsia="Arial" w:cs="Arial"/>
          <w:color w:val="000000"/>
        </w:rPr>
        <w:t xml:space="preserve">A desclassificação da proposta ou inabilitação do licitante somente ocorrerá nas hipóteses previstas neste Edital e na legislação aplicável, quando verificada desconformidade material ou falha insanável que comprometa o atendimento ao objeto, à habilitação</w:t>
      </w:r>
      <w:r>
        <w:rPr>
          <w:rFonts w:ascii="Arial" w:hAnsi="Arial" w:eastAsia="Arial" w:cs="Arial"/>
          <w:color w:val="000000"/>
        </w:rPr>
        <w:t xml:space="preserve">, à isonomia ou à segurança da contratação, observadas as possibilidades legais de diligência e saneamento.</w:t>
      </w:r>
      <w:r>
        <w:rPr>
          <w:rFonts w:ascii="Arial" w:hAnsi="Arial" w:eastAsia="Arial" w:cs="Arial"/>
          <w:color w:val="000000"/>
        </w:rPr>
      </w:r>
      <w:r>
        <w:rPr>
          <w:rFonts w:ascii="Arial" w:hAnsi="Arial" w:eastAsia="Arial" w:cs="Arial"/>
          <w:color w:val="000000"/>
          <w14:ligatures w14:val="none"/>
        </w:rPr>
      </w:r>
    </w:p>
    <w:p>
      <w:pPr>
        <w:pStyle w:val="887"/>
        <w:pBdr/>
        <w:spacing/>
        <w:ind w:left="284"/>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36.12.</w:t>
      </w:r>
      <w:r>
        <w:rPr>
          <w:rFonts w:ascii="Arial" w:hAnsi="Arial" w:eastAsia="Arial" w:cs="Arial"/>
          <w:color w:val="000000"/>
        </w:rPr>
        <w:t xml:space="preserve"> O Edital está disponível, na íntegra, </w:t>
      </w:r>
      <w:r>
        <w:rPr>
          <w:rFonts w:ascii="Arial" w:hAnsi="Arial" w:eastAsia="Arial" w:cs="Arial"/>
          <w:b/>
          <w:color w:val="000000"/>
        </w:rPr>
        <w:t xml:space="preserve">no endereço eletrônico BLL: bllcompras.com; </w:t>
      </w:r>
      <w:hyperlink r:id="rId40" w:tooltip="http://www.rondonopolis.mt.gov.br/" w:history="1">
        <w:r>
          <w:rPr>
            <w:rStyle w:val="994"/>
            <w:rFonts w:ascii="Arial" w:hAnsi="Arial" w:eastAsia="Arial" w:cs="Arial"/>
            <w:b/>
            <w:color w:val="000000"/>
          </w:rPr>
          <w:t xml:space="preserve">www.rondonopolis.mt.gov.br</w:t>
        </w:r>
      </w:hyperlink>
      <w:r>
        <w:rPr>
          <w:rFonts w:ascii="Arial" w:hAnsi="Arial" w:eastAsia="Arial" w:cs="Arial"/>
          <w:color w:val="000000"/>
        </w:rPr>
        <w:t xml:space="preserve">, e também poderão ser lidos e/ou obtidos em dias úteis, no endereço e horário indicado no preambulo deste edital; no mesmo endereço e período no qual os autos do processo administrativo permanecerão com vista franqueada aos interessados.</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36.13.</w:t>
      </w:r>
      <w:r>
        <w:rPr>
          <w:rFonts w:ascii="Arial" w:hAnsi="Arial" w:eastAsia="Arial" w:cs="Arial"/>
          <w:color w:val="000000"/>
        </w:rPr>
        <w:t xml:space="preserve"> Alternativamente à convocação para comparecer perante o órgão ou entidade para a assinatura da Ata </w:t>
      </w:r>
      <w:r>
        <w:rPr>
          <w:rFonts w:ascii="Arial" w:hAnsi="Arial" w:eastAsia="Arial" w:cs="Arial"/>
          <w:color w:val="000000"/>
        </w:rPr>
        <w:t xml:space="preserve">de Registro de Preços e Contrato, a Administração poderá encaminhá-la para assinatura, mediante correspondência postal com aviso de recebimento (AR) ou meio eletrônico, para que seja assinada no prazo de 5 (cinco) dias, a contar da data de seu recebimento;</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36.14.</w:t>
      </w:r>
      <w:r>
        <w:rPr>
          <w:rFonts w:ascii="Arial" w:hAnsi="Arial" w:eastAsia="Arial" w:cs="Arial"/>
          <w:color w:val="000000"/>
        </w:rPr>
        <w:t xml:space="preserve"> Para dirimir as questões oriundas do presente Edital, não resolvidas na esfera administrativa, é competente o Foro da Comarca de Rondonópolis, por mais privilegiado que outro seja.</w:t>
      </w:r>
      <w:r>
        <w:rPr>
          <w:rFonts w:ascii="Arial" w:hAnsi="Arial" w:cs="Arial"/>
        </w:rPr>
      </w:r>
      <w:r>
        <w:rPr>
          <w:rFonts w:ascii="Arial" w:hAnsi="Arial" w:cs="Arial"/>
        </w:rPr>
      </w:r>
    </w:p>
    <w:p>
      <w:pPr>
        <w:pStyle w:val="887"/>
        <w:pBdr/>
        <w:spacing/>
        <w:ind/>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numPr>
          <w:ilvl w:val="0"/>
          <w:numId w:val="0"/>
        </w:numPr>
        <w:pBdr/>
        <w:spacing/>
        <w:ind/>
        <w:jc w:val="both"/>
        <w:outlineLvl w:val="0"/>
        <w:rPr>
          <w:rFonts w:ascii="Arial" w:hAnsi="Arial" w:cs="Arial"/>
          <w:b/>
          <w:bCs/>
          <w:color w:val="000000"/>
        </w:rPr>
      </w:pPr>
      <w:r/>
      <w:bookmarkStart w:id="99" w:name="_Toc36"/>
      <w:r>
        <w:rPr>
          <w:rFonts w:ascii="Arial" w:hAnsi="Arial" w:eastAsia="Arial" w:cs="Arial"/>
          <w:b/>
          <w:bCs/>
          <w:color w:val="000000"/>
        </w:rPr>
        <w:t xml:space="preserve">37.</w:t>
      </w:r>
      <w:r>
        <w:rPr>
          <w:rFonts w:ascii="Arial" w:hAnsi="Arial" w:eastAsia="Arial" w:cs="Arial"/>
          <w:b/>
          <w:color w:val="000000"/>
        </w:rPr>
        <w:t xml:space="preserve"> </w:t>
      </w:r>
      <w:r>
        <w:rPr>
          <w:rFonts w:ascii="Arial" w:hAnsi="Arial" w:eastAsia="Arial" w:cs="Arial"/>
          <w:b/>
        </w:rPr>
        <w:t xml:space="preserve"> INTEGRAM ESTE EDITAL, PARA TODOS OS FINS E EFEITOS, OS SEGUINTES ANEXOS</w:t>
      </w:r>
      <w:r>
        <w:rPr>
          <w:rFonts w:ascii="Arial" w:hAnsi="Arial" w:eastAsia="Arial" w:cs="Arial"/>
          <w:b/>
          <w:bCs/>
          <w:color w:val="000000"/>
        </w:rPr>
        <w:t xml:space="preserve">:</w:t>
      </w:r>
      <w:bookmarkEnd w:id="99"/>
      <w:r>
        <w:rPr>
          <w:rFonts w:ascii="Arial" w:hAnsi="Arial" w:cs="Arial"/>
          <w:b/>
          <w:bCs/>
          <w:color w:val="000000"/>
        </w:rPr>
      </w:r>
      <w:r>
        <w:rPr>
          <w:rFonts w:ascii="Arial" w:hAnsi="Arial" w:cs="Arial"/>
          <w:b/>
          <w:bCs/>
          <w:color w:val="000000"/>
        </w:rPr>
      </w:r>
    </w:p>
    <w:p>
      <w:pPr>
        <w:pStyle w:val="887"/>
        <w:pBdr/>
        <w:spacing/>
        <w:ind/>
        <w:jc w:val="both"/>
        <w:rPr>
          <w:rFonts w:ascii="Arial" w:hAnsi="Arial" w:cs="Arial"/>
          <w:b/>
          <w:bCs/>
        </w:rPr>
      </w:pPr>
      <w:r>
        <w:rPr>
          <w:rFonts w:ascii="Arial" w:hAnsi="Arial" w:eastAsia="Arial" w:cs="Arial"/>
          <w:b/>
          <w:bCs/>
        </w:rPr>
        <w:t xml:space="preserve">37.1. ANEXO I – TERMO DE REFERÊNCIA; </w:t>
      </w:r>
      <w:r>
        <w:rPr>
          <w:rFonts w:ascii="Arial" w:hAnsi="Arial" w:cs="Arial"/>
          <w:b/>
          <w:bCs/>
        </w:rPr>
      </w:r>
      <w:r>
        <w:rPr>
          <w:rFonts w:ascii="Arial" w:hAnsi="Arial" w:cs="Arial"/>
          <w:b/>
          <w:bCs/>
        </w:rPr>
      </w:r>
    </w:p>
    <w:p>
      <w:pPr>
        <w:pStyle w:val="887"/>
        <w:pBdr/>
        <w:spacing/>
        <w:ind/>
        <w:jc w:val="both"/>
        <w:rPr>
          <w:rFonts w:ascii="Arial" w:hAnsi="Arial" w:cs="Arial"/>
          <w:b/>
          <w:bCs/>
        </w:rPr>
      </w:pPr>
      <w:r>
        <w:rPr>
          <w:rFonts w:ascii="Arial" w:hAnsi="Arial" w:eastAsia="Arial" w:cs="Arial"/>
          <w:b/>
          <w:bCs/>
        </w:rPr>
        <w:t xml:space="preserve">37.2. ANEXO II – MINUTA DA ATA DE REGISTRO DE PREÇOS;</w:t>
      </w:r>
      <w:r>
        <w:rPr>
          <w:rFonts w:ascii="Arial" w:hAnsi="Arial" w:cs="Arial"/>
          <w:b/>
          <w:bCs/>
        </w:rPr>
      </w:r>
      <w:r>
        <w:rPr>
          <w:rFonts w:ascii="Arial" w:hAnsi="Arial" w:cs="Arial"/>
          <w:b/>
          <w:bCs/>
        </w:rPr>
      </w:r>
    </w:p>
    <w:p>
      <w:pPr>
        <w:pStyle w:val="887"/>
        <w:pBdr/>
        <w:spacing/>
        <w:ind/>
        <w:jc w:val="both"/>
        <w:rPr>
          <w:rFonts w:ascii="Arial" w:hAnsi="Arial" w:cs="Arial"/>
          <w:b/>
          <w:bCs/>
        </w:rPr>
      </w:pPr>
      <w:r>
        <w:rPr>
          <w:rFonts w:ascii="Arial" w:hAnsi="Arial" w:eastAsia="Arial" w:cs="Arial"/>
          <w:b/>
          <w:bCs/>
        </w:rPr>
        <w:t xml:space="preserve">37.3. ANEXO III – MINUTA DO CONTRATO;</w:t>
      </w:r>
      <w:r>
        <w:rPr>
          <w:rFonts w:ascii="Arial" w:hAnsi="Arial" w:cs="Arial"/>
          <w:b/>
          <w:bCs/>
        </w:rPr>
      </w:r>
      <w:r>
        <w:rPr>
          <w:rFonts w:ascii="Arial" w:hAnsi="Arial" w:cs="Arial"/>
          <w:b/>
          <w:bCs/>
        </w:rPr>
      </w:r>
    </w:p>
    <w:p>
      <w:pPr>
        <w:pStyle w:val="887"/>
        <w:pBdr/>
        <w:spacing/>
        <w:ind/>
        <w:jc w:val="both"/>
        <w:rPr>
          <w:rFonts w:ascii="Arial" w:hAnsi="Arial" w:cs="Arial"/>
          <w:b/>
          <w:bCs/>
        </w:rPr>
      </w:pPr>
      <w:r>
        <w:rPr>
          <w:rFonts w:ascii="Arial" w:hAnsi="Arial" w:eastAsia="Arial" w:cs="Arial"/>
          <w:b/>
          <w:bCs/>
        </w:rPr>
        <w:t xml:space="preserve">37.4. ANEXO IV – MODELO DE PROPOSTA COMERCIAL;</w:t>
      </w:r>
      <w:r>
        <w:rPr>
          <w:rFonts w:ascii="Arial" w:hAnsi="Arial" w:cs="Arial"/>
          <w:b/>
          <w:bCs/>
        </w:rPr>
      </w:r>
      <w:r>
        <w:rPr>
          <w:rFonts w:ascii="Arial" w:hAnsi="Arial" w:cs="Arial"/>
          <w:b/>
          <w:bCs/>
        </w:rPr>
      </w:r>
    </w:p>
    <w:p>
      <w:pPr>
        <w:pStyle w:val="887"/>
        <w:pBdr/>
        <w:spacing/>
        <w:ind/>
        <w:jc w:val="both"/>
        <w:rPr>
          <w:rFonts w:ascii="Arial" w:hAnsi="Arial" w:cs="Arial"/>
          <w:b/>
          <w:bCs/>
        </w:rPr>
      </w:pPr>
      <w:r>
        <w:rPr>
          <w:rFonts w:ascii="Arial" w:hAnsi="Arial" w:eastAsia="Arial" w:cs="Arial"/>
          <w:b/>
          <w:bCs/>
        </w:rPr>
        <w:t xml:space="preserve">37.5. ANEXO V – MODELO CREDENCIAMENTO E COMPROVAÇÕES COMPLEMENTARES ESPECIAIS;</w:t>
      </w:r>
      <w:r>
        <w:rPr>
          <w:rFonts w:ascii="Arial" w:hAnsi="Arial" w:cs="Arial"/>
          <w:b/>
          <w:bCs/>
        </w:rPr>
      </w:r>
      <w:r>
        <w:rPr>
          <w:rFonts w:ascii="Arial" w:hAnsi="Arial" w:cs="Arial"/>
          <w:b/>
          <w:bCs/>
        </w:rPr>
      </w:r>
    </w:p>
    <w:p>
      <w:pPr>
        <w:pStyle w:val="887"/>
        <w:pBdr/>
        <w:spacing/>
        <w:ind/>
        <w:jc w:val="both"/>
        <w:rPr>
          <w:rFonts w:ascii="Arial" w:hAnsi="Arial" w:cs="Arial"/>
          <w:b/>
          <w:bCs/>
        </w:rPr>
      </w:pPr>
      <w:r>
        <w:rPr>
          <w:rFonts w:ascii="Arial" w:hAnsi="Arial" w:eastAsia="Arial" w:cs="Arial"/>
          <w:b/>
          <w:bCs/>
        </w:rPr>
        <w:t xml:space="preserve">37.6. ANEXO VI – FICHA DE ATUALIZAÇÃO CADASTRAL.</w:t>
      </w:r>
      <w:r>
        <w:rPr>
          <w:rFonts w:ascii="Arial" w:hAnsi="Arial" w:cs="Arial"/>
          <w:b/>
          <w:bCs/>
        </w:rPr>
      </w:r>
      <w:r>
        <w:rPr>
          <w:rFonts w:ascii="Arial" w:hAnsi="Arial" w:cs="Arial"/>
          <w:b/>
          <w:bCs/>
        </w:rPr>
      </w:r>
    </w:p>
    <w:p>
      <w:pPr>
        <w:pStyle w:val="887"/>
        <w:pBdr/>
        <w:spacing/>
        <w:ind/>
        <w:jc w:val="both"/>
        <w:rPr>
          <w:rFonts w:ascii="Arial" w:hAnsi="Arial" w:cs="Arial"/>
          <w:b/>
          <w:bCs/>
        </w:rPr>
      </w:pPr>
      <w:r>
        <w:rPr>
          <w:rFonts w:ascii="Arial" w:hAnsi="Arial" w:eastAsia="Arial" w:cs="Arial"/>
          <w:b/>
          <w:bCs/>
        </w:rPr>
        <w:t xml:space="preserve">37.7. ANEXO VII - ANEXO FORMAÇÃO DE PREÇOS, FORMULÁRIO PADRÃO DA P.M.R;</w:t>
      </w:r>
      <w:r>
        <w:rPr>
          <w:rFonts w:ascii="Arial" w:hAnsi="Arial" w:cs="Arial"/>
          <w:b/>
          <w:bCs/>
        </w:rPr>
      </w:r>
      <w:r>
        <w:rPr>
          <w:rFonts w:ascii="Arial" w:hAnsi="Arial" w:cs="Arial"/>
          <w:b/>
          <w:bCs/>
        </w:rPr>
      </w:r>
    </w:p>
    <w:p w14:paraId="12D702D6">
      <w:pPr>
        <w:pStyle w:val="887"/>
        <w:pBdr/>
        <w:spacing/>
        <w:ind/>
        <w:jc w:val="right"/>
        <w:rPr>
          <w:rFonts w:ascii="Arial" w:hAnsi="Arial" w:cs="Arial"/>
          <w:highlight w:val="none"/>
        </w:rPr>
      </w:pPr>
      <w:r>
        <w:rPr>
          <w:rFonts w:ascii="Arial" w:hAnsi="Arial" w:eastAsia="Arial" w:cs="Arial"/>
          <w:highlight w:val="none"/>
        </w:rPr>
      </w:r>
      <w:r>
        <w:rPr>
          <w:rFonts w:ascii="Arial" w:hAnsi="Arial" w:cs="Arial"/>
          <w:highlight w:val="none"/>
        </w:rPr>
      </w:r>
      <w:r>
        <w:rPr>
          <w:rFonts w:ascii="Arial" w:hAnsi="Arial" w:cs="Arial"/>
          <w:highlight w:val="none"/>
        </w:rPr>
      </w:r>
    </w:p>
    <w:p>
      <w:pPr>
        <w:pStyle w:val="887"/>
        <w:pBdr/>
        <w:spacing/>
        <w:ind/>
        <w:jc w:val="right"/>
        <w:rPr>
          <w:rFonts w:ascii="Arial" w:hAnsi="Arial" w:cs="Arial"/>
          <w:highlight w:val="none"/>
        </w:rPr>
      </w:pPr>
      <w:r>
        <w:rPr>
          <w:rFonts w:ascii="Arial" w:hAnsi="Arial" w:eastAsia="Arial" w:cs="Arial"/>
        </w:rPr>
        <w:t xml:space="preserve">Rondonópolis-MT., 09 de Setembro de 2026. </w:t>
      </w:r>
      <w:r>
        <w:rPr>
          <w:rFonts w:ascii="Arial" w:hAnsi="Arial" w:cs="Arial"/>
          <w:highlight w:val="none"/>
        </w:rPr>
      </w:r>
      <w:r>
        <w:rPr>
          <w:rFonts w:ascii="Arial" w:hAnsi="Arial" w:cs="Arial"/>
          <w:highlight w:val="none"/>
        </w:rPr>
      </w:r>
    </w:p>
    <w:p w14:paraId="05124D2B">
      <w:pPr>
        <w:pStyle w:val="887"/>
        <w:pBdr/>
        <w:tabs>
          <w:tab w:val="clear" w:leader="none" w:pos="708"/>
          <w:tab w:val="right" w:leader="none" w:pos="9072"/>
        </w:tabs>
        <w:spacing/>
        <w:ind/>
        <w:jc w:val="center"/>
        <w:rPr>
          <w:rFonts w:ascii="Arial" w:hAnsi="Arial" w:cs="Arial"/>
          <w:b/>
          <w:bCs/>
        </w:rPr>
      </w:pPr>
      <w:r>
        <w:rPr>
          <w:rFonts w:ascii="Arial" w:hAnsi="Arial" w:cs="Arial"/>
          <w:b/>
          <w:bCs/>
        </w:rPr>
      </w:r>
      <w:r>
        <w:rPr>
          <w:rFonts w:ascii="Arial" w:hAnsi="Arial" w:cs="Arial"/>
          <w:b/>
          <w:bCs/>
        </w:rPr>
      </w:r>
      <w:r>
        <w:rPr>
          <w:rFonts w:ascii="Arial" w:hAnsi="Arial" w:cs="Arial"/>
          <w:b/>
          <w:bCs/>
        </w:rPr>
      </w:r>
    </w:p>
    <w:p>
      <w:pPr>
        <w:pStyle w:val="887"/>
        <w:pBdr/>
        <w:tabs>
          <w:tab w:val="clear" w:leader="none" w:pos="708"/>
          <w:tab w:val="right" w:leader="none" w:pos="9072"/>
        </w:tabs>
        <w:spacing/>
        <w:ind/>
        <w:jc w:val="center"/>
        <w:rPr>
          <w:rFonts w:ascii="Arial" w:hAnsi="Arial" w:cs="Arial"/>
          <w:b/>
          <w:bCs/>
        </w:rPr>
      </w:pPr>
      <w:r>
        <w:rPr>
          <w:rFonts w:ascii="Arial" w:hAnsi="Arial" w:eastAsia="Arial" w:cs="Arial"/>
          <w:b/>
        </w:rPr>
      </w:r>
      <w:r>
        <w:rPr>
          <w:rFonts w:ascii="Arial" w:hAnsi="Arial" w:cs="Arial"/>
          <w:b/>
          <w:bCs/>
        </w:rPr>
      </w:r>
      <w:r>
        <w:rPr>
          <w:rFonts w:ascii="Arial" w:hAnsi="Arial" w:cs="Arial"/>
          <w:b/>
          <w:bCs/>
        </w:rPr>
      </w:r>
    </w:p>
    <w:p>
      <w:pPr>
        <w:pStyle w:val="887"/>
        <w:pBdr/>
        <w:spacing/>
        <w:ind/>
        <w:jc w:val="center"/>
        <w:rPr>
          <w:rFonts w:ascii="Arial" w:hAnsi="Arial" w:cs="Arial"/>
          <w:b/>
          <w:bCs/>
          <w:sz w:val="22"/>
          <w:szCs w:val="22"/>
        </w:rPr>
      </w:pPr>
      <w:r>
        <w:rPr>
          <w:rFonts w:ascii="Arial" w:hAnsi="Arial" w:eastAsia="Arial" w:cs="Arial"/>
          <w:b/>
          <w:bCs/>
          <w:sz w:val="22"/>
          <w:szCs w:val="22"/>
        </w:rPr>
        <w:t xml:space="preserve">RAFAELLY PRISCILA REZENDE DE ALMEIDA</w:t>
      </w:r>
      <w:r>
        <w:rPr>
          <w:rFonts w:ascii="Arial" w:hAnsi="Arial" w:cs="Arial"/>
          <w:b/>
          <w:bCs/>
          <w:sz w:val="22"/>
          <w:szCs w:val="22"/>
        </w:rPr>
      </w:r>
      <w:r>
        <w:rPr>
          <w:rFonts w:ascii="Arial" w:hAnsi="Arial" w:cs="Arial"/>
          <w:b/>
          <w:bCs/>
          <w:sz w:val="22"/>
          <w:szCs w:val="22"/>
        </w:rPr>
      </w:r>
    </w:p>
    <w:p>
      <w:pPr>
        <w:pStyle w:val="887"/>
        <w:pBdr/>
        <w:tabs>
          <w:tab w:val="clear" w:leader="none" w:pos="708"/>
          <w:tab w:val="right" w:leader="none" w:pos="9072"/>
        </w:tabs>
        <w:spacing/>
        <w:ind/>
        <w:jc w:val="center"/>
        <w:rPr>
          <w:rFonts w:ascii="Arial" w:hAnsi="Arial" w:cs="Arial"/>
        </w:rPr>
      </w:pPr>
      <w:r>
        <w:rPr>
          <w:rFonts w:ascii="Arial" w:hAnsi="Arial" w:eastAsia="Arial" w:cs="Arial"/>
        </w:rPr>
        <w:t xml:space="preserve">Superintendente do Departamento de Compras e Licitações</w:t>
      </w:r>
      <w:r>
        <w:rPr>
          <w:rFonts w:ascii="Arial" w:hAnsi="Arial" w:cs="Arial"/>
        </w:rPr>
      </w:r>
      <w:r>
        <w:rPr>
          <w:rFonts w:ascii="Arial" w:hAnsi="Arial" w:cs="Arial"/>
        </w:rPr>
      </w:r>
    </w:p>
    <w:p>
      <w:pPr>
        <w:pStyle w:val="887"/>
        <w:pBdr/>
        <w:tabs>
          <w:tab w:val="clear" w:leader="none" w:pos="708"/>
          <w:tab w:val="right" w:leader="none" w:pos="9072"/>
        </w:tabs>
        <w:spacing/>
        <w:ind/>
        <w:jc w:val="center"/>
        <w:rPr>
          <w:rFonts w:ascii="Arial" w:hAnsi="Arial" w:cs="Arial"/>
        </w:rPr>
      </w:pPr>
      <w:r>
        <w:rPr>
          <w:rFonts w:ascii="Arial" w:hAnsi="Arial" w:eastAsia="Arial" w:cs="Arial"/>
        </w:rPr>
        <w:t xml:space="preserve">Email: </w:t>
      </w:r>
      <w:hyperlink r:id="rId41" w:tooltip="mailto:pmrroo@hotmail.com" w:history="1">
        <w:r>
          <w:rPr>
            <w:rStyle w:val="994"/>
            <w:rFonts w:ascii="Arial" w:hAnsi="Arial" w:eastAsia="Arial" w:cs="Arial"/>
            <w:b/>
          </w:rPr>
          <w:t xml:space="preserve">pmrroo@hotmail.com</w:t>
        </w:r>
      </w:hyperlink>
      <w:r>
        <w:rPr>
          <w:rFonts w:ascii="Arial" w:hAnsi="Arial" w:cs="Arial"/>
        </w:rPr>
      </w:r>
      <w:r>
        <w:rPr>
          <w:rFonts w:ascii="Arial" w:hAnsi="Arial" w:cs="Arial"/>
        </w:rPr>
      </w:r>
    </w:p>
    <w:p>
      <w:pPr>
        <w:pStyle w:val="888"/>
        <w:pBdr/>
        <w:spacing w:after="0" w:before="0"/>
        <w:ind/>
        <w:rPr>
          <w:rFonts w:ascii="Arial" w:hAnsi="Arial" w:cs="Arial"/>
          <w:b w:val="0"/>
          <w:bCs w:val="0"/>
          <w:sz w:val="20"/>
          <w:szCs w:val="20"/>
        </w:rPr>
      </w:pPr>
      <w:r/>
      <w:bookmarkStart w:id="100" w:name="_Toc37"/>
      <w:r>
        <w:rPr>
          <w:rFonts w:ascii="Arial" w:hAnsi="Arial" w:eastAsia="Arial" w:cs="Arial"/>
          <w:b w:val="0"/>
          <w:bCs w:val="0"/>
          <w:sz w:val="20"/>
          <w:szCs w:val="20"/>
        </w:rPr>
        <w:t xml:space="preserve">ANEXO I: TERMO DE REFERÊNCIA.</w:t>
      </w:r>
      <w:bookmarkEnd w:id="100"/>
      <w:r>
        <w:rPr>
          <w:rFonts w:ascii="Arial" w:hAnsi="Arial" w:cs="Arial"/>
          <w:b w:val="0"/>
          <w:bCs w:val="0"/>
          <w:sz w:val="20"/>
          <w:szCs w:val="20"/>
        </w:rPr>
      </w:r>
      <w:r>
        <w:rPr>
          <w:rFonts w:ascii="Arial" w:hAnsi="Arial" w:cs="Arial"/>
          <w:b w:val="0"/>
          <w:bCs w:val="0"/>
          <w:sz w:val="20"/>
          <w:szCs w:val="20"/>
        </w:rPr>
      </w:r>
    </w:p>
    <w:p w14:paraId="0CD08DDE">
      <w:pPr>
        <w:pStyle w:val="887"/>
        <w:pBdr/>
        <w:spacing/>
        <w:ind/>
        <w:jc w:val="both"/>
        <w:rPr>
          <w:rFonts w:ascii="Arial" w:hAnsi="Arial" w:cs="Arial"/>
        </w:rPr>
      </w:pPr>
      <w:r>
        <w:rPr>
          <w:rFonts w:ascii="Arial" w:hAnsi="Arial" w:eastAsia="Arial" w:cs="Arial"/>
          <w:lang w:val="pt-BR"/>
        </w:rPr>
      </w:r>
      <w:r>
        <w:rPr>
          <w:rFonts w:ascii="Arial" w:hAnsi="Arial" w:cs="Arial"/>
        </w:rPr>
      </w:r>
      <w:r>
        <w:rPr>
          <w:rFonts w:ascii="Arial" w:hAnsi="Arial" w:cs="Arial"/>
        </w:rPr>
      </w:r>
    </w:p>
    <w:p w14:paraId="1BD9FB8E">
      <w:pPr>
        <w:pBdr/>
        <w:spacing/>
        <w:ind/>
        <w:jc w:val="both"/>
        <w:rPr>
          <w:rFonts w:ascii="Arial" w:hAnsi="Arial" w:cs="Arial"/>
          <w:highlight w:val="none"/>
        </w:rPr>
      </w:pPr>
      <w:r>
        <w:rPr>
          <w:rFonts w:ascii="Arial" w:hAnsi="Arial" w:eastAsia="Arial" w:cs="Arial"/>
          <w:b/>
          <w:bCs/>
          <w:highlight w:val="none"/>
        </w:rPr>
        <w:t xml:space="preserve">UNIDADE REQUISITANTE:</w:t>
      </w:r>
      <w:r>
        <w:rPr>
          <w:rFonts w:ascii="Arial" w:hAnsi="Arial" w:eastAsia="Arial" w:cs="Arial"/>
          <w:highlight w:val="none"/>
        </w:rPr>
        <w:t xml:space="preserve"> SECRETARIA MUNICIPAL DE SAÚDE</w:t>
      </w:r>
      <w:r>
        <w:rPr>
          <w:rFonts w:ascii="Arial" w:hAnsi="Arial" w:cs="Arial"/>
          <w:highlight w:val="none"/>
        </w:rPr>
      </w:r>
      <w:r>
        <w:rPr>
          <w:rFonts w:ascii="Arial" w:hAnsi="Arial" w:cs="Arial"/>
          <w:highlight w:val="none"/>
        </w:rPr>
      </w:r>
    </w:p>
    <w:p w14:paraId="63F38079">
      <w:pPr>
        <w:pBdr/>
        <w:spacing/>
        <w:ind/>
        <w:jc w:val="both"/>
        <w:rPr>
          <w:rFonts w:ascii="Arial" w:hAnsi="Arial" w:cs="Arial"/>
          <w:highlight w:val="none"/>
        </w:rPr>
      </w:pPr>
      <w:r>
        <w:rPr>
          <w:rFonts w:ascii="Arial" w:hAnsi="Arial" w:eastAsia="Arial" w:cs="Arial"/>
          <w:b/>
          <w:bCs/>
          <w:highlight w:val="none"/>
        </w:rPr>
        <w:t xml:space="preserve">RESPONSÁVEL PELA EMISSÃO:</w:t>
      </w:r>
      <w:r>
        <w:rPr>
          <w:rFonts w:ascii="Arial" w:hAnsi="Arial" w:eastAsia="Arial" w:cs="Arial"/>
          <w:b/>
          <w:bCs/>
          <w:highlight w:val="none"/>
          <w:lang w:val="pt-BR"/>
        </w:rPr>
        <w:t xml:space="preserve"> </w:t>
      </w:r>
      <w:r>
        <w:rPr>
          <w:rFonts w:ascii="Arial" w:hAnsi="Arial" w:eastAsia="Arial" w:cs="Arial"/>
          <w:b/>
          <w:bCs/>
          <w:highlight w:val="none"/>
          <w:lang w:val="pt-BR"/>
        </w:rPr>
        <w:t xml:space="preserve">FLAVIA RENATA TOLOSA DINIZ</w:t>
      </w:r>
      <w:r>
        <w:rPr>
          <w:rFonts w:ascii="Arial" w:hAnsi="Arial" w:cs="Arial"/>
          <w:highlight w:val="none"/>
        </w:rPr>
      </w:r>
      <w:r>
        <w:rPr>
          <w:rFonts w:ascii="Arial" w:hAnsi="Arial" w:cs="Arial"/>
          <w:highlight w:val="none"/>
        </w:rPr>
      </w:r>
    </w:p>
    <w:p w14:paraId="445F7E78">
      <w:pPr>
        <w:pBdr/>
        <w:spacing/>
        <w:ind/>
        <w:jc w:val="both"/>
        <w:rPr>
          <w:rFonts w:ascii="Arial" w:hAnsi="Arial" w:cs="Arial"/>
          <w:color w:val="000000"/>
          <w:highlight w:val="none"/>
        </w:rPr>
      </w:pPr>
      <w:r>
        <w:rPr>
          <w:rFonts w:ascii="Arial" w:hAnsi="Arial" w:eastAsia="Arial" w:cs="Arial"/>
          <w:color w:val="000000"/>
          <w:highlight w:val="none"/>
          <w:lang w:val="pt"/>
        </w:rPr>
      </w:r>
      <w:r>
        <w:rPr>
          <w:rFonts w:ascii="Arial" w:hAnsi="Arial" w:cs="Arial"/>
          <w:color w:val="000000"/>
          <w:highlight w:val="none"/>
        </w:rPr>
      </w:r>
      <w:r>
        <w:rPr>
          <w:rFonts w:ascii="Arial" w:hAnsi="Arial" w:cs="Arial"/>
          <w:color w:val="000000"/>
          <w:highlight w:val="none"/>
        </w:rPr>
      </w:r>
    </w:p>
    <w:p w14:paraId="2929D71D">
      <w:pPr>
        <w:pBdr/>
        <w:shd w:val="clear" w:color="auto" w:fill="cccccc"/>
        <w:spacing/>
        <w:ind/>
        <w:jc w:val="both"/>
        <w:rPr>
          <w:rFonts w:ascii="Arial" w:hAnsi="Arial" w:cs="Arial"/>
          <w:highlight w:val="none"/>
        </w:rPr>
      </w:pPr>
      <w:r>
        <w:rPr>
          <w:rFonts w:ascii="Arial" w:hAnsi="Arial" w:eastAsia="Arial" w:cs="Arial"/>
          <w:b/>
          <w:bCs/>
          <w:highlight w:val="none"/>
        </w:rPr>
        <w:t xml:space="preserve">1 – OBJETO E CONDIÇÕES GERAIS DA CONTRATAÇÃO</w:t>
      </w:r>
      <w:r>
        <w:rPr>
          <w:rFonts w:ascii="Arial" w:hAnsi="Arial" w:cs="Arial"/>
          <w:highlight w:val="none"/>
        </w:rPr>
      </w:r>
      <w:r>
        <w:rPr>
          <w:rFonts w:ascii="Arial" w:hAnsi="Arial" w:cs="Arial"/>
          <w:highlight w:val="none"/>
        </w:rPr>
      </w:r>
    </w:p>
    <w:p w14:paraId="52809B7F">
      <w:pPr>
        <w:pBdr/>
        <w:spacing/>
        <w:ind/>
        <w:jc w:val="both"/>
        <w:rPr>
          <w:rFonts w:ascii="Arial" w:hAnsi="Arial" w:cs="Arial"/>
          <w:b/>
          <w:bCs/>
          <w:highlight w:val="none"/>
        </w:rPr>
      </w:pPr>
      <w:r>
        <w:rPr>
          <w:rFonts w:ascii="Arial" w:hAnsi="Arial" w:eastAsia="Arial" w:cs="Arial"/>
          <w:b/>
          <w:bCs/>
          <w:highlight w:val="none"/>
        </w:rPr>
      </w:r>
      <w:r>
        <w:rPr>
          <w:rFonts w:ascii="Arial" w:hAnsi="Arial" w:cs="Arial"/>
          <w:b/>
          <w:bCs/>
          <w:highlight w:val="none"/>
        </w:rPr>
      </w:r>
      <w:r>
        <w:rPr>
          <w:rFonts w:ascii="Arial" w:hAnsi="Arial" w:cs="Arial"/>
          <w:b/>
          <w:bCs/>
          <w:highlight w:val="none"/>
        </w:rPr>
      </w:r>
    </w:p>
    <w:p w14:paraId="6EEEF42A">
      <w:pPr>
        <w:pBdr/>
        <w:spacing/>
        <w:ind/>
        <w:jc w:val="both"/>
        <w:rPr>
          <w:rFonts w:ascii="Arial" w:hAnsi="Arial" w:cs="Arial"/>
          <w:highlight w:val="none"/>
        </w:rPr>
      </w:pPr>
      <w:r>
        <w:rPr>
          <w:rFonts w:ascii="Arial" w:hAnsi="Arial" w:eastAsia="Arial" w:cs="Arial"/>
          <w:b/>
          <w:bCs/>
          <w:highlight w:val="none"/>
          <w:lang w:val="pt-BR"/>
        </w:rPr>
        <w:t xml:space="preserve">1.1.</w:t>
      </w:r>
      <w:r>
        <w:rPr>
          <w:rFonts w:ascii="Arial" w:hAnsi="Arial" w:eastAsia="Arial" w:cs="Arial"/>
          <w:highlight w:val="none"/>
          <w:lang w:val="pt-BR"/>
        </w:rPr>
        <w:t xml:space="preserve"> </w:t>
      </w:r>
      <w:r>
        <w:rPr>
          <w:rFonts w:ascii="Arial" w:hAnsi="Arial" w:eastAsia="Arial" w:cs="Arial"/>
          <w:highlight w:val="none"/>
        </w:rPr>
        <w:t xml:space="preserve">O presente Termo de Referência tem por objeto o </w:t>
      </w:r>
      <w:r>
        <w:rPr>
          <w:rFonts w:ascii="Arial" w:hAnsi="Arial" w:eastAsia="Arial" w:cs="Arial"/>
          <w:b/>
          <w:bCs/>
          <w:highlight w:val="none"/>
        </w:rPr>
        <w:t xml:space="preserve">REGISTRO DE PREÇOS PARA FUTURA E EVENTUAL AQUISIÇÃO DE TUBOS E AGULHAS PARA COLETA DE SANGUE A VÁCUO LABORATORIAL, DE USO CONTÍNUO</w:t>
      </w:r>
      <w:r>
        <w:rPr>
          <w:rFonts w:ascii="Arial" w:hAnsi="Arial" w:eastAsia="Arial" w:cs="Arial"/>
          <w:highlight w:val="none"/>
        </w:rPr>
        <w:t xml:space="preserve">, organizada em LOTE ÚNICO, destinada ao atendimento de todos os labora</w:t>
      </w:r>
      <w:r>
        <w:rPr>
          <w:rFonts w:ascii="Arial" w:hAnsi="Arial" w:eastAsia="Arial" w:cs="Arial"/>
          <w:highlight w:val="none"/>
        </w:rPr>
        <w:t xml:space="preserve">tórios vinculados à Secretaria Municipal de Saúde de Rondonópolis/MT, incluindo o Laboratório Central Municipal – LACEM e os laboratórios das unidades da rede municipal de saúde, conforme condições, quantidades e exigências estabelecidas neste instrumento.</w:t>
      </w:r>
      <w:r>
        <w:rPr>
          <w:rFonts w:ascii="Arial" w:hAnsi="Arial" w:eastAsia="Arial" w:cs="Arial"/>
          <w:b/>
          <w:bCs/>
          <w:highlight w:val="none"/>
          <w:lang w:val="pt-BR"/>
        </w:rPr>
        <w:t xml:space="preserve"> </w:t>
      </w:r>
      <w:r>
        <w:rPr>
          <w:rFonts w:ascii="Arial" w:hAnsi="Arial" w:eastAsia="Arial" w:cs="Arial"/>
          <w:b/>
          <w:bCs/>
          <w:highlight w:val="none"/>
          <w:lang w:val="pt-BR"/>
        </w:rPr>
        <w:t xml:space="preserve">1.1.1.</w:t>
      </w:r>
      <w:r>
        <w:rPr>
          <w:rFonts w:ascii="Arial" w:hAnsi="Arial" w:eastAsia="Arial" w:cs="Arial"/>
          <w:highlight w:val="none"/>
          <w:lang w:val="pt-BR"/>
        </w:rPr>
        <w:t xml:space="preserve"> A contratação será realizada em </w:t>
      </w:r>
      <w:r>
        <w:rPr>
          <w:rFonts w:ascii="Arial" w:hAnsi="Arial" w:eastAsia="Arial" w:cs="Arial"/>
          <w:b/>
          <w:bCs/>
          <w:highlight w:val="none"/>
          <w:lang w:val="pt-BR"/>
        </w:rPr>
        <w:t xml:space="preserve">LOTE ÚNICO</w:t>
      </w:r>
      <w:r>
        <w:rPr>
          <w:rFonts w:ascii="Arial" w:hAnsi="Arial" w:eastAsia="Arial" w:cs="Arial"/>
          <w:highlight w:val="none"/>
          <w:lang w:val="pt-BR"/>
        </w:rPr>
        <w:t xml:space="preserve">, contemplando os tubos e as agulhas destinados à coleta de s</w:t>
      </w:r>
      <w:r>
        <w:rPr>
          <w:rFonts w:ascii="Arial" w:hAnsi="Arial" w:eastAsia="Arial" w:cs="Arial"/>
          <w:highlight w:val="none"/>
          <w:lang w:val="pt-BR"/>
        </w:rPr>
        <w:t xml:space="preserve">angue a vácuo, com adjudicação pelo menor preço global do lote, sendo os itens adjudicados a um único fornecedor, responsável pelo fornecimento integral dos materiais, observadas as especificações e os quantitativos estabelecidos neste Termo de Referência.</w:t>
      </w:r>
      <w:r>
        <w:rPr>
          <w:rFonts w:ascii="Arial" w:hAnsi="Arial" w:cs="Arial"/>
          <w:highlight w:val="none"/>
        </w:rPr>
      </w:r>
      <w:r>
        <w:rPr>
          <w:rFonts w:ascii="Arial" w:hAnsi="Arial" w:cs="Arial"/>
          <w:highlight w:val="none"/>
        </w:rPr>
      </w:r>
    </w:p>
    <w:p w14:paraId="6B98F8AF">
      <w:pPr>
        <w:pBdr/>
        <w:spacing/>
        <w:ind/>
        <w:jc w:val="both"/>
        <w:rPr>
          <w:rFonts w:ascii="Arial" w:hAnsi="Arial" w:cs="Arial"/>
          <w:highlight w:val="none"/>
        </w:rPr>
      </w:pPr>
      <w:r>
        <w:rPr>
          <w:rFonts w:ascii="Arial" w:hAnsi="Arial" w:eastAsia="Arial" w:cs="Arial"/>
          <w:b/>
          <w:bCs/>
          <w:highlight w:val="none"/>
          <w:lang w:val="pt-BR"/>
        </w:rPr>
        <w:t xml:space="preserve">1.1.2.</w:t>
      </w:r>
      <w:r>
        <w:rPr>
          <w:rFonts w:ascii="Arial" w:hAnsi="Arial" w:eastAsia="Arial" w:cs="Arial"/>
          <w:highlight w:val="none"/>
          <w:lang w:val="pt-BR"/>
        </w:rPr>
        <w:t xml:space="preserve"> O fornecimento dos materiais será realizado de forma parcelada, conforme a necessidade da Administração, durante a vigência da Ata de Registro de Preços, mediante solicitação da Secretaria Municipal</w:t>
      </w:r>
      <w:r>
        <w:rPr>
          <w:rFonts w:ascii="Arial" w:hAnsi="Arial" w:eastAsia="Arial" w:cs="Arial"/>
          <w:highlight w:val="none"/>
          <w:lang w:val="pt-BR"/>
        </w:rPr>
        <w:t xml:space="preserve"> de Saúde.</w:t>
      </w:r>
      <w:r>
        <w:rPr>
          <w:rFonts w:ascii="Arial" w:hAnsi="Arial" w:cs="Arial"/>
          <w:highlight w:val="none"/>
        </w:rPr>
      </w:r>
      <w:r>
        <w:rPr>
          <w:rFonts w:ascii="Arial" w:hAnsi="Arial" w:cs="Arial"/>
          <w:highlight w:val="none"/>
        </w:rPr>
      </w:r>
    </w:p>
    <w:p w14:paraId="2293DC4F">
      <w:pPr>
        <w:pBdr/>
        <w:spacing/>
        <w:ind/>
        <w:jc w:val="both"/>
        <w:rPr>
          <w:rFonts w:ascii="Arial" w:hAnsi="Arial" w:cs="Arial"/>
          <w:highlight w:val="none"/>
        </w:rPr>
      </w:pPr>
      <w:r>
        <w:rPr>
          <w:rFonts w:ascii="Arial" w:hAnsi="Arial" w:eastAsia="Arial" w:cs="Arial"/>
          <w:highlight w:val="none"/>
        </w:rPr>
      </w:r>
      <w:r>
        <w:rPr>
          <w:rFonts w:ascii="Arial" w:hAnsi="Arial" w:cs="Arial"/>
          <w:highlight w:val="none"/>
        </w:rPr>
      </w:r>
      <w:r>
        <w:rPr>
          <w:rFonts w:ascii="Arial" w:hAnsi="Arial" w:cs="Arial"/>
          <w:highlight w:val="none"/>
        </w:rPr>
      </w:r>
    </w:p>
    <w:tbl>
      <w:tblPr>
        <w:tblInd w:w="60" w:type="dxa"/>
        <w:tblW w:w="10499" w:type="dxa"/>
        <w:tblCellMar>
          <w:left w:w="70" w:type="dxa"/>
          <w:right w:w="70" w:type="dxa"/>
        </w:tblCellMar>
        <w:tblBorders/>
        <w:tblLayout w:type="fixed"/>
        <w:tblLook w:val="04A0" w:firstRow="1" w:lastRow="0" w:firstColumn="1" w:lastColumn="0" w:noHBand="0" w:noVBand="1"/>
      </w:tblPr>
      <w:tblGrid>
        <w:gridCol w:w="474"/>
        <w:gridCol w:w="663"/>
        <w:gridCol w:w="641"/>
        <w:gridCol w:w="1843"/>
        <w:gridCol w:w="741"/>
        <w:gridCol w:w="550"/>
        <w:gridCol w:w="762"/>
        <w:gridCol w:w="788"/>
        <w:gridCol w:w="775"/>
        <w:gridCol w:w="787"/>
        <w:gridCol w:w="850"/>
        <w:gridCol w:w="850"/>
        <w:gridCol w:w="775"/>
      </w:tblGrid>
      <w:tr>
        <w:trPr>
          <w:trHeight w:val="342"/>
          <w:tblHeader/>
        </w:trPr>
        <w:tc>
          <w:tcPr>
            <w:gridSpan w:val="13"/>
            <w:shd w:val="clear" w:color="ffffff" w:fill="d9d9d9"/>
            <w:tcBorders>
              <w:top w:val="single" w:color="000000" w:sz="4" w:space="0"/>
              <w:left w:val="single" w:color="000000" w:sz="4" w:space="0"/>
              <w:bottom w:val="single" w:color="000000" w:sz="4" w:space="0"/>
              <w:right w:val="single" w:color="000000" w:sz="4" w:space="0"/>
            </w:tcBorders>
            <w:tcW w:w="10499" w:type="dxa"/>
            <w:vAlign w:val="center"/>
            <w:textDirection w:val="lrTb"/>
            <w:noWrap w:val="false"/>
          </w:tcPr>
          <w:p w14:paraId="6C8C901F">
            <w:pPr>
              <w:pBdr/>
              <w:spacing/>
              <w:ind/>
              <w:jc w:val="center"/>
              <w:rPr>
                <w:rFonts w:ascii="Arial" w:hAnsi="Arial" w:cs="Arial"/>
                <w:b/>
                <w:sz w:val="12"/>
                <w:szCs w:val="12"/>
                <w:highlight w:val="none"/>
              </w:rPr>
            </w:pPr>
            <w:r>
              <w:rPr>
                <w:rFonts w:ascii="Arial" w:hAnsi="Arial" w:eastAsia="Arial" w:cs="Arial"/>
                <w:b/>
                <w:sz w:val="12"/>
                <w:szCs w:val="12"/>
                <w:highlight w:val="none"/>
              </w:rPr>
              <w:t xml:space="preserve">LOTE UNICO </w:t>
            </w:r>
            <w:r>
              <w:rPr>
                <w:rFonts w:ascii="Arial" w:hAnsi="Arial" w:cs="Arial"/>
                <w:b/>
                <w:sz w:val="12"/>
                <w:szCs w:val="12"/>
                <w:highlight w:val="none"/>
              </w:rPr>
            </w:r>
            <w:r>
              <w:rPr>
                <w:rFonts w:ascii="Arial" w:hAnsi="Arial" w:cs="Arial"/>
                <w:b/>
                <w:sz w:val="12"/>
                <w:szCs w:val="12"/>
                <w:highlight w:val="none"/>
              </w:rPr>
            </w:r>
          </w:p>
        </w:tc>
      </w:tr>
      <w:tr>
        <w:trPr>
          <w:trHeight w:val="342"/>
          <w:tblHeader/>
        </w:trPr>
        <w:tc>
          <w:tcPr>
            <w:shd w:val="clear" w:color="ffffff" w:fill="d9d9d9"/>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14:paraId="01FE4539">
            <w:pPr>
              <w:pBdr/>
              <w:spacing/>
              <w:ind/>
              <w:jc w:val="center"/>
              <w:rPr>
                <w:rFonts w:ascii="Arial" w:hAnsi="Arial" w:cs="Arial"/>
                <w:b/>
                <w:sz w:val="12"/>
                <w:szCs w:val="12"/>
                <w:highlight w:val="none"/>
              </w:rPr>
            </w:pPr>
            <w:r>
              <w:rPr>
                <w:rFonts w:ascii="Arial" w:hAnsi="Arial" w:eastAsia="Arial" w:cs="Arial"/>
                <w:b/>
                <w:sz w:val="12"/>
                <w:szCs w:val="12"/>
                <w:highlight w:val="none"/>
              </w:rPr>
              <w:t xml:space="preserve">ITEM</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14:paraId="7097CCDC">
            <w:pPr>
              <w:pBdr/>
              <w:spacing/>
              <w:ind/>
              <w:jc w:val="center"/>
              <w:rPr>
                <w:rFonts w:ascii="Arial" w:hAnsi="Arial" w:cs="Arial"/>
                <w:b/>
                <w:sz w:val="12"/>
                <w:szCs w:val="12"/>
                <w:highlight w:val="none"/>
              </w:rPr>
            </w:pPr>
            <w:r>
              <w:rPr>
                <w:rFonts w:ascii="Arial" w:hAnsi="Arial" w:eastAsia="Arial" w:cs="Arial"/>
                <w:b/>
                <w:sz w:val="12"/>
                <w:szCs w:val="12"/>
                <w:highlight w:val="none"/>
              </w:rPr>
              <w:t xml:space="preserve">CÓDIGO AGILI</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tcBorders>
            <w:tcW w:w="641" w:type="dxa"/>
            <w:vAlign w:val="center"/>
            <w:textDirection w:val="lrTb"/>
            <w:noWrap w:val="false"/>
          </w:tcPr>
          <w:p w14:paraId="0A0EE7B3">
            <w:pPr>
              <w:pBdr/>
              <w:spacing/>
              <w:ind/>
              <w:jc w:val="center"/>
              <w:rPr>
                <w:rFonts w:ascii="Arial" w:hAnsi="Arial" w:cs="Arial"/>
                <w:b/>
                <w:sz w:val="12"/>
                <w:szCs w:val="12"/>
                <w:highlight w:val="none"/>
              </w:rPr>
            </w:pPr>
            <w:r>
              <w:rPr>
                <w:rFonts w:ascii="Arial" w:hAnsi="Arial" w:eastAsia="Arial" w:cs="Arial"/>
                <w:b/>
                <w:sz w:val="12"/>
                <w:szCs w:val="12"/>
                <w:highlight w:val="none"/>
              </w:rPr>
              <w:t xml:space="preserve">CÓDIGO TCE</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tcBorders>
            <w:tcW w:w="1843" w:type="dxa"/>
            <w:vAlign w:val="center"/>
            <w:textDirection w:val="lrTb"/>
            <w:noWrap w:val="false"/>
          </w:tcPr>
          <w:p w14:paraId="16F8A5C4">
            <w:pPr>
              <w:pBdr/>
              <w:spacing/>
              <w:ind w:left="220"/>
              <w:jc w:val="center"/>
              <w:rPr>
                <w:rFonts w:ascii="Arial" w:hAnsi="Arial" w:cs="Arial"/>
                <w:b/>
                <w:sz w:val="12"/>
                <w:szCs w:val="12"/>
                <w:highlight w:val="none"/>
              </w:rPr>
            </w:pPr>
            <w:r>
              <w:rPr>
                <w:rFonts w:ascii="Arial" w:hAnsi="Arial" w:eastAsia="Arial" w:cs="Arial"/>
                <w:b/>
                <w:sz w:val="12"/>
                <w:szCs w:val="12"/>
                <w:highlight w:val="none"/>
              </w:rPr>
              <w:t xml:space="preserve">DESCRIÇÃO</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14:paraId="22ED7CEB">
            <w:pPr>
              <w:pBdr/>
              <w:spacing/>
              <w:ind/>
              <w:jc w:val="center"/>
              <w:rPr>
                <w:rFonts w:ascii="Arial" w:hAnsi="Arial" w:cs="Arial"/>
                <w:b/>
                <w:bCs/>
                <w:sz w:val="12"/>
                <w:szCs w:val="12"/>
                <w:highlight w:val="none"/>
              </w:rPr>
            </w:pPr>
            <w:r>
              <w:rPr>
                <w:rFonts w:ascii="Arial" w:hAnsi="Arial" w:eastAsia="Arial" w:cs="Arial"/>
                <w:b/>
                <w:bCs/>
                <w:sz w:val="12"/>
                <w:szCs w:val="12"/>
                <w:highlight w:val="none"/>
              </w:rPr>
              <w:t xml:space="preserve">UNI. MEDIDA</w:t>
            </w:r>
            <w:r>
              <w:rPr>
                <w:rFonts w:ascii="Arial" w:hAnsi="Arial" w:cs="Arial"/>
                <w:b/>
                <w:bCs/>
                <w:sz w:val="12"/>
                <w:szCs w:val="12"/>
                <w:highlight w:val="none"/>
              </w:rPr>
            </w:r>
            <w:r>
              <w:rPr>
                <w:rFonts w:ascii="Arial" w:hAnsi="Arial" w:cs="Arial"/>
                <w:b/>
                <w:bCs/>
                <w:sz w:val="12"/>
                <w:szCs w:val="12"/>
                <w:highlight w:val="none"/>
              </w:rPr>
            </w:r>
          </w:p>
        </w:tc>
        <w:tc>
          <w:tcPr>
            <w:shd w:val="clear" w:color="ffffff" w:fill="d9d9d9"/>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14:paraId="74758785">
            <w:pPr>
              <w:pBdr/>
              <w:spacing/>
              <w:ind/>
              <w:jc w:val="center"/>
              <w:rPr>
                <w:rFonts w:ascii="Arial" w:hAnsi="Arial" w:cs="Arial"/>
                <w:b/>
                <w:sz w:val="12"/>
                <w:szCs w:val="12"/>
                <w:highlight w:val="none"/>
              </w:rPr>
            </w:pPr>
            <w:r>
              <w:rPr>
                <w:rFonts w:ascii="Arial" w:hAnsi="Arial" w:eastAsia="Arial" w:cs="Arial"/>
                <w:b/>
                <w:sz w:val="12"/>
                <w:szCs w:val="12"/>
                <w:highlight w:val="none"/>
              </w:rPr>
              <w:t xml:space="preserve">QTD</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14:paraId="06055365">
            <w:pPr>
              <w:pBdr/>
              <w:tabs>
                <w:tab w:val="left" w:leader="none" w:pos="1035"/>
              </w:tabs>
              <w:spacing/>
              <w:ind/>
              <w:jc w:val="center"/>
              <w:rPr>
                <w:rFonts w:ascii="Arial" w:hAnsi="Arial" w:cs="Arial"/>
                <w:b/>
                <w:color w:val="000000"/>
                <w:sz w:val="12"/>
                <w:szCs w:val="12"/>
                <w:highlight w:val="none"/>
              </w:rPr>
            </w:pPr>
            <w:r>
              <w:rPr>
                <w:rFonts w:ascii="Arial" w:hAnsi="Arial" w:eastAsia="Arial" w:cs="Arial"/>
                <w:b/>
                <w:color w:val="000000"/>
                <w:sz w:val="12"/>
                <w:szCs w:val="12"/>
                <w:highlight w:val="none"/>
              </w:rPr>
              <w:t xml:space="preserve">COTAÇÃO 01</w:t>
            </w:r>
            <w:r>
              <w:rPr>
                <w:rFonts w:ascii="Arial" w:hAnsi="Arial" w:cs="Arial"/>
                <w:b/>
                <w:color w:val="000000"/>
                <w:sz w:val="12"/>
                <w:szCs w:val="12"/>
                <w:highlight w:val="none"/>
              </w:rPr>
            </w:r>
            <w:r>
              <w:rPr>
                <w:rFonts w:ascii="Arial" w:hAnsi="Arial" w:cs="Arial"/>
                <w:b/>
                <w:color w:val="000000"/>
                <w:sz w:val="12"/>
                <w:szCs w:val="12"/>
                <w:highlight w:val="none"/>
              </w:rPr>
            </w:r>
          </w:p>
        </w:tc>
        <w:tc>
          <w:tcPr>
            <w:shd w:val="clear" w:color="ffffff" w:fill="d9d9d9"/>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14:paraId="61AE3E1D">
            <w:pPr>
              <w:pBdr/>
              <w:spacing/>
              <w:ind/>
              <w:jc w:val="center"/>
              <w:rPr>
                <w:rFonts w:ascii="Arial" w:hAnsi="Arial" w:cs="Arial"/>
                <w:b/>
                <w:sz w:val="12"/>
                <w:szCs w:val="12"/>
                <w:highlight w:val="none"/>
              </w:rPr>
            </w:pPr>
            <w:r>
              <w:rPr>
                <w:rFonts w:ascii="Arial" w:hAnsi="Arial" w:eastAsia="Arial" w:cs="Arial"/>
                <w:b/>
                <w:sz w:val="12"/>
                <w:szCs w:val="12"/>
                <w:highlight w:val="none"/>
              </w:rPr>
              <w:t xml:space="preserve">COTAÇÃO 02</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0056B79C">
            <w:pPr>
              <w:pBdr/>
              <w:spacing/>
              <w:ind/>
              <w:jc w:val="center"/>
              <w:rPr>
                <w:rFonts w:ascii="Arial" w:hAnsi="Arial" w:cs="Arial"/>
                <w:b/>
                <w:sz w:val="12"/>
                <w:szCs w:val="12"/>
                <w:highlight w:val="none"/>
              </w:rPr>
            </w:pPr>
            <w:r>
              <w:rPr>
                <w:rFonts w:ascii="Arial" w:hAnsi="Arial" w:eastAsia="Arial" w:cs="Arial"/>
                <w:b/>
                <w:sz w:val="12"/>
                <w:szCs w:val="12"/>
                <w:highlight w:val="none"/>
              </w:rPr>
              <w:t xml:space="preserve">COTAÇÃO 03</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tcBorders>
            <w:tcW w:w="787" w:type="dxa"/>
            <w:vAlign w:val="center"/>
            <w:textDirection w:val="lrTb"/>
            <w:noWrap w:val="false"/>
          </w:tcPr>
          <w:p w14:paraId="7BC1B3B1">
            <w:pPr>
              <w:pBdr/>
              <w:spacing/>
              <w:ind/>
              <w:jc w:val="center"/>
              <w:rPr>
                <w:rFonts w:ascii="Arial" w:hAnsi="Arial" w:cs="Arial"/>
                <w:b/>
                <w:sz w:val="12"/>
                <w:szCs w:val="12"/>
                <w:highlight w:val="none"/>
              </w:rPr>
            </w:pPr>
            <w:r>
              <w:rPr>
                <w:rFonts w:ascii="Arial" w:hAnsi="Arial" w:eastAsia="Arial" w:cs="Arial"/>
                <w:b/>
                <w:sz w:val="12"/>
                <w:szCs w:val="12"/>
                <w:highlight w:val="none"/>
                <w:lang w:val="pt-BR"/>
              </w:rPr>
              <w:t xml:space="preserve">COTAÇÃO</w:t>
            </w:r>
            <w:r>
              <w:rPr>
                <w:rFonts w:ascii="Arial" w:hAnsi="Arial" w:cs="Arial"/>
                <w:b/>
                <w:sz w:val="12"/>
                <w:szCs w:val="12"/>
                <w:highlight w:val="none"/>
              </w:rPr>
            </w:r>
            <w:r>
              <w:rPr>
                <w:rFonts w:ascii="Arial" w:hAnsi="Arial" w:cs="Arial"/>
                <w:b/>
                <w:sz w:val="12"/>
                <w:szCs w:val="12"/>
                <w:highlight w:val="none"/>
              </w:rPr>
            </w:r>
          </w:p>
          <w:p w14:paraId="582A6701">
            <w:pPr>
              <w:pBdr/>
              <w:spacing/>
              <w:ind/>
              <w:jc w:val="center"/>
              <w:rPr>
                <w:rFonts w:ascii="Arial" w:hAnsi="Arial" w:cs="Arial"/>
                <w:b/>
                <w:sz w:val="12"/>
                <w:szCs w:val="12"/>
                <w:highlight w:val="none"/>
              </w:rPr>
            </w:pPr>
            <w:r>
              <w:rPr>
                <w:rFonts w:ascii="Arial" w:hAnsi="Arial" w:eastAsia="Arial" w:cs="Arial"/>
                <w:b/>
                <w:sz w:val="12"/>
                <w:szCs w:val="12"/>
                <w:highlight w:val="none"/>
                <w:lang w:val="pt-BR"/>
              </w:rPr>
              <w:t xml:space="preserve">04</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tcBorders>
            <w:tcW w:w="850" w:type="dxa"/>
            <w:vAlign w:val="center"/>
            <w:textDirection w:val="lrTb"/>
            <w:noWrap w:val="false"/>
          </w:tcPr>
          <w:p w14:paraId="3F43E096">
            <w:pPr>
              <w:pBdr/>
              <w:spacing/>
              <w:ind/>
              <w:jc w:val="center"/>
              <w:rPr>
                <w:rFonts w:ascii="Arial" w:hAnsi="Arial" w:cs="Arial"/>
                <w:b/>
                <w:sz w:val="12"/>
                <w:szCs w:val="12"/>
                <w:highlight w:val="none"/>
              </w:rPr>
            </w:pPr>
            <w:r>
              <w:rPr>
                <w:rFonts w:ascii="Arial" w:hAnsi="Arial" w:eastAsia="Arial" w:cs="Arial"/>
                <w:b/>
                <w:sz w:val="12"/>
                <w:szCs w:val="12"/>
                <w:highlight w:val="none"/>
                <w:lang w:val="pt-BR"/>
              </w:rPr>
              <w:t xml:space="preserve">COTAÇÃO </w:t>
            </w:r>
            <w:r>
              <w:rPr>
                <w:rFonts w:ascii="Arial" w:hAnsi="Arial" w:cs="Arial"/>
                <w:b/>
                <w:sz w:val="12"/>
                <w:szCs w:val="12"/>
                <w:highlight w:val="none"/>
              </w:rPr>
            </w:r>
            <w:r>
              <w:rPr>
                <w:rFonts w:ascii="Arial" w:hAnsi="Arial" w:cs="Arial"/>
                <w:b/>
                <w:sz w:val="12"/>
                <w:szCs w:val="12"/>
                <w:highlight w:val="none"/>
              </w:rPr>
            </w:r>
          </w:p>
          <w:p w14:paraId="077DD928">
            <w:pPr>
              <w:pBdr/>
              <w:spacing/>
              <w:ind/>
              <w:jc w:val="center"/>
              <w:rPr>
                <w:rFonts w:ascii="Arial" w:hAnsi="Arial" w:cs="Arial"/>
                <w:b/>
                <w:sz w:val="12"/>
                <w:szCs w:val="12"/>
                <w:highlight w:val="none"/>
              </w:rPr>
            </w:pPr>
            <w:r>
              <w:rPr>
                <w:rFonts w:ascii="Arial" w:hAnsi="Arial" w:eastAsia="Arial" w:cs="Arial"/>
                <w:b/>
                <w:sz w:val="12"/>
                <w:szCs w:val="12"/>
                <w:highlight w:val="none"/>
                <w:lang w:val="pt-BR"/>
              </w:rPr>
              <w:t xml:space="preserve">05</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tcBorders>
            <w:tcW w:w="850" w:type="dxa"/>
            <w:vAlign w:val="center"/>
            <w:textDirection w:val="lrTb"/>
            <w:noWrap w:val="false"/>
          </w:tcPr>
          <w:p w14:paraId="2A57240E">
            <w:pPr>
              <w:pBdr/>
              <w:spacing/>
              <w:ind/>
              <w:jc w:val="center"/>
              <w:rPr>
                <w:rFonts w:ascii="Arial" w:hAnsi="Arial" w:cs="Arial"/>
                <w:b/>
                <w:sz w:val="12"/>
                <w:szCs w:val="12"/>
                <w:highlight w:val="none"/>
              </w:rPr>
            </w:pPr>
            <w:r>
              <w:rPr>
                <w:rFonts w:ascii="Arial" w:hAnsi="Arial" w:eastAsia="Arial" w:cs="Arial"/>
                <w:b/>
                <w:sz w:val="12"/>
                <w:szCs w:val="12"/>
                <w:highlight w:val="none"/>
              </w:rPr>
              <w:t xml:space="preserve">MÉDIA</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3C03A530">
            <w:pPr>
              <w:pBdr/>
              <w:spacing/>
              <w:ind/>
              <w:jc w:val="center"/>
              <w:rPr>
                <w:rFonts w:ascii="Arial" w:hAnsi="Arial" w:cs="Arial"/>
                <w:b/>
                <w:sz w:val="12"/>
                <w:szCs w:val="12"/>
                <w:highlight w:val="none"/>
              </w:rPr>
            </w:pPr>
            <w:r>
              <w:rPr>
                <w:rFonts w:ascii="Arial" w:hAnsi="Arial" w:eastAsia="Arial" w:cs="Arial"/>
                <w:b/>
                <w:sz w:val="12"/>
                <w:szCs w:val="12"/>
                <w:highlight w:val="none"/>
              </w:rPr>
              <w:t xml:space="preserve">VALOR TOTAL</w:t>
            </w:r>
            <w:r>
              <w:rPr>
                <w:rFonts w:ascii="Arial" w:hAnsi="Arial" w:cs="Arial"/>
                <w:b/>
                <w:sz w:val="12"/>
                <w:szCs w:val="12"/>
                <w:highlight w:val="none"/>
              </w:rPr>
            </w:r>
            <w:r>
              <w:rPr>
                <w:rFonts w:ascii="Arial" w:hAnsi="Arial" w:cs="Arial"/>
                <w:b/>
                <w:sz w:val="12"/>
                <w:szCs w:val="12"/>
                <w:highlight w:val="none"/>
              </w:rPr>
            </w:r>
          </w:p>
        </w:tc>
      </w:tr>
      <w:tr>
        <w:trPr>
          <w:trHeight w:val="146"/>
        </w:trPr>
        <w:tc>
          <w:tcPr>
            <w:shd w:val="clear" w:color="ffffff" w:fill="ffffff"/>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14:paraId="79368AFF">
            <w:pPr>
              <w:pBdr/>
              <w:tabs>
                <w:tab w:val="left" w:leader="none" w:pos="312"/>
              </w:tabs>
              <w:spacing/>
              <w:ind w:left="114"/>
              <w:jc w:val="center"/>
              <w:rPr>
                <w:rFonts w:ascii="Arial" w:hAnsi="Arial" w:cs="Arial"/>
                <w:sz w:val="12"/>
                <w:szCs w:val="12"/>
                <w:highlight w:val="none"/>
              </w:rPr>
            </w:pPr>
            <w:r>
              <w:rPr>
                <w:rFonts w:ascii="Arial" w:hAnsi="Arial" w:eastAsia="Arial" w:cs="Arial"/>
                <w:color w:val="000000"/>
                <w:sz w:val="12"/>
                <w:szCs w:val="12"/>
                <w:highlight w:val="none"/>
              </w:rPr>
              <w:t xml:space="preserve">1</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14:paraId="706AA380">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130286</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641" w:type="dxa"/>
            <w:vAlign w:val="center"/>
            <w:textDirection w:val="lrTb"/>
            <w:noWrap w:val="false"/>
          </w:tcPr>
          <w:p w14:paraId="3D6E6CEE">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433416-7</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1843" w:type="dxa"/>
            <w:vAlign w:val="center"/>
            <w:textDirection w:val="lrTb"/>
            <w:noWrap w:val="false"/>
          </w:tcPr>
          <w:p w14:paraId="50590010">
            <w:pPr>
              <w:pBdr/>
              <w:spacing/>
              <w:ind/>
              <w:jc w:val="both"/>
              <w:rPr>
                <w:rFonts w:ascii="Arial" w:hAnsi="Arial" w:cs="Arial"/>
                <w:color w:val="000000"/>
                <w:sz w:val="12"/>
                <w:szCs w:val="12"/>
                <w:highlight w:val="none"/>
              </w:rPr>
            </w:pPr>
            <w:r>
              <w:rPr>
                <w:rFonts w:ascii="Arial" w:hAnsi="Arial" w:eastAsia="Arial" w:cs="Arial"/>
                <w:color w:val="000000"/>
                <w:sz w:val="12"/>
                <w:szCs w:val="12"/>
                <w:highlight w:val="none"/>
              </w:rPr>
              <w:t xml:space="preserve">AGULHA PARA COLETA DE SANGUE Á VÁCUO - 21G. MEDIDAS APROXIMADAS 25 A 32 X 0,8 MM. PARA COLETA MÚLTIPLA, A VÁCUO COM VISEL TRIFACETADO. SILICONZADO. ESTÉRIL. DESCARTÁVEL.  A AGULHA DEVER</w:t>
            </w:r>
            <w:r>
              <w:rPr>
                <w:rFonts w:ascii="Arial" w:hAnsi="Arial" w:eastAsia="Arial" w:cs="Arial"/>
                <w:color w:val="000000"/>
                <w:sz w:val="12"/>
                <w:szCs w:val="12"/>
                <w:highlight w:val="none"/>
              </w:rPr>
              <w:t xml:space="preserve">Á POSSUIR DISPOSITIVO DE SEGURANÇA INTEGRADO NA PRÓPRIA AGULHA OU NO ADAPTADOR, QUE APÓS ACIONADO RECOBRIRÁ COMPLETAMENTE A AGULHA, GARANTINDO TOTAL BIOSSEGURANÇA. PARA CADA AGULHA SERÁ FORNECIDO UM ADAPTADOR. ATENDER A NR:32. CONFORME TERMO DE REFERÊNCIA.</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14:paraId="477C9E82">
            <w:pPr>
              <w:pBdr/>
              <w:tabs>
                <w:tab w:val="left" w:leader="none" w:pos="-142"/>
              </w:tabs>
              <w:spacing/>
              <w:ind/>
              <w:jc w:val="center"/>
              <w:rPr>
                <w:rFonts w:ascii="Arial" w:hAnsi="Arial" w:cs="Arial"/>
                <w:sz w:val="12"/>
                <w:szCs w:val="12"/>
                <w:highlight w:val="none"/>
              </w:rPr>
            </w:pPr>
            <w:r>
              <w:rPr>
                <w:rFonts w:ascii="Arial" w:hAnsi="Arial" w:eastAsia="Arial" w:cs="Arial"/>
                <w:sz w:val="12"/>
                <w:szCs w:val="12"/>
                <w:highlight w:val="none"/>
                <w:lang w:val="pt-BR"/>
              </w:rPr>
              <w:t xml:space="preserve">UNIDADE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14:paraId="6791861A">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250.000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14:paraId="46774AAF">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R$ 1,281</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14:paraId="2304E000">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R$ 1,43</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757A719A">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1,58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787" w:type="dxa"/>
            <w:vAlign w:val="center"/>
            <w:textDirection w:val="lrTb"/>
            <w:noWrap w:val="false"/>
          </w:tcPr>
          <w:p w14:paraId="7363FF4A">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1,31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3A2B3E7A">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 R$          1,28 </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046F3124">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R$ 1,3762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6ED9A15D">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R$ 344.050,00</w:t>
            </w:r>
            <w:r>
              <w:rPr>
                <w:rFonts w:ascii="Arial" w:hAnsi="Arial" w:cs="Arial"/>
                <w:sz w:val="12"/>
                <w:szCs w:val="12"/>
                <w:highlight w:val="none"/>
              </w:rPr>
            </w:r>
            <w:r>
              <w:rPr>
                <w:rFonts w:ascii="Arial" w:hAnsi="Arial" w:cs="Arial"/>
                <w:sz w:val="12"/>
                <w:szCs w:val="12"/>
                <w:highlight w:val="none"/>
              </w:rPr>
            </w:r>
          </w:p>
        </w:tc>
      </w:tr>
      <w:tr>
        <w:trPr>
          <w:trHeight w:val="656"/>
        </w:trPr>
        <w:tc>
          <w:tcPr>
            <w:shd w:val="clear" w:color="ffffff" w:fill="ffffff"/>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14:paraId="22617C2F">
            <w:pPr>
              <w:pBdr/>
              <w:tabs>
                <w:tab w:val="left" w:leader="none" w:pos="312"/>
              </w:tabs>
              <w:spacing/>
              <w:ind w:left="114"/>
              <w:jc w:val="center"/>
              <w:rPr>
                <w:rFonts w:ascii="Arial" w:hAnsi="Arial" w:cs="Arial"/>
                <w:sz w:val="12"/>
                <w:szCs w:val="12"/>
                <w:highlight w:val="none"/>
              </w:rPr>
            </w:pPr>
            <w:r>
              <w:rPr>
                <w:rFonts w:ascii="Arial" w:hAnsi="Arial" w:eastAsia="Arial" w:cs="Arial"/>
                <w:color w:val="000000"/>
                <w:sz w:val="12"/>
                <w:szCs w:val="12"/>
                <w:highlight w:val="none"/>
              </w:rPr>
              <w:t xml:space="preserve">2</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14:paraId="2A28C808">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130291</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641" w:type="dxa"/>
            <w:vAlign w:val="center"/>
            <w:textDirection w:val="lrTb"/>
            <w:noWrap w:val="false"/>
          </w:tcPr>
          <w:p w14:paraId="5422861A">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00067527</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1843" w:type="dxa"/>
            <w:vAlign w:val="center"/>
            <w:textDirection w:val="lrTb"/>
            <w:noWrap w:val="false"/>
          </w:tcPr>
          <w:p w14:paraId="2F4CF8BE">
            <w:pPr>
              <w:pBdr/>
              <w:spacing/>
              <w:ind/>
              <w:jc w:val="both"/>
              <w:rPr>
                <w:rFonts w:ascii="Arial" w:hAnsi="Arial" w:cs="Arial"/>
                <w:color w:val="000000"/>
                <w:sz w:val="12"/>
                <w:szCs w:val="12"/>
                <w:highlight w:val="none"/>
              </w:rPr>
            </w:pPr>
            <w:r>
              <w:rPr>
                <w:rFonts w:ascii="Arial" w:hAnsi="Arial" w:eastAsia="Arial" w:cs="Arial"/>
                <w:color w:val="000000"/>
                <w:sz w:val="12"/>
                <w:szCs w:val="12"/>
                <w:highlight w:val="none"/>
              </w:rPr>
              <w:t xml:space="preserve">TUBO DE COLETA DE SANGUE A VÁCUO – COM ANTICOAGULANTE EDTA-K2 OU K3. EM PLÁSTICO PET, TAMANHO 13X75 MM, ESTÉRIL. DESCARTÁVEL. INCOLOR. VOLUME DE 2,0 ML, COM TAMPA DE BORRACHA SILICONIZADA E CAPA PROTETORA NA COR ROXA.</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14:paraId="3F46088B">
            <w:pPr>
              <w:pBdr/>
              <w:tabs>
                <w:tab w:val="left" w:leader="none" w:pos="-142"/>
              </w:tabs>
              <w:spacing/>
              <w:ind/>
              <w:jc w:val="center"/>
              <w:rPr>
                <w:rFonts w:ascii="Arial" w:hAnsi="Arial" w:cs="Arial"/>
                <w:sz w:val="12"/>
                <w:szCs w:val="12"/>
                <w:highlight w:val="none"/>
              </w:rPr>
            </w:pPr>
            <w:r>
              <w:rPr>
                <w:rFonts w:ascii="Arial" w:hAnsi="Arial" w:eastAsia="Arial" w:cs="Arial"/>
                <w:sz w:val="12"/>
                <w:szCs w:val="12"/>
                <w:highlight w:val="none"/>
                <w:lang w:val="pt-BR"/>
              </w:rPr>
              <w:t xml:space="preserve">UNIDADE</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14:paraId="418D35CB">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5.000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14:paraId="789CF420">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R$ 0,60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14:paraId="28258CCA">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R$ 0,66</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0FA1E8C8">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0,756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787" w:type="dxa"/>
            <w:vAlign w:val="center"/>
            <w:textDirection w:val="lrTb"/>
            <w:noWrap w:val="false"/>
          </w:tcPr>
          <w:p w14:paraId="4692619B">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0,61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6C767EBD">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0,72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25652139">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R$ 0,6692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37D0A4C0">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R$ 3.346,00</w:t>
            </w:r>
            <w:r>
              <w:rPr>
                <w:rFonts w:ascii="Arial" w:hAnsi="Arial" w:cs="Arial"/>
                <w:sz w:val="12"/>
                <w:szCs w:val="12"/>
                <w:highlight w:val="none"/>
              </w:rPr>
            </w:r>
            <w:r>
              <w:rPr>
                <w:rFonts w:ascii="Arial" w:hAnsi="Arial" w:cs="Arial"/>
                <w:sz w:val="12"/>
                <w:szCs w:val="12"/>
                <w:highlight w:val="none"/>
              </w:rPr>
            </w:r>
          </w:p>
        </w:tc>
      </w:tr>
      <w:tr>
        <w:trPr>
          <w:trHeight w:val="656"/>
        </w:trPr>
        <w:tc>
          <w:tcPr>
            <w:shd w:val="clear" w:color="ffffff" w:fill="ffffff"/>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14:paraId="0A19C185">
            <w:pPr>
              <w:pBdr/>
              <w:tabs>
                <w:tab w:val="left" w:leader="none" w:pos="312"/>
              </w:tabs>
              <w:spacing/>
              <w:ind w:left="114"/>
              <w:jc w:val="center"/>
              <w:rPr>
                <w:rFonts w:ascii="Arial" w:hAnsi="Arial" w:cs="Arial"/>
                <w:sz w:val="12"/>
                <w:szCs w:val="12"/>
                <w:highlight w:val="none"/>
              </w:rPr>
            </w:pPr>
            <w:r>
              <w:rPr>
                <w:rFonts w:ascii="Arial" w:hAnsi="Arial" w:eastAsia="Arial" w:cs="Arial"/>
                <w:color w:val="000000"/>
                <w:sz w:val="12"/>
                <w:szCs w:val="12"/>
                <w:highlight w:val="none"/>
              </w:rPr>
              <w:t xml:space="preserve">3</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14:paraId="1EFD42B2">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130292</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641" w:type="dxa"/>
            <w:vAlign w:val="center"/>
            <w:textDirection w:val="lrTb"/>
            <w:noWrap w:val="false"/>
          </w:tcPr>
          <w:p w14:paraId="32754AAA">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308098-6</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1843" w:type="dxa"/>
            <w:vAlign w:val="bottom"/>
            <w:textDirection w:val="lrTb"/>
            <w:noWrap w:val="false"/>
          </w:tcPr>
          <w:p w14:paraId="2BC4B32F">
            <w:pPr>
              <w:pBdr/>
              <w:spacing/>
              <w:ind/>
              <w:jc w:val="both"/>
              <w:rPr>
                <w:rFonts w:ascii="Arial" w:hAnsi="Arial" w:cs="Arial"/>
                <w:color w:val="000000"/>
                <w:sz w:val="12"/>
                <w:szCs w:val="12"/>
                <w:highlight w:val="none"/>
              </w:rPr>
            </w:pPr>
            <w:r>
              <w:rPr>
                <w:rFonts w:ascii="Arial" w:hAnsi="Arial" w:eastAsia="Arial" w:cs="Arial"/>
                <w:color w:val="000000"/>
                <w:sz w:val="12"/>
                <w:szCs w:val="12"/>
                <w:highlight w:val="none"/>
              </w:rPr>
              <w:t xml:space="preserve">TUBO DE COLETA DE SANGUE A VÁCUO – COM ANTICOAGULANTE EDTA-K2 OU K3. EM PLÁSTICO PET, TAMANHO 13X75 MM, ESTÉRIL. DESCARTÁVEL. INCOLOR. VOLUME DE 4,0 ML. COM TAMPA DE BORRACHA SILICONIZADA E CAPA PROTETORA NA COR ROXA.</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14:paraId="5CC371E6">
            <w:pPr>
              <w:pBdr/>
              <w:tabs>
                <w:tab w:val="left" w:leader="none" w:pos="-142"/>
              </w:tabs>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UNIDADE</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14:paraId="6409CEDA">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450.000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14:paraId="50D1EB4F">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R$0,60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14:paraId="0435393F">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0,714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3B54064B">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R$ 0,76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787" w:type="dxa"/>
            <w:vAlign w:val="center"/>
            <w:textDirection w:val="lrTb"/>
            <w:noWrap w:val="false"/>
          </w:tcPr>
          <w:p w14:paraId="3970888A">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R$ 0,72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410B4D05">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R$ 0,61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401A9E52">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R$ 0,6808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31F0FAFD">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R$ 306.360,00</w:t>
            </w:r>
            <w:r>
              <w:rPr>
                <w:rFonts w:ascii="Arial" w:hAnsi="Arial" w:cs="Arial"/>
                <w:sz w:val="12"/>
                <w:szCs w:val="12"/>
                <w:highlight w:val="none"/>
              </w:rPr>
            </w:r>
            <w:r>
              <w:rPr>
                <w:rFonts w:ascii="Arial" w:hAnsi="Arial" w:cs="Arial"/>
                <w:sz w:val="12"/>
                <w:szCs w:val="12"/>
                <w:highlight w:val="none"/>
              </w:rPr>
            </w:r>
          </w:p>
        </w:tc>
      </w:tr>
      <w:tr>
        <w:trPr>
          <w:trHeight w:val="368"/>
        </w:trPr>
        <w:tc>
          <w:tcPr>
            <w:shd w:val="clear" w:color="ffffff" w:fill="ffffff"/>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14:paraId="7BCAA34C">
            <w:pPr>
              <w:pBdr/>
              <w:tabs>
                <w:tab w:val="left" w:leader="none" w:pos="312"/>
              </w:tabs>
              <w:spacing/>
              <w:ind w:left="114"/>
              <w:jc w:val="center"/>
              <w:rPr>
                <w:rFonts w:ascii="Arial" w:hAnsi="Arial" w:cs="Arial"/>
                <w:sz w:val="12"/>
                <w:szCs w:val="12"/>
                <w:highlight w:val="none"/>
              </w:rPr>
            </w:pPr>
            <w:r>
              <w:rPr>
                <w:rFonts w:ascii="Arial" w:hAnsi="Arial" w:eastAsia="Arial" w:cs="Arial"/>
                <w:color w:val="000000"/>
                <w:sz w:val="12"/>
                <w:szCs w:val="12"/>
                <w:highlight w:val="none"/>
              </w:rPr>
              <w:t xml:space="preserve">4</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14:paraId="12D85A8C">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130288</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641" w:type="dxa"/>
            <w:vAlign w:val="center"/>
            <w:textDirection w:val="lrTb"/>
            <w:noWrap w:val="false"/>
          </w:tcPr>
          <w:p w14:paraId="372C8151">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00067724</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1843" w:type="dxa"/>
            <w:vAlign w:val="center"/>
            <w:textDirection w:val="lrTb"/>
            <w:noWrap w:val="false"/>
          </w:tcPr>
          <w:p w14:paraId="691D53BD">
            <w:pPr>
              <w:widowControl w:val="true"/>
              <w:pBdr/>
              <w:spacing/>
              <w:ind/>
              <w:jc w:val="both"/>
              <w:rPr>
                <w:rFonts w:ascii="Arial" w:hAnsi="Arial" w:cs="Arial"/>
                <w:color w:val="000000"/>
                <w:sz w:val="12"/>
                <w:szCs w:val="12"/>
                <w:highlight w:val="none"/>
              </w:rPr>
            </w:pPr>
            <w:r>
              <w:rPr>
                <w:rFonts w:ascii="Arial" w:hAnsi="Arial" w:eastAsia="Arial" w:cs="Arial"/>
                <w:color w:val="000000"/>
                <w:sz w:val="12"/>
                <w:szCs w:val="12"/>
                <w:highlight w:val="none"/>
              </w:rPr>
              <w:t xml:space="preserve">TUBO DE COLETA DE SANGUE A VÁCUO PARA PROVA DE COAGULAÇÃO - COM SOLUÇÃO CITRATO DE SODIO 3,2%. EM PLÁSTICO PET E PP (PAREDE DUPLA), TAMANHO 13X75MM. ESTÉRIL. DESCARTÁVEL. INCOLOR. VOLUME 1,8 A 2 ML. COM TAMPA DE BORRACHA </w:t>
            </w:r>
            <w:r>
              <w:rPr>
                <w:rFonts w:ascii="Arial" w:hAnsi="Arial" w:eastAsia="Arial" w:cs="Arial"/>
                <w:color w:val="000000"/>
                <w:sz w:val="12"/>
                <w:szCs w:val="12"/>
                <w:highlight w:val="none"/>
              </w:rPr>
              <w:t xml:space="preserve">SILICONIZADA E CAPA PROTETORA NA COR AZUL-CLARO.</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14:paraId="475B0998">
            <w:pPr>
              <w:pBdr/>
              <w:tabs>
                <w:tab w:val="left" w:leader="none" w:pos="-142"/>
              </w:tabs>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UNIDADE</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14:paraId="53C2DE2E">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1.500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14:paraId="57395B47">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R$ 1,33</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14:paraId="60D342AF">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R$ 1,45</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2B08FBDB">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1,41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787" w:type="dxa"/>
            <w:vAlign w:val="center"/>
            <w:textDirection w:val="lrTb"/>
            <w:noWrap w:val="false"/>
          </w:tcPr>
          <w:p w14:paraId="5E2AD9C6">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1,35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023BBBA2">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1,45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7048F0A8">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R$ 1,3980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3E1CFFAB">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R$ 2.097,00</w:t>
            </w:r>
            <w:r>
              <w:rPr>
                <w:rFonts w:ascii="Arial" w:hAnsi="Arial" w:cs="Arial"/>
                <w:sz w:val="12"/>
                <w:szCs w:val="12"/>
                <w:highlight w:val="none"/>
              </w:rPr>
            </w:r>
            <w:r>
              <w:rPr>
                <w:rFonts w:ascii="Arial" w:hAnsi="Arial" w:cs="Arial"/>
                <w:sz w:val="12"/>
                <w:szCs w:val="12"/>
                <w:highlight w:val="none"/>
              </w:rPr>
            </w:r>
          </w:p>
        </w:tc>
      </w:tr>
      <w:tr>
        <w:trPr>
          <w:trHeight w:val="146"/>
        </w:trPr>
        <w:tc>
          <w:tcPr>
            <w:shd w:val="clear" w:color="ffffff" w:fill="ffffff"/>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14:paraId="412874C5">
            <w:pPr>
              <w:pBdr/>
              <w:tabs>
                <w:tab w:val="left" w:leader="none" w:pos="312"/>
              </w:tabs>
              <w:spacing/>
              <w:ind w:left="114"/>
              <w:jc w:val="center"/>
              <w:rPr>
                <w:rFonts w:ascii="Arial" w:hAnsi="Arial" w:cs="Arial"/>
                <w:sz w:val="12"/>
                <w:szCs w:val="12"/>
                <w:highlight w:val="none"/>
              </w:rPr>
            </w:pPr>
            <w:r>
              <w:rPr>
                <w:rFonts w:ascii="Arial" w:hAnsi="Arial" w:eastAsia="Arial" w:cs="Arial"/>
                <w:color w:val="000000"/>
                <w:sz w:val="12"/>
                <w:szCs w:val="12"/>
                <w:highlight w:val="none"/>
              </w:rPr>
              <w:t xml:space="preserve">5</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14:paraId="66FDD241">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130287</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641" w:type="dxa"/>
            <w:vAlign w:val="center"/>
            <w:textDirection w:val="lrTb"/>
            <w:noWrap w:val="false"/>
          </w:tcPr>
          <w:p w14:paraId="7E16C2FC">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00067723</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1843" w:type="dxa"/>
            <w:vAlign w:val="center"/>
            <w:textDirection w:val="lrTb"/>
            <w:noWrap w:val="false"/>
          </w:tcPr>
          <w:p w14:paraId="54C878C2">
            <w:pPr>
              <w:pBdr/>
              <w:spacing/>
              <w:ind/>
              <w:jc w:val="both"/>
              <w:rPr>
                <w:rFonts w:ascii="Arial" w:hAnsi="Arial" w:cs="Arial"/>
                <w:color w:val="000000"/>
                <w:sz w:val="12"/>
                <w:szCs w:val="12"/>
                <w:highlight w:val="none"/>
              </w:rPr>
            </w:pPr>
            <w:r>
              <w:rPr>
                <w:rFonts w:ascii="Arial" w:hAnsi="Arial" w:eastAsia="Arial" w:cs="Arial"/>
                <w:color w:val="000000"/>
                <w:sz w:val="12"/>
                <w:szCs w:val="12"/>
                <w:highlight w:val="none"/>
              </w:rPr>
              <w:t xml:space="preserve">TUBO DE COLET</w:t>
            </w:r>
            <w:r>
              <w:rPr>
                <w:rFonts w:ascii="Arial" w:hAnsi="Arial" w:eastAsia="Arial" w:cs="Arial"/>
                <w:color w:val="000000"/>
                <w:sz w:val="12"/>
                <w:szCs w:val="12"/>
                <w:highlight w:val="none"/>
              </w:rPr>
              <w:t xml:space="preserve">A DE SANGUE A VÁCUO PARA PROVA DE COAGULAÇÃO - COM SOLUÇÃO CITRATO DE SODIO 3,2%. EM PLÁSTICO PET E PP (PAREDE DUPLA), TAMANHO 13X75MM. ESTÉRIL. DESCARTÁVEL. INCOLOR. VOLUME 2,7 A 4 ML. COM TAMPA DE BORRACHA SILICONIZADA E CAPA PROTETORA NA COR AZUL-CLARO.</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14:paraId="29CCF433">
            <w:pPr>
              <w:pBdr/>
              <w:tabs>
                <w:tab w:val="left" w:leader="none" w:pos="-142"/>
              </w:tabs>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UNIDADE</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14:paraId="148402B9">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20.000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14:paraId="14FFA88F">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R$ 1,33</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14:paraId="56668496">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R$ 1,45</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2237F6FC">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1,51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787" w:type="dxa"/>
            <w:vAlign w:val="center"/>
            <w:textDirection w:val="lrTb"/>
            <w:noWrap w:val="false"/>
          </w:tcPr>
          <w:p w14:paraId="2B955390">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1,35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2F8252EC">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1,39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336A3F5D">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R$ 1,4060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5DA51109">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R$ 28.120,00</w:t>
            </w:r>
            <w:r>
              <w:rPr>
                <w:rFonts w:ascii="Arial" w:hAnsi="Arial" w:cs="Arial"/>
                <w:sz w:val="12"/>
                <w:szCs w:val="12"/>
                <w:highlight w:val="none"/>
              </w:rPr>
            </w:r>
            <w:r>
              <w:rPr>
                <w:rFonts w:ascii="Arial" w:hAnsi="Arial" w:cs="Arial"/>
                <w:sz w:val="12"/>
                <w:szCs w:val="12"/>
                <w:highlight w:val="none"/>
              </w:rPr>
            </w:r>
          </w:p>
        </w:tc>
      </w:tr>
      <w:tr>
        <w:trPr>
          <w:trHeight w:val="656"/>
        </w:trPr>
        <w:tc>
          <w:tcPr>
            <w:shd w:val="clear" w:color="ffffff" w:fill="ffffff"/>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14:paraId="22A4B23D">
            <w:pPr>
              <w:pBdr/>
              <w:tabs>
                <w:tab w:val="left" w:leader="none" w:pos="312"/>
              </w:tabs>
              <w:spacing/>
              <w:ind w:left="114"/>
              <w:jc w:val="center"/>
              <w:rPr>
                <w:rFonts w:ascii="Arial" w:hAnsi="Arial" w:cs="Arial"/>
                <w:sz w:val="12"/>
                <w:szCs w:val="12"/>
                <w:highlight w:val="none"/>
              </w:rPr>
            </w:pPr>
            <w:r>
              <w:rPr>
                <w:rFonts w:ascii="Arial" w:hAnsi="Arial" w:eastAsia="Arial" w:cs="Arial"/>
                <w:color w:val="000000"/>
                <w:sz w:val="12"/>
                <w:szCs w:val="12"/>
                <w:highlight w:val="none"/>
              </w:rPr>
              <w:t xml:space="preserve">6</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14:paraId="580D3A0A">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130289</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641" w:type="dxa"/>
            <w:vAlign w:val="center"/>
            <w:textDirection w:val="lrTb"/>
            <w:noWrap w:val="false"/>
          </w:tcPr>
          <w:p w14:paraId="4C585AEE">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00036259</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1843" w:type="dxa"/>
            <w:vAlign w:val="center"/>
            <w:textDirection w:val="lrTb"/>
            <w:noWrap w:val="false"/>
          </w:tcPr>
          <w:p w14:paraId="57C04C4F">
            <w:pPr>
              <w:pBdr/>
              <w:spacing/>
              <w:ind/>
              <w:jc w:val="both"/>
              <w:rPr>
                <w:rFonts w:ascii="Arial" w:hAnsi="Arial" w:cs="Arial"/>
                <w:color w:val="000000"/>
                <w:sz w:val="12"/>
                <w:szCs w:val="12"/>
                <w:highlight w:val="none"/>
              </w:rPr>
            </w:pPr>
            <w:r>
              <w:rPr>
                <w:rFonts w:ascii="Arial" w:hAnsi="Arial" w:eastAsia="Arial" w:cs="Arial"/>
                <w:color w:val="000000"/>
                <w:sz w:val="12"/>
                <w:szCs w:val="12"/>
                <w:highlight w:val="none"/>
              </w:rPr>
              <w:t xml:space="preserve">TUBO PARA COLETA DE SANGUE A VÁCUO - COM FLUORETO DE SÓDIO (NAF) E EDTA-K2 OU K3 PARA DOSAGEM DE GLICOSE. EM PLÁSTICO PET, TAMANHO 13X75MM. ESTÉRIL. DESCARTÁVEL. INCOLOR. VOLUME 4,0 ML. COM TAMPA DE BORRACHA SILICONIZADA E CAPA PROTETORA NA COR CINZA.</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14:paraId="13753804">
            <w:pPr>
              <w:pBdr/>
              <w:tabs>
                <w:tab w:val="left" w:leader="none" w:pos="-142"/>
              </w:tabs>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UNIDADE</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14:paraId="7C8D5C52">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150.000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14:paraId="51A10AEE">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R$ 1,20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14:paraId="4F0FC8C8">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R$ 1,47</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065B21E8">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1,344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787" w:type="dxa"/>
            <w:vAlign w:val="center"/>
            <w:textDirection w:val="lrTb"/>
            <w:noWrap w:val="false"/>
          </w:tcPr>
          <w:p w14:paraId="3A4DF618">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1,30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2BE6F27D">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1,20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69599F76">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R$ 1,3028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0C38C7E4">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R$ 195.420,00</w:t>
            </w:r>
            <w:r>
              <w:rPr>
                <w:rFonts w:ascii="Arial" w:hAnsi="Arial" w:cs="Arial"/>
                <w:sz w:val="12"/>
                <w:szCs w:val="12"/>
                <w:highlight w:val="none"/>
              </w:rPr>
            </w:r>
            <w:r>
              <w:rPr>
                <w:rFonts w:ascii="Arial" w:hAnsi="Arial" w:cs="Arial"/>
                <w:sz w:val="12"/>
                <w:szCs w:val="12"/>
                <w:highlight w:val="none"/>
              </w:rPr>
            </w:r>
          </w:p>
        </w:tc>
      </w:tr>
      <w:tr>
        <w:trPr>
          <w:trHeight w:val="656"/>
        </w:trPr>
        <w:tc>
          <w:tcPr>
            <w:shd w:val="clear" w:color="ffffff" w:fill="ffffff"/>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14:paraId="0E3F077F">
            <w:pPr>
              <w:pBdr/>
              <w:tabs>
                <w:tab w:val="left" w:leader="none" w:pos="312"/>
              </w:tabs>
              <w:spacing/>
              <w:ind w:left="114"/>
              <w:jc w:val="center"/>
              <w:rPr>
                <w:rFonts w:ascii="Arial" w:hAnsi="Arial" w:cs="Arial"/>
                <w:sz w:val="12"/>
                <w:szCs w:val="12"/>
                <w:highlight w:val="none"/>
              </w:rPr>
            </w:pPr>
            <w:r>
              <w:rPr>
                <w:rFonts w:ascii="Arial" w:hAnsi="Arial" w:eastAsia="Arial" w:cs="Arial"/>
                <w:color w:val="000000"/>
                <w:sz w:val="12"/>
                <w:szCs w:val="12"/>
                <w:highlight w:val="none"/>
              </w:rPr>
              <w:t xml:space="preserve">7</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14:paraId="6C79BE04">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130290</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641" w:type="dxa"/>
            <w:vAlign w:val="center"/>
            <w:textDirection w:val="lrTb"/>
            <w:noWrap w:val="false"/>
          </w:tcPr>
          <w:p w14:paraId="528523CB">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00067725</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1843" w:type="dxa"/>
            <w:vAlign w:val="center"/>
            <w:textDirection w:val="lrTb"/>
            <w:noWrap w:val="false"/>
          </w:tcPr>
          <w:p w14:paraId="778D5A23">
            <w:pPr>
              <w:pBdr/>
              <w:spacing/>
              <w:ind/>
              <w:jc w:val="both"/>
              <w:rPr>
                <w:rFonts w:ascii="Arial" w:hAnsi="Arial" w:cs="Arial"/>
                <w:color w:val="000000"/>
                <w:sz w:val="12"/>
                <w:szCs w:val="12"/>
                <w:highlight w:val="none"/>
              </w:rPr>
            </w:pPr>
            <w:r>
              <w:rPr>
                <w:rFonts w:ascii="Arial" w:hAnsi="Arial" w:eastAsia="Arial" w:cs="Arial"/>
                <w:color w:val="000000"/>
                <w:sz w:val="12"/>
                <w:szCs w:val="12"/>
                <w:highlight w:val="none"/>
              </w:rPr>
              <w:t xml:space="preserve">TUBO PARA COLETA DE SANGUE A VÁCUO - PARA SOROLOGIA. COM ATIVADOR DE COÁGULO. EM PLÁSTICO PET, TAMANHO 16X100MM. ESTÉRIL. DESCARTÁVEL. INCOLOR. VOLUME 8,0ML A 10ML. COM TAMPA DE BORRACHA SILICONIZADA E CAPA PROTETORA NA COR VERMELHA.</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14:paraId="38B3681B">
            <w:pPr>
              <w:pBdr/>
              <w:tabs>
                <w:tab w:val="left" w:leader="none" w:pos="-142"/>
              </w:tabs>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UNIDADE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14:paraId="5D421D11">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450.000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14:paraId="4535573A">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R$ 1,25</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14:paraId="496D4C84">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R$ 1,17</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00E320F6">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R$ 1,066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787" w:type="dxa"/>
            <w:vAlign w:val="center"/>
            <w:textDirection w:val="lrTb"/>
            <w:noWrap w:val="false"/>
          </w:tcPr>
          <w:p w14:paraId="7336CE92">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R$ 1,16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399D14BB">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R$ 1,20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0A5892D4">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R$</w:t>
            </w:r>
            <w:r>
              <w:rPr>
                <w:rFonts w:ascii="Arial" w:hAnsi="Arial" w:cs="Arial"/>
                <w:color w:val="000000"/>
                <w:sz w:val="12"/>
                <w:szCs w:val="12"/>
                <w:highlight w:val="none"/>
              </w:rPr>
            </w:r>
            <w:r>
              <w:rPr>
                <w:rFonts w:ascii="Arial" w:hAnsi="Arial" w:cs="Arial"/>
                <w:color w:val="000000"/>
                <w:sz w:val="12"/>
                <w:szCs w:val="12"/>
                <w:highlight w:val="none"/>
              </w:rPr>
            </w:r>
          </w:p>
          <w:p w14:paraId="011558A5">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1,1692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327011B7">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R$ 526.140,00</w:t>
            </w:r>
            <w:r>
              <w:rPr>
                <w:rFonts w:ascii="Arial" w:hAnsi="Arial" w:cs="Arial"/>
                <w:sz w:val="12"/>
                <w:szCs w:val="12"/>
                <w:highlight w:val="none"/>
              </w:rPr>
            </w:r>
            <w:r>
              <w:rPr>
                <w:rFonts w:ascii="Arial" w:hAnsi="Arial" w:cs="Arial"/>
                <w:sz w:val="12"/>
                <w:szCs w:val="12"/>
                <w:highlight w:val="none"/>
              </w:rPr>
            </w:r>
          </w:p>
        </w:tc>
      </w:tr>
      <w:tr>
        <w:trPr>
          <w:trHeight w:val="402"/>
        </w:trPr>
        <w:tc>
          <w:tcPr>
            <w:gridSpan w:val="12"/>
            <w:shd w:val="clear" w:color="ffffff" w:fill="ffffff"/>
            <w:tcBorders>
              <w:left w:val="single" w:color="000000" w:sz="4" w:space="0"/>
              <w:bottom w:val="single" w:color="000000" w:sz="4" w:space="0"/>
              <w:right w:val="single" w:color="000000" w:sz="4" w:space="0"/>
            </w:tcBorders>
            <w:tcW w:w="9724" w:type="dxa"/>
            <w:vAlign w:val="center"/>
            <w:textDirection w:val="lrTb"/>
            <w:noWrap w:val="false"/>
          </w:tcPr>
          <w:p w14:paraId="3E5EC7CE">
            <w:pPr>
              <w:pBdr/>
              <w:spacing/>
              <w:ind w:left="220"/>
              <w:jc w:val="right"/>
              <w:rPr>
                <w:rFonts w:ascii="Arial" w:hAnsi="Arial" w:cs="Arial"/>
                <w:b/>
                <w:bCs/>
                <w:sz w:val="12"/>
                <w:szCs w:val="12"/>
                <w:highlight w:val="none"/>
              </w:rPr>
            </w:pPr>
            <w:r>
              <w:rPr>
                <w:rFonts w:ascii="Arial" w:hAnsi="Arial" w:eastAsia="Arial" w:cs="Arial"/>
                <w:b/>
                <w:bCs/>
                <w:sz w:val="12"/>
                <w:szCs w:val="12"/>
                <w:highlight w:val="none"/>
                <w:lang w:val="pt-BR"/>
              </w:rPr>
              <w:t xml:space="preserve">VALOR TOTAL</w:t>
            </w:r>
            <w:r>
              <w:rPr>
                <w:rFonts w:ascii="Arial" w:hAnsi="Arial" w:cs="Arial"/>
                <w:b/>
                <w:bCs/>
                <w:sz w:val="12"/>
                <w:szCs w:val="12"/>
                <w:highlight w:val="none"/>
              </w:rPr>
            </w:r>
            <w:r>
              <w:rPr>
                <w:rFonts w:ascii="Arial" w:hAnsi="Arial" w:cs="Arial"/>
                <w:b/>
                <w:bCs/>
                <w:sz w:val="12"/>
                <w:szCs w:val="12"/>
                <w:highlight w:val="none"/>
              </w:rPr>
            </w:r>
          </w:p>
        </w:tc>
        <w:tc>
          <w:tcPr>
            <w:shd w:val="clear" w:color="ffffff" w:fill="ffffff"/>
            <w:tcBorders>
              <w:left w:val="single" w:color="000000" w:sz="4" w:space="0"/>
              <w:bottom w:val="single" w:color="000000" w:sz="4" w:space="0"/>
              <w:right w:val="single" w:color="000000" w:sz="4" w:space="0"/>
            </w:tcBorders>
            <w:tcW w:w="775" w:type="dxa"/>
            <w:vAlign w:val="center"/>
            <w:textDirection w:val="lrTb"/>
            <w:noWrap w:val="false"/>
          </w:tcPr>
          <w:p w14:paraId="33E6AACD">
            <w:pPr>
              <w:pBdr/>
              <w:spacing/>
              <w:ind/>
              <w:jc w:val="center"/>
              <w:rPr>
                <w:rFonts w:ascii="Arial" w:hAnsi="Arial" w:cs="Arial"/>
                <w:b/>
                <w:bCs/>
                <w:sz w:val="12"/>
                <w:szCs w:val="12"/>
                <w:highlight w:val="none"/>
              </w:rPr>
            </w:pPr>
            <w:r>
              <w:rPr>
                <w:rFonts w:ascii="Arial" w:hAnsi="Arial" w:eastAsia="Arial" w:cs="Arial"/>
                <w:b/>
                <w:bCs/>
                <w:sz w:val="12"/>
                <w:szCs w:val="12"/>
                <w:highlight w:val="none"/>
                <w:lang w:val="pt-BR"/>
              </w:rPr>
              <w:t xml:space="preserve">R$ </w:t>
            </w:r>
            <w:r>
              <w:rPr>
                <w:rFonts w:ascii="Arial" w:hAnsi="Arial" w:cs="Arial"/>
                <w:b/>
                <w:bCs/>
                <w:sz w:val="12"/>
                <w:szCs w:val="12"/>
                <w:highlight w:val="none"/>
              </w:rPr>
            </w:r>
            <w:r>
              <w:rPr>
                <w:rFonts w:ascii="Arial" w:hAnsi="Arial" w:cs="Arial"/>
                <w:b/>
                <w:bCs/>
                <w:sz w:val="12"/>
                <w:szCs w:val="12"/>
                <w:highlight w:val="none"/>
              </w:rPr>
            </w:r>
          </w:p>
          <w:p w14:paraId="6B19BF67">
            <w:pPr>
              <w:pBdr/>
              <w:spacing/>
              <w:ind/>
              <w:jc w:val="center"/>
              <w:rPr>
                <w:rFonts w:ascii="Arial" w:hAnsi="Arial" w:cs="Arial"/>
                <w:b/>
                <w:bCs/>
                <w:sz w:val="12"/>
                <w:szCs w:val="12"/>
                <w:highlight w:val="none"/>
              </w:rPr>
            </w:pPr>
            <w:r>
              <w:rPr>
                <w:rFonts w:ascii="Arial" w:hAnsi="Arial" w:eastAsia="Arial" w:cs="Arial"/>
                <w:b/>
                <w:bCs/>
                <w:sz w:val="12"/>
                <w:szCs w:val="12"/>
                <w:highlight w:val="none"/>
                <w:lang w:val="pt-BR"/>
              </w:rPr>
              <w:t xml:space="preserve">1.405.533,00</w:t>
            </w:r>
            <w:r>
              <w:rPr>
                <w:rFonts w:ascii="Arial" w:hAnsi="Arial" w:cs="Arial"/>
                <w:b/>
                <w:bCs/>
                <w:sz w:val="12"/>
                <w:szCs w:val="12"/>
                <w:highlight w:val="none"/>
              </w:rPr>
            </w:r>
            <w:r>
              <w:rPr>
                <w:rFonts w:ascii="Arial" w:hAnsi="Arial" w:cs="Arial"/>
                <w:b/>
                <w:bCs/>
                <w:sz w:val="12"/>
                <w:szCs w:val="12"/>
                <w:highlight w:val="none"/>
              </w:rPr>
            </w:r>
          </w:p>
        </w:tc>
      </w:tr>
    </w:tbl>
    <w:p w14:paraId="127E0B95">
      <w:pPr>
        <w:pBdr/>
        <w:spacing/>
        <w:ind/>
        <w:jc w:val="both"/>
        <w:rPr>
          <w:rFonts w:ascii="Arial" w:hAnsi="Arial" w:cs="Arial"/>
          <w:highlight w:val="none"/>
        </w:rPr>
      </w:pPr>
      <w:r>
        <w:rPr>
          <w:rFonts w:ascii="Arial" w:hAnsi="Arial" w:eastAsia="Arial" w:cs="Arial"/>
          <w:highlight w:val="none"/>
        </w:rPr>
      </w:r>
      <w:r>
        <w:rPr>
          <w:rFonts w:ascii="Arial" w:hAnsi="Arial" w:cs="Arial"/>
          <w:highlight w:val="none"/>
        </w:rPr>
      </w:r>
      <w:r>
        <w:rPr>
          <w:rFonts w:ascii="Arial" w:hAnsi="Arial" w:cs="Arial"/>
          <w:highlight w:val="none"/>
        </w:rPr>
      </w:r>
    </w:p>
    <w:p w14:paraId="3F8E6A8D">
      <w:pPr>
        <w:pBdr/>
        <w:spacing/>
        <w:ind/>
        <w:jc w:val="both"/>
        <w:rPr>
          <w:rFonts w:ascii="Arial" w:hAnsi="Arial" w:cs="Arial"/>
          <w:highlight w:val="none"/>
        </w:rPr>
      </w:pPr>
      <w:r>
        <w:rPr>
          <w:rFonts w:ascii="Arial" w:hAnsi="Arial" w:eastAsia="Arial" w:cs="Arial"/>
          <w:b/>
          <w:bCs/>
          <w:highlight w:val="none"/>
        </w:rPr>
        <w:t xml:space="preserve">1.2.</w:t>
      </w:r>
      <w:r>
        <w:rPr>
          <w:rFonts w:ascii="Arial" w:hAnsi="Arial" w:eastAsia="Arial" w:cs="Arial"/>
          <w:highlight w:val="none"/>
        </w:rPr>
        <w:t xml:space="preserve"> O contrato ou instrumento equivalente a ser firmado com o fornecedor registrado será regido pelas disposições da Lei Federal nº 14.133/2021 e do Decreto Municipal nº 11.685/2023, especialmente quanto às contratações decorrentes do Sistema de Registro </w:t>
      </w:r>
      <w:r>
        <w:rPr>
          <w:rFonts w:ascii="Arial" w:hAnsi="Arial" w:eastAsia="Arial" w:cs="Arial"/>
          <w:highlight w:val="none"/>
        </w:rPr>
        <w:t xml:space="preserve">de Preços. O objeto possui natureza comum, considerando que os padrões de desempenho, qualidade, unidade de medida, condições de fornecimento e especificações técnicas podem ser definidos objetivamente no Edital, neste Termo de Referência e em seus anexos.</w:t>
      </w:r>
      <w:r>
        <w:rPr>
          <w:rFonts w:ascii="Arial" w:hAnsi="Arial" w:cs="Arial"/>
          <w:highlight w:val="none"/>
        </w:rPr>
      </w:r>
      <w:r>
        <w:rPr>
          <w:rFonts w:ascii="Arial" w:hAnsi="Arial" w:cs="Arial"/>
          <w:highlight w:val="none"/>
        </w:rPr>
      </w:r>
    </w:p>
    <w:p w14:paraId="5EAF91E6">
      <w:pPr>
        <w:pBdr/>
        <w:spacing/>
        <w:ind/>
        <w:jc w:val="both"/>
        <w:rPr>
          <w:rFonts w:ascii="Arial" w:hAnsi="Arial" w:cs="Arial"/>
          <w:highlight w:val="none"/>
        </w:rPr>
      </w:pPr>
      <w:r>
        <w:rPr>
          <w:rFonts w:ascii="Arial" w:hAnsi="Arial" w:eastAsia="Arial" w:cs="Arial"/>
          <w:b/>
          <w:bCs/>
          <w:highlight w:val="none"/>
        </w:rPr>
        <w:t xml:space="preserve">1.3</w:t>
      </w:r>
      <w:r>
        <w:rPr>
          <w:rFonts w:ascii="Arial" w:hAnsi="Arial" w:eastAsia="Arial" w:cs="Arial"/>
          <w:highlight w:val="none"/>
        </w:rPr>
        <w:t xml:space="preserve">. O prazo de vigência da Ata de Registro de Preços será de 01 (um) ano,</w:t>
      </w:r>
      <w:r>
        <w:rPr>
          <w:rFonts w:ascii="Arial" w:hAnsi="Arial" w:eastAsia="Arial" w:cs="Arial"/>
          <w:highlight w:val="none"/>
        </w:rPr>
        <w:t xml:space="preserve"> contado a partir de sua assinatura, podendo ser prorrogado por igual período, desde que comprovada a manutenção da vantajosidade dos preços registrados, nos termos do art. 84 da Lei Federal nº 14.133/2021 e do art. 303 do Decreto Municipal nº 11.685/2023.</w:t>
      </w:r>
      <w:r>
        <w:rPr>
          <w:rFonts w:ascii="Arial" w:hAnsi="Arial" w:cs="Arial"/>
          <w:highlight w:val="none"/>
        </w:rPr>
      </w:r>
      <w:r>
        <w:rPr>
          <w:rFonts w:ascii="Arial" w:hAnsi="Arial" w:cs="Arial"/>
          <w:highlight w:val="none"/>
        </w:rPr>
      </w:r>
    </w:p>
    <w:p w14:paraId="7D87C639">
      <w:pPr>
        <w:pBdr/>
        <w:spacing/>
        <w:ind/>
        <w:jc w:val="both"/>
        <w:rPr>
          <w:rFonts w:ascii="Arial" w:hAnsi="Arial" w:cs="Arial"/>
          <w:highlight w:val="none"/>
        </w:rPr>
      </w:pPr>
      <w:r>
        <w:rPr>
          <w:rFonts w:ascii="Arial" w:hAnsi="Arial" w:eastAsia="Arial" w:cs="Arial"/>
          <w:b/>
          <w:bCs/>
          <w:highlight w:val="none"/>
        </w:rPr>
        <w:t xml:space="preserve">1.4.</w:t>
      </w:r>
      <w:r>
        <w:rPr>
          <w:rFonts w:ascii="Arial" w:hAnsi="Arial" w:eastAsia="Arial" w:cs="Arial"/>
          <w:highlight w:val="none"/>
          <w:lang w:val="pt-BR"/>
        </w:rPr>
        <w:t xml:space="preserve"> </w:t>
      </w:r>
      <w:r>
        <w:rPr>
          <w:rFonts w:ascii="Arial" w:hAnsi="Arial" w:eastAsia="Arial" w:cs="Arial"/>
          <w:highlight w:val="none"/>
        </w:rPr>
        <w:t xml:space="preserve">Na hipótese de prorrogação da vigência da Ata de Reg</w:t>
      </w:r>
      <w:r>
        <w:rPr>
          <w:rFonts w:ascii="Arial" w:hAnsi="Arial" w:eastAsia="Arial" w:cs="Arial"/>
          <w:highlight w:val="none"/>
        </w:rPr>
        <w:t xml:space="preserve">istro de Preços, poderá ser renovado o quantitativo originalmente registrado, desde que comprovado que os preços permanecem vantajosos, haja anuência do fornecedor registrado e sejam atendidas as condições estabelecidas no Decreto Municipal nº 11.685/2023.</w:t>
      </w:r>
      <w:r>
        <w:rPr>
          <w:rFonts w:ascii="Arial" w:hAnsi="Arial" w:cs="Arial"/>
          <w:highlight w:val="none"/>
        </w:rPr>
      </w:r>
      <w:r>
        <w:rPr>
          <w:rFonts w:ascii="Arial" w:hAnsi="Arial" w:cs="Arial"/>
          <w:highlight w:val="none"/>
        </w:rPr>
      </w:r>
    </w:p>
    <w:p w14:paraId="12A9C063">
      <w:pPr>
        <w:pBdr/>
        <w:spacing/>
        <w:ind/>
        <w:jc w:val="both"/>
        <w:rPr>
          <w:rFonts w:ascii="Arial" w:hAnsi="Arial" w:cs="Arial"/>
          <w:highlight w:val="none"/>
        </w:rPr>
      </w:pPr>
      <w:r>
        <w:rPr>
          <w:rFonts w:ascii="Arial" w:hAnsi="Arial" w:eastAsia="Arial" w:cs="Arial"/>
          <w:b/>
          <w:bCs/>
          <w:highlight w:val="none"/>
          <w:lang w:val="pt-BR"/>
        </w:rPr>
        <w:t xml:space="preserve">1.5.</w:t>
      </w:r>
      <w:r>
        <w:rPr>
          <w:rFonts w:ascii="Arial" w:hAnsi="Arial" w:eastAsia="Arial" w:cs="Arial"/>
          <w:highlight w:val="none"/>
          <w:lang w:val="pt-BR"/>
        </w:rPr>
        <w:t xml:space="preserve"> O prazo de v</w:t>
      </w:r>
      <w:r>
        <w:rPr>
          <w:rFonts w:ascii="Arial" w:hAnsi="Arial" w:eastAsia="Arial" w:cs="Arial"/>
          <w:highlight w:val="none"/>
          <w:lang w:val="pt-BR"/>
        </w:rPr>
        <w:t xml:space="preserve">igência dos contratos ou instrumentos equivalentes decorrentes da Ata de Registro de Preços será estabelecido de acordo com a natureza de cada parcela do objeto, observadas as disposições da Lei Federal nº 14.133/2021 e do Decreto Municipal nº 11.685/2023.</w:t>
      </w:r>
      <w:r>
        <w:rPr>
          <w:rFonts w:ascii="Arial" w:hAnsi="Arial" w:cs="Arial"/>
          <w:highlight w:val="none"/>
        </w:rPr>
      </w:r>
      <w:r>
        <w:rPr>
          <w:rFonts w:ascii="Arial" w:hAnsi="Arial" w:cs="Arial"/>
          <w:highlight w:val="none"/>
        </w:rPr>
      </w:r>
    </w:p>
    <w:p w14:paraId="433EB058">
      <w:pPr>
        <w:pBdr/>
        <w:spacing/>
        <w:ind/>
        <w:jc w:val="both"/>
        <w:rPr>
          <w:rFonts w:ascii="Arial" w:hAnsi="Arial" w:cs="Arial"/>
          <w:highlight w:val="none"/>
        </w:rPr>
      </w:pPr>
      <w:r>
        <w:rPr>
          <w:rFonts w:ascii="Arial" w:hAnsi="Arial" w:eastAsia="Arial" w:cs="Arial"/>
          <w:b/>
          <w:bCs/>
          <w:highlight w:val="none"/>
          <w:lang w:val="pt-BR"/>
        </w:rPr>
        <w:t xml:space="preserve">1.5.1</w:t>
      </w:r>
      <w:r>
        <w:rPr>
          <w:rFonts w:ascii="Arial" w:hAnsi="Arial" w:eastAsia="Arial" w:cs="Arial"/>
          <w:highlight w:val="none"/>
          <w:lang w:val="pt-BR"/>
        </w:rPr>
        <w:t xml:space="preserve">. Para os insumos laboratoriais que compõem o LOTE ÚNICO, as contratações serão formalizadas conforme as necessidades da Administração, mediante Nota de Empenho, Ordem de Fornecimento, contrato ou outro instrumento equivalente.</w:t>
      </w:r>
      <w:r>
        <w:rPr>
          <w:rFonts w:ascii="Arial" w:hAnsi="Arial" w:cs="Arial"/>
          <w:highlight w:val="none"/>
        </w:rPr>
      </w:r>
      <w:r>
        <w:rPr>
          <w:rFonts w:ascii="Arial" w:hAnsi="Arial" w:cs="Arial"/>
          <w:highlight w:val="none"/>
        </w:rPr>
      </w:r>
    </w:p>
    <w:p w14:paraId="7F38F15D">
      <w:pPr>
        <w:pBdr/>
        <w:spacing/>
        <w:ind/>
        <w:jc w:val="both"/>
        <w:rPr>
          <w:rFonts w:ascii="Arial" w:hAnsi="Arial" w:cs="Arial"/>
          <w:highlight w:val="none"/>
        </w:rPr>
      </w:pPr>
      <w:r>
        <w:rPr>
          <w:rFonts w:ascii="Arial" w:hAnsi="Arial" w:eastAsia="Arial" w:cs="Arial"/>
          <w:b/>
          <w:bCs/>
          <w:highlight w:val="none"/>
        </w:rPr>
        <w:t xml:space="preserve">1.6.</w:t>
      </w:r>
      <w:r>
        <w:rPr>
          <w:rFonts w:ascii="Arial" w:hAnsi="Arial" w:eastAsia="Arial" w:cs="Arial"/>
          <w:highlight w:val="none"/>
        </w:rPr>
        <w:t xml:space="preserve"> O prazo para liquidação será de 15 (quinze) dias úteis, contados da apresentação da nota fiscal devidamente atestada</w:t>
      </w:r>
      <w:r>
        <w:rPr>
          <w:rFonts w:ascii="Arial" w:hAnsi="Arial" w:cs="Arial"/>
          <w:highlight w:val="none"/>
        </w:rPr>
      </w:r>
      <w:r>
        <w:rPr>
          <w:rFonts w:ascii="Arial" w:hAnsi="Arial" w:cs="Arial"/>
          <w:highlight w:val="none"/>
        </w:rPr>
      </w:r>
    </w:p>
    <w:p w14:paraId="14932751">
      <w:pPr>
        <w:pBdr/>
        <w:spacing/>
        <w:ind/>
        <w:jc w:val="both"/>
        <w:rPr>
          <w:rFonts w:ascii="Arial" w:hAnsi="Arial" w:cs="Arial"/>
          <w:sz w:val="18"/>
          <w:szCs w:val="18"/>
          <w:highlight w:val="none"/>
        </w:rPr>
      </w:pPr>
      <w:r>
        <w:rPr>
          <w:rFonts w:ascii="Arial" w:hAnsi="Arial" w:eastAsia="Arial" w:cs="Arial"/>
          <w:sz w:val="18"/>
          <w:szCs w:val="18"/>
          <w:highlight w:val="none"/>
          <w:lang w:val="pt-BR"/>
        </w:rPr>
      </w:r>
      <w:r>
        <w:rPr>
          <w:rFonts w:ascii="Arial" w:hAnsi="Arial" w:cs="Arial"/>
          <w:sz w:val="18"/>
          <w:szCs w:val="18"/>
          <w:highlight w:val="none"/>
        </w:rPr>
      </w:r>
      <w:r>
        <w:rPr>
          <w:rFonts w:ascii="Arial" w:hAnsi="Arial" w:cs="Arial"/>
          <w:sz w:val="18"/>
          <w:szCs w:val="18"/>
          <w:highlight w:val="none"/>
        </w:rPr>
      </w:r>
    </w:p>
    <w:p w14:paraId="0A3C21C3">
      <w:pPr>
        <w:pBdr/>
        <w:shd w:val="clear" w:color="auto" w:fill="cccccc"/>
        <w:spacing/>
        <w:ind/>
        <w:jc w:val="both"/>
        <w:rPr>
          <w:rFonts w:ascii="Arial" w:hAnsi="Arial" w:cs="Arial"/>
          <w:highlight w:val="none"/>
        </w:rPr>
      </w:pPr>
      <w:r>
        <w:rPr>
          <w:rFonts w:ascii="Arial" w:hAnsi="Arial" w:eastAsia="Arial" w:cs="Arial"/>
          <w:b/>
          <w:bCs/>
          <w:highlight w:val="none"/>
        </w:rPr>
        <w:t xml:space="preserve">2 – FUNDAMENTAÇÃO E DESCRIÇÃO DA NECESSIDADE DA CONTRATAÇÃO</w:t>
      </w:r>
      <w:r>
        <w:rPr>
          <w:rFonts w:ascii="Arial" w:hAnsi="Arial" w:cs="Arial"/>
          <w:highlight w:val="none"/>
        </w:rPr>
      </w:r>
      <w:r>
        <w:rPr>
          <w:rFonts w:ascii="Arial" w:hAnsi="Arial" w:cs="Arial"/>
          <w:highlight w:val="none"/>
        </w:rPr>
      </w:r>
    </w:p>
    <w:p w14:paraId="3E7C81BA">
      <w:pPr>
        <w:pBdr/>
        <w:spacing/>
        <w:ind/>
        <w:jc w:val="both"/>
        <w:rPr>
          <w:rFonts w:ascii="Arial" w:hAnsi="Arial" w:cs="Arial"/>
          <w:b/>
          <w:bCs/>
          <w:highlight w:val="none"/>
        </w:rPr>
      </w:pPr>
      <w:r>
        <w:rPr>
          <w:rFonts w:ascii="Arial" w:hAnsi="Arial" w:eastAsia="Arial" w:cs="Arial"/>
          <w:b/>
          <w:bCs/>
          <w:highlight w:val="none"/>
          <w:lang w:val="pt-BR"/>
        </w:rPr>
      </w:r>
      <w:r>
        <w:rPr>
          <w:rFonts w:ascii="Arial" w:hAnsi="Arial" w:cs="Arial"/>
          <w:b/>
          <w:bCs/>
          <w:highlight w:val="none"/>
        </w:rPr>
      </w:r>
      <w:r>
        <w:rPr>
          <w:rFonts w:ascii="Arial" w:hAnsi="Arial" w:cs="Arial"/>
          <w:b/>
          <w:bCs/>
          <w:highlight w:val="none"/>
        </w:rPr>
      </w:r>
    </w:p>
    <w:p w14:paraId="3BCB8C37">
      <w:pPr>
        <w:pBdr/>
        <w:spacing/>
        <w:ind/>
        <w:jc w:val="both"/>
        <w:rPr>
          <w:rFonts w:ascii="Arial" w:hAnsi="Arial" w:cs="Arial"/>
          <w:highlight w:val="none"/>
        </w:rPr>
      </w:pPr>
      <w:r>
        <w:rPr>
          <w:rFonts w:ascii="Arial" w:hAnsi="Arial" w:eastAsia="Arial" w:cs="Arial"/>
          <w:b/>
          <w:bCs/>
          <w:highlight w:val="none"/>
          <w:lang w:val="pt-BR"/>
        </w:rPr>
        <w:t xml:space="preserve">2.1.</w:t>
      </w:r>
      <w:r>
        <w:rPr>
          <w:rFonts w:ascii="Arial" w:hAnsi="Arial" w:eastAsia="Arial" w:cs="Arial"/>
          <w:highlight w:val="none"/>
          <w:lang w:val="pt-BR"/>
        </w:rPr>
        <w:t xml:space="preserve"> </w:t>
      </w:r>
      <w:r>
        <w:rPr>
          <w:rFonts w:ascii="Arial" w:hAnsi="Arial" w:eastAsia="Arial" w:cs="Arial"/>
          <w:highlight w:val="none"/>
        </w:rPr>
        <w:t xml:space="preserve">A presente contratação encontra-se fundamentada no Estudo Técnico Preliminar – ETP, elaborado em observância </w:t>
      </w:r>
      <w:r>
        <w:rPr>
          <w:rFonts w:ascii="Arial" w:hAnsi="Arial" w:eastAsia="Arial" w:cs="Arial"/>
          <w:highlight w:val="none"/>
        </w:rPr>
        <w:t xml:space="preserve">à Lei Federal nº 14.133/2021 e às normas aplicáveis no âmbito desta Administração, no qual foram demonstradas a necessidade administrativa, a viabilidade técn</w:t>
      </w:r>
      <w:r>
        <w:rPr>
          <w:rFonts w:ascii="Arial" w:hAnsi="Arial" w:eastAsia="Arial" w:cs="Arial"/>
          <w:highlight w:val="none"/>
        </w:rPr>
        <w:t xml:space="preserve">ica e econômica e a adequação da solução escolhida para atendimento de todos os laboratórios vinculados à Secretaria Municipal de Saúde de Rondonópolis/MT, incluindo o Laboratório Central Municipal e os laboratórios das unidades da rede municipal de saúde.</w:t>
      </w:r>
      <w:r>
        <w:rPr>
          <w:rFonts w:ascii="Arial" w:hAnsi="Arial" w:cs="Arial"/>
          <w:highlight w:val="none"/>
        </w:rPr>
      </w:r>
      <w:r>
        <w:rPr>
          <w:rFonts w:ascii="Arial" w:hAnsi="Arial" w:cs="Arial"/>
          <w:highlight w:val="none"/>
        </w:rPr>
      </w:r>
    </w:p>
    <w:p w14:paraId="2BA1C05C">
      <w:pPr>
        <w:pBdr/>
        <w:spacing/>
        <w:ind/>
        <w:jc w:val="both"/>
        <w:rPr>
          <w:rFonts w:ascii="Arial" w:hAnsi="Arial" w:cs="Arial"/>
          <w:highlight w:val="none"/>
        </w:rPr>
      </w:pPr>
      <w:r>
        <w:rPr>
          <w:rFonts w:ascii="Arial" w:hAnsi="Arial" w:eastAsia="Arial" w:cs="Arial"/>
          <w:b/>
          <w:bCs/>
          <w:highlight w:val="none"/>
          <w:lang w:val="pt-BR"/>
        </w:rPr>
        <w:t xml:space="preserve">2.2.</w:t>
      </w:r>
      <w:r>
        <w:rPr>
          <w:rFonts w:ascii="Arial" w:hAnsi="Arial" w:eastAsia="Arial" w:cs="Arial"/>
          <w:highlight w:val="none"/>
          <w:lang w:val="pt-BR"/>
        </w:rPr>
        <w:t xml:space="preserve"> O Estudo Técnico Preliminar apontou como principais fundamentos e justificativas para a contratação:</w:t>
      </w:r>
      <w:r>
        <w:rPr>
          <w:rFonts w:ascii="Arial" w:hAnsi="Arial" w:cs="Arial"/>
          <w:highlight w:val="none"/>
        </w:rPr>
      </w:r>
      <w:r>
        <w:rPr>
          <w:rFonts w:ascii="Arial" w:hAnsi="Arial" w:cs="Arial"/>
          <w:highlight w:val="none"/>
        </w:rPr>
      </w:r>
    </w:p>
    <w:p w14:paraId="0E08AA3C">
      <w:pPr>
        <w:pBdr/>
        <w:spacing/>
        <w:ind/>
        <w:jc w:val="both"/>
        <w:rPr>
          <w:rFonts w:ascii="Arial" w:hAnsi="Arial" w:cs="Arial"/>
          <w:highlight w:val="none"/>
        </w:rPr>
      </w:pPr>
      <w:r>
        <w:rPr>
          <w:rFonts w:ascii="Arial" w:hAnsi="Arial" w:eastAsia="Arial" w:cs="Arial"/>
          <w:b/>
          <w:bCs/>
          <w:highlight w:val="none"/>
          <w:lang w:val="pt-BR"/>
        </w:rPr>
        <w:t xml:space="preserve">2.2.1.</w:t>
      </w:r>
      <w:r>
        <w:rPr>
          <w:rFonts w:ascii="Arial" w:hAnsi="Arial" w:eastAsia="Arial" w:cs="Arial"/>
          <w:highlight w:val="none"/>
          <w:lang w:val="pt-BR"/>
        </w:rPr>
        <w:t xml:space="preserve"> A necessidade de assegurar o abastecime</w:t>
      </w:r>
      <w:r>
        <w:rPr>
          <w:rFonts w:ascii="Arial" w:hAnsi="Arial" w:eastAsia="Arial" w:cs="Arial"/>
          <w:highlight w:val="none"/>
          <w:lang w:val="pt-BR"/>
        </w:rPr>
        <w:t xml:space="preserve">nto regular e contínuo de tubos e agulhas destinados à coleta de sangue a vácuo, materiais indispensáveis à realização dos exames laboratoriais processados pelo Laboratório Central Municipal – LACEM e ao atendimento das unidades da rede municipal de saúde.</w:t>
      </w:r>
      <w:r>
        <w:rPr>
          <w:rFonts w:ascii="Arial" w:hAnsi="Arial" w:cs="Arial"/>
          <w:highlight w:val="none"/>
        </w:rPr>
      </w:r>
      <w:r>
        <w:rPr>
          <w:rFonts w:ascii="Arial" w:hAnsi="Arial" w:cs="Arial"/>
          <w:highlight w:val="none"/>
        </w:rPr>
      </w:r>
    </w:p>
    <w:p w14:paraId="112F2969">
      <w:pPr>
        <w:pBdr/>
        <w:spacing/>
        <w:ind/>
        <w:jc w:val="both"/>
        <w:rPr>
          <w:rFonts w:ascii="Arial" w:hAnsi="Arial" w:cs="Arial"/>
          <w:highlight w:val="none"/>
        </w:rPr>
      </w:pPr>
      <w:r>
        <w:rPr>
          <w:rFonts w:ascii="Arial" w:hAnsi="Arial" w:eastAsia="Arial" w:cs="Arial"/>
          <w:b/>
          <w:bCs/>
          <w:highlight w:val="none"/>
          <w:lang w:val="pt-BR"/>
        </w:rPr>
        <w:t xml:space="preserve">2.2.2</w:t>
      </w:r>
      <w:r>
        <w:rPr>
          <w:rFonts w:ascii="Arial" w:hAnsi="Arial" w:eastAsia="Arial" w:cs="Arial"/>
          <w:highlight w:val="none"/>
          <w:lang w:val="pt-BR"/>
        </w:rPr>
        <w:t xml:space="preserve">. A essencialidade desses insumos para a execução da fase pré-analítica dos exames laboratoriais, que compree</w:t>
      </w:r>
      <w:r>
        <w:rPr>
          <w:rFonts w:ascii="Arial" w:hAnsi="Arial" w:eastAsia="Arial" w:cs="Arial"/>
          <w:highlight w:val="none"/>
          <w:lang w:val="pt-BR"/>
        </w:rPr>
        <w:t xml:space="preserve">nde as etapas de coleta, identificação, acondicionamento, preservação e preparação das amostras biológicas, cuja realização adequada influencia diretamente a integridade das amostras e a precisão, confiabilidade e reprodutibilidade dos resultados emitidos.</w:t>
      </w:r>
      <w:r>
        <w:rPr>
          <w:rFonts w:ascii="Arial" w:hAnsi="Arial" w:cs="Arial"/>
          <w:highlight w:val="none"/>
        </w:rPr>
      </w:r>
      <w:r>
        <w:rPr>
          <w:rFonts w:ascii="Arial" w:hAnsi="Arial" w:cs="Arial"/>
          <w:highlight w:val="none"/>
        </w:rPr>
      </w:r>
    </w:p>
    <w:p w14:paraId="6B632EE8">
      <w:pPr>
        <w:pBdr/>
        <w:spacing/>
        <w:ind/>
        <w:jc w:val="both"/>
        <w:rPr>
          <w:rFonts w:ascii="Arial" w:hAnsi="Arial" w:cs="Arial"/>
          <w:highlight w:val="none"/>
        </w:rPr>
      </w:pPr>
      <w:r>
        <w:rPr>
          <w:rFonts w:ascii="Arial" w:hAnsi="Arial" w:eastAsia="Arial" w:cs="Arial"/>
          <w:b/>
          <w:bCs/>
          <w:highlight w:val="none"/>
          <w:lang w:val="pt-BR"/>
        </w:rPr>
        <w:t xml:space="preserve">2.2.3.</w:t>
      </w:r>
      <w:r>
        <w:rPr>
          <w:rFonts w:ascii="Arial" w:hAnsi="Arial" w:eastAsia="Arial" w:cs="Arial"/>
          <w:highlight w:val="none"/>
          <w:lang w:val="pt-BR"/>
        </w:rPr>
        <w:t xml:space="preserve"> A necessidade de atender à demanda contínua das unidades ambulatoriais, hospitalares e de urgência e emergência da rede municipal, assegurando estoque suficiente para o funcionamento ininterrupto dos postos de coleta e dos serviços laboratoriais.</w:t>
      </w:r>
      <w:r>
        <w:rPr>
          <w:rFonts w:ascii="Arial" w:hAnsi="Arial" w:cs="Arial"/>
          <w:highlight w:val="none"/>
        </w:rPr>
      </w:r>
      <w:r>
        <w:rPr>
          <w:rFonts w:ascii="Arial" w:hAnsi="Arial" w:cs="Arial"/>
          <w:highlight w:val="none"/>
        </w:rPr>
      </w:r>
    </w:p>
    <w:p w14:paraId="1C7143CC">
      <w:pPr>
        <w:pBdr/>
        <w:spacing/>
        <w:ind/>
        <w:jc w:val="both"/>
        <w:rPr>
          <w:rFonts w:ascii="Arial" w:hAnsi="Arial" w:cs="Arial"/>
          <w:highlight w:val="none"/>
        </w:rPr>
      </w:pPr>
      <w:r>
        <w:rPr>
          <w:rFonts w:ascii="Arial" w:hAnsi="Arial" w:eastAsia="Arial" w:cs="Arial"/>
          <w:b/>
          <w:bCs/>
          <w:highlight w:val="none"/>
          <w:lang w:val="pt-BR"/>
        </w:rPr>
        <w:t xml:space="preserve">2.2.4.</w:t>
      </w:r>
      <w:r>
        <w:rPr>
          <w:rFonts w:ascii="Arial" w:hAnsi="Arial" w:eastAsia="Arial" w:cs="Arial"/>
          <w:highlight w:val="none"/>
          <w:lang w:val="pt-BR"/>
        </w:rPr>
        <w:t xml:space="preserve"> A necessidade de prevenir situações de desabastecimento, fornecimento irregular ou insuficiência dos materiais, que poderão ocasionar atrasos ou int</w:t>
      </w:r>
      <w:r>
        <w:rPr>
          <w:rFonts w:ascii="Arial" w:hAnsi="Arial" w:eastAsia="Arial" w:cs="Arial"/>
          <w:highlight w:val="none"/>
          <w:lang w:val="pt-BR"/>
        </w:rPr>
        <w:t xml:space="preserve">errupções nas coletas, reagendamento dos usuários, repetição de procedimentos, descarte de amostras inadequadas, realização de novas coletas e prejuízos ao diagnóstico, ao acompanhamento clínico e ao tratamento dos usuários do Sistema Único de Saúde – SUS.</w:t>
      </w:r>
      <w:r>
        <w:rPr>
          <w:rFonts w:ascii="Arial" w:hAnsi="Arial" w:cs="Arial"/>
          <w:highlight w:val="none"/>
        </w:rPr>
      </w:r>
      <w:r>
        <w:rPr>
          <w:rFonts w:ascii="Arial" w:hAnsi="Arial" w:cs="Arial"/>
          <w:highlight w:val="none"/>
        </w:rPr>
      </w:r>
    </w:p>
    <w:p w14:paraId="7BDA0F19">
      <w:pPr>
        <w:pBdr/>
        <w:spacing/>
        <w:ind/>
        <w:jc w:val="both"/>
        <w:rPr>
          <w:rFonts w:ascii="Arial" w:hAnsi="Arial" w:cs="Arial"/>
          <w:highlight w:val="none"/>
        </w:rPr>
      </w:pPr>
      <w:r>
        <w:rPr>
          <w:rFonts w:ascii="Arial" w:hAnsi="Arial" w:eastAsia="Arial" w:cs="Arial"/>
          <w:b/>
          <w:bCs/>
          <w:highlight w:val="none"/>
          <w:lang w:val="pt-BR"/>
        </w:rPr>
        <w:t xml:space="preserve">2.2.5.</w:t>
      </w:r>
      <w:r>
        <w:rPr>
          <w:rFonts w:ascii="Arial" w:hAnsi="Arial" w:eastAsia="Arial" w:cs="Arial"/>
          <w:highlight w:val="none"/>
          <w:lang w:val="pt-BR"/>
        </w:rPr>
        <w:t xml:space="preserve"> A necessidade de garantir que os produtos apresentem qualidade, segurança, esterilidade e desempenho compatíveis com os pr</w:t>
      </w:r>
      <w:r>
        <w:rPr>
          <w:rFonts w:ascii="Arial" w:hAnsi="Arial" w:eastAsia="Arial" w:cs="Arial"/>
          <w:highlight w:val="none"/>
          <w:lang w:val="pt-BR"/>
        </w:rPr>
        <w:t xml:space="preserve">ocedimentos laboratoriais, reduzindo os riscos de hemólise, formação de coágulos ou fibrina residual, preenchimento inadequado dos tubos, alteração da proporção entre sangue e aditivo e demais interferências capazes de comprometer os resultados dos exames.</w:t>
      </w:r>
      <w:r>
        <w:rPr>
          <w:rFonts w:ascii="Arial" w:hAnsi="Arial" w:cs="Arial"/>
          <w:highlight w:val="none"/>
        </w:rPr>
      </w:r>
      <w:r>
        <w:rPr>
          <w:rFonts w:ascii="Arial" w:hAnsi="Arial" w:cs="Arial"/>
          <w:highlight w:val="none"/>
        </w:rPr>
      </w:r>
    </w:p>
    <w:p w14:paraId="382F11BF">
      <w:pPr>
        <w:pBdr/>
        <w:spacing/>
        <w:ind/>
        <w:jc w:val="both"/>
        <w:rPr>
          <w:rFonts w:ascii="Arial" w:hAnsi="Arial" w:cs="Arial"/>
          <w:highlight w:val="none"/>
        </w:rPr>
      </w:pPr>
      <w:r>
        <w:rPr>
          <w:rFonts w:ascii="Arial" w:hAnsi="Arial" w:eastAsia="Arial" w:cs="Arial"/>
          <w:b/>
          <w:bCs/>
          <w:highlight w:val="none"/>
          <w:lang w:val="pt-BR"/>
        </w:rPr>
        <w:t xml:space="preserve">2.2.6.</w:t>
      </w:r>
      <w:r>
        <w:rPr>
          <w:rFonts w:ascii="Arial" w:hAnsi="Arial" w:eastAsia="Arial" w:cs="Arial"/>
          <w:highlight w:val="none"/>
          <w:lang w:val="pt-BR"/>
        </w:rPr>
        <w:t xml:space="preserve"> A necessidade de assegurar a padronização e </w:t>
      </w:r>
      <w:r>
        <w:rPr>
          <w:rFonts w:ascii="Arial" w:hAnsi="Arial" w:eastAsia="Arial" w:cs="Arial"/>
          <w:highlight w:val="none"/>
          <w:lang w:val="pt-BR"/>
        </w:rPr>
        <w:t xml:space="preserve">a compatibilidade técnica e operacional entre os tubos e as agulhas utilizados na coleta de sangue a vácuo, garantindo o adequado funcionamento do sistema de coleta, a segurança dos profissionais e dos pacientes e a preservação da integridade das amostras.</w:t>
      </w:r>
      <w:r>
        <w:rPr>
          <w:rFonts w:ascii="Arial" w:hAnsi="Arial" w:cs="Arial"/>
          <w:highlight w:val="none"/>
        </w:rPr>
      </w:r>
      <w:r>
        <w:rPr>
          <w:rFonts w:ascii="Arial" w:hAnsi="Arial" w:cs="Arial"/>
          <w:highlight w:val="none"/>
        </w:rPr>
      </w:r>
    </w:p>
    <w:p w14:paraId="2DEC7EDC">
      <w:pPr>
        <w:pBdr/>
        <w:spacing/>
        <w:ind/>
        <w:jc w:val="both"/>
        <w:rPr>
          <w:rFonts w:ascii="Arial" w:hAnsi="Arial" w:cs="Arial"/>
          <w:highlight w:val="none"/>
        </w:rPr>
      </w:pPr>
      <w:r>
        <w:rPr>
          <w:rFonts w:ascii="Arial" w:hAnsi="Arial" w:eastAsia="Arial" w:cs="Arial"/>
          <w:b/>
          <w:bCs/>
          <w:highlight w:val="none"/>
          <w:lang w:val="pt-BR"/>
        </w:rPr>
        <w:t xml:space="preserve">2.2.7.</w:t>
      </w:r>
      <w:r>
        <w:rPr>
          <w:rFonts w:ascii="Arial" w:hAnsi="Arial" w:eastAsia="Arial" w:cs="Arial"/>
          <w:highlight w:val="none"/>
          <w:lang w:val="pt-BR"/>
        </w:rPr>
        <w:t xml:space="preserve"> A adequação da contratação em LOTE ÚNICO, considerando a necessidade de </w:t>
      </w:r>
      <w:r>
        <w:rPr>
          <w:rFonts w:ascii="Arial" w:hAnsi="Arial" w:eastAsia="Arial" w:cs="Arial"/>
          <w:highlight w:val="none"/>
          <w:lang w:val="pt-BR"/>
        </w:rPr>
        <w:t xml:space="preserve">aquisição integrada dos tubos e das agulhas destinados à coleta de sangue a vácuo, com julgamento pelo critério de menor preço global do lote, de forma a assegurar a padronização e a compatibilidade dos materiais utilizados nos procedimentos laboratoriais.</w:t>
      </w:r>
      <w:r>
        <w:rPr>
          <w:rFonts w:ascii="Arial" w:hAnsi="Arial" w:cs="Arial"/>
          <w:highlight w:val="none"/>
        </w:rPr>
      </w:r>
      <w:r>
        <w:rPr>
          <w:rFonts w:ascii="Arial" w:hAnsi="Arial" w:cs="Arial"/>
          <w:highlight w:val="none"/>
        </w:rPr>
      </w:r>
    </w:p>
    <w:p w14:paraId="1151EF09">
      <w:pPr>
        <w:pBdr/>
        <w:spacing/>
        <w:ind/>
        <w:jc w:val="both"/>
        <w:rPr>
          <w:rFonts w:ascii="Arial" w:hAnsi="Arial" w:cs="Arial"/>
          <w:highlight w:val="none"/>
        </w:rPr>
      </w:pPr>
      <w:r>
        <w:rPr>
          <w:rFonts w:ascii="Arial" w:hAnsi="Arial" w:eastAsia="Arial" w:cs="Arial"/>
          <w:b/>
          <w:bCs/>
          <w:highlight w:val="none"/>
          <w:lang w:val="pt-BR"/>
        </w:rPr>
        <w:t xml:space="preserve">2.2.8.</w:t>
      </w:r>
      <w:r>
        <w:rPr>
          <w:rFonts w:ascii="Arial" w:hAnsi="Arial" w:eastAsia="Arial" w:cs="Arial"/>
          <w:highlight w:val="none"/>
          <w:lang w:val="pt-BR"/>
        </w:rPr>
        <w:t xml:space="preserve"> A conveniência da adoção do Sistema de Registro de Preços, tendo em vista o consumo contínuo dos materiais, a elevada demanda assistencial e a impo</w:t>
      </w:r>
      <w:r>
        <w:rPr>
          <w:rFonts w:ascii="Arial" w:hAnsi="Arial" w:eastAsia="Arial" w:cs="Arial"/>
          <w:highlight w:val="none"/>
          <w:lang w:val="pt-BR"/>
        </w:rPr>
        <w:t xml:space="preserve">ssibilidade de determinar previamente, com exatidão, o momento e o quantitativo de cada fornecimento, permitindo que as aquisições sejam realizadas de forma futura, eventual e parcelada, conforme as necessidades efetivamente verificadas pela Administração.</w:t>
      </w:r>
      <w:r>
        <w:rPr>
          <w:rFonts w:ascii="Arial" w:hAnsi="Arial" w:cs="Arial"/>
          <w:highlight w:val="none"/>
        </w:rPr>
      </w:r>
      <w:r>
        <w:rPr>
          <w:rFonts w:ascii="Arial" w:hAnsi="Arial" w:cs="Arial"/>
          <w:highlight w:val="none"/>
        </w:rPr>
      </w:r>
    </w:p>
    <w:p w14:paraId="680C9AA9">
      <w:pPr>
        <w:pBdr/>
        <w:spacing/>
        <w:ind/>
        <w:jc w:val="both"/>
        <w:rPr>
          <w:rFonts w:ascii="Arial" w:hAnsi="Arial" w:cs="Arial"/>
          <w:highlight w:val="none"/>
        </w:rPr>
      </w:pPr>
      <w:r>
        <w:rPr>
          <w:rFonts w:ascii="Arial" w:hAnsi="Arial" w:eastAsia="Arial" w:cs="Arial"/>
          <w:b/>
          <w:bCs/>
          <w:highlight w:val="none"/>
          <w:lang w:val="pt-BR"/>
        </w:rPr>
        <w:t xml:space="preserve">2.2.9</w:t>
      </w:r>
      <w:r>
        <w:rPr>
          <w:rFonts w:ascii="Arial" w:hAnsi="Arial" w:eastAsia="Arial" w:cs="Arial"/>
          <w:highlight w:val="none"/>
          <w:lang w:val="pt-BR"/>
        </w:rPr>
        <w:t xml:space="preserve">. A busca pela eficiência e economicidade na aplicação dos recursos públicos</w:t>
      </w:r>
      <w:r>
        <w:rPr>
          <w:rFonts w:ascii="Arial" w:hAnsi="Arial" w:eastAsia="Arial" w:cs="Arial"/>
          <w:highlight w:val="none"/>
          <w:lang w:val="pt-BR"/>
        </w:rPr>
        <w:t xml:space="preserve">, mediante o planejamento adequado das aquisições, o controle dos estoques, a redução de desperdícios e perdas por vencimento, a racionalização do armazenamento e a diminuição do risco de contratações emergenciais decorrentes da insuficiência de materiais.</w:t>
      </w:r>
      <w:r>
        <w:rPr>
          <w:rFonts w:ascii="Arial" w:hAnsi="Arial" w:cs="Arial"/>
          <w:highlight w:val="none"/>
        </w:rPr>
      </w:r>
      <w:r>
        <w:rPr>
          <w:rFonts w:ascii="Arial" w:hAnsi="Arial" w:cs="Arial"/>
          <w:highlight w:val="none"/>
        </w:rPr>
      </w:r>
    </w:p>
    <w:p w14:paraId="12A348D7">
      <w:pPr>
        <w:pBdr/>
        <w:spacing/>
        <w:ind/>
        <w:jc w:val="both"/>
        <w:rPr>
          <w:rFonts w:ascii="Arial" w:hAnsi="Arial" w:cs="Arial"/>
          <w:highlight w:val="none"/>
        </w:rPr>
      </w:pPr>
      <w:r>
        <w:rPr>
          <w:rFonts w:ascii="Arial" w:hAnsi="Arial" w:eastAsia="Arial" w:cs="Arial"/>
          <w:b/>
          <w:bCs/>
          <w:highlight w:val="none"/>
          <w:lang w:val="pt-BR"/>
        </w:rPr>
        <w:t xml:space="preserve">2.3.</w:t>
      </w:r>
      <w:r>
        <w:rPr>
          <w:rFonts w:ascii="Arial" w:hAnsi="Arial" w:eastAsia="Arial" w:cs="Arial"/>
          <w:highlight w:val="none"/>
          <w:lang w:val="pt-BR"/>
        </w:rPr>
        <w:t xml:space="preserve"> A contratação pretende, portanto, assegurar a continuidade e a qualidade dos serviços laboratoriais públicos, a segurança dos usuários e dos profissionais, a redução de </w:t>
      </w:r>
      <w:r>
        <w:rPr>
          <w:rFonts w:ascii="Arial" w:hAnsi="Arial" w:eastAsia="Arial" w:cs="Arial"/>
          <w:highlight w:val="none"/>
          <w:lang w:val="pt-BR"/>
        </w:rPr>
        <w:t xml:space="preserve">recoletas</w:t>
      </w:r>
      <w:r>
        <w:rPr>
          <w:rFonts w:ascii="Arial" w:hAnsi="Arial" w:eastAsia="Arial" w:cs="Arial"/>
          <w:highlight w:val="none"/>
          <w:lang w:val="pt-BR"/>
        </w:rPr>
        <w:t xml:space="preserve"> e de falhas na fase pré-analítica, a adequada preservação das amostras e a emissão de resultados confiáveis em tempo oportuno.</w:t>
      </w:r>
      <w:r>
        <w:rPr>
          <w:rFonts w:ascii="Arial" w:hAnsi="Arial" w:cs="Arial"/>
          <w:highlight w:val="none"/>
        </w:rPr>
      </w:r>
      <w:r>
        <w:rPr>
          <w:rFonts w:ascii="Arial" w:hAnsi="Arial" w:cs="Arial"/>
          <w:highlight w:val="none"/>
        </w:rPr>
      </w:r>
    </w:p>
    <w:p w14:paraId="2BE251A2">
      <w:pPr>
        <w:pBdr/>
        <w:spacing/>
        <w:ind/>
        <w:jc w:val="both"/>
        <w:rPr>
          <w:rFonts w:ascii="Arial" w:hAnsi="Arial" w:cs="Arial"/>
          <w:highlight w:val="none"/>
        </w:rPr>
      </w:pPr>
      <w:r>
        <w:rPr>
          <w:rFonts w:ascii="Arial" w:hAnsi="Arial" w:eastAsia="Arial" w:cs="Arial"/>
          <w:b/>
          <w:bCs/>
          <w:highlight w:val="none"/>
          <w:lang w:val="pt-BR"/>
        </w:rPr>
        <w:t xml:space="preserve">2.3.1.</w:t>
      </w:r>
      <w:r>
        <w:rPr>
          <w:rFonts w:ascii="Arial" w:hAnsi="Arial" w:eastAsia="Arial" w:cs="Arial"/>
          <w:highlight w:val="none"/>
          <w:lang w:val="pt-BR"/>
        </w:rPr>
        <w:t xml:space="preserve"> Registra-se que a estimativa do valor da contratação foi elaborada com base em pesquisa de preços atualizada, observadas as condições de mercado vigentes e as especificidades dos itens qu</w:t>
      </w:r>
      <w:r>
        <w:rPr>
          <w:rFonts w:ascii="Arial" w:hAnsi="Arial" w:eastAsia="Arial" w:cs="Arial"/>
          <w:highlight w:val="none"/>
          <w:lang w:val="pt-BR"/>
        </w:rPr>
        <w:t xml:space="preserve">e compõem o objeto. Eventuais diferenças em relação aos valores históricos poderão decorrer de oscilações econômicas, variações nos custos de produção, logística e comercialização, bem como de outros fatores que impactem o mercado de insumos laboratoriais.</w:t>
      </w:r>
      <w:r>
        <w:rPr>
          <w:rFonts w:ascii="Arial" w:hAnsi="Arial" w:cs="Arial"/>
          <w:highlight w:val="none"/>
        </w:rPr>
      </w:r>
      <w:r>
        <w:rPr>
          <w:rFonts w:ascii="Arial" w:hAnsi="Arial" w:cs="Arial"/>
          <w:highlight w:val="none"/>
        </w:rPr>
      </w:r>
    </w:p>
    <w:p w14:paraId="1967CF40">
      <w:pPr>
        <w:pBdr/>
        <w:spacing/>
        <w:ind/>
        <w:jc w:val="both"/>
        <w:rPr>
          <w:rFonts w:ascii="Arial" w:hAnsi="Arial" w:cs="Arial"/>
          <w:sz w:val="18"/>
          <w:szCs w:val="18"/>
          <w:highlight w:val="none"/>
        </w:rPr>
      </w:pPr>
      <w:r>
        <w:rPr>
          <w:rFonts w:ascii="Arial" w:hAnsi="Arial" w:eastAsia="Arial" w:cs="Arial"/>
          <w:sz w:val="18"/>
          <w:szCs w:val="18"/>
          <w:highlight w:val="none"/>
          <w:lang w:val="pt-BR"/>
        </w:rPr>
      </w:r>
      <w:r>
        <w:rPr>
          <w:rFonts w:ascii="Arial" w:hAnsi="Arial" w:cs="Arial"/>
          <w:sz w:val="18"/>
          <w:szCs w:val="18"/>
          <w:highlight w:val="none"/>
        </w:rPr>
      </w:r>
      <w:r>
        <w:rPr>
          <w:rFonts w:ascii="Arial" w:hAnsi="Arial" w:cs="Arial"/>
          <w:sz w:val="18"/>
          <w:szCs w:val="18"/>
          <w:highlight w:val="none"/>
        </w:rPr>
      </w:r>
    </w:p>
    <w:p w14:paraId="44392BED">
      <w:pPr>
        <w:pBdr/>
        <w:shd w:val="clear" w:color="auto" w:fill="cccccc"/>
        <w:spacing/>
        <w:ind/>
        <w:jc w:val="both"/>
        <w:rPr>
          <w:rFonts w:ascii="Arial" w:hAnsi="Arial" w:cs="Arial"/>
          <w:highlight w:val="none"/>
        </w:rPr>
      </w:pPr>
      <w:r>
        <w:rPr>
          <w:rFonts w:ascii="Arial" w:hAnsi="Arial" w:eastAsia="Arial" w:cs="Arial"/>
          <w:b/>
          <w:bCs/>
          <w:highlight w:val="none"/>
        </w:rPr>
        <w:t xml:space="preserve">3 – DESCRIÇÃO DA SOLUÇÃO COM</w:t>
      </w:r>
      <w:r>
        <w:rPr>
          <w:rFonts w:ascii="Arial" w:hAnsi="Arial" w:eastAsia="Arial" w:cs="Arial"/>
          <w:b/>
          <w:bCs/>
          <w:highlight w:val="none"/>
        </w:rPr>
        <w:t xml:space="preserve">O</w:t>
      </w:r>
      <w:r>
        <w:rPr>
          <w:rFonts w:ascii="Arial" w:hAnsi="Arial" w:eastAsia="Arial" w:cs="Arial"/>
          <w:b/>
          <w:bCs/>
          <w:highlight w:val="none"/>
        </w:rPr>
        <w:t xml:space="preserve"> UM TODO CONSIDERANDO O CICLO DE VIDA DO OBJETO</w:t>
      </w:r>
      <w:r>
        <w:rPr>
          <w:rFonts w:ascii="Arial" w:hAnsi="Arial" w:cs="Arial"/>
          <w:highlight w:val="none"/>
        </w:rPr>
      </w:r>
      <w:r>
        <w:rPr>
          <w:rFonts w:ascii="Arial" w:hAnsi="Arial" w:cs="Arial"/>
          <w:highlight w:val="none"/>
        </w:rPr>
      </w:r>
    </w:p>
    <w:p w14:paraId="7BE7854D">
      <w:pPr>
        <w:pBdr/>
        <w:spacing/>
        <w:ind/>
        <w:jc w:val="both"/>
        <w:rPr>
          <w:rFonts w:ascii="Arial" w:hAnsi="Arial" w:cs="Arial"/>
          <w:sz w:val="18"/>
          <w:szCs w:val="18"/>
          <w:highlight w:val="none"/>
        </w:rPr>
      </w:pPr>
      <w:r>
        <w:rPr>
          <w:rFonts w:ascii="Arial" w:hAnsi="Arial" w:eastAsia="Arial" w:cs="Arial"/>
          <w:sz w:val="18"/>
          <w:szCs w:val="18"/>
          <w:highlight w:val="none"/>
        </w:rPr>
      </w:r>
      <w:r>
        <w:rPr>
          <w:rFonts w:ascii="Arial" w:hAnsi="Arial" w:cs="Arial"/>
          <w:sz w:val="18"/>
          <w:szCs w:val="18"/>
          <w:highlight w:val="none"/>
        </w:rPr>
      </w:r>
      <w:r>
        <w:rPr>
          <w:rFonts w:ascii="Arial" w:hAnsi="Arial" w:cs="Arial"/>
          <w:sz w:val="18"/>
          <w:szCs w:val="18"/>
          <w:highlight w:val="none"/>
        </w:rPr>
      </w:r>
    </w:p>
    <w:p w14:paraId="6C037EA7">
      <w:pPr>
        <w:pBdr/>
        <w:spacing/>
        <w:ind/>
        <w:jc w:val="both"/>
        <w:rPr>
          <w:rFonts w:ascii="Arial" w:hAnsi="Arial" w:cs="Arial"/>
          <w:b/>
          <w:bCs/>
          <w:highlight w:val="none"/>
        </w:rPr>
      </w:pPr>
      <w:r>
        <w:rPr>
          <w:rFonts w:ascii="Arial" w:hAnsi="Arial" w:eastAsia="Arial" w:cs="Arial"/>
          <w:b/>
          <w:bCs/>
          <w:highlight w:val="none"/>
          <w:lang w:val="pt-BR"/>
        </w:rPr>
        <w:t xml:space="preserve">3.1.</w:t>
      </w:r>
      <w:r>
        <w:rPr>
          <w:rFonts w:ascii="Arial" w:hAnsi="Arial" w:eastAsia="Arial" w:cs="Arial"/>
          <w:highlight w:val="none"/>
          <w:lang w:val="pt-BR"/>
        </w:rPr>
        <w:t xml:space="preserve"> </w:t>
      </w:r>
      <w:r>
        <w:rPr>
          <w:rFonts w:ascii="Arial" w:hAnsi="Arial" w:eastAsia="Arial" w:cs="Arial"/>
          <w:highlight w:val="none"/>
        </w:rPr>
        <w:t xml:space="preserve">A solução consiste na realização de Registro de Preços para futura e eventual aquisiçã</w:t>
      </w:r>
      <w:r>
        <w:rPr>
          <w:rFonts w:ascii="Arial" w:hAnsi="Arial" w:eastAsia="Arial" w:cs="Arial"/>
          <w:highlight w:val="none"/>
        </w:rPr>
        <w:t xml:space="preserve">o de tubos e agulhas destinados à coleta de sangue a vácuo, organizados em LOTE ÚNICO, para atendimento de todos os laboratórios vinculados à Secretaria Municipal de Saúde de Rondonópolis/MT, incluindo o Laboratório Central Municipal e os laboratórios das </w:t>
      </w:r>
      <w:r>
        <w:rPr>
          <w:rFonts w:ascii="Arial" w:hAnsi="Arial" w:eastAsia="Arial" w:cs="Arial"/>
          <w:highlight w:val="none"/>
        </w:rPr>
        <w:t xml:space="preserve">unidades da rede municipal de saúde.</w:t>
      </w:r>
      <w:r>
        <w:rPr>
          <w:rFonts w:ascii="Arial" w:hAnsi="Arial" w:eastAsia="Arial" w:cs="Arial"/>
          <w:b/>
          <w:bCs/>
          <w:highlight w:val="none"/>
          <w:lang w:val="pt-BR"/>
        </w:rPr>
        <w:t xml:space="preserve"> </w:t>
      </w:r>
      <w:r>
        <w:rPr>
          <w:rFonts w:ascii="Arial" w:hAnsi="Arial" w:cs="Arial"/>
          <w:b/>
          <w:bCs/>
          <w:highlight w:val="none"/>
        </w:rPr>
      </w:r>
      <w:r>
        <w:rPr>
          <w:rFonts w:ascii="Arial" w:hAnsi="Arial" w:cs="Arial"/>
          <w:b/>
          <w:bCs/>
          <w:highlight w:val="none"/>
        </w:rPr>
      </w:r>
    </w:p>
    <w:p w14:paraId="5A721F9B">
      <w:pPr>
        <w:pBdr/>
        <w:spacing/>
        <w:ind/>
        <w:jc w:val="both"/>
        <w:rPr>
          <w:rFonts w:ascii="Arial" w:hAnsi="Arial" w:cs="Arial"/>
          <w:highlight w:val="none"/>
        </w:rPr>
      </w:pPr>
      <w:r>
        <w:rPr>
          <w:rFonts w:ascii="Arial" w:hAnsi="Arial" w:eastAsia="Arial" w:cs="Arial"/>
          <w:b/>
          <w:bCs/>
          <w:highlight w:val="none"/>
          <w:lang w:val="pt-BR"/>
        </w:rPr>
        <w:t xml:space="preserve">3.1.1.</w:t>
      </w:r>
      <w:r>
        <w:rPr>
          <w:rFonts w:ascii="Arial" w:hAnsi="Arial" w:eastAsia="Arial" w:cs="Arial"/>
          <w:highlight w:val="none"/>
          <w:lang w:val="pt-BR"/>
        </w:rPr>
        <w:t xml:space="preserve"> A con</w:t>
      </w:r>
      <w:r>
        <w:rPr>
          <w:rFonts w:ascii="Arial" w:hAnsi="Arial" w:eastAsia="Arial" w:cs="Arial"/>
          <w:highlight w:val="none"/>
          <w:lang w:val="pt-BR"/>
        </w:rPr>
        <w:t xml:space="preserve">tratação será estruturada em LOTE ÚNICO, contemplando todos os tubos e agulhas que integram o objeto, considerando a necessidade de padronização e compatibilidade técnica e operacional dos materiais utilizados nos procedimentos de coleta de sangue a vácuo.</w:t>
      </w:r>
      <w:r>
        <w:rPr>
          <w:rFonts w:ascii="Arial" w:hAnsi="Arial" w:cs="Arial"/>
          <w:highlight w:val="none"/>
        </w:rPr>
      </w:r>
      <w:r>
        <w:rPr>
          <w:rFonts w:ascii="Arial" w:hAnsi="Arial" w:cs="Arial"/>
          <w:highlight w:val="none"/>
        </w:rPr>
      </w:r>
    </w:p>
    <w:p w14:paraId="37271D02">
      <w:pPr>
        <w:pBdr/>
        <w:spacing/>
        <w:ind/>
        <w:jc w:val="both"/>
        <w:rPr>
          <w:rFonts w:ascii="Arial" w:hAnsi="Arial" w:cs="Arial"/>
          <w:highlight w:val="none"/>
        </w:rPr>
      </w:pPr>
      <w:r>
        <w:rPr>
          <w:rFonts w:ascii="Arial" w:hAnsi="Arial" w:eastAsia="Arial" w:cs="Arial"/>
          <w:b/>
          <w:bCs/>
          <w:highlight w:val="none"/>
          <w:lang w:val="pt-BR"/>
        </w:rPr>
        <w:t xml:space="preserve">3.2.</w:t>
      </w:r>
      <w:r>
        <w:rPr>
          <w:rFonts w:ascii="Arial" w:hAnsi="Arial" w:eastAsia="Arial" w:cs="Arial"/>
          <w:highlight w:val="none"/>
          <w:lang w:val="pt-BR"/>
        </w:rPr>
        <w:t xml:space="preserve"> A seleção do fornecedor ocorrerá mediante Pregão Eletrônico, com adoção do Sistema de Registro de Preços e critério de julgamento pelo MENOR PREÇO GLOBAL DO LOTE, sendo os itens adjudicados a um único fornecedor.</w:t>
      </w:r>
      <w:r>
        <w:rPr>
          <w:rFonts w:ascii="Arial" w:hAnsi="Arial" w:cs="Arial"/>
          <w:highlight w:val="none"/>
        </w:rPr>
      </w:r>
      <w:r>
        <w:rPr>
          <w:rFonts w:ascii="Arial" w:hAnsi="Arial" w:cs="Arial"/>
          <w:highlight w:val="none"/>
        </w:rPr>
      </w:r>
    </w:p>
    <w:p w14:paraId="281E188A">
      <w:pPr>
        <w:pBdr/>
        <w:spacing/>
        <w:ind/>
        <w:jc w:val="both"/>
        <w:rPr>
          <w:rFonts w:ascii="Arial" w:hAnsi="Arial" w:cs="Arial"/>
          <w:highlight w:val="none"/>
        </w:rPr>
      </w:pPr>
      <w:r>
        <w:rPr>
          <w:rFonts w:ascii="Arial" w:hAnsi="Arial" w:eastAsia="Arial" w:cs="Arial"/>
          <w:b/>
          <w:bCs/>
          <w:highlight w:val="none"/>
          <w:lang w:val="pt-BR"/>
        </w:rPr>
        <w:t xml:space="preserve">3.3.</w:t>
      </w:r>
      <w:r>
        <w:rPr>
          <w:rFonts w:ascii="Arial" w:hAnsi="Arial" w:eastAsia="Arial" w:cs="Arial"/>
          <w:highlight w:val="none"/>
          <w:lang w:val="pt-BR"/>
        </w:rPr>
        <w:t xml:space="preserve"> O fornecimento dos insumos será realizado de forma parcelada, c</w:t>
      </w:r>
      <w:r>
        <w:rPr>
          <w:rFonts w:ascii="Arial" w:hAnsi="Arial" w:eastAsia="Arial" w:cs="Arial"/>
          <w:highlight w:val="none"/>
          <w:lang w:val="pt-BR"/>
        </w:rPr>
        <w:t xml:space="preserve">onforme a demanda efetivamente verificada pela Administração, mediante emissão de Ordem de Fornecimento, Nota de Empenho ou instrumento equivalente, não ficando a Secretaria Municipal de Saúde obrigada a adquirir integralmente os quantitativos registrados.</w:t>
      </w:r>
      <w:r>
        <w:rPr>
          <w:rFonts w:ascii="Arial" w:hAnsi="Arial" w:cs="Arial"/>
          <w:highlight w:val="none"/>
        </w:rPr>
      </w:r>
      <w:r>
        <w:rPr>
          <w:rFonts w:ascii="Arial" w:hAnsi="Arial" w:cs="Arial"/>
          <w:highlight w:val="none"/>
        </w:rPr>
      </w:r>
    </w:p>
    <w:p w14:paraId="1DE24D05">
      <w:pPr>
        <w:pBdr/>
        <w:spacing/>
        <w:ind/>
        <w:jc w:val="both"/>
        <w:rPr>
          <w:rFonts w:ascii="Arial" w:hAnsi="Arial" w:cs="Arial"/>
          <w:highlight w:val="none"/>
        </w:rPr>
      </w:pPr>
      <w:r>
        <w:rPr>
          <w:rFonts w:ascii="Arial" w:hAnsi="Arial" w:eastAsia="Arial" w:cs="Arial"/>
          <w:b/>
          <w:bCs/>
          <w:highlight w:val="none"/>
          <w:lang w:val="pt-BR"/>
        </w:rPr>
        <w:t xml:space="preserve">3.4.</w:t>
      </w:r>
      <w:r>
        <w:rPr>
          <w:rFonts w:ascii="Arial" w:hAnsi="Arial" w:eastAsia="Arial" w:cs="Arial"/>
          <w:highlight w:val="none"/>
          <w:lang w:val="pt-BR"/>
        </w:rPr>
        <w:t xml:space="preserve"> A adoção do fornecimento parcelado permitirá o planej</w:t>
      </w:r>
      <w:r>
        <w:rPr>
          <w:rFonts w:ascii="Arial" w:hAnsi="Arial" w:eastAsia="Arial" w:cs="Arial"/>
          <w:highlight w:val="none"/>
          <w:lang w:val="pt-BR"/>
        </w:rPr>
        <w:t xml:space="preserve">amento das aquisições de acordo com o consumo efetivamente verificado, o maior controle dos estoques e dos prazos de validade, a redução de perdas por vencimento, a racionalização dos espaços de armazenamento e a prevenção de situações de desabastecimento.</w:t>
      </w:r>
      <w:r>
        <w:rPr>
          <w:rFonts w:ascii="Arial" w:hAnsi="Arial" w:cs="Arial"/>
          <w:highlight w:val="none"/>
        </w:rPr>
      </w:r>
      <w:r>
        <w:rPr>
          <w:rFonts w:ascii="Arial" w:hAnsi="Arial" w:cs="Arial"/>
          <w:highlight w:val="none"/>
        </w:rPr>
      </w:r>
    </w:p>
    <w:p w14:paraId="56C038C6">
      <w:pPr>
        <w:pBdr/>
        <w:spacing/>
        <w:ind/>
        <w:jc w:val="both"/>
        <w:rPr>
          <w:rFonts w:ascii="Arial" w:hAnsi="Arial" w:cs="Arial"/>
          <w:highlight w:val="none"/>
        </w:rPr>
      </w:pPr>
      <w:r>
        <w:rPr>
          <w:rFonts w:ascii="Arial" w:hAnsi="Arial" w:eastAsia="Arial" w:cs="Arial"/>
          <w:b/>
          <w:bCs/>
          <w:highlight w:val="none"/>
          <w:lang w:val="pt-BR"/>
        </w:rPr>
        <w:t xml:space="preserve">3.5.</w:t>
      </w:r>
      <w:r>
        <w:rPr>
          <w:rFonts w:ascii="Arial" w:hAnsi="Arial" w:eastAsia="Arial" w:cs="Arial"/>
          <w:highlight w:val="none"/>
          <w:lang w:val="pt-BR"/>
        </w:rPr>
        <w:t xml:space="preserve"> Os materiais fornecidos deverão ser novos, de primeiro uso, estéreis, descartáveis, </w:t>
      </w:r>
      <w:r>
        <w:rPr>
          <w:rFonts w:ascii="Arial" w:hAnsi="Arial" w:eastAsia="Arial" w:cs="Arial"/>
          <w:highlight w:val="none"/>
          <w:lang w:val="pt-BR"/>
        </w:rPr>
        <w:t xml:space="preserve">atóxicos e devidamente regularizados perante a Agência Nacional de Vigilância Sanitária – Anvisa, quando aplicável, devendo ser entregues em embalagens originais, invioladas e adequadas à preservação de sua qualidade, integridade, esterilidade e segurança.</w:t>
      </w:r>
      <w:r>
        <w:rPr>
          <w:rFonts w:ascii="Arial" w:hAnsi="Arial" w:cs="Arial"/>
          <w:highlight w:val="none"/>
        </w:rPr>
      </w:r>
      <w:r>
        <w:rPr>
          <w:rFonts w:ascii="Arial" w:hAnsi="Arial" w:cs="Arial"/>
          <w:highlight w:val="none"/>
        </w:rPr>
      </w:r>
    </w:p>
    <w:p w14:paraId="5FB3F629">
      <w:pPr>
        <w:pBdr/>
        <w:spacing/>
        <w:ind/>
        <w:jc w:val="both"/>
        <w:rPr>
          <w:rFonts w:ascii="Arial" w:hAnsi="Arial" w:cs="Arial"/>
          <w:highlight w:val="none"/>
        </w:rPr>
      </w:pPr>
      <w:r>
        <w:rPr>
          <w:rFonts w:ascii="Arial" w:hAnsi="Arial" w:eastAsia="Arial" w:cs="Arial"/>
          <w:b/>
          <w:bCs/>
          <w:highlight w:val="none"/>
          <w:lang w:val="pt-BR"/>
        </w:rPr>
        <w:t xml:space="preserve">3.6.</w:t>
      </w:r>
      <w:r>
        <w:rPr>
          <w:rFonts w:ascii="Arial" w:hAnsi="Arial" w:eastAsia="Arial" w:cs="Arial"/>
          <w:highlight w:val="none"/>
          <w:lang w:val="pt-BR"/>
        </w:rPr>
        <w:t xml:space="preserve"> Os tubos e as agulhas deverão atender integralmente às especificações técnicas de cada item e apresentar compatibilidade técnica e operacional para o uso pretendido.</w:t>
      </w:r>
      <w:r>
        <w:rPr>
          <w:rFonts w:ascii="Arial" w:hAnsi="Arial" w:cs="Arial"/>
          <w:highlight w:val="none"/>
        </w:rPr>
      </w:r>
      <w:r>
        <w:rPr>
          <w:rFonts w:ascii="Arial" w:hAnsi="Arial" w:cs="Arial"/>
          <w:highlight w:val="none"/>
        </w:rPr>
      </w:r>
    </w:p>
    <w:p w14:paraId="0A2C3D06">
      <w:pPr>
        <w:pBdr/>
        <w:spacing/>
        <w:ind/>
        <w:jc w:val="both"/>
        <w:rPr>
          <w:rFonts w:ascii="Arial" w:hAnsi="Arial" w:cs="Arial"/>
          <w:highlight w:val="none"/>
        </w:rPr>
      </w:pPr>
      <w:r>
        <w:rPr>
          <w:rFonts w:ascii="Arial" w:hAnsi="Arial" w:eastAsia="Arial" w:cs="Arial"/>
          <w:b/>
          <w:bCs/>
          <w:highlight w:val="none"/>
          <w:lang w:val="pt-BR"/>
        </w:rPr>
        <w:t xml:space="preserve">3.6.1</w:t>
      </w:r>
      <w:r>
        <w:rPr>
          <w:rFonts w:ascii="Arial" w:hAnsi="Arial" w:eastAsia="Arial" w:cs="Arial"/>
          <w:highlight w:val="none"/>
          <w:lang w:val="pt-BR"/>
        </w:rPr>
        <w:t xml:space="preserve">. Será exigido que os tubos e as agulhas sejam do mesmo fabricante e da mesma marca, garantindo a padronização e a compatibilidade técnica e operacional do sistema de coleta de sangue a vácuo.</w:t>
      </w:r>
      <w:r>
        <w:rPr>
          <w:rFonts w:ascii="Arial" w:hAnsi="Arial" w:cs="Arial"/>
          <w:highlight w:val="none"/>
        </w:rPr>
      </w:r>
      <w:r>
        <w:rPr>
          <w:rFonts w:ascii="Arial" w:hAnsi="Arial" w:cs="Arial"/>
          <w:highlight w:val="none"/>
        </w:rPr>
      </w:r>
    </w:p>
    <w:p w14:paraId="28B04FFA">
      <w:pPr>
        <w:pBdr/>
        <w:spacing/>
        <w:ind/>
        <w:jc w:val="both"/>
        <w:rPr>
          <w:rFonts w:ascii="Arial" w:hAnsi="Arial" w:cs="Arial"/>
          <w:highlight w:val="none"/>
        </w:rPr>
      </w:pPr>
      <w:r>
        <w:rPr>
          <w:rFonts w:ascii="Arial" w:hAnsi="Arial" w:eastAsia="Arial" w:cs="Arial"/>
          <w:b/>
          <w:bCs/>
          <w:highlight w:val="none"/>
          <w:lang w:val="pt-BR"/>
        </w:rPr>
        <w:t xml:space="preserve">3.6.2</w:t>
      </w:r>
      <w:r>
        <w:rPr>
          <w:rFonts w:ascii="Arial" w:hAnsi="Arial" w:eastAsia="Arial" w:cs="Arial"/>
          <w:highlight w:val="none"/>
          <w:lang w:val="pt-BR"/>
        </w:rPr>
        <w:t xml:space="preserve">. A comprovação dessa exigência deverá ser realizada mediante catálogo, ficha técnica, manual do fabricante, declaração do fabricante ou outro documento técnico idôneo.</w:t>
      </w:r>
      <w:r>
        <w:rPr>
          <w:rFonts w:ascii="Arial" w:hAnsi="Arial" w:cs="Arial"/>
          <w:highlight w:val="none"/>
        </w:rPr>
      </w:r>
      <w:r>
        <w:rPr>
          <w:rFonts w:ascii="Arial" w:hAnsi="Arial" w:cs="Arial"/>
          <w:highlight w:val="none"/>
        </w:rPr>
      </w:r>
    </w:p>
    <w:p w14:paraId="21421D07">
      <w:pPr>
        <w:pBdr/>
        <w:spacing/>
        <w:ind/>
        <w:jc w:val="both"/>
        <w:rPr>
          <w:rFonts w:ascii="Arial" w:hAnsi="Arial" w:cs="Arial"/>
          <w:highlight w:val="none"/>
        </w:rPr>
      </w:pPr>
      <w:r>
        <w:rPr>
          <w:rFonts w:ascii="Arial" w:hAnsi="Arial" w:eastAsia="Arial" w:cs="Arial"/>
          <w:b/>
          <w:bCs/>
          <w:highlight w:val="none"/>
          <w:lang w:val="pt-BR"/>
        </w:rPr>
        <w:t xml:space="preserve">3.6.3.</w:t>
      </w:r>
      <w:r>
        <w:rPr>
          <w:rFonts w:ascii="Arial" w:hAnsi="Arial" w:eastAsia="Arial" w:cs="Arial"/>
          <w:highlight w:val="none"/>
          <w:lang w:val="pt-BR"/>
        </w:rPr>
        <w:t xml:space="preserve"> A Administração poderá solicitar documentação técnica complementar ou, excepcionalmente, amostra do produto, quando necessária à confirmação das especificações técnicas e da compatibilidade exigidas neste Termo de Referência.</w:t>
      </w:r>
      <w:r>
        <w:rPr>
          <w:rFonts w:ascii="Arial" w:hAnsi="Arial" w:cs="Arial"/>
          <w:highlight w:val="none"/>
        </w:rPr>
      </w:r>
      <w:r>
        <w:rPr>
          <w:rFonts w:ascii="Arial" w:hAnsi="Arial" w:cs="Arial"/>
          <w:highlight w:val="none"/>
        </w:rPr>
      </w:r>
    </w:p>
    <w:p w14:paraId="0B2F0E05">
      <w:pPr>
        <w:pBdr/>
        <w:spacing/>
        <w:ind/>
        <w:jc w:val="both"/>
        <w:rPr>
          <w:rFonts w:ascii="Arial" w:hAnsi="Arial" w:cs="Arial"/>
          <w:highlight w:val="none"/>
        </w:rPr>
      </w:pPr>
      <w:r>
        <w:rPr>
          <w:rFonts w:ascii="Arial" w:hAnsi="Arial" w:eastAsia="Arial" w:cs="Arial"/>
          <w:b/>
          <w:bCs/>
          <w:highlight w:val="none"/>
          <w:lang w:val="pt-BR"/>
        </w:rPr>
        <w:t xml:space="preserve">3.7.</w:t>
      </w:r>
      <w:r>
        <w:rPr>
          <w:rFonts w:ascii="Arial" w:hAnsi="Arial" w:eastAsia="Arial" w:cs="Arial"/>
          <w:highlight w:val="none"/>
          <w:lang w:val="pt-BR"/>
        </w:rPr>
        <w:t xml:space="preserve"> O ciclo de vida dos insumos laboratoriais compreenderá o planejamento da demanda, a emissão da solicitação de for</w:t>
      </w:r>
      <w:r>
        <w:rPr>
          <w:rFonts w:ascii="Arial" w:hAnsi="Arial" w:eastAsia="Arial" w:cs="Arial"/>
          <w:highlight w:val="none"/>
          <w:lang w:val="pt-BR"/>
        </w:rPr>
        <w:t xml:space="preserve">necimento, o transporte, o acondicionamento, a entrega, o recebimento provisório e definitivo, o armazenamento, a distribuição, a utilização nos procedimentos de coleta, a substituição dos produtos desconformes e a destinação final ambientalmente adequada.</w:t>
      </w:r>
      <w:r>
        <w:rPr>
          <w:rFonts w:ascii="Arial" w:hAnsi="Arial" w:cs="Arial"/>
          <w:highlight w:val="none"/>
        </w:rPr>
      </w:r>
      <w:r>
        <w:rPr>
          <w:rFonts w:ascii="Arial" w:hAnsi="Arial" w:cs="Arial"/>
          <w:highlight w:val="none"/>
        </w:rPr>
      </w:r>
    </w:p>
    <w:p w14:paraId="43F084D3">
      <w:pPr>
        <w:pBdr/>
        <w:spacing/>
        <w:ind/>
        <w:jc w:val="both"/>
        <w:rPr>
          <w:rFonts w:ascii="Arial" w:hAnsi="Arial" w:cs="Arial"/>
          <w:highlight w:val="none"/>
        </w:rPr>
      </w:pPr>
      <w:r>
        <w:rPr>
          <w:rFonts w:ascii="Arial" w:hAnsi="Arial" w:eastAsia="Arial" w:cs="Arial"/>
          <w:b/>
          <w:bCs/>
          <w:highlight w:val="none"/>
          <w:lang w:val="pt-BR"/>
        </w:rPr>
        <w:t xml:space="preserve">3.8</w:t>
      </w:r>
      <w:r>
        <w:rPr>
          <w:rFonts w:ascii="Arial" w:hAnsi="Arial" w:eastAsia="Arial" w:cs="Arial"/>
          <w:highlight w:val="none"/>
          <w:lang w:val="pt-BR"/>
        </w:rPr>
        <w:t xml:space="preserve">. O transporte e a entrega dos produtos deverão ocorrer em cond</w:t>
      </w:r>
      <w:r>
        <w:rPr>
          <w:rFonts w:ascii="Arial" w:hAnsi="Arial" w:eastAsia="Arial" w:cs="Arial"/>
          <w:highlight w:val="none"/>
          <w:lang w:val="pt-BR"/>
        </w:rPr>
        <w:t xml:space="preserve">ições adequadas de higiene, segurança, acondicionamento e proteção, observadas as orientações do fabricante, de modo a preservar as características, a esterilidade, a integridade e o desempenho dos materiais até o recebimento definitivo pela Administração.</w:t>
      </w:r>
      <w:r>
        <w:rPr>
          <w:rFonts w:ascii="Arial" w:hAnsi="Arial" w:cs="Arial"/>
          <w:highlight w:val="none"/>
        </w:rPr>
      </w:r>
      <w:r>
        <w:rPr>
          <w:rFonts w:ascii="Arial" w:hAnsi="Arial" w:cs="Arial"/>
          <w:highlight w:val="none"/>
        </w:rPr>
      </w:r>
    </w:p>
    <w:p w14:paraId="165A8EBD">
      <w:pPr>
        <w:pBdr/>
        <w:spacing/>
        <w:ind/>
        <w:jc w:val="both"/>
        <w:rPr>
          <w:rFonts w:ascii="Arial" w:hAnsi="Arial" w:cs="Arial"/>
          <w:highlight w:val="none"/>
        </w:rPr>
      </w:pPr>
      <w:r>
        <w:rPr>
          <w:rFonts w:ascii="Arial" w:hAnsi="Arial" w:eastAsia="Arial" w:cs="Arial"/>
          <w:b/>
          <w:bCs/>
          <w:highlight w:val="none"/>
          <w:lang w:val="pt-BR"/>
        </w:rPr>
        <w:t xml:space="preserve">3.9.</w:t>
      </w:r>
      <w:r>
        <w:rPr>
          <w:rFonts w:ascii="Arial" w:hAnsi="Arial" w:eastAsia="Arial" w:cs="Arial"/>
          <w:highlight w:val="none"/>
          <w:lang w:val="pt-BR"/>
        </w:rPr>
        <w:t xml:space="preserve"> O recebimento provisó</w:t>
      </w:r>
      <w:r>
        <w:rPr>
          <w:rFonts w:ascii="Arial" w:hAnsi="Arial" w:eastAsia="Arial" w:cs="Arial"/>
          <w:highlight w:val="none"/>
          <w:lang w:val="pt-BR"/>
        </w:rPr>
        <w:t xml:space="preserve">rio compreenderá a conferência inicial dos quantitativos, da integridade das embalagens, da identificação dos lotes, dos prazos de validade e da correspondência dos produtos entregues com a Ordem de Fornecimento, Nota de Empenho ou instrumento equivalente.</w:t>
      </w:r>
      <w:r>
        <w:rPr>
          <w:rFonts w:ascii="Arial" w:hAnsi="Arial" w:cs="Arial"/>
          <w:highlight w:val="none"/>
        </w:rPr>
      </w:r>
      <w:r>
        <w:rPr>
          <w:rFonts w:ascii="Arial" w:hAnsi="Arial" w:cs="Arial"/>
          <w:highlight w:val="none"/>
        </w:rPr>
      </w:r>
    </w:p>
    <w:p w14:paraId="4B2EB43D">
      <w:pPr>
        <w:pBdr/>
        <w:spacing/>
        <w:ind/>
        <w:jc w:val="both"/>
        <w:rPr>
          <w:rFonts w:ascii="Arial" w:hAnsi="Arial" w:cs="Arial"/>
          <w:highlight w:val="none"/>
        </w:rPr>
      </w:pPr>
      <w:r>
        <w:rPr>
          <w:rFonts w:ascii="Arial" w:hAnsi="Arial" w:eastAsia="Arial" w:cs="Arial"/>
          <w:b/>
          <w:bCs/>
          <w:highlight w:val="none"/>
          <w:lang w:val="pt-BR"/>
        </w:rPr>
        <w:t xml:space="preserve">3.9.1</w:t>
      </w:r>
      <w:r>
        <w:rPr>
          <w:rFonts w:ascii="Arial" w:hAnsi="Arial" w:eastAsia="Arial" w:cs="Arial"/>
          <w:highlight w:val="none"/>
          <w:lang w:val="pt-BR"/>
        </w:rPr>
        <w:t xml:space="preserve">. O recebimento definitivo ocorrerá após a verificação das especificações técnicas, da compatibilidade dos produtos, da regularidade sanitária, dos prazos de validade e das demais condições estabelecidas neste Termo de Referência.</w:t>
      </w:r>
      <w:r>
        <w:rPr>
          <w:rFonts w:ascii="Arial" w:hAnsi="Arial" w:cs="Arial"/>
          <w:highlight w:val="none"/>
        </w:rPr>
      </w:r>
      <w:r>
        <w:rPr>
          <w:rFonts w:ascii="Arial" w:hAnsi="Arial" w:cs="Arial"/>
          <w:highlight w:val="none"/>
        </w:rPr>
      </w:r>
    </w:p>
    <w:p w14:paraId="5912F408">
      <w:pPr>
        <w:pBdr/>
        <w:spacing/>
        <w:ind/>
        <w:jc w:val="both"/>
        <w:rPr>
          <w:rFonts w:ascii="Arial" w:hAnsi="Arial" w:cs="Arial"/>
          <w:highlight w:val="none"/>
        </w:rPr>
      </w:pPr>
      <w:r>
        <w:rPr>
          <w:rFonts w:ascii="Arial" w:hAnsi="Arial" w:eastAsia="Arial" w:cs="Arial"/>
          <w:b/>
          <w:bCs/>
          <w:highlight w:val="none"/>
          <w:lang w:val="pt-BR"/>
        </w:rPr>
        <w:t xml:space="preserve">3.10</w:t>
      </w:r>
      <w:r>
        <w:rPr>
          <w:rFonts w:ascii="Arial" w:hAnsi="Arial" w:eastAsia="Arial" w:cs="Arial"/>
          <w:highlight w:val="none"/>
          <w:lang w:val="pt-BR"/>
        </w:rPr>
        <w:t xml:space="preserve">. Os produtos que apresentarem defeitos de fabricação, perda de esterilidade, embalagem violada, ir</w:t>
      </w:r>
      <w:r>
        <w:rPr>
          <w:rFonts w:ascii="Arial" w:hAnsi="Arial" w:eastAsia="Arial" w:cs="Arial"/>
          <w:highlight w:val="none"/>
          <w:lang w:val="pt-BR"/>
        </w:rPr>
        <w:t xml:space="preserve">regularidade no sistema de vácuo, divergência de lote, inadequação de volume, falha no sistema de fechamento ou qualquer outra desconformidade deverão ser substituídos pela contratada, sem ônus para a Administração, no prazo estabelecido neste instrumento.</w:t>
      </w:r>
      <w:r>
        <w:rPr>
          <w:rFonts w:ascii="Arial" w:hAnsi="Arial" w:cs="Arial"/>
          <w:highlight w:val="none"/>
        </w:rPr>
      </w:r>
      <w:r>
        <w:rPr>
          <w:rFonts w:ascii="Arial" w:hAnsi="Arial" w:cs="Arial"/>
          <w:highlight w:val="none"/>
        </w:rPr>
      </w:r>
    </w:p>
    <w:p w14:paraId="2D336C7E">
      <w:pPr>
        <w:pBdr/>
        <w:spacing/>
        <w:ind/>
        <w:jc w:val="both"/>
        <w:rPr>
          <w:rFonts w:ascii="Arial" w:hAnsi="Arial" w:cs="Arial"/>
          <w:highlight w:val="none"/>
        </w:rPr>
      </w:pPr>
      <w:r>
        <w:rPr>
          <w:rFonts w:ascii="Arial" w:hAnsi="Arial" w:eastAsia="Arial" w:cs="Arial"/>
          <w:b/>
          <w:bCs/>
          <w:highlight w:val="none"/>
          <w:lang w:val="pt-BR"/>
        </w:rPr>
        <w:t xml:space="preserve">3.11.</w:t>
      </w:r>
      <w:r>
        <w:rPr>
          <w:rFonts w:ascii="Arial" w:hAnsi="Arial" w:eastAsia="Arial" w:cs="Arial"/>
          <w:highlight w:val="none"/>
          <w:lang w:val="pt-BR"/>
        </w:rPr>
        <w:t xml:space="preserve"> Os produtos recusados, defeituosos, avariados ou entregues em desconformidade deverão ser recolhidos pela contratada, que ficará responsável por sua destinação ambientalmente adequada.</w:t>
      </w:r>
      <w:r>
        <w:rPr>
          <w:rFonts w:ascii="Arial" w:hAnsi="Arial" w:cs="Arial"/>
          <w:highlight w:val="none"/>
        </w:rPr>
      </w:r>
      <w:r>
        <w:rPr>
          <w:rFonts w:ascii="Arial" w:hAnsi="Arial" w:cs="Arial"/>
          <w:highlight w:val="none"/>
        </w:rPr>
      </w:r>
    </w:p>
    <w:p w14:paraId="196359DA">
      <w:pPr>
        <w:pBdr/>
        <w:spacing/>
        <w:ind/>
        <w:jc w:val="both"/>
        <w:rPr>
          <w:rFonts w:ascii="Arial" w:hAnsi="Arial" w:cs="Arial"/>
          <w:highlight w:val="none"/>
        </w:rPr>
      </w:pPr>
      <w:r>
        <w:rPr>
          <w:rFonts w:ascii="Arial" w:hAnsi="Arial" w:eastAsia="Arial" w:cs="Arial"/>
          <w:b/>
          <w:bCs/>
          <w:highlight w:val="none"/>
          <w:lang w:val="pt-BR"/>
        </w:rPr>
        <w:t xml:space="preserve">3.11.1.</w:t>
      </w:r>
      <w:r>
        <w:rPr>
          <w:rFonts w:ascii="Arial" w:hAnsi="Arial" w:eastAsia="Arial" w:cs="Arial"/>
          <w:highlight w:val="none"/>
          <w:lang w:val="pt-BR"/>
        </w:rPr>
        <w:t xml:space="preserve"> O descarte dos tubos, das agulhas e dos demais materiais efetivamente utilizados será realizado pela Administração, em conformidade com o Plano de Gerenciamento de Resíduos de Serviços de Saúde e com as normas sanitárias e ambientais aplicáveis.</w:t>
      </w:r>
      <w:r>
        <w:rPr>
          <w:rFonts w:ascii="Arial" w:hAnsi="Arial" w:cs="Arial"/>
          <w:highlight w:val="none"/>
        </w:rPr>
      </w:r>
      <w:r>
        <w:rPr>
          <w:rFonts w:ascii="Arial" w:hAnsi="Arial" w:cs="Arial"/>
          <w:highlight w:val="none"/>
        </w:rPr>
      </w:r>
    </w:p>
    <w:p w14:paraId="582F38D8">
      <w:pPr>
        <w:pBdr/>
        <w:spacing/>
        <w:ind/>
        <w:jc w:val="both"/>
        <w:rPr>
          <w:rFonts w:ascii="Arial" w:hAnsi="Arial" w:cs="Arial"/>
          <w:highlight w:val="none"/>
        </w:rPr>
      </w:pPr>
      <w:r>
        <w:rPr>
          <w:rFonts w:ascii="Arial" w:hAnsi="Arial" w:eastAsia="Arial" w:cs="Arial"/>
          <w:b/>
          <w:bCs/>
          <w:highlight w:val="none"/>
          <w:lang w:val="pt-BR"/>
        </w:rPr>
        <w:t xml:space="preserve">3.11.2</w:t>
      </w:r>
      <w:r>
        <w:rPr>
          <w:rFonts w:ascii="Arial" w:hAnsi="Arial" w:eastAsia="Arial" w:cs="Arial"/>
          <w:highlight w:val="none"/>
          <w:lang w:val="pt-BR"/>
        </w:rPr>
        <w:t xml:space="preserve">. As embalagens e demais materiais recolhidos em razão de defeitos, avarias ou desconformidades deverão receber destinação ambientalmente adequada, sob responsabilidade da contratada.</w:t>
      </w:r>
      <w:r>
        <w:rPr>
          <w:rFonts w:ascii="Arial" w:hAnsi="Arial" w:cs="Arial"/>
          <w:highlight w:val="none"/>
        </w:rPr>
      </w:r>
      <w:r>
        <w:rPr>
          <w:rFonts w:ascii="Arial" w:hAnsi="Arial" w:cs="Arial"/>
          <w:highlight w:val="none"/>
        </w:rPr>
      </w:r>
    </w:p>
    <w:p w14:paraId="2910AED0">
      <w:pPr>
        <w:pBdr/>
        <w:spacing/>
        <w:ind/>
        <w:jc w:val="both"/>
        <w:rPr>
          <w:rFonts w:ascii="Arial" w:hAnsi="Arial" w:cs="Arial"/>
          <w:highlight w:val="none"/>
        </w:rPr>
      </w:pPr>
      <w:r>
        <w:rPr>
          <w:rFonts w:ascii="Arial" w:hAnsi="Arial" w:eastAsia="Arial" w:cs="Arial"/>
          <w:b/>
          <w:bCs/>
          <w:highlight w:val="none"/>
          <w:lang w:val="pt-BR"/>
        </w:rPr>
        <w:t xml:space="preserve">3.12.</w:t>
      </w:r>
      <w:r>
        <w:rPr>
          <w:rFonts w:ascii="Arial" w:hAnsi="Arial" w:eastAsia="Arial" w:cs="Arial"/>
          <w:highlight w:val="none"/>
          <w:lang w:val="pt-BR"/>
        </w:rPr>
        <w:t xml:space="preserve"> A solução escolhida busca assegurar o abastecimento contínuo dos insumos laboratoriais, a padronização e a compatibilidade técnica dos materiais utilizados na coleta de sangue a vácuo, a segurança dos usuários e das equipes de </w:t>
      </w:r>
      <w:r>
        <w:rPr>
          <w:rFonts w:ascii="Arial" w:hAnsi="Arial" w:eastAsia="Arial" w:cs="Arial"/>
          <w:highlight w:val="none"/>
          <w:lang w:val="pt-BR"/>
        </w:rPr>
        <w:t xml:space="preserve">saúde, a redução de </w:t>
      </w:r>
      <w:r>
        <w:rPr>
          <w:rFonts w:ascii="Arial" w:hAnsi="Arial" w:eastAsia="Arial" w:cs="Arial"/>
          <w:highlight w:val="none"/>
          <w:lang w:val="pt-BR"/>
        </w:rPr>
        <w:t xml:space="preserve">recoletas</w:t>
      </w:r>
      <w:r>
        <w:rPr>
          <w:rFonts w:ascii="Arial" w:hAnsi="Arial" w:eastAsia="Arial" w:cs="Arial"/>
          <w:highlight w:val="none"/>
          <w:lang w:val="pt-BR"/>
        </w:rPr>
        <w:t xml:space="preserve">, desperdícios e falhas pré-analíticas, bem como a emissão de resultados laboratoriais confiáveis e a aplicação eficiente dos recursos públicos.</w:t>
      </w:r>
      <w:r>
        <w:rPr>
          <w:rFonts w:ascii="Arial" w:hAnsi="Arial" w:cs="Arial"/>
          <w:highlight w:val="none"/>
        </w:rPr>
      </w:r>
      <w:r>
        <w:rPr>
          <w:rFonts w:ascii="Arial" w:hAnsi="Arial" w:cs="Arial"/>
          <w:highlight w:val="none"/>
        </w:rPr>
      </w:r>
    </w:p>
    <w:p w14:paraId="702F2C02">
      <w:pPr>
        <w:pBdr/>
        <w:spacing/>
        <w:ind/>
        <w:jc w:val="both"/>
        <w:rPr>
          <w:rFonts w:ascii="Arial" w:hAnsi="Arial" w:cs="Arial"/>
          <w:sz w:val="18"/>
          <w:szCs w:val="18"/>
          <w:highlight w:val="none"/>
        </w:rPr>
      </w:pPr>
      <w:r>
        <w:rPr>
          <w:rFonts w:ascii="Arial" w:hAnsi="Arial" w:eastAsia="Arial" w:cs="Arial"/>
          <w:sz w:val="18"/>
          <w:szCs w:val="18"/>
          <w:highlight w:val="none"/>
          <w:lang w:val="pt-BR"/>
        </w:rPr>
      </w:r>
      <w:r>
        <w:rPr>
          <w:rFonts w:ascii="Arial" w:hAnsi="Arial" w:cs="Arial"/>
          <w:sz w:val="18"/>
          <w:szCs w:val="18"/>
          <w:highlight w:val="none"/>
        </w:rPr>
      </w:r>
      <w:r>
        <w:rPr>
          <w:rFonts w:ascii="Arial" w:hAnsi="Arial" w:cs="Arial"/>
          <w:sz w:val="18"/>
          <w:szCs w:val="18"/>
          <w:highlight w:val="none"/>
        </w:rPr>
      </w:r>
    </w:p>
    <w:p w14:paraId="63A6B275">
      <w:pPr>
        <w:pBdr/>
        <w:shd w:val="clear" w:color="auto" w:fill="cccccc"/>
        <w:spacing/>
        <w:ind/>
        <w:jc w:val="both"/>
        <w:rPr>
          <w:rFonts w:ascii="Arial" w:hAnsi="Arial" w:cs="Arial"/>
          <w:highlight w:val="none"/>
        </w:rPr>
      </w:pPr>
      <w:r>
        <w:rPr>
          <w:rFonts w:ascii="Arial" w:hAnsi="Arial" w:eastAsia="Arial" w:cs="Arial"/>
          <w:b/>
          <w:bCs/>
          <w:highlight w:val="none"/>
        </w:rPr>
        <w:t xml:space="preserve">4 – REQUISITOS DA CONTRATAÇÃO</w:t>
      </w:r>
      <w:r>
        <w:rPr>
          <w:rFonts w:ascii="Arial" w:hAnsi="Arial" w:cs="Arial"/>
          <w:highlight w:val="none"/>
        </w:rPr>
      </w:r>
      <w:r>
        <w:rPr>
          <w:rFonts w:ascii="Arial" w:hAnsi="Arial" w:cs="Arial"/>
          <w:highlight w:val="none"/>
        </w:rPr>
      </w:r>
    </w:p>
    <w:p w14:paraId="5EB97D9A">
      <w:pPr>
        <w:pBdr/>
        <w:spacing/>
        <w:ind/>
        <w:jc w:val="both"/>
        <w:rPr>
          <w:rFonts w:ascii="Arial" w:hAnsi="Arial" w:cs="Arial"/>
          <w:b/>
          <w:bCs/>
          <w:sz w:val="18"/>
          <w:szCs w:val="18"/>
          <w:highlight w:val="none"/>
        </w:rPr>
      </w:pPr>
      <w:r>
        <w:rPr>
          <w:rFonts w:ascii="Arial" w:hAnsi="Arial" w:eastAsia="Arial" w:cs="Arial"/>
          <w:b/>
          <w:bCs/>
          <w:sz w:val="18"/>
          <w:szCs w:val="18"/>
          <w:highlight w:val="none"/>
        </w:rPr>
      </w:r>
      <w:r>
        <w:rPr>
          <w:rFonts w:ascii="Arial" w:hAnsi="Arial" w:cs="Arial"/>
          <w:b/>
          <w:bCs/>
          <w:sz w:val="18"/>
          <w:szCs w:val="18"/>
          <w:highlight w:val="none"/>
        </w:rPr>
      </w:r>
      <w:r>
        <w:rPr>
          <w:rFonts w:ascii="Arial" w:hAnsi="Arial" w:cs="Arial"/>
          <w:b/>
          <w:bCs/>
          <w:sz w:val="18"/>
          <w:szCs w:val="18"/>
          <w:highlight w:val="none"/>
        </w:rPr>
      </w:r>
    </w:p>
    <w:p w14:paraId="2311553C">
      <w:pPr>
        <w:pBdr/>
        <w:spacing/>
        <w:ind/>
        <w:jc w:val="both"/>
        <w:rPr>
          <w:rFonts w:ascii="Arial" w:hAnsi="Arial" w:cs="Arial"/>
          <w:highlight w:val="none"/>
        </w:rPr>
      </w:pPr>
      <w:r>
        <w:rPr>
          <w:rFonts w:ascii="Arial" w:hAnsi="Arial" w:eastAsia="Arial" w:cs="Arial"/>
          <w:b/>
          <w:bCs/>
          <w:highlight w:val="none"/>
          <w:lang w:val="pt-BR"/>
        </w:rPr>
        <w:t xml:space="preserve">4.1.1</w:t>
      </w:r>
      <w:r>
        <w:rPr>
          <w:rFonts w:ascii="Arial" w:hAnsi="Arial" w:eastAsia="Arial" w:cs="Arial"/>
          <w:highlight w:val="none"/>
          <w:lang w:val="pt-BR"/>
        </w:rPr>
        <w:t xml:space="preserve">. A presente contratação compreende o fornecimento parcelado de tubos e agulhas destinados à coleta de sangue a vácuo, integrantes do LOTE ÚNICO, conforme especificações, quantitativos e demais condições estabelecidas neste Termo de Referência.</w:t>
      </w:r>
      <w:r>
        <w:rPr>
          <w:rFonts w:ascii="Arial" w:hAnsi="Arial" w:cs="Arial"/>
          <w:highlight w:val="none"/>
        </w:rPr>
      </w:r>
      <w:r>
        <w:rPr>
          <w:rFonts w:ascii="Arial" w:hAnsi="Arial" w:cs="Arial"/>
          <w:highlight w:val="none"/>
        </w:rPr>
      </w:r>
    </w:p>
    <w:p w14:paraId="686A8C2B">
      <w:pPr>
        <w:pBdr/>
        <w:spacing/>
        <w:ind/>
        <w:jc w:val="both"/>
        <w:rPr>
          <w:rFonts w:ascii="Arial" w:hAnsi="Arial" w:cs="Arial"/>
          <w:highlight w:val="none"/>
        </w:rPr>
      </w:pPr>
      <w:r>
        <w:rPr>
          <w:rFonts w:ascii="Arial" w:hAnsi="Arial" w:eastAsia="Arial" w:cs="Arial"/>
          <w:b/>
          <w:bCs/>
          <w:highlight w:val="none"/>
          <w:lang w:val="pt-BR"/>
        </w:rPr>
        <w:t xml:space="preserve">4.1.1.1</w:t>
      </w:r>
      <w:r>
        <w:rPr>
          <w:rFonts w:ascii="Arial" w:hAnsi="Arial" w:eastAsia="Arial" w:cs="Arial"/>
          <w:highlight w:val="none"/>
          <w:lang w:val="pt-BR"/>
        </w:rPr>
        <w:t xml:space="preserve">. Os itens que compõem o LOTE ÚNICO serão adjudicados a um único fornecedor, mediante o critério de julgamento pelo MENOR PREÇO GLOBAL DO LOTE, observadas as especificações técnicas e as condições estabelecidas neste Termo de Referência e no Edital.</w:t>
      </w:r>
      <w:r>
        <w:rPr>
          <w:rFonts w:ascii="Arial" w:hAnsi="Arial" w:cs="Arial"/>
          <w:highlight w:val="none"/>
        </w:rPr>
      </w:r>
      <w:r>
        <w:rPr>
          <w:rFonts w:ascii="Arial" w:hAnsi="Arial" w:cs="Arial"/>
          <w:highlight w:val="none"/>
        </w:rPr>
      </w:r>
    </w:p>
    <w:p w14:paraId="537A5F30">
      <w:pPr>
        <w:pBdr/>
        <w:spacing/>
        <w:ind/>
        <w:jc w:val="both"/>
        <w:rPr>
          <w:rFonts w:ascii="Arial" w:hAnsi="Arial" w:cs="Arial"/>
          <w:highlight w:val="none"/>
        </w:rPr>
      </w:pPr>
      <w:r>
        <w:rPr>
          <w:rFonts w:ascii="Arial" w:hAnsi="Arial" w:eastAsia="Arial" w:cs="Arial"/>
          <w:b/>
          <w:bCs/>
          <w:highlight w:val="none"/>
          <w:lang w:val="pt-BR"/>
        </w:rPr>
        <w:t xml:space="preserve">4.1.2.</w:t>
      </w:r>
      <w:r>
        <w:rPr>
          <w:rFonts w:ascii="Arial" w:hAnsi="Arial" w:eastAsia="Arial" w:cs="Arial"/>
          <w:highlight w:val="none"/>
          <w:lang w:val="pt-BR"/>
        </w:rPr>
        <w:t xml:space="preserve"> A finalidade da contratação é assegurar o abastecimento regular e contínuo dos materiais </w:t>
      </w:r>
      <w:r>
        <w:rPr>
          <w:rFonts w:ascii="Arial" w:hAnsi="Arial" w:eastAsia="Arial" w:cs="Arial"/>
          <w:highlight w:val="none"/>
          <w:lang w:val="pt-BR"/>
        </w:rPr>
        <w:t xml:space="preserve">necessários aos procedimentos de coleta e à adequada realização das atividades laboratoriais, contribuindo para a continuidade dos exames, a segurança dos profissionais e dos usuários e a confiabilidade dos resultados emitidos pela rede municipal de saúde.</w:t>
      </w:r>
      <w:r>
        <w:rPr>
          <w:rFonts w:ascii="Arial" w:hAnsi="Arial" w:cs="Arial"/>
          <w:highlight w:val="none"/>
        </w:rPr>
      </w:r>
      <w:r>
        <w:rPr>
          <w:rFonts w:ascii="Arial" w:hAnsi="Arial" w:cs="Arial"/>
          <w:highlight w:val="none"/>
        </w:rPr>
      </w:r>
    </w:p>
    <w:p w14:paraId="10CD5557">
      <w:pPr>
        <w:pBdr/>
        <w:spacing/>
        <w:ind/>
        <w:jc w:val="both"/>
        <w:rPr>
          <w:rFonts w:ascii="Arial" w:hAnsi="Arial" w:cs="Arial"/>
          <w:b/>
          <w:bCs/>
          <w:highlight w:val="none"/>
        </w:rPr>
      </w:pPr>
      <w:r>
        <w:rPr>
          <w:rFonts w:ascii="Arial" w:hAnsi="Arial" w:eastAsia="Arial" w:cs="Arial"/>
          <w:b/>
          <w:bCs/>
          <w:highlight w:val="none"/>
          <w:lang w:val="pt-BR"/>
        </w:rPr>
        <w:t xml:space="preserve">4.1.3. Compatibilidade Técnica dos Produtos</w:t>
      </w:r>
      <w:r>
        <w:rPr>
          <w:rFonts w:ascii="Arial" w:hAnsi="Arial" w:cs="Arial"/>
          <w:b/>
          <w:bCs/>
          <w:highlight w:val="none"/>
        </w:rPr>
      </w:r>
      <w:r>
        <w:rPr>
          <w:rFonts w:ascii="Arial" w:hAnsi="Arial" w:cs="Arial"/>
          <w:b/>
          <w:bCs/>
          <w:highlight w:val="none"/>
        </w:rPr>
      </w:r>
    </w:p>
    <w:p w14:paraId="7571576D">
      <w:pPr>
        <w:pBdr/>
        <w:spacing/>
        <w:ind/>
        <w:jc w:val="both"/>
        <w:rPr>
          <w:rFonts w:ascii="Arial" w:hAnsi="Arial" w:cs="Arial"/>
          <w:highlight w:val="none"/>
        </w:rPr>
      </w:pPr>
      <w:r>
        <w:rPr>
          <w:rFonts w:ascii="Arial" w:hAnsi="Arial" w:eastAsia="Arial" w:cs="Arial"/>
          <w:b/>
          <w:bCs/>
          <w:highlight w:val="none"/>
          <w:lang w:val="pt-BR"/>
        </w:rPr>
        <w:t xml:space="preserve">4.1.3.1.</w:t>
      </w:r>
      <w:r>
        <w:rPr>
          <w:rFonts w:ascii="Arial" w:hAnsi="Arial" w:eastAsia="Arial" w:cs="Arial"/>
          <w:highlight w:val="none"/>
          <w:lang w:val="pt-BR"/>
        </w:rPr>
        <w:t xml:space="preserve"> Os tubos e as agulhas para coleta de sangue a vácuo deverão apresentar compatibilidade técnica e operacion</w:t>
      </w:r>
      <w:r>
        <w:rPr>
          <w:rFonts w:ascii="Arial" w:hAnsi="Arial" w:eastAsia="Arial" w:cs="Arial"/>
          <w:highlight w:val="none"/>
          <w:lang w:val="pt-BR"/>
        </w:rPr>
        <w:t xml:space="preserve">al entre si, de modo a garantir o adequado funcionamento do sistema de coleta, a segurança dos usuários e dos profissionais, a integridade das amostras biológicas, a padronização dos procedimentos laboratoriais e a confiabilidade dos resultados dos exames.</w:t>
      </w:r>
      <w:r>
        <w:rPr>
          <w:rFonts w:ascii="Arial" w:hAnsi="Arial" w:cs="Arial"/>
          <w:highlight w:val="none"/>
        </w:rPr>
      </w:r>
      <w:r>
        <w:rPr>
          <w:rFonts w:ascii="Arial" w:hAnsi="Arial" w:cs="Arial"/>
          <w:highlight w:val="none"/>
        </w:rPr>
      </w:r>
    </w:p>
    <w:p w14:paraId="532AC36D">
      <w:pPr>
        <w:pBdr/>
        <w:spacing/>
        <w:ind/>
        <w:jc w:val="both"/>
        <w:rPr>
          <w:rFonts w:ascii="Arial" w:hAnsi="Arial" w:cs="Arial"/>
          <w:highlight w:val="none"/>
        </w:rPr>
      </w:pPr>
      <w:r>
        <w:rPr>
          <w:rFonts w:ascii="Arial" w:hAnsi="Arial" w:eastAsia="Arial" w:cs="Arial"/>
          <w:b/>
          <w:bCs/>
          <w:highlight w:val="none"/>
          <w:lang w:val="pt-BR"/>
        </w:rPr>
        <w:t xml:space="preserve">4.1.3.2</w:t>
      </w:r>
      <w:r>
        <w:rPr>
          <w:rFonts w:ascii="Arial" w:hAnsi="Arial" w:eastAsia="Arial" w:cs="Arial"/>
          <w:highlight w:val="none"/>
          <w:lang w:val="pt-BR"/>
        </w:rPr>
        <w:t xml:space="preserve">. Será exigido que os tubos para cole</w:t>
      </w:r>
      <w:r>
        <w:rPr>
          <w:rFonts w:ascii="Arial" w:hAnsi="Arial" w:eastAsia="Arial" w:cs="Arial"/>
          <w:highlight w:val="none"/>
          <w:lang w:val="pt-BR"/>
        </w:rPr>
        <w:t xml:space="preserve">ta de sangue a vácuo e as agulhas sejam do mesmo fabricante e da mesma marca, visando assegurar a compatibilidade entre os componentes, a padronização dos procedimentos, a segurança dos profissionais e dos pacientes e a integridade das amostras biológicas.</w:t>
      </w:r>
      <w:r>
        <w:rPr>
          <w:rFonts w:ascii="Arial" w:hAnsi="Arial" w:cs="Arial"/>
          <w:highlight w:val="none"/>
        </w:rPr>
      </w:r>
      <w:r>
        <w:rPr>
          <w:rFonts w:ascii="Arial" w:hAnsi="Arial" w:cs="Arial"/>
          <w:highlight w:val="none"/>
        </w:rPr>
      </w:r>
    </w:p>
    <w:p w14:paraId="0DAF1657">
      <w:pPr>
        <w:pBdr/>
        <w:spacing/>
        <w:ind/>
        <w:jc w:val="both"/>
        <w:rPr>
          <w:rFonts w:ascii="Arial" w:hAnsi="Arial" w:cs="Arial"/>
          <w:highlight w:val="none"/>
        </w:rPr>
      </w:pPr>
      <w:r>
        <w:rPr>
          <w:rFonts w:ascii="Arial" w:hAnsi="Arial" w:eastAsia="Arial" w:cs="Arial"/>
          <w:b/>
          <w:bCs/>
          <w:highlight w:val="none"/>
          <w:lang w:val="pt-BR"/>
        </w:rPr>
        <w:t xml:space="preserve">4.1.3.3.</w:t>
      </w:r>
      <w:r>
        <w:rPr>
          <w:rFonts w:ascii="Arial" w:hAnsi="Arial" w:eastAsia="Arial" w:cs="Arial"/>
          <w:highlight w:val="none"/>
          <w:lang w:val="pt-BR"/>
        </w:rPr>
        <w:t xml:space="preserve"> A comprovação do atendimento </w:t>
      </w:r>
      <w:r>
        <w:rPr>
          <w:rFonts w:ascii="Arial" w:hAnsi="Arial" w:eastAsia="Arial" w:cs="Arial"/>
          <w:highlight w:val="none"/>
          <w:lang w:val="pt-BR"/>
        </w:rPr>
        <w:t xml:space="preserve">ao disposto no subitem anterior deverá ser realizada mediante apresentação de catálogo, ficha técnica, manual do fabricante, declaração do fabricante ou outro documento técnico idôneo que demonstre a identidade de fabricante e marca dos produtos ofertados.</w:t>
      </w:r>
      <w:r>
        <w:rPr>
          <w:rFonts w:ascii="Arial" w:hAnsi="Arial" w:cs="Arial"/>
          <w:highlight w:val="none"/>
        </w:rPr>
      </w:r>
      <w:r>
        <w:rPr>
          <w:rFonts w:ascii="Arial" w:hAnsi="Arial" w:cs="Arial"/>
          <w:highlight w:val="none"/>
        </w:rPr>
      </w:r>
    </w:p>
    <w:p w14:paraId="11182C9F">
      <w:pPr>
        <w:pBdr/>
        <w:spacing/>
        <w:ind/>
        <w:jc w:val="both"/>
        <w:rPr>
          <w:rFonts w:ascii="Arial" w:hAnsi="Arial" w:cs="Arial"/>
          <w:highlight w:val="none"/>
        </w:rPr>
      </w:pPr>
      <w:r>
        <w:rPr>
          <w:rFonts w:ascii="Arial" w:hAnsi="Arial" w:eastAsia="Arial" w:cs="Arial"/>
          <w:b/>
          <w:bCs/>
          <w:highlight w:val="none"/>
          <w:lang w:val="pt-BR"/>
        </w:rPr>
        <w:t xml:space="preserve">4.1.3.4.</w:t>
      </w:r>
      <w:r>
        <w:rPr>
          <w:rFonts w:ascii="Arial" w:hAnsi="Arial" w:eastAsia="Arial" w:cs="Arial"/>
          <w:highlight w:val="none"/>
          <w:lang w:val="pt-BR"/>
        </w:rPr>
        <w:t xml:space="preserve"> A Administração poderá solicitar documentação técnica complementar ou, excepcionalmente, amostra do produto, quando necessária à confirmação das especificações técnicas e da compatibilidade exigidas neste Termo de Referência.</w:t>
      </w:r>
      <w:r>
        <w:rPr>
          <w:rFonts w:ascii="Arial" w:hAnsi="Arial" w:cs="Arial"/>
          <w:highlight w:val="none"/>
        </w:rPr>
      </w:r>
      <w:r>
        <w:rPr>
          <w:rFonts w:ascii="Arial" w:hAnsi="Arial" w:cs="Arial"/>
          <w:highlight w:val="none"/>
        </w:rPr>
      </w:r>
    </w:p>
    <w:p w14:paraId="3E1E1345">
      <w:pPr>
        <w:pBdr/>
        <w:spacing/>
        <w:ind/>
        <w:jc w:val="both"/>
        <w:rPr>
          <w:rFonts w:ascii="Arial" w:hAnsi="Arial" w:cs="Arial"/>
          <w:b/>
          <w:bCs/>
          <w:highlight w:val="none"/>
        </w:rPr>
      </w:pPr>
      <w:r>
        <w:rPr>
          <w:rFonts w:ascii="Arial" w:hAnsi="Arial" w:eastAsia="Arial" w:cs="Arial"/>
          <w:b/>
          <w:bCs/>
          <w:highlight w:val="none"/>
          <w:lang w:val="pt-BR"/>
        </w:rPr>
        <w:t xml:space="preserve">4.2. Condições de Fornecimento e Prazo de Entrega</w:t>
      </w:r>
      <w:r>
        <w:rPr>
          <w:rFonts w:ascii="Arial" w:hAnsi="Arial" w:cs="Arial"/>
          <w:b/>
          <w:bCs/>
          <w:highlight w:val="none"/>
        </w:rPr>
      </w:r>
      <w:r>
        <w:rPr>
          <w:rFonts w:ascii="Arial" w:hAnsi="Arial" w:cs="Arial"/>
          <w:b/>
          <w:bCs/>
          <w:highlight w:val="none"/>
        </w:rPr>
      </w:r>
    </w:p>
    <w:p w14:paraId="647D0E96">
      <w:pPr>
        <w:pBdr/>
        <w:spacing/>
        <w:ind/>
        <w:jc w:val="both"/>
        <w:rPr>
          <w:rFonts w:ascii="Arial" w:hAnsi="Arial" w:cs="Arial"/>
          <w:highlight w:val="none"/>
        </w:rPr>
      </w:pPr>
      <w:r>
        <w:rPr>
          <w:rFonts w:ascii="Arial" w:hAnsi="Arial" w:eastAsia="Arial" w:cs="Arial"/>
          <w:b/>
          <w:bCs/>
          <w:highlight w:val="none"/>
          <w:lang w:val="pt-BR"/>
        </w:rPr>
        <w:t xml:space="preserve">4.2.1.</w:t>
      </w:r>
      <w:r>
        <w:rPr>
          <w:rFonts w:ascii="Arial" w:hAnsi="Arial" w:eastAsia="Arial" w:cs="Arial"/>
          <w:highlight w:val="none"/>
          <w:lang w:val="pt-BR"/>
        </w:rPr>
        <w:t xml:space="preserve"> O fornecimento dos produ</w:t>
      </w:r>
      <w:r>
        <w:rPr>
          <w:rFonts w:ascii="Arial" w:hAnsi="Arial" w:eastAsia="Arial" w:cs="Arial"/>
          <w:highlight w:val="none"/>
          <w:lang w:val="pt-BR"/>
        </w:rPr>
        <w:t xml:space="preserve">tos ocorrerá de forma parcelada, conforme a necessidade da Administração, mediante emissão de Ordem de Fornecimento, Nota de Empenho ou outro instrumento hábil, observados os quantitativos registrados e as condições estabelecidas neste Termo de Referência.</w:t>
      </w:r>
      <w:r>
        <w:rPr>
          <w:rFonts w:ascii="Arial" w:hAnsi="Arial" w:cs="Arial"/>
          <w:highlight w:val="none"/>
        </w:rPr>
      </w:r>
      <w:r>
        <w:rPr>
          <w:rFonts w:ascii="Arial" w:hAnsi="Arial" w:cs="Arial"/>
          <w:highlight w:val="none"/>
        </w:rPr>
      </w:r>
    </w:p>
    <w:p w14:paraId="23D22EF3">
      <w:pPr>
        <w:pBdr/>
        <w:spacing/>
        <w:ind/>
        <w:jc w:val="both"/>
        <w:rPr>
          <w:rFonts w:ascii="Arial" w:hAnsi="Arial" w:cs="Arial"/>
          <w:highlight w:val="none"/>
        </w:rPr>
      </w:pPr>
      <w:r>
        <w:rPr>
          <w:rFonts w:ascii="Arial" w:hAnsi="Arial" w:eastAsia="Arial" w:cs="Arial"/>
          <w:b/>
          <w:bCs/>
          <w:highlight w:val="none"/>
          <w:lang w:val="pt-BR"/>
        </w:rPr>
        <w:t xml:space="preserve">4.2.2.</w:t>
      </w:r>
      <w:r>
        <w:rPr>
          <w:rFonts w:ascii="Arial" w:hAnsi="Arial" w:eastAsia="Arial" w:cs="Arial"/>
          <w:highlight w:val="none"/>
          <w:lang w:val="pt-BR"/>
        </w:rPr>
        <w:t xml:space="preserve"> O prazo máximo para entrega dos produtos será de até 15 (quinze) dias corridos, contados do recebimento da Ordem de Fornecimento, Nota de Empenho ou outro instrumento hábil pelo fornecedor registrado.</w:t>
      </w:r>
      <w:r>
        <w:rPr>
          <w:rFonts w:ascii="Arial" w:hAnsi="Arial" w:cs="Arial"/>
          <w:highlight w:val="none"/>
        </w:rPr>
      </w:r>
      <w:r>
        <w:rPr>
          <w:rFonts w:ascii="Arial" w:hAnsi="Arial" w:cs="Arial"/>
          <w:highlight w:val="none"/>
        </w:rPr>
      </w:r>
    </w:p>
    <w:p w14:paraId="4DEBD014">
      <w:pPr>
        <w:pBdr/>
        <w:spacing/>
        <w:ind/>
        <w:jc w:val="both"/>
        <w:rPr>
          <w:rFonts w:ascii="Arial" w:hAnsi="Arial" w:cs="Arial"/>
          <w:highlight w:val="none"/>
        </w:rPr>
      </w:pPr>
      <w:r>
        <w:rPr>
          <w:rFonts w:ascii="Arial" w:hAnsi="Arial" w:eastAsia="Arial" w:cs="Arial"/>
          <w:b/>
          <w:bCs/>
          <w:highlight w:val="none"/>
          <w:lang w:val="pt-BR"/>
        </w:rPr>
        <w:t xml:space="preserve">4.2.3.</w:t>
      </w:r>
      <w:r>
        <w:rPr>
          <w:rFonts w:ascii="Arial" w:hAnsi="Arial" w:eastAsia="Arial" w:cs="Arial"/>
          <w:highlight w:val="none"/>
          <w:lang w:val="pt-BR"/>
        </w:rPr>
        <w:t xml:space="preserve"> Os produtos deverão ser entregues em embalagens originais do fabricante, íntegras, invioladas, sem avarias, devidamente identificadas e compatíveis </w:t>
      </w:r>
      <w:r>
        <w:rPr>
          <w:rFonts w:ascii="Arial" w:hAnsi="Arial" w:eastAsia="Arial" w:cs="Arial"/>
          <w:highlight w:val="none"/>
          <w:lang w:val="pt-BR"/>
        </w:rPr>
        <w:t xml:space="preserve">com a natureza de cada item, contendo, quando aplicável, identificação do produto, fabricante, procedência, número do lote, data de fabricação, prazo de validade, condições de armazenamento, quantidade e identificação da respectiva regularização sanitária.</w:t>
      </w:r>
      <w:r>
        <w:rPr>
          <w:rFonts w:ascii="Arial" w:hAnsi="Arial" w:cs="Arial"/>
          <w:highlight w:val="none"/>
        </w:rPr>
      </w:r>
      <w:r>
        <w:rPr>
          <w:rFonts w:ascii="Arial" w:hAnsi="Arial" w:cs="Arial"/>
          <w:highlight w:val="none"/>
        </w:rPr>
      </w:r>
    </w:p>
    <w:p w14:paraId="46EC4451">
      <w:pPr>
        <w:pBdr/>
        <w:spacing/>
        <w:ind/>
        <w:jc w:val="both"/>
        <w:rPr>
          <w:rFonts w:ascii="Arial" w:hAnsi="Arial" w:cs="Arial"/>
          <w:highlight w:val="none"/>
        </w:rPr>
      </w:pPr>
      <w:r>
        <w:rPr>
          <w:rFonts w:ascii="Arial" w:hAnsi="Arial" w:eastAsia="Arial" w:cs="Arial"/>
          <w:b/>
          <w:bCs/>
          <w:highlight w:val="none"/>
          <w:lang w:val="pt-BR"/>
        </w:rPr>
        <w:t xml:space="preserve">4.2.4.</w:t>
      </w:r>
      <w:r>
        <w:rPr>
          <w:rFonts w:ascii="Arial" w:hAnsi="Arial" w:eastAsia="Arial" w:cs="Arial"/>
          <w:highlight w:val="none"/>
          <w:lang w:val="pt-BR"/>
        </w:rPr>
        <w:t xml:space="preserve"> Os produtos deverão possuir, na data da entrega, prazo de validade remanescente mínimo correspondente a, pelo menos, 75% (setenta e cinco por cento) </w:t>
      </w:r>
      <w:r>
        <w:rPr>
          <w:rFonts w:ascii="Arial" w:hAnsi="Arial" w:eastAsia="Arial" w:cs="Arial"/>
          <w:highlight w:val="none"/>
          <w:lang w:val="pt-BR"/>
        </w:rPr>
        <w:t xml:space="preserve">do prazo total de validade estabelecido pelo fabricante, salvo situação excepcional devidamente justificada e aceita pela Administração, desde que não haja prejuízo ao consumo, à segurança, à rastreabilidade, ao armazenamento ou à finalidade dos materiais.</w:t>
      </w:r>
      <w:r>
        <w:rPr>
          <w:rFonts w:ascii="Arial" w:hAnsi="Arial" w:cs="Arial"/>
          <w:highlight w:val="none"/>
        </w:rPr>
      </w:r>
      <w:r>
        <w:rPr>
          <w:rFonts w:ascii="Arial" w:hAnsi="Arial" w:cs="Arial"/>
          <w:highlight w:val="none"/>
        </w:rPr>
      </w:r>
    </w:p>
    <w:p w14:paraId="4446729E">
      <w:pPr>
        <w:pBdr/>
        <w:spacing/>
        <w:ind/>
        <w:jc w:val="both"/>
        <w:rPr>
          <w:rFonts w:ascii="Arial" w:hAnsi="Arial" w:cs="Arial"/>
          <w:b/>
          <w:bCs/>
          <w:highlight w:val="none"/>
        </w:rPr>
      </w:pPr>
      <w:r>
        <w:rPr>
          <w:rFonts w:ascii="Arial" w:hAnsi="Arial" w:eastAsia="Arial" w:cs="Arial"/>
          <w:b/>
          <w:bCs/>
          <w:highlight w:val="none"/>
          <w:lang w:val="pt-BR"/>
        </w:rPr>
        <w:t xml:space="preserve">4.3. Da Indicação de Marcas ou Modelos</w:t>
      </w:r>
      <w:r>
        <w:rPr>
          <w:rFonts w:ascii="Arial" w:hAnsi="Arial" w:cs="Arial"/>
          <w:b/>
          <w:bCs/>
          <w:highlight w:val="none"/>
        </w:rPr>
      </w:r>
      <w:r>
        <w:rPr>
          <w:rFonts w:ascii="Arial" w:hAnsi="Arial" w:cs="Arial"/>
          <w:b/>
          <w:bCs/>
          <w:highlight w:val="none"/>
        </w:rPr>
      </w:r>
    </w:p>
    <w:p w14:paraId="7285F5E0">
      <w:pPr>
        <w:pBdr/>
        <w:spacing/>
        <w:ind/>
        <w:jc w:val="both"/>
        <w:rPr>
          <w:rFonts w:ascii="Arial" w:hAnsi="Arial" w:cs="Arial"/>
          <w:highlight w:val="none"/>
        </w:rPr>
      </w:pPr>
      <w:r>
        <w:rPr>
          <w:rFonts w:ascii="Arial" w:hAnsi="Arial" w:eastAsia="Arial" w:cs="Arial"/>
          <w:highlight w:val="none"/>
          <w:lang w:val="pt-BR"/>
        </w:rPr>
        <w:t xml:space="preserve">4.3.1. Não será</w:t>
      </w:r>
      <w:r>
        <w:rPr>
          <w:rFonts w:ascii="Arial" w:hAnsi="Arial" w:eastAsia="Arial" w:cs="Arial"/>
          <w:highlight w:val="none"/>
          <w:lang w:val="pt-BR"/>
        </w:rPr>
        <w:t xml:space="preserve"> indicada previamente marca ou modelo específico pela Administração. Todavia, os tubos e as agulhas ofertados pelo licitante deverão ser do mesmo fabricante e da mesma marca, conforme exigência de compatibilidade técnica prevista neste Termo de Referência.</w:t>
      </w:r>
      <w:r>
        <w:rPr>
          <w:rFonts w:ascii="Arial" w:hAnsi="Arial" w:cs="Arial"/>
          <w:highlight w:val="none"/>
        </w:rPr>
      </w:r>
      <w:r>
        <w:rPr>
          <w:rFonts w:ascii="Arial" w:hAnsi="Arial" w:cs="Arial"/>
          <w:highlight w:val="none"/>
        </w:rPr>
      </w:r>
    </w:p>
    <w:p w14:paraId="1A3D8B59">
      <w:pPr>
        <w:pBdr/>
        <w:spacing/>
        <w:ind/>
        <w:jc w:val="both"/>
        <w:rPr>
          <w:rFonts w:ascii="Arial" w:hAnsi="Arial" w:cs="Arial"/>
          <w:highlight w:val="none"/>
        </w:rPr>
      </w:pPr>
      <w:r>
        <w:rPr>
          <w:rFonts w:ascii="Arial" w:hAnsi="Arial" w:eastAsia="Arial" w:cs="Arial"/>
          <w:b/>
          <w:bCs/>
          <w:highlight w:val="none"/>
          <w:lang w:val="pt-BR"/>
        </w:rPr>
        <w:t xml:space="preserve">4.3.2.</w:t>
      </w:r>
      <w:r>
        <w:rPr>
          <w:rFonts w:ascii="Arial" w:hAnsi="Arial" w:eastAsia="Arial" w:cs="Arial"/>
          <w:highlight w:val="none"/>
          <w:lang w:val="pt-BR"/>
        </w:rPr>
        <w:t xml:space="preserve"> Os produtos ofertados deverão atender integralmente às especificações técnicas, unidades de medida, condições de qualidade, desempenho, funcionalidade, esterilidade, segurança, compatibilidade, regularidade sanitária e demais </w:t>
      </w:r>
      <w:r>
        <w:rPr>
          <w:rFonts w:ascii="Arial" w:hAnsi="Arial" w:eastAsia="Arial" w:cs="Arial"/>
          <w:highlight w:val="none"/>
          <w:lang w:val="pt-BR"/>
        </w:rPr>
        <w:t xml:space="preserve">requisitos previstos neste Termo de Referência e na planilha de itens.</w:t>
      </w:r>
      <w:r>
        <w:rPr>
          <w:rFonts w:ascii="Arial" w:hAnsi="Arial" w:cs="Arial"/>
          <w:highlight w:val="none"/>
        </w:rPr>
      </w:r>
      <w:r>
        <w:rPr>
          <w:rFonts w:ascii="Arial" w:hAnsi="Arial" w:cs="Arial"/>
          <w:highlight w:val="none"/>
        </w:rPr>
      </w:r>
    </w:p>
    <w:p w14:paraId="411D1653">
      <w:pPr>
        <w:pBdr/>
        <w:spacing/>
        <w:ind/>
        <w:jc w:val="both"/>
        <w:rPr>
          <w:rFonts w:ascii="Arial" w:hAnsi="Arial" w:cs="Arial"/>
          <w:highlight w:val="none"/>
        </w:rPr>
      </w:pPr>
      <w:r>
        <w:rPr>
          <w:rFonts w:ascii="Arial" w:hAnsi="Arial" w:eastAsia="Arial" w:cs="Arial"/>
          <w:b/>
          <w:bCs/>
          <w:highlight w:val="none"/>
          <w:lang w:val="pt-BR"/>
        </w:rPr>
        <w:t xml:space="preserve">4.3.3.</w:t>
      </w:r>
      <w:r>
        <w:rPr>
          <w:rFonts w:ascii="Arial" w:hAnsi="Arial" w:eastAsia="Arial" w:cs="Arial"/>
          <w:highlight w:val="none"/>
          <w:lang w:val="pt-BR"/>
        </w:rPr>
        <w:t xml:space="preserve"> Caso conste eventual indicação de marca de referência na descrição de algum item, esta deve</w:t>
      </w:r>
      <w:r>
        <w:rPr>
          <w:rFonts w:ascii="Arial" w:hAnsi="Arial" w:eastAsia="Arial" w:cs="Arial"/>
          <w:highlight w:val="none"/>
          <w:lang w:val="pt-BR"/>
        </w:rPr>
        <w:t xml:space="preserve">rá ser interpretada exclusivamente como parâmetro de qualidade, desempenho, padronização ou compatibilidade técnica, admitindo-se produto equivalente, similar ou de qualidade superior, desde que comprovado o atendimento integral às especificações exigidas.</w:t>
      </w:r>
      <w:r>
        <w:rPr>
          <w:rFonts w:ascii="Arial" w:hAnsi="Arial" w:cs="Arial"/>
          <w:highlight w:val="none"/>
        </w:rPr>
      </w:r>
      <w:r>
        <w:rPr>
          <w:rFonts w:ascii="Arial" w:hAnsi="Arial" w:cs="Arial"/>
          <w:highlight w:val="none"/>
        </w:rPr>
      </w:r>
    </w:p>
    <w:p w14:paraId="5F663308">
      <w:pPr>
        <w:pBdr/>
        <w:spacing/>
        <w:ind/>
        <w:jc w:val="both"/>
        <w:rPr>
          <w:rFonts w:ascii="Arial" w:hAnsi="Arial" w:cs="Arial"/>
          <w:highlight w:val="none"/>
        </w:rPr>
      </w:pPr>
      <w:r>
        <w:rPr>
          <w:rFonts w:ascii="Arial" w:hAnsi="Arial" w:eastAsia="Arial" w:cs="Arial"/>
          <w:b/>
          <w:bCs/>
          <w:highlight w:val="none"/>
          <w:lang w:val="pt-BR"/>
        </w:rPr>
        <w:t xml:space="preserve">4.3.4</w:t>
      </w:r>
      <w:r>
        <w:rPr>
          <w:rFonts w:ascii="Arial" w:hAnsi="Arial" w:eastAsia="Arial" w:cs="Arial"/>
          <w:highlight w:val="none"/>
          <w:lang w:val="pt-BR"/>
        </w:rPr>
        <w:t xml:space="preserve">. A comprovação da equivalência, similaridade, qualidade e compatibilidade do produto poderá ser realizada mediante catálogo, ficha técnica, manual, declaração do fabricante, registro sanitário ou outro documento técnico idôneo.</w:t>
      </w:r>
      <w:r>
        <w:rPr>
          <w:rFonts w:ascii="Arial" w:hAnsi="Arial" w:cs="Arial"/>
          <w:highlight w:val="none"/>
        </w:rPr>
      </w:r>
      <w:r>
        <w:rPr>
          <w:rFonts w:ascii="Arial" w:hAnsi="Arial" w:cs="Arial"/>
          <w:highlight w:val="none"/>
        </w:rPr>
      </w:r>
    </w:p>
    <w:p w14:paraId="2A74EF68">
      <w:pPr>
        <w:pBdr/>
        <w:spacing/>
        <w:ind/>
        <w:jc w:val="both"/>
        <w:rPr>
          <w:rFonts w:ascii="Arial" w:hAnsi="Arial" w:cs="Arial"/>
          <w:b/>
          <w:bCs/>
          <w:highlight w:val="none"/>
        </w:rPr>
      </w:pPr>
      <w:r>
        <w:rPr>
          <w:rFonts w:ascii="Arial" w:hAnsi="Arial" w:eastAsia="Arial" w:cs="Arial"/>
          <w:b/>
          <w:bCs/>
          <w:highlight w:val="none"/>
          <w:lang w:val="pt-BR"/>
        </w:rPr>
        <w:t xml:space="preserve">4.3.5.</w:t>
      </w:r>
      <w:r>
        <w:rPr>
          <w:rFonts w:ascii="Arial" w:hAnsi="Arial" w:eastAsia="Arial" w:cs="Arial"/>
          <w:highlight w:val="none"/>
          <w:lang w:val="pt-BR"/>
        </w:rPr>
        <w:t xml:space="preserve"> A eventual indicação de marca ou fabricante não poderá ser utilizada para restringir indevidamente a participação de fornecedores ou impedir a oferta de produtos que atendam integralmente aos parâmetros técnicos e de desempenho </w:t>
      </w:r>
      <w:r>
        <w:rPr>
          <w:rFonts w:ascii="Arial" w:hAnsi="Arial" w:eastAsia="Arial" w:cs="Arial"/>
          <w:b/>
          <w:bCs/>
          <w:highlight w:val="none"/>
          <w:lang w:val="pt-BR"/>
        </w:rPr>
        <w:t xml:space="preserve">estabelecidos.</w:t>
      </w:r>
      <w:r>
        <w:rPr>
          <w:rFonts w:ascii="Arial" w:hAnsi="Arial" w:cs="Arial"/>
          <w:b/>
          <w:bCs/>
          <w:highlight w:val="none"/>
        </w:rPr>
      </w:r>
      <w:r>
        <w:rPr>
          <w:rFonts w:ascii="Arial" w:hAnsi="Arial" w:cs="Arial"/>
          <w:b/>
          <w:bCs/>
          <w:highlight w:val="none"/>
        </w:rPr>
      </w:r>
    </w:p>
    <w:p w14:paraId="406D856A">
      <w:pPr>
        <w:pBdr/>
        <w:spacing/>
        <w:ind/>
        <w:jc w:val="both"/>
        <w:rPr>
          <w:rFonts w:ascii="Arial" w:hAnsi="Arial" w:cs="Arial"/>
          <w:b/>
          <w:bCs/>
          <w:highlight w:val="none"/>
        </w:rPr>
      </w:pPr>
      <w:r>
        <w:rPr>
          <w:rFonts w:ascii="Arial" w:hAnsi="Arial" w:eastAsia="Arial" w:cs="Arial"/>
          <w:b/>
          <w:bCs/>
          <w:highlight w:val="none"/>
          <w:lang w:val="pt-BR"/>
        </w:rPr>
        <w:t xml:space="preserve">4.4. Das Amostras</w:t>
      </w:r>
      <w:r>
        <w:rPr>
          <w:rFonts w:ascii="Arial" w:hAnsi="Arial" w:cs="Arial"/>
          <w:b/>
          <w:bCs/>
          <w:highlight w:val="none"/>
        </w:rPr>
      </w:r>
      <w:r>
        <w:rPr>
          <w:rFonts w:ascii="Arial" w:hAnsi="Arial" w:cs="Arial"/>
          <w:b/>
          <w:bCs/>
          <w:highlight w:val="none"/>
        </w:rPr>
      </w:r>
    </w:p>
    <w:p w14:paraId="2531069E">
      <w:pPr>
        <w:pBdr/>
        <w:spacing/>
        <w:ind/>
        <w:jc w:val="both"/>
        <w:rPr>
          <w:rFonts w:ascii="Arial" w:hAnsi="Arial" w:cs="Arial"/>
          <w:highlight w:val="none"/>
        </w:rPr>
      </w:pPr>
      <w:r>
        <w:rPr>
          <w:rFonts w:ascii="Arial" w:hAnsi="Arial" w:eastAsia="Arial" w:cs="Arial"/>
          <w:b/>
          <w:bCs/>
          <w:highlight w:val="none"/>
          <w:lang w:val="pt-BR"/>
        </w:rPr>
        <w:t xml:space="preserve">4.4.1.</w:t>
      </w:r>
      <w:r>
        <w:rPr>
          <w:rFonts w:ascii="Arial" w:hAnsi="Arial" w:eastAsia="Arial" w:cs="Arial"/>
          <w:highlight w:val="none"/>
          <w:lang w:val="pt-BR"/>
        </w:rPr>
        <w:t xml:space="preserve"> Não será exigida a apresentação de amostras como condição geral de participação no certame.</w:t>
      </w:r>
      <w:r>
        <w:rPr>
          <w:rFonts w:ascii="Arial" w:hAnsi="Arial" w:cs="Arial"/>
          <w:highlight w:val="none"/>
        </w:rPr>
      </w:r>
      <w:r>
        <w:rPr>
          <w:rFonts w:ascii="Arial" w:hAnsi="Arial" w:cs="Arial"/>
          <w:highlight w:val="none"/>
        </w:rPr>
      </w:r>
    </w:p>
    <w:p w14:paraId="56F6B767">
      <w:pPr>
        <w:pBdr/>
        <w:spacing/>
        <w:ind/>
        <w:jc w:val="both"/>
        <w:rPr>
          <w:rFonts w:ascii="Arial" w:hAnsi="Arial" w:cs="Arial"/>
          <w:highlight w:val="none"/>
        </w:rPr>
      </w:pPr>
      <w:r>
        <w:rPr>
          <w:rFonts w:ascii="Arial" w:hAnsi="Arial" w:eastAsia="Arial" w:cs="Arial"/>
          <w:b/>
          <w:bCs/>
          <w:highlight w:val="none"/>
          <w:lang w:val="pt-BR"/>
        </w:rPr>
        <w:t xml:space="preserve">4.4.2.</w:t>
      </w:r>
      <w:r>
        <w:rPr>
          <w:rFonts w:ascii="Arial" w:hAnsi="Arial" w:eastAsia="Arial" w:cs="Arial"/>
          <w:highlight w:val="none"/>
          <w:lang w:val="pt-BR"/>
        </w:rPr>
        <w:t xml:space="preserve"> A Administraç</w:t>
      </w:r>
      <w:r>
        <w:rPr>
          <w:rFonts w:ascii="Arial" w:hAnsi="Arial" w:eastAsia="Arial" w:cs="Arial"/>
          <w:highlight w:val="none"/>
          <w:lang w:val="pt-BR"/>
        </w:rPr>
        <w:t xml:space="preserve">ão poderá solicitar catálogo, ficha técnica, prospecto, manual, registro sanitário, notificação, cadastro, documento de dispensa de regularização ou outro documento equivalente que comprove a conformidade do produto ofertado com as especificações exigidas.</w:t>
      </w:r>
      <w:r>
        <w:rPr>
          <w:rFonts w:ascii="Arial" w:hAnsi="Arial" w:cs="Arial"/>
          <w:highlight w:val="none"/>
        </w:rPr>
      </w:r>
      <w:r>
        <w:rPr>
          <w:rFonts w:ascii="Arial" w:hAnsi="Arial" w:cs="Arial"/>
          <w:highlight w:val="none"/>
        </w:rPr>
      </w:r>
    </w:p>
    <w:p w14:paraId="27D90AA8">
      <w:pPr>
        <w:pBdr/>
        <w:spacing/>
        <w:ind/>
        <w:jc w:val="both"/>
        <w:rPr>
          <w:rFonts w:ascii="Arial" w:hAnsi="Arial" w:cs="Arial"/>
          <w:highlight w:val="none"/>
        </w:rPr>
      </w:pPr>
      <w:r>
        <w:rPr>
          <w:rFonts w:ascii="Arial" w:hAnsi="Arial" w:eastAsia="Arial" w:cs="Arial"/>
          <w:b/>
          <w:bCs/>
          <w:highlight w:val="none"/>
          <w:lang w:val="pt-BR"/>
        </w:rPr>
        <w:t xml:space="preserve">4.4.3.</w:t>
      </w:r>
      <w:r>
        <w:rPr>
          <w:rFonts w:ascii="Arial" w:hAnsi="Arial" w:eastAsia="Arial" w:cs="Arial"/>
          <w:highlight w:val="none"/>
          <w:lang w:val="pt-BR"/>
        </w:rPr>
        <w:t xml:space="preserve"> A solicitação de documentação técnica não se confunde com a exigência de amostra e terá por finalidade subsidiar a análise da conformidade, qualidade, segurança, regularidade sanitária, funcionalidade e compatibilidade do produto.</w:t>
      </w:r>
      <w:r>
        <w:rPr>
          <w:rFonts w:ascii="Arial" w:hAnsi="Arial" w:cs="Arial"/>
          <w:highlight w:val="none"/>
        </w:rPr>
      </w:r>
      <w:r>
        <w:rPr>
          <w:rFonts w:ascii="Arial" w:hAnsi="Arial" w:cs="Arial"/>
          <w:highlight w:val="none"/>
        </w:rPr>
      </w:r>
    </w:p>
    <w:p w14:paraId="1579F4C8">
      <w:pPr>
        <w:pBdr/>
        <w:spacing/>
        <w:ind/>
        <w:jc w:val="both"/>
        <w:rPr>
          <w:rFonts w:ascii="Arial" w:hAnsi="Arial" w:cs="Arial"/>
          <w:highlight w:val="none"/>
        </w:rPr>
      </w:pPr>
      <w:r>
        <w:rPr>
          <w:rFonts w:ascii="Arial" w:hAnsi="Arial" w:eastAsia="Arial" w:cs="Arial"/>
          <w:b/>
          <w:bCs/>
          <w:highlight w:val="none"/>
          <w:lang w:val="pt-BR"/>
        </w:rPr>
        <w:t xml:space="preserve">4.4.4.</w:t>
      </w:r>
      <w:r>
        <w:rPr>
          <w:rFonts w:ascii="Arial" w:hAnsi="Arial" w:eastAsia="Arial" w:cs="Arial"/>
          <w:highlight w:val="none"/>
          <w:lang w:val="pt-BR"/>
        </w:rPr>
        <w:t xml:space="preserve"> Excepcionalmente, quando a documentação apresentada não for suficiente par</w:t>
      </w:r>
      <w:r>
        <w:rPr>
          <w:rFonts w:ascii="Arial" w:hAnsi="Arial" w:eastAsia="Arial" w:cs="Arial"/>
          <w:highlight w:val="none"/>
          <w:lang w:val="pt-BR"/>
        </w:rPr>
        <w:t xml:space="preserve">a a conclusão da análise técnica, poderá ser solicitada amostra ao licitante provisoriamente classificado em primeiro lugar, mediante decisão motivada da Administração e observância dos critérios, prazos e procedimentos previamente estabelecidos no Edital.</w:t>
      </w:r>
      <w:r>
        <w:rPr>
          <w:rFonts w:ascii="Arial" w:hAnsi="Arial" w:cs="Arial"/>
          <w:highlight w:val="none"/>
        </w:rPr>
      </w:r>
      <w:r>
        <w:rPr>
          <w:rFonts w:ascii="Arial" w:hAnsi="Arial" w:cs="Arial"/>
          <w:highlight w:val="none"/>
        </w:rPr>
      </w:r>
    </w:p>
    <w:p w14:paraId="483EAFF5">
      <w:pPr>
        <w:pBdr/>
        <w:spacing/>
        <w:ind/>
        <w:jc w:val="both"/>
        <w:rPr>
          <w:rFonts w:ascii="Arial" w:hAnsi="Arial" w:cs="Arial"/>
          <w:b/>
          <w:bCs/>
          <w:highlight w:val="none"/>
        </w:rPr>
      </w:pPr>
      <w:r>
        <w:rPr>
          <w:rFonts w:ascii="Arial" w:hAnsi="Arial" w:eastAsia="Arial" w:cs="Arial"/>
          <w:b/>
          <w:bCs/>
          <w:highlight w:val="none"/>
          <w:lang w:val="pt-BR"/>
        </w:rPr>
        <w:t xml:space="preserve">4.5. Subcontratação</w:t>
      </w:r>
      <w:r>
        <w:rPr>
          <w:rFonts w:ascii="Arial" w:hAnsi="Arial" w:cs="Arial"/>
          <w:b/>
          <w:bCs/>
          <w:highlight w:val="none"/>
        </w:rPr>
      </w:r>
      <w:r>
        <w:rPr>
          <w:rFonts w:ascii="Arial" w:hAnsi="Arial" w:cs="Arial"/>
          <w:b/>
          <w:bCs/>
          <w:highlight w:val="none"/>
        </w:rPr>
      </w:r>
    </w:p>
    <w:p w14:paraId="6DAE3F8B">
      <w:pPr>
        <w:pBdr/>
        <w:spacing/>
        <w:ind/>
        <w:jc w:val="both"/>
        <w:rPr>
          <w:rFonts w:ascii="Arial" w:hAnsi="Arial" w:cs="Arial"/>
          <w:highlight w:val="none"/>
        </w:rPr>
      </w:pPr>
      <w:r>
        <w:rPr>
          <w:rFonts w:ascii="Arial" w:hAnsi="Arial" w:eastAsia="Arial" w:cs="Arial"/>
          <w:b/>
          <w:bCs/>
          <w:highlight w:val="none"/>
          <w:lang w:val="pt-BR"/>
        </w:rPr>
        <w:t xml:space="preserve">4.5.1</w:t>
      </w:r>
      <w:r>
        <w:rPr>
          <w:rFonts w:ascii="Arial" w:hAnsi="Arial" w:eastAsia="Arial" w:cs="Arial"/>
          <w:highlight w:val="none"/>
          <w:lang w:val="pt-BR"/>
        </w:rPr>
        <w:t xml:space="preserve">. É vedada a subcontratação integral das obrigações principais decorrentes da contratação, devendo a contratada responder diretamente pelo fornecimento dos produtos.</w:t>
      </w:r>
      <w:r>
        <w:rPr>
          <w:rFonts w:ascii="Arial" w:hAnsi="Arial" w:cs="Arial"/>
          <w:highlight w:val="none"/>
        </w:rPr>
      </w:r>
      <w:r>
        <w:rPr>
          <w:rFonts w:ascii="Arial" w:hAnsi="Arial" w:cs="Arial"/>
          <w:highlight w:val="none"/>
        </w:rPr>
      </w:r>
    </w:p>
    <w:p w14:paraId="23D06DF4">
      <w:pPr>
        <w:pBdr/>
        <w:spacing/>
        <w:ind/>
        <w:jc w:val="both"/>
        <w:rPr>
          <w:rFonts w:ascii="Arial" w:hAnsi="Arial" w:cs="Arial"/>
          <w:highlight w:val="none"/>
        </w:rPr>
      </w:pPr>
      <w:r>
        <w:rPr>
          <w:rFonts w:ascii="Arial" w:hAnsi="Arial" w:eastAsia="Arial" w:cs="Arial"/>
          <w:b/>
          <w:bCs/>
          <w:highlight w:val="none"/>
          <w:lang w:val="pt-BR"/>
        </w:rPr>
        <w:t xml:space="preserve">4.5.2.</w:t>
      </w:r>
      <w:r>
        <w:rPr>
          <w:rFonts w:ascii="Arial" w:hAnsi="Arial" w:eastAsia="Arial" w:cs="Arial"/>
          <w:highlight w:val="none"/>
          <w:lang w:val="pt-BR"/>
        </w:rPr>
        <w:t xml:space="preserve"> A vedação prevista no subitem anterior não impede a utilização d</w:t>
      </w:r>
      <w:r>
        <w:rPr>
          <w:rFonts w:ascii="Arial" w:hAnsi="Arial" w:eastAsia="Arial" w:cs="Arial"/>
          <w:highlight w:val="none"/>
          <w:lang w:val="pt-BR"/>
        </w:rPr>
        <w:t xml:space="preserve">e serviços auxiliares de logística, transporte ou distribuição, desde que não haja transferência das obrigações principais e que a contratada permaneça integralmente responsável perante a Administração pela qualidade e pelo adequado fornecimento do objeto.</w:t>
      </w:r>
      <w:r>
        <w:rPr>
          <w:rFonts w:ascii="Arial" w:hAnsi="Arial" w:cs="Arial"/>
          <w:highlight w:val="none"/>
        </w:rPr>
      </w:r>
      <w:r>
        <w:rPr>
          <w:rFonts w:ascii="Arial" w:hAnsi="Arial" w:cs="Arial"/>
          <w:highlight w:val="none"/>
        </w:rPr>
      </w:r>
    </w:p>
    <w:p w14:paraId="0ADB9B89">
      <w:pPr>
        <w:pBdr/>
        <w:spacing/>
        <w:ind/>
        <w:jc w:val="both"/>
        <w:rPr>
          <w:rFonts w:ascii="Arial" w:hAnsi="Arial" w:cs="Arial"/>
          <w:highlight w:val="none"/>
        </w:rPr>
      </w:pPr>
      <w:r>
        <w:rPr>
          <w:rFonts w:ascii="Arial" w:hAnsi="Arial" w:eastAsia="Arial" w:cs="Arial"/>
          <w:b/>
          <w:bCs/>
          <w:highlight w:val="none"/>
          <w:lang w:val="pt-BR"/>
        </w:rPr>
        <w:t xml:space="preserve">4.5.3.</w:t>
      </w:r>
      <w:r>
        <w:rPr>
          <w:rFonts w:ascii="Arial" w:hAnsi="Arial" w:eastAsia="Arial" w:cs="Arial"/>
          <w:highlight w:val="none"/>
          <w:lang w:val="pt-BR"/>
        </w:rPr>
        <w:t xml:space="preserve"> A utilização de terceiros em atividades auxiliares não afastará a responsabilidade da contratada por atos, omissões, danos, atrasos, falhas, vícios ou </w:t>
      </w:r>
      <w:r>
        <w:rPr>
          <w:rFonts w:ascii="Arial" w:hAnsi="Arial" w:eastAsia="Arial" w:cs="Arial"/>
          <w:highlight w:val="none"/>
          <w:lang w:val="pt-BR"/>
        </w:rPr>
        <w:t xml:space="preserve">desconformidades relacionados</w:t>
      </w:r>
      <w:r>
        <w:rPr>
          <w:rFonts w:ascii="Arial" w:hAnsi="Arial" w:eastAsia="Arial" w:cs="Arial"/>
          <w:highlight w:val="none"/>
          <w:lang w:val="pt-BR"/>
        </w:rPr>
        <w:t xml:space="preserve"> à execução do objeto.</w:t>
      </w:r>
      <w:r>
        <w:rPr>
          <w:rFonts w:ascii="Arial" w:hAnsi="Arial" w:cs="Arial"/>
          <w:highlight w:val="none"/>
        </w:rPr>
      </w:r>
      <w:r>
        <w:rPr>
          <w:rFonts w:ascii="Arial" w:hAnsi="Arial" w:cs="Arial"/>
          <w:highlight w:val="none"/>
        </w:rPr>
      </w:r>
    </w:p>
    <w:p w14:paraId="09F56241">
      <w:pPr>
        <w:pBdr/>
        <w:spacing/>
        <w:ind/>
        <w:jc w:val="both"/>
        <w:rPr>
          <w:rFonts w:ascii="Arial" w:hAnsi="Arial" w:cs="Arial"/>
          <w:b/>
          <w:bCs/>
          <w:highlight w:val="none"/>
        </w:rPr>
      </w:pPr>
      <w:r>
        <w:rPr>
          <w:rFonts w:ascii="Arial" w:hAnsi="Arial" w:eastAsia="Arial" w:cs="Arial"/>
          <w:b/>
          <w:bCs/>
          <w:highlight w:val="none"/>
          <w:lang w:val="pt-BR"/>
        </w:rPr>
        <w:t xml:space="preserve">4.6. Da Garantia Contratual e dos Produtos</w:t>
      </w:r>
      <w:r>
        <w:rPr>
          <w:rFonts w:ascii="Arial" w:hAnsi="Arial" w:cs="Arial"/>
          <w:b/>
          <w:bCs/>
          <w:highlight w:val="none"/>
        </w:rPr>
      </w:r>
      <w:r>
        <w:rPr>
          <w:rFonts w:ascii="Arial" w:hAnsi="Arial" w:cs="Arial"/>
          <w:b/>
          <w:bCs/>
          <w:highlight w:val="none"/>
        </w:rPr>
      </w:r>
    </w:p>
    <w:p w14:paraId="065DED0A">
      <w:pPr>
        <w:pBdr/>
        <w:spacing/>
        <w:ind/>
        <w:jc w:val="both"/>
        <w:rPr>
          <w:rFonts w:ascii="Arial" w:hAnsi="Arial" w:cs="Arial"/>
          <w:highlight w:val="none"/>
        </w:rPr>
      </w:pPr>
      <w:r>
        <w:rPr>
          <w:rFonts w:ascii="Arial" w:hAnsi="Arial" w:eastAsia="Arial" w:cs="Arial"/>
          <w:b/>
          <w:bCs/>
          <w:highlight w:val="none"/>
          <w:lang w:val="pt-BR"/>
        </w:rPr>
        <w:t xml:space="preserve">4.6.1.</w:t>
      </w:r>
      <w:r>
        <w:rPr>
          <w:rFonts w:ascii="Arial" w:hAnsi="Arial" w:eastAsia="Arial" w:cs="Arial"/>
          <w:highlight w:val="none"/>
          <w:lang w:val="pt-BR"/>
        </w:rPr>
        <w:t xml:space="preserve"> Será exigida garantia de execução contratual correspondente a 5% (cinco por c</w:t>
      </w:r>
      <w:r>
        <w:rPr>
          <w:rFonts w:ascii="Arial" w:hAnsi="Arial" w:eastAsia="Arial" w:cs="Arial"/>
          <w:highlight w:val="none"/>
          <w:lang w:val="pt-BR"/>
        </w:rPr>
        <w:t xml:space="preserve">ento) do valor inicial do contrato ou instrumento equivalente decorrente da Ata de Registro de Preços, quando houver formalização contratual, observadas as modalidades, condições e prazos previstos na Lei Federal nº 14.133/2021 e neste Termo de Referência.</w:t>
      </w:r>
      <w:r>
        <w:rPr>
          <w:rFonts w:ascii="Arial" w:hAnsi="Arial" w:cs="Arial"/>
          <w:highlight w:val="none"/>
        </w:rPr>
      </w:r>
      <w:r>
        <w:rPr>
          <w:rFonts w:ascii="Arial" w:hAnsi="Arial" w:cs="Arial"/>
          <w:highlight w:val="none"/>
        </w:rPr>
      </w:r>
    </w:p>
    <w:p w14:paraId="2F410741">
      <w:pPr>
        <w:pBdr/>
        <w:spacing/>
        <w:ind/>
        <w:jc w:val="both"/>
        <w:rPr>
          <w:rFonts w:ascii="Arial" w:hAnsi="Arial" w:cs="Arial"/>
          <w:highlight w:val="none"/>
        </w:rPr>
      </w:pPr>
      <w:r>
        <w:rPr>
          <w:rFonts w:ascii="Arial" w:hAnsi="Arial" w:eastAsia="Arial" w:cs="Arial"/>
          <w:b/>
          <w:bCs/>
          <w:highlight w:val="none"/>
          <w:lang w:val="pt-BR"/>
        </w:rPr>
        <w:t xml:space="preserve">4.6.2.</w:t>
      </w:r>
      <w:r>
        <w:rPr>
          <w:rFonts w:ascii="Arial" w:hAnsi="Arial" w:eastAsia="Arial" w:cs="Arial"/>
          <w:highlight w:val="none"/>
          <w:lang w:val="pt-BR"/>
        </w:rPr>
        <w:t xml:space="preserve"> Sem prejuízo das disposições relativas à garantia contratual, a garantia dos produtos fornecidos deverá abranger a substituição dos m</w:t>
      </w:r>
      <w:r>
        <w:rPr>
          <w:rFonts w:ascii="Arial" w:hAnsi="Arial" w:eastAsia="Arial" w:cs="Arial"/>
          <w:highlight w:val="none"/>
          <w:lang w:val="pt-BR"/>
        </w:rPr>
        <w:t xml:space="preserve">ateriais que apresentarem defeitos de fabricação, perda de esterilidade, embalagens violadas, irregularidade no sistema de vácuo, inadequação do volume de aspiração, falha de fechamento ou qualquer outra desconformidade com as especificações estabelecidas.</w:t>
      </w:r>
      <w:r>
        <w:rPr>
          <w:rFonts w:ascii="Arial" w:hAnsi="Arial" w:cs="Arial"/>
          <w:highlight w:val="none"/>
        </w:rPr>
      </w:r>
      <w:r>
        <w:rPr>
          <w:rFonts w:ascii="Arial" w:hAnsi="Arial" w:cs="Arial"/>
          <w:highlight w:val="none"/>
        </w:rPr>
      </w:r>
    </w:p>
    <w:p w14:paraId="3939FF20">
      <w:pPr>
        <w:pBdr/>
        <w:spacing/>
        <w:ind/>
        <w:jc w:val="both"/>
        <w:rPr>
          <w:rFonts w:ascii="Arial" w:hAnsi="Arial" w:cs="Arial"/>
          <w:highlight w:val="none"/>
        </w:rPr>
      </w:pPr>
      <w:r>
        <w:rPr>
          <w:rFonts w:ascii="Arial" w:hAnsi="Arial" w:eastAsia="Arial" w:cs="Arial"/>
          <w:b/>
          <w:bCs/>
          <w:highlight w:val="none"/>
          <w:lang w:val="pt-BR"/>
        </w:rPr>
        <w:t xml:space="preserve">4.6.3.</w:t>
      </w:r>
      <w:r>
        <w:rPr>
          <w:rFonts w:ascii="Arial" w:hAnsi="Arial" w:eastAsia="Arial" w:cs="Arial"/>
          <w:highlight w:val="none"/>
          <w:lang w:val="pt-BR"/>
        </w:rPr>
        <w:t xml:space="preserve"> O recebimen</w:t>
      </w:r>
      <w:r>
        <w:rPr>
          <w:rFonts w:ascii="Arial" w:hAnsi="Arial" w:eastAsia="Arial" w:cs="Arial"/>
          <w:highlight w:val="none"/>
          <w:lang w:val="pt-BR"/>
        </w:rPr>
        <w:t xml:space="preserve">to provisório ou definitivo dos insumos laboratoriais não exclui nem reduz a responsabilidade civil, administrativa e técnica da Contratada pela qualidade, segurança, regularidade sanitária, validade, rastreabilidade e conformidade dos materiais entregues.</w:t>
      </w:r>
      <w:r>
        <w:rPr>
          <w:rFonts w:ascii="Arial" w:hAnsi="Arial" w:cs="Arial"/>
          <w:highlight w:val="none"/>
        </w:rPr>
      </w:r>
      <w:r>
        <w:rPr>
          <w:rFonts w:ascii="Arial" w:hAnsi="Arial" w:cs="Arial"/>
          <w:highlight w:val="none"/>
        </w:rPr>
      </w:r>
    </w:p>
    <w:p w14:paraId="34879645">
      <w:pPr>
        <w:pBdr/>
        <w:spacing/>
        <w:ind/>
        <w:jc w:val="both"/>
        <w:rPr>
          <w:rFonts w:ascii="Arial" w:hAnsi="Arial" w:cs="Arial"/>
          <w:highlight w:val="none"/>
        </w:rPr>
      </w:pPr>
      <w:r>
        <w:rPr>
          <w:rFonts w:ascii="Arial" w:hAnsi="Arial" w:eastAsia="Arial" w:cs="Arial"/>
          <w:b/>
          <w:bCs/>
          <w:highlight w:val="none"/>
          <w:lang w:val="pt-BR"/>
        </w:rPr>
        <w:t xml:space="preserve">4.6.4.</w:t>
      </w:r>
      <w:r>
        <w:rPr>
          <w:rFonts w:ascii="Arial" w:hAnsi="Arial" w:eastAsia="Arial" w:cs="Arial"/>
          <w:highlight w:val="none"/>
          <w:lang w:val="pt-BR"/>
        </w:rPr>
        <w:t xml:space="preserve"> A Contratada deverá substituir, sem qualquer ônus para a Administração e dentro do prazo estabelecido neste Termo de Referência, os produtos que apresentar</w:t>
      </w:r>
      <w:r>
        <w:rPr>
          <w:rFonts w:ascii="Arial" w:hAnsi="Arial" w:eastAsia="Arial" w:cs="Arial"/>
          <w:highlight w:val="none"/>
          <w:lang w:val="pt-BR"/>
        </w:rPr>
        <w:t xml:space="preserve">em defeitos de fabricação, perda de esterilidade, embalagens violadas, irregularidade no sistema de vácuo, inadequação do volume de aspiração, falha de fechamento ou qualquer outra desconformidade com as especificações técnicas ou sanitárias estabelecidas.</w:t>
      </w:r>
      <w:r>
        <w:rPr>
          <w:rFonts w:ascii="Arial" w:hAnsi="Arial" w:cs="Arial"/>
          <w:highlight w:val="none"/>
        </w:rPr>
      </w:r>
      <w:r>
        <w:rPr>
          <w:rFonts w:ascii="Arial" w:hAnsi="Arial" w:cs="Arial"/>
          <w:highlight w:val="none"/>
        </w:rPr>
      </w:r>
    </w:p>
    <w:p w14:paraId="3E3C5C67">
      <w:pPr>
        <w:pBdr/>
        <w:spacing/>
        <w:ind/>
        <w:jc w:val="both"/>
        <w:rPr>
          <w:rFonts w:ascii="Arial" w:hAnsi="Arial" w:cs="Arial"/>
          <w:b/>
          <w:bCs/>
          <w:highlight w:val="none"/>
        </w:rPr>
      </w:pPr>
      <w:r>
        <w:rPr>
          <w:rFonts w:ascii="Arial" w:hAnsi="Arial" w:eastAsia="Arial" w:cs="Arial"/>
          <w:b/>
          <w:bCs/>
          <w:highlight w:val="none"/>
          <w:lang w:val="pt-BR"/>
        </w:rPr>
        <w:t xml:space="preserve">4.7. Local de Entrega</w:t>
      </w:r>
      <w:r>
        <w:rPr>
          <w:rFonts w:ascii="Arial" w:hAnsi="Arial" w:cs="Arial"/>
          <w:b/>
          <w:bCs/>
          <w:highlight w:val="none"/>
        </w:rPr>
      </w:r>
      <w:r>
        <w:rPr>
          <w:rFonts w:ascii="Arial" w:hAnsi="Arial" w:cs="Arial"/>
          <w:b/>
          <w:bCs/>
          <w:highlight w:val="none"/>
        </w:rPr>
      </w:r>
    </w:p>
    <w:p w14:paraId="05BBC61E">
      <w:pPr>
        <w:pBdr/>
        <w:spacing/>
        <w:ind/>
        <w:jc w:val="both"/>
        <w:rPr>
          <w:rFonts w:ascii="Arial" w:hAnsi="Arial" w:cs="Arial"/>
          <w:highlight w:val="none"/>
        </w:rPr>
      </w:pPr>
      <w:r>
        <w:rPr>
          <w:rFonts w:ascii="Arial" w:hAnsi="Arial" w:eastAsia="Arial" w:cs="Arial"/>
          <w:b/>
          <w:bCs/>
          <w:highlight w:val="none"/>
          <w:lang w:val="pt-BR"/>
        </w:rPr>
        <w:t xml:space="preserve">4.7.1.</w:t>
      </w:r>
      <w:r>
        <w:rPr>
          <w:rFonts w:ascii="Arial" w:hAnsi="Arial" w:eastAsia="Arial" w:cs="Arial"/>
          <w:highlight w:val="none"/>
          <w:lang w:val="pt-BR"/>
        </w:rPr>
        <w:t xml:space="preserve"> Os produtos deverão ser descarregados e entregues no Almoxarifado da Secretaria Municipal de Saúde, de segunda a sexta-feira, das 7h às 11h e das 13h às 17h, localizado na Avenida Ângelo </w:t>
      </w:r>
      <w:r>
        <w:rPr>
          <w:rFonts w:ascii="Arial" w:hAnsi="Arial" w:eastAsia="Arial" w:cs="Arial"/>
          <w:highlight w:val="none"/>
          <w:lang w:val="pt-BR"/>
        </w:rPr>
        <w:t xml:space="preserve">Thum</w:t>
      </w:r>
      <w:r>
        <w:rPr>
          <w:rFonts w:ascii="Arial" w:hAnsi="Arial" w:eastAsia="Arial" w:cs="Arial"/>
          <w:highlight w:val="none"/>
          <w:lang w:val="pt-BR"/>
        </w:rPr>
        <w:t xml:space="preserve">, nº 181, Jardim Monte Líbano, Rondonópolis/MT, CEP 78710-272.</w:t>
      </w:r>
      <w:r>
        <w:rPr>
          <w:rFonts w:ascii="Arial" w:hAnsi="Arial" w:cs="Arial"/>
          <w:highlight w:val="none"/>
        </w:rPr>
      </w:r>
      <w:r>
        <w:rPr>
          <w:rFonts w:ascii="Arial" w:hAnsi="Arial" w:cs="Arial"/>
          <w:highlight w:val="none"/>
        </w:rPr>
      </w:r>
    </w:p>
    <w:p w14:paraId="29922B24">
      <w:pPr>
        <w:pBdr/>
        <w:spacing/>
        <w:ind/>
        <w:jc w:val="both"/>
        <w:rPr>
          <w:rFonts w:ascii="Arial" w:hAnsi="Arial" w:cs="Arial"/>
          <w:highlight w:val="none"/>
        </w:rPr>
      </w:pPr>
      <w:r>
        <w:rPr>
          <w:rFonts w:ascii="Arial" w:hAnsi="Arial" w:eastAsia="Arial" w:cs="Arial"/>
          <w:b/>
          <w:bCs/>
          <w:highlight w:val="none"/>
          <w:lang w:val="pt-BR"/>
        </w:rPr>
        <w:t xml:space="preserve">4.7.2</w:t>
      </w:r>
      <w:r>
        <w:rPr>
          <w:rFonts w:ascii="Arial" w:hAnsi="Arial" w:eastAsia="Arial" w:cs="Arial"/>
          <w:highlight w:val="none"/>
          <w:lang w:val="pt-BR"/>
        </w:rPr>
        <w:t xml:space="preserve">. A Administração poderá indicar outro local de entrega, desde que formalmente previsto na Ordem de </w:t>
      </w:r>
      <w:r>
        <w:rPr>
          <w:rFonts w:ascii="Arial" w:hAnsi="Arial" w:eastAsia="Arial" w:cs="Arial"/>
          <w:highlight w:val="none"/>
          <w:lang w:val="pt-BR"/>
        </w:rPr>
        <w:t xml:space="preserve">Fornecimento, Nota de Empenho ou outro instrumento hábil, observada a necessidade administrativa e o interesse público.</w:t>
      </w:r>
      <w:r>
        <w:rPr>
          <w:rFonts w:ascii="Arial" w:hAnsi="Arial" w:cs="Arial"/>
          <w:highlight w:val="none"/>
        </w:rPr>
      </w:r>
      <w:r>
        <w:rPr>
          <w:rFonts w:ascii="Arial" w:hAnsi="Arial" w:cs="Arial"/>
          <w:highlight w:val="none"/>
        </w:rPr>
      </w:r>
    </w:p>
    <w:p w14:paraId="72F052BD">
      <w:pPr>
        <w:pBdr/>
        <w:spacing/>
        <w:ind/>
        <w:jc w:val="both"/>
        <w:rPr>
          <w:rFonts w:ascii="Arial" w:hAnsi="Arial" w:cs="Arial"/>
          <w:b/>
          <w:bCs/>
          <w:highlight w:val="none"/>
        </w:rPr>
      </w:pPr>
      <w:r>
        <w:rPr>
          <w:rFonts w:ascii="Arial" w:hAnsi="Arial" w:eastAsia="Arial" w:cs="Arial"/>
          <w:b/>
          <w:bCs/>
          <w:highlight w:val="none"/>
          <w:lang w:val="pt-BR"/>
        </w:rPr>
        <w:t xml:space="preserve">4.8. Critérios de Ordem Técnica</w:t>
      </w:r>
      <w:r>
        <w:rPr>
          <w:rFonts w:ascii="Arial" w:hAnsi="Arial" w:cs="Arial"/>
          <w:b/>
          <w:bCs/>
          <w:highlight w:val="none"/>
        </w:rPr>
      </w:r>
      <w:r>
        <w:rPr>
          <w:rFonts w:ascii="Arial" w:hAnsi="Arial" w:cs="Arial"/>
          <w:b/>
          <w:bCs/>
          <w:highlight w:val="none"/>
        </w:rPr>
      </w:r>
    </w:p>
    <w:p w14:paraId="683F5666">
      <w:pPr>
        <w:pBdr/>
        <w:spacing/>
        <w:ind/>
        <w:jc w:val="both"/>
        <w:rPr>
          <w:rFonts w:ascii="Arial" w:hAnsi="Arial" w:cs="Arial"/>
          <w:highlight w:val="none"/>
        </w:rPr>
      </w:pPr>
      <w:r>
        <w:rPr>
          <w:rFonts w:ascii="Arial" w:hAnsi="Arial" w:eastAsia="Arial" w:cs="Arial"/>
          <w:b/>
          <w:bCs/>
          <w:highlight w:val="none"/>
          <w:lang w:val="pt-BR"/>
        </w:rPr>
        <w:t xml:space="preserve">4.8.1.</w:t>
      </w:r>
      <w:r>
        <w:rPr>
          <w:rFonts w:ascii="Arial" w:hAnsi="Arial" w:eastAsia="Arial" w:cs="Arial"/>
          <w:highlight w:val="none"/>
          <w:lang w:val="pt-BR"/>
        </w:rPr>
        <w:t xml:space="preserve"> Os produtos deverão atender integralmente às especificações técnicas constantes da planilha de itens, observando-se a descrição, unidade</w:t>
      </w:r>
      <w:r>
        <w:rPr>
          <w:rFonts w:ascii="Arial" w:hAnsi="Arial" w:eastAsia="Arial" w:cs="Arial"/>
          <w:highlight w:val="none"/>
          <w:lang w:val="pt-BR"/>
        </w:rPr>
        <w:t xml:space="preserve"> de medida, quantitativo, finalidade de uso, composição, dimensões, capacidade volumétrica, aditivos, sistema de fechamento, forma de apresentação, embalagem, esterilidade, validade, lote, fabricante e demais informações necessárias à adequada conferência.</w:t>
      </w:r>
      <w:r>
        <w:rPr>
          <w:rFonts w:ascii="Arial" w:hAnsi="Arial" w:cs="Arial"/>
          <w:highlight w:val="none"/>
        </w:rPr>
      </w:r>
      <w:r>
        <w:rPr>
          <w:rFonts w:ascii="Arial" w:hAnsi="Arial" w:cs="Arial"/>
          <w:highlight w:val="none"/>
        </w:rPr>
      </w:r>
    </w:p>
    <w:p w14:paraId="1A752101">
      <w:pPr>
        <w:pBdr/>
        <w:spacing/>
        <w:ind/>
        <w:jc w:val="both"/>
        <w:rPr>
          <w:rFonts w:ascii="Arial" w:hAnsi="Arial" w:cs="Arial"/>
          <w:highlight w:val="none"/>
        </w:rPr>
      </w:pPr>
      <w:r>
        <w:rPr>
          <w:rFonts w:ascii="Arial" w:hAnsi="Arial" w:eastAsia="Arial" w:cs="Arial"/>
          <w:b/>
          <w:bCs/>
          <w:highlight w:val="none"/>
          <w:lang w:val="pt-BR"/>
        </w:rPr>
        <w:t xml:space="preserve">4.8.2</w:t>
      </w:r>
      <w:r>
        <w:rPr>
          <w:rFonts w:ascii="Arial" w:hAnsi="Arial" w:eastAsia="Arial" w:cs="Arial"/>
          <w:highlight w:val="none"/>
          <w:lang w:val="pt-BR"/>
        </w:rPr>
        <w:t xml:space="preserve">. Quando exigido pela legislação aplicável, os pro</w:t>
      </w:r>
      <w:r>
        <w:rPr>
          <w:rFonts w:ascii="Arial" w:hAnsi="Arial" w:eastAsia="Arial" w:cs="Arial"/>
          <w:highlight w:val="none"/>
          <w:lang w:val="pt-BR"/>
        </w:rPr>
        <w:t xml:space="preserve">dutos deverão possuir registro, cadastro, notificação ou documento que comprove a dispensa de regularização perante a Agência Nacional de Vigilância Sanitária – Anvisa ou outro órgão competente, conforme a natureza e o enquadramento sanitário de cada item.</w:t>
      </w:r>
      <w:r>
        <w:rPr>
          <w:rFonts w:ascii="Arial" w:hAnsi="Arial" w:cs="Arial"/>
          <w:highlight w:val="none"/>
        </w:rPr>
      </w:r>
      <w:r>
        <w:rPr>
          <w:rFonts w:ascii="Arial" w:hAnsi="Arial" w:cs="Arial"/>
          <w:highlight w:val="none"/>
        </w:rPr>
      </w:r>
    </w:p>
    <w:p w14:paraId="2053D9A4">
      <w:pPr>
        <w:pBdr/>
        <w:spacing/>
        <w:ind/>
        <w:jc w:val="both"/>
        <w:rPr>
          <w:rFonts w:ascii="Arial" w:hAnsi="Arial" w:cs="Arial"/>
          <w:highlight w:val="none"/>
        </w:rPr>
      </w:pPr>
      <w:r>
        <w:rPr>
          <w:rFonts w:ascii="Arial" w:hAnsi="Arial" w:eastAsia="Arial" w:cs="Arial"/>
          <w:b/>
          <w:bCs/>
          <w:highlight w:val="none"/>
          <w:lang w:val="pt-BR"/>
        </w:rPr>
        <w:t xml:space="preserve">4.8.3</w:t>
      </w:r>
      <w:r>
        <w:rPr>
          <w:rFonts w:ascii="Arial" w:hAnsi="Arial" w:eastAsia="Arial" w:cs="Arial"/>
          <w:highlight w:val="none"/>
          <w:lang w:val="pt-BR"/>
        </w:rPr>
        <w:t xml:space="preserve">. A C</w:t>
      </w:r>
      <w:r>
        <w:rPr>
          <w:rFonts w:ascii="Arial" w:hAnsi="Arial" w:eastAsia="Arial" w:cs="Arial"/>
          <w:highlight w:val="none"/>
          <w:lang w:val="pt-BR"/>
        </w:rPr>
        <w:t xml:space="preserve">ontratada deverá observar as normas sanitárias, técnicas, ambientais, trabalhistas, fiscais e de segurança aplicáveis à fabricação, comercialização, acondicionamento, transporte e entrega dos tubos e agulhas utilizados em procedimentos de coleta de sangue.</w:t>
      </w:r>
      <w:r>
        <w:rPr>
          <w:rFonts w:ascii="Arial" w:hAnsi="Arial" w:cs="Arial"/>
          <w:highlight w:val="none"/>
        </w:rPr>
      </w:r>
      <w:r>
        <w:rPr>
          <w:rFonts w:ascii="Arial" w:hAnsi="Arial" w:cs="Arial"/>
          <w:highlight w:val="none"/>
        </w:rPr>
      </w:r>
    </w:p>
    <w:p w14:paraId="0C974E6D">
      <w:pPr>
        <w:pBdr/>
        <w:spacing/>
        <w:ind/>
        <w:jc w:val="both"/>
        <w:rPr>
          <w:rFonts w:ascii="Arial" w:hAnsi="Arial" w:cs="Arial"/>
          <w:highlight w:val="none"/>
        </w:rPr>
      </w:pPr>
      <w:r>
        <w:rPr>
          <w:rFonts w:ascii="Arial" w:hAnsi="Arial" w:eastAsia="Arial" w:cs="Arial"/>
          <w:b/>
          <w:bCs/>
          <w:highlight w:val="none"/>
          <w:lang w:val="pt-BR"/>
        </w:rPr>
        <w:t xml:space="preserve">4.8.4.</w:t>
      </w:r>
      <w:r>
        <w:rPr>
          <w:rFonts w:ascii="Arial" w:hAnsi="Arial" w:eastAsia="Arial" w:cs="Arial"/>
          <w:highlight w:val="none"/>
          <w:lang w:val="pt-BR"/>
        </w:rPr>
        <w:t xml:space="preserve"> Deverão ser observadas, quando aplicáveis ao objeto, as normas técnicas e sanitárias vigentes relacionadas aos produtos e aos procedimentos laboratoriais, inclusive aquelas que venham a substituir ou complementar as normas atualmente aplicáveis.</w:t>
      </w:r>
      <w:r>
        <w:rPr>
          <w:rFonts w:ascii="Arial" w:hAnsi="Arial" w:cs="Arial"/>
          <w:highlight w:val="none"/>
        </w:rPr>
      </w:r>
      <w:r>
        <w:rPr>
          <w:rFonts w:ascii="Arial" w:hAnsi="Arial" w:cs="Arial"/>
          <w:highlight w:val="none"/>
        </w:rPr>
      </w:r>
    </w:p>
    <w:p w14:paraId="05377653">
      <w:pPr>
        <w:pBdr/>
        <w:spacing/>
        <w:ind/>
        <w:jc w:val="both"/>
        <w:rPr>
          <w:rFonts w:ascii="Arial" w:hAnsi="Arial" w:cs="Arial"/>
          <w:highlight w:val="none"/>
        </w:rPr>
      </w:pPr>
      <w:r>
        <w:rPr>
          <w:rFonts w:ascii="Arial" w:hAnsi="Arial" w:eastAsia="Arial" w:cs="Arial"/>
          <w:b/>
          <w:bCs/>
          <w:highlight w:val="none"/>
          <w:lang w:val="pt-BR"/>
        </w:rPr>
        <w:t xml:space="preserve">4.8.5.</w:t>
      </w:r>
      <w:r>
        <w:rPr>
          <w:rFonts w:ascii="Arial" w:hAnsi="Arial" w:eastAsia="Arial" w:cs="Arial"/>
          <w:highlight w:val="none"/>
          <w:lang w:val="pt-BR"/>
        </w:rPr>
        <w:t xml:space="preserve"> Os produtos deverão ser novos, de primeiro uso, estéreis, descartáveis, atóxicos e isento</w:t>
      </w:r>
      <w:r>
        <w:rPr>
          <w:rFonts w:ascii="Arial" w:hAnsi="Arial" w:eastAsia="Arial" w:cs="Arial"/>
          <w:highlight w:val="none"/>
          <w:lang w:val="pt-BR"/>
        </w:rPr>
        <w:t xml:space="preserve">s de defeitos, sujidades, deformações, rachaduras, vazamentos, perfurações indevidas, sinais de reutilização, reprocessamento, adulteração, violação ou qualquer condição que comprometa sua integridade, esterilidade, segurança, funcionalidade ou desempenho.</w:t>
      </w:r>
      <w:r>
        <w:rPr>
          <w:rFonts w:ascii="Arial" w:hAnsi="Arial" w:cs="Arial"/>
          <w:highlight w:val="none"/>
        </w:rPr>
      </w:r>
      <w:r>
        <w:rPr>
          <w:rFonts w:ascii="Arial" w:hAnsi="Arial" w:cs="Arial"/>
          <w:highlight w:val="none"/>
        </w:rPr>
      </w:r>
    </w:p>
    <w:p w14:paraId="75DDBDF8">
      <w:pPr>
        <w:pBdr/>
        <w:spacing/>
        <w:ind/>
        <w:jc w:val="both"/>
        <w:rPr>
          <w:rFonts w:ascii="Arial" w:hAnsi="Arial" w:cs="Arial"/>
          <w:highlight w:val="none"/>
        </w:rPr>
      </w:pPr>
      <w:r>
        <w:rPr>
          <w:rFonts w:ascii="Arial" w:hAnsi="Arial" w:eastAsia="Arial" w:cs="Arial"/>
          <w:b/>
          <w:bCs/>
          <w:highlight w:val="none"/>
          <w:lang w:val="pt-BR"/>
        </w:rPr>
        <w:t xml:space="preserve">4.8.6.</w:t>
      </w:r>
      <w:r>
        <w:rPr>
          <w:rFonts w:ascii="Arial" w:hAnsi="Arial" w:eastAsia="Arial" w:cs="Arial"/>
          <w:highlight w:val="none"/>
          <w:lang w:val="pt-BR"/>
        </w:rPr>
        <w:t xml:space="preserve"> Os tubos deverão assegurar o</w:t>
      </w:r>
      <w:r>
        <w:rPr>
          <w:rFonts w:ascii="Arial" w:hAnsi="Arial" w:eastAsia="Arial" w:cs="Arial"/>
          <w:highlight w:val="none"/>
          <w:lang w:val="pt-BR"/>
        </w:rPr>
        <w:t xml:space="preserve"> volume de aspiração indicado, a correta proporção entre o sangue coletado e o respectivo aditivo, o fechamento seguro, a preservação da amostra e a resistência necessária durante a coleta, o transporte, o armazenamento e a centrifugação, quando aplicável.</w:t>
      </w:r>
      <w:r>
        <w:rPr>
          <w:rFonts w:ascii="Arial" w:hAnsi="Arial" w:cs="Arial"/>
          <w:highlight w:val="none"/>
        </w:rPr>
      </w:r>
      <w:r>
        <w:rPr>
          <w:rFonts w:ascii="Arial" w:hAnsi="Arial" w:cs="Arial"/>
          <w:highlight w:val="none"/>
        </w:rPr>
      </w:r>
    </w:p>
    <w:p w14:paraId="4ADD4A74">
      <w:pPr>
        <w:pBdr/>
        <w:spacing/>
        <w:ind/>
        <w:jc w:val="both"/>
        <w:rPr>
          <w:rFonts w:ascii="Arial" w:hAnsi="Arial" w:cs="Arial"/>
          <w:highlight w:val="none"/>
        </w:rPr>
      </w:pPr>
      <w:r>
        <w:rPr>
          <w:rFonts w:ascii="Arial" w:hAnsi="Arial" w:eastAsia="Arial" w:cs="Arial"/>
          <w:b/>
          <w:bCs/>
          <w:highlight w:val="none"/>
          <w:lang w:val="pt-BR"/>
        </w:rPr>
        <w:t xml:space="preserve">4.8.7.</w:t>
      </w:r>
      <w:r>
        <w:rPr>
          <w:rFonts w:ascii="Arial" w:hAnsi="Arial" w:eastAsia="Arial" w:cs="Arial"/>
          <w:highlight w:val="none"/>
          <w:lang w:val="pt-BR"/>
        </w:rPr>
        <w:t xml:space="preserve"> As agulhas deverão ser estéreis, descartáveis, </w:t>
      </w:r>
      <w:r>
        <w:rPr>
          <w:rFonts w:ascii="Arial" w:hAnsi="Arial" w:eastAsia="Arial" w:cs="Arial"/>
          <w:highlight w:val="none"/>
          <w:lang w:val="pt-BR"/>
        </w:rPr>
        <w:t xml:space="preserve">siliconizadas</w:t>
      </w:r>
      <w:r>
        <w:rPr>
          <w:rFonts w:ascii="Arial" w:hAnsi="Arial" w:eastAsia="Arial" w:cs="Arial"/>
          <w:highlight w:val="none"/>
          <w:lang w:val="pt-BR"/>
        </w:rPr>
        <w:t xml:space="preserve">, possuir bisel </w:t>
      </w:r>
      <w:r>
        <w:rPr>
          <w:rFonts w:ascii="Arial" w:hAnsi="Arial" w:eastAsia="Arial" w:cs="Arial"/>
          <w:highlight w:val="none"/>
          <w:lang w:val="pt-BR"/>
        </w:rPr>
        <w:t xml:space="preserve">trifacetado</w:t>
      </w:r>
      <w:r>
        <w:rPr>
          <w:rFonts w:ascii="Arial" w:hAnsi="Arial" w:eastAsia="Arial" w:cs="Arial"/>
          <w:highlight w:val="none"/>
          <w:lang w:val="pt-BR"/>
        </w:rPr>
        <w:t xml:space="preserve">, calibre e dimensões compatíveis com as especificações do objeto, permitir a coleta múltipla e apresentar dispositivo de segurança destinado à prevenção de acidentes com materiais perfurocortantes.</w:t>
      </w:r>
      <w:r>
        <w:rPr>
          <w:rFonts w:ascii="Arial" w:hAnsi="Arial" w:cs="Arial"/>
          <w:highlight w:val="none"/>
        </w:rPr>
      </w:r>
      <w:r>
        <w:rPr>
          <w:rFonts w:ascii="Arial" w:hAnsi="Arial" w:cs="Arial"/>
          <w:highlight w:val="none"/>
        </w:rPr>
      </w:r>
    </w:p>
    <w:p w14:paraId="09B0BE6D">
      <w:pPr>
        <w:pBdr/>
        <w:spacing/>
        <w:ind/>
        <w:jc w:val="both"/>
        <w:rPr>
          <w:rFonts w:ascii="Arial" w:hAnsi="Arial" w:cs="Arial"/>
          <w:highlight w:val="none"/>
        </w:rPr>
      </w:pPr>
      <w:r>
        <w:rPr>
          <w:rFonts w:ascii="Arial" w:hAnsi="Arial" w:eastAsia="Arial" w:cs="Arial"/>
          <w:b/>
          <w:bCs/>
          <w:highlight w:val="none"/>
          <w:lang w:val="pt-BR"/>
        </w:rPr>
        <w:t xml:space="preserve">4.8.8.</w:t>
      </w:r>
      <w:r>
        <w:rPr>
          <w:rFonts w:ascii="Arial" w:hAnsi="Arial" w:eastAsia="Arial" w:cs="Arial"/>
          <w:highlight w:val="none"/>
          <w:lang w:val="pt-BR"/>
        </w:rPr>
        <w:t xml:space="preserve"> A Administração poderá rejeitar, to</w:t>
      </w:r>
      <w:r>
        <w:rPr>
          <w:rFonts w:ascii="Arial" w:hAnsi="Arial" w:eastAsia="Arial" w:cs="Arial"/>
          <w:highlight w:val="none"/>
          <w:lang w:val="pt-BR"/>
        </w:rPr>
        <w:t xml:space="preserve">tal ou parcialmente, os produtos entregues em desacordo com as especificações, com a proposta vencedora, com este Termo de Referência ou com a legislação aplicável, ficando a Contratada obrigada a realizar a substituição, sem prejuízo das sanções cabíveis.</w:t>
      </w:r>
      <w:r>
        <w:rPr>
          <w:rFonts w:ascii="Arial" w:hAnsi="Arial" w:cs="Arial"/>
          <w:highlight w:val="none"/>
        </w:rPr>
      </w:r>
      <w:r>
        <w:rPr>
          <w:rFonts w:ascii="Arial" w:hAnsi="Arial" w:cs="Arial"/>
          <w:highlight w:val="none"/>
        </w:rPr>
      </w:r>
    </w:p>
    <w:p w14:paraId="246CCECE">
      <w:pPr>
        <w:pBdr/>
        <w:spacing/>
        <w:ind/>
        <w:jc w:val="both"/>
        <w:rPr>
          <w:rFonts w:ascii="Arial" w:hAnsi="Arial" w:cs="Arial"/>
          <w:highlight w:val="none"/>
        </w:rPr>
      </w:pPr>
      <w:r>
        <w:rPr>
          <w:rFonts w:ascii="Arial" w:hAnsi="Arial" w:eastAsia="Arial" w:cs="Arial"/>
          <w:b/>
          <w:bCs/>
          <w:highlight w:val="none"/>
          <w:lang w:val="pt-BR"/>
        </w:rPr>
        <w:t xml:space="preserve">4.8.9.</w:t>
      </w:r>
      <w:r>
        <w:rPr>
          <w:rFonts w:ascii="Arial" w:hAnsi="Arial" w:eastAsia="Arial" w:cs="Arial"/>
          <w:highlight w:val="none"/>
          <w:lang w:val="pt-BR"/>
        </w:rPr>
        <w:t xml:space="preserve"> Ficará a cargo da au</w:t>
      </w:r>
      <w:r>
        <w:rPr>
          <w:rFonts w:ascii="Arial" w:hAnsi="Arial" w:eastAsia="Arial" w:cs="Arial"/>
          <w:highlight w:val="none"/>
          <w:lang w:val="pt-BR"/>
        </w:rPr>
        <w:t xml:space="preserve">toridade administrativa a análise sobre a necessidade de complementação das exigências técnicas, quando identificada situação específica que demande esclarecimento, comprovação documental ou adequação necessária à segurança e à regularidade da contratação.</w:t>
      </w:r>
      <w:r>
        <w:rPr>
          <w:rFonts w:ascii="Arial" w:hAnsi="Arial" w:cs="Arial"/>
          <w:highlight w:val="none"/>
        </w:rPr>
      </w:r>
      <w:r>
        <w:rPr>
          <w:rFonts w:ascii="Arial" w:hAnsi="Arial" w:cs="Arial"/>
          <w:highlight w:val="none"/>
        </w:rPr>
      </w:r>
    </w:p>
    <w:p w14:paraId="62146B9F">
      <w:pPr>
        <w:pBdr/>
        <w:spacing/>
        <w:ind/>
        <w:jc w:val="both"/>
        <w:rPr>
          <w:rFonts w:ascii="Arial" w:hAnsi="Arial" w:cs="Arial"/>
          <w:b/>
          <w:bCs/>
          <w:sz w:val="18"/>
          <w:szCs w:val="18"/>
          <w:highlight w:val="none"/>
        </w:rPr>
      </w:pPr>
      <w:r>
        <w:rPr>
          <w:rFonts w:ascii="Arial" w:hAnsi="Arial" w:eastAsia="Arial" w:cs="Arial"/>
          <w:b/>
          <w:bCs/>
          <w:sz w:val="18"/>
          <w:szCs w:val="18"/>
          <w:highlight w:val="none"/>
          <w:lang w:val="pt-BR"/>
        </w:rPr>
      </w:r>
      <w:r>
        <w:rPr>
          <w:rFonts w:ascii="Arial" w:hAnsi="Arial" w:cs="Arial"/>
          <w:b/>
          <w:bCs/>
          <w:sz w:val="18"/>
          <w:szCs w:val="18"/>
          <w:highlight w:val="none"/>
        </w:rPr>
      </w:r>
      <w:r>
        <w:rPr>
          <w:rFonts w:ascii="Arial" w:hAnsi="Arial" w:cs="Arial"/>
          <w:b/>
          <w:bCs/>
          <w:sz w:val="18"/>
          <w:szCs w:val="18"/>
          <w:highlight w:val="none"/>
        </w:rPr>
      </w:r>
    </w:p>
    <w:p w14:paraId="238088CB">
      <w:pPr>
        <w:pBdr/>
        <w:shd w:val="clear" w:color="auto" w:fill="cccccc"/>
        <w:spacing/>
        <w:ind/>
        <w:jc w:val="both"/>
        <w:rPr>
          <w:rFonts w:ascii="Arial" w:hAnsi="Arial" w:cs="Arial"/>
          <w:highlight w:val="none"/>
        </w:rPr>
      </w:pPr>
      <w:r>
        <w:rPr>
          <w:rFonts w:ascii="Arial" w:hAnsi="Arial" w:eastAsia="Arial" w:cs="Arial"/>
          <w:b/>
          <w:bCs/>
          <w:highlight w:val="none"/>
        </w:rPr>
        <w:t xml:space="preserve">5 – MODELO DE EXECUÇÃO DO OBJETO</w:t>
      </w:r>
      <w:r>
        <w:rPr>
          <w:rFonts w:ascii="Arial" w:hAnsi="Arial" w:cs="Arial"/>
          <w:highlight w:val="none"/>
        </w:rPr>
      </w:r>
      <w:r>
        <w:rPr>
          <w:rFonts w:ascii="Arial" w:hAnsi="Arial" w:cs="Arial"/>
          <w:highlight w:val="none"/>
        </w:rPr>
      </w:r>
    </w:p>
    <w:p w14:paraId="6CC9B45A">
      <w:pPr>
        <w:pBdr/>
        <w:spacing/>
        <w:ind/>
        <w:jc w:val="both"/>
        <w:rPr>
          <w:rFonts w:ascii="Arial" w:hAnsi="Arial" w:cs="Arial"/>
          <w:b/>
          <w:bCs/>
          <w:sz w:val="18"/>
          <w:szCs w:val="18"/>
          <w:highlight w:val="none"/>
        </w:rPr>
      </w:pPr>
      <w:r>
        <w:rPr>
          <w:rFonts w:ascii="Arial" w:hAnsi="Arial" w:eastAsia="Arial" w:cs="Arial"/>
          <w:b/>
          <w:bCs/>
          <w:sz w:val="18"/>
          <w:szCs w:val="18"/>
          <w:highlight w:val="none"/>
        </w:rPr>
      </w:r>
      <w:r>
        <w:rPr>
          <w:rFonts w:ascii="Arial" w:hAnsi="Arial" w:cs="Arial"/>
          <w:b/>
          <w:bCs/>
          <w:sz w:val="18"/>
          <w:szCs w:val="18"/>
          <w:highlight w:val="none"/>
        </w:rPr>
      </w:r>
      <w:r>
        <w:rPr>
          <w:rFonts w:ascii="Arial" w:hAnsi="Arial" w:cs="Arial"/>
          <w:b/>
          <w:bCs/>
          <w:sz w:val="18"/>
          <w:szCs w:val="18"/>
          <w:highlight w:val="none"/>
        </w:rPr>
      </w:r>
    </w:p>
    <w:p w14:paraId="7E549762">
      <w:pPr>
        <w:pBdr/>
        <w:spacing/>
        <w:ind/>
        <w:jc w:val="both"/>
        <w:rPr>
          <w:rFonts w:ascii="Arial" w:hAnsi="Arial" w:cs="Arial"/>
          <w:b/>
          <w:bCs/>
          <w:highlight w:val="none"/>
        </w:rPr>
      </w:pPr>
      <w:r>
        <w:rPr>
          <w:rFonts w:ascii="Arial" w:hAnsi="Arial" w:eastAsia="Arial" w:cs="Arial"/>
          <w:b/>
          <w:bCs/>
          <w:highlight w:val="none"/>
          <w:lang w:val="pt-BR"/>
        </w:rPr>
        <w:t xml:space="preserve">5.1.</w:t>
      </w:r>
      <w:r>
        <w:rPr>
          <w:rFonts w:ascii="Arial" w:hAnsi="Arial" w:eastAsia="Arial" w:cs="Arial"/>
          <w:b/>
          <w:bCs/>
          <w:highlight w:val="none"/>
          <w:lang w:val="pt-BR"/>
        </w:rPr>
        <w:t xml:space="preserve"> </w:t>
      </w:r>
      <w:r>
        <w:rPr>
          <w:rFonts w:ascii="Arial" w:hAnsi="Arial" w:eastAsia="Arial" w:cs="Arial"/>
          <w:b/>
          <w:bCs/>
          <w:highlight w:val="none"/>
          <w:lang w:val="pt-BR"/>
        </w:rPr>
        <w:t xml:space="preserve">Forma de fornecimento e condições de entrega:</w:t>
      </w:r>
      <w:r>
        <w:rPr>
          <w:rFonts w:ascii="Arial" w:hAnsi="Arial" w:cs="Arial"/>
          <w:b/>
          <w:bCs/>
          <w:highlight w:val="none"/>
        </w:rPr>
      </w:r>
      <w:r>
        <w:rPr>
          <w:rFonts w:ascii="Arial" w:hAnsi="Arial" w:cs="Arial"/>
          <w:b/>
          <w:bCs/>
          <w:highlight w:val="none"/>
        </w:rPr>
      </w:r>
    </w:p>
    <w:p w14:paraId="3418194D">
      <w:pPr>
        <w:pBdr/>
        <w:spacing/>
        <w:ind/>
        <w:jc w:val="both"/>
        <w:rPr>
          <w:rFonts w:ascii="Arial" w:hAnsi="Arial" w:cs="Arial"/>
          <w:highlight w:val="none"/>
        </w:rPr>
      </w:pPr>
      <w:r>
        <w:rPr>
          <w:rFonts w:ascii="Arial" w:hAnsi="Arial" w:eastAsia="Arial" w:cs="Arial"/>
          <w:b/>
          <w:bCs/>
          <w:highlight w:val="none"/>
          <w:lang w:val="pt-BR"/>
        </w:rPr>
        <w:t xml:space="preserve">5.1.1.</w:t>
      </w:r>
      <w:r>
        <w:rPr>
          <w:rFonts w:ascii="Arial" w:hAnsi="Arial" w:eastAsia="Arial" w:cs="Arial"/>
          <w:highlight w:val="none"/>
          <w:lang w:val="pt-BR"/>
        </w:rPr>
        <w:t xml:space="preserve"> O fornecimento dos insumos laboratoriais ocorrerá de forma parcelada, conforme a </w:t>
      </w:r>
      <w:r>
        <w:rPr>
          <w:rFonts w:ascii="Arial" w:hAnsi="Arial" w:eastAsia="Arial" w:cs="Arial"/>
          <w:highlight w:val="none"/>
          <w:lang w:val="pt-BR"/>
        </w:rPr>
        <w:t xml:space="preserve">necessidade da Secretaria Municipal de Saúde, mediante emissão de Ordem de Fornecimento, Nota de Empenho ou outro instrumento hábil, observados os quantitativos registrados, as especificações técnicas e as condições estabelecidas neste Termo de Referência.</w:t>
      </w:r>
      <w:r>
        <w:rPr>
          <w:rFonts w:ascii="Arial" w:hAnsi="Arial" w:cs="Arial"/>
          <w:highlight w:val="none"/>
        </w:rPr>
      </w:r>
      <w:r>
        <w:rPr>
          <w:rFonts w:ascii="Arial" w:hAnsi="Arial" w:cs="Arial"/>
          <w:highlight w:val="none"/>
        </w:rPr>
      </w:r>
    </w:p>
    <w:p w14:paraId="74D0967D">
      <w:pPr>
        <w:pBdr/>
        <w:spacing/>
        <w:ind/>
        <w:jc w:val="both"/>
        <w:rPr>
          <w:rFonts w:ascii="Arial" w:hAnsi="Arial" w:cs="Arial"/>
          <w:highlight w:val="none"/>
        </w:rPr>
      </w:pPr>
      <w:r>
        <w:rPr>
          <w:rFonts w:ascii="Arial" w:hAnsi="Arial" w:eastAsia="Arial" w:cs="Arial"/>
          <w:b/>
          <w:bCs/>
          <w:highlight w:val="none"/>
          <w:lang w:val="pt-BR"/>
        </w:rPr>
        <w:t xml:space="preserve">5.1.2.</w:t>
      </w:r>
      <w:r>
        <w:rPr>
          <w:rFonts w:ascii="Arial" w:hAnsi="Arial" w:eastAsia="Arial" w:cs="Arial"/>
          <w:highlight w:val="none"/>
          <w:lang w:val="pt-BR"/>
        </w:rPr>
        <w:t xml:space="preserve"> O início da execução, compreendido como o prazo máximo para a entrega física e descarga dos insumos labora</w:t>
      </w:r>
      <w:r>
        <w:rPr>
          <w:rFonts w:ascii="Arial" w:hAnsi="Arial" w:eastAsia="Arial" w:cs="Arial"/>
          <w:highlight w:val="none"/>
          <w:lang w:val="pt-BR"/>
        </w:rPr>
        <w:t xml:space="preserve">toriais solicitados no Almoxarifado da Secretaria Municipal de Saúde, será de até 15 (quinze) dias corridos, contados a partir do efetivo recebimento da Ordem de Fornecimento, Nota de Empenho ou outro instrumento hábil emitido pela Secretaria requisitante.</w:t>
      </w:r>
      <w:r>
        <w:rPr>
          <w:rFonts w:ascii="Arial" w:hAnsi="Arial" w:cs="Arial"/>
          <w:highlight w:val="none"/>
        </w:rPr>
      </w:r>
      <w:r>
        <w:rPr>
          <w:rFonts w:ascii="Arial" w:hAnsi="Arial" w:cs="Arial"/>
          <w:highlight w:val="none"/>
        </w:rPr>
      </w:r>
    </w:p>
    <w:p w14:paraId="0768E18F">
      <w:pPr>
        <w:pBdr/>
        <w:spacing/>
        <w:ind/>
        <w:jc w:val="both"/>
        <w:rPr>
          <w:rFonts w:ascii="Arial" w:hAnsi="Arial" w:cs="Arial"/>
          <w:highlight w:val="none"/>
        </w:rPr>
      </w:pPr>
      <w:r>
        <w:rPr>
          <w:rFonts w:ascii="Arial" w:hAnsi="Arial" w:eastAsia="Arial" w:cs="Arial"/>
          <w:b/>
          <w:bCs/>
          <w:highlight w:val="none"/>
          <w:lang w:val="pt-BR"/>
        </w:rPr>
        <w:t xml:space="preserve">5.1.2.1.</w:t>
      </w:r>
      <w:r>
        <w:rPr>
          <w:rFonts w:ascii="Arial" w:hAnsi="Arial" w:eastAsia="Arial" w:cs="Arial"/>
          <w:highlight w:val="none"/>
          <w:lang w:val="pt-BR"/>
        </w:rPr>
        <w:t xml:space="preserve"> </w:t>
      </w:r>
      <w:r>
        <w:rPr>
          <w:rFonts w:ascii="Arial" w:hAnsi="Arial" w:eastAsia="Arial" w:cs="Arial"/>
          <w:highlight w:val="none"/>
        </w:rPr>
        <w:t xml:space="preserve">Os produtos deverão ser entregues no prazo máximo de 15 (quinze) dias corridos, contado do recebimento da Ordem de Fornecimento, Nota de Empenho ou instrumento equivalente pela Contratada.</w:t>
      </w:r>
      <w:r>
        <w:rPr>
          <w:rFonts w:ascii="Arial" w:hAnsi="Arial" w:cs="Arial"/>
          <w:highlight w:val="none"/>
        </w:rPr>
      </w:r>
      <w:r>
        <w:rPr>
          <w:rFonts w:ascii="Arial" w:hAnsi="Arial" w:cs="Arial"/>
          <w:highlight w:val="none"/>
        </w:rPr>
      </w:r>
    </w:p>
    <w:p w14:paraId="47806268">
      <w:pPr>
        <w:pBdr/>
        <w:spacing/>
        <w:ind/>
        <w:jc w:val="both"/>
        <w:rPr>
          <w:rFonts w:ascii="Arial" w:hAnsi="Arial" w:cs="Arial"/>
          <w:highlight w:val="none"/>
        </w:rPr>
      </w:pPr>
      <w:r>
        <w:rPr>
          <w:rFonts w:ascii="Arial" w:hAnsi="Arial" w:eastAsia="Arial" w:cs="Arial"/>
          <w:b/>
          <w:bCs/>
          <w:highlight w:val="none"/>
          <w:lang w:val="pt-BR"/>
        </w:rPr>
        <w:t xml:space="preserve">5.1.3.</w:t>
      </w:r>
      <w:r>
        <w:rPr>
          <w:rFonts w:ascii="Arial" w:hAnsi="Arial" w:eastAsia="Arial" w:cs="Arial"/>
          <w:highlight w:val="none"/>
          <w:lang w:val="pt-BR"/>
        </w:rPr>
        <w:t xml:space="preserve"> O prazo indicado no item anterior considera a necessidade de organização logística, separação, acondicionamento, transpo</w:t>
      </w:r>
      <w:r>
        <w:rPr>
          <w:rFonts w:ascii="Arial" w:hAnsi="Arial" w:eastAsia="Arial" w:cs="Arial"/>
          <w:highlight w:val="none"/>
          <w:lang w:val="pt-BR"/>
        </w:rPr>
        <w:t xml:space="preserve">rte, descarga e conferência dos tubos, agulhas e adaptadores destinados à coleta de sangue a vácuo, bem como a necessidade de preservação da integridade, esterilidade, segurança e qualidade dos produtos até sua entrega no local indicado pela Administração.</w:t>
      </w:r>
      <w:r>
        <w:rPr>
          <w:rFonts w:ascii="Arial" w:hAnsi="Arial" w:cs="Arial"/>
          <w:highlight w:val="none"/>
        </w:rPr>
      </w:r>
      <w:r>
        <w:rPr>
          <w:rFonts w:ascii="Arial" w:hAnsi="Arial" w:cs="Arial"/>
          <w:highlight w:val="none"/>
        </w:rPr>
      </w:r>
    </w:p>
    <w:p w14:paraId="37FCA5EE">
      <w:pPr>
        <w:pBdr/>
        <w:spacing/>
        <w:ind/>
        <w:jc w:val="both"/>
        <w:rPr>
          <w:rFonts w:ascii="Arial" w:hAnsi="Arial" w:cs="Arial"/>
          <w:highlight w:val="none"/>
        </w:rPr>
      </w:pPr>
      <w:r>
        <w:rPr>
          <w:rFonts w:ascii="Arial" w:hAnsi="Arial" w:eastAsia="Arial" w:cs="Arial"/>
          <w:b/>
          <w:bCs/>
          <w:highlight w:val="none"/>
          <w:lang w:val="pt-BR"/>
        </w:rPr>
        <w:t xml:space="preserve">5.1.4.</w:t>
      </w:r>
      <w:r>
        <w:rPr>
          <w:rFonts w:ascii="Arial" w:hAnsi="Arial" w:eastAsia="Arial" w:cs="Arial"/>
          <w:b/>
          <w:bCs/>
          <w:highlight w:val="none"/>
          <w:lang w:val="pt-BR"/>
        </w:rPr>
        <w:t xml:space="preserve"> </w:t>
      </w:r>
      <w:r>
        <w:rPr>
          <w:rFonts w:ascii="Arial" w:hAnsi="Arial" w:eastAsia="Arial" w:cs="Arial"/>
          <w:highlight w:val="none"/>
        </w:rPr>
        <w:t xml:space="preserve">As aqui</w:t>
      </w:r>
      <w:r>
        <w:rPr>
          <w:rFonts w:ascii="Arial" w:hAnsi="Arial" w:eastAsia="Arial" w:cs="Arial"/>
          <w:highlight w:val="none"/>
        </w:rPr>
        <w:t xml:space="preserve">sições que, extraordinariamente, extrapolarem o período fixado no cronograma, após autorizadas, deverão ser atendidas pelo Detentor, no prazo máximo discriminado acima deste TR, a partir da data do recebimento da Nota de Empenho ou outro instrumento hábil.</w:t>
      </w:r>
      <w:r>
        <w:rPr>
          <w:rFonts w:ascii="Arial" w:hAnsi="Arial" w:cs="Arial"/>
          <w:highlight w:val="none"/>
        </w:rPr>
      </w:r>
      <w:r>
        <w:rPr>
          <w:rFonts w:ascii="Arial" w:hAnsi="Arial" w:cs="Arial"/>
          <w:highlight w:val="none"/>
        </w:rPr>
      </w:r>
    </w:p>
    <w:p w14:paraId="4ACAE475">
      <w:pPr>
        <w:pBdr/>
        <w:spacing/>
        <w:ind/>
        <w:jc w:val="both"/>
        <w:rPr>
          <w:rFonts w:ascii="Arial" w:hAnsi="Arial" w:cs="Arial"/>
          <w:highlight w:val="none"/>
        </w:rPr>
      </w:pPr>
      <w:r>
        <w:rPr>
          <w:rFonts w:ascii="Arial" w:hAnsi="Arial" w:eastAsia="Arial" w:cs="Arial"/>
          <w:b/>
          <w:bCs/>
          <w:highlight w:val="none"/>
          <w:lang w:val="pt-BR"/>
        </w:rPr>
        <w:t xml:space="preserve">5.1.5</w:t>
      </w:r>
      <w:r>
        <w:rPr>
          <w:rFonts w:ascii="Arial" w:hAnsi="Arial" w:eastAsia="Arial" w:cs="Arial"/>
          <w:highlight w:val="none"/>
          <w:lang w:val="pt-BR"/>
        </w:rPr>
        <w:t xml:space="preserve">.</w:t>
      </w:r>
      <w:r>
        <w:rPr>
          <w:rFonts w:ascii="Arial" w:hAnsi="Arial" w:eastAsia="Arial" w:cs="Arial"/>
          <w:highlight w:val="none"/>
          <w:lang w:val="pt-BR"/>
        </w:rPr>
        <w:t xml:space="preserve"> </w:t>
      </w:r>
      <w:r>
        <w:rPr>
          <w:rFonts w:ascii="Arial" w:hAnsi="Arial" w:eastAsia="Arial" w:cs="Arial"/>
          <w:highlight w:val="none"/>
        </w:rPr>
        <w:t xml:space="preserve">Os locais de entrega, serão os indicados na Nota de Empenho ou outro instrumento hábil.</w:t>
      </w:r>
      <w:r>
        <w:rPr>
          <w:rFonts w:ascii="Arial" w:hAnsi="Arial" w:cs="Arial"/>
          <w:highlight w:val="none"/>
        </w:rPr>
      </w:r>
      <w:r>
        <w:rPr>
          <w:rFonts w:ascii="Arial" w:hAnsi="Arial" w:cs="Arial"/>
          <w:highlight w:val="none"/>
        </w:rPr>
      </w:r>
    </w:p>
    <w:p w14:paraId="383BFA8A">
      <w:pPr>
        <w:pBdr/>
        <w:spacing/>
        <w:ind/>
        <w:jc w:val="both"/>
        <w:rPr>
          <w:rFonts w:ascii="Arial" w:hAnsi="Arial" w:cs="Arial"/>
          <w:highlight w:val="none"/>
        </w:rPr>
      </w:pPr>
      <w:r>
        <w:rPr>
          <w:rFonts w:ascii="Arial" w:hAnsi="Arial" w:eastAsia="Arial" w:cs="Arial"/>
          <w:b/>
          <w:bCs/>
          <w:highlight w:val="none"/>
          <w:lang w:val="pt-BR"/>
        </w:rPr>
        <w:t xml:space="preserve">5.1.6.</w:t>
      </w:r>
      <w:r>
        <w:rPr>
          <w:rFonts w:ascii="Arial" w:hAnsi="Arial" w:eastAsia="Arial" w:cs="Arial"/>
          <w:b/>
          <w:bCs/>
          <w:highlight w:val="none"/>
          <w:lang w:val="pt-BR"/>
        </w:rPr>
        <w:t xml:space="preserve"> </w:t>
      </w:r>
      <w:r>
        <w:rPr>
          <w:rFonts w:ascii="Arial" w:hAnsi="Arial" w:eastAsia="Arial" w:cs="Arial"/>
          <w:highlight w:val="none"/>
        </w:rPr>
        <w:t xml:space="preserve">Durante a execução do fornecimento, os locais de entrega poderão sofrer modificações, a critério da Administração Pública, dentro do perímetro urbano do Município de Rondonópolis, conforme descrito na Nota de Empenho ou outro instrumento hábil.</w:t>
      </w:r>
      <w:r>
        <w:rPr>
          <w:rFonts w:ascii="Arial" w:hAnsi="Arial" w:cs="Arial"/>
          <w:highlight w:val="none"/>
        </w:rPr>
      </w:r>
      <w:r>
        <w:rPr>
          <w:rFonts w:ascii="Arial" w:hAnsi="Arial" w:cs="Arial"/>
          <w:highlight w:val="none"/>
        </w:rPr>
      </w:r>
    </w:p>
    <w:p w14:paraId="0BC42CF2">
      <w:pPr>
        <w:pBdr/>
        <w:spacing/>
        <w:ind/>
        <w:jc w:val="both"/>
        <w:rPr>
          <w:rFonts w:ascii="Arial" w:hAnsi="Arial" w:cs="Arial"/>
          <w:highlight w:val="none"/>
        </w:rPr>
      </w:pPr>
      <w:r>
        <w:rPr>
          <w:rFonts w:ascii="Arial" w:hAnsi="Arial" w:eastAsia="Arial" w:cs="Arial"/>
          <w:b/>
          <w:bCs/>
          <w:highlight w:val="none"/>
          <w:lang w:val="pt-BR"/>
        </w:rPr>
        <w:t xml:space="preserve">5.1.7</w:t>
      </w:r>
      <w:r>
        <w:rPr>
          <w:rFonts w:ascii="Arial" w:hAnsi="Arial" w:eastAsia="Arial" w:cs="Arial"/>
          <w:highlight w:val="none"/>
          <w:lang w:val="pt-BR"/>
        </w:rPr>
        <w:t xml:space="preserve">.</w:t>
      </w:r>
      <w:r>
        <w:rPr>
          <w:rFonts w:ascii="Arial" w:hAnsi="Arial" w:eastAsia="Arial" w:cs="Arial"/>
          <w:highlight w:val="none"/>
          <w:lang w:val="pt-BR"/>
        </w:rPr>
        <w:t xml:space="preserve"> </w:t>
      </w:r>
      <w:r>
        <w:rPr>
          <w:rFonts w:ascii="Arial" w:hAnsi="Arial" w:eastAsia="Arial" w:cs="Arial"/>
          <w:highlight w:val="none"/>
        </w:rPr>
        <w:t xml:space="preserve">O(s) produto(s) deverá(ão) ser descarregado(s) e entregue(s) no </w:t>
      </w:r>
      <w:r>
        <w:rPr>
          <w:rFonts w:ascii="Arial" w:hAnsi="Arial" w:eastAsia="Arial" w:cs="Arial"/>
          <w:b/>
          <w:bCs/>
          <w:sz w:val="20"/>
          <w:szCs w:val="20"/>
          <w:highlight w:val="none"/>
        </w:rPr>
        <w:t xml:space="preserve">ALMOXARIFADO DA SECRETARIA MUNCIPAL DE SAÚDE</w:t>
      </w:r>
      <w:r>
        <w:rPr>
          <w:rFonts w:ascii="Arial" w:hAnsi="Arial" w:eastAsia="Arial" w:cs="Arial"/>
          <w:b/>
          <w:bCs/>
          <w:highlight w:val="none"/>
        </w:rPr>
        <w:t xml:space="preserve"> seguindo o itinerário: segunda a sexta feira das 07:00 </w:t>
      </w:r>
      <w:r>
        <w:rPr>
          <w:rFonts w:ascii="Arial" w:hAnsi="Arial" w:eastAsia="Arial" w:cs="Arial"/>
          <w:b/>
          <w:bCs/>
          <w:highlight w:val="none"/>
        </w:rPr>
        <w:t xml:space="preserve">as</w:t>
      </w:r>
      <w:r>
        <w:rPr>
          <w:rFonts w:ascii="Arial" w:hAnsi="Arial" w:eastAsia="Arial" w:cs="Arial"/>
          <w:b/>
          <w:bCs/>
          <w:highlight w:val="none"/>
        </w:rPr>
        <w:t xml:space="preserve"> 11:00 horas e das 13:00 </w:t>
      </w:r>
      <w:r>
        <w:rPr>
          <w:rFonts w:ascii="Arial" w:hAnsi="Arial" w:eastAsia="Arial" w:cs="Arial"/>
          <w:b/>
          <w:bCs/>
          <w:highlight w:val="none"/>
        </w:rPr>
        <w:t xml:space="preserve">as</w:t>
      </w:r>
      <w:r>
        <w:rPr>
          <w:rFonts w:ascii="Arial" w:hAnsi="Arial" w:eastAsia="Arial" w:cs="Arial"/>
          <w:b/>
          <w:bCs/>
          <w:highlight w:val="none"/>
        </w:rPr>
        <w:t xml:space="preserve"> 17:00 horas, no endereço: Av. Angelo Thum, 181 - Jardim Monte Libano, Rondonópolis - MT, 78710-272. </w:t>
      </w:r>
      <w:r>
        <w:rPr>
          <w:rFonts w:ascii="Arial" w:hAnsi="Arial" w:cs="Arial"/>
          <w:highlight w:val="none"/>
        </w:rPr>
      </w:r>
      <w:r>
        <w:rPr>
          <w:rFonts w:ascii="Arial" w:hAnsi="Arial" w:cs="Arial"/>
          <w:highlight w:val="none"/>
        </w:rPr>
      </w:r>
    </w:p>
    <w:p w14:paraId="633B6DA1">
      <w:pPr>
        <w:pBdr/>
        <w:spacing/>
        <w:ind/>
        <w:jc w:val="both"/>
        <w:rPr>
          <w:rFonts w:ascii="Arial" w:hAnsi="Arial" w:cs="Arial"/>
          <w:highlight w:val="none"/>
        </w:rPr>
      </w:pPr>
      <w:r>
        <w:rPr>
          <w:rFonts w:ascii="Arial" w:hAnsi="Arial" w:eastAsia="Arial" w:cs="Arial"/>
          <w:b/>
          <w:bCs/>
          <w:highlight w:val="none"/>
          <w:lang w:val="pt-BR"/>
        </w:rPr>
        <w:t xml:space="preserve">5.1.8.</w:t>
      </w:r>
      <w:r>
        <w:rPr>
          <w:rFonts w:ascii="Arial" w:hAnsi="Arial" w:eastAsia="Arial" w:cs="Arial"/>
          <w:highlight w:val="none"/>
        </w:rPr>
        <w:t xml:space="preserve">O(s) produto(s) deverá(ão) ser entregue(s) em sua(s) embalagem(ns) original(is) e individual(is), dentro da mais perfeita integridade, ou seja, sem avarias e/ou danos no manuseio.</w:t>
      </w:r>
      <w:r>
        <w:rPr>
          <w:rFonts w:ascii="Arial" w:hAnsi="Arial" w:cs="Arial"/>
          <w:highlight w:val="none"/>
        </w:rPr>
      </w:r>
      <w:r>
        <w:rPr>
          <w:rFonts w:ascii="Arial" w:hAnsi="Arial" w:cs="Arial"/>
          <w:highlight w:val="none"/>
        </w:rPr>
      </w:r>
    </w:p>
    <w:p w14:paraId="05FB34DA">
      <w:pPr>
        <w:pBdr/>
        <w:spacing/>
        <w:ind/>
        <w:jc w:val="both"/>
        <w:rPr>
          <w:rFonts w:ascii="Arial" w:hAnsi="Arial" w:cs="Arial"/>
          <w:highlight w:val="none"/>
        </w:rPr>
      </w:pPr>
      <w:r>
        <w:rPr>
          <w:rFonts w:ascii="Arial" w:hAnsi="Arial" w:eastAsia="Arial" w:cs="Arial"/>
          <w:b/>
          <w:bCs/>
          <w:highlight w:val="none"/>
          <w:lang w:val="pt-BR"/>
        </w:rPr>
        <w:t xml:space="preserve">5.1.9</w:t>
      </w:r>
      <w:r>
        <w:rPr>
          <w:rFonts w:ascii="Arial" w:hAnsi="Arial" w:eastAsia="Arial" w:cs="Arial"/>
          <w:highlight w:val="none"/>
          <w:lang w:val="pt-BR"/>
        </w:rPr>
        <w:t xml:space="preserve">.</w:t>
      </w:r>
      <w:r>
        <w:rPr>
          <w:rFonts w:ascii="Arial" w:hAnsi="Arial" w:eastAsia="Arial" w:cs="Arial"/>
          <w:highlight w:val="none"/>
          <w:lang w:val="pt-BR"/>
        </w:rPr>
        <w:t xml:space="preserve"> </w:t>
      </w:r>
      <w:r>
        <w:rPr>
          <w:rFonts w:ascii="Arial" w:hAnsi="Arial" w:eastAsia="Arial" w:cs="Arial"/>
          <w:highlight w:val="none"/>
        </w:rPr>
        <w:t xml:space="preserve">Os produtos dever</w:t>
      </w:r>
      <w:r>
        <w:rPr>
          <w:rFonts w:ascii="Arial" w:hAnsi="Arial" w:eastAsia="Arial" w:cs="Arial"/>
          <w:highlight w:val="none"/>
        </w:rPr>
        <w:t xml:space="preserve">ão ser entregues em embalagens adequadas à natureza do(s) mesmo(s), ou seja, que resistam ao peso, à forma e às condições de transporte, garantindo que seja(m) entregue(s) em perfeito estado de conservação e limpeza. O produto danificado não será recebido.</w:t>
      </w:r>
      <w:r>
        <w:rPr>
          <w:rFonts w:ascii="Arial" w:hAnsi="Arial" w:cs="Arial"/>
          <w:highlight w:val="none"/>
        </w:rPr>
      </w:r>
      <w:r>
        <w:rPr>
          <w:rFonts w:ascii="Arial" w:hAnsi="Arial" w:cs="Arial"/>
          <w:highlight w:val="none"/>
        </w:rPr>
      </w:r>
    </w:p>
    <w:p w14:paraId="1E6DA9F1">
      <w:pPr>
        <w:pBdr/>
        <w:spacing/>
        <w:ind/>
        <w:jc w:val="both"/>
        <w:rPr>
          <w:rFonts w:ascii="Arial" w:hAnsi="Arial" w:cs="Arial"/>
          <w:highlight w:val="none"/>
        </w:rPr>
      </w:pPr>
      <w:r>
        <w:rPr>
          <w:rFonts w:ascii="Arial" w:hAnsi="Arial" w:eastAsia="Arial" w:cs="Arial"/>
          <w:b/>
          <w:bCs/>
          <w:highlight w:val="none"/>
          <w:lang w:val="pt-BR"/>
        </w:rPr>
        <w:t xml:space="preserve">5.1.10</w:t>
      </w:r>
      <w:r>
        <w:rPr>
          <w:rFonts w:ascii="Arial" w:hAnsi="Arial" w:eastAsia="Arial" w:cs="Arial"/>
          <w:highlight w:val="none"/>
          <w:lang w:val="pt-BR"/>
        </w:rPr>
        <w:t xml:space="preserve">.</w:t>
      </w:r>
      <w:r>
        <w:rPr>
          <w:rFonts w:ascii="Arial" w:hAnsi="Arial" w:eastAsia="Arial" w:cs="Arial"/>
          <w:highlight w:val="none"/>
          <w:lang w:val="pt-BR"/>
        </w:rPr>
        <w:t xml:space="preserve"> </w:t>
      </w:r>
      <w:r>
        <w:rPr>
          <w:rFonts w:ascii="Arial" w:hAnsi="Arial" w:eastAsia="Arial" w:cs="Arial"/>
          <w:highlight w:val="none"/>
        </w:rPr>
        <w:t xml:space="preserve">Os grupos dos produtos entregues pelo Detentor poderão ser objetos de análise, por amostragem, a critério da Administração Pública, para verificar, a qualquer tempo, a qualidade do produto adquirido. </w:t>
      </w:r>
      <w:r>
        <w:rPr>
          <w:rFonts w:ascii="Arial" w:hAnsi="Arial" w:cs="Arial"/>
          <w:highlight w:val="none"/>
        </w:rPr>
      </w:r>
      <w:r>
        <w:rPr>
          <w:rFonts w:ascii="Arial" w:hAnsi="Arial" w:cs="Arial"/>
          <w:highlight w:val="none"/>
        </w:rPr>
      </w:r>
    </w:p>
    <w:p w14:paraId="15C7DE1C">
      <w:pPr>
        <w:pBdr/>
        <w:spacing/>
        <w:ind/>
        <w:jc w:val="both"/>
        <w:rPr>
          <w:rFonts w:ascii="Arial" w:hAnsi="Arial" w:cs="Arial"/>
          <w:highlight w:val="none"/>
        </w:rPr>
      </w:pPr>
      <w:r>
        <w:rPr>
          <w:rFonts w:ascii="Arial" w:hAnsi="Arial" w:eastAsia="Arial" w:cs="Arial"/>
          <w:b/>
          <w:bCs/>
          <w:highlight w:val="none"/>
          <w:lang w:val="pt-BR"/>
        </w:rPr>
        <w:t xml:space="preserve">5.1.11</w:t>
      </w:r>
      <w:r>
        <w:rPr>
          <w:rFonts w:ascii="Arial" w:hAnsi="Arial" w:eastAsia="Arial" w:cs="Arial"/>
          <w:highlight w:val="none"/>
          <w:lang w:val="pt-BR"/>
        </w:rPr>
        <w:t xml:space="preserve">.</w:t>
      </w:r>
      <w:r>
        <w:rPr>
          <w:rFonts w:ascii="Arial" w:hAnsi="Arial" w:eastAsia="Arial" w:cs="Arial"/>
          <w:highlight w:val="none"/>
          <w:lang w:val="pt-BR"/>
        </w:rPr>
        <w:t xml:space="preserve"> </w:t>
      </w:r>
      <w:r>
        <w:rPr>
          <w:rFonts w:ascii="Arial" w:hAnsi="Arial" w:eastAsia="Arial" w:cs="Arial"/>
          <w:highlight w:val="none"/>
        </w:rPr>
        <w:t xml:space="preserve">É vedada, tanto a entrega do(s) produto(s) por parte do Detentor, quanto o recebimento do(s) mesmo(s) pelos órgãos participantes com marca(s) diferente(s) da(s) aprovada(s) e devidamente publicada(s) no Diário Oficial do Município - DIORONDON. </w:t>
      </w:r>
      <w:r>
        <w:rPr>
          <w:rFonts w:ascii="Arial" w:hAnsi="Arial" w:cs="Arial"/>
          <w:highlight w:val="none"/>
        </w:rPr>
      </w:r>
      <w:r>
        <w:rPr>
          <w:rFonts w:ascii="Arial" w:hAnsi="Arial" w:cs="Arial"/>
          <w:highlight w:val="none"/>
        </w:rPr>
      </w:r>
    </w:p>
    <w:p w14:paraId="4ADF0B82">
      <w:pPr>
        <w:pBdr/>
        <w:spacing/>
        <w:ind/>
        <w:jc w:val="both"/>
        <w:rPr>
          <w:rFonts w:ascii="Arial" w:hAnsi="Arial" w:cs="Arial"/>
          <w:highlight w:val="none"/>
        </w:rPr>
      </w:pPr>
      <w:r>
        <w:rPr>
          <w:rFonts w:ascii="Arial" w:hAnsi="Arial" w:eastAsia="Arial" w:cs="Arial"/>
          <w:b/>
          <w:bCs/>
          <w:highlight w:val="none"/>
          <w:lang w:val="pt-BR"/>
        </w:rPr>
        <w:t xml:space="preserve">5.1.12</w:t>
      </w:r>
      <w:r>
        <w:rPr>
          <w:rFonts w:ascii="Arial" w:hAnsi="Arial" w:eastAsia="Arial" w:cs="Arial"/>
          <w:highlight w:val="none"/>
          <w:lang w:val="pt-BR"/>
        </w:rPr>
        <w:t xml:space="preserve">.</w:t>
      </w:r>
      <w:r>
        <w:rPr>
          <w:rFonts w:ascii="Arial" w:hAnsi="Arial" w:eastAsia="Arial" w:cs="Arial"/>
          <w:highlight w:val="none"/>
          <w:lang w:val="pt-BR"/>
        </w:rPr>
        <w:t xml:space="preserve"> </w:t>
      </w:r>
      <w:r>
        <w:rPr>
          <w:rFonts w:ascii="Arial" w:hAnsi="Arial" w:eastAsia="Arial" w:cs="Arial"/>
          <w:highlight w:val="none"/>
        </w:rPr>
        <w:t xml:space="preserve">O Detentor soment</w:t>
      </w:r>
      <w:r>
        <w:rPr>
          <w:rFonts w:ascii="Arial" w:hAnsi="Arial" w:eastAsia="Arial" w:cs="Arial"/>
          <w:highlight w:val="none"/>
        </w:rPr>
        <w:t xml:space="preserve">e poderá entregar o(s) produto(s) nos horários e locais estabelecidos pelos Órgãos Participantes. Também deverá respeitar todas as condições impostas pela legislação para a comercialização do(s) produto(s), além das exigências e padrões definidos neste TR.</w:t>
      </w:r>
      <w:r>
        <w:rPr>
          <w:rFonts w:ascii="Arial" w:hAnsi="Arial" w:cs="Arial"/>
          <w:highlight w:val="none"/>
        </w:rPr>
      </w:r>
      <w:r>
        <w:rPr>
          <w:rFonts w:ascii="Arial" w:hAnsi="Arial" w:cs="Arial"/>
          <w:highlight w:val="none"/>
        </w:rPr>
      </w:r>
    </w:p>
    <w:p w14:paraId="410C243C">
      <w:pPr>
        <w:pBdr/>
        <w:spacing/>
        <w:ind/>
        <w:jc w:val="both"/>
        <w:rPr>
          <w:rFonts w:ascii="Arial" w:hAnsi="Arial" w:cs="Arial"/>
          <w:b/>
          <w:bCs/>
          <w:highlight w:val="none"/>
        </w:rPr>
      </w:pPr>
      <w:r>
        <w:rPr>
          <w:rFonts w:ascii="Arial" w:hAnsi="Arial" w:eastAsia="Arial" w:cs="Arial"/>
          <w:b/>
          <w:bCs/>
          <w:highlight w:val="none"/>
          <w:lang w:val="pt-BR"/>
        </w:rPr>
        <w:t xml:space="preserve">5.1.13. Garantia técnica dos produtos</w:t>
      </w:r>
      <w:r>
        <w:rPr>
          <w:rFonts w:ascii="Arial" w:hAnsi="Arial" w:cs="Arial"/>
          <w:b/>
          <w:bCs/>
          <w:highlight w:val="none"/>
        </w:rPr>
      </w:r>
      <w:r>
        <w:rPr>
          <w:rFonts w:ascii="Arial" w:hAnsi="Arial" w:cs="Arial"/>
          <w:b/>
          <w:bCs/>
          <w:highlight w:val="none"/>
        </w:rPr>
      </w:r>
    </w:p>
    <w:p w14:paraId="48CDD086">
      <w:pPr>
        <w:pBdr/>
        <w:spacing/>
        <w:ind/>
        <w:jc w:val="both"/>
        <w:rPr>
          <w:rFonts w:ascii="Arial" w:hAnsi="Arial" w:cs="Arial"/>
          <w:highlight w:val="none"/>
        </w:rPr>
      </w:pPr>
      <w:r>
        <w:rPr>
          <w:rFonts w:ascii="Arial" w:hAnsi="Arial" w:eastAsia="Arial" w:cs="Arial"/>
          <w:b/>
          <w:bCs/>
          <w:highlight w:val="none"/>
          <w:lang w:val="pt-BR"/>
        </w:rPr>
        <w:t xml:space="preserve">5.1.14.</w:t>
      </w:r>
      <w:r>
        <w:rPr>
          <w:rFonts w:ascii="Arial" w:hAnsi="Arial" w:eastAsia="Arial" w:cs="Arial"/>
          <w:highlight w:val="none"/>
          <w:lang w:val="pt-BR"/>
        </w:rPr>
        <w:t xml:space="preserve"> A garantia dos insumos laboratoriais compreenderá, durante o respectivo prazo de vali</w:t>
      </w:r>
      <w:r>
        <w:rPr>
          <w:rFonts w:ascii="Arial" w:hAnsi="Arial" w:eastAsia="Arial" w:cs="Arial"/>
          <w:highlight w:val="none"/>
          <w:lang w:val="pt-BR"/>
        </w:rPr>
        <w:t xml:space="preserve">dade, a responsabilidade da Contratada pela substituição, sem qualquer ônus para a Administração, dos produtos que apresentarem vícios, defeitos de fabricação ou qualquer desconformidade em relação às especificações estabelecidas neste Termo de Referência.</w:t>
      </w:r>
      <w:r>
        <w:rPr>
          <w:rFonts w:ascii="Arial" w:hAnsi="Arial" w:cs="Arial"/>
          <w:highlight w:val="none"/>
        </w:rPr>
      </w:r>
      <w:r>
        <w:rPr>
          <w:rFonts w:ascii="Arial" w:hAnsi="Arial" w:cs="Arial"/>
          <w:highlight w:val="none"/>
        </w:rPr>
      </w:r>
    </w:p>
    <w:p w14:paraId="44FF7C9A">
      <w:pPr>
        <w:pBdr/>
        <w:spacing/>
        <w:ind/>
        <w:jc w:val="both"/>
        <w:rPr>
          <w:rFonts w:ascii="Arial" w:hAnsi="Arial" w:cs="Arial"/>
          <w:highlight w:val="none"/>
        </w:rPr>
      </w:pPr>
      <w:r>
        <w:rPr>
          <w:rFonts w:ascii="Arial" w:hAnsi="Arial" w:eastAsia="Arial" w:cs="Arial"/>
          <w:b/>
          <w:bCs/>
          <w:highlight w:val="none"/>
          <w:lang w:val="pt-BR"/>
        </w:rPr>
        <w:t xml:space="preserve">5.1.15.</w:t>
      </w:r>
      <w:r>
        <w:rPr>
          <w:rFonts w:ascii="Arial" w:hAnsi="Arial" w:eastAsia="Arial" w:cs="Arial"/>
          <w:highlight w:val="none"/>
          <w:lang w:val="pt-BR"/>
        </w:rPr>
        <w:t xml:space="preserve"> Para fins de garantia e controle de qualidade, deverão ser substituídos, sem ônus para a Administração, os tubos, agulhas e respectivos adaptadores que apresentarem, entre outras situações:</w:t>
      </w:r>
      <w:r>
        <w:rPr>
          <w:rFonts w:ascii="Arial" w:hAnsi="Arial" w:cs="Arial"/>
          <w:highlight w:val="none"/>
        </w:rPr>
      </w:r>
      <w:r>
        <w:rPr>
          <w:rFonts w:ascii="Arial" w:hAnsi="Arial" w:cs="Arial"/>
          <w:highlight w:val="none"/>
        </w:rPr>
      </w:r>
    </w:p>
    <w:p w14:paraId="47107E96">
      <w:pPr>
        <w:pBdr/>
        <w:spacing/>
        <w:ind/>
        <w:jc w:val="both"/>
        <w:rPr>
          <w:rFonts w:ascii="Arial" w:hAnsi="Arial" w:cs="Arial"/>
          <w:highlight w:val="none"/>
        </w:rPr>
      </w:pPr>
      <w:r>
        <w:rPr>
          <w:rFonts w:ascii="Arial" w:hAnsi="Arial" w:eastAsia="Arial" w:cs="Arial"/>
          <w:highlight w:val="none"/>
          <w:lang w:val="pt-BR"/>
        </w:rPr>
        <w:t xml:space="preserve">I – </w:t>
      </w:r>
      <w:r>
        <w:rPr>
          <w:rFonts w:ascii="Arial" w:hAnsi="Arial" w:eastAsia="Arial" w:cs="Arial"/>
          <w:highlight w:val="none"/>
          <w:lang w:val="pt-BR"/>
        </w:rPr>
        <w:t xml:space="preserve">defeitos</w:t>
      </w:r>
      <w:r>
        <w:rPr>
          <w:rFonts w:ascii="Arial" w:hAnsi="Arial" w:eastAsia="Arial" w:cs="Arial"/>
          <w:highlight w:val="none"/>
          <w:lang w:val="pt-BR"/>
        </w:rPr>
        <w:t xml:space="preserve"> de fabricação;</w:t>
      </w:r>
      <w:r>
        <w:rPr>
          <w:rFonts w:ascii="Arial" w:hAnsi="Arial" w:cs="Arial"/>
          <w:highlight w:val="none"/>
        </w:rPr>
      </w:r>
      <w:r>
        <w:rPr>
          <w:rFonts w:ascii="Arial" w:hAnsi="Arial" w:cs="Arial"/>
          <w:highlight w:val="none"/>
        </w:rPr>
      </w:r>
    </w:p>
    <w:p w14:paraId="787A66F7">
      <w:pPr>
        <w:pBdr/>
        <w:spacing/>
        <w:ind/>
        <w:jc w:val="both"/>
        <w:rPr>
          <w:rFonts w:ascii="Arial" w:hAnsi="Arial" w:cs="Arial"/>
          <w:highlight w:val="none"/>
        </w:rPr>
      </w:pPr>
      <w:r>
        <w:rPr>
          <w:rFonts w:ascii="Arial" w:hAnsi="Arial" w:eastAsia="Arial" w:cs="Arial"/>
          <w:highlight w:val="none"/>
          <w:lang w:val="pt-BR"/>
        </w:rPr>
        <w:t xml:space="preserve">II – </w:t>
      </w:r>
      <w:r>
        <w:rPr>
          <w:rFonts w:ascii="Arial" w:hAnsi="Arial" w:eastAsia="Arial" w:cs="Arial"/>
          <w:highlight w:val="none"/>
          <w:lang w:val="pt-BR"/>
        </w:rPr>
        <w:t xml:space="preserve">perda ou comprometimento</w:t>
      </w:r>
      <w:r>
        <w:rPr>
          <w:rFonts w:ascii="Arial" w:hAnsi="Arial" w:eastAsia="Arial" w:cs="Arial"/>
          <w:highlight w:val="none"/>
          <w:lang w:val="pt-BR"/>
        </w:rPr>
        <w:t xml:space="preserve"> da esterilidade, quando aplicável;</w:t>
      </w:r>
      <w:r>
        <w:rPr>
          <w:rFonts w:ascii="Arial" w:hAnsi="Arial" w:cs="Arial"/>
          <w:highlight w:val="none"/>
        </w:rPr>
      </w:r>
      <w:r>
        <w:rPr>
          <w:rFonts w:ascii="Arial" w:hAnsi="Arial" w:cs="Arial"/>
          <w:highlight w:val="none"/>
        </w:rPr>
      </w:r>
    </w:p>
    <w:p w14:paraId="30EE481F">
      <w:pPr>
        <w:pBdr/>
        <w:spacing/>
        <w:ind/>
        <w:jc w:val="both"/>
        <w:rPr>
          <w:rFonts w:ascii="Arial" w:hAnsi="Arial" w:cs="Arial"/>
          <w:highlight w:val="none"/>
        </w:rPr>
      </w:pPr>
      <w:r>
        <w:rPr>
          <w:rFonts w:ascii="Arial" w:hAnsi="Arial" w:eastAsia="Arial" w:cs="Arial"/>
          <w:highlight w:val="none"/>
          <w:lang w:val="pt-BR"/>
        </w:rPr>
        <w:t xml:space="preserve">III – embalagem violada, danificada ou comprometida;</w:t>
      </w:r>
      <w:r>
        <w:rPr>
          <w:rFonts w:ascii="Arial" w:hAnsi="Arial" w:cs="Arial"/>
          <w:highlight w:val="none"/>
        </w:rPr>
      </w:r>
      <w:r>
        <w:rPr>
          <w:rFonts w:ascii="Arial" w:hAnsi="Arial" w:cs="Arial"/>
          <w:highlight w:val="none"/>
        </w:rPr>
      </w:r>
    </w:p>
    <w:p w14:paraId="3DFC4AEA">
      <w:pPr>
        <w:pBdr/>
        <w:spacing/>
        <w:ind/>
        <w:jc w:val="both"/>
        <w:rPr>
          <w:rFonts w:ascii="Arial" w:hAnsi="Arial" w:cs="Arial"/>
          <w:highlight w:val="none"/>
        </w:rPr>
      </w:pPr>
      <w:r>
        <w:rPr>
          <w:rFonts w:ascii="Arial" w:hAnsi="Arial" w:eastAsia="Arial" w:cs="Arial"/>
          <w:highlight w:val="none"/>
          <w:lang w:val="pt-BR"/>
        </w:rPr>
        <w:t xml:space="preserve">IV – </w:t>
      </w:r>
      <w:r>
        <w:rPr>
          <w:rFonts w:ascii="Arial" w:hAnsi="Arial" w:eastAsia="Arial" w:cs="Arial"/>
          <w:highlight w:val="none"/>
          <w:lang w:val="pt-BR"/>
        </w:rPr>
        <w:t xml:space="preserve">irregularidade ou falha</w:t>
      </w:r>
      <w:r>
        <w:rPr>
          <w:rFonts w:ascii="Arial" w:hAnsi="Arial" w:eastAsia="Arial" w:cs="Arial"/>
          <w:highlight w:val="none"/>
          <w:lang w:val="pt-BR"/>
        </w:rPr>
        <w:t xml:space="preserve"> no sistema de vácuo;</w:t>
      </w:r>
      <w:r>
        <w:rPr>
          <w:rFonts w:ascii="Arial" w:hAnsi="Arial" w:cs="Arial"/>
          <w:highlight w:val="none"/>
        </w:rPr>
      </w:r>
      <w:r>
        <w:rPr>
          <w:rFonts w:ascii="Arial" w:hAnsi="Arial" w:cs="Arial"/>
          <w:highlight w:val="none"/>
        </w:rPr>
      </w:r>
    </w:p>
    <w:p w14:paraId="26125656">
      <w:pPr>
        <w:pBdr/>
        <w:spacing/>
        <w:ind/>
        <w:jc w:val="both"/>
        <w:rPr>
          <w:rFonts w:ascii="Arial" w:hAnsi="Arial" w:cs="Arial"/>
          <w:highlight w:val="none"/>
        </w:rPr>
      </w:pPr>
      <w:r>
        <w:rPr>
          <w:rFonts w:ascii="Arial" w:hAnsi="Arial" w:eastAsia="Arial" w:cs="Arial"/>
          <w:highlight w:val="none"/>
          <w:lang w:val="pt-BR"/>
        </w:rPr>
        <w:t xml:space="preserve">V – </w:t>
      </w:r>
      <w:r>
        <w:rPr>
          <w:rFonts w:ascii="Arial" w:hAnsi="Arial" w:eastAsia="Arial" w:cs="Arial"/>
          <w:highlight w:val="none"/>
          <w:lang w:val="pt-BR"/>
        </w:rPr>
        <w:t xml:space="preserve">inadequação</w:t>
      </w:r>
      <w:r>
        <w:rPr>
          <w:rFonts w:ascii="Arial" w:hAnsi="Arial" w:eastAsia="Arial" w:cs="Arial"/>
          <w:highlight w:val="none"/>
          <w:lang w:val="pt-BR"/>
        </w:rPr>
        <w:t xml:space="preserve"> do volume de aspiração ou da capacidade de coleta;</w:t>
      </w:r>
      <w:r>
        <w:rPr>
          <w:rFonts w:ascii="Arial" w:hAnsi="Arial" w:cs="Arial"/>
          <w:highlight w:val="none"/>
        </w:rPr>
      </w:r>
      <w:r>
        <w:rPr>
          <w:rFonts w:ascii="Arial" w:hAnsi="Arial" w:cs="Arial"/>
          <w:highlight w:val="none"/>
        </w:rPr>
      </w:r>
    </w:p>
    <w:p w14:paraId="2086D976">
      <w:pPr>
        <w:pBdr/>
        <w:spacing/>
        <w:ind/>
        <w:jc w:val="both"/>
        <w:rPr>
          <w:rFonts w:ascii="Arial" w:hAnsi="Arial" w:cs="Arial"/>
          <w:highlight w:val="none"/>
        </w:rPr>
      </w:pPr>
      <w:r>
        <w:rPr>
          <w:rFonts w:ascii="Arial" w:hAnsi="Arial" w:eastAsia="Arial" w:cs="Arial"/>
          <w:highlight w:val="none"/>
          <w:lang w:val="pt-BR"/>
        </w:rPr>
        <w:t xml:space="preserve">VI – </w:t>
      </w:r>
      <w:r>
        <w:rPr>
          <w:rFonts w:ascii="Arial" w:hAnsi="Arial" w:eastAsia="Arial" w:cs="Arial"/>
          <w:highlight w:val="none"/>
          <w:lang w:val="pt-BR"/>
        </w:rPr>
        <w:t xml:space="preserve">falha</w:t>
      </w:r>
      <w:r>
        <w:rPr>
          <w:rFonts w:ascii="Arial" w:hAnsi="Arial" w:eastAsia="Arial" w:cs="Arial"/>
          <w:highlight w:val="none"/>
          <w:lang w:val="pt-BR"/>
        </w:rPr>
        <w:t xml:space="preserve"> no sistema de fechamento ou vedação;</w:t>
      </w:r>
      <w:r>
        <w:rPr>
          <w:rFonts w:ascii="Arial" w:hAnsi="Arial" w:cs="Arial"/>
          <w:highlight w:val="none"/>
        </w:rPr>
      </w:r>
      <w:r>
        <w:rPr>
          <w:rFonts w:ascii="Arial" w:hAnsi="Arial" w:cs="Arial"/>
          <w:highlight w:val="none"/>
        </w:rPr>
      </w:r>
    </w:p>
    <w:p w14:paraId="6EE0D5D0">
      <w:pPr>
        <w:pBdr/>
        <w:spacing/>
        <w:ind/>
        <w:jc w:val="both"/>
        <w:rPr>
          <w:rFonts w:ascii="Arial" w:hAnsi="Arial" w:cs="Arial"/>
          <w:highlight w:val="none"/>
        </w:rPr>
      </w:pPr>
      <w:r>
        <w:rPr>
          <w:rFonts w:ascii="Arial" w:hAnsi="Arial" w:eastAsia="Arial" w:cs="Arial"/>
          <w:highlight w:val="none"/>
          <w:lang w:val="pt-BR"/>
        </w:rPr>
        <w:t xml:space="preserve">VII – desconformidade quanto às especificações técnicas, sanitárias ou de qualidade estabelecidas neste Termo de Referência;</w:t>
      </w:r>
      <w:r>
        <w:rPr>
          <w:rFonts w:ascii="Arial" w:hAnsi="Arial" w:cs="Arial"/>
          <w:highlight w:val="none"/>
        </w:rPr>
      </w:r>
      <w:r>
        <w:rPr>
          <w:rFonts w:ascii="Arial" w:hAnsi="Arial" w:cs="Arial"/>
          <w:highlight w:val="none"/>
        </w:rPr>
      </w:r>
    </w:p>
    <w:p w14:paraId="51C34B3F">
      <w:pPr>
        <w:pBdr/>
        <w:spacing/>
        <w:ind/>
        <w:jc w:val="both"/>
        <w:rPr>
          <w:rFonts w:ascii="Arial" w:hAnsi="Arial" w:cs="Arial"/>
          <w:highlight w:val="none"/>
        </w:rPr>
      </w:pPr>
      <w:r>
        <w:rPr>
          <w:rFonts w:ascii="Arial" w:hAnsi="Arial" w:eastAsia="Arial" w:cs="Arial"/>
          <w:highlight w:val="none"/>
          <w:lang w:val="pt-BR"/>
        </w:rPr>
        <w:t xml:space="preserve">VIII – incompatibilidade entre os componentes que integram o sistema de coleta de sangue a vácuo;</w:t>
      </w:r>
      <w:r>
        <w:rPr>
          <w:rFonts w:ascii="Arial" w:hAnsi="Arial" w:cs="Arial"/>
          <w:highlight w:val="none"/>
        </w:rPr>
      </w:r>
      <w:r>
        <w:rPr>
          <w:rFonts w:ascii="Arial" w:hAnsi="Arial" w:cs="Arial"/>
          <w:highlight w:val="none"/>
        </w:rPr>
      </w:r>
    </w:p>
    <w:p w14:paraId="6E4CCBA2">
      <w:pPr>
        <w:pBdr/>
        <w:spacing/>
        <w:ind/>
        <w:jc w:val="both"/>
        <w:rPr>
          <w:rFonts w:ascii="Arial" w:hAnsi="Arial" w:cs="Arial"/>
          <w:highlight w:val="none"/>
        </w:rPr>
      </w:pPr>
      <w:r>
        <w:rPr>
          <w:rFonts w:ascii="Arial" w:hAnsi="Arial" w:eastAsia="Arial" w:cs="Arial"/>
          <w:highlight w:val="none"/>
          <w:lang w:val="pt-BR"/>
        </w:rPr>
        <w:t xml:space="preserve">IX – </w:t>
      </w:r>
      <w:r>
        <w:rPr>
          <w:rFonts w:ascii="Arial" w:hAnsi="Arial" w:eastAsia="Arial" w:cs="Arial"/>
          <w:highlight w:val="none"/>
          <w:lang w:val="pt-BR"/>
        </w:rPr>
        <w:t xml:space="preserve">divergência</w:t>
      </w:r>
      <w:r>
        <w:rPr>
          <w:rFonts w:ascii="Arial" w:hAnsi="Arial" w:eastAsia="Arial" w:cs="Arial"/>
          <w:highlight w:val="none"/>
          <w:lang w:val="pt-BR"/>
        </w:rPr>
        <w:t xml:space="preserve"> de lote, identificação ou demais informações obrigatórias constantes da embalagem;</w:t>
      </w:r>
      <w:r>
        <w:rPr>
          <w:rFonts w:ascii="Arial" w:hAnsi="Arial" w:cs="Arial"/>
          <w:highlight w:val="none"/>
        </w:rPr>
      </w:r>
      <w:r>
        <w:rPr>
          <w:rFonts w:ascii="Arial" w:hAnsi="Arial" w:cs="Arial"/>
          <w:highlight w:val="none"/>
        </w:rPr>
      </w:r>
    </w:p>
    <w:p w14:paraId="30D7BC1E">
      <w:pPr>
        <w:pBdr/>
        <w:spacing/>
        <w:ind/>
        <w:jc w:val="both"/>
        <w:rPr>
          <w:rFonts w:ascii="Arial" w:hAnsi="Arial" w:cs="Arial"/>
          <w:highlight w:val="none"/>
        </w:rPr>
      </w:pPr>
      <w:r>
        <w:rPr>
          <w:rFonts w:ascii="Arial" w:hAnsi="Arial" w:eastAsia="Arial" w:cs="Arial"/>
          <w:highlight w:val="none"/>
          <w:lang w:val="pt-BR"/>
        </w:rPr>
        <w:t xml:space="preserve">X – </w:t>
      </w:r>
      <w:r>
        <w:rPr>
          <w:rFonts w:ascii="Arial" w:hAnsi="Arial" w:eastAsia="Arial" w:cs="Arial"/>
          <w:highlight w:val="none"/>
          <w:lang w:val="pt-BR"/>
        </w:rPr>
        <w:t xml:space="preserve">qualquer</w:t>
      </w:r>
      <w:r>
        <w:rPr>
          <w:rFonts w:ascii="Arial" w:hAnsi="Arial" w:eastAsia="Arial" w:cs="Arial"/>
          <w:highlight w:val="none"/>
          <w:lang w:val="pt-BR"/>
        </w:rPr>
        <w:t xml:space="preserve"> outro vício ou defeito que comprometa a segurança, a qualidade, a funcionalidade ou a utilização adequada dos produtos.</w:t>
      </w:r>
      <w:r>
        <w:rPr>
          <w:rFonts w:ascii="Arial" w:hAnsi="Arial" w:cs="Arial"/>
          <w:highlight w:val="none"/>
        </w:rPr>
      </w:r>
      <w:r>
        <w:rPr>
          <w:rFonts w:ascii="Arial" w:hAnsi="Arial" w:cs="Arial"/>
          <w:highlight w:val="none"/>
        </w:rPr>
      </w:r>
    </w:p>
    <w:p w14:paraId="14B9F994">
      <w:pPr>
        <w:pBdr/>
        <w:spacing/>
        <w:ind/>
        <w:jc w:val="both"/>
        <w:rPr>
          <w:rFonts w:ascii="Arial" w:hAnsi="Arial" w:cs="Arial"/>
          <w:highlight w:val="none"/>
        </w:rPr>
      </w:pPr>
      <w:r>
        <w:rPr>
          <w:rFonts w:ascii="Arial" w:hAnsi="Arial" w:eastAsia="Arial" w:cs="Arial"/>
          <w:b/>
          <w:bCs/>
          <w:highlight w:val="none"/>
          <w:lang w:val="pt-BR"/>
        </w:rPr>
        <w:t xml:space="preserve">5.1.16.</w:t>
      </w:r>
      <w:r>
        <w:rPr>
          <w:rFonts w:ascii="Arial" w:hAnsi="Arial" w:eastAsia="Arial" w:cs="Arial"/>
          <w:highlight w:val="none"/>
          <w:lang w:val="pt-BR"/>
        </w:rPr>
        <w:t xml:space="preserve"> A substituição dos produtos desconformes deverá ser realizada pela Contratada, sem qualquer ônus para a Administração, incluindo todos os custos relacionados à retirada, transporte, coleta, reposição e entrega dos produtos substitutos.</w:t>
      </w:r>
      <w:r>
        <w:rPr>
          <w:rFonts w:ascii="Arial" w:hAnsi="Arial" w:cs="Arial"/>
          <w:highlight w:val="none"/>
        </w:rPr>
      </w:r>
      <w:r>
        <w:rPr>
          <w:rFonts w:ascii="Arial" w:hAnsi="Arial" w:cs="Arial"/>
          <w:highlight w:val="none"/>
        </w:rPr>
      </w:r>
    </w:p>
    <w:p w14:paraId="7031CCA8">
      <w:pPr>
        <w:pBdr/>
        <w:spacing/>
        <w:ind/>
        <w:jc w:val="both"/>
        <w:rPr>
          <w:rFonts w:ascii="Arial" w:hAnsi="Arial" w:cs="Arial"/>
          <w:highlight w:val="none"/>
        </w:rPr>
      </w:pPr>
      <w:r>
        <w:rPr>
          <w:rFonts w:ascii="Arial" w:hAnsi="Arial" w:eastAsia="Arial" w:cs="Arial"/>
          <w:b/>
          <w:bCs/>
          <w:highlight w:val="none"/>
          <w:lang w:val="pt-BR"/>
        </w:rPr>
        <w:t xml:space="preserve">5.1.17.</w:t>
      </w:r>
      <w:r>
        <w:rPr>
          <w:rFonts w:ascii="Arial" w:hAnsi="Arial" w:eastAsia="Arial" w:cs="Arial"/>
          <w:highlight w:val="none"/>
          <w:lang w:val="pt-BR"/>
        </w:rPr>
        <w:t xml:space="preserve"> </w:t>
      </w:r>
      <w:r>
        <w:rPr>
          <w:rFonts w:ascii="Arial" w:hAnsi="Arial" w:eastAsia="Arial" w:cs="Arial"/>
          <w:highlight w:val="none"/>
          <w:lang w:val="pt-BR"/>
        </w:rPr>
        <w:t xml:space="preserve">Os produtos fornecidos em substituição deverão ser novos, estar em perfeitas condições de uso, possuir as mesmas características técnicas e sanitárias exigidas para o objeto e atender integralmente às especificações estabelecidas neste Termo de Referência.</w:t>
      </w:r>
      <w:r>
        <w:rPr>
          <w:rFonts w:ascii="Arial" w:hAnsi="Arial" w:cs="Arial"/>
          <w:highlight w:val="none"/>
        </w:rPr>
      </w:r>
      <w:r>
        <w:rPr>
          <w:rFonts w:ascii="Arial" w:hAnsi="Arial" w:cs="Arial"/>
          <w:highlight w:val="none"/>
        </w:rPr>
      </w:r>
    </w:p>
    <w:p w14:paraId="3E3315B5">
      <w:pPr>
        <w:pBdr/>
        <w:spacing/>
        <w:ind/>
        <w:jc w:val="both"/>
        <w:rPr>
          <w:rFonts w:ascii="Arial" w:hAnsi="Arial" w:cs="Arial"/>
          <w:b/>
          <w:bCs/>
          <w:highlight w:val="none"/>
        </w:rPr>
      </w:pPr>
      <w:r>
        <w:rPr>
          <w:rFonts w:ascii="Arial" w:hAnsi="Arial" w:eastAsia="Arial" w:cs="Arial"/>
          <w:b/>
          <w:bCs/>
          <w:highlight w:val="none"/>
          <w:lang w:val="pt-BR"/>
        </w:rPr>
        <w:t xml:space="preserve">5.1.18. Quantidades mínimas a serem cotadas</w:t>
      </w:r>
      <w:r>
        <w:rPr>
          <w:rFonts w:ascii="Arial" w:hAnsi="Arial" w:cs="Arial"/>
          <w:b/>
          <w:bCs/>
          <w:highlight w:val="none"/>
        </w:rPr>
      </w:r>
      <w:r>
        <w:rPr>
          <w:rFonts w:ascii="Arial" w:hAnsi="Arial" w:cs="Arial"/>
          <w:b/>
          <w:bCs/>
          <w:highlight w:val="none"/>
        </w:rPr>
      </w:r>
    </w:p>
    <w:p w14:paraId="0B77598A">
      <w:pPr>
        <w:pBdr/>
        <w:spacing/>
        <w:ind/>
        <w:jc w:val="both"/>
        <w:rPr>
          <w:rFonts w:ascii="Arial" w:hAnsi="Arial" w:cs="Arial"/>
          <w:highlight w:val="none"/>
        </w:rPr>
      </w:pPr>
      <w:r>
        <w:rPr>
          <w:rFonts w:ascii="Arial" w:hAnsi="Arial" w:eastAsia="Arial" w:cs="Arial"/>
          <w:b/>
          <w:bCs/>
          <w:highlight w:val="none"/>
          <w:lang w:val="pt-BR"/>
        </w:rPr>
        <w:t xml:space="preserve">5.1.18.1.</w:t>
      </w:r>
      <w:r>
        <w:rPr>
          <w:rFonts w:ascii="Arial" w:hAnsi="Arial" w:eastAsia="Arial" w:cs="Arial"/>
          <w:highlight w:val="none"/>
          <w:lang w:val="pt-BR"/>
        </w:rPr>
        <w:t xml:space="preserve"> A licitante deverá apresentar proposta contemplando a totalidade dos itens e respectivos quantitativos estimados que compõem o LOTE ÚNICO, não sendo admitida proposta parcial.</w:t>
      </w:r>
      <w:r>
        <w:rPr>
          <w:rFonts w:ascii="Arial" w:hAnsi="Arial" w:cs="Arial"/>
          <w:highlight w:val="none"/>
        </w:rPr>
      </w:r>
      <w:r>
        <w:rPr>
          <w:rFonts w:ascii="Arial" w:hAnsi="Arial" w:cs="Arial"/>
          <w:highlight w:val="none"/>
        </w:rPr>
      </w:r>
    </w:p>
    <w:p w14:paraId="3B0A671C">
      <w:pPr>
        <w:pBdr/>
        <w:spacing/>
        <w:ind/>
        <w:jc w:val="both"/>
        <w:rPr>
          <w:rFonts w:ascii="Arial" w:hAnsi="Arial" w:cs="Arial"/>
          <w:highlight w:val="none"/>
        </w:rPr>
      </w:pPr>
      <w:r>
        <w:rPr>
          <w:rFonts w:ascii="Arial" w:hAnsi="Arial" w:eastAsia="Arial" w:cs="Arial"/>
          <w:b/>
          <w:bCs/>
          <w:highlight w:val="none"/>
          <w:lang w:val="pt-BR"/>
        </w:rPr>
        <w:t xml:space="preserve">5.1.18.2.</w:t>
      </w:r>
      <w:r>
        <w:rPr>
          <w:rFonts w:ascii="Arial" w:hAnsi="Arial" w:eastAsia="Arial" w:cs="Arial"/>
          <w:highlight w:val="none"/>
          <w:lang w:val="pt-BR"/>
        </w:rPr>
        <w:t xml:space="preserve"> A proposta deverá indicar os valores unitários de cada item e o valor global do LOTE ÚNICO, observadas as especificações, os quantitativos estimados e as demais condições estabelecidas neste Termo de Referência.</w:t>
      </w:r>
      <w:r>
        <w:rPr>
          <w:rFonts w:ascii="Arial" w:hAnsi="Arial" w:cs="Arial"/>
          <w:highlight w:val="none"/>
        </w:rPr>
      </w:r>
      <w:r>
        <w:rPr>
          <w:rFonts w:ascii="Arial" w:hAnsi="Arial" w:cs="Arial"/>
          <w:highlight w:val="none"/>
        </w:rPr>
      </w:r>
    </w:p>
    <w:p w14:paraId="4B6A1DF6">
      <w:pPr>
        <w:pBdr/>
        <w:spacing/>
        <w:ind/>
        <w:jc w:val="both"/>
        <w:rPr>
          <w:rFonts w:ascii="Arial" w:hAnsi="Arial" w:cs="Arial"/>
          <w:highlight w:val="none"/>
        </w:rPr>
      </w:pPr>
      <w:r>
        <w:rPr>
          <w:rFonts w:ascii="Arial" w:hAnsi="Arial" w:eastAsia="Arial" w:cs="Arial"/>
          <w:b/>
          <w:bCs/>
          <w:highlight w:val="none"/>
          <w:lang w:val="pt-BR"/>
        </w:rPr>
        <w:t xml:space="preserve">5.1.18.3.</w:t>
      </w:r>
      <w:r>
        <w:rPr>
          <w:rFonts w:ascii="Arial" w:hAnsi="Arial" w:eastAsia="Arial" w:cs="Arial"/>
          <w:highlight w:val="none"/>
          <w:lang w:val="pt-BR"/>
        </w:rPr>
        <w:t xml:space="preserve"> A apresentação de proposta para a totalidade dos quantit</w:t>
      </w:r>
      <w:r>
        <w:rPr>
          <w:rFonts w:ascii="Arial" w:hAnsi="Arial" w:eastAsia="Arial" w:cs="Arial"/>
          <w:highlight w:val="none"/>
          <w:lang w:val="pt-BR"/>
        </w:rPr>
        <w:t xml:space="preserve">ativos estimados não obriga a Administração à aquisição integral dos produtos registrados, uma vez que as aquisições ocorrerão de forma futura, eventual e parcelada, conforme a necessidade da Administração e durante a vigência da Ata de Registro de Preços.</w:t>
      </w:r>
      <w:r>
        <w:rPr>
          <w:rFonts w:ascii="Arial" w:hAnsi="Arial" w:cs="Arial"/>
          <w:highlight w:val="none"/>
        </w:rPr>
      </w:r>
      <w:r>
        <w:rPr>
          <w:rFonts w:ascii="Arial" w:hAnsi="Arial" w:cs="Arial"/>
          <w:highlight w:val="none"/>
        </w:rPr>
      </w:r>
    </w:p>
    <w:p w14:paraId="3BE53197">
      <w:pPr>
        <w:pBdr/>
        <w:spacing/>
        <w:ind/>
        <w:jc w:val="both"/>
        <w:rPr>
          <w:rFonts w:ascii="Arial" w:hAnsi="Arial" w:cs="Arial"/>
          <w:sz w:val="18"/>
          <w:szCs w:val="18"/>
          <w:highlight w:val="none"/>
        </w:rPr>
      </w:pPr>
      <w:r>
        <w:rPr>
          <w:rFonts w:ascii="Arial" w:hAnsi="Arial" w:eastAsia="Arial" w:cs="Arial"/>
          <w:sz w:val="18"/>
          <w:szCs w:val="18"/>
          <w:highlight w:val="none"/>
          <w:lang w:val="pt-BR"/>
        </w:rPr>
      </w:r>
      <w:r>
        <w:rPr>
          <w:rFonts w:ascii="Arial" w:hAnsi="Arial" w:cs="Arial"/>
          <w:sz w:val="18"/>
          <w:szCs w:val="18"/>
          <w:highlight w:val="none"/>
        </w:rPr>
      </w:r>
      <w:r>
        <w:rPr>
          <w:rFonts w:ascii="Arial" w:hAnsi="Arial" w:cs="Arial"/>
          <w:sz w:val="18"/>
          <w:szCs w:val="18"/>
          <w:highlight w:val="none"/>
        </w:rPr>
      </w:r>
    </w:p>
    <w:p w14:paraId="608AB820">
      <w:pPr>
        <w:pBdr/>
        <w:shd w:val="clear" w:color="auto" w:fill="cccccc"/>
        <w:spacing/>
        <w:ind/>
        <w:jc w:val="both"/>
        <w:rPr>
          <w:rFonts w:ascii="Arial" w:hAnsi="Arial" w:cs="Arial"/>
          <w:highlight w:val="none"/>
        </w:rPr>
      </w:pPr>
      <w:r>
        <w:rPr>
          <w:rFonts w:ascii="Arial" w:hAnsi="Arial" w:eastAsia="Arial" w:cs="Arial"/>
          <w:b/>
          <w:bCs/>
          <w:highlight w:val="none"/>
        </w:rPr>
        <w:t xml:space="preserve">6. GESTÃO DO CONTRATO </w:t>
      </w:r>
      <w:r>
        <w:rPr>
          <w:rFonts w:ascii="Arial" w:hAnsi="Arial" w:cs="Arial"/>
          <w:highlight w:val="none"/>
        </w:rPr>
      </w:r>
      <w:r>
        <w:rPr>
          <w:rFonts w:ascii="Arial" w:hAnsi="Arial" w:cs="Arial"/>
          <w:highlight w:val="none"/>
        </w:rPr>
      </w:r>
    </w:p>
    <w:p w14:paraId="64ABAA7F">
      <w:pPr>
        <w:pBdr/>
        <w:spacing/>
        <w:ind/>
        <w:jc w:val="both"/>
        <w:rPr>
          <w:rFonts w:ascii="Arial" w:hAnsi="Arial" w:cs="Arial"/>
          <w:sz w:val="18"/>
          <w:szCs w:val="18"/>
          <w:highlight w:val="none"/>
        </w:rPr>
      </w:pPr>
      <w:r>
        <w:rPr>
          <w:rFonts w:ascii="Arial" w:hAnsi="Arial" w:eastAsia="Arial" w:cs="Arial"/>
          <w:sz w:val="18"/>
          <w:szCs w:val="18"/>
          <w:highlight w:val="none"/>
        </w:rPr>
      </w:r>
      <w:r>
        <w:rPr>
          <w:rFonts w:ascii="Arial" w:hAnsi="Arial" w:cs="Arial"/>
          <w:sz w:val="18"/>
          <w:szCs w:val="18"/>
          <w:highlight w:val="none"/>
        </w:rPr>
      </w:r>
      <w:r>
        <w:rPr>
          <w:rFonts w:ascii="Arial" w:hAnsi="Arial" w:cs="Arial"/>
          <w:sz w:val="18"/>
          <w:szCs w:val="18"/>
          <w:highlight w:val="none"/>
        </w:rPr>
      </w:r>
    </w:p>
    <w:p w14:paraId="7F795AF6">
      <w:pPr>
        <w:pBdr/>
        <w:spacing/>
        <w:ind/>
        <w:jc w:val="both"/>
        <w:rPr>
          <w:rFonts w:ascii="Arial" w:hAnsi="Arial" w:cs="Arial"/>
          <w:highlight w:val="none"/>
        </w:rPr>
      </w:pPr>
      <w:r>
        <w:rPr>
          <w:rFonts w:ascii="Arial" w:hAnsi="Arial" w:eastAsia="Arial" w:cs="Arial"/>
          <w:b/>
          <w:bCs/>
          <w:highlight w:val="none"/>
          <w:lang w:val="pt-BR"/>
        </w:rPr>
        <w:t xml:space="preserve">6.1.</w:t>
      </w:r>
      <w:r>
        <w:rPr>
          <w:rFonts w:ascii="Arial" w:hAnsi="Arial" w:eastAsia="Arial" w:cs="Arial"/>
          <w:highlight w:val="none"/>
          <w:lang w:val="pt-BR"/>
        </w:rPr>
        <w:t xml:space="preserve"> </w:t>
      </w:r>
      <w:r>
        <w:rPr>
          <w:rFonts w:ascii="Arial" w:hAnsi="Arial" w:eastAsia="Arial" w:cs="Arial"/>
          <w:highlight w:val="none"/>
        </w:rPr>
        <w:t xml:space="preserve">O contrato deverá ser executado fielmente pelas partes, de acordo com as cláusulas avençadas e as normas da Lei 14.133/2021 e do Decreto Municipal nº 11.685/2023, e cada parte responderá pelas consequências de sua inexecução total ou parcial.</w:t>
      </w:r>
      <w:r>
        <w:rPr>
          <w:rFonts w:ascii="Arial" w:hAnsi="Arial" w:cs="Arial"/>
          <w:highlight w:val="none"/>
        </w:rPr>
      </w:r>
      <w:r>
        <w:rPr>
          <w:rFonts w:ascii="Arial" w:hAnsi="Arial" w:cs="Arial"/>
          <w:highlight w:val="none"/>
        </w:rPr>
      </w:r>
    </w:p>
    <w:p w14:paraId="1B8F8500">
      <w:pPr>
        <w:pBdr/>
        <w:spacing/>
        <w:ind/>
        <w:jc w:val="both"/>
        <w:rPr>
          <w:rFonts w:ascii="Arial" w:hAnsi="Arial" w:cs="Arial"/>
          <w:highlight w:val="none"/>
        </w:rPr>
      </w:pPr>
      <w:r>
        <w:rPr>
          <w:rFonts w:ascii="Arial" w:hAnsi="Arial" w:eastAsia="Arial" w:cs="Arial"/>
          <w:b/>
          <w:bCs/>
          <w:highlight w:val="none"/>
          <w:lang w:val="pt-BR"/>
        </w:rPr>
        <w:t xml:space="preserve">6.2.</w:t>
      </w:r>
      <w:r>
        <w:rPr>
          <w:rFonts w:ascii="Arial" w:hAnsi="Arial" w:eastAsia="Arial" w:cs="Arial"/>
          <w:highlight w:val="none"/>
          <w:lang w:val="pt-BR"/>
        </w:rPr>
        <w:t xml:space="preserve"> </w:t>
      </w:r>
      <w:r>
        <w:rPr>
          <w:rFonts w:ascii="Arial" w:hAnsi="Arial" w:eastAsia="Arial" w:cs="Arial"/>
          <w:highlight w:val="none"/>
        </w:rPr>
        <w:t xml:space="preserve">Em caso de impedimento, ordem de paralisação ou suspensão do contrato, o cronograma de execução será prorrogado automaticamente pelo tempo correspondente, anotadas tais circunstâncias mediante simples apostila.</w:t>
      </w:r>
      <w:r>
        <w:rPr>
          <w:rFonts w:ascii="Arial" w:hAnsi="Arial" w:cs="Arial"/>
          <w:highlight w:val="none"/>
        </w:rPr>
      </w:r>
      <w:r>
        <w:rPr>
          <w:rFonts w:ascii="Arial" w:hAnsi="Arial" w:cs="Arial"/>
          <w:highlight w:val="none"/>
        </w:rPr>
      </w:r>
    </w:p>
    <w:p w14:paraId="7D014533">
      <w:pPr>
        <w:pBdr/>
        <w:spacing/>
        <w:ind/>
        <w:jc w:val="both"/>
        <w:rPr>
          <w:rFonts w:ascii="Arial" w:hAnsi="Arial" w:cs="Arial"/>
          <w:highlight w:val="none"/>
        </w:rPr>
      </w:pPr>
      <w:r>
        <w:rPr>
          <w:rFonts w:ascii="Arial" w:hAnsi="Arial" w:eastAsia="Arial" w:cs="Arial"/>
          <w:b/>
          <w:bCs/>
          <w:highlight w:val="none"/>
          <w:lang w:val="pt-BR"/>
        </w:rPr>
        <w:t xml:space="preserve">6.3.</w:t>
      </w:r>
      <w:r>
        <w:rPr>
          <w:rFonts w:ascii="Arial" w:hAnsi="Arial" w:eastAsia="Arial" w:cs="Arial"/>
          <w:highlight w:val="none"/>
          <w:lang w:val="pt-BR"/>
        </w:rPr>
        <w:t xml:space="preserve"> </w:t>
      </w:r>
      <w:r>
        <w:rPr>
          <w:rFonts w:ascii="Arial" w:hAnsi="Arial" w:eastAsia="Arial" w:cs="Arial"/>
          <w:highlight w:val="none"/>
        </w:rPr>
        <w:t xml:space="preserve">As comunicações entre o órgão ou entidade e o Contratado devem ser realizadas por escrito sempre que o ato exigir tal formalidade, admitindo-se o uso de mensagem eletrônica para esse fim.</w:t>
      </w:r>
      <w:r>
        <w:rPr>
          <w:rFonts w:ascii="Arial" w:hAnsi="Arial" w:cs="Arial"/>
          <w:highlight w:val="none"/>
        </w:rPr>
      </w:r>
      <w:r>
        <w:rPr>
          <w:rFonts w:ascii="Arial" w:hAnsi="Arial" w:cs="Arial"/>
          <w:highlight w:val="none"/>
        </w:rPr>
      </w:r>
    </w:p>
    <w:p w14:paraId="1E2599F1">
      <w:pPr>
        <w:pBdr/>
        <w:spacing/>
        <w:ind/>
        <w:jc w:val="both"/>
        <w:rPr>
          <w:rFonts w:ascii="Arial" w:hAnsi="Arial" w:cs="Arial"/>
          <w:highlight w:val="none"/>
        </w:rPr>
      </w:pPr>
      <w:r>
        <w:rPr>
          <w:rFonts w:ascii="Arial" w:hAnsi="Arial" w:eastAsia="Arial" w:cs="Arial"/>
          <w:b/>
          <w:bCs/>
          <w:highlight w:val="none"/>
        </w:rPr>
        <w:t xml:space="preserve">6.4.</w:t>
      </w:r>
      <w:r>
        <w:rPr>
          <w:rFonts w:ascii="Arial" w:hAnsi="Arial" w:eastAsia="Arial" w:cs="Arial"/>
          <w:highlight w:val="none"/>
        </w:rPr>
        <w:t xml:space="preserve"> O órgão ou entidade poderá convocar representante da empresa para adoção de providências que devam ser cumpridas de imediato.</w:t>
      </w:r>
      <w:r>
        <w:rPr>
          <w:rFonts w:ascii="Arial" w:hAnsi="Arial" w:cs="Arial"/>
          <w:highlight w:val="none"/>
        </w:rPr>
      </w:r>
      <w:r>
        <w:rPr>
          <w:rFonts w:ascii="Arial" w:hAnsi="Arial" w:cs="Arial"/>
          <w:highlight w:val="none"/>
        </w:rPr>
      </w:r>
    </w:p>
    <w:p w14:paraId="69323503">
      <w:pPr>
        <w:pBdr/>
        <w:spacing/>
        <w:ind/>
        <w:jc w:val="both"/>
        <w:rPr>
          <w:rFonts w:ascii="Arial" w:hAnsi="Arial" w:cs="Arial"/>
          <w:highlight w:val="none"/>
        </w:rPr>
      </w:pPr>
      <w:r>
        <w:rPr>
          <w:rFonts w:ascii="Arial" w:hAnsi="Arial" w:eastAsia="Arial" w:cs="Arial"/>
          <w:b/>
          <w:bCs/>
          <w:highlight w:val="none"/>
          <w:lang w:val="pt-BR"/>
        </w:rPr>
        <w:t xml:space="preserve">6.5.</w:t>
      </w:r>
      <w:r>
        <w:rPr>
          <w:rFonts w:ascii="Arial" w:hAnsi="Arial" w:eastAsia="Arial" w:cs="Arial"/>
          <w:highlight w:val="none"/>
          <w:lang w:val="pt-BR"/>
        </w:rPr>
        <w:t xml:space="preserve"> </w:t>
      </w:r>
      <w:r>
        <w:rPr>
          <w:rFonts w:ascii="Arial" w:hAnsi="Arial" w:eastAsia="Arial" w:cs="Arial"/>
          <w:highlight w:val="none"/>
        </w:rPr>
        <w:t xml:space="preserve">Após a assinatura do contrato ou instrumento equivalente, o órgão ou entidade poderá convocar o representante da empresa contratada para reunião inicial para apresentação do plano de fiscalização, que conterá infor</w:t>
      </w:r>
      <w:r>
        <w:rPr>
          <w:rFonts w:ascii="Arial" w:hAnsi="Arial" w:eastAsia="Arial" w:cs="Arial"/>
          <w:highlight w:val="none"/>
        </w:rPr>
        <w:t xml:space="preserve">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rFonts w:ascii="Arial" w:hAnsi="Arial" w:cs="Arial"/>
          <w:highlight w:val="none"/>
        </w:rPr>
      </w:r>
      <w:r>
        <w:rPr>
          <w:rFonts w:ascii="Arial" w:hAnsi="Arial" w:cs="Arial"/>
          <w:highlight w:val="none"/>
        </w:rPr>
      </w:r>
    </w:p>
    <w:p w14:paraId="40E40E2D">
      <w:pPr>
        <w:pBdr/>
        <w:spacing/>
        <w:ind/>
        <w:jc w:val="both"/>
        <w:rPr>
          <w:rFonts w:ascii="Arial" w:hAnsi="Arial" w:cs="Arial"/>
          <w:highlight w:val="none"/>
        </w:rPr>
      </w:pPr>
      <w:r>
        <w:rPr>
          <w:rFonts w:ascii="Arial" w:hAnsi="Arial" w:eastAsia="Arial" w:cs="Arial"/>
          <w:b/>
          <w:bCs/>
          <w:highlight w:val="none"/>
          <w:lang w:val="pt-BR"/>
        </w:rPr>
        <w:t xml:space="preserve">6.6.</w:t>
      </w:r>
      <w:r>
        <w:rPr>
          <w:rFonts w:ascii="Arial" w:hAnsi="Arial" w:eastAsia="Arial" w:cs="Arial"/>
          <w:highlight w:val="none"/>
          <w:lang w:val="pt-BR"/>
        </w:rPr>
        <w:t xml:space="preserve"> </w:t>
      </w:r>
      <w:r>
        <w:rPr>
          <w:rFonts w:ascii="Arial" w:hAnsi="Arial" w:eastAsia="Arial" w:cs="Arial"/>
          <w:highlight w:val="none"/>
        </w:rPr>
        <w:t xml:space="preserve">A execução do contrato deverá ser acompanhada e fiscalizada pelo(s</w:t>
      </w:r>
      <w:r>
        <w:rPr>
          <w:rFonts w:ascii="Arial" w:hAnsi="Arial" w:eastAsia="Arial" w:cs="Arial"/>
          <w:highlight w:val="none"/>
        </w:rPr>
        <w:t xml:space="preserve">) fiscal(is) do contrato, ou pelos respectivos substitutos, observado o disposto nos artigos 11 e 12 do Decreto Municipal nº 11.685/2023 e do artigo 117 da Lei 14.133/2021, consistindo a sua atuação, sem prejuízo de outras previstas em lei ou regulamento: </w:t>
      </w:r>
      <w:r>
        <w:rPr>
          <w:rFonts w:ascii="Arial" w:hAnsi="Arial" w:cs="Arial"/>
          <w:highlight w:val="none"/>
        </w:rPr>
      </w:r>
      <w:r>
        <w:rPr>
          <w:rFonts w:ascii="Arial" w:hAnsi="Arial" w:cs="Arial"/>
          <w:highlight w:val="none"/>
        </w:rPr>
      </w:r>
    </w:p>
    <w:p w14:paraId="25EF9D18">
      <w:pPr>
        <w:pBdr/>
        <w:spacing/>
        <w:ind/>
        <w:jc w:val="both"/>
        <w:rPr>
          <w:rFonts w:ascii="Arial" w:hAnsi="Arial" w:cs="Arial"/>
          <w:highlight w:val="none"/>
        </w:rPr>
      </w:pPr>
      <w:r>
        <w:rPr>
          <w:rFonts w:ascii="Arial" w:hAnsi="Arial" w:eastAsia="Arial" w:cs="Arial"/>
          <w:highlight w:val="none"/>
        </w:rPr>
        <w:t xml:space="preserve">a) anotar, em registro, próprio todas as ocorrências relacionadas com a execução e determinará o que for necessário à regularização de falhas ou defeitos observados. </w:t>
      </w:r>
      <w:r>
        <w:rPr>
          <w:rFonts w:ascii="Arial" w:hAnsi="Arial" w:cs="Arial"/>
          <w:highlight w:val="none"/>
        </w:rPr>
      </w:r>
      <w:r>
        <w:rPr>
          <w:rFonts w:ascii="Arial" w:hAnsi="Arial" w:cs="Arial"/>
          <w:highlight w:val="none"/>
        </w:rPr>
      </w:r>
    </w:p>
    <w:p w14:paraId="6A9DAE1F">
      <w:pPr>
        <w:pBdr/>
        <w:spacing/>
        <w:ind/>
        <w:jc w:val="both"/>
        <w:rPr>
          <w:rFonts w:ascii="Arial" w:hAnsi="Arial" w:cs="Arial"/>
          <w:highlight w:val="none"/>
        </w:rPr>
      </w:pPr>
      <w:r>
        <w:rPr>
          <w:rFonts w:ascii="Arial" w:hAnsi="Arial" w:eastAsia="Arial" w:cs="Arial"/>
          <w:highlight w:val="none"/>
        </w:rPr>
        <w:t xml:space="preserve">b) </w:t>
      </w:r>
      <w:r>
        <w:rPr>
          <w:rFonts w:ascii="Arial" w:hAnsi="Arial" w:eastAsia="Arial" w:cs="Arial"/>
          <w:highlight w:val="none"/>
          <w:lang w:val="pt-BR"/>
        </w:rPr>
        <w:t xml:space="preserve">I</w:t>
      </w:r>
      <w:r>
        <w:rPr>
          <w:rFonts w:ascii="Arial" w:hAnsi="Arial" w:eastAsia="Arial" w:cs="Arial"/>
          <w:highlight w:val="none"/>
        </w:rPr>
        <w:t xml:space="preserve">nformar a seus superiores, em tempo hábil para a adoção das medidas convenientes, a situação que demandar decisão ou providência que ultrapasse sua competência.</w:t>
      </w:r>
      <w:r>
        <w:rPr>
          <w:rFonts w:ascii="Arial" w:hAnsi="Arial" w:cs="Arial"/>
          <w:highlight w:val="none"/>
        </w:rPr>
      </w:r>
      <w:r>
        <w:rPr>
          <w:rFonts w:ascii="Arial" w:hAnsi="Arial" w:cs="Arial"/>
          <w:highlight w:val="none"/>
        </w:rPr>
      </w:r>
    </w:p>
    <w:p w14:paraId="535D3538">
      <w:pPr>
        <w:pBdr/>
        <w:spacing/>
        <w:ind/>
        <w:jc w:val="both"/>
        <w:rPr>
          <w:rFonts w:ascii="Arial" w:hAnsi="Arial" w:cs="Arial"/>
          <w:highlight w:val="none"/>
        </w:rPr>
      </w:pPr>
      <w:r>
        <w:rPr>
          <w:rFonts w:ascii="Arial" w:hAnsi="Arial" w:eastAsia="Arial" w:cs="Arial"/>
          <w:highlight w:val="none"/>
        </w:rPr>
        <w:t xml:space="preserve">c) </w:t>
      </w:r>
      <w:r>
        <w:rPr>
          <w:rFonts w:ascii="Arial" w:hAnsi="Arial" w:eastAsia="Arial" w:cs="Arial"/>
          <w:highlight w:val="none"/>
          <w:lang w:val="pt-BR"/>
        </w:rPr>
        <w:t xml:space="preserve">S</w:t>
      </w:r>
      <w:r>
        <w:rPr>
          <w:rFonts w:ascii="Arial" w:hAnsi="Arial" w:eastAsia="Arial" w:cs="Arial"/>
          <w:highlight w:val="none"/>
        </w:rPr>
        <w:t xml:space="preserve">olicitar, quando necessário, o auxílio dos órgãos de assessoramento jurídico e de controle interno da Administração, que deverão dirimir dúvidas e subsidiá-lo com informações relevantes para prevenir riscos na execução contratual.</w:t>
      </w:r>
      <w:r>
        <w:rPr>
          <w:rFonts w:ascii="Arial" w:hAnsi="Arial" w:cs="Arial"/>
          <w:highlight w:val="none"/>
        </w:rPr>
      </w:r>
      <w:r>
        <w:rPr>
          <w:rFonts w:ascii="Arial" w:hAnsi="Arial" w:cs="Arial"/>
          <w:highlight w:val="none"/>
        </w:rPr>
      </w:r>
    </w:p>
    <w:p w14:paraId="7223FB97">
      <w:pPr>
        <w:pBdr/>
        <w:spacing/>
        <w:ind/>
        <w:jc w:val="both"/>
        <w:rPr>
          <w:rFonts w:ascii="Arial" w:hAnsi="Arial" w:cs="Arial"/>
          <w:highlight w:val="none"/>
        </w:rPr>
      </w:pPr>
      <w:r>
        <w:rPr>
          <w:rFonts w:ascii="Arial" w:hAnsi="Arial" w:eastAsia="Arial" w:cs="Arial"/>
          <w:highlight w:val="none"/>
        </w:rPr>
        <w:t xml:space="preserve">d) </w:t>
      </w:r>
      <w:r>
        <w:rPr>
          <w:rFonts w:ascii="Arial" w:hAnsi="Arial" w:eastAsia="Arial" w:cs="Arial"/>
          <w:highlight w:val="none"/>
          <w:lang w:val="pt-BR"/>
        </w:rPr>
        <w:t xml:space="preserve">E</w:t>
      </w:r>
      <w:r>
        <w:rPr>
          <w:rFonts w:ascii="Arial" w:hAnsi="Arial" w:eastAsia="Arial" w:cs="Arial"/>
          <w:highlight w:val="none"/>
        </w:rPr>
        <w:t xml:space="preserve">sclarecer prontamente as dúvidas administrativas e técnicas e divergências surgidas na execução do objeto contratado;</w:t>
      </w:r>
      <w:r>
        <w:rPr>
          <w:rFonts w:ascii="Arial" w:hAnsi="Arial" w:cs="Arial"/>
          <w:highlight w:val="none"/>
        </w:rPr>
      </w:r>
      <w:r>
        <w:rPr>
          <w:rFonts w:ascii="Arial" w:hAnsi="Arial" w:cs="Arial"/>
          <w:highlight w:val="none"/>
        </w:rPr>
      </w:r>
    </w:p>
    <w:p w14:paraId="69817791">
      <w:pPr>
        <w:pBdr/>
        <w:spacing/>
        <w:ind/>
        <w:jc w:val="both"/>
        <w:rPr>
          <w:rFonts w:ascii="Arial" w:hAnsi="Arial" w:cs="Arial"/>
          <w:highlight w:val="none"/>
        </w:rPr>
      </w:pPr>
      <w:r>
        <w:rPr>
          <w:rFonts w:ascii="Arial" w:hAnsi="Arial" w:eastAsia="Arial" w:cs="Arial"/>
          <w:highlight w:val="none"/>
        </w:rPr>
        <w:t xml:space="preserve">e) </w:t>
      </w:r>
      <w:r>
        <w:rPr>
          <w:rFonts w:ascii="Arial" w:hAnsi="Arial" w:eastAsia="Arial" w:cs="Arial"/>
          <w:highlight w:val="none"/>
          <w:lang w:val="pt-BR"/>
        </w:rPr>
        <w:t xml:space="preserve">E</w:t>
      </w:r>
      <w:r>
        <w:rPr>
          <w:rFonts w:ascii="Arial" w:hAnsi="Arial" w:eastAsia="Arial" w:cs="Arial"/>
          <w:highlight w:val="none"/>
        </w:rPr>
        <w:t xml:space="preserve">xpedir, através de notificações e/ou relatório de vistoria, as ocorrências e fazer as determinações e comunicações necessárias à perfeita execução dos serviços; </w:t>
      </w:r>
      <w:r>
        <w:rPr>
          <w:rFonts w:ascii="Arial" w:hAnsi="Arial" w:cs="Arial"/>
          <w:highlight w:val="none"/>
        </w:rPr>
      </w:r>
      <w:r>
        <w:rPr>
          <w:rFonts w:ascii="Arial" w:hAnsi="Arial" w:cs="Arial"/>
          <w:highlight w:val="none"/>
        </w:rPr>
      </w:r>
    </w:p>
    <w:p w14:paraId="5FD38988">
      <w:pPr>
        <w:pBdr/>
        <w:spacing/>
        <w:ind/>
        <w:jc w:val="both"/>
        <w:rPr>
          <w:rFonts w:ascii="Arial" w:hAnsi="Arial" w:cs="Arial"/>
          <w:highlight w:val="none"/>
        </w:rPr>
      </w:pPr>
      <w:r>
        <w:rPr>
          <w:rFonts w:ascii="Arial" w:hAnsi="Arial" w:eastAsia="Arial" w:cs="Arial"/>
          <w:highlight w:val="none"/>
        </w:rPr>
        <w:t xml:space="preserve">f) </w:t>
      </w:r>
      <w:r>
        <w:rPr>
          <w:rFonts w:ascii="Arial" w:hAnsi="Arial" w:eastAsia="Arial" w:cs="Arial"/>
          <w:highlight w:val="none"/>
          <w:lang w:val="pt-BR"/>
        </w:rPr>
        <w:t xml:space="preserve">P</w:t>
      </w:r>
      <w:r>
        <w:rPr>
          <w:rFonts w:ascii="Arial" w:hAnsi="Arial" w:eastAsia="Arial" w:cs="Arial"/>
          <w:highlight w:val="none"/>
        </w:rPr>
        <w:t xml:space="preserve">roceder, conforme cronograma físico-financeiro, as medições dos serviços executados e aprovar a planilha de medição emitida pela contratada ou conforme disposto em contrato; </w:t>
      </w:r>
      <w:r>
        <w:rPr>
          <w:rFonts w:ascii="Arial" w:hAnsi="Arial" w:cs="Arial"/>
          <w:highlight w:val="none"/>
        </w:rPr>
      </w:r>
      <w:r>
        <w:rPr>
          <w:rFonts w:ascii="Arial" w:hAnsi="Arial" w:cs="Arial"/>
          <w:highlight w:val="none"/>
        </w:rPr>
      </w:r>
    </w:p>
    <w:p w14:paraId="324ABC08">
      <w:pPr>
        <w:pBdr/>
        <w:spacing/>
        <w:ind/>
        <w:jc w:val="both"/>
        <w:rPr>
          <w:rFonts w:ascii="Arial" w:hAnsi="Arial" w:cs="Arial"/>
          <w:highlight w:val="none"/>
        </w:rPr>
      </w:pPr>
      <w:r>
        <w:rPr>
          <w:rFonts w:ascii="Arial" w:hAnsi="Arial" w:eastAsia="Arial" w:cs="Arial"/>
          <w:highlight w:val="none"/>
        </w:rPr>
        <w:t xml:space="preserve">g) </w:t>
      </w:r>
      <w:r>
        <w:rPr>
          <w:rFonts w:ascii="Arial" w:hAnsi="Arial" w:eastAsia="Arial" w:cs="Arial"/>
          <w:highlight w:val="none"/>
          <w:lang w:val="pt-BR"/>
        </w:rPr>
        <w:t xml:space="preserve">A</w:t>
      </w:r>
      <w:r>
        <w:rPr>
          <w:rFonts w:ascii="Arial" w:hAnsi="Arial" w:eastAsia="Arial" w:cs="Arial"/>
          <w:highlight w:val="none"/>
        </w:rPr>
        <w:t xml:space="preserve">dotar as medidas preventivas de controle dos contratos, inclusive manifestar-se a respeito da suspensão da entrega de bens, a realização de serviços ou a execução de obras; </w:t>
      </w:r>
      <w:r>
        <w:rPr>
          <w:rFonts w:ascii="Arial" w:hAnsi="Arial" w:cs="Arial"/>
          <w:highlight w:val="none"/>
        </w:rPr>
      </w:r>
      <w:r>
        <w:rPr>
          <w:rFonts w:ascii="Arial" w:hAnsi="Arial" w:cs="Arial"/>
          <w:highlight w:val="none"/>
        </w:rPr>
      </w:r>
    </w:p>
    <w:p w14:paraId="2067559B">
      <w:pPr>
        <w:pBdr/>
        <w:spacing/>
        <w:ind/>
        <w:jc w:val="both"/>
        <w:rPr>
          <w:rFonts w:ascii="Arial" w:hAnsi="Arial" w:cs="Arial"/>
          <w:highlight w:val="none"/>
        </w:rPr>
      </w:pPr>
      <w:r>
        <w:rPr>
          <w:rFonts w:ascii="Arial" w:hAnsi="Arial" w:eastAsia="Arial" w:cs="Arial"/>
          <w:highlight w:val="none"/>
        </w:rPr>
        <w:t xml:space="preserve">h)  </w:t>
      </w:r>
      <w:r>
        <w:rPr>
          <w:rFonts w:ascii="Arial" w:hAnsi="Arial" w:eastAsia="Arial" w:cs="Arial"/>
          <w:highlight w:val="none"/>
          <w:lang w:val="pt-BR"/>
        </w:rPr>
        <w:t xml:space="preserve">C</w:t>
      </w:r>
      <w:r>
        <w:rPr>
          <w:rFonts w:ascii="Arial" w:hAnsi="Arial" w:eastAsia="Arial" w:cs="Arial"/>
          <w:highlight w:val="none"/>
        </w:rPr>
        <w:t xml:space="preserve">onferir e certificar as faturas relativas às aquisições, serviços ou obras; </w:t>
      </w:r>
      <w:r>
        <w:rPr>
          <w:rFonts w:ascii="Arial" w:hAnsi="Arial" w:cs="Arial"/>
          <w:highlight w:val="none"/>
        </w:rPr>
      </w:r>
      <w:r>
        <w:rPr>
          <w:rFonts w:ascii="Arial" w:hAnsi="Arial" w:cs="Arial"/>
          <w:highlight w:val="none"/>
        </w:rPr>
      </w:r>
    </w:p>
    <w:p w14:paraId="47E82EAB">
      <w:pPr>
        <w:pBdr/>
        <w:spacing/>
        <w:ind/>
        <w:jc w:val="both"/>
        <w:rPr>
          <w:rFonts w:ascii="Arial" w:hAnsi="Arial" w:cs="Arial"/>
          <w:highlight w:val="none"/>
        </w:rPr>
      </w:pPr>
      <w:r>
        <w:rPr>
          <w:rFonts w:ascii="Arial" w:hAnsi="Arial" w:eastAsia="Arial" w:cs="Arial"/>
          <w:highlight w:val="none"/>
        </w:rPr>
        <w:t xml:space="preserve">i) </w:t>
      </w:r>
      <w:r>
        <w:rPr>
          <w:rFonts w:ascii="Arial" w:hAnsi="Arial" w:eastAsia="Arial" w:cs="Arial"/>
          <w:highlight w:val="none"/>
          <w:lang w:val="pt-BR"/>
        </w:rPr>
        <w:t xml:space="preserve">P</w:t>
      </w:r>
      <w:r>
        <w:rPr>
          <w:rFonts w:ascii="Arial" w:hAnsi="Arial" w:eastAsia="Arial" w:cs="Arial"/>
          <w:highlight w:val="none"/>
        </w:rPr>
        <w:t xml:space="preserve">roceder as avaliações dos serviços executados pela contratada;</w:t>
      </w:r>
      <w:r>
        <w:rPr>
          <w:rFonts w:ascii="Arial" w:hAnsi="Arial" w:cs="Arial"/>
          <w:highlight w:val="none"/>
        </w:rPr>
      </w:r>
      <w:r>
        <w:rPr>
          <w:rFonts w:ascii="Arial" w:hAnsi="Arial" w:cs="Arial"/>
          <w:highlight w:val="none"/>
        </w:rPr>
      </w:r>
    </w:p>
    <w:p w14:paraId="45C1A444">
      <w:pPr>
        <w:pBdr/>
        <w:spacing/>
        <w:ind/>
        <w:jc w:val="both"/>
        <w:rPr>
          <w:rFonts w:ascii="Arial" w:hAnsi="Arial" w:cs="Arial"/>
          <w:highlight w:val="none"/>
        </w:rPr>
      </w:pPr>
      <w:r>
        <w:rPr>
          <w:rFonts w:ascii="Arial" w:hAnsi="Arial" w:eastAsia="Arial" w:cs="Arial"/>
          <w:highlight w:val="none"/>
        </w:rPr>
        <w:t xml:space="preserve">j) </w:t>
      </w:r>
      <w:r>
        <w:rPr>
          <w:rFonts w:ascii="Arial" w:hAnsi="Arial" w:eastAsia="Arial" w:cs="Arial"/>
          <w:highlight w:val="none"/>
          <w:lang w:val="pt-BR"/>
        </w:rPr>
        <w:t xml:space="preserve">D</w:t>
      </w:r>
      <w:r>
        <w:rPr>
          <w:rFonts w:ascii="Arial" w:hAnsi="Arial" w:eastAsia="Arial" w:cs="Arial"/>
          <w:highlight w:val="none"/>
        </w:rPr>
        <w:t xml:space="preserve">eterminar por todos os meios adequados a observância das normas técnicas e legais, especificações e métodos de execução dos serviços exigíveis para a perfeita execução do objeto; </w:t>
      </w:r>
      <w:r>
        <w:rPr>
          <w:rFonts w:ascii="Arial" w:hAnsi="Arial" w:cs="Arial"/>
          <w:highlight w:val="none"/>
        </w:rPr>
      </w:r>
      <w:r>
        <w:rPr>
          <w:rFonts w:ascii="Arial" w:hAnsi="Arial" w:cs="Arial"/>
          <w:highlight w:val="none"/>
        </w:rPr>
      </w:r>
    </w:p>
    <w:p w14:paraId="2157E746">
      <w:pPr>
        <w:pBdr/>
        <w:spacing/>
        <w:ind/>
        <w:jc w:val="both"/>
        <w:rPr>
          <w:rFonts w:ascii="Arial" w:hAnsi="Arial" w:cs="Arial"/>
          <w:highlight w:val="none"/>
        </w:rPr>
      </w:pPr>
      <w:r>
        <w:rPr>
          <w:rFonts w:ascii="Arial" w:hAnsi="Arial" w:eastAsia="Arial" w:cs="Arial"/>
          <w:highlight w:val="none"/>
        </w:rPr>
        <w:t xml:space="preserve">k) </w:t>
      </w:r>
      <w:r>
        <w:rPr>
          <w:rFonts w:ascii="Arial" w:hAnsi="Arial" w:eastAsia="Arial" w:cs="Arial"/>
          <w:highlight w:val="none"/>
          <w:lang w:val="pt-BR"/>
        </w:rPr>
        <w:t xml:space="preserve">E</w:t>
      </w:r>
      <w:r>
        <w:rPr>
          <w:rFonts w:ascii="Arial" w:hAnsi="Arial" w:eastAsia="Arial" w:cs="Arial"/>
          <w:highlight w:val="none"/>
        </w:rPr>
        <w:t xml:space="preserve">xigir o uso correto dos equipamentos de proteção individual e coletiva de segurança do trabalho; </w:t>
      </w:r>
      <w:r>
        <w:rPr>
          <w:rFonts w:ascii="Arial" w:hAnsi="Arial" w:cs="Arial"/>
          <w:highlight w:val="none"/>
        </w:rPr>
      </w:r>
      <w:r>
        <w:rPr>
          <w:rFonts w:ascii="Arial" w:hAnsi="Arial" w:cs="Arial"/>
          <w:highlight w:val="none"/>
        </w:rPr>
      </w:r>
    </w:p>
    <w:p w14:paraId="06815DC4">
      <w:pPr>
        <w:pBdr/>
        <w:spacing/>
        <w:ind/>
        <w:jc w:val="both"/>
        <w:rPr>
          <w:rFonts w:ascii="Arial" w:hAnsi="Arial" w:cs="Arial"/>
          <w:highlight w:val="none"/>
        </w:rPr>
      </w:pPr>
      <w:r>
        <w:rPr>
          <w:rFonts w:ascii="Arial" w:hAnsi="Arial" w:eastAsia="Arial" w:cs="Arial"/>
          <w:highlight w:val="none"/>
        </w:rPr>
        <w:t xml:space="preserve">l) </w:t>
      </w:r>
      <w:r>
        <w:rPr>
          <w:rFonts w:ascii="Arial" w:hAnsi="Arial" w:eastAsia="Arial" w:cs="Arial"/>
          <w:highlight w:val="none"/>
          <w:lang w:val="pt-BR"/>
        </w:rPr>
        <w:t xml:space="preserve">D</w:t>
      </w:r>
      <w:r>
        <w:rPr>
          <w:rFonts w:ascii="Arial" w:hAnsi="Arial" w:eastAsia="Arial" w:cs="Arial"/>
          <w:highlight w:val="none"/>
        </w:rPr>
        <w:t xml:space="preserve">eterminar a retirada de qualquer empregado subordinado direta ou indiretamente à contratada, inclusive empregados de eventuais subcontratadas, ou as próprias subcontratadas, que, a seu critério, comprometam o bom andamento dos serviços;</w:t>
      </w:r>
      <w:r>
        <w:rPr>
          <w:rFonts w:ascii="Arial" w:hAnsi="Arial" w:cs="Arial"/>
          <w:highlight w:val="none"/>
        </w:rPr>
      </w:r>
      <w:r>
        <w:rPr>
          <w:rFonts w:ascii="Arial" w:hAnsi="Arial" w:cs="Arial"/>
          <w:highlight w:val="none"/>
        </w:rPr>
      </w:r>
    </w:p>
    <w:p w14:paraId="4BE7D0D8">
      <w:pPr>
        <w:pBdr/>
        <w:spacing/>
        <w:ind/>
        <w:jc w:val="both"/>
        <w:rPr>
          <w:rFonts w:ascii="Arial" w:hAnsi="Arial" w:cs="Arial"/>
          <w:highlight w:val="none"/>
        </w:rPr>
      </w:pPr>
      <w:r>
        <w:rPr>
          <w:rFonts w:ascii="Arial" w:hAnsi="Arial" w:eastAsia="Arial" w:cs="Arial"/>
          <w:highlight w:val="none"/>
        </w:rPr>
        <w:t xml:space="preserve">m) </w:t>
      </w:r>
      <w:r>
        <w:rPr>
          <w:rFonts w:ascii="Arial" w:hAnsi="Arial" w:eastAsia="Arial" w:cs="Arial"/>
          <w:highlight w:val="none"/>
          <w:lang w:val="pt-BR"/>
        </w:rPr>
        <w:t xml:space="preserve">R</w:t>
      </w:r>
      <w:r>
        <w:rPr>
          <w:rFonts w:ascii="Arial" w:hAnsi="Arial" w:eastAsia="Arial" w:cs="Arial"/>
          <w:highlight w:val="none"/>
        </w:rPr>
        <w:t xml:space="preserve">eceber designação e manter contato com o preposto da contratada, e se for necessário, promover reuniões periódicas </w:t>
      </w:r>
      <w:r>
        <w:rPr>
          <w:rFonts w:ascii="Arial" w:hAnsi="Arial" w:eastAsia="Arial" w:cs="Arial"/>
          <w:highlight w:val="none"/>
        </w:rPr>
        <w:t xml:space="preserve">ou especiais para a resolução de problemas na entrega dos bens ou na execução dos serviços ou das obras;</w:t>
      </w:r>
      <w:r>
        <w:rPr>
          <w:rFonts w:ascii="Arial" w:hAnsi="Arial" w:cs="Arial"/>
          <w:highlight w:val="none"/>
        </w:rPr>
      </w:r>
      <w:r>
        <w:rPr>
          <w:rFonts w:ascii="Arial" w:hAnsi="Arial" w:cs="Arial"/>
          <w:highlight w:val="none"/>
        </w:rPr>
      </w:r>
    </w:p>
    <w:p w14:paraId="38B1A3EB">
      <w:pPr>
        <w:pBdr/>
        <w:spacing/>
        <w:ind/>
        <w:jc w:val="both"/>
        <w:rPr>
          <w:rFonts w:ascii="Arial" w:hAnsi="Arial" w:cs="Arial"/>
          <w:highlight w:val="none"/>
        </w:rPr>
      </w:pPr>
      <w:r>
        <w:rPr>
          <w:rFonts w:ascii="Arial" w:hAnsi="Arial" w:eastAsia="Arial" w:cs="Arial"/>
          <w:highlight w:val="none"/>
        </w:rPr>
        <w:t xml:space="preserve">n) </w:t>
      </w:r>
      <w:r>
        <w:rPr>
          <w:rFonts w:ascii="Arial" w:hAnsi="Arial" w:eastAsia="Arial" w:cs="Arial"/>
          <w:highlight w:val="none"/>
          <w:lang w:val="pt-BR"/>
        </w:rPr>
        <w:t xml:space="preserve">D</w:t>
      </w:r>
      <w:r>
        <w:rPr>
          <w:rFonts w:ascii="Arial" w:hAnsi="Arial" w:eastAsia="Arial" w:cs="Arial"/>
          <w:highlight w:val="none"/>
        </w:rPr>
        <w:t xml:space="preserve">ar parecer técnico nos pedidos de alterações contratuais; </w:t>
      </w:r>
      <w:r>
        <w:rPr>
          <w:rFonts w:ascii="Arial" w:hAnsi="Arial" w:cs="Arial"/>
          <w:highlight w:val="none"/>
        </w:rPr>
      </w:r>
      <w:r>
        <w:rPr>
          <w:rFonts w:ascii="Arial" w:hAnsi="Arial" w:cs="Arial"/>
          <w:highlight w:val="none"/>
        </w:rPr>
      </w:r>
    </w:p>
    <w:p w14:paraId="3D31629C">
      <w:pPr>
        <w:pBdr/>
        <w:spacing/>
        <w:ind/>
        <w:jc w:val="both"/>
        <w:rPr>
          <w:rFonts w:ascii="Arial" w:hAnsi="Arial" w:cs="Arial"/>
          <w:highlight w:val="none"/>
        </w:rPr>
      </w:pPr>
      <w:r>
        <w:rPr>
          <w:rFonts w:ascii="Arial" w:hAnsi="Arial" w:eastAsia="Arial" w:cs="Arial"/>
          <w:highlight w:val="none"/>
        </w:rPr>
        <w:t xml:space="preserve">o)  </w:t>
      </w:r>
      <w:r>
        <w:rPr>
          <w:rFonts w:ascii="Arial" w:hAnsi="Arial" w:eastAsia="Arial" w:cs="Arial"/>
          <w:highlight w:val="none"/>
          <w:lang w:val="pt-BR"/>
        </w:rPr>
        <w:t xml:space="preserve">V</w:t>
      </w:r>
      <w:r>
        <w:rPr>
          <w:rFonts w:ascii="Arial" w:hAnsi="Arial" w:eastAsia="Arial" w:cs="Arial"/>
          <w:highlight w:val="none"/>
        </w:rPr>
        <w:t xml:space="preserve">erificar a correta aplicação dos materiais; </w:t>
      </w:r>
      <w:r>
        <w:rPr>
          <w:rFonts w:ascii="Arial" w:hAnsi="Arial" w:cs="Arial"/>
          <w:highlight w:val="none"/>
        </w:rPr>
      </w:r>
      <w:r>
        <w:rPr>
          <w:rFonts w:ascii="Arial" w:hAnsi="Arial" w:cs="Arial"/>
          <w:highlight w:val="none"/>
        </w:rPr>
      </w:r>
    </w:p>
    <w:p w14:paraId="53E0A1AC">
      <w:pPr>
        <w:pBdr/>
        <w:spacing/>
        <w:ind/>
        <w:jc w:val="both"/>
        <w:rPr>
          <w:rFonts w:ascii="Arial" w:hAnsi="Arial" w:cs="Arial"/>
          <w:highlight w:val="none"/>
        </w:rPr>
      </w:pPr>
      <w:r>
        <w:rPr>
          <w:rFonts w:ascii="Arial" w:hAnsi="Arial" w:eastAsia="Arial" w:cs="Arial"/>
          <w:highlight w:val="none"/>
        </w:rPr>
        <w:t xml:space="preserve">p) </w:t>
      </w:r>
      <w:r>
        <w:rPr>
          <w:rFonts w:ascii="Arial" w:hAnsi="Arial" w:eastAsia="Arial" w:cs="Arial"/>
          <w:highlight w:val="none"/>
          <w:lang w:val="pt-BR"/>
        </w:rPr>
        <w:t xml:space="preserve">R</w:t>
      </w:r>
      <w:r>
        <w:rPr>
          <w:rFonts w:ascii="Arial" w:hAnsi="Arial" w:eastAsia="Arial" w:cs="Arial"/>
          <w:highlight w:val="none"/>
        </w:rPr>
        <w:t xml:space="preserve">equerer das empresas testes, exames e ensaios quando necessários, no sentido de promoção de controle de qualidade da execução das obras e serviços ou dos bens a serem adquiridos; </w:t>
      </w:r>
      <w:r>
        <w:rPr>
          <w:rFonts w:ascii="Arial" w:hAnsi="Arial" w:cs="Arial"/>
          <w:highlight w:val="none"/>
        </w:rPr>
      </w:r>
      <w:r>
        <w:rPr>
          <w:rFonts w:ascii="Arial" w:hAnsi="Arial" w:cs="Arial"/>
          <w:highlight w:val="none"/>
        </w:rPr>
      </w:r>
    </w:p>
    <w:p w14:paraId="4CCBF944">
      <w:pPr>
        <w:pBdr/>
        <w:spacing/>
        <w:ind/>
        <w:jc w:val="both"/>
        <w:rPr>
          <w:rFonts w:ascii="Arial" w:hAnsi="Arial" w:cs="Arial"/>
          <w:highlight w:val="none"/>
        </w:rPr>
      </w:pPr>
      <w:r>
        <w:rPr>
          <w:rFonts w:ascii="Arial" w:hAnsi="Arial" w:eastAsia="Arial" w:cs="Arial"/>
          <w:highlight w:val="none"/>
        </w:rPr>
        <w:t xml:space="preserve">q)  </w:t>
      </w:r>
      <w:r>
        <w:rPr>
          <w:rFonts w:ascii="Arial" w:hAnsi="Arial" w:eastAsia="Arial" w:cs="Arial"/>
          <w:highlight w:val="none"/>
          <w:lang w:val="pt-BR"/>
        </w:rPr>
        <w:t xml:space="preserve">R</w:t>
      </w:r>
      <w:r>
        <w:rPr>
          <w:rFonts w:ascii="Arial" w:hAnsi="Arial" w:eastAsia="Arial" w:cs="Arial"/>
          <w:highlight w:val="none"/>
        </w:rPr>
        <w:t xml:space="preserve">ealizar, na forma do art. 140 da Lei Federal n.º 14.133, de 2021, o recebimento do objeto contratado, quando for o caso; </w:t>
      </w:r>
      <w:r>
        <w:rPr>
          <w:rFonts w:ascii="Arial" w:hAnsi="Arial" w:cs="Arial"/>
          <w:highlight w:val="none"/>
        </w:rPr>
      </w:r>
      <w:r>
        <w:rPr>
          <w:rFonts w:ascii="Arial" w:hAnsi="Arial" w:cs="Arial"/>
          <w:highlight w:val="none"/>
        </w:rPr>
      </w:r>
    </w:p>
    <w:p w14:paraId="6BA4D4E9">
      <w:pPr>
        <w:pBdr/>
        <w:spacing/>
        <w:ind/>
        <w:jc w:val="both"/>
        <w:rPr>
          <w:rFonts w:ascii="Arial" w:hAnsi="Arial" w:cs="Arial"/>
          <w:highlight w:val="none"/>
        </w:rPr>
      </w:pPr>
      <w:r>
        <w:rPr>
          <w:rFonts w:ascii="Arial" w:hAnsi="Arial" w:eastAsia="Arial" w:cs="Arial"/>
          <w:highlight w:val="none"/>
        </w:rPr>
        <w:t xml:space="preserve">r)  </w:t>
      </w:r>
      <w:r>
        <w:rPr>
          <w:rFonts w:ascii="Arial" w:hAnsi="Arial" w:eastAsia="Arial" w:cs="Arial"/>
          <w:highlight w:val="none"/>
          <w:lang w:val="pt-BR"/>
        </w:rPr>
        <w:t xml:space="preserve">P</w:t>
      </w:r>
      <w:r>
        <w:rPr>
          <w:rFonts w:ascii="Arial" w:hAnsi="Arial" w:eastAsia="Arial" w:cs="Arial"/>
          <w:highlight w:val="none"/>
        </w:rPr>
        <w:t xml:space="preserve">ropor à autoridade competente a abertura de procedimento administrativo para apuração de responsabilidade;</w:t>
      </w:r>
      <w:r>
        <w:rPr>
          <w:rFonts w:ascii="Arial" w:hAnsi="Arial" w:cs="Arial"/>
          <w:highlight w:val="none"/>
        </w:rPr>
      </w:r>
      <w:r>
        <w:rPr>
          <w:rFonts w:ascii="Arial" w:hAnsi="Arial" w:cs="Arial"/>
          <w:highlight w:val="none"/>
        </w:rPr>
      </w:r>
    </w:p>
    <w:p w14:paraId="25D26205">
      <w:pPr>
        <w:pBdr/>
        <w:spacing/>
        <w:ind/>
        <w:jc w:val="both"/>
        <w:rPr>
          <w:rFonts w:ascii="Arial" w:hAnsi="Arial" w:cs="Arial"/>
          <w:highlight w:val="none"/>
        </w:rPr>
      </w:pPr>
      <w:r>
        <w:rPr>
          <w:rFonts w:ascii="Arial" w:hAnsi="Arial" w:eastAsia="Arial" w:cs="Arial"/>
          <w:highlight w:val="none"/>
        </w:rPr>
        <w:t xml:space="preserve">s)  </w:t>
      </w:r>
      <w:r>
        <w:rPr>
          <w:rFonts w:ascii="Arial" w:hAnsi="Arial" w:eastAsia="Arial" w:cs="Arial"/>
          <w:highlight w:val="none"/>
          <w:lang w:val="pt-BR"/>
        </w:rPr>
        <w:t xml:space="preserve">O</w:t>
      </w:r>
      <w:r>
        <w:rPr>
          <w:rFonts w:ascii="Arial" w:hAnsi="Arial" w:eastAsia="Arial" w:cs="Arial"/>
          <w:highlight w:val="none"/>
        </w:rPr>
        <w:t xml:space="preserve">utras atividades compatíveis com a função. </w:t>
      </w:r>
      <w:r>
        <w:rPr>
          <w:rFonts w:ascii="Arial" w:hAnsi="Arial" w:cs="Arial"/>
          <w:highlight w:val="none"/>
        </w:rPr>
      </w:r>
      <w:r>
        <w:rPr>
          <w:rFonts w:ascii="Arial" w:hAnsi="Arial" w:cs="Arial"/>
          <w:highlight w:val="none"/>
        </w:rPr>
      </w:r>
    </w:p>
    <w:p w14:paraId="0F0E3582">
      <w:pPr>
        <w:pBdr/>
        <w:spacing/>
        <w:ind/>
        <w:jc w:val="both"/>
        <w:rPr>
          <w:rFonts w:ascii="Arial" w:hAnsi="Arial" w:cs="Arial"/>
          <w:b/>
          <w:bCs/>
          <w:highlight w:val="none"/>
        </w:rPr>
      </w:pPr>
      <w:r>
        <w:rPr>
          <w:rFonts w:ascii="Arial" w:hAnsi="Arial" w:eastAsia="Arial" w:cs="Arial"/>
          <w:b/>
          <w:bCs/>
          <w:highlight w:val="none"/>
        </w:rPr>
        <w:t xml:space="preserve">6.7. Além do disposto acima, a fiscalização contratual obedecerá às seguintes rotinas:</w:t>
      </w:r>
      <w:r>
        <w:rPr>
          <w:rFonts w:ascii="Arial" w:hAnsi="Arial" w:cs="Arial"/>
          <w:b/>
          <w:bCs/>
          <w:highlight w:val="none"/>
        </w:rPr>
      </w:r>
      <w:r>
        <w:rPr>
          <w:rFonts w:ascii="Arial" w:hAnsi="Arial" w:cs="Arial"/>
          <w:b/>
          <w:bCs/>
          <w:highlight w:val="none"/>
        </w:rPr>
      </w:r>
    </w:p>
    <w:p w14:paraId="762146B9">
      <w:pPr>
        <w:pBdr/>
        <w:spacing/>
        <w:ind/>
        <w:jc w:val="both"/>
        <w:rPr>
          <w:rFonts w:ascii="Arial" w:hAnsi="Arial" w:cs="Arial"/>
          <w:highlight w:val="none"/>
        </w:rPr>
      </w:pPr>
      <w:r>
        <w:rPr>
          <w:rFonts w:ascii="Arial" w:hAnsi="Arial" w:eastAsia="Arial" w:cs="Arial"/>
          <w:b/>
          <w:bCs/>
          <w:highlight w:val="none"/>
        </w:rPr>
        <w:t xml:space="preserve">6.</w:t>
      </w:r>
      <w:r>
        <w:rPr>
          <w:rFonts w:ascii="Arial" w:hAnsi="Arial" w:eastAsia="Arial" w:cs="Arial"/>
          <w:b/>
          <w:bCs/>
          <w:highlight w:val="none"/>
          <w:lang w:val="pt-BR"/>
        </w:rPr>
        <w:t xml:space="preserve">7.1</w:t>
      </w:r>
      <w:r>
        <w:rPr>
          <w:rFonts w:ascii="Arial" w:hAnsi="Arial" w:eastAsia="Arial" w:cs="Arial"/>
          <w:b/>
          <w:bCs/>
          <w:highlight w:val="none"/>
        </w:rPr>
        <w:t xml:space="preserve">.</w:t>
      </w:r>
      <w:r>
        <w:rPr>
          <w:rFonts w:ascii="Arial" w:hAnsi="Arial" w:eastAsia="Arial" w:cs="Arial"/>
          <w:highlight w:val="none"/>
        </w:rPr>
        <w:t xml:space="preserve"> A execução do contrato deverá ainda contar com a atuação do Gestor de Contrato, conforme previsão no art. 8º, §3º da Lei 14.133/2021 e dos artigos 10 e 198 do Decreto Municipal n. 11.685/2023, com as seguintes atribuições:</w:t>
      </w:r>
      <w:r>
        <w:rPr>
          <w:rFonts w:ascii="Arial" w:hAnsi="Arial" w:cs="Arial"/>
          <w:highlight w:val="none"/>
        </w:rPr>
      </w:r>
      <w:r>
        <w:rPr>
          <w:rFonts w:ascii="Arial" w:hAnsi="Arial" w:cs="Arial"/>
          <w:highlight w:val="none"/>
        </w:rPr>
      </w:r>
    </w:p>
    <w:p w14:paraId="69266B20">
      <w:pPr>
        <w:pBdr/>
        <w:spacing/>
        <w:ind/>
        <w:jc w:val="both"/>
        <w:rPr>
          <w:rFonts w:ascii="Arial" w:hAnsi="Arial" w:cs="Arial"/>
          <w:highlight w:val="none"/>
        </w:rPr>
      </w:pPr>
      <w:r>
        <w:rPr>
          <w:rFonts w:ascii="Arial" w:hAnsi="Arial" w:eastAsia="Arial" w:cs="Arial"/>
          <w:highlight w:val="none"/>
        </w:rPr>
        <w:t xml:space="preserve">a) </w:t>
      </w:r>
      <w:r>
        <w:rPr>
          <w:rFonts w:ascii="Arial" w:hAnsi="Arial" w:eastAsia="Arial" w:cs="Arial"/>
          <w:highlight w:val="none"/>
          <w:lang w:val="pt-BR"/>
        </w:rPr>
        <w:t xml:space="preserve">D</w:t>
      </w:r>
      <w:r>
        <w:rPr>
          <w:rFonts w:ascii="Arial" w:hAnsi="Arial" w:eastAsia="Arial" w:cs="Arial"/>
          <w:highlight w:val="none"/>
        </w:rPr>
        <w:t xml:space="preserve">etermi</w:t>
      </w:r>
      <w:r>
        <w:rPr>
          <w:rFonts w:ascii="Arial" w:hAnsi="Arial" w:eastAsia="Arial" w:cs="Arial"/>
          <w:highlight w:val="none"/>
        </w:rPr>
        <w:t xml:space="preserve">nar a elaboração de termo de referência, estudo técnico preliminar, solicitação de aditivos ou apostilamentos, validar os documentos elaborados e garantir que as contratações estejam previstas no plano de contratações anual e no planejamento orçamentário; </w:t>
      </w:r>
      <w:r>
        <w:rPr>
          <w:rFonts w:ascii="Arial" w:hAnsi="Arial" w:cs="Arial"/>
          <w:highlight w:val="none"/>
        </w:rPr>
      </w:r>
      <w:r>
        <w:rPr>
          <w:rFonts w:ascii="Arial" w:hAnsi="Arial" w:cs="Arial"/>
          <w:highlight w:val="none"/>
        </w:rPr>
      </w:r>
    </w:p>
    <w:p w14:paraId="5E458782">
      <w:pPr>
        <w:pBdr/>
        <w:spacing/>
        <w:ind/>
        <w:jc w:val="both"/>
        <w:rPr>
          <w:rFonts w:ascii="Arial" w:hAnsi="Arial" w:cs="Arial"/>
          <w:highlight w:val="none"/>
        </w:rPr>
      </w:pPr>
      <w:r>
        <w:rPr>
          <w:rFonts w:ascii="Arial" w:hAnsi="Arial" w:eastAsia="Arial" w:cs="Arial"/>
          <w:highlight w:val="none"/>
        </w:rPr>
        <w:t xml:space="preserve">b) </w:t>
      </w:r>
      <w:r>
        <w:rPr>
          <w:rFonts w:ascii="Arial" w:hAnsi="Arial" w:eastAsia="Arial" w:cs="Arial"/>
          <w:highlight w:val="none"/>
          <w:lang w:val="pt-BR"/>
        </w:rPr>
        <w:t xml:space="preserve">E</w:t>
      </w:r>
      <w:r>
        <w:rPr>
          <w:rFonts w:ascii="Arial" w:hAnsi="Arial" w:eastAsia="Arial" w:cs="Arial"/>
          <w:highlight w:val="none"/>
        </w:rPr>
        <w:t xml:space="preserve">mitir, com a ciência dos fiscais de contrato, ordens de fornecimento ou ordens de execução de serviço, ordens de paralisação e reinício, bem como decidir sobre pedidos de prorrogação da execução contratual; </w:t>
      </w:r>
      <w:r>
        <w:rPr>
          <w:rFonts w:ascii="Arial" w:hAnsi="Arial" w:cs="Arial"/>
          <w:highlight w:val="none"/>
        </w:rPr>
      </w:r>
      <w:r>
        <w:rPr>
          <w:rFonts w:ascii="Arial" w:hAnsi="Arial" w:cs="Arial"/>
          <w:highlight w:val="none"/>
        </w:rPr>
      </w:r>
    </w:p>
    <w:p w14:paraId="4F58C7F0">
      <w:pPr>
        <w:pBdr/>
        <w:spacing/>
        <w:ind/>
        <w:jc w:val="both"/>
        <w:rPr>
          <w:rFonts w:ascii="Arial" w:hAnsi="Arial" w:cs="Arial"/>
          <w:highlight w:val="none"/>
        </w:rPr>
      </w:pPr>
      <w:r>
        <w:rPr>
          <w:rFonts w:ascii="Arial" w:hAnsi="Arial" w:eastAsia="Arial" w:cs="Arial"/>
          <w:highlight w:val="none"/>
        </w:rPr>
        <w:t xml:space="preserve">c) </w:t>
      </w:r>
      <w:r>
        <w:rPr>
          <w:rFonts w:ascii="Arial" w:hAnsi="Arial" w:eastAsia="Arial" w:cs="Arial"/>
          <w:highlight w:val="none"/>
          <w:lang w:val="pt-BR"/>
        </w:rPr>
        <w:t xml:space="preserve">I</w:t>
      </w:r>
      <w:r>
        <w:rPr>
          <w:rFonts w:ascii="Arial" w:hAnsi="Arial" w:eastAsia="Arial" w:cs="Arial"/>
          <w:highlight w:val="none"/>
        </w:rPr>
        <w:t xml:space="preserve">ndicar os fiscais de contrato e seus substitutos;</w:t>
      </w:r>
      <w:r>
        <w:rPr>
          <w:rFonts w:ascii="Arial" w:hAnsi="Arial" w:cs="Arial"/>
          <w:highlight w:val="none"/>
        </w:rPr>
      </w:r>
      <w:r>
        <w:rPr>
          <w:rFonts w:ascii="Arial" w:hAnsi="Arial" w:cs="Arial"/>
          <w:highlight w:val="none"/>
        </w:rPr>
      </w:r>
    </w:p>
    <w:p w14:paraId="42E87EA7">
      <w:pPr>
        <w:pBdr/>
        <w:spacing/>
        <w:ind/>
        <w:jc w:val="both"/>
        <w:rPr>
          <w:rFonts w:ascii="Arial" w:hAnsi="Arial" w:cs="Arial"/>
          <w:highlight w:val="none"/>
        </w:rPr>
      </w:pPr>
      <w:r>
        <w:rPr>
          <w:rFonts w:ascii="Arial" w:hAnsi="Arial" w:eastAsia="Arial" w:cs="Arial"/>
          <w:highlight w:val="none"/>
        </w:rPr>
        <w:t xml:space="preserve">d) </w:t>
      </w:r>
      <w:r>
        <w:rPr>
          <w:rFonts w:ascii="Arial" w:hAnsi="Arial" w:eastAsia="Arial" w:cs="Arial"/>
          <w:highlight w:val="none"/>
          <w:lang w:val="pt-BR"/>
        </w:rPr>
        <w:t xml:space="preserve">D</w:t>
      </w:r>
      <w:r>
        <w:rPr>
          <w:rFonts w:ascii="Arial" w:hAnsi="Arial" w:eastAsia="Arial" w:cs="Arial"/>
          <w:highlight w:val="none"/>
        </w:rPr>
        <w:t xml:space="preserve">irimir dúvidas dos fiscais de contrato sobre a correta execução contratual e sua fiscalização;</w:t>
      </w:r>
      <w:r>
        <w:rPr>
          <w:rFonts w:ascii="Arial" w:hAnsi="Arial" w:cs="Arial"/>
          <w:highlight w:val="none"/>
        </w:rPr>
      </w:r>
      <w:r>
        <w:rPr>
          <w:rFonts w:ascii="Arial" w:hAnsi="Arial" w:cs="Arial"/>
          <w:highlight w:val="none"/>
        </w:rPr>
      </w:r>
    </w:p>
    <w:p w14:paraId="19395129">
      <w:pPr>
        <w:pBdr/>
        <w:spacing/>
        <w:ind/>
        <w:jc w:val="both"/>
        <w:rPr>
          <w:rFonts w:ascii="Arial" w:hAnsi="Arial" w:cs="Arial"/>
          <w:highlight w:val="none"/>
        </w:rPr>
      </w:pPr>
      <w:r>
        <w:rPr>
          <w:rFonts w:ascii="Arial" w:hAnsi="Arial" w:eastAsia="Arial" w:cs="Arial"/>
          <w:highlight w:val="none"/>
        </w:rPr>
        <w:t xml:space="preserve">e) </w:t>
      </w:r>
      <w:r>
        <w:rPr>
          <w:rFonts w:ascii="Arial" w:hAnsi="Arial" w:eastAsia="Arial" w:cs="Arial"/>
          <w:highlight w:val="none"/>
          <w:lang w:val="pt-BR"/>
        </w:rPr>
        <w:t xml:space="preserve">Q</w:t>
      </w:r>
      <w:r>
        <w:rPr>
          <w:rFonts w:ascii="Arial" w:hAnsi="Arial" w:eastAsia="Arial" w:cs="Arial"/>
          <w:highlight w:val="none"/>
        </w:rPr>
        <w:t xml:space="preserve">uando necessário, convocar e coordenar reuniões, registradas </w:t>
      </w:r>
      <w:r>
        <w:rPr>
          <w:rFonts w:ascii="Arial" w:hAnsi="Arial" w:eastAsia="Arial" w:cs="Arial"/>
          <w:highlight w:val="none"/>
        </w:rPr>
        <w:t xml:space="preserve">em ata, com a participação da contratada e dos fiscais, a fim de serem alinhados os procedimentos de acompanhamento da execução contratual, da forma de apresentação dos documentos exigíveis para realização de pagamentos e conclusão da execução contratual; </w:t>
      </w:r>
      <w:r>
        <w:rPr>
          <w:rFonts w:ascii="Arial" w:hAnsi="Arial" w:cs="Arial"/>
          <w:highlight w:val="none"/>
        </w:rPr>
      </w:r>
      <w:r>
        <w:rPr>
          <w:rFonts w:ascii="Arial" w:hAnsi="Arial" w:cs="Arial"/>
          <w:highlight w:val="none"/>
        </w:rPr>
      </w:r>
    </w:p>
    <w:p w14:paraId="1493609E">
      <w:pPr>
        <w:pBdr/>
        <w:spacing/>
        <w:ind/>
        <w:jc w:val="both"/>
        <w:rPr>
          <w:rFonts w:ascii="Arial" w:hAnsi="Arial" w:cs="Arial"/>
          <w:highlight w:val="none"/>
        </w:rPr>
      </w:pPr>
      <w:r>
        <w:rPr>
          <w:rFonts w:ascii="Arial" w:hAnsi="Arial" w:eastAsia="Arial" w:cs="Arial"/>
          <w:highlight w:val="none"/>
        </w:rPr>
        <w:t xml:space="preserve">f) </w:t>
      </w:r>
      <w:r>
        <w:rPr>
          <w:rFonts w:ascii="Arial" w:hAnsi="Arial" w:eastAsia="Arial" w:cs="Arial"/>
          <w:highlight w:val="none"/>
          <w:lang w:val="pt-BR"/>
        </w:rPr>
        <w:t xml:space="preserve">A</w:t>
      </w:r>
      <w:r>
        <w:rPr>
          <w:rFonts w:ascii="Arial" w:hAnsi="Arial" w:eastAsia="Arial" w:cs="Arial"/>
          <w:highlight w:val="none"/>
        </w:rPr>
        <w:t xml:space="preserve">companhar a execução do cronograma físico-financeiro e analisar os relatórios de fiscalização de </w:t>
      </w:r>
      <w:r>
        <w:rPr>
          <w:rFonts w:ascii="Arial" w:hAnsi="Arial" w:eastAsia="Arial" w:cs="Arial"/>
          <w:highlight w:val="none"/>
        </w:rPr>
        <w:t xml:space="preserve">contratos, especialmente os relacionados ao cumprimento do cronograma de entrega e recebimento de bens e serviços, bem como os relacionados à execução do cronograma físico-financeiro das obras e reformas, a fim de garantir a perfeita execução do contrato; </w:t>
      </w:r>
      <w:r>
        <w:rPr>
          <w:rFonts w:ascii="Arial" w:hAnsi="Arial" w:cs="Arial"/>
          <w:highlight w:val="none"/>
        </w:rPr>
      </w:r>
      <w:r>
        <w:rPr>
          <w:rFonts w:ascii="Arial" w:hAnsi="Arial" w:cs="Arial"/>
          <w:highlight w:val="none"/>
        </w:rPr>
      </w:r>
    </w:p>
    <w:p w14:paraId="66F646D6">
      <w:pPr>
        <w:pBdr/>
        <w:spacing/>
        <w:ind/>
        <w:jc w:val="both"/>
        <w:rPr>
          <w:rFonts w:ascii="Arial" w:hAnsi="Arial" w:cs="Arial"/>
          <w:highlight w:val="none"/>
        </w:rPr>
      </w:pPr>
      <w:r>
        <w:rPr>
          <w:rFonts w:ascii="Arial" w:hAnsi="Arial" w:eastAsia="Arial" w:cs="Arial"/>
          <w:highlight w:val="none"/>
        </w:rPr>
        <w:t xml:space="preserve">g) </w:t>
      </w:r>
      <w:r>
        <w:rPr>
          <w:rFonts w:ascii="Arial" w:hAnsi="Arial" w:eastAsia="Arial" w:cs="Arial"/>
          <w:highlight w:val="none"/>
          <w:lang w:val="pt-BR"/>
        </w:rPr>
        <w:t xml:space="preserve">O</w:t>
      </w:r>
      <w:r>
        <w:rPr>
          <w:rFonts w:ascii="Arial" w:hAnsi="Arial" w:eastAsia="Arial" w:cs="Arial"/>
          <w:highlight w:val="none"/>
        </w:rPr>
        <w:t xml:space="preserve">bservar os prazos de vigência e execução dos contratos e tomar as medidas necessárias para que sejam executados conforme o contratado, de acordo com as necessidades da administração e planejamento orçamentário e financeiro; </w:t>
      </w:r>
      <w:r>
        <w:rPr>
          <w:rFonts w:ascii="Arial" w:hAnsi="Arial" w:cs="Arial"/>
          <w:highlight w:val="none"/>
        </w:rPr>
      </w:r>
      <w:r>
        <w:rPr>
          <w:rFonts w:ascii="Arial" w:hAnsi="Arial" w:cs="Arial"/>
          <w:highlight w:val="none"/>
        </w:rPr>
      </w:r>
    </w:p>
    <w:p w14:paraId="6C881C3D">
      <w:pPr>
        <w:pBdr/>
        <w:spacing/>
        <w:ind/>
        <w:jc w:val="both"/>
        <w:rPr>
          <w:rFonts w:ascii="Arial" w:hAnsi="Arial" w:cs="Arial"/>
          <w:highlight w:val="none"/>
        </w:rPr>
      </w:pPr>
      <w:r>
        <w:rPr>
          <w:rFonts w:ascii="Arial" w:hAnsi="Arial" w:eastAsia="Arial" w:cs="Arial"/>
          <w:highlight w:val="none"/>
        </w:rPr>
        <w:t xml:space="preserve">h) </w:t>
      </w:r>
      <w:r>
        <w:rPr>
          <w:rFonts w:ascii="Arial" w:hAnsi="Arial" w:eastAsia="Arial" w:cs="Arial"/>
          <w:highlight w:val="none"/>
          <w:lang w:val="pt-BR"/>
        </w:rPr>
        <w:t xml:space="preserve">D</w:t>
      </w:r>
      <w:r>
        <w:rPr>
          <w:rFonts w:ascii="Arial" w:hAnsi="Arial" w:eastAsia="Arial" w:cs="Arial"/>
          <w:highlight w:val="none"/>
        </w:rPr>
        <w:t xml:space="preserve">ecidir sobre a </w:t>
      </w:r>
      <w:r>
        <w:rPr>
          <w:rFonts w:ascii="Arial" w:hAnsi="Arial" w:eastAsia="Arial" w:cs="Arial"/>
          <w:highlight w:val="none"/>
        </w:rPr>
        <w:t xml:space="preserve">renovação, prorrogação ou alteração dos contratos, ou sobre a realização de novo procedimento licitatório ou de contratação direta, bem como sobre a suspensão da entrega de bens ou da realização de serviços, de acordo com as necessidades da administração; </w:t>
      </w:r>
      <w:r>
        <w:rPr>
          <w:rFonts w:ascii="Arial" w:hAnsi="Arial" w:cs="Arial"/>
          <w:highlight w:val="none"/>
        </w:rPr>
      </w:r>
      <w:r>
        <w:rPr>
          <w:rFonts w:ascii="Arial" w:hAnsi="Arial" w:cs="Arial"/>
          <w:highlight w:val="none"/>
        </w:rPr>
      </w:r>
    </w:p>
    <w:p w14:paraId="3004D574">
      <w:pPr>
        <w:pBdr/>
        <w:spacing/>
        <w:ind/>
        <w:jc w:val="both"/>
        <w:rPr>
          <w:rFonts w:ascii="Arial" w:hAnsi="Arial" w:cs="Arial"/>
          <w:highlight w:val="none"/>
        </w:rPr>
      </w:pPr>
      <w:r>
        <w:rPr>
          <w:rFonts w:ascii="Arial" w:hAnsi="Arial" w:eastAsia="Arial" w:cs="Arial"/>
          <w:highlight w:val="none"/>
        </w:rPr>
        <w:t xml:space="preserve">i) </w:t>
      </w:r>
      <w:r>
        <w:rPr>
          <w:rFonts w:ascii="Arial" w:hAnsi="Arial" w:eastAsia="Arial" w:cs="Arial"/>
          <w:highlight w:val="none"/>
          <w:lang w:val="pt-BR"/>
        </w:rPr>
        <w:t xml:space="preserve">Q</w:t>
      </w:r>
      <w:r>
        <w:rPr>
          <w:rFonts w:ascii="Arial" w:hAnsi="Arial" w:eastAsia="Arial" w:cs="Arial"/>
          <w:highlight w:val="none"/>
        </w:rPr>
        <w:t xml:space="preserve">uando necessário, negociar com a contratada as condições contratuais;</w:t>
      </w:r>
      <w:r>
        <w:rPr>
          <w:rFonts w:ascii="Arial" w:hAnsi="Arial" w:cs="Arial"/>
          <w:highlight w:val="none"/>
        </w:rPr>
      </w:r>
      <w:r>
        <w:rPr>
          <w:rFonts w:ascii="Arial" w:hAnsi="Arial" w:cs="Arial"/>
          <w:highlight w:val="none"/>
        </w:rPr>
      </w:r>
    </w:p>
    <w:p w14:paraId="076EF4B7">
      <w:pPr>
        <w:pBdr/>
        <w:spacing/>
        <w:ind/>
        <w:jc w:val="both"/>
        <w:rPr>
          <w:rFonts w:ascii="Arial" w:hAnsi="Arial" w:cs="Arial"/>
          <w:highlight w:val="none"/>
        </w:rPr>
      </w:pPr>
      <w:r>
        <w:rPr>
          <w:rFonts w:ascii="Arial" w:hAnsi="Arial" w:eastAsia="Arial" w:cs="Arial"/>
          <w:highlight w:val="none"/>
        </w:rPr>
        <w:t xml:space="preserve">j) </w:t>
      </w:r>
      <w:r>
        <w:rPr>
          <w:rFonts w:ascii="Arial" w:hAnsi="Arial" w:eastAsia="Arial" w:cs="Arial"/>
          <w:highlight w:val="none"/>
          <w:lang w:val="pt-BR"/>
        </w:rPr>
        <w:t xml:space="preserve">E</w:t>
      </w:r>
      <w:r>
        <w:rPr>
          <w:rFonts w:ascii="Arial" w:hAnsi="Arial" w:eastAsia="Arial" w:cs="Arial"/>
          <w:highlight w:val="none"/>
        </w:rPr>
        <w:t xml:space="preserve">ncaminhar os processos de pagamento, após o atesto da nota fiscal pelo fiscal do contrato; </w:t>
      </w:r>
      <w:r>
        <w:rPr>
          <w:rFonts w:ascii="Arial" w:hAnsi="Arial" w:cs="Arial"/>
          <w:highlight w:val="none"/>
        </w:rPr>
      </w:r>
      <w:r>
        <w:rPr>
          <w:rFonts w:ascii="Arial" w:hAnsi="Arial" w:cs="Arial"/>
          <w:highlight w:val="none"/>
        </w:rPr>
      </w:r>
    </w:p>
    <w:p w14:paraId="3A88E81B">
      <w:pPr>
        <w:pBdr/>
        <w:spacing/>
        <w:ind/>
        <w:jc w:val="both"/>
        <w:rPr>
          <w:rFonts w:ascii="Arial" w:hAnsi="Arial" w:cs="Arial"/>
          <w:highlight w:val="none"/>
        </w:rPr>
      </w:pPr>
      <w:r>
        <w:rPr>
          <w:rFonts w:ascii="Arial" w:hAnsi="Arial" w:eastAsia="Arial" w:cs="Arial"/>
          <w:highlight w:val="none"/>
        </w:rPr>
        <w:t xml:space="preserve">k) </w:t>
      </w:r>
      <w:r>
        <w:rPr>
          <w:rFonts w:ascii="Arial" w:hAnsi="Arial" w:eastAsia="Arial" w:cs="Arial"/>
          <w:highlight w:val="none"/>
          <w:lang w:val="pt-BR"/>
        </w:rPr>
        <w:t xml:space="preserve">T</w:t>
      </w:r>
      <w:r>
        <w:rPr>
          <w:rFonts w:ascii="Arial" w:hAnsi="Arial" w:eastAsia="Arial" w:cs="Arial"/>
          <w:highlight w:val="none"/>
        </w:rPr>
        <w:t xml:space="preserve">omar providências para apurar o descumprimento do contrato ou fraude na sua execução; </w:t>
      </w:r>
      <w:r>
        <w:rPr>
          <w:rFonts w:ascii="Arial" w:hAnsi="Arial" w:cs="Arial"/>
          <w:highlight w:val="none"/>
        </w:rPr>
      </w:r>
      <w:r>
        <w:rPr>
          <w:rFonts w:ascii="Arial" w:hAnsi="Arial" w:cs="Arial"/>
          <w:highlight w:val="none"/>
        </w:rPr>
      </w:r>
    </w:p>
    <w:p w14:paraId="4C8EC2E2">
      <w:pPr>
        <w:pBdr/>
        <w:spacing/>
        <w:ind/>
        <w:jc w:val="both"/>
        <w:rPr>
          <w:rFonts w:ascii="Arial" w:hAnsi="Arial" w:cs="Arial"/>
          <w:highlight w:val="none"/>
        </w:rPr>
      </w:pPr>
      <w:r>
        <w:rPr>
          <w:rFonts w:ascii="Arial" w:hAnsi="Arial" w:eastAsia="Arial" w:cs="Arial"/>
          <w:highlight w:val="none"/>
        </w:rPr>
        <w:t xml:space="preserve">l) </w:t>
      </w:r>
      <w:r>
        <w:rPr>
          <w:rFonts w:ascii="Arial" w:hAnsi="Arial" w:eastAsia="Arial" w:cs="Arial"/>
          <w:highlight w:val="none"/>
          <w:lang w:val="pt-BR"/>
        </w:rPr>
        <w:t xml:space="preserve">E</w:t>
      </w:r>
      <w:r>
        <w:rPr>
          <w:rFonts w:ascii="Arial" w:hAnsi="Arial" w:eastAsia="Arial" w:cs="Arial"/>
          <w:highlight w:val="none"/>
        </w:rPr>
        <w:t xml:space="preserve">xigir dos fiscais a inclusão tempestiva das informações relativas à execução do contrato nos sistemas corporativos de controle, publicidade e transparência, inclusive no PNCP;</w:t>
      </w:r>
      <w:r>
        <w:rPr>
          <w:rFonts w:ascii="Arial" w:hAnsi="Arial" w:cs="Arial"/>
          <w:highlight w:val="none"/>
        </w:rPr>
      </w:r>
      <w:r>
        <w:rPr>
          <w:rFonts w:ascii="Arial" w:hAnsi="Arial" w:cs="Arial"/>
          <w:highlight w:val="none"/>
        </w:rPr>
      </w:r>
    </w:p>
    <w:p w14:paraId="60E8612D">
      <w:pPr>
        <w:pBdr/>
        <w:spacing/>
        <w:ind/>
        <w:jc w:val="both"/>
        <w:rPr>
          <w:rFonts w:ascii="Arial" w:hAnsi="Arial" w:cs="Arial"/>
          <w:highlight w:val="none"/>
        </w:rPr>
      </w:pPr>
      <w:r>
        <w:rPr>
          <w:rFonts w:ascii="Arial" w:hAnsi="Arial" w:eastAsia="Arial" w:cs="Arial"/>
          <w:highlight w:val="none"/>
        </w:rPr>
        <w:t xml:space="preserve">m) </w:t>
      </w:r>
      <w:r>
        <w:rPr>
          <w:rFonts w:ascii="Arial" w:hAnsi="Arial" w:eastAsia="Arial" w:cs="Arial"/>
          <w:highlight w:val="none"/>
          <w:lang w:val="pt-BR"/>
        </w:rPr>
        <w:t xml:space="preserve">C</w:t>
      </w:r>
      <w:r>
        <w:rPr>
          <w:rFonts w:ascii="Arial" w:hAnsi="Arial" w:eastAsia="Arial" w:cs="Arial"/>
          <w:highlight w:val="none"/>
        </w:rPr>
        <w:t xml:space="preserve">oordenar as atividades relacionadas à fiscalização técnica e administrativa do contrato; </w:t>
      </w:r>
      <w:r>
        <w:rPr>
          <w:rFonts w:ascii="Arial" w:hAnsi="Arial" w:cs="Arial"/>
          <w:highlight w:val="none"/>
        </w:rPr>
      </w:r>
      <w:r>
        <w:rPr>
          <w:rFonts w:ascii="Arial" w:hAnsi="Arial" w:cs="Arial"/>
          <w:highlight w:val="none"/>
        </w:rPr>
      </w:r>
    </w:p>
    <w:p w14:paraId="6AF4F08D">
      <w:pPr>
        <w:pBdr/>
        <w:spacing/>
        <w:ind/>
        <w:jc w:val="both"/>
        <w:rPr>
          <w:rFonts w:ascii="Arial" w:hAnsi="Arial" w:cs="Arial"/>
          <w:highlight w:val="none"/>
        </w:rPr>
      </w:pPr>
      <w:r>
        <w:rPr>
          <w:rFonts w:ascii="Arial" w:hAnsi="Arial" w:eastAsia="Arial" w:cs="Arial"/>
          <w:highlight w:val="none"/>
        </w:rPr>
        <w:t xml:space="preserve">n) </w:t>
      </w:r>
      <w:r>
        <w:rPr>
          <w:rFonts w:ascii="Arial" w:hAnsi="Arial" w:eastAsia="Arial" w:cs="Arial"/>
          <w:highlight w:val="none"/>
          <w:lang w:val="pt-BR"/>
        </w:rPr>
        <w:t xml:space="preserve">E</w:t>
      </w:r>
      <w:r>
        <w:rPr>
          <w:rFonts w:ascii="Arial" w:hAnsi="Arial" w:eastAsia="Arial" w:cs="Arial"/>
          <w:highlight w:val="none"/>
        </w:rPr>
        <w:t xml:space="preserve">mitir decisão sobre as solicitações e reclamações relacionadas à execução dos contratos; </w:t>
      </w:r>
      <w:r>
        <w:rPr>
          <w:rFonts w:ascii="Arial" w:hAnsi="Arial" w:cs="Arial"/>
          <w:highlight w:val="none"/>
        </w:rPr>
      </w:r>
      <w:r>
        <w:rPr>
          <w:rFonts w:ascii="Arial" w:hAnsi="Arial" w:cs="Arial"/>
          <w:highlight w:val="none"/>
        </w:rPr>
      </w:r>
    </w:p>
    <w:p w14:paraId="0FFD920B">
      <w:pPr>
        <w:pBdr/>
        <w:spacing/>
        <w:ind/>
        <w:jc w:val="both"/>
        <w:rPr>
          <w:rFonts w:ascii="Arial" w:hAnsi="Arial" w:cs="Arial"/>
          <w:highlight w:val="none"/>
        </w:rPr>
      </w:pPr>
      <w:r>
        <w:rPr>
          <w:rFonts w:ascii="Arial" w:hAnsi="Arial" w:eastAsia="Arial" w:cs="Arial"/>
          <w:highlight w:val="none"/>
        </w:rPr>
        <w:t xml:space="preserve">o) </w:t>
      </w:r>
      <w:r>
        <w:rPr>
          <w:rFonts w:ascii="Arial" w:hAnsi="Arial" w:eastAsia="Arial" w:cs="Arial"/>
          <w:highlight w:val="none"/>
          <w:lang w:val="pt-BR"/>
        </w:rPr>
        <w:t xml:space="preserve">A</w:t>
      </w:r>
      <w:r>
        <w:rPr>
          <w:rFonts w:ascii="Arial" w:hAnsi="Arial" w:eastAsia="Arial" w:cs="Arial"/>
          <w:highlight w:val="none"/>
        </w:rPr>
        <w:t xml:space="preserve">companhar os registro</w:t>
      </w:r>
      <w:r>
        <w:rPr>
          <w:rFonts w:ascii="Arial" w:hAnsi="Arial" w:eastAsia="Arial" w:cs="Arial"/>
          <w:highlight w:val="none"/>
        </w:rPr>
        <w:t xml:space="preserve">s realizados pelos fiscais do contrato ou dos terceiros contratados a respeito de todas as ocorrências relacionadas à execução do contrato e as medidas adotadas, informando, se for o caso, à autoridade superior àquelas que ultrapassarem a sua competência; </w:t>
      </w:r>
      <w:r>
        <w:rPr>
          <w:rFonts w:ascii="Arial" w:hAnsi="Arial" w:cs="Arial"/>
          <w:highlight w:val="none"/>
        </w:rPr>
      </w:r>
      <w:r>
        <w:rPr>
          <w:rFonts w:ascii="Arial" w:hAnsi="Arial" w:cs="Arial"/>
          <w:highlight w:val="none"/>
        </w:rPr>
      </w:r>
    </w:p>
    <w:p w14:paraId="1813E1FA">
      <w:pPr>
        <w:pBdr/>
        <w:spacing/>
        <w:ind/>
        <w:jc w:val="both"/>
        <w:rPr>
          <w:rFonts w:ascii="Arial" w:hAnsi="Arial" w:cs="Arial"/>
          <w:highlight w:val="none"/>
        </w:rPr>
      </w:pPr>
      <w:r>
        <w:rPr>
          <w:rFonts w:ascii="Arial" w:hAnsi="Arial" w:eastAsia="Arial" w:cs="Arial"/>
          <w:highlight w:val="none"/>
        </w:rPr>
        <w:t xml:space="preserve">p) </w:t>
      </w:r>
      <w:r>
        <w:rPr>
          <w:rFonts w:ascii="Arial" w:hAnsi="Arial" w:eastAsia="Arial" w:cs="Arial"/>
          <w:highlight w:val="none"/>
          <w:lang w:val="pt-BR"/>
        </w:rPr>
        <w:t xml:space="preserve">C</w:t>
      </w:r>
      <w:r>
        <w:rPr>
          <w:rFonts w:ascii="Arial" w:hAnsi="Arial" w:eastAsia="Arial" w:cs="Arial"/>
          <w:highlight w:val="none"/>
        </w:rPr>
        <w:t xml:space="preserve">onstituir relatório final, de que trata a alínea “d” do inciso VI do § 3º do art. 174 da Lei Federal nº 14.133, de 1º de abril de 2021, com as informações obtidas durante a execução do contrato, como forma de aprimoramento das atividades da Administração. </w:t>
      </w:r>
      <w:r>
        <w:rPr>
          <w:rFonts w:ascii="Arial" w:hAnsi="Arial" w:cs="Arial"/>
          <w:highlight w:val="none"/>
        </w:rPr>
      </w:r>
      <w:r>
        <w:rPr>
          <w:rFonts w:ascii="Arial" w:hAnsi="Arial" w:cs="Arial"/>
          <w:highlight w:val="none"/>
        </w:rPr>
      </w:r>
    </w:p>
    <w:p w14:paraId="27EEFB60">
      <w:pPr>
        <w:pBdr/>
        <w:spacing/>
        <w:ind/>
        <w:jc w:val="both"/>
        <w:rPr>
          <w:rFonts w:ascii="Arial" w:hAnsi="Arial" w:cs="Arial"/>
          <w:highlight w:val="none"/>
        </w:rPr>
      </w:pPr>
      <w:r>
        <w:rPr>
          <w:rFonts w:ascii="Arial" w:hAnsi="Arial" w:eastAsia="Arial" w:cs="Arial"/>
          <w:highlight w:val="none"/>
        </w:rPr>
        <w:t xml:space="preserve">q) Outras atividades compatíveis com a função, determinadas pela autoridade competente. </w:t>
      </w:r>
      <w:r>
        <w:rPr>
          <w:rFonts w:ascii="Arial" w:hAnsi="Arial" w:cs="Arial"/>
          <w:highlight w:val="none"/>
        </w:rPr>
      </w:r>
      <w:r>
        <w:rPr>
          <w:rFonts w:ascii="Arial" w:hAnsi="Arial" w:cs="Arial"/>
          <w:highlight w:val="none"/>
        </w:rPr>
      </w:r>
    </w:p>
    <w:p w14:paraId="4F4373E1">
      <w:pPr>
        <w:pBdr/>
        <w:spacing/>
        <w:ind/>
        <w:jc w:val="both"/>
        <w:rPr>
          <w:rFonts w:ascii="Arial" w:hAnsi="Arial" w:cs="Arial"/>
          <w:highlight w:val="none"/>
        </w:rPr>
      </w:pPr>
      <w:r>
        <w:rPr>
          <w:rFonts w:ascii="Arial" w:hAnsi="Arial" w:eastAsia="Arial" w:cs="Arial"/>
          <w:highlight w:val="none"/>
        </w:rPr>
        <w:t xml:space="preserve">r)</w:t>
      </w:r>
      <w:r>
        <w:rPr>
          <w:rFonts w:ascii="Arial" w:hAnsi="Arial" w:eastAsia="Arial" w:cs="Arial"/>
          <w:highlight w:val="none"/>
          <w:lang w:val="pt-BR"/>
        </w:rPr>
        <w:t xml:space="preserve"> A</w:t>
      </w:r>
      <w:r>
        <w:rPr>
          <w:rFonts w:ascii="Arial" w:hAnsi="Arial" w:eastAsia="Arial" w:cs="Arial"/>
          <w:highlight w:val="none"/>
        </w:rPr>
        <w:t xml:space="preserve">s ausências e impedimentos dos fiscais titulares e substitutos, o gestor de contrato deverá designar fiscal provisório, preferencialmente entre servidores que preencham os requisitos técnicos profissionais aplicáveis. </w:t>
      </w:r>
      <w:r>
        <w:rPr>
          <w:rFonts w:ascii="Arial" w:hAnsi="Arial" w:cs="Arial"/>
          <w:highlight w:val="none"/>
        </w:rPr>
      </w:r>
      <w:r>
        <w:rPr>
          <w:rFonts w:ascii="Arial" w:hAnsi="Arial" w:cs="Arial"/>
          <w:highlight w:val="none"/>
        </w:rPr>
      </w:r>
    </w:p>
    <w:p w14:paraId="5C969668">
      <w:pPr>
        <w:pBdr/>
        <w:spacing/>
        <w:ind/>
        <w:jc w:val="both"/>
        <w:rPr>
          <w:rFonts w:ascii="Arial" w:hAnsi="Arial" w:cs="Arial"/>
          <w:highlight w:val="none"/>
        </w:rPr>
      </w:pPr>
      <w:r>
        <w:rPr>
          <w:rFonts w:ascii="Arial" w:hAnsi="Arial" w:eastAsia="Arial" w:cs="Arial"/>
          <w:highlight w:val="none"/>
        </w:rPr>
        <w:t xml:space="preserve">s) Na forma do disposto no artigo 107 da Lei Federal n.º 14.133, de 2021, o gestor do contrato poderá negociar condições </w:t>
      </w:r>
      <w:r>
        <w:rPr>
          <w:rFonts w:ascii="Arial" w:hAnsi="Arial" w:eastAsia="Arial" w:cs="Arial"/>
          <w:highlight w:val="none"/>
        </w:rPr>
        <w:t xml:space="preserve">mais vantajosas com a contratada no procedimento que antecede a prorrogação ou a extinção dos contratos de serviços e fornecimentos contínuos. </w:t>
      </w:r>
      <w:r>
        <w:rPr>
          <w:rFonts w:ascii="Arial" w:hAnsi="Arial" w:cs="Arial"/>
          <w:highlight w:val="none"/>
        </w:rPr>
      </w:r>
      <w:r>
        <w:rPr>
          <w:rFonts w:ascii="Arial" w:hAnsi="Arial" w:cs="Arial"/>
          <w:highlight w:val="none"/>
        </w:rPr>
      </w:r>
    </w:p>
    <w:p w14:paraId="4400FFAF">
      <w:pPr>
        <w:pBdr/>
        <w:spacing/>
        <w:ind/>
        <w:jc w:val="both"/>
        <w:rPr>
          <w:rFonts w:ascii="Arial" w:hAnsi="Arial" w:cs="Arial"/>
          <w:b/>
          <w:bCs/>
          <w:highlight w:val="none"/>
        </w:rPr>
      </w:pPr>
      <w:r>
        <w:rPr>
          <w:rFonts w:ascii="Arial" w:hAnsi="Arial" w:eastAsia="Arial" w:cs="Arial"/>
          <w:b/>
          <w:bCs/>
          <w:highlight w:val="none"/>
          <w:lang w:val="pt-BR"/>
        </w:rPr>
        <w:t xml:space="preserve">6.8. DO REEQUILÍBRIO ECONÔMICO-FINANCEIRO</w:t>
      </w:r>
      <w:r>
        <w:rPr>
          <w:rFonts w:ascii="Arial" w:hAnsi="Arial" w:cs="Arial"/>
          <w:b/>
          <w:bCs/>
          <w:highlight w:val="none"/>
        </w:rPr>
      </w:r>
      <w:r>
        <w:rPr>
          <w:rFonts w:ascii="Arial" w:hAnsi="Arial" w:cs="Arial"/>
          <w:b/>
          <w:bCs/>
          <w:highlight w:val="none"/>
        </w:rPr>
      </w:r>
    </w:p>
    <w:p w14:paraId="3EE2EC4C">
      <w:pPr>
        <w:pBdr/>
        <w:spacing/>
        <w:ind/>
        <w:jc w:val="both"/>
        <w:rPr>
          <w:rFonts w:ascii="Arial" w:hAnsi="Arial" w:cs="Arial"/>
          <w:highlight w:val="none"/>
        </w:rPr>
      </w:pPr>
      <w:r>
        <w:rPr>
          <w:rFonts w:ascii="Arial" w:hAnsi="Arial" w:eastAsia="Arial" w:cs="Arial"/>
          <w:b/>
          <w:bCs/>
          <w:highlight w:val="none"/>
          <w:lang w:val="pt-BR"/>
        </w:rPr>
        <w:t xml:space="preserve">6.8.1.</w:t>
      </w:r>
      <w:r>
        <w:rPr>
          <w:rFonts w:ascii="Arial" w:hAnsi="Arial" w:eastAsia="Arial" w:cs="Arial"/>
          <w:highlight w:val="none"/>
          <w:lang w:val="pt-BR"/>
        </w:rPr>
        <w:t xml:space="preserve"> Será assegurada à contratada a possibilidade de requerer o restabelecimento do equ</w:t>
      </w:r>
      <w:r>
        <w:rPr>
          <w:rFonts w:ascii="Arial" w:hAnsi="Arial" w:eastAsia="Arial" w:cs="Arial"/>
          <w:highlight w:val="none"/>
          <w:lang w:val="pt-BR"/>
        </w:rPr>
        <w:t xml:space="preserve">ilíbrio econômico-financeiro da contratação quando ocorrerem fatos imprevisíveis ou previsíveis de consequências incalculáveis que alterem os encargos originalmente assumidos, mediante apresentação de requerimento fundamentado e documentação comprobatória.</w:t>
      </w:r>
      <w:r>
        <w:rPr>
          <w:rFonts w:ascii="Arial" w:hAnsi="Arial" w:cs="Arial"/>
          <w:highlight w:val="none"/>
        </w:rPr>
      </w:r>
      <w:r>
        <w:rPr>
          <w:rFonts w:ascii="Arial" w:hAnsi="Arial" w:cs="Arial"/>
          <w:highlight w:val="none"/>
        </w:rPr>
      </w:r>
    </w:p>
    <w:p w14:paraId="487AC665">
      <w:pPr>
        <w:pBdr/>
        <w:spacing/>
        <w:ind/>
        <w:jc w:val="both"/>
        <w:rPr>
          <w:rFonts w:ascii="Arial" w:hAnsi="Arial" w:cs="Arial"/>
          <w:highlight w:val="none"/>
        </w:rPr>
      </w:pPr>
      <w:r>
        <w:rPr>
          <w:rFonts w:ascii="Arial" w:hAnsi="Arial" w:eastAsia="Arial" w:cs="Arial"/>
          <w:b/>
          <w:bCs/>
          <w:highlight w:val="none"/>
          <w:lang w:val="pt-BR"/>
        </w:rPr>
        <w:t xml:space="preserve">6.8.2. O</w:t>
      </w:r>
      <w:r>
        <w:rPr>
          <w:rFonts w:ascii="Arial" w:hAnsi="Arial" w:eastAsia="Arial" w:cs="Arial"/>
          <w:highlight w:val="none"/>
          <w:lang w:val="pt-BR"/>
        </w:rPr>
        <w:t xml:space="preserve"> reajuste dos preços observará exclusivamente as condições e o índice estabelecidos no item 7.4 deste Termo de Referência.</w:t>
      </w:r>
      <w:r>
        <w:rPr>
          <w:rFonts w:ascii="Arial" w:hAnsi="Arial" w:cs="Arial"/>
          <w:highlight w:val="none"/>
        </w:rPr>
      </w:r>
      <w:r>
        <w:rPr>
          <w:rFonts w:ascii="Arial" w:hAnsi="Arial" w:cs="Arial"/>
          <w:highlight w:val="none"/>
        </w:rPr>
      </w:r>
    </w:p>
    <w:p w14:paraId="42083569">
      <w:pPr>
        <w:pBdr/>
        <w:spacing/>
        <w:ind/>
        <w:jc w:val="both"/>
        <w:rPr>
          <w:rFonts w:ascii="Arial" w:hAnsi="Arial" w:cs="Arial"/>
          <w:b/>
          <w:bCs/>
          <w:highlight w:val="none"/>
        </w:rPr>
      </w:pPr>
      <w:r>
        <w:rPr>
          <w:rFonts w:ascii="Arial" w:hAnsi="Arial" w:eastAsia="Arial" w:cs="Arial"/>
          <w:b/>
          <w:bCs/>
          <w:highlight w:val="none"/>
          <w:lang w:val="pt-BR"/>
        </w:rPr>
        <w:t xml:space="preserve">6.9. </w:t>
      </w:r>
      <w:r>
        <w:rPr>
          <w:rFonts w:ascii="Arial" w:hAnsi="Arial" w:eastAsia="Arial" w:cs="Arial"/>
          <w:b/>
          <w:bCs/>
          <w:highlight w:val="none"/>
        </w:rPr>
        <w:t xml:space="preserve">DAS OBRIGAÇÕES DA CONTRATANTE:</w:t>
      </w:r>
      <w:r>
        <w:rPr>
          <w:rFonts w:ascii="Arial" w:hAnsi="Arial" w:cs="Arial"/>
          <w:b/>
          <w:bCs/>
          <w:highlight w:val="none"/>
        </w:rPr>
      </w:r>
      <w:r>
        <w:rPr>
          <w:rFonts w:ascii="Arial" w:hAnsi="Arial" w:cs="Arial"/>
          <w:b/>
          <w:bCs/>
          <w:highlight w:val="none"/>
        </w:rPr>
      </w:r>
    </w:p>
    <w:p w14:paraId="101DB534">
      <w:pPr>
        <w:pBdr/>
        <w:spacing/>
        <w:ind/>
        <w:jc w:val="both"/>
        <w:rPr>
          <w:rFonts w:ascii="Arial" w:hAnsi="Arial" w:cs="Arial"/>
          <w:highlight w:val="none"/>
        </w:rPr>
      </w:pPr>
      <w:r>
        <w:rPr>
          <w:rFonts w:ascii="Arial" w:hAnsi="Arial" w:eastAsia="Arial" w:cs="Arial"/>
          <w:b/>
          <w:bCs/>
          <w:highlight w:val="none"/>
          <w:lang w:val="pt-BR"/>
        </w:rPr>
        <w:t xml:space="preserve">6.9.1.</w:t>
      </w:r>
      <w:r>
        <w:rPr>
          <w:rFonts w:ascii="Arial" w:hAnsi="Arial" w:eastAsia="Arial" w:cs="Arial"/>
          <w:highlight w:val="none"/>
          <w:lang w:val="pt-BR"/>
        </w:rPr>
        <w:t xml:space="preserve"> </w:t>
      </w:r>
      <w:r>
        <w:rPr>
          <w:rFonts w:ascii="Arial" w:hAnsi="Arial" w:eastAsia="Arial" w:cs="Arial"/>
          <w:highlight w:val="none"/>
        </w:rPr>
        <w:t xml:space="preserve">Convocar a adjudicatária para assinatura da Ata de Registro de Preços, do contrato ou do instrumento equivalente, nos prazos estabelecidos no Edital, prestando as informações necessárias ao fiel cumprimento da contratação.</w:t>
      </w:r>
      <w:r>
        <w:rPr>
          <w:rFonts w:ascii="Arial" w:hAnsi="Arial" w:cs="Arial"/>
          <w:highlight w:val="none"/>
        </w:rPr>
      </w:r>
      <w:r>
        <w:rPr>
          <w:rFonts w:ascii="Arial" w:hAnsi="Arial" w:cs="Arial"/>
          <w:highlight w:val="none"/>
        </w:rPr>
      </w:r>
    </w:p>
    <w:p w14:paraId="5E91A419">
      <w:pPr>
        <w:pBdr/>
        <w:spacing/>
        <w:ind/>
        <w:jc w:val="both"/>
        <w:rPr>
          <w:rFonts w:ascii="Arial" w:hAnsi="Arial" w:cs="Arial"/>
          <w:highlight w:val="none"/>
        </w:rPr>
      </w:pPr>
      <w:r>
        <w:rPr>
          <w:rFonts w:ascii="Arial" w:hAnsi="Arial" w:eastAsia="Arial" w:cs="Arial"/>
          <w:b/>
          <w:bCs/>
          <w:highlight w:val="none"/>
          <w:lang w:val="pt-BR"/>
        </w:rPr>
        <w:t xml:space="preserve">6.9.2</w:t>
      </w:r>
      <w:r>
        <w:rPr>
          <w:rFonts w:ascii="Arial" w:hAnsi="Arial" w:eastAsia="Arial" w:cs="Arial"/>
          <w:highlight w:val="none"/>
          <w:lang w:val="pt-BR"/>
        </w:rPr>
        <w:t xml:space="preserve">. </w:t>
      </w:r>
      <w:r>
        <w:rPr>
          <w:rFonts w:ascii="Arial" w:hAnsi="Arial" w:eastAsia="Arial" w:cs="Arial"/>
          <w:highlight w:val="none"/>
        </w:rPr>
        <w:t xml:space="preserve">Proporcionar todas as facilidades indispensáveis à boa execução das obrigações contratuais, inclusive permitindo o acesso de empregados, prepostos ou representantes da contratada em suas dependências, quando for o caso. </w:t>
      </w:r>
      <w:r>
        <w:rPr>
          <w:rFonts w:ascii="Arial" w:hAnsi="Arial" w:cs="Arial"/>
          <w:highlight w:val="none"/>
        </w:rPr>
      </w:r>
      <w:r>
        <w:rPr>
          <w:rFonts w:ascii="Arial" w:hAnsi="Arial" w:cs="Arial"/>
          <w:highlight w:val="none"/>
        </w:rPr>
      </w:r>
    </w:p>
    <w:p w14:paraId="119A9BBE">
      <w:pPr>
        <w:pBdr/>
        <w:spacing/>
        <w:ind/>
        <w:jc w:val="both"/>
        <w:rPr>
          <w:rFonts w:ascii="Arial" w:hAnsi="Arial" w:cs="Arial"/>
          <w:highlight w:val="none"/>
        </w:rPr>
      </w:pPr>
      <w:r>
        <w:rPr>
          <w:rFonts w:ascii="Arial" w:hAnsi="Arial" w:eastAsia="Arial" w:cs="Arial"/>
          <w:b/>
          <w:bCs/>
          <w:highlight w:val="none"/>
          <w:lang w:val="pt-BR"/>
        </w:rPr>
        <w:t xml:space="preserve">6.9.3</w:t>
      </w:r>
      <w:r>
        <w:rPr>
          <w:rFonts w:ascii="Arial" w:hAnsi="Arial" w:eastAsia="Arial" w:cs="Arial"/>
          <w:highlight w:val="none"/>
          <w:lang w:val="pt-BR"/>
        </w:rPr>
        <w:t xml:space="preserve">.</w:t>
      </w:r>
      <w:r>
        <w:rPr>
          <w:rFonts w:ascii="Arial" w:hAnsi="Arial" w:eastAsia="Arial" w:cs="Arial"/>
          <w:highlight w:val="none"/>
        </w:rPr>
        <w:t xml:space="preserve"> Rejeitar, no todo ou em parte, os itens entregues em desacordo com as obrigações assumidas pelo fornecedor. </w:t>
      </w:r>
      <w:r>
        <w:rPr>
          <w:rFonts w:ascii="Arial" w:hAnsi="Arial" w:cs="Arial"/>
          <w:highlight w:val="none"/>
        </w:rPr>
      </w:r>
      <w:r>
        <w:rPr>
          <w:rFonts w:ascii="Arial" w:hAnsi="Arial" w:cs="Arial"/>
          <w:highlight w:val="none"/>
        </w:rPr>
      </w:r>
    </w:p>
    <w:p w14:paraId="6A426A4A">
      <w:pPr>
        <w:pBdr/>
        <w:spacing/>
        <w:ind/>
        <w:jc w:val="both"/>
        <w:rPr>
          <w:rFonts w:ascii="Arial" w:hAnsi="Arial" w:cs="Arial"/>
          <w:highlight w:val="none"/>
        </w:rPr>
      </w:pPr>
      <w:r>
        <w:rPr>
          <w:rFonts w:ascii="Arial" w:hAnsi="Arial" w:eastAsia="Arial" w:cs="Arial"/>
          <w:b/>
          <w:bCs/>
          <w:highlight w:val="none"/>
          <w:lang w:val="pt-BR"/>
        </w:rPr>
        <w:t xml:space="preserve">6.9.4.</w:t>
      </w:r>
      <w:r>
        <w:rPr>
          <w:rFonts w:ascii="Arial" w:hAnsi="Arial" w:eastAsia="Arial" w:cs="Arial"/>
          <w:highlight w:val="none"/>
          <w:lang w:val="pt-BR"/>
        </w:rPr>
        <w:t xml:space="preserve"> </w:t>
      </w:r>
      <w:r>
        <w:rPr>
          <w:rFonts w:ascii="Arial" w:hAnsi="Arial" w:eastAsia="Arial" w:cs="Arial"/>
          <w:highlight w:val="none"/>
        </w:rPr>
        <w:t xml:space="preserve">Notificar a CONTRATADA de qualquer irregularidade encontrada nos produtos fornecidos. </w:t>
      </w:r>
      <w:r>
        <w:rPr>
          <w:rFonts w:ascii="Arial" w:hAnsi="Arial" w:cs="Arial"/>
          <w:highlight w:val="none"/>
        </w:rPr>
      </w:r>
      <w:r>
        <w:rPr>
          <w:rFonts w:ascii="Arial" w:hAnsi="Arial" w:cs="Arial"/>
          <w:highlight w:val="none"/>
        </w:rPr>
      </w:r>
    </w:p>
    <w:p w14:paraId="446D5E7F">
      <w:pPr>
        <w:pBdr/>
        <w:spacing/>
        <w:ind/>
        <w:jc w:val="both"/>
        <w:rPr>
          <w:rFonts w:ascii="Arial" w:hAnsi="Arial" w:cs="Arial"/>
          <w:highlight w:val="none"/>
        </w:rPr>
      </w:pPr>
      <w:r>
        <w:rPr>
          <w:rFonts w:ascii="Arial" w:hAnsi="Arial" w:eastAsia="Arial" w:cs="Arial"/>
          <w:b/>
          <w:bCs/>
          <w:highlight w:val="none"/>
          <w:lang w:val="pt-BR"/>
        </w:rPr>
        <w:t xml:space="preserve">6.9.5</w:t>
      </w:r>
      <w:r>
        <w:rPr>
          <w:rFonts w:ascii="Arial" w:hAnsi="Arial" w:eastAsia="Arial" w:cs="Arial"/>
          <w:highlight w:val="none"/>
          <w:lang w:val="pt-BR"/>
        </w:rPr>
        <w:t xml:space="preserve">. </w:t>
      </w:r>
      <w:r>
        <w:rPr>
          <w:rFonts w:ascii="Arial" w:hAnsi="Arial" w:eastAsia="Arial" w:cs="Arial"/>
          <w:highlight w:val="none"/>
        </w:rPr>
        <w:t xml:space="preserve">Efetuar o pagamento à CONTRATADA, nas condições estabelecidas no edital. </w:t>
      </w:r>
      <w:r>
        <w:rPr>
          <w:rFonts w:ascii="Arial" w:hAnsi="Arial" w:cs="Arial"/>
          <w:highlight w:val="none"/>
        </w:rPr>
      </w:r>
      <w:r>
        <w:rPr>
          <w:rFonts w:ascii="Arial" w:hAnsi="Arial" w:cs="Arial"/>
          <w:highlight w:val="none"/>
        </w:rPr>
      </w:r>
    </w:p>
    <w:p w14:paraId="32AC6C39">
      <w:pPr>
        <w:pBdr/>
        <w:spacing/>
        <w:ind/>
        <w:jc w:val="both"/>
        <w:rPr>
          <w:rFonts w:ascii="Arial" w:hAnsi="Arial" w:cs="Arial"/>
          <w:highlight w:val="none"/>
        </w:rPr>
      </w:pPr>
      <w:r>
        <w:rPr>
          <w:rFonts w:ascii="Arial" w:hAnsi="Arial" w:eastAsia="Arial" w:cs="Arial"/>
          <w:b/>
          <w:bCs/>
          <w:highlight w:val="none"/>
          <w:lang w:val="pt-BR"/>
        </w:rPr>
        <w:t xml:space="preserve">6.9.6.</w:t>
      </w:r>
      <w:r>
        <w:rPr>
          <w:rFonts w:ascii="Arial" w:hAnsi="Arial" w:eastAsia="Arial" w:cs="Arial"/>
          <w:highlight w:val="none"/>
          <w:lang w:val="pt-BR"/>
        </w:rPr>
        <w:t xml:space="preserve"> </w:t>
      </w:r>
      <w:r>
        <w:rPr>
          <w:rFonts w:ascii="Arial" w:hAnsi="Arial" w:eastAsia="Arial" w:cs="Arial"/>
          <w:highlight w:val="none"/>
        </w:rPr>
        <w:t xml:space="preserve">Nenhum pagamento será efetuado à empresa adjudicatária, enquanto pendente de liquidação qualquer obrigação. Esse fato não será gerador de direito a reajustamento de preços ou a atualização monetária. </w:t>
      </w:r>
      <w:r>
        <w:rPr>
          <w:rFonts w:ascii="Arial" w:hAnsi="Arial" w:cs="Arial"/>
          <w:highlight w:val="none"/>
        </w:rPr>
      </w:r>
      <w:r>
        <w:rPr>
          <w:rFonts w:ascii="Arial" w:hAnsi="Arial" w:cs="Arial"/>
          <w:highlight w:val="none"/>
        </w:rPr>
      </w:r>
    </w:p>
    <w:p w14:paraId="539F5B4A">
      <w:pPr>
        <w:pBdr/>
        <w:spacing/>
        <w:ind/>
        <w:jc w:val="both"/>
        <w:rPr>
          <w:rFonts w:ascii="Arial" w:hAnsi="Arial" w:cs="Arial"/>
          <w:highlight w:val="none"/>
        </w:rPr>
      </w:pPr>
      <w:r>
        <w:rPr>
          <w:rFonts w:ascii="Arial" w:hAnsi="Arial" w:eastAsia="Arial" w:cs="Arial"/>
          <w:b/>
          <w:bCs/>
          <w:highlight w:val="none"/>
          <w:lang w:val="pt-BR"/>
        </w:rPr>
        <w:t xml:space="preserve">6.9.7.</w:t>
      </w:r>
      <w:r>
        <w:rPr>
          <w:rFonts w:ascii="Arial" w:hAnsi="Arial" w:eastAsia="Arial" w:cs="Arial"/>
          <w:highlight w:val="none"/>
          <w:lang w:val="pt-BR"/>
        </w:rPr>
        <w:t xml:space="preserve"> </w:t>
      </w:r>
      <w:r>
        <w:rPr>
          <w:rFonts w:ascii="Arial" w:hAnsi="Arial" w:eastAsia="Arial" w:cs="Arial"/>
          <w:highlight w:val="none"/>
        </w:rPr>
        <w:t xml:space="preserve">Não haverá, sob hipótese alguma, pagamento antecipado. </w:t>
      </w:r>
      <w:r>
        <w:rPr>
          <w:rFonts w:ascii="Arial" w:hAnsi="Arial" w:cs="Arial"/>
          <w:highlight w:val="none"/>
        </w:rPr>
      </w:r>
      <w:r>
        <w:rPr>
          <w:rFonts w:ascii="Arial" w:hAnsi="Arial" w:cs="Arial"/>
          <w:highlight w:val="none"/>
        </w:rPr>
      </w:r>
    </w:p>
    <w:p w14:paraId="5472466A">
      <w:pPr>
        <w:pBdr/>
        <w:spacing/>
        <w:ind/>
        <w:jc w:val="both"/>
        <w:rPr>
          <w:rFonts w:ascii="Arial" w:hAnsi="Arial" w:cs="Arial"/>
          <w:highlight w:val="none"/>
        </w:rPr>
      </w:pPr>
      <w:r>
        <w:rPr>
          <w:rFonts w:ascii="Arial" w:hAnsi="Arial" w:eastAsia="Arial" w:cs="Arial"/>
          <w:b/>
          <w:bCs/>
          <w:highlight w:val="none"/>
          <w:lang w:val="pt-BR"/>
        </w:rPr>
        <w:t xml:space="preserve">6.9.8</w:t>
      </w:r>
      <w:r>
        <w:rPr>
          <w:rFonts w:ascii="Arial" w:hAnsi="Arial" w:eastAsia="Arial" w:cs="Arial"/>
          <w:highlight w:val="none"/>
          <w:lang w:val="pt-BR"/>
        </w:rPr>
        <w:t xml:space="preserve">. </w:t>
      </w:r>
      <w:r>
        <w:rPr>
          <w:rFonts w:ascii="Arial" w:hAnsi="Arial" w:eastAsia="Arial" w:cs="Arial"/>
          <w:highlight w:val="none"/>
        </w:rPr>
        <w:t xml:space="preserve">Coordenar e fiscalizar a entrega dos produtos pertinentes à aquisição. </w:t>
      </w:r>
      <w:r>
        <w:rPr>
          <w:rFonts w:ascii="Arial" w:hAnsi="Arial" w:cs="Arial"/>
          <w:highlight w:val="none"/>
        </w:rPr>
      </w:r>
      <w:r>
        <w:rPr>
          <w:rFonts w:ascii="Arial" w:hAnsi="Arial" w:cs="Arial"/>
          <w:highlight w:val="none"/>
        </w:rPr>
      </w:r>
    </w:p>
    <w:p w14:paraId="0B683519">
      <w:pPr>
        <w:pBdr/>
        <w:spacing/>
        <w:ind/>
        <w:jc w:val="both"/>
        <w:rPr>
          <w:rFonts w:ascii="Arial" w:hAnsi="Arial" w:cs="Arial"/>
          <w:highlight w:val="none"/>
        </w:rPr>
      </w:pPr>
      <w:r>
        <w:rPr>
          <w:rFonts w:ascii="Arial" w:hAnsi="Arial" w:eastAsia="Arial" w:cs="Arial"/>
          <w:b/>
          <w:bCs/>
          <w:highlight w:val="none"/>
          <w:lang w:val="pt-BR"/>
        </w:rPr>
        <w:t xml:space="preserve">6.9.9.</w:t>
      </w:r>
      <w:r>
        <w:rPr>
          <w:rFonts w:ascii="Arial" w:hAnsi="Arial" w:eastAsia="Arial" w:cs="Arial"/>
          <w:highlight w:val="none"/>
          <w:lang w:val="pt-BR"/>
        </w:rPr>
        <w:t xml:space="preserve"> </w:t>
      </w:r>
      <w:r>
        <w:rPr>
          <w:rFonts w:ascii="Arial" w:hAnsi="Arial" w:eastAsia="Arial" w:cs="Arial"/>
          <w:highlight w:val="none"/>
        </w:rPr>
        <w:t xml:space="preserve">Prestar as informações e os esclarecimentos que fizerem necessários. </w:t>
      </w:r>
      <w:r>
        <w:rPr>
          <w:rFonts w:ascii="Arial" w:hAnsi="Arial" w:cs="Arial"/>
          <w:highlight w:val="none"/>
        </w:rPr>
      </w:r>
      <w:r>
        <w:rPr>
          <w:rFonts w:ascii="Arial" w:hAnsi="Arial" w:cs="Arial"/>
          <w:highlight w:val="none"/>
        </w:rPr>
      </w:r>
    </w:p>
    <w:p w14:paraId="485D8F2E">
      <w:pPr>
        <w:pBdr/>
        <w:spacing/>
        <w:ind/>
        <w:jc w:val="both"/>
        <w:rPr>
          <w:rFonts w:ascii="Arial" w:hAnsi="Arial" w:cs="Arial"/>
          <w:b/>
          <w:bCs/>
          <w:highlight w:val="none"/>
        </w:rPr>
      </w:pPr>
      <w:r>
        <w:rPr>
          <w:rFonts w:ascii="Arial" w:hAnsi="Arial" w:eastAsia="Arial" w:cs="Arial"/>
          <w:b/>
          <w:bCs/>
          <w:highlight w:val="none"/>
          <w:lang w:val="pt-BR"/>
        </w:rPr>
        <w:t xml:space="preserve">6.10. </w:t>
      </w:r>
      <w:r>
        <w:rPr>
          <w:rFonts w:ascii="Arial" w:hAnsi="Arial" w:eastAsia="Arial" w:cs="Arial"/>
          <w:b/>
          <w:bCs/>
          <w:highlight w:val="none"/>
        </w:rPr>
        <w:t xml:space="preserve">DAS OBRIGAÇÕES DA CONTRATADA: </w:t>
      </w:r>
      <w:r>
        <w:rPr>
          <w:rFonts w:ascii="Arial" w:hAnsi="Arial" w:cs="Arial"/>
          <w:b/>
          <w:bCs/>
          <w:highlight w:val="none"/>
        </w:rPr>
      </w:r>
      <w:r>
        <w:rPr>
          <w:rFonts w:ascii="Arial" w:hAnsi="Arial" w:cs="Arial"/>
          <w:b/>
          <w:bCs/>
          <w:highlight w:val="none"/>
        </w:rPr>
      </w:r>
    </w:p>
    <w:p w14:paraId="15A335AD">
      <w:pPr>
        <w:pBdr/>
        <w:spacing/>
        <w:ind/>
        <w:jc w:val="both"/>
        <w:rPr>
          <w:rFonts w:ascii="Arial" w:hAnsi="Arial" w:cs="Arial"/>
          <w:highlight w:val="none"/>
        </w:rPr>
      </w:pPr>
      <w:r>
        <w:rPr>
          <w:rFonts w:ascii="Arial" w:hAnsi="Arial" w:eastAsia="Arial" w:cs="Arial"/>
          <w:b/>
          <w:bCs/>
          <w:highlight w:val="none"/>
          <w:lang w:val="pt-BR"/>
        </w:rPr>
        <w:t xml:space="preserve">6.10.1. </w:t>
      </w:r>
      <w:r>
        <w:rPr>
          <w:rFonts w:ascii="Arial" w:hAnsi="Arial" w:eastAsia="Arial" w:cs="Arial"/>
          <w:highlight w:val="none"/>
        </w:rPr>
        <w:t xml:space="preserve">Após a homologação da licitação, comparecer a Prefeitura Municipal para assinatura do contrato, ou outro documento equivalente, em até </w:t>
      </w:r>
      <w:r>
        <w:rPr>
          <w:rFonts w:ascii="Arial" w:hAnsi="Arial" w:eastAsia="Arial" w:cs="Arial"/>
          <w:highlight w:val="none"/>
          <w:lang w:val="pt-BR"/>
        </w:rPr>
        <w:t xml:space="preserve">05</w:t>
      </w:r>
      <w:r>
        <w:rPr>
          <w:rFonts w:ascii="Arial" w:hAnsi="Arial" w:eastAsia="Arial" w:cs="Arial"/>
          <w:highlight w:val="none"/>
        </w:rPr>
        <w:t xml:space="preserve"> (</w:t>
      </w:r>
      <w:r>
        <w:rPr>
          <w:rFonts w:ascii="Arial" w:hAnsi="Arial" w:eastAsia="Arial" w:cs="Arial"/>
          <w:highlight w:val="none"/>
          <w:lang w:val="pt-BR"/>
        </w:rPr>
        <w:t xml:space="preserve">cinco</w:t>
      </w:r>
      <w:r>
        <w:rPr>
          <w:rFonts w:ascii="Arial" w:hAnsi="Arial" w:eastAsia="Arial" w:cs="Arial"/>
          <w:highlight w:val="none"/>
        </w:rPr>
        <w:t xml:space="preserve">) dias úteis, contados do recebimento da convocação formal;</w:t>
      </w:r>
      <w:r>
        <w:rPr>
          <w:rFonts w:ascii="Arial" w:hAnsi="Arial" w:cs="Arial"/>
          <w:highlight w:val="none"/>
        </w:rPr>
      </w:r>
      <w:r>
        <w:rPr>
          <w:rFonts w:ascii="Arial" w:hAnsi="Arial" w:cs="Arial"/>
          <w:highlight w:val="none"/>
        </w:rPr>
      </w:r>
    </w:p>
    <w:p w14:paraId="7FBDD144">
      <w:pPr>
        <w:pBdr/>
        <w:spacing/>
        <w:ind/>
        <w:jc w:val="both"/>
        <w:rPr>
          <w:rFonts w:ascii="Arial" w:hAnsi="Arial" w:cs="Arial"/>
          <w:highlight w:val="none"/>
        </w:rPr>
      </w:pPr>
      <w:r>
        <w:rPr>
          <w:rFonts w:ascii="Arial" w:hAnsi="Arial" w:eastAsia="Arial" w:cs="Arial"/>
          <w:b/>
          <w:bCs/>
          <w:highlight w:val="none"/>
          <w:lang w:val="pt-BR"/>
        </w:rPr>
        <w:t xml:space="preserve">6.10.2. </w:t>
      </w:r>
      <w:r>
        <w:rPr>
          <w:rFonts w:ascii="Arial" w:hAnsi="Arial" w:eastAsia="Arial" w:cs="Arial"/>
          <w:highlight w:val="none"/>
        </w:rPr>
        <w:t xml:space="preserve">A Administração, em </w:t>
      </w:r>
      <w:r>
        <w:rPr>
          <w:rFonts w:ascii="Arial" w:hAnsi="Arial" w:eastAsia="Arial" w:cs="Arial"/>
          <w:highlight w:val="none"/>
        </w:rPr>
        <w:t xml:space="preserve">vez de convocar o adjudicatário, poderá encaminhá-lo, o instrumento contratual, mediante correspondência postal com aviso de recebimento (AR) ou meio eletrônico, para que seja assinado no prazo de 03 (três) dias úteis, a contar da data de seu recebimento. </w:t>
      </w:r>
      <w:r>
        <w:rPr>
          <w:rFonts w:ascii="Arial" w:hAnsi="Arial" w:cs="Arial"/>
          <w:highlight w:val="none"/>
        </w:rPr>
      </w:r>
      <w:r>
        <w:rPr>
          <w:rFonts w:ascii="Arial" w:hAnsi="Arial" w:cs="Arial"/>
          <w:highlight w:val="none"/>
        </w:rPr>
      </w:r>
    </w:p>
    <w:p w14:paraId="20F13E95">
      <w:pPr>
        <w:pBdr/>
        <w:spacing/>
        <w:ind/>
        <w:jc w:val="both"/>
        <w:rPr>
          <w:rFonts w:ascii="Arial" w:hAnsi="Arial" w:cs="Arial"/>
          <w:highlight w:val="none"/>
        </w:rPr>
      </w:pPr>
      <w:r>
        <w:rPr>
          <w:rFonts w:ascii="Arial" w:hAnsi="Arial" w:eastAsia="Arial" w:cs="Arial"/>
          <w:b/>
          <w:bCs/>
          <w:highlight w:val="none"/>
          <w:lang w:val="pt-BR"/>
        </w:rPr>
        <w:t xml:space="preserve">6.10.3. </w:t>
      </w:r>
      <w:r>
        <w:rPr>
          <w:rFonts w:ascii="Arial" w:hAnsi="Arial" w:eastAsia="Arial" w:cs="Arial"/>
          <w:highlight w:val="none"/>
        </w:rPr>
        <w:t xml:space="preserve">O prazo previsto no subitem anterior poderá ser prorrogado, por igual período, por solicitação justificada do adjudicatário e aceita pela Administração.</w:t>
      </w:r>
      <w:r>
        <w:rPr>
          <w:rFonts w:ascii="Arial" w:hAnsi="Arial" w:cs="Arial"/>
          <w:highlight w:val="none"/>
        </w:rPr>
      </w:r>
      <w:r>
        <w:rPr>
          <w:rFonts w:ascii="Arial" w:hAnsi="Arial" w:cs="Arial"/>
          <w:highlight w:val="none"/>
        </w:rPr>
      </w:r>
    </w:p>
    <w:p w14:paraId="41CDD23D">
      <w:pPr>
        <w:pBdr/>
        <w:spacing/>
        <w:ind/>
        <w:jc w:val="both"/>
        <w:rPr>
          <w:rFonts w:ascii="Arial" w:hAnsi="Arial" w:cs="Arial"/>
          <w:highlight w:val="none"/>
        </w:rPr>
      </w:pPr>
      <w:r>
        <w:rPr>
          <w:rFonts w:ascii="Arial" w:hAnsi="Arial" w:eastAsia="Arial" w:cs="Arial"/>
          <w:b/>
          <w:bCs/>
          <w:highlight w:val="none"/>
          <w:lang w:val="pt-BR"/>
        </w:rPr>
        <w:t xml:space="preserve">6.10.4</w:t>
      </w:r>
      <w:r>
        <w:rPr>
          <w:rFonts w:ascii="Arial" w:hAnsi="Arial" w:eastAsia="Arial" w:cs="Arial"/>
          <w:highlight w:val="none"/>
          <w:lang w:val="pt-BR"/>
        </w:rPr>
        <w:t xml:space="preserve">. </w:t>
      </w:r>
      <w:r>
        <w:rPr>
          <w:rFonts w:ascii="Arial" w:hAnsi="Arial" w:eastAsia="Arial" w:cs="Arial"/>
          <w:highlight w:val="none"/>
        </w:rPr>
        <w:t xml:space="preserve">Executar o fornecimento dentro dos padrões estabelecidos pela administração, de acordo com a especificação do Edital, responsabilizando-se por eventuais prejuízos decorrentes do descumprimento de condição estabelecida; </w:t>
      </w:r>
      <w:r>
        <w:rPr>
          <w:rFonts w:ascii="Arial" w:hAnsi="Arial" w:cs="Arial"/>
          <w:highlight w:val="none"/>
        </w:rPr>
      </w:r>
      <w:r>
        <w:rPr>
          <w:rFonts w:ascii="Arial" w:hAnsi="Arial" w:cs="Arial"/>
          <w:highlight w:val="none"/>
        </w:rPr>
      </w:r>
    </w:p>
    <w:p w14:paraId="1EE512FF">
      <w:pPr>
        <w:pBdr/>
        <w:spacing/>
        <w:ind/>
        <w:jc w:val="both"/>
        <w:rPr>
          <w:rFonts w:ascii="Arial" w:hAnsi="Arial" w:cs="Arial"/>
          <w:highlight w:val="none"/>
        </w:rPr>
      </w:pPr>
      <w:r>
        <w:rPr>
          <w:rFonts w:ascii="Arial" w:hAnsi="Arial" w:eastAsia="Arial" w:cs="Arial"/>
          <w:b/>
          <w:bCs/>
          <w:highlight w:val="none"/>
          <w:lang w:val="pt-BR"/>
        </w:rPr>
        <w:t xml:space="preserve">6.10.5. </w:t>
      </w:r>
      <w:r>
        <w:rPr>
          <w:rFonts w:ascii="Arial" w:hAnsi="Arial" w:eastAsia="Arial" w:cs="Arial"/>
          <w:highlight w:val="none"/>
        </w:rPr>
        <w:t xml:space="preserve">Dispor-se a toda e qualquer fiscalização da PREFEITURA, no tocante ao fornecimento do objeto licitado, assim como ao cumprimento das obrigações previstas na ata de registro de preços;</w:t>
      </w:r>
      <w:r>
        <w:rPr>
          <w:rFonts w:ascii="Arial" w:hAnsi="Arial" w:cs="Arial"/>
          <w:highlight w:val="none"/>
        </w:rPr>
      </w:r>
      <w:r>
        <w:rPr>
          <w:rFonts w:ascii="Arial" w:hAnsi="Arial" w:cs="Arial"/>
          <w:highlight w:val="none"/>
        </w:rPr>
      </w:r>
    </w:p>
    <w:p w14:paraId="3A3C85CA">
      <w:pPr>
        <w:pBdr/>
        <w:spacing/>
        <w:ind/>
        <w:jc w:val="both"/>
        <w:rPr>
          <w:rFonts w:ascii="Arial" w:hAnsi="Arial" w:cs="Arial"/>
          <w:highlight w:val="none"/>
        </w:rPr>
      </w:pPr>
      <w:r>
        <w:rPr>
          <w:rFonts w:ascii="Arial" w:hAnsi="Arial" w:eastAsia="Arial" w:cs="Arial"/>
          <w:b/>
          <w:bCs/>
          <w:highlight w:val="none"/>
          <w:lang w:val="pt-BR"/>
        </w:rPr>
        <w:t xml:space="preserve">6.10.6</w:t>
      </w:r>
      <w:r>
        <w:rPr>
          <w:rFonts w:ascii="Arial" w:hAnsi="Arial" w:eastAsia="Arial" w:cs="Arial"/>
          <w:highlight w:val="none"/>
          <w:lang w:val="pt-BR"/>
        </w:rPr>
        <w:t xml:space="preserve">. </w:t>
      </w:r>
      <w:r>
        <w:rPr>
          <w:rFonts w:ascii="Arial" w:hAnsi="Arial" w:eastAsia="Arial" w:cs="Arial"/>
          <w:highlight w:val="none"/>
        </w:rPr>
        <w:t xml:space="preserve">Prover todos os meios necessários à garantia da plena operacionalidade do fornecimento, inclusive considerados os casos de greve ou paralisação de qualquer natureza; </w:t>
      </w:r>
      <w:r>
        <w:rPr>
          <w:rFonts w:ascii="Arial" w:hAnsi="Arial" w:cs="Arial"/>
          <w:highlight w:val="none"/>
        </w:rPr>
      </w:r>
      <w:r>
        <w:rPr>
          <w:rFonts w:ascii="Arial" w:hAnsi="Arial" w:cs="Arial"/>
          <w:highlight w:val="none"/>
        </w:rPr>
      </w:r>
    </w:p>
    <w:p w14:paraId="1C482C71">
      <w:pPr>
        <w:pBdr/>
        <w:spacing/>
        <w:ind/>
        <w:jc w:val="both"/>
        <w:rPr>
          <w:rFonts w:ascii="Arial" w:hAnsi="Arial" w:cs="Arial"/>
          <w:highlight w:val="none"/>
        </w:rPr>
      </w:pPr>
      <w:r>
        <w:rPr>
          <w:rFonts w:ascii="Arial" w:hAnsi="Arial" w:eastAsia="Arial" w:cs="Arial"/>
          <w:b/>
          <w:bCs/>
          <w:highlight w:val="none"/>
          <w:lang w:val="pt-BR"/>
        </w:rPr>
        <w:t xml:space="preserve">6.10.7.</w:t>
      </w:r>
      <w:r>
        <w:rPr>
          <w:rFonts w:ascii="Arial" w:hAnsi="Arial" w:eastAsia="Arial" w:cs="Arial"/>
          <w:highlight w:val="none"/>
          <w:lang w:val="pt-BR"/>
        </w:rPr>
        <w:t xml:space="preserve"> </w:t>
      </w:r>
      <w:r>
        <w:rPr>
          <w:rFonts w:ascii="Arial" w:hAnsi="Arial" w:eastAsia="Arial" w:cs="Arial"/>
          <w:highlight w:val="none"/>
        </w:rPr>
        <w:t xml:space="preserve">O atraso na entrega do objeto licitado no prazo estabelecido em edital, não poderá ser alegado como motivo de</w:t>
      </w:r>
      <w:r>
        <w:rPr>
          <w:rFonts w:ascii="Arial" w:hAnsi="Arial" w:eastAsia="Arial" w:cs="Arial"/>
          <w:b/>
          <w:bCs/>
          <w:highlight w:val="none"/>
        </w:rPr>
        <w:t xml:space="preserve"> </w:t>
      </w:r>
      <w:r>
        <w:rPr>
          <w:rFonts w:ascii="Arial" w:hAnsi="Arial" w:eastAsia="Arial" w:cs="Arial"/>
          <w:highlight w:val="none"/>
        </w:rPr>
        <w:t xml:space="preserve">força maior, má execução ou inexecução da entrega, objeto do contrato e não a eximirá das penalidades a que está sujeita pelo não cumprimento dos prazos e demais condições estabelecidas; </w:t>
      </w:r>
      <w:r>
        <w:rPr>
          <w:rFonts w:ascii="Arial" w:hAnsi="Arial" w:cs="Arial"/>
          <w:highlight w:val="none"/>
        </w:rPr>
      </w:r>
      <w:r>
        <w:rPr>
          <w:rFonts w:ascii="Arial" w:hAnsi="Arial" w:cs="Arial"/>
          <w:highlight w:val="none"/>
        </w:rPr>
      </w:r>
    </w:p>
    <w:p w14:paraId="340E1524">
      <w:pPr>
        <w:pBdr/>
        <w:spacing/>
        <w:ind/>
        <w:jc w:val="both"/>
        <w:rPr>
          <w:rFonts w:ascii="Arial" w:hAnsi="Arial" w:cs="Arial"/>
          <w:highlight w:val="none"/>
        </w:rPr>
      </w:pPr>
      <w:r>
        <w:rPr>
          <w:rFonts w:ascii="Arial" w:hAnsi="Arial" w:eastAsia="Arial" w:cs="Arial"/>
          <w:b/>
          <w:bCs/>
          <w:highlight w:val="none"/>
          <w:lang w:val="pt-BR"/>
        </w:rPr>
        <w:t xml:space="preserve">6.10.8.</w:t>
      </w:r>
      <w:r>
        <w:rPr>
          <w:rFonts w:ascii="Arial" w:hAnsi="Arial" w:eastAsia="Arial" w:cs="Arial"/>
          <w:highlight w:val="none"/>
          <w:lang w:val="pt-BR"/>
        </w:rPr>
        <w:t xml:space="preserve"> </w:t>
      </w:r>
      <w:r>
        <w:rPr>
          <w:rFonts w:ascii="Arial" w:hAnsi="Arial" w:eastAsia="Arial" w:cs="Arial"/>
          <w:highlight w:val="none"/>
        </w:rPr>
        <w:t xml:space="preserve">Comunicar imediatamente à PREFEITURA qualquer alteração ocorrida no endereço, conta bancária e outros dados julgáveis necessários para recebimento de correspondência; </w:t>
      </w:r>
      <w:r>
        <w:rPr>
          <w:rFonts w:ascii="Arial" w:hAnsi="Arial" w:cs="Arial"/>
          <w:highlight w:val="none"/>
        </w:rPr>
      </w:r>
      <w:r>
        <w:rPr>
          <w:rFonts w:ascii="Arial" w:hAnsi="Arial" w:cs="Arial"/>
          <w:highlight w:val="none"/>
        </w:rPr>
      </w:r>
    </w:p>
    <w:p w14:paraId="307E4068">
      <w:pPr>
        <w:pBdr/>
        <w:spacing/>
        <w:ind/>
        <w:jc w:val="both"/>
        <w:rPr>
          <w:rFonts w:ascii="Arial" w:hAnsi="Arial" w:cs="Arial"/>
          <w:highlight w:val="none"/>
        </w:rPr>
      </w:pPr>
      <w:r>
        <w:rPr>
          <w:rFonts w:ascii="Arial" w:hAnsi="Arial" w:eastAsia="Arial" w:cs="Arial"/>
          <w:b/>
          <w:bCs/>
          <w:highlight w:val="none"/>
          <w:lang w:val="pt-BR"/>
        </w:rPr>
        <w:t xml:space="preserve">6.10.9.</w:t>
      </w:r>
      <w:r>
        <w:rPr>
          <w:rFonts w:ascii="Arial" w:hAnsi="Arial" w:eastAsia="Arial" w:cs="Arial"/>
          <w:highlight w:val="none"/>
          <w:lang w:val="pt-BR"/>
        </w:rPr>
        <w:t xml:space="preserve"> </w:t>
      </w:r>
      <w:r>
        <w:rPr>
          <w:rFonts w:ascii="Arial" w:hAnsi="Arial" w:eastAsia="Arial" w:cs="Arial"/>
          <w:highlight w:val="none"/>
        </w:rPr>
        <w:t xml:space="preserve">Fiscalizar o perfeito cumprimento do fornecimento a que se obrigou, cabendo-lhe, integralmente, os ônus decorrentes. Tal fiscalização dar-se-á independentemente da que será exercida pela PREFEITURA; </w:t>
      </w:r>
      <w:r>
        <w:rPr>
          <w:rFonts w:ascii="Arial" w:hAnsi="Arial" w:cs="Arial"/>
          <w:highlight w:val="none"/>
        </w:rPr>
      </w:r>
      <w:r>
        <w:rPr>
          <w:rFonts w:ascii="Arial" w:hAnsi="Arial" w:cs="Arial"/>
          <w:highlight w:val="none"/>
        </w:rPr>
      </w:r>
    </w:p>
    <w:p w14:paraId="329D5668">
      <w:pPr>
        <w:pBdr/>
        <w:spacing/>
        <w:ind/>
        <w:jc w:val="both"/>
        <w:rPr>
          <w:rFonts w:ascii="Arial" w:hAnsi="Arial" w:cs="Arial"/>
          <w:highlight w:val="none"/>
        </w:rPr>
      </w:pPr>
      <w:r>
        <w:rPr>
          <w:rFonts w:ascii="Arial" w:hAnsi="Arial" w:eastAsia="Arial" w:cs="Arial"/>
          <w:b/>
          <w:bCs/>
          <w:highlight w:val="none"/>
          <w:lang w:val="pt-BR"/>
        </w:rPr>
        <w:t xml:space="preserve">6.10.10.</w:t>
      </w:r>
      <w:r>
        <w:rPr>
          <w:rFonts w:ascii="Arial" w:hAnsi="Arial" w:eastAsia="Arial" w:cs="Arial"/>
          <w:highlight w:val="none"/>
          <w:lang w:val="pt-BR"/>
        </w:rPr>
        <w:t xml:space="preserve"> </w:t>
      </w:r>
      <w:r>
        <w:rPr>
          <w:rFonts w:ascii="Arial" w:hAnsi="Arial" w:eastAsia="Arial" w:cs="Arial"/>
          <w:highlight w:val="none"/>
        </w:rPr>
        <w:t xml:space="preserve">Indenizar terceiros e/ou ao Órgão/Entidade, mesmo em c</w:t>
      </w:r>
      <w:r>
        <w:rPr>
          <w:rFonts w:ascii="Arial" w:hAnsi="Arial" w:eastAsia="Arial" w:cs="Arial"/>
          <w:highlight w:val="none"/>
        </w:rPr>
        <w:t xml:space="preserve">aso de ausência ou omissão de fiscalização de sua parte, pelos danos causados por sua culpa ou dolo, devendo a contratada adotar todas as medidas preventivas, com fiel observância às exigências das autoridades competentes e às disposições legais vigentes; </w:t>
      </w:r>
      <w:r>
        <w:rPr>
          <w:rFonts w:ascii="Arial" w:hAnsi="Arial" w:cs="Arial"/>
          <w:highlight w:val="none"/>
        </w:rPr>
      </w:r>
      <w:r>
        <w:rPr>
          <w:rFonts w:ascii="Arial" w:hAnsi="Arial" w:cs="Arial"/>
          <w:highlight w:val="none"/>
        </w:rPr>
      </w:r>
    </w:p>
    <w:p w14:paraId="2621BC49">
      <w:pPr>
        <w:pBdr/>
        <w:spacing/>
        <w:ind/>
        <w:jc w:val="both"/>
        <w:rPr>
          <w:rFonts w:ascii="Arial" w:hAnsi="Arial" w:cs="Arial"/>
          <w:highlight w:val="none"/>
        </w:rPr>
      </w:pPr>
      <w:r>
        <w:rPr>
          <w:rFonts w:ascii="Arial" w:hAnsi="Arial" w:eastAsia="Arial" w:cs="Arial"/>
          <w:b/>
          <w:bCs/>
          <w:highlight w:val="none"/>
          <w:lang w:val="pt-BR"/>
        </w:rPr>
        <w:t xml:space="preserve">6.10.11.</w:t>
      </w:r>
      <w:r>
        <w:rPr>
          <w:rFonts w:ascii="Arial" w:hAnsi="Arial" w:eastAsia="Arial" w:cs="Arial"/>
          <w:highlight w:val="none"/>
          <w:lang w:val="pt-BR"/>
        </w:rPr>
        <w:t xml:space="preserve"> </w:t>
      </w:r>
      <w:r>
        <w:rPr>
          <w:rFonts w:ascii="Arial" w:hAnsi="Arial" w:eastAsia="Arial" w:cs="Arial"/>
          <w:highlight w:val="none"/>
        </w:rPr>
        <w:t xml:space="preserve">A contratada ficará obrigada a aceitar nas mesmas condições deste edital, os acréscimos ou supressões que se fizerem necessários, até 25% (vinte e cinco por cento) do valor do objeto adjudicado, devendo supressões acima desse </w:t>
      </w:r>
      <w:r>
        <w:rPr>
          <w:rFonts w:ascii="Arial" w:hAnsi="Arial" w:eastAsia="Arial" w:cs="Arial"/>
          <w:highlight w:val="none"/>
        </w:rPr>
        <w:t xml:space="preserve">limite ser resultantes de acordo entre as partes; </w:t>
      </w:r>
      <w:r>
        <w:rPr>
          <w:rFonts w:ascii="Arial" w:hAnsi="Arial" w:cs="Arial"/>
          <w:highlight w:val="none"/>
        </w:rPr>
      </w:r>
      <w:r>
        <w:rPr>
          <w:rFonts w:ascii="Arial" w:hAnsi="Arial" w:cs="Arial"/>
          <w:highlight w:val="none"/>
        </w:rPr>
      </w:r>
    </w:p>
    <w:p w14:paraId="486F29B9">
      <w:pPr>
        <w:pBdr/>
        <w:spacing/>
        <w:ind/>
        <w:jc w:val="both"/>
        <w:rPr>
          <w:rFonts w:ascii="Arial" w:hAnsi="Arial" w:cs="Arial"/>
          <w:highlight w:val="none"/>
        </w:rPr>
      </w:pPr>
      <w:r>
        <w:rPr>
          <w:rFonts w:ascii="Arial" w:hAnsi="Arial" w:eastAsia="Arial" w:cs="Arial"/>
          <w:b/>
          <w:bCs/>
          <w:highlight w:val="none"/>
          <w:lang w:val="pt-BR"/>
        </w:rPr>
        <w:t xml:space="preserve">6.10.12</w:t>
      </w:r>
      <w:r>
        <w:rPr>
          <w:rFonts w:ascii="Arial" w:hAnsi="Arial" w:eastAsia="Arial" w:cs="Arial"/>
          <w:highlight w:val="none"/>
          <w:lang w:val="pt-BR"/>
        </w:rPr>
        <w:t xml:space="preserve">. </w:t>
      </w:r>
      <w:r>
        <w:rPr>
          <w:rFonts w:ascii="Arial" w:hAnsi="Arial" w:eastAsia="Arial" w:cs="Arial"/>
          <w:highlight w:val="none"/>
        </w:rPr>
        <w:t xml:space="preserve">Arcar</w:t>
      </w:r>
      <w:r>
        <w:rPr>
          <w:rFonts w:ascii="Arial" w:hAnsi="Arial" w:eastAsia="Arial" w:cs="Arial"/>
          <w:highlight w:val="none"/>
        </w:rPr>
        <w:t xml:space="preserve"> com todo e qualquer tipo de autuação ou ação que venha a sofrer em decorrência do fornecimento em questão, bem como pelos mesmos nos casos que envolvam eventuais decisões judiciais, eximindo o Órgão/Entidade de qualquer solidariedade ou responsabilidade. </w:t>
      </w:r>
      <w:r>
        <w:rPr>
          <w:rFonts w:ascii="Arial" w:hAnsi="Arial" w:cs="Arial"/>
          <w:highlight w:val="none"/>
        </w:rPr>
      </w:r>
      <w:r>
        <w:rPr>
          <w:rFonts w:ascii="Arial" w:hAnsi="Arial" w:cs="Arial"/>
          <w:highlight w:val="none"/>
        </w:rPr>
      </w:r>
    </w:p>
    <w:p w14:paraId="53DA547B">
      <w:pPr>
        <w:pBdr/>
        <w:spacing/>
        <w:ind/>
        <w:jc w:val="both"/>
        <w:rPr>
          <w:rFonts w:ascii="Arial" w:hAnsi="Arial" w:cs="Arial"/>
          <w:highlight w:val="none"/>
        </w:rPr>
      </w:pPr>
      <w:r>
        <w:rPr>
          <w:rFonts w:ascii="Arial" w:hAnsi="Arial" w:eastAsia="Arial" w:cs="Arial"/>
          <w:b/>
          <w:bCs/>
          <w:highlight w:val="none"/>
          <w:lang w:val="pt-BR"/>
        </w:rPr>
        <w:t xml:space="preserve">6.10.13</w:t>
      </w:r>
      <w:r>
        <w:rPr>
          <w:rFonts w:ascii="Arial" w:hAnsi="Arial" w:eastAsia="Arial" w:cs="Arial"/>
          <w:highlight w:val="none"/>
          <w:lang w:val="pt-BR"/>
        </w:rPr>
        <w:t xml:space="preserve">. </w:t>
      </w:r>
      <w:r>
        <w:rPr>
          <w:rFonts w:ascii="Arial" w:hAnsi="Arial" w:eastAsia="Arial" w:cs="Arial"/>
          <w:highlight w:val="none"/>
        </w:rPr>
        <w:t xml:space="preserve">Todos os impostos e taxas que forem devidos em decorrência das contratações do objeto do Edital correrão por conta exclusiva da contratada. </w:t>
      </w:r>
      <w:r>
        <w:rPr>
          <w:rFonts w:ascii="Arial" w:hAnsi="Arial" w:cs="Arial"/>
          <w:highlight w:val="none"/>
        </w:rPr>
      </w:r>
      <w:r>
        <w:rPr>
          <w:rFonts w:ascii="Arial" w:hAnsi="Arial" w:cs="Arial"/>
          <w:highlight w:val="none"/>
        </w:rPr>
      </w:r>
    </w:p>
    <w:p w14:paraId="7EEDCECA">
      <w:pPr>
        <w:pBdr/>
        <w:spacing/>
        <w:ind/>
        <w:jc w:val="both"/>
        <w:rPr>
          <w:rFonts w:ascii="Arial" w:hAnsi="Arial" w:cs="Arial"/>
          <w:highlight w:val="none"/>
        </w:rPr>
      </w:pPr>
      <w:r>
        <w:rPr>
          <w:rFonts w:ascii="Arial" w:hAnsi="Arial" w:eastAsia="Arial" w:cs="Arial"/>
          <w:b/>
          <w:bCs/>
          <w:highlight w:val="none"/>
          <w:lang w:val="pt-BR"/>
        </w:rPr>
        <w:t xml:space="preserve">6.10.14.</w:t>
      </w:r>
      <w:r>
        <w:rPr>
          <w:rFonts w:ascii="Arial" w:hAnsi="Arial" w:eastAsia="Arial" w:cs="Arial"/>
          <w:highlight w:val="none"/>
          <w:lang w:val="pt-BR"/>
        </w:rPr>
        <w:t xml:space="preserve"> </w:t>
      </w:r>
      <w:r>
        <w:rPr>
          <w:rFonts w:ascii="Arial" w:hAnsi="Arial" w:eastAsia="Arial" w:cs="Arial"/>
          <w:highlight w:val="none"/>
        </w:rPr>
        <w:t xml:space="preserve">Como condição para pagamento, a licitante vencedora deverá obrigatoriamente apresentar novamente a documentação que comprova sua regularidade fiscal e trabalhista, conforme apresentado na fase de habilitação.</w:t>
      </w:r>
      <w:r>
        <w:rPr>
          <w:rFonts w:ascii="Arial" w:hAnsi="Arial" w:cs="Arial"/>
          <w:highlight w:val="none"/>
        </w:rPr>
      </w:r>
      <w:r>
        <w:rPr>
          <w:rFonts w:ascii="Arial" w:hAnsi="Arial" w:cs="Arial"/>
          <w:highlight w:val="none"/>
        </w:rPr>
      </w:r>
    </w:p>
    <w:p w14:paraId="5BCB78ED">
      <w:pPr>
        <w:pBdr/>
        <w:spacing/>
        <w:ind/>
        <w:jc w:val="both"/>
        <w:rPr>
          <w:rFonts w:ascii="Arial" w:hAnsi="Arial" w:cs="Arial"/>
          <w:highlight w:val="none"/>
        </w:rPr>
      </w:pPr>
      <w:r>
        <w:rPr>
          <w:rFonts w:ascii="Arial" w:hAnsi="Arial" w:eastAsia="Arial" w:cs="Arial"/>
          <w:b/>
          <w:bCs/>
          <w:highlight w:val="none"/>
          <w:lang w:val="pt-BR"/>
        </w:rPr>
        <w:t xml:space="preserve">6.10.15.</w:t>
      </w:r>
      <w:r>
        <w:rPr>
          <w:rFonts w:ascii="Arial" w:hAnsi="Arial" w:eastAsia="Arial" w:cs="Arial"/>
          <w:highlight w:val="none"/>
          <w:lang w:val="pt-BR"/>
        </w:rPr>
        <w:t xml:space="preserve"> </w:t>
      </w:r>
      <w:r>
        <w:rPr>
          <w:rFonts w:ascii="Arial" w:hAnsi="Arial" w:eastAsia="Arial" w:cs="Arial"/>
          <w:highlight w:val="none"/>
        </w:rPr>
        <w:t xml:space="preserve">Cumprir integralmente a legislação trabalhista e previdenciária vigente, em especial as exigências relativas à reserva legal de cargos para pessoas com deficiência (Lei nº 8.213/1991), beneficiários reabilitados da Prev</w:t>
      </w:r>
      <w:r>
        <w:rPr>
          <w:rFonts w:ascii="Arial" w:hAnsi="Arial" w:eastAsia="Arial" w:cs="Arial"/>
          <w:highlight w:val="none"/>
        </w:rPr>
        <w:t xml:space="preserve">idência Social e aprendizes (Lei nº 10.097/2000), bem como observar as normas correlatas expedidas pelos órgãos competentes. O não atendimento a essas obrigações poderá ensejar aplicação de sanções administrativas, sem prejuízo das demais medidas cabíveis.</w:t>
      </w:r>
      <w:r>
        <w:rPr>
          <w:rFonts w:ascii="Arial" w:hAnsi="Arial" w:cs="Arial"/>
          <w:highlight w:val="none"/>
        </w:rPr>
      </w:r>
      <w:r>
        <w:rPr>
          <w:rFonts w:ascii="Arial" w:hAnsi="Arial" w:cs="Arial"/>
          <w:highlight w:val="none"/>
        </w:rPr>
      </w:r>
    </w:p>
    <w:p w14:paraId="2CA8E913">
      <w:pPr>
        <w:pBdr/>
        <w:spacing/>
        <w:ind/>
        <w:jc w:val="both"/>
        <w:rPr>
          <w:rFonts w:ascii="Arial" w:hAnsi="Arial" w:cs="Arial"/>
          <w:highlight w:val="none"/>
        </w:rPr>
      </w:pPr>
      <w:r>
        <w:rPr>
          <w:rFonts w:ascii="Arial" w:hAnsi="Arial" w:eastAsia="Arial" w:cs="Arial"/>
          <w:b/>
          <w:bCs/>
          <w:highlight w:val="none"/>
          <w:lang w:val="pt-BR"/>
        </w:rPr>
        <w:t xml:space="preserve">6.10.16.</w:t>
      </w:r>
      <w:r>
        <w:rPr>
          <w:rFonts w:ascii="Arial" w:hAnsi="Arial" w:eastAsia="Arial" w:cs="Arial"/>
          <w:highlight w:val="none"/>
          <w:lang w:val="pt-BR"/>
        </w:rPr>
        <w:t xml:space="preserve"> </w:t>
      </w:r>
      <w:r>
        <w:rPr>
          <w:rFonts w:ascii="Arial" w:hAnsi="Arial" w:eastAsia="Arial" w:cs="Arial"/>
          <w:highlight w:val="none"/>
        </w:rPr>
        <w:t xml:space="preserve">A Contratada deverá conceder livre acesso aos d</w:t>
      </w:r>
      <w:r>
        <w:rPr>
          <w:rFonts w:ascii="Arial" w:hAnsi="Arial" w:eastAsia="Arial" w:cs="Arial"/>
          <w:highlight w:val="none"/>
        </w:rPr>
        <w:t xml:space="preserve">ocumentos e registros contábeis relacionados ao objeto da licitação, sempre que solicitado, aos servidores ou empregados do órgão ou entidade contratante responsáveis pela gestão e fiscalização contratual, bem como aos órgãos de controle interno e externo.</w:t>
      </w:r>
      <w:r>
        <w:rPr>
          <w:rFonts w:ascii="Arial" w:hAnsi="Arial" w:cs="Arial"/>
          <w:highlight w:val="none"/>
        </w:rPr>
      </w:r>
      <w:r>
        <w:rPr>
          <w:rFonts w:ascii="Arial" w:hAnsi="Arial" w:cs="Arial"/>
          <w:highlight w:val="none"/>
        </w:rPr>
      </w:r>
    </w:p>
    <w:p w14:paraId="63E61F29">
      <w:pPr>
        <w:pBdr/>
        <w:spacing/>
        <w:ind/>
        <w:jc w:val="both"/>
        <w:rPr>
          <w:rFonts w:ascii="Arial" w:hAnsi="Arial" w:cs="Arial"/>
          <w:b/>
          <w:bCs/>
          <w:highlight w:val="none"/>
        </w:rPr>
      </w:pPr>
      <w:r>
        <w:rPr>
          <w:rFonts w:ascii="Arial" w:hAnsi="Arial" w:eastAsia="Arial" w:cs="Arial"/>
          <w:b/>
          <w:bCs/>
          <w:highlight w:val="none"/>
          <w:lang w:val="pt-BR"/>
        </w:rPr>
        <w:t xml:space="preserve">6.11. </w:t>
      </w:r>
      <w:r>
        <w:rPr>
          <w:rFonts w:ascii="Arial" w:hAnsi="Arial" w:eastAsia="Arial" w:cs="Arial"/>
          <w:b/>
          <w:bCs/>
          <w:highlight w:val="none"/>
        </w:rPr>
        <w:t xml:space="preserve">EXTINÇÃO DO CONTRATO</w:t>
      </w:r>
      <w:r>
        <w:rPr>
          <w:rFonts w:ascii="Arial" w:hAnsi="Arial" w:cs="Arial"/>
          <w:b/>
          <w:bCs/>
          <w:highlight w:val="none"/>
        </w:rPr>
      </w:r>
      <w:r>
        <w:rPr>
          <w:rFonts w:ascii="Arial" w:hAnsi="Arial" w:cs="Arial"/>
          <w:b/>
          <w:bCs/>
          <w:highlight w:val="none"/>
        </w:rPr>
      </w:r>
    </w:p>
    <w:p w14:paraId="35AB03F5">
      <w:pPr>
        <w:pBdr/>
        <w:spacing/>
        <w:ind/>
        <w:jc w:val="both"/>
        <w:rPr>
          <w:rFonts w:ascii="Arial" w:hAnsi="Arial" w:cs="Arial"/>
          <w:highlight w:val="none"/>
        </w:rPr>
      </w:pPr>
      <w:r>
        <w:rPr>
          <w:rFonts w:ascii="Arial" w:hAnsi="Arial" w:eastAsia="Arial" w:cs="Arial"/>
          <w:b/>
          <w:bCs/>
          <w:highlight w:val="none"/>
          <w:lang w:val="pt-BR"/>
        </w:rPr>
        <w:t xml:space="preserve">6.11.1.</w:t>
      </w:r>
      <w:r>
        <w:rPr>
          <w:rFonts w:ascii="Arial" w:hAnsi="Arial" w:eastAsia="Arial" w:cs="Arial"/>
          <w:highlight w:val="none"/>
          <w:lang w:val="pt-BR"/>
        </w:rPr>
        <w:t xml:space="preserve"> </w:t>
      </w:r>
      <w:r>
        <w:rPr>
          <w:rFonts w:ascii="Arial" w:hAnsi="Arial" w:eastAsia="Arial" w:cs="Arial"/>
          <w:highlight w:val="none"/>
        </w:rPr>
        <w:t xml:space="preserve">A inexecução total ou parcial do contrato enseja a sua extinção, com as consequências contratuais e as previstas em lei ou regulamento administrativo;</w:t>
      </w:r>
      <w:r>
        <w:rPr>
          <w:rFonts w:ascii="Arial" w:hAnsi="Arial" w:cs="Arial"/>
          <w:highlight w:val="none"/>
        </w:rPr>
      </w:r>
      <w:r>
        <w:rPr>
          <w:rFonts w:ascii="Arial" w:hAnsi="Arial" w:cs="Arial"/>
          <w:highlight w:val="none"/>
        </w:rPr>
      </w:r>
    </w:p>
    <w:p w14:paraId="6E098D70">
      <w:pPr>
        <w:pBdr/>
        <w:spacing/>
        <w:ind/>
        <w:jc w:val="both"/>
        <w:rPr>
          <w:rFonts w:ascii="Arial" w:hAnsi="Arial" w:cs="Arial"/>
          <w:highlight w:val="none"/>
        </w:rPr>
      </w:pPr>
      <w:r>
        <w:rPr>
          <w:rFonts w:ascii="Arial" w:hAnsi="Arial" w:eastAsia="Arial" w:cs="Arial"/>
          <w:b/>
          <w:bCs/>
          <w:highlight w:val="none"/>
          <w:lang w:val="pt-BR"/>
        </w:rPr>
        <w:t xml:space="preserve">6.11.2</w:t>
      </w:r>
      <w:r>
        <w:rPr>
          <w:rFonts w:ascii="Arial" w:hAnsi="Arial" w:eastAsia="Arial" w:cs="Arial"/>
          <w:highlight w:val="none"/>
          <w:lang w:val="pt-BR"/>
        </w:rPr>
        <w:t xml:space="preserve">. </w:t>
      </w:r>
      <w:r>
        <w:rPr>
          <w:rFonts w:ascii="Arial" w:hAnsi="Arial" w:eastAsia="Arial" w:cs="Arial"/>
          <w:highlight w:val="none"/>
        </w:rPr>
        <w:t xml:space="preserve">Poderão ser motivos de extinção contratual, as hipóteses descritas no Art. 137 da lei 14.133/21, podendo a mesmo ser unilateral, amigável ou judicial, podendo ocorrer nos termos e condições do Art.138 e 139 da referida lei e suas alterações;</w:t>
      </w:r>
      <w:r>
        <w:rPr>
          <w:rFonts w:ascii="Arial" w:hAnsi="Arial" w:cs="Arial"/>
          <w:highlight w:val="none"/>
        </w:rPr>
      </w:r>
      <w:r>
        <w:rPr>
          <w:rFonts w:ascii="Arial" w:hAnsi="Arial" w:cs="Arial"/>
          <w:highlight w:val="none"/>
        </w:rPr>
      </w:r>
    </w:p>
    <w:p w14:paraId="32BAE9D2">
      <w:pPr>
        <w:pBdr/>
        <w:spacing/>
        <w:ind/>
        <w:jc w:val="both"/>
        <w:rPr>
          <w:rFonts w:ascii="Arial" w:hAnsi="Arial" w:cs="Arial"/>
          <w:highlight w:val="none"/>
        </w:rPr>
      </w:pPr>
      <w:r>
        <w:rPr>
          <w:rFonts w:ascii="Arial" w:hAnsi="Arial" w:eastAsia="Arial" w:cs="Arial"/>
          <w:b/>
          <w:bCs/>
          <w:highlight w:val="none"/>
          <w:lang w:val="pt-BR"/>
        </w:rPr>
        <w:t xml:space="preserve">6.11.3</w:t>
      </w:r>
      <w:r>
        <w:rPr>
          <w:rFonts w:ascii="Arial" w:hAnsi="Arial" w:eastAsia="Arial" w:cs="Arial"/>
          <w:highlight w:val="none"/>
          <w:lang w:val="pt-BR"/>
        </w:rPr>
        <w:t xml:space="preserve">. </w:t>
      </w:r>
      <w:r>
        <w:rPr>
          <w:rFonts w:ascii="Arial" w:hAnsi="Arial" w:eastAsia="Arial" w:cs="Arial"/>
          <w:highlight w:val="none"/>
        </w:rPr>
        <w:t xml:space="preserve">A CONTRATADA reconhece os direitos da CONTRATANTE nos casos de extinção do § 2º Art. 138 da lei 14.133/21.</w:t>
      </w:r>
      <w:r>
        <w:rPr>
          <w:rFonts w:ascii="Arial" w:hAnsi="Arial" w:cs="Arial"/>
          <w:highlight w:val="none"/>
        </w:rPr>
      </w:r>
      <w:r>
        <w:rPr>
          <w:rFonts w:ascii="Arial" w:hAnsi="Arial" w:cs="Arial"/>
          <w:highlight w:val="none"/>
        </w:rPr>
      </w:r>
    </w:p>
    <w:p w14:paraId="5513D213">
      <w:pPr>
        <w:pBdr/>
        <w:spacing/>
        <w:ind/>
        <w:jc w:val="both"/>
        <w:rPr>
          <w:rFonts w:ascii="Arial" w:hAnsi="Arial" w:cs="Arial"/>
          <w:b/>
          <w:bCs/>
          <w:highlight w:val="none"/>
        </w:rPr>
      </w:pPr>
      <w:r>
        <w:rPr>
          <w:rFonts w:ascii="Arial" w:hAnsi="Arial" w:eastAsia="Arial" w:cs="Arial"/>
          <w:b/>
          <w:bCs/>
          <w:highlight w:val="none"/>
          <w:lang w:val="pt-BR"/>
        </w:rPr>
        <w:t xml:space="preserve">6.12. </w:t>
      </w:r>
      <w:r>
        <w:rPr>
          <w:rFonts w:ascii="Arial" w:hAnsi="Arial" w:eastAsia="Arial" w:cs="Arial"/>
          <w:b/>
          <w:bCs/>
          <w:highlight w:val="none"/>
        </w:rPr>
        <w:t xml:space="preserve">DO REAJUSTE DO CONTRATO</w:t>
      </w:r>
      <w:r>
        <w:rPr>
          <w:rFonts w:ascii="Arial" w:hAnsi="Arial" w:cs="Arial"/>
          <w:b/>
          <w:bCs/>
          <w:highlight w:val="none"/>
        </w:rPr>
      </w:r>
      <w:r>
        <w:rPr>
          <w:rFonts w:ascii="Arial" w:hAnsi="Arial" w:cs="Arial"/>
          <w:b/>
          <w:bCs/>
          <w:highlight w:val="none"/>
        </w:rPr>
      </w:r>
    </w:p>
    <w:p w14:paraId="6C44A817">
      <w:pPr>
        <w:pBdr/>
        <w:spacing/>
        <w:ind/>
        <w:jc w:val="both"/>
        <w:rPr>
          <w:rFonts w:ascii="Arial" w:hAnsi="Arial" w:cs="Arial"/>
          <w:highlight w:val="none"/>
        </w:rPr>
      </w:pPr>
      <w:r>
        <w:rPr>
          <w:rFonts w:ascii="Arial" w:hAnsi="Arial" w:eastAsia="Arial" w:cs="Arial"/>
          <w:b/>
          <w:bCs/>
          <w:highlight w:val="none"/>
          <w:lang w:val="pt-BR"/>
        </w:rPr>
        <w:t xml:space="preserve">6.12.1.</w:t>
      </w:r>
      <w:r>
        <w:rPr>
          <w:rFonts w:ascii="Arial" w:hAnsi="Arial" w:eastAsia="Arial" w:cs="Arial"/>
          <w:highlight w:val="none"/>
          <w:lang w:val="pt-BR"/>
        </w:rPr>
        <w:t xml:space="preserve"> Os preços</w:t>
      </w:r>
      <w:r>
        <w:rPr>
          <w:rFonts w:ascii="Arial" w:hAnsi="Arial" w:eastAsia="Arial" w:cs="Arial"/>
          <w:highlight w:val="none"/>
          <w:lang w:val="pt-BR"/>
        </w:rPr>
        <w:t xml:space="preserve"> registrados e os contratos decorrentes da Ata de Registro de Preços observarão as regras de reajuste, revisão e reequilíbrio econômico-financeiro previstas na Lei Federal nº 14.133/2021, neste Termo de Referência, no Edital e na Ata de Registro de Preços.</w:t>
      </w:r>
      <w:r>
        <w:rPr>
          <w:rFonts w:ascii="Arial" w:hAnsi="Arial" w:cs="Arial"/>
          <w:highlight w:val="none"/>
        </w:rPr>
      </w:r>
      <w:r>
        <w:rPr>
          <w:rFonts w:ascii="Arial" w:hAnsi="Arial" w:cs="Arial"/>
          <w:highlight w:val="none"/>
        </w:rPr>
      </w:r>
    </w:p>
    <w:p w14:paraId="18EA2643">
      <w:pPr>
        <w:pBdr/>
        <w:spacing/>
        <w:ind/>
        <w:jc w:val="both"/>
        <w:rPr>
          <w:rFonts w:ascii="Arial" w:hAnsi="Arial" w:cs="Arial"/>
          <w:highlight w:val="none"/>
        </w:rPr>
      </w:pPr>
      <w:r>
        <w:rPr>
          <w:rFonts w:ascii="Arial" w:hAnsi="Arial" w:eastAsia="Arial" w:cs="Arial"/>
          <w:b/>
          <w:bCs/>
          <w:highlight w:val="none"/>
          <w:lang w:val="pt-BR"/>
        </w:rPr>
        <w:t xml:space="preserve">6.12.2.</w:t>
      </w:r>
      <w:r>
        <w:rPr>
          <w:rFonts w:ascii="Arial" w:hAnsi="Arial" w:eastAsia="Arial" w:cs="Arial"/>
          <w:highlight w:val="none"/>
          <w:lang w:val="pt-BR"/>
        </w:rPr>
        <w:t xml:space="preserve"> Quando cabível, o reajust</w:t>
      </w:r>
      <w:r>
        <w:rPr>
          <w:rFonts w:ascii="Arial" w:hAnsi="Arial" w:eastAsia="Arial" w:cs="Arial"/>
          <w:highlight w:val="none"/>
          <w:lang w:val="pt-BR"/>
        </w:rPr>
        <w:t xml:space="preserve">e será concedido após o interregno mínimo de 12 (doze) meses, contado da data do orçamento estimado da contratação, utilizando-se o Índice Nacional de Preços ao Consumidor Amplo – IPCA, divulgado pelo IBGE, ou outro índice oficial que venha a substituí-lo.</w:t>
      </w:r>
      <w:r>
        <w:rPr>
          <w:rFonts w:ascii="Arial" w:hAnsi="Arial" w:cs="Arial"/>
          <w:highlight w:val="none"/>
        </w:rPr>
      </w:r>
      <w:r>
        <w:rPr>
          <w:rFonts w:ascii="Arial" w:hAnsi="Arial" w:cs="Arial"/>
          <w:highlight w:val="none"/>
        </w:rPr>
      </w:r>
    </w:p>
    <w:p w14:paraId="5E56D955">
      <w:pPr>
        <w:pBdr/>
        <w:spacing/>
        <w:ind/>
        <w:jc w:val="both"/>
        <w:rPr>
          <w:rFonts w:ascii="Arial" w:hAnsi="Arial" w:cs="Arial"/>
          <w:b/>
          <w:bCs/>
          <w:sz w:val="18"/>
          <w:szCs w:val="18"/>
          <w:highlight w:val="none"/>
        </w:rPr>
      </w:pPr>
      <w:r>
        <w:rPr>
          <w:rFonts w:ascii="Arial" w:hAnsi="Arial" w:eastAsia="Arial" w:cs="Arial"/>
          <w:b/>
          <w:bCs/>
          <w:sz w:val="18"/>
          <w:szCs w:val="18"/>
          <w:highlight w:val="none"/>
          <w:lang w:val="pt-BR"/>
        </w:rPr>
      </w:r>
      <w:r>
        <w:rPr>
          <w:rFonts w:ascii="Arial" w:hAnsi="Arial" w:cs="Arial"/>
          <w:b/>
          <w:bCs/>
          <w:sz w:val="18"/>
          <w:szCs w:val="18"/>
          <w:highlight w:val="none"/>
        </w:rPr>
      </w:r>
      <w:r>
        <w:rPr>
          <w:rFonts w:ascii="Arial" w:hAnsi="Arial" w:cs="Arial"/>
          <w:b/>
          <w:bCs/>
          <w:sz w:val="18"/>
          <w:szCs w:val="18"/>
          <w:highlight w:val="none"/>
        </w:rPr>
      </w:r>
    </w:p>
    <w:p w14:paraId="55CABD26">
      <w:pPr>
        <w:pBdr/>
        <w:shd w:val="clear" w:color="auto" w:fill="cccccc"/>
        <w:spacing/>
        <w:ind/>
        <w:jc w:val="both"/>
        <w:rPr>
          <w:rFonts w:ascii="Arial" w:hAnsi="Arial" w:cs="Arial"/>
          <w:highlight w:val="none"/>
        </w:rPr>
      </w:pPr>
      <w:r>
        <w:rPr>
          <w:rFonts w:ascii="Arial" w:hAnsi="Arial" w:eastAsia="Arial" w:cs="Arial"/>
          <w:b/>
          <w:bCs/>
          <w:highlight w:val="none"/>
        </w:rPr>
        <w:t xml:space="preserve">7 – CRITÉRIOS DE RECEBIMENTO/ MEDIÇÃO E DE PAGAMENTO</w:t>
      </w:r>
      <w:r>
        <w:rPr>
          <w:rFonts w:ascii="Arial" w:hAnsi="Arial" w:cs="Arial"/>
          <w:highlight w:val="none"/>
        </w:rPr>
      </w:r>
      <w:r>
        <w:rPr>
          <w:rFonts w:ascii="Arial" w:hAnsi="Arial" w:cs="Arial"/>
          <w:highlight w:val="none"/>
        </w:rPr>
      </w:r>
    </w:p>
    <w:p w14:paraId="02C7D012">
      <w:pPr>
        <w:pBdr/>
        <w:spacing/>
        <w:ind/>
        <w:jc w:val="both"/>
        <w:rPr>
          <w:rFonts w:ascii="Arial" w:hAnsi="Arial" w:cs="Arial"/>
          <w:b/>
          <w:bCs/>
          <w:sz w:val="18"/>
          <w:szCs w:val="18"/>
          <w:highlight w:val="none"/>
        </w:rPr>
      </w:pPr>
      <w:r>
        <w:rPr>
          <w:rFonts w:ascii="Arial" w:hAnsi="Arial" w:eastAsia="Arial" w:cs="Arial"/>
          <w:b/>
          <w:bCs/>
          <w:sz w:val="18"/>
          <w:szCs w:val="18"/>
          <w:highlight w:val="none"/>
        </w:rPr>
      </w:r>
      <w:r>
        <w:rPr>
          <w:rFonts w:ascii="Arial" w:hAnsi="Arial" w:cs="Arial"/>
          <w:b/>
          <w:bCs/>
          <w:sz w:val="18"/>
          <w:szCs w:val="18"/>
          <w:highlight w:val="none"/>
        </w:rPr>
      </w:r>
      <w:r>
        <w:rPr>
          <w:rFonts w:ascii="Arial" w:hAnsi="Arial" w:cs="Arial"/>
          <w:b/>
          <w:bCs/>
          <w:sz w:val="18"/>
          <w:szCs w:val="18"/>
          <w:highlight w:val="none"/>
        </w:rPr>
      </w:r>
    </w:p>
    <w:p w14:paraId="279900E1">
      <w:pPr>
        <w:pBdr/>
        <w:spacing/>
        <w:ind/>
        <w:jc w:val="both"/>
        <w:rPr>
          <w:rFonts w:ascii="Arial" w:hAnsi="Arial" w:cs="Arial"/>
          <w:b/>
          <w:bCs/>
          <w:highlight w:val="none"/>
        </w:rPr>
      </w:pPr>
      <w:r>
        <w:rPr>
          <w:rFonts w:ascii="Arial" w:hAnsi="Arial" w:eastAsia="Arial" w:cs="Arial"/>
          <w:b/>
          <w:bCs/>
          <w:highlight w:val="none"/>
        </w:rPr>
        <w:t xml:space="preserve">7.1. Recebimento do Objeto</w:t>
      </w:r>
      <w:r>
        <w:rPr>
          <w:rFonts w:ascii="Arial" w:hAnsi="Arial" w:cs="Arial"/>
          <w:b/>
          <w:bCs/>
          <w:highlight w:val="none"/>
        </w:rPr>
      </w:r>
      <w:r>
        <w:rPr>
          <w:rFonts w:ascii="Arial" w:hAnsi="Arial" w:cs="Arial"/>
          <w:b/>
          <w:bCs/>
          <w:highlight w:val="none"/>
        </w:rPr>
      </w:r>
    </w:p>
    <w:p w14:paraId="561480E6">
      <w:pPr>
        <w:pBdr/>
        <w:spacing/>
        <w:ind/>
        <w:jc w:val="both"/>
        <w:rPr>
          <w:rFonts w:ascii="Arial" w:hAnsi="Arial" w:cs="Arial"/>
          <w:highlight w:val="none"/>
        </w:rPr>
      </w:pPr>
      <w:r>
        <w:rPr>
          <w:rFonts w:ascii="Arial" w:hAnsi="Arial" w:eastAsia="Arial" w:cs="Arial"/>
          <w:b/>
          <w:bCs/>
          <w:highlight w:val="none"/>
          <w:lang w:val="pt-BR"/>
        </w:rPr>
        <w:t xml:space="preserve">7.1.1</w:t>
      </w:r>
      <w:r>
        <w:rPr>
          <w:rFonts w:ascii="Arial" w:hAnsi="Arial" w:eastAsia="Arial" w:cs="Arial"/>
          <w:highlight w:val="none"/>
          <w:lang w:val="pt-BR"/>
        </w:rPr>
        <w:t xml:space="preserve">. Os insumos laboratoriais serão recebidos provisoriamente, de forma sumária, juntamente com a Nota Fiscal ou instrumento de</w:t>
      </w:r>
      <w:r>
        <w:rPr>
          <w:rFonts w:ascii="Arial" w:hAnsi="Arial" w:eastAsia="Arial" w:cs="Arial"/>
          <w:highlight w:val="none"/>
          <w:lang w:val="pt-BR"/>
        </w:rPr>
        <w:t xml:space="preserve"> cobrança equivalente e a respectiva Nota de Empenho, pelo responsável pelo acompanhamento e fiscalização da contratação, para posterior verificação de sua conformidade com as especificações constantes neste Termo de Referência e na proposta da Contratada.</w:t>
      </w:r>
      <w:r>
        <w:rPr>
          <w:rFonts w:ascii="Arial" w:hAnsi="Arial" w:cs="Arial"/>
          <w:highlight w:val="none"/>
        </w:rPr>
      </w:r>
      <w:r>
        <w:rPr>
          <w:rFonts w:ascii="Arial" w:hAnsi="Arial" w:cs="Arial"/>
          <w:highlight w:val="none"/>
        </w:rPr>
      </w:r>
    </w:p>
    <w:p w14:paraId="79489911">
      <w:pPr>
        <w:pBdr/>
        <w:spacing/>
        <w:ind/>
        <w:jc w:val="both"/>
        <w:rPr>
          <w:rFonts w:ascii="Arial" w:hAnsi="Arial" w:cs="Arial"/>
          <w:highlight w:val="none"/>
        </w:rPr>
      </w:pPr>
      <w:r>
        <w:rPr>
          <w:rFonts w:ascii="Arial" w:hAnsi="Arial" w:eastAsia="Arial" w:cs="Arial"/>
          <w:b/>
          <w:bCs/>
          <w:highlight w:val="none"/>
          <w:lang w:val="pt-BR"/>
        </w:rPr>
        <w:t xml:space="preserve">7.1.2.</w:t>
      </w:r>
      <w:r>
        <w:rPr>
          <w:rFonts w:ascii="Arial" w:hAnsi="Arial" w:eastAsia="Arial" w:cs="Arial"/>
          <w:highlight w:val="none"/>
          <w:lang w:val="pt-BR"/>
        </w:rPr>
        <w:t xml:space="preserve"> </w:t>
      </w:r>
      <w:r>
        <w:rPr>
          <w:rFonts w:ascii="Arial" w:hAnsi="Arial" w:eastAsia="Arial" w:cs="Arial"/>
          <w:highlight w:val="none"/>
        </w:rPr>
        <w:t xml:space="preserve">Os produtos entregues em desacordo com as especificações, danificados, contaminados, com embalagens violadas, prazo de validade incompatível, falha no sistema de vácuo ou qualquer outra desconformidade serão recusados e deverão ser substituídos pela Con</w:t>
      </w:r>
      <w:r>
        <w:rPr>
          <w:rFonts w:ascii="Arial" w:hAnsi="Arial" w:eastAsia="Arial" w:cs="Arial"/>
          <w:highlight w:val="none"/>
        </w:rPr>
        <w:t xml:space="preserve">tratada no prazo máximo de 5 (cinco) dias úteis, contado do recebimento da notificação formal, reduzido para 48 (quarenta e oito) horas corridas quando houver risco iminente de desabastecimento ou comprometimento da continuidade dos serviços laboratoriais.</w:t>
      </w:r>
      <w:r>
        <w:rPr>
          <w:rFonts w:ascii="Arial" w:hAnsi="Arial" w:cs="Arial"/>
          <w:highlight w:val="none"/>
        </w:rPr>
      </w:r>
      <w:r>
        <w:rPr>
          <w:rFonts w:ascii="Arial" w:hAnsi="Arial" w:cs="Arial"/>
          <w:highlight w:val="none"/>
        </w:rPr>
      </w:r>
    </w:p>
    <w:p w14:paraId="5BFAE7E9">
      <w:pPr>
        <w:pBdr/>
        <w:spacing/>
        <w:ind/>
        <w:jc w:val="both"/>
        <w:rPr>
          <w:rFonts w:ascii="Arial" w:hAnsi="Arial" w:cs="Arial"/>
          <w:highlight w:val="none"/>
        </w:rPr>
      </w:pPr>
      <w:r>
        <w:rPr>
          <w:rFonts w:ascii="Arial" w:hAnsi="Arial" w:eastAsia="Arial" w:cs="Arial"/>
          <w:b/>
          <w:bCs/>
          <w:highlight w:val="none"/>
          <w:lang w:val="pt-BR"/>
        </w:rPr>
        <w:t xml:space="preserve">7.1.3</w:t>
      </w:r>
      <w:r>
        <w:rPr>
          <w:rFonts w:ascii="Arial" w:hAnsi="Arial" w:eastAsia="Arial" w:cs="Arial"/>
          <w:highlight w:val="none"/>
          <w:lang w:val="pt-BR"/>
        </w:rPr>
        <w:t xml:space="preserve">. </w:t>
      </w:r>
      <w:r>
        <w:rPr>
          <w:rFonts w:ascii="Arial" w:hAnsi="Arial" w:eastAsia="Arial" w:cs="Arial"/>
          <w:highlight w:val="none"/>
        </w:rPr>
        <w:t xml:space="preserve">O recebimento definitivo ocorrerá no prazo de 05 (cinco) dias úteis, a contar do recebimento da nota fiscal ou inst</w:t>
      </w:r>
      <w:r>
        <w:rPr>
          <w:rFonts w:ascii="Arial" w:hAnsi="Arial" w:eastAsia="Arial" w:cs="Arial"/>
          <w:highlight w:val="none"/>
        </w:rPr>
        <w:t xml:space="preserve">rumento de cobrança equivalente pela Administração, após a verificação da qualidade e quantidade do(s) bem(ns) e consequente aceitação mediante recibo aposto na Nota Fiscal respectiva e termo detalhado que comprove o atendimento das exigências contratuais.</w:t>
      </w:r>
      <w:r>
        <w:rPr>
          <w:rFonts w:ascii="Arial" w:hAnsi="Arial" w:cs="Arial"/>
          <w:highlight w:val="none"/>
        </w:rPr>
      </w:r>
      <w:r>
        <w:rPr>
          <w:rFonts w:ascii="Arial" w:hAnsi="Arial" w:cs="Arial"/>
          <w:highlight w:val="none"/>
        </w:rPr>
      </w:r>
    </w:p>
    <w:p w14:paraId="47DB56CA">
      <w:pPr>
        <w:pBdr/>
        <w:spacing/>
        <w:ind/>
        <w:jc w:val="both"/>
        <w:rPr>
          <w:rFonts w:ascii="Arial" w:hAnsi="Arial" w:cs="Arial"/>
          <w:highlight w:val="none"/>
        </w:rPr>
      </w:pPr>
      <w:r>
        <w:rPr>
          <w:rFonts w:ascii="Arial" w:hAnsi="Arial" w:eastAsia="Arial" w:cs="Arial"/>
          <w:b/>
          <w:bCs/>
          <w:highlight w:val="none"/>
          <w:lang w:val="pt-BR"/>
        </w:rPr>
        <w:t xml:space="preserve">7.1.4.</w:t>
      </w:r>
      <w:r>
        <w:rPr>
          <w:rFonts w:ascii="Arial" w:hAnsi="Arial" w:eastAsia="Arial" w:cs="Arial"/>
          <w:highlight w:val="none"/>
          <w:lang w:val="pt-BR"/>
        </w:rPr>
        <w:t xml:space="preserve"> </w:t>
      </w:r>
      <w:r>
        <w:rPr>
          <w:rFonts w:ascii="Arial" w:hAnsi="Arial" w:eastAsia="Arial" w:cs="Arial"/>
          <w:highlight w:val="none"/>
        </w:rPr>
        <w:t xml:space="preserve">O prazo para o recebimento definitivo poderá ser excepcionalmente prorrogado, de forma justificada, quando </w:t>
      </w:r>
      <w:r>
        <w:rPr>
          <w:rFonts w:ascii="Arial" w:hAnsi="Arial" w:eastAsia="Arial" w:cs="Arial"/>
          <w:highlight w:val="none"/>
        </w:rPr>
        <w:t xml:space="preserve">houver necessidade de diligências para a aferição do atendimento das exigências contratuais.</w:t>
      </w:r>
      <w:r>
        <w:rPr>
          <w:rFonts w:ascii="Arial" w:hAnsi="Arial" w:cs="Arial"/>
          <w:highlight w:val="none"/>
        </w:rPr>
      </w:r>
      <w:r>
        <w:rPr>
          <w:rFonts w:ascii="Arial" w:hAnsi="Arial" w:cs="Arial"/>
          <w:highlight w:val="none"/>
        </w:rPr>
      </w:r>
    </w:p>
    <w:p w14:paraId="5AF4058D">
      <w:pPr>
        <w:pBdr/>
        <w:spacing/>
        <w:ind/>
        <w:jc w:val="both"/>
        <w:rPr>
          <w:rFonts w:ascii="Arial" w:hAnsi="Arial" w:cs="Arial"/>
          <w:highlight w:val="none"/>
        </w:rPr>
      </w:pPr>
      <w:r>
        <w:rPr>
          <w:rFonts w:ascii="Arial" w:hAnsi="Arial" w:eastAsia="Arial" w:cs="Arial"/>
          <w:b/>
          <w:bCs/>
          <w:highlight w:val="none"/>
          <w:lang w:val="pt-BR"/>
        </w:rPr>
        <w:t xml:space="preserve">7.1.5.</w:t>
      </w:r>
      <w:r>
        <w:rPr>
          <w:rFonts w:ascii="Arial" w:hAnsi="Arial" w:eastAsia="Arial" w:cs="Arial"/>
          <w:highlight w:val="none"/>
          <w:lang w:val="pt-BR"/>
        </w:rPr>
        <w:t xml:space="preserve"> </w:t>
      </w:r>
      <w:r>
        <w:rPr>
          <w:rFonts w:ascii="Arial" w:hAnsi="Arial" w:eastAsia="Arial" w:cs="Arial"/>
          <w:highlight w:val="none"/>
        </w:rPr>
        <w:t xml:space="preserve">No caso de controvérsia sobre a execução do objeto, quanto </w:t>
      </w:r>
      <w:r>
        <w:rPr>
          <w:rFonts w:ascii="Arial" w:hAnsi="Arial" w:eastAsia="Arial" w:cs="Arial"/>
          <w:highlight w:val="none"/>
        </w:rPr>
        <w:t xml:space="preserve">à dimensão, qualidade e quantidade, deverá ser observado o teor do art. 143 da Lei 14.133/2021, comunicando-se à empresa para emissão de Nota Fiscal no que for pertinente à parcela incontroversa da execução do objeto, para efeito de liquidação e pagamento.</w:t>
      </w:r>
      <w:r>
        <w:rPr>
          <w:rFonts w:ascii="Arial" w:hAnsi="Arial" w:cs="Arial"/>
          <w:highlight w:val="none"/>
        </w:rPr>
      </w:r>
      <w:r>
        <w:rPr>
          <w:rFonts w:ascii="Arial" w:hAnsi="Arial" w:cs="Arial"/>
          <w:highlight w:val="none"/>
        </w:rPr>
      </w:r>
    </w:p>
    <w:p w14:paraId="16ECAF17">
      <w:pPr>
        <w:pBdr/>
        <w:spacing/>
        <w:ind/>
        <w:jc w:val="both"/>
        <w:rPr>
          <w:rFonts w:ascii="Arial" w:hAnsi="Arial" w:cs="Arial"/>
          <w:highlight w:val="none"/>
        </w:rPr>
      </w:pPr>
      <w:r>
        <w:rPr>
          <w:rFonts w:ascii="Arial" w:hAnsi="Arial" w:eastAsia="Arial" w:cs="Arial"/>
          <w:b/>
          <w:bCs/>
          <w:highlight w:val="none"/>
          <w:lang w:val="pt-BR"/>
        </w:rPr>
        <w:t xml:space="preserve">7.1.6.</w:t>
      </w:r>
      <w:r>
        <w:rPr>
          <w:rFonts w:ascii="Arial" w:hAnsi="Arial" w:eastAsia="Arial" w:cs="Arial"/>
          <w:highlight w:val="none"/>
          <w:lang w:val="pt-BR"/>
        </w:rPr>
        <w:t xml:space="preserve"> </w:t>
      </w:r>
      <w:r>
        <w:rPr>
          <w:rFonts w:ascii="Arial" w:hAnsi="Arial" w:eastAsia="Arial" w:cs="Arial"/>
          <w:highlight w:val="none"/>
        </w:rPr>
        <w:t xml:space="preserve">O prazo para a solução, pelo contratado,</w:t>
      </w:r>
      <w:r>
        <w:rPr>
          <w:rFonts w:ascii="Arial" w:hAnsi="Arial" w:eastAsia="Arial" w:cs="Arial"/>
          <w:highlight w:val="none"/>
        </w:rPr>
        <w:t xml:space="preserve"> de inconsistências na execução do objeto ou de saneamento da nota fiscal ou de instrumento de cobrança equivalente, verificadas pela Administração durante a análise prévia à liquidação de despesa, não será computado para os fins do recebimento definitivo.</w:t>
      </w:r>
      <w:r>
        <w:rPr>
          <w:rFonts w:ascii="Arial" w:hAnsi="Arial" w:cs="Arial"/>
          <w:highlight w:val="none"/>
        </w:rPr>
      </w:r>
      <w:r>
        <w:rPr>
          <w:rFonts w:ascii="Arial" w:hAnsi="Arial" w:cs="Arial"/>
          <w:highlight w:val="none"/>
        </w:rPr>
      </w:r>
    </w:p>
    <w:p w14:paraId="21CE35DB">
      <w:pPr>
        <w:pBdr/>
        <w:spacing/>
        <w:ind/>
        <w:jc w:val="both"/>
        <w:rPr>
          <w:rFonts w:ascii="Arial" w:hAnsi="Arial" w:cs="Arial"/>
          <w:b/>
          <w:bCs/>
          <w:highlight w:val="none"/>
        </w:rPr>
      </w:pPr>
      <w:r>
        <w:rPr>
          <w:rFonts w:ascii="Arial" w:hAnsi="Arial" w:eastAsia="Arial" w:cs="Arial"/>
          <w:b/>
          <w:bCs/>
          <w:highlight w:val="none"/>
          <w:lang w:val="pt-BR"/>
        </w:rPr>
        <w:t xml:space="preserve">7.2. </w:t>
      </w:r>
      <w:r>
        <w:rPr>
          <w:rFonts w:ascii="Arial" w:hAnsi="Arial" w:eastAsia="Arial" w:cs="Arial"/>
          <w:b/>
          <w:bCs/>
          <w:highlight w:val="none"/>
        </w:rPr>
        <w:t xml:space="preserve">Prazo de pagamento </w:t>
      </w:r>
      <w:r>
        <w:rPr>
          <w:rFonts w:ascii="Arial" w:hAnsi="Arial" w:cs="Arial"/>
          <w:b/>
          <w:bCs/>
          <w:highlight w:val="none"/>
        </w:rPr>
      </w:r>
      <w:r>
        <w:rPr>
          <w:rFonts w:ascii="Arial" w:hAnsi="Arial" w:cs="Arial"/>
          <w:b/>
          <w:bCs/>
          <w:highlight w:val="none"/>
        </w:rPr>
      </w:r>
    </w:p>
    <w:p w14:paraId="3BF81119">
      <w:pPr>
        <w:pBdr/>
        <w:spacing/>
        <w:ind/>
        <w:jc w:val="both"/>
        <w:rPr>
          <w:rFonts w:ascii="Arial" w:hAnsi="Arial" w:cs="Arial"/>
          <w:highlight w:val="none"/>
        </w:rPr>
      </w:pPr>
      <w:r>
        <w:rPr>
          <w:rFonts w:ascii="Arial" w:hAnsi="Arial" w:eastAsia="Arial" w:cs="Arial"/>
          <w:b/>
          <w:bCs/>
          <w:highlight w:val="none"/>
          <w:lang w:val="pt-BR"/>
        </w:rPr>
        <w:t xml:space="preserve">7.2.1.</w:t>
      </w:r>
      <w:r>
        <w:rPr>
          <w:rFonts w:ascii="Arial" w:hAnsi="Arial" w:eastAsia="Arial" w:cs="Arial"/>
          <w:highlight w:val="none"/>
          <w:lang w:val="pt-BR"/>
        </w:rPr>
        <w:t xml:space="preserve"> O prazo para liquidação será de 15 (quinze) dias úteis, contados da apresentação da nota fiscal devidamente atestada.</w:t>
      </w:r>
      <w:r>
        <w:rPr>
          <w:rFonts w:ascii="Arial" w:hAnsi="Arial" w:cs="Arial"/>
          <w:highlight w:val="none"/>
        </w:rPr>
      </w:r>
      <w:r>
        <w:rPr>
          <w:rFonts w:ascii="Arial" w:hAnsi="Arial" w:cs="Arial"/>
          <w:highlight w:val="none"/>
        </w:rPr>
      </w:r>
    </w:p>
    <w:p w14:paraId="087BB724">
      <w:pPr>
        <w:pBdr/>
        <w:spacing/>
        <w:ind/>
        <w:jc w:val="both"/>
        <w:rPr>
          <w:rFonts w:ascii="Arial" w:hAnsi="Arial" w:cs="Arial"/>
          <w:highlight w:val="none"/>
        </w:rPr>
      </w:pPr>
      <w:r>
        <w:rPr>
          <w:rFonts w:ascii="Arial" w:hAnsi="Arial" w:eastAsia="Arial" w:cs="Arial"/>
          <w:b/>
          <w:bCs/>
          <w:highlight w:val="none"/>
          <w:lang w:val="pt-BR"/>
        </w:rPr>
        <w:t xml:space="preserve">7.2.2.</w:t>
      </w:r>
      <w:r>
        <w:rPr>
          <w:rFonts w:ascii="Arial" w:hAnsi="Arial" w:eastAsia="Arial" w:cs="Arial"/>
          <w:highlight w:val="none"/>
        </w:rPr>
        <w:t xml:space="preserve"> O pagamento será efetuado em até 30 (trinta) dias, contados do adimplemento, pela Prefeitura Municipal de Rondonópolis/MT.</w:t>
      </w:r>
      <w:r>
        <w:rPr>
          <w:rFonts w:ascii="Arial" w:hAnsi="Arial" w:eastAsia="Arial" w:cs="Arial"/>
          <w:highlight w:val="none"/>
          <w:lang w:val="pt-BR"/>
        </w:rPr>
        <w:t xml:space="preserve"> </w:t>
      </w:r>
      <w:r>
        <w:rPr>
          <w:rFonts w:ascii="Arial" w:hAnsi="Arial" w:cs="Arial"/>
          <w:highlight w:val="none"/>
        </w:rPr>
      </w:r>
      <w:r>
        <w:rPr>
          <w:rFonts w:ascii="Arial" w:hAnsi="Arial" w:cs="Arial"/>
          <w:highlight w:val="none"/>
        </w:rPr>
      </w:r>
    </w:p>
    <w:p w14:paraId="2CBEF83E">
      <w:pPr>
        <w:pBdr/>
        <w:spacing/>
        <w:ind/>
        <w:jc w:val="both"/>
        <w:rPr>
          <w:rFonts w:ascii="Arial" w:hAnsi="Arial" w:cs="Arial"/>
          <w:highlight w:val="none"/>
        </w:rPr>
      </w:pPr>
      <w:r>
        <w:rPr>
          <w:rFonts w:ascii="Arial" w:hAnsi="Arial" w:eastAsia="Arial" w:cs="Arial"/>
          <w:b/>
          <w:bCs/>
          <w:highlight w:val="none"/>
          <w:lang w:val="pt-BR"/>
        </w:rPr>
        <w:t xml:space="preserve">7.2.3.</w:t>
      </w:r>
      <w:r>
        <w:rPr>
          <w:rFonts w:ascii="Arial" w:hAnsi="Arial" w:eastAsia="Arial" w:cs="Arial"/>
          <w:highlight w:val="none"/>
          <w:lang w:val="pt-BR"/>
        </w:rPr>
        <w:t xml:space="preserve"> </w:t>
      </w:r>
      <w:r>
        <w:rPr>
          <w:rFonts w:ascii="Arial" w:hAnsi="Arial" w:eastAsia="Arial" w:cs="Arial"/>
          <w:highlight w:val="none"/>
        </w:rPr>
        <w:t xml:space="preserve">Os documentos fiscais deverão, obrigatoriamente, discriminar a marca, modelo (se houver) e o quantitativo efetivamente entregue. </w:t>
      </w:r>
      <w:r>
        <w:rPr>
          <w:rFonts w:ascii="Arial" w:hAnsi="Arial" w:cs="Arial"/>
          <w:highlight w:val="none"/>
        </w:rPr>
      </w:r>
      <w:r>
        <w:rPr>
          <w:rFonts w:ascii="Arial" w:hAnsi="Arial" w:cs="Arial"/>
          <w:highlight w:val="none"/>
        </w:rPr>
      </w:r>
    </w:p>
    <w:p w14:paraId="6B7A479F">
      <w:pPr>
        <w:pBdr/>
        <w:spacing/>
        <w:ind/>
        <w:jc w:val="both"/>
        <w:rPr>
          <w:rFonts w:ascii="Arial" w:hAnsi="Arial" w:cs="Arial"/>
          <w:highlight w:val="none"/>
        </w:rPr>
      </w:pPr>
      <w:r>
        <w:rPr>
          <w:rFonts w:ascii="Arial" w:hAnsi="Arial" w:eastAsia="Arial" w:cs="Arial"/>
          <w:b/>
          <w:bCs/>
          <w:highlight w:val="none"/>
          <w:lang w:val="pt-BR"/>
        </w:rPr>
        <w:t xml:space="preserve">7.2.4</w:t>
      </w:r>
      <w:r>
        <w:rPr>
          <w:rFonts w:ascii="Arial" w:hAnsi="Arial" w:eastAsia="Arial" w:cs="Arial"/>
          <w:highlight w:val="none"/>
          <w:lang w:val="pt-BR"/>
        </w:rPr>
        <w:t xml:space="preserve">. </w:t>
      </w:r>
      <w:r>
        <w:rPr>
          <w:rFonts w:ascii="Arial" w:hAnsi="Arial" w:eastAsia="Arial" w:cs="Arial"/>
          <w:highlight w:val="none"/>
        </w:rPr>
        <w:t xml:space="preserve">A Contratada deverá emitir a Nota Fiscal/Fatura conforme legislação vigente.</w:t>
      </w:r>
      <w:r>
        <w:rPr>
          <w:rFonts w:ascii="Arial" w:hAnsi="Arial" w:cs="Arial"/>
          <w:highlight w:val="none"/>
        </w:rPr>
      </w:r>
      <w:r>
        <w:rPr>
          <w:rFonts w:ascii="Arial" w:hAnsi="Arial" w:cs="Arial"/>
          <w:highlight w:val="none"/>
        </w:rPr>
      </w:r>
    </w:p>
    <w:p w14:paraId="222E17CB">
      <w:pPr>
        <w:pBdr/>
        <w:spacing/>
        <w:ind/>
        <w:jc w:val="both"/>
        <w:rPr>
          <w:rFonts w:ascii="Arial" w:hAnsi="Arial" w:cs="Arial"/>
          <w:highlight w:val="none"/>
        </w:rPr>
      </w:pPr>
      <w:r>
        <w:rPr>
          <w:rFonts w:ascii="Arial" w:hAnsi="Arial" w:eastAsia="Arial" w:cs="Arial"/>
          <w:b/>
          <w:bCs/>
          <w:highlight w:val="none"/>
          <w:lang w:val="pt-BR"/>
        </w:rPr>
        <w:t xml:space="preserve">7.2.5</w:t>
      </w:r>
      <w:r>
        <w:rPr>
          <w:rFonts w:ascii="Arial" w:hAnsi="Arial" w:eastAsia="Arial" w:cs="Arial"/>
          <w:highlight w:val="none"/>
          <w:lang w:val="pt-BR"/>
        </w:rPr>
        <w:t xml:space="preserve">. </w:t>
      </w:r>
      <w:r>
        <w:rPr>
          <w:rFonts w:ascii="Arial" w:hAnsi="Arial" w:eastAsia="Arial" w:cs="Arial"/>
          <w:highlight w:val="none"/>
        </w:rPr>
        <w:t xml:space="preserve">Havendo irregularidades na emissão da nota fiscal/fatura, o prazo para pagamento será contado a partir de sua representação devidamente regularizada.</w:t>
      </w:r>
      <w:r>
        <w:rPr>
          <w:rFonts w:ascii="Arial" w:hAnsi="Arial" w:cs="Arial"/>
          <w:highlight w:val="none"/>
        </w:rPr>
      </w:r>
      <w:r>
        <w:rPr>
          <w:rFonts w:ascii="Arial" w:hAnsi="Arial" w:cs="Arial"/>
          <w:highlight w:val="none"/>
        </w:rPr>
      </w:r>
    </w:p>
    <w:p w14:paraId="26801ADF">
      <w:pPr>
        <w:pBdr/>
        <w:spacing/>
        <w:ind/>
        <w:jc w:val="both"/>
        <w:rPr>
          <w:rFonts w:ascii="Arial" w:hAnsi="Arial" w:cs="Arial"/>
          <w:b/>
          <w:bCs/>
          <w:highlight w:val="none"/>
        </w:rPr>
      </w:pPr>
      <w:r>
        <w:rPr>
          <w:rFonts w:ascii="Arial" w:hAnsi="Arial" w:eastAsia="Arial" w:cs="Arial"/>
          <w:b/>
          <w:bCs/>
          <w:highlight w:val="none"/>
          <w:lang w:val="pt-BR"/>
        </w:rPr>
        <w:t xml:space="preserve">7.3. </w:t>
      </w:r>
      <w:r>
        <w:rPr>
          <w:rFonts w:ascii="Arial" w:hAnsi="Arial" w:eastAsia="Arial" w:cs="Arial"/>
          <w:b/>
          <w:bCs/>
          <w:highlight w:val="none"/>
        </w:rPr>
        <w:t xml:space="preserve">Forma de pagamento</w:t>
      </w:r>
      <w:r>
        <w:rPr>
          <w:rFonts w:ascii="Arial" w:hAnsi="Arial" w:cs="Arial"/>
          <w:b/>
          <w:bCs/>
          <w:highlight w:val="none"/>
        </w:rPr>
      </w:r>
      <w:r>
        <w:rPr>
          <w:rFonts w:ascii="Arial" w:hAnsi="Arial" w:cs="Arial"/>
          <w:b/>
          <w:bCs/>
          <w:highlight w:val="none"/>
        </w:rPr>
      </w:r>
    </w:p>
    <w:p w14:paraId="0E9F3314">
      <w:pPr>
        <w:pBdr/>
        <w:spacing/>
        <w:ind/>
        <w:jc w:val="both"/>
        <w:rPr>
          <w:rFonts w:ascii="Arial" w:hAnsi="Arial" w:cs="Arial"/>
          <w:highlight w:val="none"/>
        </w:rPr>
      </w:pPr>
      <w:r>
        <w:rPr>
          <w:rFonts w:ascii="Arial" w:hAnsi="Arial" w:eastAsia="Arial" w:cs="Arial"/>
          <w:b/>
          <w:bCs/>
          <w:highlight w:val="none"/>
          <w:lang w:val="pt-BR"/>
        </w:rPr>
        <w:t xml:space="preserve">7.3.1.</w:t>
      </w:r>
      <w:r>
        <w:rPr>
          <w:rFonts w:ascii="Arial" w:hAnsi="Arial" w:eastAsia="Arial" w:cs="Arial"/>
          <w:highlight w:val="none"/>
          <w:lang w:val="pt-BR"/>
        </w:rPr>
        <w:t xml:space="preserve"> </w:t>
      </w:r>
      <w:r>
        <w:rPr>
          <w:rFonts w:ascii="Arial" w:hAnsi="Arial" w:eastAsia="Arial" w:cs="Arial"/>
          <w:highlight w:val="none"/>
        </w:rPr>
        <w:t xml:space="preserve">O pagamento será processado com a emissão de ordem de pagamento física ou eletrônica, ou ainda por transferência eletrônica via sistema de internet banking, com assinaturas legais físicas ou eletrônicas dos titulares das contas bancárias.</w:t>
      </w:r>
      <w:r>
        <w:rPr>
          <w:rFonts w:ascii="Arial" w:hAnsi="Arial" w:cs="Arial"/>
          <w:highlight w:val="none"/>
        </w:rPr>
      </w:r>
      <w:r>
        <w:rPr>
          <w:rFonts w:ascii="Arial" w:hAnsi="Arial" w:cs="Arial"/>
          <w:highlight w:val="none"/>
        </w:rPr>
      </w:r>
    </w:p>
    <w:p w14:paraId="2B44B806">
      <w:pPr>
        <w:pBdr/>
        <w:spacing/>
        <w:ind/>
        <w:jc w:val="both"/>
        <w:rPr>
          <w:rFonts w:ascii="Arial" w:hAnsi="Arial" w:cs="Arial"/>
          <w:b/>
          <w:bCs/>
          <w:highlight w:val="none"/>
        </w:rPr>
      </w:pPr>
      <w:r>
        <w:rPr>
          <w:rFonts w:ascii="Arial" w:hAnsi="Arial" w:eastAsia="Arial" w:cs="Arial"/>
          <w:b/>
          <w:bCs/>
          <w:highlight w:val="none"/>
          <w:lang w:val="pt-BR"/>
        </w:rPr>
        <w:t xml:space="preserve">7.3.2</w:t>
      </w:r>
      <w:r>
        <w:rPr>
          <w:rFonts w:ascii="Arial" w:hAnsi="Arial" w:eastAsia="Arial" w:cs="Arial"/>
          <w:highlight w:val="none"/>
          <w:lang w:val="pt-BR"/>
        </w:rPr>
        <w:t xml:space="preserve">. </w:t>
      </w:r>
      <w:r>
        <w:rPr>
          <w:rFonts w:ascii="Arial" w:hAnsi="Arial" w:eastAsia="Arial" w:cs="Arial"/>
          <w:highlight w:val="none"/>
        </w:rPr>
        <w:t xml:space="preserve">A retenção do imposto de renda deverá ser destacada no corpo do documento fiscal ou equivalente observando os </w:t>
      </w:r>
      <w:r>
        <w:rPr>
          <w:rFonts w:ascii="Arial" w:hAnsi="Arial" w:eastAsia="Arial" w:cs="Arial"/>
          <w:b/>
          <w:bCs/>
          <w:highlight w:val="none"/>
        </w:rPr>
        <w:t xml:space="preserve">percentuais estabelecidos na Legislação Vigente.</w:t>
      </w:r>
      <w:r>
        <w:rPr>
          <w:rFonts w:ascii="Arial" w:hAnsi="Arial" w:cs="Arial"/>
          <w:b/>
          <w:bCs/>
          <w:highlight w:val="none"/>
        </w:rPr>
      </w:r>
      <w:r>
        <w:rPr>
          <w:rFonts w:ascii="Arial" w:hAnsi="Arial" w:cs="Arial"/>
          <w:b/>
          <w:bCs/>
          <w:highlight w:val="none"/>
        </w:rPr>
      </w:r>
    </w:p>
    <w:p w14:paraId="2DAC4210">
      <w:pPr>
        <w:pBdr/>
        <w:spacing/>
        <w:ind/>
        <w:jc w:val="both"/>
        <w:rPr>
          <w:rFonts w:ascii="Arial" w:hAnsi="Arial" w:cs="Arial"/>
          <w:highlight w:val="none"/>
        </w:rPr>
      </w:pPr>
      <w:r>
        <w:rPr>
          <w:rFonts w:ascii="Arial" w:hAnsi="Arial" w:eastAsia="Arial" w:cs="Arial"/>
          <w:b/>
          <w:bCs/>
          <w:highlight w:val="none"/>
          <w:lang w:val="pt-BR"/>
        </w:rPr>
        <w:t xml:space="preserve">7.3.3</w:t>
      </w:r>
      <w:r>
        <w:rPr>
          <w:rFonts w:ascii="Arial" w:hAnsi="Arial" w:eastAsia="Arial" w:cs="Arial"/>
          <w:highlight w:val="none"/>
          <w:lang w:val="pt-BR"/>
        </w:rPr>
        <w:t xml:space="preserve">. </w:t>
      </w:r>
      <w:r>
        <w:rPr>
          <w:rFonts w:ascii="Arial" w:hAnsi="Arial" w:eastAsia="Arial" w:cs="Arial"/>
          <w:highlight w:val="none"/>
        </w:rPr>
        <w:t xml:space="preserve">As empresas optantes pelo Simples Nacional ou que se enquadrem em alguma hipótese de isenção ou não incidência DEVERÃO informar essa condição expressamente nos documentos fiscais, de acordo com a Legislação Vigente.</w:t>
      </w:r>
      <w:r>
        <w:rPr>
          <w:rFonts w:ascii="Arial" w:hAnsi="Arial" w:cs="Arial"/>
          <w:highlight w:val="none"/>
        </w:rPr>
      </w:r>
      <w:r>
        <w:rPr>
          <w:rFonts w:ascii="Arial" w:hAnsi="Arial" w:cs="Arial"/>
          <w:highlight w:val="none"/>
        </w:rPr>
      </w:r>
    </w:p>
    <w:p w14:paraId="28917D5C">
      <w:pPr>
        <w:pBdr/>
        <w:spacing/>
        <w:ind/>
        <w:jc w:val="both"/>
        <w:rPr>
          <w:rFonts w:ascii="Arial" w:hAnsi="Arial" w:cs="Arial"/>
          <w:b/>
          <w:bCs/>
          <w:highlight w:val="none"/>
        </w:rPr>
      </w:pPr>
      <w:r>
        <w:rPr>
          <w:rFonts w:ascii="Arial" w:hAnsi="Arial" w:eastAsia="Arial" w:cs="Arial"/>
          <w:b/>
          <w:bCs/>
          <w:highlight w:val="none"/>
        </w:rPr>
        <w:t xml:space="preserve">7.4. Reajuste Contratual</w:t>
      </w:r>
      <w:r>
        <w:rPr>
          <w:rFonts w:ascii="Arial" w:hAnsi="Arial" w:cs="Arial"/>
          <w:b/>
          <w:bCs/>
          <w:highlight w:val="none"/>
        </w:rPr>
      </w:r>
      <w:r>
        <w:rPr>
          <w:rFonts w:ascii="Arial" w:hAnsi="Arial" w:cs="Arial"/>
          <w:b/>
          <w:bCs/>
          <w:highlight w:val="none"/>
        </w:rPr>
      </w:r>
    </w:p>
    <w:p w14:paraId="502F33AA">
      <w:pPr>
        <w:pBdr/>
        <w:spacing/>
        <w:ind/>
        <w:jc w:val="both"/>
        <w:rPr>
          <w:rFonts w:ascii="Arial" w:hAnsi="Arial" w:cs="Arial"/>
          <w:highlight w:val="none"/>
        </w:rPr>
      </w:pPr>
      <w:r>
        <w:rPr>
          <w:rFonts w:ascii="Arial" w:hAnsi="Arial" w:eastAsia="Arial" w:cs="Arial"/>
          <w:b/>
          <w:bCs/>
          <w:highlight w:val="none"/>
        </w:rPr>
        <w:t xml:space="preserve">7.4.1.</w:t>
      </w:r>
      <w:r>
        <w:rPr>
          <w:rFonts w:ascii="Arial" w:hAnsi="Arial" w:eastAsia="Arial" w:cs="Arial"/>
          <w:highlight w:val="none"/>
        </w:rPr>
        <w:t xml:space="preserve">  Os preços</w:t>
      </w:r>
      <w:r>
        <w:rPr>
          <w:rFonts w:ascii="Arial" w:hAnsi="Arial" w:eastAsia="Arial" w:cs="Arial"/>
          <w:highlight w:val="none"/>
        </w:rPr>
        <w:t xml:space="preserve"> registrados e os contratos decorrentes da Ata de Registro de Preços observarão as regras de reajuste, revisão e reequilíbrio econômico-financeiro previstas na Lei Federal nº 14.133/2021, neste Termo de Referência, no Edital e na Ata de Registro de Preços.</w:t>
      </w:r>
      <w:r>
        <w:rPr>
          <w:rFonts w:ascii="Arial" w:hAnsi="Arial" w:cs="Arial"/>
          <w:highlight w:val="none"/>
        </w:rPr>
      </w:r>
      <w:r>
        <w:rPr>
          <w:rFonts w:ascii="Arial" w:hAnsi="Arial" w:cs="Arial"/>
          <w:highlight w:val="none"/>
        </w:rPr>
      </w:r>
    </w:p>
    <w:p w14:paraId="13C379D6">
      <w:pPr>
        <w:pBdr/>
        <w:spacing/>
        <w:ind/>
        <w:jc w:val="both"/>
        <w:rPr>
          <w:rFonts w:ascii="Arial" w:hAnsi="Arial" w:cs="Arial"/>
          <w:highlight w:val="none"/>
        </w:rPr>
      </w:pPr>
      <w:r>
        <w:rPr>
          <w:rFonts w:ascii="Arial" w:hAnsi="Arial" w:eastAsia="Arial" w:cs="Arial"/>
          <w:b/>
          <w:bCs/>
          <w:highlight w:val="none"/>
        </w:rPr>
        <w:t xml:space="preserve">7.4.2</w:t>
      </w:r>
      <w:r>
        <w:rPr>
          <w:rFonts w:ascii="Arial" w:hAnsi="Arial" w:eastAsia="Arial" w:cs="Arial"/>
          <w:highlight w:val="none"/>
        </w:rPr>
        <w:t xml:space="preserve">. Quando cabível, o reajust</w:t>
      </w:r>
      <w:r>
        <w:rPr>
          <w:rFonts w:ascii="Arial" w:hAnsi="Arial" w:eastAsia="Arial" w:cs="Arial"/>
          <w:highlight w:val="none"/>
        </w:rPr>
        <w:t xml:space="preserve">e será concedido após o interregno mínimo de 12 (doze) meses, contado da data do orçamento estimado da contratação, utilizando-se o Índice Nacional de Preços ao Consumidor Amplo – IPCA, divulgado pelo IBGE, ou outro índice oficial que venha a substituí-lo.</w:t>
      </w:r>
      <w:r>
        <w:rPr>
          <w:rFonts w:ascii="Arial" w:hAnsi="Arial" w:cs="Arial"/>
          <w:highlight w:val="none"/>
        </w:rPr>
      </w:r>
      <w:r>
        <w:rPr>
          <w:rFonts w:ascii="Arial" w:hAnsi="Arial" w:cs="Arial"/>
          <w:highlight w:val="none"/>
        </w:rPr>
      </w:r>
    </w:p>
    <w:p w14:paraId="4620AA0B">
      <w:pPr>
        <w:pBdr/>
        <w:spacing/>
        <w:ind/>
        <w:jc w:val="both"/>
        <w:rPr>
          <w:rFonts w:ascii="Arial" w:hAnsi="Arial" w:cs="Arial"/>
          <w:b/>
          <w:bCs/>
          <w:highlight w:val="none"/>
        </w:rPr>
      </w:pPr>
      <w:r>
        <w:rPr>
          <w:rFonts w:ascii="Arial" w:hAnsi="Arial" w:eastAsia="Arial" w:cs="Arial"/>
          <w:b/>
          <w:bCs/>
          <w:highlight w:val="none"/>
        </w:rPr>
        <w:t xml:space="preserve">7.5</w:t>
      </w:r>
      <w:r>
        <w:rPr>
          <w:rFonts w:ascii="Arial" w:hAnsi="Arial" w:eastAsia="Arial" w:cs="Arial"/>
          <w:highlight w:val="none"/>
        </w:rPr>
        <w:t xml:space="preserve">. </w:t>
      </w:r>
      <w:r>
        <w:rPr>
          <w:rFonts w:ascii="Arial" w:hAnsi="Arial" w:eastAsia="Arial" w:cs="Arial"/>
          <w:b/>
          <w:bCs/>
          <w:highlight w:val="none"/>
        </w:rPr>
        <w:t xml:space="preserve">Atualização Monetária por Atraso no Pagamento</w:t>
      </w:r>
      <w:r>
        <w:rPr>
          <w:rFonts w:ascii="Arial" w:hAnsi="Arial" w:cs="Arial"/>
          <w:b/>
          <w:bCs/>
          <w:highlight w:val="none"/>
        </w:rPr>
      </w:r>
      <w:r>
        <w:rPr>
          <w:rFonts w:ascii="Arial" w:hAnsi="Arial" w:cs="Arial"/>
          <w:b/>
          <w:bCs/>
          <w:highlight w:val="none"/>
        </w:rPr>
      </w:r>
    </w:p>
    <w:p w14:paraId="3A6B29DF">
      <w:pPr>
        <w:pBdr/>
        <w:spacing/>
        <w:ind/>
        <w:jc w:val="both"/>
        <w:rPr>
          <w:rFonts w:ascii="Arial" w:hAnsi="Arial" w:cs="Arial"/>
          <w:highlight w:val="none"/>
        </w:rPr>
      </w:pPr>
      <w:r>
        <w:rPr>
          <w:rFonts w:ascii="Arial" w:hAnsi="Arial" w:eastAsia="Arial" w:cs="Arial"/>
          <w:b/>
          <w:bCs/>
          <w:highlight w:val="none"/>
        </w:rPr>
        <w:t xml:space="preserve">7.5.1.</w:t>
      </w:r>
      <w:r>
        <w:rPr>
          <w:rFonts w:ascii="Arial" w:hAnsi="Arial" w:eastAsia="Arial" w:cs="Arial"/>
          <w:highlight w:val="none"/>
        </w:rPr>
        <w:t xml:space="preserve"> O pagamento será efetuado no prazo previsto no item 7.2.2, contado da apresentação da Nota Fiscal devidamente atestada e regular, não incidindo qualquer atualização monetária dentro do prazo regular de pagamento.</w:t>
      </w:r>
      <w:r>
        <w:rPr>
          <w:rFonts w:ascii="Arial" w:hAnsi="Arial" w:cs="Arial"/>
          <w:highlight w:val="none"/>
        </w:rPr>
      </w:r>
      <w:r>
        <w:rPr>
          <w:rFonts w:ascii="Arial" w:hAnsi="Arial" w:cs="Arial"/>
          <w:highlight w:val="none"/>
        </w:rPr>
      </w:r>
    </w:p>
    <w:p w14:paraId="441C7670">
      <w:pPr>
        <w:pBdr/>
        <w:spacing/>
        <w:ind/>
        <w:jc w:val="both"/>
        <w:rPr>
          <w:rFonts w:ascii="Arial" w:hAnsi="Arial" w:cs="Arial"/>
          <w:highlight w:val="none"/>
        </w:rPr>
      </w:pPr>
      <w:r>
        <w:rPr>
          <w:rFonts w:ascii="Arial" w:hAnsi="Arial" w:eastAsia="Arial" w:cs="Arial"/>
          <w:b/>
          <w:bCs/>
          <w:highlight w:val="none"/>
        </w:rPr>
        <w:t xml:space="preserve">7.5.2.</w:t>
      </w:r>
      <w:r>
        <w:rPr>
          <w:rFonts w:ascii="Arial" w:hAnsi="Arial" w:eastAsia="Arial" w:cs="Arial"/>
          <w:highlight w:val="none"/>
        </w:rPr>
        <w:t xml:space="preserve"> Na hipótese de atraso no pa</w:t>
      </w:r>
      <w:r>
        <w:rPr>
          <w:rFonts w:ascii="Arial" w:hAnsi="Arial" w:eastAsia="Arial" w:cs="Arial"/>
          <w:highlight w:val="none"/>
        </w:rPr>
        <w:t xml:space="preserve">gamento por parte da Administração, desde que a Contratada não tenha concorrido para esse atraso, o valor devido será atualizado monetariamente a partir do primeiro dia útil subsequente ao vencimento do prazo para pagamento até a data do efetivo pagamento.</w:t>
      </w:r>
      <w:r>
        <w:rPr>
          <w:rFonts w:ascii="Arial" w:hAnsi="Arial" w:cs="Arial"/>
          <w:highlight w:val="none"/>
        </w:rPr>
      </w:r>
      <w:r>
        <w:rPr>
          <w:rFonts w:ascii="Arial" w:hAnsi="Arial" w:cs="Arial"/>
          <w:highlight w:val="none"/>
        </w:rPr>
      </w:r>
    </w:p>
    <w:p w14:paraId="4C66D464">
      <w:pPr>
        <w:pBdr/>
        <w:spacing/>
        <w:ind/>
        <w:jc w:val="both"/>
        <w:rPr>
          <w:rFonts w:ascii="Arial" w:hAnsi="Arial" w:cs="Arial"/>
          <w:highlight w:val="none"/>
        </w:rPr>
      </w:pPr>
      <w:r>
        <w:rPr>
          <w:rFonts w:ascii="Arial" w:hAnsi="Arial" w:eastAsia="Arial" w:cs="Arial"/>
          <w:b/>
          <w:bCs/>
          <w:highlight w:val="none"/>
        </w:rPr>
        <w:t xml:space="preserve">7.5.3</w:t>
      </w:r>
      <w:r>
        <w:rPr>
          <w:rFonts w:ascii="Arial" w:hAnsi="Arial" w:eastAsia="Arial" w:cs="Arial"/>
          <w:highlight w:val="none"/>
        </w:rPr>
        <w:t xml:space="preserve">. A atualização monetária será calculada com base na variação do Índice Nacional de Preços ao Consumidor Amplo – IPCA, divulgado pelo IBGE, ou outro índice que venha a substituí-lo.</w:t>
      </w:r>
      <w:r>
        <w:rPr>
          <w:rFonts w:ascii="Arial" w:hAnsi="Arial" w:cs="Arial"/>
          <w:highlight w:val="none"/>
        </w:rPr>
      </w:r>
      <w:r>
        <w:rPr>
          <w:rFonts w:ascii="Arial" w:hAnsi="Arial" w:cs="Arial"/>
          <w:highlight w:val="none"/>
        </w:rPr>
      </w:r>
    </w:p>
    <w:p w14:paraId="3CB58D69">
      <w:pPr>
        <w:pBdr/>
        <w:spacing/>
        <w:ind/>
        <w:jc w:val="both"/>
        <w:rPr>
          <w:rFonts w:ascii="Arial" w:hAnsi="Arial" w:cs="Arial"/>
          <w:highlight w:val="none"/>
        </w:rPr>
      </w:pPr>
      <w:r>
        <w:rPr>
          <w:rFonts w:ascii="Arial" w:hAnsi="Arial" w:eastAsia="Arial" w:cs="Arial"/>
          <w:b/>
          <w:bCs/>
          <w:highlight w:val="none"/>
        </w:rPr>
        <w:t xml:space="preserve">7.5.4.</w:t>
      </w:r>
      <w:r>
        <w:rPr>
          <w:rFonts w:ascii="Arial" w:hAnsi="Arial" w:eastAsia="Arial" w:cs="Arial"/>
          <w:highlight w:val="none"/>
        </w:rPr>
        <w:t xml:space="preserve"> Não haverá incidência de atualização monetária nem de juros quando o atraso decorrer de irregularidade na emissão da Nota Fiscal, pendências documentais ou descumprimento contratual imputável à Contratada.</w:t>
      </w:r>
      <w:r>
        <w:rPr>
          <w:rFonts w:ascii="Arial" w:hAnsi="Arial" w:cs="Arial"/>
          <w:highlight w:val="none"/>
        </w:rPr>
      </w:r>
      <w:r>
        <w:rPr>
          <w:rFonts w:ascii="Arial" w:hAnsi="Arial" w:cs="Arial"/>
          <w:highlight w:val="none"/>
        </w:rPr>
      </w:r>
    </w:p>
    <w:p w14:paraId="3AECDD94">
      <w:pPr>
        <w:pBdr/>
        <w:spacing/>
        <w:ind/>
        <w:jc w:val="both"/>
        <w:rPr>
          <w:rFonts w:ascii="Arial" w:hAnsi="Arial" w:cs="Arial"/>
          <w:sz w:val="18"/>
          <w:szCs w:val="18"/>
          <w:highlight w:val="none"/>
        </w:rPr>
      </w:pPr>
      <w:r>
        <w:rPr>
          <w:rFonts w:ascii="Arial" w:hAnsi="Arial" w:eastAsia="Arial" w:cs="Arial"/>
          <w:sz w:val="18"/>
          <w:szCs w:val="18"/>
          <w:highlight w:val="none"/>
        </w:rPr>
      </w:r>
      <w:r>
        <w:rPr>
          <w:rFonts w:ascii="Arial" w:hAnsi="Arial" w:cs="Arial"/>
          <w:sz w:val="18"/>
          <w:szCs w:val="18"/>
          <w:highlight w:val="none"/>
        </w:rPr>
      </w:r>
      <w:r>
        <w:rPr>
          <w:rFonts w:ascii="Arial" w:hAnsi="Arial" w:cs="Arial"/>
          <w:sz w:val="18"/>
          <w:szCs w:val="18"/>
          <w:highlight w:val="none"/>
        </w:rPr>
      </w:r>
    </w:p>
    <w:p w14:paraId="0C8A2815">
      <w:pPr>
        <w:pBdr/>
        <w:shd w:val="clear" w:color="auto" w:fill="cccccc"/>
        <w:spacing/>
        <w:ind/>
        <w:jc w:val="both"/>
        <w:rPr>
          <w:rFonts w:ascii="Arial" w:hAnsi="Arial" w:cs="Arial"/>
          <w:highlight w:val="none"/>
        </w:rPr>
      </w:pPr>
      <w:r>
        <w:rPr>
          <w:rFonts w:ascii="Arial" w:hAnsi="Arial" w:eastAsia="Arial" w:cs="Arial"/>
          <w:b/>
          <w:bCs/>
          <w:highlight w:val="none"/>
        </w:rPr>
        <w:t xml:space="preserve">8 – FORMA E CRITÉRIOS DE SELEÇÃO DO FORNECEDOR</w:t>
      </w:r>
      <w:r>
        <w:rPr>
          <w:rFonts w:ascii="Arial" w:hAnsi="Arial" w:cs="Arial"/>
          <w:highlight w:val="none"/>
        </w:rPr>
      </w:r>
      <w:r>
        <w:rPr>
          <w:rFonts w:ascii="Arial" w:hAnsi="Arial" w:cs="Arial"/>
          <w:highlight w:val="none"/>
        </w:rPr>
      </w:r>
    </w:p>
    <w:p w14:paraId="40E648ED">
      <w:pPr>
        <w:pBdr/>
        <w:spacing/>
        <w:ind/>
        <w:jc w:val="both"/>
        <w:rPr>
          <w:rFonts w:ascii="Arial" w:hAnsi="Arial" w:cs="Arial"/>
          <w:sz w:val="18"/>
          <w:szCs w:val="18"/>
          <w:highlight w:val="none"/>
        </w:rPr>
      </w:pPr>
      <w:r>
        <w:rPr>
          <w:rFonts w:ascii="Arial" w:hAnsi="Arial" w:eastAsia="Arial" w:cs="Arial"/>
          <w:sz w:val="18"/>
          <w:szCs w:val="18"/>
          <w:highlight w:val="none"/>
        </w:rPr>
      </w:r>
      <w:r>
        <w:rPr>
          <w:rFonts w:ascii="Arial" w:hAnsi="Arial" w:cs="Arial"/>
          <w:sz w:val="18"/>
          <w:szCs w:val="18"/>
          <w:highlight w:val="none"/>
        </w:rPr>
      </w:r>
      <w:r>
        <w:rPr>
          <w:rFonts w:ascii="Arial" w:hAnsi="Arial" w:cs="Arial"/>
          <w:sz w:val="18"/>
          <w:szCs w:val="18"/>
          <w:highlight w:val="none"/>
        </w:rPr>
      </w:r>
    </w:p>
    <w:p w14:paraId="31246DFA">
      <w:pPr>
        <w:pBdr/>
        <w:spacing/>
        <w:ind/>
        <w:jc w:val="both"/>
        <w:rPr>
          <w:rFonts w:ascii="Arial" w:hAnsi="Arial" w:cs="Arial"/>
          <w:b/>
          <w:bCs/>
          <w:highlight w:val="none"/>
        </w:rPr>
      </w:pPr>
      <w:r>
        <w:rPr>
          <w:rFonts w:ascii="Arial" w:hAnsi="Arial" w:eastAsia="Arial" w:cs="Arial"/>
          <w:b/>
          <w:bCs/>
          <w:highlight w:val="none"/>
          <w:lang w:val="pt-BR"/>
        </w:rPr>
        <w:t xml:space="preserve">8.1. Forma de seleção e critério de julgamento da proposta</w:t>
      </w:r>
      <w:r>
        <w:rPr>
          <w:rFonts w:ascii="Arial" w:hAnsi="Arial" w:cs="Arial"/>
          <w:b/>
          <w:bCs/>
          <w:highlight w:val="none"/>
        </w:rPr>
      </w:r>
      <w:r>
        <w:rPr>
          <w:rFonts w:ascii="Arial" w:hAnsi="Arial" w:cs="Arial"/>
          <w:b/>
          <w:bCs/>
          <w:highlight w:val="none"/>
        </w:rPr>
      </w:r>
    </w:p>
    <w:p w14:paraId="258DEBA8">
      <w:pPr>
        <w:pBdr/>
        <w:spacing/>
        <w:ind/>
        <w:jc w:val="both"/>
        <w:rPr>
          <w:rFonts w:ascii="Arial" w:hAnsi="Arial" w:cs="Arial"/>
          <w:highlight w:val="none"/>
        </w:rPr>
      </w:pPr>
      <w:r>
        <w:rPr>
          <w:rFonts w:ascii="Arial" w:hAnsi="Arial" w:eastAsia="Arial" w:cs="Arial"/>
          <w:b/>
          <w:bCs/>
          <w:highlight w:val="none"/>
          <w:lang w:val="pt-BR"/>
        </w:rPr>
        <w:t xml:space="preserve">8.1.1.</w:t>
      </w:r>
      <w:r>
        <w:rPr>
          <w:rFonts w:ascii="Arial" w:hAnsi="Arial" w:eastAsia="Arial" w:cs="Arial"/>
          <w:highlight w:val="none"/>
          <w:lang w:val="pt-BR"/>
        </w:rPr>
        <w:t xml:space="preserve"> O fornecedor será selecionado mediante Pregão Eletrônico, com adoção do Sistema de Registro de Preços, utilizando-se como critério de julgamento o MENOR PREÇO GLOBAL DO LOTE, observadas as condições </w:t>
      </w:r>
      <w:r>
        <w:rPr>
          <w:rFonts w:ascii="Arial" w:hAnsi="Arial" w:eastAsia="Arial" w:cs="Arial"/>
          <w:highlight w:val="none"/>
          <w:lang w:val="pt-BR"/>
        </w:rPr>
        <w:t xml:space="preserve">estabelecidas neste Termo de Referência, no Edital e na Lei Federal nº 14.133/2021.</w:t>
      </w:r>
      <w:r>
        <w:rPr>
          <w:rFonts w:ascii="Arial" w:hAnsi="Arial" w:cs="Arial"/>
          <w:highlight w:val="none"/>
        </w:rPr>
      </w:r>
      <w:r>
        <w:rPr>
          <w:rFonts w:ascii="Arial" w:hAnsi="Arial" w:cs="Arial"/>
          <w:highlight w:val="none"/>
        </w:rPr>
      </w:r>
    </w:p>
    <w:p w14:paraId="779DA7C6">
      <w:pPr>
        <w:pBdr/>
        <w:spacing/>
        <w:ind/>
        <w:jc w:val="both"/>
        <w:rPr>
          <w:rFonts w:ascii="Arial" w:hAnsi="Arial" w:cs="Arial"/>
          <w:highlight w:val="none"/>
        </w:rPr>
      </w:pPr>
      <w:r>
        <w:rPr>
          <w:rFonts w:ascii="Arial" w:hAnsi="Arial" w:eastAsia="Arial" w:cs="Arial"/>
          <w:b/>
          <w:bCs/>
          <w:highlight w:val="none"/>
          <w:lang w:val="pt-BR"/>
        </w:rPr>
        <w:t xml:space="preserve">8.1.2.</w:t>
      </w:r>
      <w:r>
        <w:rPr>
          <w:rFonts w:ascii="Arial" w:hAnsi="Arial" w:eastAsia="Arial" w:cs="Arial"/>
          <w:highlight w:val="none"/>
          <w:lang w:val="pt-BR"/>
        </w:rPr>
        <w:t xml:space="preserve"> A contratação será realizada em LOTE ÚNICO, contempl</w:t>
      </w:r>
      <w:r>
        <w:rPr>
          <w:rFonts w:ascii="Arial" w:hAnsi="Arial" w:eastAsia="Arial" w:cs="Arial"/>
          <w:highlight w:val="none"/>
          <w:lang w:val="pt-BR"/>
        </w:rPr>
        <w:t xml:space="preserve">ando os tubos e as agulhas destinados à coleta de sangue a vácuo, sendo o lote adjudicado a um único fornecedor, responsável pelo fornecimento integral dos itens que o compõem, conforme as especificações e condições estabelecidas neste Termo de Referência.</w:t>
      </w:r>
      <w:r>
        <w:rPr>
          <w:rFonts w:ascii="Arial" w:hAnsi="Arial" w:cs="Arial"/>
          <w:highlight w:val="none"/>
        </w:rPr>
      </w:r>
      <w:r>
        <w:rPr>
          <w:rFonts w:ascii="Arial" w:hAnsi="Arial" w:cs="Arial"/>
          <w:highlight w:val="none"/>
        </w:rPr>
      </w:r>
    </w:p>
    <w:p w14:paraId="2A6D9AF0">
      <w:pPr>
        <w:pBdr/>
        <w:spacing/>
        <w:ind/>
        <w:jc w:val="both"/>
        <w:rPr>
          <w:rFonts w:ascii="Arial" w:hAnsi="Arial" w:cs="Arial"/>
          <w:b/>
          <w:bCs/>
          <w:highlight w:val="none"/>
        </w:rPr>
      </w:pPr>
      <w:r>
        <w:rPr>
          <w:rFonts w:ascii="Arial" w:hAnsi="Arial" w:eastAsia="Arial" w:cs="Arial"/>
          <w:b/>
          <w:bCs/>
          <w:highlight w:val="none"/>
        </w:rPr>
        <w:t xml:space="preserve">8.2. Exigências de habilitação</w:t>
      </w:r>
      <w:r>
        <w:rPr>
          <w:rFonts w:ascii="Arial" w:hAnsi="Arial" w:cs="Arial"/>
          <w:b/>
          <w:bCs/>
          <w:highlight w:val="none"/>
        </w:rPr>
      </w:r>
      <w:r>
        <w:rPr>
          <w:rFonts w:ascii="Arial" w:hAnsi="Arial" w:cs="Arial"/>
          <w:b/>
          <w:bCs/>
          <w:highlight w:val="none"/>
        </w:rPr>
      </w:r>
    </w:p>
    <w:p w14:paraId="35C745D0">
      <w:pPr>
        <w:pBdr/>
        <w:spacing/>
        <w:ind/>
        <w:jc w:val="both"/>
        <w:rPr>
          <w:rFonts w:ascii="Arial" w:hAnsi="Arial" w:cs="Arial"/>
          <w:highlight w:val="none"/>
        </w:rPr>
      </w:pPr>
      <w:r>
        <w:rPr>
          <w:rFonts w:ascii="Arial" w:hAnsi="Arial" w:eastAsia="Arial" w:cs="Arial"/>
          <w:b/>
          <w:bCs/>
          <w:highlight w:val="none"/>
          <w:lang w:val="pt-BR"/>
        </w:rPr>
        <w:t xml:space="preserve">8.2.1.</w:t>
      </w:r>
      <w:r>
        <w:rPr>
          <w:rFonts w:ascii="Arial" w:hAnsi="Arial" w:eastAsia="Arial" w:cs="Arial"/>
          <w:highlight w:val="none"/>
          <w:lang w:val="pt-BR"/>
        </w:rPr>
        <w:t xml:space="preserve"> </w:t>
      </w:r>
      <w:r>
        <w:rPr>
          <w:rFonts w:ascii="Arial" w:hAnsi="Arial" w:eastAsia="Arial" w:cs="Arial"/>
          <w:highlight w:val="none"/>
        </w:rPr>
        <w:t xml:space="preserve">Habilitação jurídica</w:t>
      </w:r>
      <w:r>
        <w:rPr>
          <w:rFonts w:ascii="Arial" w:hAnsi="Arial" w:cs="Arial"/>
          <w:highlight w:val="none"/>
        </w:rPr>
      </w:r>
      <w:r>
        <w:rPr>
          <w:rFonts w:ascii="Arial" w:hAnsi="Arial" w:cs="Arial"/>
          <w:highlight w:val="none"/>
        </w:rPr>
      </w:r>
    </w:p>
    <w:p w14:paraId="70AEAFDE">
      <w:pPr>
        <w:pBdr/>
        <w:spacing/>
        <w:ind/>
        <w:jc w:val="both"/>
        <w:rPr>
          <w:rFonts w:ascii="Arial" w:hAnsi="Arial" w:cs="Arial"/>
          <w:highlight w:val="none"/>
        </w:rPr>
      </w:pPr>
      <w:r>
        <w:rPr>
          <w:rFonts w:ascii="Arial" w:hAnsi="Arial" w:eastAsia="Arial" w:cs="Arial"/>
          <w:highlight w:val="none"/>
          <w:lang w:val="pt-BR"/>
        </w:rPr>
        <w:t xml:space="preserve">a) </w:t>
      </w:r>
      <w:r>
        <w:rPr>
          <w:rFonts w:ascii="Arial" w:hAnsi="Arial" w:eastAsia="Arial" w:cs="Arial"/>
          <w:highlight w:val="none"/>
        </w:rPr>
        <w:t xml:space="preserve">Pessoa física: cédula de identidade (RG) ou documento equivalente que, por força de lei, tenha validade para fins de identificação em todo o território nacional;</w:t>
      </w:r>
      <w:r>
        <w:rPr>
          <w:rFonts w:ascii="Arial" w:hAnsi="Arial" w:cs="Arial"/>
          <w:highlight w:val="none"/>
        </w:rPr>
      </w:r>
      <w:r>
        <w:rPr>
          <w:rFonts w:ascii="Arial" w:hAnsi="Arial" w:cs="Arial"/>
          <w:highlight w:val="none"/>
        </w:rPr>
      </w:r>
    </w:p>
    <w:p w14:paraId="338F15ED">
      <w:pPr>
        <w:pBdr/>
        <w:spacing/>
        <w:ind/>
        <w:jc w:val="both"/>
        <w:rPr>
          <w:rFonts w:ascii="Arial" w:hAnsi="Arial" w:cs="Arial"/>
          <w:highlight w:val="none"/>
        </w:rPr>
      </w:pPr>
      <w:r>
        <w:rPr>
          <w:rFonts w:ascii="Arial" w:hAnsi="Arial" w:eastAsia="Arial" w:cs="Arial"/>
          <w:highlight w:val="none"/>
          <w:lang w:val="pt-BR"/>
        </w:rPr>
        <w:t xml:space="preserve">b) </w:t>
      </w:r>
      <w:r>
        <w:rPr>
          <w:rFonts w:ascii="Arial" w:hAnsi="Arial" w:eastAsia="Arial" w:cs="Arial"/>
          <w:highlight w:val="none"/>
        </w:rPr>
        <w:t xml:space="preserve">Empresário individual: inscrição no Registro Público de Empresas Mercantis, a cargo da Junta Comercial da respectiva sede; </w:t>
      </w:r>
      <w:r>
        <w:rPr>
          <w:rFonts w:ascii="Arial" w:hAnsi="Arial" w:cs="Arial"/>
          <w:highlight w:val="none"/>
        </w:rPr>
      </w:r>
      <w:r>
        <w:rPr>
          <w:rFonts w:ascii="Arial" w:hAnsi="Arial" w:cs="Arial"/>
          <w:highlight w:val="none"/>
        </w:rPr>
      </w:r>
    </w:p>
    <w:p w14:paraId="158270AD">
      <w:pPr>
        <w:pBdr/>
        <w:spacing/>
        <w:ind/>
        <w:jc w:val="both"/>
        <w:rPr>
          <w:rFonts w:ascii="Arial" w:hAnsi="Arial" w:cs="Arial"/>
          <w:highlight w:val="none"/>
        </w:rPr>
      </w:pPr>
      <w:r>
        <w:rPr>
          <w:rFonts w:ascii="Arial" w:hAnsi="Arial" w:eastAsia="Arial" w:cs="Arial"/>
          <w:highlight w:val="none"/>
          <w:lang w:val="pt-BR"/>
        </w:rPr>
        <w:t xml:space="preserve">c) </w:t>
      </w:r>
      <w:r>
        <w:rPr>
          <w:rFonts w:ascii="Arial" w:hAnsi="Arial" w:eastAsia="Arial" w:cs="Arial"/>
          <w:highlight w:val="none"/>
        </w:rPr>
        <w:t xml:space="preserve">Microempreendedor Individual - MEI: Certificado da Condição de Microempreendedor Individual - CCMEI, cuja</w:t>
      </w:r>
      <w:r>
        <w:rPr>
          <w:rFonts w:ascii="Arial" w:hAnsi="Arial" w:cs="Arial"/>
          <w:highlight w:val="none"/>
        </w:rPr>
      </w:r>
      <w:r>
        <w:rPr>
          <w:rFonts w:ascii="Arial" w:hAnsi="Arial" w:cs="Arial"/>
          <w:highlight w:val="none"/>
        </w:rPr>
      </w:r>
    </w:p>
    <w:p w14:paraId="47BDD6C3">
      <w:pPr>
        <w:pBdr/>
        <w:spacing/>
        <w:ind/>
        <w:jc w:val="both"/>
        <w:rPr>
          <w:rFonts w:ascii="Arial" w:hAnsi="Arial" w:cs="Arial"/>
          <w:highlight w:val="none"/>
        </w:rPr>
      </w:pPr>
      <w:r>
        <w:rPr>
          <w:rFonts w:ascii="Arial" w:hAnsi="Arial" w:eastAsia="Arial" w:cs="Arial"/>
          <w:highlight w:val="none"/>
        </w:rPr>
        <w:t xml:space="preserve">aceitação ficará condicionada à verificação da autenticidade no sítio https://www.gov.br/empresas-e-negocios/pt-br/empreendedor; </w:t>
      </w:r>
      <w:r>
        <w:rPr>
          <w:rFonts w:ascii="Arial" w:hAnsi="Arial" w:cs="Arial"/>
          <w:highlight w:val="none"/>
        </w:rPr>
      </w:r>
      <w:r>
        <w:rPr>
          <w:rFonts w:ascii="Arial" w:hAnsi="Arial" w:cs="Arial"/>
          <w:highlight w:val="none"/>
        </w:rPr>
      </w:r>
    </w:p>
    <w:p w14:paraId="4E88AE39">
      <w:pPr>
        <w:pBdr/>
        <w:spacing/>
        <w:ind/>
        <w:jc w:val="both"/>
        <w:rPr>
          <w:rFonts w:ascii="Arial" w:hAnsi="Arial" w:cs="Arial"/>
          <w:highlight w:val="none"/>
        </w:rPr>
      </w:pPr>
      <w:r>
        <w:rPr>
          <w:rFonts w:ascii="Arial" w:hAnsi="Arial" w:eastAsia="Arial" w:cs="Arial"/>
          <w:highlight w:val="none"/>
          <w:lang w:val="pt-BR"/>
        </w:rPr>
        <w:t xml:space="preserve">d) </w:t>
      </w:r>
      <w:r>
        <w:rPr>
          <w:rFonts w:ascii="Arial" w:hAnsi="Arial" w:eastAsia="Arial" w:cs="Arial"/>
          <w:highlight w:val="none"/>
        </w:rPr>
        <w:t xml:space="preserve">Sociedade empresária, sociedade limitada unipessoal – SLU ou sociedade identificada como empresa indivi</w:t>
      </w:r>
      <w:r>
        <w:rPr>
          <w:rFonts w:ascii="Arial" w:hAnsi="Arial" w:eastAsia="Arial" w:cs="Arial"/>
          <w:highlight w:val="none"/>
        </w:rPr>
        <w:t xml:space="preserve">dual de responsabilidade limitada - EIRELI: inscrição do ato constitutivo, estatuto ou contrato social no Registro Público de Empresas Mercantis, a cargo da Junta Comercial da respectiva sede, acompanhada de documento comprobatório de seus administradores;</w:t>
      </w:r>
      <w:r>
        <w:rPr>
          <w:rFonts w:ascii="Arial" w:hAnsi="Arial" w:cs="Arial"/>
          <w:highlight w:val="none"/>
        </w:rPr>
      </w:r>
      <w:r>
        <w:rPr>
          <w:rFonts w:ascii="Arial" w:hAnsi="Arial" w:cs="Arial"/>
          <w:highlight w:val="none"/>
        </w:rPr>
      </w:r>
    </w:p>
    <w:p w14:paraId="59F034A1">
      <w:pPr>
        <w:pBdr/>
        <w:spacing/>
        <w:ind/>
        <w:jc w:val="both"/>
        <w:rPr>
          <w:rFonts w:ascii="Arial" w:hAnsi="Arial" w:cs="Arial"/>
          <w:highlight w:val="none"/>
        </w:rPr>
      </w:pPr>
      <w:r>
        <w:rPr>
          <w:rFonts w:ascii="Arial" w:hAnsi="Arial" w:eastAsia="Arial" w:cs="Arial"/>
          <w:highlight w:val="none"/>
          <w:lang w:val="pt-BR"/>
        </w:rPr>
        <w:t xml:space="preserve">e) </w:t>
      </w:r>
      <w:r>
        <w:rPr>
          <w:rFonts w:ascii="Arial" w:hAnsi="Arial" w:eastAsia="Arial" w:cs="Arial"/>
          <w:highlight w:val="none"/>
        </w:rPr>
        <w:t xml:space="preserve">Sociedade empresária estrangeira: portaria de autorização de funci</w:t>
      </w:r>
      <w:r>
        <w:rPr>
          <w:rFonts w:ascii="Arial" w:hAnsi="Arial" w:eastAsia="Arial" w:cs="Arial"/>
          <w:highlight w:val="none"/>
        </w:rPr>
        <w:t xml:space="preserve">onamento no Brasil, publicada no Diário Oficial da União e arquivada na Junta Comercial da unidade federativa onde se localizar a filial, agência, sucursal ou estabelecimento, a qual será considerada como sua sede, conforme Instrução Normativa DREI/ME n.º </w:t>
      </w:r>
      <w:r>
        <w:rPr>
          <w:rFonts w:ascii="Arial" w:hAnsi="Arial" w:eastAsia="Arial" w:cs="Arial"/>
          <w:highlight w:val="none"/>
          <w:lang w:val="pt-BR"/>
        </w:rPr>
        <w:t xml:space="preserve">88/2022.</w:t>
      </w:r>
      <w:r>
        <w:rPr>
          <w:rFonts w:ascii="Arial" w:hAnsi="Arial" w:cs="Arial"/>
          <w:highlight w:val="none"/>
        </w:rPr>
      </w:r>
      <w:r>
        <w:rPr>
          <w:rFonts w:ascii="Arial" w:hAnsi="Arial" w:cs="Arial"/>
          <w:highlight w:val="none"/>
        </w:rPr>
      </w:r>
    </w:p>
    <w:p w14:paraId="5FEE3A91">
      <w:pPr>
        <w:pBdr/>
        <w:spacing/>
        <w:ind/>
        <w:jc w:val="both"/>
        <w:rPr>
          <w:rFonts w:ascii="Arial" w:hAnsi="Arial" w:cs="Arial"/>
          <w:highlight w:val="none"/>
        </w:rPr>
      </w:pPr>
      <w:r>
        <w:rPr>
          <w:rFonts w:ascii="Arial" w:hAnsi="Arial" w:eastAsia="Arial" w:cs="Arial"/>
          <w:highlight w:val="none"/>
          <w:lang w:val="pt-BR"/>
        </w:rPr>
        <w:t xml:space="preserve">f) </w:t>
      </w:r>
      <w:r>
        <w:rPr>
          <w:rFonts w:ascii="Arial" w:hAnsi="Arial" w:eastAsia="Arial" w:cs="Arial"/>
          <w:highlight w:val="none"/>
        </w:rPr>
        <w:t xml:space="preserve">Sociedade simples: inscrição do ato constitutivo no Registro Civil de Pessoas Jurídicas do local de sua sede, acompanhada de documento comprobatório de seus administradores;</w:t>
      </w:r>
      <w:r>
        <w:rPr>
          <w:rFonts w:ascii="Arial" w:hAnsi="Arial" w:cs="Arial"/>
          <w:highlight w:val="none"/>
        </w:rPr>
      </w:r>
      <w:r>
        <w:rPr>
          <w:rFonts w:ascii="Arial" w:hAnsi="Arial" w:cs="Arial"/>
          <w:highlight w:val="none"/>
        </w:rPr>
      </w:r>
    </w:p>
    <w:p w14:paraId="08CA6B1D">
      <w:pPr>
        <w:pBdr/>
        <w:spacing/>
        <w:ind/>
        <w:jc w:val="both"/>
        <w:rPr>
          <w:rFonts w:ascii="Arial" w:hAnsi="Arial" w:cs="Arial"/>
          <w:highlight w:val="none"/>
        </w:rPr>
      </w:pPr>
      <w:r>
        <w:rPr>
          <w:rFonts w:ascii="Arial" w:hAnsi="Arial" w:eastAsia="Arial" w:cs="Arial"/>
          <w:highlight w:val="none"/>
          <w:lang w:val="pt-BR"/>
        </w:rPr>
        <w:t xml:space="preserve">g) </w:t>
      </w:r>
      <w:r>
        <w:rPr>
          <w:rFonts w:ascii="Arial" w:hAnsi="Arial" w:eastAsia="Arial" w:cs="Arial"/>
          <w:highlight w:val="none"/>
        </w:rPr>
        <w:t xml:space="preserve">Filial, sucursal ou agência de sociedade simples ou empresária: ins</w:t>
      </w:r>
      <w:r>
        <w:rPr>
          <w:rFonts w:ascii="Arial" w:hAnsi="Arial" w:eastAsia="Arial" w:cs="Arial"/>
          <w:highlight w:val="none"/>
        </w:rPr>
        <w:t xml:space="preserve">crição do ato constitutivo da filial, sucursal ou agência da sociedade simples ou empresária, respectivamente, no Registro Civil das Pessoas Jurídicas ou no Registro Público de Empresas Mercantis onde opera, com averbação no Registro onde tem sede a matriz</w:t>
      </w:r>
      <w:r>
        <w:rPr>
          <w:rFonts w:ascii="Arial" w:hAnsi="Arial" w:cs="Arial"/>
          <w:highlight w:val="none"/>
        </w:rPr>
      </w:r>
      <w:r>
        <w:rPr>
          <w:rFonts w:ascii="Arial" w:hAnsi="Arial" w:cs="Arial"/>
          <w:highlight w:val="none"/>
        </w:rPr>
      </w:r>
    </w:p>
    <w:p w14:paraId="22FFF5EB">
      <w:pPr>
        <w:pBdr/>
        <w:spacing/>
        <w:ind/>
        <w:jc w:val="both"/>
        <w:rPr>
          <w:rFonts w:ascii="Arial" w:hAnsi="Arial" w:cs="Arial"/>
          <w:highlight w:val="none"/>
        </w:rPr>
      </w:pPr>
      <w:r>
        <w:rPr>
          <w:rFonts w:ascii="Arial" w:hAnsi="Arial" w:eastAsia="Arial" w:cs="Arial"/>
          <w:highlight w:val="none"/>
          <w:lang w:val="pt-BR"/>
        </w:rPr>
        <w:t xml:space="preserve">h) </w:t>
      </w:r>
      <w:r>
        <w:rPr>
          <w:rFonts w:ascii="Arial" w:hAnsi="Arial" w:eastAsia="Arial" w:cs="Arial"/>
          <w:highlight w:val="none"/>
        </w:rPr>
        <w:t xml:space="preserve">Sociedade cooperativa: ata de funda</w:t>
      </w:r>
      <w:r>
        <w:rPr>
          <w:rFonts w:ascii="Arial" w:hAnsi="Arial" w:eastAsia="Arial" w:cs="Arial"/>
          <w:highlight w:val="none"/>
        </w:rPr>
        <w:t xml:space="preserve">ção e estatuto social, com a ata da assembleia que o aprovou, devidamente arquivado na Junta Comercial ou inscrito no Registro Civil das Pessoas Jurídicas da respectiva sede, além do registro de que trata o art. 107 da Lei nº 5.764, de 16 de dezembro 1971.</w:t>
      </w:r>
      <w:r>
        <w:rPr>
          <w:rFonts w:ascii="Arial" w:hAnsi="Arial" w:cs="Arial"/>
          <w:highlight w:val="none"/>
        </w:rPr>
      </w:r>
      <w:r>
        <w:rPr>
          <w:rFonts w:ascii="Arial" w:hAnsi="Arial" w:cs="Arial"/>
          <w:highlight w:val="none"/>
        </w:rPr>
      </w:r>
    </w:p>
    <w:p w14:paraId="7B626DA2">
      <w:pPr>
        <w:pBdr/>
        <w:spacing/>
        <w:ind/>
        <w:jc w:val="both"/>
        <w:rPr>
          <w:rFonts w:ascii="Arial" w:hAnsi="Arial" w:cs="Arial"/>
          <w:highlight w:val="none"/>
        </w:rPr>
      </w:pPr>
      <w:r>
        <w:rPr>
          <w:rFonts w:ascii="Arial" w:hAnsi="Arial" w:eastAsia="Arial" w:cs="Arial"/>
          <w:highlight w:val="none"/>
          <w:lang w:val="pt-BR"/>
        </w:rPr>
        <w:t xml:space="preserve">i) </w:t>
      </w:r>
      <w:r>
        <w:rPr>
          <w:rFonts w:ascii="Arial" w:hAnsi="Arial" w:eastAsia="Arial" w:cs="Arial"/>
          <w:highlight w:val="none"/>
        </w:rPr>
        <w:t xml:space="preserve">Os documentos apresentados deverão estar acompanhados de todas as alterações ou da consolidação respectiva.</w:t>
      </w:r>
      <w:r>
        <w:rPr>
          <w:rFonts w:ascii="Arial" w:hAnsi="Arial" w:cs="Arial"/>
          <w:highlight w:val="none"/>
        </w:rPr>
      </w:r>
      <w:r>
        <w:rPr>
          <w:rFonts w:ascii="Arial" w:hAnsi="Arial" w:cs="Arial"/>
          <w:highlight w:val="none"/>
        </w:rPr>
      </w:r>
    </w:p>
    <w:p w14:paraId="24833EFA">
      <w:pPr>
        <w:pBdr/>
        <w:spacing/>
        <w:ind/>
        <w:jc w:val="both"/>
        <w:rPr>
          <w:rFonts w:ascii="Arial" w:hAnsi="Arial" w:cs="Arial"/>
          <w:b/>
          <w:bCs/>
          <w:highlight w:val="none"/>
        </w:rPr>
      </w:pPr>
      <w:r>
        <w:rPr>
          <w:rFonts w:ascii="Arial" w:hAnsi="Arial" w:eastAsia="Arial" w:cs="Arial"/>
          <w:b/>
          <w:bCs/>
          <w:highlight w:val="none"/>
          <w:lang w:val="pt-BR"/>
        </w:rPr>
        <w:t xml:space="preserve">8.2.2. </w:t>
      </w:r>
      <w:r>
        <w:rPr>
          <w:rFonts w:ascii="Arial" w:hAnsi="Arial" w:eastAsia="Arial" w:cs="Arial"/>
          <w:b/>
          <w:bCs/>
          <w:highlight w:val="none"/>
        </w:rPr>
        <w:t xml:space="preserve">Habilitação fiscal, social e trabalhista</w:t>
      </w:r>
      <w:r>
        <w:rPr>
          <w:rFonts w:ascii="Arial" w:hAnsi="Arial" w:cs="Arial"/>
          <w:b/>
          <w:bCs/>
          <w:highlight w:val="none"/>
        </w:rPr>
      </w:r>
      <w:r>
        <w:rPr>
          <w:rFonts w:ascii="Arial" w:hAnsi="Arial" w:cs="Arial"/>
          <w:b/>
          <w:bCs/>
          <w:highlight w:val="none"/>
        </w:rPr>
      </w:r>
    </w:p>
    <w:p w14:paraId="57AA9F10">
      <w:pPr>
        <w:pBdr/>
        <w:spacing/>
        <w:ind/>
        <w:jc w:val="both"/>
        <w:rPr>
          <w:rFonts w:ascii="Arial" w:hAnsi="Arial" w:cs="Arial"/>
          <w:highlight w:val="none"/>
        </w:rPr>
      </w:pPr>
      <w:r>
        <w:rPr>
          <w:rFonts w:ascii="Arial" w:hAnsi="Arial" w:eastAsia="Arial" w:cs="Arial"/>
          <w:highlight w:val="none"/>
          <w:lang w:val="pt-BR"/>
        </w:rPr>
        <w:t xml:space="preserve">a) </w:t>
      </w:r>
      <w:r>
        <w:rPr>
          <w:rFonts w:ascii="Arial" w:hAnsi="Arial" w:eastAsia="Arial" w:cs="Arial"/>
          <w:highlight w:val="none"/>
        </w:rPr>
        <w:t xml:space="preserve">Prova de inscrição no Cadastro Nacional de Pessoa Jurídica (CNPJ), ou no Cadastro de Pessoas Físicas, conforme o caso;</w:t>
      </w:r>
      <w:r>
        <w:rPr>
          <w:rFonts w:ascii="Arial" w:hAnsi="Arial" w:cs="Arial"/>
          <w:highlight w:val="none"/>
        </w:rPr>
      </w:r>
      <w:r>
        <w:rPr>
          <w:rFonts w:ascii="Arial" w:hAnsi="Arial" w:cs="Arial"/>
          <w:highlight w:val="none"/>
        </w:rPr>
      </w:r>
    </w:p>
    <w:p w14:paraId="3F30B898">
      <w:pPr>
        <w:pBdr/>
        <w:spacing/>
        <w:ind/>
        <w:jc w:val="both"/>
        <w:rPr>
          <w:rFonts w:ascii="Arial" w:hAnsi="Arial" w:cs="Arial"/>
          <w:highlight w:val="none"/>
        </w:rPr>
      </w:pPr>
      <w:r>
        <w:rPr>
          <w:rFonts w:ascii="Arial" w:hAnsi="Arial" w:eastAsia="Arial" w:cs="Arial"/>
          <w:highlight w:val="none"/>
          <w:lang w:val="pt-BR"/>
        </w:rPr>
        <w:t xml:space="preserve">b) </w:t>
      </w:r>
      <w:r>
        <w:rPr>
          <w:rFonts w:ascii="Arial" w:hAnsi="Arial" w:eastAsia="Arial" w:cs="Arial"/>
          <w:highlight w:val="none"/>
        </w:rPr>
        <w:t xml:space="preserve">Prova de inscrição no cadastro de contribuintes estadual e/ou municipal, se houver, relativo ao domicílio ou sede do licitante, pertinente ao seu ramo de atividade e compatível com o objeto contratual; </w:t>
      </w:r>
      <w:r>
        <w:rPr>
          <w:rFonts w:ascii="Arial" w:hAnsi="Arial" w:cs="Arial"/>
          <w:highlight w:val="none"/>
        </w:rPr>
      </w:r>
      <w:r>
        <w:rPr>
          <w:rFonts w:ascii="Arial" w:hAnsi="Arial" w:cs="Arial"/>
          <w:highlight w:val="none"/>
        </w:rPr>
      </w:r>
    </w:p>
    <w:p w14:paraId="48B283D2">
      <w:pPr>
        <w:pBdr/>
        <w:spacing/>
        <w:ind/>
        <w:jc w:val="both"/>
        <w:rPr>
          <w:rFonts w:ascii="Arial" w:hAnsi="Arial" w:cs="Arial"/>
          <w:highlight w:val="none"/>
        </w:rPr>
      </w:pPr>
      <w:r>
        <w:rPr>
          <w:rFonts w:ascii="Arial" w:hAnsi="Arial" w:eastAsia="Arial" w:cs="Arial"/>
          <w:highlight w:val="none"/>
          <w:lang w:val="pt-BR"/>
        </w:rPr>
        <w:t xml:space="preserve">c) </w:t>
      </w:r>
      <w:r>
        <w:rPr>
          <w:rFonts w:ascii="Arial" w:hAnsi="Arial" w:eastAsia="Arial" w:cs="Arial"/>
          <w:highlight w:val="none"/>
        </w:rPr>
        <w:t xml:space="preserve">Prova de regularidade para com as Fazendas federal, estadual/distrital e Municipal do domicílio ou sede do licitante, ou outra equivalente, na forma da lei;</w:t>
      </w:r>
      <w:r>
        <w:rPr>
          <w:rFonts w:ascii="Arial" w:hAnsi="Arial" w:cs="Arial"/>
          <w:highlight w:val="none"/>
        </w:rPr>
      </w:r>
      <w:r>
        <w:rPr>
          <w:rFonts w:ascii="Arial" w:hAnsi="Arial" w:cs="Arial"/>
          <w:highlight w:val="none"/>
        </w:rPr>
      </w:r>
    </w:p>
    <w:p w14:paraId="21DC586A">
      <w:pPr>
        <w:pBdr/>
        <w:spacing/>
        <w:ind/>
        <w:jc w:val="both"/>
        <w:rPr>
          <w:rFonts w:ascii="Arial" w:hAnsi="Arial" w:cs="Arial"/>
          <w:highlight w:val="none"/>
        </w:rPr>
      </w:pPr>
      <w:r>
        <w:rPr>
          <w:rFonts w:ascii="Arial" w:hAnsi="Arial" w:eastAsia="Arial" w:cs="Arial"/>
          <w:highlight w:val="none"/>
          <w:lang w:val="pt-BR"/>
        </w:rPr>
        <w:t xml:space="preserve">d) </w:t>
      </w:r>
      <w:r>
        <w:rPr>
          <w:rFonts w:ascii="Arial" w:hAnsi="Arial" w:eastAsia="Arial" w:cs="Arial"/>
          <w:highlight w:val="none"/>
        </w:rPr>
        <w:t xml:space="preserve">Prova de regularidade relativa à Seguridade Social e ao Fundo de Garantia por Tempo de Serviço (FGTS), demonstrando situação regular no cumprimento dos encargos sociais instituídos por lei. </w:t>
      </w:r>
      <w:r>
        <w:rPr>
          <w:rFonts w:ascii="Arial" w:hAnsi="Arial" w:cs="Arial"/>
          <w:highlight w:val="none"/>
        </w:rPr>
      </w:r>
      <w:r>
        <w:rPr>
          <w:rFonts w:ascii="Arial" w:hAnsi="Arial" w:cs="Arial"/>
          <w:highlight w:val="none"/>
        </w:rPr>
      </w:r>
    </w:p>
    <w:p w14:paraId="5B3B8B64">
      <w:pPr>
        <w:pBdr/>
        <w:spacing/>
        <w:ind/>
        <w:jc w:val="both"/>
        <w:rPr>
          <w:rFonts w:ascii="Arial" w:hAnsi="Arial" w:cs="Arial"/>
          <w:highlight w:val="none"/>
        </w:rPr>
      </w:pPr>
      <w:r>
        <w:rPr>
          <w:rFonts w:ascii="Arial" w:hAnsi="Arial" w:eastAsia="Arial" w:cs="Arial"/>
          <w:highlight w:val="none"/>
          <w:lang w:val="pt-BR"/>
        </w:rPr>
        <w:t xml:space="preserve">e) </w:t>
      </w:r>
      <w:r>
        <w:rPr>
          <w:rFonts w:ascii="Arial" w:hAnsi="Arial" w:eastAsia="Arial" w:cs="Arial"/>
          <w:highlight w:val="none"/>
        </w:rPr>
        <w:t xml:space="preserve">Prova de inexistência d</w:t>
      </w:r>
      <w:r>
        <w:rPr>
          <w:rFonts w:ascii="Arial" w:hAnsi="Arial" w:eastAsia="Arial" w:cs="Arial"/>
          <w:highlight w:val="none"/>
        </w:rPr>
        <w:t xml:space="preserve">e débitos inadimplidos perante a Justiça do Trabalho, mediante apresentação de certidão negativa ou positiva com efeito de negativa, nos termos do Título VII-A da Consolidação das Leis do Trabalho, aprovada pelo Decreto-Lei no 5.452, de 1o de maio de 1943.</w:t>
      </w:r>
      <w:r>
        <w:rPr>
          <w:rFonts w:ascii="Arial" w:hAnsi="Arial" w:cs="Arial"/>
          <w:highlight w:val="none"/>
        </w:rPr>
      </w:r>
      <w:r>
        <w:rPr>
          <w:rFonts w:ascii="Arial" w:hAnsi="Arial" w:cs="Arial"/>
          <w:highlight w:val="none"/>
        </w:rPr>
      </w:r>
    </w:p>
    <w:p w14:paraId="63559C33">
      <w:pPr>
        <w:pBdr/>
        <w:spacing/>
        <w:ind/>
        <w:jc w:val="both"/>
        <w:rPr>
          <w:rFonts w:ascii="Arial" w:hAnsi="Arial" w:cs="Arial"/>
          <w:highlight w:val="none"/>
        </w:rPr>
      </w:pPr>
      <w:r>
        <w:rPr>
          <w:rFonts w:ascii="Arial" w:hAnsi="Arial" w:eastAsia="Arial" w:cs="Arial"/>
          <w:highlight w:val="none"/>
          <w:lang w:val="pt-BR"/>
        </w:rPr>
        <w:t xml:space="preserve">f) </w:t>
      </w:r>
      <w:r>
        <w:rPr>
          <w:rFonts w:ascii="Arial" w:hAnsi="Arial" w:eastAsia="Arial" w:cs="Arial"/>
          <w:highlight w:val="none"/>
        </w:rPr>
        <w:t xml:space="preserve">Declaração expressa de que o licitante não emprega trabalhador menor nas situações previstas no inciso XXXIII do art. 7º da Constituição da República.</w:t>
      </w:r>
      <w:r>
        <w:rPr>
          <w:rFonts w:ascii="Arial" w:hAnsi="Arial" w:cs="Arial"/>
          <w:highlight w:val="none"/>
        </w:rPr>
      </w:r>
      <w:r>
        <w:rPr>
          <w:rFonts w:ascii="Arial" w:hAnsi="Arial" w:cs="Arial"/>
          <w:highlight w:val="none"/>
        </w:rPr>
      </w:r>
    </w:p>
    <w:p w14:paraId="5D77B8CA">
      <w:pPr>
        <w:pBdr/>
        <w:spacing/>
        <w:ind/>
        <w:jc w:val="both"/>
        <w:rPr>
          <w:rFonts w:ascii="Arial" w:hAnsi="Arial" w:cs="Arial"/>
          <w:highlight w:val="none"/>
        </w:rPr>
      </w:pPr>
      <w:r>
        <w:rPr>
          <w:rFonts w:ascii="Arial" w:hAnsi="Arial" w:eastAsia="Arial" w:cs="Arial"/>
          <w:highlight w:val="none"/>
          <w:lang w:val="pt-BR"/>
        </w:rPr>
        <w:t xml:space="preserve">g) </w:t>
      </w:r>
      <w:r>
        <w:rPr>
          <w:rFonts w:ascii="Arial" w:hAnsi="Arial" w:eastAsia="Arial" w:cs="Arial"/>
          <w:highlight w:val="none"/>
        </w:rPr>
        <w:t xml:space="preserve">Comprovação, quando aplicável, do cumprimento das exigências legais de reserva de cargos destinadas </w:t>
      </w:r>
      <w:r>
        <w:rPr>
          <w:rFonts w:ascii="Arial" w:hAnsi="Arial" w:eastAsia="Arial" w:cs="Arial"/>
          <w:highlight w:val="none"/>
        </w:rPr>
        <w:t xml:space="preserve">a pessoas com deficiência ou a beneficiários reabilitados pela Previdência Social, bem como do cumprimento da cota mínima de aprendizes, nos termos da legislação vigente (Lei nº 8.213/1991, Decreto nº 3.298/1999, art. 93 da CLT e demais normas correlatas).</w:t>
      </w:r>
      <w:r>
        <w:rPr>
          <w:rFonts w:ascii="Arial" w:hAnsi="Arial" w:cs="Arial"/>
          <w:highlight w:val="none"/>
        </w:rPr>
      </w:r>
      <w:r>
        <w:rPr>
          <w:rFonts w:ascii="Arial" w:hAnsi="Arial" w:cs="Arial"/>
          <w:highlight w:val="none"/>
        </w:rPr>
      </w:r>
    </w:p>
    <w:p w14:paraId="5A9F7AC9">
      <w:pPr>
        <w:pBdr/>
        <w:spacing/>
        <w:ind/>
        <w:jc w:val="both"/>
        <w:rPr>
          <w:rFonts w:ascii="Arial" w:hAnsi="Arial" w:cs="Arial"/>
          <w:highlight w:val="none"/>
        </w:rPr>
      </w:pPr>
      <w:r>
        <w:rPr>
          <w:rFonts w:ascii="Arial" w:hAnsi="Arial" w:eastAsia="Arial" w:cs="Arial"/>
          <w:highlight w:val="none"/>
          <w:lang w:val="pt-BR"/>
        </w:rPr>
        <w:t xml:space="preserve">h) </w:t>
      </w:r>
      <w:r>
        <w:rPr>
          <w:rFonts w:ascii="Arial" w:hAnsi="Arial" w:eastAsia="Arial" w:cs="Arial"/>
          <w:highlight w:val="none"/>
        </w:rPr>
        <w:t xml:space="preserve">Os documentos referidos acima poderão ser substituídos ou supridos, no todo ou em parte, por outros meios hábeis a </w:t>
      </w:r>
      <w:r>
        <w:rPr>
          <w:rFonts w:ascii="Arial" w:hAnsi="Arial" w:eastAsia="Arial" w:cs="Arial"/>
          <w:highlight w:val="none"/>
        </w:rPr>
        <w:t xml:space="preserve">comprovar a regularidade do licitante, inclusive por meio eletrônico.</w:t>
      </w:r>
      <w:r>
        <w:rPr>
          <w:rFonts w:ascii="Arial" w:hAnsi="Arial" w:cs="Arial"/>
          <w:highlight w:val="none"/>
        </w:rPr>
      </w:r>
      <w:r>
        <w:rPr>
          <w:rFonts w:ascii="Arial" w:hAnsi="Arial" w:cs="Arial"/>
          <w:highlight w:val="none"/>
        </w:rPr>
      </w:r>
    </w:p>
    <w:p w14:paraId="2C516457">
      <w:pPr>
        <w:pBdr/>
        <w:spacing/>
        <w:ind/>
        <w:jc w:val="both"/>
        <w:rPr>
          <w:rFonts w:ascii="Arial" w:hAnsi="Arial" w:cs="Arial"/>
          <w:b/>
          <w:bCs/>
          <w:highlight w:val="none"/>
        </w:rPr>
      </w:pPr>
      <w:r>
        <w:rPr>
          <w:rFonts w:ascii="Arial" w:hAnsi="Arial" w:eastAsia="Arial" w:cs="Arial"/>
          <w:b/>
          <w:bCs/>
          <w:highlight w:val="none"/>
          <w:lang w:val="pt-BR"/>
        </w:rPr>
        <w:t xml:space="preserve">8.2.3. </w:t>
      </w:r>
      <w:r>
        <w:rPr>
          <w:rFonts w:ascii="Arial" w:hAnsi="Arial" w:eastAsia="Arial" w:cs="Arial"/>
          <w:b/>
          <w:bCs/>
          <w:highlight w:val="none"/>
        </w:rPr>
        <w:t xml:space="preserve">Qualificação Econômico-Financeira</w:t>
      </w:r>
      <w:r>
        <w:rPr>
          <w:rFonts w:ascii="Arial" w:hAnsi="Arial" w:eastAsia="Arial" w:cs="Arial"/>
          <w:b/>
          <w:bCs/>
          <w:highlight w:val="none"/>
          <w:lang w:val="pt-BR"/>
        </w:rPr>
        <w:t xml:space="preserve"> </w:t>
      </w:r>
      <w:r>
        <w:rPr>
          <w:rFonts w:ascii="Arial" w:hAnsi="Arial" w:cs="Arial"/>
          <w:b/>
          <w:bCs/>
          <w:highlight w:val="none"/>
        </w:rPr>
      </w:r>
      <w:r>
        <w:rPr>
          <w:rFonts w:ascii="Arial" w:hAnsi="Arial" w:cs="Arial"/>
          <w:b/>
          <w:bCs/>
          <w:highlight w:val="none"/>
        </w:rPr>
      </w:r>
    </w:p>
    <w:p w14:paraId="4F09D973">
      <w:pPr>
        <w:pBdr/>
        <w:spacing/>
        <w:ind/>
        <w:jc w:val="both"/>
        <w:rPr>
          <w:rFonts w:ascii="Arial" w:hAnsi="Arial" w:cs="Arial"/>
          <w:highlight w:val="none"/>
        </w:rPr>
      </w:pPr>
      <w:r>
        <w:rPr>
          <w:rFonts w:ascii="Arial" w:hAnsi="Arial" w:eastAsia="Arial" w:cs="Arial"/>
          <w:highlight w:val="none"/>
          <w:lang w:val="pt-BR"/>
        </w:rPr>
        <w:t xml:space="preserve">a) </w:t>
      </w:r>
      <w:r>
        <w:rPr>
          <w:rFonts w:ascii="Arial" w:hAnsi="Arial" w:eastAsia="Arial" w:cs="Arial"/>
          <w:highlight w:val="none"/>
        </w:rPr>
        <w:t xml:space="preserve">Certidão negativa de feitos sobre falência expedida pelo distribuidor da sede do licitante.</w:t>
      </w:r>
      <w:r>
        <w:rPr>
          <w:rFonts w:ascii="Arial" w:hAnsi="Arial" w:cs="Arial"/>
          <w:highlight w:val="none"/>
        </w:rPr>
      </w:r>
      <w:r>
        <w:rPr>
          <w:rFonts w:ascii="Arial" w:hAnsi="Arial" w:cs="Arial"/>
          <w:highlight w:val="none"/>
        </w:rPr>
      </w:r>
    </w:p>
    <w:p w14:paraId="5963C874">
      <w:pPr>
        <w:pBdr/>
        <w:spacing/>
        <w:ind/>
        <w:jc w:val="both"/>
        <w:rPr>
          <w:rFonts w:ascii="Arial" w:hAnsi="Arial" w:cs="Arial"/>
          <w:highlight w:val="none"/>
        </w:rPr>
      </w:pPr>
      <w:r>
        <w:rPr>
          <w:rFonts w:ascii="Arial" w:hAnsi="Arial" w:eastAsia="Arial" w:cs="Arial"/>
          <w:highlight w:val="none"/>
          <w:lang w:val="pt-BR"/>
        </w:rPr>
        <w:t xml:space="preserve">b) </w:t>
      </w:r>
      <w:r>
        <w:rPr>
          <w:rFonts w:ascii="Arial" w:hAnsi="Arial" w:eastAsia="Arial" w:cs="Arial"/>
          <w:highlight w:val="none"/>
        </w:rPr>
        <w:t xml:space="preserve">Na hipótese em que a certidão for positiva, caso a empresa se encontre em recuperação judicial ou extrajudicial, deve o licitante apresentar comprovante da homologação/deferimento, pelo juízo competente, do plano de recuperação em vigor.</w:t>
      </w:r>
      <w:r>
        <w:rPr>
          <w:rFonts w:ascii="Arial" w:hAnsi="Arial" w:cs="Arial"/>
          <w:highlight w:val="none"/>
        </w:rPr>
      </w:r>
      <w:r>
        <w:rPr>
          <w:rFonts w:ascii="Arial" w:hAnsi="Arial" w:cs="Arial"/>
          <w:highlight w:val="none"/>
        </w:rPr>
      </w:r>
    </w:p>
    <w:p w14:paraId="25BC5A67">
      <w:pPr>
        <w:pBdr/>
        <w:spacing/>
        <w:ind/>
        <w:jc w:val="both"/>
        <w:rPr>
          <w:rFonts w:ascii="Arial" w:hAnsi="Arial" w:cs="Arial"/>
          <w:b/>
          <w:bCs/>
          <w:highlight w:val="none"/>
        </w:rPr>
      </w:pPr>
      <w:r>
        <w:rPr>
          <w:rFonts w:ascii="Arial" w:hAnsi="Arial" w:eastAsia="Arial" w:cs="Arial"/>
          <w:b/>
          <w:bCs/>
          <w:highlight w:val="none"/>
          <w:lang w:val="pt-BR"/>
        </w:rPr>
        <w:t xml:space="preserve">8.2.4. Qualificação Técnica</w:t>
      </w:r>
      <w:r>
        <w:rPr>
          <w:rFonts w:ascii="Arial" w:hAnsi="Arial" w:cs="Arial"/>
          <w:b/>
          <w:bCs/>
          <w:highlight w:val="none"/>
        </w:rPr>
      </w:r>
      <w:r>
        <w:rPr>
          <w:rFonts w:ascii="Arial" w:hAnsi="Arial" w:cs="Arial"/>
          <w:b/>
          <w:bCs/>
          <w:highlight w:val="none"/>
        </w:rPr>
      </w:r>
    </w:p>
    <w:p w14:paraId="1A7576CD">
      <w:pPr>
        <w:pBdr/>
        <w:spacing/>
        <w:ind/>
        <w:jc w:val="both"/>
        <w:rPr>
          <w:rFonts w:ascii="Arial" w:hAnsi="Arial" w:cs="Arial"/>
          <w:highlight w:val="none"/>
        </w:rPr>
      </w:pPr>
      <w:r>
        <w:rPr>
          <w:rFonts w:ascii="Arial" w:hAnsi="Arial" w:eastAsia="Arial" w:cs="Arial"/>
          <w:b/>
          <w:bCs/>
          <w:highlight w:val="none"/>
          <w:lang w:val="pt-BR"/>
        </w:rPr>
        <w:t xml:space="preserve">8.2.4.1.</w:t>
      </w:r>
      <w:r>
        <w:rPr>
          <w:rFonts w:ascii="Arial" w:hAnsi="Arial" w:eastAsia="Arial" w:cs="Arial"/>
          <w:highlight w:val="none"/>
          <w:lang w:val="pt-BR"/>
        </w:rPr>
        <w:t xml:space="preserve"> Para o LOTE ÚNICO de tubos, agulhas e adaptadores, a qualificação técnica será comprovada med</w:t>
      </w:r>
      <w:r>
        <w:rPr>
          <w:rFonts w:ascii="Arial" w:hAnsi="Arial" w:eastAsia="Arial" w:cs="Arial"/>
          <w:highlight w:val="none"/>
          <w:lang w:val="pt-BR"/>
        </w:rPr>
        <w:t xml:space="preserve">iante uma ou mais certidões ou atestados emitidos por pessoas jurídicas de direito público ou privado, que demonstrem o fornecimento satisfatório de tubos, agulhas, adaptadores ou outros materiais médico-hospitalares de natureza e complexidade semelhantes.</w:t>
      </w:r>
      <w:r>
        <w:rPr>
          <w:rFonts w:ascii="Arial" w:hAnsi="Arial" w:cs="Arial"/>
          <w:highlight w:val="none"/>
        </w:rPr>
      </w:r>
      <w:r>
        <w:rPr>
          <w:rFonts w:ascii="Arial" w:hAnsi="Arial" w:cs="Arial"/>
          <w:highlight w:val="none"/>
        </w:rPr>
      </w:r>
    </w:p>
    <w:p w14:paraId="1150155D">
      <w:pPr>
        <w:pBdr/>
        <w:spacing/>
        <w:ind/>
        <w:jc w:val="both"/>
        <w:rPr>
          <w:rFonts w:ascii="Arial" w:hAnsi="Arial" w:cs="Arial"/>
          <w:b/>
          <w:bCs/>
          <w:highlight w:val="none"/>
        </w:rPr>
      </w:pPr>
      <w:r>
        <w:rPr>
          <w:rFonts w:ascii="Arial" w:hAnsi="Arial" w:eastAsia="Arial" w:cs="Arial"/>
          <w:b/>
          <w:bCs/>
          <w:highlight w:val="none"/>
          <w:lang w:val="pt-BR"/>
        </w:rPr>
        <w:t xml:space="preserve">8.3. </w:t>
      </w:r>
      <w:r>
        <w:rPr>
          <w:rFonts w:ascii="Arial" w:hAnsi="Arial" w:eastAsia="Arial" w:cs="Arial"/>
          <w:b/>
          <w:bCs/>
          <w:highlight w:val="none"/>
        </w:rPr>
        <w:t xml:space="preserve">Dos critérios de aceitabilidade da proposta</w:t>
      </w:r>
      <w:r>
        <w:rPr>
          <w:rFonts w:ascii="Arial" w:hAnsi="Arial" w:cs="Arial"/>
          <w:b/>
          <w:bCs/>
          <w:highlight w:val="none"/>
        </w:rPr>
      </w:r>
      <w:r>
        <w:rPr>
          <w:rFonts w:ascii="Arial" w:hAnsi="Arial" w:cs="Arial"/>
          <w:b/>
          <w:bCs/>
          <w:highlight w:val="none"/>
        </w:rPr>
      </w:r>
    </w:p>
    <w:p w14:paraId="4B551980">
      <w:pPr>
        <w:pBdr/>
        <w:spacing/>
        <w:ind/>
        <w:jc w:val="both"/>
        <w:rPr>
          <w:rFonts w:ascii="Arial" w:hAnsi="Arial" w:cs="Arial"/>
          <w:highlight w:val="none"/>
        </w:rPr>
      </w:pPr>
      <w:r>
        <w:rPr>
          <w:rFonts w:ascii="Arial" w:hAnsi="Arial" w:eastAsia="Arial" w:cs="Arial"/>
          <w:b/>
          <w:bCs/>
          <w:highlight w:val="none"/>
          <w:lang w:val="pt-BR"/>
        </w:rPr>
        <w:t xml:space="preserve">8.3.1.</w:t>
      </w:r>
      <w:r>
        <w:rPr>
          <w:rFonts w:ascii="Arial" w:hAnsi="Arial" w:eastAsia="Arial" w:cs="Arial"/>
          <w:highlight w:val="none"/>
          <w:lang w:val="pt-BR"/>
        </w:rPr>
        <w:t xml:space="preserve"> </w:t>
      </w:r>
      <w:r>
        <w:rPr>
          <w:rFonts w:ascii="Arial" w:hAnsi="Arial" w:eastAsia="Arial" w:cs="Arial"/>
          <w:highlight w:val="none"/>
        </w:rPr>
        <w:t xml:space="preserve">A proposta de preços deverá conter:</w:t>
      </w:r>
      <w:r>
        <w:rPr>
          <w:rFonts w:ascii="Arial" w:hAnsi="Arial" w:cs="Arial"/>
          <w:highlight w:val="none"/>
        </w:rPr>
      </w:r>
      <w:r>
        <w:rPr>
          <w:rFonts w:ascii="Arial" w:hAnsi="Arial" w:cs="Arial"/>
          <w:highlight w:val="none"/>
        </w:rPr>
      </w:r>
    </w:p>
    <w:p w14:paraId="4BE76023">
      <w:pPr>
        <w:pBdr/>
        <w:spacing/>
        <w:ind/>
        <w:jc w:val="both"/>
        <w:rPr>
          <w:rFonts w:ascii="Arial" w:hAnsi="Arial" w:cs="Arial"/>
          <w:highlight w:val="none"/>
        </w:rPr>
      </w:pPr>
      <w:r>
        <w:rPr>
          <w:rFonts w:ascii="Arial" w:hAnsi="Arial" w:eastAsia="Arial" w:cs="Arial"/>
          <w:highlight w:val="none"/>
          <w:lang w:val="pt-BR"/>
        </w:rPr>
        <w:t xml:space="preserve">a) </w:t>
      </w:r>
      <w:r>
        <w:rPr>
          <w:rFonts w:ascii="Arial" w:hAnsi="Arial" w:eastAsia="Arial" w:cs="Arial"/>
          <w:highlight w:val="none"/>
        </w:rPr>
        <w:t xml:space="preserve">Razão social, n.º do CNPJ, endereço, telefone e endereço eletrônico do licitante;</w:t>
      </w:r>
      <w:r>
        <w:rPr>
          <w:rFonts w:ascii="Arial" w:hAnsi="Arial" w:cs="Arial"/>
          <w:highlight w:val="none"/>
        </w:rPr>
      </w:r>
      <w:r>
        <w:rPr>
          <w:rFonts w:ascii="Arial" w:hAnsi="Arial" w:cs="Arial"/>
          <w:highlight w:val="none"/>
        </w:rPr>
      </w:r>
    </w:p>
    <w:p w14:paraId="5ECF59BC">
      <w:pPr>
        <w:pBdr/>
        <w:spacing/>
        <w:ind/>
        <w:jc w:val="both"/>
        <w:rPr>
          <w:rFonts w:ascii="Arial" w:hAnsi="Arial" w:cs="Arial"/>
          <w:highlight w:val="none"/>
        </w:rPr>
      </w:pPr>
      <w:r>
        <w:rPr>
          <w:rFonts w:ascii="Arial" w:hAnsi="Arial" w:eastAsia="Arial" w:cs="Arial"/>
          <w:highlight w:val="none"/>
          <w:lang w:val="pt-BR"/>
        </w:rPr>
        <w:t xml:space="preserve">b) </w:t>
      </w:r>
      <w:r>
        <w:rPr>
          <w:rFonts w:ascii="Arial" w:hAnsi="Arial" w:eastAsia="Arial" w:cs="Arial"/>
          <w:highlight w:val="none"/>
        </w:rPr>
        <w:t xml:space="preserve">Modalidade e número da licitação;</w:t>
      </w:r>
      <w:r>
        <w:rPr>
          <w:rFonts w:ascii="Arial" w:hAnsi="Arial" w:cs="Arial"/>
          <w:highlight w:val="none"/>
        </w:rPr>
      </w:r>
      <w:r>
        <w:rPr>
          <w:rFonts w:ascii="Arial" w:hAnsi="Arial" w:cs="Arial"/>
          <w:highlight w:val="none"/>
        </w:rPr>
      </w:r>
    </w:p>
    <w:p w14:paraId="5F18F694">
      <w:pPr>
        <w:pBdr/>
        <w:spacing/>
        <w:ind/>
        <w:jc w:val="both"/>
        <w:rPr>
          <w:rFonts w:ascii="Arial" w:hAnsi="Arial" w:cs="Arial"/>
          <w:highlight w:val="none"/>
        </w:rPr>
      </w:pPr>
      <w:r>
        <w:rPr>
          <w:rFonts w:ascii="Arial" w:hAnsi="Arial" w:eastAsia="Arial" w:cs="Arial"/>
          <w:highlight w:val="none"/>
          <w:lang w:val="pt-BR"/>
        </w:rPr>
        <w:t xml:space="preserve">c) </w:t>
      </w:r>
      <w:r>
        <w:rPr>
          <w:rFonts w:ascii="Arial" w:hAnsi="Arial" w:eastAsia="Arial" w:cs="Arial"/>
          <w:highlight w:val="none"/>
        </w:rPr>
        <w:t xml:space="preserve">Especificação do objeto licitado, sendo obrigatório constar a marca (quando for o caso);</w:t>
      </w:r>
      <w:r>
        <w:rPr>
          <w:rFonts w:ascii="Arial" w:hAnsi="Arial" w:cs="Arial"/>
          <w:highlight w:val="none"/>
        </w:rPr>
      </w:r>
      <w:r>
        <w:rPr>
          <w:rFonts w:ascii="Arial" w:hAnsi="Arial" w:cs="Arial"/>
          <w:highlight w:val="none"/>
        </w:rPr>
      </w:r>
    </w:p>
    <w:p w14:paraId="79F061F0">
      <w:pPr>
        <w:pBdr/>
        <w:spacing/>
        <w:ind/>
        <w:jc w:val="both"/>
        <w:rPr>
          <w:rFonts w:ascii="Arial" w:hAnsi="Arial" w:cs="Arial"/>
          <w:highlight w:val="none"/>
        </w:rPr>
      </w:pPr>
      <w:r>
        <w:rPr>
          <w:rFonts w:ascii="Arial" w:hAnsi="Arial" w:eastAsia="Arial" w:cs="Arial"/>
          <w:highlight w:val="none"/>
          <w:lang w:val="pt-BR"/>
        </w:rPr>
        <w:t xml:space="preserve">d) </w:t>
      </w:r>
      <w:r>
        <w:rPr>
          <w:rFonts w:ascii="Arial" w:hAnsi="Arial" w:eastAsia="Arial" w:cs="Arial"/>
          <w:highlight w:val="none"/>
        </w:rPr>
        <w:t xml:space="preserve">No caso da a marca possuir mais de um modelo, o licitante deverá informá-lo.</w:t>
      </w:r>
      <w:r>
        <w:rPr>
          <w:rFonts w:ascii="Arial" w:hAnsi="Arial" w:cs="Arial"/>
          <w:highlight w:val="none"/>
        </w:rPr>
      </w:r>
      <w:r>
        <w:rPr>
          <w:rFonts w:ascii="Arial" w:hAnsi="Arial" w:cs="Arial"/>
          <w:highlight w:val="none"/>
        </w:rPr>
      </w:r>
    </w:p>
    <w:p w14:paraId="3AFD4038">
      <w:pPr>
        <w:pBdr/>
        <w:spacing/>
        <w:ind/>
        <w:jc w:val="both"/>
        <w:rPr>
          <w:rFonts w:ascii="Arial" w:hAnsi="Arial" w:cs="Arial"/>
          <w:highlight w:val="none"/>
        </w:rPr>
      </w:pPr>
      <w:r>
        <w:rPr>
          <w:rFonts w:ascii="Arial" w:hAnsi="Arial" w:eastAsia="Arial" w:cs="Arial"/>
          <w:highlight w:val="none"/>
          <w:lang w:val="pt-BR"/>
        </w:rPr>
        <w:t xml:space="preserve">e) Valor unitário de cada um dos 7 (sete) itens, valor total de cada item e valor global do LOTE ÚNICO, observados os quantitativos estimados constantes deste Termo de Referência;</w:t>
      </w:r>
      <w:r>
        <w:rPr>
          <w:rFonts w:ascii="Arial" w:hAnsi="Arial" w:cs="Arial"/>
          <w:highlight w:val="none"/>
        </w:rPr>
      </w:r>
      <w:r>
        <w:rPr>
          <w:rFonts w:ascii="Arial" w:hAnsi="Arial" w:cs="Arial"/>
          <w:highlight w:val="none"/>
        </w:rPr>
      </w:r>
    </w:p>
    <w:p w14:paraId="62B1F243">
      <w:pPr>
        <w:pBdr/>
        <w:spacing/>
        <w:ind/>
        <w:jc w:val="both"/>
        <w:rPr>
          <w:rFonts w:ascii="Arial" w:hAnsi="Arial" w:cs="Arial"/>
          <w:highlight w:val="none"/>
        </w:rPr>
      </w:pPr>
      <w:r>
        <w:rPr>
          <w:rFonts w:ascii="Arial" w:hAnsi="Arial" w:eastAsia="Arial" w:cs="Arial"/>
          <w:highlight w:val="none"/>
          <w:lang w:val="pt-BR"/>
        </w:rPr>
        <w:t xml:space="preserve">f) Os valores unitários poderão ser apresentados com até 04 (quatro) casas decimais, e os valores totais deverão ser apresentados com até 02 (duas) casas decimais;</w:t>
      </w:r>
      <w:r>
        <w:rPr>
          <w:rFonts w:ascii="Arial" w:hAnsi="Arial" w:cs="Arial"/>
          <w:highlight w:val="none"/>
        </w:rPr>
      </w:r>
      <w:r>
        <w:rPr>
          <w:rFonts w:ascii="Arial" w:hAnsi="Arial" w:cs="Arial"/>
          <w:highlight w:val="none"/>
        </w:rPr>
      </w:r>
    </w:p>
    <w:p w14:paraId="72094754">
      <w:pPr>
        <w:pBdr/>
        <w:spacing/>
        <w:ind/>
        <w:jc w:val="both"/>
        <w:rPr>
          <w:rFonts w:ascii="Arial" w:hAnsi="Arial" w:cs="Arial"/>
          <w:highlight w:val="none"/>
        </w:rPr>
      </w:pPr>
      <w:r>
        <w:rPr>
          <w:rFonts w:ascii="Arial" w:hAnsi="Arial" w:eastAsia="Arial" w:cs="Arial"/>
          <w:highlight w:val="none"/>
          <w:lang w:val="pt-BR"/>
        </w:rPr>
        <w:t xml:space="preserve">g) O valor global do LOTE ÚNICO deverá ser apresentado em moeda corrente nacional, em algarismos, observada a correspondência entre os valores unitários, os quantitativos, os valores totais dos itens e o valor global ofertado;</w:t>
      </w:r>
      <w:r>
        <w:rPr>
          <w:rFonts w:ascii="Arial" w:hAnsi="Arial" w:cs="Arial"/>
          <w:highlight w:val="none"/>
        </w:rPr>
      </w:r>
      <w:r>
        <w:rPr>
          <w:rFonts w:ascii="Arial" w:hAnsi="Arial" w:cs="Arial"/>
          <w:highlight w:val="none"/>
        </w:rPr>
      </w:r>
    </w:p>
    <w:p w14:paraId="36ACE34C">
      <w:pPr>
        <w:pBdr/>
        <w:spacing/>
        <w:ind/>
        <w:jc w:val="both"/>
        <w:rPr>
          <w:rFonts w:ascii="Arial" w:hAnsi="Arial" w:cs="Arial"/>
          <w:highlight w:val="none"/>
        </w:rPr>
      </w:pPr>
      <w:r>
        <w:rPr>
          <w:rFonts w:ascii="Arial" w:hAnsi="Arial" w:eastAsia="Arial" w:cs="Arial"/>
          <w:highlight w:val="none"/>
          <w:lang w:val="pt-BR"/>
        </w:rPr>
        <w:t xml:space="preserve">h) Eventual arredondamento deverá preservar o valor final ofertado e observar as regras operacionais estabelecidas no Edital e no sistema eletrônico utilizado para a disputa.</w:t>
      </w:r>
      <w:r>
        <w:rPr>
          <w:rFonts w:ascii="Arial" w:hAnsi="Arial" w:cs="Arial"/>
          <w:highlight w:val="none"/>
        </w:rPr>
      </w:r>
      <w:r>
        <w:rPr>
          <w:rFonts w:ascii="Arial" w:hAnsi="Arial" w:cs="Arial"/>
          <w:highlight w:val="none"/>
        </w:rPr>
      </w:r>
    </w:p>
    <w:p w14:paraId="3BEE0CFE">
      <w:pPr>
        <w:pBdr/>
        <w:spacing/>
        <w:ind/>
        <w:jc w:val="both"/>
        <w:rPr>
          <w:rFonts w:ascii="Arial" w:hAnsi="Arial" w:cs="Arial"/>
          <w:highlight w:val="none"/>
        </w:rPr>
      </w:pPr>
      <w:r>
        <w:rPr>
          <w:rFonts w:ascii="Arial" w:hAnsi="Arial" w:eastAsia="Arial" w:cs="Arial"/>
          <w:highlight w:val="none"/>
          <w:lang w:val="pt-BR"/>
        </w:rPr>
        <w:t xml:space="preserve">i) </w:t>
      </w:r>
      <w:r>
        <w:rPr>
          <w:rFonts w:ascii="Arial" w:hAnsi="Arial" w:eastAsia="Arial" w:cs="Arial"/>
          <w:highlight w:val="none"/>
        </w:rPr>
        <w:t xml:space="preserve">Declaração de validade da proposta de 120 (cento e vinte) dias, contados da data de sua apresentação, salvo prazo diverso estabelecido no Edital.</w:t>
      </w:r>
      <w:r>
        <w:rPr>
          <w:rFonts w:ascii="Arial" w:hAnsi="Arial" w:cs="Arial"/>
          <w:highlight w:val="none"/>
        </w:rPr>
      </w:r>
      <w:r>
        <w:rPr>
          <w:rFonts w:ascii="Arial" w:hAnsi="Arial" w:cs="Arial"/>
          <w:highlight w:val="none"/>
        </w:rPr>
      </w:r>
    </w:p>
    <w:p w14:paraId="3F187364">
      <w:pPr>
        <w:pBdr/>
        <w:spacing/>
        <w:ind/>
        <w:jc w:val="both"/>
        <w:rPr>
          <w:rFonts w:ascii="Arial" w:hAnsi="Arial" w:cs="Arial"/>
          <w:b/>
          <w:bCs/>
          <w:highlight w:val="none"/>
        </w:rPr>
      </w:pPr>
      <w:r>
        <w:rPr>
          <w:rFonts w:ascii="Arial" w:hAnsi="Arial" w:eastAsia="Arial" w:cs="Arial"/>
          <w:b/>
          <w:bCs/>
          <w:highlight w:val="none"/>
        </w:rPr>
        <w:t xml:space="preserve">8.</w:t>
      </w:r>
      <w:r>
        <w:rPr>
          <w:rFonts w:ascii="Arial" w:hAnsi="Arial" w:eastAsia="Arial" w:cs="Arial"/>
          <w:b/>
          <w:bCs/>
          <w:highlight w:val="none"/>
          <w:lang w:val="pt-BR"/>
        </w:rPr>
        <w:t xml:space="preserve">4.</w:t>
      </w:r>
      <w:r>
        <w:rPr>
          <w:rFonts w:ascii="Arial" w:hAnsi="Arial" w:eastAsia="Arial" w:cs="Arial"/>
          <w:b/>
          <w:bCs/>
          <w:highlight w:val="none"/>
        </w:rPr>
        <w:t xml:space="preserve">  – Tratamento favorecido às microempresas e empresas de pequeno porte locais e regionais</w:t>
      </w:r>
      <w:r>
        <w:rPr>
          <w:rFonts w:ascii="Arial" w:hAnsi="Arial" w:cs="Arial"/>
          <w:b/>
          <w:bCs/>
          <w:highlight w:val="none"/>
        </w:rPr>
      </w:r>
      <w:r>
        <w:rPr>
          <w:rFonts w:ascii="Arial" w:hAnsi="Arial" w:cs="Arial"/>
          <w:b/>
          <w:bCs/>
          <w:highlight w:val="none"/>
        </w:rPr>
      </w:r>
    </w:p>
    <w:p w14:paraId="6AF5D8DC">
      <w:pPr>
        <w:pBdr/>
        <w:spacing/>
        <w:ind/>
        <w:jc w:val="both"/>
        <w:rPr>
          <w:rFonts w:ascii="Arial" w:hAnsi="Arial" w:cs="Arial"/>
          <w:highlight w:val="none"/>
        </w:rPr>
      </w:pPr>
      <w:r>
        <w:rPr>
          <w:rFonts w:ascii="Arial" w:hAnsi="Arial" w:eastAsia="Arial" w:cs="Arial"/>
          <w:b/>
          <w:bCs/>
          <w:highlight w:val="none"/>
        </w:rPr>
        <w:t xml:space="preserve">8.</w:t>
      </w:r>
      <w:r>
        <w:rPr>
          <w:rFonts w:ascii="Arial" w:hAnsi="Arial" w:eastAsia="Arial" w:cs="Arial"/>
          <w:b/>
          <w:bCs/>
          <w:highlight w:val="none"/>
          <w:lang w:val="pt-BR"/>
        </w:rPr>
        <w:t xml:space="preserve">4.1.</w:t>
      </w:r>
      <w:r>
        <w:rPr>
          <w:rFonts w:ascii="Arial" w:hAnsi="Arial" w:eastAsia="Arial" w:cs="Arial"/>
          <w:highlight w:val="none"/>
        </w:rPr>
        <w:t xml:space="preserve">  Em observância à Lei Municipal nº 14.569/2025 e à Lei Complementar nº 123/2006, a presente contratação adotará, sempre que cabível, o tratamento favorecido às microempresas e empresas de pequeno porte locais e regionais.</w:t>
      </w:r>
      <w:r>
        <w:rPr>
          <w:rFonts w:ascii="Arial" w:hAnsi="Arial" w:cs="Arial"/>
          <w:highlight w:val="none"/>
        </w:rPr>
      </w:r>
      <w:r>
        <w:rPr>
          <w:rFonts w:ascii="Arial" w:hAnsi="Arial" w:cs="Arial"/>
          <w:highlight w:val="none"/>
        </w:rPr>
      </w:r>
    </w:p>
    <w:p w14:paraId="4A00183F">
      <w:pPr>
        <w:pBdr/>
        <w:spacing/>
        <w:ind/>
        <w:jc w:val="both"/>
        <w:rPr>
          <w:rFonts w:ascii="Arial" w:hAnsi="Arial" w:cs="Arial"/>
          <w:highlight w:val="none"/>
        </w:rPr>
      </w:pPr>
      <w:r>
        <w:rPr>
          <w:rFonts w:ascii="Arial" w:hAnsi="Arial" w:eastAsia="Arial" w:cs="Arial"/>
          <w:b/>
          <w:bCs/>
          <w:highlight w:val="none"/>
        </w:rPr>
        <w:t xml:space="preserve">8.</w:t>
      </w:r>
      <w:r>
        <w:rPr>
          <w:rFonts w:ascii="Arial" w:hAnsi="Arial" w:eastAsia="Arial" w:cs="Arial"/>
          <w:b/>
          <w:bCs/>
          <w:highlight w:val="none"/>
          <w:lang w:val="pt-BR"/>
        </w:rPr>
        <w:t xml:space="preserve">4</w:t>
      </w:r>
      <w:r>
        <w:rPr>
          <w:rFonts w:ascii="Arial" w:hAnsi="Arial" w:eastAsia="Arial" w:cs="Arial"/>
          <w:b/>
          <w:bCs/>
          <w:highlight w:val="none"/>
        </w:rPr>
        <w:t xml:space="preserve">.2.</w:t>
      </w:r>
      <w:r>
        <w:rPr>
          <w:rFonts w:ascii="Arial" w:hAnsi="Arial" w:eastAsia="Arial" w:cs="Arial"/>
          <w:highlight w:val="none"/>
        </w:rPr>
        <w:t xml:space="preserve"> Considerando a natureza do objeto e a existência de fornecedores enquadrados nessas categorias no mercado local e regional, será incentivada sua participação no procedimento de contratação, com vistas ao</w:t>
      </w:r>
      <w:r>
        <w:rPr>
          <w:rFonts w:ascii="Arial" w:hAnsi="Arial" w:cs="Arial"/>
          <w:highlight w:val="none"/>
        </w:rPr>
      </w:r>
      <w:r>
        <w:rPr>
          <w:rFonts w:ascii="Arial" w:hAnsi="Arial" w:cs="Arial"/>
          <w:highlight w:val="none"/>
        </w:rPr>
      </w:r>
    </w:p>
    <w:p w14:paraId="3CB38538">
      <w:pPr>
        <w:pBdr/>
        <w:spacing/>
        <w:ind/>
        <w:jc w:val="both"/>
        <w:rPr>
          <w:rFonts w:ascii="Arial" w:hAnsi="Arial" w:cs="Arial"/>
          <w:highlight w:val="none"/>
        </w:rPr>
      </w:pPr>
      <w:r>
        <w:rPr>
          <w:rFonts w:ascii="Arial" w:hAnsi="Arial" w:eastAsia="Arial" w:cs="Arial"/>
          <w:highlight w:val="none"/>
        </w:rPr>
        <w:t xml:space="preserve">fortalecimento do desenvolvimento econômico local, à ampliação da competitividade e à promoção da proposta mais vantajosa para a Administração Pública.</w:t>
      </w:r>
      <w:r>
        <w:rPr>
          <w:rFonts w:ascii="Arial" w:hAnsi="Arial" w:cs="Arial"/>
          <w:highlight w:val="none"/>
        </w:rPr>
      </w:r>
      <w:r>
        <w:rPr>
          <w:rFonts w:ascii="Arial" w:hAnsi="Arial" w:cs="Arial"/>
          <w:highlight w:val="none"/>
        </w:rPr>
      </w:r>
    </w:p>
    <w:p w14:paraId="44F14664">
      <w:pPr>
        <w:pBdr/>
        <w:spacing/>
        <w:ind/>
        <w:jc w:val="both"/>
        <w:rPr>
          <w:rFonts w:ascii="Arial" w:hAnsi="Arial" w:cs="Arial"/>
          <w:highlight w:val="none"/>
        </w:rPr>
      </w:pPr>
      <w:r>
        <w:rPr>
          <w:rFonts w:ascii="Arial" w:hAnsi="Arial" w:eastAsia="Arial" w:cs="Arial"/>
          <w:highlight w:val="none"/>
        </w:rPr>
        <w:t xml:space="preserve">8.</w:t>
      </w:r>
      <w:r>
        <w:rPr>
          <w:rFonts w:ascii="Arial" w:hAnsi="Arial" w:eastAsia="Arial" w:cs="Arial"/>
          <w:highlight w:val="none"/>
          <w:lang w:val="pt-BR"/>
        </w:rPr>
        <w:t xml:space="preserve">4</w:t>
      </w:r>
      <w:r>
        <w:rPr>
          <w:rFonts w:ascii="Arial" w:hAnsi="Arial" w:eastAsia="Arial" w:cs="Arial"/>
          <w:highlight w:val="none"/>
        </w:rPr>
        <w:t xml:space="preserve">.</w:t>
      </w:r>
      <w:r>
        <w:rPr>
          <w:rFonts w:ascii="Arial" w:hAnsi="Arial" w:eastAsia="Arial" w:cs="Arial"/>
          <w:highlight w:val="none"/>
          <w:lang w:val="pt-BR"/>
        </w:rPr>
        <w:t xml:space="preserve">3</w:t>
      </w:r>
      <w:r>
        <w:rPr>
          <w:rFonts w:ascii="Arial" w:hAnsi="Arial" w:eastAsia="Arial" w:cs="Arial"/>
          <w:highlight w:val="none"/>
        </w:rPr>
        <w:t xml:space="preserve">. A aplicação do tratamento diferenciado observará os limites legais e regulamentares pertinentes, bem como a compatibilidade com a economicidade, eficiência e interesse público.</w:t>
      </w:r>
      <w:r>
        <w:rPr>
          <w:rFonts w:ascii="Arial" w:hAnsi="Arial" w:cs="Arial"/>
          <w:highlight w:val="none"/>
        </w:rPr>
      </w:r>
      <w:r>
        <w:rPr>
          <w:rFonts w:ascii="Arial" w:hAnsi="Arial" w:cs="Arial"/>
          <w:highlight w:val="none"/>
        </w:rPr>
      </w:r>
    </w:p>
    <w:p w14:paraId="6664F93C">
      <w:pPr>
        <w:pBdr/>
        <w:spacing/>
        <w:ind/>
        <w:jc w:val="both"/>
        <w:rPr>
          <w:rFonts w:ascii="Arial" w:hAnsi="Arial" w:cs="Arial"/>
          <w:sz w:val="18"/>
          <w:szCs w:val="18"/>
          <w:highlight w:val="none"/>
        </w:rPr>
      </w:pPr>
      <w:r>
        <w:rPr>
          <w:rFonts w:ascii="Arial" w:hAnsi="Arial" w:eastAsia="Arial" w:cs="Arial"/>
          <w:sz w:val="18"/>
          <w:szCs w:val="18"/>
          <w:highlight w:val="none"/>
        </w:rPr>
      </w:r>
      <w:r>
        <w:rPr>
          <w:rFonts w:ascii="Arial" w:hAnsi="Arial" w:cs="Arial"/>
          <w:sz w:val="18"/>
          <w:szCs w:val="18"/>
          <w:highlight w:val="none"/>
        </w:rPr>
      </w:r>
      <w:r>
        <w:rPr>
          <w:rFonts w:ascii="Arial" w:hAnsi="Arial" w:cs="Arial"/>
          <w:sz w:val="18"/>
          <w:szCs w:val="18"/>
          <w:highlight w:val="none"/>
        </w:rPr>
      </w:r>
    </w:p>
    <w:p w14:paraId="66F99588">
      <w:pPr>
        <w:pBdr/>
        <w:shd w:val="clear" w:color="auto" w:fill="cccccc"/>
        <w:spacing/>
        <w:ind/>
        <w:jc w:val="both"/>
        <w:rPr>
          <w:rFonts w:ascii="Arial" w:hAnsi="Arial" w:cs="Arial"/>
          <w:highlight w:val="none"/>
        </w:rPr>
      </w:pPr>
      <w:r>
        <w:rPr>
          <w:rFonts w:ascii="Arial" w:hAnsi="Arial" w:eastAsia="Arial" w:cs="Arial"/>
          <w:b/>
          <w:bCs/>
          <w:highlight w:val="none"/>
        </w:rPr>
        <w:t xml:space="preserve">9 – DAS SANÇÕES ADMINISTRATIVAS</w:t>
      </w:r>
      <w:r>
        <w:rPr>
          <w:rFonts w:ascii="Arial" w:hAnsi="Arial" w:cs="Arial"/>
          <w:highlight w:val="none"/>
        </w:rPr>
      </w:r>
      <w:r>
        <w:rPr>
          <w:rFonts w:ascii="Arial" w:hAnsi="Arial" w:cs="Arial"/>
          <w:highlight w:val="none"/>
        </w:rPr>
      </w:r>
    </w:p>
    <w:p w14:paraId="27ED934E">
      <w:pPr>
        <w:pStyle w:val="2332"/>
        <w:pBdr/>
        <w:spacing w:after="0" w:before="0"/>
        <w:ind/>
        <w:jc w:val="both"/>
        <w:rPr>
          <w:rFonts w:ascii="Arial" w:hAnsi="Arial" w:cs="Arial"/>
          <w:sz w:val="18"/>
          <w:szCs w:val="18"/>
          <w:highlight w:val="none"/>
        </w:rPr>
      </w:pPr>
      <w:r>
        <w:rPr>
          <w:rFonts w:ascii="Arial" w:hAnsi="Arial" w:eastAsia="Arial" w:cs="Arial"/>
          <w:sz w:val="18"/>
          <w:szCs w:val="18"/>
          <w:highlight w:val="none"/>
          <w:lang w:val="pt-BR"/>
        </w:rPr>
      </w:r>
      <w:r>
        <w:rPr>
          <w:rFonts w:ascii="Arial" w:hAnsi="Arial" w:cs="Arial"/>
          <w:sz w:val="18"/>
          <w:szCs w:val="18"/>
          <w:highlight w:val="none"/>
        </w:rPr>
      </w:r>
      <w:r>
        <w:rPr>
          <w:rFonts w:ascii="Arial" w:hAnsi="Arial" w:cs="Arial"/>
          <w:sz w:val="18"/>
          <w:szCs w:val="18"/>
          <w:highlight w:val="none"/>
        </w:rPr>
      </w:r>
    </w:p>
    <w:p w14:paraId="6E2A415E">
      <w:pPr>
        <w:pStyle w:val="2332"/>
        <w:pBdr/>
        <w:spacing w:after="0" w:before="0"/>
        <w:ind/>
        <w:jc w:val="both"/>
        <w:rPr>
          <w:rFonts w:ascii="Arial" w:hAnsi="Arial" w:cs="Arial"/>
          <w:highlight w:val="none"/>
        </w:rPr>
      </w:pPr>
      <w:r>
        <w:rPr>
          <w:rFonts w:ascii="Arial" w:hAnsi="Arial" w:eastAsia="Arial" w:cs="Arial"/>
          <w:b/>
          <w:bCs/>
          <w:sz w:val="22"/>
          <w:szCs w:val="22"/>
          <w:highlight w:val="none"/>
          <w:lang w:val="pt-BR"/>
        </w:rPr>
        <w:t xml:space="preserve">9.1. </w:t>
      </w:r>
      <w:r>
        <w:rPr>
          <w:rFonts w:ascii="Arial" w:hAnsi="Arial" w:eastAsia="Arial" w:cs="Arial"/>
          <w:sz w:val="22"/>
          <w:szCs w:val="22"/>
          <w:highlight w:val="none"/>
          <w:lang w:val="pt-BR"/>
        </w:rPr>
        <w:t xml:space="preserve">Em conformidade com o disposto nos artigos 156 a 163 da Lei Federal nº 14.133, de 1º de abril de 2021, o contratado estará sujeito</w:t>
      </w:r>
      <w:r>
        <w:rPr>
          <w:rFonts w:ascii="Arial" w:hAnsi="Arial" w:eastAsia="Arial" w:cs="Arial"/>
          <w:sz w:val="22"/>
          <w:szCs w:val="22"/>
          <w:highlight w:val="none"/>
          <w:lang w:val="pt-BR"/>
        </w:rPr>
        <w:t xml:space="preserve"> à aplicação de sanções administrativas, assegurados o contraditório, a ampla defesa e o devido processo legal, nas hipóteses de inexecução total ou parcial das obrigações assumidas ou pela prática de condutas infracionais no âmbito da execução contratual.</w:t>
      </w:r>
      <w:r>
        <w:rPr>
          <w:rFonts w:ascii="Arial" w:hAnsi="Arial" w:cs="Arial"/>
          <w:highlight w:val="none"/>
        </w:rPr>
      </w:r>
      <w:r>
        <w:rPr>
          <w:rFonts w:ascii="Arial" w:hAnsi="Arial" w:cs="Arial"/>
          <w:highlight w:val="none"/>
        </w:rPr>
      </w:r>
    </w:p>
    <w:p w14:paraId="7EA49C6E">
      <w:pPr>
        <w:pStyle w:val="2332"/>
        <w:pBdr/>
        <w:spacing w:after="0" w:before="0"/>
        <w:ind/>
        <w:jc w:val="both"/>
        <w:rPr>
          <w:rFonts w:ascii="Arial" w:hAnsi="Arial" w:cs="Arial"/>
          <w:b/>
          <w:bCs/>
          <w:sz w:val="22"/>
          <w:szCs w:val="22"/>
          <w:highlight w:val="none"/>
        </w:rPr>
      </w:pPr>
      <w:r>
        <w:rPr>
          <w:rFonts w:ascii="Arial" w:hAnsi="Arial" w:eastAsia="Arial" w:cs="Arial"/>
          <w:b/>
          <w:bCs/>
          <w:sz w:val="22"/>
          <w:szCs w:val="22"/>
          <w:highlight w:val="none"/>
          <w:lang w:val="pt-BR"/>
        </w:rPr>
        <w:t xml:space="preserve">9.2. </w:t>
      </w:r>
      <w:r>
        <w:rPr>
          <w:rFonts w:ascii="Arial" w:hAnsi="Arial" w:eastAsia="Arial" w:cs="Arial"/>
          <w:b/>
          <w:bCs/>
          <w:sz w:val="22"/>
          <w:szCs w:val="22"/>
          <w:highlight w:val="none"/>
          <w:lang w:val="pt-BR"/>
        </w:rPr>
        <w:t xml:space="preserve">As sanções aplicáveis são as seguintes:</w:t>
      </w:r>
      <w:r>
        <w:rPr>
          <w:rFonts w:ascii="Arial" w:hAnsi="Arial" w:cs="Arial"/>
          <w:b/>
          <w:bCs/>
          <w:sz w:val="22"/>
          <w:szCs w:val="22"/>
          <w:highlight w:val="none"/>
        </w:rPr>
      </w:r>
      <w:r>
        <w:rPr>
          <w:rFonts w:ascii="Arial" w:hAnsi="Arial" w:cs="Arial"/>
          <w:b/>
          <w:bCs/>
          <w:sz w:val="22"/>
          <w:szCs w:val="22"/>
          <w:highlight w:val="none"/>
        </w:rPr>
      </w:r>
    </w:p>
    <w:p w14:paraId="23AC9166">
      <w:pPr>
        <w:pStyle w:val="2332"/>
        <w:pBdr/>
        <w:spacing w:after="0" w:before="0"/>
        <w:ind/>
        <w:jc w:val="both"/>
        <w:rPr>
          <w:rFonts w:ascii="Arial" w:hAnsi="Arial" w:cs="Arial"/>
          <w:highlight w:val="none"/>
        </w:rPr>
      </w:pPr>
      <w:r>
        <w:rPr>
          <w:rStyle w:val="932"/>
          <w:rFonts w:ascii="Arial" w:hAnsi="Arial" w:eastAsia="Arial" w:cs="Arial"/>
          <w:sz w:val="22"/>
          <w:szCs w:val="22"/>
          <w:highlight w:val="none"/>
          <w:lang w:val="pt-BR"/>
        </w:rPr>
        <w:t xml:space="preserve">I – Advertência</w:t>
      </w:r>
      <w:r>
        <w:rPr>
          <w:rFonts w:ascii="Arial" w:hAnsi="Arial" w:eastAsia="Arial" w:cs="Arial"/>
          <w:sz w:val="22"/>
          <w:szCs w:val="22"/>
          <w:highlight w:val="none"/>
          <w:lang w:val="pt-BR"/>
        </w:rPr>
        <w:t xml:space="preserve">, que será aplicada exclusivamente nos casos de infração administrativa de menor gravidade, nos termos do inciso I do caput do art. 155 da Lei nº 14.133/2021, desde que não se justifique a imposição de penalidade mais severa;</w:t>
      </w:r>
      <w:r>
        <w:rPr>
          <w:rFonts w:ascii="Arial" w:hAnsi="Arial" w:cs="Arial"/>
          <w:highlight w:val="none"/>
        </w:rPr>
      </w:r>
      <w:r>
        <w:rPr>
          <w:rFonts w:ascii="Arial" w:hAnsi="Arial" w:cs="Arial"/>
          <w:highlight w:val="none"/>
        </w:rPr>
      </w:r>
    </w:p>
    <w:p w14:paraId="565EF616">
      <w:pPr>
        <w:pStyle w:val="2332"/>
        <w:pBdr/>
        <w:spacing w:after="0" w:before="0"/>
        <w:ind/>
        <w:jc w:val="both"/>
        <w:rPr>
          <w:rFonts w:ascii="Arial" w:hAnsi="Arial" w:cs="Arial"/>
          <w:highlight w:val="none"/>
        </w:rPr>
      </w:pPr>
      <w:r>
        <w:rPr>
          <w:rStyle w:val="932"/>
          <w:rFonts w:ascii="Arial" w:hAnsi="Arial" w:eastAsia="Arial" w:cs="Arial"/>
          <w:sz w:val="22"/>
          <w:szCs w:val="22"/>
          <w:highlight w:val="none"/>
          <w:lang w:val="pt-BR"/>
        </w:rPr>
        <w:t xml:space="preserve">II – Multa</w:t>
      </w:r>
      <w:r>
        <w:rPr>
          <w:rFonts w:ascii="Arial" w:hAnsi="Arial" w:eastAsia="Arial" w:cs="Arial"/>
          <w:sz w:val="22"/>
          <w:szCs w:val="22"/>
          <w:highlight w:val="none"/>
          <w:lang w:val="pt-BR"/>
        </w:rPr>
        <w:t xml:space="preserve">, calculada conforme previsto no edital ou contrato, com percentual não inferior a 0,5% (meio por cento) nem superior a 30% (trinta por cento) sobre o valor do contrato, podendo ser aplicada de forma isolada ou cumulativamente </w:t>
      </w:r>
      <w:r>
        <w:rPr>
          <w:rFonts w:ascii="Arial" w:hAnsi="Arial" w:eastAsia="Arial" w:cs="Arial"/>
          <w:sz w:val="22"/>
          <w:szCs w:val="22"/>
          <w:highlight w:val="none"/>
          <w:lang w:val="pt-BR"/>
        </w:rPr>
        <w:t xml:space="preserve">com as demais sanções, especialmente nos casos de atraso injustificado, execução irregular ou descumprimento de cláusulas contratuais;</w:t>
      </w:r>
      <w:r>
        <w:rPr>
          <w:rFonts w:ascii="Arial" w:hAnsi="Arial" w:cs="Arial"/>
          <w:highlight w:val="none"/>
        </w:rPr>
      </w:r>
      <w:r>
        <w:rPr>
          <w:rFonts w:ascii="Arial" w:hAnsi="Arial" w:cs="Arial"/>
          <w:highlight w:val="none"/>
        </w:rPr>
      </w:r>
    </w:p>
    <w:p w14:paraId="1ECCFDD6">
      <w:pPr>
        <w:pStyle w:val="2332"/>
        <w:pBdr/>
        <w:spacing w:after="0" w:before="0"/>
        <w:ind/>
        <w:jc w:val="both"/>
        <w:rPr>
          <w:rFonts w:ascii="Arial" w:hAnsi="Arial" w:cs="Arial"/>
          <w:highlight w:val="none"/>
        </w:rPr>
      </w:pPr>
      <w:r>
        <w:rPr>
          <w:rStyle w:val="932"/>
          <w:rFonts w:ascii="Arial" w:hAnsi="Arial" w:eastAsia="Arial" w:cs="Arial"/>
          <w:sz w:val="22"/>
          <w:szCs w:val="22"/>
          <w:highlight w:val="none"/>
          <w:lang w:val="pt-BR"/>
        </w:rPr>
        <w:t xml:space="preserve">III – Impedimento de licitar e contratar com a Administração Pública</w:t>
      </w:r>
      <w:r>
        <w:rPr>
          <w:rFonts w:ascii="Arial" w:hAnsi="Arial" w:eastAsia="Arial" w:cs="Arial"/>
          <w:sz w:val="22"/>
          <w:szCs w:val="22"/>
          <w:highlight w:val="none"/>
          <w:lang w:val="pt-BR"/>
        </w:rPr>
        <w:t xml:space="preserve">, no âmbito do ente federativo que aplicar a sanção, pelo prazo máximo de 3 (três) anos, nos casos previstos nos incisos II a VII do caput do art. 155 da Lei nº 14.133/2021, quando não se justificar penalidade mais gravosa;</w:t>
      </w:r>
      <w:r>
        <w:rPr>
          <w:rFonts w:ascii="Arial" w:hAnsi="Arial" w:cs="Arial"/>
          <w:highlight w:val="none"/>
        </w:rPr>
      </w:r>
      <w:r>
        <w:rPr>
          <w:rFonts w:ascii="Arial" w:hAnsi="Arial" w:cs="Arial"/>
          <w:highlight w:val="none"/>
        </w:rPr>
      </w:r>
    </w:p>
    <w:p w14:paraId="6033EE51">
      <w:pPr>
        <w:pStyle w:val="2332"/>
        <w:pBdr/>
        <w:spacing w:after="0" w:before="0"/>
        <w:ind/>
        <w:jc w:val="both"/>
        <w:rPr>
          <w:rFonts w:ascii="Arial" w:hAnsi="Arial" w:cs="Arial"/>
          <w:highlight w:val="none"/>
        </w:rPr>
      </w:pPr>
      <w:r>
        <w:rPr>
          <w:rStyle w:val="932"/>
          <w:rFonts w:ascii="Arial" w:hAnsi="Arial" w:eastAsia="Arial" w:cs="Arial"/>
          <w:sz w:val="22"/>
          <w:szCs w:val="22"/>
          <w:highlight w:val="none"/>
          <w:lang w:val="pt-BR"/>
        </w:rPr>
        <w:t xml:space="preserve">IV – Declaração de inidoneidade para licitar ou contratar com a Administração Pública</w:t>
      </w:r>
      <w:r>
        <w:rPr>
          <w:rFonts w:ascii="Arial" w:hAnsi="Arial" w:eastAsia="Arial" w:cs="Arial"/>
          <w:sz w:val="22"/>
          <w:szCs w:val="22"/>
          <w:highlight w:val="none"/>
          <w:lang w:val="pt-BR"/>
        </w:rPr>
        <w:t xml:space="preserve">, de todos os entes federativos, pelo pr</w:t>
      </w:r>
      <w:r>
        <w:rPr>
          <w:rFonts w:ascii="Arial" w:hAnsi="Arial" w:eastAsia="Arial" w:cs="Arial"/>
          <w:sz w:val="22"/>
          <w:szCs w:val="22"/>
          <w:highlight w:val="none"/>
          <w:lang w:val="pt-BR"/>
        </w:rPr>
        <w:t xml:space="preserve">azo mínimo de 3 (três) anos e máximo de 6 (seis) anos, aplicável nas hipóteses de infrações graves previstas nos incisos VIII a XII do caput do art. 155 da referida lei, bem como quando as infrações dos incisos II a VII justificarem penalidade mais severa.</w:t>
      </w:r>
      <w:r>
        <w:rPr>
          <w:rFonts w:ascii="Arial" w:hAnsi="Arial" w:cs="Arial"/>
          <w:highlight w:val="none"/>
        </w:rPr>
      </w:r>
      <w:r>
        <w:rPr>
          <w:rFonts w:ascii="Arial" w:hAnsi="Arial" w:cs="Arial"/>
          <w:highlight w:val="none"/>
        </w:rPr>
      </w:r>
    </w:p>
    <w:p w14:paraId="31AD089E">
      <w:pPr>
        <w:pStyle w:val="2332"/>
        <w:pBdr/>
        <w:spacing w:after="0" w:before="0"/>
        <w:ind/>
        <w:jc w:val="both"/>
        <w:rPr>
          <w:rFonts w:ascii="Arial" w:hAnsi="Arial" w:cs="Arial"/>
          <w:highlight w:val="none"/>
        </w:rPr>
      </w:pPr>
      <w:r>
        <w:rPr>
          <w:rFonts w:ascii="Arial" w:hAnsi="Arial" w:eastAsia="Arial" w:cs="Arial"/>
          <w:b/>
          <w:bCs/>
          <w:sz w:val="22"/>
          <w:szCs w:val="22"/>
          <w:highlight w:val="none"/>
          <w:lang w:val="pt-BR"/>
        </w:rPr>
        <w:t xml:space="preserve">9.3. </w:t>
      </w:r>
      <w:r>
        <w:rPr>
          <w:rFonts w:ascii="Arial" w:hAnsi="Arial" w:eastAsia="Arial" w:cs="Arial"/>
          <w:sz w:val="22"/>
          <w:szCs w:val="22"/>
          <w:highlight w:val="none"/>
          <w:lang w:val="pt-BR"/>
        </w:rPr>
        <w:t xml:space="preserve">Na aplicação das sanções, serão observados os seguintes critérios, conforme § 1º do art. 156 da Lei nº 14.133/2021:</w:t>
      </w:r>
      <w:r>
        <w:rPr>
          <w:rFonts w:ascii="Arial" w:hAnsi="Arial" w:cs="Arial"/>
          <w:highlight w:val="none"/>
        </w:rPr>
      </w:r>
      <w:r>
        <w:rPr>
          <w:rFonts w:ascii="Arial" w:hAnsi="Arial" w:cs="Arial"/>
          <w:highlight w:val="none"/>
        </w:rPr>
      </w:r>
    </w:p>
    <w:p w14:paraId="17F9418C">
      <w:pPr>
        <w:pStyle w:val="2332"/>
        <w:pBdr/>
        <w:spacing w:after="0" w:before="0"/>
        <w:ind/>
        <w:jc w:val="both"/>
        <w:rPr>
          <w:rFonts w:ascii="Arial" w:hAnsi="Arial" w:cs="Arial"/>
          <w:highlight w:val="none"/>
        </w:rPr>
      </w:pPr>
      <w:r>
        <w:rPr>
          <w:rFonts w:ascii="Arial" w:hAnsi="Arial" w:eastAsia="Arial" w:cs="Arial"/>
          <w:b/>
          <w:bCs/>
          <w:sz w:val="22"/>
          <w:szCs w:val="22"/>
          <w:highlight w:val="none"/>
          <w:lang w:val="pt-BR"/>
        </w:rPr>
        <w:t xml:space="preserve">9.3.1.</w:t>
      </w:r>
      <w:r>
        <w:rPr>
          <w:rFonts w:ascii="Arial" w:hAnsi="Arial" w:eastAsia="Arial" w:cs="Arial"/>
          <w:sz w:val="22"/>
          <w:szCs w:val="22"/>
          <w:highlight w:val="none"/>
          <w:lang w:val="pt-BR"/>
        </w:rPr>
        <w:t xml:space="preserve"> </w:t>
      </w:r>
      <w:r>
        <w:rPr>
          <w:rFonts w:ascii="Arial" w:hAnsi="Arial" w:eastAsia="Arial" w:cs="Arial"/>
          <w:sz w:val="22"/>
          <w:szCs w:val="22"/>
          <w:highlight w:val="none"/>
          <w:lang w:val="pt-BR"/>
        </w:rPr>
        <w:t xml:space="preserve">A natureza e a gravidade da infração cometida;</w:t>
      </w:r>
      <w:r>
        <w:rPr>
          <w:rFonts w:ascii="Arial" w:hAnsi="Arial" w:cs="Arial"/>
          <w:highlight w:val="none"/>
        </w:rPr>
      </w:r>
      <w:r>
        <w:rPr>
          <w:rFonts w:ascii="Arial" w:hAnsi="Arial" w:cs="Arial"/>
          <w:highlight w:val="none"/>
        </w:rPr>
      </w:r>
    </w:p>
    <w:p w14:paraId="7C45D6B4">
      <w:pPr>
        <w:pStyle w:val="2332"/>
        <w:pBdr/>
        <w:spacing w:after="0" w:before="0"/>
        <w:ind/>
        <w:jc w:val="both"/>
        <w:rPr>
          <w:rFonts w:ascii="Arial" w:hAnsi="Arial" w:cs="Arial"/>
          <w:highlight w:val="none"/>
        </w:rPr>
      </w:pPr>
      <w:r>
        <w:rPr>
          <w:rFonts w:ascii="Arial" w:hAnsi="Arial" w:eastAsia="Arial" w:cs="Arial"/>
          <w:b/>
          <w:bCs/>
          <w:sz w:val="22"/>
          <w:szCs w:val="22"/>
          <w:highlight w:val="none"/>
          <w:lang w:val="pt-BR"/>
        </w:rPr>
        <w:t xml:space="preserve">9.3.2. </w:t>
      </w:r>
      <w:r>
        <w:rPr>
          <w:rFonts w:ascii="Arial" w:hAnsi="Arial" w:eastAsia="Arial" w:cs="Arial"/>
          <w:sz w:val="22"/>
          <w:szCs w:val="22"/>
          <w:highlight w:val="none"/>
          <w:lang w:val="pt-BR"/>
        </w:rPr>
        <w:t xml:space="preserve">As peculiaridades do caso concreto;</w:t>
      </w:r>
      <w:r>
        <w:rPr>
          <w:rFonts w:ascii="Arial" w:hAnsi="Arial" w:cs="Arial"/>
          <w:highlight w:val="none"/>
        </w:rPr>
      </w:r>
      <w:r>
        <w:rPr>
          <w:rFonts w:ascii="Arial" w:hAnsi="Arial" w:cs="Arial"/>
          <w:highlight w:val="none"/>
        </w:rPr>
      </w:r>
    </w:p>
    <w:p w14:paraId="4964AD45">
      <w:pPr>
        <w:pStyle w:val="2332"/>
        <w:pBdr/>
        <w:spacing w:after="0" w:before="0"/>
        <w:ind/>
        <w:jc w:val="both"/>
        <w:rPr>
          <w:rFonts w:ascii="Arial" w:hAnsi="Arial" w:cs="Arial"/>
          <w:highlight w:val="none"/>
        </w:rPr>
      </w:pPr>
      <w:r>
        <w:rPr>
          <w:rFonts w:ascii="Arial" w:hAnsi="Arial" w:eastAsia="Arial" w:cs="Arial"/>
          <w:b/>
          <w:bCs/>
          <w:sz w:val="22"/>
          <w:szCs w:val="22"/>
          <w:highlight w:val="none"/>
          <w:lang w:val="pt-BR"/>
        </w:rPr>
        <w:t xml:space="preserve">9.3.3. </w:t>
      </w:r>
      <w:r>
        <w:rPr>
          <w:rFonts w:ascii="Arial" w:hAnsi="Arial" w:eastAsia="Arial" w:cs="Arial"/>
          <w:sz w:val="22"/>
          <w:szCs w:val="22"/>
          <w:highlight w:val="none"/>
          <w:lang w:val="pt-BR"/>
        </w:rPr>
        <w:t xml:space="preserve">As circunstâncias atenuantes ou agravantes;</w:t>
      </w:r>
      <w:r>
        <w:rPr>
          <w:rFonts w:ascii="Arial" w:hAnsi="Arial" w:cs="Arial"/>
          <w:highlight w:val="none"/>
        </w:rPr>
      </w:r>
      <w:r>
        <w:rPr>
          <w:rFonts w:ascii="Arial" w:hAnsi="Arial" w:cs="Arial"/>
          <w:highlight w:val="none"/>
        </w:rPr>
      </w:r>
    </w:p>
    <w:p w14:paraId="39466B18">
      <w:pPr>
        <w:pStyle w:val="2332"/>
        <w:pBdr/>
        <w:spacing w:after="0" w:before="0"/>
        <w:ind/>
        <w:jc w:val="both"/>
        <w:rPr>
          <w:rFonts w:ascii="Arial" w:hAnsi="Arial" w:cs="Arial"/>
          <w:highlight w:val="none"/>
        </w:rPr>
      </w:pPr>
      <w:r>
        <w:rPr>
          <w:rFonts w:ascii="Arial" w:hAnsi="Arial" w:eastAsia="Arial" w:cs="Arial"/>
          <w:b/>
          <w:bCs/>
          <w:sz w:val="22"/>
          <w:szCs w:val="22"/>
          <w:highlight w:val="none"/>
          <w:lang w:val="pt-BR"/>
        </w:rPr>
        <w:t xml:space="preserve">9.3.4. </w:t>
      </w:r>
      <w:r>
        <w:rPr>
          <w:rFonts w:ascii="Arial" w:hAnsi="Arial" w:eastAsia="Arial" w:cs="Arial"/>
          <w:sz w:val="22"/>
          <w:szCs w:val="22"/>
          <w:highlight w:val="none"/>
          <w:lang w:val="pt-BR"/>
        </w:rPr>
        <w:t xml:space="preserve">Os danos causados à Administração Pública;</w:t>
      </w:r>
      <w:r>
        <w:rPr>
          <w:rFonts w:ascii="Arial" w:hAnsi="Arial" w:cs="Arial"/>
          <w:highlight w:val="none"/>
        </w:rPr>
      </w:r>
      <w:r>
        <w:rPr>
          <w:rFonts w:ascii="Arial" w:hAnsi="Arial" w:cs="Arial"/>
          <w:highlight w:val="none"/>
        </w:rPr>
      </w:r>
    </w:p>
    <w:p w14:paraId="51442642">
      <w:pPr>
        <w:pStyle w:val="2332"/>
        <w:pBdr/>
        <w:spacing w:after="0" w:before="0"/>
        <w:ind/>
        <w:jc w:val="both"/>
        <w:rPr>
          <w:rFonts w:ascii="Arial" w:hAnsi="Arial" w:cs="Arial"/>
          <w:highlight w:val="none"/>
        </w:rPr>
      </w:pPr>
      <w:r>
        <w:rPr>
          <w:rFonts w:ascii="Arial" w:hAnsi="Arial" w:eastAsia="Arial" w:cs="Arial"/>
          <w:b/>
          <w:bCs/>
          <w:sz w:val="22"/>
          <w:szCs w:val="22"/>
          <w:highlight w:val="none"/>
          <w:lang w:val="pt-BR"/>
        </w:rPr>
        <w:t xml:space="preserve">9.3.5. </w:t>
      </w:r>
      <w:r>
        <w:rPr>
          <w:rFonts w:ascii="Arial" w:hAnsi="Arial" w:eastAsia="Arial" w:cs="Arial"/>
          <w:sz w:val="22"/>
          <w:szCs w:val="22"/>
          <w:highlight w:val="none"/>
          <w:lang w:val="pt-BR"/>
        </w:rPr>
        <w:t xml:space="preserve">A existência, implantação ou aperfeiçoamento de programa de integridade pelo contratado.</w:t>
      </w:r>
      <w:r>
        <w:rPr>
          <w:rFonts w:ascii="Arial" w:hAnsi="Arial" w:cs="Arial"/>
          <w:highlight w:val="none"/>
        </w:rPr>
      </w:r>
      <w:r>
        <w:rPr>
          <w:rFonts w:ascii="Arial" w:hAnsi="Arial" w:cs="Arial"/>
          <w:highlight w:val="none"/>
        </w:rPr>
      </w:r>
    </w:p>
    <w:p w14:paraId="73CC3C37">
      <w:pPr>
        <w:pStyle w:val="2332"/>
        <w:pBdr/>
        <w:spacing w:after="0" w:before="0"/>
        <w:ind/>
        <w:jc w:val="both"/>
        <w:rPr>
          <w:rFonts w:ascii="Arial" w:hAnsi="Arial" w:cs="Arial"/>
          <w:highlight w:val="none"/>
        </w:rPr>
      </w:pPr>
      <w:r>
        <w:rPr>
          <w:rFonts w:ascii="Arial" w:hAnsi="Arial" w:eastAsia="Arial" w:cs="Arial"/>
          <w:b/>
          <w:bCs/>
          <w:sz w:val="22"/>
          <w:szCs w:val="22"/>
          <w:highlight w:val="none"/>
          <w:lang w:val="pt-BR"/>
        </w:rPr>
        <w:t xml:space="preserve">9.4.</w:t>
      </w:r>
      <w:r>
        <w:rPr>
          <w:rFonts w:ascii="Arial" w:hAnsi="Arial" w:eastAsia="Arial" w:cs="Arial"/>
          <w:sz w:val="22"/>
          <w:szCs w:val="22"/>
          <w:highlight w:val="none"/>
          <w:lang w:val="pt-BR"/>
        </w:rPr>
        <w:t xml:space="preserve"> </w:t>
      </w:r>
      <w:r>
        <w:rPr>
          <w:rFonts w:ascii="Arial" w:hAnsi="Arial" w:eastAsia="Arial" w:cs="Arial"/>
          <w:sz w:val="22"/>
          <w:szCs w:val="22"/>
          <w:highlight w:val="none"/>
          <w:lang w:val="pt-BR"/>
        </w:rPr>
        <w:t xml:space="preserve">Nos termos do art. 157 da Lei nº 14.133/2021, a aplicação da multa será precedida de </w:t>
      </w:r>
      <w:r>
        <w:rPr>
          <w:rStyle w:val="932"/>
          <w:rFonts w:ascii="Arial" w:hAnsi="Arial" w:eastAsia="Arial" w:cs="Arial"/>
          <w:b w:val="0"/>
          <w:bCs w:val="0"/>
          <w:sz w:val="22"/>
          <w:szCs w:val="22"/>
          <w:highlight w:val="none"/>
          <w:lang w:val="pt-BR"/>
        </w:rPr>
        <w:t xml:space="preserve">intimação do interessado</w:t>
      </w:r>
      <w:r>
        <w:rPr>
          <w:rFonts w:ascii="Arial" w:hAnsi="Arial" w:eastAsia="Arial" w:cs="Arial"/>
          <w:sz w:val="22"/>
          <w:szCs w:val="22"/>
          <w:highlight w:val="none"/>
          <w:lang w:val="pt-BR"/>
        </w:rPr>
        <w:t xml:space="preserve">, facultando-se a apresentação de defesa no prazo de 15 (quinze) dias úteis.</w:t>
      </w:r>
      <w:r>
        <w:rPr>
          <w:rFonts w:ascii="Arial" w:hAnsi="Arial" w:cs="Arial"/>
          <w:highlight w:val="none"/>
        </w:rPr>
      </w:r>
      <w:r>
        <w:rPr>
          <w:rFonts w:ascii="Arial" w:hAnsi="Arial" w:cs="Arial"/>
          <w:highlight w:val="none"/>
        </w:rPr>
      </w:r>
    </w:p>
    <w:p w14:paraId="7FE1DABA">
      <w:pPr>
        <w:pStyle w:val="2332"/>
        <w:pBdr/>
        <w:spacing w:after="0" w:before="0"/>
        <w:ind/>
        <w:jc w:val="both"/>
        <w:rPr>
          <w:rFonts w:ascii="Arial" w:hAnsi="Arial" w:cs="Arial"/>
          <w:highlight w:val="none"/>
        </w:rPr>
      </w:pPr>
      <w:r>
        <w:rPr>
          <w:rFonts w:ascii="Arial" w:hAnsi="Arial" w:eastAsia="Arial" w:cs="Arial"/>
          <w:b/>
          <w:bCs/>
          <w:sz w:val="22"/>
          <w:szCs w:val="22"/>
          <w:highlight w:val="none"/>
          <w:lang w:val="pt-BR"/>
        </w:rPr>
        <w:t xml:space="preserve">9.5.</w:t>
      </w:r>
      <w:r>
        <w:rPr>
          <w:rFonts w:ascii="Arial" w:hAnsi="Arial" w:eastAsia="Arial" w:cs="Arial"/>
          <w:sz w:val="22"/>
          <w:szCs w:val="22"/>
          <w:highlight w:val="none"/>
          <w:lang w:val="pt-BR"/>
        </w:rPr>
        <w:t xml:space="preserve"> </w:t>
      </w:r>
      <w:r>
        <w:rPr>
          <w:rFonts w:ascii="Arial" w:hAnsi="Arial" w:eastAsia="Arial" w:cs="Arial"/>
          <w:sz w:val="22"/>
          <w:szCs w:val="22"/>
          <w:highlight w:val="none"/>
          <w:lang w:val="pt-BR"/>
        </w:rPr>
        <w:t xml:space="preserve">As penalidades de impedimento de licitar/contratar e de declaração de inidoneidade exigirão a </w:t>
      </w:r>
      <w:r>
        <w:rPr>
          <w:rStyle w:val="932"/>
          <w:rFonts w:ascii="Arial" w:hAnsi="Arial" w:eastAsia="Arial" w:cs="Arial"/>
          <w:b w:val="0"/>
          <w:bCs w:val="0"/>
          <w:sz w:val="22"/>
          <w:szCs w:val="22"/>
          <w:highlight w:val="none"/>
          <w:lang w:val="pt-BR"/>
        </w:rPr>
        <w:t xml:space="preserve">instauração de processo de responsabilização</w:t>
      </w:r>
      <w:r>
        <w:rPr>
          <w:rFonts w:ascii="Arial" w:hAnsi="Arial" w:eastAsia="Arial" w:cs="Arial"/>
          <w:sz w:val="22"/>
          <w:szCs w:val="22"/>
          <w:highlight w:val="none"/>
          <w:lang w:val="pt-BR"/>
        </w:rPr>
        <w:t xml:space="preserve">, conduzido por comissão composta por, no mínimo, dois servidores estáveis, garantindo-se o contraditório e a ampla defesa, conforme art. 158 da referida norma.</w:t>
      </w:r>
      <w:r>
        <w:rPr>
          <w:rFonts w:ascii="Arial" w:hAnsi="Arial" w:cs="Arial"/>
          <w:highlight w:val="none"/>
        </w:rPr>
      </w:r>
      <w:r>
        <w:rPr>
          <w:rFonts w:ascii="Arial" w:hAnsi="Arial" w:cs="Arial"/>
          <w:highlight w:val="none"/>
        </w:rPr>
      </w:r>
    </w:p>
    <w:p w14:paraId="1A83EE2D">
      <w:pPr>
        <w:pStyle w:val="2332"/>
        <w:pBdr/>
        <w:spacing w:after="0" w:before="0"/>
        <w:ind/>
        <w:jc w:val="both"/>
        <w:rPr>
          <w:rFonts w:ascii="Arial" w:hAnsi="Arial" w:cs="Arial"/>
          <w:sz w:val="22"/>
          <w:szCs w:val="22"/>
          <w:highlight w:val="none"/>
        </w:rPr>
      </w:pPr>
      <w:r>
        <w:rPr>
          <w:rFonts w:ascii="Arial" w:hAnsi="Arial" w:eastAsia="Arial" w:cs="Arial"/>
          <w:b/>
          <w:bCs/>
          <w:sz w:val="22"/>
          <w:szCs w:val="22"/>
          <w:highlight w:val="none"/>
          <w:lang w:val="pt-BR"/>
        </w:rPr>
        <w:t xml:space="preserve">9.6. </w:t>
      </w:r>
      <w:r>
        <w:rPr>
          <w:rFonts w:ascii="Arial" w:hAnsi="Arial" w:eastAsia="Arial" w:cs="Arial"/>
          <w:sz w:val="22"/>
          <w:szCs w:val="22"/>
          <w:highlight w:val="none"/>
          <w:lang w:val="pt-PT"/>
        </w:rPr>
        <w:t xml:space="preserve">A sanção de declaração de inidoneidade será precedida de análise jurídica e aplicada pela autoridade competente, nos termos do § 6º do art. 156 da Lei Federal nº 14.133/2021 e da regulamentação municipal aplicável.</w:t>
      </w:r>
      <w:r>
        <w:rPr>
          <w:rFonts w:ascii="Arial" w:hAnsi="Arial" w:cs="Arial"/>
          <w:sz w:val="22"/>
          <w:szCs w:val="22"/>
          <w:highlight w:val="none"/>
        </w:rPr>
      </w:r>
      <w:r>
        <w:rPr>
          <w:rFonts w:ascii="Arial" w:hAnsi="Arial" w:cs="Arial"/>
          <w:sz w:val="22"/>
          <w:szCs w:val="22"/>
          <w:highlight w:val="none"/>
        </w:rPr>
      </w:r>
    </w:p>
    <w:p w14:paraId="0D1CECD0">
      <w:pPr>
        <w:pStyle w:val="2332"/>
        <w:pBdr/>
        <w:spacing w:after="0" w:before="0"/>
        <w:ind/>
        <w:jc w:val="both"/>
        <w:rPr>
          <w:rFonts w:ascii="Arial" w:hAnsi="Arial" w:cs="Arial"/>
          <w:highlight w:val="none"/>
        </w:rPr>
      </w:pPr>
      <w:r>
        <w:rPr>
          <w:rFonts w:ascii="Arial" w:hAnsi="Arial" w:eastAsia="Arial" w:cs="Arial"/>
          <w:b/>
          <w:bCs/>
          <w:sz w:val="22"/>
          <w:szCs w:val="22"/>
          <w:highlight w:val="none"/>
          <w:lang w:val="pt-BR"/>
        </w:rPr>
        <w:t xml:space="preserve">9.7.</w:t>
      </w:r>
      <w:r>
        <w:rPr>
          <w:rFonts w:ascii="Arial" w:hAnsi="Arial" w:eastAsia="Arial" w:cs="Arial"/>
          <w:sz w:val="22"/>
          <w:szCs w:val="22"/>
          <w:highlight w:val="none"/>
          <w:lang w:val="pt-BR"/>
        </w:rPr>
        <w:t xml:space="preserve"> </w:t>
      </w:r>
      <w:r>
        <w:rPr>
          <w:rFonts w:ascii="Arial" w:hAnsi="Arial" w:eastAsia="Arial" w:cs="Arial"/>
          <w:sz w:val="22"/>
          <w:szCs w:val="22"/>
          <w:highlight w:val="none"/>
          <w:lang w:val="pt-BR"/>
        </w:rPr>
        <w:t xml:space="preserve">As sanções previstas nos incisos I, III e IV do art. 156 poderão ser aplicadas </w:t>
      </w:r>
      <w:r>
        <w:rPr>
          <w:rStyle w:val="932"/>
          <w:rFonts w:ascii="Arial" w:hAnsi="Arial" w:eastAsia="Arial" w:cs="Arial"/>
          <w:b w:val="0"/>
          <w:bCs w:val="0"/>
          <w:sz w:val="22"/>
          <w:szCs w:val="22"/>
          <w:highlight w:val="none"/>
          <w:lang w:val="pt-BR"/>
        </w:rPr>
        <w:t xml:space="preserve">cumulativamente</w:t>
      </w:r>
      <w:r>
        <w:rPr>
          <w:rFonts w:ascii="Arial" w:hAnsi="Arial" w:eastAsia="Arial" w:cs="Arial"/>
          <w:sz w:val="22"/>
          <w:szCs w:val="22"/>
          <w:highlight w:val="none"/>
          <w:lang w:val="pt-BR"/>
        </w:rPr>
        <w:t xml:space="preserve"> com a sanção de multa, conforme § 7º do mesmo artigo.</w:t>
      </w:r>
      <w:r>
        <w:rPr>
          <w:rFonts w:ascii="Arial" w:hAnsi="Arial" w:cs="Arial"/>
          <w:highlight w:val="none"/>
        </w:rPr>
      </w:r>
      <w:r>
        <w:rPr>
          <w:rFonts w:ascii="Arial" w:hAnsi="Arial" w:cs="Arial"/>
          <w:highlight w:val="none"/>
        </w:rPr>
      </w:r>
    </w:p>
    <w:p w14:paraId="4289FCAA">
      <w:pPr>
        <w:pStyle w:val="2332"/>
        <w:pBdr/>
        <w:spacing w:after="0" w:before="0"/>
        <w:ind/>
        <w:jc w:val="both"/>
        <w:rPr>
          <w:rFonts w:ascii="Arial" w:hAnsi="Arial" w:cs="Arial"/>
          <w:highlight w:val="none"/>
        </w:rPr>
      </w:pPr>
      <w:r>
        <w:rPr>
          <w:rFonts w:ascii="Arial" w:hAnsi="Arial" w:eastAsia="Arial" w:cs="Arial"/>
          <w:b/>
          <w:bCs/>
          <w:sz w:val="22"/>
          <w:szCs w:val="22"/>
          <w:highlight w:val="none"/>
          <w:lang w:val="pt-BR"/>
        </w:rPr>
        <w:t xml:space="preserve">9.8. </w:t>
      </w:r>
      <w:r>
        <w:rPr>
          <w:rFonts w:ascii="Arial" w:hAnsi="Arial" w:eastAsia="Arial" w:cs="Arial"/>
          <w:sz w:val="22"/>
          <w:szCs w:val="22"/>
          <w:highlight w:val="none"/>
          <w:lang w:val="pt-BR"/>
        </w:rPr>
        <w:t xml:space="preserve">Caso a multa e as indenizações cabíveis sejam superiores ao valor devido pela Administração ao contratado, a diferença será descontada da garantia prestada ou cobrada judicialmente, conforme § 8º do art. 156.</w:t>
      </w:r>
      <w:r>
        <w:rPr>
          <w:rFonts w:ascii="Arial" w:hAnsi="Arial" w:cs="Arial"/>
          <w:highlight w:val="none"/>
        </w:rPr>
      </w:r>
      <w:r>
        <w:rPr>
          <w:rFonts w:ascii="Arial" w:hAnsi="Arial" w:cs="Arial"/>
          <w:highlight w:val="none"/>
        </w:rPr>
      </w:r>
    </w:p>
    <w:p w14:paraId="7DBE3F64">
      <w:pPr>
        <w:pStyle w:val="2332"/>
        <w:pBdr/>
        <w:spacing w:after="0" w:before="0"/>
        <w:ind/>
        <w:jc w:val="both"/>
        <w:rPr>
          <w:rFonts w:ascii="Arial" w:hAnsi="Arial" w:cs="Arial"/>
          <w:highlight w:val="none"/>
        </w:rPr>
      </w:pPr>
      <w:r>
        <w:rPr>
          <w:rFonts w:ascii="Arial" w:hAnsi="Arial" w:eastAsia="Arial" w:cs="Arial"/>
          <w:b/>
          <w:bCs/>
          <w:sz w:val="22"/>
          <w:szCs w:val="22"/>
          <w:highlight w:val="none"/>
          <w:lang w:val="pt-BR"/>
        </w:rPr>
        <w:t xml:space="preserve">9.9 </w:t>
      </w:r>
      <w:r>
        <w:rPr>
          <w:rFonts w:ascii="Arial" w:hAnsi="Arial" w:eastAsia="Arial" w:cs="Arial"/>
          <w:sz w:val="22"/>
          <w:szCs w:val="22"/>
          <w:highlight w:val="none"/>
          <w:lang w:val="pt-BR"/>
        </w:rPr>
        <w:t xml:space="preserve">A aplicação das penalidades </w:t>
      </w:r>
      <w:r>
        <w:rPr>
          <w:rStyle w:val="932"/>
          <w:rFonts w:ascii="Arial" w:hAnsi="Arial" w:eastAsia="Arial" w:cs="Arial"/>
          <w:b w:val="0"/>
          <w:bCs w:val="0"/>
          <w:sz w:val="22"/>
          <w:szCs w:val="22"/>
          <w:highlight w:val="none"/>
          <w:lang w:val="pt-BR"/>
        </w:rPr>
        <w:t xml:space="preserve">não exime o contratado da obrigação de reparação integral dos danos</w:t>
      </w:r>
      <w:r>
        <w:rPr>
          <w:rFonts w:ascii="Arial" w:hAnsi="Arial" w:eastAsia="Arial" w:cs="Arial"/>
          <w:sz w:val="22"/>
          <w:szCs w:val="22"/>
          <w:highlight w:val="none"/>
          <w:lang w:val="pt-BR"/>
        </w:rPr>
        <w:t xml:space="preserve"> causados à Administração, nos termos do § 9º do art. 156 da Lei nº 14.133/2021.</w:t>
      </w:r>
      <w:r>
        <w:rPr>
          <w:rFonts w:ascii="Arial" w:hAnsi="Arial" w:cs="Arial"/>
          <w:highlight w:val="none"/>
        </w:rPr>
      </w:r>
      <w:r>
        <w:rPr>
          <w:rFonts w:ascii="Arial" w:hAnsi="Arial" w:cs="Arial"/>
          <w:highlight w:val="none"/>
        </w:rPr>
      </w:r>
    </w:p>
    <w:p w14:paraId="08AFFC6F">
      <w:pPr>
        <w:pStyle w:val="2332"/>
        <w:pBdr/>
        <w:spacing w:after="0" w:before="0"/>
        <w:ind/>
        <w:jc w:val="both"/>
        <w:rPr>
          <w:rFonts w:ascii="Arial" w:hAnsi="Arial" w:cs="Arial"/>
          <w:highlight w:val="none"/>
        </w:rPr>
      </w:pPr>
      <w:r>
        <w:rPr>
          <w:rFonts w:ascii="Arial" w:hAnsi="Arial" w:eastAsia="Arial" w:cs="Arial"/>
          <w:b/>
          <w:bCs/>
          <w:sz w:val="22"/>
          <w:szCs w:val="22"/>
          <w:highlight w:val="none"/>
          <w:lang w:val="pt-BR"/>
        </w:rPr>
        <w:t xml:space="preserve">9.10.</w:t>
      </w:r>
      <w:r>
        <w:rPr>
          <w:rFonts w:ascii="Arial" w:hAnsi="Arial" w:eastAsia="Arial" w:cs="Arial"/>
          <w:sz w:val="22"/>
          <w:szCs w:val="22"/>
          <w:highlight w:val="none"/>
          <w:lang w:val="pt-BR"/>
        </w:rPr>
        <w:t xml:space="preserve"> </w:t>
      </w:r>
      <w:r>
        <w:rPr>
          <w:rFonts w:ascii="Arial" w:hAnsi="Arial" w:eastAsia="Arial" w:cs="Arial"/>
          <w:sz w:val="22"/>
          <w:szCs w:val="22"/>
          <w:highlight w:val="none"/>
          <w:lang w:val="pt-BR"/>
        </w:rPr>
        <w:t xml:space="preserve">Nos termos do art. 163 da referida Lei, admite-se a </w:t>
      </w:r>
      <w:r>
        <w:rPr>
          <w:rStyle w:val="932"/>
          <w:rFonts w:ascii="Arial" w:hAnsi="Arial" w:eastAsia="Arial" w:cs="Arial"/>
          <w:b w:val="0"/>
          <w:bCs w:val="0"/>
          <w:sz w:val="22"/>
          <w:szCs w:val="22"/>
          <w:highlight w:val="none"/>
          <w:lang w:val="pt-BR"/>
        </w:rPr>
        <w:t xml:space="preserve">reabilitação do contratado</w:t>
      </w:r>
      <w:r>
        <w:rPr>
          <w:rFonts w:ascii="Arial" w:hAnsi="Arial" w:eastAsia="Arial" w:cs="Arial"/>
          <w:sz w:val="22"/>
          <w:szCs w:val="22"/>
          <w:highlight w:val="none"/>
          <w:lang w:val="pt-BR"/>
        </w:rPr>
        <w:t xml:space="preserve">, mediante o cumprimento cumulativo das seguintes condições:</w:t>
      </w:r>
      <w:r>
        <w:rPr>
          <w:rFonts w:ascii="Arial" w:hAnsi="Arial" w:cs="Arial"/>
          <w:highlight w:val="none"/>
        </w:rPr>
      </w:r>
      <w:r>
        <w:rPr>
          <w:rFonts w:ascii="Arial" w:hAnsi="Arial" w:cs="Arial"/>
          <w:highlight w:val="none"/>
        </w:rPr>
      </w:r>
    </w:p>
    <w:p w14:paraId="35AF4681">
      <w:pPr>
        <w:pStyle w:val="2332"/>
        <w:pBdr/>
        <w:spacing w:after="0" w:before="0"/>
        <w:ind/>
        <w:jc w:val="both"/>
        <w:rPr>
          <w:rFonts w:ascii="Arial" w:hAnsi="Arial" w:cs="Arial"/>
          <w:highlight w:val="none"/>
        </w:rPr>
      </w:pPr>
      <w:r>
        <w:rPr>
          <w:rFonts w:ascii="Arial" w:hAnsi="Arial" w:eastAsia="Arial" w:cs="Arial"/>
          <w:b/>
          <w:bCs/>
          <w:sz w:val="22"/>
          <w:szCs w:val="22"/>
          <w:highlight w:val="none"/>
          <w:lang w:val="pt-BR"/>
        </w:rPr>
        <w:t xml:space="preserve">9.10.1. </w:t>
      </w:r>
      <w:r>
        <w:rPr>
          <w:rFonts w:ascii="Arial" w:hAnsi="Arial" w:eastAsia="Arial" w:cs="Arial"/>
          <w:sz w:val="22"/>
          <w:szCs w:val="22"/>
          <w:highlight w:val="none"/>
          <w:lang w:val="pt-BR"/>
        </w:rPr>
        <w:t xml:space="preserve">Reparação integral do dano;</w:t>
      </w:r>
      <w:r>
        <w:rPr>
          <w:rFonts w:ascii="Arial" w:hAnsi="Arial" w:cs="Arial"/>
          <w:highlight w:val="none"/>
        </w:rPr>
      </w:r>
      <w:r>
        <w:rPr>
          <w:rFonts w:ascii="Arial" w:hAnsi="Arial" w:cs="Arial"/>
          <w:highlight w:val="none"/>
        </w:rPr>
      </w:r>
    </w:p>
    <w:p w14:paraId="1CA5CB43">
      <w:pPr>
        <w:pStyle w:val="2332"/>
        <w:pBdr/>
        <w:spacing w:after="0" w:before="0"/>
        <w:ind/>
        <w:jc w:val="both"/>
        <w:rPr>
          <w:rFonts w:ascii="Arial" w:hAnsi="Arial" w:cs="Arial"/>
          <w:highlight w:val="none"/>
        </w:rPr>
      </w:pPr>
      <w:r>
        <w:rPr>
          <w:rFonts w:ascii="Arial" w:hAnsi="Arial" w:eastAsia="Arial" w:cs="Arial"/>
          <w:b/>
          <w:bCs/>
          <w:sz w:val="22"/>
          <w:szCs w:val="22"/>
          <w:highlight w:val="none"/>
          <w:lang w:val="pt-BR"/>
        </w:rPr>
        <w:t xml:space="preserve">9.10.2. </w:t>
      </w:r>
      <w:r>
        <w:rPr>
          <w:rFonts w:ascii="Arial" w:hAnsi="Arial" w:eastAsia="Arial" w:cs="Arial"/>
          <w:sz w:val="22"/>
          <w:szCs w:val="22"/>
          <w:highlight w:val="none"/>
          <w:lang w:val="pt-BR"/>
        </w:rPr>
        <w:t xml:space="preserve">Pagamento da multa;</w:t>
      </w:r>
      <w:r>
        <w:rPr>
          <w:rFonts w:ascii="Arial" w:hAnsi="Arial" w:cs="Arial"/>
          <w:highlight w:val="none"/>
        </w:rPr>
      </w:r>
      <w:r>
        <w:rPr>
          <w:rFonts w:ascii="Arial" w:hAnsi="Arial" w:cs="Arial"/>
          <w:highlight w:val="none"/>
        </w:rPr>
      </w:r>
    </w:p>
    <w:p w14:paraId="3720603C">
      <w:pPr>
        <w:pStyle w:val="2332"/>
        <w:pBdr/>
        <w:spacing w:after="0" w:before="0"/>
        <w:ind/>
        <w:jc w:val="both"/>
        <w:rPr>
          <w:rFonts w:ascii="Arial" w:hAnsi="Arial" w:cs="Arial"/>
          <w:highlight w:val="none"/>
        </w:rPr>
      </w:pPr>
      <w:r>
        <w:rPr>
          <w:rFonts w:ascii="Arial" w:hAnsi="Arial" w:eastAsia="Arial" w:cs="Arial"/>
          <w:b/>
          <w:bCs/>
          <w:sz w:val="22"/>
          <w:szCs w:val="22"/>
          <w:highlight w:val="none"/>
          <w:lang w:val="pt-BR"/>
        </w:rPr>
        <w:t xml:space="preserve">9.10.3. </w:t>
      </w:r>
      <w:r>
        <w:rPr>
          <w:rFonts w:ascii="Arial" w:hAnsi="Arial" w:eastAsia="Arial" w:cs="Arial"/>
          <w:sz w:val="22"/>
          <w:szCs w:val="22"/>
          <w:highlight w:val="none"/>
          <w:lang w:val="pt-BR"/>
        </w:rPr>
        <w:t xml:space="preserve">Decurso de, no mínimo, 1 (um) ano da aplicação do impedimento ou 3 (três) anos da inidoneidade;</w:t>
      </w:r>
      <w:r>
        <w:rPr>
          <w:rFonts w:ascii="Arial" w:hAnsi="Arial" w:cs="Arial"/>
          <w:highlight w:val="none"/>
        </w:rPr>
      </w:r>
      <w:r>
        <w:rPr>
          <w:rFonts w:ascii="Arial" w:hAnsi="Arial" w:cs="Arial"/>
          <w:highlight w:val="none"/>
        </w:rPr>
      </w:r>
    </w:p>
    <w:p w14:paraId="5F5588E9">
      <w:pPr>
        <w:pStyle w:val="2332"/>
        <w:pBdr/>
        <w:spacing w:after="0" w:before="0"/>
        <w:ind/>
        <w:jc w:val="both"/>
        <w:rPr>
          <w:rFonts w:ascii="Arial" w:hAnsi="Arial" w:cs="Arial"/>
          <w:highlight w:val="none"/>
        </w:rPr>
      </w:pPr>
      <w:r>
        <w:rPr>
          <w:rFonts w:ascii="Arial" w:hAnsi="Arial" w:eastAsia="Arial" w:cs="Arial"/>
          <w:b/>
          <w:bCs/>
          <w:sz w:val="22"/>
          <w:szCs w:val="22"/>
          <w:highlight w:val="none"/>
          <w:lang w:val="pt-BR"/>
        </w:rPr>
        <w:t xml:space="preserve">9.10.4.</w:t>
      </w:r>
      <w:r>
        <w:rPr>
          <w:rFonts w:ascii="Arial" w:hAnsi="Arial" w:eastAsia="Arial" w:cs="Arial"/>
          <w:sz w:val="22"/>
          <w:szCs w:val="22"/>
          <w:highlight w:val="none"/>
          <w:lang w:val="pt-BR"/>
        </w:rPr>
        <w:t xml:space="preserve"> </w:t>
      </w:r>
      <w:r>
        <w:rPr>
          <w:rFonts w:ascii="Arial" w:hAnsi="Arial" w:eastAsia="Arial" w:cs="Arial"/>
          <w:sz w:val="22"/>
          <w:szCs w:val="22"/>
          <w:highlight w:val="none"/>
          <w:lang w:val="pt-BR"/>
        </w:rPr>
        <w:t xml:space="preserve">Cumprimento das condições estipuladas no ato sancionador;</w:t>
      </w:r>
      <w:r>
        <w:rPr>
          <w:rFonts w:ascii="Arial" w:hAnsi="Arial" w:cs="Arial"/>
          <w:highlight w:val="none"/>
        </w:rPr>
      </w:r>
      <w:r>
        <w:rPr>
          <w:rFonts w:ascii="Arial" w:hAnsi="Arial" w:cs="Arial"/>
          <w:highlight w:val="none"/>
        </w:rPr>
      </w:r>
    </w:p>
    <w:p w14:paraId="118F5CF3">
      <w:pPr>
        <w:pStyle w:val="2332"/>
        <w:pBdr/>
        <w:spacing w:after="0" w:before="0"/>
        <w:ind/>
        <w:jc w:val="both"/>
        <w:rPr>
          <w:rFonts w:ascii="Arial" w:hAnsi="Arial" w:cs="Arial"/>
          <w:highlight w:val="none"/>
        </w:rPr>
      </w:pPr>
      <w:r>
        <w:rPr>
          <w:rFonts w:ascii="Arial" w:hAnsi="Arial" w:eastAsia="Arial" w:cs="Arial"/>
          <w:b/>
          <w:bCs/>
          <w:sz w:val="22"/>
          <w:szCs w:val="22"/>
          <w:highlight w:val="none"/>
          <w:lang w:val="pt-BR"/>
        </w:rPr>
        <w:t xml:space="preserve">9.10.5</w:t>
      </w:r>
      <w:r>
        <w:rPr>
          <w:rFonts w:ascii="Arial" w:hAnsi="Arial" w:eastAsia="Arial" w:cs="Arial"/>
          <w:sz w:val="22"/>
          <w:szCs w:val="22"/>
          <w:highlight w:val="none"/>
          <w:lang w:val="pt-BR"/>
        </w:rPr>
        <w:t xml:space="preserve">. </w:t>
      </w:r>
      <w:r>
        <w:rPr>
          <w:rFonts w:ascii="Arial" w:hAnsi="Arial" w:eastAsia="Arial" w:cs="Arial"/>
          <w:sz w:val="22"/>
          <w:szCs w:val="22"/>
          <w:highlight w:val="none"/>
          <w:lang w:val="pt-BR"/>
        </w:rPr>
        <w:t xml:space="preserve">Parecer jurídico conclusivo favorável à reabilitação.</w:t>
      </w:r>
      <w:r>
        <w:rPr>
          <w:rFonts w:ascii="Arial" w:hAnsi="Arial" w:cs="Arial"/>
          <w:highlight w:val="none"/>
        </w:rPr>
      </w:r>
      <w:r>
        <w:rPr>
          <w:rFonts w:ascii="Arial" w:hAnsi="Arial" w:cs="Arial"/>
          <w:highlight w:val="none"/>
        </w:rPr>
      </w:r>
    </w:p>
    <w:p w14:paraId="78EBF26C">
      <w:pPr>
        <w:pStyle w:val="2332"/>
        <w:pBdr/>
        <w:spacing w:after="0" w:before="0"/>
        <w:ind/>
        <w:jc w:val="both"/>
        <w:rPr>
          <w:rFonts w:ascii="Arial" w:hAnsi="Arial" w:cs="Arial"/>
          <w:sz w:val="22"/>
          <w:szCs w:val="22"/>
          <w:highlight w:val="none"/>
        </w:rPr>
      </w:pPr>
      <w:r>
        <w:rPr>
          <w:rFonts w:ascii="Arial" w:hAnsi="Arial" w:eastAsia="Arial" w:cs="Arial"/>
          <w:b/>
          <w:bCs/>
          <w:sz w:val="22"/>
          <w:szCs w:val="22"/>
          <w:highlight w:val="none"/>
          <w:lang w:val="pt-BR"/>
        </w:rPr>
        <w:t xml:space="preserve">9.11. </w:t>
      </w:r>
      <w:r>
        <w:rPr>
          <w:rFonts w:ascii="Arial" w:hAnsi="Arial" w:eastAsia="Arial" w:cs="Arial"/>
          <w:sz w:val="22"/>
          <w:szCs w:val="22"/>
          <w:highlight w:val="none"/>
          <w:lang w:val="pt-PT"/>
        </w:rPr>
        <w:t xml:space="preserve">As sanções aplicadas deverão ser registradas e divulgadas n</w:t>
      </w:r>
      <w:r>
        <w:rPr>
          <w:rFonts w:ascii="Arial" w:hAnsi="Arial" w:eastAsia="Arial" w:cs="Arial"/>
          <w:sz w:val="22"/>
          <w:szCs w:val="22"/>
          <w:highlight w:val="none"/>
          <w:lang w:val="pt-PT"/>
        </w:rPr>
        <w:t xml:space="preserve">os sistemas oficiais competentes, inclusive no Cadastro Nacional de Empresas Inidôneas e Suspensas (CEIS), no Cadastro Nacional de Empresas Punidas (CNEP) e em outros sistemas previstos na legislação aplicável, observados os prazos legais e regulamentares.</w:t>
      </w:r>
      <w:r>
        <w:rPr>
          <w:rFonts w:ascii="Arial" w:hAnsi="Arial" w:cs="Arial"/>
          <w:sz w:val="22"/>
          <w:szCs w:val="22"/>
          <w:highlight w:val="none"/>
        </w:rPr>
      </w:r>
      <w:r>
        <w:rPr>
          <w:rFonts w:ascii="Arial" w:hAnsi="Arial" w:cs="Arial"/>
          <w:sz w:val="22"/>
          <w:szCs w:val="22"/>
          <w:highlight w:val="none"/>
        </w:rPr>
      </w:r>
    </w:p>
    <w:p w14:paraId="20456992">
      <w:pPr>
        <w:pStyle w:val="2332"/>
        <w:pBdr/>
        <w:spacing w:after="0" w:before="0"/>
        <w:ind/>
        <w:jc w:val="both"/>
        <w:rPr>
          <w:rFonts w:ascii="Arial" w:hAnsi="Arial" w:cs="Arial"/>
          <w:sz w:val="18"/>
          <w:szCs w:val="18"/>
          <w:highlight w:val="none"/>
        </w:rPr>
      </w:pPr>
      <w:r>
        <w:rPr>
          <w:rFonts w:ascii="Arial" w:hAnsi="Arial" w:eastAsia="Arial" w:cs="Arial"/>
          <w:sz w:val="18"/>
          <w:szCs w:val="18"/>
          <w:highlight w:val="none"/>
          <w:lang w:val="pt-BR"/>
        </w:rPr>
      </w:r>
      <w:r>
        <w:rPr>
          <w:rFonts w:ascii="Arial" w:hAnsi="Arial" w:cs="Arial"/>
          <w:sz w:val="18"/>
          <w:szCs w:val="18"/>
          <w:highlight w:val="none"/>
        </w:rPr>
      </w:r>
      <w:r>
        <w:rPr>
          <w:rFonts w:ascii="Arial" w:hAnsi="Arial" w:cs="Arial"/>
          <w:sz w:val="18"/>
          <w:szCs w:val="18"/>
          <w:highlight w:val="none"/>
        </w:rPr>
      </w:r>
    </w:p>
    <w:p w14:paraId="7707885F">
      <w:pPr>
        <w:pBdr/>
        <w:shd w:val="clear" w:color="auto" w:fill="cccccc"/>
        <w:spacing/>
        <w:ind/>
        <w:jc w:val="both"/>
        <w:rPr>
          <w:rFonts w:ascii="Arial" w:hAnsi="Arial" w:cs="Arial"/>
          <w:highlight w:val="none"/>
        </w:rPr>
      </w:pPr>
      <w:r>
        <w:rPr>
          <w:rFonts w:ascii="Arial" w:hAnsi="Arial" w:eastAsia="Arial" w:cs="Arial"/>
          <w:b/>
          <w:bCs/>
          <w:highlight w:val="none"/>
        </w:rPr>
        <w:t xml:space="preserve">10 – ESTIMATIVAS DO VALOR DA CONTRATAÇÃO </w:t>
      </w:r>
      <w:r>
        <w:rPr>
          <w:rFonts w:ascii="Arial" w:hAnsi="Arial" w:cs="Arial"/>
          <w:highlight w:val="none"/>
        </w:rPr>
      </w:r>
      <w:r>
        <w:rPr>
          <w:rFonts w:ascii="Arial" w:hAnsi="Arial" w:cs="Arial"/>
          <w:highlight w:val="none"/>
        </w:rPr>
      </w:r>
    </w:p>
    <w:p w14:paraId="730A2348">
      <w:pPr>
        <w:pBdr/>
        <w:spacing/>
        <w:ind/>
        <w:jc w:val="both"/>
        <w:rPr>
          <w:rFonts w:ascii="Arial" w:hAnsi="Arial" w:cs="Arial"/>
          <w:sz w:val="18"/>
          <w:szCs w:val="18"/>
          <w:highlight w:val="none"/>
        </w:rPr>
      </w:pPr>
      <w:r>
        <w:rPr>
          <w:rFonts w:ascii="Arial" w:hAnsi="Arial" w:eastAsia="Arial" w:cs="Arial"/>
          <w:sz w:val="18"/>
          <w:szCs w:val="18"/>
          <w:highlight w:val="none"/>
        </w:rPr>
      </w:r>
      <w:r>
        <w:rPr>
          <w:rFonts w:ascii="Arial" w:hAnsi="Arial" w:cs="Arial"/>
          <w:sz w:val="18"/>
          <w:szCs w:val="18"/>
          <w:highlight w:val="none"/>
        </w:rPr>
      </w:r>
      <w:r>
        <w:rPr>
          <w:rFonts w:ascii="Arial" w:hAnsi="Arial" w:cs="Arial"/>
          <w:sz w:val="18"/>
          <w:szCs w:val="18"/>
          <w:highlight w:val="none"/>
        </w:rPr>
      </w:r>
    </w:p>
    <w:p w14:paraId="7F56B0F6">
      <w:pPr>
        <w:pBdr/>
        <w:spacing/>
        <w:ind/>
        <w:jc w:val="both"/>
        <w:rPr>
          <w:rFonts w:ascii="Arial" w:hAnsi="Arial" w:cs="Arial"/>
          <w:highlight w:val="none"/>
        </w:rPr>
      </w:pPr>
      <w:r>
        <w:rPr>
          <w:rFonts w:ascii="Arial" w:hAnsi="Arial" w:eastAsia="Arial" w:cs="Arial"/>
          <w:b/>
          <w:bCs/>
          <w:highlight w:val="none"/>
          <w:lang w:val="pt-BR"/>
        </w:rPr>
        <w:t xml:space="preserve">10.1. </w:t>
      </w:r>
      <w:r>
        <w:rPr>
          <w:rFonts w:ascii="Arial" w:hAnsi="Arial" w:eastAsia="Arial" w:cs="Arial"/>
          <w:highlight w:val="none"/>
          <w:lang w:val="pt-BR"/>
        </w:rPr>
        <w:t xml:space="preserve">O valor estimado da contratação foi obtido mediante pesquisa de preços realizada em conformidade com a Lei Federal nº 14.133/2021 e com o Dec</w:t>
      </w:r>
      <w:r>
        <w:rPr>
          <w:rFonts w:ascii="Arial" w:hAnsi="Arial" w:eastAsia="Arial" w:cs="Arial"/>
          <w:highlight w:val="none"/>
          <w:lang w:val="pt-BR"/>
        </w:rPr>
        <w:t xml:space="preserve">reto Municipal nº 11.685/2023, utilizando-se como fontes o Banco de Preços e cotações formais obtidas junto a empresas do ramo, com a finalidade de ampliar a base comparativa e assegurar a compatibilidade dos valores estimados com os praticados no mercado.</w:t>
      </w:r>
      <w:r>
        <w:rPr>
          <w:rFonts w:ascii="Arial" w:hAnsi="Arial" w:cs="Arial"/>
          <w:highlight w:val="none"/>
        </w:rPr>
      </w:r>
      <w:r>
        <w:rPr>
          <w:rFonts w:ascii="Arial" w:hAnsi="Arial" w:cs="Arial"/>
          <w:highlight w:val="none"/>
        </w:rPr>
      </w:r>
    </w:p>
    <w:p w14:paraId="56C910B5">
      <w:pPr>
        <w:pBdr/>
        <w:spacing/>
        <w:ind/>
        <w:jc w:val="both"/>
        <w:rPr>
          <w:rFonts w:ascii="Arial" w:hAnsi="Arial" w:cs="Arial"/>
          <w:highlight w:val="none"/>
        </w:rPr>
      </w:pPr>
      <w:r>
        <w:rPr>
          <w:rFonts w:ascii="Arial" w:hAnsi="Arial" w:eastAsia="Arial" w:cs="Arial"/>
          <w:b/>
          <w:bCs/>
          <w:highlight w:val="none"/>
          <w:lang w:val="pt-BR"/>
        </w:rPr>
        <w:t xml:space="preserve">10.1.1. </w:t>
      </w:r>
      <w:r>
        <w:rPr>
          <w:rFonts w:ascii="Arial" w:hAnsi="Arial" w:eastAsia="Arial" w:cs="Arial"/>
          <w:highlight w:val="none"/>
          <w:lang w:val="pt-BR"/>
        </w:rPr>
        <w:t xml:space="preserve">Embora tenha sido utilizada uma única plataforma como</w:t>
      </w:r>
      <w:r>
        <w:rPr>
          <w:rFonts w:ascii="Arial" w:hAnsi="Arial" w:eastAsia="Arial" w:cs="Arial"/>
          <w:highlight w:val="none"/>
          <w:lang w:val="pt-BR"/>
        </w:rPr>
        <w:t xml:space="preserve"> ferramenta de pesquisa, foram coletadas, sempre que disponíveis, múltiplas referências públicas para cada item, não se confundindo a utilização do Banco de Preços com a adoção de um único preço ou de uma única contratação como parâmetro para a estimativa.</w:t>
      </w:r>
      <w:r>
        <w:rPr>
          <w:rFonts w:ascii="Arial" w:hAnsi="Arial" w:cs="Arial"/>
          <w:highlight w:val="none"/>
        </w:rPr>
      </w:r>
      <w:r>
        <w:rPr>
          <w:rFonts w:ascii="Arial" w:hAnsi="Arial" w:cs="Arial"/>
          <w:highlight w:val="none"/>
        </w:rPr>
      </w:r>
    </w:p>
    <w:p w14:paraId="347BA43B">
      <w:pPr>
        <w:pBdr/>
        <w:spacing/>
        <w:ind/>
        <w:jc w:val="both"/>
        <w:rPr>
          <w:rFonts w:ascii="Arial" w:hAnsi="Arial" w:cs="Arial"/>
          <w:highlight w:val="none"/>
        </w:rPr>
      </w:pPr>
      <w:r>
        <w:rPr>
          <w:rFonts w:ascii="Arial" w:hAnsi="Arial" w:eastAsia="Arial" w:cs="Arial"/>
          <w:b/>
          <w:bCs/>
          <w:highlight w:val="none"/>
          <w:lang w:val="pt-BR"/>
        </w:rPr>
        <w:t xml:space="preserve">10.1.2. </w:t>
      </w:r>
      <w:r>
        <w:rPr>
          <w:rFonts w:ascii="Arial" w:hAnsi="Arial" w:eastAsia="Arial" w:cs="Arial"/>
          <w:highlight w:val="none"/>
          <w:lang w:val="pt-BR"/>
        </w:rPr>
        <w:t xml:space="preserve">Para a formação dos valores estimados, foram consideradas referências compatíveis com a descrição, a </w:t>
      </w:r>
      <w:r>
        <w:rPr>
          <w:rFonts w:ascii="Arial" w:hAnsi="Arial" w:eastAsia="Arial" w:cs="Arial"/>
          <w:highlight w:val="none"/>
          <w:lang w:val="pt-BR"/>
        </w:rPr>
        <w:t xml:space="preserve">finalidade, a unidade de fornecimento, a capacidade volumétrica, o material de fabricação, os aditivos, a esterilidade, o sistema de segurança e as demais características relevantes dos tubos e agulhas destinados à coleta de sangue a vácuo.</w:t>
      </w:r>
      <w:r>
        <w:rPr>
          <w:rFonts w:ascii="Arial" w:hAnsi="Arial" w:cs="Arial"/>
          <w:highlight w:val="none"/>
        </w:rPr>
      </w:r>
      <w:r>
        <w:rPr>
          <w:rFonts w:ascii="Arial" w:hAnsi="Arial" w:cs="Arial"/>
          <w:highlight w:val="none"/>
        </w:rPr>
      </w:r>
    </w:p>
    <w:p w14:paraId="57E15A6A">
      <w:pPr>
        <w:pBdr/>
        <w:spacing/>
        <w:ind/>
        <w:jc w:val="both"/>
        <w:rPr>
          <w:rFonts w:ascii="Arial" w:hAnsi="Arial" w:cs="Arial"/>
          <w:highlight w:val="none"/>
        </w:rPr>
      </w:pPr>
      <w:r>
        <w:rPr>
          <w:rFonts w:ascii="Arial" w:hAnsi="Arial" w:eastAsia="Arial" w:cs="Arial"/>
          <w:b/>
          <w:bCs/>
          <w:highlight w:val="none"/>
          <w:lang w:val="pt-BR"/>
        </w:rPr>
        <w:t xml:space="preserve">10.1.3. </w:t>
      </w:r>
      <w:r>
        <w:rPr>
          <w:rFonts w:ascii="Arial" w:hAnsi="Arial" w:eastAsia="Arial" w:cs="Arial"/>
          <w:highlight w:val="none"/>
          <w:lang w:val="pt-BR"/>
        </w:rPr>
        <w:t xml:space="preserve">Os valores pesquisados foram consolidados mediante média aritmética, conforme demonstrado no Mapa Comparativo de Preços, na memória de cálculo e nos demais docum</w:t>
      </w:r>
      <w:r>
        <w:rPr>
          <w:rFonts w:ascii="Arial" w:hAnsi="Arial" w:eastAsia="Arial" w:cs="Arial"/>
          <w:highlight w:val="none"/>
          <w:lang w:val="pt-BR"/>
        </w:rPr>
        <w:t xml:space="preserve">entos integrantes do processo. As referências manifestamente inexequíveis, excessivamente elevadas, desatualizadas, inconsistentes ou incompatíveis com o objeto poderão ser desconsideradas mediante justificativa expressa e devidamente registrada nos autos.</w:t>
      </w:r>
      <w:r>
        <w:rPr>
          <w:rFonts w:ascii="Arial" w:hAnsi="Arial" w:cs="Arial"/>
          <w:highlight w:val="none"/>
        </w:rPr>
      </w:r>
      <w:r>
        <w:rPr>
          <w:rFonts w:ascii="Arial" w:hAnsi="Arial" w:cs="Arial"/>
          <w:highlight w:val="none"/>
        </w:rPr>
      </w:r>
    </w:p>
    <w:p w14:paraId="32CBC9A2">
      <w:pPr>
        <w:pBdr/>
        <w:spacing/>
        <w:ind/>
        <w:jc w:val="both"/>
        <w:rPr>
          <w:rFonts w:ascii="Arial" w:hAnsi="Arial" w:cs="Arial"/>
          <w:highlight w:val="none"/>
        </w:rPr>
      </w:pPr>
      <w:r>
        <w:rPr>
          <w:rFonts w:ascii="Arial" w:hAnsi="Arial" w:eastAsia="Arial" w:cs="Arial"/>
          <w:b/>
          <w:bCs/>
          <w:highlight w:val="none"/>
          <w:lang w:val="pt-BR"/>
        </w:rPr>
        <w:t xml:space="preserve">10.1.4. </w:t>
      </w:r>
      <w:r>
        <w:rPr>
          <w:rFonts w:ascii="Arial" w:hAnsi="Arial" w:eastAsia="Arial" w:cs="Arial"/>
          <w:highlight w:val="none"/>
          <w:lang w:val="pt-BR"/>
        </w:rPr>
        <w:t xml:space="preserve">Os valores estimados e os preços ofertados deverão contemplar todos os custos diretos</w:t>
      </w:r>
      <w:r>
        <w:rPr>
          <w:rFonts w:ascii="Arial" w:hAnsi="Arial" w:eastAsia="Arial" w:cs="Arial"/>
          <w:highlight w:val="none"/>
          <w:lang w:val="pt-BR"/>
        </w:rPr>
        <w:t xml:space="preserve"> e indiretos necessários ao fornecimento integral do objeto, incluindo os materiais, tributos, encargos, transporte, seguros, carga, descarga e demais despesas indispensáveis à execução da contratação, não sendo admitida cobrança adicional à Administração.</w:t>
      </w:r>
      <w:r>
        <w:rPr>
          <w:rFonts w:ascii="Arial" w:hAnsi="Arial" w:cs="Arial"/>
          <w:highlight w:val="none"/>
        </w:rPr>
      </w:r>
      <w:r>
        <w:rPr>
          <w:rFonts w:ascii="Arial" w:hAnsi="Arial" w:cs="Arial"/>
          <w:highlight w:val="none"/>
        </w:rPr>
      </w:r>
    </w:p>
    <w:p w14:paraId="36AB55A7">
      <w:pPr>
        <w:pBdr/>
        <w:spacing/>
        <w:ind/>
        <w:jc w:val="both"/>
        <w:rPr>
          <w:rFonts w:ascii="Arial" w:hAnsi="Arial" w:cs="Arial"/>
          <w:highlight w:val="none"/>
        </w:rPr>
      </w:pPr>
      <w:r>
        <w:rPr>
          <w:rFonts w:ascii="Arial" w:hAnsi="Arial" w:eastAsia="Arial" w:cs="Arial"/>
          <w:b/>
          <w:bCs/>
          <w:highlight w:val="none"/>
          <w:lang w:val="pt-BR"/>
        </w:rPr>
        <w:t xml:space="preserve">10.2. </w:t>
      </w:r>
      <w:r>
        <w:rPr>
          <w:rFonts w:ascii="Arial" w:hAnsi="Arial" w:eastAsia="Arial" w:cs="Arial"/>
          <w:highlight w:val="none"/>
          <w:lang w:val="pt-BR"/>
        </w:rPr>
        <w:t xml:space="preserve">O custo estimado da contratação para a futura e eventual aquisição dos tubos e agulhas destinados à coleta de sangue a vácuo é de </w:t>
      </w:r>
      <w:r>
        <w:rPr>
          <w:rFonts w:ascii="Arial" w:hAnsi="Arial" w:eastAsia="Arial" w:cs="Arial"/>
          <w:b/>
          <w:bCs/>
          <w:highlight w:val="none"/>
          <w:lang w:val="pt-BR"/>
        </w:rPr>
        <w:t xml:space="preserve">R$ 1.405.533,00 (UM MILHÃO, QUATROCENTOS E CINCO MIL, QUINHENTOS E TRINTA E TRÊS REAIS)</w:t>
      </w:r>
      <w:r>
        <w:rPr>
          <w:rFonts w:ascii="Arial" w:hAnsi="Arial" w:eastAsia="Arial" w:cs="Arial"/>
          <w:highlight w:val="none"/>
          <w:lang w:val="pt-BR"/>
        </w:rPr>
        <w:t xml:space="preserve">, conforme os quantitativos e valores estimados constantes da tabela disposta no item 1 deste Termo de Referência.</w:t>
      </w:r>
      <w:r>
        <w:rPr>
          <w:rFonts w:ascii="Arial" w:hAnsi="Arial" w:cs="Arial"/>
          <w:highlight w:val="none"/>
        </w:rPr>
      </w:r>
      <w:r>
        <w:rPr>
          <w:rFonts w:ascii="Arial" w:hAnsi="Arial" w:cs="Arial"/>
          <w:highlight w:val="none"/>
        </w:rPr>
      </w:r>
    </w:p>
    <w:p w14:paraId="279BE19F">
      <w:pPr>
        <w:pBdr/>
        <w:spacing/>
        <w:ind/>
        <w:jc w:val="both"/>
        <w:rPr>
          <w:rFonts w:ascii="Arial" w:hAnsi="Arial" w:cs="Arial"/>
          <w:highlight w:val="none"/>
        </w:rPr>
      </w:pPr>
      <w:r>
        <w:rPr>
          <w:rFonts w:ascii="Arial" w:hAnsi="Arial" w:eastAsia="Arial" w:cs="Arial"/>
          <w:b/>
          <w:bCs/>
          <w:highlight w:val="none"/>
          <w:lang w:val="pt-BR"/>
        </w:rPr>
        <w:t xml:space="preserve">10.3.</w:t>
      </w:r>
      <w:r>
        <w:rPr>
          <w:rFonts w:ascii="Arial" w:hAnsi="Arial" w:eastAsia="Arial" w:cs="Arial"/>
          <w:highlight w:val="none"/>
          <w:lang w:val="pt-BR"/>
        </w:rPr>
        <w:t xml:space="preserve"> O valor estimado indicado no item 10.2 corresponde ao valor global estimado da contratação e abrange exclusivamente os itens que compõem o LOTE ÚNICO, destinado à aquisição de tubos e agulhas para coleta de sangue a vácuo.</w:t>
      </w:r>
      <w:r>
        <w:rPr>
          <w:rFonts w:ascii="Arial" w:hAnsi="Arial" w:cs="Arial"/>
          <w:highlight w:val="none"/>
        </w:rPr>
      </w:r>
      <w:r>
        <w:rPr>
          <w:rFonts w:ascii="Arial" w:hAnsi="Arial" w:cs="Arial"/>
          <w:highlight w:val="none"/>
        </w:rPr>
      </w:r>
    </w:p>
    <w:p w14:paraId="3DFBDC90">
      <w:pPr>
        <w:pBdr/>
        <w:spacing/>
        <w:ind/>
        <w:jc w:val="both"/>
        <w:rPr>
          <w:rFonts w:ascii="Arial" w:hAnsi="Arial" w:cs="Arial"/>
          <w:highlight w:val="none"/>
        </w:rPr>
      </w:pPr>
      <w:r>
        <w:rPr>
          <w:rFonts w:ascii="Arial" w:hAnsi="Arial" w:eastAsia="Arial" w:cs="Arial"/>
          <w:b/>
          <w:bCs/>
          <w:highlight w:val="none"/>
          <w:lang w:val="pt-BR"/>
        </w:rPr>
        <w:t xml:space="preserve">10.4.</w:t>
      </w:r>
      <w:r>
        <w:rPr>
          <w:rFonts w:ascii="Arial" w:hAnsi="Arial" w:eastAsia="Arial" w:cs="Arial"/>
          <w:highlight w:val="none"/>
          <w:lang w:val="pt-BR"/>
        </w:rPr>
        <w:t xml:space="preserve"> Os valores </w:t>
      </w:r>
      <w:r>
        <w:rPr>
          <w:rFonts w:ascii="Arial" w:hAnsi="Arial" w:eastAsia="Arial" w:cs="Arial"/>
          <w:highlight w:val="none"/>
          <w:lang w:val="pt-BR"/>
        </w:rPr>
        <w:t xml:space="preserve">estimados possuem caráter referencial e serão utilizados como parâmetro para a análise da compatibilidade e da aceitabilidade das propostas apresentadas no procedimento licitatório, observadas as condições estabelecidas no Edital e na legislação aplicável.</w:t>
      </w:r>
      <w:r>
        <w:rPr>
          <w:rFonts w:ascii="Arial" w:hAnsi="Arial" w:cs="Arial"/>
          <w:highlight w:val="none"/>
        </w:rPr>
      </w:r>
      <w:r>
        <w:rPr>
          <w:rFonts w:ascii="Arial" w:hAnsi="Arial" w:cs="Arial"/>
          <w:highlight w:val="none"/>
        </w:rPr>
      </w:r>
    </w:p>
    <w:p w14:paraId="71F343D7">
      <w:pPr>
        <w:pBdr/>
        <w:spacing/>
        <w:ind/>
        <w:jc w:val="both"/>
        <w:rPr>
          <w:rFonts w:ascii="Arial" w:hAnsi="Arial" w:cs="Arial"/>
          <w:highlight w:val="none"/>
        </w:rPr>
      </w:pPr>
      <w:r>
        <w:rPr>
          <w:rFonts w:ascii="Arial" w:hAnsi="Arial" w:eastAsia="Arial" w:cs="Arial"/>
          <w:b/>
          <w:bCs/>
          <w:highlight w:val="none"/>
          <w:lang w:val="pt-BR"/>
        </w:rPr>
        <w:t xml:space="preserve">10.5.</w:t>
      </w:r>
      <w:r>
        <w:rPr>
          <w:rFonts w:ascii="Arial" w:hAnsi="Arial" w:eastAsia="Arial" w:cs="Arial"/>
          <w:highlight w:val="none"/>
          <w:lang w:val="pt-BR"/>
        </w:rPr>
        <w:t xml:space="preserve"> A existência de preços registrados não obriga a Administração a </w:t>
      </w:r>
      <w:r>
        <w:rPr>
          <w:rFonts w:ascii="Arial" w:hAnsi="Arial" w:eastAsia="Arial" w:cs="Arial"/>
          <w:highlight w:val="none"/>
          <w:lang w:val="pt-BR"/>
        </w:rPr>
        <w:t xml:space="preserve">adquirir integralmente os quantitativos estimados, uma vez que as aquisições ocorrerão de forma futura, eventual e parcelada, conforme as necessidades efetivamente verificadas pela Secretaria Municipal de Saúde e a disponibilidade orçamentária e financeira</w:t>
      </w:r>
      <w:r>
        <w:rPr>
          <w:rFonts w:ascii="Arial" w:hAnsi="Arial" w:cs="Arial"/>
          <w:highlight w:val="none"/>
        </w:rPr>
      </w:r>
      <w:r>
        <w:rPr>
          <w:rFonts w:ascii="Arial" w:hAnsi="Arial" w:cs="Arial"/>
          <w:highlight w:val="none"/>
        </w:rPr>
      </w:r>
    </w:p>
    <w:p w14:paraId="26C268D5">
      <w:pPr>
        <w:pBdr/>
        <w:spacing/>
        <w:ind/>
        <w:jc w:val="both"/>
        <w:rPr>
          <w:rFonts w:ascii="Arial" w:hAnsi="Arial" w:cs="Arial"/>
          <w:sz w:val="18"/>
          <w:szCs w:val="18"/>
          <w:highlight w:val="none"/>
        </w:rPr>
      </w:pPr>
      <w:r>
        <w:rPr>
          <w:rFonts w:ascii="Arial" w:hAnsi="Arial" w:eastAsia="Arial" w:cs="Arial"/>
          <w:sz w:val="18"/>
          <w:szCs w:val="18"/>
          <w:highlight w:val="none"/>
          <w:lang w:val="pt-BR"/>
        </w:rPr>
      </w:r>
      <w:r>
        <w:rPr>
          <w:rFonts w:ascii="Arial" w:hAnsi="Arial" w:cs="Arial"/>
          <w:sz w:val="18"/>
          <w:szCs w:val="18"/>
          <w:highlight w:val="none"/>
        </w:rPr>
      </w:r>
      <w:r>
        <w:rPr>
          <w:rFonts w:ascii="Arial" w:hAnsi="Arial" w:cs="Arial"/>
          <w:sz w:val="18"/>
          <w:szCs w:val="18"/>
          <w:highlight w:val="none"/>
        </w:rPr>
      </w:r>
    </w:p>
    <w:tbl>
      <w:tblPr>
        <w:tblInd w:w="60" w:type="dxa"/>
        <w:tblW w:w="10499" w:type="dxa"/>
        <w:tblCellMar>
          <w:left w:w="70" w:type="dxa"/>
          <w:right w:w="70" w:type="dxa"/>
        </w:tblCellMar>
        <w:tblBorders/>
        <w:tblLayout w:type="fixed"/>
        <w:tblLook w:val="04A0" w:firstRow="1" w:lastRow="0" w:firstColumn="1" w:lastColumn="0" w:noHBand="0" w:noVBand="1"/>
      </w:tblPr>
      <w:tblGrid>
        <w:gridCol w:w="474"/>
        <w:gridCol w:w="663"/>
        <w:gridCol w:w="641"/>
        <w:gridCol w:w="1843"/>
        <w:gridCol w:w="741"/>
        <w:gridCol w:w="550"/>
        <w:gridCol w:w="762"/>
        <w:gridCol w:w="788"/>
        <w:gridCol w:w="775"/>
        <w:gridCol w:w="787"/>
        <w:gridCol w:w="850"/>
        <w:gridCol w:w="850"/>
        <w:gridCol w:w="775"/>
      </w:tblGrid>
      <w:tr>
        <w:trPr>
          <w:trHeight w:val="342"/>
          <w:tblHeader/>
        </w:trPr>
        <w:tc>
          <w:tcPr>
            <w:gridSpan w:val="13"/>
            <w:shd w:val="clear" w:color="ffffff" w:fill="d9d9d9"/>
            <w:tcBorders>
              <w:top w:val="single" w:color="000000" w:sz="4" w:space="0"/>
              <w:left w:val="single" w:color="000000" w:sz="4" w:space="0"/>
              <w:bottom w:val="single" w:color="000000" w:sz="4" w:space="0"/>
              <w:right w:val="single" w:color="000000" w:sz="4" w:space="0"/>
            </w:tcBorders>
            <w:tcW w:w="10499" w:type="dxa"/>
            <w:vAlign w:val="center"/>
            <w:textDirection w:val="lrTb"/>
            <w:noWrap w:val="false"/>
          </w:tcPr>
          <w:p w14:paraId="1A3088DB">
            <w:pPr>
              <w:pBdr/>
              <w:spacing/>
              <w:ind/>
              <w:jc w:val="center"/>
              <w:rPr>
                <w:rFonts w:ascii="Arial" w:hAnsi="Arial" w:cs="Arial"/>
                <w:b/>
                <w:sz w:val="12"/>
                <w:szCs w:val="12"/>
                <w:highlight w:val="none"/>
              </w:rPr>
            </w:pPr>
            <w:r>
              <w:rPr>
                <w:rFonts w:ascii="Arial" w:hAnsi="Arial" w:eastAsia="Arial" w:cs="Arial"/>
                <w:b/>
                <w:sz w:val="12"/>
                <w:szCs w:val="12"/>
                <w:highlight w:val="none"/>
              </w:rPr>
              <w:t xml:space="preserve">LOTE UNICO </w:t>
            </w:r>
            <w:r>
              <w:rPr>
                <w:rFonts w:ascii="Arial" w:hAnsi="Arial" w:cs="Arial"/>
                <w:b/>
                <w:sz w:val="12"/>
                <w:szCs w:val="12"/>
                <w:highlight w:val="none"/>
              </w:rPr>
            </w:r>
            <w:r>
              <w:rPr>
                <w:rFonts w:ascii="Arial" w:hAnsi="Arial" w:cs="Arial"/>
                <w:b/>
                <w:sz w:val="12"/>
                <w:szCs w:val="12"/>
                <w:highlight w:val="none"/>
              </w:rPr>
            </w:r>
          </w:p>
        </w:tc>
      </w:tr>
      <w:tr>
        <w:trPr>
          <w:trHeight w:val="342"/>
          <w:tblHeader/>
        </w:trPr>
        <w:tc>
          <w:tcPr>
            <w:shd w:val="clear" w:color="ffffff" w:fill="d9d9d9"/>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14:paraId="152DF665">
            <w:pPr>
              <w:pBdr/>
              <w:spacing/>
              <w:ind/>
              <w:jc w:val="center"/>
              <w:rPr>
                <w:rFonts w:ascii="Arial" w:hAnsi="Arial" w:cs="Arial"/>
                <w:b/>
                <w:sz w:val="12"/>
                <w:szCs w:val="12"/>
                <w:highlight w:val="none"/>
              </w:rPr>
            </w:pPr>
            <w:r>
              <w:rPr>
                <w:rFonts w:ascii="Arial" w:hAnsi="Arial" w:eastAsia="Arial" w:cs="Arial"/>
                <w:b/>
                <w:sz w:val="12"/>
                <w:szCs w:val="12"/>
                <w:highlight w:val="none"/>
              </w:rPr>
              <w:t xml:space="preserve">ITEM</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14:paraId="0BB496C5">
            <w:pPr>
              <w:pBdr/>
              <w:spacing/>
              <w:ind/>
              <w:jc w:val="center"/>
              <w:rPr>
                <w:rFonts w:ascii="Arial" w:hAnsi="Arial" w:cs="Arial"/>
                <w:b/>
                <w:sz w:val="12"/>
                <w:szCs w:val="12"/>
                <w:highlight w:val="none"/>
              </w:rPr>
            </w:pPr>
            <w:r>
              <w:rPr>
                <w:rFonts w:ascii="Arial" w:hAnsi="Arial" w:eastAsia="Arial" w:cs="Arial"/>
                <w:b/>
                <w:sz w:val="12"/>
                <w:szCs w:val="12"/>
                <w:highlight w:val="none"/>
              </w:rPr>
              <w:t xml:space="preserve">CÓDIGO AGILI</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tcBorders>
            <w:tcW w:w="641" w:type="dxa"/>
            <w:vAlign w:val="center"/>
            <w:textDirection w:val="lrTb"/>
            <w:noWrap w:val="false"/>
          </w:tcPr>
          <w:p w14:paraId="6474A0D9">
            <w:pPr>
              <w:pBdr/>
              <w:spacing/>
              <w:ind/>
              <w:jc w:val="center"/>
              <w:rPr>
                <w:rFonts w:ascii="Arial" w:hAnsi="Arial" w:cs="Arial"/>
                <w:b/>
                <w:sz w:val="12"/>
                <w:szCs w:val="12"/>
                <w:highlight w:val="none"/>
              </w:rPr>
            </w:pPr>
            <w:r>
              <w:rPr>
                <w:rFonts w:ascii="Arial" w:hAnsi="Arial" w:eastAsia="Arial" w:cs="Arial"/>
                <w:b/>
                <w:sz w:val="12"/>
                <w:szCs w:val="12"/>
                <w:highlight w:val="none"/>
              </w:rPr>
              <w:t xml:space="preserve">CÓDIGO TCE</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tcBorders>
            <w:tcW w:w="1843" w:type="dxa"/>
            <w:vAlign w:val="center"/>
            <w:textDirection w:val="lrTb"/>
            <w:noWrap w:val="false"/>
          </w:tcPr>
          <w:p w14:paraId="36883326">
            <w:pPr>
              <w:pBdr/>
              <w:spacing/>
              <w:ind w:left="220"/>
              <w:jc w:val="center"/>
              <w:rPr>
                <w:rFonts w:ascii="Arial" w:hAnsi="Arial" w:cs="Arial"/>
                <w:b/>
                <w:sz w:val="12"/>
                <w:szCs w:val="12"/>
                <w:highlight w:val="none"/>
              </w:rPr>
            </w:pPr>
            <w:r>
              <w:rPr>
                <w:rFonts w:ascii="Arial" w:hAnsi="Arial" w:eastAsia="Arial" w:cs="Arial"/>
                <w:b/>
                <w:sz w:val="12"/>
                <w:szCs w:val="12"/>
                <w:highlight w:val="none"/>
              </w:rPr>
              <w:t xml:space="preserve">DESCRIÇÃO</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14:paraId="03BFDCBC">
            <w:pPr>
              <w:pBdr/>
              <w:spacing/>
              <w:ind/>
              <w:jc w:val="center"/>
              <w:rPr>
                <w:rFonts w:ascii="Arial" w:hAnsi="Arial" w:cs="Arial"/>
                <w:b/>
                <w:bCs/>
                <w:sz w:val="12"/>
                <w:szCs w:val="12"/>
                <w:highlight w:val="none"/>
              </w:rPr>
            </w:pPr>
            <w:r>
              <w:rPr>
                <w:rFonts w:ascii="Arial" w:hAnsi="Arial" w:eastAsia="Arial" w:cs="Arial"/>
                <w:b/>
                <w:bCs/>
                <w:sz w:val="12"/>
                <w:szCs w:val="12"/>
                <w:highlight w:val="none"/>
              </w:rPr>
              <w:t xml:space="preserve">UNI. MEDIDA</w:t>
            </w:r>
            <w:r>
              <w:rPr>
                <w:rFonts w:ascii="Arial" w:hAnsi="Arial" w:cs="Arial"/>
                <w:b/>
                <w:bCs/>
                <w:sz w:val="12"/>
                <w:szCs w:val="12"/>
                <w:highlight w:val="none"/>
              </w:rPr>
            </w:r>
            <w:r>
              <w:rPr>
                <w:rFonts w:ascii="Arial" w:hAnsi="Arial" w:cs="Arial"/>
                <w:b/>
                <w:bCs/>
                <w:sz w:val="12"/>
                <w:szCs w:val="12"/>
                <w:highlight w:val="none"/>
              </w:rPr>
            </w:r>
          </w:p>
        </w:tc>
        <w:tc>
          <w:tcPr>
            <w:shd w:val="clear" w:color="ffffff" w:fill="d9d9d9"/>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14:paraId="2E568381">
            <w:pPr>
              <w:pBdr/>
              <w:spacing/>
              <w:ind/>
              <w:jc w:val="center"/>
              <w:rPr>
                <w:rFonts w:ascii="Arial" w:hAnsi="Arial" w:cs="Arial"/>
                <w:b/>
                <w:sz w:val="12"/>
                <w:szCs w:val="12"/>
                <w:highlight w:val="none"/>
              </w:rPr>
            </w:pPr>
            <w:r>
              <w:rPr>
                <w:rFonts w:ascii="Arial" w:hAnsi="Arial" w:eastAsia="Arial" w:cs="Arial"/>
                <w:b/>
                <w:sz w:val="12"/>
                <w:szCs w:val="12"/>
                <w:highlight w:val="none"/>
              </w:rPr>
              <w:t xml:space="preserve">QTD</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14:paraId="44C6F669">
            <w:pPr>
              <w:pBdr/>
              <w:tabs>
                <w:tab w:val="left" w:leader="none" w:pos="1035"/>
              </w:tabs>
              <w:spacing/>
              <w:ind/>
              <w:jc w:val="center"/>
              <w:rPr>
                <w:rFonts w:ascii="Arial" w:hAnsi="Arial" w:cs="Arial"/>
                <w:b/>
                <w:color w:val="000000"/>
                <w:sz w:val="12"/>
                <w:szCs w:val="12"/>
                <w:highlight w:val="none"/>
              </w:rPr>
            </w:pPr>
            <w:r>
              <w:rPr>
                <w:rFonts w:ascii="Arial" w:hAnsi="Arial" w:eastAsia="Arial" w:cs="Arial"/>
                <w:b/>
                <w:color w:val="000000"/>
                <w:sz w:val="12"/>
                <w:szCs w:val="12"/>
                <w:highlight w:val="none"/>
              </w:rPr>
              <w:t xml:space="preserve">COTAÇÃO 01</w:t>
            </w:r>
            <w:r>
              <w:rPr>
                <w:rFonts w:ascii="Arial" w:hAnsi="Arial" w:cs="Arial"/>
                <w:b/>
                <w:color w:val="000000"/>
                <w:sz w:val="12"/>
                <w:szCs w:val="12"/>
                <w:highlight w:val="none"/>
              </w:rPr>
            </w:r>
            <w:r>
              <w:rPr>
                <w:rFonts w:ascii="Arial" w:hAnsi="Arial" w:cs="Arial"/>
                <w:b/>
                <w:color w:val="000000"/>
                <w:sz w:val="12"/>
                <w:szCs w:val="12"/>
                <w:highlight w:val="none"/>
              </w:rPr>
            </w:r>
          </w:p>
        </w:tc>
        <w:tc>
          <w:tcPr>
            <w:shd w:val="clear" w:color="ffffff" w:fill="d9d9d9"/>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14:paraId="0FFA76A6">
            <w:pPr>
              <w:pBdr/>
              <w:spacing/>
              <w:ind/>
              <w:jc w:val="center"/>
              <w:rPr>
                <w:rFonts w:ascii="Arial" w:hAnsi="Arial" w:cs="Arial"/>
                <w:b/>
                <w:sz w:val="12"/>
                <w:szCs w:val="12"/>
                <w:highlight w:val="none"/>
              </w:rPr>
            </w:pPr>
            <w:r>
              <w:rPr>
                <w:rFonts w:ascii="Arial" w:hAnsi="Arial" w:eastAsia="Arial" w:cs="Arial"/>
                <w:b/>
                <w:sz w:val="12"/>
                <w:szCs w:val="12"/>
                <w:highlight w:val="none"/>
              </w:rPr>
              <w:t xml:space="preserve">COTAÇÃO 02</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0A8A837D">
            <w:pPr>
              <w:pBdr/>
              <w:spacing/>
              <w:ind/>
              <w:jc w:val="center"/>
              <w:rPr>
                <w:rFonts w:ascii="Arial" w:hAnsi="Arial" w:cs="Arial"/>
                <w:b/>
                <w:sz w:val="12"/>
                <w:szCs w:val="12"/>
                <w:highlight w:val="none"/>
              </w:rPr>
            </w:pPr>
            <w:r>
              <w:rPr>
                <w:rFonts w:ascii="Arial" w:hAnsi="Arial" w:eastAsia="Arial" w:cs="Arial"/>
                <w:b/>
                <w:sz w:val="12"/>
                <w:szCs w:val="12"/>
                <w:highlight w:val="none"/>
              </w:rPr>
              <w:t xml:space="preserve">COTAÇÃO 03</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tcBorders>
            <w:tcW w:w="787" w:type="dxa"/>
            <w:vAlign w:val="center"/>
            <w:textDirection w:val="lrTb"/>
            <w:noWrap w:val="false"/>
          </w:tcPr>
          <w:p w14:paraId="52BE73F3">
            <w:pPr>
              <w:pBdr/>
              <w:spacing/>
              <w:ind/>
              <w:jc w:val="center"/>
              <w:rPr>
                <w:rFonts w:ascii="Arial" w:hAnsi="Arial" w:cs="Arial"/>
                <w:b/>
                <w:sz w:val="12"/>
                <w:szCs w:val="12"/>
                <w:highlight w:val="none"/>
              </w:rPr>
            </w:pPr>
            <w:r>
              <w:rPr>
                <w:rFonts w:ascii="Arial" w:hAnsi="Arial" w:eastAsia="Arial" w:cs="Arial"/>
                <w:b/>
                <w:sz w:val="12"/>
                <w:szCs w:val="12"/>
                <w:highlight w:val="none"/>
                <w:lang w:val="pt-BR"/>
              </w:rPr>
              <w:t xml:space="preserve">COTAÇÃO</w:t>
            </w:r>
            <w:r>
              <w:rPr>
                <w:rFonts w:ascii="Arial" w:hAnsi="Arial" w:cs="Arial"/>
                <w:b/>
                <w:sz w:val="12"/>
                <w:szCs w:val="12"/>
                <w:highlight w:val="none"/>
              </w:rPr>
            </w:r>
            <w:r>
              <w:rPr>
                <w:rFonts w:ascii="Arial" w:hAnsi="Arial" w:cs="Arial"/>
                <w:b/>
                <w:sz w:val="12"/>
                <w:szCs w:val="12"/>
                <w:highlight w:val="none"/>
              </w:rPr>
            </w:r>
          </w:p>
          <w:p w14:paraId="697CE634">
            <w:pPr>
              <w:pBdr/>
              <w:spacing/>
              <w:ind/>
              <w:jc w:val="center"/>
              <w:rPr>
                <w:rFonts w:ascii="Arial" w:hAnsi="Arial" w:cs="Arial"/>
                <w:b/>
                <w:sz w:val="12"/>
                <w:szCs w:val="12"/>
                <w:highlight w:val="none"/>
              </w:rPr>
            </w:pPr>
            <w:r>
              <w:rPr>
                <w:rFonts w:ascii="Arial" w:hAnsi="Arial" w:eastAsia="Arial" w:cs="Arial"/>
                <w:b/>
                <w:sz w:val="12"/>
                <w:szCs w:val="12"/>
                <w:highlight w:val="none"/>
                <w:lang w:val="pt-BR"/>
              </w:rPr>
              <w:t xml:space="preserve">04</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tcBorders>
            <w:tcW w:w="850" w:type="dxa"/>
            <w:vAlign w:val="center"/>
            <w:textDirection w:val="lrTb"/>
            <w:noWrap w:val="false"/>
          </w:tcPr>
          <w:p w14:paraId="4E58C6B1">
            <w:pPr>
              <w:pBdr/>
              <w:spacing/>
              <w:ind/>
              <w:jc w:val="center"/>
              <w:rPr>
                <w:rFonts w:ascii="Arial" w:hAnsi="Arial" w:cs="Arial"/>
                <w:b/>
                <w:sz w:val="12"/>
                <w:szCs w:val="12"/>
                <w:highlight w:val="none"/>
              </w:rPr>
            </w:pPr>
            <w:r>
              <w:rPr>
                <w:rFonts w:ascii="Arial" w:hAnsi="Arial" w:eastAsia="Arial" w:cs="Arial"/>
                <w:b/>
                <w:sz w:val="12"/>
                <w:szCs w:val="12"/>
                <w:highlight w:val="none"/>
                <w:lang w:val="pt-BR"/>
              </w:rPr>
              <w:t xml:space="preserve">COTAÇÃO </w:t>
            </w:r>
            <w:r>
              <w:rPr>
                <w:rFonts w:ascii="Arial" w:hAnsi="Arial" w:cs="Arial"/>
                <w:b/>
                <w:sz w:val="12"/>
                <w:szCs w:val="12"/>
                <w:highlight w:val="none"/>
              </w:rPr>
            </w:r>
            <w:r>
              <w:rPr>
                <w:rFonts w:ascii="Arial" w:hAnsi="Arial" w:cs="Arial"/>
                <w:b/>
                <w:sz w:val="12"/>
                <w:szCs w:val="12"/>
                <w:highlight w:val="none"/>
              </w:rPr>
            </w:r>
          </w:p>
          <w:p w14:paraId="527440C7">
            <w:pPr>
              <w:pBdr/>
              <w:spacing/>
              <w:ind/>
              <w:jc w:val="center"/>
              <w:rPr>
                <w:rFonts w:ascii="Arial" w:hAnsi="Arial" w:cs="Arial"/>
                <w:b/>
                <w:sz w:val="12"/>
                <w:szCs w:val="12"/>
                <w:highlight w:val="none"/>
              </w:rPr>
            </w:pPr>
            <w:r>
              <w:rPr>
                <w:rFonts w:ascii="Arial" w:hAnsi="Arial" w:eastAsia="Arial" w:cs="Arial"/>
                <w:b/>
                <w:sz w:val="12"/>
                <w:szCs w:val="12"/>
                <w:highlight w:val="none"/>
                <w:lang w:val="pt-BR"/>
              </w:rPr>
              <w:t xml:space="preserve">05</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tcBorders>
            <w:tcW w:w="850" w:type="dxa"/>
            <w:vAlign w:val="center"/>
            <w:textDirection w:val="lrTb"/>
            <w:noWrap w:val="false"/>
          </w:tcPr>
          <w:p w14:paraId="6052D86F">
            <w:pPr>
              <w:pBdr/>
              <w:spacing/>
              <w:ind/>
              <w:jc w:val="center"/>
              <w:rPr>
                <w:rFonts w:ascii="Arial" w:hAnsi="Arial" w:cs="Arial"/>
                <w:b/>
                <w:sz w:val="12"/>
                <w:szCs w:val="12"/>
                <w:highlight w:val="none"/>
              </w:rPr>
            </w:pPr>
            <w:r>
              <w:rPr>
                <w:rFonts w:ascii="Arial" w:hAnsi="Arial" w:eastAsia="Arial" w:cs="Arial"/>
                <w:b/>
                <w:sz w:val="12"/>
                <w:szCs w:val="12"/>
                <w:highlight w:val="none"/>
              </w:rPr>
              <w:t xml:space="preserve">MÉDIA</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115E4F06">
            <w:pPr>
              <w:pBdr/>
              <w:spacing/>
              <w:ind/>
              <w:jc w:val="center"/>
              <w:rPr>
                <w:rFonts w:ascii="Arial" w:hAnsi="Arial" w:cs="Arial"/>
                <w:b/>
                <w:sz w:val="12"/>
                <w:szCs w:val="12"/>
                <w:highlight w:val="none"/>
              </w:rPr>
            </w:pPr>
            <w:r>
              <w:rPr>
                <w:rFonts w:ascii="Arial" w:hAnsi="Arial" w:eastAsia="Arial" w:cs="Arial"/>
                <w:b/>
                <w:sz w:val="12"/>
                <w:szCs w:val="12"/>
                <w:highlight w:val="none"/>
              </w:rPr>
              <w:t xml:space="preserve">VALOR TOTAL</w:t>
            </w:r>
            <w:r>
              <w:rPr>
                <w:rFonts w:ascii="Arial" w:hAnsi="Arial" w:cs="Arial"/>
                <w:b/>
                <w:sz w:val="12"/>
                <w:szCs w:val="12"/>
                <w:highlight w:val="none"/>
              </w:rPr>
            </w:r>
            <w:r>
              <w:rPr>
                <w:rFonts w:ascii="Arial" w:hAnsi="Arial" w:cs="Arial"/>
                <w:b/>
                <w:sz w:val="12"/>
                <w:szCs w:val="12"/>
                <w:highlight w:val="none"/>
              </w:rPr>
            </w:r>
          </w:p>
        </w:tc>
      </w:tr>
      <w:tr>
        <w:trPr>
          <w:trHeight w:val="146"/>
        </w:trPr>
        <w:tc>
          <w:tcPr>
            <w:shd w:val="clear" w:color="ffffff" w:fill="ffffff"/>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14:paraId="402430BB">
            <w:pPr>
              <w:pBdr/>
              <w:tabs>
                <w:tab w:val="left" w:leader="none" w:pos="312"/>
              </w:tabs>
              <w:spacing/>
              <w:ind w:left="114"/>
              <w:jc w:val="center"/>
              <w:rPr>
                <w:rFonts w:ascii="Arial" w:hAnsi="Arial" w:cs="Arial"/>
                <w:sz w:val="12"/>
                <w:szCs w:val="12"/>
                <w:highlight w:val="none"/>
              </w:rPr>
            </w:pPr>
            <w:r>
              <w:rPr>
                <w:rFonts w:ascii="Arial" w:hAnsi="Arial" w:eastAsia="Arial" w:cs="Arial"/>
                <w:color w:val="000000"/>
                <w:sz w:val="12"/>
                <w:szCs w:val="12"/>
                <w:highlight w:val="none"/>
              </w:rPr>
              <w:t xml:space="preserve">1</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14:paraId="61CAA672">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130286</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641" w:type="dxa"/>
            <w:vAlign w:val="center"/>
            <w:textDirection w:val="lrTb"/>
            <w:noWrap w:val="false"/>
          </w:tcPr>
          <w:p w14:paraId="31368120">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433416-7</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1843" w:type="dxa"/>
            <w:vAlign w:val="center"/>
            <w:textDirection w:val="lrTb"/>
            <w:noWrap w:val="false"/>
          </w:tcPr>
          <w:p w14:paraId="07CF69ED">
            <w:pPr>
              <w:pBdr/>
              <w:spacing/>
              <w:ind/>
              <w:jc w:val="both"/>
              <w:rPr>
                <w:rFonts w:ascii="Arial" w:hAnsi="Arial" w:cs="Arial"/>
                <w:color w:val="000000"/>
                <w:sz w:val="12"/>
                <w:szCs w:val="12"/>
                <w:highlight w:val="none"/>
              </w:rPr>
            </w:pPr>
            <w:r>
              <w:rPr>
                <w:rFonts w:ascii="Arial" w:hAnsi="Arial" w:eastAsia="Arial" w:cs="Arial"/>
                <w:color w:val="000000"/>
                <w:sz w:val="12"/>
                <w:szCs w:val="12"/>
                <w:highlight w:val="none"/>
              </w:rPr>
              <w:t xml:space="preserve">AGULHA PARA COLETA DE SANGUE Á VÁCUO - 21G. MEDIDAS APROXIMADAS 25 A 32 X 0,8 MM. PARA COLETA MÚLTIPLA, A VÁCUO COM VISEL TRIFACETADO. SILICONZADO. ESTÉRIL. DESCARTÁVEL.  A AGULHA DEVER</w:t>
            </w:r>
            <w:r>
              <w:rPr>
                <w:rFonts w:ascii="Arial" w:hAnsi="Arial" w:eastAsia="Arial" w:cs="Arial"/>
                <w:color w:val="000000"/>
                <w:sz w:val="12"/>
                <w:szCs w:val="12"/>
                <w:highlight w:val="none"/>
              </w:rPr>
              <w:t xml:space="preserve">Á POSSUIR DISPOSITIVO DE SEGURANÇA INTEGRADO NA PRÓPRIA AGULHA OU NO ADAPTADOR, QUE APÓS ACIONADO RECOBRIRÁ COMPLETAMENTE A AGULHA, GARANTINDO TOTAL BIOSSEGURANÇA. PARA CADA AGULHA SERÁ FORNECIDO UM ADAPTADOR. ATENDER A NR:32. CONFORME TERMO DE REFERÊNCIA.</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14:paraId="5CFEF617">
            <w:pPr>
              <w:pBdr/>
              <w:tabs>
                <w:tab w:val="left" w:leader="none" w:pos="-142"/>
              </w:tabs>
              <w:spacing/>
              <w:ind/>
              <w:jc w:val="center"/>
              <w:rPr>
                <w:rFonts w:ascii="Arial" w:hAnsi="Arial" w:cs="Arial"/>
                <w:sz w:val="12"/>
                <w:szCs w:val="12"/>
                <w:highlight w:val="none"/>
              </w:rPr>
            </w:pPr>
            <w:r>
              <w:rPr>
                <w:rFonts w:ascii="Arial" w:hAnsi="Arial" w:eastAsia="Arial" w:cs="Arial"/>
                <w:sz w:val="12"/>
                <w:szCs w:val="12"/>
                <w:highlight w:val="none"/>
                <w:lang w:val="pt-BR"/>
              </w:rPr>
              <w:t xml:space="preserve">UNIDADE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14:paraId="323B572C">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250.000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14:paraId="1E4910CB">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R$ 1,281</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14:paraId="446410F0">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R$ 1,43</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240868FB">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1,58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787" w:type="dxa"/>
            <w:vAlign w:val="center"/>
            <w:textDirection w:val="lrTb"/>
            <w:noWrap w:val="false"/>
          </w:tcPr>
          <w:p w14:paraId="3BE93748">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1,31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7764454B">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 R$          1,28 </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18139AC1">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R$ 1,3762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73C26240">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R$ 344.050,00</w:t>
            </w:r>
            <w:r>
              <w:rPr>
                <w:rFonts w:ascii="Arial" w:hAnsi="Arial" w:cs="Arial"/>
                <w:sz w:val="12"/>
                <w:szCs w:val="12"/>
                <w:highlight w:val="none"/>
              </w:rPr>
            </w:r>
            <w:r>
              <w:rPr>
                <w:rFonts w:ascii="Arial" w:hAnsi="Arial" w:cs="Arial"/>
                <w:sz w:val="12"/>
                <w:szCs w:val="12"/>
                <w:highlight w:val="none"/>
              </w:rPr>
            </w:r>
          </w:p>
        </w:tc>
      </w:tr>
      <w:tr>
        <w:trPr>
          <w:trHeight w:val="656"/>
        </w:trPr>
        <w:tc>
          <w:tcPr>
            <w:shd w:val="clear" w:color="ffffff" w:fill="ffffff"/>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14:paraId="0E6F3A62">
            <w:pPr>
              <w:pBdr/>
              <w:tabs>
                <w:tab w:val="left" w:leader="none" w:pos="312"/>
              </w:tabs>
              <w:spacing/>
              <w:ind w:left="114"/>
              <w:jc w:val="center"/>
              <w:rPr>
                <w:rFonts w:ascii="Arial" w:hAnsi="Arial" w:cs="Arial"/>
                <w:sz w:val="12"/>
                <w:szCs w:val="12"/>
                <w:highlight w:val="none"/>
              </w:rPr>
            </w:pPr>
            <w:r>
              <w:rPr>
                <w:rFonts w:ascii="Arial" w:hAnsi="Arial" w:eastAsia="Arial" w:cs="Arial"/>
                <w:color w:val="000000"/>
                <w:sz w:val="12"/>
                <w:szCs w:val="12"/>
                <w:highlight w:val="none"/>
              </w:rPr>
              <w:t xml:space="preserve">2</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14:paraId="5C662C5F">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130291</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641" w:type="dxa"/>
            <w:vAlign w:val="center"/>
            <w:textDirection w:val="lrTb"/>
            <w:noWrap w:val="false"/>
          </w:tcPr>
          <w:p w14:paraId="13434D87">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00067527</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1843" w:type="dxa"/>
            <w:vAlign w:val="center"/>
            <w:textDirection w:val="lrTb"/>
            <w:noWrap w:val="false"/>
          </w:tcPr>
          <w:p w14:paraId="6AC3D1EA">
            <w:pPr>
              <w:pBdr/>
              <w:spacing/>
              <w:ind/>
              <w:jc w:val="both"/>
              <w:rPr>
                <w:rFonts w:ascii="Arial" w:hAnsi="Arial" w:cs="Arial"/>
                <w:color w:val="000000"/>
                <w:sz w:val="12"/>
                <w:szCs w:val="12"/>
                <w:highlight w:val="none"/>
              </w:rPr>
            </w:pPr>
            <w:r>
              <w:rPr>
                <w:rFonts w:ascii="Arial" w:hAnsi="Arial" w:eastAsia="Arial" w:cs="Arial"/>
                <w:color w:val="000000"/>
                <w:sz w:val="12"/>
                <w:szCs w:val="12"/>
                <w:highlight w:val="none"/>
              </w:rPr>
              <w:t xml:space="preserve">TUBO DE COLETA DE SANGUE A VÁCUO – COM ANTICOAGULANTE EDTA-K2 OU K3. EM PLÁSTICO PET, TAMANHO 13X75 MM, ESTÉRIL. DESCARTÁVEL. INCOLOR. VOLUME DE 2,0 ML, COM TAMPA DE BORRACHA SILICONIZADA E CAPA PROTETORA NA COR ROXA.</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14:paraId="51911EF4">
            <w:pPr>
              <w:pBdr/>
              <w:tabs>
                <w:tab w:val="left" w:leader="none" w:pos="-142"/>
              </w:tabs>
              <w:spacing/>
              <w:ind/>
              <w:jc w:val="center"/>
              <w:rPr>
                <w:rFonts w:ascii="Arial" w:hAnsi="Arial" w:cs="Arial"/>
                <w:sz w:val="12"/>
                <w:szCs w:val="12"/>
                <w:highlight w:val="none"/>
              </w:rPr>
            </w:pPr>
            <w:r>
              <w:rPr>
                <w:rFonts w:ascii="Arial" w:hAnsi="Arial" w:eastAsia="Arial" w:cs="Arial"/>
                <w:sz w:val="12"/>
                <w:szCs w:val="12"/>
                <w:highlight w:val="none"/>
                <w:lang w:val="pt-BR"/>
              </w:rPr>
              <w:t xml:space="preserve">UNIDADE</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14:paraId="2B1ABC07">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5.000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14:paraId="5485EE88">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R$ 0,60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14:paraId="0CDF320F">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R$ 0,66</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5498228F">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0,756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787" w:type="dxa"/>
            <w:vAlign w:val="center"/>
            <w:textDirection w:val="lrTb"/>
            <w:noWrap w:val="false"/>
          </w:tcPr>
          <w:p w14:paraId="2AAB9E45">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0,61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1BF08F60">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0,72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459B5328">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R$ 0,6692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16FD477C">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R$ 3.346,00</w:t>
            </w:r>
            <w:r>
              <w:rPr>
                <w:rFonts w:ascii="Arial" w:hAnsi="Arial" w:cs="Arial"/>
                <w:sz w:val="12"/>
                <w:szCs w:val="12"/>
                <w:highlight w:val="none"/>
              </w:rPr>
            </w:r>
            <w:r>
              <w:rPr>
                <w:rFonts w:ascii="Arial" w:hAnsi="Arial" w:cs="Arial"/>
                <w:sz w:val="12"/>
                <w:szCs w:val="12"/>
                <w:highlight w:val="none"/>
              </w:rPr>
            </w:r>
          </w:p>
        </w:tc>
      </w:tr>
      <w:tr>
        <w:trPr>
          <w:trHeight w:val="656"/>
        </w:trPr>
        <w:tc>
          <w:tcPr>
            <w:shd w:val="clear" w:color="ffffff" w:fill="ffffff"/>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14:paraId="08520423">
            <w:pPr>
              <w:pBdr/>
              <w:tabs>
                <w:tab w:val="left" w:leader="none" w:pos="312"/>
              </w:tabs>
              <w:spacing/>
              <w:ind w:left="114"/>
              <w:jc w:val="center"/>
              <w:rPr>
                <w:rFonts w:ascii="Arial" w:hAnsi="Arial" w:cs="Arial"/>
                <w:sz w:val="12"/>
                <w:szCs w:val="12"/>
                <w:highlight w:val="none"/>
              </w:rPr>
            </w:pPr>
            <w:r>
              <w:rPr>
                <w:rFonts w:ascii="Arial" w:hAnsi="Arial" w:eastAsia="Arial" w:cs="Arial"/>
                <w:color w:val="000000"/>
                <w:sz w:val="12"/>
                <w:szCs w:val="12"/>
                <w:highlight w:val="none"/>
              </w:rPr>
              <w:t xml:space="preserve">3</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14:paraId="7729FE77">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130292</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641" w:type="dxa"/>
            <w:vAlign w:val="center"/>
            <w:textDirection w:val="lrTb"/>
            <w:noWrap w:val="false"/>
          </w:tcPr>
          <w:p w14:paraId="6AC17B1A">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308098-6</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1843" w:type="dxa"/>
            <w:vAlign w:val="bottom"/>
            <w:textDirection w:val="lrTb"/>
            <w:noWrap w:val="false"/>
          </w:tcPr>
          <w:p w14:paraId="6D3DD7C7">
            <w:pPr>
              <w:pBdr/>
              <w:spacing/>
              <w:ind/>
              <w:jc w:val="both"/>
              <w:rPr>
                <w:rFonts w:ascii="Arial" w:hAnsi="Arial" w:cs="Arial"/>
                <w:color w:val="000000"/>
                <w:sz w:val="12"/>
                <w:szCs w:val="12"/>
                <w:highlight w:val="none"/>
              </w:rPr>
            </w:pPr>
            <w:r>
              <w:rPr>
                <w:rFonts w:ascii="Arial" w:hAnsi="Arial" w:eastAsia="Arial" w:cs="Arial"/>
                <w:color w:val="000000"/>
                <w:sz w:val="12"/>
                <w:szCs w:val="12"/>
                <w:highlight w:val="none"/>
              </w:rPr>
              <w:t xml:space="preserve">TUBO DE COLETA DE SANGUE A VÁCUO – COM ANTICOAGULANTE EDTA-K2 OU K3. EM PLÁSTICO PET, TAMANHO 13X75 MM, ESTÉRIL. DESCARTÁVEL. INCOLOR. VOLUME DE 4,0 ML. COM TAMPA DE BORRACHA SILICONIZADA E CAPA PROTETORA NA COR ROXA.</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14:paraId="0D748283">
            <w:pPr>
              <w:pBdr/>
              <w:tabs>
                <w:tab w:val="left" w:leader="none" w:pos="-142"/>
              </w:tabs>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UNIDADE</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14:paraId="61933299">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450.000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14:paraId="279F6877">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R$0,60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14:paraId="12E5BC76">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0,714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7B7E0D74">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R$ 0,76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787" w:type="dxa"/>
            <w:vAlign w:val="center"/>
            <w:textDirection w:val="lrTb"/>
            <w:noWrap w:val="false"/>
          </w:tcPr>
          <w:p w14:paraId="5955BF64">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R$ 0,72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13732761">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R$ 0,61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144FEE71">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R$ 0,6808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081B6E3D">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R$ 306.360,00</w:t>
            </w:r>
            <w:r>
              <w:rPr>
                <w:rFonts w:ascii="Arial" w:hAnsi="Arial" w:cs="Arial"/>
                <w:sz w:val="12"/>
                <w:szCs w:val="12"/>
                <w:highlight w:val="none"/>
              </w:rPr>
            </w:r>
            <w:r>
              <w:rPr>
                <w:rFonts w:ascii="Arial" w:hAnsi="Arial" w:cs="Arial"/>
                <w:sz w:val="12"/>
                <w:szCs w:val="12"/>
                <w:highlight w:val="none"/>
              </w:rPr>
            </w:r>
          </w:p>
        </w:tc>
      </w:tr>
      <w:tr>
        <w:trPr>
          <w:trHeight w:val="368"/>
        </w:trPr>
        <w:tc>
          <w:tcPr>
            <w:shd w:val="clear" w:color="ffffff" w:fill="ffffff"/>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14:paraId="4E47B67F">
            <w:pPr>
              <w:pBdr/>
              <w:tabs>
                <w:tab w:val="left" w:leader="none" w:pos="312"/>
              </w:tabs>
              <w:spacing/>
              <w:ind w:left="114"/>
              <w:jc w:val="center"/>
              <w:rPr>
                <w:rFonts w:ascii="Arial" w:hAnsi="Arial" w:cs="Arial"/>
                <w:sz w:val="12"/>
                <w:szCs w:val="12"/>
                <w:highlight w:val="none"/>
              </w:rPr>
            </w:pPr>
            <w:r>
              <w:rPr>
                <w:rFonts w:ascii="Arial" w:hAnsi="Arial" w:eastAsia="Arial" w:cs="Arial"/>
                <w:color w:val="000000"/>
                <w:sz w:val="12"/>
                <w:szCs w:val="12"/>
                <w:highlight w:val="none"/>
              </w:rPr>
              <w:t xml:space="preserve">4</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14:paraId="29B39945">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130288</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641" w:type="dxa"/>
            <w:vAlign w:val="center"/>
            <w:textDirection w:val="lrTb"/>
            <w:noWrap w:val="false"/>
          </w:tcPr>
          <w:p w14:paraId="687F989A">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00067724</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1843" w:type="dxa"/>
            <w:vAlign w:val="center"/>
            <w:textDirection w:val="lrTb"/>
            <w:noWrap w:val="false"/>
          </w:tcPr>
          <w:p w14:paraId="22BC781A">
            <w:pPr>
              <w:widowControl w:val="true"/>
              <w:pBdr/>
              <w:spacing/>
              <w:ind/>
              <w:jc w:val="both"/>
              <w:rPr>
                <w:rFonts w:ascii="Arial" w:hAnsi="Arial" w:cs="Arial"/>
                <w:color w:val="000000"/>
                <w:sz w:val="12"/>
                <w:szCs w:val="12"/>
                <w:highlight w:val="none"/>
              </w:rPr>
            </w:pPr>
            <w:r>
              <w:rPr>
                <w:rFonts w:ascii="Arial" w:hAnsi="Arial" w:eastAsia="Arial" w:cs="Arial"/>
                <w:color w:val="000000"/>
                <w:sz w:val="12"/>
                <w:szCs w:val="12"/>
                <w:highlight w:val="none"/>
              </w:rPr>
              <w:t xml:space="preserve">TUBO DE COLET</w:t>
            </w:r>
            <w:r>
              <w:rPr>
                <w:rFonts w:ascii="Arial" w:hAnsi="Arial" w:eastAsia="Arial" w:cs="Arial"/>
                <w:color w:val="000000"/>
                <w:sz w:val="12"/>
                <w:szCs w:val="12"/>
                <w:highlight w:val="none"/>
              </w:rPr>
              <w:t xml:space="preserve">A DE SANGUE A VÁCUO PARA PROVA DE COAGULAÇÃO - COM SOLUÇÃO CITRATO DE SODIO 3,2%. EM PLÁSTICO PET E PP (PAREDE DUPLA), TAMANHO 13X75MM. ESTÉRIL. DESCARTÁVEL. INCOLOR. VOLUME 1,8 A 2 ML. COM TAMPA DE BORRACHA SILICONIZADA E CAPA PROTETORA NA COR AZUL-CLARO.</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14:paraId="683CC3FA">
            <w:pPr>
              <w:pBdr/>
              <w:tabs>
                <w:tab w:val="left" w:leader="none" w:pos="-142"/>
              </w:tabs>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UNIDADE</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14:paraId="7CA7E366">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1.500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14:paraId="6AA38694">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R$ 1,33</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14:paraId="52685A05">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R$ 1,45</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52FA9735">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1,41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787" w:type="dxa"/>
            <w:vAlign w:val="center"/>
            <w:textDirection w:val="lrTb"/>
            <w:noWrap w:val="false"/>
          </w:tcPr>
          <w:p w14:paraId="298FC85A">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1,35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5E43429C">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1,45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7C83358C">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R$ 1,3980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5BE3827D">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R$ 2.097,00</w:t>
            </w:r>
            <w:r>
              <w:rPr>
                <w:rFonts w:ascii="Arial" w:hAnsi="Arial" w:cs="Arial"/>
                <w:sz w:val="12"/>
                <w:szCs w:val="12"/>
                <w:highlight w:val="none"/>
              </w:rPr>
            </w:r>
            <w:r>
              <w:rPr>
                <w:rFonts w:ascii="Arial" w:hAnsi="Arial" w:cs="Arial"/>
                <w:sz w:val="12"/>
                <w:szCs w:val="12"/>
                <w:highlight w:val="none"/>
              </w:rPr>
            </w:r>
          </w:p>
        </w:tc>
      </w:tr>
      <w:tr>
        <w:trPr>
          <w:trHeight w:val="146"/>
        </w:trPr>
        <w:tc>
          <w:tcPr>
            <w:shd w:val="clear" w:color="ffffff" w:fill="ffffff"/>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14:paraId="4720B8A8">
            <w:pPr>
              <w:pBdr/>
              <w:tabs>
                <w:tab w:val="left" w:leader="none" w:pos="312"/>
              </w:tabs>
              <w:spacing/>
              <w:ind w:left="114"/>
              <w:jc w:val="center"/>
              <w:rPr>
                <w:rFonts w:ascii="Arial" w:hAnsi="Arial" w:cs="Arial"/>
                <w:sz w:val="12"/>
                <w:szCs w:val="12"/>
                <w:highlight w:val="none"/>
              </w:rPr>
            </w:pPr>
            <w:r>
              <w:rPr>
                <w:rFonts w:ascii="Arial" w:hAnsi="Arial" w:eastAsia="Arial" w:cs="Arial"/>
                <w:color w:val="000000"/>
                <w:sz w:val="12"/>
                <w:szCs w:val="12"/>
                <w:highlight w:val="none"/>
              </w:rPr>
              <w:t xml:space="preserve">5</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14:paraId="24E90C01">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130287</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641" w:type="dxa"/>
            <w:vAlign w:val="center"/>
            <w:textDirection w:val="lrTb"/>
            <w:noWrap w:val="false"/>
          </w:tcPr>
          <w:p w14:paraId="1FE3B66B">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00067723</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1843" w:type="dxa"/>
            <w:vAlign w:val="center"/>
            <w:textDirection w:val="lrTb"/>
            <w:noWrap w:val="false"/>
          </w:tcPr>
          <w:p w14:paraId="5D239E29">
            <w:pPr>
              <w:pBdr/>
              <w:spacing/>
              <w:ind/>
              <w:jc w:val="both"/>
              <w:rPr>
                <w:rFonts w:ascii="Arial" w:hAnsi="Arial" w:cs="Arial"/>
                <w:color w:val="000000"/>
                <w:sz w:val="12"/>
                <w:szCs w:val="12"/>
                <w:highlight w:val="none"/>
              </w:rPr>
            </w:pPr>
            <w:r>
              <w:rPr>
                <w:rFonts w:ascii="Arial" w:hAnsi="Arial" w:eastAsia="Arial" w:cs="Arial"/>
                <w:color w:val="000000"/>
                <w:sz w:val="12"/>
                <w:szCs w:val="12"/>
                <w:highlight w:val="none"/>
              </w:rPr>
              <w:t xml:space="preserve">TUBO DE COLET</w:t>
            </w:r>
            <w:r>
              <w:rPr>
                <w:rFonts w:ascii="Arial" w:hAnsi="Arial" w:eastAsia="Arial" w:cs="Arial"/>
                <w:color w:val="000000"/>
                <w:sz w:val="12"/>
                <w:szCs w:val="12"/>
                <w:highlight w:val="none"/>
              </w:rPr>
              <w:t xml:space="preserve">A DE SANGUE A VÁCUO PARA PROVA DE COAGULAÇÃO - COM SOLUÇÃO CITRATO DE SODIO 3,2%. EM PLÁSTICO PET E PP (PAREDE DUPLA), TAMANHO 13X75MM. ESTÉRIL. DESCARTÁVEL. INCOLOR. VOLUME 2,7 A 4 ML. COM TAMPA DE BORRACHA SILICONIZADA E CAPA PROTETORA NA COR AZUL-CLARO.</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14:paraId="37E3C32C">
            <w:pPr>
              <w:pBdr/>
              <w:tabs>
                <w:tab w:val="left" w:leader="none" w:pos="-142"/>
              </w:tabs>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UNIDADE</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14:paraId="3F782EB9">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20.000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14:paraId="768DEA65">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R$ 1,33</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14:paraId="68DBFCA0">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R$ 1,45</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1691874E">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1,51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787" w:type="dxa"/>
            <w:vAlign w:val="center"/>
            <w:textDirection w:val="lrTb"/>
            <w:noWrap w:val="false"/>
          </w:tcPr>
          <w:p w14:paraId="38E54ECE">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1,35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43E5E78F">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1,39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137F8DE6">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R$ 1,4060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0FB8C2DE">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R$ 28.120,00</w:t>
            </w:r>
            <w:r>
              <w:rPr>
                <w:rFonts w:ascii="Arial" w:hAnsi="Arial" w:cs="Arial"/>
                <w:sz w:val="12"/>
                <w:szCs w:val="12"/>
                <w:highlight w:val="none"/>
              </w:rPr>
            </w:r>
            <w:r>
              <w:rPr>
                <w:rFonts w:ascii="Arial" w:hAnsi="Arial" w:cs="Arial"/>
                <w:sz w:val="12"/>
                <w:szCs w:val="12"/>
                <w:highlight w:val="none"/>
              </w:rPr>
            </w:r>
          </w:p>
        </w:tc>
      </w:tr>
      <w:tr>
        <w:trPr>
          <w:trHeight w:val="656"/>
        </w:trPr>
        <w:tc>
          <w:tcPr>
            <w:shd w:val="clear" w:color="ffffff" w:fill="ffffff"/>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14:paraId="7C170EBB">
            <w:pPr>
              <w:pBdr/>
              <w:tabs>
                <w:tab w:val="left" w:leader="none" w:pos="312"/>
              </w:tabs>
              <w:spacing/>
              <w:ind w:left="114"/>
              <w:jc w:val="center"/>
              <w:rPr>
                <w:rFonts w:ascii="Arial" w:hAnsi="Arial" w:cs="Arial"/>
                <w:sz w:val="12"/>
                <w:szCs w:val="12"/>
                <w:highlight w:val="none"/>
              </w:rPr>
            </w:pPr>
            <w:r>
              <w:rPr>
                <w:rFonts w:ascii="Arial" w:hAnsi="Arial" w:eastAsia="Arial" w:cs="Arial"/>
                <w:color w:val="000000"/>
                <w:sz w:val="12"/>
                <w:szCs w:val="12"/>
                <w:highlight w:val="none"/>
              </w:rPr>
              <w:t xml:space="preserve">6</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14:paraId="5714D6C0">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130289</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641" w:type="dxa"/>
            <w:vAlign w:val="center"/>
            <w:textDirection w:val="lrTb"/>
            <w:noWrap w:val="false"/>
          </w:tcPr>
          <w:p w14:paraId="4EC2AA09">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00036259</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1843" w:type="dxa"/>
            <w:vAlign w:val="center"/>
            <w:textDirection w:val="lrTb"/>
            <w:noWrap w:val="false"/>
          </w:tcPr>
          <w:p w14:paraId="02ADDBCB">
            <w:pPr>
              <w:pBdr/>
              <w:spacing/>
              <w:ind/>
              <w:jc w:val="both"/>
              <w:rPr>
                <w:rFonts w:ascii="Arial" w:hAnsi="Arial" w:cs="Arial"/>
                <w:color w:val="000000"/>
                <w:sz w:val="12"/>
                <w:szCs w:val="12"/>
                <w:highlight w:val="none"/>
              </w:rPr>
            </w:pPr>
            <w:r>
              <w:rPr>
                <w:rFonts w:ascii="Arial" w:hAnsi="Arial" w:eastAsia="Arial" w:cs="Arial"/>
                <w:color w:val="000000"/>
                <w:sz w:val="12"/>
                <w:szCs w:val="12"/>
                <w:highlight w:val="none"/>
              </w:rPr>
              <w:t xml:space="preserve">TUBO PARA COLETA DE SANGUE A VÁCUO - COM FLUORETO DE SÓDIO (NAF) E EDTA-K2 OU K3 PARA DOSAGEM DE GLICOSE. EM PLÁSTICO PET, TAMANHO 13X75MM. ESTÉRIL. DESCARTÁVEL. INCOLOR. VOLUME 4,0 ML. COM TAMPA DE BORRACHA SILICONIZADA E CAPA PROTETORA NA COR CINZA.</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14:paraId="6F92682B">
            <w:pPr>
              <w:pBdr/>
              <w:tabs>
                <w:tab w:val="left" w:leader="none" w:pos="-142"/>
              </w:tabs>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UNIDADE</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14:paraId="351501ED">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150.000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14:paraId="2FD578E0">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R$ 1,20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14:paraId="77C49753">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R$ 1,47</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339A4E8D">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1,344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787" w:type="dxa"/>
            <w:vAlign w:val="center"/>
            <w:textDirection w:val="lrTb"/>
            <w:noWrap w:val="false"/>
          </w:tcPr>
          <w:p w14:paraId="4CDC5DCA">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1,30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6EBC104D">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1,20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5C7E786A">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R$ 1,3028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75A2B641">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R$ 195.420,00</w:t>
            </w:r>
            <w:r>
              <w:rPr>
                <w:rFonts w:ascii="Arial" w:hAnsi="Arial" w:cs="Arial"/>
                <w:sz w:val="12"/>
                <w:szCs w:val="12"/>
                <w:highlight w:val="none"/>
              </w:rPr>
            </w:r>
            <w:r>
              <w:rPr>
                <w:rFonts w:ascii="Arial" w:hAnsi="Arial" w:cs="Arial"/>
                <w:sz w:val="12"/>
                <w:szCs w:val="12"/>
                <w:highlight w:val="none"/>
              </w:rPr>
            </w:r>
          </w:p>
        </w:tc>
      </w:tr>
      <w:tr>
        <w:trPr>
          <w:trHeight w:val="656"/>
        </w:trPr>
        <w:tc>
          <w:tcPr>
            <w:shd w:val="clear" w:color="ffffff" w:fill="ffffff"/>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14:paraId="665B7D1C">
            <w:pPr>
              <w:pBdr/>
              <w:tabs>
                <w:tab w:val="left" w:leader="none" w:pos="312"/>
              </w:tabs>
              <w:spacing/>
              <w:ind w:left="114"/>
              <w:jc w:val="center"/>
              <w:rPr>
                <w:rFonts w:ascii="Arial" w:hAnsi="Arial" w:cs="Arial"/>
                <w:sz w:val="12"/>
                <w:szCs w:val="12"/>
                <w:highlight w:val="none"/>
              </w:rPr>
            </w:pPr>
            <w:r>
              <w:rPr>
                <w:rFonts w:ascii="Arial" w:hAnsi="Arial" w:eastAsia="Arial" w:cs="Arial"/>
                <w:color w:val="000000"/>
                <w:sz w:val="12"/>
                <w:szCs w:val="12"/>
                <w:highlight w:val="none"/>
              </w:rPr>
              <w:t xml:space="preserve">7</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14:paraId="532DEC6B">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130290</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641" w:type="dxa"/>
            <w:vAlign w:val="center"/>
            <w:textDirection w:val="lrTb"/>
            <w:noWrap w:val="false"/>
          </w:tcPr>
          <w:p w14:paraId="1CF3AA71">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00067725</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1843" w:type="dxa"/>
            <w:vAlign w:val="center"/>
            <w:textDirection w:val="lrTb"/>
            <w:noWrap w:val="false"/>
          </w:tcPr>
          <w:p w14:paraId="4DBC9E62">
            <w:pPr>
              <w:pBdr/>
              <w:spacing/>
              <w:ind/>
              <w:jc w:val="both"/>
              <w:rPr>
                <w:rFonts w:ascii="Arial" w:hAnsi="Arial" w:cs="Arial"/>
                <w:color w:val="000000"/>
                <w:sz w:val="12"/>
                <w:szCs w:val="12"/>
                <w:highlight w:val="none"/>
              </w:rPr>
            </w:pPr>
            <w:r>
              <w:rPr>
                <w:rFonts w:ascii="Arial" w:hAnsi="Arial" w:eastAsia="Arial" w:cs="Arial"/>
                <w:color w:val="000000"/>
                <w:sz w:val="12"/>
                <w:szCs w:val="12"/>
                <w:highlight w:val="none"/>
              </w:rPr>
              <w:t xml:space="preserve">TUBO PARA COLETA DE SANGUE A VÁCUO - PARA SOROLOGIA. COM ATIVADOR DE COÁGULO. EM PLÁSTICO PET, TAMANHO 16X100MM. ESTÉRIL. DESCARTÁVEL. INCOLOR. VOLUME 8,0ML A 10ML. COM TAMPA DE BORRACHA SILICONIZADA E CAPA PROTETORA NA COR VERMELHA.</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14:paraId="4863F4B3">
            <w:pPr>
              <w:pBdr/>
              <w:tabs>
                <w:tab w:val="left" w:leader="none" w:pos="-142"/>
              </w:tabs>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UNIDADE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14:paraId="1D57BB75">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450.000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14:paraId="59C7157C">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R$ 1,25</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14:paraId="42344D85">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R$ 1,17</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551CC6A1">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R$ 1,066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787" w:type="dxa"/>
            <w:vAlign w:val="center"/>
            <w:textDirection w:val="lrTb"/>
            <w:noWrap w:val="false"/>
          </w:tcPr>
          <w:p w14:paraId="74AF214E">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R$ 1,16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3EE33152">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R$ 1,20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7A36A816">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R$</w:t>
            </w:r>
            <w:r>
              <w:rPr>
                <w:rFonts w:ascii="Arial" w:hAnsi="Arial" w:cs="Arial"/>
                <w:color w:val="000000"/>
                <w:sz w:val="12"/>
                <w:szCs w:val="12"/>
                <w:highlight w:val="none"/>
              </w:rPr>
            </w:r>
            <w:r>
              <w:rPr>
                <w:rFonts w:ascii="Arial" w:hAnsi="Arial" w:cs="Arial"/>
                <w:color w:val="000000"/>
                <w:sz w:val="12"/>
                <w:szCs w:val="12"/>
                <w:highlight w:val="none"/>
              </w:rPr>
            </w:r>
          </w:p>
          <w:p w14:paraId="016C6569">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1,1692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0E00C064">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R$ 526.140,00</w:t>
            </w:r>
            <w:r>
              <w:rPr>
                <w:rFonts w:ascii="Arial" w:hAnsi="Arial" w:cs="Arial"/>
                <w:sz w:val="12"/>
                <w:szCs w:val="12"/>
                <w:highlight w:val="none"/>
              </w:rPr>
            </w:r>
            <w:r>
              <w:rPr>
                <w:rFonts w:ascii="Arial" w:hAnsi="Arial" w:cs="Arial"/>
                <w:sz w:val="12"/>
                <w:szCs w:val="12"/>
                <w:highlight w:val="none"/>
              </w:rPr>
            </w:r>
          </w:p>
        </w:tc>
      </w:tr>
      <w:tr>
        <w:trPr>
          <w:trHeight w:val="402"/>
        </w:trPr>
        <w:tc>
          <w:tcPr>
            <w:gridSpan w:val="12"/>
            <w:shd w:val="clear" w:color="ffffff" w:fill="ffffff"/>
            <w:tcBorders>
              <w:left w:val="single" w:color="000000" w:sz="4" w:space="0"/>
              <w:bottom w:val="single" w:color="000000" w:sz="4" w:space="0"/>
              <w:right w:val="single" w:color="000000" w:sz="4" w:space="0"/>
            </w:tcBorders>
            <w:tcW w:w="9724" w:type="dxa"/>
            <w:vAlign w:val="center"/>
            <w:textDirection w:val="lrTb"/>
            <w:noWrap w:val="false"/>
          </w:tcPr>
          <w:p w14:paraId="43D0422A">
            <w:pPr>
              <w:pBdr/>
              <w:spacing/>
              <w:ind w:left="220"/>
              <w:jc w:val="right"/>
              <w:rPr>
                <w:rFonts w:ascii="Arial" w:hAnsi="Arial" w:cs="Arial"/>
                <w:b/>
                <w:bCs/>
                <w:sz w:val="12"/>
                <w:szCs w:val="12"/>
                <w:highlight w:val="none"/>
              </w:rPr>
            </w:pPr>
            <w:r>
              <w:rPr>
                <w:rFonts w:ascii="Arial" w:hAnsi="Arial" w:eastAsia="Arial" w:cs="Arial"/>
                <w:b/>
                <w:bCs/>
                <w:sz w:val="12"/>
                <w:szCs w:val="12"/>
                <w:highlight w:val="none"/>
                <w:lang w:val="pt-BR"/>
              </w:rPr>
              <w:t xml:space="preserve">VALOR TOTAL</w:t>
            </w:r>
            <w:r>
              <w:rPr>
                <w:rFonts w:ascii="Arial" w:hAnsi="Arial" w:cs="Arial"/>
                <w:b/>
                <w:bCs/>
                <w:sz w:val="12"/>
                <w:szCs w:val="12"/>
                <w:highlight w:val="none"/>
              </w:rPr>
            </w:r>
            <w:r>
              <w:rPr>
                <w:rFonts w:ascii="Arial" w:hAnsi="Arial" w:cs="Arial"/>
                <w:b/>
                <w:bCs/>
                <w:sz w:val="12"/>
                <w:szCs w:val="12"/>
                <w:highlight w:val="none"/>
              </w:rPr>
            </w:r>
          </w:p>
        </w:tc>
        <w:tc>
          <w:tcPr>
            <w:shd w:val="clear" w:color="ffffff" w:fill="ffffff"/>
            <w:tcBorders>
              <w:left w:val="single" w:color="000000" w:sz="4" w:space="0"/>
              <w:bottom w:val="single" w:color="000000" w:sz="4" w:space="0"/>
              <w:right w:val="single" w:color="000000" w:sz="4" w:space="0"/>
            </w:tcBorders>
            <w:tcW w:w="775" w:type="dxa"/>
            <w:vAlign w:val="center"/>
            <w:textDirection w:val="lrTb"/>
            <w:noWrap w:val="false"/>
          </w:tcPr>
          <w:p w14:paraId="0A4CECF7">
            <w:pPr>
              <w:pBdr/>
              <w:spacing/>
              <w:ind/>
              <w:jc w:val="center"/>
              <w:rPr>
                <w:rFonts w:ascii="Arial" w:hAnsi="Arial" w:cs="Arial"/>
                <w:b/>
                <w:bCs/>
                <w:sz w:val="12"/>
                <w:szCs w:val="12"/>
                <w:highlight w:val="none"/>
              </w:rPr>
            </w:pPr>
            <w:r>
              <w:rPr>
                <w:rFonts w:ascii="Arial" w:hAnsi="Arial" w:eastAsia="Arial" w:cs="Arial"/>
                <w:b/>
                <w:bCs/>
                <w:sz w:val="12"/>
                <w:szCs w:val="12"/>
                <w:highlight w:val="none"/>
                <w:lang w:val="pt-BR"/>
              </w:rPr>
              <w:t xml:space="preserve">R$ </w:t>
            </w:r>
            <w:r>
              <w:rPr>
                <w:rFonts w:ascii="Arial" w:hAnsi="Arial" w:cs="Arial"/>
                <w:b/>
                <w:bCs/>
                <w:sz w:val="12"/>
                <w:szCs w:val="12"/>
                <w:highlight w:val="none"/>
              </w:rPr>
            </w:r>
            <w:r>
              <w:rPr>
                <w:rFonts w:ascii="Arial" w:hAnsi="Arial" w:cs="Arial"/>
                <w:b/>
                <w:bCs/>
                <w:sz w:val="12"/>
                <w:szCs w:val="12"/>
                <w:highlight w:val="none"/>
              </w:rPr>
            </w:r>
          </w:p>
          <w:p w14:paraId="6CE18AA9">
            <w:pPr>
              <w:pBdr/>
              <w:spacing/>
              <w:ind/>
              <w:jc w:val="center"/>
              <w:rPr>
                <w:rFonts w:ascii="Arial" w:hAnsi="Arial" w:cs="Arial"/>
                <w:b/>
                <w:bCs/>
                <w:sz w:val="12"/>
                <w:szCs w:val="12"/>
                <w:highlight w:val="none"/>
              </w:rPr>
            </w:pPr>
            <w:r>
              <w:rPr>
                <w:rFonts w:ascii="Arial" w:hAnsi="Arial" w:eastAsia="Arial" w:cs="Arial"/>
                <w:b/>
                <w:bCs/>
                <w:sz w:val="12"/>
                <w:szCs w:val="12"/>
                <w:highlight w:val="none"/>
                <w:lang w:val="pt-BR"/>
              </w:rPr>
              <w:t xml:space="preserve">1.405.533,00</w:t>
            </w:r>
            <w:r>
              <w:rPr>
                <w:rFonts w:ascii="Arial" w:hAnsi="Arial" w:cs="Arial"/>
                <w:b/>
                <w:bCs/>
                <w:sz w:val="12"/>
                <w:szCs w:val="12"/>
                <w:highlight w:val="none"/>
              </w:rPr>
            </w:r>
            <w:r>
              <w:rPr>
                <w:rFonts w:ascii="Arial" w:hAnsi="Arial" w:cs="Arial"/>
                <w:b/>
                <w:bCs/>
                <w:sz w:val="12"/>
                <w:szCs w:val="12"/>
                <w:highlight w:val="none"/>
              </w:rPr>
            </w:r>
          </w:p>
        </w:tc>
      </w:tr>
    </w:tbl>
    <w:p w14:paraId="1A47CCF9">
      <w:pPr>
        <w:pBdr/>
        <w:spacing/>
        <w:ind/>
        <w:jc w:val="both"/>
        <w:rPr>
          <w:rFonts w:ascii="Arial" w:hAnsi="Arial" w:cs="Arial"/>
          <w:b/>
          <w:bCs/>
          <w:sz w:val="18"/>
          <w:szCs w:val="18"/>
          <w:highlight w:val="none"/>
        </w:rPr>
      </w:pPr>
      <w:r>
        <w:rPr>
          <w:rFonts w:ascii="Arial" w:hAnsi="Arial" w:eastAsia="Arial" w:cs="Arial"/>
          <w:b/>
          <w:bCs/>
          <w:sz w:val="18"/>
          <w:szCs w:val="18"/>
          <w:highlight w:val="none"/>
        </w:rPr>
      </w:r>
      <w:r>
        <w:rPr>
          <w:rFonts w:ascii="Arial" w:hAnsi="Arial" w:cs="Arial"/>
          <w:b/>
          <w:bCs/>
          <w:sz w:val="18"/>
          <w:szCs w:val="18"/>
          <w:highlight w:val="none"/>
        </w:rPr>
      </w:r>
      <w:r>
        <w:rPr>
          <w:rFonts w:ascii="Arial" w:hAnsi="Arial" w:cs="Arial"/>
          <w:b/>
          <w:bCs/>
          <w:sz w:val="18"/>
          <w:szCs w:val="18"/>
          <w:highlight w:val="none"/>
        </w:rPr>
      </w:r>
    </w:p>
    <w:p w14:paraId="7EC05710">
      <w:pPr>
        <w:pBdr/>
        <w:spacing/>
        <w:ind/>
        <w:jc w:val="both"/>
        <w:rPr>
          <w:rFonts w:ascii="Arial" w:hAnsi="Arial" w:cs="Arial"/>
          <w:highlight w:val="none"/>
        </w:rPr>
      </w:pPr>
      <w:r>
        <w:rPr>
          <w:rFonts w:ascii="Arial" w:hAnsi="Arial" w:eastAsia="Arial" w:cs="Arial"/>
          <w:b/>
          <w:bCs/>
          <w:highlight w:val="none"/>
          <w:lang w:val="pt-BR"/>
        </w:rPr>
        <w:t xml:space="preserve">10.6.</w:t>
      </w:r>
      <w:r>
        <w:rPr>
          <w:rFonts w:ascii="Arial" w:hAnsi="Arial" w:eastAsia="Arial" w:cs="Arial"/>
          <w:highlight w:val="none"/>
          <w:lang w:val="pt-BR"/>
        </w:rPr>
        <w:t xml:space="preserve"> As unidades de medida, as especificações técnicas e os quantitativos estimados dos itens constantes da tabela foram definidos com base na finalidade de utilização de cada insumo, nas características dos procedimentos laboratoriais reali</w:t>
      </w:r>
      <w:r>
        <w:rPr>
          <w:rFonts w:ascii="Arial" w:hAnsi="Arial" w:eastAsia="Arial" w:cs="Arial"/>
          <w:highlight w:val="none"/>
          <w:lang w:val="pt-BR"/>
        </w:rPr>
        <w:t xml:space="preserve">zados, na necessidade de compatibilidade técnica entre os tubos e as agulhas destinados à coleta de sangue a vácuo, no histórico de consumo e de aquisições dos exercícios anteriores e na demanda atual apresentada pelo Laboratório Central Municipal – LACEM.</w:t>
      </w:r>
      <w:r>
        <w:rPr>
          <w:rFonts w:ascii="Arial" w:hAnsi="Arial" w:cs="Arial"/>
          <w:highlight w:val="none"/>
        </w:rPr>
      </w:r>
      <w:r>
        <w:rPr>
          <w:rFonts w:ascii="Arial" w:hAnsi="Arial" w:cs="Arial"/>
          <w:highlight w:val="none"/>
        </w:rPr>
      </w:r>
    </w:p>
    <w:p w14:paraId="0B7A35DF">
      <w:pPr>
        <w:pBdr/>
        <w:spacing/>
        <w:ind/>
        <w:jc w:val="both"/>
        <w:rPr>
          <w:rFonts w:ascii="Arial" w:hAnsi="Arial" w:cs="Arial"/>
          <w:highlight w:val="none"/>
        </w:rPr>
      </w:pPr>
      <w:r>
        <w:rPr>
          <w:rFonts w:ascii="Arial" w:hAnsi="Arial" w:eastAsia="Arial" w:cs="Arial"/>
          <w:b/>
          <w:bCs/>
          <w:highlight w:val="none"/>
          <w:lang w:val="pt-BR"/>
        </w:rPr>
        <w:t xml:space="preserve">10.6.1.</w:t>
      </w:r>
      <w:r>
        <w:rPr>
          <w:rFonts w:ascii="Arial" w:hAnsi="Arial" w:eastAsia="Arial" w:cs="Arial"/>
          <w:highlight w:val="none"/>
          <w:lang w:val="pt-BR"/>
        </w:rPr>
        <w:t xml:space="preserve"> Para cada item, o histórico de consumo e de aquisições dos exercícios anteriores deverá ser analisado de for</w:t>
      </w:r>
      <w:r>
        <w:rPr>
          <w:rFonts w:ascii="Arial" w:hAnsi="Arial" w:eastAsia="Arial" w:cs="Arial"/>
          <w:highlight w:val="none"/>
          <w:lang w:val="pt-BR"/>
        </w:rPr>
        <w:t xml:space="preserve">ma individualizada, inclusive nos casos em que os quantitativos registrados tenham sido elevados, reduzidos, atípicos ou iguais a zero, devendo as variações relevantes ser demonstradas na justificativa dos quantitativos ou na respectiva memória de cálculo.</w:t>
      </w:r>
      <w:r>
        <w:rPr>
          <w:rFonts w:ascii="Arial" w:hAnsi="Arial" w:cs="Arial"/>
          <w:highlight w:val="none"/>
        </w:rPr>
      </w:r>
      <w:r>
        <w:rPr>
          <w:rFonts w:ascii="Arial" w:hAnsi="Arial" w:cs="Arial"/>
          <w:highlight w:val="none"/>
        </w:rPr>
      </w:r>
    </w:p>
    <w:p w14:paraId="1333ECCD">
      <w:pPr>
        <w:pBdr/>
        <w:spacing/>
        <w:ind/>
        <w:jc w:val="both"/>
        <w:rPr>
          <w:rFonts w:ascii="Arial" w:hAnsi="Arial" w:cs="Arial"/>
          <w:highlight w:val="none"/>
        </w:rPr>
      </w:pPr>
      <w:r>
        <w:rPr>
          <w:rFonts w:ascii="Arial" w:hAnsi="Arial" w:eastAsia="Arial" w:cs="Arial"/>
          <w:b/>
          <w:bCs/>
          <w:highlight w:val="none"/>
          <w:lang w:val="pt-BR"/>
        </w:rPr>
        <w:t xml:space="preserve">10.6.2.</w:t>
      </w:r>
      <w:r>
        <w:rPr>
          <w:rFonts w:ascii="Arial" w:hAnsi="Arial" w:eastAsia="Arial" w:cs="Arial"/>
          <w:highlight w:val="none"/>
          <w:lang w:val="pt-BR"/>
        </w:rPr>
        <w:t xml:space="preserve"> Os quantitativos efetivamente adquiridos nos exercícios anteriores cons</w:t>
      </w:r>
      <w:r>
        <w:rPr>
          <w:rFonts w:ascii="Arial" w:hAnsi="Arial" w:eastAsia="Arial" w:cs="Arial"/>
          <w:highlight w:val="none"/>
          <w:lang w:val="pt-BR"/>
        </w:rPr>
        <w:t xml:space="preserve">tituem parâmetro técnico de referência para o planejamento da contratação, mas não deverão ser considerados de forma isolada, tendo em vista que o histórico administrativo poderá não refletir integralmente as necessidades atuais da rede municipal de saúde.</w:t>
      </w:r>
      <w:r>
        <w:rPr>
          <w:rFonts w:ascii="Arial" w:hAnsi="Arial" w:cs="Arial"/>
          <w:highlight w:val="none"/>
        </w:rPr>
      </w:r>
      <w:r>
        <w:rPr>
          <w:rFonts w:ascii="Arial" w:hAnsi="Arial" w:cs="Arial"/>
          <w:highlight w:val="none"/>
        </w:rPr>
      </w:r>
    </w:p>
    <w:p w14:paraId="4B8384A7">
      <w:pPr>
        <w:pBdr/>
        <w:spacing/>
        <w:ind/>
        <w:jc w:val="both"/>
        <w:rPr>
          <w:rFonts w:ascii="Arial" w:hAnsi="Arial" w:cs="Arial"/>
          <w:highlight w:val="none"/>
        </w:rPr>
      </w:pPr>
      <w:r>
        <w:rPr>
          <w:rFonts w:ascii="Arial" w:hAnsi="Arial" w:eastAsia="Arial" w:cs="Arial"/>
          <w:b/>
          <w:bCs/>
          <w:highlight w:val="none"/>
          <w:lang w:val="pt-BR"/>
        </w:rPr>
        <w:t xml:space="preserve">10.6.3.</w:t>
      </w:r>
      <w:r>
        <w:rPr>
          <w:rFonts w:ascii="Arial" w:hAnsi="Arial" w:eastAsia="Arial" w:cs="Arial"/>
          <w:highlight w:val="none"/>
          <w:lang w:val="pt-BR"/>
        </w:rPr>
        <w:t xml:space="preserve"> A ausência de aquisição ou a existência de quantitativo igual a zero em determinado exercício não representa, necessariamente, inexistência de necessidade ou de demanda pelo material, podend</w:t>
      </w:r>
      <w:r>
        <w:rPr>
          <w:rFonts w:ascii="Arial" w:hAnsi="Arial" w:eastAsia="Arial" w:cs="Arial"/>
          <w:highlight w:val="none"/>
          <w:lang w:val="pt-BR"/>
        </w:rPr>
        <w:t xml:space="preserve">o decorrer da ausência de procedimento licitatório concluído, da inexistência de Ata de Registro de Preços ou contrato vigente, do esgotamento de saldo contratual, da interrupção do ciclo de abastecimento ou de outra circunstância administrativa que tenha </w:t>
      </w:r>
      <w:r>
        <w:rPr>
          <w:rFonts w:ascii="Arial" w:hAnsi="Arial" w:eastAsia="Arial" w:cs="Arial"/>
          <w:highlight w:val="none"/>
          <w:lang w:val="pt-BR"/>
        </w:rPr>
        <w:t xml:space="preserve">impedido a aquisição formal do item.</w:t>
      </w:r>
      <w:r>
        <w:rPr>
          <w:rFonts w:ascii="Arial" w:hAnsi="Arial" w:cs="Arial"/>
          <w:highlight w:val="none"/>
        </w:rPr>
      </w:r>
      <w:r>
        <w:rPr>
          <w:rFonts w:ascii="Arial" w:hAnsi="Arial" w:cs="Arial"/>
          <w:highlight w:val="none"/>
        </w:rPr>
      </w:r>
    </w:p>
    <w:p w14:paraId="2E0891ED">
      <w:pPr>
        <w:pBdr/>
        <w:spacing/>
        <w:ind/>
        <w:jc w:val="both"/>
        <w:rPr>
          <w:rFonts w:ascii="Arial" w:hAnsi="Arial" w:cs="Arial"/>
          <w:highlight w:val="none"/>
        </w:rPr>
      </w:pPr>
      <w:r>
        <w:rPr>
          <w:rFonts w:ascii="Arial" w:hAnsi="Arial" w:eastAsia="Arial" w:cs="Arial"/>
          <w:b/>
          <w:bCs/>
          <w:highlight w:val="none"/>
          <w:lang w:val="pt-BR"/>
        </w:rPr>
        <w:t xml:space="preserve">10.6.4.</w:t>
      </w:r>
      <w:r>
        <w:rPr>
          <w:rFonts w:ascii="Arial" w:hAnsi="Arial" w:eastAsia="Arial" w:cs="Arial"/>
          <w:highlight w:val="none"/>
          <w:lang w:val="pt-BR"/>
        </w:rPr>
        <w:t xml:space="preserve"> Os exercícios que apresentarem quantitativos iguais a zero não deverão ser utilizados isoladamente como fundamento para redução ou exclusão dos itens da contratação, especialmente por se tratar de insumos indi</w:t>
      </w:r>
      <w:r>
        <w:rPr>
          <w:rFonts w:ascii="Arial" w:hAnsi="Arial" w:eastAsia="Arial" w:cs="Arial"/>
          <w:highlight w:val="none"/>
          <w:lang w:val="pt-BR"/>
        </w:rPr>
        <w:t xml:space="preserve">spensáveis à coleta de sangue e à realização de exames laboratoriais, cuja indisponibilidade poderá ocasionar desabastecimento, suspensão ou atraso das coletas, reagendamento de usuários, repetição de procedimentos e necessidade de contratação emergencial.</w:t>
      </w:r>
      <w:r>
        <w:rPr>
          <w:rFonts w:ascii="Arial" w:hAnsi="Arial" w:cs="Arial"/>
          <w:highlight w:val="none"/>
        </w:rPr>
      </w:r>
      <w:r>
        <w:rPr>
          <w:rFonts w:ascii="Arial" w:hAnsi="Arial" w:cs="Arial"/>
          <w:highlight w:val="none"/>
        </w:rPr>
      </w:r>
    </w:p>
    <w:p w14:paraId="1B8E98FC">
      <w:pPr>
        <w:pBdr/>
        <w:spacing/>
        <w:ind/>
        <w:jc w:val="both"/>
        <w:rPr>
          <w:rFonts w:ascii="Arial" w:hAnsi="Arial" w:cs="Arial"/>
          <w:highlight w:val="none"/>
        </w:rPr>
      </w:pPr>
      <w:r>
        <w:rPr>
          <w:rFonts w:ascii="Arial" w:hAnsi="Arial" w:eastAsia="Arial" w:cs="Arial"/>
          <w:b/>
          <w:bCs/>
          <w:highlight w:val="none"/>
          <w:lang w:val="pt-BR"/>
        </w:rPr>
        <w:t xml:space="preserve">10.6.5.</w:t>
      </w:r>
      <w:r>
        <w:rPr>
          <w:rFonts w:ascii="Arial" w:hAnsi="Arial" w:eastAsia="Arial" w:cs="Arial"/>
          <w:highlight w:val="none"/>
          <w:lang w:val="pt-BR"/>
        </w:rPr>
        <w:t xml:space="preserve"> Para o dimensionamento das quantidades atualmente estimadas, foram considerados, além do histórico disponível, o levantamento técnico realizado pela unidade demandante, a demanda assistencial contemp</w:t>
      </w:r>
      <w:r>
        <w:rPr>
          <w:rFonts w:ascii="Arial" w:hAnsi="Arial" w:eastAsia="Arial" w:cs="Arial"/>
          <w:highlight w:val="none"/>
          <w:lang w:val="pt-BR"/>
        </w:rPr>
        <w:t xml:space="preserve">orânea, o número de unidades atendidas, a estimativa de utilização dos materiais, a necessidade de recomposição e manutenção de estoque suficiente, a capacidade de armazenamento, os prazos de validade dos produtos e o risco de descontinuidade dos serviços.</w:t>
      </w:r>
      <w:r>
        <w:rPr>
          <w:rFonts w:ascii="Arial" w:hAnsi="Arial" w:cs="Arial"/>
          <w:highlight w:val="none"/>
        </w:rPr>
      </w:r>
      <w:r>
        <w:rPr>
          <w:rFonts w:ascii="Arial" w:hAnsi="Arial" w:cs="Arial"/>
          <w:highlight w:val="none"/>
        </w:rPr>
      </w:r>
    </w:p>
    <w:p w14:paraId="1CE85F52">
      <w:pPr>
        <w:pBdr/>
        <w:spacing/>
        <w:ind/>
        <w:jc w:val="both"/>
        <w:rPr>
          <w:rFonts w:ascii="Arial" w:hAnsi="Arial" w:cs="Arial"/>
          <w:highlight w:val="none"/>
        </w:rPr>
      </w:pPr>
      <w:r>
        <w:rPr>
          <w:rFonts w:ascii="Arial" w:hAnsi="Arial" w:eastAsia="Arial" w:cs="Arial"/>
          <w:b/>
          <w:bCs/>
          <w:highlight w:val="none"/>
          <w:lang w:val="pt-BR"/>
        </w:rPr>
        <w:t xml:space="preserve">10.6.6.</w:t>
      </w:r>
      <w:r>
        <w:rPr>
          <w:rFonts w:ascii="Arial" w:hAnsi="Arial" w:eastAsia="Arial" w:cs="Arial"/>
          <w:highlight w:val="none"/>
          <w:lang w:val="pt-BR"/>
        </w:rPr>
        <w:t xml:space="preserve"> Eventuais diferenças entre os quantitativos adquiridos nos exercícios anteriores e as quantidades atualmente estimadas poderão decorrer do aumento ou da alteração da demanda assistencial, da ampliação ou reorganização dos pos</w:t>
      </w:r>
      <w:r>
        <w:rPr>
          <w:rFonts w:ascii="Arial" w:hAnsi="Arial" w:eastAsia="Arial" w:cs="Arial"/>
          <w:highlight w:val="none"/>
          <w:lang w:val="pt-BR"/>
        </w:rPr>
        <w:t xml:space="preserve">tos de coleta, da modificação de protocolos laboratoriais, do atendimento de demanda reprimida, da variação do perfil epidemiológico, da recomposição dos estoques ou da necessidade de manutenção de reserva mínima para assegurar a continuidade dos serviços.</w:t>
      </w:r>
      <w:r>
        <w:rPr>
          <w:rFonts w:ascii="Arial" w:hAnsi="Arial" w:cs="Arial"/>
          <w:highlight w:val="none"/>
        </w:rPr>
      </w:r>
      <w:r>
        <w:rPr>
          <w:rFonts w:ascii="Arial" w:hAnsi="Arial" w:cs="Arial"/>
          <w:highlight w:val="none"/>
        </w:rPr>
      </w:r>
    </w:p>
    <w:p w14:paraId="41AAFA8D">
      <w:pPr>
        <w:pBdr/>
        <w:spacing/>
        <w:ind/>
        <w:jc w:val="both"/>
        <w:rPr>
          <w:rFonts w:ascii="Arial" w:hAnsi="Arial" w:cs="Arial"/>
          <w:sz w:val="18"/>
          <w:szCs w:val="18"/>
          <w:highlight w:val="none"/>
        </w:rPr>
      </w:pPr>
      <w:r>
        <w:rPr>
          <w:rFonts w:ascii="Arial" w:hAnsi="Arial" w:eastAsia="Arial" w:cs="Arial"/>
          <w:sz w:val="18"/>
          <w:szCs w:val="18"/>
          <w:highlight w:val="none"/>
          <w:lang w:val="pt-BR"/>
        </w:rPr>
      </w:r>
      <w:r>
        <w:rPr>
          <w:rFonts w:ascii="Arial" w:hAnsi="Arial" w:cs="Arial"/>
          <w:sz w:val="18"/>
          <w:szCs w:val="18"/>
          <w:highlight w:val="none"/>
        </w:rPr>
      </w:r>
      <w:r>
        <w:rPr>
          <w:rFonts w:ascii="Arial" w:hAnsi="Arial" w:cs="Arial"/>
          <w:sz w:val="18"/>
          <w:szCs w:val="18"/>
          <w:highlight w:val="none"/>
        </w:rPr>
      </w:r>
    </w:p>
    <w:tbl>
      <w:tblPr>
        <w:tblInd w:w="20" w:type="dxa"/>
        <w:tblW w:w="10525" w:type="dxa"/>
        <w:tblCellMar>
          <w:left w:w="55" w:type="dxa"/>
          <w:top w:w="55" w:type="dxa"/>
          <w:right w:w="55" w:type="dxa"/>
          <w:bottom w:w="55" w:type="dxa"/>
        </w:tblCellMar>
        <w:tblBorders/>
        <w:tblLayout w:type="fixed"/>
        <w:tblLook w:val="04A0" w:firstRow="1" w:lastRow="0" w:firstColumn="1" w:lastColumn="0" w:noHBand="0" w:noVBand="1"/>
      </w:tblPr>
      <w:tblGrid>
        <w:gridCol w:w="572"/>
        <w:gridCol w:w="3798"/>
        <w:gridCol w:w="425"/>
        <w:gridCol w:w="567"/>
        <w:gridCol w:w="567"/>
        <w:gridCol w:w="665"/>
        <w:gridCol w:w="451"/>
        <w:gridCol w:w="734"/>
        <w:gridCol w:w="721"/>
        <w:gridCol w:w="483"/>
        <w:gridCol w:w="675"/>
        <w:gridCol w:w="867"/>
      </w:tblGrid>
      <w:tr>
        <w:trPr>
          <w:trHeight w:val="300"/>
        </w:trPr>
        <w:tc>
          <w:tcPr>
            <w:gridSpan w:val="12"/>
            <w:shd w:val="clear" w:color="ffffff" w:fill="cccccc"/>
            <w:tcBorders>
              <w:top w:val="single" w:color="000000" w:sz="4" w:space="0"/>
              <w:left w:val="single" w:color="000000" w:sz="4" w:space="0"/>
              <w:bottom w:val="single" w:color="000000" w:sz="4" w:space="0"/>
              <w:right w:val="single" w:color="000000" w:sz="4" w:space="0"/>
            </w:tcBorders>
            <w:tcW w:w="10525" w:type="dxa"/>
            <w:vAlign w:val="center"/>
            <w:textDirection w:val="lrTb"/>
            <w:noWrap w:val="false"/>
          </w:tcPr>
          <w:p w14:paraId="43B5EF0A">
            <w:pPr>
              <w:pBdr/>
              <w:spacing/>
              <w:ind/>
              <w:jc w:val="center"/>
              <w:rPr>
                <w:rFonts w:ascii="Arial" w:hAnsi="Arial" w:cs="Arial"/>
                <w:b/>
                <w:bCs/>
                <w:color w:val="000000" w:themeColor="text1"/>
                <w:sz w:val="12"/>
                <w:szCs w:val="12"/>
                <w:highlight w:val="none"/>
              </w:rPr>
            </w:pPr>
            <w:r>
              <w:rPr>
                <w:rFonts w:ascii="Arial" w:hAnsi="Arial" w:eastAsia="Arial" w:cs="Arial"/>
                <w:b/>
                <w:bCs/>
                <w:color w:val="000000" w:themeColor="text1"/>
                <w:sz w:val="12"/>
                <w:szCs w:val="12"/>
                <w:highlight w:val="none"/>
              </w:rPr>
              <w:t xml:space="preserve">COMPARATIVO DE VALORES UNITÁRIOS DOS ÚLTIMOS 03 ANOS</w:t>
            </w:r>
            <w:r>
              <w:rPr>
                <w:rFonts w:ascii="Arial" w:hAnsi="Arial" w:cs="Arial"/>
                <w:b/>
                <w:bCs/>
                <w:color w:val="000000" w:themeColor="text1"/>
                <w:sz w:val="12"/>
                <w:szCs w:val="12"/>
                <w:highlight w:val="none"/>
              </w:rPr>
            </w:r>
            <w:r>
              <w:rPr>
                <w:rFonts w:ascii="Arial" w:hAnsi="Arial" w:cs="Arial"/>
                <w:b/>
                <w:bCs/>
                <w:color w:val="000000" w:themeColor="text1"/>
                <w:sz w:val="12"/>
                <w:szCs w:val="12"/>
                <w:highlight w:val="none"/>
              </w:rPr>
            </w:r>
          </w:p>
        </w:tc>
      </w:tr>
      <w:tr>
        <w:trPr>
          <w:trHeight w:val="300"/>
        </w:trPr>
        <w:tc>
          <w:tcPr>
            <w:shd w:val="clear" w:color="ffffff" w:fill="cccccc"/>
            <w:tcBorders>
              <w:left w:val="single" w:color="000000" w:sz="4" w:space="0"/>
              <w:bottom w:val="single" w:color="000000" w:sz="4" w:space="0"/>
            </w:tcBorders>
            <w:tcW w:w="572" w:type="dxa"/>
            <w:vAlign w:val="center"/>
            <w:textDirection w:val="lrTb"/>
            <w:noWrap w:val="false"/>
          </w:tcPr>
          <w:p w14:paraId="4B1F40EB">
            <w:pPr>
              <w:pBdr/>
              <w:spacing/>
              <w:ind/>
              <w:jc w:val="center"/>
              <w:rPr>
                <w:rFonts w:ascii="Arial" w:hAnsi="Arial" w:cs="Arial"/>
                <w:b/>
                <w:bCs/>
                <w:color w:val="000000" w:themeColor="text1"/>
                <w:sz w:val="12"/>
                <w:szCs w:val="12"/>
                <w:highlight w:val="none"/>
              </w:rPr>
            </w:pPr>
            <w:r>
              <w:rPr>
                <w:rFonts w:ascii="Arial" w:hAnsi="Arial" w:eastAsia="Arial" w:cs="Arial"/>
                <w:b/>
                <w:bCs/>
                <w:color w:val="000000" w:themeColor="text1"/>
                <w:sz w:val="12"/>
                <w:szCs w:val="12"/>
                <w:highlight w:val="none"/>
              </w:rPr>
              <w:t xml:space="preserve">ITEM</w:t>
            </w:r>
            <w:r>
              <w:rPr>
                <w:rFonts w:ascii="Arial" w:hAnsi="Arial" w:cs="Arial"/>
                <w:b/>
                <w:bCs/>
                <w:color w:val="000000" w:themeColor="text1"/>
                <w:sz w:val="12"/>
                <w:szCs w:val="12"/>
                <w:highlight w:val="none"/>
              </w:rPr>
            </w:r>
            <w:r>
              <w:rPr>
                <w:rFonts w:ascii="Arial" w:hAnsi="Arial" w:cs="Arial"/>
                <w:b/>
                <w:bCs/>
                <w:color w:val="000000" w:themeColor="text1"/>
                <w:sz w:val="12"/>
                <w:szCs w:val="12"/>
                <w:highlight w:val="none"/>
              </w:rPr>
            </w:r>
          </w:p>
        </w:tc>
        <w:tc>
          <w:tcPr>
            <w:shd w:val="clear" w:color="ffffff" w:fill="cccccc"/>
            <w:tcBorders>
              <w:left w:val="single" w:color="000000" w:sz="4" w:space="0"/>
              <w:bottom w:val="single" w:color="000000" w:sz="4" w:space="0"/>
            </w:tcBorders>
            <w:tcW w:w="3798" w:type="dxa"/>
            <w:vAlign w:val="center"/>
            <w:textDirection w:val="lrTb"/>
            <w:noWrap w:val="false"/>
          </w:tcPr>
          <w:p w14:paraId="4E6BE3B3">
            <w:pPr>
              <w:pBdr/>
              <w:spacing/>
              <w:ind/>
              <w:jc w:val="center"/>
              <w:rPr>
                <w:rFonts w:ascii="Arial" w:hAnsi="Arial" w:cs="Arial"/>
                <w:b/>
                <w:bCs/>
                <w:color w:val="000000" w:themeColor="text1"/>
                <w:sz w:val="12"/>
                <w:szCs w:val="12"/>
                <w:highlight w:val="none"/>
              </w:rPr>
            </w:pPr>
            <w:r>
              <w:rPr>
                <w:rFonts w:ascii="Arial" w:hAnsi="Arial" w:eastAsia="Arial" w:cs="Arial"/>
                <w:b/>
                <w:bCs/>
                <w:color w:val="000000" w:themeColor="text1"/>
                <w:sz w:val="12"/>
                <w:szCs w:val="12"/>
                <w:highlight w:val="none"/>
              </w:rPr>
              <w:t xml:space="preserve">DESCRIÇÃO</w:t>
            </w:r>
            <w:r>
              <w:rPr>
                <w:rFonts w:ascii="Arial" w:hAnsi="Arial" w:cs="Arial"/>
                <w:b/>
                <w:bCs/>
                <w:color w:val="000000" w:themeColor="text1"/>
                <w:sz w:val="12"/>
                <w:szCs w:val="12"/>
                <w:highlight w:val="none"/>
              </w:rPr>
            </w:r>
            <w:r>
              <w:rPr>
                <w:rFonts w:ascii="Arial" w:hAnsi="Arial" w:cs="Arial"/>
                <w:b/>
                <w:bCs/>
                <w:color w:val="000000" w:themeColor="text1"/>
                <w:sz w:val="12"/>
                <w:szCs w:val="12"/>
                <w:highlight w:val="none"/>
              </w:rPr>
            </w:r>
          </w:p>
        </w:tc>
        <w:tc>
          <w:tcPr>
            <w:shd w:val="clear" w:color="ffffff" w:fill="cccccc"/>
            <w:tcBorders>
              <w:left w:val="single" w:color="000000" w:sz="4" w:space="0"/>
              <w:bottom w:val="single" w:color="000000" w:sz="4" w:space="0"/>
            </w:tcBorders>
            <w:tcW w:w="425" w:type="dxa"/>
            <w:vAlign w:val="center"/>
            <w:textDirection w:val="lrTb"/>
            <w:noWrap w:val="false"/>
          </w:tcPr>
          <w:p w14:paraId="0EE3C422">
            <w:pPr>
              <w:pBdr/>
              <w:spacing/>
              <w:ind/>
              <w:jc w:val="center"/>
              <w:rPr>
                <w:rFonts w:ascii="Arial" w:hAnsi="Arial" w:cs="Arial"/>
                <w:b/>
                <w:bCs/>
                <w:color w:val="000000" w:themeColor="text1"/>
                <w:sz w:val="12"/>
                <w:szCs w:val="12"/>
                <w:highlight w:val="none"/>
              </w:rPr>
            </w:pPr>
            <w:r>
              <w:rPr>
                <w:rFonts w:ascii="Arial" w:hAnsi="Arial" w:eastAsia="Arial" w:cs="Arial"/>
                <w:b/>
                <w:bCs/>
                <w:color w:val="000000" w:themeColor="text1"/>
                <w:sz w:val="12"/>
                <w:szCs w:val="12"/>
                <w:highlight w:val="none"/>
              </w:rPr>
              <w:t xml:space="preserve">UND</w:t>
            </w:r>
            <w:r>
              <w:rPr>
                <w:rFonts w:ascii="Arial" w:hAnsi="Arial" w:cs="Arial"/>
                <w:b/>
                <w:bCs/>
                <w:color w:val="000000" w:themeColor="text1"/>
                <w:sz w:val="12"/>
                <w:szCs w:val="12"/>
                <w:highlight w:val="none"/>
              </w:rPr>
            </w:r>
            <w:r>
              <w:rPr>
                <w:rFonts w:ascii="Arial" w:hAnsi="Arial" w:cs="Arial"/>
                <w:b/>
                <w:bCs/>
                <w:color w:val="000000" w:themeColor="text1"/>
                <w:sz w:val="12"/>
                <w:szCs w:val="12"/>
                <w:highlight w:val="none"/>
              </w:rPr>
            </w:r>
          </w:p>
        </w:tc>
        <w:tc>
          <w:tcPr>
            <w:shd w:val="clear" w:color="ffffff" w:fill="cccccc"/>
            <w:tcBorders>
              <w:left w:val="single" w:color="000000" w:sz="4" w:space="0"/>
              <w:bottom w:val="single" w:color="000000" w:sz="4" w:space="0"/>
            </w:tcBorders>
            <w:tcW w:w="567" w:type="dxa"/>
            <w:vAlign w:val="center"/>
            <w:textDirection w:val="lrTb"/>
            <w:noWrap w:val="false"/>
          </w:tcPr>
          <w:p w14:paraId="16B5DE91">
            <w:pPr>
              <w:pBdr/>
              <w:spacing/>
              <w:ind/>
              <w:jc w:val="center"/>
              <w:rPr>
                <w:rFonts w:ascii="Arial" w:hAnsi="Arial" w:cs="Arial"/>
                <w:b/>
                <w:bCs/>
                <w:color w:val="000000" w:themeColor="text1"/>
                <w:sz w:val="12"/>
                <w:szCs w:val="12"/>
                <w:highlight w:val="none"/>
              </w:rPr>
            </w:pPr>
            <w:r>
              <w:rPr>
                <w:rFonts w:ascii="Arial" w:hAnsi="Arial" w:eastAsia="Arial" w:cs="Arial"/>
                <w:b/>
                <w:bCs/>
                <w:color w:val="000000" w:themeColor="text1"/>
                <w:sz w:val="12"/>
                <w:szCs w:val="12"/>
                <w:highlight w:val="none"/>
              </w:rPr>
              <w:t xml:space="preserve">QTD</w:t>
            </w:r>
            <w:r>
              <w:rPr>
                <w:rFonts w:ascii="Arial" w:hAnsi="Arial" w:eastAsia="Arial" w:cs="Arial"/>
                <w:b/>
                <w:bCs/>
                <w:color w:val="000000" w:themeColor="text1"/>
                <w:sz w:val="12"/>
                <w:szCs w:val="12"/>
                <w:highlight w:val="none"/>
                <w:lang w:val="pt-BR"/>
              </w:rPr>
              <w:t xml:space="preserve"> 2023</w:t>
            </w:r>
            <w:r>
              <w:rPr>
                <w:rFonts w:ascii="Arial" w:hAnsi="Arial" w:cs="Arial"/>
                <w:b/>
                <w:bCs/>
                <w:color w:val="000000" w:themeColor="text1"/>
                <w:sz w:val="12"/>
                <w:szCs w:val="12"/>
                <w:highlight w:val="none"/>
              </w:rPr>
            </w:r>
            <w:r>
              <w:rPr>
                <w:rFonts w:ascii="Arial" w:hAnsi="Arial" w:cs="Arial"/>
                <w:b/>
                <w:bCs/>
                <w:color w:val="000000" w:themeColor="text1"/>
                <w:sz w:val="12"/>
                <w:szCs w:val="12"/>
                <w:highlight w:val="none"/>
              </w:rPr>
            </w:r>
          </w:p>
        </w:tc>
        <w:tc>
          <w:tcPr>
            <w:shd w:val="clear" w:color="ffffff" w:fill="cccccc"/>
            <w:tcBorders>
              <w:left w:val="single" w:color="000000" w:sz="4" w:space="0"/>
              <w:bottom w:val="single" w:color="000000" w:sz="4" w:space="0"/>
            </w:tcBorders>
            <w:tcW w:w="567" w:type="dxa"/>
            <w:vAlign w:val="center"/>
            <w:textDirection w:val="lrTb"/>
            <w:noWrap w:val="false"/>
          </w:tcPr>
          <w:p w14:paraId="3D782660">
            <w:pPr>
              <w:pBdr/>
              <w:spacing/>
              <w:ind/>
              <w:jc w:val="center"/>
              <w:rPr>
                <w:rFonts w:ascii="Arial" w:hAnsi="Arial" w:cs="Arial"/>
                <w:b/>
                <w:bCs/>
                <w:color w:val="000000" w:themeColor="text1"/>
                <w:sz w:val="12"/>
                <w:szCs w:val="12"/>
                <w:highlight w:val="none"/>
              </w:rPr>
            </w:pPr>
            <w:r>
              <w:rPr>
                <w:rFonts w:ascii="Arial" w:hAnsi="Arial" w:eastAsia="Arial" w:cs="Arial"/>
                <w:b/>
                <w:bCs/>
                <w:color w:val="000000" w:themeColor="text1"/>
                <w:sz w:val="12"/>
                <w:szCs w:val="12"/>
                <w:highlight w:val="none"/>
              </w:rPr>
              <w:t xml:space="preserve">VALOR UND</w:t>
            </w:r>
            <w:r>
              <w:rPr>
                <w:rFonts w:ascii="Arial" w:hAnsi="Arial" w:eastAsia="Arial" w:cs="Arial"/>
                <w:b/>
                <w:bCs/>
                <w:color w:val="000000" w:themeColor="text1"/>
                <w:sz w:val="12"/>
                <w:szCs w:val="12"/>
                <w:highlight w:val="none"/>
                <w:lang w:val="pt-BR"/>
              </w:rPr>
              <w:t xml:space="preserve"> 2023</w:t>
            </w:r>
            <w:r>
              <w:rPr>
                <w:rFonts w:ascii="Arial" w:hAnsi="Arial" w:cs="Arial"/>
                <w:b/>
                <w:bCs/>
                <w:color w:val="000000" w:themeColor="text1"/>
                <w:sz w:val="12"/>
                <w:szCs w:val="12"/>
                <w:highlight w:val="none"/>
              </w:rPr>
            </w:r>
            <w:r>
              <w:rPr>
                <w:rFonts w:ascii="Arial" w:hAnsi="Arial" w:cs="Arial"/>
                <w:b/>
                <w:bCs/>
                <w:color w:val="000000" w:themeColor="text1"/>
                <w:sz w:val="12"/>
                <w:szCs w:val="12"/>
                <w:highlight w:val="none"/>
              </w:rPr>
            </w:r>
          </w:p>
        </w:tc>
        <w:tc>
          <w:tcPr>
            <w:shd w:val="clear" w:color="ffffff" w:fill="cccccc"/>
            <w:tcBorders>
              <w:left w:val="single" w:color="000000" w:sz="4" w:space="0"/>
              <w:bottom w:val="single" w:color="000000" w:sz="4" w:space="0"/>
            </w:tcBorders>
            <w:tcW w:w="665" w:type="dxa"/>
            <w:vAlign w:val="center"/>
            <w:textDirection w:val="lrTb"/>
            <w:noWrap w:val="false"/>
          </w:tcPr>
          <w:p w14:paraId="015C2416">
            <w:pPr>
              <w:pBdr/>
              <w:spacing/>
              <w:ind/>
              <w:jc w:val="center"/>
              <w:rPr>
                <w:rFonts w:ascii="Arial" w:hAnsi="Arial" w:cs="Arial"/>
                <w:b/>
                <w:bCs/>
                <w:color w:val="000000" w:themeColor="text1"/>
                <w:sz w:val="12"/>
                <w:szCs w:val="12"/>
                <w:highlight w:val="none"/>
              </w:rPr>
            </w:pPr>
            <w:r>
              <w:rPr>
                <w:rFonts w:ascii="Arial" w:hAnsi="Arial" w:eastAsia="Arial" w:cs="Arial"/>
                <w:b/>
                <w:bCs/>
                <w:color w:val="000000" w:themeColor="text1"/>
                <w:sz w:val="12"/>
                <w:szCs w:val="12"/>
                <w:highlight w:val="none"/>
              </w:rPr>
              <w:t xml:space="preserve">VALOR TOTAL</w:t>
            </w:r>
            <w:r>
              <w:rPr>
                <w:rFonts w:ascii="Arial" w:hAnsi="Arial" w:eastAsia="Arial" w:cs="Arial"/>
                <w:b/>
                <w:bCs/>
                <w:color w:val="000000" w:themeColor="text1"/>
                <w:sz w:val="12"/>
                <w:szCs w:val="12"/>
                <w:highlight w:val="none"/>
                <w:lang w:val="pt-BR"/>
              </w:rPr>
              <w:t xml:space="preserve"> 2023</w:t>
            </w:r>
            <w:r>
              <w:rPr>
                <w:rFonts w:ascii="Arial" w:hAnsi="Arial" w:cs="Arial"/>
                <w:b/>
                <w:bCs/>
                <w:color w:val="000000" w:themeColor="text1"/>
                <w:sz w:val="12"/>
                <w:szCs w:val="12"/>
                <w:highlight w:val="none"/>
              </w:rPr>
            </w:r>
            <w:r>
              <w:rPr>
                <w:rFonts w:ascii="Arial" w:hAnsi="Arial" w:cs="Arial"/>
                <w:b/>
                <w:bCs/>
                <w:color w:val="000000" w:themeColor="text1"/>
                <w:sz w:val="12"/>
                <w:szCs w:val="12"/>
                <w:highlight w:val="none"/>
              </w:rPr>
            </w:r>
          </w:p>
        </w:tc>
        <w:tc>
          <w:tcPr>
            <w:shd w:val="clear" w:color="ffffff" w:fill="cccccc"/>
            <w:tcBorders>
              <w:left w:val="single" w:color="000000" w:sz="4" w:space="0"/>
              <w:bottom w:val="single" w:color="000000" w:sz="4" w:space="0"/>
            </w:tcBorders>
            <w:tcW w:w="451" w:type="dxa"/>
            <w:vAlign w:val="center"/>
            <w:textDirection w:val="lrTb"/>
            <w:noWrap w:val="false"/>
          </w:tcPr>
          <w:p w14:paraId="1887B6CF">
            <w:pPr>
              <w:pBdr/>
              <w:spacing/>
              <w:ind/>
              <w:jc w:val="center"/>
              <w:rPr>
                <w:rFonts w:ascii="Arial" w:hAnsi="Arial" w:cs="Arial"/>
                <w:b/>
                <w:bCs/>
                <w:color w:val="000000" w:themeColor="text1"/>
                <w:sz w:val="12"/>
                <w:szCs w:val="12"/>
                <w:highlight w:val="none"/>
              </w:rPr>
            </w:pPr>
            <w:r>
              <w:rPr>
                <w:rFonts w:ascii="Arial" w:hAnsi="Arial" w:eastAsia="Arial" w:cs="Arial"/>
                <w:b/>
                <w:bCs/>
                <w:color w:val="000000" w:themeColor="text1"/>
                <w:sz w:val="12"/>
                <w:szCs w:val="12"/>
                <w:highlight w:val="none"/>
              </w:rPr>
              <w:t xml:space="preserve">QTD</w:t>
            </w:r>
            <w:r>
              <w:rPr>
                <w:rFonts w:ascii="Arial" w:hAnsi="Arial" w:eastAsia="Arial" w:cs="Arial"/>
                <w:b/>
                <w:bCs/>
                <w:color w:val="000000" w:themeColor="text1"/>
                <w:sz w:val="12"/>
                <w:szCs w:val="12"/>
                <w:highlight w:val="none"/>
                <w:lang w:val="pt-BR"/>
              </w:rPr>
              <w:t xml:space="preserve"> 2024</w:t>
            </w:r>
            <w:r>
              <w:rPr>
                <w:rFonts w:ascii="Arial" w:hAnsi="Arial" w:cs="Arial"/>
                <w:b/>
                <w:bCs/>
                <w:color w:val="000000" w:themeColor="text1"/>
                <w:sz w:val="12"/>
                <w:szCs w:val="12"/>
                <w:highlight w:val="none"/>
              </w:rPr>
            </w:r>
            <w:r>
              <w:rPr>
                <w:rFonts w:ascii="Arial" w:hAnsi="Arial" w:cs="Arial"/>
                <w:b/>
                <w:bCs/>
                <w:color w:val="000000" w:themeColor="text1"/>
                <w:sz w:val="12"/>
                <w:szCs w:val="12"/>
                <w:highlight w:val="none"/>
              </w:rPr>
            </w:r>
          </w:p>
        </w:tc>
        <w:tc>
          <w:tcPr>
            <w:shd w:val="clear" w:color="ffffff" w:fill="cccccc"/>
            <w:tcBorders>
              <w:top w:val="single" w:color="000000" w:sz="4" w:space="0"/>
              <w:left w:val="single" w:color="000000" w:sz="4" w:space="0"/>
              <w:bottom w:val="single" w:color="000000" w:sz="4" w:space="0"/>
            </w:tcBorders>
            <w:tcW w:w="734" w:type="dxa"/>
            <w:vAlign w:val="center"/>
            <w:textDirection w:val="lrTb"/>
            <w:noWrap w:val="false"/>
          </w:tcPr>
          <w:p w14:paraId="626B39AF">
            <w:pPr>
              <w:pBdr/>
              <w:spacing/>
              <w:ind/>
              <w:jc w:val="center"/>
              <w:rPr>
                <w:rFonts w:ascii="Arial" w:hAnsi="Arial" w:cs="Arial"/>
                <w:b/>
                <w:bCs/>
                <w:color w:val="000000" w:themeColor="text1"/>
                <w:sz w:val="12"/>
                <w:szCs w:val="12"/>
                <w:highlight w:val="none"/>
              </w:rPr>
            </w:pPr>
            <w:r>
              <w:rPr>
                <w:rFonts w:ascii="Arial" w:hAnsi="Arial" w:eastAsia="Arial" w:cs="Arial"/>
                <w:b/>
                <w:bCs/>
                <w:color w:val="000000" w:themeColor="text1"/>
                <w:sz w:val="12"/>
                <w:szCs w:val="12"/>
                <w:highlight w:val="none"/>
              </w:rPr>
              <w:t xml:space="preserve">VALOR UND</w:t>
            </w:r>
            <w:r>
              <w:rPr>
                <w:rFonts w:ascii="Arial" w:hAnsi="Arial" w:eastAsia="Arial" w:cs="Arial"/>
                <w:b/>
                <w:bCs/>
                <w:color w:val="000000" w:themeColor="text1"/>
                <w:sz w:val="12"/>
                <w:szCs w:val="12"/>
                <w:highlight w:val="none"/>
                <w:lang w:val="pt-BR"/>
              </w:rPr>
              <w:t xml:space="preserve"> 2024</w:t>
            </w:r>
            <w:r>
              <w:rPr>
                <w:rFonts w:ascii="Arial" w:hAnsi="Arial" w:cs="Arial"/>
                <w:b/>
                <w:bCs/>
                <w:color w:val="000000" w:themeColor="text1"/>
                <w:sz w:val="12"/>
                <w:szCs w:val="12"/>
                <w:highlight w:val="none"/>
              </w:rPr>
            </w:r>
            <w:r>
              <w:rPr>
                <w:rFonts w:ascii="Arial" w:hAnsi="Arial" w:cs="Arial"/>
                <w:b/>
                <w:bCs/>
                <w:color w:val="000000" w:themeColor="text1"/>
                <w:sz w:val="12"/>
                <w:szCs w:val="12"/>
                <w:highlight w:val="none"/>
              </w:rPr>
            </w:r>
          </w:p>
        </w:tc>
        <w:tc>
          <w:tcPr>
            <w:shd w:val="clear" w:color="ffffff" w:fill="cccccc"/>
            <w:tcBorders>
              <w:top w:val="single" w:color="000000" w:sz="4" w:space="0"/>
              <w:left w:val="single" w:color="000000" w:sz="4" w:space="0"/>
              <w:bottom w:val="single" w:color="000000" w:sz="4" w:space="0"/>
            </w:tcBorders>
            <w:tcW w:w="721" w:type="dxa"/>
            <w:vAlign w:val="center"/>
            <w:textDirection w:val="lrTb"/>
            <w:noWrap w:val="false"/>
          </w:tcPr>
          <w:p w14:paraId="64049702">
            <w:pPr>
              <w:pBdr/>
              <w:spacing/>
              <w:ind/>
              <w:jc w:val="center"/>
              <w:rPr>
                <w:rFonts w:ascii="Arial" w:hAnsi="Arial" w:cs="Arial"/>
                <w:b/>
                <w:bCs/>
                <w:color w:val="000000" w:themeColor="text1"/>
                <w:sz w:val="12"/>
                <w:szCs w:val="12"/>
                <w:highlight w:val="none"/>
              </w:rPr>
            </w:pPr>
            <w:r>
              <w:rPr>
                <w:rFonts w:ascii="Arial" w:hAnsi="Arial" w:eastAsia="Arial" w:cs="Arial"/>
                <w:b/>
                <w:bCs/>
                <w:color w:val="000000" w:themeColor="text1"/>
                <w:sz w:val="12"/>
                <w:szCs w:val="12"/>
                <w:highlight w:val="none"/>
              </w:rPr>
              <w:t xml:space="preserve">VALOR TOTAL</w:t>
            </w:r>
            <w:r>
              <w:rPr>
                <w:rFonts w:ascii="Arial" w:hAnsi="Arial" w:eastAsia="Arial" w:cs="Arial"/>
                <w:b/>
                <w:bCs/>
                <w:color w:val="000000" w:themeColor="text1"/>
                <w:sz w:val="12"/>
                <w:szCs w:val="12"/>
                <w:highlight w:val="none"/>
                <w:lang w:val="pt-BR"/>
              </w:rPr>
              <w:t xml:space="preserve"> 2024</w:t>
            </w:r>
            <w:r>
              <w:rPr>
                <w:rFonts w:ascii="Arial" w:hAnsi="Arial" w:cs="Arial"/>
                <w:b/>
                <w:bCs/>
                <w:color w:val="000000" w:themeColor="text1"/>
                <w:sz w:val="12"/>
                <w:szCs w:val="12"/>
                <w:highlight w:val="none"/>
              </w:rPr>
            </w:r>
            <w:r>
              <w:rPr>
                <w:rFonts w:ascii="Arial" w:hAnsi="Arial" w:cs="Arial"/>
                <w:b/>
                <w:bCs/>
                <w:color w:val="000000" w:themeColor="text1"/>
                <w:sz w:val="12"/>
                <w:szCs w:val="12"/>
                <w:highlight w:val="none"/>
              </w:rPr>
            </w:r>
          </w:p>
        </w:tc>
        <w:tc>
          <w:tcPr>
            <w:shd w:val="clear" w:color="ffffff" w:fill="cccccc"/>
            <w:tcBorders>
              <w:top w:val="single" w:color="000000" w:sz="4" w:space="0"/>
              <w:left w:val="single" w:color="000000" w:sz="4" w:space="0"/>
              <w:bottom w:val="single" w:color="000000" w:sz="4" w:space="0"/>
            </w:tcBorders>
            <w:tcW w:w="483" w:type="dxa"/>
            <w:vAlign w:val="center"/>
            <w:textDirection w:val="lrTb"/>
            <w:noWrap w:val="false"/>
          </w:tcPr>
          <w:p w14:paraId="445B1BE3">
            <w:pPr>
              <w:pBdr/>
              <w:spacing/>
              <w:ind/>
              <w:jc w:val="center"/>
              <w:rPr>
                <w:rFonts w:ascii="Arial" w:hAnsi="Arial" w:cs="Arial"/>
                <w:b/>
                <w:bCs/>
                <w:color w:val="000000" w:themeColor="text1"/>
                <w:sz w:val="12"/>
                <w:szCs w:val="12"/>
                <w:highlight w:val="none"/>
              </w:rPr>
            </w:pPr>
            <w:r>
              <w:rPr>
                <w:rFonts w:ascii="Arial" w:hAnsi="Arial" w:eastAsia="Arial" w:cs="Arial"/>
                <w:b/>
                <w:bCs/>
                <w:color w:val="000000" w:themeColor="text1"/>
                <w:sz w:val="12"/>
                <w:szCs w:val="12"/>
                <w:highlight w:val="none"/>
              </w:rPr>
              <w:t xml:space="preserve">QTD</w:t>
            </w:r>
            <w:r>
              <w:rPr>
                <w:rFonts w:ascii="Arial" w:hAnsi="Arial" w:eastAsia="Arial" w:cs="Arial"/>
                <w:b/>
                <w:bCs/>
                <w:color w:val="000000" w:themeColor="text1"/>
                <w:sz w:val="12"/>
                <w:szCs w:val="12"/>
                <w:highlight w:val="none"/>
                <w:lang w:val="pt-BR"/>
              </w:rPr>
              <w:t xml:space="preserve"> 2025</w:t>
            </w:r>
            <w:r>
              <w:rPr>
                <w:rFonts w:ascii="Arial" w:hAnsi="Arial" w:cs="Arial"/>
                <w:b/>
                <w:bCs/>
                <w:color w:val="000000" w:themeColor="text1"/>
                <w:sz w:val="12"/>
                <w:szCs w:val="12"/>
                <w:highlight w:val="none"/>
              </w:rPr>
            </w:r>
            <w:r>
              <w:rPr>
                <w:rFonts w:ascii="Arial" w:hAnsi="Arial" w:cs="Arial"/>
                <w:b/>
                <w:bCs/>
                <w:color w:val="000000" w:themeColor="text1"/>
                <w:sz w:val="12"/>
                <w:szCs w:val="12"/>
                <w:highlight w:val="none"/>
              </w:rPr>
            </w:r>
          </w:p>
        </w:tc>
        <w:tc>
          <w:tcPr>
            <w:shd w:val="clear" w:color="ffffff" w:fill="cccccc"/>
            <w:tcBorders>
              <w:top w:val="single" w:color="000000" w:sz="4" w:space="0"/>
              <w:left w:val="single" w:color="000000" w:sz="4" w:space="0"/>
              <w:bottom w:val="single" w:color="000000" w:sz="4" w:space="0"/>
            </w:tcBorders>
            <w:tcW w:w="675" w:type="dxa"/>
            <w:vAlign w:val="center"/>
            <w:textDirection w:val="lrTb"/>
            <w:noWrap w:val="false"/>
          </w:tcPr>
          <w:p w14:paraId="4310983D">
            <w:pPr>
              <w:pBdr/>
              <w:spacing/>
              <w:ind/>
              <w:jc w:val="center"/>
              <w:rPr>
                <w:rFonts w:ascii="Arial" w:hAnsi="Arial" w:cs="Arial"/>
                <w:b/>
                <w:bCs/>
                <w:color w:val="000000" w:themeColor="text1"/>
                <w:sz w:val="12"/>
                <w:szCs w:val="12"/>
                <w:highlight w:val="none"/>
              </w:rPr>
            </w:pPr>
            <w:r>
              <w:rPr>
                <w:rFonts w:ascii="Arial" w:hAnsi="Arial" w:eastAsia="Arial" w:cs="Arial"/>
                <w:b/>
                <w:bCs/>
                <w:color w:val="000000" w:themeColor="text1"/>
                <w:sz w:val="12"/>
                <w:szCs w:val="12"/>
                <w:highlight w:val="none"/>
              </w:rPr>
              <w:t xml:space="preserve">VALOR UND</w:t>
            </w:r>
            <w:r>
              <w:rPr>
                <w:rFonts w:ascii="Arial" w:hAnsi="Arial" w:eastAsia="Arial" w:cs="Arial"/>
                <w:b/>
                <w:bCs/>
                <w:color w:val="000000" w:themeColor="text1"/>
                <w:sz w:val="12"/>
                <w:szCs w:val="12"/>
                <w:highlight w:val="none"/>
                <w:lang w:val="pt-BR"/>
              </w:rPr>
              <w:t xml:space="preserve"> 2025</w:t>
            </w:r>
            <w:r>
              <w:rPr>
                <w:rFonts w:ascii="Arial" w:hAnsi="Arial" w:cs="Arial"/>
                <w:b/>
                <w:bCs/>
                <w:color w:val="000000" w:themeColor="text1"/>
                <w:sz w:val="12"/>
                <w:szCs w:val="12"/>
                <w:highlight w:val="none"/>
              </w:rPr>
            </w:r>
            <w:r>
              <w:rPr>
                <w:rFonts w:ascii="Arial" w:hAnsi="Arial" w:cs="Arial"/>
                <w:b/>
                <w:bCs/>
                <w:color w:val="000000" w:themeColor="text1"/>
                <w:sz w:val="12"/>
                <w:szCs w:val="12"/>
                <w:highlight w:val="none"/>
              </w:rPr>
            </w:r>
          </w:p>
        </w:tc>
        <w:tc>
          <w:tcPr>
            <w:shd w:val="clear" w:color="ffffff" w:fill="cccccc"/>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14:paraId="662145CC">
            <w:pPr>
              <w:pBdr/>
              <w:spacing/>
              <w:ind/>
              <w:jc w:val="center"/>
              <w:rPr>
                <w:rFonts w:ascii="Arial" w:hAnsi="Arial" w:cs="Arial"/>
                <w:b/>
                <w:bCs/>
                <w:color w:val="000000" w:themeColor="text1"/>
                <w:sz w:val="12"/>
                <w:szCs w:val="12"/>
                <w:highlight w:val="none"/>
              </w:rPr>
            </w:pPr>
            <w:r>
              <w:rPr>
                <w:rFonts w:ascii="Arial" w:hAnsi="Arial" w:eastAsia="Arial" w:cs="Arial"/>
                <w:b/>
                <w:bCs/>
                <w:color w:val="000000" w:themeColor="text1"/>
                <w:sz w:val="12"/>
                <w:szCs w:val="12"/>
                <w:highlight w:val="none"/>
              </w:rPr>
              <w:t xml:space="preserve">VALOR TOTAL</w:t>
            </w:r>
            <w:r>
              <w:rPr>
                <w:rFonts w:ascii="Arial" w:hAnsi="Arial" w:eastAsia="Arial" w:cs="Arial"/>
                <w:b/>
                <w:bCs/>
                <w:color w:val="000000" w:themeColor="text1"/>
                <w:sz w:val="12"/>
                <w:szCs w:val="12"/>
                <w:highlight w:val="none"/>
                <w:lang w:val="pt-BR"/>
              </w:rPr>
              <w:t xml:space="preserve"> 2025</w:t>
            </w:r>
            <w:r>
              <w:rPr>
                <w:rFonts w:ascii="Arial" w:hAnsi="Arial" w:cs="Arial"/>
                <w:b/>
                <w:bCs/>
                <w:color w:val="000000" w:themeColor="text1"/>
                <w:sz w:val="12"/>
                <w:szCs w:val="12"/>
                <w:highlight w:val="none"/>
              </w:rPr>
            </w:r>
            <w:r>
              <w:rPr>
                <w:rFonts w:ascii="Arial" w:hAnsi="Arial" w:cs="Arial"/>
                <w:b/>
                <w:bCs/>
                <w:color w:val="000000" w:themeColor="text1"/>
                <w:sz w:val="12"/>
                <w:szCs w:val="12"/>
                <w:highlight w:val="none"/>
              </w:rPr>
            </w:r>
          </w:p>
        </w:tc>
      </w:tr>
      <w:tr>
        <w:trPr>
          <w:trHeight w:val="276"/>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14:paraId="13F58B6C">
            <w:pPr>
              <w:pBdr/>
              <w:spacing/>
              <w:ind/>
              <w:jc w:val="center"/>
              <w:rPr>
                <w:rFonts w:ascii="Arial" w:hAnsi="Arial" w:cs="Arial"/>
                <w:color w:val="000000" w:themeColor="text1"/>
                <w:sz w:val="12"/>
                <w:szCs w:val="12"/>
                <w:highlight w:val="none"/>
              </w:rPr>
            </w:pPr>
            <w:r>
              <w:rPr>
                <w:rFonts w:ascii="Arial" w:hAnsi="Arial" w:eastAsia="Arial" w:cs="Arial"/>
                <w:color w:val="000000" w:themeColor="text1"/>
                <w:sz w:val="12"/>
                <w:szCs w:val="12"/>
                <w:highlight w:val="none"/>
              </w:rPr>
              <w:t xml:space="preserve">1</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14:paraId="48036FDE">
            <w:pPr>
              <w:pBdr/>
              <w:shd w:val="clear" w:color="auto" w:fill="ffffff"/>
              <w:spacing w:line="276" w:lineRule="auto"/>
              <w:ind/>
              <w:jc w:val="both"/>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AGULHA PARA COLETA DE SANGUE Á VÁCUO - 21G. MEDIDAS APROXIMADAS 25 A 32 X 0,8 MM. PARA COLETA MÚLTIPLA, A VÁCUO COM VISEL TRIFACETADO. SILICONZADO. ESTÉRIL. DESCARTÁVEL.  A AGULHA DEVER</w:t>
            </w:r>
            <w:r>
              <w:rPr>
                <w:rFonts w:ascii="Arial" w:hAnsi="Arial" w:eastAsia="Arial" w:cs="Arial"/>
                <w:color w:val="000000"/>
                <w:sz w:val="12"/>
                <w:szCs w:val="12"/>
                <w:highlight w:val="none"/>
              </w:rPr>
              <w:t xml:space="preserve">Á POSSUIR DISPOSITIVO DE SEGURANÇA INTEGRADO NA PRÓPRIA AGULHA OU NO ADAPTADOR, QUE APÓS ACIONADO RECOBRIRÁ COMPLETAMENTE A AGULHA, GARANTINDO TOTAL BIOSSEGURANÇA. PARA CADA AGULHA SERÁ FORNECIDO UM ADAPTADOR. ATENDER A NR:32. CONFORME TERMO DE REFERÊNCIA.</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14:paraId="36FD047D">
            <w:pPr>
              <w:pStyle w:val="2087"/>
              <w:pBdr/>
              <w:spacing/>
              <w:ind/>
              <w:jc w:val="center"/>
              <w:rPr>
                <w:rFonts w:ascii="Arial" w:hAnsi="Arial" w:cs="Arial"/>
                <w:color w:val="000000" w:themeColor="text1"/>
                <w:sz w:val="12"/>
                <w:szCs w:val="12"/>
                <w:highlight w:val="none"/>
              </w:rPr>
            </w:pPr>
            <w:r>
              <w:rPr>
                <w:rFonts w:ascii="Arial" w:hAnsi="Arial" w:eastAsia="Arial" w:cs="Arial"/>
                <w:color w:val="000000" w:themeColor="text1"/>
                <w:sz w:val="12"/>
                <w:szCs w:val="12"/>
                <w:highlight w:val="none"/>
                <w:lang w:val="pt-BR"/>
              </w:rPr>
              <w:t xml:space="preserve">UNID</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0AB50F05">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0</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03CB9971">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w:t>
            </w:r>
            <w:r>
              <w:rPr>
                <w:rFonts w:ascii="Arial" w:hAnsi="Arial" w:eastAsia="Arial" w:cs="Arial"/>
                <w:color w:val="000000"/>
                <w:sz w:val="12"/>
                <w:szCs w:val="12"/>
                <w:highlight w:val="none"/>
              </w:rPr>
              <w:t xml:space="preserve">0,0</w:t>
            </w:r>
            <w:r>
              <w:rPr>
                <w:rFonts w:ascii="Arial" w:hAnsi="Arial" w:eastAsia="Arial" w:cs="Arial"/>
                <w:color w:val="000000"/>
                <w:sz w:val="12"/>
                <w:szCs w:val="12"/>
                <w:highlight w:val="none"/>
              </w:rPr>
              <w:t xml:space="preserve">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14:paraId="288916DA">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R$ </w:t>
            </w:r>
            <w:r>
              <w:rPr>
                <w:rFonts w:ascii="Arial" w:hAnsi="Arial" w:eastAsia="Arial" w:cs="Arial"/>
                <w:color w:val="000000"/>
                <w:sz w:val="12"/>
                <w:szCs w:val="12"/>
                <w:highlight w:val="none"/>
              </w:rPr>
              <w:t xml:space="preserve">0,0</w:t>
            </w:r>
            <w:r>
              <w:rPr>
                <w:rFonts w:ascii="Arial" w:hAnsi="Arial" w:eastAsia="Arial" w:cs="Arial"/>
                <w:color w:val="000000"/>
                <w:sz w:val="12"/>
                <w:szCs w:val="12"/>
                <w:highlight w:val="none"/>
              </w:rPr>
              <w:t xml:space="preserve">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14:paraId="44CBEE38">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0</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14:paraId="34AEC754">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w:t>
            </w:r>
            <w:r>
              <w:rPr>
                <w:rFonts w:ascii="Arial" w:hAnsi="Arial" w:eastAsia="Arial" w:cs="Arial"/>
                <w:color w:val="000000"/>
                <w:sz w:val="12"/>
                <w:szCs w:val="12"/>
                <w:highlight w:val="none"/>
              </w:rPr>
              <w:t xml:space="preserve">0,0</w:t>
            </w:r>
            <w:r>
              <w:rPr>
                <w:rFonts w:ascii="Arial" w:hAnsi="Arial" w:eastAsia="Arial" w:cs="Arial"/>
                <w:color w:val="000000"/>
                <w:sz w:val="12"/>
                <w:szCs w:val="12"/>
                <w:highlight w:val="none"/>
              </w:rPr>
              <w:t xml:space="preserve">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14:paraId="1748648B">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R$ </w:t>
            </w:r>
            <w:r>
              <w:rPr>
                <w:rFonts w:ascii="Arial" w:hAnsi="Arial" w:eastAsia="Arial" w:cs="Arial"/>
                <w:color w:val="000000"/>
                <w:sz w:val="12"/>
                <w:szCs w:val="12"/>
                <w:highlight w:val="none"/>
              </w:rPr>
              <w:t xml:space="preserve">0,0</w:t>
            </w:r>
            <w:r>
              <w:rPr>
                <w:rFonts w:ascii="Arial" w:hAnsi="Arial" w:eastAsia="Arial" w:cs="Arial"/>
                <w:color w:val="000000"/>
                <w:sz w:val="12"/>
                <w:szCs w:val="12"/>
                <w:highlight w:val="none"/>
              </w:rPr>
              <w:t xml:space="preserve">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14:paraId="62053FED">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140000</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14:paraId="73B0889B">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0,35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14:paraId="291A13C7">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49.000,00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r>
      <w:tr>
        <w:trPr>
          <w:trHeight w:val="276"/>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14:paraId="6170830C">
            <w:pPr>
              <w:pBdr/>
              <w:spacing/>
              <w:ind/>
              <w:jc w:val="center"/>
              <w:rPr>
                <w:rFonts w:ascii="Arial" w:hAnsi="Arial" w:cs="Arial"/>
                <w:color w:val="000000" w:themeColor="text1"/>
                <w:sz w:val="12"/>
                <w:szCs w:val="12"/>
                <w:highlight w:val="none"/>
              </w:rPr>
            </w:pPr>
            <w:r>
              <w:rPr>
                <w:rFonts w:ascii="Arial" w:hAnsi="Arial" w:eastAsia="Arial" w:cs="Arial"/>
                <w:color w:val="000000" w:themeColor="text1"/>
                <w:sz w:val="12"/>
                <w:szCs w:val="12"/>
                <w:highlight w:val="none"/>
              </w:rPr>
              <w:t xml:space="preserve">2</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14:paraId="659B9479">
            <w:pPr>
              <w:pBdr/>
              <w:shd w:val="clear" w:color="auto" w:fill="ffffff"/>
              <w:spacing w:line="276" w:lineRule="auto"/>
              <w:ind/>
              <w:jc w:val="both"/>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TUBO DE COLETA DE SANGUE A VÁCUO – COM ANTICOAGULANTE EDTA-K2 OU K3. EM PLÁSTICO PET, TAMANHO 13X75 MM, ESTÉRIL. DESCARTÁVEL. INCOLOR. VOLUME DE 2,0 ML, COM TAMPA DE BORRACHA SILICONIZADA E CAPA PROTETORA NA COR ROXA.</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14:paraId="77D49E4E">
            <w:pPr>
              <w:pStyle w:val="2087"/>
              <w:pBdr/>
              <w:spacing/>
              <w:ind/>
              <w:jc w:val="center"/>
              <w:rPr>
                <w:rFonts w:ascii="Arial" w:hAnsi="Arial" w:cs="Arial"/>
                <w:color w:val="000000" w:themeColor="text1"/>
                <w:sz w:val="12"/>
                <w:szCs w:val="12"/>
                <w:highlight w:val="none"/>
              </w:rPr>
            </w:pPr>
            <w:r>
              <w:rPr>
                <w:rFonts w:ascii="Arial" w:hAnsi="Arial" w:eastAsia="Arial" w:cs="Arial"/>
                <w:color w:val="000000" w:themeColor="text1"/>
                <w:sz w:val="12"/>
                <w:szCs w:val="12"/>
                <w:highlight w:val="none"/>
                <w:lang w:val="pt-BR"/>
              </w:rPr>
              <w:t xml:space="preserve">UNID</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61EDB7E3">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5000</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1E12927B">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0,35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14:paraId="7CE2390B">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1.750,00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14:paraId="495BABD9">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150.000,00</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14:paraId="512CDFB5">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0,31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14:paraId="31C22DF4">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46.500,00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14:paraId="069F1F75">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5000</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14:paraId="159EA002">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0,42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14:paraId="2270D49C">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2.100,00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r>
      <w:tr>
        <w:trPr>
          <w:trHeight w:val="276"/>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14:paraId="40B12B68">
            <w:pPr>
              <w:pBdr/>
              <w:spacing/>
              <w:ind/>
              <w:jc w:val="center"/>
              <w:rPr>
                <w:rFonts w:ascii="Arial" w:hAnsi="Arial" w:cs="Arial"/>
                <w:color w:val="000000" w:themeColor="text1"/>
                <w:sz w:val="12"/>
                <w:szCs w:val="12"/>
                <w:highlight w:val="none"/>
              </w:rPr>
            </w:pPr>
            <w:r>
              <w:rPr>
                <w:rFonts w:ascii="Arial" w:hAnsi="Arial" w:eastAsia="Arial" w:cs="Arial"/>
                <w:color w:val="000000" w:themeColor="text1"/>
                <w:sz w:val="12"/>
                <w:szCs w:val="12"/>
                <w:highlight w:val="none"/>
              </w:rPr>
              <w:t xml:space="preserve">3</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3798" w:type="dxa"/>
            <w:vAlign w:val="bottom"/>
            <w:textDirection w:val="lrTb"/>
            <w:noWrap w:val="false"/>
          </w:tcPr>
          <w:p w14:paraId="29BBE8F1">
            <w:pPr>
              <w:widowControl w:val="true"/>
              <w:pBdr/>
              <w:spacing/>
              <w:ind/>
              <w:jc w:val="both"/>
              <w:rPr>
                <w:rFonts w:ascii="Arial" w:hAnsi="Arial" w:cs="Arial"/>
                <w:color w:val="000000"/>
                <w:sz w:val="12"/>
                <w:szCs w:val="12"/>
                <w:highlight w:val="none"/>
              </w:rPr>
            </w:pPr>
            <w:r>
              <w:rPr>
                <w:rFonts w:ascii="Arial" w:hAnsi="Arial" w:eastAsia="Arial" w:cs="Arial"/>
                <w:color w:val="000000"/>
                <w:sz w:val="12"/>
                <w:szCs w:val="12"/>
                <w:highlight w:val="none"/>
              </w:rPr>
              <w:t xml:space="preserve">TUBO DE COLETA DE SANGUE A VÁCUO – COM ANTICOAGULANTE EDTA-K2 OU K3. EM PLÁSTICO PET, TAMANHO 13X75 MM, ESTÉRIL. DESCARTÁVEL. INCOLOR. VOLUME DE 4,0 ML. COM TAMPA DE BORRACHA SILICONIZADA E CAPA PROTETORA NA COR ROXA.</w:t>
            </w:r>
            <w:r>
              <w:rPr>
                <w:rFonts w:ascii="Arial" w:hAnsi="Arial" w:cs="Arial"/>
                <w:color w:val="000000"/>
                <w:sz w:val="12"/>
                <w:szCs w:val="12"/>
                <w:highlight w:val="none"/>
              </w:rPr>
            </w:r>
            <w:r>
              <w:rPr>
                <w:rFonts w:ascii="Arial" w:hAnsi="Arial" w:cs="Arial"/>
                <w:color w:val="000000"/>
                <w:sz w:val="12"/>
                <w:szCs w:val="12"/>
                <w:highlight w:val="none"/>
              </w:rP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14:paraId="5D499D17">
            <w:pPr>
              <w:pStyle w:val="2087"/>
              <w:pBdr/>
              <w:spacing/>
              <w:ind/>
              <w:jc w:val="center"/>
              <w:rPr>
                <w:rFonts w:ascii="Arial" w:hAnsi="Arial" w:cs="Arial"/>
                <w:color w:val="000000" w:themeColor="text1"/>
                <w:sz w:val="12"/>
                <w:szCs w:val="12"/>
                <w:highlight w:val="none"/>
              </w:rPr>
            </w:pPr>
            <w:r>
              <w:rPr>
                <w:rFonts w:ascii="Arial" w:hAnsi="Arial" w:eastAsia="Arial" w:cs="Arial"/>
                <w:color w:val="000000" w:themeColor="text1"/>
                <w:sz w:val="12"/>
                <w:szCs w:val="12"/>
                <w:highlight w:val="none"/>
                <w:lang w:val="pt-BR"/>
              </w:rPr>
              <w:t xml:space="preserve">UNID</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4B649202">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0</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02225508">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w:t>
            </w:r>
            <w:r>
              <w:rPr>
                <w:rFonts w:ascii="Arial" w:hAnsi="Arial" w:eastAsia="Arial" w:cs="Arial"/>
                <w:color w:val="000000"/>
                <w:sz w:val="12"/>
                <w:szCs w:val="12"/>
                <w:highlight w:val="none"/>
              </w:rPr>
              <w:t xml:space="preserve">0,0</w:t>
            </w:r>
            <w:r>
              <w:rPr>
                <w:rFonts w:ascii="Arial" w:hAnsi="Arial" w:eastAsia="Arial" w:cs="Arial"/>
                <w:color w:val="000000"/>
                <w:sz w:val="12"/>
                <w:szCs w:val="12"/>
                <w:highlight w:val="none"/>
              </w:rPr>
              <w:t xml:space="preserve">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14:paraId="6E8A6D78">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R$ </w:t>
            </w:r>
            <w:r>
              <w:rPr>
                <w:rFonts w:ascii="Arial" w:hAnsi="Arial" w:eastAsia="Arial" w:cs="Arial"/>
                <w:color w:val="000000"/>
                <w:sz w:val="12"/>
                <w:szCs w:val="12"/>
                <w:highlight w:val="none"/>
              </w:rPr>
              <w:t xml:space="preserve">0,0</w:t>
            </w:r>
            <w:r>
              <w:rPr>
                <w:rFonts w:ascii="Arial" w:hAnsi="Arial" w:eastAsia="Arial" w:cs="Arial"/>
                <w:color w:val="000000"/>
                <w:sz w:val="12"/>
                <w:szCs w:val="12"/>
                <w:highlight w:val="none"/>
              </w:rPr>
              <w:t xml:space="preserve">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14:paraId="57CD5405">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0</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14:paraId="56167531">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w:t>
            </w:r>
            <w:r>
              <w:rPr>
                <w:rFonts w:ascii="Arial" w:hAnsi="Arial" w:eastAsia="Arial" w:cs="Arial"/>
                <w:color w:val="000000"/>
                <w:sz w:val="12"/>
                <w:szCs w:val="12"/>
                <w:highlight w:val="none"/>
              </w:rPr>
              <w:t xml:space="preserve">0,0</w:t>
            </w:r>
            <w:r>
              <w:rPr>
                <w:rFonts w:ascii="Arial" w:hAnsi="Arial" w:eastAsia="Arial" w:cs="Arial"/>
                <w:color w:val="000000"/>
                <w:sz w:val="12"/>
                <w:szCs w:val="12"/>
                <w:highlight w:val="none"/>
              </w:rPr>
              <w:t xml:space="preserve">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14:paraId="0C5A80F2">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R$ </w:t>
            </w:r>
            <w:r>
              <w:rPr>
                <w:rFonts w:ascii="Arial" w:hAnsi="Arial" w:eastAsia="Arial" w:cs="Arial"/>
                <w:color w:val="000000"/>
                <w:sz w:val="12"/>
                <w:szCs w:val="12"/>
                <w:highlight w:val="none"/>
              </w:rPr>
              <w:t xml:space="preserve">0,0</w:t>
            </w:r>
            <w:r>
              <w:rPr>
                <w:rFonts w:ascii="Arial" w:hAnsi="Arial" w:eastAsia="Arial" w:cs="Arial"/>
                <w:color w:val="000000"/>
                <w:sz w:val="12"/>
                <w:szCs w:val="12"/>
                <w:highlight w:val="none"/>
              </w:rPr>
              <w:t xml:space="preserve">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14:paraId="08E62533">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250000</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14:paraId="2BF5FA2D">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0,33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14:paraId="0ECF4A61">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82.500,00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r>
      <w:tr>
        <w:trPr>
          <w:trHeight w:val="276"/>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14:paraId="28F8223A">
            <w:pPr>
              <w:pBdr/>
              <w:spacing/>
              <w:ind/>
              <w:jc w:val="center"/>
              <w:rPr>
                <w:rFonts w:ascii="Arial" w:hAnsi="Arial" w:cs="Arial"/>
                <w:color w:val="000000" w:themeColor="text1"/>
                <w:sz w:val="12"/>
                <w:szCs w:val="12"/>
                <w:highlight w:val="none"/>
              </w:rPr>
            </w:pPr>
            <w:r>
              <w:rPr>
                <w:rFonts w:ascii="Arial" w:hAnsi="Arial" w:eastAsia="Arial" w:cs="Arial"/>
                <w:color w:val="000000" w:themeColor="text1"/>
                <w:sz w:val="12"/>
                <w:szCs w:val="12"/>
                <w:highlight w:val="none"/>
              </w:rPr>
              <w:t xml:space="preserve">4</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14:paraId="4EAE0196">
            <w:pPr>
              <w:pBdr/>
              <w:shd w:val="clear" w:color="auto" w:fill="ffffff"/>
              <w:spacing w:line="276" w:lineRule="auto"/>
              <w:ind/>
              <w:jc w:val="both"/>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TUBO DE COLET</w:t>
            </w:r>
            <w:r>
              <w:rPr>
                <w:rFonts w:ascii="Arial" w:hAnsi="Arial" w:eastAsia="Arial" w:cs="Arial"/>
                <w:color w:val="000000"/>
                <w:sz w:val="12"/>
                <w:szCs w:val="12"/>
                <w:highlight w:val="none"/>
              </w:rPr>
              <w:t xml:space="preserve">A DE SANGUE A VÁCUO PARA PROVA DE COAGULAÇÃO - COM SOLUÇÃO CITRATO DE SODIO 3,2%. EM PLÁSTICO PET E PP (PAREDE DUPLA), TAMANHO 13X75MM. ESTÉRIL. DESCARTÁVEL. INCOLOR. VOLUME 1,8 A 2 ML. COM TAMPA DE BORRACHA SILICONIZADA E CAPA PROTETORA NA COR AZUL-CLARO.</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14:paraId="26C06613">
            <w:pPr>
              <w:pStyle w:val="2087"/>
              <w:pBdr/>
              <w:spacing/>
              <w:ind/>
              <w:jc w:val="center"/>
              <w:rPr>
                <w:rFonts w:ascii="Arial" w:hAnsi="Arial" w:cs="Arial"/>
                <w:color w:val="000000" w:themeColor="text1"/>
                <w:sz w:val="12"/>
                <w:szCs w:val="12"/>
                <w:highlight w:val="none"/>
              </w:rPr>
            </w:pPr>
            <w:r>
              <w:rPr>
                <w:rFonts w:ascii="Arial" w:hAnsi="Arial" w:eastAsia="Arial" w:cs="Arial"/>
                <w:color w:val="000000" w:themeColor="text1"/>
                <w:sz w:val="12"/>
                <w:szCs w:val="12"/>
                <w:highlight w:val="none"/>
                <w:lang w:val="pt-BR"/>
              </w:rPr>
              <w:t xml:space="preserve">UNID</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1AD43D80">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0</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070AFD63">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w:t>
            </w:r>
            <w:r>
              <w:rPr>
                <w:rFonts w:ascii="Arial" w:hAnsi="Arial" w:eastAsia="Arial" w:cs="Arial"/>
                <w:color w:val="000000"/>
                <w:sz w:val="12"/>
                <w:szCs w:val="12"/>
                <w:highlight w:val="none"/>
              </w:rPr>
              <w:t xml:space="preserve">0,0</w:t>
            </w:r>
            <w:r>
              <w:rPr>
                <w:rFonts w:ascii="Arial" w:hAnsi="Arial" w:eastAsia="Arial" w:cs="Arial"/>
                <w:color w:val="000000"/>
                <w:sz w:val="12"/>
                <w:szCs w:val="12"/>
                <w:highlight w:val="none"/>
              </w:rPr>
              <w:t xml:space="preserve">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14:paraId="14F8658D">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R$ </w:t>
            </w:r>
            <w:r>
              <w:rPr>
                <w:rFonts w:ascii="Arial" w:hAnsi="Arial" w:eastAsia="Arial" w:cs="Arial"/>
                <w:color w:val="000000"/>
                <w:sz w:val="12"/>
                <w:szCs w:val="12"/>
                <w:highlight w:val="none"/>
              </w:rPr>
              <w:t xml:space="preserve">0,0</w:t>
            </w:r>
            <w:r>
              <w:rPr>
                <w:rFonts w:ascii="Arial" w:hAnsi="Arial" w:eastAsia="Arial" w:cs="Arial"/>
                <w:color w:val="000000"/>
                <w:sz w:val="12"/>
                <w:szCs w:val="12"/>
                <w:highlight w:val="none"/>
              </w:rPr>
              <w:t xml:space="preserve">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14:paraId="426BF627">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0</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14:paraId="59DE478F">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w:t>
            </w:r>
            <w:r>
              <w:rPr>
                <w:rFonts w:ascii="Arial" w:hAnsi="Arial" w:eastAsia="Arial" w:cs="Arial"/>
                <w:color w:val="000000"/>
                <w:sz w:val="12"/>
                <w:szCs w:val="12"/>
                <w:highlight w:val="none"/>
              </w:rPr>
              <w:t xml:space="preserve">0,0</w:t>
            </w:r>
            <w:r>
              <w:rPr>
                <w:rFonts w:ascii="Arial" w:hAnsi="Arial" w:eastAsia="Arial" w:cs="Arial"/>
                <w:color w:val="000000"/>
                <w:sz w:val="12"/>
                <w:szCs w:val="12"/>
                <w:highlight w:val="none"/>
              </w:rPr>
              <w:t xml:space="preserve">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14:paraId="41D1B90E">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R$ </w:t>
            </w:r>
            <w:r>
              <w:rPr>
                <w:rFonts w:ascii="Arial" w:hAnsi="Arial" w:eastAsia="Arial" w:cs="Arial"/>
                <w:color w:val="000000"/>
                <w:sz w:val="12"/>
                <w:szCs w:val="12"/>
                <w:highlight w:val="none"/>
              </w:rPr>
              <w:t xml:space="preserve">0,0</w:t>
            </w:r>
            <w:r>
              <w:rPr>
                <w:rFonts w:ascii="Arial" w:hAnsi="Arial" w:eastAsia="Arial" w:cs="Arial"/>
                <w:color w:val="000000"/>
                <w:sz w:val="12"/>
                <w:szCs w:val="12"/>
                <w:highlight w:val="none"/>
              </w:rPr>
              <w:t xml:space="preserve">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14:paraId="1AD3A875">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0</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14:paraId="0C322457">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w:t>
            </w:r>
            <w:r>
              <w:rPr>
                <w:rFonts w:ascii="Arial" w:hAnsi="Arial" w:eastAsia="Arial" w:cs="Arial"/>
                <w:color w:val="000000"/>
                <w:sz w:val="12"/>
                <w:szCs w:val="12"/>
                <w:highlight w:val="none"/>
              </w:rPr>
              <w:t xml:space="preserve">0,0</w:t>
            </w:r>
            <w:r>
              <w:rPr>
                <w:rFonts w:ascii="Arial" w:hAnsi="Arial" w:eastAsia="Arial" w:cs="Arial"/>
                <w:color w:val="000000"/>
                <w:sz w:val="12"/>
                <w:szCs w:val="12"/>
                <w:highlight w:val="none"/>
              </w:rPr>
              <w:t xml:space="preserve">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14:paraId="0C78831D">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R$ </w:t>
            </w:r>
            <w:r>
              <w:rPr>
                <w:rFonts w:ascii="Arial" w:hAnsi="Arial" w:eastAsia="Arial" w:cs="Arial"/>
                <w:color w:val="000000"/>
                <w:sz w:val="12"/>
                <w:szCs w:val="12"/>
                <w:highlight w:val="none"/>
              </w:rPr>
              <w:t xml:space="preserve">0,0</w:t>
            </w:r>
            <w:r>
              <w:rPr>
                <w:rFonts w:ascii="Arial" w:hAnsi="Arial" w:eastAsia="Arial" w:cs="Arial"/>
                <w:color w:val="000000"/>
                <w:sz w:val="12"/>
                <w:szCs w:val="12"/>
                <w:highlight w:val="none"/>
              </w:rPr>
              <w:t xml:space="preserve">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r>
      <w:tr>
        <w:trPr>
          <w:trHeight w:val="276"/>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14:paraId="5DBE4E57">
            <w:pPr>
              <w:pBdr/>
              <w:spacing/>
              <w:ind/>
              <w:jc w:val="center"/>
              <w:rPr>
                <w:rFonts w:ascii="Arial" w:hAnsi="Arial" w:cs="Arial"/>
                <w:color w:val="000000" w:themeColor="text1"/>
                <w:sz w:val="12"/>
                <w:szCs w:val="12"/>
                <w:highlight w:val="none"/>
              </w:rPr>
            </w:pPr>
            <w:r>
              <w:rPr>
                <w:rFonts w:ascii="Arial" w:hAnsi="Arial" w:eastAsia="Arial" w:cs="Arial"/>
                <w:color w:val="000000" w:themeColor="text1"/>
                <w:sz w:val="12"/>
                <w:szCs w:val="12"/>
                <w:highlight w:val="none"/>
              </w:rPr>
              <w:t xml:space="preserve">5</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14:paraId="6E2D5092">
            <w:pPr>
              <w:pBdr/>
              <w:shd w:val="clear" w:color="auto" w:fill="ffffff"/>
              <w:spacing w:line="276" w:lineRule="auto"/>
              <w:ind/>
              <w:jc w:val="both"/>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TUBO DE COLET</w:t>
            </w:r>
            <w:r>
              <w:rPr>
                <w:rFonts w:ascii="Arial" w:hAnsi="Arial" w:eastAsia="Arial" w:cs="Arial"/>
                <w:color w:val="000000"/>
                <w:sz w:val="12"/>
                <w:szCs w:val="12"/>
                <w:highlight w:val="none"/>
              </w:rPr>
              <w:t xml:space="preserve">A DE SANGUE A VÁCUO PARA PROVA DE COAGULAÇÃO - COM SOLUÇÃO CITRATO DE SODIO 3,2%. EM PLÁSTICO PET E PP (PAREDE DUPLA), TAMANHO 13X75MM. ESTÉRIL. DESCARTÁVEL. INCOLOR. VOLUME 2,7 A 4 ML. COM TAMPA DE BORRACHA SILICONIZADA E CAPA PROTETORA NA COR AZUL-CLARO.</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14:paraId="5E01F77D">
            <w:pPr>
              <w:pStyle w:val="2087"/>
              <w:pBdr/>
              <w:spacing/>
              <w:ind/>
              <w:jc w:val="center"/>
              <w:rPr>
                <w:rFonts w:ascii="Arial" w:hAnsi="Arial" w:cs="Arial"/>
                <w:color w:val="000000" w:themeColor="text1"/>
                <w:sz w:val="12"/>
                <w:szCs w:val="12"/>
                <w:highlight w:val="none"/>
              </w:rPr>
            </w:pPr>
            <w:r>
              <w:rPr>
                <w:rFonts w:ascii="Arial" w:hAnsi="Arial" w:eastAsia="Arial" w:cs="Arial"/>
                <w:color w:val="000000" w:themeColor="text1"/>
                <w:sz w:val="12"/>
                <w:szCs w:val="12"/>
                <w:highlight w:val="none"/>
                <w:lang w:val="pt-BR"/>
              </w:rPr>
              <w:t xml:space="preserve">UNID</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0856DAEC">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15000</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03B252F0">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0,61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14:paraId="1DF09BF4">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9.150,00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14:paraId="023CC776">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0</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14:paraId="6130AFCA">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w:t>
            </w:r>
            <w:r>
              <w:rPr>
                <w:rFonts w:ascii="Arial" w:hAnsi="Arial" w:eastAsia="Arial" w:cs="Arial"/>
                <w:color w:val="000000"/>
                <w:sz w:val="12"/>
                <w:szCs w:val="12"/>
                <w:highlight w:val="none"/>
              </w:rPr>
              <w:t xml:space="preserve">0,0</w:t>
            </w:r>
            <w:r>
              <w:rPr>
                <w:rFonts w:ascii="Arial" w:hAnsi="Arial" w:eastAsia="Arial" w:cs="Arial"/>
                <w:color w:val="000000"/>
                <w:sz w:val="12"/>
                <w:szCs w:val="12"/>
                <w:highlight w:val="none"/>
              </w:rPr>
              <w:t xml:space="preserve">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14:paraId="1B2D46BD">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R$ </w:t>
            </w:r>
            <w:r>
              <w:rPr>
                <w:rFonts w:ascii="Arial" w:hAnsi="Arial" w:eastAsia="Arial" w:cs="Arial"/>
                <w:color w:val="000000"/>
                <w:sz w:val="12"/>
                <w:szCs w:val="12"/>
                <w:highlight w:val="none"/>
              </w:rPr>
              <w:t xml:space="preserve">0,0</w:t>
            </w:r>
            <w:r>
              <w:rPr>
                <w:rFonts w:ascii="Arial" w:hAnsi="Arial" w:eastAsia="Arial" w:cs="Arial"/>
                <w:color w:val="000000"/>
                <w:sz w:val="12"/>
                <w:szCs w:val="12"/>
                <w:highlight w:val="none"/>
              </w:rPr>
              <w:t xml:space="preserve">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14:paraId="1189AA24">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15000</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14:paraId="51FEE181">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0,55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14:paraId="5657EB52">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8.250,00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r>
      <w:tr>
        <w:trPr>
          <w:trHeight w:val="276"/>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14:paraId="7BD76F15">
            <w:pPr>
              <w:pBdr/>
              <w:spacing/>
              <w:ind/>
              <w:jc w:val="center"/>
              <w:rPr>
                <w:rFonts w:ascii="Arial" w:hAnsi="Arial" w:cs="Arial"/>
                <w:color w:val="000000" w:themeColor="text1"/>
                <w:sz w:val="12"/>
                <w:szCs w:val="12"/>
                <w:highlight w:val="none"/>
              </w:rPr>
            </w:pPr>
            <w:r>
              <w:rPr>
                <w:rFonts w:ascii="Arial" w:hAnsi="Arial" w:eastAsia="Arial" w:cs="Arial"/>
                <w:color w:val="000000" w:themeColor="text1"/>
                <w:sz w:val="12"/>
                <w:szCs w:val="12"/>
                <w:highlight w:val="none"/>
              </w:rPr>
              <w:t xml:space="preserve">6</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14:paraId="1C3375AF">
            <w:pPr>
              <w:pBdr/>
              <w:shd w:val="clear" w:color="auto" w:fill="ffffff"/>
              <w:spacing w:line="276" w:lineRule="auto"/>
              <w:ind/>
              <w:jc w:val="both"/>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TUBO PARA COLETA DE SANGUE A VÁCUO - COM FLUORETO DE SÓDIO (NAF) E EDTA-K2 OU K3 PARA DOSAGEM DE GLICOSE. EM PLÁSTICO PET, TAMANHO 13X75MM. ESTÉRIL. DESCARTÁVEL. INCOLOR. VOLUME 4,0 ML. COM TAMPA DE BORRACHA SILICONIZADA E CAPA PROTETORA NA COR CINZA.</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14:paraId="2E3DB273">
            <w:pPr>
              <w:pStyle w:val="2087"/>
              <w:pBdr/>
              <w:spacing/>
              <w:ind/>
              <w:jc w:val="center"/>
              <w:rPr>
                <w:rFonts w:ascii="Arial" w:hAnsi="Arial" w:cs="Arial"/>
                <w:color w:val="000000" w:themeColor="text1"/>
                <w:sz w:val="12"/>
                <w:szCs w:val="12"/>
                <w:highlight w:val="none"/>
              </w:rPr>
            </w:pPr>
            <w:r>
              <w:rPr>
                <w:rFonts w:ascii="Arial" w:hAnsi="Arial" w:eastAsia="Arial" w:cs="Arial"/>
                <w:color w:val="000000" w:themeColor="text1"/>
                <w:sz w:val="12"/>
                <w:szCs w:val="12"/>
                <w:highlight w:val="none"/>
                <w:lang w:val="pt-BR"/>
              </w:rPr>
              <w:t xml:space="preserve">UNID</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7A1F4BA3">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85000</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76546B5F">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0,45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14:paraId="2B2D98A6">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38.250,00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14:paraId="0035E179">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0</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14:paraId="7EEB333B">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w:t>
            </w:r>
            <w:r>
              <w:rPr>
                <w:rFonts w:ascii="Arial" w:hAnsi="Arial" w:eastAsia="Arial" w:cs="Arial"/>
                <w:color w:val="000000"/>
                <w:sz w:val="12"/>
                <w:szCs w:val="12"/>
                <w:highlight w:val="none"/>
              </w:rPr>
              <w:t xml:space="preserve">0,0</w:t>
            </w:r>
            <w:r>
              <w:rPr>
                <w:rFonts w:ascii="Arial" w:hAnsi="Arial" w:eastAsia="Arial" w:cs="Arial"/>
                <w:color w:val="000000"/>
                <w:sz w:val="12"/>
                <w:szCs w:val="12"/>
                <w:highlight w:val="none"/>
              </w:rPr>
              <w:t xml:space="preserve">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14:paraId="27ECE96E">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R$ </w:t>
            </w:r>
            <w:r>
              <w:rPr>
                <w:rFonts w:ascii="Arial" w:hAnsi="Arial" w:eastAsia="Arial" w:cs="Arial"/>
                <w:color w:val="000000"/>
                <w:sz w:val="12"/>
                <w:szCs w:val="12"/>
                <w:highlight w:val="none"/>
              </w:rPr>
              <w:t xml:space="preserve">0,0</w:t>
            </w:r>
            <w:r>
              <w:rPr>
                <w:rFonts w:ascii="Arial" w:hAnsi="Arial" w:eastAsia="Arial" w:cs="Arial"/>
                <w:color w:val="000000"/>
                <w:sz w:val="12"/>
                <w:szCs w:val="12"/>
                <w:highlight w:val="none"/>
              </w:rPr>
              <w:t xml:space="preserve">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14:paraId="31B5DE73">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0</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14:paraId="27784F90">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w:t>
            </w:r>
            <w:r>
              <w:rPr>
                <w:rFonts w:ascii="Arial" w:hAnsi="Arial" w:eastAsia="Arial" w:cs="Arial"/>
                <w:color w:val="000000"/>
                <w:sz w:val="12"/>
                <w:szCs w:val="12"/>
                <w:highlight w:val="none"/>
              </w:rPr>
              <w:t xml:space="preserve">0,0</w:t>
            </w:r>
            <w:r>
              <w:rPr>
                <w:rFonts w:ascii="Arial" w:hAnsi="Arial" w:eastAsia="Arial" w:cs="Arial"/>
                <w:color w:val="000000"/>
                <w:sz w:val="12"/>
                <w:szCs w:val="12"/>
                <w:highlight w:val="none"/>
              </w:rPr>
              <w:t xml:space="preserve">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14:paraId="5C0FE3E8">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R$ </w:t>
            </w:r>
            <w:r>
              <w:rPr>
                <w:rFonts w:ascii="Arial" w:hAnsi="Arial" w:eastAsia="Arial" w:cs="Arial"/>
                <w:color w:val="000000"/>
                <w:sz w:val="12"/>
                <w:szCs w:val="12"/>
                <w:highlight w:val="none"/>
              </w:rPr>
              <w:t xml:space="preserve">0,0</w:t>
            </w:r>
            <w:r>
              <w:rPr>
                <w:rFonts w:ascii="Arial" w:hAnsi="Arial" w:eastAsia="Arial" w:cs="Arial"/>
                <w:color w:val="000000"/>
                <w:sz w:val="12"/>
                <w:szCs w:val="12"/>
                <w:highlight w:val="none"/>
              </w:rPr>
              <w:t xml:space="preserve">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r>
      <w:tr>
        <w:trPr>
          <w:trHeight w:val="276"/>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14:paraId="6587DDB4">
            <w:pPr>
              <w:pBdr/>
              <w:spacing/>
              <w:ind/>
              <w:jc w:val="center"/>
              <w:rPr>
                <w:rFonts w:ascii="Arial" w:hAnsi="Arial" w:cs="Arial"/>
                <w:color w:val="000000" w:themeColor="text1"/>
                <w:sz w:val="12"/>
                <w:szCs w:val="12"/>
                <w:highlight w:val="none"/>
              </w:rPr>
            </w:pPr>
            <w:r>
              <w:rPr>
                <w:rFonts w:ascii="Arial" w:hAnsi="Arial" w:eastAsia="Arial" w:cs="Arial"/>
                <w:color w:val="000000" w:themeColor="text1"/>
                <w:sz w:val="12"/>
                <w:szCs w:val="12"/>
                <w:highlight w:val="none"/>
              </w:rPr>
              <w:t xml:space="preserve">7</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14:paraId="52308F8B">
            <w:pPr>
              <w:pBdr/>
              <w:shd w:val="clear" w:color="auto" w:fill="ffffff"/>
              <w:spacing w:line="276" w:lineRule="auto"/>
              <w:ind/>
              <w:jc w:val="both"/>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TUBO PARA COLETA DE SANGUE A VÁCUO - PARA SOROLOGIA. COM ATIVADOR DE COÁGULO. EM PLÁSTICO PET, TAMANHO 16X100MM. ESTÉRIL. DESCARTÁVEL. INCOLOR. VOLUME 8,0ML A </w:t>
            </w:r>
            <w:r>
              <w:rPr>
                <w:rFonts w:ascii="Arial" w:hAnsi="Arial" w:eastAsia="Arial" w:cs="Arial"/>
                <w:color w:val="000000"/>
                <w:sz w:val="12"/>
                <w:szCs w:val="12"/>
                <w:highlight w:val="none"/>
              </w:rPr>
              <w:t xml:space="preserve">10ML. COM TAMPA DE BORRACHA SILICONIZADA E CAPA PROTETORA NA COR VERMELHA.</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14:paraId="59DAE86A">
            <w:pPr>
              <w:pStyle w:val="2087"/>
              <w:pBdr/>
              <w:spacing/>
              <w:ind/>
              <w:jc w:val="center"/>
              <w:rPr>
                <w:rFonts w:ascii="Arial" w:hAnsi="Arial" w:cs="Arial"/>
                <w:color w:val="000000" w:themeColor="text1"/>
                <w:sz w:val="12"/>
                <w:szCs w:val="12"/>
                <w:highlight w:val="none"/>
              </w:rPr>
            </w:pPr>
            <w:r>
              <w:rPr>
                <w:rFonts w:ascii="Arial" w:hAnsi="Arial" w:eastAsia="Arial" w:cs="Arial"/>
                <w:color w:val="000000" w:themeColor="text1"/>
                <w:sz w:val="12"/>
                <w:szCs w:val="12"/>
                <w:highlight w:val="none"/>
                <w:lang w:val="pt-BR"/>
              </w:rPr>
              <w:t xml:space="preserve">UNID</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39043CB5">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220000</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14:paraId="034D5409">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0,55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14:paraId="78AFF4AF">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121.000,00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14:paraId="1ACFD8F3">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0</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14:paraId="6963F192">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w:t>
            </w:r>
            <w:r>
              <w:rPr>
                <w:rFonts w:ascii="Arial" w:hAnsi="Arial" w:eastAsia="Arial" w:cs="Arial"/>
                <w:color w:val="000000"/>
                <w:sz w:val="12"/>
                <w:szCs w:val="12"/>
                <w:highlight w:val="none"/>
              </w:rPr>
              <w:t xml:space="preserve">0,0</w:t>
            </w:r>
            <w:r>
              <w:rPr>
                <w:rFonts w:ascii="Arial" w:hAnsi="Arial" w:eastAsia="Arial" w:cs="Arial"/>
                <w:color w:val="000000"/>
                <w:sz w:val="12"/>
                <w:szCs w:val="12"/>
                <w:highlight w:val="none"/>
              </w:rPr>
              <w:t xml:space="preserve">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14:paraId="38F06C18">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R$ </w:t>
            </w:r>
            <w:r>
              <w:rPr>
                <w:rFonts w:ascii="Arial" w:hAnsi="Arial" w:eastAsia="Arial" w:cs="Arial"/>
                <w:color w:val="000000"/>
                <w:sz w:val="12"/>
                <w:szCs w:val="12"/>
                <w:highlight w:val="none"/>
              </w:rPr>
              <w:t xml:space="preserve">0,0</w:t>
            </w:r>
            <w:r>
              <w:rPr>
                <w:rFonts w:ascii="Arial" w:hAnsi="Arial" w:eastAsia="Arial" w:cs="Arial"/>
                <w:color w:val="000000"/>
                <w:sz w:val="12"/>
                <w:szCs w:val="12"/>
                <w:highlight w:val="none"/>
              </w:rPr>
              <w:t xml:space="preserve">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14:paraId="22AC9105">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250000</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14:paraId="38AFE1DD">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0,57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14:paraId="23F740E5">
            <w:pPr>
              <w:pBdr/>
              <w:spacing/>
              <w:ind/>
              <w:jc w:val="center"/>
              <w:rPr>
                <w:rFonts w:ascii="Arial" w:hAnsi="Arial" w:cs="Arial"/>
                <w:color w:val="000000" w:themeColor="text1"/>
                <w:sz w:val="12"/>
                <w:szCs w:val="12"/>
                <w:highlight w:val="none"/>
              </w:rPr>
            </w:pPr>
            <w:r>
              <w:rPr>
                <w:rFonts w:ascii="Arial" w:hAnsi="Arial" w:eastAsia="Arial" w:cs="Arial"/>
                <w:color w:val="000000"/>
                <w:sz w:val="12"/>
                <w:szCs w:val="12"/>
                <w:highlight w:val="none"/>
              </w:rPr>
              <w:t xml:space="preserve"> R$       142.500,00 </w:t>
            </w:r>
            <w:r>
              <w:rPr>
                <w:rFonts w:ascii="Arial" w:hAnsi="Arial" w:cs="Arial"/>
                <w:color w:val="000000" w:themeColor="text1"/>
                <w:sz w:val="12"/>
                <w:szCs w:val="12"/>
                <w:highlight w:val="none"/>
              </w:rPr>
            </w:r>
            <w:r>
              <w:rPr>
                <w:rFonts w:ascii="Arial" w:hAnsi="Arial" w:cs="Arial"/>
                <w:color w:val="000000" w:themeColor="text1"/>
                <w:sz w:val="12"/>
                <w:szCs w:val="12"/>
                <w:highlight w:val="none"/>
              </w:rPr>
            </w:r>
          </w:p>
        </w:tc>
      </w:tr>
    </w:tbl>
    <w:p w14:paraId="00685394">
      <w:pPr>
        <w:pBdr/>
        <w:spacing/>
        <w:ind/>
        <w:jc w:val="both"/>
        <w:rPr>
          <w:rFonts w:ascii="Arial" w:hAnsi="Arial" w:cs="Arial"/>
          <w:highlight w:val="none"/>
        </w:rPr>
      </w:pPr>
      <w:r>
        <w:rPr>
          <w:rFonts w:ascii="Arial" w:hAnsi="Arial" w:eastAsia="Arial" w:cs="Arial"/>
          <w:highlight w:val="none"/>
          <w:lang w:val="pt-BR"/>
        </w:rPr>
      </w:r>
      <w:r>
        <w:rPr>
          <w:rFonts w:ascii="Arial" w:hAnsi="Arial" w:cs="Arial"/>
          <w:highlight w:val="none"/>
        </w:rPr>
      </w:r>
      <w:r>
        <w:rPr>
          <w:rFonts w:ascii="Arial" w:hAnsi="Arial" w:cs="Arial"/>
          <w:highlight w:val="none"/>
        </w:rPr>
      </w:r>
    </w:p>
    <w:p w14:paraId="6CF5D09E">
      <w:pPr>
        <w:pBdr/>
        <w:spacing/>
        <w:ind/>
        <w:jc w:val="both"/>
        <w:rPr>
          <w:rFonts w:ascii="Arial" w:hAnsi="Arial" w:cs="Arial"/>
          <w:highlight w:val="none"/>
        </w:rPr>
      </w:pPr>
      <w:r>
        <w:rPr>
          <w:rFonts w:ascii="Arial" w:hAnsi="Arial" w:eastAsia="Arial" w:cs="Arial"/>
          <w:b/>
          <w:bCs/>
          <w:highlight w:val="none"/>
          <w:lang w:val="pt-BR"/>
        </w:rPr>
        <w:t xml:space="preserve">10.6.7.</w:t>
      </w:r>
      <w:r>
        <w:rPr>
          <w:rFonts w:ascii="Arial" w:hAnsi="Arial" w:eastAsia="Arial" w:cs="Arial"/>
          <w:highlight w:val="none"/>
          <w:lang w:val="pt-BR"/>
        </w:rPr>
        <w:t xml:space="preserve"> As especificações técnicas foram estabelecid</w:t>
      </w:r>
      <w:r>
        <w:rPr>
          <w:rFonts w:ascii="Arial" w:hAnsi="Arial" w:eastAsia="Arial" w:cs="Arial"/>
          <w:highlight w:val="none"/>
          <w:lang w:val="pt-BR"/>
        </w:rPr>
        <w:t xml:space="preserve">as de acordo com a finalidade de utilização de cada item e contemplam, conforme aplicável, material de fabricação, dimensões, capacidade volumétrica, tipo e concentração do aditivo, volume de aspiração, sistema de fechamento, esterilidade, dispositivo de s</w:t>
      </w:r>
      <w:r>
        <w:rPr>
          <w:rFonts w:ascii="Arial" w:hAnsi="Arial" w:eastAsia="Arial" w:cs="Arial"/>
          <w:highlight w:val="none"/>
          <w:lang w:val="pt-BR"/>
        </w:rPr>
        <w:t xml:space="preserve">egurança e demais características necessárias à adequada utilização dos tubos e das agulhas no sistema de coleta de sangue a vácuo, visando preservar a integridade das amostras, a segurança dos procedimentos e a confiabilidade dos resultados laboratoriais.</w:t>
      </w:r>
      <w:r>
        <w:rPr>
          <w:rFonts w:ascii="Arial" w:hAnsi="Arial" w:cs="Arial"/>
          <w:highlight w:val="none"/>
        </w:rPr>
      </w:r>
      <w:r>
        <w:rPr>
          <w:rFonts w:ascii="Arial" w:hAnsi="Arial" w:cs="Arial"/>
          <w:highlight w:val="none"/>
        </w:rPr>
      </w:r>
    </w:p>
    <w:p w14:paraId="3BC132AE">
      <w:pPr>
        <w:pBdr/>
        <w:spacing/>
        <w:ind/>
        <w:jc w:val="both"/>
        <w:rPr>
          <w:rFonts w:ascii="Arial" w:hAnsi="Arial" w:cs="Arial"/>
          <w:highlight w:val="none"/>
        </w:rPr>
      </w:pPr>
      <w:r>
        <w:rPr>
          <w:rFonts w:ascii="Arial" w:hAnsi="Arial" w:eastAsia="Arial" w:cs="Arial"/>
          <w:b/>
          <w:bCs/>
          <w:highlight w:val="none"/>
          <w:lang w:val="pt-BR"/>
        </w:rPr>
        <w:t xml:space="preserve">10.6.8.</w:t>
      </w:r>
      <w:r>
        <w:rPr>
          <w:rFonts w:ascii="Arial" w:hAnsi="Arial" w:eastAsia="Arial" w:cs="Arial"/>
          <w:highlight w:val="none"/>
          <w:lang w:val="pt-BR"/>
        </w:rPr>
        <w:t xml:space="preserve"> Dessa forma, os quantitativos estimados deverão ser avaliados com base nas necessidades reais e atuais do serviço público, em conjunto com os registros históricos e os elemen</w:t>
      </w:r>
      <w:r>
        <w:rPr>
          <w:rFonts w:ascii="Arial" w:hAnsi="Arial" w:eastAsia="Arial" w:cs="Arial"/>
          <w:highlight w:val="none"/>
          <w:lang w:val="pt-BR"/>
        </w:rPr>
        <w:t xml:space="preserve">tos técnicos apresentados pela unidade demandante, evitando-se que falhas, limitações ou interrupções administrativas ocorridas em exercícios anteriores provoquem o subdimensionamento da contratação e comprometam o abastecimento da rede municipal de saúde.</w:t>
      </w:r>
      <w:r>
        <w:rPr>
          <w:rFonts w:ascii="Arial" w:hAnsi="Arial" w:cs="Arial"/>
          <w:highlight w:val="none"/>
        </w:rPr>
      </w:r>
      <w:r>
        <w:rPr>
          <w:rFonts w:ascii="Arial" w:hAnsi="Arial" w:cs="Arial"/>
          <w:highlight w:val="none"/>
        </w:rPr>
      </w:r>
    </w:p>
    <w:p w14:paraId="5C591B16">
      <w:pPr>
        <w:pBdr/>
        <w:spacing/>
        <w:ind/>
        <w:jc w:val="both"/>
        <w:rPr>
          <w:rFonts w:ascii="Arial" w:hAnsi="Arial" w:cs="Arial"/>
          <w:highlight w:val="none"/>
        </w:rPr>
      </w:pPr>
      <w:r>
        <w:rPr>
          <w:rFonts w:ascii="Arial" w:hAnsi="Arial" w:eastAsia="Arial" w:cs="Arial"/>
          <w:b/>
          <w:bCs/>
          <w:highlight w:val="none"/>
          <w:lang w:val="pt-BR"/>
        </w:rPr>
        <w:t xml:space="preserve">10.6.9.</w:t>
      </w:r>
      <w:r>
        <w:rPr>
          <w:rFonts w:ascii="Arial" w:hAnsi="Arial" w:eastAsia="Arial" w:cs="Arial"/>
          <w:highlight w:val="none"/>
          <w:lang w:val="pt-BR"/>
        </w:rPr>
        <w:t xml:space="preserve"> Registra-se </w:t>
      </w:r>
      <w:r>
        <w:rPr>
          <w:rFonts w:ascii="Arial" w:hAnsi="Arial" w:eastAsia="Arial" w:cs="Arial"/>
          <w:highlight w:val="none"/>
          <w:lang w:val="pt-BR"/>
        </w:rPr>
        <w:t xml:space="preserve">que os valores constantes do histórico de aquisições devem ser analisados considerando o contexto econômico vigente em cada exercício. Em determinados períodos, verificaram-se oscilações relevantes nos preços dos insumos laboratoriais em razão de fatores m</w:t>
      </w:r>
      <w:r>
        <w:rPr>
          <w:rFonts w:ascii="Arial" w:hAnsi="Arial" w:eastAsia="Arial" w:cs="Arial"/>
          <w:highlight w:val="none"/>
          <w:lang w:val="pt-BR"/>
        </w:rPr>
        <w:t xml:space="preserve">acroeconômicos, variações cambiais, elevação dos custos de matérias-primas, dificuldades na cadeia global de suprimentos e demais acontecimentos de alcance nacional e internacional, circunstâncias que impactaram diretamente os preços praticados no mercado.</w:t>
      </w:r>
      <w:r>
        <w:rPr>
          <w:rFonts w:ascii="Arial" w:hAnsi="Arial" w:cs="Arial"/>
          <w:highlight w:val="none"/>
        </w:rPr>
      </w:r>
      <w:r>
        <w:rPr>
          <w:rFonts w:ascii="Arial" w:hAnsi="Arial" w:cs="Arial"/>
          <w:highlight w:val="none"/>
        </w:rPr>
      </w:r>
    </w:p>
    <w:p w14:paraId="3DFD34B4">
      <w:pPr>
        <w:pBdr/>
        <w:spacing/>
        <w:ind/>
        <w:jc w:val="both"/>
        <w:rPr>
          <w:rFonts w:ascii="Arial" w:hAnsi="Arial" w:cs="Arial"/>
          <w:highlight w:val="none"/>
        </w:rPr>
      </w:pPr>
      <w:r>
        <w:rPr>
          <w:rFonts w:ascii="Arial" w:hAnsi="Arial" w:eastAsia="Arial" w:cs="Arial"/>
          <w:b/>
          <w:bCs/>
          <w:highlight w:val="none"/>
          <w:lang w:val="pt-BR"/>
        </w:rPr>
        <w:t xml:space="preserve">10.6.10.</w:t>
      </w:r>
      <w:r>
        <w:rPr>
          <w:rFonts w:ascii="Arial" w:hAnsi="Arial" w:eastAsia="Arial" w:cs="Arial"/>
          <w:highlight w:val="none"/>
          <w:lang w:val="pt-BR"/>
        </w:rPr>
        <w:t xml:space="preserve"> Dessa forma, eventuais diferenças entre os valores históricos e os preços atualmente estimados não representam inconsistência na estimativa da contratação, mas refletem as condições d</w:t>
      </w:r>
      <w:r>
        <w:rPr>
          <w:rFonts w:ascii="Arial" w:hAnsi="Arial" w:eastAsia="Arial" w:cs="Arial"/>
          <w:highlight w:val="none"/>
          <w:lang w:val="pt-BR"/>
        </w:rPr>
        <w:t xml:space="preserve">e mercado verificadas em cada período, razão pela qual a estimativa do valor da contratação foi elaborada com base em pesquisa de preços atualizada, observando-se os critérios previstos na Lei Federal nº 14.133/2021 e na regulamentação municipal aplicável.</w:t>
      </w:r>
      <w:r>
        <w:rPr>
          <w:rFonts w:ascii="Arial" w:hAnsi="Arial" w:cs="Arial"/>
          <w:highlight w:val="none"/>
        </w:rPr>
      </w:r>
      <w:r>
        <w:rPr>
          <w:rFonts w:ascii="Arial" w:hAnsi="Arial" w:cs="Arial"/>
          <w:highlight w:val="none"/>
        </w:rPr>
      </w:r>
    </w:p>
    <w:p w14:paraId="4FA3525C">
      <w:pPr>
        <w:pBdr/>
        <w:spacing/>
        <w:ind/>
        <w:jc w:val="both"/>
        <w:rPr>
          <w:rFonts w:ascii="Arial" w:hAnsi="Arial" w:cs="Arial"/>
          <w:highlight w:val="none"/>
        </w:rPr>
      </w:pPr>
      <w:r>
        <w:rPr>
          <w:rFonts w:ascii="Arial" w:hAnsi="Arial" w:eastAsia="Arial" w:cs="Arial"/>
          <w:highlight w:val="none"/>
        </w:rPr>
      </w:r>
      <w:r>
        <w:rPr>
          <w:rFonts w:ascii="Arial" w:hAnsi="Arial" w:cs="Arial"/>
          <w:highlight w:val="none"/>
        </w:rPr>
      </w:r>
      <w:r>
        <w:rPr>
          <w:rFonts w:ascii="Arial" w:hAnsi="Arial" w:cs="Arial"/>
          <w:highlight w:val="none"/>
        </w:rPr>
      </w:r>
    </w:p>
    <w:p w14:paraId="478C6B6B">
      <w:pPr>
        <w:pBdr/>
        <w:shd w:val="clear" w:color="auto" w:fill="cccccc"/>
        <w:spacing/>
        <w:ind/>
        <w:jc w:val="both"/>
        <w:rPr>
          <w:rFonts w:ascii="Arial" w:hAnsi="Arial" w:cs="Arial"/>
          <w:highlight w:val="none"/>
        </w:rPr>
      </w:pPr>
      <w:r>
        <w:rPr>
          <w:rFonts w:ascii="Arial" w:hAnsi="Arial" w:eastAsia="Arial" w:cs="Arial"/>
          <w:b/>
          <w:bCs/>
          <w:highlight w:val="none"/>
        </w:rPr>
        <w:t xml:space="preserve">1</w:t>
      </w:r>
      <w:r>
        <w:rPr>
          <w:rFonts w:ascii="Arial" w:hAnsi="Arial" w:eastAsia="Arial" w:cs="Arial"/>
          <w:b/>
          <w:bCs/>
          <w:highlight w:val="none"/>
          <w:lang w:val="pt-BR"/>
        </w:rPr>
        <w:t xml:space="preserve">1</w:t>
      </w:r>
      <w:r>
        <w:rPr>
          <w:rFonts w:ascii="Arial" w:hAnsi="Arial" w:eastAsia="Arial" w:cs="Arial"/>
          <w:b/>
          <w:bCs/>
          <w:highlight w:val="none"/>
        </w:rPr>
        <w:t xml:space="preserve"> – </w:t>
      </w:r>
      <w:r>
        <w:rPr>
          <w:rFonts w:ascii="Arial" w:hAnsi="Arial" w:eastAsia="Arial" w:cs="Arial"/>
          <w:b/>
          <w:bCs/>
          <w:highlight w:val="none"/>
          <w:lang w:val="pt-BR"/>
        </w:rPr>
        <w:t xml:space="preserve">DA GARANTIA EXIGIDA</w:t>
      </w:r>
      <w:r>
        <w:rPr>
          <w:rFonts w:ascii="Arial" w:hAnsi="Arial" w:cs="Arial"/>
          <w:highlight w:val="none"/>
        </w:rPr>
      </w:r>
      <w:r>
        <w:rPr>
          <w:rFonts w:ascii="Arial" w:hAnsi="Arial" w:cs="Arial"/>
          <w:highlight w:val="none"/>
        </w:rPr>
      </w:r>
    </w:p>
    <w:p w14:paraId="42F6CD95">
      <w:pPr>
        <w:pStyle w:val="2332"/>
        <w:pBdr/>
        <w:spacing w:after="0" w:before="0" w:line="216" w:lineRule="auto"/>
        <w:ind/>
        <w:jc w:val="both"/>
        <w:rPr>
          <w:rFonts w:ascii="Arial" w:hAnsi="Arial" w:cs="Arial"/>
          <w:b/>
          <w:bCs/>
          <w:color w:val="000000" w:themeColor="text1"/>
          <w:sz w:val="18"/>
          <w:szCs w:val="18"/>
          <w:highlight w:val="none"/>
        </w:rPr>
      </w:pPr>
      <w:r>
        <w:rPr>
          <w:rFonts w:ascii="Arial" w:hAnsi="Arial" w:eastAsia="Arial" w:cs="Arial"/>
          <w:b/>
          <w:bCs/>
          <w:color w:val="000000" w:themeColor="text1"/>
          <w:sz w:val="18"/>
          <w:szCs w:val="18"/>
          <w:highlight w:val="none"/>
          <w:lang w:val="pt-BR"/>
        </w:rPr>
      </w:r>
      <w:r>
        <w:rPr>
          <w:rFonts w:ascii="Arial" w:hAnsi="Arial" w:cs="Arial"/>
          <w:b/>
          <w:bCs/>
          <w:color w:val="000000" w:themeColor="text1"/>
          <w:sz w:val="18"/>
          <w:szCs w:val="18"/>
          <w:highlight w:val="none"/>
        </w:rPr>
      </w:r>
      <w:r>
        <w:rPr>
          <w:rFonts w:ascii="Arial" w:hAnsi="Arial" w:cs="Arial"/>
          <w:b/>
          <w:bCs/>
          <w:color w:val="000000" w:themeColor="text1"/>
          <w:sz w:val="18"/>
          <w:szCs w:val="18"/>
          <w:highlight w:val="none"/>
        </w:rPr>
      </w:r>
    </w:p>
    <w:p w14:paraId="173C2524">
      <w:pPr>
        <w:pStyle w:val="2332"/>
        <w:pBdr/>
        <w:spacing w:after="0" w:before="0" w:line="216" w:lineRule="auto"/>
        <w:ind/>
        <w:jc w:val="both"/>
        <w:rPr>
          <w:rFonts w:ascii="Arial" w:hAnsi="Arial" w:cs="Arial"/>
          <w:b/>
          <w:bCs/>
          <w:color w:val="000000" w:themeColor="text1"/>
          <w:sz w:val="22"/>
          <w:szCs w:val="22"/>
          <w:highlight w:val="none"/>
        </w:rPr>
      </w:pPr>
      <w:r>
        <w:rPr>
          <w:rFonts w:ascii="Arial" w:hAnsi="Arial" w:eastAsia="Arial" w:cs="Arial"/>
          <w:b/>
          <w:bCs/>
          <w:color w:val="000000" w:themeColor="text1"/>
          <w:sz w:val="22"/>
          <w:szCs w:val="22"/>
          <w:highlight w:val="none"/>
          <w:lang w:val="pt-BR"/>
        </w:rPr>
        <w:t xml:space="preserve">11.1. GARANTIA CONTRATUAL</w:t>
      </w:r>
      <w:r>
        <w:rPr>
          <w:rFonts w:ascii="Arial" w:hAnsi="Arial" w:cs="Arial"/>
          <w:b/>
          <w:bCs/>
          <w:color w:val="000000" w:themeColor="text1"/>
          <w:sz w:val="22"/>
          <w:szCs w:val="22"/>
          <w:highlight w:val="none"/>
        </w:rPr>
      </w:r>
      <w:r>
        <w:rPr>
          <w:rFonts w:ascii="Arial" w:hAnsi="Arial" w:cs="Arial"/>
          <w:b/>
          <w:bCs/>
          <w:color w:val="000000" w:themeColor="text1"/>
          <w:sz w:val="22"/>
          <w:szCs w:val="22"/>
          <w:highlight w:val="none"/>
        </w:rPr>
      </w:r>
    </w:p>
    <w:p w14:paraId="64D8AB62">
      <w:pPr>
        <w:pStyle w:val="2332"/>
        <w:pBdr/>
        <w:spacing w:after="0" w:before="0"/>
        <w:ind/>
        <w:jc w:val="both"/>
        <w:rPr>
          <w:rFonts w:ascii="Arial" w:hAnsi="Arial" w:cs="Arial"/>
          <w:color w:val="000000" w:themeColor="text1"/>
          <w:sz w:val="22"/>
          <w:szCs w:val="22"/>
          <w:highlight w:val="none"/>
        </w:rPr>
      </w:pPr>
      <w:r>
        <w:rPr>
          <w:rFonts w:ascii="Arial" w:hAnsi="Arial" w:eastAsia="Arial" w:cs="Arial"/>
          <w:b/>
          <w:bCs/>
          <w:color w:val="000000" w:themeColor="text1"/>
          <w:sz w:val="22"/>
          <w:szCs w:val="22"/>
          <w:highlight w:val="none"/>
          <w:lang w:val="pt-BR"/>
        </w:rPr>
        <w:t xml:space="preserve">11.1.1</w:t>
      </w:r>
      <w:r>
        <w:rPr>
          <w:rFonts w:ascii="Arial" w:hAnsi="Arial" w:eastAsia="Arial" w:cs="Arial"/>
          <w:color w:val="000000" w:themeColor="text1"/>
          <w:sz w:val="22"/>
          <w:szCs w:val="22"/>
          <w:highlight w:val="none"/>
          <w:lang w:val="pt-BR"/>
        </w:rPr>
        <w:t xml:space="preserve">. Não será exigida garantia de execução para a celebração ou assinatura da Ata de Registro de Preços.</w:t>
      </w:r>
      <w:r>
        <w:rPr>
          <w:rFonts w:ascii="Arial" w:hAnsi="Arial" w:cs="Arial"/>
          <w:color w:val="000000" w:themeColor="text1"/>
          <w:sz w:val="22"/>
          <w:szCs w:val="22"/>
          <w:highlight w:val="none"/>
        </w:rPr>
      </w:r>
      <w:r>
        <w:rPr>
          <w:rFonts w:ascii="Arial" w:hAnsi="Arial" w:cs="Arial"/>
          <w:color w:val="000000" w:themeColor="text1"/>
          <w:sz w:val="22"/>
          <w:szCs w:val="22"/>
          <w:highlight w:val="none"/>
        </w:rPr>
      </w:r>
    </w:p>
    <w:p w14:paraId="19C3E9D4">
      <w:pPr>
        <w:pStyle w:val="2332"/>
        <w:pBdr/>
        <w:spacing w:after="0" w:before="0"/>
        <w:ind/>
        <w:jc w:val="both"/>
        <w:rPr>
          <w:rFonts w:ascii="Arial" w:hAnsi="Arial" w:cs="Arial"/>
          <w:color w:val="000000" w:themeColor="text1"/>
          <w:sz w:val="22"/>
          <w:szCs w:val="22"/>
          <w:highlight w:val="none"/>
        </w:rPr>
      </w:pPr>
      <w:r>
        <w:rPr>
          <w:rFonts w:ascii="Arial" w:hAnsi="Arial" w:eastAsia="Arial" w:cs="Arial"/>
          <w:b/>
          <w:bCs/>
          <w:color w:val="000000" w:themeColor="text1"/>
          <w:sz w:val="22"/>
          <w:szCs w:val="22"/>
          <w:highlight w:val="none"/>
          <w:lang w:val="pt-BR"/>
        </w:rPr>
        <w:t xml:space="preserve">11.1.2.</w:t>
      </w:r>
      <w:r>
        <w:rPr>
          <w:rFonts w:ascii="Arial" w:hAnsi="Arial" w:eastAsia="Arial" w:cs="Arial"/>
          <w:color w:val="000000" w:themeColor="text1"/>
          <w:sz w:val="22"/>
          <w:szCs w:val="22"/>
          <w:highlight w:val="none"/>
          <w:lang w:val="pt-BR"/>
        </w:rPr>
        <w:t xml:space="preserve"> A garantia de execução </w:t>
      </w:r>
      <w:r>
        <w:rPr>
          <w:rFonts w:ascii="Arial" w:hAnsi="Arial" w:eastAsia="Arial" w:cs="Arial"/>
          <w:color w:val="000000" w:themeColor="text1"/>
          <w:sz w:val="22"/>
          <w:szCs w:val="22"/>
          <w:highlight w:val="none"/>
          <w:lang w:val="pt-BR"/>
        </w:rPr>
        <w:t xml:space="preserve">contratual, correspondente a 5% (cinco por cento), será exigida no momento da assinatura de cada contrato ou instrumento equivalente decorrente da Ata de Registro de Preços, calculada sobre o valor inicial do respectivo contrato ou instrumento equivalente.</w:t>
      </w:r>
      <w:r>
        <w:rPr>
          <w:rFonts w:ascii="Arial" w:hAnsi="Arial" w:cs="Arial"/>
          <w:color w:val="000000" w:themeColor="text1"/>
          <w:sz w:val="22"/>
          <w:szCs w:val="22"/>
          <w:highlight w:val="none"/>
        </w:rPr>
      </w:r>
      <w:r>
        <w:rPr>
          <w:rFonts w:ascii="Arial" w:hAnsi="Arial" w:cs="Arial"/>
          <w:color w:val="000000" w:themeColor="text1"/>
          <w:sz w:val="22"/>
          <w:szCs w:val="22"/>
          <w:highlight w:val="none"/>
        </w:rPr>
      </w:r>
    </w:p>
    <w:p w14:paraId="7F01F104">
      <w:pPr>
        <w:pStyle w:val="2332"/>
        <w:pBdr/>
        <w:spacing w:after="0" w:before="0"/>
        <w:ind/>
        <w:jc w:val="both"/>
        <w:rPr>
          <w:rFonts w:ascii="Arial" w:hAnsi="Arial" w:cs="Arial"/>
          <w:color w:val="000000" w:themeColor="text1"/>
          <w:sz w:val="22"/>
          <w:szCs w:val="22"/>
          <w:highlight w:val="none"/>
        </w:rPr>
      </w:pPr>
      <w:r>
        <w:rPr>
          <w:rFonts w:ascii="Arial" w:hAnsi="Arial" w:eastAsia="Arial" w:cs="Arial"/>
          <w:b/>
          <w:bCs/>
          <w:color w:val="000000" w:themeColor="text1"/>
          <w:sz w:val="22"/>
          <w:szCs w:val="22"/>
          <w:highlight w:val="none"/>
          <w:lang w:val="pt-BR"/>
        </w:rPr>
        <w:t xml:space="preserve">11.1.3.</w:t>
      </w:r>
      <w:r>
        <w:rPr>
          <w:rFonts w:ascii="Arial" w:hAnsi="Arial" w:eastAsia="Arial" w:cs="Arial"/>
          <w:color w:val="000000" w:themeColor="text1"/>
          <w:sz w:val="22"/>
          <w:szCs w:val="22"/>
          <w:highlight w:val="none"/>
          <w:lang w:val="pt-BR"/>
        </w:rPr>
        <w:t xml:space="preserve"> A garantia deverá permanecer válida durante toda a vigência da respectiva contratação, observadas as modalidades, os prazos e as demais condições previstas na Lei Federal nº 14.133/2021 e no instrumento contratual correspondente.</w:t>
      </w:r>
      <w:r>
        <w:rPr>
          <w:rFonts w:ascii="Arial" w:hAnsi="Arial" w:cs="Arial"/>
          <w:color w:val="000000" w:themeColor="text1"/>
          <w:sz w:val="22"/>
          <w:szCs w:val="22"/>
          <w:highlight w:val="none"/>
        </w:rPr>
      </w:r>
      <w:r>
        <w:rPr>
          <w:rFonts w:ascii="Arial" w:hAnsi="Arial" w:cs="Arial"/>
          <w:color w:val="000000" w:themeColor="text1"/>
          <w:sz w:val="22"/>
          <w:szCs w:val="22"/>
          <w:highlight w:val="none"/>
        </w:rPr>
      </w:r>
    </w:p>
    <w:p w14:paraId="44186545">
      <w:pPr>
        <w:pStyle w:val="2332"/>
        <w:pBdr/>
        <w:spacing w:after="0" w:before="0"/>
        <w:ind/>
        <w:jc w:val="both"/>
        <w:rPr>
          <w:rFonts w:ascii="Arial" w:hAnsi="Arial" w:cs="Arial"/>
          <w:color w:val="000000" w:themeColor="text1"/>
          <w:sz w:val="22"/>
          <w:szCs w:val="22"/>
          <w:highlight w:val="none"/>
        </w:rPr>
      </w:pPr>
      <w:r>
        <w:rPr>
          <w:rFonts w:ascii="Arial" w:hAnsi="Arial" w:eastAsia="Arial" w:cs="Arial"/>
          <w:b/>
          <w:bCs/>
          <w:color w:val="000000" w:themeColor="text1"/>
          <w:sz w:val="22"/>
          <w:szCs w:val="22"/>
          <w:highlight w:val="none"/>
          <w:lang w:val="pt-BR"/>
        </w:rPr>
        <w:t xml:space="preserve">11.1.4.</w:t>
      </w:r>
      <w:r>
        <w:rPr>
          <w:rFonts w:ascii="Arial" w:hAnsi="Arial" w:eastAsia="Arial" w:cs="Arial"/>
          <w:color w:val="000000" w:themeColor="text1"/>
          <w:sz w:val="22"/>
          <w:szCs w:val="22"/>
          <w:highlight w:val="none"/>
          <w:lang w:val="pt-BR"/>
        </w:rPr>
        <w:t xml:space="preserve"> Caberá à Contratada optar por uma das modalidades de garantia previstas no art. 96, § 1º, da Lei Federal nº 14.133/2021, observadas as condições estabelecidas na legislação e no instrumento contratual.</w:t>
      </w:r>
      <w:r>
        <w:rPr>
          <w:rFonts w:ascii="Arial" w:hAnsi="Arial" w:cs="Arial"/>
          <w:color w:val="000000" w:themeColor="text1"/>
          <w:sz w:val="22"/>
          <w:szCs w:val="22"/>
          <w:highlight w:val="none"/>
        </w:rPr>
      </w:r>
      <w:r>
        <w:rPr>
          <w:rFonts w:ascii="Arial" w:hAnsi="Arial" w:cs="Arial"/>
          <w:color w:val="000000" w:themeColor="text1"/>
          <w:sz w:val="22"/>
          <w:szCs w:val="22"/>
          <w:highlight w:val="none"/>
        </w:rPr>
      </w:r>
    </w:p>
    <w:p w14:paraId="704AF996">
      <w:pPr>
        <w:pStyle w:val="2332"/>
        <w:pBdr/>
        <w:spacing w:after="0" w:before="0"/>
        <w:ind/>
        <w:jc w:val="both"/>
        <w:rPr>
          <w:rFonts w:ascii="Arial" w:hAnsi="Arial" w:cs="Arial"/>
          <w:color w:val="000000" w:themeColor="text1"/>
          <w:sz w:val="22"/>
          <w:szCs w:val="22"/>
          <w:highlight w:val="none"/>
        </w:rPr>
      </w:pPr>
      <w:r>
        <w:rPr>
          <w:rFonts w:ascii="Arial" w:hAnsi="Arial" w:eastAsia="Arial" w:cs="Arial"/>
          <w:b/>
          <w:bCs/>
          <w:color w:val="000000" w:themeColor="text1"/>
          <w:sz w:val="22"/>
          <w:szCs w:val="22"/>
          <w:highlight w:val="none"/>
          <w:lang w:val="pt-BR"/>
        </w:rPr>
        <w:t xml:space="preserve">11.1.5.</w:t>
      </w:r>
      <w:r>
        <w:rPr>
          <w:rFonts w:ascii="Arial" w:hAnsi="Arial" w:eastAsia="Arial" w:cs="Arial"/>
          <w:color w:val="000000" w:themeColor="text1"/>
          <w:sz w:val="22"/>
          <w:szCs w:val="22"/>
          <w:highlight w:val="none"/>
          <w:lang w:val="pt-BR"/>
        </w:rPr>
        <w:t xml:space="preserve"> A garantia deverá ser apresentada nos prazos e condições estabelecidos no instrumento contratual, observando-se, especialmente, as disposições da Lei Federal nº 14.133/2021 aplicáveis à modalidade escolhida.</w:t>
      </w:r>
      <w:r>
        <w:rPr>
          <w:rFonts w:ascii="Arial" w:hAnsi="Arial" w:cs="Arial"/>
          <w:color w:val="000000" w:themeColor="text1"/>
          <w:sz w:val="22"/>
          <w:szCs w:val="22"/>
          <w:highlight w:val="none"/>
        </w:rPr>
      </w:r>
      <w:r>
        <w:rPr>
          <w:rFonts w:ascii="Arial" w:hAnsi="Arial" w:cs="Arial"/>
          <w:color w:val="000000" w:themeColor="text1"/>
          <w:sz w:val="22"/>
          <w:szCs w:val="22"/>
          <w:highlight w:val="none"/>
        </w:rPr>
      </w:r>
    </w:p>
    <w:p w14:paraId="569296C5">
      <w:pPr>
        <w:pStyle w:val="2332"/>
        <w:pBdr/>
        <w:spacing w:after="0" w:before="0"/>
        <w:ind/>
        <w:jc w:val="both"/>
        <w:rPr>
          <w:rFonts w:ascii="Arial" w:hAnsi="Arial" w:cs="Arial"/>
          <w:color w:val="000000" w:themeColor="text1"/>
          <w:sz w:val="22"/>
          <w:szCs w:val="22"/>
          <w:highlight w:val="none"/>
        </w:rPr>
      </w:pPr>
      <w:r>
        <w:rPr>
          <w:rFonts w:ascii="Arial" w:hAnsi="Arial" w:eastAsia="Arial" w:cs="Arial"/>
          <w:b/>
          <w:bCs/>
          <w:color w:val="000000" w:themeColor="text1"/>
          <w:sz w:val="22"/>
          <w:szCs w:val="22"/>
          <w:highlight w:val="none"/>
          <w:lang w:val="pt-BR"/>
        </w:rPr>
        <w:t xml:space="preserve">11.1.6.</w:t>
      </w:r>
      <w:r>
        <w:rPr>
          <w:rFonts w:ascii="Arial" w:hAnsi="Arial" w:eastAsia="Arial" w:cs="Arial"/>
          <w:color w:val="000000" w:themeColor="text1"/>
          <w:sz w:val="22"/>
          <w:szCs w:val="22"/>
          <w:highlight w:val="none"/>
          <w:lang w:val="pt-BR"/>
        </w:rPr>
        <w:t xml:space="preserve"> A garantia, qualquer que seja a modalid</w:t>
      </w:r>
      <w:r>
        <w:rPr>
          <w:rFonts w:ascii="Arial" w:hAnsi="Arial" w:eastAsia="Arial" w:cs="Arial"/>
          <w:color w:val="000000" w:themeColor="text1"/>
          <w:sz w:val="22"/>
          <w:szCs w:val="22"/>
          <w:highlight w:val="none"/>
          <w:lang w:val="pt-BR"/>
        </w:rPr>
        <w:t xml:space="preserve">ade escolhida, terá por finalidade assegurar o cumprimento das obrigações assumidas pela Contratada, abrangendo, quando cabível, multas, indenizações, prejuízos e demais obrigações decorrentes do inadimplemento contratual, na forma da legislação aplicável.</w:t>
      </w:r>
      <w:r>
        <w:rPr>
          <w:rFonts w:ascii="Arial" w:hAnsi="Arial" w:cs="Arial"/>
          <w:color w:val="000000" w:themeColor="text1"/>
          <w:sz w:val="22"/>
          <w:szCs w:val="22"/>
          <w:highlight w:val="none"/>
        </w:rPr>
      </w:r>
      <w:r>
        <w:rPr>
          <w:rFonts w:ascii="Arial" w:hAnsi="Arial" w:cs="Arial"/>
          <w:color w:val="000000" w:themeColor="text1"/>
          <w:sz w:val="22"/>
          <w:szCs w:val="22"/>
          <w:highlight w:val="none"/>
        </w:rPr>
      </w:r>
    </w:p>
    <w:p w14:paraId="38D3043C">
      <w:pPr>
        <w:pStyle w:val="2332"/>
        <w:pBdr/>
        <w:spacing w:after="0" w:before="0"/>
        <w:ind/>
        <w:jc w:val="both"/>
        <w:rPr>
          <w:rFonts w:ascii="Arial" w:hAnsi="Arial" w:cs="Arial"/>
          <w:color w:val="000000" w:themeColor="text1"/>
          <w:sz w:val="22"/>
          <w:szCs w:val="22"/>
          <w:highlight w:val="none"/>
        </w:rPr>
      </w:pPr>
      <w:r>
        <w:rPr>
          <w:rFonts w:ascii="Arial" w:hAnsi="Arial" w:eastAsia="Arial" w:cs="Arial"/>
          <w:b/>
          <w:bCs/>
          <w:color w:val="000000" w:themeColor="text1"/>
          <w:sz w:val="22"/>
          <w:szCs w:val="22"/>
          <w:highlight w:val="none"/>
          <w:lang w:val="pt-BR"/>
        </w:rPr>
        <w:t xml:space="preserve">11.1.7.</w:t>
      </w:r>
      <w:r>
        <w:rPr>
          <w:rFonts w:ascii="Arial" w:hAnsi="Arial" w:eastAsia="Arial" w:cs="Arial"/>
          <w:color w:val="000000" w:themeColor="text1"/>
          <w:sz w:val="22"/>
          <w:szCs w:val="22"/>
          <w:highlight w:val="none"/>
          <w:lang w:val="pt-BR"/>
        </w:rPr>
        <w:t xml:space="preserve"> </w:t>
      </w:r>
      <w:r>
        <w:rPr>
          <w:rFonts w:ascii="Arial" w:hAnsi="Arial" w:eastAsia="Arial" w:cs="Arial"/>
          <w:color w:val="000000" w:themeColor="text1"/>
          <w:sz w:val="22"/>
          <w:szCs w:val="22"/>
          <w:highlight w:val="none"/>
          <w:lang w:val="pt-BR"/>
        </w:rPr>
        <w:t xml:space="preserve">Se o valor da garantia for utilizado total ou parcialmente para o pagamento de qualquer obrigação decorrente da execução contratual, a Contratada deverá promover sua recomposição, no prazo estabelecido pela Administração, contado da respectiva notificação.</w:t>
      </w:r>
      <w:r>
        <w:rPr>
          <w:rFonts w:ascii="Arial" w:hAnsi="Arial" w:cs="Arial"/>
          <w:color w:val="000000" w:themeColor="text1"/>
          <w:sz w:val="22"/>
          <w:szCs w:val="22"/>
          <w:highlight w:val="none"/>
        </w:rPr>
      </w:r>
      <w:r>
        <w:rPr>
          <w:rFonts w:ascii="Arial" w:hAnsi="Arial" w:cs="Arial"/>
          <w:color w:val="000000" w:themeColor="text1"/>
          <w:sz w:val="22"/>
          <w:szCs w:val="22"/>
          <w:highlight w:val="none"/>
        </w:rPr>
      </w:r>
    </w:p>
    <w:p w14:paraId="368110B1">
      <w:pPr>
        <w:pStyle w:val="2332"/>
        <w:pBdr/>
        <w:spacing w:after="0" w:before="0"/>
        <w:ind/>
        <w:jc w:val="both"/>
        <w:rPr>
          <w:rFonts w:ascii="Arial" w:hAnsi="Arial" w:cs="Arial"/>
          <w:color w:val="000000" w:themeColor="text1"/>
          <w:sz w:val="22"/>
          <w:szCs w:val="22"/>
          <w:highlight w:val="none"/>
        </w:rPr>
      </w:pPr>
      <w:r>
        <w:rPr>
          <w:rFonts w:ascii="Arial" w:hAnsi="Arial" w:eastAsia="Arial" w:cs="Arial"/>
          <w:b/>
          <w:bCs/>
          <w:color w:val="000000" w:themeColor="text1"/>
          <w:sz w:val="22"/>
          <w:szCs w:val="22"/>
          <w:highlight w:val="none"/>
          <w:lang w:val="pt-BR"/>
        </w:rPr>
        <w:t xml:space="preserve">11.1.8.</w:t>
      </w:r>
      <w:r>
        <w:rPr>
          <w:rFonts w:ascii="Arial" w:hAnsi="Arial" w:eastAsia="Arial" w:cs="Arial"/>
          <w:color w:val="000000" w:themeColor="text1"/>
          <w:sz w:val="22"/>
          <w:szCs w:val="22"/>
          <w:highlight w:val="none"/>
          <w:lang w:val="pt-BR"/>
        </w:rPr>
        <w:t xml:space="preserve"> No caso de alteração do valor do contrato ou de prorrogação de sua vigência, quando aplicável, a garantia deverá ser ajustada ou renovada pela Contratada, de acordo com os mesmos parâmetros adotados na contratação original.</w:t>
      </w:r>
      <w:r>
        <w:rPr>
          <w:rFonts w:ascii="Arial" w:hAnsi="Arial" w:cs="Arial"/>
          <w:color w:val="000000" w:themeColor="text1"/>
          <w:sz w:val="22"/>
          <w:szCs w:val="22"/>
          <w:highlight w:val="none"/>
        </w:rPr>
      </w:r>
      <w:r>
        <w:rPr>
          <w:rFonts w:ascii="Arial" w:hAnsi="Arial" w:cs="Arial"/>
          <w:color w:val="000000" w:themeColor="text1"/>
          <w:sz w:val="22"/>
          <w:szCs w:val="22"/>
          <w:highlight w:val="none"/>
        </w:rPr>
      </w:r>
    </w:p>
    <w:p w14:paraId="4E3B9E80">
      <w:pPr>
        <w:pStyle w:val="2332"/>
        <w:pBdr/>
        <w:spacing w:after="0" w:before="0"/>
        <w:ind/>
        <w:jc w:val="both"/>
        <w:rPr>
          <w:rFonts w:ascii="Arial" w:hAnsi="Arial" w:cs="Arial"/>
          <w:color w:val="000000" w:themeColor="text1"/>
          <w:sz w:val="22"/>
          <w:szCs w:val="22"/>
          <w:highlight w:val="none"/>
        </w:rPr>
      </w:pPr>
      <w:r>
        <w:rPr>
          <w:rFonts w:ascii="Arial" w:hAnsi="Arial" w:eastAsia="Arial" w:cs="Arial"/>
          <w:b/>
          <w:bCs/>
          <w:color w:val="000000" w:themeColor="text1"/>
          <w:sz w:val="22"/>
          <w:szCs w:val="22"/>
          <w:highlight w:val="none"/>
          <w:lang w:val="pt-BR"/>
        </w:rPr>
        <w:t xml:space="preserve">11.1.9.</w:t>
      </w:r>
      <w:r>
        <w:rPr>
          <w:rFonts w:ascii="Arial" w:hAnsi="Arial" w:eastAsia="Arial" w:cs="Arial"/>
          <w:color w:val="000000" w:themeColor="text1"/>
          <w:sz w:val="22"/>
          <w:szCs w:val="22"/>
          <w:highlight w:val="none"/>
          <w:lang w:val="pt-BR"/>
        </w:rPr>
        <w:t xml:space="preserve"> A garantia será liberada ou restituída após o cumprimento integral das obrigações contratuais, mediante declaração ou termo emitido pela Administração, observadas as disposições legais e contratuais aplicáveis.</w:t>
      </w:r>
      <w:r>
        <w:rPr>
          <w:rFonts w:ascii="Arial" w:hAnsi="Arial" w:cs="Arial"/>
          <w:color w:val="000000" w:themeColor="text1"/>
          <w:sz w:val="22"/>
          <w:szCs w:val="22"/>
          <w:highlight w:val="none"/>
        </w:rPr>
      </w:r>
      <w:r>
        <w:rPr>
          <w:rFonts w:ascii="Arial" w:hAnsi="Arial" w:cs="Arial"/>
          <w:color w:val="000000" w:themeColor="text1"/>
          <w:sz w:val="22"/>
          <w:szCs w:val="22"/>
          <w:highlight w:val="none"/>
        </w:rPr>
      </w:r>
    </w:p>
    <w:p w14:paraId="7C5E2609">
      <w:pPr>
        <w:pStyle w:val="2332"/>
        <w:pBdr/>
        <w:spacing w:after="0" w:before="0"/>
        <w:ind/>
        <w:jc w:val="both"/>
        <w:rPr>
          <w:rFonts w:ascii="Arial" w:hAnsi="Arial" w:cs="Arial"/>
          <w:color w:val="000000" w:themeColor="text1"/>
          <w:sz w:val="22"/>
          <w:szCs w:val="22"/>
          <w:highlight w:val="none"/>
        </w:rPr>
      </w:pPr>
      <w:r>
        <w:rPr>
          <w:rFonts w:ascii="Arial" w:hAnsi="Arial" w:eastAsia="Arial" w:cs="Arial"/>
          <w:b/>
          <w:bCs/>
          <w:color w:val="000000" w:themeColor="text1"/>
          <w:sz w:val="22"/>
          <w:szCs w:val="22"/>
          <w:highlight w:val="none"/>
          <w:lang w:val="pt-BR"/>
        </w:rPr>
        <w:t xml:space="preserve">11.1.10.</w:t>
      </w:r>
      <w:r>
        <w:rPr>
          <w:rFonts w:ascii="Arial" w:hAnsi="Arial" w:eastAsia="Arial" w:cs="Arial"/>
          <w:color w:val="000000" w:themeColor="text1"/>
          <w:sz w:val="22"/>
          <w:szCs w:val="22"/>
          <w:highlight w:val="none"/>
          <w:lang w:val="pt-BR"/>
        </w:rPr>
        <w:t xml:space="preserve"> Quando prestada em dinheiro, a garantia será devolvida à Contratada com a devida atualização monetária, nos termos da legislação aplicável.</w:t>
      </w:r>
      <w:r>
        <w:rPr>
          <w:rFonts w:ascii="Arial" w:hAnsi="Arial" w:cs="Arial"/>
          <w:color w:val="000000" w:themeColor="text1"/>
          <w:sz w:val="22"/>
          <w:szCs w:val="22"/>
          <w:highlight w:val="none"/>
        </w:rPr>
      </w:r>
      <w:r>
        <w:rPr>
          <w:rFonts w:ascii="Arial" w:hAnsi="Arial" w:cs="Arial"/>
          <w:color w:val="000000" w:themeColor="text1"/>
          <w:sz w:val="22"/>
          <w:szCs w:val="22"/>
          <w:highlight w:val="none"/>
        </w:rPr>
      </w:r>
    </w:p>
    <w:p w14:paraId="30F85D05">
      <w:pPr>
        <w:pStyle w:val="2332"/>
        <w:pBdr/>
        <w:spacing w:after="0" w:before="0"/>
        <w:ind/>
        <w:jc w:val="both"/>
        <w:rPr>
          <w:rFonts w:ascii="Arial" w:hAnsi="Arial" w:cs="Arial"/>
          <w:color w:val="000000" w:themeColor="text1"/>
          <w:sz w:val="22"/>
          <w:szCs w:val="22"/>
          <w:highlight w:val="none"/>
        </w:rPr>
      </w:pPr>
      <w:r>
        <w:rPr>
          <w:rFonts w:ascii="Arial" w:hAnsi="Arial" w:eastAsia="Arial" w:cs="Arial"/>
          <w:b/>
          <w:bCs/>
          <w:color w:val="000000" w:themeColor="text1"/>
          <w:sz w:val="22"/>
          <w:szCs w:val="22"/>
          <w:highlight w:val="none"/>
          <w:lang w:val="pt-BR"/>
        </w:rPr>
        <w:t xml:space="preserve">11.1.11</w:t>
      </w:r>
      <w:r>
        <w:rPr>
          <w:rFonts w:ascii="Arial" w:hAnsi="Arial" w:eastAsia="Arial" w:cs="Arial"/>
          <w:color w:val="000000" w:themeColor="text1"/>
          <w:sz w:val="22"/>
          <w:szCs w:val="22"/>
          <w:highlight w:val="none"/>
          <w:lang w:val="pt-BR"/>
        </w:rPr>
        <w:t xml:space="preserve">. A garantia de execução contratual é independente da garantia dos produtos e não afasta a responsabilidade da Contratada pela qualidade, segurança, esterilidade, regularidade sanitária e conformidade dos materiais fornecidos.</w:t>
      </w:r>
      <w:r>
        <w:rPr>
          <w:rFonts w:ascii="Arial" w:hAnsi="Arial" w:cs="Arial"/>
          <w:color w:val="000000" w:themeColor="text1"/>
          <w:sz w:val="22"/>
          <w:szCs w:val="22"/>
          <w:highlight w:val="none"/>
        </w:rPr>
      </w:r>
      <w:r>
        <w:rPr>
          <w:rFonts w:ascii="Arial" w:hAnsi="Arial" w:cs="Arial"/>
          <w:color w:val="000000" w:themeColor="text1"/>
          <w:sz w:val="22"/>
          <w:szCs w:val="22"/>
          <w:highlight w:val="none"/>
        </w:rPr>
      </w:r>
    </w:p>
    <w:p w14:paraId="368C6AF4">
      <w:pPr>
        <w:pStyle w:val="2332"/>
        <w:pBdr/>
        <w:spacing w:after="0" w:before="0"/>
        <w:ind/>
        <w:jc w:val="both"/>
        <w:rPr>
          <w:rFonts w:ascii="Arial" w:hAnsi="Arial" w:cs="Arial"/>
          <w:b/>
          <w:bCs/>
          <w:color w:val="000000" w:themeColor="text1"/>
          <w:sz w:val="22"/>
          <w:szCs w:val="22"/>
          <w:highlight w:val="none"/>
        </w:rPr>
      </w:pPr>
      <w:r>
        <w:rPr>
          <w:rFonts w:ascii="Arial" w:hAnsi="Arial" w:eastAsia="Arial" w:cs="Arial"/>
          <w:b/>
          <w:bCs/>
          <w:color w:val="000000" w:themeColor="text1"/>
          <w:sz w:val="22"/>
          <w:szCs w:val="22"/>
          <w:highlight w:val="none"/>
          <w:lang w:val="pt-BR"/>
        </w:rPr>
        <w:t xml:space="preserve">11.2. GARANTIA DOS PRODUTOS</w:t>
      </w:r>
      <w:r>
        <w:rPr>
          <w:rFonts w:ascii="Arial" w:hAnsi="Arial" w:cs="Arial"/>
          <w:b/>
          <w:bCs/>
          <w:color w:val="000000" w:themeColor="text1"/>
          <w:sz w:val="22"/>
          <w:szCs w:val="22"/>
          <w:highlight w:val="none"/>
        </w:rPr>
      </w:r>
      <w:r>
        <w:rPr>
          <w:rFonts w:ascii="Arial" w:hAnsi="Arial" w:cs="Arial"/>
          <w:b/>
          <w:bCs/>
          <w:color w:val="000000" w:themeColor="text1"/>
          <w:sz w:val="22"/>
          <w:szCs w:val="22"/>
          <w:highlight w:val="none"/>
        </w:rPr>
      </w:r>
    </w:p>
    <w:p w14:paraId="17BD8B23">
      <w:pPr>
        <w:pStyle w:val="2332"/>
        <w:pBdr/>
        <w:spacing w:after="0" w:before="0"/>
        <w:ind/>
        <w:jc w:val="both"/>
        <w:rPr>
          <w:rFonts w:ascii="Arial" w:hAnsi="Arial" w:cs="Arial"/>
          <w:color w:val="000000" w:themeColor="text1"/>
          <w:sz w:val="22"/>
          <w:szCs w:val="22"/>
          <w:highlight w:val="none"/>
        </w:rPr>
      </w:pPr>
      <w:r>
        <w:rPr>
          <w:rFonts w:ascii="Arial" w:hAnsi="Arial" w:eastAsia="Arial" w:cs="Arial"/>
          <w:b/>
          <w:bCs/>
          <w:color w:val="000000" w:themeColor="text1"/>
          <w:sz w:val="22"/>
          <w:szCs w:val="22"/>
          <w:highlight w:val="none"/>
          <w:lang w:val="pt-BR"/>
        </w:rPr>
        <w:t xml:space="preserve">11.2.1.</w:t>
      </w:r>
      <w:r>
        <w:rPr>
          <w:rFonts w:ascii="Arial" w:hAnsi="Arial" w:eastAsia="Arial" w:cs="Arial"/>
          <w:color w:val="000000" w:themeColor="text1"/>
          <w:sz w:val="22"/>
          <w:szCs w:val="22"/>
          <w:highlight w:val="none"/>
          <w:lang w:val="pt-BR"/>
        </w:rPr>
        <w:t xml:space="preserve"> A garantia dos produtos observará a legislação aplicável e compreenderá a responsabilidade da Contratada pela qualidade, segurança, esterilidade, regularidade, adequação e conformidade dos tubos e agulhas fornecidos durante o respectivo prazo de validade.</w:t>
      </w:r>
      <w:r>
        <w:rPr>
          <w:rFonts w:ascii="Arial" w:hAnsi="Arial" w:cs="Arial"/>
          <w:color w:val="000000" w:themeColor="text1"/>
          <w:sz w:val="22"/>
          <w:szCs w:val="22"/>
          <w:highlight w:val="none"/>
        </w:rPr>
      </w:r>
      <w:r>
        <w:rPr>
          <w:rFonts w:ascii="Arial" w:hAnsi="Arial" w:cs="Arial"/>
          <w:color w:val="000000" w:themeColor="text1"/>
          <w:sz w:val="22"/>
          <w:szCs w:val="22"/>
          <w:highlight w:val="none"/>
        </w:rPr>
      </w:r>
    </w:p>
    <w:p w14:paraId="5913DAF0">
      <w:pPr>
        <w:pStyle w:val="2332"/>
        <w:pBdr/>
        <w:spacing w:after="0" w:before="0"/>
        <w:ind/>
        <w:jc w:val="both"/>
        <w:rPr>
          <w:rFonts w:ascii="Arial" w:hAnsi="Arial" w:cs="Arial"/>
          <w:color w:val="000000" w:themeColor="text1"/>
          <w:sz w:val="22"/>
          <w:szCs w:val="22"/>
          <w:highlight w:val="none"/>
        </w:rPr>
      </w:pPr>
      <w:r>
        <w:rPr>
          <w:rFonts w:ascii="Arial" w:hAnsi="Arial" w:eastAsia="Arial" w:cs="Arial"/>
          <w:b/>
          <w:bCs/>
          <w:color w:val="000000" w:themeColor="text1"/>
          <w:sz w:val="22"/>
          <w:szCs w:val="22"/>
          <w:highlight w:val="none"/>
          <w:lang w:val="pt-BR"/>
        </w:rPr>
        <w:t xml:space="preserve">11.2.2.</w:t>
      </w:r>
      <w:r>
        <w:rPr>
          <w:rFonts w:ascii="Arial" w:hAnsi="Arial" w:eastAsia="Arial" w:cs="Arial"/>
          <w:color w:val="000000" w:themeColor="text1"/>
          <w:sz w:val="22"/>
          <w:szCs w:val="22"/>
          <w:highlight w:val="none"/>
          <w:lang w:val="pt-BR"/>
        </w:rPr>
        <w:t xml:space="preserve"> Os tubos e as agulhas deverão ser entregues em perfeitas condições de uso, em embalagens originais, íntegras e</w:t>
      </w:r>
      <w:r>
        <w:rPr>
          <w:rFonts w:ascii="Arial" w:hAnsi="Arial" w:eastAsia="Arial" w:cs="Arial"/>
          <w:color w:val="000000" w:themeColor="text1"/>
          <w:sz w:val="22"/>
          <w:szCs w:val="22"/>
          <w:highlight w:val="none"/>
          <w:lang w:val="pt-BR"/>
        </w:rPr>
        <w:t xml:space="preserve"> invioladas, devidamente identificadas com o nome do produto, marca, fabricante, lote, data de fabricação, prazo de validade, condições de armazenamento e registro sanitário ou outra forma de regularização aplicável, quando exigida pela legislação vigente.</w:t>
      </w:r>
      <w:r>
        <w:rPr>
          <w:rFonts w:ascii="Arial" w:hAnsi="Arial" w:cs="Arial"/>
          <w:color w:val="000000" w:themeColor="text1"/>
          <w:sz w:val="22"/>
          <w:szCs w:val="22"/>
          <w:highlight w:val="none"/>
        </w:rPr>
      </w:r>
      <w:r>
        <w:rPr>
          <w:rFonts w:ascii="Arial" w:hAnsi="Arial" w:cs="Arial"/>
          <w:color w:val="000000" w:themeColor="text1"/>
          <w:sz w:val="22"/>
          <w:szCs w:val="22"/>
          <w:highlight w:val="none"/>
        </w:rPr>
      </w:r>
    </w:p>
    <w:p w14:paraId="141F91CD">
      <w:pPr>
        <w:pStyle w:val="2332"/>
        <w:pBdr/>
        <w:spacing w:after="0" w:before="0"/>
        <w:ind/>
        <w:jc w:val="both"/>
        <w:rPr>
          <w:rFonts w:ascii="Arial" w:hAnsi="Arial" w:cs="Arial"/>
          <w:color w:val="000000" w:themeColor="text1"/>
          <w:sz w:val="22"/>
          <w:szCs w:val="22"/>
          <w:highlight w:val="none"/>
        </w:rPr>
      </w:pPr>
      <w:r>
        <w:rPr>
          <w:rFonts w:ascii="Arial" w:hAnsi="Arial" w:eastAsia="Arial" w:cs="Arial"/>
          <w:b/>
          <w:bCs/>
          <w:color w:val="000000" w:themeColor="text1"/>
          <w:sz w:val="22"/>
          <w:szCs w:val="22"/>
          <w:highlight w:val="none"/>
          <w:lang w:val="pt-BR"/>
        </w:rPr>
        <w:t xml:space="preserve">11.2.3.</w:t>
      </w:r>
      <w:r>
        <w:rPr>
          <w:rFonts w:ascii="Arial" w:hAnsi="Arial" w:eastAsia="Arial" w:cs="Arial"/>
          <w:color w:val="000000" w:themeColor="text1"/>
          <w:sz w:val="22"/>
          <w:szCs w:val="22"/>
          <w:highlight w:val="none"/>
          <w:lang w:val="pt-BR"/>
        </w:rPr>
        <w:t xml:space="preserve"> A Contratada deverá substituir, sem qualquer ônus para a Administração, os produtos que apresentarem defeito de fabricação, vício, avaria, perda de esterilidade, irregularidade no sistema de vácuo, inade</w:t>
      </w:r>
      <w:r>
        <w:rPr>
          <w:rFonts w:ascii="Arial" w:hAnsi="Arial" w:eastAsia="Arial" w:cs="Arial"/>
          <w:color w:val="000000" w:themeColor="text1"/>
          <w:sz w:val="22"/>
          <w:szCs w:val="22"/>
          <w:highlight w:val="none"/>
          <w:lang w:val="pt-BR"/>
        </w:rPr>
        <w:t xml:space="preserve">quação do volume de aspiração, divergência de especificação ou lote, falha de fechamento, embalagem violada, prazo de validade incompatível, ausência de identificação obrigatória, desconformidade sanitária ou qualquer outra inadequação à finalidade de uso.</w:t>
      </w:r>
      <w:r>
        <w:rPr>
          <w:rFonts w:ascii="Arial" w:hAnsi="Arial" w:cs="Arial"/>
          <w:color w:val="000000" w:themeColor="text1"/>
          <w:sz w:val="22"/>
          <w:szCs w:val="22"/>
          <w:highlight w:val="none"/>
        </w:rPr>
      </w:r>
      <w:r>
        <w:rPr>
          <w:rFonts w:ascii="Arial" w:hAnsi="Arial" w:cs="Arial"/>
          <w:color w:val="000000" w:themeColor="text1"/>
          <w:sz w:val="22"/>
          <w:szCs w:val="22"/>
          <w:highlight w:val="none"/>
        </w:rPr>
      </w:r>
    </w:p>
    <w:p w14:paraId="36DC6114">
      <w:pPr>
        <w:pStyle w:val="2332"/>
        <w:pBdr/>
        <w:spacing w:after="0" w:before="0"/>
        <w:ind/>
        <w:jc w:val="both"/>
        <w:rPr>
          <w:rFonts w:ascii="Arial" w:hAnsi="Arial" w:cs="Arial"/>
          <w:color w:val="000000" w:themeColor="text1"/>
          <w:sz w:val="22"/>
          <w:szCs w:val="22"/>
          <w:highlight w:val="none"/>
        </w:rPr>
      </w:pPr>
      <w:r>
        <w:rPr>
          <w:rFonts w:ascii="Arial" w:hAnsi="Arial" w:eastAsia="Arial" w:cs="Arial"/>
          <w:b/>
          <w:bCs/>
          <w:color w:val="000000" w:themeColor="text1"/>
          <w:sz w:val="22"/>
          <w:szCs w:val="22"/>
          <w:highlight w:val="none"/>
          <w:lang w:val="pt-BR"/>
        </w:rPr>
        <w:t xml:space="preserve">11.2.4.</w:t>
      </w:r>
      <w:r>
        <w:rPr>
          <w:rFonts w:ascii="Arial" w:hAnsi="Arial" w:eastAsia="Arial" w:cs="Arial"/>
          <w:color w:val="000000" w:themeColor="text1"/>
          <w:sz w:val="22"/>
          <w:szCs w:val="22"/>
          <w:highlight w:val="none"/>
          <w:lang w:val="pt-BR"/>
        </w:rPr>
        <w:t xml:space="preserve"> A substituição dos produtos recusados por vícios físicos, defeitos ou desconformidades técnicas deverá ocorrer no prazo máximo de até 5 (cinco) dias úteis, contados da noti</w:t>
      </w:r>
      <w:r>
        <w:rPr>
          <w:rFonts w:ascii="Arial" w:hAnsi="Arial" w:eastAsia="Arial" w:cs="Arial"/>
          <w:color w:val="000000" w:themeColor="text1"/>
          <w:sz w:val="22"/>
          <w:szCs w:val="22"/>
          <w:highlight w:val="none"/>
          <w:lang w:val="pt-BR"/>
        </w:rPr>
        <w:t xml:space="preserve">ficação escrita encaminhada pela fiscalização, reduzindo-se esse prazo para até 48 (quarenta e oito) horas corridas na hipótese de risco iminente de desabastecimento ou comprometimento da continuidade dos procedimentos de coleta e dos exames laboratoriais.</w:t>
      </w:r>
      <w:r>
        <w:rPr>
          <w:rFonts w:ascii="Arial" w:hAnsi="Arial" w:cs="Arial"/>
          <w:color w:val="000000" w:themeColor="text1"/>
          <w:sz w:val="22"/>
          <w:szCs w:val="22"/>
          <w:highlight w:val="none"/>
        </w:rPr>
      </w:r>
      <w:r>
        <w:rPr>
          <w:rFonts w:ascii="Arial" w:hAnsi="Arial" w:cs="Arial"/>
          <w:color w:val="000000" w:themeColor="text1"/>
          <w:sz w:val="22"/>
          <w:szCs w:val="22"/>
          <w:highlight w:val="none"/>
        </w:rPr>
      </w:r>
    </w:p>
    <w:p w14:paraId="54D363EC">
      <w:pPr>
        <w:pStyle w:val="2332"/>
        <w:pBdr/>
        <w:spacing w:after="0" w:before="0"/>
        <w:ind/>
        <w:jc w:val="both"/>
        <w:rPr>
          <w:rFonts w:ascii="Arial" w:hAnsi="Arial" w:cs="Arial"/>
          <w:color w:val="000000" w:themeColor="text1"/>
          <w:sz w:val="22"/>
          <w:szCs w:val="22"/>
          <w:highlight w:val="none"/>
        </w:rPr>
      </w:pPr>
      <w:r>
        <w:rPr>
          <w:rFonts w:ascii="Arial" w:hAnsi="Arial" w:eastAsia="Arial" w:cs="Arial"/>
          <w:b/>
          <w:bCs/>
          <w:color w:val="000000" w:themeColor="text1"/>
          <w:sz w:val="22"/>
          <w:szCs w:val="22"/>
          <w:highlight w:val="none"/>
          <w:lang w:val="pt-BR"/>
        </w:rPr>
        <w:t xml:space="preserve">11.2.4.1.</w:t>
      </w:r>
      <w:r>
        <w:rPr>
          <w:rFonts w:ascii="Arial" w:hAnsi="Arial" w:eastAsia="Arial" w:cs="Arial"/>
          <w:color w:val="000000" w:themeColor="text1"/>
          <w:sz w:val="22"/>
          <w:szCs w:val="22"/>
          <w:highlight w:val="none"/>
          <w:lang w:val="pt-BR"/>
        </w:rPr>
        <w:t xml:space="preserve"> Ocorrendo qualquer desvio de qualidade, suspensão de comercialização, cancelamento de registro ou alerta de segurança, inclusive </w:t>
      </w:r>
      <w:r>
        <w:rPr>
          <w:rFonts w:ascii="Arial" w:hAnsi="Arial" w:eastAsia="Arial" w:cs="Arial"/>
          <w:i/>
          <w:iCs/>
          <w:color w:val="000000" w:themeColor="text1"/>
          <w:sz w:val="22"/>
          <w:szCs w:val="22"/>
          <w:highlight w:val="none"/>
          <w:lang w:val="pt-BR"/>
        </w:rPr>
        <w:t xml:space="preserve">recall</w:t>
      </w:r>
      <w:r>
        <w:rPr>
          <w:rFonts w:ascii="Arial" w:hAnsi="Arial" w:eastAsia="Arial" w:cs="Arial"/>
          <w:color w:val="000000" w:themeColor="text1"/>
          <w:sz w:val="22"/>
          <w:szCs w:val="22"/>
          <w:highlight w:val="none"/>
          <w:lang w:val="pt-BR"/>
        </w:rPr>
        <w:t xml:space="preserve">, emitido pela Anvisa, pelo fabricante ou pelo órgão competente, que afete os produtos fornecidos, a Contratada deverá comunicar formalmente a Secretari</w:t>
      </w:r>
      <w:r>
        <w:rPr>
          <w:rFonts w:ascii="Arial" w:hAnsi="Arial" w:eastAsia="Arial" w:cs="Arial"/>
          <w:color w:val="000000" w:themeColor="text1"/>
          <w:sz w:val="22"/>
          <w:szCs w:val="22"/>
          <w:highlight w:val="none"/>
          <w:lang w:val="pt-BR"/>
        </w:rPr>
        <w:t xml:space="preserve">a Municipal de Saúde e adotar as providências necessárias ao recolhimento e à substituição dos lotes atingidos, sem qualquer ônus para a Administração, observados os prazos e condições estabelecidos pela legislação aplicável e pela fiscalização contratual.</w:t>
      </w:r>
      <w:r>
        <w:rPr>
          <w:rFonts w:ascii="Arial" w:hAnsi="Arial" w:cs="Arial"/>
          <w:color w:val="000000" w:themeColor="text1"/>
          <w:sz w:val="22"/>
          <w:szCs w:val="22"/>
          <w:highlight w:val="none"/>
        </w:rPr>
      </w:r>
      <w:r>
        <w:rPr>
          <w:rFonts w:ascii="Arial" w:hAnsi="Arial" w:cs="Arial"/>
          <w:color w:val="000000" w:themeColor="text1"/>
          <w:sz w:val="22"/>
          <w:szCs w:val="22"/>
          <w:highlight w:val="none"/>
        </w:rPr>
      </w:r>
    </w:p>
    <w:p w14:paraId="431B2F42">
      <w:pPr>
        <w:pStyle w:val="2332"/>
        <w:pBdr/>
        <w:spacing w:after="0" w:before="0"/>
        <w:ind/>
        <w:jc w:val="both"/>
        <w:rPr>
          <w:rFonts w:ascii="Arial" w:hAnsi="Arial" w:cs="Arial"/>
          <w:color w:val="000000" w:themeColor="text1"/>
          <w:sz w:val="22"/>
          <w:szCs w:val="22"/>
          <w:highlight w:val="none"/>
        </w:rPr>
      </w:pPr>
      <w:r>
        <w:rPr>
          <w:rFonts w:ascii="Arial" w:hAnsi="Arial" w:eastAsia="Arial" w:cs="Arial"/>
          <w:b/>
          <w:bCs/>
          <w:color w:val="000000" w:themeColor="text1"/>
          <w:sz w:val="22"/>
          <w:szCs w:val="22"/>
          <w:highlight w:val="none"/>
          <w:lang w:val="pt-BR"/>
        </w:rPr>
        <w:t xml:space="preserve">11.2.5.</w:t>
      </w:r>
      <w:r>
        <w:rPr>
          <w:rFonts w:ascii="Arial" w:hAnsi="Arial" w:eastAsia="Arial" w:cs="Arial"/>
          <w:color w:val="000000" w:themeColor="text1"/>
          <w:sz w:val="22"/>
          <w:szCs w:val="22"/>
          <w:highlight w:val="none"/>
          <w:lang w:val="pt-BR"/>
        </w:rPr>
        <w:t xml:space="preserve"> O recebimento provisório ou definitivo dos produtos não exclui nem reduz a responsabilidade da Contratada pela qualidade, segurança, esterilidade, regularidade sanitária, prazo de validade, rastreabilidade e conformidade dos itens fornecidos.</w:t>
      </w:r>
      <w:r>
        <w:rPr>
          <w:rFonts w:ascii="Arial" w:hAnsi="Arial" w:cs="Arial"/>
          <w:color w:val="000000" w:themeColor="text1"/>
          <w:sz w:val="22"/>
          <w:szCs w:val="22"/>
          <w:highlight w:val="none"/>
        </w:rPr>
      </w:r>
      <w:r>
        <w:rPr>
          <w:rFonts w:ascii="Arial" w:hAnsi="Arial" w:cs="Arial"/>
          <w:color w:val="000000" w:themeColor="text1"/>
          <w:sz w:val="22"/>
          <w:szCs w:val="22"/>
          <w:highlight w:val="none"/>
        </w:rPr>
      </w:r>
    </w:p>
    <w:p w14:paraId="7BCBAAD8">
      <w:pPr>
        <w:pStyle w:val="2332"/>
        <w:pBdr/>
        <w:spacing w:after="0" w:before="0"/>
        <w:ind/>
        <w:jc w:val="both"/>
        <w:rPr>
          <w:rFonts w:ascii="Arial" w:hAnsi="Arial" w:cs="Arial"/>
          <w:b/>
          <w:bCs/>
          <w:color w:val="000000" w:themeColor="text1"/>
          <w:sz w:val="22"/>
          <w:szCs w:val="22"/>
          <w:highlight w:val="none"/>
        </w:rPr>
      </w:pPr>
      <w:r>
        <w:rPr>
          <w:rFonts w:ascii="Arial" w:hAnsi="Arial" w:eastAsia="Arial" w:cs="Arial"/>
          <w:b/>
          <w:bCs/>
          <w:color w:val="000000" w:themeColor="text1"/>
          <w:sz w:val="22"/>
          <w:szCs w:val="22"/>
          <w:highlight w:val="none"/>
          <w:lang w:val="pt-BR"/>
        </w:rPr>
        <w:t xml:space="preserve">11.3. CONDIÇÕES RELACIONADAS À GARANTIA E AO FORNECIMENTO</w:t>
      </w:r>
      <w:r>
        <w:rPr>
          <w:rFonts w:ascii="Arial" w:hAnsi="Arial" w:cs="Arial"/>
          <w:b/>
          <w:bCs/>
          <w:color w:val="000000" w:themeColor="text1"/>
          <w:sz w:val="22"/>
          <w:szCs w:val="22"/>
          <w:highlight w:val="none"/>
        </w:rPr>
      </w:r>
      <w:r>
        <w:rPr>
          <w:rFonts w:ascii="Arial" w:hAnsi="Arial" w:cs="Arial"/>
          <w:b/>
          <w:bCs/>
          <w:color w:val="000000" w:themeColor="text1"/>
          <w:sz w:val="22"/>
          <w:szCs w:val="22"/>
          <w:highlight w:val="none"/>
        </w:rPr>
      </w:r>
    </w:p>
    <w:p w14:paraId="640166B9">
      <w:pPr>
        <w:pStyle w:val="2332"/>
        <w:pBdr/>
        <w:spacing w:after="0" w:before="0"/>
        <w:ind/>
        <w:jc w:val="both"/>
        <w:rPr>
          <w:rFonts w:ascii="Arial" w:hAnsi="Arial" w:cs="Arial"/>
          <w:color w:val="000000" w:themeColor="text1"/>
          <w:sz w:val="22"/>
          <w:szCs w:val="22"/>
          <w:highlight w:val="none"/>
        </w:rPr>
      </w:pPr>
      <w:r>
        <w:rPr>
          <w:rFonts w:ascii="Arial" w:hAnsi="Arial" w:eastAsia="Arial" w:cs="Arial"/>
          <w:b/>
          <w:bCs/>
          <w:color w:val="000000" w:themeColor="text1"/>
          <w:sz w:val="22"/>
          <w:szCs w:val="22"/>
          <w:highlight w:val="none"/>
          <w:lang w:val="pt-BR"/>
        </w:rPr>
        <w:t xml:space="preserve">11.3.1.</w:t>
      </w:r>
      <w:r>
        <w:rPr>
          <w:rFonts w:ascii="Arial" w:hAnsi="Arial" w:eastAsia="Arial" w:cs="Arial"/>
          <w:color w:val="000000" w:themeColor="text1"/>
          <w:sz w:val="22"/>
          <w:szCs w:val="22"/>
          <w:highlight w:val="none"/>
          <w:lang w:val="pt-BR"/>
        </w:rPr>
        <w:t xml:space="preserve"> A Contratada deverá assegura</w:t>
      </w:r>
      <w:r>
        <w:rPr>
          <w:rFonts w:ascii="Arial" w:hAnsi="Arial" w:eastAsia="Arial" w:cs="Arial"/>
          <w:color w:val="000000" w:themeColor="text1"/>
          <w:sz w:val="22"/>
          <w:szCs w:val="22"/>
          <w:highlight w:val="none"/>
          <w:lang w:val="pt-BR"/>
        </w:rPr>
        <w:t xml:space="preserve">r que os tubos e as agulhas sejam transportados, acondicionados e entregues em condições adequadas de conservação, higiene, segurança e integridade, observando as exigências técnicas, sanitárias e as orientações estabelecidas pelos respectivos fabricantes.</w:t>
      </w:r>
      <w:r>
        <w:rPr>
          <w:rFonts w:ascii="Arial" w:hAnsi="Arial" w:cs="Arial"/>
          <w:color w:val="000000" w:themeColor="text1"/>
          <w:sz w:val="22"/>
          <w:szCs w:val="22"/>
          <w:highlight w:val="none"/>
        </w:rPr>
      </w:r>
      <w:r>
        <w:rPr>
          <w:rFonts w:ascii="Arial" w:hAnsi="Arial" w:cs="Arial"/>
          <w:color w:val="000000" w:themeColor="text1"/>
          <w:sz w:val="22"/>
          <w:szCs w:val="22"/>
          <w:highlight w:val="none"/>
        </w:rPr>
      </w:r>
    </w:p>
    <w:p w14:paraId="69E8DAEC">
      <w:pPr>
        <w:pStyle w:val="2332"/>
        <w:pBdr/>
        <w:spacing w:after="0" w:before="0"/>
        <w:ind/>
        <w:jc w:val="both"/>
        <w:rPr>
          <w:rFonts w:ascii="Arial" w:hAnsi="Arial" w:cs="Arial"/>
          <w:color w:val="000000" w:themeColor="text1"/>
          <w:sz w:val="22"/>
          <w:szCs w:val="22"/>
          <w:highlight w:val="none"/>
        </w:rPr>
      </w:pPr>
      <w:r>
        <w:rPr>
          <w:rFonts w:ascii="Arial" w:hAnsi="Arial" w:eastAsia="Arial" w:cs="Arial"/>
          <w:b/>
          <w:bCs/>
          <w:color w:val="000000" w:themeColor="text1"/>
          <w:sz w:val="22"/>
          <w:szCs w:val="22"/>
          <w:highlight w:val="none"/>
          <w:lang w:val="pt-BR"/>
        </w:rPr>
        <w:t xml:space="preserve">11.3.2.</w:t>
      </w:r>
      <w:r>
        <w:rPr>
          <w:rFonts w:ascii="Arial" w:hAnsi="Arial" w:eastAsia="Arial" w:cs="Arial"/>
          <w:color w:val="000000" w:themeColor="text1"/>
          <w:sz w:val="22"/>
          <w:szCs w:val="22"/>
          <w:highlight w:val="none"/>
          <w:lang w:val="pt-BR"/>
        </w:rPr>
        <w:t xml:space="preserve"> Quando necessário para a adequada conferência, armazenamento ou utilização dos produtos, a Contrata</w:t>
      </w:r>
      <w:r>
        <w:rPr>
          <w:rFonts w:ascii="Arial" w:hAnsi="Arial" w:eastAsia="Arial" w:cs="Arial"/>
          <w:color w:val="000000" w:themeColor="text1"/>
          <w:sz w:val="22"/>
          <w:szCs w:val="22"/>
          <w:highlight w:val="none"/>
          <w:lang w:val="pt-BR"/>
        </w:rPr>
        <w:t xml:space="preserve">da deverá fornecer, sem ônus adicional, as informações e os documentos técnicos pertinentes, tais como catálogo, ficha técnica, manual do fabricante, instruções de armazenamento e demais esclarecimentos relacionados às características dos itens fornecidos.</w:t>
      </w:r>
      <w:r>
        <w:rPr>
          <w:rFonts w:ascii="Arial" w:hAnsi="Arial" w:cs="Arial"/>
          <w:color w:val="000000" w:themeColor="text1"/>
          <w:sz w:val="22"/>
          <w:szCs w:val="22"/>
          <w:highlight w:val="none"/>
        </w:rPr>
      </w:r>
      <w:r>
        <w:rPr>
          <w:rFonts w:ascii="Arial" w:hAnsi="Arial" w:cs="Arial"/>
          <w:color w:val="000000" w:themeColor="text1"/>
          <w:sz w:val="22"/>
          <w:szCs w:val="22"/>
          <w:highlight w:val="none"/>
        </w:rPr>
      </w:r>
    </w:p>
    <w:p w14:paraId="04C0E912">
      <w:pPr>
        <w:pStyle w:val="2332"/>
        <w:pBdr/>
        <w:spacing w:after="0" w:before="0"/>
        <w:ind/>
        <w:jc w:val="both"/>
        <w:rPr>
          <w:rFonts w:ascii="Arial" w:hAnsi="Arial" w:cs="Arial"/>
          <w:color w:val="000000" w:themeColor="text1"/>
          <w:sz w:val="22"/>
          <w:szCs w:val="22"/>
          <w:highlight w:val="none"/>
        </w:rPr>
      </w:pPr>
      <w:r>
        <w:rPr>
          <w:rFonts w:ascii="Arial" w:hAnsi="Arial" w:eastAsia="Arial" w:cs="Arial"/>
          <w:b/>
          <w:bCs/>
          <w:color w:val="000000" w:themeColor="text1"/>
          <w:sz w:val="22"/>
          <w:szCs w:val="22"/>
          <w:highlight w:val="none"/>
          <w:lang w:val="pt-BR"/>
        </w:rPr>
        <w:t xml:space="preserve">11.3.3.</w:t>
      </w:r>
      <w:r>
        <w:rPr>
          <w:rFonts w:ascii="Arial" w:hAnsi="Arial" w:eastAsia="Arial" w:cs="Arial"/>
          <w:color w:val="000000" w:themeColor="text1"/>
          <w:sz w:val="22"/>
          <w:szCs w:val="22"/>
          <w:highlight w:val="none"/>
          <w:lang w:val="pt-BR"/>
        </w:rPr>
        <w:t xml:space="preserve"> A Contratada deverá prestar os esclarecimentos técnico</w:t>
      </w:r>
      <w:r>
        <w:rPr>
          <w:rFonts w:ascii="Arial" w:hAnsi="Arial" w:eastAsia="Arial" w:cs="Arial"/>
          <w:color w:val="000000" w:themeColor="text1"/>
          <w:sz w:val="22"/>
          <w:szCs w:val="22"/>
          <w:highlight w:val="none"/>
          <w:lang w:val="pt-BR"/>
        </w:rPr>
        <w:t xml:space="preserve">s necessários relacionados às características e especificações dos produtos fornecidos, quando formalmente solicitados pela Administração, sem que isso implique obrigação de realização de treinamento, capacitação ou prestação de serviço técnico continuado.</w:t>
      </w:r>
      <w:r>
        <w:rPr>
          <w:rFonts w:ascii="Arial" w:hAnsi="Arial" w:cs="Arial"/>
          <w:color w:val="000000" w:themeColor="text1"/>
          <w:sz w:val="22"/>
          <w:szCs w:val="22"/>
          <w:highlight w:val="none"/>
        </w:rPr>
      </w:r>
      <w:r>
        <w:rPr>
          <w:rFonts w:ascii="Arial" w:hAnsi="Arial" w:cs="Arial"/>
          <w:color w:val="000000" w:themeColor="text1"/>
          <w:sz w:val="22"/>
          <w:szCs w:val="22"/>
          <w:highlight w:val="none"/>
        </w:rPr>
      </w:r>
    </w:p>
    <w:p w14:paraId="5547C070">
      <w:pPr>
        <w:pStyle w:val="2332"/>
        <w:pBdr/>
        <w:spacing w:after="0" w:before="0"/>
        <w:ind/>
        <w:jc w:val="both"/>
        <w:rPr>
          <w:rFonts w:ascii="Arial" w:hAnsi="Arial" w:cs="Arial"/>
          <w:color w:val="000000" w:themeColor="text1"/>
          <w:sz w:val="22"/>
          <w:szCs w:val="22"/>
          <w:highlight w:val="none"/>
        </w:rPr>
      </w:pPr>
      <w:r>
        <w:rPr>
          <w:rFonts w:ascii="Arial" w:hAnsi="Arial" w:eastAsia="Arial" w:cs="Arial"/>
          <w:b/>
          <w:bCs/>
          <w:color w:val="000000" w:themeColor="text1"/>
          <w:sz w:val="22"/>
          <w:szCs w:val="22"/>
          <w:highlight w:val="none"/>
          <w:lang w:val="pt-BR"/>
        </w:rPr>
        <w:t xml:space="preserve">11.3.4.</w:t>
      </w:r>
      <w:r>
        <w:rPr>
          <w:rFonts w:ascii="Arial" w:hAnsi="Arial" w:eastAsia="Arial" w:cs="Arial"/>
          <w:color w:val="000000" w:themeColor="text1"/>
          <w:sz w:val="22"/>
          <w:szCs w:val="22"/>
          <w:highlight w:val="none"/>
          <w:lang w:val="pt-BR"/>
        </w:rPr>
        <w:t xml:space="preserve"> Nos ter</w:t>
      </w:r>
      <w:r>
        <w:rPr>
          <w:rFonts w:ascii="Arial" w:hAnsi="Arial" w:eastAsia="Arial" w:cs="Arial"/>
          <w:color w:val="000000" w:themeColor="text1"/>
          <w:sz w:val="22"/>
          <w:szCs w:val="22"/>
          <w:highlight w:val="none"/>
          <w:lang w:val="pt-BR"/>
        </w:rPr>
        <w:t xml:space="preserve">mos da regulamentação municipal aplicável, a exigência de garantia de execução contratual visa resguardar o interesse público, minimizar os riscos relacionados ao inadimplemento contratual e assegurar o cumprimento das obrigações assumidas pela Contratada.</w:t>
      </w:r>
      <w:r>
        <w:rPr>
          <w:rFonts w:ascii="Arial" w:hAnsi="Arial" w:cs="Arial"/>
          <w:color w:val="000000" w:themeColor="text1"/>
          <w:sz w:val="22"/>
          <w:szCs w:val="22"/>
          <w:highlight w:val="none"/>
        </w:rPr>
      </w:r>
      <w:r>
        <w:rPr>
          <w:rFonts w:ascii="Arial" w:hAnsi="Arial" w:cs="Arial"/>
          <w:color w:val="000000" w:themeColor="text1"/>
          <w:sz w:val="22"/>
          <w:szCs w:val="22"/>
          <w:highlight w:val="none"/>
        </w:rPr>
      </w:r>
    </w:p>
    <w:p w14:paraId="5E52CA1F">
      <w:pPr>
        <w:pStyle w:val="2332"/>
        <w:pBdr/>
        <w:spacing w:after="0" w:before="0"/>
        <w:ind/>
        <w:jc w:val="both"/>
        <w:rPr>
          <w:rFonts w:ascii="Arial" w:hAnsi="Arial" w:cs="Arial"/>
          <w:color w:val="000000" w:themeColor="text1"/>
          <w:sz w:val="22"/>
          <w:szCs w:val="22"/>
          <w:highlight w:val="none"/>
        </w:rPr>
      </w:pPr>
      <w:r>
        <w:rPr>
          <w:rFonts w:ascii="Arial" w:hAnsi="Arial" w:eastAsia="Arial" w:cs="Arial"/>
          <w:b/>
          <w:bCs/>
          <w:color w:val="000000" w:themeColor="text1"/>
          <w:sz w:val="22"/>
          <w:szCs w:val="22"/>
          <w:highlight w:val="none"/>
          <w:lang w:val="pt-BR"/>
        </w:rPr>
        <w:t xml:space="preserve">11.3.5.</w:t>
      </w:r>
      <w:r>
        <w:rPr>
          <w:rFonts w:ascii="Arial" w:hAnsi="Arial" w:eastAsia="Arial" w:cs="Arial"/>
          <w:color w:val="000000" w:themeColor="text1"/>
          <w:sz w:val="22"/>
          <w:szCs w:val="22"/>
          <w:highlight w:val="none"/>
          <w:lang w:val="pt-BR"/>
        </w:rPr>
        <w:t xml:space="preserve"> A exigência da garantia de execução contratual mostra-se compatível com a relevância do objeto, o valor estimado da contratação, o elevado quantitativo de insumos laborator</w:t>
      </w:r>
      <w:r>
        <w:rPr>
          <w:rFonts w:ascii="Arial" w:hAnsi="Arial" w:eastAsia="Arial" w:cs="Arial"/>
          <w:color w:val="000000" w:themeColor="text1"/>
          <w:sz w:val="22"/>
          <w:szCs w:val="22"/>
          <w:highlight w:val="none"/>
          <w:lang w:val="pt-BR"/>
        </w:rPr>
        <w:t xml:space="preserve">iais e a necessidade de abastecimento contínuo do Laboratório Central Municipal – LACEM e das demais unidades atendidas, considerando a essencialidade dos tubos e agulhas para a continuidade dos procedimentos de coleta de sangue e dos exames laboratoriais.</w:t>
      </w:r>
      <w:r>
        <w:rPr>
          <w:rFonts w:ascii="Arial" w:hAnsi="Arial" w:cs="Arial"/>
          <w:color w:val="000000" w:themeColor="text1"/>
          <w:sz w:val="22"/>
          <w:szCs w:val="22"/>
          <w:highlight w:val="none"/>
        </w:rPr>
      </w:r>
      <w:r>
        <w:rPr>
          <w:rFonts w:ascii="Arial" w:hAnsi="Arial" w:cs="Arial"/>
          <w:color w:val="000000" w:themeColor="text1"/>
          <w:sz w:val="22"/>
          <w:szCs w:val="22"/>
          <w:highlight w:val="none"/>
        </w:rPr>
      </w:r>
    </w:p>
    <w:p w14:paraId="4320E490">
      <w:pPr>
        <w:pStyle w:val="2332"/>
        <w:pBdr/>
        <w:spacing w:after="0" w:before="0"/>
        <w:ind/>
        <w:jc w:val="both"/>
        <w:rPr>
          <w:rFonts w:ascii="Arial" w:hAnsi="Arial" w:cs="Arial"/>
          <w:b/>
          <w:bCs/>
          <w:color w:val="000000" w:themeColor="text1"/>
          <w:highlight w:val="none"/>
        </w:rPr>
      </w:pPr>
      <w:r>
        <w:rPr>
          <w:rFonts w:ascii="Arial" w:hAnsi="Arial" w:eastAsia="Arial" w:cs="Arial"/>
          <w:b/>
          <w:bCs/>
          <w:color w:val="000000" w:themeColor="text1"/>
          <w:sz w:val="22"/>
          <w:szCs w:val="22"/>
          <w:highlight w:val="none"/>
          <w:lang w:val="pt-BR"/>
        </w:rPr>
        <w:t xml:space="preserve">11.3.6.</w:t>
      </w:r>
      <w:r>
        <w:rPr>
          <w:rFonts w:ascii="Arial" w:hAnsi="Arial" w:eastAsia="Arial" w:cs="Arial"/>
          <w:color w:val="000000" w:themeColor="text1"/>
          <w:sz w:val="22"/>
          <w:szCs w:val="22"/>
          <w:highlight w:val="none"/>
          <w:lang w:val="pt-BR"/>
        </w:rPr>
        <w:t xml:space="preserve"> A garantia exigid</w:t>
      </w:r>
      <w:r>
        <w:rPr>
          <w:rFonts w:ascii="Arial" w:hAnsi="Arial" w:eastAsia="Arial" w:cs="Arial"/>
          <w:color w:val="000000" w:themeColor="text1"/>
          <w:sz w:val="22"/>
          <w:szCs w:val="22"/>
          <w:highlight w:val="none"/>
          <w:lang w:val="pt-BR"/>
        </w:rPr>
        <w:t xml:space="preserve">a fortalece os mecanismos de controle, responsabilização e segurança jurídica da contratação, em consonância com os princípios da eficiência, economicidade, planejamento, continuidade do serviço público e interesse público que regem a Administração Pública</w:t>
      </w:r>
      <w:r>
        <w:rPr>
          <w:rFonts w:ascii="Arial" w:hAnsi="Arial" w:eastAsia="Arial" w:cs="Arial"/>
          <w:b/>
          <w:bCs/>
          <w:color w:val="000000" w:themeColor="text1"/>
          <w:highlight w:val="none"/>
          <w:lang w:val="pt-BR"/>
        </w:rPr>
        <w:t xml:space="preserve">.</w:t>
      </w:r>
      <w:r>
        <w:rPr>
          <w:rFonts w:ascii="Arial" w:hAnsi="Arial" w:cs="Arial"/>
          <w:b/>
          <w:bCs/>
          <w:color w:val="000000" w:themeColor="text1"/>
          <w:highlight w:val="none"/>
        </w:rPr>
      </w:r>
      <w:r>
        <w:rPr>
          <w:rFonts w:ascii="Arial" w:hAnsi="Arial" w:cs="Arial"/>
          <w:b/>
          <w:bCs/>
          <w:color w:val="000000" w:themeColor="text1"/>
          <w:highlight w:val="none"/>
        </w:rPr>
      </w:r>
    </w:p>
    <w:p w14:paraId="649A1DF3">
      <w:pPr>
        <w:pStyle w:val="2332"/>
        <w:pBdr/>
        <w:spacing w:after="52" w:before="52" w:line="216" w:lineRule="auto"/>
        <w:ind/>
        <w:jc w:val="both"/>
        <w:rPr>
          <w:rFonts w:ascii="Arial" w:hAnsi="Arial" w:cs="Arial"/>
          <w:b/>
          <w:bCs/>
          <w:sz w:val="18"/>
          <w:szCs w:val="18"/>
          <w:highlight w:val="none"/>
        </w:rPr>
      </w:pPr>
      <w:r>
        <w:rPr>
          <w:rFonts w:ascii="Arial" w:hAnsi="Arial" w:eastAsia="Arial" w:cs="Arial"/>
          <w:b/>
          <w:bCs/>
          <w:sz w:val="18"/>
          <w:szCs w:val="18"/>
          <w:highlight w:val="none"/>
          <w:lang w:val="pt-BR"/>
        </w:rPr>
      </w:r>
      <w:r>
        <w:rPr>
          <w:rFonts w:ascii="Arial" w:hAnsi="Arial" w:cs="Arial"/>
          <w:b/>
          <w:bCs/>
          <w:sz w:val="18"/>
          <w:szCs w:val="18"/>
          <w:highlight w:val="none"/>
        </w:rPr>
      </w:r>
      <w:r>
        <w:rPr>
          <w:rFonts w:ascii="Arial" w:hAnsi="Arial" w:cs="Arial"/>
          <w:b/>
          <w:bCs/>
          <w:sz w:val="18"/>
          <w:szCs w:val="18"/>
          <w:highlight w:val="none"/>
        </w:rPr>
      </w:r>
    </w:p>
    <w:p w14:paraId="198ED67C">
      <w:pPr>
        <w:pBdr/>
        <w:shd w:val="clear" w:color="auto" w:fill="cccccc"/>
        <w:spacing/>
        <w:ind/>
        <w:jc w:val="both"/>
        <w:rPr>
          <w:rFonts w:ascii="Arial" w:hAnsi="Arial" w:cs="Arial"/>
          <w:highlight w:val="none"/>
        </w:rPr>
      </w:pPr>
      <w:r>
        <w:rPr>
          <w:rFonts w:ascii="Arial" w:hAnsi="Arial" w:eastAsia="Arial" w:cs="Arial"/>
          <w:b/>
          <w:bCs/>
          <w:highlight w:val="none"/>
        </w:rPr>
        <w:t xml:space="preserve">1</w:t>
      </w:r>
      <w:r>
        <w:rPr>
          <w:rFonts w:ascii="Arial" w:hAnsi="Arial" w:eastAsia="Arial" w:cs="Arial"/>
          <w:b/>
          <w:bCs/>
          <w:highlight w:val="none"/>
          <w:lang w:val="pt-BR"/>
        </w:rPr>
        <w:t xml:space="preserve">2</w:t>
      </w:r>
      <w:r>
        <w:rPr>
          <w:rFonts w:ascii="Arial" w:hAnsi="Arial" w:eastAsia="Arial" w:cs="Arial"/>
          <w:b/>
          <w:bCs/>
          <w:highlight w:val="none"/>
        </w:rPr>
        <w:t xml:space="preserve"> – </w:t>
      </w:r>
      <w:r>
        <w:rPr>
          <w:rFonts w:ascii="Arial" w:hAnsi="Arial" w:eastAsia="Arial" w:cs="Arial"/>
          <w:b/>
          <w:bCs/>
          <w:highlight w:val="none"/>
          <w:lang w:val="pt-BR"/>
        </w:rPr>
        <w:t xml:space="preserve">ESPECIFICAÇÕES DO PRODUTO/SERVIÇO</w:t>
      </w:r>
      <w:r>
        <w:rPr>
          <w:rFonts w:ascii="Arial" w:hAnsi="Arial" w:cs="Arial"/>
          <w:highlight w:val="none"/>
        </w:rPr>
      </w:r>
      <w:r>
        <w:rPr>
          <w:rFonts w:ascii="Arial" w:hAnsi="Arial" w:cs="Arial"/>
          <w:highlight w:val="none"/>
        </w:rPr>
      </w:r>
    </w:p>
    <w:p w14:paraId="6C122622">
      <w:pPr>
        <w:pStyle w:val="2332"/>
        <w:pBdr/>
        <w:spacing w:after="52" w:before="52" w:line="216" w:lineRule="auto"/>
        <w:ind/>
        <w:jc w:val="both"/>
        <w:rPr>
          <w:rFonts w:ascii="Arial" w:hAnsi="Arial" w:cs="Arial"/>
          <w:sz w:val="18"/>
          <w:szCs w:val="18"/>
          <w:highlight w:val="none"/>
        </w:rPr>
      </w:pPr>
      <w:r>
        <w:rPr>
          <w:rFonts w:ascii="Arial" w:hAnsi="Arial" w:eastAsia="Arial" w:cs="Arial"/>
          <w:sz w:val="18"/>
          <w:szCs w:val="18"/>
          <w:highlight w:val="none"/>
          <w:lang w:val="pt-BR"/>
        </w:rPr>
      </w:r>
      <w:r>
        <w:rPr>
          <w:rFonts w:ascii="Arial" w:hAnsi="Arial" w:cs="Arial"/>
          <w:sz w:val="18"/>
          <w:szCs w:val="18"/>
          <w:highlight w:val="none"/>
        </w:rPr>
      </w:r>
      <w:r>
        <w:rPr>
          <w:rFonts w:ascii="Arial" w:hAnsi="Arial" w:cs="Arial"/>
          <w:sz w:val="18"/>
          <w:szCs w:val="18"/>
          <w:highlight w:val="none"/>
        </w:rPr>
      </w:r>
    </w:p>
    <w:p w14:paraId="4FA80B74">
      <w:pPr>
        <w:pStyle w:val="2332"/>
        <w:pBdr/>
        <w:spacing w:after="0" w:before="0"/>
        <w:ind/>
        <w:jc w:val="both"/>
        <w:rPr>
          <w:rFonts w:ascii="Arial" w:hAnsi="Arial" w:cs="Arial"/>
          <w:sz w:val="22"/>
          <w:szCs w:val="22"/>
          <w:highlight w:val="none"/>
        </w:rPr>
      </w:pPr>
      <w:r>
        <w:rPr>
          <w:rFonts w:ascii="Arial" w:hAnsi="Arial" w:eastAsia="Arial" w:cs="Arial"/>
          <w:b/>
          <w:bCs/>
          <w:sz w:val="22"/>
          <w:szCs w:val="22"/>
          <w:highlight w:val="none"/>
          <w:lang w:val="pt-BR"/>
        </w:rPr>
        <w:t xml:space="preserve">12.1.</w:t>
      </w:r>
      <w:r>
        <w:rPr>
          <w:rFonts w:ascii="Arial" w:hAnsi="Arial" w:eastAsia="Arial" w:cs="Arial"/>
          <w:sz w:val="22"/>
          <w:szCs w:val="22"/>
          <w:highlight w:val="none"/>
          <w:lang w:val="pt-BR"/>
        </w:rPr>
        <w:t xml:space="preserve"> Em atendimento ao art. 23, § 1º, inciso XI, do Decreto Municipal nº 11.685/2023, as especificações dos produtos objeto da contratação encontram-se detalhadas na tabela constante do item 1 e nos d</w:t>
      </w:r>
      <w:r>
        <w:rPr>
          <w:rFonts w:ascii="Arial" w:hAnsi="Arial" w:eastAsia="Arial" w:cs="Arial"/>
          <w:sz w:val="22"/>
          <w:szCs w:val="22"/>
          <w:highlight w:val="none"/>
          <w:lang w:val="pt-BR"/>
        </w:rPr>
        <w:t xml:space="preserve">emais tópicos deste Termo de Referência, com indicação dos códigos correspondentes, descrição técnica, unidade de medida, quantitativos estimados, forma de apresentação e demais características necessárias à adequada identificação e fornecimento do objeto.</w:t>
      </w:r>
      <w:r>
        <w:rPr>
          <w:rFonts w:ascii="Arial" w:hAnsi="Arial" w:cs="Arial"/>
          <w:sz w:val="22"/>
          <w:szCs w:val="22"/>
          <w:highlight w:val="none"/>
        </w:rPr>
      </w:r>
      <w:r>
        <w:rPr>
          <w:rFonts w:ascii="Arial" w:hAnsi="Arial" w:cs="Arial"/>
          <w:sz w:val="22"/>
          <w:szCs w:val="22"/>
          <w:highlight w:val="none"/>
        </w:rPr>
      </w:r>
    </w:p>
    <w:p w14:paraId="35DB412C">
      <w:pPr>
        <w:pStyle w:val="2332"/>
        <w:pBdr/>
        <w:spacing w:after="0" w:before="0"/>
        <w:ind/>
        <w:jc w:val="both"/>
        <w:rPr>
          <w:rFonts w:ascii="Arial" w:hAnsi="Arial" w:cs="Arial"/>
          <w:sz w:val="22"/>
          <w:szCs w:val="22"/>
          <w:highlight w:val="none"/>
        </w:rPr>
      </w:pPr>
      <w:r>
        <w:rPr>
          <w:rFonts w:ascii="Arial" w:hAnsi="Arial" w:eastAsia="Arial" w:cs="Arial"/>
          <w:b/>
          <w:bCs/>
          <w:sz w:val="22"/>
          <w:szCs w:val="22"/>
          <w:highlight w:val="none"/>
          <w:lang w:val="pt-BR"/>
        </w:rPr>
        <w:t xml:space="preserve">12.2</w:t>
      </w:r>
      <w:r>
        <w:rPr>
          <w:rFonts w:ascii="Arial" w:hAnsi="Arial" w:eastAsia="Arial" w:cs="Arial"/>
          <w:sz w:val="22"/>
          <w:szCs w:val="22"/>
          <w:highlight w:val="none"/>
          <w:lang w:val="pt-BR"/>
        </w:rPr>
        <w:t xml:space="preserve">. As descrições dos itens deverão observar, preferencialmente, os padrões constantes do Catálogo Eletrônico de Padronização, do sistema </w:t>
      </w:r>
      <w:r>
        <w:rPr>
          <w:rFonts w:ascii="Arial" w:hAnsi="Arial" w:eastAsia="Arial" w:cs="Arial"/>
          <w:sz w:val="22"/>
          <w:szCs w:val="22"/>
          <w:highlight w:val="none"/>
          <w:lang w:val="pt-BR"/>
        </w:rPr>
        <w:t xml:space="preserve">Ágili</w:t>
      </w:r>
      <w:r>
        <w:rPr>
          <w:rFonts w:ascii="Arial" w:hAnsi="Arial" w:eastAsia="Arial" w:cs="Arial"/>
          <w:sz w:val="22"/>
          <w:szCs w:val="22"/>
          <w:highlight w:val="none"/>
          <w:lang w:val="pt-BR"/>
        </w:rPr>
        <w:t xml:space="preserve">, do catálogo de materiais do Tribunal de Contas do Estado de Mato Grosso ou de outros catálogos oficiais aplicáveis, quando houver descrição compatível com a necessidade da Administração.</w:t>
      </w:r>
      <w:r>
        <w:rPr>
          <w:rFonts w:ascii="Arial" w:hAnsi="Arial" w:cs="Arial"/>
          <w:sz w:val="22"/>
          <w:szCs w:val="22"/>
          <w:highlight w:val="none"/>
        </w:rPr>
      </w:r>
      <w:r>
        <w:rPr>
          <w:rFonts w:ascii="Arial" w:hAnsi="Arial" w:cs="Arial"/>
          <w:sz w:val="22"/>
          <w:szCs w:val="22"/>
          <w:highlight w:val="none"/>
        </w:rPr>
      </w:r>
    </w:p>
    <w:p w14:paraId="67D2703B">
      <w:pPr>
        <w:pStyle w:val="2332"/>
        <w:pBdr/>
        <w:spacing w:after="0" w:before="0"/>
        <w:ind/>
        <w:jc w:val="both"/>
        <w:rPr>
          <w:rFonts w:ascii="Arial" w:hAnsi="Arial" w:cs="Arial"/>
          <w:sz w:val="22"/>
          <w:szCs w:val="22"/>
          <w:highlight w:val="none"/>
        </w:rPr>
      </w:pPr>
      <w:r>
        <w:rPr>
          <w:rFonts w:ascii="Arial" w:hAnsi="Arial" w:eastAsia="Arial" w:cs="Arial"/>
          <w:b/>
          <w:bCs/>
          <w:sz w:val="22"/>
          <w:szCs w:val="22"/>
          <w:highlight w:val="none"/>
          <w:lang w:val="pt-BR"/>
        </w:rPr>
        <w:t xml:space="preserve">12.3.</w:t>
      </w:r>
      <w:r>
        <w:rPr>
          <w:rFonts w:ascii="Arial" w:hAnsi="Arial" w:eastAsia="Arial" w:cs="Arial"/>
          <w:sz w:val="22"/>
          <w:szCs w:val="22"/>
          <w:highlight w:val="none"/>
          <w:lang w:val="pt-BR"/>
        </w:rPr>
        <w:t xml:space="preserve"> Na inexistência de descrição integralmente compatível nos catálogos oficiais, poderão ser adotadas especificações técnicas complementares, fundamentadas nas necessidades do Laboratório Central Municipal – LA</w:t>
      </w:r>
      <w:r>
        <w:rPr>
          <w:rFonts w:ascii="Arial" w:hAnsi="Arial" w:eastAsia="Arial" w:cs="Arial"/>
          <w:sz w:val="22"/>
          <w:szCs w:val="22"/>
          <w:highlight w:val="none"/>
          <w:lang w:val="pt-BR"/>
        </w:rPr>
        <w:t xml:space="preserve">CEM, na finalidade de utilização dos produtos, nas práticas laboratoriais aplicáveis e nos requisitos mínimos de qualidade, desempenho, compatibilidade, durabilidade e segurança, sem indicação indevida de marca ou restrição injustificada à competitividade.</w:t>
      </w:r>
      <w:r>
        <w:rPr>
          <w:rFonts w:ascii="Arial" w:hAnsi="Arial" w:cs="Arial"/>
          <w:sz w:val="22"/>
          <w:szCs w:val="22"/>
          <w:highlight w:val="none"/>
        </w:rPr>
      </w:r>
      <w:r>
        <w:rPr>
          <w:rFonts w:ascii="Arial" w:hAnsi="Arial" w:cs="Arial"/>
          <w:sz w:val="22"/>
          <w:szCs w:val="22"/>
          <w:highlight w:val="none"/>
        </w:rPr>
      </w:r>
    </w:p>
    <w:p w14:paraId="7E67EE58">
      <w:pPr>
        <w:pStyle w:val="2332"/>
        <w:pBdr/>
        <w:spacing w:after="0" w:before="0"/>
        <w:ind/>
        <w:jc w:val="both"/>
        <w:rPr>
          <w:rFonts w:ascii="Arial" w:hAnsi="Arial" w:cs="Arial"/>
          <w:sz w:val="22"/>
          <w:szCs w:val="22"/>
          <w:highlight w:val="none"/>
        </w:rPr>
      </w:pPr>
      <w:r>
        <w:rPr>
          <w:rFonts w:ascii="Arial" w:hAnsi="Arial" w:eastAsia="Arial" w:cs="Arial"/>
          <w:b/>
          <w:bCs/>
          <w:sz w:val="22"/>
          <w:szCs w:val="22"/>
          <w:highlight w:val="none"/>
          <w:lang w:val="pt-BR"/>
        </w:rPr>
        <w:t xml:space="preserve">12.4.</w:t>
      </w:r>
      <w:r>
        <w:rPr>
          <w:rFonts w:ascii="Arial" w:hAnsi="Arial" w:eastAsia="Arial" w:cs="Arial"/>
          <w:sz w:val="22"/>
          <w:szCs w:val="22"/>
          <w:highlight w:val="none"/>
          <w:lang w:val="pt-BR"/>
        </w:rPr>
        <w:t xml:space="preserve"> Os produtos deverão ser novos, de primeiro uso, estéreis, descartáveis, atóxico</w:t>
      </w:r>
      <w:r>
        <w:rPr>
          <w:rFonts w:ascii="Arial" w:hAnsi="Arial" w:eastAsia="Arial" w:cs="Arial"/>
          <w:sz w:val="22"/>
          <w:szCs w:val="22"/>
          <w:highlight w:val="none"/>
          <w:lang w:val="pt-BR"/>
        </w:rPr>
        <w:t xml:space="preserve">s e isentos de defeitos, sujidades, deformações, rachaduras, vazamentos, perfurações indevidas ou quaisquer irregularidades que possam comprometer sua integridade, esterilidade, segurança, funcionalidade ou desempenho nos procedimentos de coleta de sangue.</w:t>
      </w:r>
      <w:r>
        <w:rPr>
          <w:rFonts w:ascii="Arial" w:hAnsi="Arial" w:cs="Arial"/>
          <w:sz w:val="22"/>
          <w:szCs w:val="22"/>
          <w:highlight w:val="none"/>
        </w:rPr>
      </w:r>
      <w:r>
        <w:rPr>
          <w:rFonts w:ascii="Arial" w:hAnsi="Arial" w:cs="Arial"/>
          <w:sz w:val="22"/>
          <w:szCs w:val="22"/>
          <w:highlight w:val="none"/>
        </w:rPr>
      </w:r>
    </w:p>
    <w:p w14:paraId="70243FD3">
      <w:pPr>
        <w:pStyle w:val="2332"/>
        <w:pBdr/>
        <w:spacing w:after="0" w:before="0"/>
        <w:ind/>
        <w:jc w:val="both"/>
        <w:rPr>
          <w:rFonts w:ascii="Arial" w:hAnsi="Arial" w:cs="Arial"/>
          <w:sz w:val="22"/>
          <w:szCs w:val="22"/>
          <w:highlight w:val="none"/>
        </w:rPr>
      </w:pPr>
      <w:r>
        <w:rPr>
          <w:rFonts w:ascii="Arial" w:hAnsi="Arial" w:eastAsia="Arial" w:cs="Arial"/>
          <w:b/>
          <w:bCs/>
          <w:sz w:val="22"/>
          <w:szCs w:val="22"/>
          <w:highlight w:val="none"/>
          <w:lang w:val="pt-BR"/>
        </w:rPr>
        <w:t xml:space="preserve">12.5.</w:t>
      </w:r>
      <w:r>
        <w:rPr>
          <w:rFonts w:ascii="Arial" w:hAnsi="Arial" w:eastAsia="Arial" w:cs="Arial"/>
          <w:sz w:val="22"/>
          <w:szCs w:val="22"/>
          <w:highlight w:val="none"/>
          <w:lang w:val="pt-BR"/>
        </w:rPr>
        <w:t xml:space="preserve"> Os tubos para coleta de sangue a vácuo deverão apresentar composição, dimensões, capacidade volum</w:t>
      </w:r>
      <w:r>
        <w:rPr>
          <w:rFonts w:ascii="Arial" w:hAnsi="Arial" w:eastAsia="Arial" w:cs="Arial"/>
          <w:sz w:val="22"/>
          <w:szCs w:val="22"/>
          <w:highlight w:val="none"/>
          <w:lang w:val="pt-BR"/>
        </w:rPr>
        <w:t xml:space="preserve">étrica, nível de vácuo, aditivos, anticoagulantes, ativadores de coágulo, identificação por cores, sistema de fechamento e demais características compatíveis com a finalidade de cada exame, conforme a descrição individualizada constante da tabela de itens.</w:t>
      </w:r>
      <w:r>
        <w:rPr>
          <w:rFonts w:ascii="Arial" w:hAnsi="Arial" w:cs="Arial"/>
          <w:sz w:val="22"/>
          <w:szCs w:val="22"/>
          <w:highlight w:val="none"/>
        </w:rPr>
      </w:r>
      <w:r>
        <w:rPr>
          <w:rFonts w:ascii="Arial" w:hAnsi="Arial" w:cs="Arial"/>
          <w:sz w:val="22"/>
          <w:szCs w:val="22"/>
          <w:highlight w:val="none"/>
        </w:rPr>
      </w:r>
    </w:p>
    <w:p w14:paraId="6C1727C4">
      <w:pPr>
        <w:pStyle w:val="2332"/>
        <w:pBdr/>
        <w:spacing w:after="0" w:before="0"/>
        <w:ind/>
        <w:jc w:val="both"/>
        <w:rPr>
          <w:rFonts w:ascii="Arial" w:hAnsi="Arial" w:cs="Arial"/>
          <w:sz w:val="22"/>
          <w:szCs w:val="22"/>
          <w:highlight w:val="none"/>
        </w:rPr>
      </w:pPr>
      <w:r>
        <w:rPr>
          <w:rFonts w:ascii="Arial" w:hAnsi="Arial" w:eastAsia="Arial" w:cs="Arial"/>
          <w:b/>
          <w:bCs/>
          <w:sz w:val="22"/>
          <w:szCs w:val="22"/>
          <w:highlight w:val="none"/>
          <w:lang w:val="pt-BR"/>
        </w:rPr>
        <w:t xml:space="preserve">12.6.</w:t>
      </w:r>
      <w:r>
        <w:rPr>
          <w:rFonts w:ascii="Arial" w:hAnsi="Arial" w:eastAsia="Arial" w:cs="Arial"/>
          <w:sz w:val="22"/>
          <w:szCs w:val="22"/>
          <w:highlight w:val="none"/>
          <w:lang w:val="pt-BR"/>
        </w:rPr>
        <w:t xml:space="preserve"> Os tubos deverão assegurar o volume de aspiração</w:t>
      </w:r>
      <w:r>
        <w:rPr>
          <w:rFonts w:ascii="Arial" w:hAnsi="Arial" w:eastAsia="Arial" w:cs="Arial"/>
          <w:sz w:val="22"/>
          <w:szCs w:val="22"/>
          <w:highlight w:val="none"/>
          <w:lang w:val="pt-BR"/>
        </w:rPr>
        <w:t xml:space="preserve"> indicado, a correta proporção entre o sangue coletado e o respectivo aditivo, o fechamento seguro, a preservação da amostra e a resistência necessária durante a coleta, o acondicionamento, o transporte, o armazenamento e a centrifugação, quando aplicável.</w:t>
      </w:r>
      <w:r>
        <w:rPr>
          <w:rFonts w:ascii="Arial" w:hAnsi="Arial" w:cs="Arial"/>
          <w:sz w:val="22"/>
          <w:szCs w:val="22"/>
          <w:highlight w:val="none"/>
        </w:rPr>
      </w:r>
      <w:r>
        <w:rPr>
          <w:rFonts w:ascii="Arial" w:hAnsi="Arial" w:cs="Arial"/>
          <w:sz w:val="22"/>
          <w:szCs w:val="22"/>
          <w:highlight w:val="none"/>
        </w:rPr>
      </w:r>
    </w:p>
    <w:p w14:paraId="59D82B8B">
      <w:pPr>
        <w:pStyle w:val="2332"/>
        <w:pBdr/>
        <w:spacing w:after="0" w:before="0"/>
        <w:ind/>
        <w:jc w:val="both"/>
        <w:rPr>
          <w:rFonts w:ascii="Arial" w:hAnsi="Arial" w:cs="Arial"/>
          <w:sz w:val="22"/>
          <w:szCs w:val="22"/>
          <w:highlight w:val="none"/>
        </w:rPr>
      </w:pPr>
      <w:r>
        <w:rPr>
          <w:rFonts w:ascii="Arial" w:hAnsi="Arial" w:eastAsia="Arial" w:cs="Arial"/>
          <w:b/>
          <w:bCs/>
          <w:sz w:val="22"/>
          <w:szCs w:val="22"/>
          <w:highlight w:val="none"/>
          <w:lang w:val="pt-BR"/>
        </w:rPr>
        <w:t xml:space="preserve">12.7.</w:t>
      </w:r>
      <w:r>
        <w:rPr>
          <w:rFonts w:ascii="Arial" w:hAnsi="Arial" w:eastAsia="Arial" w:cs="Arial"/>
          <w:sz w:val="22"/>
          <w:szCs w:val="22"/>
          <w:highlight w:val="none"/>
          <w:lang w:val="pt-BR"/>
        </w:rPr>
        <w:t xml:space="preserve"> As agulhas para coleta de sangue a vácuo deverão ser estéreis, descartáveis, </w:t>
      </w:r>
      <w:r>
        <w:rPr>
          <w:rFonts w:ascii="Arial" w:hAnsi="Arial" w:eastAsia="Arial" w:cs="Arial"/>
          <w:sz w:val="22"/>
          <w:szCs w:val="22"/>
          <w:highlight w:val="none"/>
          <w:lang w:val="pt-BR"/>
        </w:rPr>
        <w:t xml:space="preserve">siliconadas</w:t>
      </w:r>
      <w:r>
        <w:rPr>
          <w:rFonts w:ascii="Arial" w:hAnsi="Arial" w:eastAsia="Arial" w:cs="Arial"/>
          <w:sz w:val="22"/>
          <w:szCs w:val="22"/>
          <w:highlight w:val="none"/>
          <w:lang w:val="pt-BR"/>
        </w:rPr>
        <w:t xml:space="preserve">, possuir bisel </w:t>
      </w:r>
      <w:r>
        <w:rPr>
          <w:rFonts w:ascii="Arial" w:hAnsi="Arial" w:eastAsia="Arial" w:cs="Arial"/>
          <w:sz w:val="22"/>
          <w:szCs w:val="22"/>
          <w:highlight w:val="none"/>
          <w:lang w:val="pt-BR"/>
        </w:rPr>
        <w:t xml:space="preserve">trifacetado</w:t>
      </w:r>
      <w:r>
        <w:rPr>
          <w:rFonts w:ascii="Arial" w:hAnsi="Arial" w:eastAsia="Arial" w:cs="Arial"/>
          <w:sz w:val="22"/>
          <w:szCs w:val="22"/>
          <w:highlight w:val="none"/>
          <w:lang w:val="pt-BR"/>
        </w:rPr>
        <w:t xml:space="preserve">, calibre e dimensões compatíveis com a descrição do item, permitir a coleta múltipla e apresentar dispositivo de segurança destinado à prevenção de acidentes com materiais perfurocortantes.</w:t>
      </w:r>
      <w:r>
        <w:rPr>
          <w:rFonts w:ascii="Arial" w:hAnsi="Arial" w:cs="Arial"/>
          <w:sz w:val="22"/>
          <w:szCs w:val="22"/>
          <w:highlight w:val="none"/>
        </w:rPr>
      </w:r>
      <w:r>
        <w:rPr>
          <w:rFonts w:ascii="Arial" w:hAnsi="Arial" w:cs="Arial"/>
          <w:sz w:val="22"/>
          <w:szCs w:val="22"/>
          <w:highlight w:val="none"/>
        </w:rPr>
      </w:r>
    </w:p>
    <w:p w14:paraId="604B78AB">
      <w:pPr>
        <w:pStyle w:val="2332"/>
        <w:pBdr/>
        <w:spacing w:after="0" w:before="0"/>
        <w:ind/>
        <w:jc w:val="both"/>
        <w:rPr>
          <w:rFonts w:ascii="Arial" w:hAnsi="Arial" w:cs="Arial"/>
          <w:sz w:val="22"/>
          <w:szCs w:val="22"/>
          <w:highlight w:val="none"/>
        </w:rPr>
      </w:pPr>
      <w:r>
        <w:rPr>
          <w:rFonts w:ascii="Arial" w:hAnsi="Arial" w:eastAsia="Arial" w:cs="Arial"/>
          <w:b/>
          <w:bCs/>
          <w:sz w:val="22"/>
          <w:szCs w:val="22"/>
          <w:highlight w:val="none"/>
          <w:lang w:val="pt-BR"/>
        </w:rPr>
        <w:t xml:space="preserve">12.8.</w:t>
      </w:r>
      <w:r>
        <w:rPr>
          <w:rFonts w:ascii="Arial" w:hAnsi="Arial" w:eastAsia="Arial" w:cs="Arial"/>
          <w:sz w:val="22"/>
          <w:szCs w:val="22"/>
          <w:highlight w:val="none"/>
          <w:lang w:val="pt-BR"/>
        </w:rPr>
        <w:t xml:space="preserve"> Os tubos e as agulhas deverão apresentar compatibili</w:t>
      </w:r>
      <w:r>
        <w:rPr>
          <w:rFonts w:ascii="Arial" w:hAnsi="Arial" w:eastAsia="Arial" w:cs="Arial"/>
          <w:sz w:val="22"/>
          <w:szCs w:val="22"/>
          <w:highlight w:val="none"/>
          <w:lang w:val="pt-BR"/>
        </w:rPr>
        <w:t xml:space="preserve">dade técnica e operacional para a utilização no sistema de coleta de sangue a vácuo, assegurando o adequado funcionamento dos procedimentos, a uniformidade das rotinas, a segurança dos profissionais e dos usuários e a preservação da qualidade das amostras.</w:t>
      </w:r>
      <w:r>
        <w:rPr>
          <w:rFonts w:ascii="Arial" w:hAnsi="Arial" w:cs="Arial"/>
          <w:sz w:val="22"/>
          <w:szCs w:val="22"/>
          <w:highlight w:val="none"/>
        </w:rPr>
      </w:r>
      <w:r>
        <w:rPr>
          <w:rFonts w:ascii="Arial" w:hAnsi="Arial" w:cs="Arial"/>
          <w:sz w:val="22"/>
          <w:szCs w:val="22"/>
          <w:highlight w:val="none"/>
        </w:rPr>
      </w:r>
    </w:p>
    <w:p w14:paraId="23484735">
      <w:pPr>
        <w:pStyle w:val="2332"/>
        <w:pBdr/>
        <w:spacing w:after="0" w:before="0"/>
        <w:ind/>
        <w:jc w:val="both"/>
        <w:rPr>
          <w:rFonts w:ascii="Arial" w:hAnsi="Arial" w:cs="Arial"/>
          <w:sz w:val="22"/>
          <w:szCs w:val="22"/>
          <w:highlight w:val="none"/>
        </w:rPr>
      </w:pPr>
      <w:r>
        <w:rPr>
          <w:rFonts w:ascii="Arial" w:hAnsi="Arial" w:eastAsia="Arial" w:cs="Arial"/>
          <w:b/>
          <w:bCs/>
          <w:sz w:val="22"/>
          <w:szCs w:val="22"/>
          <w:highlight w:val="none"/>
          <w:lang w:val="pt-BR"/>
        </w:rPr>
        <w:t xml:space="preserve">12.9.</w:t>
      </w:r>
      <w:r>
        <w:rPr>
          <w:rFonts w:ascii="Arial" w:hAnsi="Arial" w:eastAsia="Arial" w:cs="Arial"/>
          <w:sz w:val="22"/>
          <w:szCs w:val="22"/>
          <w:highlight w:val="none"/>
          <w:lang w:val="pt-BR"/>
        </w:rPr>
        <w:t xml:space="preserve"> A co</w:t>
      </w:r>
      <w:r>
        <w:rPr>
          <w:rFonts w:ascii="Arial" w:hAnsi="Arial" w:eastAsia="Arial" w:cs="Arial"/>
          <w:sz w:val="22"/>
          <w:szCs w:val="22"/>
          <w:highlight w:val="none"/>
          <w:lang w:val="pt-BR"/>
        </w:rPr>
        <w:t xml:space="preserve">mpatibilidade técnica dos produtos poderá ser comprovada mediante catálogo, ficha técnica, manual, declaração do fabricante, amostra ou outro documento técnico idôneo, conforme solicitado pela Administração e observado o disposto neste Termo de Referência.</w:t>
      </w:r>
      <w:r>
        <w:rPr>
          <w:rFonts w:ascii="Arial" w:hAnsi="Arial" w:cs="Arial"/>
          <w:sz w:val="22"/>
          <w:szCs w:val="22"/>
          <w:highlight w:val="none"/>
        </w:rPr>
      </w:r>
      <w:r>
        <w:rPr>
          <w:rFonts w:ascii="Arial" w:hAnsi="Arial" w:cs="Arial"/>
          <w:sz w:val="22"/>
          <w:szCs w:val="22"/>
          <w:highlight w:val="none"/>
        </w:rPr>
      </w:r>
    </w:p>
    <w:p w14:paraId="3F7ABDF8">
      <w:pPr>
        <w:pStyle w:val="2332"/>
        <w:pBdr/>
        <w:spacing w:after="0" w:before="0"/>
        <w:ind/>
        <w:jc w:val="both"/>
        <w:rPr>
          <w:rFonts w:ascii="Arial" w:hAnsi="Arial" w:cs="Arial"/>
          <w:sz w:val="22"/>
          <w:szCs w:val="22"/>
          <w:highlight w:val="none"/>
        </w:rPr>
      </w:pPr>
      <w:r>
        <w:rPr>
          <w:rFonts w:ascii="Arial" w:hAnsi="Arial" w:eastAsia="Arial" w:cs="Arial"/>
          <w:b/>
          <w:bCs/>
          <w:sz w:val="22"/>
          <w:szCs w:val="22"/>
          <w:highlight w:val="none"/>
          <w:lang w:val="pt-BR"/>
        </w:rPr>
        <w:t xml:space="preserve">12.10.</w:t>
      </w:r>
      <w:r>
        <w:rPr>
          <w:rFonts w:ascii="Arial" w:hAnsi="Arial" w:eastAsia="Arial" w:cs="Arial"/>
          <w:sz w:val="22"/>
          <w:szCs w:val="22"/>
          <w:highlight w:val="none"/>
          <w:lang w:val="pt-BR"/>
        </w:rPr>
        <w:t xml:space="preserve"> Quando a compatibilidade técnica necessária à utilização dos produtos justificar o agrupamento dos itens em</w:t>
      </w:r>
      <w:r>
        <w:rPr>
          <w:rFonts w:ascii="Arial" w:hAnsi="Arial" w:eastAsia="Arial" w:cs="Arial"/>
          <w:sz w:val="22"/>
          <w:szCs w:val="22"/>
          <w:highlight w:val="none"/>
          <w:lang w:val="pt-BR"/>
        </w:rPr>
        <w:t xml:space="preserve"> LOTE ÚNICO, essa condição deverá estar fundamentada em critérios técnicos objetivos relacionados à padronização, segurança, desempenho, funcionalidade e confiabilidade do sistema de coleta de sangue a vácuo, observado o disposto neste Termo de Referência.</w:t>
      </w:r>
      <w:r>
        <w:rPr>
          <w:rFonts w:ascii="Arial" w:hAnsi="Arial" w:cs="Arial"/>
          <w:sz w:val="22"/>
          <w:szCs w:val="22"/>
          <w:highlight w:val="none"/>
        </w:rPr>
      </w:r>
      <w:r>
        <w:rPr>
          <w:rFonts w:ascii="Arial" w:hAnsi="Arial" w:cs="Arial"/>
          <w:sz w:val="22"/>
          <w:szCs w:val="22"/>
          <w:highlight w:val="none"/>
        </w:rPr>
      </w:r>
    </w:p>
    <w:p w14:paraId="579B3697">
      <w:pPr>
        <w:pStyle w:val="2332"/>
        <w:pBdr/>
        <w:spacing w:after="0" w:before="0"/>
        <w:ind/>
        <w:jc w:val="both"/>
        <w:rPr>
          <w:rFonts w:ascii="Arial" w:hAnsi="Arial" w:cs="Arial"/>
          <w:sz w:val="22"/>
          <w:szCs w:val="22"/>
          <w:highlight w:val="none"/>
        </w:rPr>
      </w:pPr>
      <w:r>
        <w:rPr>
          <w:rFonts w:ascii="Arial" w:hAnsi="Arial" w:eastAsia="Arial" w:cs="Arial"/>
          <w:b/>
          <w:bCs/>
          <w:sz w:val="22"/>
          <w:szCs w:val="22"/>
          <w:highlight w:val="none"/>
          <w:lang w:val="pt-BR"/>
        </w:rPr>
        <w:t xml:space="preserve">12.11.</w:t>
      </w:r>
      <w:r>
        <w:rPr>
          <w:rFonts w:ascii="Arial" w:hAnsi="Arial" w:eastAsia="Arial" w:cs="Arial"/>
          <w:sz w:val="22"/>
          <w:szCs w:val="22"/>
          <w:highlight w:val="none"/>
          <w:lang w:val="pt-BR"/>
        </w:rPr>
        <w:t xml:space="preserve"> Quanto à qualidade e ao desempenho, os produtos deverão apresentar funcionamento compatível com sua </w:t>
      </w:r>
      <w:r>
        <w:rPr>
          <w:rFonts w:ascii="Arial" w:hAnsi="Arial" w:eastAsia="Arial" w:cs="Arial"/>
          <w:sz w:val="22"/>
          <w:szCs w:val="22"/>
          <w:highlight w:val="none"/>
          <w:lang w:val="pt-BR"/>
        </w:rPr>
        <w:t xml:space="preserve">finalidade, evitando falhas no sistema de vácuo, preenchimento inadequado dos tubos, alterações na proporção entre sangue e aditivo, hemólise, formação de coágulos ou fibrina residual, contaminação, perda de amostras e necessidade de repetição das coletas.</w:t>
      </w:r>
      <w:r>
        <w:rPr>
          <w:rFonts w:ascii="Arial" w:hAnsi="Arial" w:cs="Arial"/>
          <w:sz w:val="22"/>
          <w:szCs w:val="22"/>
          <w:highlight w:val="none"/>
        </w:rPr>
      </w:r>
      <w:r>
        <w:rPr>
          <w:rFonts w:ascii="Arial" w:hAnsi="Arial" w:cs="Arial"/>
          <w:sz w:val="22"/>
          <w:szCs w:val="22"/>
          <w:highlight w:val="none"/>
        </w:rPr>
      </w:r>
    </w:p>
    <w:p w14:paraId="02287AD5">
      <w:pPr>
        <w:pStyle w:val="2332"/>
        <w:pBdr/>
        <w:spacing w:after="0" w:before="0"/>
        <w:ind/>
        <w:jc w:val="both"/>
        <w:rPr>
          <w:rFonts w:ascii="Arial" w:hAnsi="Arial" w:cs="Arial"/>
          <w:sz w:val="22"/>
          <w:szCs w:val="22"/>
          <w:highlight w:val="none"/>
        </w:rPr>
      </w:pPr>
      <w:r>
        <w:rPr>
          <w:rFonts w:ascii="Arial" w:hAnsi="Arial" w:eastAsia="Arial" w:cs="Arial"/>
          <w:b/>
          <w:bCs/>
          <w:sz w:val="22"/>
          <w:szCs w:val="22"/>
          <w:highlight w:val="none"/>
          <w:lang w:val="pt-BR"/>
        </w:rPr>
        <w:t xml:space="preserve">12.12.</w:t>
      </w:r>
      <w:r>
        <w:rPr>
          <w:rFonts w:ascii="Arial" w:hAnsi="Arial" w:eastAsia="Arial" w:cs="Arial"/>
          <w:sz w:val="22"/>
          <w:szCs w:val="22"/>
          <w:highlight w:val="none"/>
          <w:lang w:val="pt-BR"/>
        </w:rPr>
        <w:t xml:space="preserve"> Quanto à durabilidade, os produtos deverão poss</w:t>
      </w:r>
      <w:r>
        <w:rPr>
          <w:rFonts w:ascii="Arial" w:hAnsi="Arial" w:eastAsia="Arial" w:cs="Arial"/>
          <w:sz w:val="22"/>
          <w:szCs w:val="22"/>
          <w:highlight w:val="none"/>
          <w:lang w:val="pt-BR"/>
        </w:rPr>
        <w:t xml:space="preserve">uir prazo de validade compatível com o consumo estimado e com a programação das entregas, devendo apresentar, na data do recebimento, validade remanescente mínima correspondente a 75% (setenta e cinco por cento) do prazo total estabelecido pelo fabricante.</w:t>
      </w:r>
      <w:r>
        <w:rPr>
          <w:rFonts w:ascii="Arial" w:hAnsi="Arial" w:cs="Arial"/>
          <w:sz w:val="22"/>
          <w:szCs w:val="22"/>
          <w:highlight w:val="none"/>
        </w:rPr>
      </w:r>
      <w:r>
        <w:rPr>
          <w:rFonts w:ascii="Arial" w:hAnsi="Arial" w:cs="Arial"/>
          <w:sz w:val="22"/>
          <w:szCs w:val="22"/>
          <w:highlight w:val="none"/>
        </w:rPr>
      </w:r>
    </w:p>
    <w:p w14:paraId="07F300A4">
      <w:pPr>
        <w:pStyle w:val="2332"/>
        <w:pBdr/>
        <w:spacing w:after="0" w:before="0"/>
        <w:ind/>
        <w:jc w:val="both"/>
        <w:rPr>
          <w:rFonts w:ascii="Arial" w:hAnsi="Arial" w:cs="Arial"/>
          <w:sz w:val="22"/>
          <w:szCs w:val="22"/>
          <w:highlight w:val="none"/>
        </w:rPr>
      </w:pPr>
      <w:r>
        <w:rPr>
          <w:rFonts w:ascii="Arial" w:hAnsi="Arial" w:eastAsia="Arial" w:cs="Arial"/>
          <w:b/>
          <w:bCs/>
          <w:sz w:val="22"/>
          <w:szCs w:val="22"/>
          <w:highlight w:val="none"/>
          <w:lang w:val="pt-BR"/>
        </w:rPr>
        <w:t xml:space="preserve">12.12.1</w:t>
      </w:r>
      <w:r>
        <w:rPr>
          <w:rFonts w:ascii="Arial" w:hAnsi="Arial" w:eastAsia="Arial" w:cs="Arial"/>
          <w:sz w:val="22"/>
          <w:szCs w:val="22"/>
          <w:highlight w:val="none"/>
          <w:lang w:val="pt-BR"/>
        </w:rPr>
        <w:t xml:space="preserve">. Excepcionalmente, poderá ser aceito p</w:t>
      </w:r>
      <w:r>
        <w:rPr>
          <w:rFonts w:ascii="Arial" w:hAnsi="Arial" w:eastAsia="Arial" w:cs="Arial"/>
          <w:sz w:val="22"/>
          <w:szCs w:val="22"/>
          <w:highlight w:val="none"/>
          <w:lang w:val="pt-BR"/>
        </w:rPr>
        <w:t xml:space="preserve">roduto com prazo de validade inferior ao estabelecido no subitem anterior, mediante justificativa e prévia autorização da Administração, desde que não haja prejuízo ao consumo, à segurança, à rastreabilidade, ao armazenamento ou à finalidade dos materiais.</w:t>
      </w:r>
      <w:r>
        <w:rPr>
          <w:rFonts w:ascii="Arial" w:hAnsi="Arial" w:cs="Arial"/>
          <w:sz w:val="22"/>
          <w:szCs w:val="22"/>
          <w:highlight w:val="none"/>
        </w:rPr>
      </w:r>
      <w:r>
        <w:rPr>
          <w:rFonts w:ascii="Arial" w:hAnsi="Arial" w:cs="Arial"/>
          <w:sz w:val="22"/>
          <w:szCs w:val="22"/>
          <w:highlight w:val="none"/>
        </w:rPr>
      </w:r>
    </w:p>
    <w:p w14:paraId="1B78143D">
      <w:pPr>
        <w:pStyle w:val="2332"/>
        <w:pBdr/>
        <w:spacing w:after="0" w:before="0"/>
        <w:ind/>
        <w:jc w:val="both"/>
        <w:rPr>
          <w:rFonts w:ascii="Arial" w:hAnsi="Arial" w:cs="Arial"/>
          <w:sz w:val="22"/>
          <w:szCs w:val="22"/>
          <w:highlight w:val="none"/>
        </w:rPr>
      </w:pPr>
      <w:r>
        <w:rPr>
          <w:rFonts w:ascii="Arial" w:hAnsi="Arial" w:eastAsia="Arial" w:cs="Arial"/>
          <w:b/>
          <w:bCs/>
          <w:sz w:val="22"/>
          <w:szCs w:val="22"/>
          <w:highlight w:val="none"/>
          <w:lang w:val="pt-BR"/>
        </w:rPr>
        <w:t xml:space="preserve">12.13</w:t>
      </w:r>
      <w:r>
        <w:rPr>
          <w:rFonts w:ascii="Arial" w:hAnsi="Arial" w:eastAsia="Arial" w:cs="Arial"/>
          <w:sz w:val="22"/>
          <w:szCs w:val="22"/>
          <w:highlight w:val="none"/>
          <w:lang w:val="pt-BR"/>
        </w:rPr>
        <w:t xml:space="preserve">. As embalagens deverão ser originais do f</w:t>
      </w:r>
      <w:r>
        <w:rPr>
          <w:rFonts w:ascii="Arial" w:hAnsi="Arial" w:eastAsia="Arial" w:cs="Arial"/>
          <w:sz w:val="22"/>
          <w:szCs w:val="22"/>
          <w:highlight w:val="none"/>
          <w:lang w:val="pt-BR"/>
        </w:rPr>
        <w:t xml:space="preserve">abricante, íntegras e invioladas, assegurando proteção contra umidade, poeira, contaminação, impactos, exposição inadequada à luz, alterações de temperatura e demais condições que possam comprometer a qualidade, a esterilidade ou o desempenho dos produtos.</w:t>
      </w:r>
      <w:r>
        <w:rPr>
          <w:rFonts w:ascii="Arial" w:hAnsi="Arial" w:cs="Arial"/>
          <w:sz w:val="22"/>
          <w:szCs w:val="22"/>
          <w:highlight w:val="none"/>
        </w:rPr>
      </w:r>
      <w:r>
        <w:rPr>
          <w:rFonts w:ascii="Arial" w:hAnsi="Arial" w:cs="Arial"/>
          <w:sz w:val="22"/>
          <w:szCs w:val="22"/>
          <w:highlight w:val="none"/>
        </w:rPr>
      </w:r>
    </w:p>
    <w:p w14:paraId="2B1C246F">
      <w:pPr>
        <w:pStyle w:val="2332"/>
        <w:pBdr/>
        <w:spacing w:after="0" w:before="0"/>
        <w:ind/>
        <w:jc w:val="both"/>
        <w:rPr>
          <w:rFonts w:ascii="Arial" w:hAnsi="Arial" w:cs="Arial"/>
          <w:sz w:val="22"/>
          <w:szCs w:val="22"/>
          <w:highlight w:val="none"/>
        </w:rPr>
      </w:pPr>
      <w:r>
        <w:rPr>
          <w:rFonts w:ascii="Arial" w:hAnsi="Arial" w:eastAsia="Arial" w:cs="Arial"/>
          <w:b/>
          <w:bCs/>
          <w:sz w:val="22"/>
          <w:szCs w:val="22"/>
          <w:highlight w:val="none"/>
          <w:lang w:val="pt-BR"/>
        </w:rPr>
        <w:t xml:space="preserve">12.14.</w:t>
      </w:r>
      <w:r>
        <w:rPr>
          <w:rFonts w:ascii="Arial" w:hAnsi="Arial" w:eastAsia="Arial" w:cs="Arial"/>
          <w:sz w:val="22"/>
          <w:szCs w:val="22"/>
          <w:highlight w:val="none"/>
          <w:lang w:val="pt-BR"/>
        </w:rPr>
        <w:t xml:space="preserve"> As embalagens deverão apresentar informações legíveis em líng</w:t>
      </w:r>
      <w:r>
        <w:rPr>
          <w:rFonts w:ascii="Arial" w:hAnsi="Arial" w:eastAsia="Arial" w:cs="Arial"/>
          <w:sz w:val="22"/>
          <w:szCs w:val="22"/>
          <w:highlight w:val="none"/>
          <w:lang w:val="pt-BR"/>
        </w:rPr>
        <w:t xml:space="preserve">ua portuguesa, incluindo, no mínimo, identificação do produto, fabricante, procedência, número do lote, data de fabricação, prazo de validade, condições de armazenamento, quantidade, forma de utilização e identificação da regularização sanitária aplicável.</w:t>
      </w:r>
      <w:r>
        <w:rPr>
          <w:rFonts w:ascii="Arial" w:hAnsi="Arial" w:cs="Arial"/>
          <w:sz w:val="22"/>
          <w:szCs w:val="22"/>
          <w:highlight w:val="none"/>
        </w:rPr>
      </w:r>
      <w:r>
        <w:rPr>
          <w:rFonts w:ascii="Arial" w:hAnsi="Arial" w:cs="Arial"/>
          <w:sz w:val="22"/>
          <w:szCs w:val="22"/>
          <w:highlight w:val="none"/>
        </w:rPr>
      </w:r>
    </w:p>
    <w:p w14:paraId="1A7D2C54">
      <w:pPr>
        <w:pStyle w:val="2332"/>
        <w:pBdr/>
        <w:spacing w:after="0" w:before="0"/>
        <w:ind/>
        <w:jc w:val="both"/>
        <w:rPr>
          <w:rFonts w:ascii="Arial" w:hAnsi="Arial" w:cs="Arial"/>
          <w:sz w:val="22"/>
          <w:szCs w:val="22"/>
          <w:highlight w:val="none"/>
        </w:rPr>
      </w:pPr>
      <w:r>
        <w:rPr>
          <w:rFonts w:ascii="Arial" w:hAnsi="Arial" w:eastAsia="Arial" w:cs="Arial"/>
          <w:b/>
          <w:bCs/>
          <w:sz w:val="22"/>
          <w:szCs w:val="22"/>
          <w:highlight w:val="none"/>
          <w:lang w:val="pt-BR"/>
        </w:rPr>
        <w:t xml:space="preserve">12.15.</w:t>
      </w:r>
      <w:r>
        <w:rPr>
          <w:rFonts w:ascii="Arial" w:hAnsi="Arial" w:eastAsia="Arial" w:cs="Arial"/>
          <w:sz w:val="22"/>
          <w:szCs w:val="22"/>
          <w:highlight w:val="none"/>
          <w:lang w:val="pt-BR"/>
        </w:rPr>
        <w:t xml:space="preserve"> Os produtos deverão estar devidamente regularizados peran</w:t>
      </w:r>
      <w:r>
        <w:rPr>
          <w:rFonts w:ascii="Arial" w:hAnsi="Arial" w:eastAsia="Arial" w:cs="Arial"/>
          <w:sz w:val="22"/>
          <w:szCs w:val="22"/>
          <w:highlight w:val="none"/>
          <w:lang w:val="pt-BR"/>
        </w:rPr>
        <w:t xml:space="preserve">te a Agência Nacional de Vigilância Sanitária – Anvisa, conforme o respectivo enquadramento sanitário, devendo a licitante apresentar, quando exigido, registro, notificação, cadastro ou documento que comprove eventual hipótese de dispensa de regularização.</w:t>
      </w:r>
      <w:r>
        <w:rPr>
          <w:rFonts w:ascii="Arial" w:hAnsi="Arial" w:cs="Arial"/>
          <w:sz w:val="22"/>
          <w:szCs w:val="22"/>
          <w:highlight w:val="none"/>
        </w:rPr>
      </w:r>
      <w:r>
        <w:rPr>
          <w:rFonts w:ascii="Arial" w:hAnsi="Arial" w:cs="Arial"/>
          <w:sz w:val="22"/>
          <w:szCs w:val="22"/>
          <w:highlight w:val="none"/>
        </w:rPr>
      </w:r>
    </w:p>
    <w:p w14:paraId="5653E4CE">
      <w:pPr>
        <w:pStyle w:val="2332"/>
        <w:pBdr/>
        <w:spacing w:after="0" w:before="0"/>
        <w:ind/>
        <w:jc w:val="both"/>
        <w:rPr>
          <w:rFonts w:ascii="Arial" w:hAnsi="Arial" w:cs="Arial"/>
          <w:sz w:val="22"/>
          <w:szCs w:val="22"/>
          <w:highlight w:val="none"/>
        </w:rPr>
      </w:pPr>
      <w:r>
        <w:rPr>
          <w:rFonts w:ascii="Arial" w:hAnsi="Arial" w:eastAsia="Arial" w:cs="Arial"/>
          <w:b/>
          <w:bCs/>
          <w:sz w:val="22"/>
          <w:szCs w:val="22"/>
          <w:highlight w:val="none"/>
          <w:lang w:val="pt-BR"/>
        </w:rPr>
        <w:t xml:space="preserve">12.16</w:t>
      </w:r>
      <w:r>
        <w:rPr>
          <w:rFonts w:ascii="Arial" w:hAnsi="Arial" w:eastAsia="Arial" w:cs="Arial"/>
          <w:sz w:val="22"/>
          <w:szCs w:val="22"/>
          <w:highlight w:val="none"/>
          <w:lang w:val="pt-BR"/>
        </w:rPr>
        <w:t xml:space="preserve">. Os produtos deverão atender às normas sanitárias, t</w:t>
      </w:r>
      <w:r>
        <w:rPr>
          <w:rFonts w:ascii="Arial" w:hAnsi="Arial" w:eastAsia="Arial" w:cs="Arial"/>
          <w:sz w:val="22"/>
          <w:szCs w:val="22"/>
          <w:highlight w:val="none"/>
          <w:lang w:val="pt-BR"/>
        </w:rPr>
        <w:t xml:space="preserve">écnicas, ambientais e de segurança aplicáveis, especialmente às disposições relacionadas à prevenção de acidentes com materiais perfurocortantes, às boas práticas dos serviços de análises clínicas e aos padrões de qualidade dos procedimentos laboratoriais.</w:t>
      </w:r>
      <w:r>
        <w:rPr>
          <w:rFonts w:ascii="Arial" w:hAnsi="Arial" w:cs="Arial"/>
          <w:sz w:val="22"/>
          <w:szCs w:val="22"/>
          <w:highlight w:val="none"/>
        </w:rPr>
      </w:r>
      <w:r>
        <w:rPr>
          <w:rFonts w:ascii="Arial" w:hAnsi="Arial" w:cs="Arial"/>
          <w:sz w:val="22"/>
          <w:szCs w:val="22"/>
          <w:highlight w:val="none"/>
        </w:rPr>
      </w:r>
    </w:p>
    <w:p w14:paraId="60FB8459">
      <w:pPr>
        <w:pStyle w:val="2332"/>
        <w:pBdr/>
        <w:spacing w:after="0" w:before="0"/>
        <w:ind/>
        <w:jc w:val="both"/>
        <w:rPr>
          <w:rFonts w:ascii="Arial" w:hAnsi="Arial" w:cs="Arial"/>
          <w:sz w:val="22"/>
          <w:szCs w:val="22"/>
          <w:highlight w:val="none"/>
        </w:rPr>
      </w:pPr>
      <w:r>
        <w:rPr>
          <w:rFonts w:ascii="Arial" w:hAnsi="Arial" w:eastAsia="Arial" w:cs="Arial"/>
          <w:b/>
          <w:bCs/>
          <w:sz w:val="22"/>
          <w:szCs w:val="22"/>
          <w:highlight w:val="none"/>
          <w:lang w:val="pt-BR"/>
        </w:rPr>
        <w:t xml:space="preserve">12.16.1.</w:t>
      </w:r>
      <w:r>
        <w:rPr>
          <w:rFonts w:ascii="Arial" w:hAnsi="Arial" w:eastAsia="Arial" w:cs="Arial"/>
          <w:sz w:val="22"/>
          <w:szCs w:val="22"/>
          <w:highlight w:val="none"/>
          <w:lang w:val="pt-BR"/>
        </w:rPr>
        <w:t xml:space="preserve"> Deverão ser observadas, quando aplicáveis ao objeto, as disposições da RDC Anvisa nº 786/2023, da Norma Regulamentadora nº 32, da ABNT NBR ISO 15189, das diretrizes do Clinical </w:t>
      </w:r>
      <w:r>
        <w:rPr>
          <w:rFonts w:ascii="Arial" w:hAnsi="Arial" w:eastAsia="Arial" w:cs="Arial"/>
          <w:sz w:val="22"/>
          <w:szCs w:val="22"/>
          <w:highlight w:val="none"/>
          <w:lang w:val="pt-BR"/>
        </w:rPr>
        <w:t xml:space="preserve">and</w:t>
      </w:r>
      <w:r>
        <w:rPr>
          <w:rFonts w:ascii="Arial" w:hAnsi="Arial" w:eastAsia="Arial" w:cs="Arial"/>
          <w:sz w:val="22"/>
          <w:szCs w:val="22"/>
          <w:highlight w:val="none"/>
          <w:lang w:val="pt-BR"/>
        </w:rPr>
        <w:t xml:space="preserve"> </w:t>
      </w:r>
      <w:r>
        <w:rPr>
          <w:rFonts w:ascii="Arial" w:hAnsi="Arial" w:eastAsia="Arial" w:cs="Arial"/>
          <w:sz w:val="22"/>
          <w:szCs w:val="22"/>
          <w:highlight w:val="none"/>
          <w:lang w:val="pt-BR"/>
        </w:rPr>
        <w:t xml:space="preserve">Laboratory</w:t>
      </w:r>
      <w:r>
        <w:rPr>
          <w:rFonts w:ascii="Arial" w:hAnsi="Arial" w:eastAsia="Arial" w:cs="Arial"/>
          <w:sz w:val="22"/>
          <w:szCs w:val="22"/>
          <w:highlight w:val="none"/>
          <w:lang w:val="pt-BR"/>
        </w:rPr>
        <w:t xml:space="preserve"> Standards </w:t>
      </w:r>
      <w:r>
        <w:rPr>
          <w:rFonts w:ascii="Arial" w:hAnsi="Arial" w:eastAsia="Arial" w:cs="Arial"/>
          <w:sz w:val="22"/>
          <w:szCs w:val="22"/>
          <w:highlight w:val="none"/>
          <w:lang w:val="pt-BR"/>
        </w:rPr>
        <w:t xml:space="preserve">Institute</w:t>
      </w:r>
      <w:r>
        <w:rPr>
          <w:rFonts w:ascii="Arial" w:hAnsi="Arial" w:eastAsia="Arial" w:cs="Arial"/>
          <w:sz w:val="22"/>
          <w:szCs w:val="22"/>
          <w:highlight w:val="none"/>
          <w:lang w:val="pt-BR"/>
        </w:rPr>
        <w:t xml:space="preserve"> – CLSI e de outras normas que venham a substituí-las ou complementá-las.</w:t>
      </w:r>
      <w:r>
        <w:rPr>
          <w:rFonts w:ascii="Arial" w:hAnsi="Arial" w:cs="Arial"/>
          <w:sz w:val="22"/>
          <w:szCs w:val="22"/>
          <w:highlight w:val="none"/>
        </w:rPr>
      </w:r>
      <w:r>
        <w:rPr>
          <w:rFonts w:ascii="Arial" w:hAnsi="Arial" w:cs="Arial"/>
          <w:sz w:val="22"/>
          <w:szCs w:val="22"/>
          <w:highlight w:val="none"/>
        </w:rPr>
      </w:r>
    </w:p>
    <w:p w14:paraId="2278EB29">
      <w:pPr>
        <w:pStyle w:val="2332"/>
        <w:pBdr/>
        <w:spacing w:after="0" w:before="0"/>
        <w:ind/>
        <w:jc w:val="both"/>
        <w:rPr>
          <w:rFonts w:ascii="Arial" w:hAnsi="Arial" w:cs="Arial"/>
          <w:sz w:val="22"/>
          <w:szCs w:val="22"/>
          <w:highlight w:val="none"/>
        </w:rPr>
      </w:pPr>
      <w:r>
        <w:rPr>
          <w:rFonts w:ascii="Arial" w:hAnsi="Arial" w:eastAsia="Arial" w:cs="Arial"/>
          <w:b/>
          <w:bCs/>
          <w:sz w:val="22"/>
          <w:szCs w:val="22"/>
          <w:highlight w:val="none"/>
          <w:lang w:val="pt-BR"/>
        </w:rPr>
        <w:t xml:space="preserve">12.17.</w:t>
      </w:r>
      <w:r>
        <w:rPr>
          <w:rFonts w:ascii="Arial" w:hAnsi="Arial" w:eastAsia="Arial" w:cs="Arial"/>
          <w:sz w:val="22"/>
          <w:szCs w:val="22"/>
          <w:highlight w:val="none"/>
          <w:lang w:val="pt-BR"/>
        </w:rPr>
        <w:t xml:space="preserve"> A conformidade dos produtos poderá ser verificada mediante análise da</w:t>
      </w:r>
      <w:r>
        <w:rPr>
          <w:rFonts w:ascii="Arial" w:hAnsi="Arial" w:eastAsia="Arial" w:cs="Arial"/>
          <w:sz w:val="22"/>
          <w:szCs w:val="22"/>
          <w:highlight w:val="none"/>
          <w:lang w:val="pt-BR"/>
        </w:rPr>
        <w:t xml:space="preserve">s informações constantes da proposta, catálogo, ficha técnica, prospecto, manual, documento de regularização sanitária ou outro documento técnico idôneo apresentado pela licitante, sem que essa verificação constitua indicação de marca ou modelo específico.</w:t>
      </w:r>
      <w:r>
        <w:rPr>
          <w:rFonts w:ascii="Arial" w:hAnsi="Arial" w:cs="Arial"/>
          <w:sz w:val="22"/>
          <w:szCs w:val="22"/>
          <w:highlight w:val="none"/>
        </w:rPr>
      </w:r>
      <w:r>
        <w:rPr>
          <w:rFonts w:ascii="Arial" w:hAnsi="Arial" w:cs="Arial"/>
          <w:sz w:val="22"/>
          <w:szCs w:val="22"/>
          <w:highlight w:val="none"/>
        </w:rPr>
      </w:r>
    </w:p>
    <w:p w14:paraId="4773E70B">
      <w:pPr>
        <w:pStyle w:val="2332"/>
        <w:pBdr/>
        <w:spacing w:after="0" w:before="0"/>
        <w:ind/>
        <w:jc w:val="both"/>
        <w:rPr>
          <w:rFonts w:ascii="Arial" w:hAnsi="Arial" w:cs="Arial"/>
          <w:sz w:val="22"/>
          <w:szCs w:val="22"/>
          <w:highlight w:val="none"/>
        </w:rPr>
      </w:pPr>
      <w:r>
        <w:rPr>
          <w:rFonts w:ascii="Arial" w:hAnsi="Arial" w:eastAsia="Arial" w:cs="Arial"/>
          <w:b/>
          <w:bCs/>
          <w:sz w:val="22"/>
          <w:szCs w:val="22"/>
          <w:highlight w:val="none"/>
          <w:lang w:val="pt-BR"/>
        </w:rPr>
        <w:t xml:space="preserve">12.18</w:t>
      </w:r>
      <w:r>
        <w:rPr>
          <w:rFonts w:ascii="Arial" w:hAnsi="Arial" w:eastAsia="Arial" w:cs="Arial"/>
          <w:sz w:val="22"/>
          <w:szCs w:val="22"/>
          <w:highlight w:val="none"/>
          <w:lang w:val="pt-BR"/>
        </w:rPr>
        <w:t xml:space="preserve">. Os produtos fornecidos deverão atender integralmente às especificações constantes da tabela de itens e aos requisitos esta</w:t>
      </w:r>
      <w:r>
        <w:rPr>
          <w:rFonts w:ascii="Arial" w:hAnsi="Arial" w:eastAsia="Arial" w:cs="Arial"/>
          <w:sz w:val="22"/>
          <w:szCs w:val="22"/>
          <w:highlight w:val="none"/>
          <w:lang w:val="pt-BR"/>
        </w:rPr>
        <w:t xml:space="preserve">belecidos neste Termo de Referência, sendo admitida a oferta de produto com características equivalentes ou superiores, desde que comprovado o atendimento integral à finalidade, à qualidade, ao desempenho, à segurança e às demais exigências da contratação.</w:t>
      </w:r>
      <w:r>
        <w:rPr>
          <w:rFonts w:ascii="Arial" w:hAnsi="Arial" w:cs="Arial"/>
          <w:sz w:val="22"/>
          <w:szCs w:val="22"/>
          <w:highlight w:val="none"/>
        </w:rPr>
      </w:r>
      <w:r>
        <w:rPr>
          <w:rFonts w:ascii="Arial" w:hAnsi="Arial" w:cs="Arial"/>
          <w:sz w:val="22"/>
          <w:szCs w:val="22"/>
          <w:highlight w:val="none"/>
        </w:rPr>
      </w:r>
    </w:p>
    <w:p w14:paraId="7E91D637">
      <w:pPr>
        <w:pStyle w:val="2332"/>
        <w:pBdr/>
        <w:spacing w:after="0" w:before="0"/>
        <w:ind/>
        <w:jc w:val="both"/>
        <w:rPr>
          <w:rFonts w:ascii="Arial" w:hAnsi="Arial" w:cs="Arial"/>
          <w:sz w:val="22"/>
          <w:szCs w:val="22"/>
          <w:highlight w:val="none"/>
        </w:rPr>
      </w:pPr>
      <w:r>
        <w:rPr>
          <w:rFonts w:ascii="Arial" w:hAnsi="Arial" w:eastAsia="Arial" w:cs="Arial"/>
          <w:b/>
          <w:bCs/>
          <w:sz w:val="22"/>
          <w:szCs w:val="22"/>
          <w:highlight w:val="none"/>
          <w:lang w:val="pt-BR"/>
        </w:rPr>
        <w:t xml:space="preserve">12.19.</w:t>
      </w:r>
      <w:r>
        <w:rPr>
          <w:rFonts w:ascii="Arial" w:hAnsi="Arial" w:eastAsia="Arial" w:cs="Arial"/>
          <w:sz w:val="22"/>
          <w:szCs w:val="22"/>
          <w:highlight w:val="none"/>
          <w:lang w:val="pt-BR"/>
        </w:rPr>
        <w:t xml:space="preserve"> As especificações técnicas estabelecidas neste Termo de Referência constitue</w:t>
      </w:r>
      <w:r>
        <w:rPr>
          <w:rFonts w:ascii="Arial" w:hAnsi="Arial" w:eastAsia="Arial" w:cs="Arial"/>
          <w:sz w:val="22"/>
          <w:szCs w:val="22"/>
          <w:highlight w:val="none"/>
          <w:lang w:val="pt-BR"/>
        </w:rPr>
        <w:t xml:space="preserve">m requisitos mínimos para o fornecimento dos produtos e visam assegurar a adequada execução dos procedimentos de coleta de sangue a vácuo, a integridade das amostras, a segurança dos profissionais e dos usuários e a confiabilidade dos exames laboratoriais.</w:t>
      </w:r>
      <w:r>
        <w:rPr>
          <w:rFonts w:ascii="Arial" w:hAnsi="Arial" w:cs="Arial"/>
          <w:sz w:val="22"/>
          <w:szCs w:val="22"/>
          <w:highlight w:val="none"/>
        </w:rPr>
      </w:r>
      <w:r>
        <w:rPr>
          <w:rFonts w:ascii="Arial" w:hAnsi="Arial" w:cs="Arial"/>
          <w:sz w:val="22"/>
          <w:szCs w:val="22"/>
          <w:highlight w:val="none"/>
        </w:rPr>
      </w:r>
    </w:p>
    <w:p w14:paraId="2693623E">
      <w:pPr>
        <w:pStyle w:val="2332"/>
        <w:pBdr/>
        <w:spacing w:after="52" w:before="52" w:line="216" w:lineRule="auto"/>
        <w:ind/>
        <w:jc w:val="both"/>
        <w:rPr>
          <w:rFonts w:ascii="Arial" w:hAnsi="Arial" w:cs="Arial"/>
          <w:sz w:val="18"/>
          <w:szCs w:val="18"/>
          <w:highlight w:val="none"/>
        </w:rPr>
      </w:pPr>
      <w:r>
        <w:rPr>
          <w:rFonts w:ascii="Arial" w:hAnsi="Arial" w:eastAsia="Arial" w:cs="Arial"/>
          <w:sz w:val="18"/>
          <w:szCs w:val="18"/>
          <w:highlight w:val="none"/>
          <w:lang w:val="pt-BR"/>
        </w:rPr>
      </w:r>
      <w:r>
        <w:rPr>
          <w:rFonts w:ascii="Arial" w:hAnsi="Arial" w:cs="Arial"/>
          <w:sz w:val="18"/>
          <w:szCs w:val="18"/>
          <w:highlight w:val="none"/>
        </w:rPr>
      </w:r>
      <w:r>
        <w:rPr>
          <w:rFonts w:ascii="Arial" w:hAnsi="Arial" w:cs="Arial"/>
          <w:sz w:val="18"/>
          <w:szCs w:val="18"/>
          <w:highlight w:val="none"/>
        </w:rPr>
      </w:r>
    </w:p>
    <w:p w14:paraId="6A589364">
      <w:pPr>
        <w:pBdr/>
        <w:shd w:val="clear" w:color="auto" w:fill="cccccc"/>
        <w:spacing/>
        <w:ind/>
        <w:jc w:val="both"/>
        <w:rPr>
          <w:rFonts w:ascii="Arial" w:hAnsi="Arial" w:cs="Arial"/>
          <w:highlight w:val="none"/>
        </w:rPr>
      </w:pPr>
      <w:r>
        <w:rPr>
          <w:rFonts w:ascii="Arial" w:hAnsi="Arial" w:eastAsia="Arial" w:cs="Arial"/>
          <w:b/>
          <w:bCs/>
          <w:highlight w:val="none"/>
        </w:rPr>
        <w:t xml:space="preserve">1</w:t>
      </w:r>
      <w:r>
        <w:rPr>
          <w:rFonts w:ascii="Arial" w:hAnsi="Arial" w:eastAsia="Arial" w:cs="Arial"/>
          <w:b/>
          <w:bCs/>
          <w:highlight w:val="none"/>
          <w:lang w:val="pt-BR"/>
        </w:rPr>
        <w:t xml:space="preserve">3</w:t>
      </w:r>
      <w:r>
        <w:rPr>
          <w:rFonts w:ascii="Arial" w:hAnsi="Arial" w:eastAsia="Arial" w:cs="Arial"/>
          <w:b/>
          <w:bCs/>
          <w:highlight w:val="none"/>
        </w:rPr>
        <w:t xml:space="preserve"> – </w:t>
      </w:r>
      <w:r>
        <w:rPr>
          <w:rFonts w:ascii="Arial" w:hAnsi="Arial" w:eastAsia="Arial" w:cs="Arial"/>
          <w:b/>
          <w:bCs/>
          <w:highlight w:val="none"/>
          <w:lang w:val="pt-BR"/>
        </w:rPr>
        <w:t xml:space="preserve">DA PESQUISA DE PREÇO</w:t>
      </w:r>
      <w:r>
        <w:rPr>
          <w:rFonts w:ascii="Arial" w:hAnsi="Arial" w:cs="Arial"/>
          <w:highlight w:val="none"/>
        </w:rPr>
      </w:r>
      <w:r>
        <w:rPr>
          <w:rFonts w:ascii="Arial" w:hAnsi="Arial" w:cs="Arial"/>
          <w:highlight w:val="none"/>
        </w:rPr>
      </w:r>
    </w:p>
    <w:p w14:paraId="1DE740A2">
      <w:pPr>
        <w:pStyle w:val="2031"/>
        <w:pBdr/>
        <w:spacing w:before="38"/>
        <w:ind w:right="330" w:firstLine="105" w:left="220"/>
        <w:jc w:val="both"/>
        <w:rPr>
          <w:rFonts w:ascii="Arial" w:hAnsi="Arial" w:cs="Arial"/>
          <w:b/>
          <w:bCs/>
          <w:sz w:val="18"/>
          <w:szCs w:val="18"/>
          <w:highlight w:val="none"/>
        </w:rPr>
      </w:pPr>
      <w:r>
        <w:rPr>
          <w:rFonts w:ascii="Arial" w:hAnsi="Arial" w:eastAsia="Arial" w:cs="Arial"/>
          <w:b/>
          <w:bCs/>
          <w:sz w:val="18"/>
          <w:szCs w:val="18"/>
          <w:highlight w:val="none"/>
          <w:lang w:val="pt-BR"/>
        </w:rPr>
      </w:r>
      <w:r>
        <w:rPr>
          <w:rFonts w:ascii="Arial" w:hAnsi="Arial" w:cs="Arial"/>
          <w:b/>
          <w:bCs/>
          <w:sz w:val="18"/>
          <w:szCs w:val="18"/>
          <w:highlight w:val="none"/>
        </w:rPr>
      </w:r>
      <w:r>
        <w:rPr>
          <w:rFonts w:ascii="Arial" w:hAnsi="Arial" w:cs="Arial"/>
          <w:b/>
          <w:bCs/>
          <w:sz w:val="18"/>
          <w:szCs w:val="18"/>
          <w:highlight w:val="none"/>
        </w:rPr>
      </w:r>
    </w:p>
    <w:p w14:paraId="4FC81370">
      <w:pPr>
        <w:pStyle w:val="2031"/>
        <w:pBdr/>
        <w:spacing/>
        <w:ind/>
        <w:jc w:val="both"/>
        <w:rPr>
          <w:rFonts w:ascii="Arial" w:hAnsi="Arial" w:cs="Arial"/>
          <w:sz w:val="22"/>
          <w:szCs w:val="22"/>
          <w:highlight w:val="none"/>
        </w:rPr>
      </w:pPr>
      <w:r>
        <w:rPr>
          <w:rFonts w:ascii="Arial" w:hAnsi="Arial" w:eastAsia="Arial" w:cs="Arial"/>
          <w:b/>
          <w:bCs/>
          <w:sz w:val="22"/>
          <w:szCs w:val="22"/>
          <w:highlight w:val="none"/>
          <w:lang w:val="pt-BR"/>
        </w:rPr>
        <w:t xml:space="preserve">13.1.</w:t>
      </w:r>
      <w:r>
        <w:rPr>
          <w:rFonts w:ascii="Arial" w:hAnsi="Arial" w:eastAsia="Arial" w:cs="Arial"/>
          <w:sz w:val="22"/>
          <w:szCs w:val="22"/>
          <w:highlight w:val="none"/>
          <w:lang w:val="pt-BR"/>
        </w:rPr>
        <w:t xml:space="preserve"> Em conformidade com o art. 23, </w:t>
      </w:r>
      <w:r>
        <w:rPr>
          <w:rFonts w:ascii="Arial" w:hAnsi="Arial" w:eastAsia="Arial" w:cs="Arial"/>
          <w:i/>
          <w:iCs/>
          <w:sz w:val="22"/>
          <w:szCs w:val="22"/>
          <w:highlight w:val="none"/>
          <w:lang w:val="pt-BR"/>
        </w:rPr>
        <w:t xml:space="preserve">caput</w:t>
      </w:r>
      <w:r>
        <w:rPr>
          <w:rFonts w:ascii="Arial" w:hAnsi="Arial" w:eastAsia="Arial" w:cs="Arial"/>
          <w:sz w:val="22"/>
          <w:szCs w:val="22"/>
          <w:highlight w:val="none"/>
          <w:lang w:val="pt-BR"/>
        </w:rPr>
        <w:t xml:space="preserve"> e § 1º, da Lei Federal nº 14.133/2021 e com o Decreto Municipal nº 11.685/2023, a estimativa de preços da presente contra</w:t>
      </w:r>
      <w:r>
        <w:rPr>
          <w:rFonts w:ascii="Arial" w:hAnsi="Arial" w:eastAsia="Arial" w:cs="Arial"/>
          <w:sz w:val="22"/>
          <w:szCs w:val="22"/>
          <w:highlight w:val="none"/>
          <w:lang w:val="pt-BR"/>
        </w:rPr>
        <w:t xml:space="preserve">tação foi elaborada mediante pesquisa de mercado realizada por meio de fontes públicas e privadas, com o objetivo de subsidiar a definição do valor estimado, o planejamento da contratação e a seleção da proposta mais vantajosa para a Administração Pública.</w:t>
      </w:r>
      <w:r>
        <w:rPr>
          <w:rFonts w:ascii="Arial" w:hAnsi="Arial" w:cs="Arial"/>
          <w:sz w:val="22"/>
          <w:szCs w:val="22"/>
          <w:highlight w:val="none"/>
        </w:rPr>
      </w:r>
      <w:r>
        <w:rPr>
          <w:rFonts w:ascii="Arial" w:hAnsi="Arial" w:cs="Arial"/>
          <w:sz w:val="22"/>
          <w:szCs w:val="22"/>
          <w:highlight w:val="none"/>
        </w:rPr>
      </w:r>
    </w:p>
    <w:p w14:paraId="359769CF">
      <w:pPr>
        <w:pStyle w:val="2031"/>
        <w:pBdr/>
        <w:spacing/>
        <w:ind/>
        <w:jc w:val="both"/>
        <w:rPr>
          <w:rFonts w:ascii="Arial" w:hAnsi="Arial" w:cs="Arial"/>
          <w:sz w:val="22"/>
          <w:szCs w:val="22"/>
          <w:highlight w:val="none"/>
        </w:rPr>
      </w:pPr>
      <w:r>
        <w:rPr>
          <w:rFonts w:ascii="Arial" w:hAnsi="Arial" w:eastAsia="Arial" w:cs="Arial"/>
          <w:b/>
          <w:bCs/>
          <w:sz w:val="22"/>
          <w:szCs w:val="22"/>
          <w:highlight w:val="none"/>
          <w:lang w:val="pt-BR"/>
        </w:rPr>
        <w:t xml:space="preserve">13.2.</w:t>
      </w:r>
      <w:r>
        <w:rPr>
          <w:rFonts w:ascii="Arial" w:hAnsi="Arial" w:eastAsia="Arial" w:cs="Arial"/>
          <w:sz w:val="22"/>
          <w:szCs w:val="22"/>
          <w:highlight w:val="none"/>
          <w:lang w:val="pt-BR"/>
        </w:rPr>
        <w:t xml:space="preserve"> A pesquisa de preços foi realizada mediante consulta ao Banco de </w:t>
      </w:r>
      <w:r>
        <w:rPr>
          <w:rFonts w:ascii="Arial" w:hAnsi="Arial" w:eastAsia="Arial" w:cs="Arial"/>
          <w:sz w:val="22"/>
          <w:szCs w:val="22"/>
          <w:highlight w:val="none"/>
          <w:lang w:val="pt-BR"/>
        </w:rPr>
        <w:t xml:space="preserve">Preços, utilizando referências provenientes de contratações públicas, e por meio da obtenção de cotações privadas formais junto a empresas atuantes no ramo do objeto, observados os parâmetros legais e regulamentares aplicáveis à formação do preço estimado.</w:t>
      </w:r>
      <w:r>
        <w:rPr>
          <w:rFonts w:ascii="Arial" w:hAnsi="Arial" w:cs="Arial"/>
          <w:sz w:val="22"/>
          <w:szCs w:val="22"/>
          <w:highlight w:val="none"/>
        </w:rPr>
      </w:r>
      <w:r>
        <w:rPr>
          <w:rFonts w:ascii="Arial" w:hAnsi="Arial" w:cs="Arial"/>
          <w:sz w:val="22"/>
          <w:szCs w:val="22"/>
          <w:highlight w:val="none"/>
        </w:rPr>
      </w:r>
    </w:p>
    <w:p w14:paraId="28BD6DA5">
      <w:pPr>
        <w:pStyle w:val="2031"/>
        <w:pBdr/>
        <w:spacing/>
        <w:ind/>
        <w:jc w:val="both"/>
        <w:rPr>
          <w:rFonts w:ascii="Arial" w:hAnsi="Arial" w:cs="Arial"/>
          <w:sz w:val="22"/>
          <w:szCs w:val="22"/>
          <w:highlight w:val="none"/>
        </w:rPr>
      </w:pPr>
      <w:r>
        <w:rPr>
          <w:rFonts w:ascii="Arial" w:hAnsi="Arial" w:eastAsia="Arial" w:cs="Arial"/>
          <w:b/>
          <w:bCs/>
          <w:sz w:val="22"/>
          <w:szCs w:val="22"/>
          <w:highlight w:val="none"/>
          <w:lang w:val="pt-BR"/>
        </w:rPr>
        <w:t xml:space="preserve">13.2.1</w:t>
      </w:r>
      <w:r>
        <w:rPr>
          <w:rFonts w:ascii="Arial" w:hAnsi="Arial" w:eastAsia="Arial" w:cs="Arial"/>
          <w:sz w:val="22"/>
          <w:szCs w:val="22"/>
          <w:highlight w:val="none"/>
          <w:lang w:val="pt-BR"/>
        </w:rPr>
        <w:t xml:space="preserve">. As referências públicas foram extraídas de contratações realizadas por órgãos e entidad</w:t>
      </w:r>
      <w:r>
        <w:rPr>
          <w:rFonts w:ascii="Arial" w:hAnsi="Arial" w:eastAsia="Arial" w:cs="Arial"/>
          <w:sz w:val="22"/>
          <w:szCs w:val="22"/>
          <w:highlight w:val="none"/>
          <w:lang w:val="pt-BR"/>
        </w:rPr>
        <w:t xml:space="preserve">es da Administração Pública, enquanto as cotações privadas foram obtidas diretamente junto a fornecedores do segmento, com a finalidade de ampliar a base comparativa e verificar a compatibilidade dos valores pesquisados com os preços praticados no mercado.</w:t>
      </w:r>
      <w:r>
        <w:rPr>
          <w:rFonts w:ascii="Arial" w:hAnsi="Arial" w:cs="Arial"/>
          <w:sz w:val="22"/>
          <w:szCs w:val="22"/>
          <w:highlight w:val="none"/>
        </w:rPr>
      </w:r>
      <w:r>
        <w:rPr>
          <w:rFonts w:ascii="Arial" w:hAnsi="Arial" w:cs="Arial"/>
          <w:sz w:val="22"/>
          <w:szCs w:val="22"/>
          <w:highlight w:val="none"/>
        </w:rPr>
      </w:r>
    </w:p>
    <w:p w14:paraId="0EFB6B27">
      <w:pPr>
        <w:pStyle w:val="2031"/>
        <w:pBdr/>
        <w:spacing/>
        <w:ind/>
        <w:jc w:val="both"/>
        <w:rPr>
          <w:rFonts w:ascii="Arial" w:hAnsi="Arial" w:cs="Arial"/>
          <w:sz w:val="22"/>
          <w:szCs w:val="22"/>
          <w:highlight w:val="none"/>
        </w:rPr>
      </w:pPr>
      <w:r>
        <w:rPr>
          <w:rFonts w:ascii="Arial" w:hAnsi="Arial" w:eastAsia="Arial" w:cs="Arial"/>
          <w:b/>
          <w:bCs/>
          <w:sz w:val="22"/>
          <w:szCs w:val="22"/>
          <w:highlight w:val="none"/>
          <w:lang w:val="pt-BR"/>
        </w:rPr>
        <w:t xml:space="preserve">13.2.2.</w:t>
      </w:r>
      <w:r>
        <w:rPr>
          <w:rFonts w:ascii="Arial" w:hAnsi="Arial" w:eastAsia="Arial" w:cs="Arial"/>
          <w:sz w:val="22"/>
          <w:szCs w:val="22"/>
          <w:highlight w:val="none"/>
          <w:lang w:val="pt-BR"/>
        </w:rPr>
        <w:t xml:space="preserve"> Para a composição da estimativa, foram consideradas referências públicas e pri</w:t>
      </w:r>
      <w:r>
        <w:rPr>
          <w:rFonts w:ascii="Arial" w:hAnsi="Arial" w:eastAsia="Arial" w:cs="Arial"/>
          <w:sz w:val="22"/>
          <w:szCs w:val="22"/>
          <w:highlight w:val="none"/>
          <w:lang w:val="pt-BR"/>
        </w:rPr>
        <w:t xml:space="preserve">vadas compatíveis com a finalidade, a unidade de medida, a capacidade volumétrica, o material de fabricação, a esterilidade, o sistema de segurança, os aditivos e as demais características técnicas dos tubos e agulhas destinados à coleta de sangue a vácuo.</w:t>
      </w:r>
      <w:r>
        <w:rPr>
          <w:rFonts w:ascii="Arial" w:hAnsi="Arial" w:cs="Arial"/>
          <w:sz w:val="22"/>
          <w:szCs w:val="22"/>
          <w:highlight w:val="none"/>
        </w:rPr>
      </w:r>
      <w:r>
        <w:rPr>
          <w:rFonts w:ascii="Arial" w:hAnsi="Arial" w:cs="Arial"/>
          <w:sz w:val="22"/>
          <w:szCs w:val="22"/>
          <w:highlight w:val="none"/>
        </w:rPr>
      </w:r>
    </w:p>
    <w:p w14:paraId="7A5453B8">
      <w:pPr>
        <w:pStyle w:val="2031"/>
        <w:pBdr/>
        <w:spacing/>
        <w:ind/>
        <w:jc w:val="both"/>
        <w:rPr>
          <w:rFonts w:ascii="Arial" w:hAnsi="Arial" w:cs="Arial"/>
          <w:sz w:val="22"/>
          <w:szCs w:val="22"/>
          <w:highlight w:val="none"/>
        </w:rPr>
      </w:pPr>
      <w:r>
        <w:rPr>
          <w:rFonts w:ascii="Arial" w:hAnsi="Arial" w:eastAsia="Arial" w:cs="Arial"/>
          <w:b/>
          <w:bCs/>
          <w:sz w:val="22"/>
          <w:szCs w:val="22"/>
          <w:highlight w:val="none"/>
          <w:lang w:val="pt-BR"/>
        </w:rPr>
        <w:t xml:space="preserve">13.2.3.</w:t>
      </w:r>
      <w:r>
        <w:rPr>
          <w:rFonts w:ascii="Arial" w:hAnsi="Arial" w:eastAsia="Arial" w:cs="Arial"/>
          <w:sz w:val="22"/>
          <w:szCs w:val="22"/>
          <w:highlight w:val="none"/>
          <w:lang w:val="pt-BR"/>
        </w:rPr>
        <w:t xml:space="preserve"> A pesquisa de preços encontra</w:t>
      </w:r>
      <w:r>
        <w:rPr>
          <w:rFonts w:ascii="Arial" w:hAnsi="Arial" w:eastAsia="Arial" w:cs="Arial"/>
          <w:sz w:val="22"/>
          <w:szCs w:val="22"/>
          <w:highlight w:val="none"/>
          <w:lang w:val="pt-BR"/>
        </w:rPr>
        <w:t xml:space="preserve">-se devidamente documentada nos autos, acompanhada dos relatórios extraídos do Banco de Preços, das cotações privadas formais apresentadas pelas empresas consultadas, do Mapa Comparativo de Preços, da memória de cálculo e da planilha consolidada, contendo:</w:t>
      </w:r>
      <w:r>
        <w:rPr>
          <w:rFonts w:ascii="Arial" w:hAnsi="Arial" w:cs="Arial"/>
          <w:sz w:val="22"/>
          <w:szCs w:val="22"/>
          <w:highlight w:val="none"/>
        </w:rPr>
      </w:r>
      <w:r>
        <w:rPr>
          <w:rFonts w:ascii="Arial" w:hAnsi="Arial" w:cs="Arial"/>
          <w:sz w:val="22"/>
          <w:szCs w:val="22"/>
          <w:highlight w:val="none"/>
        </w:rPr>
      </w:r>
    </w:p>
    <w:p w14:paraId="024512ED">
      <w:pPr>
        <w:pStyle w:val="2031"/>
        <w:pBdr/>
        <w:spacing/>
        <w:ind/>
        <w:jc w:val="both"/>
        <w:rPr>
          <w:rFonts w:ascii="Arial" w:hAnsi="Arial" w:cs="Arial"/>
          <w:sz w:val="22"/>
          <w:szCs w:val="22"/>
          <w:highlight w:val="none"/>
        </w:rPr>
      </w:pPr>
      <w:r>
        <w:rPr>
          <w:rFonts w:ascii="Arial" w:hAnsi="Arial" w:eastAsia="Arial" w:cs="Arial"/>
          <w:sz w:val="22"/>
          <w:szCs w:val="22"/>
          <w:highlight w:val="none"/>
          <w:lang w:val="pt-BR"/>
        </w:rPr>
        <w:t xml:space="preserve">a) as referências públicas e privadas efetivamente utilizadas;</w:t>
      </w:r>
      <w:r>
        <w:rPr>
          <w:rFonts w:ascii="Arial" w:hAnsi="Arial" w:cs="Arial"/>
          <w:sz w:val="22"/>
          <w:szCs w:val="22"/>
          <w:highlight w:val="none"/>
        </w:rPr>
      </w:r>
      <w:r>
        <w:rPr>
          <w:rFonts w:ascii="Arial" w:hAnsi="Arial" w:cs="Arial"/>
          <w:sz w:val="22"/>
          <w:szCs w:val="22"/>
          <w:highlight w:val="none"/>
        </w:rPr>
      </w:r>
    </w:p>
    <w:p w14:paraId="57031E5E">
      <w:pPr>
        <w:pStyle w:val="2031"/>
        <w:pBdr/>
        <w:spacing/>
        <w:ind/>
        <w:jc w:val="both"/>
        <w:rPr>
          <w:rFonts w:ascii="Arial" w:hAnsi="Arial" w:cs="Arial"/>
          <w:sz w:val="22"/>
          <w:szCs w:val="22"/>
          <w:highlight w:val="none"/>
        </w:rPr>
      </w:pPr>
      <w:r>
        <w:rPr>
          <w:rFonts w:ascii="Arial" w:hAnsi="Arial" w:eastAsia="Arial" w:cs="Arial"/>
          <w:sz w:val="22"/>
          <w:szCs w:val="22"/>
          <w:highlight w:val="none"/>
          <w:lang w:val="pt-BR"/>
        </w:rPr>
        <w:t xml:space="preserve">b) a metodologia adotada para a formação do valor estimado;</w:t>
      </w:r>
      <w:r>
        <w:rPr>
          <w:rFonts w:ascii="Arial" w:hAnsi="Arial" w:cs="Arial"/>
          <w:sz w:val="22"/>
          <w:szCs w:val="22"/>
          <w:highlight w:val="none"/>
        </w:rPr>
      </w:r>
      <w:r>
        <w:rPr>
          <w:rFonts w:ascii="Arial" w:hAnsi="Arial" w:cs="Arial"/>
          <w:sz w:val="22"/>
          <w:szCs w:val="22"/>
          <w:highlight w:val="none"/>
        </w:rPr>
      </w:r>
    </w:p>
    <w:p w14:paraId="0E1D3FB6">
      <w:pPr>
        <w:pStyle w:val="2031"/>
        <w:pBdr/>
        <w:spacing/>
        <w:ind/>
        <w:jc w:val="both"/>
        <w:rPr>
          <w:rFonts w:ascii="Arial" w:hAnsi="Arial" w:cs="Arial"/>
          <w:sz w:val="22"/>
          <w:szCs w:val="22"/>
          <w:highlight w:val="none"/>
        </w:rPr>
      </w:pPr>
      <w:r>
        <w:rPr>
          <w:rFonts w:ascii="Arial" w:hAnsi="Arial" w:eastAsia="Arial" w:cs="Arial"/>
          <w:sz w:val="22"/>
          <w:szCs w:val="22"/>
          <w:highlight w:val="none"/>
          <w:lang w:val="pt-BR"/>
        </w:rPr>
        <w:t xml:space="preserve">c) a identificação das fontes consultadas;</w:t>
      </w:r>
      <w:r>
        <w:rPr>
          <w:rFonts w:ascii="Arial" w:hAnsi="Arial" w:cs="Arial"/>
          <w:sz w:val="22"/>
          <w:szCs w:val="22"/>
          <w:highlight w:val="none"/>
        </w:rPr>
      </w:r>
      <w:r>
        <w:rPr>
          <w:rFonts w:ascii="Arial" w:hAnsi="Arial" w:cs="Arial"/>
          <w:sz w:val="22"/>
          <w:szCs w:val="22"/>
          <w:highlight w:val="none"/>
        </w:rPr>
      </w:r>
    </w:p>
    <w:p w14:paraId="5E3A890E">
      <w:pPr>
        <w:pStyle w:val="2031"/>
        <w:pBdr/>
        <w:spacing/>
        <w:ind/>
        <w:jc w:val="both"/>
        <w:rPr>
          <w:rFonts w:ascii="Arial" w:hAnsi="Arial" w:cs="Arial"/>
          <w:sz w:val="22"/>
          <w:szCs w:val="22"/>
          <w:highlight w:val="none"/>
        </w:rPr>
      </w:pPr>
      <w:r>
        <w:rPr>
          <w:rFonts w:ascii="Arial" w:hAnsi="Arial" w:eastAsia="Arial" w:cs="Arial"/>
          <w:sz w:val="22"/>
          <w:szCs w:val="22"/>
          <w:highlight w:val="none"/>
          <w:lang w:val="pt-BR"/>
        </w:rPr>
        <w:t xml:space="preserve">d) os critérios utilizados para a análise e eventual desconsideração de valores discrepantes ou incompatíveis; e</w:t>
      </w:r>
      <w:r>
        <w:rPr>
          <w:rFonts w:ascii="Arial" w:hAnsi="Arial" w:cs="Arial"/>
          <w:sz w:val="22"/>
          <w:szCs w:val="22"/>
          <w:highlight w:val="none"/>
        </w:rPr>
      </w:r>
      <w:r>
        <w:rPr>
          <w:rFonts w:ascii="Arial" w:hAnsi="Arial" w:cs="Arial"/>
          <w:sz w:val="22"/>
          <w:szCs w:val="22"/>
          <w:highlight w:val="none"/>
        </w:rPr>
      </w:r>
    </w:p>
    <w:p w14:paraId="75A37D4B">
      <w:pPr>
        <w:pStyle w:val="2031"/>
        <w:pBdr/>
        <w:spacing/>
        <w:ind/>
        <w:jc w:val="both"/>
        <w:rPr>
          <w:rFonts w:ascii="Arial" w:hAnsi="Arial" w:cs="Arial"/>
          <w:sz w:val="22"/>
          <w:szCs w:val="22"/>
          <w:highlight w:val="none"/>
        </w:rPr>
      </w:pPr>
      <w:r>
        <w:rPr>
          <w:rFonts w:ascii="Arial" w:hAnsi="Arial" w:eastAsia="Arial" w:cs="Arial"/>
          <w:sz w:val="22"/>
          <w:szCs w:val="22"/>
          <w:highlight w:val="none"/>
          <w:lang w:val="pt-BR"/>
        </w:rPr>
        <w:t xml:space="preserve">e) as justificativas técnicas quanto à compatibilidade das referências utilizadas com as especificações do objeto.</w:t>
      </w:r>
      <w:r>
        <w:rPr>
          <w:rFonts w:ascii="Arial" w:hAnsi="Arial" w:cs="Arial"/>
          <w:sz w:val="22"/>
          <w:szCs w:val="22"/>
          <w:highlight w:val="none"/>
        </w:rPr>
      </w:r>
      <w:r>
        <w:rPr>
          <w:rFonts w:ascii="Arial" w:hAnsi="Arial" w:cs="Arial"/>
          <w:sz w:val="22"/>
          <w:szCs w:val="22"/>
          <w:highlight w:val="none"/>
        </w:rPr>
      </w:r>
    </w:p>
    <w:p w14:paraId="74BA84BE">
      <w:pPr>
        <w:pStyle w:val="2031"/>
        <w:pBdr/>
        <w:spacing/>
        <w:ind/>
        <w:jc w:val="both"/>
        <w:rPr>
          <w:rFonts w:ascii="Arial" w:hAnsi="Arial" w:cs="Arial"/>
          <w:sz w:val="22"/>
          <w:szCs w:val="22"/>
          <w:highlight w:val="none"/>
        </w:rPr>
      </w:pPr>
      <w:r>
        <w:rPr>
          <w:rFonts w:ascii="Arial" w:hAnsi="Arial" w:eastAsia="Arial" w:cs="Arial"/>
          <w:b/>
          <w:bCs/>
          <w:sz w:val="22"/>
          <w:szCs w:val="22"/>
          <w:highlight w:val="none"/>
          <w:lang w:val="pt-BR"/>
        </w:rPr>
        <w:t xml:space="preserve">13.2.4.</w:t>
      </w:r>
      <w:r>
        <w:rPr>
          <w:rFonts w:ascii="Arial" w:hAnsi="Arial" w:eastAsia="Arial" w:cs="Arial"/>
          <w:sz w:val="22"/>
          <w:szCs w:val="22"/>
          <w:highlight w:val="none"/>
          <w:lang w:val="pt-BR"/>
        </w:rPr>
        <w:t xml:space="preserve"> Os valores considerados válidos foram consolidados mediante metodologia compatível com a legislação vigente, conforme demonstrado no Mapa Comparativo de Pre</w:t>
      </w:r>
      <w:r>
        <w:rPr>
          <w:rFonts w:ascii="Arial" w:hAnsi="Arial" w:eastAsia="Arial" w:cs="Arial"/>
          <w:sz w:val="22"/>
          <w:szCs w:val="22"/>
          <w:highlight w:val="none"/>
          <w:lang w:val="pt-BR"/>
        </w:rPr>
        <w:t xml:space="preserve">ços e na memória de cálculo, sendo desconsideradas, mediante justificativa expressamente registrada nos autos, as referências manifestamente inexequíveis, excessivamente elevadas, desatualizadas, inconsistentes ou incompatíveis com o objeto da contratação.</w:t>
      </w:r>
      <w:r>
        <w:rPr>
          <w:rFonts w:ascii="Arial" w:hAnsi="Arial" w:cs="Arial"/>
          <w:sz w:val="22"/>
          <w:szCs w:val="22"/>
          <w:highlight w:val="none"/>
        </w:rPr>
      </w:r>
      <w:r>
        <w:rPr>
          <w:rFonts w:ascii="Arial" w:hAnsi="Arial" w:cs="Arial"/>
          <w:sz w:val="22"/>
          <w:szCs w:val="22"/>
          <w:highlight w:val="none"/>
        </w:rPr>
      </w:r>
    </w:p>
    <w:p w14:paraId="05863E09">
      <w:pPr>
        <w:pStyle w:val="2031"/>
        <w:pBdr/>
        <w:spacing/>
        <w:ind/>
        <w:jc w:val="both"/>
        <w:rPr>
          <w:rFonts w:ascii="Arial" w:hAnsi="Arial" w:cs="Arial"/>
          <w:sz w:val="22"/>
          <w:szCs w:val="22"/>
          <w:highlight w:val="none"/>
        </w:rPr>
      </w:pPr>
      <w:r>
        <w:rPr>
          <w:rFonts w:ascii="Arial" w:hAnsi="Arial" w:eastAsia="Arial" w:cs="Arial"/>
          <w:b/>
          <w:bCs/>
          <w:sz w:val="22"/>
          <w:szCs w:val="22"/>
          <w:highlight w:val="none"/>
          <w:lang w:val="pt-BR"/>
        </w:rPr>
        <w:t xml:space="preserve">13.3.</w:t>
      </w:r>
      <w:r>
        <w:rPr>
          <w:rFonts w:ascii="Arial" w:hAnsi="Arial" w:eastAsia="Arial" w:cs="Arial"/>
          <w:sz w:val="22"/>
          <w:szCs w:val="22"/>
          <w:highlight w:val="none"/>
          <w:lang w:val="pt-BR"/>
        </w:rPr>
        <w:t xml:space="preserve"> A análise das referências públicas e das cotações privadas observou a correspondênc</w:t>
      </w:r>
      <w:r>
        <w:rPr>
          <w:rFonts w:ascii="Arial" w:hAnsi="Arial" w:eastAsia="Arial" w:cs="Arial"/>
          <w:sz w:val="22"/>
          <w:szCs w:val="22"/>
          <w:highlight w:val="none"/>
          <w:lang w:val="pt-BR"/>
        </w:rPr>
        <w:t xml:space="preserve">ia entre as especificações técnicas, as unidades de medida, as condições de fornecimento, a forma de apresentação e as demais características dos produtos pesquisados, de modo a evitar a comparação entre objetos distintos ou insuficientemente equivalentes.</w:t>
      </w:r>
      <w:r>
        <w:rPr>
          <w:rFonts w:ascii="Arial" w:hAnsi="Arial" w:cs="Arial"/>
          <w:sz w:val="22"/>
          <w:szCs w:val="22"/>
          <w:highlight w:val="none"/>
        </w:rPr>
      </w:r>
      <w:r>
        <w:rPr>
          <w:rFonts w:ascii="Arial" w:hAnsi="Arial" w:cs="Arial"/>
          <w:sz w:val="22"/>
          <w:szCs w:val="22"/>
          <w:highlight w:val="none"/>
        </w:rPr>
      </w:r>
    </w:p>
    <w:p w14:paraId="29366DB0">
      <w:pPr>
        <w:pStyle w:val="2031"/>
        <w:pBdr/>
        <w:spacing/>
        <w:ind/>
        <w:jc w:val="both"/>
        <w:rPr>
          <w:rFonts w:ascii="Arial" w:hAnsi="Arial" w:cs="Arial"/>
          <w:sz w:val="22"/>
          <w:szCs w:val="22"/>
          <w:highlight w:val="none"/>
        </w:rPr>
      </w:pPr>
      <w:r>
        <w:rPr>
          <w:rFonts w:ascii="Arial" w:hAnsi="Arial" w:eastAsia="Arial" w:cs="Arial"/>
          <w:b/>
          <w:bCs/>
          <w:sz w:val="22"/>
          <w:szCs w:val="22"/>
          <w:highlight w:val="none"/>
          <w:lang w:val="pt-BR"/>
        </w:rPr>
        <w:t xml:space="preserve">13.4.</w:t>
      </w:r>
      <w:r>
        <w:rPr>
          <w:rFonts w:ascii="Arial" w:hAnsi="Arial" w:eastAsia="Arial" w:cs="Arial"/>
          <w:sz w:val="22"/>
          <w:szCs w:val="22"/>
          <w:highlight w:val="none"/>
          <w:lang w:val="pt-BR"/>
        </w:rPr>
        <w:t xml:space="preserve"> O valor estimado da contratação foi obtido a partir da consolidação das referências cole</w:t>
      </w:r>
      <w:r>
        <w:rPr>
          <w:rFonts w:ascii="Arial" w:hAnsi="Arial" w:eastAsia="Arial" w:cs="Arial"/>
          <w:sz w:val="22"/>
          <w:szCs w:val="22"/>
          <w:highlight w:val="none"/>
          <w:lang w:val="pt-BR"/>
        </w:rPr>
        <w:t xml:space="preserve">tadas no Banco de Preços e das cotações privadas formais, conforme a metodologia demonstrada no Mapa Comparativo de Preços e na respectiva memória de cálculo, assegurando transparência, rastreabilidade e compatibilidade com os preços praticados no mercado.</w:t>
      </w:r>
      <w:r>
        <w:rPr>
          <w:rFonts w:ascii="Arial" w:hAnsi="Arial" w:cs="Arial"/>
          <w:sz w:val="22"/>
          <w:szCs w:val="22"/>
          <w:highlight w:val="none"/>
        </w:rPr>
      </w:r>
      <w:r>
        <w:rPr>
          <w:rFonts w:ascii="Arial" w:hAnsi="Arial" w:cs="Arial"/>
          <w:sz w:val="22"/>
          <w:szCs w:val="22"/>
          <w:highlight w:val="none"/>
        </w:rPr>
      </w:r>
    </w:p>
    <w:p w14:paraId="00431A59">
      <w:pPr>
        <w:pStyle w:val="2031"/>
        <w:pBdr/>
        <w:spacing/>
        <w:ind/>
        <w:jc w:val="both"/>
        <w:rPr>
          <w:rFonts w:ascii="Arial" w:hAnsi="Arial" w:cs="Arial"/>
          <w:sz w:val="22"/>
          <w:szCs w:val="22"/>
          <w:highlight w:val="none"/>
        </w:rPr>
      </w:pPr>
      <w:r>
        <w:rPr>
          <w:rFonts w:ascii="Arial" w:hAnsi="Arial" w:eastAsia="Arial" w:cs="Arial"/>
          <w:b/>
          <w:bCs/>
          <w:sz w:val="22"/>
          <w:szCs w:val="22"/>
          <w:highlight w:val="none"/>
          <w:lang w:val="pt-BR"/>
        </w:rPr>
        <w:t xml:space="preserve">13.5.</w:t>
      </w:r>
      <w:r>
        <w:rPr>
          <w:rFonts w:ascii="Arial" w:hAnsi="Arial" w:eastAsia="Arial" w:cs="Arial"/>
          <w:sz w:val="22"/>
          <w:szCs w:val="22"/>
          <w:highlight w:val="none"/>
          <w:lang w:val="pt-BR"/>
        </w:rPr>
        <w:t xml:space="preserve"> A utilização conjunta de referências provenientes de contr</w:t>
      </w:r>
      <w:r>
        <w:rPr>
          <w:rFonts w:ascii="Arial" w:hAnsi="Arial" w:eastAsia="Arial" w:cs="Arial"/>
          <w:sz w:val="22"/>
          <w:szCs w:val="22"/>
          <w:highlight w:val="none"/>
          <w:lang w:val="pt-BR"/>
        </w:rPr>
        <w:t xml:space="preserve">atações públicas e de cotações privadas permitiu ampliar a base de pesquisa e conferir maior segurança à estimativa, em observância aos princípios da economicidade, eficiência, planejamento e seleção da proposta mais vantajosa para a Administração Pública.</w:t>
      </w:r>
      <w:r>
        <w:rPr>
          <w:rFonts w:ascii="Arial" w:hAnsi="Arial" w:cs="Arial"/>
          <w:sz w:val="22"/>
          <w:szCs w:val="22"/>
          <w:highlight w:val="none"/>
        </w:rPr>
      </w:r>
      <w:r>
        <w:rPr>
          <w:rFonts w:ascii="Arial" w:hAnsi="Arial" w:cs="Arial"/>
          <w:sz w:val="22"/>
          <w:szCs w:val="22"/>
          <w:highlight w:val="none"/>
        </w:rPr>
      </w:r>
    </w:p>
    <w:p w14:paraId="5A7424E6">
      <w:pPr>
        <w:pStyle w:val="2031"/>
        <w:pBdr/>
        <w:spacing/>
        <w:ind/>
        <w:jc w:val="both"/>
        <w:rPr>
          <w:rFonts w:ascii="Arial" w:hAnsi="Arial" w:cs="Arial"/>
          <w:sz w:val="22"/>
          <w:szCs w:val="22"/>
          <w:highlight w:val="none"/>
        </w:rPr>
      </w:pPr>
      <w:r>
        <w:rPr>
          <w:rFonts w:ascii="Arial" w:hAnsi="Arial" w:eastAsia="Arial" w:cs="Arial"/>
          <w:b/>
          <w:bCs/>
          <w:sz w:val="22"/>
          <w:szCs w:val="22"/>
          <w:highlight w:val="none"/>
          <w:lang w:val="pt-BR"/>
        </w:rPr>
        <w:t xml:space="preserve">13.6</w:t>
      </w:r>
      <w:r>
        <w:rPr>
          <w:rFonts w:ascii="Arial" w:hAnsi="Arial" w:eastAsia="Arial" w:cs="Arial"/>
          <w:sz w:val="22"/>
          <w:szCs w:val="22"/>
          <w:highlight w:val="none"/>
          <w:lang w:val="pt-BR"/>
        </w:rPr>
        <w:t xml:space="preserve">. Considerando que a contratação será realizada por LOTE ÚNICO, com critério de julgamento pel</w:t>
      </w:r>
      <w:r>
        <w:rPr>
          <w:rFonts w:ascii="Arial" w:hAnsi="Arial" w:eastAsia="Arial" w:cs="Arial"/>
          <w:sz w:val="22"/>
          <w:szCs w:val="22"/>
          <w:highlight w:val="none"/>
          <w:lang w:val="pt-BR"/>
        </w:rPr>
        <w:t xml:space="preserve">o MENOR PREÇO GLOBAL DO LOTE, a pesquisa de preços individualizada dos itens teve por finalidade subsidiar a formação da estimativa global da contratação, conforme os quantitativos e valores constantes do Mapa Comparativo de Preços e da memória de cálculo.</w:t>
      </w:r>
      <w:r>
        <w:rPr>
          <w:rFonts w:ascii="Arial" w:hAnsi="Arial" w:cs="Arial"/>
          <w:sz w:val="22"/>
          <w:szCs w:val="22"/>
          <w:highlight w:val="none"/>
        </w:rPr>
      </w:r>
      <w:r>
        <w:rPr>
          <w:rFonts w:ascii="Arial" w:hAnsi="Arial" w:cs="Arial"/>
          <w:sz w:val="22"/>
          <w:szCs w:val="22"/>
          <w:highlight w:val="none"/>
        </w:rPr>
      </w:r>
    </w:p>
    <w:p w14:paraId="10CAE395">
      <w:pPr>
        <w:pStyle w:val="2031"/>
        <w:pBdr/>
        <w:spacing/>
        <w:ind/>
        <w:jc w:val="both"/>
        <w:rPr>
          <w:rFonts w:ascii="Arial" w:hAnsi="Arial" w:cs="Arial"/>
          <w:sz w:val="22"/>
          <w:szCs w:val="22"/>
          <w:highlight w:val="none"/>
        </w:rPr>
      </w:pPr>
      <w:r>
        <w:rPr>
          <w:rFonts w:ascii="Arial" w:hAnsi="Arial" w:eastAsia="Arial" w:cs="Arial"/>
          <w:b/>
          <w:bCs/>
          <w:sz w:val="22"/>
          <w:szCs w:val="22"/>
          <w:highlight w:val="none"/>
          <w:lang w:val="pt-BR"/>
        </w:rPr>
        <w:t xml:space="preserve">13.7.</w:t>
      </w:r>
      <w:r>
        <w:rPr>
          <w:rFonts w:ascii="Arial" w:hAnsi="Arial" w:eastAsia="Arial" w:cs="Arial"/>
          <w:sz w:val="22"/>
          <w:szCs w:val="22"/>
          <w:highlight w:val="none"/>
          <w:lang w:val="pt-BR"/>
        </w:rPr>
        <w:t xml:space="preserve"> A estimativa global do lote foi obtid</w:t>
      </w:r>
      <w:r>
        <w:rPr>
          <w:rFonts w:ascii="Arial" w:hAnsi="Arial" w:eastAsia="Arial" w:cs="Arial"/>
          <w:sz w:val="22"/>
          <w:szCs w:val="22"/>
          <w:highlight w:val="none"/>
          <w:lang w:val="pt-BR"/>
        </w:rPr>
        <w:t xml:space="preserve">a mediante a consolidação dos valores estimados dos itens que o compõem, constituindo parâmetro referencial para a análise da aceitabilidade das propostas, observadas as disposições legais e as condições estabelecidas no Edital e neste Termo de Referência.</w:t>
      </w:r>
      <w:r>
        <w:rPr>
          <w:rFonts w:ascii="Arial" w:hAnsi="Arial" w:cs="Arial"/>
          <w:sz w:val="22"/>
          <w:szCs w:val="22"/>
          <w:highlight w:val="none"/>
        </w:rPr>
      </w:r>
      <w:r>
        <w:rPr>
          <w:rFonts w:ascii="Arial" w:hAnsi="Arial" w:cs="Arial"/>
          <w:sz w:val="22"/>
          <w:szCs w:val="22"/>
          <w:highlight w:val="none"/>
        </w:rPr>
      </w:r>
    </w:p>
    <w:tbl>
      <w:tblPr>
        <w:tblInd w:w="60" w:type="dxa"/>
        <w:tblW w:w="10499" w:type="dxa"/>
        <w:tblCellMar>
          <w:left w:w="70" w:type="dxa"/>
          <w:right w:w="70" w:type="dxa"/>
        </w:tblCellMar>
        <w:tblBorders/>
        <w:tblLayout w:type="fixed"/>
        <w:tblLook w:val="04A0" w:firstRow="1" w:lastRow="0" w:firstColumn="1" w:lastColumn="0" w:noHBand="0" w:noVBand="1"/>
      </w:tblPr>
      <w:tblGrid>
        <w:gridCol w:w="474"/>
        <w:gridCol w:w="663"/>
        <w:gridCol w:w="641"/>
        <w:gridCol w:w="1843"/>
        <w:gridCol w:w="741"/>
        <w:gridCol w:w="550"/>
        <w:gridCol w:w="762"/>
        <w:gridCol w:w="788"/>
        <w:gridCol w:w="775"/>
        <w:gridCol w:w="787"/>
        <w:gridCol w:w="850"/>
        <w:gridCol w:w="850"/>
        <w:gridCol w:w="775"/>
      </w:tblGrid>
      <w:tr>
        <w:trPr>
          <w:trHeight w:val="342"/>
          <w:tblHeader/>
        </w:trPr>
        <w:tc>
          <w:tcPr>
            <w:gridSpan w:val="13"/>
            <w:shd w:val="clear" w:color="ffffff" w:fill="d9d9d9"/>
            <w:tcBorders>
              <w:top w:val="single" w:color="000000" w:sz="4" w:space="0"/>
              <w:left w:val="single" w:color="000000" w:sz="4" w:space="0"/>
              <w:bottom w:val="single" w:color="000000" w:sz="4" w:space="0"/>
              <w:right w:val="single" w:color="000000" w:sz="4" w:space="0"/>
            </w:tcBorders>
            <w:tcW w:w="10499" w:type="dxa"/>
            <w:vAlign w:val="center"/>
            <w:textDirection w:val="lrTb"/>
            <w:noWrap w:val="false"/>
          </w:tcPr>
          <w:p w14:paraId="29BEF605">
            <w:pPr>
              <w:pBdr/>
              <w:spacing/>
              <w:ind/>
              <w:jc w:val="center"/>
              <w:rPr>
                <w:rFonts w:ascii="Arial" w:hAnsi="Arial" w:cs="Arial"/>
                <w:b/>
                <w:sz w:val="12"/>
                <w:szCs w:val="12"/>
                <w:highlight w:val="none"/>
              </w:rPr>
            </w:pPr>
            <w:r>
              <w:rPr>
                <w:rFonts w:ascii="Arial" w:hAnsi="Arial" w:eastAsia="Arial" w:cs="Arial"/>
                <w:b/>
                <w:sz w:val="12"/>
                <w:szCs w:val="12"/>
                <w:highlight w:val="none"/>
              </w:rPr>
              <w:t xml:space="preserve">LOTE UNICO </w:t>
            </w:r>
            <w:r>
              <w:rPr>
                <w:rFonts w:ascii="Arial" w:hAnsi="Arial" w:cs="Arial"/>
                <w:b/>
                <w:sz w:val="12"/>
                <w:szCs w:val="12"/>
                <w:highlight w:val="none"/>
              </w:rPr>
            </w:r>
            <w:r>
              <w:rPr>
                <w:rFonts w:ascii="Arial" w:hAnsi="Arial" w:cs="Arial"/>
                <w:b/>
                <w:sz w:val="12"/>
                <w:szCs w:val="12"/>
                <w:highlight w:val="none"/>
              </w:rPr>
            </w:r>
          </w:p>
        </w:tc>
      </w:tr>
      <w:tr>
        <w:trPr>
          <w:trHeight w:val="342"/>
          <w:tblHeader/>
        </w:trPr>
        <w:tc>
          <w:tcPr>
            <w:shd w:val="clear" w:color="ffffff" w:fill="d9d9d9"/>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14:paraId="07139A5B">
            <w:pPr>
              <w:pBdr/>
              <w:spacing/>
              <w:ind/>
              <w:jc w:val="center"/>
              <w:rPr>
                <w:rFonts w:ascii="Arial" w:hAnsi="Arial" w:cs="Arial"/>
                <w:b/>
                <w:sz w:val="12"/>
                <w:szCs w:val="12"/>
                <w:highlight w:val="none"/>
              </w:rPr>
            </w:pPr>
            <w:r>
              <w:rPr>
                <w:rFonts w:ascii="Arial" w:hAnsi="Arial" w:eastAsia="Arial" w:cs="Arial"/>
                <w:b/>
                <w:sz w:val="12"/>
                <w:szCs w:val="12"/>
                <w:highlight w:val="none"/>
              </w:rPr>
              <w:t xml:space="preserve">ITEM</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14:paraId="23D1049B">
            <w:pPr>
              <w:pBdr/>
              <w:spacing/>
              <w:ind/>
              <w:jc w:val="center"/>
              <w:rPr>
                <w:rFonts w:ascii="Arial" w:hAnsi="Arial" w:cs="Arial"/>
                <w:b/>
                <w:sz w:val="12"/>
                <w:szCs w:val="12"/>
                <w:highlight w:val="none"/>
              </w:rPr>
            </w:pPr>
            <w:r>
              <w:rPr>
                <w:rFonts w:ascii="Arial" w:hAnsi="Arial" w:eastAsia="Arial" w:cs="Arial"/>
                <w:b/>
                <w:sz w:val="12"/>
                <w:szCs w:val="12"/>
                <w:highlight w:val="none"/>
              </w:rPr>
              <w:t xml:space="preserve">CÓDIGO AGILI</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tcBorders>
            <w:tcW w:w="641" w:type="dxa"/>
            <w:vAlign w:val="center"/>
            <w:textDirection w:val="lrTb"/>
            <w:noWrap w:val="false"/>
          </w:tcPr>
          <w:p w14:paraId="05B29CE6">
            <w:pPr>
              <w:pBdr/>
              <w:spacing/>
              <w:ind/>
              <w:jc w:val="center"/>
              <w:rPr>
                <w:rFonts w:ascii="Arial" w:hAnsi="Arial" w:cs="Arial"/>
                <w:b/>
                <w:sz w:val="12"/>
                <w:szCs w:val="12"/>
                <w:highlight w:val="none"/>
              </w:rPr>
            </w:pPr>
            <w:r>
              <w:rPr>
                <w:rFonts w:ascii="Arial" w:hAnsi="Arial" w:eastAsia="Arial" w:cs="Arial"/>
                <w:b/>
                <w:sz w:val="12"/>
                <w:szCs w:val="12"/>
                <w:highlight w:val="none"/>
              </w:rPr>
              <w:t xml:space="preserve">CÓDIGO TCE</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tcBorders>
            <w:tcW w:w="1843" w:type="dxa"/>
            <w:vAlign w:val="center"/>
            <w:textDirection w:val="lrTb"/>
            <w:noWrap w:val="false"/>
          </w:tcPr>
          <w:p w14:paraId="277F2424">
            <w:pPr>
              <w:pBdr/>
              <w:spacing/>
              <w:ind w:left="220"/>
              <w:jc w:val="center"/>
              <w:rPr>
                <w:rFonts w:ascii="Arial" w:hAnsi="Arial" w:cs="Arial"/>
                <w:b/>
                <w:sz w:val="12"/>
                <w:szCs w:val="12"/>
                <w:highlight w:val="none"/>
              </w:rPr>
            </w:pPr>
            <w:r>
              <w:rPr>
                <w:rFonts w:ascii="Arial" w:hAnsi="Arial" w:eastAsia="Arial" w:cs="Arial"/>
                <w:b/>
                <w:sz w:val="12"/>
                <w:szCs w:val="12"/>
                <w:highlight w:val="none"/>
              </w:rPr>
              <w:t xml:space="preserve">DESCRIÇÃO</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14:paraId="6C59D262">
            <w:pPr>
              <w:pBdr/>
              <w:spacing/>
              <w:ind/>
              <w:jc w:val="center"/>
              <w:rPr>
                <w:rFonts w:ascii="Arial" w:hAnsi="Arial" w:cs="Arial"/>
                <w:b/>
                <w:bCs/>
                <w:sz w:val="12"/>
                <w:szCs w:val="12"/>
                <w:highlight w:val="none"/>
              </w:rPr>
            </w:pPr>
            <w:r>
              <w:rPr>
                <w:rFonts w:ascii="Arial" w:hAnsi="Arial" w:eastAsia="Arial" w:cs="Arial"/>
                <w:b/>
                <w:bCs/>
                <w:sz w:val="12"/>
                <w:szCs w:val="12"/>
                <w:highlight w:val="none"/>
              </w:rPr>
              <w:t xml:space="preserve">UNI. MEDIDA</w:t>
            </w:r>
            <w:r>
              <w:rPr>
                <w:rFonts w:ascii="Arial" w:hAnsi="Arial" w:cs="Arial"/>
                <w:b/>
                <w:bCs/>
                <w:sz w:val="12"/>
                <w:szCs w:val="12"/>
                <w:highlight w:val="none"/>
              </w:rPr>
            </w:r>
            <w:r>
              <w:rPr>
                <w:rFonts w:ascii="Arial" w:hAnsi="Arial" w:cs="Arial"/>
                <w:b/>
                <w:bCs/>
                <w:sz w:val="12"/>
                <w:szCs w:val="12"/>
                <w:highlight w:val="none"/>
              </w:rPr>
            </w:r>
          </w:p>
        </w:tc>
        <w:tc>
          <w:tcPr>
            <w:shd w:val="clear" w:color="ffffff" w:fill="d9d9d9"/>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14:paraId="168B3CEB">
            <w:pPr>
              <w:pBdr/>
              <w:spacing/>
              <w:ind/>
              <w:jc w:val="center"/>
              <w:rPr>
                <w:rFonts w:ascii="Arial" w:hAnsi="Arial" w:cs="Arial"/>
                <w:b/>
                <w:sz w:val="12"/>
                <w:szCs w:val="12"/>
                <w:highlight w:val="none"/>
              </w:rPr>
            </w:pPr>
            <w:r>
              <w:rPr>
                <w:rFonts w:ascii="Arial" w:hAnsi="Arial" w:eastAsia="Arial" w:cs="Arial"/>
                <w:b/>
                <w:sz w:val="12"/>
                <w:szCs w:val="12"/>
                <w:highlight w:val="none"/>
              </w:rPr>
              <w:t xml:space="preserve">QTD</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14:paraId="5836D042">
            <w:pPr>
              <w:pBdr/>
              <w:tabs>
                <w:tab w:val="left" w:leader="none" w:pos="1035"/>
              </w:tabs>
              <w:spacing/>
              <w:ind/>
              <w:jc w:val="center"/>
              <w:rPr>
                <w:rFonts w:ascii="Arial" w:hAnsi="Arial" w:cs="Arial"/>
                <w:b/>
                <w:color w:val="000000"/>
                <w:sz w:val="12"/>
                <w:szCs w:val="12"/>
                <w:highlight w:val="none"/>
              </w:rPr>
            </w:pPr>
            <w:r>
              <w:rPr>
                <w:rFonts w:ascii="Arial" w:hAnsi="Arial" w:eastAsia="Arial" w:cs="Arial"/>
                <w:b/>
                <w:color w:val="000000"/>
                <w:sz w:val="12"/>
                <w:szCs w:val="12"/>
                <w:highlight w:val="none"/>
              </w:rPr>
              <w:t xml:space="preserve">COTAÇÃO 01</w:t>
            </w:r>
            <w:r>
              <w:rPr>
                <w:rFonts w:ascii="Arial" w:hAnsi="Arial" w:cs="Arial"/>
                <w:b/>
                <w:color w:val="000000"/>
                <w:sz w:val="12"/>
                <w:szCs w:val="12"/>
                <w:highlight w:val="none"/>
              </w:rPr>
            </w:r>
            <w:r>
              <w:rPr>
                <w:rFonts w:ascii="Arial" w:hAnsi="Arial" w:cs="Arial"/>
                <w:b/>
                <w:color w:val="000000"/>
                <w:sz w:val="12"/>
                <w:szCs w:val="12"/>
                <w:highlight w:val="none"/>
              </w:rPr>
            </w:r>
          </w:p>
        </w:tc>
        <w:tc>
          <w:tcPr>
            <w:shd w:val="clear" w:color="ffffff" w:fill="d9d9d9"/>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14:paraId="1B1DBCFF">
            <w:pPr>
              <w:pBdr/>
              <w:spacing/>
              <w:ind/>
              <w:jc w:val="center"/>
              <w:rPr>
                <w:rFonts w:ascii="Arial" w:hAnsi="Arial" w:cs="Arial"/>
                <w:b/>
                <w:sz w:val="12"/>
                <w:szCs w:val="12"/>
                <w:highlight w:val="none"/>
              </w:rPr>
            </w:pPr>
            <w:r>
              <w:rPr>
                <w:rFonts w:ascii="Arial" w:hAnsi="Arial" w:eastAsia="Arial" w:cs="Arial"/>
                <w:b/>
                <w:sz w:val="12"/>
                <w:szCs w:val="12"/>
                <w:highlight w:val="none"/>
              </w:rPr>
              <w:t xml:space="preserve">COTAÇÃO 02</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1746702E">
            <w:pPr>
              <w:pBdr/>
              <w:spacing/>
              <w:ind/>
              <w:jc w:val="center"/>
              <w:rPr>
                <w:rFonts w:ascii="Arial" w:hAnsi="Arial" w:cs="Arial"/>
                <w:b/>
                <w:sz w:val="12"/>
                <w:szCs w:val="12"/>
                <w:highlight w:val="none"/>
              </w:rPr>
            </w:pPr>
            <w:r>
              <w:rPr>
                <w:rFonts w:ascii="Arial" w:hAnsi="Arial" w:eastAsia="Arial" w:cs="Arial"/>
                <w:b/>
                <w:sz w:val="12"/>
                <w:szCs w:val="12"/>
                <w:highlight w:val="none"/>
              </w:rPr>
              <w:t xml:space="preserve">COTAÇÃO 03</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tcBorders>
            <w:tcW w:w="787" w:type="dxa"/>
            <w:vAlign w:val="center"/>
            <w:textDirection w:val="lrTb"/>
            <w:noWrap w:val="false"/>
          </w:tcPr>
          <w:p w14:paraId="55E5AC95">
            <w:pPr>
              <w:pBdr/>
              <w:spacing/>
              <w:ind/>
              <w:jc w:val="center"/>
              <w:rPr>
                <w:rFonts w:ascii="Arial" w:hAnsi="Arial" w:cs="Arial"/>
                <w:b/>
                <w:sz w:val="12"/>
                <w:szCs w:val="12"/>
                <w:highlight w:val="none"/>
              </w:rPr>
            </w:pPr>
            <w:r>
              <w:rPr>
                <w:rFonts w:ascii="Arial" w:hAnsi="Arial" w:eastAsia="Arial" w:cs="Arial"/>
                <w:b/>
                <w:sz w:val="12"/>
                <w:szCs w:val="12"/>
                <w:highlight w:val="none"/>
                <w:lang w:val="pt-BR"/>
              </w:rPr>
              <w:t xml:space="preserve">COTAÇÃO</w:t>
            </w:r>
            <w:r>
              <w:rPr>
                <w:rFonts w:ascii="Arial" w:hAnsi="Arial" w:cs="Arial"/>
                <w:b/>
                <w:sz w:val="12"/>
                <w:szCs w:val="12"/>
                <w:highlight w:val="none"/>
              </w:rPr>
            </w:r>
            <w:r>
              <w:rPr>
                <w:rFonts w:ascii="Arial" w:hAnsi="Arial" w:cs="Arial"/>
                <w:b/>
                <w:sz w:val="12"/>
                <w:szCs w:val="12"/>
                <w:highlight w:val="none"/>
              </w:rPr>
            </w:r>
          </w:p>
          <w:p w14:paraId="173FF195">
            <w:pPr>
              <w:pBdr/>
              <w:spacing/>
              <w:ind/>
              <w:jc w:val="center"/>
              <w:rPr>
                <w:rFonts w:ascii="Arial" w:hAnsi="Arial" w:cs="Arial"/>
                <w:b/>
                <w:sz w:val="12"/>
                <w:szCs w:val="12"/>
                <w:highlight w:val="none"/>
              </w:rPr>
            </w:pPr>
            <w:r>
              <w:rPr>
                <w:rFonts w:ascii="Arial" w:hAnsi="Arial" w:eastAsia="Arial" w:cs="Arial"/>
                <w:b/>
                <w:sz w:val="12"/>
                <w:szCs w:val="12"/>
                <w:highlight w:val="none"/>
                <w:lang w:val="pt-BR"/>
              </w:rPr>
              <w:t xml:space="preserve">04</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tcBorders>
            <w:tcW w:w="850" w:type="dxa"/>
            <w:vAlign w:val="center"/>
            <w:textDirection w:val="lrTb"/>
            <w:noWrap w:val="false"/>
          </w:tcPr>
          <w:p w14:paraId="306B5C44">
            <w:pPr>
              <w:pBdr/>
              <w:spacing/>
              <w:ind/>
              <w:jc w:val="center"/>
              <w:rPr>
                <w:rFonts w:ascii="Arial" w:hAnsi="Arial" w:cs="Arial"/>
                <w:b/>
                <w:sz w:val="12"/>
                <w:szCs w:val="12"/>
                <w:highlight w:val="none"/>
              </w:rPr>
            </w:pPr>
            <w:r>
              <w:rPr>
                <w:rFonts w:ascii="Arial" w:hAnsi="Arial" w:eastAsia="Arial" w:cs="Arial"/>
                <w:b/>
                <w:sz w:val="12"/>
                <w:szCs w:val="12"/>
                <w:highlight w:val="none"/>
                <w:lang w:val="pt-BR"/>
              </w:rPr>
              <w:t xml:space="preserve">COTAÇÃO </w:t>
            </w:r>
            <w:r>
              <w:rPr>
                <w:rFonts w:ascii="Arial" w:hAnsi="Arial" w:cs="Arial"/>
                <w:b/>
                <w:sz w:val="12"/>
                <w:szCs w:val="12"/>
                <w:highlight w:val="none"/>
              </w:rPr>
            </w:r>
            <w:r>
              <w:rPr>
                <w:rFonts w:ascii="Arial" w:hAnsi="Arial" w:cs="Arial"/>
                <w:b/>
                <w:sz w:val="12"/>
                <w:szCs w:val="12"/>
                <w:highlight w:val="none"/>
              </w:rPr>
            </w:r>
          </w:p>
          <w:p w14:paraId="702D988A">
            <w:pPr>
              <w:pBdr/>
              <w:spacing/>
              <w:ind/>
              <w:jc w:val="center"/>
              <w:rPr>
                <w:rFonts w:ascii="Arial" w:hAnsi="Arial" w:cs="Arial"/>
                <w:b/>
                <w:sz w:val="12"/>
                <w:szCs w:val="12"/>
                <w:highlight w:val="none"/>
              </w:rPr>
            </w:pPr>
            <w:r>
              <w:rPr>
                <w:rFonts w:ascii="Arial" w:hAnsi="Arial" w:eastAsia="Arial" w:cs="Arial"/>
                <w:b/>
                <w:sz w:val="12"/>
                <w:szCs w:val="12"/>
                <w:highlight w:val="none"/>
                <w:lang w:val="pt-BR"/>
              </w:rPr>
              <w:t xml:space="preserve">05</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tcBorders>
            <w:tcW w:w="850" w:type="dxa"/>
            <w:vAlign w:val="center"/>
            <w:textDirection w:val="lrTb"/>
            <w:noWrap w:val="false"/>
          </w:tcPr>
          <w:p w14:paraId="17BC5F48">
            <w:pPr>
              <w:pBdr/>
              <w:spacing/>
              <w:ind/>
              <w:jc w:val="center"/>
              <w:rPr>
                <w:rFonts w:ascii="Arial" w:hAnsi="Arial" w:cs="Arial"/>
                <w:b/>
                <w:sz w:val="12"/>
                <w:szCs w:val="12"/>
                <w:highlight w:val="none"/>
              </w:rPr>
            </w:pPr>
            <w:r>
              <w:rPr>
                <w:rFonts w:ascii="Arial" w:hAnsi="Arial" w:eastAsia="Arial" w:cs="Arial"/>
                <w:b/>
                <w:sz w:val="12"/>
                <w:szCs w:val="12"/>
                <w:highlight w:val="none"/>
              </w:rPr>
              <w:t xml:space="preserve">MÉDIA</w:t>
            </w:r>
            <w:r>
              <w:rPr>
                <w:rFonts w:ascii="Arial" w:hAnsi="Arial" w:cs="Arial"/>
                <w:b/>
                <w:sz w:val="12"/>
                <w:szCs w:val="12"/>
                <w:highlight w:val="none"/>
              </w:rPr>
            </w:r>
            <w:r>
              <w:rPr>
                <w:rFonts w:ascii="Arial" w:hAnsi="Arial" w:cs="Arial"/>
                <w:b/>
                <w:sz w:val="12"/>
                <w:szCs w:val="12"/>
                <w:highlight w:val="none"/>
              </w:rPr>
            </w:r>
          </w:p>
        </w:tc>
        <w:tc>
          <w:tcPr>
            <w:shd w:val="clear" w:color="ffffff" w:fill="d9d9d9"/>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110E1918">
            <w:pPr>
              <w:pBdr/>
              <w:spacing/>
              <w:ind/>
              <w:jc w:val="center"/>
              <w:rPr>
                <w:rFonts w:ascii="Arial" w:hAnsi="Arial" w:cs="Arial"/>
                <w:b/>
                <w:sz w:val="12"/>
                <w:szCs w:val="12"/>
                <w:highlight w:val="none"/>
              </w:rPr>
            </w:pPr>
            <w:r>
              <w:rPr>
                <w:rFonts w:ascii="Arial" w:hAnsi="Arial" w:eastAsia="Arial" w:cs="Arial"/>
                <w:b/>
                <w:sz w:val="12"/>
                <w:szCs w:val="12"/>
                <w:highlight w:val="none"/>
              </w:rPr>
              <w:t xml:space="preserve">VALOR TOTAL</w:t>
            </w:r>
            <w:r>
              <w:rPr>
                <w:rFonts w:ascii="Arial" w:hAnsi="Arial" w:cs="Arial"/>
                <w:b/>
                <w:sz w:val="12"/>
                <w:szCs w:val="12"/>
                <w:highlight w:val="none"/>
              </w:rPr>
            </w:r>
            <w:r>
              <w:rPr>
                <w:rFonts w:ascii="Arial" w:hAnsi="Arial" w:cs="Arial"/>
                <w:b/>
                <w:sz w:val="12"/>
                <w:szCs w:val="12"/>
                <w:highlight w:val="none"/>
              </w:rPr>
            </w:r>
          </w:p>
        </w:tc>
      </w:tr>
      <w:tr>
        <w:trPr>
          <w:trHeight w:val="146"/>
        </w:trPr>
        <w:tc>
          <w:tcPr>
            <w:shd w:val="clear" w:color="ffffff" w:fill="ffffff"/>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14:paraId="21B6BB46">
            <w:pPr>
              <w:pBdr/>
              <w:tabs>
                <w:tab w:val="left" w:leader="none" w:pos="312"/>
              </w:tabs>
              <w:spacing/>
              <w:ind w:left="114"/>
              <w:jc w:val="center"/>
              <w:rPr>
                <w:rFonts w:ascii="Arial" w:hAnsi="Arial" w:cs="Arial"/>
                <w:sz w:val="12"/>
                <w:szCs w:val="12"/>
                <w:highlight w:val="none"/>
              </w:rPr>
            </w:pPr>
            <w:r>
              <w:rPr>
                <w:rFonts w:ascii="Arial" w:hAnsi="Arial" w:eastAsia="Arial" w:cs="Arial"/>
                <w:color w:val="000000"/>
                <w:sz w:val="12"/>
                <w:szCs w:val="12"/>
                <w:highlight w:val="none"/>
              </w:rPr>
              <w:t xml:space="preserve">1</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14:paraId="2FD50177">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130286</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641" w:type="dxa"/>
            <w:vAlign w:val="center"/>
            <w:textDirection w:val="lrTb"/>
            <w:noWrap w:val="false"/>
          </w:tcPr>
          <w:p w14:paraId="22035ACB">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433416-7</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1843" w:type="dxa"/>
            <w:vAlign w:val="center"/>
            <w:textDirection w:val="lrTb"/>
            <w:noWrap w:val="false"/>
          </w:tcPr>
          <w:p w14:paraId="0B98733C">
            <w:pPr>
              <w:pBdr/>
              <w:spacing/>
              <w:ind/>
              <w:jc w:val="both"/>
              <w:rPr>
                <w:rFonts w:ascii="Arial" w:hAnsi="Arial" w:cs="Arial"/>
                <w:color w:val="000000"/>
                <w:sz w:val="12"/>
                <w:szCs w:val="12"/>
                <w:highlight w:val="none"/>
              </w:rPr>
            </w:pPr>
            <w:r>
              <w:rPr>
                <w:rFonts w:ascii="Arial" w:hAnsi="Arial" w:eastAsia="Arial" w:cs="Arial"/>
                <w:color w:val="000000"/>
                <w:sz w:val="12"/>
                <w:szCs w:val="12"/>
                <w:highlight w:val="none"/>
              </w:rPr>
              <w:t xml:space="preserve">AGULHA PARA COLETA DE SANGUE Á VÁCUO - 21G. MEDIDAS APROXIMADAS 25 A 32 X 0,8 MM. PARA COLETA MÚLTIPLA, A VÁCUO COM VISEL TRIFACETADO. SILICONZADO. ESTÉRIL. DESCARTÁVEL.  A AGULHA DEVER</w:t>
            </w:r>
            <w:r>
              <w:rPr>
                <w:rFonts w:ascii="Arial" w:hAnsi="Arial" w:eastAsia="Arial" w:cs="Arial"/>
                <w:color w:val="000000"/>
                <w:sz w:val="12"/>
                <w:szCs w:val="12"/>
                <w:highlight w:val="none"/>
              </w:rPr>
              <w:t xml:space="preserve">Á POSSUIR DISPOSITIVO DE SEGURANÇA INTEGRADO NA PRÓPRIA AGULHA OU NO ADAPTADOR, QUE APÓS ACIONADO RECOBRIRÁ COMPLETAMENTE A AGULHA, GARANTINDO TOTAL BIOSSEGURANÇA. PARA CADA AGULHA SERÁ FORNECIDO UM ADAPTADOR. ATENDER A NR:32. CONFORME TERMO DE REFERÊNCIA.</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14:paraId="2B87B7C6">
            <w:pPr>
              <w:pBdr/>
              <w:tabs>
                <w:tab w:val="left" w:leader="none" w:pos="-142"/>
              </w:tabs>
              <w:spacing/>
              <w:ind/>
              <w:jc w:val="center"/>
              <w:rPr>
                <w:rFonts w:ascii="Arial" w:hAnsi="Arial" w:cs="Arial"/>
                <w:sz w:val="12"/>
                <w:szCs w:val="12"/>
                <w:highlight w:val="none"/>
              </w:rPr>
            </w:pPr>
            <w:r>
              <w:rPr>
                <w:rFonts w:ascii="Arial" w:hAnsi="Arial" w:eastAsia="Arial" w:cs="Arial"/>
                <w:sz w:val="12"/>
                <w:szCs w:val="12"/>
                <w:highlight w:val="none"/>
                <w:lang w:val="pt-BR"/>
              </w:rPr>
              <w:t xml:space="preserve">UNIDADE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14:paraId="4F92F496">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250.000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14:paraId="59FE0C97">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R$ 1,281</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14:paraId="59360E2A">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R$ 1,43</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6F3360C1">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1,58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787" w:type="dxa"/>
            <w:vAlign w:val="center"/>
            <w:textDirection w:val="lrTb"/>
            <w:noWrap w:val="false"/>
          </w:tcPr>
          <w:p w14:paraId="3AFB1D8A">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1,31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79D69032">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 R$          1,28 </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7ECEA58B">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R$ 1,3762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486E828D">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R$ 344.050,00</w:t>
            </w:r>
            <w:r>
              <w:rPr>
                <w:rFonts w:ascii="Arial" w:hAnsi="Arial" w:cs="Arial"/>
                <w:sz w:val="12"/>
                <w:szCs w:val="12"/>
                <w:highlight w:val="none"/>
              </w:rPr>
            </w:r>
            <w:r>
              <w:rPr>
                <w:rFonts w:ascii="Arial" w:hAnsi="Arial" w:cs="Arial"/>
                <w:sz w:val="12"/>
                <w:szCs w:val="12"/>
                <w:highlight w:val="none"/>
              </w:rPr>
            </w:r>
          </w:p>
        </w:tc>
      </w:tr>
      <w:tr>
        <w:trPr>
          <w:trHeight w:val="656"/>
        </w:trPr>
        <w:tc>
          <w:tcPr>
            <w:shd w:val="clear" w:color="ffffff" w:fill="ffffff"/>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14:paraId="67F9FF4F">
            <w:pPr>
              <w:pBdr/>
              <w:tabs>
                <w:tab w:val="left" w:leader="none" w:pos="312"/>
              </w:tabs>
              <w:spacing/>
              <w:ind w:left="114"/>
              <w:jc w:val="center"/>
              <w:rPr>
                <w:rFonts w:ascii="Arial" w:hAnsi="Arial" w:cs="Arial"/>
                <w:sz w:val="12"/>
                <w:szCs w:val="12"/>
                <w:highlight w:val="none"/>
              </w:rPr>
            </w:pPr>
            <w:r>
              <w:rPr>
                <w:rFonts w:ascii="Arial" w:hAnsi="Arial" w:eastAsia="Arial" w:cs="Arial"/>
                <w:color w:val="000000"/>
                <w:sz w:val="12"/>
                <w:szCs w:val="12"/>
                <w:highlight w:val="none"/>
              </w:rPr>
              <w:t xml:space="preserve">2</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14:paraId="66C6A17E">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130291</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641" w:type="dxa"/>
            <w:vAlign w:val="center"/>
            <w:textDirection w:val="lrTb"/>
            <w:noWrap w:val="false"/>
          </w:tcPr>
          <w:p w14:paraId="56950704">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00067527</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1843" w:type="dxa"/>
            <w:vAlign w:val="center"/>
            <w:textDirection w:val="lrTb"/>
            <w:noWrap w:val="false"/>
          </w:tcPr>
          <w:p w14:paraId="00A5EDD2">
            <w:pPr>
              <w:pBdr/>
              <w:spacing/>
              <w:ind/>
              <w:jc w:val="both"/>
              <w:rPr>
                <w:rFonts w:ascii="Arial" w:hAnsi="Arial" w:cs="Arial"/>
                <w:color w:val="000000"/>
                <w:sz w:val="12"/>
                <w:szCs w:val="12"/>
                <w:highlight w:val="none"/>
              </w:rPr>
            </w:pPr>
            <w:r>
              <w:rPr>
                <w:rFonts w:ascii="Arial" w:hAnsi="Arial" w:eastAsia="Arial" w:cs="Arial"/>
                <w:color w:val="000000"/>
                <w:sz w:val="12"/>
                <w:szCs w:val="12"/>
                <w:highlight w:val="none"/>
              </w:rPr>
              <w:t xml:space="preserve">TUBO DE COLETA DE SANGUE A VÁCUO – COM ANTICOAGULANTE EDTA-K2 OU K3. EM PLÁSTICO PET, TAMANHO 13X75 MM, ESTÉRIL. DESCARTÁVEL. INCOLOR. VOLUME DE 2,0 ML, COM TAMPA DE BORRACHA SILICONIZADA E CAPA PROTETORA NA COR ROXA.</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14:paraId="1C7C5762">
            <w:pPr>
              <w:pBdr/>
              <w:tabs>
                <w:tab w:val="left" w:leader="none" w:pos="-142"/>
              </w:tabs>
              <w:spacing/>
              <w:ind/>
              <w:jc w:val="center"/>
              <w:rPr>
                <w:rFonts w:ascii="Arial" w:hAnsi="Arial" w:cs="Arial"/>
                <w:sz w:val="12"/>
                <w:szCs w:val="12"/>
                <w:highlight w:val="none"/>
              </w:rPr>
            </w:pPr>
            <w:r>
              <w:rPr>
                <w:rFonts w:ascii="Arial" w:hAnsi="Arial" w:eastAsia="Arial" w:cs="Arial"/>
                <w:sz w:val="12"/>
                <w:szCs w:val="12"/>
                <w:highlight w:val="none"/>
                <w:lang w:val="pt-BR"/>
              </w:rPr>
              <w:t xml:space="preserve">UNIDADE</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14:paraId="791358E8">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5.000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14:paraId="6E2DB6EF">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R$ 0,60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14:paraId="5A602D38">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R$ 0,66</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1F0E85AC">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0,756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787" w:type="dxa"/>
            <w:vAlign w:val="center"/>
            <w:textDirection w:val="lrTb"/>
            <w:noWrap w:val="false"/>
          </w:tcPr>
          <w:p w14:paraId="1DACA5BA">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0,61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6F7CB5A2">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0,72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208DD2DA">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R$ 0,6692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46104656">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R$ 3.346,00</w:t>
            </w:r>
            <w:r>
              <w:rPr>
                <w:rFonts w:ascii="Arial" w:hAnsi="Arial" w:cs="Arial"/>
                <w:sz w:val="12"/>
                <w:szCs w:val="12"/>
                <w:highlight w:val="none"/>
              </w:rPr>
            </w:r>
            <w:r>
              <w:rPr>
                <w:rFonts w:ascii="Arial" w:hAnsi="Arial" w:cs="Arial"/>
                <w:sz w:val="12"/>
                <w:szCs w:val="12"/>
                <w:highlight w:val="none"/>
              </w:rPr>
            </w:r>
          </w:p>
        </w:tc>
      </w:tr>
      <w:tr>
        <w:trPr>
          <w:trHeight w:val="222"/>
        </w:trPr>
        <w:tc>
          <w:tcPr>
            <w:shd w:val="clear" w:color="ffffff" w:fill="ffffff"/>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14:paraId="65CC51F2">
            <w:pPr>
              <w:pBdr/>
              <w:tabs>
                <w:tab w:val="left" w:leader="none" w:pos="312"/>
              </w:tabs>
              <w:spacing/>
              <w:ind w:left="114"/>
              <w:jc w:val="center"/>
              <w:rPr>
                <w:rFonts w:ascii="Arial" w:hAnsi="Arial" w:cs="Arial"/>
                <w:sz w:val="12"/>
                <w:szCs w:val="12"/>
                <w:highlight w:val="none"/>
              </w:rPr>
            </w:pPr>
            <w:r>
              <w:rPr>
                <w:rFonts w:ascii="Arial" w:hAnsi="Arial" w:eastAsia="Arial" w:cs="Arial"/>
                <w:color w:val="000000"/>
                <w:sz w:val="12"/>
                <w:szCs w:val="12"/>
                <w:highlight w:val="none"/>
              </w:rPr>
              <w:t xml:space="preserve">3</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14:paraId="7EDB8D3C">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130292</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641" w:type="dxa"/>
            <w:vAlign w:val="center"/>
            <w:textDirection w:val="lrTb"/>
            <w:noWrap w:val="false"/>
          </w:tcPr>
          <w:p w14:paraId="6BEE0551">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308098-6</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1843" w:type="dxa"/>
            <w:vAlign w:val="bottom"/>
            <w:textDirection w:val="lrTb"/>
            <w:noWrap w:val="false"/>
          </w:tcPr>
          <w:p w14:paraId="65D67B0F">
            <w:pPr>
              <w:pBdr/>
              <w:spacing/>
              <w:ind/>
              <w:jc w:val="both"/>
              <w:rPr>
                <w:rFonts w:ascii="Arial" w:hAnsi="Arial" w:cs="Arial"/>
                <w:color w:val="000000"/>
                <w:sz w:val="12"/>
                <w:szCs w:val="12"/>
                <w:highlight w:val="none"/>
              </w:rPr>
            </w:pPr>
            <w:r>
              <w:rPr>
                <w:rFonts w:ascii="Arial" w:hAnsi="Arial" w:eastAsia="Arial" w:cs="Arial"/>
                <w:color w:val="000000"/>
                <w:sz w:val="12"/>
                <w:szCs w:val="12"/>
                <w:highlight w:val="none"/>
              </w:rPr>
              <w:t xml:space="preserve">TUBO DE COLETA DE SANGUE A VÁCUO – COM ANTICOAGULANTE EDTA-K2 OU K3. EM PLÁSTICO PET, TAMANHO 13X75 MM, ESTÉRIL. DESCARTÁVEL. INCOLOR. VOLUME DE 4,0 ML. COM TAMPA DE BORRACHA SILICONIZADA E CAPA </w:t>
            </w:r>
            <w:r>
              <w:rPr>
                <w:rFonts w:ascii="Arial" w:hAnsi="Arial" w:eastAsia="Arial" w:cs="Arial"/>
                <w:color w:val="000000"/>
                <w:sz w:val="12"/>
                <w:szCs w:val="12"/>
                <w:highlight w:val="none"/>
              </w:rPr>
              <w:t xml:space="preserve">PROTETORA NA COR ROXA.</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14:paraId="1506C9A3">
            <w:pPr>
              <w:pBdr/>
              <w:tabs>
                <w:tab w:val="left" w:leader="none" w:pos="-142"/>
              </w:tabs>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UNIDADE</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14:paraId="3E910279">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450.000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14:paraId="257D4D04">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R$0,60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14:paraId="0077234C">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0,714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682E4B4F">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R$ 0,76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787" w:type="dxa"/>
            <w:vAlign w:val="center"/>
            <w:textDirection w:val="lrTb"/>
            <w:noWrap w:val="false"/>
          </w:tcPr>
          <w:p w14:paraId="0B4F1C36">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R$ 0,72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1DEF030E">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R$ 0,61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5079E8CD">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R$ 0,6808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177812AA">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R$ 306.360,00</w:t>
            </w:r>
            <w:r>
              <w:rPr>
                <w:rFonts w:ascii="Arial" w:hAnsi="Arial" w:cs="Arial"/>
                <w:sz w:val="12"/>
                <w:szCs w:val="12"/>
                <w:highlight w:val="none"/>
              </w:rPr>
            </w:r>
            <w:r>
              <w:rPr>
                <w:rFonts w:ascii="Arial" w:hAnsi="Arial" w:cs="Arial"/>
                <w:sz w:val="12"/>
                <w:szCs w:val="12"/>
                <w:highlight w:val="none"/>
              </w:rPr>
            </w:r>
          </w:p>
        </w:tc>
      </w:tr>
      <w:tr>
        <w:trPr>
          <w:trHeight w:val="368"/>
        </w:trPr>
        <w:tc>
          <w:tcPr>
            <w:shd w:val="clear" w:color="ffffff" w:fill="ffffff"/>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14:paraId="15B5B09B">
            <w:pPr>
              <w:pBdr/>
              <w:tabs>
                <w:tab w:val="left" w:leader="none" w:pos="312"/>
              </w:tabs>
              <w:spacing/>
              <w:ind w:left="114"/>
              <w:jc w:val="center"/>
              <w:rPr>
                <w:rFonts w:ascii="Arial" w:hAnsi="Arial" w:cs="Arial"/>
                <w:sz w:val="12"/>
                <w:szCs w:val="12"/>
                <w:highlight w:val="none"/>
              </w:rPr>
            </w:pPr>
            <w:r>
              <w:rPr>
                <w:rFonts w:ascii="Arial" w:hAnsi="Arial" w:eastAsia="Arial" w:cs="Arial"/>
                <w:color w:val="000000"/>
                <w:sz w:val="12"/>
                <w:szCs w:val="12"/>
                <w:highlight w:val="none"/>
              </w:rPr>
              <w:t xml:space="preserve">4</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14:paraId="1CA58A4C">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130288</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641" w:type="dxa"/>
            <w:vAlign w:val="center"/>
            <w:textDirection w:val="lrTb"/>
            <w:noWrap w:val="false"/>
          </w:tcPr>
          <w:p w14:paraId="7C2B3655">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00067724</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1843" w:type="dxa"/>
            <w:vAlign w:val="center"/>
            <w:textDirection w:val="lrTb"/>
            <w:noWrap w:val="false"/>
          </w:tcPr>
          <w:p w14:paraId="3164FB59">
            <w:pPr>
              <w:widowControl w:val="true"/>
              <w:pBdr/>
              <w:spacing/>
              <w:ind/>
              <w:jc w:val="both"/>
              <w:rPr>
                <w:rFonts w:ascii="Arial" w:hAnsi="Arial" w:cs="Arial"/>
                <w:color w:val="000000"/>
                <w:sz w:val="12"/>
                <w:szCs w:val="12"/>
                <w:highlight w:val="none"/>
              </w:rPr>
            </w:pPr>
            <w:r>
              <w:rPr>
                <w:rFonts w:ascii="Arial" w:hAnsi="Arial" w:eastAsia="Arial" w:cs="Arial"/>
                <w:color w:val="000000"/>
                <w:sz w:val="12"/>
                <w:szCs w:val="12"/>
                <w:highlight w:val="none"/>
              </w:rPr>
              <w:t xml:space="preserve">TUBO DE COLET</w:t>
            </w:r>
            <w:r>
              <w:rPr>
                <w:rFonts w:ascii="Arial" w:hAnsi="Arial" w:eastAsia="Arial" w:cs="Arial"/>
                <w:color w:val="000000"/>
                <w:sz w:val="12"/>
                <w:szCs w:val="12"/>
                <w:highlight w:val="none"/>
              </w:rPr>
              <w:t xml:space="preserve">A DE SANGUE A VÁCUO PARA PROVA DE COAGULAÇÃO - COM SOLUÇÃO CITRATO DE SODIO 3,2%. EM PLÁSTICO PET E PP (PAREDE DUPLA), TAMANHO 13X75MM. ESTÉRIL. DESCARTÁVEL. INCOLOR. VOLUME 1,8 A 2 ML. COM TAMPA DE BORRACHA SILICONIZADA E CAPA PROTETORA NA COR AZUL-CLARO.</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14:paraId="208857E3">
            <w:pPr>
              <w:pBdr/>
              <w:tabs>
                <w:tab w:val="left" w:leader="none" w:pos="-142"/>
              </w:tabs>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UNIDADE</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14:paraId="77459357">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1.500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14:paraId="6041824D">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R$ 1,33</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14:paraId="258BF10C">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R$ 1,45</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53FDE9CA">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1,41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787" w:type="dxa"/>
            <w:vAlign w:val="center"/>
            <w:textDirection w:val="lrTb"/>
            <w:noWrap w:val="false"/>
          </w:tcPr>
          <w:p w14:paraId="4EC84BFE">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1,35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78CB7DDF">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1,45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06B3A604">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R$ 1,3980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7AF14883">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R$ 2.097,00</w:t>
            </w:r>
            <w:r>
              <w:rPr>
                <w:rFonts w:ascii="Arial" w:hAnsi="Arial" w:cs="Arial"/>
                <w:sz w:val="12"/>
                <w:szCs w:val="12"/>
                <w:highlight w:val="none"/>
              </w:rPr>
            </w:r>
            <w:r>
              <w:rPr>
                <w:rFonts w:ascii="Arial" w:hAnsi="Arial" w:cs="Arial"/>
                <w:sz w:val="12"/>
                <w:szCs w:val="12"/>
                <w:highlight w:val="none"/>
              </w:rPr>
            </w:r>
          </w:p>
        </w:tc>
      </w:tr>
      <w:tr>
        <w:trPr>
          <w:trHeight w:val="146"/>
        </w:trPr>
        <w:tc>
          <w:tcPr>
            <w:shd w:val="clear" w:color="ffffff" w:fill="ffffff"/>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14:paraId="14AD06D3">
            <w:pPr>
              <w:pBdr/>
              <w:tabs>
                <w:tab w:val="left" w:leader="none" w:pos="312"/>
              </w:tabs>
              <w:spacing/>
              <w:ind w:left="114"/>
              <w:jc w:val="center"/>
              <w:rPr>
                <w:rFonts w:ascii="Arial" w:hAnsi="Arial" w:cs="Arial"/>
                <w:sz w:val="12"/>
                <w:szCs w:val="12"/>
                <w:highlight w:val="none"/>
              </w:rPr>
            </w:pPr>
            <w:r>
              <w:rPr>
                <w:rFonts w:ascii="Arial" w:hAnsi="Arial" w:eastAsia="Arial" w:cs="Arial"/>
                <w:color w:val="000000"/>
                <w:sz w:val="12"/>
                <w:szCs w:val="12"/>
                <w:highlight w:val="none"/>
              </w:rPr>
              <w:t xml:space="preserve">5</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14:paraId="5AC9E560">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130287</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641" w:type="dxa"/>
            <w:vAlign w:val="center"/>
            <w:textDirection w:val="lrTb"/>
            <w:noWrap w:val="false"/>
          </w:tcPr>
          <w:p w14:paraId="679FF698">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00067723</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1843" w:type="dxa"/>
            <w:vAlign w:val="center"/>
            <w:textDirection w:val="lrTb"/>
            <w:noWrap w:val="false"/>
          </w:tcPr>
          <w:p w14:paraId="71B68707">
            <w:pPr>
              <w:pBdr/>
              <w:spacing/>
              <w:ind/>
              <w:jc w:val="both"/>
              <w:rPr>
                <w:rFonts w:ascii="Arial" w:hAnsi="Arial" w:cs="Arial"/>
                <w:color w:val="000000"/>
                <w:sz w:val="12"/>
                <w:szCs w:val="12"/>
                <w:highlight w:val="none"/>
              </w:rPr>
            </w:pPr>
            <w:r>
              <w:rPr>
                <w:rFonts w:ascii="Arial" w:hAnsi="Arial" w:eastAsia="Arial" w:cs="Arial"/>
                <w:color w:val="000000"/>
                <w:sz w:val="12"/>
                <w:szCs w:val="12"/>
                <w:highlight w:val="none"/>
              </w:rPr>
              <w:t xml:space="preserve">TUBO DE COLET</w:t>
            </w:r>
            <w:r>
              <w:rPr>
                <w:rFonts w:ascii="Arial" w:hAnsi="Arial" w:eastAsia="Arial" w:cs="Arial"/>
                <w:color w:val="000000"/>
                <w:sz w:val="12"/>
                <w:szCs w:val="12"/>
                <w:highlight w:val="none"/>
              </w:rPr>
              <w:t xml:space="preserve">A DE SANGUE A VÁCUO PARA PROVA DE COAGULAÇÃO - COM SOLUÇÃO CITRATO DE SODIO 3,2%. EM PLÁSTICO PET E PP (PAREDE DUPLA), TAMANHO 13X75MM. ESTÉRIL. DESCARTÁVEL. INCOLOR. VOLUME 2,7 A 4 ML. COM TAMPA DE BORRACHA SILICONIZADA E CAPA PROTETORA NA COR AZUL-CLARO.</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14:paraId="6652493A">
            <w:pPr>
              <w:pBdr/>
              <w:tabs>
                <w:tab w:val="left" w:leader="none" w:pos="-142"/>
              </w:tabs>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UNIDADE</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14:paraId="531B3A5B">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20.000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14:paraId="35F03B90">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R$ 1,33</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14:paraId="06FB44DD">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R$ 1,45</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301676D9">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1,51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787" w:type="dxa"/>
            <w:vAlign w:val="center"/>
            <w:textDirection w:val="lrTb"/>
            <w:noWrap w:val="false"/>
          </w:tcPr>
          <w:p w14:paraId="29A13231">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1,35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764DE4A2">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1,39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4F7358CE">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R$ 1,4060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0884D472">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R$ 28.120,00</w:t>
            </w:r>
            <w:r>
              <w:rPr>
                <w:rFonts w:ascii="Arial" w:hAnsi="Arial" w:cs="Arial"/>
                <w:sz w:val="12"/>
                <w:szCs w:val="12"/>
                <w:highlight w:val="none"/>
              </w:rPr>
            </w:r>
            <w:r>
              <w:rPr>
                <w:rFonts w:ascii="Arial" w:hAnsi="Arial" w:cs="Arial"/>
                <w:sz w:val="12"/>
                <w:szCs w:val="12"/>
                <w:highlight w:val="none"/>
              </w:rPr>
            </w:r>
          </w:p>
        </w:tc>
      </w:tr>
      <w:tr>
        <w:trPr>
          <w:trHeight w:val="656"/>
        </w:trPr>
        <w:tc>
          <w:tcPr>
            <w:shd w:val="clear" w:color="ffffff" w:fill="ffffff"/>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14:paraId="2700126F">
            <w:pPr>
              <w:pBdr/>
              <w:tabs>
                <w:tab w:val="left" w:leader="none" w:pos="312"/>
              </w:tabs>
              <w:spacing/>
              <w:ind w:left="114"/>
              <w:jc w:val="center"/>
              <w:rPr>
                <w:rFonts w:ascii="Arial" w:hAnsi="Arial" w:cs="Arial"/>
                <w:sz w:val="12"/>
                <w:szCs w:val="12"/>
                <w:highlight w:val="none"/>
              </w:rPr>
            </w:pPr>
            <w:r>
              <w:rPr>
                <w:rFonts w:ascii="Arial" w:hAnsi="Arial" w:eastAsia="Arial" w:cs="Arial"/>
                <w:color w:val="000000"/>
                <w:sz w:val="12"/>
                <w:szCs w:val="12"/>
                <w:highlight w:val="none"/>
              </w:rPr>
              <w:t xml:space="preserve">6</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14:paraId="133581E6">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130289</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641" w:type="dxa"/>
            <w:vAlign w:val="center"/>
            <w:textDirection w:val="lrTb"/>
            <w:noWrap w:val="false"/>
          </w:tcPr>
          <w:p w14:paraId="55F7D5CB">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00036259</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1843" w:type="dxa"/>
            <w:vAlign w:val="center"/>
            <w:textDirection w:val="lrTb"/>
            <w:noWrap w:val="false"/>
          </w:tcPr>
          <w:p w14:paraId="31B27719">
            <w:pPr>
              <w:pBdr/>
              <w:spacing/>
              <w:ind/>
              <w:jc w:val="both"/>
              <w:rPr>
                <w:rFonts w:ascii="Arial" w:hAnsi="Arial" w:cs="Arial"/>
                <w:color w:val="000000"/>
                <w:sz w:val="12"/>
                <w:szCs w:val="12"/>
                <w:highlight w:val="none"/>
              </w:rPr>
            </w:pPr>
            <w:r>
              <w:rPr>
                <w:rFonts w:ascii="Arial" w:hAnsi="Arial" w:eastAsia="Arial" w:cs="Arial"/>
                <w:color w:val="000000"/>
                <w:sz w:val="12"/>
                <w:szCs w:val="12"/>
                <w:highlight w:val="none"/>
              </w:rPr>
              <w:t xml:space="preserve">TUBO PARA COLETA DE SANGUE A VÁCUO - COM FLUORETO DE SÓDIO (NAF) E EDTA-K2 OU K3 PARA DOSAGEM DE GLICOSE. EM PLÁSTICO PET, TAMANHO 13X75MM. ESTÉRIL. DESCARTÁVEL. INCOLOR. VOLUME 4,0 ML. COM TAMPA DE BORRACHA SILICONIZADA E CAPA PROTETORA NA COR CINZA.</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14:paraId="311FF4F1">
            <w:pPr>
              <w:pBdr/>
              <w:tabs>
                <w:tab w:val="left" w:leader="none" w:pos="-142"/>
              </w:tabs>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UNIDADE</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14:paraId="15B434A2">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150.000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14:paraId="556CFD8F">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R$ 1,20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14:paraId="5B0A5828">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R$ 1,47</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4697AAEF">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1,344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787" w:type="dxa"/>
            <w:vAlign w:val="center"/>
            <w:textDirection w:val="lrTb"/>
            <w:noWrap w:val="false"/>
          </w:tcPr>
          <w:p w14:paraId="030C6F6A">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1,30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7973275D">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1,20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785364C3">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R$ 1,3028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4CEA4371">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R$ 195.420,00</w:t>
            </w:r>
            <w:r>
              <w:rPr>
                <w:rFonts w:ascii="Arial" w:hAnsi="Arial" w:cs="Arial"/>
                <w:sz w:val="12"/>
                <w:szCs w:val="12"/>
                <w:highlight w:val="none"/>
              </w:rPr>
            </w:r>
            <w:r>
              <w:rPr>
                <w:rFonts w:ascii="Arial" w:hAnsi="Arial" w:cs="Arial"/>
                <w:sz w:val="12"/>
                <w:szCs w:val="12"/>
                <w:highlight w:val="none"/>
              </w:rPr>
            </w:r>
          </w:p>
        </w:tc>
      </w:tr>
      <w:tr>
        <w:trPr>
          <w:trHeight w:val="656"/>
        </w:trPr>
        <w:tc>
          <w:tcPr>
            <w:shd w:val="clear" w:color="ffffff" w:fill="ffffff"/>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14:paraId="557FD4C5">
            <w:pPr>
              <w:pBdr/>
              <w:tabs>
                <w:tab w:val="left" w:leader="none" w:pos="312"/>
              </w:tabs>
              <w:spacing/>
              <w:ind w:left="114"/>
              <w:jc w:val="center"/>
              <w:rPr>
                <w:rFonts w:ascii="Arial" w:hAnsi="Arial" w:cs="Arial"/>
                <w:sz w:val="12"/>
                <w:szCs w:val="12"/>
                <w:highlight w:val="none"/>
              </w:rPr>
            </w:pPr>
            <w:r>
              <w:rPr>
                <w:rFonts w:ascii="Arial" w:hAnsi="Arial" w:eastAsia="Arial" w:cs="Arial"/>
                <w:color w:val="000000"/>
                <w:sz w:val="12"/>
                <w:szCs w:val="12"/>
                <w:highlight w:val="none"/>
              </w:rPr>
              <w:t xml:space="preserve">7</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14:paraId="1E7A74F3">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130290</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641" w:type="dxa"/>
            <w:vAlign w:val="center"/>
            <w:textDirection w:val="lrTb"/>
            <w:noWrap w:val="false"/>
          </w:tcPr>
          <w:p w14:paraId="521AC0BC">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00067725</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tcBorders>
            <w:tcW w:w="1843" w:type="dxa"/>
            <w:vAlign w:val="center"/>
            <w:textDirection w:val="lrTb"/>
            <w:noWrap w:val="false"/>
          </w:tcPr>
          <w:p w14:paraId="230BBB39">
            <w:pPr>
              <w:pBdr/>
              <w:spacing/>
              <w:ind/>
              <w:jc w:val="both"/>
              <w:rPr>
                <w:rFonts w:ascii="Arial" w:hAnsi="Arial" w:cs="Arial"/>
                <w:color w:val="000000"/>
                <w:sz w:val="12"/>
                <w:szCs w:val="12"/>
                <w:highlight w:val="none"/>
              </w:rPr>
            </w:pPr>
            <w:r>
              <w:rPr>
                <w:rFonts w:ascii="Arial" w:hAnsi="Arial" w:eastAsia="Arial" w:cs="Arial"/>
                <w:color w:val="000000"/>
                <w:sz w:val="12"/>
                <w:szCs w:val="12"/>
                <w:highlight w:val="none"/>
              </w:rPr>
              <w:t xml:space="preserve">TUBO PARA COLETA DE SANGUE A VÁCUO - PARA SOROLOGIA. COM ATIVADOR DE COÁGULO. EM PLÁSTICO PET, TAMANHO 16X100MM. ESTÉRIL. DESCARTÁVEL. INCOLOR. VOLUME 8,0ML A 10ML. COM TAMPA DE BORRACHA SILICONIZADA E CAPA PROTETORA NA COR VERMELHA.</w:t>
            </w:r>
            <w:r>
              <w:rPr>
                <w:rFonts w:ascii="Arial" w:hAnsi="Arial" w:cs="Arial"/>
                <w:color w:val="000000"/>
                <w:sz w:val="12"/>
                <w:szCs w:val="12"/>
                <w:highlight w:val="none"/>
              </w:rPr>
            </w:r>
            <w:r>
              <w:rPr>
                <w:rFonts w:ascii="Arial" w:hAnsi="Arial" w:cs="Arial"/>
                <w:color w:val="000000"/>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14:paraId="0783E141">
            <w:pPr>
              <w:pBdr/>
              <w:tabs>
                <w:tab w:val="left" w:leader="none" w:pos="-142"/>
              </w:tabs>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UNIDADE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14:paraId="18429305">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450.000</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14:paraId="3A8566EE">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R$ 1,25</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14:paraId="68D60483">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R$ 1,17</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501C1898">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R$ 1,066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787" w:type="dxa"/>
            <w:vAlign w:val="center"/>
            <w:textDirection w:val="lrTb"/>
            <w:noWrap w:val="false"/>
          </w:tcPr>
          <w:p w14:paraId="39A616F8">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R$ 1,16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5F617B58">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R$ 1,20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14:paraId="4F14BD21">
            <w:pPr>
              <w:pBdr/>
              <w:spacing/>
              <w:ind/>
              <w:jc w:val="center"/>
              <w:rPr>
                <w:rFonts w:ascii="Arial" w:hAnsi="Arial" w:cs="Arial"/>
                <w:color w:val="000000"/>
                <w:sz w:val="12"/>
                <w:szCs w:val="12"/>
                <w:highlight w:val="none"/>
              </w:rPr>
            </w:pPr>
            <w:r>
              <w:rPr>
                <w:rFonts w:ascii="Arial" w:hAnsi="Arial" w:eastAsia="Arial" w:cs="Arial"/>
                <w:color w:val="000000"/>
                <w:sz w:val="12"/>
                <w:szCs w:val="12"/>
                <w:highlight w:val="none"/>
              </w:rPr>
              <w:t xml:space="preserve">R$</w:t>
            </w:r>
            <w:r>
              <w:rPr>
                <w:rFonts w:ascii="Arial" w:hAnsi="Arial" w:cs="Arial"/>
                <w:color w:val="000000"/>
                <w:sz w:val="12"/>
                <w:szCs w:val="12"/>
                <w:highlight w:val="none"/>
              </w:rPr>
            </w:r>
            <w:r>
              <w:rPr>
                <w:rFonts w:ascii="Arial" w:hAnsi="Arial" w:cs="Arial"/>
                <w:color w:val="000000"/>
                <w:sz w:val="12"/>
                <w:szCs w:val="12"/>
                <w:highlight w:val="none"/>
              </w:rPr>
            </w:r>
          </w:p>
          <w:p w14:paraId="3DCE0CE4">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 1,1692 </w:t>
            </w:r>
            <w:r>
              <w:rPr>
                <w:rFonts w:ascii="Arial" w:hAnsi="Arial" w:cs="Arial"/>
                <w:sz w:val="12"/>
                <w:szCs w:val="12"/>
                <w:highlight w:val="none"/>
              </w:rPr>
            </w:r>
            <w:r>
              <w:rPr>
                <w:rFonts w:ascii="Arial" w:hAnsi="Arial" w:cs="Arial"/>
                <w:sz w:val="12"/>
                <w:szCs w:val="1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14:paraId="49F79C71">
            <w:pPr>
              <w:pBdr/>
              <w:spacing/>
              <w:ind/>
              <w:jc w:val="center"/>
              <w:rPr>
                <w:rFonts w:ascii="Arial" w:hAnsi="Arial" w:cs="Arial"/>
                <w:sz w:val="12"/>
                <w:szCs w:val="12"/>
                <w:highlight w:val="none"/>
              </w:rPr>
            </w:pPr>
            <w:r>
              <w:rPr>
                <w:rFonts w:ascii="Arial" w:hAnsi="Arial" w:eastAsia="Arial" w:cs="Arial"/>
                <w:color w:val="000000"/>
                <w:sz w:val="12"/>
                <w:szCs w:val="12"/>
                <w:highlight w:val="none"/>
              </w:rPr>
              <w:t xml:space="preserve">R$ 526.140,00</w:t>
            </w:r>
            <w:r>
              <w:rPr>
                <w:rFonts w:ascii="Arial" w:hAnsi="Arial" w:cs="Arial"/>
                <w:sz w:val="12"/>
                <w:szCs w:val="12"/>
                <w:highlight w:val="none"/>
              </w:rPr>
            </w:r>
            <w:r>
              <w:rPr>
                <w:rFonts w:ascii="Arial" w:hAnsi="Arial" w:cs="Arial"/>
                <w:sz w:val="12"/>
                <w:szCs w:val="12"/>
                <w:highlight w:val="none"/>
              </w:rPr>
            </w:r>
          </w:p>
        </w:tc>
      </w:tr>
      <w:tr>
        <w:trPr>
          <w:trHeight w:val="402"/>
        </w:trPr>
        <w:tc>
          <w:tcPr>
            <w:gridSpan w:val="12"/>
            <w:shd w:val="clear" w:color="ffffff" w:fill="ffffff"/>
            <w:tcBorders>
              <w:left w:val="single" w:color="000000" w:sz="4" w:space="0"/>
              <w:bottom w:val="single" w:color="000000" w:sz="4" w:space="0"/>
              <w:right w:val="single" w:color="000000" w:sz="4" w:space="0"/>
            </w:tcBorders>
            <w:tcW w:w="9724" w:type="dxa"/>
            <w:vAlign w:val="center"/>
            <w:textDirection w:val="lrTb"/>
            <w:noWrap w:val="false"/>
          </w:tcPr>
          <w:p w14:paraId="528D3DFE">
            <w:pPr>
              <w:pBdr/>
              <w:spacing/>
              <w:ind w:left="220"/>
              <w:jc w:val="right"/>
              <w:rPr>
                <w:rFonts w:ascii="Arial" w:hAnsi="Arial" w:cs="Arial"/>
                <w:b/>
                <w:bCs/>
                <w:sz w:val="12"/>
                <w:szCs w:val="12"/>
                <w:highlight w:val="none"/>
              </w:rPr>
            </w:pPr>
            <w:r>
              <w:rPr>
                <w:rFonts w:ascii="Arial" w:hAnsi="Arial" w:eastAsia="Arial" w:cs="Arial"/>
                <w:b/>
                <w:bCs/>
                <w:sz w:val="12"/>
                <w:szCs w:val="12"/>
                <w:highlight w:val="none"/>
                <w:lang w:val="pt-BR"/>
              </w:rPr>
              <w:t xml:space="preserve">VALOR TOTAL</w:t>
            </w:r>
            <w:r>
              <w:rPr>
                <w:rFonts w:ascii="Arial" w:hAnsi="Arial" w:cs="Arial"/>
                <w:b/>
                <w:bCs/>
                <w:sz w:val="12"/>
                <w:szCs w:val="12"/>
                <w:highlight w:val="none"/>
              </w:rPr>
            </w:r>
            <w:r>
              <w:rPr>
                <w:rFonts w:ascii="Arial" w:hAnsi="Arial" w:cs="Arial"/>
                <w:b/>
                <w:bCs/>
                <w:sz w:val="12"/>
                <w:szCs w:val="12"/>
                <w:highlight w:val="none"/>
              </w:rPr>
            </w:r>
          </w:p>
        </w:tc>
        <w:tc>
          <w:tcPr>
            <w:shd w:val="clear" w:color="ffffff" w:fill="ffffff"/>
            <w:tcBorders>
              <w:left w:val="single" w:color="000000" w:sz="4" w:space="0"/>
              <w:bottom w:val="single" w:color="000000" w:sz="4" w:space="0"/>
              <w:right w:val="single" w:color="000000" w:sz="4" w:space="0"/>
            </w:tcBorders>
            <w:tcW w:w="775" w:type="dxa"/>
            <w:vAlign w:val="center"/>
            <w:textDirection w:val="lrTb"/>
            <w:noWrap w:val="false"/>
          </w:tcPr>
          <w:p w14:paraId="10F81444">
            <w:pPr>
              <w:pBdr/>
              <w:spacing/>
              <w:ind/>
              <w:jc w:val="center"/>
              <w:rPr>
                <w:rFonts w:ascii="Arial" w:hAnsi="Arial" w:cs="Arial"/>
                <w:b/>
                <w:bCs/>
                <w:sz w:val="12"/>
                <w:szCs w:val="12"/>
                <w:highlight w:val="none"/>
              </w:rPr>
            </w:pPr>
            <w:r>
              <w:rPr>
                <w:rFonts w:ascii="Arial" w:hAnsi="Arial" w:eastAsia="Arial" w:cs="Arial"/>
                <w:b/>
                <w:bCs/>
                <w:sz w:val="12"/>
                <w:szCs w:val="12"/>
                <w:highlight w:val="none"/>
                <w:lang w:val="pt-BR"/>
              </w:rPr>
              <w:t xml:space="preserve">R$ </w:t>
            </w:r>
            <w:r>
              <w:rPr>
                <w:rFonts w:ascii="Arial" w:hAnsi="Arial" w:cs="Arial"/>
                <w:b/>
                <w:bCs/>
                <w:sz w:val="12"/>
                <w:szCs w:val="12"/>
                <w:highlight w:val="none"/>
              </w:rPr>
            </w:r>
            <w:r>
              <w:rPr>
                <w:rFonts w:ascii="Arial" w:hAnsi="Arial" w:cs="Arial"/>
                <w:b/>
                <w:bCs/>
                <w:sz w:val="12"/>
                <w:szCs w:val="12"/>
                <w:highlight w:val="none"/>
              </w:rPr>
            </w:r>
          </w:p>
          <w:p w14:paraId="37B4B38E">
            <w:pPr>
              <w:pBdr/>
              <w:spacing/>
              <w:ind/>
              <w:jc w:val="center"/>
              <w:rPr>
                <w:rFonts w:ascii="Arial" w:hAnsi="Arial" w:cs="Arial"/>
                <w:b/>
                <w:bCs/>
                <w:sz w:val="12"/>
                <w:szCs w:val="12"/>
                <w:highlight w:val="none"/>
              </w:rPr>
            </w:pPr>
            <w:r>
              <w:rPr>
                <w:rFonts w:ascii="Arial" w:hAnsi="Arial" w:eastAsia="Arial" w:cs="Arial"/>
                <w:b/>
                <w:bCs/>
                <w:sz w:val="12"/>
                <w:szCs w:val="12"/>
                <w:highlight w:val="none"/>
                <w:lang w:val="pt-BR"/>
              </w:rPr>
              <w:t xml:space="preserve">1.405.533,00</w:t>
            </w:r>
            <w:r>
              <w:rPr>
                <w:rFonts w:ascii="Arial" w:hAnsi="Arial" w:cs="Arial"/>
                <w:b/>
                <w:bCs/>
                <w:sz w:val="12"/>
                <w:szCs w:val="12"/>
                <w:highlight w:val="none"/>
              </w:rPr>
            </w:r>
            <w:r>
              <w:rPr>
                <w:rFonts w:ascii="Arial" w:hAnsi="Arial" w:cs="Arial"/>
                <w:b/>
                <w:bCs/>
                <w:sz w:val="12"/>
                <w:szCs w:val="12"/>
                <w:highlight w:val="none"/>
              </w:rPr>
            </w:r>
          </w:p>
        </w:tc>
      </w:tr>
    </w:tbl>
    <w:p w14:paraId="28AD9D1F">
      <w:pPr>
        <w:pBdr/>
        <w:spacing/>
        <w:ind/>
        <w:jc w:val="both"/>
        <w:rPr>
          <w:rFonts w:ascii="Arial" w:hAnsi="Arial" w:cs="Arial"/>
          <w:highlight w:val="none"/>
        </w:rPr>
      </w:pPr>
      <w:r>
        <w:rPr>
          <w:rFonts w:ascii="Arial" w:hAnsi="Arial" w:eastAsia="Arial" w:cs="Arial"/>
          <w:highlight w:val="none"/>
          <w:lang w:val="pt-BR"/>
        </w:rPr>
      </w:r>
      <w:r>
        <w:rPr>
          <w:rFonts w:ascii="Arial" w:hAnsi="Arial" w:cs="Arial"/>
          <w:highlight w:val="none"/>
        </w:rPr>
      </w:r>
      <w:r>
        <w:rPr>
          <w:rFonts w:ascii="Arial" w:hAnsi="Arial" w:cs="Arial"/>
          <w:highlight w:val="none"/>
        </w:rPr>
      </w:r>
    </w:p>
    <w:p w14:paraId="1DE67805">
      <w:pPr>
        <w:pBdr/>
        <w:shd w:val="clear" w:color="auto" w:fill="cccccc"/>
        <w:spacing/>
        <w:ind/>
        <w:jc w:val="both"/>
        <w:rPr>
          <w:rFonts w:ascii="Arial" w:hAnsi="Arial" w:cs="Arial"/>
          <w:highlight w:val="none"/>
        </w:rPr>
      </w:pPr>
      <w:r>
        <w:rPr>
          <w:rFonts w:ascii="Arial" w:hAnsi="Arial" w:eastAsia="Arial" w:cs="Arial"/>
          <w:b/>
          <w:bCs/>
          <w:highlight w:val="none"/>
        </w:rPr>
        <w:t xml:space="preserve">1</w:t>
      </w:r>
      <w:r>
        <w:rPr>
          <w:rFonts w:ascii="Arial" w:hAnsi="Arial" w:eastAsia="Arial" w:cs="Arial"/>
          <w:b/>
          <w:bCs/>
          <w:highlight w:val="none"/>
          <w:lang w:val="pt-BR"/>
        </w:rPr>
        <w:t xml:space="preserve">4</w:t>
      </w:r>
      <w:r>
        <w:rPr>
          <w:rFonts w:ascii="Arial" w:hAnsi="Arial" w:eastAsia="Arial" w:cs="Arial"/>
          <w:b/>
          <w:bCs/>
          <w:highlight w:val="none"/>
        </w:rPr>
        <w:t xml:space="preserve"> – </w:t>
      </w:r>
      <w:r>
        <w:rPr>
          <w:rFonts w:ascii="Arial" w:hAnsi="Arial" w:eastAsia="Arial" w:cs="Arial"/>
          <w:b/>
          <w:bCs/>
          <w:highlight w:val="none"/>
          <w:lang w:val="pt-BR"/>
        </w:rPr>
        <w:t xml:space="preserve">DO SISTEMA DE REGISTRO DE PREÇO</w:t>
      </w:r>
      <w:r>
        <w:rPr>
          <w:rFonts w:ascii="Arial" w:hAnsi="Arial" w:cs="Arial"/>
          <w:highlight w:val="none"/>
        </w:rPr>
      </w:r>
      <w:r>
        <w:rPr>
          <w:rFonts w:ascii="Arial" w:hAnsi="Arial" w:cs="Arial"/>
          <w:highlight w:val="none"/>
        </w:rPr>
      </w:r>
    </w:p>
    <w:p w14:paraId="4C4866F2">
      <w:pPr>
        <w:pBdr/>
        <w:spacing/>
        <w:ind/>
        <w:jc w:val="both"/>
        <w:rPr>
          <w:rFonts w:ascii="Arial" w:hAnsi="Arial" w:cs="Arial"/>
          <w:highlight w:val="none"/>
        </w:rPr>
      </w:pPr>
      <w:r>
        <w:rPr>
          <w:rFonts w:ascii="Arial" w:hAnsi="Arial" w:eastAsia="Arial" w:cs="Arial"/>
          <w:highlight w:val="none"/>
        </w:rPr>
      </w:r>
      <w:r>
        <w:rPr>
          <w:rFonts w:ascii="Arial" w:hAnsi="Arial" w:cs="Arial"/>
          <w:highlight w:val="none"/>
        </w:rPr>
      </w:r>
      <w:r>
        <w:rPr>
          <w:rFonts w:ascii="Arial" w:hAnsi="Arial" w:cs="Arial"/>
          <w:highlight w:val="none"/>
        </w:rPr>
      </w:r>
    </w:p>
    <w:p w14:paraId="757EFE49">
      <w:pPr>
        <w:pBdr/>
        <w:spacing/>
        <w:ind/>
        <w:jc w:val="both"/>
        <w:rPr>
          <w:rFonts w:ascii="Arial" w:hAnsi="Arial" w:cs="Arial"/>
          <w:highlight w:val="none"/>
        </w:rPr>
      </w:pPr>
      <w:r>
        <w:rPr>
          <w:rFonts w:ascii="Arial" w:hAnsi="Arial" w:eastAsia="Arial" w:cs="Arial"/>
          <w:b/>
          <w:bCs/>
          <w:highlight w:val="none"/>
          <w:lang w:val="pt-BR"/>
        </w:rPr>
        <w:t xml:space="preserve">14.1.</w:t>
      </w:r>
      <w:r>
        <w:rPr>
          <w:rFonts w:ascii="Arial" w:hAnsi="Arial" w:eastAsia="Arial" w:cs="Arial"/>
          <w:highlight w:val="none"/>
          <w:lang w:val="pt-BR"/>
        </w:rPr>
        <w:t xml:space="preserve"> A adoção do Sistema de Registro de Preços – SRP para a futura e eventual aquisição de tubos e agulhas destinados à coleta de sangue a vácuo justifica-se pelo consumo contínuo dos insumos laboratoriais, pela necessidade de reposições periódicas e pel</w:t>
      </w:r>
      <w:r>
        <w:rPr>
          <w:rFonts w:ascii="Arial" w:hAnsi="Arial" w:eastAsia="Arial" w:cs="Arial"/>
          <w:highlight w:val="none"/>
          <w:lang w:val="pt-BR"/>
        </w:rPr>
        <w:t xml:space="preserve">a impossibilidade de determinar previamente, com exatidão, os quantitativos e os momentos de cada aquisição, considerando as variações da demanda assistencial, do número de usuários atendidos, dos exames realizados e das necessidades das unidades de saúde.</w:t>
      </w:r>
      <w:r>
        <w:rPr>
          <w:rFonts w:ascii="Arial" w:hAnsi="Arial" w:cs="Arial"/>
          <w:highlight w:val="none"/>
        </w:rPr>
      </w:r>
      <w:r>
        <w:rPr>
          <w:rFonts w:ascii="Arial" w:hAnsi="Arial" w:cs="Arial"/>
          <w:highlight w:val="none"/>
        </w:rPr>
      </w:r>
    </w:p>
    <w:p w14:paraId="687745A2">
      <w:pPr>
        <w:pBdr/>
        <w:spacing/>
        <w:ind/>
        <w:jc w:val="both"/>
        <w:rPr>
          <w:rFonts w:ascii="Arial" w:hAnsi="Arial" w:cs="Arial"/>
          <w:highlight w:val="none"/>
        </w:rPr>
      </w:pPr>
      <w:r>
        <w:rPr>
          <w:rFonts w:ascii="Arial" w:hAnsi="Arial" w:eastAsia="Arial" w:cs="Arial"/>
          <w:b/>
          <w:bCs/>
          <w:highlight w:val="none"/>
          <w:lang w:val="pt-BR"/>
        </w:rPr>
        <w:t xml:space="preserve">14.2.</w:t>
      </w:r>
      <w:r>
        <w:rPr>
          <w:rFonts w:ascii="Arial" w:hAnsi="Arial" w:eastAsia="Arial" w:cs="Arial"/>
          <w:highlight w:val="none"/>
          <w:lang w:val="pt-BR"/>
        </w:rPr>
        <w:t xml:space="preserve"> O Sistema de Registro de Preços permitirá q</w:t>
      </w:r>
      <w:r>
        <w:rPr>
          <w:rFonts w:ascii="Arial" w:hAnsi="Arial" w:eastAsia="Arial" w:cs="Arial"/>
          <w:highlight w:val="none"/>
          <w:lang w:val="pt-BR"/>
        </w:rPr>
        <w:t xml:space="preserve">ue as aquisições sejam realizadas de forma futura, eventual e parcelada, conforme as necessidades efetivamente verificadas durante a vigência da Ata de Registro de Preços, sem obrigatoriedade de contratação imediata ou integral dos quantitativos estimados.</w:t>
      </w:r>
      <w:r>
        <w:rPr>
          <w:rFonts w:ascii="Arial" w:hAnsi="Arial" w:cs="Arial"/>
          <w:highlight w:val="none"/>
        </w:rPr>
      </w:r>
      <w:r>
        <w:rPr>
          <w:rFonts w:ascii="Arial" w:hAnsi="Arial" w:cs="Arial"/>
          <w:highlight w:val="none"/>
        </w:rPr>
      </w:r>
    </w:p>
    <w:p w14:paraId="23C8897D">
      <w:pPr>
        <w:pBdr/>
        <w:spacing/>
        <w:ind/>
        <w:jc w:val="both"/>
        <w:rPr>
          <w:rFonts w:ascii="Arial" w:hAnsi="Arial" w:cs="Arial"/>
          <w:highlight w:val="none"/>
        </w:rPr>
      </w:pPr>
      <w:r>
        <w:rPr>
          <w:rFonts w:ascii="Arial" w:hAnsi="Arial" w:eastAsia="Arial" w:cs="Arial"/>
          <w:b/>
          <w:bCs/>
          <w:highlight w:val="none"/>
          <w:lang w:val="pt-BR"/>
        </w:rPr>
        <w:t xml:space="preserve">14.2.1.</w:t>
      </w:r>
      <w:r>
        <w:rPr>
          <w:rFonts w:ascii="Arial" w:hAnsi="Arial" w:eastAsia="Arial" w:cs="Arial"/>
          <w:highlight w:val="none"/>
          <w:lang w:val="pt-BR"/>
        </w:rPr>
        <w:t xml:space="preserve"> A existência de</w:t>
      </w:r>
      <w:r>
        <w:rPr>
          <w:rFonts w:ascii="Arial" w:hAnsi="Arial" w:eastAsia="Arial" w:cs="Arial"/>
          <w:highlight w:val="none"/>
          <w:lang w:val="pt-BR"/>
        </w:rPr>
        <w:t xml:space="preserve"> preços registrados implicará compromisso de fornecimento nas condições estabelecidas, mas não obrigará a Administração a contratar integralmente os quantitativos constantes da Ata de Registro de Preços, nos termos do art. 83 da Lei Federal nº 14.133/2021.</w:t>
      </w:r>
      <w:r>
        <w:rPr>
          <w:rFonts w:ascii="Arial" w:hAnsi="Arial" w:cs="Arial"/>
          <w:highlight w:val="none"/>
        </w:rPr>
      </w:r>
      <w:r>
        <w:rPr>
          <w:rFonts w:ascii="Arial" w:hAnsi="Arial" w:cs="Arial"/>
          <w:highlight w:val="none"/>
        </w:rPr>
      </w:r>
    </w:p>
    <w:p w14:paraId="07324F99">
      <w:pPr>
        <w:pBdr/>
        <w:spacing/>
        <w:ind/>
        <w:jc w:val="both"/>
        <w:rPr>
          <w:rFonts w:ascii="Arial" w:hAnsi="Arial" w:cs="Arial"/>
          <w:highlight w:val="none"/>
        </w:rPr>
      </w:pPr>
      <w:r>
        <w:rPr>
          <w:rFonts w:ascii="Arial" w:hAnsi="Arial" w:eastAsia="Arial" w:cs="Arial"/>
          <w:b/>
          <w:bCs/>
          <w:highlight w:val="none"/>
          <w:lang w:val="pt-BR"/>
        </w:rPr>
        <w:t xml:space="preserve">14.3.</w:t>
      </w:r>
      <w:r>
        <w:rPr>
          <w:rFonts w:ascii="Arial" w:hAnsi="Arial" w:eastAsia="Arial" w:cs="Arial"/>
          <w:highlight w:val="none"/>
          <w:lang w:val="pt-BR"/>
        </w:rPr>
        <w:t xml:space="preserve"> A utilização do Sistema de Registro de Preços encontra fundamento no art. 294, incisos II e IV, do Decreto Municipal nº 11.685/2023, considerando a conveniência da contratação de bens com previsão de entregas parceladas e </w:t>
      </w:r>
      <w:r>
        <w:rPr>
          <w:rFonts w:ascii="Arial" w:hAnsi="Arial" w:eastAsia="Arial" w:cs="Arial"/>
          <w:highlight w:val="none"/>
          <w:lang w:val="pt-BR"/>
        </w:rPr>
        <w:t xml:space="preserve">a necessidade de aquisições frequentes decorrentes da natureza do objeto.</w:t>
      </w:r>
      <w:r>
        <w:rPr>
          <w:rFonts w:ascii="Arial" w:hAnsi="Arial" w:cs="Arial"/>
          <w:highlight w:val="none"/>
        </w:rPr>
      </w:r>
      <w:r>
        <w:rPr>
          <w:rFonts w:ascii="Arial" w:hAnsi="Arial" w:cs="Arial"/>
          <w:highlight w:val="none"/>
        </w:rPr>
      </w:r>
    </w:p>
    <w:p w14:paraId="4E2421D5">
      <w:pPr>
        <w:pBdr/>
        <w:spacing/>
        <w:ind/>
        <w:jc w:val="both"/>
        <w:rPr>
          <w:rFonts w:ascii="Arial" w:hAnsi="Arial" w:cs="Arial"/>
          <w:highlight w:val="none"/>
        </w:rPr>
      </w:pPr>
      <w:r>
        <w:rPr>
          <w:rFonts w:ascii="Arial" w:hAnsi="Arial" w:eastAsia="Arial" w:cs="Arial"/>
          <w:b/>
          <w:bCs/>
          <w:highlight w:val="none"/>
          <w:lang w:val="pt-BR"/>
        </w:rPr>
        <w:t xml:space="preserve">14.3.1.</w:t>
      </w:r>
      <w:r>
        <w:rPr>
          <w:rFonts w:ascii="Arial" w:hAnsi="Arial" w:eastAsia="Arial" w:cs="Arial"/>
          <w:highlight w:val="none"/>
          <w:lang w:val="pt-BR"/>
        </w:rPr>
        <w:t xml:space="preserve"> Nos termos do art. 82 da Lei Federal nº 14.133/2021, o </w:t>
      </w:r>
      <w:r>
        <w:rPr>
          <w:rFonts w:ascii="Arial" w:hAnsi="Arial" w:eastAsia="Arial" w:cs="Arial"/>
          <w:highlight w:val="none"/>
          <w:lang w:val="pt-BR"/>
        </w:rPr>
        <w:t xml:space="preserve">Sistema de Registro de Preços poderá ser utilizado para a contratação de bens, devendo o instrumento convocatório estabelecer os quantitativos máximos, as unidades de medida, o critério de julgamento e as demais condições aplicáveis ao lote da contratação.</w:t>
      </w:r>
      <w:r>
        <w:rPr>
          <w:rFonts w:ascii="Arial" w:hAnsi="Arial" w:cs="Arial"/>
          <w:highlight w:val="none"/>
        </w:rPr>
      </w:r>
      <w:r>
        <w:rPr>
          <w:rFonts w:ascii="Arial" w:hAnsi="Arial" w:cs="Arial"/>
          <w:highlight w:val="none"/>
        </w:rPr>
      </w:r>
    </w:p>
    <w:p w14:paraId="415F6810">
      <w:pPr>
        <w:pBdr/>
        <w:spacing/>
        <w:ind/>
        <w:jc w:val="both"/>
        <w:rPr>
          <w:rFonts w:ascii="Arial" w:hAnsi="Arial" w:cs="Arial"/>
          <w:highlight w:val="none"/>
        </w:rPr>
      </w:pPr>
      <w:r>
        <w:rPr>
          <w:rFonts w:ascii="Arial" w:hAnsi="Arial" w:eastAsia="Arial" w:cs="Arial"/>
          <w:b/>
          <w:bCs/>
          <w:highlight w:val="none"/>
          <w:lang w:val="pt-BR"/>
        </w:rPr>
        <w:t xml:space="preserve">14.4.</w:t>
      </w:r>
      <w:r>
        <w:rPr>
          <w:rFonts w:ascii="Arial" w:hAnsi="Arial" w:eastAsia="Arial" w:cs="Arial"/>
          <w:highlight w:val="none"/>
          <w:lang w:val="pt-BR"/>
        </w:rPr>
        <w:t xml:space="preserve"> A flexibilidade operacional proporcionada pelo SRP permitirá adequar as aquisições à demanda real do Laboratório Central Municipal – LACEM, dos postos de coleta e das de</w:t>
      </w:r>
      <w:r>
        <w:rPr>
          <w:rFonts w:ascii="Arial" w:hAnsi="Arial" w:eastAsia="Arial" w:cs="Arial"/>
          <w:highlight w:val="none"/>
          <w:lang w:val="pt-BR"/>
        </w:rPr>
        <w:t xml:space="preserve">mais unidades atendidas, contribuindo para a manutenção dos estoques em níveis adequados, a prevenção do desabastecimento, a redução de perdas por vencimento, o melhor aproveitamento dos espaços de armazenamento e a continuidade dos serviços laboratoriais.</w:t>
      </w:r>
      <w:r>
        <w:rPr>
          <w:rFonts w:ascii="Arial" w:hAnsi="Arial" w:cs="Arial"/>
          <w:highlight w:val="none"/>
        </w:rPr>
      </w:r>
      <w:r>
        <w:rPr>
          <w:rFonts w:ascii="Arial" w:hAnsi="Arial" w:cs="Arial"/>
          <w:highlight w:val="none"/>
        </w:rPr>
      </w:r>
    </w:p>
    <w:p w14:paraId="6578EED4">
      <w:pPr>
        <w:pBdr/>
        <w:spacing/>
        <w:ind/>
        <w:jc w:val="both"/>
        <w:rPr>
          <w:rFonts w:ascii="Arial" w:hAnsi="Arial" w:cs="Arial"/>
          <w:highlight w:val="none"/>
        </w:rPr>
      </w:pPr>
      <w:r>
        <w:rPr>
          <w:rFonts w:ascii="Arial" w:hAnsi="Arial" w:eastAsia="Arial" w:cs="Arial"/>
          <w:b/>
          <w:bCs/>
          <w:highlight w:val="none"/>
          <w:lang w:val="pt-BR"/>
        </w:rPr>
        <w:t xml:space="preserve">14.5.</w:t>
      </w:r>
      <w:r>
        <w:rPr>
          <w:rFonts w:ascii="Arial" w:hAnsi="Arial" w:eastAsia="Arial" w:cs="Arial"/>
          <w:highlight w:val="none"/>
          <w:lang w:val="pt-BR"/>
        </w:rPr>
        <w:t xml:space="preserve"> A realização da licitação por LOTE ÚNICO, com critério de julgamento pelo MENOR PREÇO GLOBAL DO LOTE, não altera a natureza do Sistema d</w:t>
      </w:r>
      <w:r>
        <w:rPr>
          <w:rFonts w:ascii="Arial" w:hAnsi="Arial" w:eastAsia="Arial" w:cs="Arial"/>
          <w:highlight w:val="none"/>
          <w:lang w:val="pt-BR"/>
        </w:rPr>
        <w:t xml:space="preserve">e Registro de Preços nem impede a realização de fornecimentos parcelados, devendo as futuras aquisições observar as quantidades e os valores registrados para os itens que compõem o lote, conforme as necessidades efetivamente verificadas pela Administração.</w:t>
      </w:r>
      <w:r>
        <w:rPr>
          <w:rFonts w:ascii="Arial" w:hAnsi="Arial" w:cs="Arial"/>
          <w:highlight w:val="none"/>
        </w:rPr>
      </w:r>
      <w:r>
        <w:rPr>
          <w:rFonts w:ascii="Arial" w:hAnsi="Arial" w:cs="Arial"/>
          <w:highlight w:val="none"/>
        </w:rPr>
      </w:r>
    </w:p>
    <w:p w14:paraId="526C78EC">
      <w:pPr>
        <w:pBdr/>
        <w:spacing/>
        <w:ind/>
        <w:jc w:val="both"/>
        <w:rPr>
          <w:rFonts w:ascii="Arial" w:hAnsi="Arial" w:cs="Arial"/>
          <w:highlight w:val="none"/>
        </w:rPr>
      </w:pPr>
      <w:r>
        <w:rPr>
          <w:rFonts w:ascii="Arial" w:hAnsi="Arial" w:eastAsia="Arial" w:cs="Arial"/>
          <w:b/>
          <w:bCs/>
          <w:highlight w:val="none"/>
          <w:lang w:val="pt-BR"/>
        </w:rPr>
        <w:t xml:space="preserve">14.6.</w:t>
      </w:r>
      <w:r>
        <w:rPr>
          <w:rFonts w:ascii="Arial" w:hAnsi="Arial" w:eastAsia="Arial" w:cs="Arial"/>
          <w:highlight w:val="none"/>
          <w:lang w:val="pt-BR"/>
        </w:rPr>
        <w:t xml:space="preserve"> Dessa forma, a adoção do Sistema de Registro de Preços mostra-se adequada à natureza e às condições de fornecimento dos tubos e agulhas destinados à coleta de sangue a vácuo, em consonância com os princí</w:t>
      </w:r>
      <w:r>
        <w:rPr>
          <w:rFonts w:ascii="Arial" w:hAnsi="Arial" w:eastAsia="Arial" w:cs="Arial"/>
          <w:highlight w:val="none"/>
          <w:lang w:val="pt-BR"/>
        </w:rPr>
        <w:t xml:space="preserve">pios da eficiência, economicidade, planejamento e continuidade do serviço público, possibilitando maior controle das aquisições, melhor aplicação dos recursos públicos e redução do risco de contratações emergenciais decorrentes da insuficiência de estoque.</w:t>
      </w:r>
      <w:r>
        <w:rPr>
          <w:rFonts w:ascii="Arial" w:hAnsi="Arial" w:cs="Arial"/>
          <w:highlight w:val="none"/>
        </w:rPr>
      </w:r>
      <w:r>
        <w:rPr>
          <w:rFonts w:ascii="Arial" w:hAnsi="Arial" w:cs="Arial"/>
          <w:highlight w:val="none"/>
        </w:rPr>
      </w:r>
    </w:p>
    <w:p w14:paraId="6C76E7B6">
      <w:pPr>
        <w:pBdr/>
        <w:spacing/>
        <w:ind/>
        <w:jc w:val="both"/>
        <w:rPr>
          <w:rFonts w:ascii="Arial" w:hAnsi="Arial" w:cs="Arial"/>
          <w:highlight w:val="none"/>
        </w:rPr>
      </w:pPr>
      <w:r>
        <w:rPr>
          <w:rFonts w:ascii="Arial" w:hAnsi="Arial" w:eastAsia="Arial" w:cs="Arial"/>
          <w:highlight w:val="none"/>
          <w:lang w:val="pt-BR"/>
        </w:rPr>
      </w:r>
      <w:r>
        <w:rPr>
          <w:rFonts w:ascii="Arial" w:hAnsi="Arial" w:cs="Arial"/>
          <w:highlight w:val="none"/>
        </w:rPr>
      </w:r>
      <w:r>
        <w:rPr>
          <w:rFonts w:ascii="Arial" w:hAnsi="Arial" w:cs="Arial"/>
          <w:highlight w:val="none"/>
        </w:rPr>
      </w:r>
    </w:p>
    <w:p w14:paraId="6FBE01A3">
      <w:pPr>
        <w:pBdr/>
        <w:shd w:val="clear" w:color="auto" w:fill="cccccc"/>
        <w:spacing/>
        <w:ind/>
        <w:jc w:val="both"/>
        <w:rPr>
          <w:rFonts w:ascii="Arial" w:hAnsi="Arial" w:cs="Arial"/>
          <w:highlight w:val="none"/>
        </w:rPr>
      </w:pPr>
      <w:r>
        <w:rPr>
          <w:rFonts w:ascii="Arial" w:hAnsi="Arial" w:eastAsia="Arial" w:cs="Arial"/>
          <w:b/>
          <w:bCs/>
          <w:highlight w:val="none"/>
        </w:rPr>
        <w:t xml:space="preserve">1</w:t>
      </w:r>
      <w:r>
        <w:rPr>
          <w:rFonts w:ascii="Arial" w:hAnsi="Arial" w:eastAsia="Arial" w:cs="Arial"/>
          <w:b/>
          <w:bCs/>
          <w:highlight w:val="none"/>
          <w:lang w:val="pt-BR"/>
        </w:rPr>
        <w:t xml:space="preserve">5</w:t>
      </w:r>
      <w:r>
        <w:rPr>
          <w:rFonts w:ascii="Arial" w:hAnsi="Arial" w:eastAsia="Arial" w:cs="Arial"/>
          <w:b/>
          <w:bCs/>
          <w:highlight w:val="none"/>
        </w:rPr>
        <w:t xml:space="preserve"> – ADEQUAÇÃO ORÇAMENTÁRIA</w:t>
      </w:r>
      <w:r>
        <w:rPr>
          <w:rFonts w:ascii="Arial" w:hAnsi="Arial" w:cs="Arial"/>
          <w:highlight w:val="none"/>
        </w:rPr>
      </w:r>
      <w:r>
        <w:rPr>
          <w:rFonts w:ascii="Arial" w:hAnsi="Arial" w:cs="Arial"/>
          <w:highlight w:val="none"/>
        </w:rPr>
      </w:r>
    </w:p>
    <w:p w14:paraId="4537B68D">
      <w:pPr>
        <w:pBdr/>
        <w:spacing/>
        <w:ind/>
        <w:jc w:val="both"/>
        <w:rPr>
          <w:rFonts w:ascii="Arial" w:hAnsi="Arial" w:cs="Arial"/>
          <w:highlight w:val="none"/>
        </w:rPr>
      </w:pPr>
      <w:r>
        <w:rPr>
          <w:rFonts w:ascii="Arial" w:hAnsi="Arial" w:eastAsia="Arial" w:cs="Arial"/>
          <w:highlight w:val="none"/>
        </w:rPr>
      </w:r>
      <w:r>
        <w:rPr>
          <w:rFonts w:ascii="Arial" w:hAnsi="Arial" w:cs="Arial"/>
          <w:highlight w:val="none"/>
        </w:rPr>
      </w:r>
      <w:r>
        <w:rPr>
          <w:rFonts w:ascii="Arial" w:hAnsi="Arial" w:cs="Arial"/>
          <w:highlight w:val="none"/>
        </w:rPr>
      </w:r>
    </w:p>
    <w:p w14:paraId="5AEB92E0">
      <w:pPr>
        <w:pBdr/>
        <w:spacing/>
        <w:ind/>
        <w:jc w:val="both"/>
        <w:rPr>
          <w:rFonts w:ascii="Arial" w:hAnsi="Arial" w:cs="Arial"/>
          <w:highlight w:val="none"/>
        </w:rPr>
      </w:pPr>
      <w:r>
        <w:rPr>
          <w:rFonts w:ascii="Arial" w:hAnsi="Arial" w:eastAsia="Arial" w:cs="Arial"/>
          <w:b/>
          <w:bCs/>
          <w:highlight w:val="none"/>
          <w:lang w:val="pt-BR"/>
        </w:rPr>
        <w:t xml:space="preserve">15.1.</w:t>
      </w:r>
      <w:r>
        <w:rPr>
          <w:rFonts w:ascii="Arial" w:hAnsi="Arial" w:eastAsia="Arial" w:cs="Arial"/>
          <w:highlight w:val="none"/>
          <w:lang w:val="pt-BR"/>
        </w:rPr>
        <w:t xml:space="preserve"> </w:t>
      </w:r>
      <w:r>
        <w:rPr>
          <w:rFonts w:ascii="Arial" w:hAnsi="Arial" w:eastAsia="Arial" w:cs="Arial"/>
          <w:highlight w:val="none"/>
        </w:rPr>
        <w:t xml:space="preserve">Esta </w:t>
      </w:r>
      <w:r>
        <w:rPr>
          <w:rFonts w:ascii="Arial" w:hAnsi="Arial" w:eastAsia="Arial" w:cs="Arial"/>
          <w:color w:val="000000"/>
          <w:highlight w:val="none"/>
          <w:lang w:val="pt-BR" w:eastAsia="pt-BR"/>
        </w:rPr>
        <w:t xml:space="preserve">aquisição</w:t>
      </w:r>
      <w:r>
        <w:rPr>
          <w:rFonts w:ascii="Arial" w:hAnsi="Arial" w:eastAsia="Arial" w:cs="Arial"/>
          <w:highlight w:val="none"/>
        </w:rPr>
        <w:t xml:space="preserve"> está adequada financeiramente e em conformidade com a lei de diretrizes orçamentarias e com o </w:t>
      </w:r>
      <w:r>
        <w:rPr>
          <w:rFonts w:ascii="Arial" w:hAnsi="Arial" w:eastAsia="Arial" w:cs="Arial"/>
          <w:b/>
          <w:bCs/>
          <w:highlight w:val="none"/>
          <w:lang w:val="pt-BR"/>
        </w:rPr>
        <w:t xml:space="preserve">15.2. </w:t>
      </w:r>
      <w:r>
        <w:rPr>
          <w:rFonts w:ascii="Arial" w:hAnsi="Arial" w:eastAsia="Arial" w:cs="Arial"/>
          <w:highlight w:val="none"/>
        </w:rPr>
        <w:t xml:space="preserve">Plano Plurianual:</w:t>
      </w:r>
      <w:r>
        <w:rPr>
          <w:rFonts w:ascii="Arial" w:hAnsi="Arial" w:cs="Arial"/>
          <w:highlight w:val="none"/>
        </w:rPr>
      </w:r>
      <w:r>
        <w:rPr>
          <w:rFonts w:ascii="Arial" w:hAnsi="Arial" w:cs="Arial"/>
          <w:highlight w:val="none"/>
        </w:rPr>
      </w:r>
    </w:p>
    <w:p w14:paraId="37A55550">
      <w:pPr>
        <w:pBdr/>
        <w:spacing/>
        <w:ind/>
        <w:jc w:val="both"/>
        <w:rPr>
          <w:rFonts w:ascii="Arial" w:hAnsi="Arial" w:cs="Arial"/>
          <w:highlight w:val="none"/>
        </w:rPr>
      </w:pPr>
      <w:r>
        <w:rPr>
          <w:rFonts w:ascii="Arial" w:hAnsi="Arial" w:eastAsia="Arial" w:cs="Arial"/>
          <w:b/>
          <w:bCs/>
          <w:highlight w:val="none"/>
          <w:lang w:val="pt-BR"/>
        </w:rPr>
        <w:t xml:space="preserve">15.2.1. </w:t>
      </w:r>
      <w:r>
        <w:rPr>
          <w:rFonts w:ascii="Arial" w:hAnsi="Arial" w:eastAsia="Arial" w:cs="Arial"/>
          <w:highlight w:val="none"/>
        </w:rPr>
        <w:t xml:space="preserve">Plano Plurianual (PPA): </w:t>
      </w:r>
      <w:r>
        <w:rPr>
          <w:rFonts w:ascii="Arial" w:hAnsi="Arial" w:eastAsia="Arial" w:cs="Arial"/>
          <w:color w:val="000000"/>
          <w:highlight w:val="none"/>
          <w:lang w:val="pt-BR" w:eastAsia="pt-BR"/>
        </w:rPr>
        <w:t xml:space="preserve">A aquisição</w:t>
      </w:r>
      <w:r>
        <w:rPr>
          <w:rFonts w:ascii="Arial" w:hAnsi="Arial" w:eastAsia="Arial" w:cs="Arial"/>
          <w:highlight w:val="none"/>
        </w:rPr>
        <w:t xml:space="preserve"> se alinha com as metas do governo para quatro anos.</w:t>
      </w:r>
      <w:r>
        <w:rPr>
          <w:rFonts w:ascii="Arial" w:hAnsi="Arial" w:cs="Arial"/>
          <w:highlight w:val="none"/>
        </w:rPr>
      </w:r>
      <w:r>
        <w:rPr>
          <w:rFonts w:ascii="Arial" w:hAnsi="Arial" w:cs="Arial"/>
          <w:highlight w:val="none"/>
        </w:rPr>
      </w:r>
    </w:p>
    <w:p w14:paraId="5EBCDB67">
      <w:pPr>
        <w:pBdr/>
        <w:spacing/>
        <w:ind/>
        <w:jc w:val="both"/>
        <w:rPr>
          <w:rFonts w:ascii="Arial" w:hAnsi="Arial" w:cs="Arial"/>
          <w:highlight w:val="none"/>
        </w:rPr>
      </w:pPr>
      <w:r>
        <w:rPr>
          <w:rFonts w:ascii="Arial" w:hAnsi="Arial" w:eastAsia="Arial" w:cs="Arial"/>
          <w:b/>
          <w:bCs/>
          <w:highlight w:val="none"/>
          <w:lang w:val="pt-BR"/>
        </w:rPr>
        <w:t xml:space="preserve">15.3. </w:t>
      </w:r>
      <w:r>
        <w:rPr>
          <w:rFonts w:ascii="Arial" w:hAnsi="Arial" w:eastAsia="Arial" w:cs="Arial"/>
          <w:highlight w:val="none"/>
        </w:rPr>
        <w:t xml:space="preserve">Uso Eficiente dos Recursos: Os recursos </w:t>
      </w:r>
      <w:r>
        <w:rPr>
          <w:rFonts w:ascii="Arial" w:hAnsi="Arial" w:eastAsia="Arial" w:cs="Arial"/>
          <w:color w:val="000000"/>
          <w:highlight w:val="none"/>
          <w:lang w:val="pt-BR" w:eastAsia="pt-BR"/>
        </w:rPr>
        <w:t xml:space="preserve">estão sendo </w:t>
      </w:r>
      <w:r>
        <w:rPr>
          <w:rFonts w:ascii="Arial" w:hAnsi="Arial" w:eastAsia="Arial" w:cs="Arial"/>
          <w:highlight w:val="none"/>
        </w:rPr>
        <w:t xml:space="preserve">aplicados de forma transparente e eficiente, considerando custos e benefícios.</w:t>
      </w:r>
      <w:r>
        <w:rPr>
          <w:rFonts w:ascii="Arial" w:hAnsi="Arial" w:cs="Arial"/>
          <w:highlight w:val="none"/>
        </w:rPr>
      </w:r>
      <w:r>
        <w:rPr>
          <w:rFonts w:ascii="Arial" w:hAnsi="Arial" w:cs="Arial"/>
          <w:highlight w:val="none"/>
        </w:rPr>
      </w:r>
    </w:p>
    <w:p w14:paraId="49DCD641">
      <w:pPr>
        <w:pBdr/>
        <w:spacing/>
        <w:ind/>
        <w:jc w:val="both"/>
        <w:rPr>
          <w:rFonts w:ascii="Arial" w:hAnsi="Arial" w:cs="Arial"/>
          <w:highlight w:val="none"/>
        </w:rPr>
      </w:pPr>
      <w:r>
        <w:rPr>
          <w:rFonts w:ascii="Arial" w:hAnsi="Arial" w:eastAsia="Arial" w:cs="Arial"/>
          <w:b/>
          <w:bCs/>
          <w:highlight w:val="none"/>
          <w:lang w:val="pt-BR"/>
        </w:rPr>
        <w:t xml:space="preserve">15.4.</w:t>
      </w:r>
      <w:r>
        <w:rPr>
          <w:rFonts w:ascii="Arial" w:hAnsi="Arial" w:eastAsia="Arial" w:cs="Arial"/>
          <w:highlight w:val="none"/>
          <w:lang w:val="pt-BR"/>
        </w:rPr>
        <w:t xml:space="preserve"> </w:t>
      </w:r>
      <w:r>
        <w:rPr>
          <w:rFonts w:ascii="Arial" w:hAnsi="Arial" w:eastAsia="Arial" w:cs="Arial"/>
          <w:highlight w:val="none"/>
        </w:rPr>
        <w:t xml:space="preserve">Da Classificação Orçamentária:</w:t>
      </w:r>
      <w:r>
        <w:rPr>
          <w:rFonts w:ascii="Arial" w:hAnsi="Arial" w:cs="Arial"/>
          <w:highlight w:val="none"/>
        </w:rPr>
      </w:r>
      <w:r>
        <w:rPr>
          <w:rFonts w:ascii="Arial" w:hAnsi="Arial" w:cs="Arial"/>
          <w:highlight w:val="none"/>
        </w:rPr>
      </w:r>
    </w:p>
    <w:p w14:paraId="7E6C3BD2">
      <w:pPr>
        <w:pBdr/>
        <w:spacing/>
        <w:ind/>
        <w:jc w:val="both"/>
        <w:rPr>
          <w:rFonts w:ascii="Arial" w:hAnsi="Arial" w:cs="Arial"/>
          <w:iCs/>
          <w:highlight w:val="none"/>
        </w:rPr>
      </w:pPr>
      <w:r>
        <w:rPr>
          <w:rFonts w:ascii="Arial" w:hAnsi="Arial" w:eastAsia="Arial" w:cs="Arial"/>
          <w:b/>
          <w:bCs/>
          <w:iCs/>
          <w:highlight w:val="none"/>
          <w:lang w:val="pt-BR" w:eastAsia="pt-BR"/>
        </w:rPr>
        <w:t xml:space="preserve">15.4.1.</w:t>
      </w:r>
      <w:r>
        <w:rPr>
          <w:rFonts w:ascii="Arial" w:hAnsi="Arial" w:eastAsia="Arial" w:cs="Arial"/>
          <w:iCs/>
          <w:highlight w:val="none"/>
          <w:lang w:val="pt-BR" w:eastAsia="pt-BR"/>
        </w:rPr>
        <w:t xml:space="preserve"> </w:t>
      </w:r>
      <w:r>
        <w:rPr>
          <w:rFonts w:ascii="Arial" w:hAnsi="Arial" w:eastAsia="Arial" w:cs="Arial"/>
          <w:iCs/>
          <w:highlight w:val="none"/>
          <w:lang w:val="pt-BR" w:eastAsia="pt-BR"/>
        </w:rPr>
        <w:t xml:space="preserve">ÓRGÃO: 02 – Prefeitura Municipal de Rondonópolis UNIDADE: 14 – Fundo Municipal de Saúde </w:t>
      </w:r>
      <w:r>
        <w:rPr>
          <w:rFonts w:ascii="Arial" w:hAnsi="Arial" w:cs="Arial"/>
          <w:iCs/>
          <w:highlight w:val="none"/>
        </w:rPr>
      </w:r>
      <w:r>
        <w:rPr>
          <w:rFonts w:ascii="Arial" w:hAnsi="Arial" w:cs="Arial"/>
          <w:iCs/>
          <w:highlight w:val="none"/>
        </w:rPr>
      </w:r>
    </w:p>
    <w:p w14:paraId="630EB5A9">
      <w:pPr>
        <w:pBdr/>
        <w:spacing/>
        <w:ind/>
        <w:jc w:val="both"/>
        <w:rPr>
          <w:rFonts w:ascii="Arial" w:hAnsi="Arial" w:cs="Arial"/>
          <w:iCs/>
          <w:highlight w:val="none"/>
        </w:rPr>
      </w:pPr>
      <w:r>
        <w:rPr>
          <w:rFonts w:ascii="Arial" w:hAnsi="Arial" w:eastAsia="Arial" w:cs="Arial"/>
          <w:iCs/>
          <w:highlight w:val="none"/>
          <w:lang w:val="pt-BR" w:eastAsia="pt-BR"/>
        </w:rPr>
      </w:r>
      <w:r>
        <w:rPr>
          <w:rFonts w:ascii="Arial" w:hAnsi="Arial" w:cs="Arial"/>
          <w:iCs/>
          <w:highlight w:val="none"/>
        </w:rPr>
      </w:r>
      <w:r>
        <w:rPr>
          <w:rFonts w:ascii="Arial" w:hAnsi="Arial" w:cs="Arial"/>
          <w:iCs/>
          <w:highlight w:val="none"/>
        </w:rPr>
      </w:r>
    </w:p>
    <w:tbl>
      <w:tblPr>
        <w:jc w:val="center"/>
        <w:tblW w:w="8969" w:type="dxa"/>
        <w:tblBorders/>
        <w:tblLayout w:type="fixed"/>
        <w:tblLook w:val="04A0" w:firstRow="1" w:lastRow="0" w:firstColumn="1" w:lastColumn="0" w:noHBand="0" w:noVBand="1"/>
      </w:tblPr>
      <w:tblGrid>
        <w:gridCol w:w="2189"/>
        <w:gridCol w:w="6780"/>
      </w:tblGrid>
      <w:tr>
        <w:trPr>
          <w:jc w:val="center"/>
          <w:trHeight w:val="164"/>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4BBCC536">
            <w:pPr>
              <w:pBdr/>
              <w:spacing/>
              <w:ind/>
              <w:jc w:val="center"/>
              <w:rPr>
                <w:rFonts w:ascii="Arial" w:hAnsi="Arial" w:cs="Arial"/>
                <w:sz w:val="16"/>
                <w:szCs w:val="16"/>
                <w:highlight w:val="none"/>
              </w:rPr>
            </w:pPr>
            <w:r>
              <w:rPr>
                <w:rFonts w:ascii="Arial" w:hAnsi="Arial" w:eastAsia="Arial" w:cs="Arial"/>
                <w:b/>
                <w:color w:val="000000"/>
                <w:sz w:val="16"/>
                <w:szCs w:val="16"/>
                <w:highlight w:val="none"/>
                <w:lang w:val="pt-BR" w:eastAsia="pt-BR"/>
              </w:rPr>
              <w:t xml:space="preserve">Classificação Orçamentária da Despesa</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37534F90">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Órgão:</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3ADA6892">
            <w:pPr>
              <w:pBdr/>
              <w:spacing/>
              <w:ind/>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02 – Prefeitura Municipal de Rondonópolis</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664034EA">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Unidade:</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03A9DF62">
            <w:pPr>
              <w:pBdr/>
              <w:spacing/>
              <w:ind/>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14 – Fundo Municipal de Saúde</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4F387FF2">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Funcional Programática:</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5AC41A0C">
            <w:pPr>
              <w:pBdr/>
              <w:spacing/>
              <w:ind/>
              <w:rPr>
                <w:rFonts w:ascii="Arial" w:hAnsi="Arial" w:cs="Arial"/>
                <w:sz w:val="16"/>
                <w:szCs w:val="16"/>
                <w:highlight w:val="none"/>
              </w:rPr>
            </w:pPr>
            <w:r>
              <w:rPr>
                <w:rFonts w:ascii="Arial" w:hAnsi="Arial" w:eastAsia="Arial" w:cs="Arial"/>
                <w:sz w:val="16"/>
                <w:szCs w:val="16"/>
                <w:highlight w:val="none"/>
              </w:rPr>
              <w:t xml:space="preserve">10.301.2202.2180 - MANUTENÇÃO E CONSERVAÇÃO DA ATENÇÃO PRIMÁRIA À SAÚDE - APS E PROGRAMAS ESPECIAIS.</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CB67AA2">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Elemento de Despesa:</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4B84C13D">
            <w:pPr>
              <w:pBdr/>
              <w:spacing/>
              <w:ind/>
              <w:rPr>
                <w:rFonts w:ascii="Arial" w:hAnsi="Arial" w:cs="Arial"/>
                <w:sz w:val="16"/>
                <w:szCs w:val="16"/>
                <w:highlight w:val="none"/>
              </w:rPr>
            </w:pPr>
            <w:r>
              <w:rPr>
                <w:rFonts w:ascii="Arial" w:hAnsi="Arial" w:eastAsia="Arial" w:cs="Arial"/>
                <w:sz w:val="16"/>
                <w:szCs w:val="16"/>
                <w:highlight w:val="none"/>
              </w:rPr>
              <w:t xml:space="preserve">3.3.90.30.00.00 – MATERIAL DE CONSUMO</w:t>
            </w:r>
            <w:r>
              <w:rPr>
                <w:rFonts w:ascii="Arial" w:hAnsi="Arial" w:cs="Arial"/>
                <w:sz w:val="16"/>
                <w:szCs w:val="16"/>
                <w:highlight w:val="none"/>
              </w:rPr>
            </w:r>
            <w:r>
              <w:rPr>
                <w:rFonts w:ascii="Arial" w:hAnsi="Arial" w:cs="Arial"/>
                <w:sz w:val="16"/>
                <w:szCs w:val="16"/>
                <w:highlight w:val="none"/>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783E6BD2">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Reduzido:</w:t>
            </w:r>
            <w:r>
              <w:rPr>
                <w:rFonts w:ascii="Arial" w:hAnsi="Arial" w:cs="Arial"/>
                <w:sz w:val="16"/>
                <w:szCs w:val="16"/>
                <w:highlight w:val="none"/>
              </w:rPr>
            </w:r>
            <w:r>
              <w:rPr>
                <w:rFonts w:ascii="Arial" w:hAnsi="Arial" w:cs="Arial"/>
                <w:sz w:val="16"/>
                <w:szCs w:val="16"/>
                <w:highlight w:val="none"/>
              </w:rPr>
            </w:r>
          </w:p>
        </w:tc>
        <w:tc>
          <w:tcPr>
            <w:tcBorders>
              <w:left w:val="single" w:color="000000" w:sz="4" w:space="0"/>
              <w:bottom w:val="single" w:color="000000" w:sz="4" w:space="0"/>
              <w:right w:val="single" w:color="000000" w:sz="4" w:space="0"/>
            </w:tcBorders>
            <w:tcW w:w="6780" w:type="dxa"/>
            <w:textDirection w:val="lrTb"/>
            <w:noWrap w:val="false"/>
          </w:tcPr>
          <w:p w14:paraId="41283EFA">
            <w:pPr>
              <w:pBdr/>
              <w:spacing/>
              <w:ind/>
              <w:rPr>
                <w:rFonts w:ascii="Arial" w:hAnsi="Arial" w:cs="Arial"/>
                <w:sz w:val="16"/>
                <w:szCs w:val="16"/>
                <w:highlight w:val="none"/>
              </w:rPr>
            </w:pPr>
            <w:r>
              <w:rPr>
                <w:rFonts w:ascii="Arial" w:hAnsi="Arial" w:eastAsia="Arial" w:cs="Arial"/>
                <w:b/>
                <w:sz w:val="16"/>
                <w:szCs w:val="16"/>
                <w:highlight w:val="none"/>
              </w:rPr>
              <w:t xml:space="preserve">673</w:t>
            </w:r>
            <w:r>
              <w:rPr>
                <w:rFonts w:ascii="Arial" w:hAnsi="Arial" w:cs="Arial"/>
                <w:sz w:val="16"/>
                <w:szCs w:val="16"/>
                <w:highlight w:val="none"/>
              </w:rPr>
            </w:r>
            <w:r>
              <w:rPr>
                <w:rFonts w:ascii="Arial" w:hAnsi="Arial" w:cs="Arial"/>
                <w:sz w:val="16"/>
                <w:szCs w:val="16"/>
                <w:highlight w:val="none"/>
              </w:rPr>
            </w:r>
          </w:p>
        </w:tc>
      </w:tr>
      <w:tr>
        <w:trPr>
          <w:jc w:val="center"/>
          <w:trHeight w:val="56"/>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61BBE215">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Fonte de Recurso:</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616B4DB9">
            <w:pPr>
              <w:pBdr/>
              <w:spacing/>
              <w:ind/>
              <w:rPr>
                <w:rFonts w:ascii="Arial" w:hAnsi="Arial" w:cs="Arial"/>
                <w:sz w:val="16"/>
                <w:szCs w:val="16"/>
                <w:highlight w:val="none"/>
              </w:rPr>
            </w:pPr>
            <w:r>
              <w:rPr>
                <w:rFonts w:ascii="Arial" w:hAnsi="Arial" w:eastAsia="Arial" w:cs="Arial"/>
                <w:sz w:val="16"/>
                <w:szCs w:val="16"/>
                <w:highlight w:val="none"/>
              </w:rPr>
              <w:t xml:space="preserve">1.500.1002000</w:t>
            </w:r>
            <w:r>
              <w:rPr>
                <w:rFonts w:ascii="Arial" w:hAnsi="Arial" w:cs="Arial"/>
                <w:sz w:val="16"/>
                <w:szCs w:val="16"/>
                <w:highlight w:val="none"/>
              </w:rPr>
            </w:r>
            <w:r>
              <w:rPr>
                <w:rFonts w:ascii="Arial" w:hAnsi="Arial" w:cs="Arial"/>
                <w:sz w:val="16"/>
                <w:szCs w:val="16"/>
                <w:highlight w:val="none"/>
              </w:rPr>
            </w:r>
          </w:p>
        </w:tc>
      </w:tr>
    </w:tbl>
    <w:p w14:paraId="61856D67">
      <w:pPr>
        <w:pBdr/>
        <w:spacing/>
        <w:ind/>
        <w:jc w:val="both"/>
        <w:rPr>
          <w:rFonts w:ascii="Arial" w:hAnsi="Arial" w:cs="Arial"/>
          <w:sz w:val="16"/>
          <w:szCs w:val="16"/>
          <w:highlight w:val="none"/>
        </w:rPr>
      </w:pPr>
      <w:r>
        <w:rPr>
          <w:rFonts w:ascii="Arial" w:hAnsi="Arial" w:eastAsia="Arial" w:cs="Arial"/>
          <w:sz w:val="16"/>
          <w:szCs w:val="16"/>
          <w:highlight w:val="none"/>
        </w:rPr>
      </w:r>
      <w:r>
        <w:rPr>
          <w:rFonts w:ascii="Arial" w:hAnsi="Arial" w:cs="Arial"/>
          <w:sz w:val="16"/>
          <w:szCs w:val="16"/>
          <w:highlight w:val="none"/>
        </w:rPr>
      </w:r>
      <w:r>
        <w:rPr>
          <w:rFonts w:ascii="Arial" w:hAnsi="Arial" w:cs="Arial"/>
          <w:sz w:val="16"/>
          <w:szCs w:val="16"/>
          <w:highlight w:val="none"/>
        </w:rPr>
      </w:r>
    </w:p>
    <w:tbl>
      <w:tblPr>
        <w:jc w:val="center"/>
        <w:tblW w:w="8969" w:type="dxa"/>
        <w:tblBorders/>
        <w:tblLayout w:type="fixed"/>
        <w:tblLook w:val="04A0" w:firstRow="1" w:lastRow="0" w:firstColumn="1" w:lastColumn="0" w:noHBand="0" w:noVBand="1"/>
      </w:tblPr>
      <w:tblGrid>
        <w:gridCol w:w="2189"/>
        <w:gridCol w:w="6780"/>
      </w:tblGrid>
      <w:tr>
        <w:trPr>
          <w:jc w:val="center"/>
          <w:trHeight w:val="93"/>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7163CFE9">
            <w:pPr>
              <w:pBdr/>
              <w:spacing/>
              <w:ind/>
              <w:jc w:val="center"/>
              <w:rPr>
                <w:rFonts w:ascii="Arial" w:hAnsi="Arial" w:cs="Arial"/>
                <w:sz w:val="16"/>
                <w:szCs w:val="16"/>
                <w:highlight w:val="none"/>
              </w:rPr>
            </w:pPr>
            <w:r>
              <w:rPr>
                <w:rFonts w:ascii="Arial" w:hAnsi="Arial" w:eastAsia="Arial" w:cs="Arial"/>
                <w:b/>
                <w:color w:val="000000"/>
                <w:sz w:val="16"/>
                <w:szCs w:val="16"/>
                <w:highlight w:val="none"/>
                <w:lang w:val="pt-BR" w:eastAsia="pt-BR"/>
              </w:rPr>
              <w:t xml:space="preserve">Classificação Orçamentária da Despesa</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17A1A20">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Órgão:</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579AF861">
            <w:pPr>
              <w:pBdr/>
              <w:spacing/>
              <w:ind/>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02 – Prefeitura Municipal de Rondonópolis</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7AA20D93">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Unidade:</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32EDB728">
            <w:pPr>
              <w:pBdr/>
              <w:spacing/>
              <w:ind/>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14 – Fundo Municipal de Saúde</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614CE772">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Funcional Programática:</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4249C283">
            <w:pPr>
              <w:pBdr/>
              <w:spacing/>
              <w:ind/>
              <w:rPr>
                <w:rFonts w:ascii="Arial" w:hAnsi="Arial" w:cs="Arial"/>
                <w:sz w:val="16"/>
                <w:szCs w:val="16"/>
                <w:highlight w:val="none"/>
              </w:rPr>
            </w:pPr>
            <w:r>
              <w:rPr>
                <w:rFonts w:ascii="Arial" w:hAnsi="Arial" w:eastAsia="Arial" w:cs="Arial"/>
                <w:sz w:val="16"/>
                <w:szCs w:val="16"/>
                <w:highlight w:val="none"/>
              </w:rPr>
              <w:t xml:space="preserve">10.301.2202.2180 - MANUTENÇÃO E CONSERVAÇÃO DA ATENÇÃO PRIMÁRIA À SAÚDE - APS E PROGRAMAS ESPECIAIS.</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31CDA4C8">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Elemento de Despesa:</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2241DC85">
            <w:pPr>
              <w:pBdr/>
              <w:spacing/>
              <w:ind/>
              <w:rPr>
                <w:rFonts w:ascii="Arial" w:hAnsi="Arial" w:cs="Arial"/>
                <w:sz w:val="16"/>
                <w:szCs w:val="16"/>
                <w:highlight w:val="none"/>
              </w:rPr>
            </w:pPr>
            <w:r>
              <w:rPr>
                <w:rFonts w:ascii="Arial" w:hAnsi="Arial" w:eastAsia="Arial" w:cs="Arial"/>
                <w:sz w:val="16"/>
                <w:szCs w:val="16"/>
                <w:highlight w:val="none"/>
              </w:rPr>
              <w:t xml:space="preserve">3.3.90.30.00.00 – MATERIAL DE CONSUMO</w:t>
            </w:r>
            <w:r>
              <w:rPr>
                <w:rFonts w:ascii="Arial" w:hAnsi="Arial" w:cs="Arial"/>
                <w:sz w:val="16"/>
                <w:szCs w:val="16"/>
                <w:highlight w:val="none"/>
              </w:rPr>
            </w:r>
            <w:r>
              <w:rPr>
                <w:rFonts w:ascii="Arial" w:hAnsi="Arial" w:cs="Arial"/>
                <w:sz w:val="16"/>
                <w:szCs w:val="16"/>
                <w:highlight w:val="none"/>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73D75B78">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Reduzido:</w:t>
            </w:r>
            <w:r>
              <w:rPr>
                <w:rFonts w:ascii="Arial" w:hAnsi="Arial" w:cs="Arial"/>
                <w:sz w:val="16"/>
                <w:szCs w:val="16"/>
                <w:highlight w:val="none"/>
              </w:rPr>
            </w:r>
            <w:r>
              <w:rPr>
                <w:rFonts w:ascii="Arial" w:hAnsi="Arial" w:cs="Arial"/>
                <w:sz w:val="16"/>
                <w:szCs w:val="16"/>
                <w:highlight w:val="none"/>
              </w:rPr>
            </w:r>
          </w:p>
        </w:tc>
        <w:tc>
          <w:tcPr>
            <w:tcBorders>
              <w:left w:val="single" w:color="000000" w:sz="4" w:space="0"/>
              <w:bottom w:val="single" w:color="000000" w:sz="4" w:space="0"/>
              <w:right w:val="single" w:color="000000" w:sz="4" w:space="0"/>
            </w:tcBorders>
            <w:tcW w:w="6780" w:type="dxa"/>
            <w:textDirection w:val="lrTb"/>
            <w:noWrap w:val="false"/>
          </w:tcPr>
          <w:p w14:paraId="36454B2C">
            <w:pPr>
              <w:pBdr/>
              <w:spacing/>
              <w:ind/>
              <w:rPr>
                <w:rFonts w:ascii="Arial" w:hAnsi="Arial" w:cs="Arial"/>
                <w:sz w:val="16"/>
                <w:szCs w:val="16"/>
                <w:highlight w:val="none"/>
              </w:rPr>
            </w:pPr>
            <w:r>
              <w:rPr>
                <w:rFonts w:ascii="Arial" w:hAnsi="Arial" w:eastAsia="Arial" w:cs="Arial"/>
                <w:b/>
                <w:sz w:val="16"/>
                <w:szCs w:val="16"/>
                <w:highlight w:val="none"/>
              </w:rPr>
              <w:t xml:space="preserve">674</w:t>
            </w:r>
            <w:r>
              <w:rPr>
                <w:rFonts w:ascii="Arial" w:hAnsi="Arial" w:cs="Arial"/>
                <w:sz w:val="16"/>
                <w:szCs w:val="16"/>
                <w:highlight w:val="none"/>
              </w:rPr>
            </w:r>
            <w:r>
              <w:rPr>
                <w:rFonts w:ascii="Arial" w:hAnsi="Arial" w:cs="Arial"/>
                <w:sz w:val="16"/>
                <w:szCs w:val="16"/>
                <w:highlight w:val="none"/>
              </w:rPr>
            </w:r>
          </w:p>
        </w:tc>
      </w:tr>
      <w:tr>
        <w:trPr>
          <w:jc w:val="center"/>
          <w:trHeight w:val="162"/>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508F82E5">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Fonte de Recurso:</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10BAFC9F">
            <w:pPr>
              <w:pBdr/>
              <w:spacing/>
              <w:ind/>
              <w:rPr>
                <w:rFonts w:ascii="Arial" w:hAnsi="Arial" w:cs="Arial"/>
                <w:sz w:val="16"/>
                <w:szCs w:val="16"/>
                <w:highlight w:val="none"/>
              </w:rPr>
            </w:pPr>
            <w:r>
              <w:rPr>
                <w:rFonts w:ascii="Arial" w:hAnsi="Arial" w:eastAsia="Arial" w:cs="Arial"/>
                <w:sz w:val="16"/>
                <w:szCs w:val="16"/>
                <w:highlight w:val="none"/>
              </w:rPr>
              <w:t xml:space="preserve">1.600.0000600</w:t>
            </w:r>
            <w:r>
              <w:rPr>
                <w:rFonts w:ascii="Arial" w:hAnsi="Arial" w:cs="Arial"/>
                <w:sz w:val="16"/>
                <w:szCs w:val="16"/>
                <w:highlight w:val="none"/>
              </w:rPr>
            </w:r>
            <w:r>
              <w:rPr>
                <w:rFonts w:ascii="Arial" w:hAnsi="Arial" w:cs="Arial"/>
                <w:sz w:val="16"/>
                <w:szCs w:val="16"/>
                <w:highlight w:val="none"/>
              </w:rPr>
            </w:r>
          </w:p>
        </w:tc>
      </w:tr>
    </w:tbl>
    <w:p w14:paraId="5203225C">
      <w:pPr>
        <w:pBdr/>
        <w:spacing/>
        <w:ind/>
        <w:jc w:val="both"/>
        <w:rPr>
          <w:rFonts w:ascii="Arial" w:hAnsi="Arial" w:cs="Arial"/>
          <w:sz w:val="16"/>
          <w:szCs w:val="16"/>
          <w:highlight w:val="none"/>
        </w:rPr>
      </w:pPr>
      <w:r>
        <w:rPr>
          <w:rFonts w:ascii="Arial" w:hAnsi="Arial" w:eastAsia="Arial" w:cs="Arial"/>
          <w:sz w:val="16"/>
          <w:szCs w:val="16"/>
          <w:highlight w:val="none"/>
        </w:rPr>
      </w:r>
      <w:r>
        <w:rPr>
          <w:rFonts w:ascii="Arial" w:hAnsi="Arial" w:cs="Arial"/>
          <w:sz w:val="16"/>
          <w:szCs w:val="16"/>
          <w:highlight w:val="none"/>
        </w:rPr>
      </w:r>
      <w:r>
        <w:rPr>
          <w:rFonts w:ascii="Arial" w:hAnsi="Arial" w:cs="Arial"/>
          <w:sz w:val="16"/>
          <w:szCs w:val="16"/>
          <w:highlight w:val="none"/>
        </w:rPr>
      </w:r>
    </w:p>
    <w:tbl>
      <w:tblPr>
        <w:jc w:val="center"/>
        <w:tblW w:w="8969" w:type="dxa"/>
        <w:tblBorders/>
        <w:tblLayout w:type="fixed"/>
        <w:tblLook w:val="04A0" w:firstRow="1" w:lastRow="0" w:firstColumn="1" w:lastColumn="0" w:noHBand="0" w:noVBand="1"/>
      </w:tblPr>
      <w:tblGrid>
        <w:gridCol w:w="2189"/>
        <w:gridCol w:w="6780"/>
      </w:tblGrid>
      <w:tr>
        <w:trPr>
          <w:jc w:val="center"/>
          <w:trHeight w:val="200"/>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2DD49CA2">
            <w:pPr>
              <w:pBdr/>
              <w:spacing/>
              <w:ind/>
              <w:jc w:val="center"/>
              <w:rPr>
                <w:rFonts w:ascii="Arial" w:hAnsi="Arial" w:cs="Arial"/>
                <w:sz w:val="16"/>
                <w:szCs w:val="16"/>
                <w:highlight w:val="none"/>
              </w:rPr>
            </w:pPr>
            <w:r>
              <w:rPr>
                <w:rFonts w:ascii="Arial" w:hAnsi="Arial" w:eastAsia="Arial" w:cs="Arial"/>
                <w:b/>
                <w:color w:val="000000"/>
                <w:sz w:val="16"/>
                <w:szCs w:val="16"/>
                <w:highlight w:val="none"/>
                <w:lang w:val="pt-BR" w:eastAsia="pt-BR"/>
              </w:rPr>
              <w:t xml:space="preserve">Classificação Orçamentária da Despesa</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0A6516B">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Órgão:</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7C43C5FA">
            <w:pPr>
              <w:pBdr/>
              <w:spacing/>
              <w:ind/>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02 – Prefeitura Municipal de Rondonópolis</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55F0E8DB">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Unidade:</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27DA453A">
            <w:pPr>
              <w:pBdr/>
              <w:spacing/>
              <w:ind/>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14 – Fundo Municipal de Saúde</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212E837D">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Funcional Programática:</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1104BFDE">
            <w:pPr>
              <w:pBdr/>
              <w:spacing/>
              <w:ind/>
              <w:rPr>
                <w:rFonts w:ascii="Arial" w:hAnsi="Arial" w:cs="Arial"/>
                <w:sz w:val="16"/>
                <w:szCs w:val="16"/>
                <w:highlight w:val="none"/>
              </w:rPr>
            </w:pPr>
            <w:r>
              <w:rPr>
                <w:rFonts w:ascii="Arial" w:hAnsi="Arial" w:eastAsia="Arial" w:cs="Arial"/>
                <w:sz w:val="16"/>
                <w:szCs w:val="16"/>
                <w:highlight w:val="none"/>
              </w:rPr>
              <w:t xml:space="preserve">10.302.2203. 2189 - MANUTENÇÃO E EXPANSÃO DO SERVIÇO DE ATENDIMENTO MÓVEL DE URGÊNCIA-SAMU 192</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2DC00170">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Elemento de Despesa:</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2204AC40">
            <w:pPr>
              <w:pBdr/>
              <w:spacing/>
              <w:ind/>
              <w:rPr>
                <w:rFonts w:ascii="Arial" w:hAnsi="Arial" w:cs="Arial"/>
                <w:sz w:val="16"/>
                <w:szCs w:val="16"/>
                <w:highlight w:val="none"/>
              </w:rPr>
            </w:pPr>
            <w:r>
              <w:rPr>
                <w:rFonts w:ascii="Arial" w:hAnsi="Arial" w:eastAsia="Arial" w:cs="Arial"/>
                <w:sz w:val="16"/>
                <w:szCs w:val="16"/>
                <w:highlight w:val="none"/>
              </w:rPr>
              <w:t xml:space="preserve">3.3.90.30.00.00 – MATERIAL DE CONSUMO</w:t>
            </w:r>
            <w:r>
              <w:rPr>
                <w:rFonts w:ascii="Arial" w:hAnsi="Arial" w:cs="Arial"/>
                <w:sz w:val="16"/>
                <w:szCs w:val="16"/>
                <w:highlight w:val="none"/>
              </w:rPr>
            </w:r>
            <w:r>
              <w:rPr>
                <w:rFonts w:ascii="Arial" w:hAnsi="Arial" w:cs="Arial"/>
                <w:sz w:val="16"/>
                <w:szCs w:val="16"/>
                <w:highlight w:val="none"/>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4FA90F31">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Reduzido:</w:t>
            </w:r>
            <w:r>
              <w:rPr>
                <w:rFonts w:ascii="Arial" w:hAnsi="Arial" w:cs="Arial"/>
                <w:sz w:val="16"/>
                <w:szCs w:val="16"/>
                <w:highlight w:val="none"/>
              </w:rPr>
            </w:r>
            <w:r>
              <w:rPr>
                <w:rFonts w:ascii="Arial" w:hAnsi="Arial" w:cs="Arial"/>
                <w:sz w:val="16"/>
                <w:szCs w:val="16"/>
                <w:highlight w:val="none"/>
              </w:rPr>
            </w:r>
          </w:p>
        </w:tc>
        <w:tc>
          <w:tcPr>
            <w:tcBorders>
              <w:left w:val="single" w:color="000000" w:sz="4" w:space="0"/>
              <w:bottom w:val="single" w:color="000000" w:sz="4" w:space="0"/>
              <w:right w:val="single" w:color="000000" w:sz="4" w:space="0"/>
            </w:tcBorders>
            <w:tcW w:w="6780" w:type="dxa"/>
            <w:textDirection w:val="lrTb"/>
            <w:noWrap w:val="false"/>
          </w:tcPr>
          <w:p w14:paraId="163A8928">
            <w:pPr>
              <w:pBdr/>
              <w:spacing/>
              <w:ind/>
              <w:rPr>
                <w:rFonts w:ascii="Arial" w:hAnsi="Arial" w:cs="Arial"/>
                <w:sz w:val="16"/>
                <w:szCs w:val="16"/>
                <w:highlight w:val="none"/>
              </w:rPr>
            </w:pPr>
            <w:r>
              <w:rPr>
                <w:rFonts w:ascii="Arial" w:hAnsi="Arial" w:eastAsia="Arial" w:cs="Arial"/>
                <w:b/>
                <w:sz w:val="16"/>
                <w:szCs w:val="16"/>
                <w:highlight w:val="none"/>
              </w:rPr>
              <w:t xml:space="preserve">593</w:t>
            </w:r>
            <w:r>
              <w:rPr>
                <w:rFonts w:ascii="Arial" w:hAnsi="Arial" w:cs="Arial"/>
                <w:sz w:val="16"/>
                <w:szCs w:val="16"/>
                <w:highlight w:val="none"/>
              </w:rPr>
            </w:r>
            <w:r>
              <w:rPr>
                <w:rFonts w:ascii="Arial" w:hAnsi="Arial" w:cs="Arial"/>
                <w:sz w:val="16"/>
                <w:szCs w:val="16"/>
                <w:highlight w:val="none"/>
              </w:rPr>
            </w:r>
          </w:p>
        </w:tc>
      </w:tr>
      <w:tr>
        <w:trPr>
          <w:jc w:val="center"/>
          <w:trHeight w:val="112"/>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6B1F168C">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Fonte de Recurso:</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15C23A9B">
            <w:pPr>
              <w:pBdr/>
              <w:spacing/>
              <w:ind/>
              <w:rPr>
                <w:rFonts w:ascii="Arial" w:hAnsi="Arial" w:cs="Arial"/>
                <w:sz w:val="16"/>
                <w:szCs w:val="16"/>
                <w:highlight w:val="none"/>
              </w:rPr>
            </w:pPr>
            <w:r>
              <w:rPr>
                <w:rFonts w:ascii="Arial" w:hAnsi="Arial" w:eastAsia="Arial" w:cs="Arial"/>
                <w:sz w:val="16"/>
                <w:szCs w:val="16"/>
                <w:highlight w:val="none"/>
              </w:rPr>
              <w:t xml:space="preserve">1.600.0000603</w:t>
            </w:r>
            <w:r>
              <w:rPr>
                <w:rFonts w:ascii="Arial" w:hAnsi="Arial" w:cs="Arial"/>
                <w:sz w:val="16"/>
                <w:szCs w:val="16"/>
                <w:highlight w:val="none"/>
              </w:rPr>
            </w:r>
            <w:r>
              <w:rPr>
                <w:rFonts w:ascii="Arial" w:hAnsi="Arial" w:cs="Arial"/>
                <w:sz w:val="16"/>
                <w:szCs w:val="16"/>
                <w:highlight w:val="none"/>
              </w:rPr>
            </w:r>
          </w:p>
        </w:tc>
      </w:tr>
    </w:tbl>
    <w:p w14:paraId="1C05B775">
      <w:pPr>
        <w:pBdr/>
        <w:spacing/>
        <w:ind/>
        <w:jc w:val="both"/>
        <w:rPr>
          <w:rFonts w:ascii="Arial" w:hAnsi="Arial" w:cs="Arial"/>
          <w:sz w:val="16"/>
          <w:szCs w:val="16"/>
          <w:highlight w:val="none"/>
        </w:rPr>
      </w:pPr>
      <w:r>
        <w:rPr>
          <w:rFonts w:ascii="Arial" w:hAnsi="Arial" w:eastAsia="Arial" w:cs="Arial"/>
          <w:sz w:val="16"/>
          <w:szCs w:val="16"/>
          <w:highlight w:val="none"/>
        </w:rPr>
      </w:r>
      <w:r>
        <w:rPr>
          <w:rFonts w:ascii="Arial" w:hAnsi="Arial" w:cs="Arial"/>
          <w:sz w:val="16"/>
          <w:szCs w:val="16"/>
          <w:highlight w:val="none"/>
        </w:rPr>
      </w:r>
      <w:r>
        <w:rPr>
          <w:rFonts w:ascii="Arial" w:hAnsi="Arial" w:cs="Arial"/>
          <w:sz w:val="16"/>
          <w:szCs w:val="16"/>
          <w:highlight w:val="none"/>
        </w:rPr>
      </w:r>
    </w:p>
    <w:tbl>
      <w:tblPr>
        <w:jc w:val="center"/>
        <w:tblW w:w="8969" w:type="dxa"/>
        <w:tblBorders/>
        <w:tblLayout w:type="fixed"/>
        <w:tblLook w:val="04A0" w:firstRow="1" w:lastRow="0" w:firstColumn="1" w:lastColumn="0" w:noHBand="0" w:noVBand="1"/>
      </w:tblPr>
      <w:tblGrid>
        <w:gridCol w:w="2189"/>
        <w:gridCol w:w="6780"/>
      </w:tblGrid>
      <w:tr>
        <w:trPr>
          <w:jc w:val="center"/>
          <w:trHeight w:val="149"/>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2CE3CD9C">
            <w:pPr>
              <w:pBdr/>
              <w:spacing/>
              <w:ind/>
              <w:jc w:val="center"/>
              <w:rPr>
                <w:rFonts w:ascii="Arial" w:hAnsi="Arial" w:cs="Arial"/>
                <w:sz w:val="16"/>
                <w:szCs w:val="16"/>
                <w:highlight w:val="none"/>
              </w:rPr>
            </w:pPr>
            <w:r>
              <w:rPr>
                <w:rFonts w:ascii="Arial" w:hAnsi="Arial" w:eastAsia="Arial" w:cs="Arial"/>
                <w:b/>
                <w:color w:val="000000"/>
                <w:sz w:val="16"/>
                <w:szCs w:val="16"/>
                <w:highlight w:val="none"/>
                <w:lang w:val="pt-BR" w:eastAsia="pt-BR"/>
              </w:rPr>
              <w:t xml:space="preserve">Classificação Orçamentária da Despesa</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46E7BB0B">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Órgão:</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5044105D">
            <w:pPr>
              <w:pBdr/>
              <w:spacing/>
              <w:ind/>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02 – Prefeitura Municipal de Rondonópolis</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785ABF0">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Unidade:</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31D86AC7">
            <w:pPr>
              <w:pBdr/>
              <w:spacing/>
              <w:ind/>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14 – Fundo Municipal de Saúde</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4A9A924F">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Funcional Programática:</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15BAD25B">
            <w:pPr>
              <w:pBdr/>
              <w:spacing/>
              <w:ind/>
              <w:rPr>
                <w:rFonts w:ascii="Arial" w:hAnsi="Arial" w:cs="Arial"/>
                <w:sz w:val="16"/>
                <w:szCs w:val="16"/>
                <w:highlight w:val="none"/>
              </w:rPr>
            </w:pPr>
            <w:r>
              <w:rPr>
                <w:rFonts w:ascii="Arial" w:hAnsi="Arial" w:eastAsia="Arial" w:cs="Arial"/>
                <w:sz w:val="16"/>
                <w:szCs w:val="16"/>
                <w:highlight w:val="none"/>
              </w:rPr>
              <w:t xml:space="preserve">10.302.2203.2192 - MANUTENÇÃO DOS SERVIÇOS DE NEFROLOGIA</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4ABE9D29">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Elemento de Despesa:</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33F9D441">
            <w:pPr>
              <w:pBdr/>
              <w:spacing/>
              <w:ind/>
              <w:rPr>
                <w:rFonts w:ascii="Arial" w:hAnsi="Arial" w:cs="Arial"/>
                <w:sz w:val="16"/>
                <w:szCs w:val="16"/>
                <w:highlight w:val="none"/>
              </w:rPr>
            </w:pPr>
            <w:r>
              <w:rPr>
                <w:rFonts w:ascii="Arial" w:hAnsi="Arial" w:eastAsia="Arial" w:cs="Arial"/>
                <w:sz w:val="16"/>
                <w:szCs w:val="16"/>
                <w:highlight w:val="none"/>
              </w:rPr>
              <w:t xml:space="preserve">3.3.90.30.00.00 – MATERIAL DE CONSUMO</w:t>
            </w:r>
            <w:r>
              <w:rPr>
                <w:rFonts w:ascii="Arial" w:hAnsi="Arial" w:cs="Arial"/>
                <w:sz w:val="16"/>
                <w:szCs w:val="16"/>
                <w:highlight w:val="none"/>
              </w:rPr>
            </w:r>
            <w:r>
              <w:rPr>
                <w:rFonts w:ascii="Arial" w:hAnsi="Arial" w:cs="Arial"/>
                <w:sz w:val="16"/>
                <w:szCs w:val="16"/>
                <w:highlight w:val="none"/>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73D5B18E">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Reduzido:</w:t>
            </w:r>
            <w:r>
              <w:rPr>
                <w:rFonts w:ascii="Arial" w:hAnsi="Arial" w:cs="Arial"/>
                <w:sz w:val="16"/>
                <w:szCs w:val="16"/>
                <w:highlight w:val="none"/>
              </w:rPr>
            </w:r>
            <w:r>
              <w:rPr>
                <w:rFonts w:ascii="Arial" w:hAnsi="Arial" w:cs="Arial"/>
                <w:sz w:val="16"/>
                <w:szCs w:val="16"/>
                <w:highlight w:val="none"/>
              </w:rPr>
            </w:r>
          </w:p>
        </w:tc>
        <w:tc>
          <w:tcPr>
            <w:tcBorders>
              <w:left w:val="single" w:color="000000" w:sz="4" w:space="0"/>
              <w:bottom w:val="single" w:color="000000" w:sz="4" w:space="0"/>
              <w:right w:val="single" w:color="000000" w:sz="4" w:space="0"/>
            </w:tcBorders>
            <w:tcW w:w="6780" w:type="dxa"/>
            <w:textDirection w:val="lrTb"/>
            <w:noWrap w:val="false"/>
          </w:tcPr>
          <w:p w14:paraId="2A8BA61B">
            <w:pPr>
              <w:pBdr/>
              <w:spacing/>
              <w:ind/>
              <w:rPr>
                <w:rFonts w:ascii="Arial" w:hAnsi="Arial" w:cs="Arial"/>
                <w:sz w:val="16"/>
                <w:szCs w:val="16"/>
                <w:highlight w:val="none"/>
              </w:rPr>
            </w:pPr>
            <w:r>
              <w:rPr>
                <w:rFonts w:ascii="Arial" w:hAnsi="Arial" w:eastAsia="Arial" w:cs="Arial"/>
                <w:b/>
                <w:sz w:val="16"/>
                <w:szCs w:val="16"/>
                <w:highlight w:val="none"/>
              </w:rPr>
              <w:t xml:space="preserve">600</w:t>
            </w:r>
            <w:r>
              <w:rPr>
                <w:rFonts w:ascii="Arial" w:hAnsi="Arial" w:cs="Arial"/>
                <w:sz w:val="16"/>
                <w:szCs w:val="16"/>
                <w:highlight w:val="none"/>
              </w:rPr>
            </w:r>
            <w:r>
              <w:rPr>
                <w:rFonts w:ascii="Arial" w:hAnsi="Arial" w:cs="Arial"/>
                <w:sz w:val="16"/>
                <w:szCs w:val="16"/>
                <w:highlight w:val="none"/>
              </w:rPr>
            </w:r>
          </w:p>
        </w:tc>
      </w:tr>
      <w:tr>
        <w:trPr>
          <w:jc w:val="center"/>
          <w:trHeight w:val="119"/>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6F526D55">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Fonte de Recurso:</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7B1887B1">
            <w:pPr>
              <w:pBdr/>
              <w:spacing/>
              <w:ind/>
              <w:rPr>
                <w:rFonts w:ascii="Arial" w:hAnsi="Arial" w:cs="Arial"/>
                <w:sz w:val="16"/>
                <w:szCs w:val="16"/>
                <w:highlight w:val="none"/>
              </w:rPr>
            </w:pPr>
            <w:r>
              <w:rPr>
                <w:rFonts w:ascii="Arial" w:hAnsi="Arial" w:eastAsia="Arial" w:cs="Arial"/>
                <w:sz w:val="16"/>
                <w:szCs w:val="16"/>
                <w:highlight w:val="none"/>
              </w:rPr>
              <w:t xml:space="preserve">1.600.0000603</w:t>
            </w:r>
            <w:r>
              <w:rPr>
                <w:rFonts w:ascii="Arial" w:hAnsi="Arial" w:cs="Arial"/>
                <w:sz w:val="16"/>
                <w:szCs w:val="16"/>
                <w:highlight w:val="none"/>
              </w:rPr>
            </w:r>
            <w:r>
              <w:rPr>
                <w:rFonts w:ascii="Arial" w:hAnsi="Arial" w:cs="Arial"/>
                <w:sz w:val="16"/>
                <w:szCs w:val="16"/>
                <w:highlight w:val="none"/>
              </w:rPr>
            </w:r>
          </w:p>
        </w:tc>
      </w:tr>
    </w:tbl>
    <w:p w14:paraId="0783FD60">
      <w:pPr>
        <w:pBdr/>
        <w:spacing/>
        <w:ind/>
        <w:jc w:val="both"/>
        <w:rPr>
          <w:rFonts w:ascii="Arial" w:hAnsi="Arial" w:cs="Arial"/>
          <w:sz w:val="16"/>
          <w:szCs w:val="16"/>
          <w:highlight w:val="none"/>
        </w:rPr>
      </w:pPr>
      <w:r>
        <w:rPr>
          <w:rFonts w:ascii="Arial" w:hAnsi="Arial" w:eastAsia="Arial" w:cs="Arial"/>
          <w:sz w:val="16"/>
          <w:szCs w:val="16"/>
          <w:highlight w:val="none"/>
        </w:rPr>
      </w:r>
      <w:r>
        <w:rPr>
          <w:rFonts w:ascii="Arial" w:hAnsi="Arial" w:cs="Arial"/>
          <w:sz w:val="16"/>
          <w:szCs w:val="16"/>
          <w:highlight w:val="none"/>
        </w:rPr>
      </w:r>
      <w:r>
        <w:rPr>
          <w:rFonts w:ascii="Arial" w:hAnsi="Arial" w:cs="Arial"/>
          <w:sz w:val="16"/>
          <w:szCs w:val="16"/>
          <w:highlight w:val="none"/>
        </w:rPr>
      </w:r>
    </w:p>
    <w:tbl>
      <w:tblPr>
        <w:jc w:val="center"/>
        <w:tblW w:w="8969" w:type="dxa"/>
        <w:tblBorders/>
        <w:tblLayout w:type="fixed"/>
        <w:tblLook w:val="04A0" w:firstRow="1" w:lastRow="0" w:firstColumn="1" w:lastColumn="0" w:noHBand="0" w:noVBand="1"/>
      </w:tblPr>
      <w:tblGrid>
        <w:gridCol w:w="2189"/>
        <w:gridCol w:w="6780"/>
      </w:tblGrid>
      <w:tr>
        <w:trPr>
          <w:jc w:val="center"/>
          <w:trHeight w:val="156"/>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53675824">
            <w:pPr>
              <w:pBdr/>
              <w:spacing/>
              <w:ind/>
              <w:jc w:val="center"/>
              <w:rPr>
                <w:rFonts w:ascii="Arial" w:hAnsi="Arial" w:cs="Arial"/>
                <w:sz w:val="16"/>
                <w:szCs w:val="16"/>
                <w:highlight w:val="none"/>
              </w:rPr>
            </w:pPr>
            <w:r>
              <w:rPr>
                <w:rFonts w:ascii="Arial" w:hAnsi="Arial" w:eastAsia="Arial" w:cs="Arial"/>
                <w:b/>
                <w:color w:val="000000"/>
                <w:sz w:val="16"/>
                <w:szCs w:val="16"/>
                <w:highlight w:val="none"/>
                <w:lang w:val="pt-BR" w:eastAsia="pt-BR"/>
              </w:rPr>
              <w:t xml:space="preserve">Classificação Orçamentária da Despesa</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2CC5CAC4">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Órgão:</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6F02FF8C">
            <w:pPr>
              <w:pBdr/>
              <w:spacing/>
              <w:ind/>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02 – Prefeitura Municipal de Rondonópolis</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5641523E">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Unidade:</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60FFA73E">
            <w:pPr>
              <w:pBdr/>
              <w:spacing/>
              <w:ind/>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14 – Fundo Municipal de Saúde</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50595AD8">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Funcional Programática:</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1FB7B7D6">
            <w:pPr>
              <w:pBdr/>
              <w:spacing/>
              <w:ind/>
              <w:rPr>
                <w:rFonts w:ascii="Arial" w:hAnsi="Arial" w:cs="Arial"/>
                <w:sz w:val="16"/>
                <w:szCs w:val="16"/>
                <w:highlight w:val="none"/>
              </w:rPr>
            </w:pPr>
            <w:r>
              <w:rPr>
                <w:rFonts w:ascii="Arial" w:hAnsi="Arial" w:eastAsia="Arial" w:cs="Arial"/>
                <w:sz w:val="16"/>
                <w:szCs w:val="16"/>
                <w:highlight w:val="none"/>
              </w:rPr>
              <w:t xml:space="preserve">10.302.2203.2193 - MANUTENÇÃO DOS SERVIÇOS DE MÉDIA E ALTA COMPLEXIDADE</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31735540">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Elemento de Despesa:</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4F4EF65D">
            <w:pPr>
              <w:pBdr/>
              <w:spacing/>
              <w:ind/>
              <w:rPr>
                <w:rFonts w:ascii="Arial" w:hAnsi="Arial" w:cs="Arial"/>
                <w:sz w:val="16"/>
                <w:szCs w:val="16"/>
                <w:highlight w:val="none"/>
              </w:rPr>
            </w:pPr>
            <w:r>
              <w:rPr>
                <w:rFonts w:ascii="Arial" w:hAnsi="Arial" w:eastAsia="Arial" w:cs="Arial"/>
                <w:sz w:val="16"/>
                <w:szCs w:val="16"/>
                <w:highlight w:val="none"/>
              </w:rPr>
              <w:t xml:space="preserve">3.3.90.30.00.00 – MATERIAL DE CONSUMO</w:t>
            </w:r>
            <w:r>
              <w:rPr>
                <w:rFonts w:ascii="Arial" w:hAnsi="Arial" w:cs="Arial"/>
                <w:sz w:val="16"/>
                <w:szCs w:val="16"/>
                <w:highlight w:val="none"/>
              </w:rPr>
            </w:r>
            <w:r>
              <w:rPr>
                <w:rFonts w:ascii="Arial" w:hAnsi="Arial" w:cs="Arial"/>
                <w:sz w:val="16"/>
                <w:szCs w:val="16"/>
                <w:highlight w:val="none"/>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0AFA5BCD">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Reduzido:</w:t>
            </w:r>
            <w:r>
              <w:rPr>
                <w:rFonts w:ascii="Arial" w:hAnsi="Arial" w:cs="Arial"/>
                <w:sz w:val="16"/>
                <w:szCs w:val="16"/>
                <w:highlight w:val="none"/>
              </w:rPr>
            </w:r>
            <w:r>
              <w:rPr>
                <w:rFonts w:ascii="Arial" w:hAnsi="Arial" w:cs="Arial"/>
                <w:sz w:val="16"/>
                <w:szCs w:val="16"/>
                <w:highlight w:val="none"/>
              </w:rPr>
            </w:r>
          </w:p>
        </w:tc>
        <w:tc>
          <w:tcPr>
            <w:tcBorders>
              <w:left w:val="single" w:color="000000" w:sz="4" w:space="0"/>
              <w:bottom w:val="single" w:color="000000" w:sz="4" w:space="0"/>
              <w:right w:val="single" w:color="000000" w:sz="4" w:space="0"/>
            </w:tcBorders>
            <w:tcW w:w="6780" w:type="dxa"/>
            <w:textDirection w:val="lrTb"/>
            <w:noWrap w:val="false"/>
          </w:tcPr>
          <w:p w14:paraId="353D5F94">
            <w:pPr>
              <w:pBdr/>
              <w:spacing/>
              <w:ind/>
              <w:rPr>
                <w:rFonts w:ascii="Arial" w:hAnsi="Arial" w:cs="Arial"/>
                <w:sz w:val="16"/>
                <w:szCs w:val="16"/>
                <w:highlight w:val="none"/>
              </w:rPr>
            </w:pPr>
            <w:r>
              <w:rPr>
                <w:rFonts w:ascii="Arial" w:hAnsi="Arial" w:eastAsia="Arial" w:cs="Arial"/>
                <w:b/>
                <w:sz w:val="16"/>
                <w:szCs w:val="16"/>
                <w:highlight w:val="none"/>
              </w:rPr>
              <w:t xml:space="preserve">556</w:t>
            </w:r>
            <w:r>
              <w:rPr>
                <w:rFonts w:ascii="Arial" w:hAnsi="Arial" w:cs="Arial"/>
                <w:sz w:val="16"/>
                <w:szCs w:val="16"/>
                <w:highlight w:val="none"/>
              </w:rPr>
            </w:r>
            <w:r>
              <w:rPr>
                <w:rFonts w:ascii="Arial" w:hAnsi="Arial" w:cs="Arial"/>
                <w:sz w:val="16"/>
                <w:szCs w:val="16"/>
                <w:highlight w:val="none"/>
              </w:rPr>
            </w:r>
          </w:p>
        </w:tc>
      </w:tr>
      <w:tr>
        <w:trPr>
          <w:jc w:val="center"/>
          <w:trHeight w:val="126"/>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3DFB96B4">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Fonte de Recurso:</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527A6C51">
            <w:pPr>
              <w:pBdr/>
              <w:spacing/>
              <w:ind/>
              <w:rPr>
                <w:rFonts w:ascii="Arial" w:hAnsi="Arial" w:cs="Arial"/>
                <w:sz w:val="16"/>
                <w:szCs w:val="16"/>
                <w:highlight w:val="none"/>
              </w:rPr>
            </w:pPr>
            <w:r>
              <w:rPr>
                <w:rFonts w:ascii="Arial" w:hAnsi="Arial" w:eastAsia="Arial" w:cs="Arial"/>
                <w:sz w:val="16"/>
                <w:szCs w:val="16"/>
                <w:highlight w:val="none"/>
              </w:rPr>
              <w:t xml:space="preserve">1.500.1002000</w:t>
            </w:r>
            <w:r>
              <w:rPr>
                <w:rFonts w:ascii="Arial" w:hAnsi="Arial" w:cs="Arial"/>
                <w:sz w:val="16"/>
                <w:szCs w:val="16"/>
                <w:highlight w:val="none"/>
              </w:rPr>
            </w:r>
            <w:r>
              <w:rPr>
                <w:rFonts w:ascii="Arial" w:hAnsi="Arial" w:cs="Arial"/>
                <w:sz w:val="16"/>
                <w:szCs w:val="16"/>
                <w:highlight w:val="none"/>
              </w:rPr>
            </w:r>
          </w:p>
        </w:tc>
      </w:tr>
    </w:tbl>
    <w:p w14:paraId="600BBBEA">
      <w:pPr>
        <w:pBdr/>
        <w:spacing/>
        <w:ind/>
        <w:jc w:val="both"/>
        <w:rPr>
          <w:rFonts w:ascii="Arial" w:hAnsi="Arial" w:cs="Arial"/>
          <w:sz w:val="16"/>
          <w:szCs w:val="16"/>
          <w:highlight w:val="none"/>
        </w:rPr>
      </w:pPr>
      <w:r>
        <w:rPr>
          <w:rFonts w:ascii="Arial" w:hAnsi="Arial" w:eastAsia="Arial" w:cs="Arial"/>
          <w:sz w:val="16"/>
          <w:szCs w:val="16"/>
          <w:highlight w:val="none"/>
        </w:rPr>
      </w:r>
      <w:r>
        <w:rPr>
          <w:rFonts w:ascii="Arial" w:hAnsi="Arial" w:cs="Arial"/>
          <w:sz w:val="16"/>
          <w:szCs w:val="16"/>
          <w:highlight w:val="none"/>
        </w:rPr>
      </w:r>
      <w:r>
        <w:rPr>
          <w:rFonts w:ascii="Arial" w:hAnsi="Arial" w:cs="Arial"/>
          <w:sz w:val="16"/>
          <w:szCs w:val="16"/>
          <w:highlight w:val="none"/>
        </w:rPr>
      </w:r>
    </w:p>
    <w:tbl>
      <w:tblPr>
        <w:jc w:val="center"/>
        <w:tblW w:w="8969" w:type="dxa"/>
        <w:tblBorders/>
        <w:tblLayout w:type="fixed"/>
        <w:tblLook w:val="04A0" w:firstRow="1" w:lastRow="0" w:firstColumn="1" w:lastColumn="0" w:noHBand="0" w:noVBand="1"/>
      </w:tblPr>
      <w:tblGrid>
        <w:gridCol w:w="2189"/>
        <w:gridCol w:w="6780"/>
      </w:tblGrid>
      <w:tr>
        <w:trPr>
          <w:jc w:val="center"/>
          <w:trHeight w:val="163"/>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59BA1383">
            <w:pPr>
              <w:pBdr/>
              <w:spacing/>
              <w:ind/>
              <w:jc w:val="center"/>
              <w:rPr>
                <w:rFonts w:ascii="Arial" w:hAnsi="Arial" w:cs="Arial"/>
                <w:sz w:val="16"/>
                <w:szCs w:val="16"/>
                <w:highlight w:val="none"/>
              </w:rPr>
            </w:pPr>
            <w:r>
              <w:rPr>
                <w:rFonts w:ascii="Arial" w:hAnsi="Arial" w:eastAsia="Arial" w:cs="Arial"/>
                <w:b/>
                <w:color w:val="000000"/>
                <w:sz w:val="16"/>
                <w:szCs w:val="16"/>
                <w:highlight w:val="none"/>
                <w:lang w:val="pt-BR" w:eastAsia="pt-BR"/>
              </w:rPr>
              <w:t xml:space="preserve">Classificação Orçamentária da Despesa</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674DE920">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Órgão:</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740397D9">
            <w:pPr>
              <w:pBdr/>
              <w:spacing/>
              <w:ind/>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02 – Prefeitura Municipal de Rondonópolis</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79DCE8A">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Unidade:</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1CAA2BA1">
            <w:pPr>
              <w:pBdr/>
              <w:spacing/>
              <w:ind/>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14 – Fundo Municipal de Saúde</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971B759">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Funcional Programática:</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01F226DE">
            <w:pPr>
              <w:pBdr/>
              <w:spacing/>
              <w:ind/>
              <w:rPr>
                <w:rFonts w:ascii="Arial" w:hAnsi="Arial" w:cs="Arial"/>
                <w:sz w:val="16"/>
                <w:szCs w:val="16"/>
                <w:highlight w:val="none"/>
              </w:rPr>
            </w:pPr>
            <w:r>
              <w:rPr>
                <w:rFonts w:ascii="Arial" w:hAnsi="Arial" w:eastAsia="Arial" w:cs="Arial"/>
                <w:sz w:val="16"/>
                <w:szCs w:val="16"/>
                <w:highlight w:val="none"/>
              </w:rPr>
              <w:t xml:space="preserve">10.302.2203.2194 - MANUTENÇÃO DOS HOSPITAIS MUNICIPAIS DE RONDONÓPOLIS</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68A5067">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Elemento de Despesa:</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7641B3F2">
            <w:pPr>
              <w:pBdr/>
              <w:spacing/>
              <w:ind/>
              <w:rPr>
                <w:rFonts w:ascii="Arial" w:hAnsi="Arial" w:cs="Arial"/>
                <w:sz w:val="16"/>
                <w:szCs w:val="16"/>
                <w:highlight w:val="none"/>
              </w:rPr>
            </w:pPr>
            <w:r>
              <w:rPr>
                <w:rFonts w:ascii="Arial" w:hAnsi="Arial" w:eastAsia="Arial" w:cs="Arial"/>
                <w:sz w:val="16"/>
                <w:szCs w:val="16"/>
                <w:highlight w:val="none"/>
              </w:rPr>
              <w:t xml:space="preserve">3.3.90.30.00.00 – MATERIAL DE CONSUMO</w:t>
            </w:r>
            <w:r>
              <w:rPr>
                <w:rFonts w:ascii="Arial" w:hAnsi="Arial" w:cs="Arial"/>
                <w:sz w:val="16"/>
                <w:szCs w:val="16"/>
                <w:highlight w:val="none"/>
              </w:rPr>
            </w:r>
            <w:r>
              <w:rPr>
                <w:rFonts w:ascii="Arial" w:hAnsi="Arial" w:cs="Arial"/>
                <w:sz w:val="16"/>
                <w:szCs w:val="16"/>
                <w:highlight w:val="none"/>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28D9715A">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Reduzido:</w:t>
            </w:r>
            <w:r>
              <w:rPr>
                <w:rFonts w:ascii="Arial" w:hAnsi="Arial" w:cs="Arial"/>
                <w:sz w:val="16"/>
                <w:szCs w:val="16"/>
                <w:highlight w:val="none"/>
              </w:rPr>
            </w:r>
            <w:r>
              <w:rPr>
                <w:rFonts w:ascii="Arial" w:hAnsi="Arial" w:cs="Arial"/>
                <w:sz w:val="16"/>
                <w:szCs w:val="16"/>
                <w:highlight w:val="none"/>
              </w:rPr>
            </w:r>
          </w:p>
        </w:tc>
        <w:tc>
          <w:tcPr>
            <w:tcBorders>
              <w:left w:val="single" w:color="000000" w:sz="4" w:space="0"/>
              <w:bottom w:val="single" w:color="000000" w:sz="4" w:space="0"/>
              <w:right w:val="single" w:color="000000" w:sz="4" w:space="0"/>
            </w:tcBorders>
            <w:tcW w:w="6780" w:type="dxa"/>
            <w:textDirection w:val="lrTb"/>
            <w:noWrap w:val="false"/>
          </w:tcPr>
          <w:p w14:paraId="1D463D51">
            <w:pPr>
              <w:pBdr/>
              <w:spacing/>
              <w:ind/>
              <w:rPr>
                <w:rFonts w:ascii="Arial" w:hAnsi="Arial" w:cs="Arial"/>
                <w:sz w:val="16"/>
                <w:szCs w:val="16"/>
                <w:highlight w:val="none"/>
              </w:rPr>
            </w:pPr>
            <w:r>
              <w:rPr>
                <w:rFonts w:ascii="Arial" w:hAnsi="Arial" w:eastAsia="Arial" w:cs="Arial"/>
                <w:b/>
                <w:sz w:val="16"/>
                <w:szCs w:val="16"/>
                <w:highlight w:val="none"/>
              </w:rPr>
              <w:t xml:space="preserve">636</w:t>
            </w:r>
            <w:r>
              <w:rPr>
                <w:rFonts w:ascii="Arial" w:hAnsi="Arial" w:cs="Arial"/>
                <w:sz w:val="16"/>
                <w:szCs w:val="16"/>
                <w:highlight w:val="none"/>
              </w:rPr>
            </w:r>
            <w:r>
              <w:rPr>
                <w:rFonts w:ascii="Arial" w:hAnsi="Arial" w:cs="Arial"/>
                <w:sz w:val="16"/>
                <w:szCs w:val="16"/>
                <w:highlight w:val="none"/>
              </w:rPr>
            </w:r>
          </w:p>
        </w:tc>
      </w:tr>
      <w:tr>
        <w:trPr>
          <w:jc w:val="center"/>
          <w:trHeight w:val="133"/>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2CD23FFF">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Fonte de Recurso:</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1DB252E5">
            <w:pPr>
              <w:pBdr/>
              <w:spacing/>
              <w:ind/>
              <w:rPr>
                <w:rFonts w:ascii="Arial" w:hAnsi="Arial" w:cs="Arial"/>
                <w:sz w:val="16"/>
                <w:szCs w:val="16"/>
                <w:highlight w:val="none"/>
              </w:rPr>
            </w:pPr>
            <w:r>
              <w:rPr>
                <w:rFonts w:ascii="Arial" w:hAnsi="Arial" w:eastAsia="Arial" w:cs="Arial"/>
                <w:sz w:val="16"/>
                <w:szCs w:val="16"/>
                <w:highlight w:val="none"/>
              </w:rPr>
              <w:t xml:space="preserve">1.500.1002000</w:t>
            </w:r>
            <w:r>
              <w:rPr>
                <w:rFonts w:ascii="Arial" w:hAnsi="Arial" w:cs="Arial"/>
                <w:sz w:val="16"/>
                <w:szCs w:val="16"/>
                <w:highlight w:val="none"/>
              </w:rPr>
            </w:r>
            <w:r>
              <w:rPr>
                <w:rFonts w:ascii="Arial" w:hAnsi="Arial" w:cs="Arial"/>
                <w:sz w:val="16"/>
                <w:szCs w:val="16"/>
                <w:highlight w:val="none"/>
              </w:rPr>
            </w:r>
          </w:p>
        </w:tc>
      </w:tr>
    </w:tbl>
    <w:p w14:paraId="24628CF4">
      <w:pPr>
        <w:pBdr/>
        <w:spacing/>
        <w:ind/>
        <w:jc w:val="both"/>
        <w:rPr>
          <w:rFonts w:ascii="Arial" w:hAnsi="Arial" w:cs="Arial"/>
          <w:sz w:val="16"/>
          <w:szCs w:val="16"/>
          <w:highlight w:val="none"/>
        </w:rPr>
      </w:pPr>
      <w:r>
        <w:rPr>
          <w:rFonts w:ascii="Arial" w:hAnsi="Arial" w:eastAsia="Arial" w:cs="Arial"/>
          <w:sz w:val="16"/>
          <w:szCs w:val="16"/>
          <w:highlight w:val="none"/>
        </w:rPr>
      </w:r>
      <w:r>
        <w:rPr>
          <w:rFonts w:ascii="Arial" w:hAnsi="Arial" w:cs="Arial"/>
          <w:sz w:val="16"/>
          <w:szCs w:val="16"/>
          <w:highlight w:val="none"/>
        </w:rPr>
      </w:r>
      <w:r>
        <w:rPr>
          <w:rFonts w:ascii="Arial" w:hAnsi="Arial" w:cs="Arial"/>
          <w:sz w:val="16"/>
          <w:szCs w:val="16"/>
          <w:highlight w:val="none"/>
        </w:rPr>
      </w:r>
    </w:p>
    <w:tbl>
      <w:tblPr>
        <w:jc w:val="center"/>
        <w:tblW w:w="8969" w:type="dxa"/>
        <w:tblBorders/>
        <w:tblLayout w:type="fixed"/>
        <w:tblLook w:val="04A0" w:firstRow="1" w:lastRow="0" w:firstColumn="1" w:lastColumn="0" w:noHBand="0" w:noVBand="1"/>
      </w:tblPr>
      <w:tblGrid>
        <w:gridCol w:w="2189"/>
        <w:gridCol w:w="6780"/>
      </w:tblGrid>
      <w:tr>
        <w:trPr>
          <w:jc w:val="center"/>
          <w:trHeight w:val="170"/>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49D1F264">
            <w:pPr>
              <w:pBdr/>
              <w:spacing/>
              <w:ind/>
              <w:jc w:val="center"/>
              <w:rPr>
                <w:rFonts w:ascii="Arial" w:hAnsi="Arial" w:cs="Arial"/>
                <w:sz w:val="16"/>
                <w:szCs w:val="16"/>
                <w:highlight w:val="none"/>
              </w:rPr>
            </w:pPr>
            <w:r>
              <w:rPr>
                <w:rFonts w:ascii="Arial" w:hAnsi="Arial" w:eastAsia="Arial" w:cs="Arial"/>
                <w:b/>
                <w:color w:val="000000"/>
                <w:sz w:val="16"/>
                <w:szCs w:val="16"/>
                <w:highlight w:val="none"/>
                <w:lang w:val="pt-BR" w:eastAsia="pt-BR"/>
              </w:rPr>
              <w:t xml:space="preserve">Classificação Orçamentária da Despesa</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29B6681">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Órgão:</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02DD1134">
            <w:pPr>
              <w:pBdr/>
              <w:spacing/>
              <w:ind/>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02 – Prefeitura Municipal de Rondonópolis</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4B146FB">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Unidade:</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5F9DD49A">
            <w:pPr>
              <w:pBdr/>
              <w:spacing/>
              <w:ind/>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14 – Fundo Municipal de Saúde</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529D5741">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Funcional Programática:</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5A26E574">
            <w:pPr>
              <w:pBdr/>
              <w:spacing/>
              <w:ind/>
              <w:rPr>
                <w:rFonts w:ascii="Arial" w:hAnsi="Arial" w:cs="Arial"/>
                <w:sz w:val="16"/>
                <w:szCs w:val="16"/>
                <w:highlight w:val="none"/>
              </w:rPr>
            </w:pPr>
            <w:r>
              <w:rPr>
                <w:rFonts w:ascii="Arial" w:hAnsi="Arial" w:eastAsia="Arial" w:cs="Arial"/>
                <w:sz w:val="16"/>
                <w:szCs w:val="16"/>
                <w:highlight w:val="none"/>
              </w:rPr>
              <w:t xml:space="preserve">10.302.2203.2198 - MANUTENÇÃO E AMPLIAÇÃO DOS SERVIÇOS DO LABORATÓRIO CENTRAL-LACEN</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593A3CA">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Elemento de Despesa:</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3CC799DF">
            <w:pPr>
              <w:pBdr/>
              <w:spacing/>
              <w:ind/>
              <w:rPr>
                <w:rFonts w:ascii="Arial" w:hAnsi="Arial" w:cs="Arial"/>
                <w:sz w:val="16"/>
                <w:szCs w:val="16"/>
                <w:highlight w:val="none"/>
              </w:rPr>
            </w:pPr>
            <w:r>
              <w:rPr>
                <w:rFonts w:ascii="Arial" w:hAnsi="Arial" w:eastAsia="Arial" w:cs="Arial"/>
                <w:sz w:val="16"/>
                <w:szCs w:val="16"/>
                <w:highlight w:val="none"/>
              </w:rPr>
              <w:t xml:space="preserve">3.3.90.30.00.00 – MATERIAL DE CONSUMO</w:t>
            </w:r>
            <w:r>
              <w:rPr>
                <w:rFonts w:ascii="Arial" w:hAnsi="Arial" w:cs="Arial"/>
                <w:sz w:val="16"/>
                <w:szCs w:val="16"/>
                <w:highlight w:val="none"/>
              </w:rPr>
            </w:r>
            <w:r>
              <w:rPr>
                <w:rFonts w:ascii="Arial" w:hAnsi="Arial" w:cs="Arial"/>
                <w:sz w:val="16"/>
                <w:szCs w:val="16"/>
                <w:highlight w:val="none"/>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441F927D">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Reduzido:</w:t>
            </w:r>
            <w:r>
              <w:rPr>
                <w:rFonts w:ascii="Arial" w:hAnsi="Arial" w:cs="Arial"/>
                <w:sz w:val="16"/>
                <w:szCs w:val="16"/>
                <w:highlight w:val="none"/>
              </w:rPr>
            </w:r>
            <w:r>
              <w:rPr>
                <w:rFonts w:ascii="Arial" w:hAnsi="Arial" w:cs="Arial"/>
                <w:sz w:val="16"/>
                <w:szCs w:val="16"/>
                <w:highlight w:val="none"/>
              </w:rPr>
            </w:r>
          </w:p>
        </w:tc>
        <w:tc>
          <w:tcPr>
            <w:tcBorders>
              <w:left w:val="single" w:color="000000" w:sz="4" w:space="0"/>
              <w:bottom w:val="single" w:color="000000" w:sz="4" w:space="0"/>
              <w:right w:val="single" w:color="000000" w:sz="4" w:space="0"/>
            </w:tcBorders>
            <w:tcW w:w="6780" w:type="dxa"/>
            <w:textDirection w:val="lrTb"/>
            <w:noWrap w:val="false"/>
          </w:tcPr>
          <w:p w14:paraId="252896C5">
            <w:pPr>
              <w:pBdr/>
              <w:spacing/>
              <w:ind/>
              <w:rPr>
                <w:rFonts w:ascii="Arial" w:hAnsi="Arial" w:cs="Arial"/>
                <w:sz w:val="16"/>
                <w:szCs w:val="16"/>
                <w:highlight w:val="none"/>
              </w:rPr>
            </w:pPr>
            <w:r>
              <w:rPr>
                <w:rFonts w:ascii="Arial" w:hAnsi="Arial" w:eastAsia="Arial" w:cs="Arial"/>
                <w:b/>
                <w:sz w:val="16"/>
                <w:szCs w:val="16"/>
                <w:highlight w:val="none"/>
              </w:rPr>
              <w:t xml:space="preserve">573</w:t>
            </w:r>
            <w:r>
              <w:rPr>
                <w:rFonts w:ascii="Arial" w:hAnsi="Arial" w:cs="Arial"/>
                <w:sz w:val="16"/>
                <w:szCs w:val="16"/>
                <w:highlight w:val="none"/>
              </w:rPr>
            </w:r>
            <w:r>
              <w:rPr>
                <w:rFonts w:ascii="Arial" w:hAnsi="Arial" w:cs="Arial"/>
                <w:sz w:val="16"/>
                <w:szCs w:val="16"/>
                <w:highlight w:val="none"/>
              </w:rPr>
            </w:r>
          </w:p>
        </w:tc>
      </w:tr>
      <w:tr>
        <w:trPr>
          <w:jc w:val="center"/>
          <w:trHeight w:val="98"/>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5E0AE561">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Fonte de Recurso:</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11243E20">
            <w:pPr>
              <w:pBdr/>
              <w:spacing/>
              <w:ind/>
              <w:rPr>
                <w:rFonts w:ascii="Arial" w:hAnsi="Arial" w:cs="Arial"/>
                <w:sz w:val="16"/>
                <w:szCs w:val="16"/>
                <w:highlight w:val="none"/>
              </w:rPr>
            </w:pPr>
            <w:r>
              <w:rPr>
                <w:rFonts w:ascii="Arial" w:hAnsi="Arial" w:eastAsia="Arial" w:cs="Arial"/>
                <w:sz w:val="16"/>
                <w:szCs w:val="16"/>
                <w:highlight w:val="none"/>
              </w:rPr>
              <w:t xml:space="preserve">1.500.1002000</w:t>
            </w:r>
            <w:r>
              <w:rPr>
                <w:rFonts w:ascii="Arial" w:hAnsi="Arial" w:cs="Arial"/>
                <w:sz w:val="16"/>
                <w:szCs w:val="16"/>
                <w:highlight w:val="none"/>
              </w:rPr>
            </w:r>
            <w:r>
              <w:rPr>
                <w:rFonts w:ascii="Arial" w:hAnsi="Arial" w:cs="Arial"/>
                <w:sz w:val="16"/>
                <w:szCs w:val="16"/>
                <w:highlight w:val="none"/>
              </w:rPr>
            </w:r>
          </w:p>
        </w:tc>
      </w:tr>
    </w:tbl>
    <w:p w14:paraId="12DEB8B9">
      <w:pPr>
        <w:pBdr/>
        <w:spacing/>
        <w:ind/>
        <w:jc w:val="both"/>
        <w:rPr>
          <w:rFonts w:ascii="Arial" w:hAnsi="Arial" w:cs="Arial"/>
          <w:sz w:val="16"/>
          <w:szCs w:val="16"/>
          <w:highlight w:val="none"/>
        </w:rPr>
      </w:pPr>
      <w:r>
        <w:rPr>
          <w:rFonts w:ascii="Arial" w:hAnsi="Arial" w:eastAsia="Arial" w:cs="Arial"/>
          <w:sz w:val="16"/>
          <w:szCs w:val="16"/>
          <w:highlight w:val="none"/>
        </w:rPr>
      </w:r>
      <w:r>
        <w:rPr>
          <w:rFonts w:ascii="Arial" w:hAnsi="Arial" w:cs="Arial"/>
          <w:sz w:val="16"/>
          <w:szCs w:val="16"/>
          <w:highlight w:val="none"/>
        </w:rPr>
      </w:r>
      <w:r>
        <w:rPr>
          <w:rFonts w:ascii="Arial" w:hAnsi="Arial" w:cs="Arial"/>
          <w:sz w:val="16"/>
          <w:szCs w:val="16"/>
          <w:highlight w:val="none"/>
        </w:rPr>
      </w:r>
    </w:p>
    <w:tbl>
      <w:tblPr>
        <w:jc w:val="center"/>
        <w:tblW w:w="8969" w:type="dxa"/>
        <w:tblBorders/>
        <w:tblLayout w:type="fixed"/>
        <w:tblLook w:val="04A0" w:firstRow="1" w:lastRow="0" w:firstColumn="1" w:lastColumn="0" w:noHBand="0" w:noVBand="1"/>
      </w:tblPr>
      <w:tblGrid>
        <w:gridCol w:w="2189"/>
        <w:gridCol w:w="6780"/>
      </w:tblGrid>
      <w:tr>
        <w:trPr>
          <w:jc w:val="center"/>
          <w:trHeight w:val="135"/>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0B860B01">
            <w:pPr>
              <w:pBdr/>
              <w:spacing/>
              <w:ind/>
              <w:jc w:val="center"/>
              <w:rPr>
                <w:rFonts w:ascii="Arial" w:hAnsi="Arial" w:cs="Arial"/>
                <w:sz w:val="16"/>
                <w:szCs w:val="16"/>
                <w:highlight w:val="none"/>
              </w:rPr>
            </w:pPr>
            <w:r>
              <w:rPr>
                <w:rFonts w:ascii="Arial" w:hAnsi="Arial" w:eastAsia="Arial" w:cs="Arial"/>
                <w:b/>
                <w:color w:val="000000"/>
                <w:sz w:val="16"/>
                <w:szCs w:val="16"/>
                <w:highlight w:val="none"/>
                <w:lang w:val="pt-BR" w:eastAsia="pt-BR"/>
              </w:rPr>
              <w:t xml:space="preserve">Classificação Orçamentária da Despesa</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48B6811">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Órgão:</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265D43A9">
            <w:pPr>
              <w:pBdr/>
              <w:spacing/>
              <w:ind/>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02 – Prefeitura Municipal de Rondonópolis</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7A493E8F">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Unidade:</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242705E5">
            <w:pPr>
              <w:pBdr/>
              <w:spacing/>
              <w:ind/>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14 – Fundo Municipal de Saúde</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7A6F116">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Funcional Programática:</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0B4581A1">
            <w:pPr>
              <w:pBdr/>
              <w:spacing/>
              <w:ind/>
              <w:rPr>
                <w:rFonts w:ascii="Arial" w:hAnsi="Arial" w:cs="Arial"/>
                <w:sz w:val="16"/>
                <w:szCs w:val="16"/>
                <w:highlight w:val="none"/>
              </w:rPr>
            </w:pPr>
            <w:r>
              <w:rPr>
                <w:rFonts w:ascii="Arial" w:hAnsi="Arial" w:eastAsia="Arial" w:cs="Arial"/>
                <w:sz w:val="16"/>
                <w:szCs w:val="16"/>
                <w:highlight w:val="none"/>
              </w:rPr>
              <w:t xml:space="preserve">10.302.2203.2419 - MANUTENÇÃO DO CENTRO DE ATENDIMENTO INTEGRAL À SAÚDE DA MULHER - CAISM</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545EBA9C">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Elemento de Despesa:</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4158E796">
            <w:pPr>
              <w:pBdr/>
              <w:spacing/>
              <w:ind/>
              <w:rPr>
                <w:rFonts w:ascii="Arial" w:hAnsi="Arial" w:cs="Arial"/>
                <w:sz w:val="16"/>
                <w:szCs w:val="16"/>
                <w:highlight w:val="none"/>
              </w:rPr>
            </w:pPr>
            <w:r>
              <w:rPr>
                <w:rFonts w:ascii="Arial" w:hAnsi="Arial" w:eastAsia="Arial" w:cs="Arial"/>
                <w:sz w:val="16"/>
                <w:szCs w:val="16"/>
                <w:highlight w:val="none"/>
              </w:rPr>
              <w:t xml:space="preserve">3.3.90.30.00.00 – MATERIAL DE CONSUMO</w:t>
            </w:r>
            <w:r>
              <w:rPr>
                <w:rFonts w:ascii="Arial" w:hAnsi="Arial" w:cs="Arial"/>
                <w:sz w:val="16"/>
                <w:szCs w:val="16"/>
                <w:highlight w:val="none"/>
              </w:rPr>
            </w:r>
            <w:r>
              <w:rPr>
                <w:rFonts w:ascii="Arial" w:hAnsi="Arial" w:cs="Arial"/>
                <w:sz w:val="16"/>
                <w:szCs w:val="16"/>
                <w:highlight w:val="none"/>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46FFE3BD">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Reduzido:</w:t>
            </w:r>
            <w:r>
              <w:rPr>
                <w:rFonts w:ascii="Arial" w:hAnsi="Arial" w:cs="Arial"/>
                <w:sz w:val="16"/>
                <w:szCs w:val="16"/>
                <w:highlight w:val="none"/>
              </w:rPr>
            </w:r>
            <w:r>
              <w:rPr>
                <w:rFonts w:ascii="Arial" w:hAnsi="Arial" w:cs="Arial"/>
                <w:sz w:val="16"/>
                <w:szCs w:val="16"/>
                <w:highlight w:val="none"/>
              </w:rPr>
            </w:r>
          </w:p>
        </w:tc>
        <w:tc>
          <w:tcPr>
            <w:tcBorders>
              <w:left w:val="single" w:color="000000" w:sz="4" w:space="0"/>
              <w:bottom w:val="single" w:color="000000" w:sz="4" w:space="0"/>
              <w:right w:val="single" w:color="000000" w:sz="4" w:space="0"/>
            </w:tcBorders>
            <w:tcW w:w="6780" w:type="dxa"/>
            <w:textDirection w:val="lrTb"/>
            <w:noWrap w:val="false"/>
          </w:tcPr>
          <w:p w14:paraId="2846D231">
            <w:pPr>
              <w:pBdr/>
              <w:spacing/>
              <w:ind/>
              <w:rPr>
                <w:rFonts w:ascii="Arial" w:hAnsi="Arial" w:cs="Arial"/>
                <w:sz w:val="16"/>
                <w:szCs w:val="16"/>
                <w:highlight w:val="none"/>
              </w:rPr>
            </w:pPr>
            <w:r>
              <w:rPr>
                <w:rFonts w:ascii="Arial" w:hAnsi="Arial" w:eastAsia="Arial" w:cs="Arial"/>
                <w:b/>
                <w:sz w:val="16"/>
                <w:szCs w:val="16"/>
                <w:highlight w:val="none"/>
              </w:rPr>
              <w:t xml:space="preserve">643</w:t>
            </w:r>
            <w:r>
              <w:rPr>
                <w:rFonts w:ascii="Arial" w:hAnsi="Arial" w:cs="Arial"/>
                <w:sz w:val="16"/>
                <w:szCs w:val="16"/>
                <w:highlight w:val="none"/>
              </w:rPr>
            </w:r>
            <w:r>
              <w:rPr>
                <w:rFonts w:ascii="Arial" w:hAnsi="Arial" w:cs="Arial"/>
                <w:sz w:val="16"/>
                <w:szCs w:val="16"/>
                <w:highlight w:val="none"/>
              </w:rPr>
            </w:r>
          </w:p>
        </w:tc>
      </w:tr>
      <w:tr>
        <w:trPr>
          <w:jc w:val="center"/>
          <w:trHeight w:val="63"/>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6E09B5B8">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Fonte de Recurso:</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3422019B">
            <w:pPr>
              <w:pBdr/>
              <w:spacing/>
              <w:ind/>
              <w:rPr>
                <w:rFonts w:ascii="Arial" w:hAnsi="Arial" w:cs="Arial"/>
                <w:sz w:val="16"/>
                <w:szCs w:val="16"/>
                <w:highlight w:val="none"/>
              </w:rPr>
            </w:pPr>
            <w:r>
              <w:rPr>
                <w:rFonts w:ascii="Arial" w:hAnsi="Arial" w:eastAsia="Arial" w:cs="Arial"/>
                <w:sz w:val="16"/>
                <w:szCs w:val="16"/>
                <w:highlight w:val="none"/>
              </w:rPr>
              <w:t xml:space="preserve">1.500.1002000</w:t>
            </w:r>
            <w:r>
              <w:rPr>
                <w:rFonts w:ascii="Arial" w:hAnsi="Arial" w:cs="Arial"/>
                <w:sz w:val="16"/>
                <w:szCs w:val="16"/>
                <w:highlight w:val="none"/>
              </w:rPr>
            </w:r>
            <w:r>
              <w:rPr>
                <w:rFonts w:ascii="Arial" w:hAnsi="Arial" w:cs="Arial"/>
                <w:sz w:val="16"/>
                <w:szCs w:val="16"/>
                <w:highlight w:val="none"/>
              </w:rPr>
            </w:r>
          </w:p>
        </w:tc>
      </w:tr>
    </w:tbl>
    <w:p w14:paraId="4B952CD0">
      <w:pPr>
        <w:pBdr/>
        <w:spacing/>
        <w:ind/>
        <w:jc w:val="both"/>
        <w:rPr>
          <w:rFonts w:ascii="Arial" w:hAnsi="Arial" w:cs="Arial"/>
          <w:sz w:val="16"/>
          <w:szCs w:val="16"/>
          <w:highlight w:val="none"/>
        </w:rPr>
      </w:pPr>
      <w:r>
        <w:rPr>
          <w:rFonts w:ascii="Arial" w:hAnsi="Arial" w:eastAsia="Arial" w:cs="Arial"/>
          <w:sz w:val="16"/>
          <w:szCs w:val="16"/>
          <w:highlight w:val="none"/>
        </w:rPr>
      </w:r>
      <w:r>
        <w:rPr>
          <w:rFonts w:ascii="Arial" w:hAnsi="Arial" w:cs="Arial"/>
          <w:sz w:val="16"/>
          <w:szCs w:val="16"/>
          <w:highlight w:val="none"/>
        </w:rPr>
      </w:r>
      <w:r>
        <w:rPr>
          <w:rFonts w:ascii="Arial" w:hAnsi="Arial" w:cs="Arial"/>
          <w:sz w:val="16"/>
          <w:szCs w:val="16"/>
          <w:highlight w:val="none"/>
        </w:rPr>
      </w:r>
    </w:p>
    <w:tbl>
      <w:tblPr>
        <w:jc w:val="center"/>
        <w:tblW w:w="8969" w:type="dxa"/>
        <w:tblBorders/>
        <w:tblLayout w:type="fixed"/>
        <w:tblLook w:val="04A0" w:firstRow="1" w:lastRow="0" w:firstColumn="1" w:lastColumn="0" w:noHBand="0" w:noVBand="1"/>
      </w:tblPr>
      <w:tblGrid>
        <w:gridCol w:w="2189"/>
        <w:gridCol w:w="6780"/>
      </w:tblGrid>
      <w:tr>
        <w:trPr>
          <w:jc w:val="center"/>
          <w:trHeight w:val="242"/>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453E126E">
            <w:pPr>
              <w:pBdr/>
              <w:spacing/>
              <w:ind/>
              <w:jc w:val="center"/>
              <w:rPr>
                <w:rFonts w:ascii="Arial" w:hAnsi="Arial" w:cs="Arial"/>
                <w:sz w:val="16"/>
                <w:szCs w:val="16"/>
                <w:highlight w:val="none"/>
              </w:rPr>
            </w:pPr>
            <w:r>
              <w:rPr>
                <w:rFonts w:ascii="Arial" w:hAnsi="Arial" w:eastAsia="Arial" w:cs="Arial"/>
                <w:b/>
                <w:color w:val="000000"/>
                <w:sz w:val="16"/>
                <w:szCs w:val="16"/>
                <w:highlight w:val="none"/>
                <w:lang w:val="pt-BR" w:eastAsia="pt-BR"/>
              </w:rPr>
              <w:t xml:space="preserve">Classificação Orçamentária da Despesa</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4FE71219">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Órgão:</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7EC56AA6">
            <w:pPr>
              <w:pBdr/>
              <w:spacing/>
              <w:ind/>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02 – Prefeitura Municipal de Rondonópolis</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24656DA7">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Unidade:</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3872F5D8">
            <w:pPr>
              <w:pBdr/>
              <w:spacing/>
              <w:ind/>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14 – Fundo Municipal de Saúde</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74A6FD74">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Funcional Programática:</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0F669714">
            <w:pPr>
              <w:pBdr/>
              <w:spacing/>
              <w:ind/>
              <w:rPr>
                <w:rFonts w:ascii="Arial" w:hAnsi="Arial" w:cs="Arial"/>
                <w:sz w:val="16"/>
                <w:szCs w:val="16"/>
                <w:highlight w:val="none"/>
              </w:rPr>
            </w:pPr>
            <w:r>
              <w:rPr>
                <w:rFonts w:ascii="Arial" w:hAnsi="Arial" w:eastAsia="Arial" w:cs="Arial"/>
                <w:sz w:val="16"/>
                <w:szCs w:val="16"/>
                <w:highlight w:val="none"/>
              </w:rPr>
              <w:t xml:space="preserve">10.302.2203.2421 - MANUTENÇÃO E CONSERVAÇÃO DO CENTRO DE ESPECIALIDADES DE APOIO E DIAGNÓSTICO ALBERT SABIN- CEADAS</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49B6F537">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Elemento de Despesa:</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6B563D92">
            <w:pPr>
              <w:pBdr/>
              <w:spacing/>
              <w:ind/>
              <w:rPr>
                <w:rFonts w:ascii="Arial" w:hAnsi="Arial" w:cs="Arial"/>
                <w:sz w:val="16"/>
                <w:szCs w:val="16"/>
                <w:highlight w:val="none"/>
              </w:rPr>
            </w:pPr>
            <w:r>
              <w:rPr>
                <w:rFonts w:ascii="Arial" w:hAnsi="Arial" w:eastAsia="Arial" w:cs="Arial"/>
                <w:sz w:val="16"/>
                <w:szCs w:val="16"/>
                <w:highlight w:val="none"/>
              </w:rPr>
              <w:t xml:space="preserve">3.3.90.30.00.00 – MATERIAL DE CONSUMO</w:t>
            </w:r>
            <w:r>
              <w:rPr>
                <w:rFonts w:ascii="Arial" w:hAnsi="Arial" w:cs="Arial"/>
                <w:sz w:val="16"/>
                <w:szCs w:val="16"/>
                <w:highlight w:val="none"/>
              </w:rPr>
            </w:r>
            <w:r>
              <w:rPr>
                <w:rFonts w:ascii="Arial" w:hAnsi="Arial" w:cs="Arial"/>
                <w:sz w:val="16"/>
                <w:szCs w:val="16"/>
                <w:highlight w:val="none"/>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5D81E873">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Reduzido:</w:t>
            </w:r>
            <w:r>
              <w:rPr>
                <w:rFonts w:ascii="Arial" w:hAnsi="Arial" w:cs="Arial"/>
                <w:sz w:val="16"/>
                <w:szCs w:val="16"/>
                <w:highlight w:val="none"/>
              </w:rPr>
            </w:r>
            <w:r>
              <w:rPr>
                <w:rFonts w:ascii="Arial" w:hAnsi="Arial" w:cs="Arial"/>
                <w:sz w:val="16"/>
                <w:szCs w:val="16"/>
                <w:highlight w:val="none"/>
              </w:rPr>
            </w:r>
          </w:p>
        </w:tc>
        <w:tc>
          <w:tcPr>
            <w:tcBorders>
              <w:left w:val="single" w:color="000000" w:sz="4" w:space="0"/>
              <w:bottom w:val="single" w:color="000000" w:sz="4" w:space="0"/>
              <w:right w:val="single" w:color="000000" w:sz="4" w:space="0"/>
            </w:tcBorders>
            <w:tcW w:w="6780" w:type="dxa"/>
            <w:textDirection w:val="lrTb"/>
            <w:noWrap w:val="false"/>
          </w:tcPr>
          <w:p w14:paraId="3C27FECB">
            <w:pPr>
              <w:pBdr/>
              <w:spacing/>
              <w:ind/>
              <w:rPr>
                <w:rFonts w:ascii="Arial" w:hAnsi="Arial" w:cs="Arial"/>
                <w:sz w:val="16"/>
                <w:szCs w:val="16"/>
                <w:highlight w:val="none"/>
              </w:rPr>
            </w:pPr>
            <w:r>
              <w:rPr>
                <w:rFonts w:ascii="Arial" w:hAnsi="Arial" w:eastAsia="Arial" w:cs="Arial"/>
                <w:b/>
                <w:sz w:val="16"/>
                <w:szCs w:val="16"/>
                <w:highlight w:val="none"/>
              </w:rPr>
              <w:t xml:space="preserve">544</w:t>
            </w:r>
            <w:r>
              <w:rPr>
                <w:rFonts w:ascii="Arial" w:hAnsi="Arial" w:cs="Arial"/>
                <w:sz w:val="16"/>
                <w:szCs w:val="16"/>
                <w:highlight w:val="none"/>
              </w:rPr>
            </w:r>
            <w:r>
              <w:rPr>
                <w:rFonts w:ascii="Arial" w:hAnsi="Arial" w:cs="Arial"/>
                <w:sz w:val="16"/>
                <w:szCs w:val="16"/>
                <w:highlight w:val="none"/>
              </w:rPr>
            </w:r>
          </w:p>
        </w:tc>
      </w:tr>
      <w:tr>
        <w:trPr>
          <w:jc w:val="center"/>
          <w:trHeight w:val="198"/>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2FAC8A4E">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Fonte de Recurso:</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3F4BDB4E">
            <w:pPr>
              <w:pBdr/>
              <w:spacing/>
              <w:ind/>
              <w:rPr>
                <w:rFonts w:ascii="Arial" w:hAnsi="Arial" w:cs="Arial"/>
                <w:sz w:val="16"/>
                <w:szCs w:val="16"/>
                <w:highlight w:val="none"/>
              </w:rPr>
            </w:pPr>
            <w:r>
              <w:rPr>
                <w:rFonts w:ascii="Arial" w:hAnsi="Arial" w:eastAsia="Arial" w:cs="Arial"/>
                <w:sz w:val="16"/>
                <w:szCs w:val="16"/>
                <w:highlight w:val="none"/>
              </w:rPr>
              <w:t xml:space="preserve">1.500.1002000</w:t>
            </w:r>
            <w:r>
              <w:rPr>
                <w:rFonts w:ascii="Arial" w:hAnsi="Arial" w:cs="Arial"/>
                <w:sz w:val="16"/>
                <w:szCs w:val="16"/>
                <w:highlight w:val="none"/>
              </w:rPr>
            </w:r>
            <w:r>
              <w:rPr>
                <w:rFonts w:ascii="Arial" w:hAnsi="Arial" w:cs="Arial"/>
                <w:sz w:val="16"/>
                <w:szCs w:val="16"/>
                <w:highlight w:val="none"/>
              </w:rPr>
            </w:r>
          </w:p>
        </w:tc>
      </w:tr>
    </w:tbl>
    <w:p w14:paraId="3DF97E6A">
      <w:pPr>
        <w:pBdr/>
        <w:spacing/>
        <w:ind/>
        <w:jc w:val="both"/>
        <w:rPr>
          <w:rFonts w:ascii="Arial" w:hAnsi="Arial" w:cs="Arial"/>
          <w:sz w:val="16"/>
          <w:szCs w:val="16"/>
          <w:highlight w:val="none"/>
        </w:rPr>
      </w:pPr>
      <w:r>
        <w:rPr>
          <w:rFonts w:ascii="Arial" w:hAnsi="Arial" w:eastAsia="Arial" w:cs="Arial"/>
          <w:sz w:val="16"/>
          <w:szCs w:val="16"/>
          <w:highlight w:val="none"/>
        </w:rPr>
      </w:r>
      <w:r>
        <w:rPr>
          <w:rFonts w:ascii="Arial" w:hAnsi="Arial" w:cs="Arial"/>
          <w:sz w:val="16"/>
          <w:szCs w:val="16"/>
          <w:highlight w:val="none"/>
        </w:rPr>
      </w:r>
      <w:r>
        <w:rPr>
          <w:rFonts w:ascii="Arial" w:hAnsi="Arial" w:cs="Arial"/>
          <w:sz w:val="16"/>
          <w:szCs w:val="16"/>
          <w:highlight w:val="none"/>
        </w:rPr>
      </w:r>
    </w:p>
    <w:tbl>
      <w:tblPr>
        <w:jc w:val="center"/>
        <w:tblW w:w="8969" w:type="dxa"/>
        <w:tblBorders/>
        <w:tblLayout w:type="fixed"/>
        <w:tblLook w:val="04A0" w:firstRow="1" w:lastRow="0" w:firstColumn="1" w:lastColumn="0" w:noHBand="0" w:noVBand="1"/>
      </w:tblPr>
      <w:tblGrid>
        <w:gridCol w:w="2189"/>
        <w:gridCol w:w="6780"/>
      </w:tblGrid>
      <w:tr>
        <w:trPr>
          <w:jc w:val="center"/>
          <w:trHeight w:val="79"/>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387F284D">
            <w:pPr>
              <w:pBdr/>
              <w:spacing/>
              <w:ind/>
              <w:jc w:val="center"/>
              <w:rPr>
                <w:rFonts w:ascii="Arial" w:hAnsi="Arial" w:cs="Arial"/>
                <w:sz w:val="16"/>
                <w:szCs w:val="16"/>
                <w:highlight w:val="none"/>
              </w:rPr>
            </w:pPr>
            <w:r>
              <w:rPr>
                <w:rFonts w:ascii="Arial" w:hAnsi="Arial" w:eastAsia="Arial" w:cs="Arial"/>
                <w:b/>
                <w:color w:val="000000"/>
                <w:sz w:val="16"/>
                <w:szCs w:val="16"/>
                <w:highlight w:val="none"/>
                <w:lang w:val="pt-BR" w:eastAsia="pt-BR"/>
              </w:rPr>
              <w:t xml:space="preserve">Classificação Orçamentária da Despesa</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5271D5A8">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Órgão:</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54354AC0">
            <w:pPr>
              <w:pBdr/>
              <w:spacing/>
              <w:ind/>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02 – Prefeitura Municipal de Rondonópolis</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46AC8B8B">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Unidade:</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5441801C">
            <w:pPr>
              <w:pBdr/>
              <w:spacing/>
              <w:ind/>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14 – Fundo Municipal de Saúde</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30DADEFE">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Funcional Programática:</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487A7AE2">
            <w:pPr>
              <w:pBdr/>
              <w:spacing/>
              <w:ind/>
              <w:rPr>
                <w:rFonts w:ascii="Arial" w:hAnsi="Arial" w:cs="Arial"/>
                <w:sz w:val="16"/>
                <w:szCs w:val="16"/>
                <w:highlight w:val="none"/>
              </w:rPr>
            </w:pPr>
            <w:r>
              <w:rPr>
                <w:rFonts w:ascii="Arial" w:hAnsi="Arial" w:eastAsia="Arial" w:cs="Arial"/>
                <w:sz w:val="16"/>
                <w:szCs w:val="16"/>
                <w:highlight w:val="none"/>
              </w:rPr>
              <w:t xml:space="preserve">10.302.2203. 2487 - MANUTENÇÃO DOS SERVIÇOS DE URGÊNCIA E EMERGÊNCIA - UPA 24 HORAS</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3A836D0C">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Elemento de Despesa:</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28963349">
            <w:pPr>
              <w:pBdr/>
              <w:spacing/>
              <w:ind/>
              <w:rPr>
                <w:rFonts w:ascii="Arial" w:hAnsi="Arial" w:cs="Arial"/>
                <w:sz w:val="16"/>
                <w:szCs w:val="16"/>
                <w:highlight w:val="none"/>
              </w:rPr>
            </w:pPr>
            <w:r>
              <w:rPr>
                <w:rFonts w:ascii="Arial" w:hAnsi="Arial" w:eastAsia="Arial" w:cs="Arial"/>
                <w:sz w:val="16"/>
                <w:szCs w:val="16"/>
                <w:highlight w:val="none"/>
              </w:rPr>
              <w:t xml:space="preserve">3.3.90.30.00.00 – MATERIAL DE CONSUMO</w:t>
            </w:r>
            <w:r>
              <w:rPr>
                <w:rFonts w:ascii="Arial" w:hAnsi="Arial" w:cs="Arial"/>
                <w:sz w:val="16"/>
                <w:szCs w:val="16"/>
                <w:highlight w:val="none"/>
              </w:rPr>
            </w:r>
            <w:r>
              <w:rPr>
                <w:rFonts w:ascii="Arial" w:hAnsi="Arial" w:cs="Arial"/>
                <w:sz w:val="16"/>
                <w:szCs w:val="16"/>
                <w:highlight w:val="none"/>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193AE824">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Reduzido:</w:t>
            </w:r>
            <w:r>
              <w:rPr>
                <w:rFonts w:ascii="Arial" w:hAnsi="Arial" w:cs="Arial"/>
                <w:sz w:val="16"/>
                <w:szCs w:val="16"/>
                <w:highlight w:val="none"/>
              </w:rPr>
            </w:r>
            <w:r>
              <w:rPr>
                <w:rFonts w:ascii="Arial" w:hAnsi="Arial" w:cs="Arial"/>
                <w:sz w:val="16"/>
                <w:szCs w:val="16"/>
                <w:highlight w:val="none"/>
              </w:rPr>
            </w:r>
          </w:p>
        </w:tc>
        <w:tc>
          <w:tcPr>
            <w:tcBorders>
              <w:left w:val="single" w:color="000000" w:sz="4" w:space="0"/>
              <w:bottom w:val="single" w:color="000000" w:sz="4" w:space="0"/>
              <w:right w:val="single" w:color="000000" w:sz="4" w:space="0"/>
            </w:tcBorders>
            <w:tcW w:w="6780" w:type="dxa"/>
            <w:textDirection w:val="lrTb"/>
            <w:noWrap w:val="false"/>
          </w:tcPr>
          <w:p w14:paraId="15E3CCB3">
            <w:pPr>
              <w:pBdr/>
              <w:spacing/>
              <w:ind/>
              <w:rPr>
                <w:rFonts w:ascii="Arial" w:hAnsi="Arial" w:cs="Arial"/>
                <w:sz w:val="16"/>
                <w:szCs w:val="16"/>
                <w:highlight w:val="none"/>
              </w:rPr>
            </w:pPr>
            <w:r>
              <w:rPr>
                <w:rFonts w:ascii="Arial" w:hAnsi="Arial" w:eastAsia="Arial" w:cs="Arial"/>
                <w:b/>
                <w:sz w:val="16"/>
                <w:szCs w:val="16"/>
                <w:highlight w:val="none"/>
              </w:rPr>
              <w:t xml:space="preserve">612</w:t>
            </w:r>
            <w:r>
              <w:rPr>
                <w:rFonts w:ascii="Arial" w:hAnsi="Arial" w:cs="Arial"/>
                <w:sz w:val="16"/>
                <w:szCs w:val="16"/>
                <w:highlight w:val="none"/>
              </w:rPr>
            </w:r>
            <w:r>
              <w:rPr>
                <w:rFonts w:ascii="Arial" w:hAnsi="Arial" w:cs="Arial"/>
                <w:sz w:val="16"/>
                <w:szCs w:val="16"/>
                <w:highlight w:val="none"/>
              </w:rPr>
            </w:r>
          </w:p>
        </w:tc>
      </w:tr>
      <w:tr>
        <w:trPr>
          <w:jc w:val="center"/>
          <w:trHeight w:val="149"/>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8DBF88A">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Fonte de Recurso:</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7A8E62B6">
            <w:pPr>
              <w:pBdr/>
              <w:spacing/>
              <w:ind/>
              <w:rPr>
                <w:rFonts w:ascii="Arial" w:hAnsi="Arial" w:cs="Arial"/>
                <w:sz w:val="16"/>
                <w:szCs w:val="16"/>
                <w:highlight w:val="none"/>
              </w:rPr>
            </w:pPr>
            <w:r>
              <w:rPr>
                <w:rFonts w:ascii="Arial" w:hAnsi="Arial" w:eastAsia="Arial" w:cs="Arial"/>
                <w:sz w:val="16"/>
                <w:szCs w:val="16"/>
                <w:highlight w:val="none"/>
              </w:rPr>
              <w:t xml:space="preserve">1.500.1002000</w:t>
            </w:r>
            <w:r>
              <w:rPr>
                <w:rFonts w:ascii="Arial" w:hAnsi="Arial" w:cs="Arial"/>
                <w:sz w:val="16"/>
                <w:szCs w:val="16"/>
                <w:highlight w:val="none"/>
              </w:rPr>
            </w:r>
            <w:r>
              <w:rPr>
                <w:rFonts w:ascii="Arial" w:hAnsi="Arial" w:cs="Arial"/>
                <w:sz w:val="16"/>
                <w:szCs w:val="16"/>
                <w:highlight w:val="none"/>
              </w:rPr>
            </w:r>
          </w:p>
        </w:tc>
      </w:tr>
    </w:tbl>
    <w:p w14:paraId="423DE803">
      <w:pPr>
        <w:pBdr/>
        <w:spacing/>
        <w:ind/>
        <w:jc w:val="both"/>
        <w:rPr>
          <w:rFonts w:ascii="Arial" w:hAnsi="Arial" w:cs="Arial"/>
          <w:sz w:val="16"/>
          <w:szCs w:val="16"/>
          <w:highlight w:val="none"/>
        </w:rPr>
      </w:pPr>
      <w:r>
        <w:rPr>
          <w:rFonts w:ascii="Arial" w:hAnsi="Arial" w:eastAsia="Arial" w:cs="Arial"/>
          <w:sz w:val="16"/>
          <w:szCs w:val="16"/>
          <w:highlight w:val="none"/>
        </w:rPr>
      </w:r>
      <w:r>
        <w:rPr>
          <w:rFonts w:ascii="Arial" w:hAnsi="Arial" w:cs="Arial"/>
          <w:sz w:val="16"/>
          <w:szCs w:val="16"/>
          <w:highlight w:val="none"/>
        </w:rPr>
      </w:r>
      <w:r>
        <w:rPr>
          <w:rFonts w:ascii="Arial" w:hAnsi="Arial" w:cs="Arial"/>
          <w:sz w:val="16"/>
          <w:szCs w:val="16"/>
          <w:highlight w:val="none"/>
        </w:rPr>
      </w:r>
    </w:p>
    <w:tbl>
      <w:tblPr>
        <w:jc w:val="center"/>
        <w:tblW w:w="8969" w:type="dxa"/>
        <w:tblBorders/>
        <w:tblLayout w:type="fixed"/>
        <w:tblLook w:val="04A0" w:firstRow="1" w:lastRow="0" w:firstColumn="1" w:lastColumn="0" w:noHBand="0" w:noVBand="1"/>
      </w:tblPr>
      <w:tblGrid>
        <w:gridCol w:w="2189"/>
        <w:gridCol w:w="6780"/>
      </w:tblGrid>
      <w:tr>
        <w:trPr>
          <w:jc w:val="center"/>
          <w:trHeight w:val="186"/>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7192D67B">
            <w:pPr>
              <w:pBdr/>
              <w:spacing/>
              <w:ind/>
              <w:jc w:val="center"/>
              <w:rPr>
                <w:rFonts w:ascii="Arial" w:hAnsi="Arial" w:cs="Arial"/>
                <w:sz w:val="16"/>
                <w:szCs w:val="16"/>
                <w:highlight w:val="none"/>
              </w:rPr>
            </w:pPr>
            <w:r>
              <w:rPr>
                <w:rFonts w:ascii="Arial" w:hAnsi="Arial" w:eastAsia="Arial" w:cs="Arial"/>
                <w:b/>
                <w:color w:val="000000"/>
                <w:sz w:val="16"/>
                <w:szCs w:val="16"/>
                <w:highlight w:val="none"/>
                <w:lang w:val="pt-BR" w:eastAsia="pt-BR"/>
              </w:rPr>
              <w:t xml:space="preserve">Classificação Orçamentária da Despesa</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0283C1C">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Órgão:</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7884EE6E">
            <w:pPr>
              <w:pBdr/>
              <w:spacing/>
              <w:ind/>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02 – Prefeitura Municipal de Rondonópolis</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4C6DDAEF">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Unidade:</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25C9F386">
            <w:pPr>
              <w:pBdr/>
              <w:spacing/>
              <w:ind/>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14 – Fundo Municipal de Saúde</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633C74EB">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Funcional Programática:</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7C75E76C">
            <w:pPr>
              <w:pBdr/>
              <w:spacing/>
              <w:ind/>
              <w:rPr>
                <w:rFonts w:ascii="Arial" w:hAnsi="Arial" w:cs="Arial"/>
                <w:sz w:val="16"/>
                <w:szCs w:val="16"/>
                <w:highlight w:val="none"/>
              </w:rPr>
            </w:pPr>
            <w:r>
              <w:rPr>
                <w:rFonts w:ascii="Arial" w:hAnsi="Arial" w:eastAsia="Arial" w:cs="Arial"/>
                <w:sz w:val="16"/>
                <w:szCs w:val="16"/>
                <w:highlight w:val="none"/>
              </w:rPr>
              <w:t xml:space="preserve">10.302.2203. 2487 - MANUTENÇÃO DOS SERVIÇOS DE URGÊNCIA E EMERGÊNCIA - UPA 24 HORAS</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6570F243">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Elemento de Despesa:</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303100E6">
            <w:pPr>
              <w:pBdr/>
              <w:spacing/>
              <w:ind/>
              <w:rPr>
                <w:rFonts w:ascii="Arial" w:hAnsi="Arial" w:cs="Arial"/>
                <w:sz w:val="16"/>
                <w:szCs w:val="16"/>
                <w:highlight w:val="none"/>
              </w:rPr>
            </w:pPr>
            <w:r>
              <w:rPr>
                <w:rFonts w:ascii="Arial" w:hAnsi="Arial" w:eastAsia="Arial" w:cs="Arial"/>
                <w:sz w:val="16"/>
                <w:szCs w:val="16"/>
                <w:highlight w:val="none"/>
              </w:rPr>
              <w:t xml:space="preserve">3.3.90.30.00.00 – MATERIAL DE CONSUMO</w:t>
            </w:r>
            <w:r>
              <w:rPr>
                <w:rFonts w:ascii="Arial" w:hAnsi="Arial" w:cs="Arial"/>
                <w:sz w:val="16"/>
                <w:szCs w:val="16"/>
                <w:highlight w:val="none"/>
              </w:rPr>
            </w:r>
            <w:r>
              <w:rPr>
                <w:rFonts w:ascii="Arial" w:hAnsi="Arial" w:cs="Arial"/>
                <w:sz w:val="16"/>
                <w:szCs w:val="16"/>
                <w:highlight w:val="none"/>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4E809965">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Reduzido:</w:t>
            </w:r>
            <w:r>
              <w:rPr>
                <w:rFonts w:ascii="Arial" w:hAnsi="Arial" w:cs="Arial"/>
                <w:sz w:val="16"/>
                <w:szCs w:val="16"/>
                <w:highlight w:val="none"/>
              </w:rPr>
            </w:r>
            <w:r>
              <w:rPr>
                <w:rFonts w:ascii="Arial" w:hAnsi="Arial" w:cs="Arial"/>
                <w:sz w:val="16"/>
                <w:szCs w:val="16"/>
                <w:highlight w:val="none"/>
              </w:rPr>
            </w:r>
          </w:p>
        </w:tc>
        <w:tc>
          <w:tcPr>
            <w:tcBorders>
              <w:left w:val="single" w:color="000000" w:sz="4" w:space="0"/>
              <w:bottom w:val="single" w:color="000000" w:sz="4" w:space="0"/>
              <w:right w:val="single" w:color="000000" w:sz="4" w:space="0"/>
            </w:tcBorders>
            <w:tcW w:w="6780" w:type="dxa"/>
            <w:textDirection w:val="lrTb"/>
            <w:noWrap w:val="false"/>
          </w:tcPr>
          <w:p w14:paraId="1B58EF34">
            <w:pPr>
              <w:pBdr/>
              <w:spacing/>
              <w:ind/>
              <w:rPr>
                <w:rFonts w:ascii="Arial" w:hAnsi="Arial" w:cs="Arial"/>
                <w:sz w:val="16"/>
                <w:szCs w:val="16"/>
                <w:highlight w:val="none"/>
              </w:rPr>
            </w:pPr>
            <w:r>
              <w:rPr>
                <w:rFonts w:ascii="Arial" w:hAnsi="Arial" w:eastAsia="Arial" w:cs="Arial"/>
                <w:b/>
                <w:sz w:val="16"/>
                <w:szCs w:val="16"/>
                <w:highlight w:val="none"/>
              </w:rPr>
              <w:t xml:space="preserve">613</w:t>
            </w:r>
            <w:r>
              <w:rPr>
                <w:rFonts w:ascii="Arial" w:hAnsi="Arial" w:cs="Arial"/>
                <w:sz w:val="16"/>
                <w:szCs w:val="16"/>
                <w:highlight w:val="none"/>
              </w:rPr>
            </w:r>
            <w:r>
              <w:rPr>
                <w:rFonts w:ascii="Arial" w:hAnsi="Arial" w:cs="Arial"/>
                <w:sz w:val="16"/>
                <w:szCs w:val="16"/>
                <w:highlight w:val="none"/>
              </w:rPr>
            </w:r>
          </w:p>
        </w:tc>
      </w:tr>
      <w:tr>
        <w:trPr>
          <w:jc w:val="center"/>
          <w:trHeight w:val="112"/>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0405825">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Fonte de Recurso:</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3B428CB0">
            <w:pPr>
              <w:pBdr/>
              <w:spacing/>
              <w:ind/>
              <w:rPr>
                <w:rFonts w:ascii="Arial" w:hAnsi="Arial" w:cs="Arial"/>
                <w:sz w:val="16"/>
                <w:szCs w:val="16"/>
                <w:highlight w:val="none"/>
              </w:rPr>
            </w:pPr>
            <w:r>
              <w:rPr>
                <w:rFonts w:ascii="Arial" w:hAnsi="Arial" w:eastAsia="Arial" w:cs="Arial"/>
                <w:sz w:val="16"/>
                <w:szCs w:val="16"/>
                <w:highlight w:val="none"/>
              </w:rPr>
              <w:t xml:space="preserve">1.600.0000603</w:t>
            </w:r>
            <w:r>
              <w:rPr>
                <w:rFonts w:ascii="Arial" w:hAnsi="Arial" w:cs="Arial"/>
                <w:sz w:val="16"/>
                <w:szCs w:val="16"/>
                <w:highlight w:val="none"/>
              </w:rPr>
            </w:r>
            <w:r>
              <w:rPr>
                <w:rFonts w:ascii="Arial" w:hAnsi="Arial" w:cs="Arial"/>
                <w:sz w:val="16"/>
                <w:szCs w:val="16"/>
                <w:highlight w:val="none"/>
              </w:rPr>
            </w:r>
          </w:p>
        </w:tc>
      </w:tr>
    </w:tbl>
    <w:p w14:paraId="010D6292">
      <w:pPr>
        <w:pBdr/>
        <w:spacing/>
        <w:ind/>
        <w:jc w:val="both"/>
        <w:rPr>
          <w:rFonts w:ascii="Arial" w:hAnsi="Arial" w:cs="Arial"/>
          <w:sz w:val="16"/>
          <w:szCs w:val="16"/>
          <w:highlight w:val="none"/>
        </w:rPr>
      </w:pPr>
      <w:r>
        <w:rPr>
          <w:rFonts w:ascii="Arial" w:hAnsi="Arial" w:eastAsia="Arial" w:cs="Arial"/>
          <w:sz w:val="16"/>
          <w:szCs w:val="16"/>
          <w:highlight w:val="none"/>
        </w:rPr>
      </w:r>
      <w:r>
        <w:rPr>
          <w:rFonts w:ascii="Arial" w:hAnsi="Arial" w:cs="Arial"/>
          <w:sz w:val="16"/>
          <w:szCs w:val="16"/>
          <w:highlight w:val="none"/>
        </w:rPr>
      </w:r>
      <w:r>
        <w:rPr>
          <w:rFonts w:ascii="Arial" w:hAnsi="Arial" w:cs="Arial"/>
          <w:sz w:val="16"/>
          <w:szCs w:val="16"/>
          <w:highlight w:val="none"/>
        </w:rPr>
      </w:r>
    </w:p>
    <w:tbl>
      <w:tblPr>
        <w:jc w:val="center"/>
        <w:tblW w:w="8969" w:type="dxa"/>
        <w:tblBorders/>
        <w:tblLayout w:type="fixed"/>
        <w:tblLook w:val="04A0" w:firstRow="1" w:lastRow="0" w:firstColumn="1" w:lastColumn="0" w:noHBand="0" w:noVBand="1"/>
      </w:tblPr>
      <w:tblGrid>
        <w:gridCol w:w="2189"/>
        <w:gridCol w:w="6780"/>
      </w:tblGrid>
      <w:tr>
        <w:trPr>
          <w:jc w:val="center"/>
          <w:trHeight w:val="149"/>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704301AD">
            <w:pPr>
              <w:pBdr/>
              <w:spacing/>
              <w:ind/>
              <w:jc w:val="center"/>
              <w:rPr>
                <w:rFonts w:ascii="Arial" w:hAnsi="Arial" w:cs="Arial"/>
                <w:sz w:val="16"/>
                <w:szCs w:val="16"/>
                <w:highlight w:val="none"/>
              </w:rPr>
            </w:pPr>
            <w:r>
              <w:rPr>
                <w:rFonts w:ascii="Arial" w:hAnsi="Arial" w:eastAsia="Arial" w:cs="Arial"/>
                <w:b/>
                <w:color w:val="000000"/>
                <w:sz w:val="16"/>
                <w:szCs w:val="16"/>
                <w:highlight w:val="none"/>
                <w:lang w:val="pt-BR" w:eastAsia="pt-BR"/>
              </w:rPr>
              <w:t xml:space="preserve">Classificação Orçamentária da Despesa</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F1F28A4">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Órgão:</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47958BA9">
            <w:pPr>
              <w:pBdr/>
              <w:spacing/>
              <w:ind/>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02 – Prefeitura Municipal de Rondonópolis</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61FF7EB0">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Unidade:</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0178485A">
            <w:pPr>
              <w:pBdr/>
              <w:spacing/>
              <w:ind/>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14 – Fundo Municipal de Saúde</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662EDCD4">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Funcional Programática:</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7C62D394">
            <w:pPr>
              <w:pBdr/>
              <w:spacing/>
              <w:ind/>
              <w:rPr>
                <w:rFonts w:ascii="Arial" w:hAnsi="Arial" w:cs="Arial"/>
                <w:sz w:val="16"/>
                <w:szCs w:val="16"/>
                <w:highlight w:val="none"/>
              </w:rPr>
            </w:pPr>
            <w:r>
              <w:rPr>
                <w:rFonts w:ascii="Arial" w:hAnsi="Arial" w:eastAsia="Arial" w:cs="Arial"/>
                <w:sz w:val="16"/>
                <w:szCs w:val="16"/>
                <w:highlight w:val="none"/>
              </w:rPr>
              <w:t xml:space="preserve">10.305.2201.2184 - MANUTENÇÃO DA AÇÕES DA VIGILÂNCIA EPIDEMIOLÓGICA</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3CD51BF4">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Elemento de Despesa:</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14371822">
            <w:pPr>
              <w:pBdr/>
              <w:spacing/>
              <w:ind/>
              <w:rPr>
                <w:rFonts w:ascii="Arial" w:hAnsi="Arial" w:cs="Arial"/>
                <w:sz w:val="16"/>
                <w:szCs w:val="16"/>
                <w:highlight w:val="none"/>
              </w:rPr>
            </w:pPr>
            <w:r>
              <w:rPr>
                <w:rFonts w:ascii="Arial" w:hAnsi="Arial" w:eastAsia="Arial" w:cs="Arial"/>
                <w:sz w:val="16"/>
                <w:szCs w:val="16"/>
                <w:highlight w:val="none"/>
              </w:rPr>
              <w:t xml:space="preserve">3.3.90.30.00.00 – MATERIAL DE CONSUMO</w:t>
            </w:r>
            <w:r>
              <w:rPr>
                <w:rFonts w:ascii="Arial" w:hAnsi="Arial" w:cs="Arial"/>
                <w:sz w:val="16"/>
                <w:szCs w:val="16"/>
                <w:highlight w:val="none"/>
              </w:rPr>
            </w:r>
            <w:r>
              <w:rPr>
                <w:rFonts w:ascii="Arial" w:hAnsi="Arial" w:cs="Arial"/>
                <w:sz w:val="16"/>
                <w:szCs w:val="16"/>
                <w:highlight w:val="none"/>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14119B12">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Reduzido:</w:t>
            </w:r>
            <w:r>
              <w:rPr>
                <w:rFonts w:ascii="Arial" w:hAnsi="Arial" w:cs="Arial"/>
                <w:sz w:val="16"/>
                <w:szCs w:val="16"/>
                <w:highlight w:val="none"/>
              </w:rPr>
            </w:r>
            <w:r>
              <w:rPr>
                <w:rFonts w:ascii="Arial" w:hAnsi="Arial" w:cs="Arial"/>
                <w:sz w:val="16"/>
                <w:szCs w:val="16"/>
                <w:highlight w:val="none"/>
              </w:rPr>
            </w:r>
          </w:p>
        </w:tc>
        <w:tc>
          <w:tcPr>
            <w:tcBorders>
              <w:left w:val="single" w:color="000000" w:sz="4" w:space="0"/>
              <w:bottom w:val="single" w:color="000000" w:sz="4" w:space="0"/>
              <w:right w:val="single" w:color="000000" w:sz="4" w:space="0"/>
            </w:tcBorders>
            <w:tcW w:w="6780" w:type="dxa"/>
            <w:textDirection w:val="lrTb"/>
            <w:noWrap w:val="false"/>
          </w:tcPr>
          <w:p w14:paraId="4CDFA837">
            <w:pPr>
              <w:pBdr/>
              <w:spacing/>
              <w:ind/>
              <w:rPr>
                <w:rFonts w:ascii="Arial" w:hAnsi="Arial" w:cs="Arial"/>
                <w:sz w:val="16"/>
                <w:szCs w:val="16"/>
                <w:highlight w:val="none"/>
              </w:rPr>
            </w:pPr>
            <w:r>
              <w:rPr>
                <w:rFonts w:ascii="Arial" w:hAnsi="Arial" w:eastAsia="Arial" w:cs="Arial"/>
                <w:b/>
                <w:sz w:val="16"/>
                <w:szCs w:val="16"/>
                <w:highlight w:val="none"/>
              </w:rPr>
              <w:t xml:space="preserve">486</w:t>
            </w:r>
            <w:r>
              <w:rPr>
                <w:rFonts w:ascii="Arial" w:hAnsi="Arial" w:cs="Arial"/>
                <w:sz w:val="16"/>
                <w:szCs w:val="16"/>
                <w:highlight w:val="none"/>
              </w:rPr>
            </w:r>
            <w:r>
              <w:rPr>
                <w:rFonts w:ascii="Arial" w:hAnsi="Arial" w:cs="Arial"/>
                <w:sz w:val="16"/>
                <w:szCs w:val="16"/>
                <w:highlight w:val="none"/>
              </w:rPr>
            </w:r>
          </w:p>
        </w:tc>
      </w:tr>
      <w:tr>
        <w:trPr>
          <w:jc w:val="center"/>
          <w:trHeight w:val="119"/>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3CD734E">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Fonte de Recurso:</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0A47A9F8">
            <w:pPr>
              <w:pBdr/>
              <w:spacing/>
              <w:ind/>
              <w:rPr>
                <w:rFonts w:ascii="Arial" w:hAnsi="Arial" w:cs="Arial"/>
                <w:sz w:val="16"/>
                <w:szCs w:val="16"/>
                <w:highlight w:val="none"/>
              </w:rPr>
            </w:pPr>
            <w:r>
              <w:rPr>
                <w:rFonts w:ascii="Arial" w:hAnsi="Arial" w:eastAsia="Arial" w:cs="Arial"/>
                <w:sz w:val="16"/>
                <w:szCs w:val="16"/>
                <w:highlight w:val="none"/>
              </w:rPr>
              <w:t xml:space="preserve">1.600.0000605</w:t>
            </w:r>
            <w:r>
              <w:rPr>
                <w:rFonts w:ascii="Arial" w:hAnsi="Arial" w:cs="Arial"/>
                <w:sz w:val="16"/>
                <w:szCs w:val="16"/>
                <w:highlight w:val="none"/>
              </w:rPr>
            </w:r>
            <w:r>
              <w:rPr>
                <w:rFonts w:ascii="Arial" w:hAnsi="Arial" w:cs="Arial"/>
                <w:sz w:val="16"/>
                <w:szCs w:val="16"/>
                <w:highlight w:val="none"/>
              </w:rPr>
            </w:r>
          </w:p>
        </w:tc>
      </w:tr>
    </w:tbl>
    <w:p w14:paraId="50FC4A5E">
      <w:pPr>
        <w:pBdr/>
        <w:spacing/>
        <w:ind/>
        <w:jc w:val="both"/>
        <w:rPr>
          <w:rFonts w:ascii="Arial" w:hAnsi="Arial" w:cs="Arial"/>
          <w:sz w:val="16"/>
          <w:szCs w:val="16"/>
          <w:highlight w:val="none"/>
        </w:rPr>
      </w:pPr>
      <w:r>
        <w:rPr>
          <w:rFonts w:ascii="Arial" w:hAnsi="Arial" w:eastAsia="Arial" w:cs="Arial"/>
          <w:sz w:val="16"/>
          <w:szCs w:val="16"/>
          <w:highlight w:val="none"/>
        </w:rPr>
      </w:r>
      <w:r>
        <w:rPr>
          <w:rFonts w:ascii="Arial" w:hAnsi="Arial" w:cs="Arial"/>
          <w:sz w:val="16"/>
          <w:szCs w:val="16"/>
          <w:highlight w:val="none"/>
        </w:rPr>
      </w:r>
      <w:r>
        <w:rPr>
          <w:rFonts w:ascii="Arial" w:hAnsi="Arial" w:cs="Arial"/>
          <w:sz w:val="16"/>
          <w:szCs w:val="16"/>
          <w:highlight w:val="none"/>
        </w:rPr>
      </w:r>
    </w:p>
    <w:tbl>
      <w:tblPr>
        <w:jc w:val="center"/>
        <w:tblW w:w="8969" w:type="dxa"/>
        <w:tblBorders/>
        <w:tblLayout w:type="fixed"/>
        <w:tblLook w:val="04A0" w:firstRow="1" w:lastRow="0" w:firstColumn="1" w:lastColumn="0" w:noHBand="0" w:noVBand="1"/>
      </w:tblPr>
      <w:tblGrid>
        <w:gridCol w:w="2189"/>
        <w:gridCol w:w="6780"/>
      </w:tblGrid>
      <w:tr>
        <w:trPr>
          <w:jc w:val="center"/>
          <w:trHeight w:val="156"/>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1A9D75A1">
            <w:pPr>
              <w:pBdr/>
              <w:spacing/>
              <w:ind/>
              <w:jc w:val="center"/>
              <w:rPr>
                <w:rFonts w:ascii="Arial" w:hAnsi="Arial" w:cs="Arial"/>
                <w:sz w:val="16"/>
                <w:szCs w:val="16"/>
                <w:highlight w:val="none"/>
              </w:rPr>
            </w:pPr>
            <w:r>
              <w:rPr>
                <w:rFonts w:ascii="Arial" w:hAnsi="Arial" w:eastAsia="Arial" w:cs="Arial"/>
                <w:b/>
                <w:color w:val="000000"/>
                <w:sz w:val="16"/>
                <w:szCs w:val="16"/>
                <w:highlight w:val="none"/>
                <w:lang w:val="pt-BR" w:eastAsia="pt-BR"/>
              </w:rPr>
              <w:t xml:space="preserve">Classificação Orçamentária da Despesa</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5C902093">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Órgão:</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3D443B0B">
            <w:pPr>
              <w:pBdr/>
              <w:spacing/>
              <w:ind/>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02 – Prefeitura Municipal de Rondonópolis</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7A8208EF">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Unidade:</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4FB5BDD6">
            <w:pPr>
              <w:pBdr/>
              <w:spacing/>
              <w:ind/>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14 – Fundo Municipal de Saúde</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BFB19AA">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Funcional Programática:</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6D726033">
            <w:pPr>
              <w:pBdr/>
              <w:spacing/>
              <w:ind/>
              <w:rPr>
                <w:rFonts w:ascii="Arial" w:hAnsi="Arial" w:cs="Arial"/>
                <w:sz w:val="16"/>
                <w:szCs w:val="16"/>
                <w:highlight w:val="none"/>
              </w:rPr>
            </w:pPr>
            <w:r>
              <w:rPr>
                <w:rFonts w:ascii="Arial" w:hAnsi="Arial" w:eastAsia="Arial" w:cs="Arial"/>
                <w:sz w:val="16"/>
                <w:szCs w:val="16"/>
                <w:highlight w:val="none"/>
              </w:rPr>
              <w:t xml:space="preserve">10.305.2201.2187 - MANUTENÇÃO DAS AÇÕES DE VIGILÂNCIA AMBIENTAL E UNIDADE DE CONTROLE DE ZOONOZES</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9C5E6CA">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Elemento de Despesa:</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0C94155F">
            <w:pPr>
              <w:pBdr/>
              <w:spacing/>
              <w:ind/>
              <w:rPr>
                <w:rFonts w:ascii="Arial" w:hAnsi="Arial" w:cs="Arial"/>
                <w:sz w:val="16"/>
                <w:szCs w:val="16"/>
                <w:highlight w:val="none"/>
              </w:rPr>
            </w:pPr>
            <w:r>
              <w:rPr>
                <w:rFonts w:ascii="Arial" w:hAnsi="Arial" w:eastAsia="Arial" w:cs="Arial"/>
                <w:sz w:val="16"/>
                <w:szCs w:val="16"/>
                <w:highlight w:val="none"/>
              </w:rPr>
              <w:t xml:space="preserve">3.3.90.30.00.00 – MATERIAL DE CONSUMO</w:t>
            </w:r>
            <w:r>
              <w:rPr>
                <w:rFonts w:ascii="Arial" w:hAnsi="Arial" w:cs="Arial"/>
                <w:sz w:val="16"/>
                <w:szCs w:val="16"/>
                <w:highlight w:val="none"/>
              </w:rPr>
            </w:r>
            <w:r>
              <w:rPr>
                <w:rFonts w:ascii="Arial" w:hAnsi="Arial" w:cs="Arial"/>
                <w:sz w:val="16"/>
                <w:szCs w:val="16"/>
                <w:highlight w:val="none"/>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20495A66">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Reduzido:</w:t>
            </w:r>
            <w:r>
              <w:rPr>
                <w:rFonts w:ascii="Arial" w:hAnsi="Arial" w:cs="Arial"/>
                <w:sz w:val="16"/>
                <w:szCs w:val="16"/>
                <w:highlight w:val="none"/>
              </w:rPr>
            </w:r>
            <w:r>
              <w:rPr>
                <w:rFonts w:ascii="Arial" w:hAnsi="Arial" w:cs="Arial"/>
                <w:sz w:val="16"/>
                <w:szCs w:val="16"/>
                <w:highlight w:val="none"/>
              </w:rPr>
            </w:r>
          </w:p>
        </w:tc>
        <w:tc>
          <w:tcPr>
            <w:tcBorders>
              <w:left w:val="single" w:color="000000" w:sz="4" w:space="0"/>
              <w:bottom w:val="single" w:color="000000" w:sz="4" w:space="0"/>
              <w:right w:val="single" w:color="000000" w:sz="4" w:space="0"/>
            </w:tcBorders>
            <w:tcW w:w="6780" w:type="dxa"/>
            <w:textDirection w:val="lrTb"/>
            <w:noWrap w:val="false"/>
          </w:tcPr>
          <w:p w14:paraId="07EBEB06">
            <w:pPr>
              <w:pBdr/>
              <w:spacing/>
              <w:ind/>
              <w:rPr>
                <w:rFonts w:ascii="Arial" w:hAnsi="Arial" w:cs="Arial"/>
                <w:sz w:val="16"/>
                <w:szCs w:val="16"/>
                <w:highlight w:val="none"/>
              </w:rPr>
            </w:pPr>
            <w:r>
              <w:rPr>
                <w:rFonts w:ascii="Arial" w:hAnsi="Arial" w:eastAsia="Arial" w:cs="Arial"/>
                <w:b/>
                <w:sz w:val="16"/>
                <w:szCs w:val="16"/>
                <w:highlight w:val="none"/>
              </w:rPr>
              <w:t xml:space="preserve">497</w:t>
            </w:r>
            <w:r>
              <w:rPr>
                <w:rFonts w:ascii="Arial" w:hAnsi="Arial" w:cs="Arial"/>
                <w:sz w:val="16"/>
                <w:szCs w:val="16"/>
                <w:highlight w:val="none"/>
              </w:rPr>
            </w:r>
            <w:r>
              <w:rPr>
                <w:rFonts w:ascii="Arial" w:hAnsi="Arial" w:cs="Arial"/>
                <w:sz w:val="16"/>
                <w:szCs w:val="16"/>
                <w:highlight w:val="none"/>
              </w:rPr>
            </w:r>
          </w:p>
        </w:tc>
      </w:tr>
      <w:tr>
        <w:trPr>
          <w:jc w:val="center"/>
          <w:trHeight w:val="225"/>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312B005C">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Fonte de Recurso:</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40EB15FD">
            <w:pPr>
              <w:pBdr/>
              <w:spacing/>
              <w:ind/>
              <w:rPr>
                <w:rFonts w:ascii="Arial" w:hAnsi="Arial" w:cs="Arial"/>
                <w:sz w:val="16"/>
                <w:szCs w:val="16"/>
                <w:highlight w:val="none"/>
              </w:rPr>
            </w:pPr>
            <w:r>
              <w:rPr>
                <w:rFonts w:ascii="Arial" w:hAnsi="Arial" w:eastAsia="Arial" w:cs="Arial"/>
                <w:sz w:val="16"/>
                <w:szCs w:val="16"/>
                <w:highlight w:val="none"/>
              </w:rPr>
              <w:t xml:space="preserve">1.500.1002000</w:t>
            </w:r>
            <w:r>
              <w:rPr>
                <w:rFonts w:ascii="Arial" w:hAnsi="Arial" w:cs="Arial"/>
                <w:sz w:val="16"/>
                <w:szCs w:val="16"/>
                <w:highlight w:val="none"/>
              </w:rPr>
            </w:r>
            <w:r>
              <w:rPr>
                <w:rFonts w:ascii="Arial" w:hAnsi="Arial" w:cs="Arial"/>
                <w:sz w:val="16"/>
                <w:szCs w:val="16"/>
                <w:highlight w:val="none"/>
              </w:rPr>
            </w:r>
          </w:p>
        </w:tc>
      </w:tr>
    </w:tbl>
    <w:p w14:paraId="7F4F1D61">
      <w:pPr>
        <w:pBdr/>
        <w:spacing/>
        <w:ind/>
        <w:jc w:val="both"/>
        <w:rPr>
          <w:rFonts w:ascii="Arial" w:hAnsi="Arial" w:cs="Arial"/>
          <w:sz w:val="16"/>
          <w:szCs w:val="16"/>
          <w:highlight w:val="none"/>
        </w:rPr>
      </w:pPr>
      <w:r>
        <w:rPr>
          <w:rFonts w:ascii="Arial" w:hAnsi="Arial" w:eastAsia="Arial" w:cs="Arial"/>
          <w:sz w:val="16"/>
          <w:szCs w:val="16"/>
          <w:highlight w:val="none"/>
        </w:rPr>
      </w:r>
      <w:r>
        <w:rPr>
          <w:rFonts w:ascii="Arial" w:hAnsi="Arial" w:cs="Arial"/>
          <w:sz w:val="16"/>
          <w:szCs w:val="16"/>
          <w:highlight w:val="none"/>
        </w:rPr>
      </w:r>
      <w:r>
        <w:rPr>
          <w:rFonts w:ascii="Arial" w:hAnsi="Arial" w:cs="Arial"/>
          <w:sz w:val="16"/>
          <w:szCs w:val="16"/>
          <w:highlight w:val="none"/>
        </w:rPr>
      </w:r>
    </w:p>
    <w:tbl>
      <w:tblPr>
        <w:jc w:val="center"/>
        <w:tblW w:w="8969" w:type="dxa"/>
        <w:tblBorders/>
        <w:tblLayout w:type="fixed"/>
        <w:tblLook w:val="04A0" w:firstRow="1" w:lastRow="0" w:firstColumn="1" w:lastColumn="0" w:noHBand="0" w:noVBand="1"/>
      </w:tblPr>
      <w:tblGrid>
        <w:gridCol w:w="2189"/>
        <w:gridCol w:w="6780"/>
      </w:tblGrid>
      <w:tr>
        <w:trPr>
          <w:jc w:val="center"/>
          <w:trHeight w:val="221"/>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642E1FD9">
            <w:pPr>
              <w:pBdr/>
              <w:spacing/>
              <w:ind/>
              <w:jc w:val="center"/>
              <w:rPr>
                <w:rFonts w:ascii="Arial" w:hAnsi="Arial" w:cs="Arial"/>
                <w:sz w:val="16"/>
                <w:szCs w:val="16"/>
                <w:highlight w:val="none"/>
              </w:rPr>
            </w:pPr>
            <w:r>
              <w:rPr>
                <w:rFonts w:ascii="Arial" w:hAnsi="Arial" w:eastAsia="Arial" w:cs="Arial"/>
                <w:b/>
                <w:color w:val="000000"/>
                <w:sz w:val="16"/>
                <w:szCs w:val="16"/>
                <w:highlight w:val="none"/>
                <w:lang w:val="pt-BR" w:eastAsia="pt-BR"/>
              </w:rPr>
              <w:t xml:space="preserve">Classificação Orçamentária da Despesa</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E2A5A71">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Órgão:</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398CDA5C">
            <w:pPr>
              <w:pBdr/>
              <w:spacing/>
              <w:ind/>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02 – Prefeitura Municipal de Rondonópolis</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D468AF4">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Unidade:</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106DA786">
            <w:pPr>
              <w:pBdr/>
              <w:spacing/>
              <w:ind/>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14 – Fundo Municipal de Saúde</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78D0866E">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Funcional Programática:</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19B6129A">
            <w:pPr>
              <w:pBdr/>
              <w:spacing/>
              <w:ind/>
              <w:rPr>
                <w:rFonts w:ascii="Arial" w:hAnsi="Arial" w:cs="Arial"/>
                <w:sz w:val="16"/>
                <w:szCs w:val="16"/>
                <w:highlight w:val="none"/>
              </w:rPr>
            </w:pPr>
            <w:r>
              <w:rPr>
                <w:rFonts w:ascii="Arial" w:hAnsi="Arial" w:eastAsia="Arial" w:cs="Arial"/>
                <w:sz w:val="16"/>
                <w:szCs w:val="16"/>
                <w:highlight w:val="none"/>
              </w:rPr>
              <w:t xml:space="preserve">10.305.2201.2199 - MANUTENÇÃO DO PROGRAMA MUNICIPAL DE IST/AIDS/HV/TB E HANSENÍASE</w:t>
            </w:r>
            <w:r>
              <w:rPr>
                <w:rFonts w:ascii="Arial" w:hAnsi="Arial" w:cs="Arial"/>
                <w:sz w:val="16"/>
                <w:szCs w:val="16"/>
                <w:highlight w:val="none"/>
              </w:rPr>
            </w:r>
            <w:r>
              <w:rPr>
                <w:rFonts w:ascii="Arial" w:hAnsi="Arial" w:cs="Arial"/>
                <w:sz w:val="16"/>
                <w:szCs w:val="16"/>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31FF0DD8">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Elemento de Despesa:</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44198B2F">
            <w:pPr>
              <w:pBdr/>
              <w:spacing/>
              <w:ind/>
              <w:rPr>
                <w:rFonts w:ascii="Arial" w:hAnsi="Arial" w:cs="Arial"/>
                <w:sz w:val="16"/>
                <w:szCs w:val="16"/>
                <w:highlight w:val="none"/>
              </w:rPr>
            </w:pPr>
            <w:r>
              <w:rPr>
                <w:rFonts w:ascii="Arial" w:hAnsi="Arial" w:eastAsia="Arial" w:cs="Arial"/>
                <w:sz w:val="16"/>
                <w:szCs w:val="16"/>
                <w:highlight w:val="none"/>
              </w:rPr>
              <w:t xml:space="preserve">3.3.90.30.00.00 – MATERIAL DE CONSUMO</w:t>
            </w:r>
            <w:r>
              <w:rPr>
                <w:rFonts w:ascii="Arial" w:hAnsi="Arial" w:cs="Arial"/>
                <w:sz w:val="16"/>
                <w:szCs w:val="16"/>
                <w:highlight w:val="none"/>
              </w:rPr>
            </w:r>
            <w:r>
              <w:rPr>
                <w:rFonts w:ascii="Arial" w:hAnsi="Arial" w:cs="Arial"/>
                <w:sz w:val="16"/>
                <w:szCs w:val="16"/>
                <w:highlight w:val="none"/>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5BF32BE0">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Reduzido:</w:t>
            </w:r>
            <w:r>
              <w:rPr>
                <w:rFonts w:ascii="Arial" w:hAnsi="Arial" w:cs="Arial"/>
                <w:sz w:val="16"/>
                <w:szCs w:val="16"/>
                <w:highlight w:val="none"/>
              </w:rPr>
            </w:r>
            <w:r>
              <w:rPr>
                <w:rFonts w:ascii="Arial" w:hAnsi="Arial" w:cs="Arial"/>
                <w:sz w:val="16"/>
                <w:szCs w:val="16"/>
                <w:highlight w:val="none"/>
              </w:rPr>
            </w:r>
          </w:p>
        </w:tc>
        <w:tc>
          <w:tcPr>
            <w:tcBorders>
              <w:left w:val="single" w:color="000000" w:sz="4" w:space="0"/>
              <w:bottom w:val="single" w:color="000000" w:sz="4" w:space="0"/>
              <w:right w:val="single" w:color="000000" w:sz="4" w:space="0"/>
            </w:tcBorders>
            <w:tcW w:w="6780" w:type="dxa"/>
            <w:textDirection w:val="lrTb"/>
            <w:noWrap w:val="false"/>
          </w:tcPr>
          <w:p w14:paraId="388F1353">
            <w:pPr>
              <w:pBdr/>
              <w:spacing/>
              <w:ind/>
              <w:rPr>
                <w:rFonts w:ascii="Arial" w:hAnsi="Arial" w:cs="Arial"/>
                <w:sz w:val="16"/>
                <w:szCs w:val="16"/>
                <w:highlight w:val="none"/>
              </w:rPr>
            </w:pPr>
            <w:r>
              <w:rPr>
                <w:rFonts w:ascii="Arial" w:hAnsi="Arial" w:eastAsia="Arial" w:cs="Arial"/>
                <w:b/>
                <w:sz w:val="16"/>
                <w:szCs w:val="16"/>
                <w:highlight w:val="none"/>
              </w:rPr>
              <w:t xml:space="preserve">463</w:t>
            </w:r>
            <w:r>
              <w:rPr>
                <w:rFonts w:ascii="Arial" w:hAnsi="Arial" w:cs="Arial"/>
                <w:sz w:val="16"/>
                <w:szCs w:val="16"/>
                <w:highlight w:val="none"/>
              </w:rPr>
            </w:r>
            <w:r>
              <w:rPr>
                <w:rFonts w:ascii="Arial" w:hAnsi="Arial" w:cs="Arial"/>
                <w:sz w:val="16"/>
                <w:szCs w:val="16"/>
                <w:highlight w:val="none"/>
              </w:rPr>
            </w:r>
          </w:p>
        </w:tc>
      </w:tr>
      <w:tr>
        <w:trPr>
          <w:jc w:val="center"/>
          <w:trHeight w:val="112"/>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34481EEE">
            <w:pPr>
              <w:pBdr/>
              <w:spacing/>
              <w:ind/>
              <w:jc w:val="right"/>
              <w:rPr>
                <w:rFonts w:ascii="Arial" w:hAnsi="Arial" w:cs="Arial"/>
                <w:sz w:val="16"/>
                <w:szCs w:val="16"/>
                <w:highlight w:val="none"/>
              </w:rPr>
            </w:pPr>
            <w:r>
              <w:rPr>
                <w:rFonts w:ascii="Arial" w:hAnsi="Arial" w:eastAsia="Arial" w:cs="Arial"/>
                <w:color w:val="000000"/>
                <w:sz w:val="16"/>
                <w:szCs w:val="16"/>
                <w:highlight w:val="none"/>
                <w:lang w:val="pt-BR" w:eastAsia="pt-BR"/>
              </w:rPr>
              <w:t xml:space="preserve">Fonte de Recurso:</w:t>
            </w:r>
            <w:r>
              <w:rPr>
                <w:rFonts w:ascii="Arial" w:hAnsi="Arial" w:cs="Arial"/>
                <w:sz w:val="16"/>
                <w:szCs w:val="16"/>
                <w:highlight w:val="none"/>
              </w:rPr>
            </w:r>
            <w:r>
              <w:rPr>
                <w:rFonts w:ascii="Arial" w:hAnsi="Arial" w:cs="Arial"/>
                <w:sz w:val="16"/>
                <w:szCs w:val="16"/>
                <w:highlight w:val="none"/>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3619CDFB">
            <w:pPr>
              <w:pBdr/>
              <w:spacing/>
              <w:ind/>
              <w:rPr>
                <w:rFonts w:ascii="Arial" w:hAnsi="Arial" w:cs="Arial"/>
                <w:sz w:val="16"/>
                <w:szCs w:val="16"/>
                <w:highlight w:val="none"/>
              </w:rPr>
            </w:pPr>
            <w:r>
              <w:rPr>
                <w:rFonts w:ascii="Arial" w:hAnsi="Arial" w:eastAsia="Arial" w:cs="Arial"/>
                <w:sz w:val="16"/>
                <w:szCs w:val="16"/>
                <w:highlight w:val="none"/>
              </w:rPr>
              <w:t xml:space="preserve">1.600.0000605</w:t>
            </w:r>
            <w:r>
              <w:rPr>
                <w:rFonts w:ascii="Arial" w:hAnsi="Arial" w:cs="Arial"/>
                <w:sz w:val="16"/>
                <w:szCs w:val="16"/>
                <w:highlight w:val="none"/>
              </w:rPr>
            </w:r>
            <w:r>
              <w:rPr>
                <w:rFonts w:ascii="Arial" w:hAnsi="Arial" w:cs="Arial"/>
                <w:sz w:val="16"/>
                <w:szCs w:val="16"/>
                <w:highlight w:val="none"/>
              </w:rPr>
            </w:r>
          </w:p>
        </w:tc>
      </w:tr>
    </w:tbl>
    <w:p w14:paraId="03D7F994">
      <w:pPr>
        <w:pBdr/>
        <w:spacing/>
        <w:ind/>
        <w:jc w:val="both"/>
        <w:rPr>
          <w:rFonts w:ascii="Arial" w:hAnsi="Arial" w:cs="Arial"/>
          <w:sz w:val="18"/>
          <w:szCs w:val="18"/>
          <w:highlight w:val="none"/>
        </w:rPr>
      </w:pPr>
      <w:r>
        <w:rPr>
          <w:rFonts w:ascii="Arial" w:hAnsi="Arial" w:eastAsia="Arial" w:cs="Arial"/>
          <w:sz w:val="18"/>
          <w:szCs w:val="18"/>
          <w:highlight w:val="none"/>
        </w:rPr>
      </w:r>
      <w:r>
        <w:rPr>
          <w:rFonts w:ascii="Arial" w:hAnsi="Arial" w:cs="Arial"/>
          <w:sz w:val="18"/>
          <w:szCs w:val="18"/>
          <w:highlight w:val="none"/>
        </w:rPr>
      </w:r>
      <w:r>
        <w:rPr>
          <w:rFonts w:ascii="Arial" w:hAnsi="Arial" w:cs="Arial"/>
          <w:sz w:val="18"/>
          <w:szCs w:val="18"/>
          <w:highlight w:val="none"/>
        </w:rPr>
      </w:r>
    </w:p>
    <w:p w14:paraId="146FA0A9">
      <w:pPr>
        <w:pBdr/>
        <w:spacing/>
        <w:ind/>
        <w:jc w:val="both"/>
        <w:rPr>
          <w:rFonts w:ascii="Arial" w:hAnsi="Arial" w:cs="Arial"/>
          <w:highlight w:val="none"/>
        </w:rPr>
      </w:pPr>
      <w:r>
        <w:rPr>
          <w:rFonts w:ascii="Arial" w:hAnsi="Arial" w:eastAsia="Arial" w:cs="Arial"/>
          <w:b/>
          <w:bCs/>
          <w:iCs/>
          <w:highlight w:val="none"/>
          <w:lang w:val="pt-BR" w:eastAsia="pt-BR"/>
        </w:rPr>
        <w:t xml:space="preserve">15.5. </w:t>
      </w:r>
      <w:r>
        <w:rPr>
          <w:rFonts w:ascii="Arial" w:hAnsi="Arial" w:eastAsia="Arial" w:cs="Arial"/>
          <w:iCs/>
          <w:highlight w:val="none"/>
          <w:lang w:val="pt-BR" w:eastAsia="pt-BR"/>
        </w:rPr>
        <w:t xml:space="preserve">É possível encontrar o Plano Anual de Contratação no site:</w:t>
      </w:r>
      <w:r>
        <w:rPr>
          <w:rFonts w:ascii="Arial" w:hAnsi="Arial" w:cs="Arial"/>
          <w:highlight w:val="none"/>
        </w:rPr>
      </w:r>
      <w:r>
        <w:rPr>
          <w:rFonts w:ascii="Arial" w:hAnsi="Arial" w:cs="Arial"/>
          <w:highlight w:val="none"/>
        </w:rPr>
      </w:r>
    </w:p>
    <w:p w14:paraId="0AC141BB">
      <w:pPr>
        <w:pBdr/>
        <w:spacing/>
        <w:ind/>
        <w:jc w:val="both"/>
        <w:rPr>
          <w:rFonts w:ascii="Arial" w:hAnsi="Arial" w:cs="Arial"/>
          <w:iCs/>
          <w:highlight w:val="none"/>
        </w:rPr>
      </w:pPr>
      <w:r>
        <w:rPr>
          <w:rFonts w:ascii="Arial" w:hAnsi="Arial" w:eastAsia="Arial" w:cs="Arial"/>
          <w:b/>
          <w:bCs/>
          <w:highlight w:val="none"/>
          <w:lang w:val="pt-BR"/>
        </w:rPr>
        <w:t xml:space="preserve">15.5.1.</w:t>
      </w:r>
      <w:r>
        <w:rPr>
          <w:rFonts w:ascii="Arial" w:hAnsi="Arial" w:eastAsia="Arial" w:cs="Arial"/>
          <w:highlight w:val="none"/>
          <w:lang w:val="pt-BR"/>
        </w:rPr>
        <w:t xml:space="preserve"> </w:t>
      </w:r>
      <w:hyperlink r:id="rId42" w:tooltip="https://transparencia.rondonopolis.mt.gov.br/rondonopolis/publicacoes/23" w:history="1">
        <w:r>
          <w:rPr>
            <w:rStyle w:val="994"/>
            <w:rFonts w:ascii="Arial" w:hAnsi="Arial" w:eastAsia="Arial" w:cs="Arial"/>
            <w:iCs/>
            <w:highlight w:val="none"/>
            <w:lang w:val="pt-BR" w:eastAsia="pt-BR"/>
          </w:rPr>
          <w:t xml:space="preserve">https://transparencia.rondonopolis.mt.gov.br/rondonopolis/publicacoes/23</w:t>
        </w:r>
      </w:hyperlink>
      <w:r>
        <w:rPr>
          <w:rFonts w:ascii="Arial" w:hAnsi="Arial" w:eastAsia="Arial" w:cs="Arial"/>
          <w:iCs/>
          <w:highlight w:val="none"/>
          <w:lang w:val="pt-BR" w:eastAsia="pt-BR"/>
        </w:rPr>
        <w:t xml:space="preserve"> </w:t>
      </w:r>
      <w:r>
        <w:rPr>
          <w:rFonts w:ascii="Arial" w:hAnsi="Arial" w:cs="Arial"/>
          <w:iCs/>
          <w:highlight w:val="none"/>
        </w:rPr>
      </w:r>
      <w:r>
        <w:rPr>
          <w:rFonts w:ascii="Arial" w:hAnsi="Arial" w:cs="Arial"/>
          <w:iCs/>
          <w:highlight w:val="none"/>
        </w:rPr>
      </w:r>
    </w:p>
    <w:p w14:paraId="38D66C4C">
      <w:pPr>
        <w:pBdr/>
        <w:spacing/>
        <w:ind/>
        <w:jc w:val="both"/>
        <w:rPr>
          <w:rFonts w:ascii="Arial" w:hAnsi="Arial" w:cs="Arial"/>
          <w:highlight w:val="none"/>
        </w:rPr>
      </w:pPr>
      <w:r>
        <w:rPr>
          <w:rFonts w:ascii="Arial" w:hAnsi="Arial" w:eastAsia="Arial" w:cs="Arial"/>
          <w:highlight w:val="none"/>
        </w:rPr>
      </w:r>
      <w:r>
        <w:rPr>
          <w:rFonts w:ascii="Arial" w:hAnsi="Arial" w:cs="Arial"/>
          <w:highlight w:val="none"/>
        </w:rPr>
      </w:r>
      <w:r>
        <w:rPr>
          <w:rFonts w:ascii="Arial" w:hAnsi="Arial" w:cs="Arial"/>
          <w:highlight w:val="none"/>
        </w:rPr>
      </w:r>
    </w:p>
    <w:p w14:paraId="689D98B5">
      <w:pPr>
        <w:pBdr/>
        <w:shd w:val="clear" w:color="auto" w:fill="cccccc"/>
        <w:spacing/>
        <w:ind/>
        <w:jc w:val="both"/>
        <w:rPr>
          <w:rFonts w:ascii="Arial" w:hAnsi="Arial" w:cs="Arial"/>
          <w:highlight w:val="none"/>
        </w:rPr>
      </w:pPr>
      <w:r>
        <w:rPr>
          <w:rFonts w:ascii="Arial" w:hAnsi="Arial" w:eastAsia="Arial" w:cs="Arial"/>
          <w:b/>
          <w:bCs/>
          <w:highlight w:val="none"/>
        </w:rPr>
        <w:t xml:space="preserve">1</w:t>
      </w:r>
      <w:r>
        <w:rPr>
          <w:rFonts w:ascii="Arial" w:hAnsi="Arial" w:eastAsia="Arial" w:cs="Arial"/>
          <w:b/>
          <w:bCs/>
          <w:highlight w:val="none"/>
          <w:lang w:val="pt-BR"/>
        </w:rPr>
        <w:t xml:space="preserve">6</w:t>
      </w:r>
      <w:r>
        <w:rPr>
          <w:rFonts w:ascii="Arial" w:hAnsi="Arial" w:eastAsia="Arial" w:cs="Arial"/>
          <w:b/>
          <w:bCs/>
          <w:highlight w:val="none"/>
        </w:rPr>
        <w:t xml:space="preserve"> – UNIDADE RESPONSÁVEL PELO ACOMPANHAMENTO/ FISCALIZAÇÃO </w:t>
      </w:r>
      <w:r>
        <w:rPr>
          <w:rFonts w:ascii="Arial" w:hAnsi="Arial" w:cs="Arial"/>
          <w:highlight w:val="none"/>
        </w:rPr>
      </w:r>
      <w:r>
        <w:rPr>
          <w:rFonts w:ascii="Arial" w:hAnsi="Arial" w:cs="Arial"/>
          <w:highlight w:val="none"/>
        </w:rPr>
      </w:r>
    </w:p>
    <w:p w14:paraId="5FFB781F">
      <w:pPr>
        <w:pBdr/>
        <w:spacing/>
        <w:ind/>
        <w:jc w:val="both"/>
        <w:rPr>
          <w:rFonts w:ascii="Arial" w:hAnsi="Arial" w:cs="Arial"/>
          <w:sz w:val="18"/>
          <w:szCs w:val="18"/>
          <w:highlight w:val="none"/>
        </w:rPr>
      </w:pPr>
      <w:r>
        <w:rPr>
          <w:rFonts w:ascii="Arial" w:hAnsi="Arial" w:eastAsia="Arial" w:cs="Arial"/>
          <w:sz w:val="18"/>
          <w:szCs w:val="18"/>
          <w:highlight w:val="none"/>
        </w:rPr>
      </w:r>
      <w:r>
        <w:rPr>
          <w:rFonts w:ascii="Arial" w:hAnsi="Arial" w:cs="Arial"/>
          <w:sz w:val="18"/>
          <w:szCs w:val="18"/>
          <w:highlight w:val="none"/>
        </w:rPr>
      </w:r>
      <w:r>
        <w:rPr>
          <w:rFonts w:ascii="Arial" w:hAnsi="Arial" w:cs="Arial"/>
          <w:sz w:val="18"/>
          <w:szCs w:val="18"/>
          <w:highlight w:val="none"/>
        </w:rPr>
      </w:r>
    </w:p>
    <w:p w14:paraId="2065D72E">
      <w:pPr>
        <w:pBdr/>
        <w:spacing/>
        <w:ind/>
        <w:jc w:val="both"/>
        <w:rPr>
          <w:rFonts w:ascii="Arial" w:hAnsi="Arial" w:cs="Arial"/>
          <w:highlight w:val="none"/>
        </w:rPr>
      </w:pPr>
      <w:r>
        <w:rPr>
          <w:rFonts w:ascii="Arial" w:hAnsi="Arial" w:eastAsia="Arial" w:cs="Arial"/>
          <w:b/>
          <w:bCs/>
          <w:highlight w:val="none"/>
          <w:lang w:val="pt-BR"/>
        </w:rPr>
        <w:t xml:space="preserve">16.1. </w:t>
      </w:r>
      <w:r>
        <w:rPr>
          <w:rFonts w:ascii="Arial" w:hAnsi="Arial" w:eastAsia="Arial" w:cs="Arial"/>
          <w:highlight w:val="none"/>
        </w:rPr>
        <w:t xml:space="preserve">SECRETARIA MUNICIPAL DE SAÚDE</w:t>
      </w:r>
      <w:r>
        <w:rPr>
          <w:rFonts w:ascii="Arial" w:hAnsi="Arial" w:cs="Arial"/>
          <w:highlight w:val="none"/>
        </w:rPr>
      </w:r>
      <w:r>
        <w:rPr>
          <w:rFonts w:ascii="Arial" w:hAnsi="Arial" w:cs="Arial"/>
          <w:highlight w:val="none"/>
        </w:rPr>
      </w:r>
    </w:p>
    <w:p w14:paraId="5C7AD747">
      <w:pPr>
        <w:pBdr/>
        <w:spacing/>
        <w:ind/>
        <w:jc w:val="both"/>
        <w:rPr>
          <w:rFonts w:ascii="Arial" w:hAnsi="Arial" w:cs="Arial"/>
          <w:sz w:val="18"/>
          <w:szCs w:val="18"/>
          <w:highlight w:val="none"/>
        </w:rPr>
      </w:pPr>
      <w:r>
        <w:rPr>
          <w:rFonts w:ascii="Arial" w:hAnsi="Arial" w:eastAsia="Arial" w:cs="Arial"/>
          <w:sz w:val="18"/>
          <w:szCs w:val="18"/>
          <w:highlight w:val="none"/>
        </w:rPr>
      </w:r>
      <w:r>
        <w:rPr>
          <w:rFonts w:ascii="Arial" w:hAnsi="Arial" w:cs="Arial"/>
          <w:sz w:val="18"/>
          <w:szCs w:val="18"/>
          <w:highlight w:val="none"/>
        </w:rPr>
      </w:r>
      <w:r>
        <w:rPr>
          <w:rFonts w:ascii="Arial" w:hAnsi="Arial" w:cs="Arial"/>
          <w:sz w:val="18"/>
          <w:szCs w:val="18"/>
          <w:highlight w:val="none"/>
        </w:rPr>
      </w:r>
    </w:p>
    <w:p w14:paraId="41AADB7B">
      <w:pPr>
        <w:pBdr/>
        <w:shd w:val="clear" w:color="auto" w:fill="cccccc"/>
        <w:spacing/>
        <w:ind/>
        <w:jc w:val="both"/>
        <w:rPr>
          <w:rFonts w:ascii="Arial" w:hAnsi="Arial" w:cs="Arial"/>
          <w:highlight w:val="none"/>
        </w:rPr>
      </w:pPr>
      <w:r>
        <w:rPr>
          <w:rFonts w:ascii="Arial" w:hAnsi="Arial" w:eastAsia="Arial" w:cs="Arial"/>
          <w:b/>
          <w:bCs/>
          <w:highlight w:val="none"/>
        </w:rPr>
        <w:t xml:space="preserve">1</w:t>
      </w:r>
      <w:r>
        <w:rPr>
          <w:rFonts w:ascii="Arial" w:hAnsi="Arial" w:eastAsia="Arial" w:cs="Arial"/>
          <w:b/>
          <w:bCs/>
          <w:highlight w:val="none"/>
          <w:lang w:val="pt-BR"/>
        </w:rPr>
        <w:t xml:space="preserve">7</w:t>
      </w:r>
      <w:r>
        <w:rPr>
          <w:rFonts w:ascii="Arial" w:hAnsi="Arial" w:eastAsia="Arial" w:cs="Arial"/>
          <w:b/>
          <w:bCs/>
          <w:highlight w:val="none"/>
        </w:rPr>
        <w:t xml:space="preserve"> –</w:t>
      </w:r>
      <w:r>
        <w:rPr>
          <w:rFonts w:ascii="Arial" w:hAnsi="Arial" w:eastAsia="Arial" w:cs="Arial"/>
          <w:b/>
          <w:bCs/>
          <w:highlight w:val="none"/>
          <w:lang w:val="pt-BR"/>
        </w:rPr>
        <w:t xml:space="preserve">INTEGRAM O PRESENTE TERMO O(S) SEGUINTE(S) ANEXO(S):</w:t>
      </w:r>
      <w:r>
        <w:rPr>
          <w:rFonts w:ascii="Arial" w:hAnsi="Arial" w:cs="Arial"/>
          <w:highlight w:val="none"/>
        </w:rPr>
      </w:r>
      <w:r>
        <w:rPr>
          <w:rFonts w:ascii="Arial" w:hAnsi="Arial" w:cs="Arial"/>
          <w:highlight w:val="none"/>
        </w:rPr>
      </w:r>
    </w:p>
    <w:p w14:paraId="1CFF8202">
      <w:pPr>
        <w:pBdr/>
        <w:spacing/>
        <w:ind/>
        <w:jc w:val="both"/>
        <w:rPr>
          <w:rFonts w:ascii="Arial" w:hAnsi="Arial" w:cs="Arial"/>
          <w:sz w:val="18"/>
          <w:szCs w:val="18"/>
          <w:highlight w:val="none"/>
        </w:rPr>
      </w:pPr>
      <w:r>
        <w:rPr>
          <w:rFonts w:ascii="Arial" w:hAnsi="Arial" w:eastAsia="Arial" w:cs="Arial"/>
          <w:sz w:val="18"/>
          <w:szCs w:val="18"/>
          <w:highlight w:val="none"/>
          <w:lang w:val="pt-BR"/>
        </w:rPr>
      </w:r>
      <w:r>
        <w:rPr>
          <w:rFonts w:ascii="Arial" w:hAnsi="Arial" w:cs="Arial"/>
          <w:sz w:val="18"/>
          <w:szCs w:val="18"/>
          <w:highlight w:val="none"/>
        </w:rPr>
      </w:r>
      <w:r>
        <w:rPr>
          <w:rFonts w:ascii="Arial" w:hAnsi="Arial" w:cs="Arial"/>
          <w:sz w:val="18"/>
          <w:szCs w:val="18"/>
          <w:highlight w:val="none"/>
        </w:rPr>
      </w:r>
    </w:p>
    <w:p w14:paraId="6379177C">
      <w:pPr>
        <w:pBdr/>
        <w:spacing/>
        <w:ind/>
        <w:jc w:val="both"/>
        <w:rPr>
          <w:rFonts w:ascii="Arial" w:hAnsi="Arial" w:cs="Arial"/>
          <w:highlight w:val="none"/>
        </w:rPr>
      </w:pPr>
      <w:r>
        <w:rPr>
          <w:rFonts w:ascii="Arial" w:hAnsi="Arial" w:eastAsia="Arial" w:cs="Arial"/>
          <w:b/>
          <w:bCs/>
          <w:highlight w:val="none"/>
          <w:lang w:val="pt-BR"/>
        </w:rPr>
        <w:t xml:space="preserve">17.1. </w:t>
      </w:r>
      <w:r>
        <w:rPr>
          <w:rFonts w:ascii="Arial" w:hAnsi="Arial" w:eastAsia="Arial" w:cs="Arial"/>
          <w:highlight w:val="none"/>
          <w:lang w:val="pt-BR"/>
        </w:rPr>
        <w:t xml:space="preserve">Cotações.</w:t>
      </w:r>
      <w:r>
        <w:rPr>
          <w:rFonts w:ascii="Arial" w:hAnsi="Arial" w:cs="Arial"/>
          <w:highlight w:val="none"/>
        </w:rPr>
      </w:r>
      <w:r>
        <w:rPr>
          <w:rFonts w:ascii="Arial" w:hAnsi="Arial" w:cs="Arial"/>
          <w:highlight w:val="none"/>
        </w:rPr>
      </w:r>
    </w:p>
    <w:p w14:paraId="4C204167">
      <w:pPr>
        <w:pBdr/>
        <w:spacing w:line="216" w:lineRule="auto"/>
        <w:ind/>
        <w:jc w:val="both"/>
        <w:rPr>
          <w:rFonts w:ascii="Arial" w:hAnsi="Arial" w:cs="Arial"/>
          <w:sz w:val="18"/>
          <w:szCs w:val="18"/>
          <w:highlight w:val="none"/>
        </w:rPr>
      </w:pPr>
      <w:r>
        <w:rPr>
          <w:rFonts w:ascii="Arial" w:hAnsi="Arial" w:eastAsia="Arial" w:cs="Arial"/>
          <w:sz w:val="18"/>
          <w:szCs w:val="18"/>
          <w:highlight w:val="none"/>
          <w:lang w:val="pt-BR"/>
        </w:rPr>
      </w:r>
      <w:r>
        <w:rPr>
          <w:rFonts w:ascii="Arial" w:hAnsi="Arial" w:cs="Arial"/>
          <w:sz w:val="18"/>
          <w:szCs w:val="18"/>
          <w:highlight w:val="none"/>
        </w:rPr>
      </w:r>
      <w:r>
        <w:rPr>
          <w:rFonts w:ascii="Arial" w:hAnsi="Arial" w:cs="Arial"/>
          <w:sz w:val="18"/>
          <w:szCs w:val="18"/>
          <w:highlight w:val="none"/>
        </w:rPr>
      </w:r>
    </w:p>
    <w:p w14:paraId="5DCF63E5">
      <w:pPr>
        <w:pBdr/>
        <w:shd w:val="clear" w:color="auto" w:fill="cccccc"/>
        <w:spacing w:line="216" w:lineRule="auto"/>
        <w:ind/>
        <w:jc w:val="both"/>
        <w:rPr>
          <w:rFonts w:ascii="Arial" w:hAnsi="Arial" w:cs="Arial"/>
          <w:b/>
          <w:bCs/>
          <w:iCs/>
          <w:highlight w:val="none"/>
        </w:rPr>
      </w:pPr>
      <w:r>
        <w:rPr>
          <w:rFonts w:ascii="Arial" w:hAnsi="Arial" w:eastAsia="Arial" w:cs="Arial"/>
          <w:b/>
          <w:bCs/>
          <w:highlight w:val="none"/>
        </w:rPr>
        <w:t xml:space="preserve">1</w:t>
      </w:r>
      <w:r>
        <w:rPr>
          <w:rFonts w:ascii="Arial" w:hAnsi="Arial" w:eastAsia="Arial" w:cs="Arial"/>
          <w:b/>
          <w:bCs/>
          <w:highlight w:val="none"/>
          <w:lang w:val="pt-BR"/>
        </w:rPr>
        <w:t xml:space="preserve">8</w:t>
      </w:r>
      <w:r>
        <w:rPr>
          <w:rFonts w:ascii="Arial" w:hAnsi="Arial" w:eastAsia="Arial" w:cs="Arial"/>
          <w:b/>
          <w:bCs/>
          <w:highlight w:val="none"/>
        </w:rPr>
        <w:t xml:space="preserve"> –</w:t>
      </w:r>
      <w:r>
        <w:rPr>
          <w:rFonts w:ascii="Arial" w:hAnsi="Arial" w:eastAsia="Arial" w:cs="Arial"/>
          <w:b/>
          <w:bCs/>
          <w:iCs/>
          <w:highlight w:val="none"/>
          <w:lang w:val="pt-BR" w:eastAsia="pt-BR"/>
        </w:rPr>
        <w:t xml:space="preserve"> DECLARAÇÃO DE CONFORMIDADE DO TERMO DE REFERÊNCIA</w:t>
      </w:r>
      <w:r>
        <w:rPr>
          <w:rFonts w:ascii="Arial" w:hAnsi="Arial" w:cs="Arial"/>
          <w:b/>
          <w:bCs/>
          <w:iCs/>
          <w:highlight w:val="none"/>
        </w:rPr>
      </w:r>
      <w:r>
        <w:rPr>
          <w:rFonts w:ascii="Arial" w:hAnsi="Arial" w:cs="Arial"/>
          <w:b/>
          <w:bCs/>
          <w:iCs/>
          <w:highlight w:val="none"/>
        </w:rPr>
      </w:r>
    </w:p>
    <w:p w14:paraId="1BA91714">
      <w:pPr>
        <w:pBdr/>
        <w:spacing w:line="216" w:lineRule="auto"/>
        <w:ind/>
        <w:jc w:val="both"/>
        <w:rPr>
          <w:rFonts w:ascii="Arial" w:hAnsi="Arial" w:cs="Arial"/>
          <w:b/>
          <w:bCs/>
          <w:iCs/>
          <w:sz w:val="18"/>
          <w:szCs w:val="18"/>
          <w:highlight w:val="none"/>
        </w:rPr>
      </w:pPr>
      <w:r>
        <w:rPr>
          <w:rFonts w:ascii="Arial" w:hAnsi="Arial" w:eastAsia="Arial" w:cs="Arial"/>
          <w:b/>
          <w:bCs/>
          <w:iCs/>
          <w:sz w:val="18"/>
          <w:szCs w:val="18"/>
          <w:highlight w:val="none"/>
          <w:lang w:val="pt-BR" w:eastAsia="pt-BR"/>
        </w:rPr>
      </w:r>
      <w:r>
        <w:rPr>
          <w:rFonts w:ascii="Arial" w:hAnsi="Arial" w:cs="Arial"/>
          <w:b/>
          <w:bCs/>
          <w:iCs/>
          <w:sz w:val="18"/>
          <w:szCs w:val="18"/>
          <w:highlight w:val="none"/>
        </w:rPr>
      </w:r>
      <w:r>
        <w:rPr>
          <w:rFonts w:ascii="Arial" w:hAnsi="Arial" w:cs="Arial"/>
          <w:b/>
          <w:bCs/>
          <w:iCs/>
          <w:sz w:val="18"/>
          <w:szCs w:val="18"/>
          <w:highlight w:val="none"/>
        </w:rPr>
      </w:r>
    </w:p>
    <w:p w14:paraId="52E01B29">
      <w:pPr>
        <w:pBdr/>
        <w:spacing/>
        <w:ind/>
        <w:jc w:val="both"/>
        <w:rPr>
          <w:rFonts w:ascii="Arial" w:hAnsi="Arial" w:cs="Arial"/>
          <w:iCs/>
          <w:highlight w:val="none"/>
        </w:rPr>
      </w:pPr>
      <w:r>
        <w:rPr>
          <w:rFonts w:ascii="Arial" w:hAnsi="Arial" w:eastAsia="Arial" w:cs="Arial"/>
          <w:b/>
          <w:bCs/>
          <w:iCs/>
          <w:highlight w:val="none"/>
          <w:lang w:val="pt-BR" w:eastAsia="pt-BR"/>
        </w:rPr>
        <w:t xml:space="preserve">18.1.</w:t>
      </w:r>
      <w:r>
        <w:rPr>
          <w:rFonts w:ascii="Arial" w:hAnsi="Arial" w:eastAsia="Arial" w:cs="Arial"/>
          <w:iCs/>
          <w:highlight w:val="none"/>
          <w:lang w:val="pt-BR" w:eastAsia="pt-BR"/>
        </w:rPr>
        <w:t xml:space="preserve"> Declara-se, para os fins previstos na Lei Federal nº 14.133/2021 e na regulamentação municipal aplicável, que o presente Termo de Referência contém os elementos necessários à adequada definição e instrução da contratação.</w:t>
      </w:r>
      <w:r>
        <w:rPr>
          <w:rFonts w:ascii="Arial" w:hAnsi="Arial" w:cs="Arial"/>
          <w:iCs/>
          <w:highlight w:val="none"/>
        </w:rPr>
      </w:r>
      <w:r>
        <w:rPr>
          <w:rFonts w:ascii="Arial" w:hAnsi="Arial" w:cs="Arial"/>
          <w:iCs/>
          <w:highlight w:val="none"/>
        </w:rPr>
      </w:r>
    </w:p>
    <w:p w14:paraId="513AF130">
      <w:pPr>
        <w:pBdr/>
        <w:spacing/>
        <w:ind/>
        <w:jc w:val="both"/>
        <w:rPr>
          <w:rFonts w:ascii="Arial" w:hAnsi="Arial" w:cs="Arial"/>
          <w:iCs/>
          <w:highlight w:val="none"/>
        </w:rPr>
      </w:pPr>
      <w:r>
        <w:rPr>
          <w:rFonts w:ascii="Arial" w:hAnsi="Arial" w:eastAsia="Arial" w:cs="Arial"/>
          <w:b/>
          <w:bCs/>
          <w:iCs/>
          <w:highlight w:val="none"/>
          <w:lang w:val="pt-BR" w:eastAsia="pt-BR"/>
        </w:rPr>
        <w:t xml:space="preserve">18.2.</w:t>
      </w:r>
      <w:r>
        <w:rPr>
          <w:rFonts w:ascii="Arial" w:hAnsi="Arial" w:eastAsia="Arial" w:cs="Arial"/>
          <w:iCs/>
          <w:highlight w:val="none"/>
          <w:lang w:val="pt-BR" w:eastAsia="pt-BR"/>
        </w:rPr>
        <w:t xml:space="preserve"> O objeto consiste exclusivamente no Registro de Preços para futura e eventual aquisição de tubos, agulhas e adaptadores para coleta de sangue a vácuo, estruturados em LOTE ÚNICO, com fornecimento parcelado.</w:t>
      </w:r>
      <w:r>
        <w:rPr>
          <w:rFonts w:ascii="Arial" w:hAnsi="Arial" w:cs="Arial"/>
          <w:iCs/>
          <w:highlight w:val="none"/>
        </w:rPr>
      </w:r>
      <w:r>
        <w:rPr>
          <w:rFonts w:ascii="Arial" w:hAnsi="Arial" w:cs="Arial"/>
          <w:iCs/>
          <w:highlight w:val="none"/>
        </w:rPr>
      </w:r>
    </w:p>
    <w:p w14:paraId="46B3588A">
      <w:pPr>
        <w:pBdr/>
        <w:spacing/>
        <w:ind/>
        <w:jc w:val="both"/>
        <w:rPr>
          <w:rFonts w:ascii="Arial" w:hAnsi="Arial" w:cs="Arial"/>
          <w:iCs/>
          <w:highlight w:val="none"/>
        </w:rPr>
      </w:pPr>
      <w:r>
        <w:rPr>
          <w:rFonts w:ascii="Arial" w:hAnsi="Arial" w:eastAsia="Arial" w:cs="Arial"/>
          <w:b/>
          <w:bCs/>
          <w:iCs/>
          <w:highlight w:val="none"/>
          <w:lang w:val="pt-BR" w:eastAsia="pt-BR"/>
        </w:rPr>
        <w:t xml:space="preserve">18.3.</w:t>
      </w:r>
      <w:r>
        <w:rPr>
          <w:rFonts w:ascii="Arial" w:hAnsi="Arial" w:eastAsia="Arial" w:cs="Arial"/>
          <w:iCs/>
          <w:highlight w:val="none"/>
          <w:lang w:val="pt-BR" w:eastAsia="pt-BR"/>
        </w:rPr>
        <w:t xml:space="preserve"> A contratação foi fundamentada na necessidade de continuidade do abastecimento dos insumos utilizados nas rotinas laboratoriais e nos procedimentos de coleta de sangue.</w:t>
      </w:r>
      <w:r>
        <w:rPr>
          <w:rFonts w:ascii="Arial" w:hAnsi="Arial" w:cs="Arial"/>
          <w:iCs/>
          <w:highlight w:val="none"/>
        </w:rPr>
      </w:r>
      <w:r>
        <w:rPr>
          <w:rFonts w:ascii="Arial" w:hAnsi="Arial" w:cs="Arial"/>
          <w:iCs/>
          <w:highlight w:val="none"/>
        </w:rPr>
      </w:r>
    </w:p>
    <w:p w14:paraId="2E10F073">
      <w:pPr>
        <w:pBdr/>
        <w:spacing/>
        <w:ind/>
        <w:jc w:val="both"/>
        <w:rPr>
          <w:rFonts w:ascii="Arial" w:hAnsi="Arial" w:cs="Arial"/>
          <w:iCs/>
          <w:highlight w:val="none"/>
        </w:rPr>
      </w:pPr>
      <w:r>
        <w:rPr>
          <w:rFonts w:ascii="Arial" w:hAnsi="Arial" w:eastAsia="Arial" w:cs="Arial"/>
          <w:b/>
          <w:bCs/>
          <w:iCs/>
          <w:highlight w:val="none"/>
          <w:lang w:val="pt-BR" w:eastAsia="pt-BR"/>
        </w:rPr>
        <w:t xml:space="preserve">18.4.</w:t>
      </w:r>
      <w:r>
        <w:rPr>
          <w:rFonts w:ascii="Arial" w:hAnsi="Arial" w:eastAsia="Arial" w:cs="Arial"/>
          <w:iCs/>
          <w:highlight w:val="none"/>
          <w:lang w:val="pt-BR" w:eastAsia="pt-BR"/>
        </w:rPr>
        <w:t xml:space="preserve"> A estruturação em LOTE ÚNICO decorre da integração técnica dos materiais e da necessidade de padronização e compatibilidade do sistema de coleta.</w:t>
      </w:r>
      <w:r>
        <w:rPr>
          <w:rFonts w:ascii="Arial" w:hAnsi="Arial" w:cs="Arial"/>
          <w:iCs/>
          <w:highlight w:val="none"/>
        </w:rPr>
      </w:r>
      <w:r>
        <w:rPr>
          <w:rFonts w:ascii="Arial" w:hAnsi="Arial" w:cs="Arial"/>
          <w:iCs/>
          <w:highlight w:val="none"/>
        </w:rPr>
      </w:r>
    </w:p>
    <w:p w14:paraId="700E8331">
      <w:pPr>
        <w:pBdr/>
        <w:spacing/>
        <w:ind/>
        <w:jc w:val="both"/>
        <w:rPr>
          <w:rFonts w:ascii="Arial" w:hAnsi="Arial" w:cs="Arial"/>
          <w:iCs/>
          <w:highlight w:val="none"/>
        </w:rPr>
      </w:pPr>
      <w:r>
        <w:rPr>
          <w:rFonts w:ascii="Arial" w:hAnsi="Arial" w:eastAsia="Arial" w:cs="Arial"/>
          <w:b/>
          <w:bCs/>
          <w:iCs/>
          <w:highlight w:val="none"/>
          <w:lang w:val="pt-BR" w:eastAsia="pt-BR"/>
        </w:rPr>
        <w:t xml:space="preserve">18.5.</w:t>
      </w:r>
      <w:r>
        <w:rPr>
          <w:rFonts w:ascii="Arial" w:hAnsi="Arial" w:eastAsia="Arial" w:cs="Arial"/>
          <w:iCs/>
          <w:highlight w:val="none"/>
          <w:lang w:val="pt-BR" w:eastAsia="pt-BR"/>
        </w:rPr>
        <w:t xml:space="preserve"> Os tubos e as agulhas deverão pertencer à mesma marca/fabricante, enquanto os adaptadores deverão possuir compatibilidade comprovada com o sistema ofertado.</w:t>
      </w:r>
      <w:r>
        <w:rPr>
          <w:rFonts w:ascii="Arial" w:hAnsi="Arial" w:cs="Arial"/>
          <w:iCs/>
          <w:highlight w:val="none"/>
        </w:rPr>
      </w:r>
      <w:r>
        <w:rPr>
          <w:rFonts w:ascii="Arial" w:hAnsi="Arial" w:cs="Arial"/>
          <w:iCs/>
          <w:highlight w:val="none"/>
        </w:rPr>
      </w:r>
    </w:p>
    <w:p w14:paraId="3A4C1DC8">
      <w:pPr>
        <w:pBdr/>
        <w:spacing/>
        <w:ind/>
        <w:jc w:val="both"/>
        <w:rPr>
          <w:rFonts w:ascii="Arial" w:hAnsi="Arial" w:cs="Arial"/>
          <w:iCs/>
          <w:highlight w:val="none"/>
        </w:rPr>
      </w:pPr>
      <w:r>
        <w:rPr>
          <w:rFonts w:ascii="Arial" w:hAnsi="Arial" w:eastAsia="Arial" w:cs="Arial"/>
          <w:b/>
          <w:bCs/>
          <w:iCs/>
          <w:highlight w:val="none"/>
          <w:lang w:val="pt-BR" w:eastAsia="pt-BR"/>
        </w:rPr>
        <w:t xml:space="preserve">18.6.</w:t>
      </w:r>
      <w:r>
        <w:rPr>
          <w:rFonts w:ascii="Arial" w:hAnsi="Arial" w:eastAsia="Arial" w:cs="Arial"/>
          <w:iCs/>
          <w:highlight w:val="none"/>
          <w:lang w:val="pt-BR" w:eastAsia="pt-BR"/>
        </w:rPr>
        <w:t xml:space="preserve"> O presen</w:t>
      </w:r>
      <w:r>
        <w:rPr>
          <w:rFonts w:ascii="Arial" w:hAnsi="Arial" w:eastAsia="Arial" w:cs="Arial"/>
          <w:iCs/>
          <w:highlight w:val="none"/>
          <w:lang w:val="pt-BR" w:eastAsia="pt-BR"/>
        </w:rPr>
        <w:t xml:space="preserve">te Termo de Referência deverá ser interpretado em conjunto com o Estudo Técnico Preliminar, o Mapa de Gerenciamento de Riscos, a pesquisa de preços, o Mapa Comparativo de Preços, a memória de cálculo e os demais documentos integrantes da fase preparatória.</w:t>
      </w:r>
      <w:r>
        <w:rPr>
          <w:rFonts w:ascii="Arial" w:hAnsi="Arial" w:cs="Arial"/>
          <w:iCs/>
          <w:highlight w:val="none"/>
        </w:rPr>
      </w:r>
      <w:r>
        <w:rPr>
          <w:rFonts w:ascii="Arial" w:hAnsi="Arial" w:cs="Arial"/>
          <w:iCs/>
          <w:highlight w:val="none"/>
        </w:rPr>
      </w:r>
    </w:p>
    <w:p w14:paraId="21498C51">
      <w:pPr>
        <w:pBdr/>
        <w:spacing/>
        <w:ind/>
        <w:jc w:val="both"/>
        <w:rPr>
          <w:rFonts w:ascii="Arial" w:hAnsi="Arial" w:eastAsia="Arial" w:cs="Arial"/>
          <w:b/>
          <w:bCs/>
          <w:highlight w:val="none"/>
          <w14:ligatures w14:val="none"/>
        </w:rPr>
      </w:pPr>
      <w:r>
        <w:rPr>
          <w:rFonts w:ascii="Arial" w:hAnsi="Arial" w:eastAsia="Arial" w:cs="Arial"/>
          <w:b/>
          <w:bCs/>
          <w:highlight w:val="none"/>
          <w:lang w:val="pt-BR" w:bidi="pt-BR"/>
        </w:rPr>
      </w:r>
      <w:r>
        <w:rPr>
          <w:rFonts w:ascii="Arial" w:hAnsi="Arial" w:eastAsia="Arial" w:cs="Arial"/>
          <w:b/>
          <w:bCs/>
          <w:highlight w:val="none"/>
          <w:lang w:val="pt-BR"/>
        </w:rPr>
      </w:r>
      <w:r>
        <w:rPr>
          <w:rFonts w:ascii="Arial" w:hAnsi="Arial" w:eastAsia="Arial" w:cs="Arial"/>
          <w:b/>
          <w:bCs/>
          <w:highlight w:val="none"/>
          <w14:ligatures w14:val="none"/>
        </w:rPr>
      </w:r>
    </w:p>
    <w:p w14:paraId="39233925">
      <w:pPr>
        <w:pBdr/>
        <w:spacing/>
        <w:ind/>
        <w:jc w:val="both"/>
        <w:rPr>
          <w:rFonts w:ascii="Arial" w:hAnsi="Arial" w:eastAsia="Arial" w:cs="Arial"/>
          <w:highlight w:val="none"/>
          <w14:ligatures w14:val="none"/>
        </w:rPr>
      </w:pPr>
      <w:r>
        <w:rPr>
          <w:rFonts w:ascii="Arial" w:hAnsi="Arial" w:eastAsia="Arial" w:cs="Arial"/>
          <w:b/>
          <w:bCs/>
          <w:highlight w:val="none"/>
          <w:lang w:val="pt-BR"/>
        </w:rPr>
        <w:t xml:space="preserve">19.</w:t>
      </w:r>
      <w:r>
        <w:rPr>
          <w:rFonts w:ascii="Arial" w:hAnsi="Arial" w:eastAsia="Arial" w:cs="Arial"/>
          <w:b/>
          <w:bCs/>
          <w:highlight w:val="none"/>
          <w:lang w:val="pt-BR"/>
        </w:rPr>
        <w:t xml:space="preserve"> </w:t>
      </w:r>
      <w:r>
        <w:rPr>
          <w:rFonts w:ascii="Arial" w:hAnsi="Arial" w:eastAsia="Arial" w:cs="Arial"/>
          <w:highlight w:val="none"/>
          <w:lang w:val="pt-BR"/>
        </w:rPr>
        <w:t xml:space="preserve">Este Termo de Referência foi </w:t>
      </w:r>
      <w:r>
        <w:rPr>
          <w:rFonts w:ascii="Arial" w:hAnsi="Arial" w:eastAsia="Arial" w:cs="Arial"/>
          <w:highlight w:val="none"/>
          <w:lang w:val="pt-BR"/>
        </w:rPr>
        <w:t xml:space="preserve">elaborado por</w:t>
      </w:r>
      <w:r>
        <w:rPr>
          <w:rFonts w:ascii="Arial" w:hAnsi="Arial" w:eastAsia="Arial" w:cs="Arial"/>
          <w:highlight w:val="none"/>
          <w:lang w:val="pt-BR"/>
        </w:rPr>
        <w:t xml:space="preserve">:</w:t>
      </w:r>
      <w:r>
        <w:rPr>
          <w:rFonts w:ascii="Arial" w:hAnsi="Arial" w:eastAsia="Arial" w:cs="Arial"/>
          <w:highlight w:val="none"/>
          <w:lang w:val="pt-BR"/>
        </w:rPr>
        <w:t xml:space="preserve"> </w:t>
      </w:r>
      <w:r>
        <w:rPr>
          <w:rFonts w:ascii="Arial" w:hAnsi="Arial" w:eastAsia="Arial" w:cs="Arial"/>
          <w:highlight w:val="none"/>
          <w:lang w:val="pt-BR"/>
        </w:rPr>
        <w:t xml:space="preserve">FLAVIA RENATA TOLOSA DINIZ, </w:t>
      </w:r>
      <w:r>
        <w:rPr>
          <w:rFonts w:ascii="Arial" w:hAnsi="Arial" w:eastAsia="Arial" w:cs="Arial"/>
          <w:highlight w:val="none"/>
          <w:lang w:val="pt-BR"/>
        </w:rPr>
        <w:t xml:space="preserve">Diretora Da Atenção Especializada, </w:t>
      </w:r>
      <w:r>
        <w:rPr>
          <w:rFonts w:ascii="Arial" w:hAnsi="Arial" w:eastAsia="Arial" w:cs="Arial"/>
          <w:highlight w:val="none"/>
          <w:lang w:val="pt-BR"/>
        </w:rPr>
        <w:t xml:space="preserve">Portaria Nº39.030, de 09 de maio de 2025.</w:t>
      </w:r>
      <w:r>
        <w:rPr>
          <w:rFonts w:ascii="Arial" w:hAnsi="Arial" w:eastAsia="Arial" w:cs="Arial"/>
          <w:highlight w:val="none"/>
          <w:lang w:val="pt-BR" w:eastAsia="pt-BR"/>
        </w:rPr>
        <w:t xml:space="preserve"> E aprovado por</w:t>
      </w:r>
      <w:r>
        <w:rPr>
          <w:rFonts w:ascii="Arial" w:hAnsi="Arial" w:eastAsia="Arial" w:cs="Arial"/>
          <w:highlight w:val="none"/>
          <w:lang w:val="pt-BR"/>
        </w:rPr>
        <w:t xml:space="preserve">:</w:t>
      </w:r>
      <w:r>
        <w:rPr>
          <w:rFonts w:ascii="Arial" w:hAnsi="Arial" w:eastAsia="Arial" w:cs="Arial"/>
          <w:highlight w:val="none"/>
          <w:lang w:val="pt-BR"/>
        </w:rPr>
        <w:t xml:space="preserve"> </w:t>
      </w:r>
      <w:r>
        <w:rPr>
          <w:rFonts w:ascii="Arial" w:hAnsi="Arial" w:eastAsia="Arial" w:cs="Arial"/>
          <w:highlight w:val="none"/>
          <w:lang w:val="pt-BR" w:eastAsia="en-US"/>
        </w:rPr>
        <w:t xml:space="preserve">ISRAEL SILVEIRA PANIAGO</w:t>
      </w:r>
      <w:r>
        <w:rPr>
          <w:rFonts w:ascii="Arial" w:hAnsi="Arial" w:eastAsia="Arial" w:cs="Arial"/>
          <w:highlight w:val="none"/>
          <w:lang w:val="pt-BR" w:eastAsia="en-US"/>
        </w:rPr>
        <w:t xml:space="preserve"> </w:t>
      </w:r>
      <w:r>
        <w:rPr>
          <w:rFonts w:ascii="Arial" w:hAnsi="Arial" w:eastAsia="Arial" w:cs="Arial"/>
          <w:highlight w:val="none"/>
          <w:lang w:val="pt-BR" w:eastAsia="en-US"/>
        </w:rPr>
        <w:t xml:space="preserve">Secretário Municipal de Saúde </w:t>
      </w:r>
      <w:r>
        <w:rPr>
          <w:rFonts w:ascii="Arial" w:hAnsi="Arial" w:eastAsia="Arial" w:cs="Arial"/>
          <w:highlight w:val="none"/>
          <w:lang w:val="pt-BR" w:eastAsia="en-US"/>
        </w:rPr>
        <w:t xml:space="preserve">PORTARIA Nº 41.494, DE 09 DE JUNHO DE 2026</w:t>
      </w:r>
      <w:r>
        <w:rPr>
          <w:rFonts w:ascii="Arial" w:hAnsi="Arial" w:eastAsia="Arial" w:cs="Arial"/>
          <w:highlight w:val="none"/>
          <w:lang w:val="pt-BR" w:eastAsia="pt-BR"/>
        </w:rPr>
      </w:r>
      <w:r>
        <w:rPr>
          <w:rFonts w:ascii="Arial" w:hAnsi="Arial" w:eastAsia="Arial" w:cs="Arial"/>
          <w:highlight w:val="none"/>
          <w14:ligatures w14:val="none"/>
        </w:rPr>
      </w:r>
    </w:p>
    <w:p w14:paraId="30279708">
      <w:pPr>
        <w:pBdr/>
        <w:spacing/>
        <w:ind/>
        <w:jc w:val="right"/>
        <w:rPr>
          <w:rFonts w:ascii="Arial" w:hAnsi="Arial" w:cs="Arial"/>
          <w:highlight w:val="none"/>
        </w:rPr>
      </w:pPr>
      <w:r>
        <w:rPr>
          <w:rFonts w:ascii="Arial" w:hAnsi="Arial" w:eastAsia="Arial" w:cs="Arial"/>
          <w:highlight w:val="none"/>
        </w:rPr>
      </w:r>
      <w:r>
        <w:rPr>
          <w:rFonts w:ascii="Arial" w:hAnsi="Arial" w:cs="Arial"/>
          <w:highlight w:val="none"/>
        </w:rPr>
      </w:r>
      <w:r>
        <w:rPr>
          <w:rFonts w:ascii="Arial" w:hAnsi="Arial" w:cs="Arial"/>
          <w:highlight w:val="none"/>
        </w:rPr>
      </w:r>
    </w:p>
    <w:p w14:paraId="2E509BC8">
      <w:pPr>
        <w:pBdr/>
        <w:spacing/>
        <w:ind/>
        <w:jc w:val="right"/>
        <w:rPr>
          <w:rFonts w:ascii="Arial" w:hAnsi="Arial" w:cs="Arial"/>
          <w:highlight w:val="none"/>
        </w:rPr>
      </w:pPr>
      <w:r>
        <w:rPr>
          <w:rFonts w:ascii="Arial" w:hAnsi="Arial" w:eastAsia="Arial" w:cs="Arial"/>
          <w:highlight w:val="none"/>
        </w:rPr>
        <w:t xml:space="preserve">Rondonópolis</w:t>
      </w:r>
      <w:r>
        <w:rPr>
          <w:rFonts w:ascii="Arial" w:hAnsi="Arial" w:eastAsia="Arial" w:cs="Arial"/>
          <w:highlight w:val="none"/>
        </w:rPr>
        <w:t xml:space="preserve">-MT, </w:t>
      </w:r>
      <w:r>
        <w:rPr>
          <w:rFonts w:ascii="Arial" w:hAnsi="Arial" w:eastAsia="Arial" w:cs="Arial"/>
          <w:highlight w:val="none"/>
        </w:rPr>
        <w:t xml:space="preserve">11</w:t>
      </w:r>
      <w:r>
        <w:rPr>
          <w:rFonts w:ascii="Arial" w:hAnsi="Arial" w:eastAsia="Arial" w:cs="Arial"/>
        </w:rPr>
        <w:t xml:space="preserve"> </w:t>
      </w:r>
      <w:r>
        <w:rPr>
          <w:rFonts w:ascii="Arial" w:hAnsi="Arial" w:eastAsia="Arial" w:cs="Arial"/>
        </w:rPr>
        <w:t xml:space="preserve">De</w:t>
      </w:r>
      <w:r>
        <w:rPr>
          <w:rFonts w:ascii="Arial" w:hAnsi="Arial" w:eastAsia="Arial" w:cs="Arial"/>
        </w:rPr>
        <w:t xml:space="preserve"> </w:t>
      </w:r>
      <w:r>
        <w:rPr>
          <w:rFonts w:ascii="Arial" w:hAnsi="Arial" w:eastAsia="Arial" w:cs="Arial"/>
        </w:rPr>
        <w:t xml:space="preserve">Agosto</w:t>
      </w:r>
      <w:r>
        <w:rPr>
          <w:rFonts w:ascii="Arial" w:hAnsi="Arial" w:eastAsia="Arial" w:cs="Arial"/>
        </w:rPr>
        <w:t xml:space="preserve"> De 202</w:t>
      </w:r>
      <w:r>
        <w:rPr>
          <w:rFonts w:ascii="Arial" w:hAnsi="Arial" w:eastAsia="Arial" w:cs="Arial"/>
        </w:rPr>
        <w:t xml:space="preserve">6</w:t>
      </w:r>
      <w:r>
        <w:rPr>
          <w:rFonts w:ascii="Arial" w:hAnsi="Arial" w:eastAsia="Arial" w:cs="Arial"/>
        </w:rPr>
        <w:t xml:space="preserve">.</w:t>
      </w:r>
      <w:r>
        <w:rPr>
          <w:rFonts w:ascii="Arial" w:hAnsi="Arial" w:cs="Arial"/>
          <w:highlight w:val="none"/>
        </w:rPr>
      </w:r>
      <w:r>
        <w:rPr>
          <w:rFonts w:ascii="Arial" w:hAnsi="Arial" w:cs="Arial"/>
          <w:highlight w:val="none"/>
        </w:rPr>
      </w:r>
    </w:p>
    <w:p w14:paraId="28C9B3E0">
      <w:pPr>
        <w:pStyle w:val="887"/>
        <w:pBdr/>
        <w:spacing/>
        <w:ind/>
        <w:jc w:val="center"/>
        <w:rPr>
          <w:rFonts w:ascii="Arial" w:hAnsi="Arial" w:cs="Arial"/>
          <w:b/>
          <w:bCs/>
          <w:sz w:val="24"/>
          <w:szCs w:val="24"/>
        </w:rPr>
      </w:pPr>
      <w:r>
        <w:rPr>
          <w:rFonts w:ascii="Arial" w:hAnsi="Arial" w:eastAsia="Arial" w:cs="Arial"/>
          <w:b/>
          <w:bCs/>
          <w:sz w:val="24"/>
          <w:szCs w:val="24"/>
          <w:lang w:val="pt-BR"/>
        </w:rPr>
      </w:r>
      <w:r>
        <w:rPr>
          <w:rFonts w:ascii="Arial" w:hAnsi="Arial" w:cs="Arial"/>
          <w:b/>
          <w:bCs/>
          <w:sz w:val="24"/>
          <w:szCs w:val="24"/>
        </w:rPr>
      </w:r>
      <w:r>
        <w:rPr>
          <w:rFonts w:ascii="Arial" w:hAnsi="Arial" w:cs="Arial"/>
          <w:b/>
          <w:bCs/>
          <w:sz w:val="24"/>
          <w:szCs w:val="24"/>
        </w:rPr>
      </w:r>
    </w:p>
    <w:p w14:paraId="78A21174">
      <w:pPr>
        <w:pStyle w:val="887"/>
        <w:pBdr/>
        <w:spacing/>
        <w:ind/>
        <w:jc w:val="center"/>
        <w:rPr>
          <w:rFonts w:ascii="Arial" w:hAnsi="Arial" w:cs="Arial"/>
          <w:b/>
          <w:bCs/>
          <w:sz w:val="24"/>
          <w:szCs w:val="24"/>
        </w:rPr>
      </w:pPr>
      <w:r>
        <w:rPr>
          <w:rFonts w:ascii="Arial" w:hAnsi="Arial" w:eastAsia="Arial" w:cs="Arial"/>
          <w:b/>
          <w:bCs/>
          <w:sz w:val="24"/>
          <w:szCs w:val="24"/>
          <w:lang w:val="pt-BR"/>
        </w:rPr>
      </w:r>
      <w:r>
        <w:rPr>
          <w:rFonts w:ascii="Arial" w:hAnsi="Arial" w:cs="Arial"/>
          <w:b/>
          <w:bCs/>
          <w:sz w:val="24"/>
          <w:szCs w:val="24"/>
        </w:rPr>
      </w:r>
      <w:r>
        <w:rPr>
          <w:rFonts w:ascii="Arial" w:hAnsi="Arial" w:cs="Arial"/>
          <w:b/>
          <w:bCs/>
          <w:sz w:val="24"/>
          <w:szCs w:val="24"/>
        </w:rPr>
      </w:r>
    </w:p>
    <w:p w14:paraId="6FACD9BE">
      <w:pPr>
        <w:pStyle w:val="887"/>
        <w:pBdr/>
        <w:spacing/>
        <w:ind/>
        <w:jc w:val="center"/>
        <w:rPr>
          <w:rFonts w:ascii="Arial" w:hAnsi="Arial" w:cs="Arial"/>
          <w:b/>
          <w:bCs/>
          <w:sz w:val="24"/>
          <w:szCs w:val="24"/>
        </w:rPr>
      </w:pPr>
      <w:r>
        <w:rPr>
          <w:rFonts w:ascii="Arial" w:hAnsi="Arial" w:eastAsia="Arial" w:cs="Arial"/>
          <w:b/>
          <w:bCs/>
          <w:sz w:val="24"/>
          <w:szCs w:val="24"/>
          <w:lang w:val="pt-BR"/>
        </w:rPr>
      </w:r>
      <w:r>
        <w:rPr>
          <w:rFonts w:ascii="Arial" w:hAnsi="Arial" w:cs="Arial"/>
          <w:b/>
          <w:bCs/>
          <w:sz w:val="24"/>
          <w:szCs w:val="24"/>
        </w:rPr>
      </w:r>
      <w:r>
        <w:rPr>
          <w:rFonts w:ascii="Arial" w:hAnsi="Arial" w:cs="Arial"/>
          <w:b/>
          <w:bCs/>
          <w:sz w:val="24"/>
          <w:szCs w:val="24"/>
        </w:rPr>
      </w:r>
    </w:p>
    <w:p>
      <w:pPr>
        <w:pStyle w:val="887"/>
        <w:pBdr/>
        <w:spacing/>
        <w:ind/>
        <w:jc w:val="center"/>
        <w:rPr>
          <w:rFonts w:ascii="Arial" w:hAnsi="Arial" w:cs="Arial"/>
        </w:rPr>
      </w:pPr>
      <w:r>
        <w:rPr>
          <w:rFonts w:ascii="Arial" w:hAnsi="Arial" w:eastAsia="Arial" w:cs="Arial"/>
          <w:b/>
          <w:bCs/>
          <w:sz w:val="21"/>
          <w:szCs w:val="21"/>
        </w:rPr>
      </w:r>
      <w:r>
        <w:rPr>
          <w:rFonts w:ascii="Arial" w:hAnsi="Arial" w:cs="Arial"/>
        </w:rPr>
      </w:r>
      <w:r>
        <w:rPr>
          <w:rFonts w:ascii="Arial" w:hAnsi="Arial" w:cs="Arial"/>
        </w:rPr>
      </w:r>
    </w:p>
    <w:p w14:paraId="37817256">
      <w:pPr>
        <w:pStyle w:val="887"/>
        <w:pBdr/>
        <w:spacing w:line="276" w:lineRule="auto"/>
        <w:ind/>
        <w:jc w:val="center"/>
        <w:rPr>
          <w:rFonts w:ascii="Arial" w:hAnsi="Arial" w:cs="Arial"/>
          <w:b/>
          <w:bCs/>
          <w:sz w:val="21"/>
          <w:szCs w:val="21"/>
        </w:rPr>
      </w:pPr>
      <w:r>
        <w:rPr>
          <w:rFonts w:ascii="Arial" w:hAnsi="Arial" w:cs="Arial"/>
          <w:b/>
          <w:bCs/>
          <w:sz w:val="21"/>
          <w:szCs w:val="21"/>
        </w:rPr>
      </w:r>
      <w:r>
        <w:rPr>
          <w:rFonts w:ascii="Arial" w:hAnsi="Arial" w:cs="Arial"/>
          <w:b/>
          <w:bCs/>
          <w:sz w:val="21"/>
          <w:szCs w:val="21"/>
        </w:rPr>
      </w:r>
      <w:r>
        <w:rPr>
          <w:rFonts w:ascii="Arial" w:hAnsi="Arial" w:cs="Arial"/>
          <w:b/>
          <w:bCs/>
          <w:sz w:val="21"/>
          <w:szCs w:val="21"/>
        </w:rPr>
      </w:r>
    </w:p>
    <w:p w14:paraId="2FD23F28">
      <w:pPr>
        <w:pStyle w:val="887"/>
        <w:pBdr/>
        <w:spacing w:line="276" w:lineRule="auto"/>
        <w:ind/>
        <w:jc w:val="center"/>
        <w:rPr>
          <w:rFonts w:ascii="Arial" w:hAnsi="Arial" w:cs="Arial"/>
          <w:b/>
          <w:bCs/>
          <w:sz w:val="21"/>
          <w:szCs w:val="21"/>
        </w:rPr>
      </w:pPr>
      <w:r>
        <w:rPr>
          <w:rFonts w:ascii="Arial" w:hAnsi="Arial" w:cs="Arial"/>
          <w:b/>
          <w:bCs/>
          <w:sz w:val="21"/>
          <w:szCs w:val="21"/>
        </w:rPr>
      </w:r>
      <w:r>
        <w:rPr>
          <w:rFonts w:ascii="Arial" w:hAnsi="Arial" w:cs="Arial"/>
          <w:b/>
          <w:bCs/>
          <w:sz w:val="21"/>
          <w:szCs w:val="21"/>
        </w:rPr>
      </w:r>
      <w:r>
        <w:rPr>
          <w:rFonts w:ascii="Arial" w:hAnsi="Arial" w:cs="Arial"/>
          <w:b/>
          <w:bCs/>
          <w:sz w:val="21"/>
          <w:szCs w:val="21"/>
        </w:rPr>
      </w:r>
    </w:p>
    <w:p w14:paraId="01007632">
      <w:pPr>
        <w:pStyle w:val="887"/>
        <w:pBdr/>
        <w:spacing w:line="276" w:lineRule="auto"/>
        <w:ind/>
        <w:jc w:val="center"/>
        <w:rPr>
          <w:rFonts w:ascii="Arial" w:hAnsi="Arial" w:cs="Arial"/>
          <w:b/>
          <w:bCs/>
          <w:sz w:val="21"/>
          <w:szCs w:val="21"/>
        </w:rPr>
      </w:pPr>
      <w:r>
        <w:rPr>
          <w:rFonts w:ascii="Arial" w:hAnsi="Arial" w:cs="Arial"/>
          <w:b/>
          <w:bCs/>
          <w:sz w:val="21"/>
          <w:szCs w:val="21"/>
        </w:rPr>
      </w:r>
      <w:r>
        <w:rPr>
          <w:rFonts w:ascii="Arial" w:hAnsi="Arial" w:cs="Arial"/>
          <w:b/>
          <w:bCs/>
          <w:sz w:val="21"/>
          <w:szCs w:val="21"/>
        </w:rPr>
      </w:r>
      <w:r>
        <w:rPr>
          <w:rFonts w:ascii="Arial" w:hAnsi="Arial" w:cs="Arial"/>
          <w:b/>
          <w:bCs/>
          <w:sz w:val="21"/>
          <w:szCs w:val="21"/>
        </w:rPr>
      </w:r>
    </w:p>
    <w:p w14:paraId="6BE0B88A">
      <w:pPr>
        <w:pStyle w:val="887"/>
        <w:pBdr/>
        <w:spacing w:line="276" w:lineRule="auto"/>
        <w:ind/>
        <w:jc w:val="center"/>
        <w:rPr>
          <w:rFonts w:ascii="Arial" w:hAnsi="Arial" w:cs="Arial"/>
          <w:b/>
          <w:bCs/>
          <w:sz w:val="21"/>
          <w:szCs w:val="21"/>
        </w:rPr>
      </w:pPr>
      <w:r>
        <w:rPr>
          <w:rFonts w:ascii="Arial" w:hAnsi="Arial" w:cs="Arial"/>
          <w:b/>
          <w:bCs/>
          <w:sz w:val="21"/>
          <w:szCs w:val="21"/>
        </w:rPr>
      </w:r>
      <w:r>
        <w:rPr>
          <w:rFonts w:ascii="Arial" w:hAnsi="Arial" w:cs="Arial"/>
          <w:b/>
          <w:bCs/>
          <w:sz w:val="21"/>
          <w:szCs w:val="21"/>
        </w:rPr>
      </w:r>
      <w:r>
        <w:rPr>
          <w:rFonts w:ascii="Arial" w:hAnsi="Arial" w:cs="Arial"/>
          <w:b/>
          <w:bCs/>
          <w:sz w:val="21"/>
          <w:szCs w:val="21"/>
        </w:rPr>
      </w:r>
    </w:p>
    <w:p w14:paraId="084881C5">
      <w:pPr>
        <w:pStyle w:val="887"/>
        <w:pBdr/>
        <w:spacing w:line="276" w:lineRule="auto"/>
        <w:ind/>
        <w:jc w:val="center"/>
        <w:rPr>
          <w:rFonts w:ascii="Arial" w:hAnsi="Arial" w:cs="Arial"/>
          <w:b/>
          <w:bCs/>
          <w:sz w:val="21"/>
          <w:szCs w:val="21"/>
        </w:rPr>
      </w:pPr>
      <w:r>
        <w:rPr>
          <w:rFonts w:ascii="Arial" w:hAnsi="Arial" w:cs="Arial"/>
          <w:b/>
          <w:bCs/>
          <w:sz w:val="21"/>
          <w:szCs w:val="21"/>
        </w:rPr>
      </w:r>
      <w:r>
        <w:rPr>
          <w:rFonts w:ascii="Arial" w:hAnsi="Arial" w:cs="Arial"/>
          <w:b/>
          <w:bCs/>
          <w:sz w:val="21"/>
          <w:szCs w:val="21"/>
        </w:rPr>
      </w:r>
      <w:r>
        <w:rPr>
          <w:rFonts w:ascii="Arial" w:hAnsi="Arial" w:cs="Arial"/>
          <w:b/>
          <w:bCs/>
          <w:sz w:val="21"/>
          <w:szCs w:val="21"/>
        </w:rPr>
      </w:r>
    </w:p>
    <w:p w14:paraId="705EEA27">
      <w:pPr>
        <w:pStyle w:val="887"/>
        <w:pBdr/>
        <w:spacing w:line="276" w:lineRule="auto"/>
        <w:ind/>
        <w:jc w:val="center"/>
        <w:rPr>
          <w:rFonts w:ascii="Arial" w:hAnsi="Arial" w:cs="Arial"/>
          <w:b/>
          <w:bCs/>
          <w:sz w:val="21"/>
          <w:szCs w:val="21"/>
        </w:rPr>
      </w:pPr>
      <w:r>
        <w:rPr>
          <w:rFonts w:ascii="Arial" w:hAnsi="Arial" w:cs="Arial"/>
          <w:b/>
          <w:bCs/>
          <w:sz w:val="21"/>
          <w:szCs w:val="21"/>
        </w:rPr>
      </w:r>
      <w:r>
        <w:rPr>
          <w:rFonts w:ascii="Arial" w:hAnsi="Arial" w:cs="Arial"/>
          <w:b/>
          <w:bCs/>
          <w:sz w:val="21"/>
          <w:szCs w:val="21"/>
        </w:rPr>
      </w:r>
      <w:r>
        <w:rPr>
          <w:rFonts w:ascii="Arial" w:hAnsi="Arial" w:cs="Arial"/>
          <w:b/>
          <w:bCs/>
          <w:sz w:val="21"/>
          <w:szCs w:val="21"/>
        </w:rPr>
      </w:r>
    </w:p>
    <w:p w14:paraId="407A2F70">
      <w:pPr>
        <w:pStyle w:val="887"/>
        <w:pBdr/>
        <w:spacing w:line="276" w:lineRule="auto"/>
        <w:ind/>
        <w:jc w:val="center"/>
        <w:rPr>
          <w:rFonts w:ascii="Arial" w:hAnsi="Arial" w:cs="Arial"/>
          <w:b/>
          <w:bCs/>
          <w:sz w:val="21"/>
          <w:szCs w:val="21"/>
        </w:rPr>
      </w:pPr>
      <w:r>
        <w:rPr>
          <w:rFonts w:ascii="Arial" w:hAnsi="Arial" w:cs="Arial"/>
          <w:b/>
          <w:bCs/>
          <w:sz w:val="21"/>
          <w:szCs w:val="21"/>
        </w:rPr>
      </w:r>
      <w:r>
        <w:rPr>
          <w:rFonts w:ascii="Arial" w:hAnsi="Arial" w:cs="Arial"/>
          <w:b/>
          <w:bCs/>
          <w:sz w:val="21"/>
          <w:szCs w:val="21"/>
        </w:rPr>
      </w:r>
      <w:r>
        <w:rPr>
          <w:rFonts w:ascii="Arial" w:hAnsi="Arial" w:cs="Arial"/>
          <w:b/>
          <w:bCs/>
          <w:sz w:val="21"/>
          <w:szCs w:val="21"/>
        </w:rPr>
      </w:r>
    </w:p>
    <w:p w14:paraId="48E297F1">
      <w:pPr>
        <w:pStyle w:val="887"/>
        <w:pBdr/>
        <w:spacing w:line="276" w:lineRule="auto"/>
        <w:ind/>
        <w:jc w:val="center"/>
        <w:rPr>
          <w:rFonts w:ascii="Arial" w:hAnsi="Arial" w:cs="Arial"/>
          <w:b/>
          <w:bCs/>
          <w:sz w:val="21"/>
          <w:szCs w:val="21"/>
        </w:rPr>
      </w:pPr>
      <w:r>
        <w:rPr>
          <w:rFonts w:ascii="Arial" w:hAnsi="Arial" w:cs="Arial"/>
          <w:b/>
          <w:bCs/>
          <w:sz w:val="21"/>
          <w:szCs w:val="21"/>
        </w:rPr>
      </w:r>
      <w:r>
        <w:rPr>
          <w:rFonts w:ascii="Arial" w:hAnsi="Arial" w:cs="Arial"/>
          <w:b/>
          <w:bCs/>
          <w:sz w:val="21"/>
          <w:szCs w:val="21"/>
        </w:rPr>
      </w:r>
      <w:r>
        <w:rPr>
          <w:rFonts w:ascii="Arial" w:hAnsi="Arial" w:cs="Arial"/>
          <w:b/>
          <w:bCs/>
          <w:sz w:val="21"/>
          <w:szCs w:val="21"/>
        </w:rPr>
      </w:r>
    </w:p>
    <w:p w14:paraId="7A96E3E4">
      <w:pPr>
        <w:pStyle w:val="887"/>
        <w:pBdr/>
        <w:spacing w:line="276" w:lineRule="auto"/>
        <w:ind/>
        <w:jc w:val="center"/>
        <w:rPr>
          <w:rFonts w:ascii="Arial" w:hAnsi="Arial" w:cs="Arial"/>
          <w:b/>
          <w:bCs/>
          <w:sz w:val="21"/>
          <w:szCs w:val="21"/>
        </w:rPr>
      </w:pPr>
      <w:r>
        <w:rPr>
          <w:rFonts w:ascii="Arial" w:hAnsi="Arial" w:cs="Arial"/>
          <w:b/>
          <w:bCs/>
          <w:sz w:val="21"/>
          <w:szCs w:val="21"/>
        </w:rPr>
      </w:r>
      <w:r>
        <w:rPr>
          <w:rFonts w:ascii="Arial" w:hAnsi="Arial" w:cs="Arial"/>
          <w:b/>
          <w:bCs/>
          <w:sz w:val="21"/>
          <w:szCs w:val="21"/>
        </w:rPr>
      </w:r>
      <w:r>
        <w:rPr>
          <w:rFonts w:ascii="Arial" w:hAnsi="Arial" w:cs="Arial"/>
          <w:b/>
          <w:bCs/>
          <w:sz w:val="21"/>
          <w:szCs w:val="21"/>
        </w:rPr>
      </w:r>
    </w:p>
    <w:p w14:paraId="6F36E8BA">
      <w:pPr>
        <w:pStyle w:val="887"/>
        <w:pBdr/>
        <w:spacing w:line="276" w:lineRule="auto"/>
        <w:ind/>
        <w:jc w:val="center"/>
        <w:rPr>
          <w:rFonts w:ascii="Arial" w:hAnsi="Arial" w:cs="Arial"/>
          <w:b/>
          <w:bCs/>
          <w:sz w:val="21"/>
          <w:szCs w:val="21"/>
        </w:rPr>
      </w:pPr>
      <w:r>
        <w:rPr>
          <w:rFonts w:ascii="Arial" w:hAnsi="Arial" w:cs="Arial"/>
          <w:b/>
          <w:bCs/>
          <w:sz w:val="21"/>
          <w:szCs w:val="21"/>
        </w:rPr>
      </w:r>
      <w:r>
        <w:rPr>
          <w:rFonts w:ascii="Arial" w:hAnsi="Arial" w:cs="Arial"/>
          <w:b/>
          <w:bCs/>
          <w:sz w:val="21"/>
          <w:szCs w:val="21"/>
        </w:rPr>
      </w:r>
      <w:r>
        <w:rPr>
          <w:rFonts w:ascii="Arial" w:hAnsi="Arial" w:cs="Arial"/>
          <w:b/>
          <w:bCs/>
          <w:sz w:val="21"/>
          <w:szCs w:val="21"/>
        </w:rPr>
      </w:r>
    </w:p>
    <w:p w14:paraId="227CEB6F">
      <w:pPr>
        <w:pStyle w:val="887"/>
        <w:pBdr/>
        <w:spacing w:line="276" w:lineRule="auto"/>
        <w:ind/>
        <w:jc w:val="center"/>
        <w:rPr>
          <w:rFonts w:ascii="Arial" w:hAnsi="Arial" w:cs="Arial"/>
          <w:b/>
          <w:bCs/>
          <w:sz w:val="21"/>
          <w:szCs w:val="21"/>
        </w:rPr>
      </w:pPr>
      <w:r>
        <w:rPr>
          <w:rFonts w:ascii="Arial" w:hAnsi="Arial" w:cs="Arial"/>
          <w:b/>
          <w:bCs/>
          <w:sz w:val="21"/>
          <w:szCs w:val="21"/>
        </w:rPr>
      </w:r>
      <w:r>
        <w:rPr>
          <w:rFonts w:ascii="Arial" w:hAnsi="Arial" w:cs="Arial"/>
          <w:b/>
          <w:bCs/>
          <w:sz w:val="21"/>
          <w:szCs w:val="21"/>
        </w:rPr>
      </w:r>
      <w:r>
        <w:rPr>
          <w:rFonts w:ascii="Arial" w:hAnsi="Arial" w:cs="Arial"/>
          <w:b/>
          <w:bCs/>
          <w:sz w:val="21"/>
          <w:szCs w:val="21"/>
        </w:rPr>
      </w:r>
    </w:p>
    <w:p w14:paraId="7D678960">
      <w:pPr>
        <w:pStyle w:val="887"/>
        <w:pBdr/>
        <w:spacing w:line="276" w:lineRule="auto"/>
        <w:ind/>
        <w:jc w:val="center"/>
        <w:rPr>
          <w:rFonts w:ascii="Arial" w:hAnsi="Arial" w:cs="Arial"/>
          <w:b/>
          <w:bCs/>
          <w:sz w:val="21"/>
          <w:szCs w:val="21"/>
        </w:rPr>
      </w:pPr>
      <w:r>
        <w:rPr>
          <w:rFonts w:ascii="Arial" w:hAnsi="Arial" w:cs="Arial"/>
          <w:b/>
          <w:bCs/>
          <w:sz w:val="21"/>
          <w:szCs w:val="21"/>
        </w:rPr>
      </w:r>
      <w:r>
        <w:rPr>
          <w:rFonts w:ascii="Arial" w:hAnsi="Arial" w:cs="Arial"/>
          <w:b/>
          <w:bCs/>
          <w:sz w:val="21"/>
          <w:szCs w:val="21"/>
        </w:rPr>
      </w:r>
      <w:r>
        <w:rPr>
          <w:rFonts w:ascii="Arial" w:hAnsi="Arial" w:cs="Arial"/>
          <w:b/>
          <w:bCs/>
          <w:sz w:val="21"/>
          <w:szCs w:val="21"/>
        </w:rPr>
      </w:r>
    </w:p>
    <w:p w14:paraId="1F80078B">
      <w:pPr>
        <w:pStyle w:val="887"/>
        <w:pBdr/>
        <w:spacing w:line="276" w:lineRule="auto"/>
        <w:ind/>
        <w:jc w:val="center"/>
        <w:rPr>
          <w:rFonts w:ascii="Arial" w:hAnsi="Arial" w:cs="Arial"/>
          <w:b/>
          <w:bCs/>
          <w:sz w:val="21"/>
          <w:szCs w:val="21"/>
        </w:rPr>
      </w:pPr>
      <w:r>
        <w:rPr>
          <w:rFonts w:ascii="Arial" w:hAnsi="Arial" w:cs="Arial"/>
          <w:b/>
          <w:bCs/>
          <w:sz w:val="21"/>
          <w:szCs w:val="21"/>
        </w:rPr>
      </w:r>
      <w:r>
        <w:rPr>
          <w:rFonts w:ascii="Arial" w:hAnsi="Arial" w:cs="Arial"/>
          <w:b/>
          <w:bCs/>
          <w:sz w:val="21"/>
          <w:szCs w:val="21"/>
        </w:rPr>
      </w:r>
      <w:r>
        <w:rPr>
          <w:rFonts w:ascii="Arial" w:hAnsi="Arial" w:cs="Arial"/>
          <w:b/>
          <w:bCs/>
          <w:sz w:val="21"/>
          <w:szCs w:val="21"/>
        </w:rPr>
      </w:r>
    </w:p>
    <w:p w14:paraId="7B32F406">
      <w:pPr>
        <w:pStyle w:val="887"/>
        <w:pBdr/>
        <w:spacing w:line="276" w:lineRule="auto"/>
        <w:ind/>
        <w:jc w:val="center"/>
        <w:rPr>
          <w:rFonts w:ascii="Arial" w:hAnsi="Arial" w:cs="Arial"/>
          <w:b/>
          <w:bCs/>
          <w:sz w:val="21"/>
          <w:szCs w:val="21"/>
        </w:rPr>
      </w:pPr>
      <w:r>
        <w:rPr>
          <w:rFonts w:ascii="Arial" w:hAnsi="Arial" w:cs="Arial"/>
          <w:b/>
          <w:bCs/>
          <w:sz w:val="21"/>
          <w:szCs w:val="21"/>
        </w:rPr>
      </w:r>
      <w:r>
        <w:rPr>
          <w:rFonts w:ascii="Arial" w:hAnsi="Arial" w:cs="Arial"/>
          <w:b/>
          <w:bCs/>
          <w:sz w:val="21"/>
          <w:szCs w:val="21"/>
        </w:rPr>
      </w:r>
      <w:r>
        <w:rPr>
          <w:rFonts w:ascii="Arial" w:hAnsi="Arial" w:cs="Arial"/>
          <w:b/>
          <w:bCs/>
          <w:sz w:val="21"/>
          <w:szCs w:val="21"/>
        </w:rPr>
      </w:r>
    </w:p>
    <w:p w14:paraId="03771CCF">
      <w:pPr>
        <w:pStyle w:val="887"/>
        <w:pBdr/>
        <w:spacing w:line="276" w:lineRule="auto"/>
        <w:ind/>
        <w:jc w:val="center"/>
        <w:rPr>
          <w:rFonts w:ascii="Arial" w:hAnsi="Arial" w:cs="Arial"/>
          <w:b/>
          <w:bCs/>
          <w:sz w:val="21"/>
          <w:szCs w:val="21"/>
        </w:rPr>
      </w:pPr>
      <w:r>
        <w:rPr>
          <w:rFonts w:ascii="Arial" w:hAnsi="Arial" w:cs="Arial"/>
          <w:b/>
          <w:bCs/>
          <w:sz w:val="21"/>
          <w:szCs w:val="21"/>
        </w:rPr>
      </w:r>
      <w:r>
        <w:rPr>
          <w:rFonts w:ascii="Arial" w:hAnsi="Arial" w:cs="Arial"/>
          <w:b/>
          <w:bCs/>
          <w:sz w:val="21"/>
          <w:szCs w:val="21"/>
        </w:rPr>
      </w:r>
      <w:r>
        <w:rPr>
          <w:rFonts w:ascii="Arial" w:hAnsi="Arial" w:cs="Arial"/>
          <w:b/>
          <w:bCs/>
          <w:sz w:val="21"/>
          <w:szCs w:val="21"/>
        </w:rPr>
      </w:r>
    </w:p>
    <w:p w14:paraId="24C68DB9">
      <w:pPr>
        <w:pStyle w:val="887"/>
        <w:pBdr/>
        <w:spacing w:line="276" w:lineRule="auto"/>
        <w:ind/>
        <w:jc w:val="center"/>
        <w:rPr>
          <w:rFonts w:ascii="Arial" w:hAnsi="Arial" w:cs="Arial"/>
          <w:b/>
          <w:bCs/>
          <w:sz w:val="21"/>
          <w:szCs w:val="21"/>
        </w:rPr>
      </w:pPr>
      <w:r>
        <w:rPr>
          <w:rFonts w:ascii="Arial" w:hAnsi="Arial" w:cs="Arial"/>
          <w:b/>
          <w:bCs/>
          <w:sz w:val="21"/>
          <w:szCs w:val="21"/>
        </w:rPr>
      </w:r>
      <w:r>
        <w:rPr>
          <w:rFonts w:ascii="Arial" w:hAnsi="Arial" w:cs="Arial"/>
          <w:b/>
          <w:bCs/>
          <w:sz w:val="21"/>
          <w:szCs w:val="21"/>
        </w:rPr>
      </w:r>
      <w:r>
        <w:rPr>
          <w:rFonts w:ascii="Arial" w:hAnsi="Arial" w:cs="Arial"/>
          <w:b/>
          <w:bCs/>
          <w:sz w:val="21"/>
          <w:szCs w:val="21"/>
        </w:rPr>
      </w:r>
    </w:p>
    <w:p w14:paraId="7FB576B0">
      <w:pPr>
        <w:pStyle w:val="887"/>
        <w:pBdr/>
        <w:spacing w:line="276" w:lineRule="auto"/>
        <w:ind/>
        <w:jc w:val="center"/>
        <w:rPr>
          <w:rFonts w:ascii="Arial" w:hAnsi="Arial" w:cs="Arial"/>
          <w:b/>
          <w:bCs/>
          <w:sz w:val="21"/>
          <w:szCs w:val="21"/>
        </w:rPr>
      </w:pPr>
      <w:r>
        <w:rPr>
          <w:rFonts w:ascii="Arial" w:hAnsi="Arial" w:cs="Arial"/>
          <w:b/>
          <w:bCs/>
          <w:sz w:val="21"/>
          <w:szCs w:val="21"/>
        </w:rPr>
      </w:r>
      <w:r>
        <w:rPr>
          <w:rFonts w:ascii="Arial" w:hAnsi="Arial" w:cs="Arial"/>
          <w:b/>
          <w:bCs/>
          <w:sz w:val="21"/>
          <w:szCs w:val="21"/>
        </w:rPr>
      </w:r>
      <w:r>
        <w:rPr>
          <w:rFonts w:ascii="Arial" w:hAnsi="Arial" w:cs="Arial"/>
          <w:b/>
          <w:bCs/>
          <w:sz w:val="21"/>
          <w:szCs w:val="21"/>
        </w:rPr>
      </w:r>
    </w:p>
    <w:p w14:paraId="2475F6FE">
      <w:pPr>
        <w:pStyle w:val="887"/>
        <w:pBdr/>
        <w:spacing w:line="276" w:lineRule="auto"/>
        <w:ind/>
        <w:jc w:val="center"/>
        <w:rPr>
          <w:rFonts w:ascii="Arial" w:hAnsi="Arial" w:cs="Arial"/>
          <w:b/>
          <w:bCs/>
          <w:sz w:val="21"/>
          <w:szCs w:val="21"/>
        </w:rPr>
      </w:pPr>
      <w:r>
        <w:rPr>
          <w:rFonts w:ascii="Arial" w:hAnsi="Arial" w:cs="Arial"/>
          <w:b/>
          <w:bCs/>
          <w:sz w:val="21"/>
          <w:szCs w:val="21"/>
        </w:rPr>
      </w:r>
      <w:r>
        <w:rPr>
          <w:rFonts w:ascii="Arial" w:hAnsi="Arial" w:cs="Arial"/>
          <w:b/>
          <w:bCs/>
          <w:sz w:val="21"/>
          <w:szCs w:val="21"/>
        </w:rPr>
      </w:r>
      <w:r>
        <w:rPr>
          <w:rFonts w:ascii="Arial" w:hAnsi="Arial" w:cs="Arial"/>
          <w:b/>
          <w:bCs/>
          <w:sz w:val="21"/>
          <w:szCs w:val="21"/>
        </w:rPr>
      </w:r>
    </w:p>
    <w:p>
      <w:pPr>
        <w:pStyle w:val="887"/>
        <w:pBdr/>
        <w:spacing w:line="276" w:lineRule="auto"/>
        <w:ind/>
        <w:jc w:val="center"/>
        <w:rPr>
          <w:rFonts w:ascii="Arial" w:hAnsi="Arial" w:cs="Arial"/>
          <w:b/>
          <w:bCs/>
          <w:sz w:val="21"/>
          <w:szCs w:val="21"/>
        </w:rPr>
      </w:pPr>
      <w:r>
        <w:rPr>
          <w:rFonts w:ascii="Arial" w:hAnsi="Arial" w:eastAsia="Arial" w:cs="Arial"/>
          <w:b/>
          <w:bCs/>
          <w:sz w:val="21"/>
          <w:szCs w:val="21"/>
        </w:rPr>
      </w:r>
      <w:r>
        <w:rPr>
          <w:rFonts w:ascii="Arial" w:hAnsi="Arial" w:cs="Arial"/>
          <w:b/>
          <w:bCs/>
          <w:sz w:val="21"/>
          <w:szCs w:val="21"/>
        </w:rPr>
      </w:r>
      <w:r>
        <w:rPr>
          <w:rFonts w:ascii="Arial" w:hAnsi="Arial" w:cs="Arial"/>
          <w:b/>
          <w:bCs/>
          <w:sz w:val="21"/>
          <w:szCs w:val="21"/>
        </w:rPr>
      </w:r>
    </w:p>
    <w:p>
      <w:pPr>
        <w:pStyle w:val="887"/>
        <w:pBdr/>
        <w:spacing w:line="276" w:lineRule="auto"/>
        <w:ind/>
        <w:jc w:val="center"/>
        <w:rPr>
          <w:rFonts w:ascii="Arial" w:hAnsi="Arial" w:cs="Arial"/>
          <w:b/>
          <w:bCs/>
          <w:sz w:val="21"/>
          <w:szCs w:val="21"/>
        </w:rPr>
      </w:pPr>
      <w:r>
        <w:rPr>
          <w:rFonts w:ascii="Arial" w:hAnsi="Arial" w:eastAsia="Arial" w:cs="Arial"/>
          <w:b/>
          <w:bCs/>
          <w:sz w:val="21"/>
          <w:szCs w:val="21"/>
        </w:rPr>
      </w:r>
      <w:r>
        <w:rPr>
          <w:rFonts w:ascii="Arial" w:hAnsi="Arial" w:cs="Arial"/>
          <w:b/>
          <w:bCs/>
          <w:sz w:val="21"/>
          <w:szCs w:val="21"/>
        </w:rPr>
      </w:r>
      <w:r>
        <w:rPr>
          <w:rFonts w:ascii="Arial" w:hAnsi="Arial" w:cs="Arial"/>
          <w:b/>
          <w:bCs/>
          <w:sz w:val="21"/>
          <w:szCs w:val="21"/>
        </w:rPr>
      </w:r>
    </w:p>
    <w:p>
      <w:pPr>
        <w:pStyle w:val="888"/>
        <w:pBdr/>
        <w:spacing w:after="0" w:before="0"/>
        <w:ind/>
        <w:rPr>
          <w:rFonts w:ascii="Arial" w:hAnsi="Arial" w:cs="Arial"/>
          <w:b w:val="0"/>
          <w:bCs w:val="0"/>
          <w:sz w:val="20"/>
          <w:szCs w:val="20"/>
        </w:rPr>
      </w:pPr>
      <w:r/>
      <w:bookmarkStart w:id="101" w:name="_Toc38"/>
      <w:r>
        <w:rPr>
          <w:rFonts w:ascii="Arial" w:hAnsi="Arial" w:eastAsia="Arial" w:cs="Arial"/>
          <w:b w:val="0"/>
          <w:bCs w:val="0"/>
          <w:sz w:val="20"/>
          <w:szCs w:val="20"/>
        </w:rPr>
        <w:t xml:space="preserve">ANEXO II: MINUTA DA ATA DE REGISTRO DE PREÇOS.</w:t>
      </w:r>
      <w:bookmarkEnd w:id="101"/>
      <w:r>
        <w:rPr>
          <w:rFonts w:ascii="Arial" w:hAnsi="Arial" w:cs="Arial"/>
          <w:b w:val="0"/>
          <w:bCs w:val="0"/>
          <w:sz w:val="20"/>
          <w:szCs w:val="20"/>
        </w:rPr>
      </w:r>
      <w:r>
        <w:rPr>
          <w:rFonts w:ascii="Arial" w:hAnsi="Arial" w:cs="Arial"/>
          <w:b w:val="0"/>
          <w:bCs w:val="0"/>
          <w:sz w:val="20"/>
          <w:szCs w:val="20"/>
        </w:rPr>
      </w:r>
    </w:p>
    <w:p>
      <w:pPr>
        <w:pStyle w:val="887"/>
        <w:pBdr/>
        <w:spacing/>
        <w:ind/>
        <w:jc w:val="center"/>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center"/>
        <w:rPr>
          <w:rFonts w:ascii="Arial" w:hAnsi="Arial" w:cs="Arial"/>
        </w:rPr>
      </w:pPr>
      <w:r>
        <w:rPr>
          <w:rFonts w:ascii="Arial" w:hAnsi="Arial" w:eastAsia="Arial" w:cs="Arial"/>
          <w:b/>
          <w:bCs/>
          <w:iCs/>
          <w:color w:val="000000"/>
        </w:rPr>
        <w:t xml:space="preserve">ATA DE REGISTRO DE PREÇOS Nº. XX/2026.</w:t>
      </w:r>
      <w:r>
        <w:rPr>
          <w:rFonts w:ascii="Arial" w:hAnsi="Arial" w:cs="Arial"/>
        </w:rPr>
      </w:r>
      <w:r>
        <w:rPr>
          <w:rFonts w:ascii="Arial" w:hAnsi="Arial" w:cs="Arial"/>
        </w:rPr>
      </w:r>
    </w:p>
    <w:p>
      <w:pPr>
        <w:pStyle w:val="887"/>
        <w:pBdr/>
        <w:spacing/>
        <w:ind/>
        <w:jc w:val="center"/>
        <w:rPr>
          <w:rFonts w:ascii="Arial" w:hAnsi="Arial" w:cs="Arial"/>
          <w:b/>
          <w:bCs/>
          <w:iCs/>
          <w:color w:val="000000"/>
        </w:rPr>
      </w:pPr>
      <w:r>
        <w:rPr>
          <w:rFonts w:ascii="Arial" w:hAnsi="Arial" w:eastAsia="Arial" w:cs="Arial"/>
          <w:b/>
          <w:bCs/>
          <w:iCs/>
          <w:color w:val="000000"/>
        </w:rPr>
      </w:r>
      <w:r>
        <w:rPr>
          <w:rFonts w:ascii="Arial" w:hAnsi="Arial" w:cs="Arial"/>
          <w:b/>
          <w:bCs/>
          <w:iCs/>
          <w:color w:val="000000"/>
        </w:rPr>
      </w:r>
      <w:r>
        <w:rPr>
          <w:rFonts w:ascii="Arial" w:hAnsi="Arial" w:cs="Arial"/>
          <w:b/>
          <w:bCs/>
          <w:iCs/>
          <w:color w:val="000000"/>
        </w:rPr>
      </w:r>
    </w:p>
    <w:p>
      <w:pPr>
        <w:pStyle w:val="887"/>
        <w:pBdr/>
        <w:spacing w:line="276" w:lineRule="auto"/>
        <w:ind/>
        <w:rPr>
          <w:rFonts w:ascii="Arial" w:hAnsi="Arial" w:cs="Arial"/>
        </w:rPr>
      </w:pPr>
      <w:r>
        <w:rPr>
          <w:rFonts w:ascii="Arial" w:hAnsi="Arial" w:eastAsia="Arial" w:cs="Arial"/>
          <w:b/>
          <w:bCs/>
          <w:iCs/>
          <w:color w:val="000000"/>
        </w:rPr>
        <w:t xml:space="preserve">PREGÃO ELETRÔNICO Nº. 44/2026.</w:t>
      </w:r>
      <w:r>
        <w:rPr>
          <w:rFonts w:ascii="Arial" w:hAnsi="Arial" w:cs="Arial"/>
        </w:rPr>
      </w:r>
      <w:r>
        <w:rPr>
          <w:rFonts w:ascii="Arial" w:hAnsi="Arial" w:cs="Arial"/>
        </w:rPr>
      </w:r>
    </w:p>
    <w:p>
      <w:pPr>
        <w:pStyle w:val="887"/>
        <w:pBdr/>
        <w:spacing w:line="276" w:lineRule="auto"/>
        <w:ind/>
        <w:rPr>
          <w:rFonts w:ascii="Arial" w:hAnsi="Arial" w:cs="Arial"/>
        </w:rPr>
      </w:pPr>
      <w:r>
        <w:rPr>
          <w:rFonts w:ascii="Arial" w:hAnsi="Arial" w:eastAsia="Arial" w:cs="Arial"/>
          <w:b/>
          <w:bCs/>
          <w:iCs/>
          <w:color w:val="000000"/>
        </w:rPr>
        <w:t xml:space="preserve">PROCESSO DE COMPRA Nº. 347/2026.</w:t>
      </w:r>
      <w:r>
        <w:rPr>
          <w:rFonts w:ascii="Arial" w:hAnsi="Arial" w:cs="Arial"/>
        </w:rPr>
      </w:r>
      <w:r>
        <w:rPr>
          <w:rFonts w:ascii="Arial" w:hAnsi="Arial" w:cs="Arial"/>
        </w:rPr>
      </w:r>
    </w:p>
    <w:p>
      <w:pPr>
        <w:pStyle w:val="887"/>
        <w:pBdr/>
        <w:spacing w:line="276" w:lineRule="auto"/>
        <w:ind/>
        <w:rPr>
          <w:rFonts w:ascii="Arial" w:hAnsi="Arial" w:cs="Arial"/>
          <w:b/>
          <w:bCs/>
          <w:iCs/>
          <w:color w:val="000000"/>
        </w:rPr>
      </w:pPr>
      <w:r>
        <w:rPr>
          <w:rFonts w:ascii="Arial" w:hAnsi="Arial" w:eastAsia="Arial" w:cs="Arial"/>
          <w:b/>
          <w:bCs/>
          <w:iCs/>
          <w:color w:val="000000"/>
        </w:rPr>
      </w:r>
      <w:r>
        <w:rPr>
          <w:rFonts w:ascii="Arial" w:hAnsi="Arial" w:cs="Arial"/>
          <w:b/>
          <w:bCs/>
          <w:iCs/>
          <w:color w:val="000000"/>
        </w:rPr>
      </w:r>
      <w:r>
        <w:rPr>
          <w:rFonts w:ascii="Arial" w:hAnsi="Arial" w:cs="Arial"/>
          <w:b/>
          <w:bCs/>
          <w:iCs/>
          <w:color w:val="000000"/>
        </w:rPr>
      </w:r>
    </w:p>
    <w:p>
      <w:pPr>
        <w:pStyle w:val="887"/>
        <w:widowControl w:val="false"/>
        <w:pBdr/>
        <w:tabs>
          <w:tab w:val="clear" w:leader="none" w:pos="708"/>
          <w:tab w:val="center" w:leader="none" w:pos="4779"/>
          <w:tab w:val="right" w:leader="none" w:pos="9198"/>
        </w:tabs>
        <w:spacing w:line="276" w:lineRule="auto"/>
        <w:ind w:right="-28"/>
        <w:jc w:val="both"/>
        <w:rPr>
          <w:rFonts w:ascii="Arial" w:hAnsi="Arial" w:cs="Arial"/>
        </w:rPr>
      </w:pPr>
      <w:r>
        <w:rPr>
          <w:rFonts w:ascii="Arial" w:hAnsi="Arial" w:eastAsia="Arial" w:cs="Arial"/>
          <w:b/>
        </w:rPr>
        <w:t xml:space="preserve">O Município de Rondonópolis-Estado de Mato Grosso,</w:t>
      </w:r>
      <w:r>
        <w:rPr>
          <w:rFonts w:ascii="Arial" w:hAnsi="Arial" w:eastAsia="Arial" w:cs="Arial"/>
        </w:rPr>
        <w:t xml:space="preserve"> pessoa jurídica de direito público, com sede à Avenida Duque de Caxias n.º 1000, Bairro: Vila Aurora, inscrita no CNPJ/MF. sob nº 03.347.101/0001-21, através da </w:t>
      </w:r>
      <w:r>
        <w:rPr>
          <w:rFonts w:ascii="Arial" w:hAnsi="Arial" w:eastAsia="Arial" w:cs="Arial"/>
          <w:b/>
        </w:rPr>
        <w:t xml:space="preserve">Secretaria Municipal de XXXXXX</w:t>
      </w:r>
      <w:r>
        <w:rPr>
          <w:rFonts w:ascii="Arial" w:hAnsi="Arial" w:eastAsia="Arial" w:cs="Arial"/>
        </w:rPr>
        <w:t xml:space="preserve">, neste ato representada pela </w:t>
      </w:r>
      <w:r>
        <w:rPr>
          <w:rFonts w:ascii="Arial" w:hAnsi="Arial" w:eastAsia="Arial" w:cs="Arial"/>
          <w:b/>
        </w:rPr>
        <w:t xml:space="preserve">Sr.(a) XXXXXXXXX</w:t>
      </w:r>
      <w:r>
        <w:rPr>
          <w:rFonts w:ascii="Arial" w:hAnsi="Arial" w:eastAsia="Arial" w:cs="Arial"/>
        </w:rPr>
        <w:t xml:space="preserve">, doravante denominada simplesmente </w:t>
      </w:r>
      <w:r>
        <w:rPr>
          <w:rFonts w:ascii="Arial" w:hAnsi="Arial" w:eastAsia="Arial" w:cs="Arial"/>
          <w:b/>
        </w:rPr>
        <w:t xml:space="preserve">Órgão Gerenciador</w:t>
      </w:r>
      <w:r>
        <w:rPr>
          <w:rFonts w:ascii="Arial" w:hAnsi="Arial" w:eastAsia="Arial" w:cs="Arial"/>
        </w:rPr>
        <w:t xml:space="preserve">, </w:t>
      </w:r>
      <w:r>
        <w:rPr>
          <w:rFonts w:ascii="Arial" w:hAnsi="Arial" w:eastAsia="Arial" w:cs="Arial"/>
          <w:b/>
        </w:rPr>
        <w:t xml:space="preserve">Resolve registrar os preços</w:t>
      </w:r>
      <w:r>
        <w:rPr>
          <w:rFonts w:ascii="Arial" w:hAnsi="Arial" w:eastAsia="Arial" w:cs="Arial"/>
        </w:rPr>
        <w:t xml:space="preserve"> das empresas abaixo relacionadas, doravante denominadas simplesmente </w:t>
      </w:r>
      <w:r>
        <w:rPr>
          <w:rFonts w:ascii="Arial" w:hAnsi="Arial" w:eastAsia="Arial" w:cs="Arial"/>
          <w:b/>
        </w:rPr>
        <w:t xml:space="preserve">Fornecedores Registrados</w:t>
      </w:r>
      <w:r>
        <w:rPr>
          <w:rFonts w:ascii="Arial" w:hAnsi="Arial" w:eastAsia="Arial" w:cs="Arial"/>
        </w:rPr>
        <w:t xml:space="preserve">, de acordo com a classificação por elas alcançadas nos itens abaixo relacionados, tendo em vista que, atenderam todas as condições previstas no edital e seus anexos</w:t>
      </w:r>
      <w:r>
        <w:rPr>
          <w:rFonts w:ascii="Arial" w:hAnsi="Arial" w:eastAsia="Arial" w:cs="Arial"/>
          <w:b/>
        </w:rPr>
        <w:t xml:space="preserve">, </w:t>
      </w:r>
      <w:r>
        <w:rPr>
          <w:rFonts w:ascii="Arial" w:hAnsi="Arial" w:eastAsia="Arial" w:cs="Arial"/>
        </w:rPr>
        <w:t xml:space="preserve">com fundamento na Lei nº 14.133/2021, Decreto Municipal n.º 11.685, de 18 de setembro de 2023, Lei Complementar n.º 123/2006 e demais legislações correlatadas, resolvem celebrar o presente instrumento, mediante as cláusulas e condições a seguir:</w:t>
      </w:r>
      <w:r>
        <w:rPr>
          <w:rFonts w:ascii="Arial" w:hAnsi="Arial" w:cs="Arial"/>
        </w:rPr>
      </w:r>
      <w:r>
        <w:rPr>
          <w:rFonts w:ascii="Arial" w:hAnsi="Arial" w:cs="Arial"/>
        </w:rPr>
      </w:r>
    </w:p>
    <w:p>
      <w:pPr>
        <w:pStyle w:val="887"/>
        <w:pBdr/>
        <w:tabs>
          <w:tab w:val="clear" w:leader="none" w:pos="708"/>
          <w:tab w:val="left" w:leader="none" w:pos="5387"/>
        </w:tabs>
        <w:spacing w:line="276" w:lineRule="auto"/>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clear" w:leader="none" w:pos="708"/>
          <w:tab w:val="left" w:leader="none" w:pos="5387"/>
        </w:tabs>
        <w:spacing w:line="276" w:lineRule="auto"/>
        <w:ind/>
        <w:jc w:val="both"/>
        <w:rPr>
          <w:rFonts w:ascii="Arial" w:hAnsi="Arial" w:cs="Arial"/>
          <w:b/>
        </w:rPr>
      </w:pPr>
      <w:r>
        <w:rPr>
          <w:rFonts w:ascii="Arial" w:hAnsi="Arial" w:eastAsia="Arial" w:cs="Arial"/>
          <w:b/>
        </w:rPr>
        <w:t xml:space="preserve">CLÁUSULA PRIMEIRA – DO OBJETO</w:t>
      </w:r>
      <w:r>
        <w:rPr>
          <w:rFonts w:ascii="Arial" w:hAnsi="Arial" w:cs="Arial"/>
          <w:b/>
        </w:rPr>
      </w:r>
      <w:r>
        <w:rPr>
          <w:rFonts w:ascii="Arial" w:hAnsi="Arial" w:cs="Arial"/>
          <w:b/>
        </w:rPr>
      </w:r>
    </w:p>
    <w:p>
      <w:pPr>
        <w:pStyle w:val="887"/>
        <w:pBdr/>
        <w:tabs>
          <w:tab w:val="clear" w:leader="none" w:pos="708"/>
          <w:tab w:val="left" w:leader="none" w:pos="5387"/>
        </w:tabs>
        <w:spacing w:line="276" w:lineRule="auto"/>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1.1.</w:t>
      </w:r>
      <w:r>
        <w:rPr>
          <w:rFonts w:ascii="Arial" w:hAnsi="Arial" w:eastAsia="Arial" w:cs="Arial"/>
        </w:rPr>
        <w:t xml:space="preserve"> A presente Ata tem por objeto o </w:t>
      </w:r>
      <w:r>
        <w:rPr>
          <w:rFonts w:ascii="Arial" w:hAnsi="Arial" w:eastAsia="Arial" w:cs="Arial"/>
          <w:b/>
          <w:bCs/>
          <w:color w:val="000000"/>
        </w:rPr>
        <w:t xml:space="preserve"> REGISTRO DE PREÇOS PARA FUTURA E E</w:t>
      </w:r>
      <w:r>
        <w:rPr>
          <w:rFonts w:ascii="Arial" w:hAnsi="Arial" w:eastAsia="Arial" w:cs="Arial"/>
          <w:b/>
          <w:bCs/>
          <w:color w:val="000000"/>
        </w:rPr>
        <w:t xml:space="preserve">VENTUAL AQUISIÇÃO DE TUBOS E AGULHAS PARA COLETA DE SANGUE A VÁCUO LABORATORIAL, DE USO CONTÍNUO, PARA ATENDER AS DEMANDAS DA SECRETARIA MUNICIPAL DE SAÚDE DE RONDONÓPOLIS - MT, CONFORME ESPECIFICAÇÕES E QUANTITATIVOS ESTABELECIDOS NO EDITAL E SEUS ANEXOS.</w:t>
      </w:r>
      <w:r>
        <w:rPr>
          <w:rFonts w:ascii="Arial" w:hAnsi="Arial" w:cs="Arial"/>
        </w:rPr>
      </w:r>
      <w:r>
        <w:rPr>
          <w:rFonts w:ascii="Arial" w:hAnsi="Arial" w:cs="Arial"/>
        </w:rPr>
      </w:r>
    </w:p>
    <w:p>
      <w:pPr>
        <w:pStyle w:val="887"/>
        <w:pBdr/>
        <w:spacing/>
        <w:ind w:left="284"/>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b/>
          <w:bCs/>
          <w:color w:val="000000"/>
        </w:rPr>
      </w:pPr>
      <w:r>
        <w:rPr>
          <w:rFonts w:ascii="Arial" w:hAnsi="Arial" w:eastAsia="Arial" w:cs="Arial"/>
          <w:b/>
          <w:bCs/>
          <w:color w:val="000000"/>
        </w:rPr>
        <w:t xml:space="preserve">CLÁUSULA SEGUNDA – DA VIGÊNCIA DA ARP E DO CONTRATO </w:t>
      </w:r>
      <w:r>
        <w:rPr>
          <w:rFonts w:ascii="Arial" w:hAnsi="Arial" w:cs="Arial"/>
          <w:b/>
          <w:bCs/>
          <w:color w:val="000000"/>
        </w:rPr>
      </w:r>
      <w:r>
        <w:rPr>
          <w:rFonts w:ascii="Arial" w:hAnsi="Arial" w:cs="Arial"/>
          <w:b/>
          <w:bCs/>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2.1.</w:t>
      </w:r>
      <w:r>
        <w:rPr>
          <w:rFonts w:ascii="Arial" w:hAnsi="Arial" w:eastAsia="Arial" w:cs="Arial"/>
          <w:color w:val="000000"/>
        </w:rPr>
        <w:t xml:space="preserve"> Em conformidade com o disposto no Decreto Municipal nº 11.685/2023, especialmente após a alteração promovida pelo art. 1º, que conferiu nova redação ao ar</w:t>
      </w:r>
      <w:r>
        <w:rPr>
          <w:rFonts w:ascii="Arial" w:hAnsi="Arial" w:eastAsia="Arial" w:cs="Arial"/>
          <w:color w:val="000000"/>
        </w:rPr>
        <w:t xml:space="preserve">t. 303 do Decreto Municipal n.º 11.685, a vigência da Ata de Registro de Preços será de 01 (um) ano, podendo ser prorrogada por igual período, desde que comprovada a vantajosidade dos preços registrados para a Administração. Ainda, nos termos do §2º-A do r</w:t>
      </w:r>
      <w:r>
        <w:rPr>
          <w:rFonts w:ascii="Arial" w:hAnsi="Arial" w:eastAsia="Arial" w:cs="Arial"/>
          <w:color w:val="000000"/>
        </w:rPr>
        <w:t xml:space="preserve">eferido artigo, havendo prorrogação da vigência da Ata, fica autorizada a renovação do quantitativo originalmente registrado, mediante comprovação de que os preços permanecem vantajosos e desde que haja anuência expressa do fornecedor detentor do registro.</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2.2.</w:t>
      </w:r>
      <w:r>
        <w:rPr>
          <w:rFonts w:ascii="Arial" w:hAnsi="Arial" w:eastAsia="Arial" w:cs="Arial"/>
          <w:color w:val="000000"/>
        </w:rPr>
        <w:t xml:space="preserve">  O contrato decorrente da presente ata terá a vigência, modelo de gestão e demais aspectos alusivos à contratos estipulados, conforme Edital e todos seus anexos. </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shd w:val="clear" w:color="auto" w:fill="b4c7dc"/>
        </w:rPr>
      </w:pPr>
      <w:r>
        <w:rPr>
          <w:rFonts w:ascii="Arial" w:hAnsi="Arial" w:eastAsia="Arial" w:cs="Arial"/>
          <w:color w:val="000000"/>
          <w:shd w:val="clear" w:color="auto" w:fill="b4c7dc"/>
        </w:rPr>
      </w:r>
      <w:r>
        <w:rPr>
          <w:rFonts w:ascii="Arial" w:hAnsi="Arial" w:cs="Arial"/>
          <w:color w:val="000000"/>
          <w:shd w:val="clear" w:color="auto" w:fill="b4c7dc"/>
        </w:rPr>
      </w:r>
      <w:r>
        <w:rPr>
          <w:rFonts w:ascii="Arial" w:hAnsi="Arial" w:cs="Arial"/>
          <w:color w:val="000000"/>
          <w:shd w:val="clear" w:color="auto" w:fill="b4c7dc"/>
        </w:rPr>
      </w:r>
    </w:p>
    <w:p>
      <w:pPr>
        <w:pStyle w:val="887"/>
        <w:pBdr/>
        <w:spacing/>
        <w:ind/>
        <w:jc w:val="both"/>
        <w:rPr>
          <w:rFonts w:ascii="Arial" w:hAnsi="Arial" w:cs="Arial"/>
          <w:b/>
        </w:rPr>
      </w:pPr>
      <w:r>
        <w:rPr>
          <w:rFonts w:ascii="Arial" w:hAnsi="Arial" w:eastAsia="Arial" w:cs="Arial"/>
          <w:b/>
        </w:rPr>
        <w:t xml:space="preserve">CLÁUSULA TERCEIRA – DO PREÇO REGISTRADO E DA DIFERENÇA PERCENTUAL</w:t>
      </w:r>
      <w:r>
        <w:rPr>
          <w:rFonts w:ascii="Arial" w:hAnsi="Arial" w:cs="Arial"/>
          <w:b/>
        </w:rPr>
      </w:r>
      <w:r>
        <w:rPr>
          <w:rFonts w:ascii="Arial" w:hAnsi="Arial" w:cs="Arial"/>
          <w:b/>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rPr>
        <w:t xml:space="preserve">3.1. O(s) preço(s), a(</w:t>
      </w:r>
      <w:r>
        <w:rPr>
          <w:rFonts w:ascii="Arial" w:hAnsi="Arial" w:eastAsia="Arial" w:cs="Arial"/>
        </w:rPr>
        <w:t xml:space="preserve">s) marca(s), a(s) quantidade(s) e a(s) especificação(ões) do(s) produto(s) a ser(em) fornecido(s) encontram-se indicados no Anexo Informações sobre os produtos registrados (gerado pelo sistema de informação “ÁGILI”), que é parte integrante da presente ARP.</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left" w:leader="none" w:pos="284"/>
          <w:tab w:val="left" w:leader="none" w:pos="426"/>
          <w:tab w:val="clear" w:leader="none" w:pos="708"/>
        </w:tabs>
        <w:spacing/>
        <w:ind/>
        <w:jc w:val="both"/>
        <w:rPr>
          <w:rFonts w:ascii="Arial" w:hAnsi="Arial" w:cs="Arial"/>
        </w:rPr>
      </w:pPr>
      <w:r>
        <w:rPr>
          <w:rFonts w:ascii="Arial" w:hAnsi="Arial" w:eastAsia="Arial" w:cs="Arial"/>
          <w:b/>
        </w:rPr>
        <w:t xml:space="preserve">3.2.</w:t>
      </w:r>
      <w:r>
        <w:rPr>
          <w:rFonts w:ascii="Arial" w:hAnsi="Arial" w:eastAsia="Arial" w:cs="Arial"/>
        </w:rPr>
        <w:t xml:space="preserve"> A(s)</w:t>
      </w:r>
      <w:r>
        <w:rPr>
          <w:rFonts w:ascii="Arial" w:hAnsi="Arial" w:eastAsia="Arial" w:cs="Arial"/>
        </w:rPr>
        <w:t xml:space="preserve"> diferença(s) percentual(is) entre o(s) valor(es) unitário(s) registrado(s) e o(s) valor(es) pesquisado(s) de cada produto, a(s) qual(is) deve(m), preferencialmente, ser(em) mantida(s) durante a vigência desta Ata, também está(ão) especificada(s) no Anexo </w:t>
      </w:r>
      <w:r>
        <w:rPr>
          <w:rFonts w:ascii="Arial" w:hAnsi="Arial" w:eastAsia="Arial" w:cs="Arial"/>
          <w:color w:val="231f20"/>
        </w:rPr>
        <w:t xml:space="preserve">Informações sobre os produtos registrados</w:t>
      </w:r>
      <w:r>
        <w:rPr>
          <w:rFonts w:ascii="Arial" w:hAnsi="Arial" w:eastAsia="Arial" w:cs="Arial"/>
        </w:rPr>
        <w:t xml:space="preserve"> (gerado pelo sistema de informação “ÁGILI” desta ARP.</w:t>
      </w:r>
      <w:r>
        <w:rPr>
          <w:rFonts w:ascii="Arial" w:hAnsi="Arial" w:cs="Arial"/>
        </w:rPr>
      </w:r>
      <w:r>
        <w:rPr>
          <w:rFonts w:ascii="Arial" w:hAnsi="Arial" w:cs="Arial"/>
        </w:rPr>
      </w:r>
    </w:p>
    <w:p>
      <w:pPr>
        <w:pStyle w:val="887"/>
        <w:pBdr/>
        <w:tabs>
          <w:tab w:val="left" w:leader="none" w:pos="284"/>
          <w:tab w:val="left" w:leader="none" w:pos="426"/>
          <w:tab w:val="clear" w:leader="none" w:pos="708"/>
        </w:tabs>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left" w:leader="none" w:pos="284"/>
          <w:tab w:val="left" w:leader="none" w:pos="426"/>
          <w:tab w:val="clear" w:leader="none" w:pos="708"/>
        </w:tabs>
        <w:spacing/>
        <w:ind/>
        <w:jc w:val="both"/>
        <w:rPr>
          <w:rFonts w:ascii="Arial" w:hAnsi="Arial" w:cs="Arial"/>
          <w:b/>
        </w:rPr>
      </w:pPr>
      <w:r>
        <w:rPr>
          <w:rFonts w:ascii="Arial" w:hAnsi="Arial" w:eastAsia="Arial" w:cs="Arial"/>
          <w:b/>
        </w:rPr>
        <w:t xml:space="preserve">CLÁUSULA QUARTA – DO VALOR</w:t>
      </w:r>
      <w:r>
        <w:rPr>
          <w:rFonts w:ascii="Arial" w:hAnsi="Arial" w:cs="Arial"/>
          <w:b/>
        </w:rPr>
      </w:r>
      <w:r>
        <w:rPr>
          <w:rFonts w:ascii="Arial" w:hAnsi="Arial" w:cs="Arial"/>
          <w:b/>
        </w:rPr>
      </w:r>
    </w:p>
    <w:p>
      <w:pPr>
        <w:pStyle w:val="887"/>
        <w:pBdr/>
        <w:tabs>
          <w:tab w:val="left" w:leader="none" w:pos="284"/>
          <w:tab w:val="left" w:leader="none" w:pos="426"/>
          <w:tab w:val="clear" w:leader="none" w:pos="708"/>
        </w:tabs>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left" w:leader="none" w:pos="284"/>
          <w:tab w:val="left" w:leader="none" w:pos="426"/>
          <w:tab w:val="clear" w:leader="none" w:pos="708"/>
        </w:tabs>
        <w:spacing/>
        <w:ind/>
        <w:jc w:val="both"/>
        <w:rPr>
          <w:rFonts w:ascii="Arial" w:hAnsi="Arial" w:cs="Arial"/>
        </w:rPr>
      </w:pPr>
      <w:r>
        <w:rPr>
          <w:rFonts w:ascii="Arial" w:hAnsi="Arial" w:eastAsia="Arial" w:cs="Arial"/>
          <w:b/>
        </w:rPr>
        <w:t xml:space="preserve">4.1.</w:t>
      </w:r>
      <w:r>
        <w:rPr>
          <w:rFonts w:ascii="Arial" w:hAnsi="Arial" w:eastAsia="Arial" w:cs="Arial"/>
        </w:rPr>
        <w:t xml:space="preserve"> O valor total estimado para as aquisições decorrentes do presente ARP perfaz o montante de R$ ..................</w:t>
      </w:r>
      <w:r>
        <w:rPr>
          <w:rFonts w:ascii="Arial" w:hAnsi="Arial" w:cs="Arial"/>
        </w:rPr>
      </w:r>
      <w:r>
        <w:rPr>
          <w:rFonts w:ascii="Arial" w:hAnsi="Arial" w:cs="Arial"/>
        </w:rPr>
      </w:r>
    </w:p>
    <w:p>
      <w:pPr>
        <w:pStyle w:val="887"/>
        <w:pBdr/>
        <w:tabs>
          <w:tab w:val="left" w:leader="none" w:pos="284"/>
          <w:tab w:val="left" w:leader="none" w:pos="426"/>
          <w:tab w:val="clear" w:leader="none" w:pos="708"/>
        </w:tabs>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left" w:leader="none" w:pos="284"/>
          <w:tab w:val="left" w:leader="none" w:pos="426"/>
          <w:tab w:val="clear" w:leader="none" w:pos="708"/>
        </w:tabs>
        <w:spacing/>
        <w:ind/>
        <w:jc w:val="both"/>
        <w:rPr>
          <w:rFonts w:ascii="Arial" w:hAnsi="Arial" w:cs="Arial"/>
          <w:b/>
        </w:rPr>
      </w:pPr>
      <w:r>
        <w:rPr>
          <w:rFonts w:ascii="Arial" w:hAnsi="Arial" w:eastAsia="Arial" w:cs="Arial"/>
          <w:b/>
        </w:rPr>
        <w:t xml:space="preserve">CLÁUSULA QUINTA – DO(S) ÓRGÃO(S) PARTICIPANTE(S) </w:t>
      </w:r>
      <w:r>
        <w:rPr>
          <w:rFonts w:ascii="Arial" w:hAnsi="Arial" w:cs="Arial"/>
          <w:b/>
        </w:rPr>
      </w:r>
      <w:r>
        <w:rPr>
          <w:rFonts w:ascii="Arial" w:hAnsi="Arial" w:cs="Arial"/>
          <w:b/>
        </w:rPr>
      </w:r>
    </w:p>
    <w:p>
      <w:pPr>
        <w:pStyle w:val="887"/>
        <w:pBdr/>
        <w:tabs>
          <w:tab w:val="left" w:leader="none" w:pos="284"/>
          <w:tab w:val="left" w:leader="none" w:pos="426"/>
          <w:tab w:val="clear" w:leader="none" w:pos="708"/>
        </w:tabs>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clear" w:leader="none" w:pos="708"/>
          <w:tab w:val="center" w:leader="none" w:pos="4779"/>
          <w:tab w:val="right" w:leader="none" w:pos="9198"/>
        </w:tabs>
        <w:spacing w:line="276" w:lineRule="auto"/>
        <w:ind/>
        <w:jc w:val="both"/>
        <w:rPr>
          <w:rFonts w:ascii="Arial" w:hAnsi="Arial" w:cs="Arial"/>
        </w:rPr>
      </w:pPr>
      <w:r>
        <w:rPr>
          <w:rFonts w:ascii="Arial" w:hAnsi="Arial" w:eastAsia="Arial" w:cs="Arial"/>
          <w:b/>
        </w:rPr>
        <w:t xml:space="preserve">5.1.1.</w:t>
      </w:r>
      <w:r>
        <w:rPr>
          <w:rFonts w:ascii="Arial" w:hAnsi="Arial" w:eastAsia="Arial" w:cs="Arial"/>
        </w:rPr>
        <w:t xml:space="preserve"> </w:t>
      </w:r>
      <w:r>
        <w:rPr>
          <w:rFonts w:ascii="Arial" w:hAnsi="Arial" w:eastAsia="Arial" w:cs="Arial"/>
        </w:rPr>
        <w:t xml:space="preserve">As presente ARP é para suprir demandas dos órgãos e entidades municipal, abaixo citados:</w:t>
      </w:r>
      <w:r>
        <w:rPr>
          <w:rFonts w:ascii="Arial" w:hAnsi="Arial" w:cs="Arial"/>
        </w:rPr>
      </w:r>
      <w:r>
        <w:rPr>
          <w:rFonts w:ascii="Arial" w:hAnsi="Arial" w:cs="Arial"/>
        </w:rPr>
      </w:r>
    </w:p>
    <w:tbl>
      <w:tblPr>
        <w:tblInd w:w="507" w:type="dxa"/>
        <w:tblW w:w="9733" w:type="dxa"/>
        <w:tblCellMar>
          <w:left w:w="108" w:type="dxa"/>
          <w:top w:w="0" w:type="dxa"/>
          <w:right w:w="108" w:type="dxa"/>
          <w:bottom w:w="0" w:type="dxa"/>
        </w:tblCellMar>
        <w:tblBorders/>
        <w:tblLayout w:type="fixed"/>
        <w:tblLook w:val="04A0" w:firstRow="1" w:lastRow="0" w:firstColumn="1" w:lastColumn="0" w:noHBand="0" w:noVBand="1"/>
      </w:tblPr>
      <w:tblGrid>
        <w:gridCol w:w="4828"/>
        <w:gridCol w:w="4905"/>
      </w:tblGrid>
      <w:tr>
        <w:trPr>
          <w:trHeight w:val="260"/>
        </w:trPr>
        <w:tc>
          <w:tcPr>
            <w:tcBorders>
              <w:top w:val="single" w:color="000000" w:sz="2" w:space="0"/>
              <w:left w:val="single" w:color="000000" w:sz="2" w:space="0"/>
              <w:bottom w:val="single" w:color="000000" w:sz="2" w:space="0"/>
              <w:right w:val="single" w:color="000000" w:sz="2" w:space="0"/>
            </w:tcBorders>
            <w:tcW w:w="4828" w:type="dxa"/>
            <w:vAlign w:val="center"/>
            <w:textDirection w:val="lrTb"/>
            <w:noWrap w:val="false"/>
          </w:tcPr>
          <w:p>
            <w:pPr>
              <w:pStyle w:val="887"/>
              <w:pBdr/>
              <w:spacing/>
              <w:ind/>
              <w:jc w:val="center"/>
              <w:rPr>
                <w:rFonts w:ascii="Arial" w:hAnsi="Arial" w:cs="Arial"/>
                <w:color w:val="000000"/>
              </w:rPr>
            </w:pPr>
            <w:r>
              <w:rPr>
                <w:rFonts w:ascii="Arial" w:hAnsi="Arial" w:eastAsia="Arial" w:cs="Arial"/>
                <w:color w:val="000000"/>
              </w:rPr>
              <w:t xml:space="preserve">SECRETARIA</w:t>
            </w:r>
            <w:r>
              <w:rPr>
                <w:rFonts w:ascii="Arial" w:hAnsi="Arial" w:cs="Arial"/>
                <w:color w:val="000000"/>
              </w:rPr>
            </w:r>
            <w:r>
              <w:rPr>
                <w:rFonts w:ascii="Arial" w:hAnsi="Arial" w:cs="Arial"/>
                <w:color w:val="000000"/>
              </w:rPr>
            </w:r>
          </w:p>
        </w:tc>
        <w:tc>
          <w:tcPr>
            <w:tcBorders>
              <w:top w:val="single" w:color="000000" w:sz="2" w:space="0"/>
              <w:left w:val="single" w:color="000000" w:sz="2" w:space="0"/>
              <w:bottom w:val="single" w:color="000000" w:sz="2" w:space="0"/>
              <w:right w:val="single" w:color="000000" w:sz="2" w:space="0"/>
            </w:tcBorders>
            <w:tcW w:w="4905" w:type="dxa"/>
            <w:vAlign w:val="center"/>
            <w:textDirection w:val="lrTb"/>
            <w:noWrap w:val="false"/>
          </w:tcPr>
          <w:p>
            <w:pPr>
              <w:pStyle w:val="887"/>
              <w:pBdr/>
              <w:spacing/>
              <w:ind/>
              <w:jc w:val="center"/>
              <w:rPr>
                <w:rFonts w:ascii="Arial" w:hAnsi="Arial" w:cs="Arial"/>
                <w:color w:val="000000"/>
              </w:rPr>
            </w:pPr>
            <w:r>
              <w:rPr>
                <w:rFonts w:ascii="Arial" w:hAnsi="Arial" w:eastAsia="Arial" w:cs="Arial"/>
                <w:color w:val="000000"/>
              </w:rPr>
              <w:t xml:space="preserve">RESPONSÁVEL</w:t>
            </w:r>
            <w:r>
              <w:rPr>
                <w:rFonts w:ascii="Arial" w:hAnsi="Arial" w:cs="Arial"/>
                <w:color w:val="000000"/>
              </w:rPr>
            </w:r>
            <w:r>
              <w:rPr>
                <w:rFonts w:ascii="Arial" w:hAnsi="Arial" w:cs="Arial"/>
                <w:color w:val="000000"/>
              </w:rPr>
            </w:r>
          </w:p>
        </w:tc>
      </w:tr>
      <w:tr>
        <w:trPr>
          <w:trHeight w:val="260"/>
        </w:trPr>
        <w:tc>
          <w:tcPr>
            <w:tcBorders>
              <w:top w:val="single" w:color="000000" w:sz="2" w:space="0"/>
              <w:left w:val="single" w:color="000000" w:sz="2" w:space="0"/>
              <w:bottom w:val="single" w:color="000000" w:sz="2" w:space="0"/>
              <w:right w:val="single" w:color="000000" w:sz="2" w:space="0"/>
            </w:tcBorders>
            <w:tcW w:w="4828" w:type="dxa"/>
            <w:vAlign w:val="center"/>
            <w:textDirection w:val="lrTb"/>
            <w:noWrap w:val="false"/>
          </w:tcPr>
          <w:p>
            <w:pPr>
              <w:pStyle w:val="887"/>
              <w:pBdr/>
              <w:spacing/>
              <w:ind/>
              <w:jc w:val="center"/>
              <w:rPr>
                <w:rFonts w:ascii="Arial" w:hAnsi="Arial" w:cs="Arial"/>
                <w:b/>
                <w:bCs/>
                <w:color w:val="000000"/>
                <w:shd w:val="clear" w:color="auto" w:fill="ffffff"/>
              </w:rPr>
            </w:pPr>
            <w:r>
              <w:rPr>
                <w:rFonts w:ascii="Arial" w:hAnsi="Arial" w:eastAsia="Arial" w:cs="Arial"/>
                <w:b/>
                <w:bCs/>
                <w:color w:val="000000"/>
                <w:shd w:val="clear" w:color="auto" w:fill="ffffff"/>
              </w:rPr>
              <w:t xml:space="preserve">Secretário Municipal de Saúde </w:t>
            </w:r>
            <w:r>
              <w:rPr>
                <w:rFonts w:ascii="Arial" w:hAnsi="Arial" w:cs="Arial"/>
                <w:b/>
                <w:bCs/>
                <w:color w:val="000000"/>
                <w:shd w:val="clear" w:color="auto" w:fill="ffffff"/>
              </w:rPr>
            </w:r>
            <w:r>
              <w:rPr>
                <w:rFonts w:ascii="Arial" w:hAnsi="Arial" w:cs="Arial"/>
                <w:b/>
                <w:bCs/>
                <w:color w:val="000000"/>
                <w:shd w:val="clear" w:color="auto" w:fill="ffffff"/>
              </w:rPr>
            </w:r>
          </w:p>
        </w:tc>
        <w:tc>
          <w:tcPr>
            <w:tcBorders>
              <w:top w:val="single" w:color="000000" w:sz="2" w:space="0"/>
              <w:left w:val="single" w:color="000000" w:sz="2" w:space="0"/>
              <w:bottom w:val="single" w:color="000000" w:sz="2" w:space="0"/>
              <w:right w:val="single" w:color="000000" w:sz="2" w:space="0"/>
            </w:tcBorders>
            <w:tcW w:w="4905" w:type="dxa"/>
            <w:vAlign w:val="center"/>
            <w:textDirection w:val="lrTb"/>
            <w:noWrap w:val="false"/>
          </w:tcPr>
          <w:p w14:paraId="2C9BC90A">
            <w:pPr>
              <w:pStyle w:val="2332"/>
              <w:pBdr/>
              <w:spacing w:after="0" w:before="0"/>
              <w:ind/>
              <w:jc w:val="center"/>
              <w:rPr>
                <w:rFonts w:eastAsia="Arial"/>
                <w:b/>
                <w:color w:val="auto"/>
                <w:szCs w:val="20"/>
                <w:lang w:val="pt" w:eastAsia="en-US"/>
              </w:rPr>
            </w:pPr>
            <w:r>
              <w:rPr>
                <w:rFonts w:eastAsia="Arial"/>
                <w:b/>
                <w:color w:val="auto"/>
                <w:szCs w:val="20"/>
                <w:lang w:val="pt" w:eastAsia="en-US"/>
              </w:rPr>
              <w:t xml:space="preserve">ISRAEL SILVEIRA PANIAGO</w:t>
            </w:r>
            <w:r>
              <w:rPr>
                <w:rFonts w:eastAsia="Arial"/>
                <w:b/>
                <w:color w:val="auto"/>
                <w:szCs w:val="20"/>
                <w:lang w:val="pt" w:eastAsia="en-US"/>
              </w:rPr>
            </w:r>
            <w:r>
              <w:rPr>
                <w:rFonts w:eastAsia="Arial"/>
                <w:b/>
                <w:color w:val="auto"/>
                <w:szCs w:val="20"/>
                <w:lang w:val="pt" w:eastAsia="en-US"/>
              </w:rPr>
            </w:r>
          </w:p>
        </w:tc>
      </w:tr>
    </w:tbl>
    <w:p>
      <w:pPr>
        <w:pStyle w:val="887"/>
        <w:pBdr/>
        <w:spacing/>
        <w:ind w:hanging="426" w:left="426"/>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hanging="426" w:left="426"/>
        <w:jc w:val="both"/>
        <w:rPr>
          <w:rFonts w:ascii="Arial" w:hAnsi="Arial" w:cs="Arial"/>
          <w:b/>
          <w:bCs/>
        </w:rPr>
      </w:pPr>
      <w:r>
        <w:rPr>
          <w:rFonts w:ascii="Arial" w:hAnsi="Arial" w:eastAsia="Arial" w:cs="Arial"/>
          <w:b/>
        </w:rPr>
        <w:t xml:space="preserve">CLÁUSULA SEXTA – DO SISTEMA DO REGISTRO DE PREÇOS:</w:t>
      </w:r>
      <w:r>
        <w:rPr>
          <w:rFonts w:ascii="Arial" w:hAnsi="Arial" w:cs="Arial"/>
          <w:b/>
          <w:bCs/>
        </w:rPr>
      </w:r>
      <w:r>
        <w:rPr>
          <w:rFonts w:ascii="Arial" w:hAnsi="Arial" w:cs="Arial"/>
          <w:b/>
          <w:bCs/>
        </w:rPr>
      </w:r>
    </w:p>
    <w:p>
      <w:pPr>
        <w:pStyle w:val="887"/>
        <w:pBdr/>
        <w:spacing/>
        <w:ind w:hanging="426" w:left="426"/>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6.1. </w:t>
      </w:r>
      <w:r>
        <w:rPr>
          <w:rFonts w:ascii="Arial" w:hAnsi="Arial" w:eastAsia="Arial" w:cs="Arial"/>
        </w:rPr>
        <w:t xml:space="preserve">O Sistema de Registro de Preços regula-se pelas normas e procedimentos previstos na Lei Federal nº 14.133/2021, no Decreto Municipal n° 11.685/2023 e nas demais normas complementares.</w:t>
      </w:r>
      <w:r>
        <w:rPr>
          <w:rFonts w:ascii="Arial" w:hAnsi="Arial" w:cs="Arial"/>
        </w:rPr>
      </w:r>
      <w:r>
        <w:rPr>
          <w:rFonts w:ascii="Arial" w:hAnsi="Arial" w:cs="Arial"/>
        </w:rPr>
      </w:r>
    </w:p>
    <w:p>
      <w:pPr>
        <w:pStyle w:val="887"/>
        <w:pBdr/>
        <w:spacing/>
        <w:ind w:hanging="426" w:left="426"/>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left" w:leader="none" w:pos="426"/>
          <w:tab w:val="clear" w:leader="none" w:pos="708"/>
        </w:tabs>
        <w:spacing/>
        <w:ind/>
        <w:jc w:val="both"/>
        <w:rPr>
          <w:rFonts w:ascii="Arial" w:hAnsi="Arial" w:cs="Arial"/>
        </w:rPr>
      </w:pPr>
      <w:r>
        <w:rPr>
          <w:rFonts w:ascii="Arial" w:hAnsi="Arial" w:eastAsia="Arial" w:cs="Arial"/>
          <w:b/>
        </w:rPr>
        <w:t xml:space="preserve">6.2.</w:t>
      </w:r>
      <w:r>
        <w:rPr>
          <w:rFonts w:ascii="Arial" w:hAnsi="Arial" w:eastAsia="Arial" w:cs="Arial"/>
        </w:rPr>
        <w:tab/>
        <w:t xml:space="preserve">Uma vez registrados o(s) preço(s), a Administração poderá convocar o Detentor a fornecer o(s) produto(s) respectivo(s), na forma e condições fixadas no edital, anexos e nesta ARP.</w:t>
      </w:r>
      <w:r>
        <w:rPr>
          <w:rFonts w:ascii="Arial" w:hAnsi="Arial" w:cs="Arial"/>
        </w:rPr>
      </w:r>
      <w:r>
        <w:rPr>
          <w:rFonts w:ascii="Arial" w:hAnsi="Arial" w:cs="Arial"/>
        </w:rPr>
      </w:r>
    </w:p>
    <w:p>
      <w:pPr>
        <w:pStyle w:val="887"/>
        <w:pBdr/>
        <w:spacing/>
        <w:ind w:hanging="567" w:left="567"/>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6.3.</w:t>
      </w:r>
      <w:r>
        <w:rPr>
          <w:rFonts w:ascii="Arial" w:hAnsi="Arial" w:eastAsia="Arial" w:cs="Arial"/>
        </w:rPr>
        <w:t xml:space="preserve">  A existência de preço(s) registrado</w:t>
      </w:r>
      <w:r>
        <w:rPr>
          <w:rFonts w:ascii="Arial" w:hAnsi="Arial" w:eastAsia="Arial" w:cs="Arial"/>
        </w:rPr>
        <w:t xml:space="preserve">(s) implicará compromisso de fornecimento nas condições estabelecidas no instrumento convocatório e na sua proposta, mas não obrigará a contratação, facultada a realização de licitação específica para a aquisição pretendida, desde que devidamente motivada.</w:t>
      </w:r>
      <w:r>
        <w:rPr>
          <w:rFonts w:ascii="Arial" w:hAnsi="Arial" w:cs="Arial"/>
        </w:rPr>
      </w:r>
      <w:r>
        <w:rPr>
          <w:rFonts w:ascii="Arial" w:hAnsi="Arial" w:cs="Arial"/>
        </w:rPr>
      </w:r>
    </w:p>
    <w:p>
      <w:pPr>
        <w:pStyle w:val="887"/>
        <w:pBdr/>
        <w:spacing/>
        <w:ind w:hanging="426" w:left="426"/>
        <w:jc w:val="both"/>
        <w:rPr>
          <w:rFonts w:ascii="Arial" w:hAnsi="Arial" w:cs="Arial"/>
          <w:strike/>
        </w:rPr>
      </w:pPr>
      <w:r>
        <w:rPr>
          <w:rFonts w:ascii="Arial" w:hAnsi="Arial" w:eastAsia="Arial" w:cs="Arial"/>
          <w:strike/>
        </w:rPr>
      </w:r>
      <w:r>
        <w:rPr>
          <w:rFonts w:ascii="Arial" w:hAnsi="Arial" w:cs="Arial"/>
          <w:strike/>
        </w:rPr>
      </w:r>
      <w:r>
        <w:rPr>
          <w:rFonts w:ascii="Arial" w:hAnsi="Arial" w:cs="Arial"/>
          <w:strike/>
        </w:rPr>
      </w:r>
    </w:p>
    <w:p>
      <w:pPr>
        <w:pStyle w:val="887"/>
        <w:pBdr/>
        <w:spacing/>
        <w:ind/>
        <w:jc w:val="both"/>
        <w:rPr>
          <w:rFonts w:ascii="Arial" w:hAnsi="Arial" w:cs="Arial"/>
        </w:rPr>
      </w:pPr>
      <w:r>
        <w:rPr>
          <w:rFonts w:ascii="Arial" w:hAnsi="Arial" w:eastAsia="Arial" w:cs="Arial"/>
          <w:b/>
        </w:rPr>
        <w:t xml:space="preserve">6.4.</w:t>
      </w:r>
      <w:r>
        <w:rPr>
          <w:rFonts w:ascii="Arial" w:hAnsi="Arial" w:eastAsia="Arial" w:cs="Arial"/>
        </w:rPr>
        <w:t xml:space="preserve"> É vedada a aquisição do(s) produto(s) por valor(es) superior(es) ao(s) registrado(s) vigente(s).</w:t>
      </w:r>
      <w:r>
        <w:rPr>
          <w:rFonts w:ascii="Arial" w:hAnsi="Arial" w:cs="Arial"/>
        </w:rPr>
      </w:r>
      <w:r>
        <w:rPr>
          <w:rFonts w:ascii="Arial" w:hAnsi="Arial" w:cs="Arial"/>
        </w:rPr>
      </w:r>
    </w:p>
    <w:p>
      <w:pPr>
        <w:pStyle w:val="887"/>
        <w:pBdr/>
        <w:spacing/>
        <w:ind w:hanging="426" w:left="426"/>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left" w:leader="none" w:pos="426"/>
          <w:tab w:val="clear" w:leader="none" w:pos="708"/>
        </w:tabs>
        <w:spacing/>
        <w:ind/>
        <w:jc w:val="both"/>
        <w:rPr>
          <w:rFonts w:ascii="Arial" w:hAnsi="Arial" w:cs="Arial"/>
        </w:rPr>
      </w:pPr>
      <w:r>
        <w:rPr>
          <w:rFonts w:ascii="Arial" w:hAnsi="Arial" w:eastAsia="Arial" w:cs="Arial"/>
          <w:b/>
        </w:rPr>
        <w:t xml:space="preserve">6.5.</w:t>
      </w:r>
      <w:r>
        <w:rPr>
          <w:rFonts w:ascii="Arial" w:hAnsi="Arial" w:eastAsia="Arial" w:cs="Arial"/>
        </w:rPr>
        <w:tab/>
        <w:t xml:space="preserve">O Detentor fica obrigado a atender a todos os pedidos de fornecimento efetuados durante a vigência do Registro de Preços.</w:t>
      </w:r>
      <w:r>
        <w:rPr>
          <w:rFonts w:ascii="Arial" w:hAnsi="Arial" w:cs="Arial"/>
        </w:rPr>
      </w:r>
      <w:r>
        <w:rPr>
          <w:rFonts w:ascii="Arial" w:hAnsi="Arial" w:cs="Arial"/>
        </w:rPr>
      </w:r>
    </w:p>
    <w:p>
      <w:pPr>
        <w:pStyle w:val="887"/>
        <w:pBdr/>
        <w:spacing/>
        <w:ind w:hanging="426" w:left="426"/>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left" w:leader="none" w:pos="426"/>
          <w:tab w:val="clear" w:leader="none" w:pos="708"/>
        </w:tabs>
        <w:spacing/>
        <w:ind/>
        <w:jc w:val="both"/>
        <w:rPr>
          <w:rFonts w:ascii="Arial" w:hAnsi="Arial" w:cs="Arial"/>
        </w:rPr>
      </w:pPr>
      <w:r>
        <w:rPr>
          <w:rFonts w:ascii="Arial" w:hAnsi="Arial" w:eastAsia="Arial" w:cs="Arial"/>
          <w:b/>
        </w:rPr>
        <w:t xml:space="preserve">6.6.</w:t>
      </w:r>
      <w:r>
        <w:rPr>
          <w:rFonts w:ascii="Arial" w:hAnsi="Arial" w:eastAsia="Arial" w:cs="Arial"/>
        </w:rPr>
        <w:tab/>
        <w:t xml:space="preserve">O Detentor deverá garantir a qualidade do(s) produto(s) entregue(s) mesmo após o vencimento da ARP.</w:t>
      </w:r>
      <w:r>
        <w:rPr>
          <w:rFonts w:ascii="Arial" w:hAnsi="Arial" w:cs="Arial"/>
        </w:rPr>
      </w:r>
      <w:r>
        <w:rPr>
          <w:rFonts w:ascii="Arial" w:hAnsi="Arial" w:cs="Arial"/>
        </w:rPr>
      </w:r>
    </w:p>
    <w:p>
      <w:pPr>
        <w:pStyle w:val="887"/>
        <w:pBdr/>
        <w:spacing/>
        <w:ind w:hanging="426" w:left="426"/>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hanging="426" w:left="426"/>
        <w:jc w:val="both"/>
        <w:rPr>
          <w:rFonts w:ascii="Arial" w:hAnsi="Arial" w:cs="Arial"/>
          <w:b/>
        </w:rPr>
      </w:pPr>
      <w:r>
        <w:rPr>
          <w:rFonts w:ascii="Arial" w:hAnsi="Arial" w:eastAsia="Arial" w:cs="Arial"/>
          <w:b/>
        </w:rPr>
        <w:t xml:space="preserve">CLÁUSULA SÉTIMA – DA EXECUÇÃO DA ATA:   </w:t>
      </w:r>
      <w:r>
        <w:rPr>
          <w:rFonts w:ascii="Arial" w:hAnsi="Arial" w:cs="Arial"/>
          <w:b/>
        </w:rPr>
      </w:r>
      <w:r>
        <w:rPr>
          <w:rFonts w:ascii="Arial" w:hAnsi="Arial" w:cs="Arial"/>
          <w:b/>
        </w:rPr>
      </w:r>
    </w:p>
    <w:p>
      <w:pPr>
        <w:pStyle w:val="887"/>
        <w:pBdr/>
        <w:spacing/>
        <w:ind w:hanging="426" w:left="426"/>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7.1.</w:t>
      </w:r>
      <w:r>
        <w:rPr>
          <w:rFonts w:ascii="Arial" w:hAnsi="Arial" w:eastAsia="Arial" w:cs="Arial"/>
        </w:rPr>
        <w:t xml:space="preserve"> A contratação do objeto licitado será efetivada mediante formalização de contrato, vinculado à presente Ata de Registro de Preços e em conformidade com a legislação pertinente, bem como Decreto Municipal nº 11.685/2023.</w:t>
      </w:r>
      <w:r>
        <w:rPr>
          <w:rFonts w:ascii="Arial" w:hAnsi="Arial" w:cs="Arial"/>
        </w:rPr>
      </w:r>
      <w:r>
        <w:rPr>
          <w:rFonts w:ascii="Arial" w:hAnsi="Arial" w:cs="Arial"/>
        </w:rPr>
      </w:r>
    </w:p>
    <w:p>
      <w:pPr>
        <w:pStyle w:val="887"/>
        <w:pBdr/>
        <w:spacing/>
        <w:ind w:hanging="426" w:left="426"/>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left" w:leader="none" w:pos="284"/>
          <w:tab w:val="left" w:leader="none" w:pos="426"/>
          <w:tab w:val="clear" w:leader="none" w:pos="708"/>
        </w:tabs>
        <w:spacing/>
        <w:ind/>
        <w:jc w:val="both"/>
        <w:rPr>
          <w:rFonts w:ascii="Arial" w:hAnsi="Arial" w:cs="Arial"/>
        </w:rPr>
      </w:pPr>
      <w:r>
        <w:rPr>
          <w:rFonts w:ascii="Arial" w:hAnsi="Arial" w:eastAsia="Arial" w:cs="Arial"/>
          <w:b/>
        </w:rPr>
        <w:t xml:space="preserve">7.2. </w:t>
      </w:r>
      <w:r>
        <w:rPr>
          <w:rFonts w:ascii="Arial" w:hAnsi="Arial" w:eastAsia="Arial" w:cs="Arial"/>
        </w:rPr>
        <w:t xml:space="preserve">Após autorização, a Gerência ................. ou equivalente de cada um dos Órgãos Participantes do Registro encaminhará Nota de Empenho ou outro instrumento equivalente ao Detentor da ARP, via e-mail ou outro meio de comunicação eficaz. </w:t>
      </w:r>
      <w:r>
        <w:rPr>
          <w:rFonts w:ascii="Arial" w:hAnsi="Arial" w:cs="Arial"/>
        </w:rPr>
      </w:r>
      <w:r>
        <w:rPr>
          <w:rFonts w:ascii="Arial" w:hAnsi="Arial" w:cs="Arial"/>
        </w:rPr>
      </w:r>
    </w:p>
    <w:p>
      <w:pPr>
        <w:pStyle w:val="887"/>
        <w:pBdr/>
        <w:tabs>
          <w:tab w:val="left" w:leader="none" w:pos="284"/>
          <w:tab w:val="left" w:leader="none" w:pos="426"/>
          <w:tab w:val="clear" w:leader="none" w:pos="708"/>
        </w:tabs>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clear" w:leader="none" w:pos="708"/>
          <w:tab w:val="left" w:leader="none" w:pos="851"/>
          <w:tab w:val="left" w:leader="none" w:pos="993"/>
        </w:tabs>
        <w:spacing/>
        <w:ind/>
        <w:jc w:val="both"/>
        <w:rPr>
          <w:rFonts w:ascii="Arial" w:hAnsi="Arial" w:cs="Arial"/>
        </w:rPr>
      </w:pPr>
      <w:r>
        <w:rPr>
          <w:rFonts w:ascii="Arial" w:hAnsi="Arial" w:eastAsia="Arial" w:cs="Arial"/>
          <w:b/>
        </w:rPr>
        <w:t xml:space="preserve">7.2.1. </w:t>
      </w:r>
      <w:r>
        <w:rPr>
          <w:rFonts w:ascii="Arial" w:hAnsi="Arial" w:eastAsia="Arial" w:cs="Arial"/>
        </w:rPr>
        <w:t xml:space="preserve">A comprovação de que o Detentor recebeu a Nota de Empenho ou outro instrumento equivalente deverá ocorrer via e-mail ou outro meio de comunicação eficaz.</w:t>
      </w:r>
      <w:r>
        <w:rPr>
          <w:rFonts w:ascii="Arial" w:hAnsi="Arial" w:cs="Arial"/>
        </w:rPr>
      </w:r>
      <w:r>
        <w:rPr>
          <w:rFonts w:ascii="Arial" w:hAnsi="Arial" w:cs="Arial"/>
        </w:rPr>
      </w:r>
    </w:p>
    <w:p>
      <w:pPr>
        <w:pStyle w:val="887"/>
        <w:pBdr/>
        <w:tabs>
          <w:tab w:val="clear" w:leader="none" w:pos="708"/>
          <w:tab w:val="left" w:leader="none" w:pos="851"/>
          <w:tab w:val="left" w:leader="none" w:pos="993"/>
        </w:tabs>
        <w:spacing/>
        <w:ind w:left="426"/>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left" w:leader="none" w:pos="284"/>
          <w:tab w:val="left" w:leader="none" w:pos="426"/>
          <w:tab w:val="clear" w:leader="none" w:pos="708"/>
        </w:tabs>
        <w:spacing/>
        <w:ind/>
        <w:jc w:val="both"/>
        <w:rPr>
          <w:rFonts w:ascii="Arial" w:hAnsi="Arial" w:cs="Arial"/>
        </w:rPr>
      </w:pPr>
      <w:r>
        <w:rPr>
          <w:rFonts w:ascii="Arial" w:hAnsi="Arial" w:eastAsia="Arial" w:cs="Arial"/>
          <w:b/>
        </w:rPr>
        <w:t xml:space="preserve">7.3. </w:t>
      </w:r>
      <w:r>
        <w:rPr>
          <w:rFonts w:ascii="Arial" w:hAnsi="Arial" w:eastAsia="Arial" w:cs="Arial"/>
        </w:rPr>
        <w:t xml:space="preserve">Na hipótese de as Gerências ................. ou equivalentes dos Órgãos Participantes não conseguirem um meio eficaz para envio da Nota de Empenho</w:t>
      </w:r>
      <w:r>
        <w:rPr>
          <w:rFonts w:ascii="Arial" w:hAnsi="Arial" w:eastAsia="Arial" w:cs="Arial"/>
        </w:rPr>
        <w:t xml:space="preserve"> ou outro instrumento equivalente ao Detentor, deverá ser publicado um aviso no Diário Oficial do Município - DIORONDON, para que o Detentor retire a Nota de Empenho ou outro instrumento hábil no prazo máximo de 03 (três) dias úteis contados da convocação.</w:t>
      </w:r>
      <w:r>
        <w:rPr>
          <w:rFonts w:ascii="Arial" w:hAnsi="Arial" w:cs="Arial"/>
        </w:rPr>
      </w:r>
      <w:r>
        <w:rPr>
          <w:rFonts w:ascii="Arial" w:hAnsi="Arial" w:cs="Arial"/>
        </w:rPr>
      </w:r>
    </w:p>
    <w:p>
      <w:pPr>
        <w:pStyle w:val="887"/>
        <w:pBdr/>
        <w:tabs>
          <w:tab w:val="left" w:leader="none" w:pos="284"/>
          <w:tab w:val="left" w:leader="none" w:pos="426"/>
          <w:tab w:val="clear" w:leader="none" w:pos="708"/>
        </w:tabs>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left" w:leader="none" w:pos="426"/>
          <w:tab w:val="clear" w:leader="none" w:pos="708"/>
        </w:tabs>
        <w:spacing/>
        <w:ind/>
        <w:jc w:val="both"/>
        <w:rPr>
          <w:rFonts w:ascii="Arial" w:hAnsi="Arial" w:cs="Arial"/>
        </w:rPr>
      </w:pPr>
      <w:r>
        <w:rPr>
          <w:rFonts w:ascii="Arial" w:hAnsi="Arial" w:eastAsia="Arial" w:cs="Arial"/>
          <w:b/>
        </w:rPr>
        <w:t xml:space="preserve">7.4. </w:t>
      </w:r>
      <w:r>
        <w:rPr>
          <w:rFonts w:ascii="Arial" w:hAnsi="Arial" w:eastAsia="Arial" w:cs="Arial"/>
        </w:rPr>
        <w:t xml:space="preserve">A critério da Gerência solicitante, quando se fizer necessária a verificação </w:t>
      </w:r>
      <w:r>
        <w:rPr>
          <w:rFonts w:ascii="Arial" w:hAnsi="Arial" w:eastAsia="Arial" w:cs="Arial"/>
        </w:rPr>
        <w:t xml:space="preserve">da qualidade e do atendimento às legislações específicas pertinentes, a Administração determinará as análises necessárias e prazos para a entrega do(s) produto(s), com ônus para o Detentor, ficando suspenso o pagamento da Nota Fiscal/Fatura correspondente.</w:t>
      </w:r>
      <w:r>
        <w:rPr>
          <w:rFonts w:ascii="Arial" w:hAnsi="Arial" w:cs="Arial"/>
        </w:rPr>
      </w:r>
      <w:r>
        <w:rPr>
          <w:rFonts w:ascii="Arial" w:hAnsi="Arial" w:cs="Arial"/>
        </w:rPr>
      </w:r>
    </w:p>
    <w:p>
      <w:pPr>
        <w:pStyle w:val="887"/>
        <w:pBdr/>
        <w:spacing/>
        <w:ind/>
        <w:jc w:val="both"/>
        <w:rPr>
          <w:rFonts w:ascii="Arial" w:hAnsi="Arial" w:cs="Arial"/>
          <w:b/>
          <w:highlight w:val="yellow"/>
        </w:rPr>
      </w:pPr>
      <w:r>
        <w:rPr>
          <w:rFonts w:ascii="Arial" w:hAnsi="Arial" w:eastAsia="Arial" w:cs="Arial"/>
          <w:b/>
          <w:highlight w:val="yellow"/>
        </w:rPr>
      </w:r>
      <w:r>
        <w:rPr>
          <w:rFonts w:ascii="Arial" w:hAnsi="Arial" w:cs="Arial"/>
          <w:b/>
          <w:highlight w:val="yellow"/>
        </w:rPr>
      </w:r>
      <w:r>
        <w:rPr>
          <w:rFonts w:ascii="Arial" w:hAnsi="Arial" w:cs="Arial"/>
          <w:b/>
          <w:highlight w:val="yellow"/>
        </w:rPr>
      </w:r>
    </w:p>
    <w:p>
      <w:pPr>
        <w:pStyle w:val="887"/>
        <w:pBdr/>
        <w:spacing/>
        <w:ind/>
        <w:jc w:val="both"/>
        <w:rPr>
          <w:rFonts w:ascii="Arial" w:hAnsi="Arial" w:cs="Arial"/>
          <w:color w:val="000000"/>
        </w:rPr>
      </w:pPr>
      <w:r>
        <w:rPr>
          <w:rFonts w:ascii="Arial" w:hAnsi="Arial" w:eastAsia="Arial" w:cs="Arial"/>
          <w:b/>
        </w:rPr>
        <w:t xml:space="preserve">CLÁUSULA OITAVA – </w:t>
      </w:r>
      <w:r>
        <w:rPr>
          <w:rFonts w:ascii="Arial" w:hAnsi="Arial" w:eastAsia="Arial" w:cs="Arial"/>
          <w:b/>
          <w:color w:val="000000"/>
        </w:rPr>
        <w:t xml:space="preserve">DO REGIME DE EXECUÇÃO</w:t>
      </w:r>
      <w:r>
        <w:rPr>
          <w:rFonts w:ascii="Arial" w:hAnsi="Arial" w:eastAsia="Arial" w:cs="Arial"/>
          <w:b/>
        </w:rPr>
        <w:t xml:space="preserve"> DO CONTRATO E RESULTADOS (</w:t>
      </w:r>
      <w:r>
        <w:rPr>
          <w:rFonts w:ascii="Arial" w:hAnsi="Arial" w:eastAsia="Arial" w:cs="Arial"/>
          <w:b/>
          <w:color w:val="000000"/>
        </w:rPr>
        <w:t xml:space="preserve">Art. 40, Inciso II, Lei 14.133/2021):</w:t>
      </w:r>
      <w:r>
        <w:rPr>
          <w:rFonts w:ascii="Arial" w:hAnsi="Arial" w:cs="Arial"/>
          <w:color w:val="000000"/>
        </w:rPr>
      </w:r>
      <w:r>
        <w:rPr>
          <w:rFonts w:ascii="Arial" w:hAnsi="Arial" w:cs="Arial"/>
          <w:color w:val="000000"/>
        </w:rPr>
      </w:r>
    </w:p>
    <w:p>
      <w:pPr>
        <w:pStyle w:val="2059"/>
        <w:pBdr/>
        <w:spacing/>
        <w:ind/>
        <w:jc w:val="both"/>
        <w:rPr>
          <w:rFonts w:ascii="Arial" w:hAnsi="Arial" w:cs="Arial"/>
          <w:b/>
          <w:bCs/>
          <w:sz w:val="20"/>
          <w:szCs w:val="20"/>
        </w:rPr>
      </w:pPr>
      <w:r>
        <w:rPr>
          <w:rFonts w:ascii="Arial" w:hAnsi="Arial" w:eastAsia="Arial" w:cs="Arial"/>
          <w:b/>
          <w:bCs/>
          <w:sz w:val="20"/>
          <w:szCs w:val="20"/>
        </w:rPr>
      </w:r>
      <w:r>
        <w:rPr>
          <w:rFonts w:ascii="Arial" w:hAnsi="Arial" w:cs="Arial"/>
          <w:b/>
          <w:bCs/>
          <w:sz w:val="20"/>
          <w:szCs w:val="20"/>
        </w:rPr>
      </w:r>
      <w:r>
        <w:rPr>
          <w:rFonts w:ascii="Arial" w:hAnsi="Arial" w:cs="Arial"/>
          <w:b/>
          <w:bCs/>
          <w:sz w:val="20"/>
          <w:szCs w:val="20"/>
        </w:rPr>
      </w:r>
    </w:p>
    <w:p>
      <w:pPr>
        <w:pStyle w:val="887"/>
        <w:pBdr/>
        <w:spacing/>
        <w:ind/>
        <w:jc w:val="both"/>
        <w:rPr>
          <w:rFonts w:ascii="Arial" w:hAnsi="Arial" w:cs="Arial"/>
          <w:b/>
          <w:highlight w:val="none"/>
        </w:rPr>
      </w:pPr>
      <w:r>
        <w:rPr>
          <w:rFonts w:ascii="Arial" w:hAnsi="Arial" w:eastAsia="Arial" w:cs="Arial"/>
          <w:b/>
        </w:rPr>
        <w:t xml:space="preserve">8.1. INDICAÇÃO DO LOCAL DE ENTREGA DOS INSUMOS:</w:t>
      </w:r>
      <w:r>
        <w:rPr>
          <w:rFonts w:ascii="Arial" w:hAnsi="Arial" w:cs="Arial"/>
          <w:b/>
          <w:highlight w:val="none"/>
        </w:rPr>
      </w:r>
      <w:r>
        <w:rPr>
          <w:rFonts w:ascii="Arial" w:hAnsi="Arial" w:cs="Arial"/>
          <w:b/>
          <w:highlight w:val="none"/>
        </w:rPr>
      </w:r>
    </w:p>
    <w:p>
      <w:pPr>
        <w:pStyle w:val="887"/>
        <w:pBdr/>
        <w:spacing/>
        <w:ind/>
        <w:jc w:val="both"/>
        <w:rPr>
          <w:rFonts w:ascii="Arial" w:hAnsi="Arial" w:cs="Arial"/>
          <w:b/>
          <w:highlight w:val="none"/>
        </w:rPr>
      </w:pPr>
      <w:r>
        <w:rPr>
          <w:rFonts w:ascii="Arial" w:hAnsi="Arial" w:eastAsia="Arial" w:cs="Arial"/>
          <w:b/>
        </w:rPr>
      </w:r>
      <w:r>
        <w:rPr>
          <w:rFonts w:ascii="Arial" w:hAnsi="Arial" w:cs="Arial"/>
          <w:b/>
          <w:highlight w:val="none"/>
        </w:rPr>
      </w:r>
      <w:r>
        <w:rPr>
          <w:rFonts w:ascii="Arial" w:hAnsi="Arial" w:cs="Arial"/>
          <w:b/>
          <w:highlight w:val="none"/>
        </w:rPr>
      </w:r>
    </w:p>
    <w:p>
      <w:pPr>
        <w:pBdr/>
        <w:tabs>
          <w:tab w:val="left" w:leader="none" w:pos="426"/>
          <w:tab w:val="clear" w:leader="none" w:pos="708"/>
        </w:tabs>
        <w:spacing/>
        <w:ind/>
        <w:jc w:val="both"/>
        <w:rPr>
          <w:rFonts w:ascii="Arial" w:hAnsi="Arial" w:cs="Arial"/>
          <w14:ligatures w14:val="none"/>
        </w:rPr>
      </w:pPr>
      <w:r>
        <w:rPr>
          <w:rFonts w:ascii="Arial" w:hAnsi="Arial" w:eastAsia="Arial" w:cs="Arial"/>
          <w:b/>
          <w:bCs/>
        </w:rPr>
        <w:t xml:space="preserve">8.1.1. </w:t>
      </w:r>
      <w:r>
        <w:rPr>
          <w:rFonts w:ascii="Arial" w:hAnsi="Arial" w:eastAsia="Arial" w:cs="Arial"/>
        </w:rPr>
        <w:t xml:space="preserve">Os produtos deverão ser entregues no Almoxarifado da Secretaria Municipal de Saúde, situado na Avenida Ângelo Thum, nº 181, Jardim Monte Líbano, Rondonópolis/MT, CEP 78710-272, observados os horários e condições estabelecidos no Termo de Referência.</w:t>
      </w:r>
      <w:r>
        <w:rPr>
          <w:rFonts w:ascii="Arial" w:hAnsi="Arial" w:cs="Arial"/>
          <w14:ligatures w14:val="none"/>
        </w:rPr>
      </w:r>
      <w:r>
        <w:rPr>
          <w:rFonts w:ascii="Arial" w:hAnsi="Arial" w:cs="Arial"/>
          <w14:ligatures w14:val="none"/>
        </w:rPr>
      </w:r>
    </w:p>
    <w:p>
      <w:pPr>
        <w:pStyle w:val="2059"/>
        <w:pBdr/>
        <w:spacing/>
        <w:ind/>
        <w:jc w:val="both"/>
        <w:rPr>
          <w:rFonts w:ascii="Arial" w:hAnsi="Arial" w:cs="Arial"/>
          <w:b/>
          <w:sz w:val="20"/>
          <w:szCs w:val="20"/>
        </w:rPr>
      </w:pPr>
      <w:r>
        <w:rPr>
          <w:rFonts w:ascii="Arial" w:hAnsi="Arial" w:eastAsia="Arial" w:cs="Arial"/>
          <w:b/>
          <w:sz w:val="20"/>
          <w:szCs w:val="20"/>
          <w:lang w:bidi="ar-SA"/>
        </w:rPr>
        <w:t xml:space="preserve">8.2. DAS REGRAS PARA RECEBIMENTOS PROVISÓRIO E DEFINITIVO:</w:t>
      </w:r>
      <w:r>
        <w:rPr>
          <w:rFonts w:ascii="Arial" w:hAnsi="Arial" w:cs="Arial"/>
          <w:b/>
          <w:sz w:val="20"/>
          <w:szCs w:val="20"/>
        </w:rPr>
      </w:r>
      <w:r>
        <w:rPr>
          <w:rFonts w:ascii="Arial" w:hAnsi="Arial" w:cs="Arial"/>
          <w:b/>
          <w:sz w:val="20"/>
          <w:szCs w:val="20"/>
        </w:rPr>
      </w:r>
    </w:p>
    <w:p>
      <w:pPr>
        <w:pStyle w:val="887"/>
        <w:pBdr/>
        <w:spacing/>
        <w:ind/>
        <w:jc w:val="both"/>
        <w:rPr>
          <w:rFonts w:ascii="Arial" w:hAnsi="Arial" w:cs="Arial"/>
          <w:color w:val="000000"/>
          <w:sz w:val="16"/>
          <w:szCs w:val="16"/>
        </w:rPr>
      </w:pPr>
      <w:r>
        <w:rPr>
          <w:rFonts w:ascii="Arial" w:hAnsi="Arial" w:eastAsia="Arial" w:cs="Arial"/>
          <w:color w:val="000000"/>
          <w:sz w:val="16"/>
          <w:szCs w:val="16"/>
        </w:rPr>
      </w:r>
      <w:r>
        <w:rPr>
          <w:rFonts w:ascii="Arial" w:hAnsi="Arial" w:cs="Arial"/>
          <w:color w:val="000000"/>
          <w:sz w:val="16"/>
          <w:szCs w:val="16"/>
        </w:rPr>
      </w:r>
      <w:r>
        <w:rPr>
          <w:rFonts w:ascii="Arial" w:hAnsi="Arial" w:cs="Arial"/>
          <w:color w:val="000000"/>
          <w:sz w:val="16"/>
          <w:szCs w:val="16"/>
        </w:rPr>
      </w:r>
    </w:p>
    <w:p>
      <w:pPr>
        <w:pStyle w:val="887"/>
        <w:pBdr/>
        <w:spacing/>
        <w:ind/>
        <w:jc w:val="both"/>
        <w:rPr>
          <w:rFonts w:ascii="Arial" w:hAnsi="Arial" w:cs="Arial"/>
        </w:rPr>
      </w:pPr>
      <w:r>
        <w:rPr>
          <w:rFonts w:ascii="Arial" w:hAnsi="Arial" w:eastAsia="Arial" w:cs="Arial"/>
          <w:b/>
          <w:bCs/>
        </w:rPr>
        <w:t xml:space="preserve">8.2.1. Recebimento Provisório: </w:t>
      </w:r>
      <w:r>
        <w:rPr>
          <w:rFonts w:ascii="Arial" w:hAnsi="Arial" w:eastAsia="Arial" w:cs="Arial"/>
        </w:rPr>
        <w:t xml:space="preserve">Os insumos obje</w:t>
      </w:r>
      <w:r>
        <w:rPr>
          <w:rFonts w:ascii="Arial" w:hAnsi="Arial" w:eastAsia="Arial" w:cs="Arial"/>
        </w:rPr>
        <w:t xml:space="preserve">to da presente contratação serão recebidos provisoriamente no ato da entrega, mediante apresentação da Nota Fiscal ou outro instrumento de cobrança equivalente, pelo responsável pelo acompanhamento e fiscalização do contrato. Este recebimento terá caráter </w:t>
      </w:r>
      <w:r>
        <w:rPr>
          <w:rFonts w:ascii="Arial" w:hAnsi="Arial" w:eastAsia="Arial" w:cs="Arial"/>
          <w:b/>
          <w:bCs/>
        </w:rPr>
        <w:t xml:space="preserve">provisório</w:t>
      </w:r>
      <w:r>
        <w:rPr>
          <w:rFonts w:ascii="Arial" w:hAnsi="Arial" w:eastAsia="Arial" w:cs="Arial"/>
        </w:rPr>
        <w:t xml:space="preserve">, servindo para verificação inicial da conformidade com as especificações do Termo de Referência e da proposta vencedora.</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clear" w:leader="none" w:pos="708"/>
          <w:tab w:val="left" w:leader="none" w:pos="720"/>
        </w:tabs>
        <w:spacing/>
        <w:ind/>
        <w:jc w:val="both"/>
        <w:rPr>
          <w:rFonts w:ascii="Arial" w:hAnsi="Arial" w:cs="Arial"/>
        </w:rPr>
      </w:pPr>
      <w:r>
        <w:rPr>
          <w:rFonts w:ascii="Arial" w:hAnsi="Arial" w:eastAsia="Arial" w:cs="Arial"/>
          <w:b/>
          <w:bCs/>
        </w:rPr>
        <w:t xml:space="preserve">8.2.2. Recebimento Definitivo:  </w:t>
      </w:r>
      <w:r>
        <w:rPr>
          <w:rFonts w:ascii="Arial" w:hAnsi="Arial" w:eastAsia="Arial" w:cs="Arial"/>
        </w:rPr>
        <w:t xml:space="preserve">Após a entrega, insumos passarão por inspeção detalhada.</w:t>
      </w:r>
      <w:r>
        <w:rPr>
          <w:rFonts w:ascii="Arial" w:hAnsi="Arial" w:cs="Arial"/>
        </w:rPr>
      </w:r>
      <w:r>
        <w:rPr>
          <w:rFonts w:ascii="Arial" w:hAnsi="Arial" w:cs="Arial"/>
        </w:rPr>
      </w:r>
    </w:p>
    <w:p>
      <w:pPr>
        <w:pStyle w:val="887"/>
        <w:pBdr/>
        <w:tabs>
          <w:tab w:val="clear" w:leader="none" w:pos="708"/>
          <w:tab w:val="left" w:leader="none" w:pos="720"/>
        </w:tabs>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bCs/>
        </w:rPr>
        <w:t xml:space="preserve">8.2.2.1. </w:t>
      </w:r>
      <w:r>
        <w:rPr>
          <w:rFonts w:ascii="Arial" w:hAnsi="Arial" w:eastAsia="Arial" w:cs="Arial"/>
        </w:rPr>
        <w:t xml:space="preserve">O recebimento definitivo será formalizado mediante </w:t>
      </w:r>
      <w:r>
        <w:rPr>
          <w:rFonts w:ascii="Arial" w:hAnsi="Arial" w:eastAsia="Arial" w:cs="Arial"/>
          <w:b/>
          <w:bCs/>
        </w:rPr>
        <w:t xml:space="preserve">termo de aceitação</w:t>
      </w:r>
      <w:r>
        <w:rPr>
          <w:rFonts w:ascii="Arial" w:hAnsi="Arial" w:eastAsia="Arial" w:cs="Arial"/>
        </w:rPr>
        <w:t xml:space="preserve">, assinado pelo responsável pelo acompanhamento e fiscalização, </w:t>
      </w:r>
      <w:r>
        <w:rPr>
          <w:rFonts w:ascii="Arial" w:hAnsi="Arial" w:eastAsia="Arial" w:cs="Arial"/>
          <w:b/>
          <w:bCs/>
        </w:rPr>
        <w:t xml:space="preserve">somente após constatação de que os itens estão em plena conformidade com as especificações técnicas do Termo de Referência e da proposta contratada</w:t>
      </w:r>
      <w:r>
        <w:rPr>
          <w:rFonts w:ascii="Arial" w:hAnsi="Arial" w:eastAsia="Arial" w:cs="Arial"/>
        </w:rPr>
        <w:t xml:space="preserve">.</w:t>
      </w:r>
      <w:r>
        <w:rPr>
          <w:rFonts w:ascii="Arial" w:hAnsi="Arial" w:cs="Arial"/>
        </w:rPr>
      </w:r>
      <w:r>
        <w:rPr>
          <w:rFonts w:ascii="Arial" w:hAnsi="Arial" w:cs="Arial"/>
        </w:rPr>
      </w:r>
    </w:p>
    <w:p>
      <w:pPr>
        <w:pStyle w:val="887"/>
        <w:pBdr/>
        <w:spacing/>
        <w:ind/>
        <w:jc w:val="both"/>
        <w:rPr>
          <w:rFonts w:ascii="Arial" w:hAnsi="Arial" w:cs="Arial"/>
          <w:b/>
          <w:bCs/>
        </w:rPr>
      </w:pPr>
      <w:r>
        <w:rPr>
          <w:rFonts w:ascii="Arial" w:hAnsi="Arial" w:eastAsia="Arial" w:cs="Arial"/>
          <w:b/>
          <w:bCs/>
        </w:rPr>
      </w:r>
      <w:r>
        <w:rPr>
          <w:rFonts w:ascii="Arial" w:hAnsi="Arial" w:cs="Arial"/>
          <w:b/>
          <w:bCs/>
        </w:rPr>
      </w:r>
      <w:r>
        <w:rPr>
          <w:rFonts w:ascii="Arial" w:hAnsi="Arial" w:cs="Arial"/>
          <w:b/>
          <w:bCs/>
        </w:rPr>
      </w:r>
    </w:p>
    <w:p>
      <w:pPr>
        <w:pStyle w:val="887"/>
        <w:pBdr/>
        <w:tabs>
          <w:tab w:val="clear" w:leader="none" w:pos="708"/>
          <w:tab w:val="left" w:leader="none" w:pos="720"/>
        </w:tabs>
        <w:spacing/>
        <w:ind/>
        <w:jc w:val="both"/>
        <w:rPr>
          <w:rFonts w:ascii="Arial" w:hAnsi="Arial" w:cs="Arial"/>
        </w:rPr>
      </w:pPr>
      <w:r>
        <w:rPr>
          <w:rFonts w:ascii="Arial" w:hAnsi="Arial" w:eastAsia="Arial" w:cs="Arial"/>
          <w:b/>
          <w:bCs/>
        </w:rPr>
        <w:t xml:space="preserve">8.2.3. Rejeição e Correções: </w:t>
      </w:r>
      <w:r>
        <w:rPr>
          <w:rFonts w:ascii="Arial" w:hAnsi="Arial" w:eastAsia="Arial" w:cs="Arial"/>
          <w:sz w:val="20"/>
          <w:szCs w:val="20"/>
        </w:rPr>
        <w:t xml:space="preserve">Caso algum item não atenda aos requisitos exigidos, total ou parcialmente, deverá ser recusado pela Administração e substituído pela contratada, sem ônus ao Município, no prazo previsto neste edital e seus anexos, vedado qualquer reparo, ajuste, reprocessa</w:t>
      </w:r>
      <w:r>
        <w:rPr>
          <w:rFonts w:ascii="Arial" w:hAnsi="Arial" w:eastAsia="Arial" w:cs="Arial"/>
          <w:sz w:val="20"/>
          <w:szCs w:val="20"/>
        </w:rPr>
        <w:t xml:space="preserve">mento ou reaproveitamento do produto recusado.</w:t>
      </w:r>
      <w:r>
        <w:rPr>
          <w:rFonts w:ascii="Arial" w:hAnsi="Arial" w:cs="Arial"/>
        </w:rPr>
      </w:r>
      <w:r>
        <w:rPr>
          <w:rFonts w:ascii="Arial" w:hAnsi="Arial" w:cs="Arial"/>
        </w:rPr>
      </w:r>
    </w:p>
    <w:p>
      <w:pPr>
        <w:pStyle w:val="887"/>
        <w:pBdr/>
        <w:tabs>
          <w:tab w:val="clear" w:leader="none" w:pos="708"/>
          <w:tab w:val="left" w:leader="none" w:pos="720"/>
        </w:tabs>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Bdr/>
        <w:tabs>
          <w:tab w:val="clear" w:leader="none" w:pos="708"/>
          <w:tab w:val="left" w:leader="none" w:pos="720"/>
        </w:tabs>
        <w:spacing/>
        <w:ind/>
        <w:jc w:val="both"/>
        <w:rPr>
          <w:rFonts w:ascii="Arial" w:hAnsi="Arial" w:cs="Arial"/>
        </w:rPr>
      </w:pPr>
      <w:r>
        <w:rPr>
          <w:rFonts w:ascii="Arial" w:hAnsi="Arial" w:eastAsia="Arial" w:cs="Arial"/>
          <w:b/>
          <w:bCs/>
        </w:rPr>
        <w:t xml:space="preserve">8.2.4. Critérios de Medição para Pagamento:</w:t>
      </w:r>
      <w:r>
        <w:rPr>
          <w:rFonts w:ascii="Arial" w:hAnsi="Arial" w:eastAsia="Arial" w:cs="Arial"/>
        </w:rPr>
        <w:t xml:space="preserve"> </w:t>
      </w:r>
      <w:r>
        <w:rPr>
          <w:rFonts w:ascii="Arial" w:hAnsi="Arial" w:eastAsia="Arial" w:cs="Arial"/>
        </w:rPr>
        <w:t xml:space="preserve">O pagamento será realizado exclusivamente pelos insumos efetivamente entregues, aceitos e atestados pela fiscalização, conforme os valores unitários registrados para cada item, vedada qualquer cobrança adicional relativa a frete, descarga, acondicionamento</w:t>
      </w:r>
      <w:r>
        <w:rPr>
          <w:rFonts w:ascii="Arial" w:hAnsi="Arial" w:eastAsia="Arial" w:cs="Arial"/>
        </w:rPr>
        <w:t xml:space="preserve">, disponibilidade, suporte ou outros custos não previstos na proposta. A liquidação e o pagamento observarão os prazos previstos nos itens próprios deste edital e na minuta contratual.</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color w:val="000000" w:themeColor="text1"/>
        </w:rPr>
      </w:pPr>
      <w:r>
        <w:rPr>
          <w:rFonts w:ascii="Arial" w:hAnsi="Arial" w:eastAsia="Arial" w:cs="Arial"/>
          <w:b/>
          <w:color w:val="000000" w:themeColor="text1"/>
          <w:u w:val="single"/>
        </w:rPr>
        <w:t xml:space="preserve">8.3. DAS CARACTERÍSTICAS DOS PRODUTOS</w:t>
      </w:r>
      <w:r>
        <w:rPr>
          <w:rFonts w:ascii="Arial" w:hAnsi="Arial" w:eastAsia="Arial" w:cs="Arial"/>
          <w:b/>
          <w:color w:val="000000" w:themeColor="text1"/>
        </w:rPr>
        <w:t xml:space="preserve">:</w:t>
      </w:r>
      <w:r>
        <w:rPr>
          <w:rFonts w:ascii="Arial" w:hAnsi="Arial" w:cs="Arial"/>
          <w:color w:val="000000" w:themeColor="text1"/>
        </w:rPr>
      </w:r>
      <w:r>
        <w:rPr>
          <w:rFonts w:ascii="Arial" w:hAnsi="Arial" w:cs="Arial"/>
          <w:color w:val="000000" w:themeColor="text1"/>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iCs/>
        </w:rPr>
      </w:pPr>
      <w:r>
        <w:rPr>
          <w:rFonts w:ascii="Arial" w:hAnsi="Arial" w:eastAsia="Arial" w:cs="Arial"/>
          <w:b/>
          <w:bCs/>
        </w:rPr>
        <w:t xml:space="preserve">8.3.1.</w:t>
      </w:r>
      <w:r>
        <w:rPr>
          <w:rFonts w:ascii="Arial" w:hAnsi="Arial" w:eastAsia="Arial" w:cs="Arial"/>
          <w:color w:val="ff0000"/>
        </w:rPr>
        <w:t xml:space="preserve"> </w:t>
      </w:r>
      <w:r>
        <w:rPr>
          <w:rFonts w:ascii="Arial" w:hAnsi="Arial" w:eastAsia="Arial" w:cs="Arial"/>
        </w:rPr>
        <w:t xml:space="preserve">Os produtos são:</w:t>
      </w:r>
      <w:r>
        <w:rPr>
          <w:rFonts w:ascii="Arial" w:hAnsi="Arial" w:eastAsia="Arial" w:cs="Arial"/>
          <w:color w:val="ff0000"/>
        </w:rPr>
        <w:t xml:space="preserve"> </w:t>
      </w:r>
      <w:r>
        <w:rPr>
          <w:rFonts w:ascii="Arial" w:hAnsi="Arial" w:eastAsia="Arial" w:cs="Arial"/>
          <w:iCs/>
          <w:color w:val="000000"/>
        </w:rPr>
        <w:t xml:space="preserve">insumos</w:t>
      </w:r>
      <w:r>
        <w:rPr>
          <w:rFonts w:ascii="Arial" w:hAnsi="Arial" w:eastAsia="Arial" w:cs="Arial"/>
          <w:iCs/>
        </w:rPr>
        <w:t xml:space="preserve">, os referidos deverão atender integralmente às especificações técnicas constantes no edital e em seus anexos, em conformidade com a legislação vigente e a literatura técnica de referência aplicável.</w:t>
      </w:r>
      <w:r>
        <w:rPr>
          <w:rFonts w:ascii="Arial" w:hAnsi="Arial" w:cs="Arial"/>
          <w:iCs/>
        </w:rPr>
      </w:r>
      <w:r>
        <w:rPr>
          <w:rFonts w:ascii="Arial" w:hAnsi="Arial" w:cs="Arial"/>
          <w:iCs/>
        </w:rPr>
      </w:r>
    </w:p>
    <w:p>
      <w:pPr>
        <w:pStyle w:val="887"/>
        <w:pBdr/>
        <w:spacing/>
        <w:ind/>
        <w:jc w:val="both"/>
        <w:rPr>
          <w:rFonts w:ascii="Arial" w:hAnsi="Arial" w:cs="Arial"/>
          <w:iCs/>
        </w:rPr>
      </w:pPr>
      <w:r>
        <w:rPr>
          <w:rFonts w:ascii="Arial" w:hAnsi="Arial" w:eastAsia="Arial" w:cs="Arial"/>
          <w:iCs/>
        </w:rPr>
      </w:r>
      <w:r>
        <w:rPr>
          <w:rFonts w:ascii="Arial" w:hAnsi="Arial" w:cs="Arial"/>
          <w:iCs/>
        </w:rPr>
      </w:r>
      <w:r>
        <w:rPr>
          <w:rFonts w:ascii="Arial" w:hAnsi="Arial" w:cs="Arial"/>
          <w:iCs/>
        </w:rPr>
      </w:r>
    </w:p>
    <w:p>
      <w:pPr>
        <w:pStyle w:val="887"/>
        <w:pBdr/>
        <w:spacing/>
        <w:ind/>
        <w:jc w:val="both"/>
        <w:rPr>
          <w:rFonts w:ascii="Arial" w:hAnsi="Arial" w:cs="Arial"/>
        </w:rPr>
      </w:pPr>
      <w:r>
        <w:rPr>
          <w:rFonts w:ascii="Arial" w:hAnsi="Arial" w:eastAsia="Arial" w:cs="Arial"/>
          <w:b/>
          <w:bCs/>
        </w:rPr>
        <w:t xml:space="preserve">8.3.2.</w:t>
      </w:r>
      <w:r>
        <w:rPr>
          <w:rFonts w:ascii="Arial" w:hAnsi="Arial" w:eastAsia="Arial" w:cs="Arial"/>
        </w:rPr>
        <w:t xml:space="preserve"> O fornecimento dos itens deverá</w:t>
      </w:r>
      <w:r>
        <w:rPr>
          <w:rFonts w:ascii="Arial" w:hAnsi="Arial" w:eastAsia="Arial" w:cs="Arial"/>
        </w:rPr>
        <w:t xml:space="preserve"> observar rigorosamente as normas técnicas descritas no Termo de Referência, bem como a legislação pertinente, de forma a assegurar que os equipamentos desempenhem, de maneira adequada, as funções necessárias à execução das atividades-fim da Administração.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Bdr/>
        <w:spacing/>
        <w:ind/>
        <w:jc w:val="both"/>
        <w:rPr>
          <w:rFonts w:ascii="Arial" w:hAnsi="Arial" w:eastAsia="Arial" w:cs="Arial"/>
          <w14:ligatures w14:val="none"/>
        </w:rPr>
      </w:pPr>
      <w:r>
        <w:rPr>
          <w:rFonts w:ascii="Arial" w:hAnsi="Arial" w:eastAsia="Arial" w:cs="Arial"/>
          <w:b/>
          <w:bCs/>
        </w:rPr>
        <w:t xml:space="preserve">8.3.3.</w:t>
      </w:r>
      <w:r>
        <w:rPr>
          <w:rFonts w:ascii="Arial" w:hAnsi="Arial" w:eastAsia="Arial" w:cs="Arial"/>
        </w:rPr>
        <w:t xml:space="preserve"> </w:t>
      </w:r>
      <w:r>
        <w:rPr>
          <w:rFonts w:ascii="Arial" w:hAnsi="Arial" w:eastAsia="Arial" w:cs="Arial"/>
        </w:rPr>
        <w:t xml:space="preserve">Os produtos deverão possuir, na data da entrega, prazo de validade remanescente correspondente a, no mínimo, 75% do prazo total de validade estabelecido pelo fabricante, observadas as exceções previstas no Termo de Referência.</w:t>
      </w:r>
      <w:r>
        <w:rPr>
          <w:rFonts w:ascii="Arial" w:hAnsi="Arial" w:eastAsia="Arial" w:cs="Arial"/>
        </w:rPr>
      </w:r>
      <w:r>
        <w:rPr>
          <w:rFonts w:ascii="Arial" w:hAnsi="Arial" w:eastAsia="Arial" w:cs="Arial"/>
          <w14:ligatures w14:val="none"/>
        </w:rPr>
      </w:r>
    </w:p>
    <w:p>
      <w:pPr>
        <w:pStyle w:val="887"/>
        <w:pBdr/>
        <w:spacing/>
        <w:ind/>
        <w:jc w:val="both"/>
        <w:rPr>
          <w:rFonts w:ascii="Arial" w:hAnsi="Arial" w:cs="Arial"/>
          <w:b/>
          <w:bCs/>
        </w:rPr>
      </w:pPr>
      <w:r>
        <w:rPr>
          <w:rFonts w:ascii="Arial" w:hAnsi="Arial" w:eastAsia="Arial" w:cs="Arial"/>
          <w:b/>
          <w:bCs/>
        </w:rPr>
      </w:r>
      <w:r>
        <w:rPr>
          <w:rFonts w:ascii="Arial" w:hAnsi="Arial" w:cs="Arial"/>
          <w:b/>
          <w:bCs/>
        </w:rPr>
      </w:r>
      <w:r>
        <w:rPr>
          <w:rFonts w:ascii="Arial" w:hAnsi="Arial" w:cs="Arial"/>
          <w:b/>
          <w:bCs/>
        </w:rPr>
      </w:r>
    </w:p>
    <w:p>
      <w:pPr>
        <w:pStyle w:val="887"/>
        <w:pBdr/>
        <w:spacing/>
        <w:ind/>
        <w:jc w:val="both"/>
        <w:rPr>
          <w:rFonts w:ascii="Arial" w:hAnsi="Arial" w:cs="Arial"/>
        </w:rPr>
      </w:pPr>
      <w:r>
        <w:rPr>
          <w:rFonts w:ascii="Arial" w:hAnsi="Arial" w:eastAsia="Arial" w:cs="Arial"/>
          <w:b/>
          <w:bCs/>
        </w:rPr>
        <w:t xml:space="preserve">8.3.4.</w:t>
      </w:r>
      <w:r>
        <w:rPr>
          <w:rFonts w:ascii="Arial" w:hAnsi="Arial" w:eastAsia="Arial" w:cs="Arial"/>
        </w:rPr>
        <w:t xml:space="preserve"> Sempre que aplicável, os insumos deverão apresentar c</w:t>
      </w:r>
      <w:r>
        <w:rPr>
          <w:rFonts w:ascii="Arial" w:hAnsi="Arial" w:eastAsia="Arial" w:cs="Arial"/>
        </w:rPr>
        <w:t xml:space="preserve">ertificações de conformidade técnica emitidas por órgãos oficialmente reconhecidos, tais como o INMETRO ou equivalente, bem como atender às Normas Regulamentadoras (NRs) do Ministério do Trabalho, especialmente aquelas relacionadas à segurança do operador.</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2059"/>
        <w:pBdr/>
        <w:spacing/>
        <w:ind/>
        <w:jc w:val="both"/>
        <w:rPr>
          <w:rFonts w:ascii="Arial" w:hAnsi="Arial" w:cs="Arial"/>
          <w:b/>
          <w:sz w:val="20"/>
          <w:szCs w:val="20"/>
        </w:rPr>
      </w:pPr>
      <w:r>
        <w:rPr>
          <w:rFonts w:ascii="Arial" w:hAnsi="Arial" w:eastAsia="Arial" w:cs="Arial"/>
          <w:b/>
          <w:bCs/>
          <w:sz w:val="20"/>
          <w:szCs w:val="20"/>
          <w:u w:val="single"/>
        </w:rPr>
        <w:t xml:space="preserve">8.4.</w:t>
      </w:r>
      <w:r>
        <w:rPr>
          <w:rFonts w:ascii="Arial" w:hAnsi="Arial" w:eastAsia="Arial" w:cs="Arial"/>
          <w:b/>
          <w:sz w:val="20"/>
          <w:szCs w:val="20"/>
          <w:u w:val="single"/>
        </w:rPr>
        <w:t xml:space="preserve"> DO TRANSPORTE</w:t>
      </w:r>
      <w:r>
        <w:rPr>
          <w:rFonts w:ascii="Arial" w:hAnsi="Arial" w:eastAsia="Arial" w:cs="Arial"/>
          <w:b/>
          <w:sz w:val="20"/>
          <w:szCs w:val="20"/>
        </w:rPr>
        <w:t xml:space="preserve">: </w:t>
      </w:r>
      <w:r>
        <w:rPr>
          <w:rFonts w:ascii="Arial" w:hAnsi="Arial" w:cs="Arial"/>
          <w:b/>
          <w:sz w:val="20"/>
          <w:szCs w:val="20"/>
        </w:rPr>
      </w:r>
      <w:r>
        <w:rPr>
          <w:rFonts w:ascii="Arial" w:hAnsi="Arial" w:cs="Arial"/>
          <w:b/>
          <w:sz w:val="20"/>
          <w:szCs w:val="20"/>
        </w:rPr>
      </w:r>
    </w:p>
    <w:p>
      <w:pPr>
        <w:pStyle w:val="2059"/>
        <w:pBdr/>
        <w:spacing/>
        <w:ind/>
        <w:jc w:val="both"/>
        <w:rPr>
          <w:rFonts w:ascii="Arial" w:hAnsi="Arial" w:cs="Arial"/>
          <w:b/>
          <w:sz w:val="20"/>
          <w:szCs w:val="20"/>
          <w:u w:val="single"/>
        </w:rPr>
      </w:pPr>
      <w:r>
        <w:rPr>
          <w:rFonts w:ascii="Arial" w:hAnsi="Arial" w:eastAsia="Arial" w:cs="Arial"/>
          <w:b/>
          <w:sz w:val="20"/>
          <w:szCs w:val="20"/>
          <w:u w:val="single"/>
        </w:rPr>
      </w:r>
      <w:r>
        <w:rPr>
          <w:rFonts w:ascii="Arial" w:hAnsi="Arial" w:cs="Arial"/>
          <w:b/>
          <w:sz w:val="20"/>
          <w:szCs w:val="20"/>
          <w:u w:val="single"/>
        </w:rPr>
      </w:r>
      <w:r>
        <w:rPr>
          <w:rFonts w:ascii="Arial" w:hAnsi="Arial" w:cs="Arial"/>
          <w:b/>
          <w:sz w:val="20"/>
          <w:szCs w:val="20"/>
          <w:u w:val="single"/>
        </w:rPr>
      </w:r>
    </w:p>
    <w:p>
      <w:pPr>
        <w:pStyle w:val="2059"/>
        <w:pBdr/>
        <w:spacing/>
        <w:ind/>
        <w:jc w:val="both"/>
        <w:rPr>
          <w:rFonts w:ascii="Arial" w:hAnsi="Arial" w:cs="Arial"/>
          <w:color w:val="000000"/>
          <w:sz w:val="20"/>
          <w:szCs w:val="20"/>
        </w:rPr>
      </w:pPr>
      <w:r>
        <w:rPr>
          <w:rFonts w:ascii="Arial" w:hAnsi="Arial" w:eastAsia="Arial" w:cs="Arial"/>
          <w:b/>
          <w:bCs/>
          <w:color w:val="000000"/>
          <w:sz w:val="20"/>
          <w:szCs w:val="20"/>
        </w:rPr>
        <w:t xml:space="preserve">8.4.1.</w:t>
      </w:r>
      <w:r>
        <w:rPr>
          <w:rFonts w:ascii="Arial" w:hAnsi="Arial" w:eastAsia="Arial" w:cs="Arial"/>
          <w:color w:val="000000"/>
          <w:sz w:val="20"/>
          <w:szCs w:val="20"/>
        </w:rPr>
        <w:t xml:space="preserve"> A contratada será responsável pelo transporte dos itens, desde o local de origem até o endereço indicado pela contratante.</w:t>
      </w:r>
      <w:r>
        <w:rPr>
          <w:rFonts w:ascii="Arial" w:hAnsi="Arial" w:cs="Arial"/>
          <w:color w:val="000000"/>
          <w:sz w:val="20"/>
          <w:szCs w:val="20"/>
        </w:rPr>
      </w:r>
      <w:r>
        <w:rPr>
          <w:rFonts w:ascii="Arial" w:hAnsi="Arial" w:cs="Arial"/>
          <w:color w:val="000000"/>
          <w:sz w:val="20"/>
          <w:szCs w:val="20"/>
        </w:rPr>
      </w:r>
    </w:p>
    <w:p>
      <w:pPr>
        <w:pStyle w:val="2059"/>
        <w:pBdr/>
        <w:spacing/>
        <w:ind/>
        <w:jc w:val="both"/>
        <w:rPr>
          <w:rFonts w:ascii="Arial" w:hAnsi="Arial" w:cs="Arial"/>
          <w:b/>
          <w:bCs/>
          <w:color w:val="000000"/>
          <w:sz w:val="20"/>
          <w:szCs w:val="20"/>
        </w:rPr>
      </w:pPr>
      <w:r>
        <w:rPr>
          <w:rFonts w:ascii="Arial" w:hAnsi="Arial" w:eastAsia="Arial" w:cs="Arial"/>
          <w:b/>
          <w:bCs/>
          <w:color w:val="000000"/>
          <w:sz w:val="20"/>
          <w:szCs w:val="20"/>
        </w:rPr>
      </w:r>
      <w:r>
        <w:rPr>
          <w:rFonts w:ascii="Arial" w:hAnsi="Arial" w:cs="Arial"/>
          <w:b/>
          <w:bCs/>
          <w:color w:val="000000"/>
          <w:sz w:val="20"/>
          <w:szCs w:val="20"/>
        </w:rPr>
      </w:r>
      <w:r>
        <w:rPr>
          <w:rFonts w:ascii="Arial" w:hAnsi="Arial" w:cs="Arial"/>
          <w:b/>
          <w:bCs/>
          <w:color w:val="000000"/>
          <w:sz w:val="20"/>
          <w:szCs w:val="20"/>
        </w:rPr>
      </w:r>
    </w:p>
    <w:p>
      <w:pPr>
        <w:pStyle w:val="2059"/>
        <w:pBdr/>
        <w:spacing/>
        <w:ind/>
        <w:jc w:val="both"/>
        <w:rPr>
          <w:rFonts w:ascii="Arial" w:hAnsi="Arial" w:cs="Arial"/>
          <w:color w:val="000000"/>
          <w:sz w:val="20"/>
          <w:szCs w:val="20"/>
        </w:rPr>
      </w:pPr>
      <w:r>
        <w:rPr>
          <w:rFonts w:ascii="Arial" w:hAnsi="Arial" w:eastAsia="Arial" w:cs="Arial"/>
          <w:b/>
          <w:bCs/>
          <w:color w:val="000000"/>
          <w:sz w:val="20"/>
          <w:szCs w:val="20"/>
        </w:rPr>
        <w:t xml:space="preserve">8.4.2.</w:t>
      </w:r>
      <w:r>
        <w:rPr>
          <w:rFonts w:ascii="Arial" w:hAnsi="Arial" w:eastAsia="Arial" w:cs="Arial"/>
          <w:color w:val="000000"/>
          <w:sz w:val="20"/>
          <w:szCs w:val="20"/>
        </w:rPr>
        <w:t xml:space="preserve"> O transporte deverá ser realizado em conformidade com as normas técnicas e regulamentações vigentes aplicáveis ao deslocamento do objeto apresentado em sua proposta, observando integralmente a legislação pertinente ao objeto contratual.</w:t>
      </w:r>
      <w:r>
        <w:rPr>
          <w:rFonts w:ascii="Arial" w:hAnsi="Arial" w:cs="Arial"/>
          <w:color w:val="000000"/>
          <w:sz w:val="20"/>
          <w:szCs w:val="20"/>
        </w:rPr>
      </w:r>
      <w:r>
        <w:rPr>
          <w:rFonts w:ascii="Arial" w:hAnsi="Arial" w:cs="Arial"/>
          <w:color w:val="000000"/>
          <w:sz w:val="20"/>
          <w:szCs w:val="20"/>
        </w:rPr>
      </w:r>
    </w:p>
    <w:p>
      <w:pPr>
        <w:pStyle w:val="2059"/>
        <w:pBdr/>
        <w:spacing/>
        <w:ind/>
        <w:jc w:val="both"/>
        <w:rPr>
          <w:rFonts w:ascii="Arial" w:hAnsi="Arial" w:cs="Arial"/>
          <w:b/>
          <w:bCs/>
          <w:color w:val="000000"/>
          <w:sz w:val="20"/>
          <w:szCs w:val="20"/>
        </w:rPr>
      </w:pPr>
      <w:r>
        <w:rPr>
          <w:rFonts w:ascii="Arial" w:hAnsi="Arial" w:eastAsia="Arial" w:cs="Arial"/>
          <w:b/>
          <w:bCs/>
          <w:color w:val="000000"/>
          <w:sz w:val="20"/>
          <w:szCs w:val="20"/>
        </w:rPr>
      </w:r>
      <w:r>
        <w:rPr>
          <w:rFonts w:ascii="Arial" w:hAnsi="Arial" w:cs="Arial"/>
          <w:b/>
          <w:bCs/>
          <w:color w:val="000000"/>
          <w:sz w:val="20"/>
          <w:szCs w:val="20"/>
        </w:rPr>
      </w:r>
      <w:r>
        <w:rPr>
          <w:rFonts w:ascii="Arial" w:hAnsi="Arial" w:cs="Arial"/>
          <w:b/>
          <w:bCs/>
          <w:color w:val="000000"/>
          <w:sz w:val="20"/>
          <w:szCs w:val="20"/>
        </w:rPr>
      </w:r>
    </w:p>
    <w:p>
      <w:pPr>
        <w:pStyle w:val="2059"/>
        <w:pBdr/>
        <w:spacing/>
        <w:ind/>
        <w:jc w:val="both"/>
        <w:rPr>
          <w:rFonts w:ascii="Arial" w:hAnsi="Arial" w:cs="Arial"/>
          <w:color w:val="000000"/>
          <w:sz w:val="20"/>
          <w:szCs w:val="20"/>
        </w:rPr>
      </w:pPr>
      <w:r>
        <w:rPr>
          <w:rFonts w:ascii="Arial" w:hAnsi="Arial" w:eastAsia="Arial" w:cs="Arial"/>
          <w:b/>
          <w:bCs/>
          <w:color w:val="000000"/>
          <w:sz w:val="20"/>
          <w:szCs w:val="20"/>
        </w:rPr>
        <w:t xml:space="preserve">8.4.3.</w:t>
      </w:r>
      <w:r>
        <w:rPr>
          <w:rFonts w:ascii="Arial" w:hAnsi="Arial" w:eastAsia="Arial" w:cs="Arial"/>
          <w:color w:val="000000"/>
          <w:sz w:val="20"/>
          <w:szCs w:val="20"/>
        </w:rPr>
        <w:t xml:space="preserve"> Compete à contratada assegurar que os itens </w:t>
      </w:r>
      <w:r>
        <w:rPr>
          <w:rFonts w:ascii="Arial" w:hAnsi="Arial" w:eastAsia="Arial" w:cs="Arial"/>
          <w:color w:val="000000"/>
          <w:sz w:val="20"/>
          <w:szCs w:val="20"/>
        </w:rPr>
        <w:t xml:space="preserve">sejam entregues em perfeitas condições de funcionamento e conservação, livres de danos, avarias ou prejuízos, em estrita observância às disposições constantes no edital e seus anexos, bem como aos princípios de segurança, eficiência e integridade da carga.</w:t>
      </w:r>
      <w:r>
        <w:rPr>
          <w:rFonts w:ascii="Arial" w:hAnsi="Arial" w:cs="Arial"/>
          <w:color w:val="000000"/>
          <w:sz w:val="20"/>
          <w:szCs w:val="20"/>
        </w:rPr>
      </w:r>
      <w:r>
        <w:rPr>
          <w:rFonts w:ascii="Arial" w:hAnsi="Arial" w:cs="Arial"/>
          <w:color w:val="000000"/>
          <w:sz w:val="20"/>
          <w:szCs w:val="20"/>
        </w:rPr>
      </w:r>
    </w:p>
    <w:p>
      <w:pPr>
        <w:pStyle w:val="2059"/>
        <w:pBdr/>
        <w:spacing/>
        <w:ind/>
        <w:jc w:val="both"/>
        <w:rPr>
          <w:rFonts w:ascii="Arial" w:hAnsi="Arial" w:cs="Arial"/>
          <w:b/>
          <w:bCs/>
          <w:color w:val="000000"/>
          <w:sz w:val="20"/>
          <w:szCs w:val="20"/>
        </w:rPr>
      </w:pPr>
      <w:r>
        <w:rPr>
          <w:rFonts w:ascii="Arial" w:hAnsi="Arial" w:eastAsia="Arial" w:cs="Arial"/>
          <w:b/>
          <w:bCs/>
          <w:color w:val="000000"/>
          <w:sz w:val="20"/>
          <w:szCs w:val="20"/>
        </w:rPr>
      </w:r>
      <w:r>
        <w:rPr>
          <w:rFonts w:ascii="Arial" w:hAnsi="Arial" w:cs="Arial"/>
          <w:b/>
          <w:bCs/>
          <w:color w:val="000000"/>
          <w:sz w:val="20"/>
          <w:szCs w:val="20"/>
        </w:rPr>
      </w:r>
      <w:r>
        <w:rPr>
          <w:rFonts w:ascii="Arial" w:hAnsi="Arial" w:cs="Arial"/>
          <w:b/>
          <w:bCs/>
          <w:color w:val="000000"/>
          <w:sz w:val="20"/>
          <w:szCs w:val="20"/>
        </w:rPr>
      </w:r>
    </w:p>
    <w:p>
      <w:pPr>
        <w:pStyle w:val="2059"/>
        <w:pBdr/>
        <w:spacing/>
        <w:ind/>
        <w:jc w:val="both"/>
        <w:rPr>
          <w:rFonts w:ascii="Arial" w:hAnsi="Arial" w:cs="Arial"/>
          <w:color w:val="000000"/>
          <w:sz w:val="20"/>
          <w:szCs w:val="20"/>
        </w:rPr>
      </w:pPr>
      <w:r>
        <w:rPr>
          <w:rFonts w:ascii="Arial" w:hAnsi="Arial" w:eastAsia="Arial" w:cs="Arial"/>
          <w:b/>
          <w:bCs/>
          <w:color w:val="000000"/>
          <w:sz w:val="20"/>
          <w:szCs w:val="20"/>
        </w:rPr>
        <w:t xml:space="preserve">8.4.3.1.</w:t>
      </w:r>
      <w:r>
        <w:rPr>
          <w:rFonts w:ascii="Arial" w:hAnsi="Arial" w:eastAsia="Arial" w:cs="Arial"/>
          <w:color w:val="000000"/>
          <w:sz w:val="20"/>
          <w:szCs w:val="20"/>
        </w:rPr>
        <w:t xml:space="preserve"> A carg</w:t>
      </w:r>
      <w:r>
        <w:rPr>
          <w:rFonts w:ascii="Arial" w:hAnsi="Arial" w:eastAsia="Arial" w:cs="Arial"/>
          <w:color w:val="000000"/>
          <w:sz w:val="20"/>
          <w:szCs w:val="20"/>
        </w:rPr>
        <w:t xml:space="preserve">a</w:t>
      </w:r>
      <w:r>
        <w:rPr>
          <w:rFonts w:ascii="Arial" w:hAnsi="Arial" w:eastAsia="Arial" w:cs="Arial"/>
          <w:color w:val="000000"/>
          <w:sz w:val="20"/>
          <w:szCs w:val="20"/>
        </w:rPr>
        <w:t xml:space="preserve"> deverá ser devidamente acondicionada e fixada de modo a evitar qualquer tipo de dano durante o transporte. Caso sejam constatadas avarias no momento da entrega, os itens poderão ser recusados pela contratante, sem prejuízo das demais penalidades cabíveis.</w:t>
      </w:r>
      <w:r>
        <w:rPr>
          <w:rFonts w:ascii="Arial" w:hAnsi="Arial" w:cs="Arial"/>
          <w:color w:val="000000"/>
          <w:sz w:val="20"/>
          <w:szCs w:val="20"/>
        </w:rPr>
      </w:r>
      <w:r>
        <w:rPr>
          <w:rFonts w:ascii="Arial" w:hAnsi="Arial" w:cs="Arial"/>
          <w:color w:val="000000"/>
          <w:sz w:val="20"/>
          <w:szCs w:val="20"/>
        </w:rPr>
      </w:r>
    </w:p>
    <w:p>
      <w:pPr>
        <w:pStyle w:val="2059"/>
        <w:pBdr/>
        <w:spacing/>
        <w:ind/>
        <w:jc w:val="both"/>
        <w:rPr>
          <w:rFonts w:ascii="Arial" w:hAnsi="Arial" w:cs="Arial"/>
          <w:b/>
          <w:bCs/>
          <w:color w:val="000000"/>
          <w:sz w:val="20"/>
          <w:szCs w:val="20"/>
        </w:rPr>
      </w:pPr>
      <w:r>
        <w:rPr>
          <w:rFonts w:ascii="Arial" w:hAnsi="Arial" w:eastAsia="Arial" w:cs="Arial"/>
          <w:b/>
          <w:bCs/>
          <w:color w:val="000000"/>
          <w:sz w:val="20"/>
          <w:szCs w:val="20"/>
        </w:rPr>
      </w:r>
      <w:r>
        <w:rPr>
          <w:rFonts w:ascii="Arial" w:hAnsi="Arial" w:cs="Arial"/>
          <w:b/>
          <w:bCs/>
          <w:color w:val="000000"/>
          <w:sz w:val="20"/>
          <w:szCs w:val="20"/>
        </w:rPr>
      </w:r>
      <w:r>
        <w:rPr>
          <w:rFonts w:ascii="Arial" w:hAnsi="Arial" w:cs="Arial"/>
          <w:b/>
          <w:bCs/>
          <w:color w:val="000000"/>
          <w:sz w:val="20"/>
          <w:szCs w:val="20"/>
        </w:rPr>
      </w:r>
    </w:p>
    <w:p>
      <w:pPr>
        <w:pStyle w:val="2059"/>
        <w:pBdr/>
        <w:spacing/>
        <w:ind/>
        <w:jc w:val="both"/>
        <w:rPr>
          <w:rFonts w:ascii="Arial" w:hAnsi="Arial" w:cs="Arial"/>
          <w:color w:val="000000"/>
          <w:sz w:val="20"/>
          <w:szCs w:val="20"/>
        </w:rPr>
      </w:pPr>
      <w:r>
        <w:rPr>
          <w:rFonts w:ascii="Arial" w:hAnsi="Arial" w:eastAsia="Arial" w:cs="Arial"/>
          <w:b/>
          <w:bCs/>
          <w:color w:val="000000"/>
          <w:sz w:val="20"/>
          <w:szCs w:val="20"/>
        </w:rPr>
        <w:t xml:space="preserve">8.4.4.</w:t>
      </w:r>
      <w:r>
        <w:rPr>
          <w:rFonts w:ascii="Arial" w:hAnsi="Arial" w:eastAsia="Arial" w:cs="Arial"/>
          <w:color w:val="000000"/>
          <w:sz w:val="20"/>
          <w:szCs w:val="20"/>
        </w:rPr>
        <w:t xml:space="preserve"> A contratada deverá utilizar o meio de transporte mais adequado à natureza, peso e dimensões dos itens, atendendo às exigências técnicas, legais e de segurança previstas na legislação aplicável.</w:t>
      </w:r>
      <w:r>
        <w:rPr>
          <w:rFonts w:ascii="Arial" w:hAnsi="Arial" w:cs="Arial"/>
          <w:color w:val="000000"/>
          <w:sz w:val="20"/>
          <w:szCs w:val="20"/>
        </w:rPr>
      </w:r>
      <w:r>
        <w:rPr>
          <w:rFonts w:ascii="Arial" w:hAnsi="Arial" w:cs="Arial"/>
          <w:color w:val="000000"/>
          <w:sz w:val="20"/>
          <w:szCs w:val="20"/>
        </w:rPr>
      </w:r>
    </w:p>
    <w:p>
      <w:pPr>
        <w:pStyle w:val="2059"/>
        <w:pBdr/>
        <w:spacing/>
        <w:ind/>
        <w:jc w:val="both"/>
        <w:rPr>
          <w:rFonts w:ascii="Arial" w:hAnsi="Arial" w:cs="Arial"/>
          <w:b/>
          <w:color w:val="000000"/>
          <w:sz w:val="20"/>
          <w:szCs w:val="20"/>
        </w:rPr>
      </w:pPr>
      <w:r>
        <w:rPr>
          <w:rFonts w:ascii="Arial" w:hAnsi="Arial" w:eastAsia="Arial" w:cs="Arial"/>
          <w:b/>
          <w:color w:val="000000"/>
          <w:sz w:val="20"/>
          <w:szCs w:val="20"/>
        </w:rPr>
      </w:r>
      <w:r>
        <w:rPr>
          <w:rFonts w:ascii="Arial" w:hAnsi="Arial" w:cs="Arial"/>
          <w:b/>
          <w:color w:val="000000"/>
          <w:sz w:val="20"/>
          <w:szCs w:val="20"/>
        </w:rPr>
      </w:r>
      <w:r>
        <w:rPr>
          <w:rFonts w:ascii="Arial" w:hAnsi="Arial" w:cs="Arial"/>
          <w:b/>
          <w:color w:val="000000"/>
          <w:sz w:val="20"/>
          <w:szCs w:val="20"/>
        </w:rPr>
      </w:r>
    </w:p>
    <w:p>
      <w:pPr>
        <w:pStyle w:val="2059"/>
        <w:pBdr/>
        <w:spacing/>
        <w:ind/>
        <w:jc w:val="both"/>
        <w:rPr>
          <w:rFonts w:ascii="Arial" w:hAnsi="Arial" w:cs="Arial"/>
          <w:color w:val="000000"/>
          <w:sz w:val="20"/>
          <w:szCs w:val="20"/>
        </w:rPr>
      </w:pPr>
      <w:r>
        <w:rPr>
          <w:rFonts w:ascii="Arial" w:hAnsi="Arial" w:eastAsia="Arial" w:cs="Arial"/>
          <w:b/>
          <w:color w:val="000000"/>
          <w:sz w:val="20"/>
          <w:szCs w:val="20"/>
        </w:rPr>
        <w:t xml:space="preserve">CLÁUSULA NONA </w:t>
      </w:r>
      <w:bookmarkStart w:id="63" w:name="_Hlk205306773"/>
      <w:r>
        <w:rPr>
          <w:rFonts w:ascii="Arial" w:hAnsi="Arial" w:eastAsia="Arial" w:cs="Arial"/>
          <w:b/>
          <w:bCs/>
          <w:color w:val="000000"/>
          <w:sz w:val="20"/>
          <w:szCs w:val="20"/>
        </w:rPr>
        <w:t xml:space="preserve">DOS ITENS ENTREGUES EM DESACORDO COM AS REGRAS ESTABELECIDAS:</w:t>
      </w:r>
      <w:r>
        <w:rPr>
          <w:rFonts w:ascii="Arial" w:hAnsi="Arial" w:cs="Arial"/>
          <w:color w:val="000000"/>
          <w:sz w:val="20"/>
          <w:szCs w:val="20"/>
        </w:rPr>
      </w:r>
      <w:r>
        <w:rPr>
          <w:rFonts w:ascii="Arial" w:hAnsi="Arial" w:cs="Arial"/>
          <w:color w:val="000000"/>
          <w:sz w:val="20"/>
          <w:szCs w:val="20"/>
        </w:rPr>
      </w:r>
    </w:p>
    <w:p>
      <w:pPr>
        <w:pStyle w:val="2059"/>
        <w:pBdr/>
        <w:spacing/>
        <w:ind/>
        <w:jc w:val="both"/>
        <w:rPr>
          <w:rFonts w:ascii="Arial" w:hAnsi="Arial" w:cs="Arial"/>
          <w:b/>
          <w:bCs/>
          <w:color w:val="000000"/>
          <w:sz w:val="20"/>
          <w:szCs w:val="20"/>
        </w:rPr>
      </w:pPr>
      <w:r>
        <w:rPr>
          <w:rFonts w:ascii="Arial" w:hAnsi="Arial" w:eastAsia="Arial" w:cs="Arial"/>
          <w:b/>
          <w:bCs/>
          <w:color w:val="000000"/>
          <w:sz w:val="20"/>
          <w:szCs w:val="20"/>
        </w:rPr>
      </w:r>
      <w:r>
        <w:rPr>
          <w:rFonts w:ascii="Arial" w:hAnsi="Arial" w:cs="Arial"/>
          <w:b/>
          <w:bCs/>
          <w:color w:val="000000"/>
          <w:sz w:val="20"/>
          <w:szCs w:val="20"/>
        </w:rPr>
      </w:r>
      <w:r>
        <w:rPr>
          <w:rFonts w:ascii="Arial" w:hAnsi="Arial" w:cs="Arial"/>
          <w:b/>
          <w:bCs/>
          <w:color w:val="000000"/>
          <w:sz w:val="20"/>
          <w:szCs w:val="20"/>
        </w:rPr>
      </w:r>
    </w:p>
    <w:p>
      <w:pPr>
        <w:pStyle w:val="2059"/>
        <w:pBdr/>
        <w:spacing/>
        <w:ind/>
        <w:jc w:val="both"/>
        <w:rPr>
          <w:rFonts w:ascii="Arial" w:hAnsi="Arial" w:cs="Arial"/>
          <w:sz w:val="20"/>
          <w:szCs w:val="20"/>
        </w:rPr>
      </w:pPr>
      <w:r>
        <w:rPr>
          <w:rFonts w:ascii="Arial" w:hAnsi="Arial" w:eastAsia="Arial" w:cs="Arial"/>
          <w:b/>
          <w:bCs/>
          <w:sz w:val="20"/>
          <w:szCs w:val="20"/>
        </w:rPr>
        <w:t xml:space="preserve">9.1.</w:t>
      </w:r>
      <w:r>
        <w:rPr>
          <w:rFonts w:ascii="Arial" w:hAnsi="Arial" w:eastAsia="Arial" w:cs="Arial"/>
          <w:sz w:val="20"/>
          <w:szCs w:val="20"/>
        </w:rPr>
        <w:t xml:space="preserve"> Os insumos já referenciados</w:t>
      </w:r>
      <w:r>
        <w:rPr>
          <w:rFonts w:ascii="Arial" w:hAnsi="Arial" w:eastAsia="Arial" w:cs="Arial"/>
        </w:rPr>
        <w:t xml:space="preserve"> </w:t>
      </w:r>
      <w:r>
        <w:rPr>
          <w:rFonts w:ascii="Arial" w:hAnsi="Arial" w:eastAsia="Arial" w:cs="Arial"/>
          <w:sz w:val="20"/>
          <w:szCs w:val="20"/>
        </w:rPr>
        <w:t xml:space="preserve">deverão ser entregues no </w:t>
      </w:r>
      <w:r>
        <w:rPr>
          <w:rFonts w:ascii="Arial" w:hAnsi="Arial" w:eastAsia="Arial" w:cs="Arial"/>
          <w:sz w:val="20"/>
          <w:szCs w:val="20"/>
          <w:highlight w:val="white"/>
        </w:rPr>
        <w:t xml:space="preserve">prazo máximo de 15 (quinze) dias </w:t>
      </w:r>
      <w:r>
        <w:rPr>
          <w:rFonts w:ascii="Arial" w:hAnsi="Arial" w:eastAsia="Arial" w:cs="Arial"/>
          <w:sz w:val="20"/>
          <w:szCs w:val="20"/>
          <w:highlight w:val="none"/>
        </w:rPr>
        <w:t xml:space="preserve">corridos</w:t>
      </w:r>
      <w:r>
        <w:rPr>
          <w:rFonts w:ascii="Arial" w:hAnsi="Arial" w:eastAsia="Arial" w:cs="Arial"/>
          <w:sz w:val="20"/>
          <w:szCs w:val="20"/>
        </w:rPr>
        <w:t xml:space="preserve">, contados a partir do recebimento da solicitação formal de entrega. Caso sejam entregues em desacordo com as </w:t>
      </w:r>
      <w:r>
        <w:rPr>
          <w:rFonts w:ascii="Arial" w:hAnsi="Arial" w:eastAsia="Arial" w:cs="Arial"/>
          <w:sz w:val="20"/>
          <w:szCs w:val="20"/>
        </w:rPr>
        <w:t xml:space="preserve">especificações técnicas previstas no Edital, Termo de Referência ou demais documentos contratuais, a contratada deverá substituí-los obrigatoriamente no prazo de até 05 (cinco) dias úteis, contados do recebimento da notificação expedida pela Administração.</w:t>
      </w:r>
      <w:r>
        <w:rPr>
          <w:rFonts w:ascii="Arial" w:hAnsi="Arial" w:cs="Arial"/>
          <w:sz w:val="20"/>
          <w:szCs w:val="20"/>
        </w:rPr>
      </w:r>
      <w:r>
        <w:rPr>
          <w:rFonts w:ascii="Arial" w:hAnsi="Arial" w:cs="Arial"/>
          <w:sz w:val="20"/>
          <w:szCs w:val="20"/>
        </w:rPr>
      </w:r>
    </w:p>
    <w:p>
      <w:pPr>
        <w:pStyle w:val="2059"/>
        <w:pBdr/>
        <w:spacing/>
        <w:ind/>
        <w:jc w:val="both"/>
        <w:rPr>
          <w:rFonts w:ascii="Arial" w:hAnsi="Arial" w:cs="Arial"/>
          <w:b/>
          <w:bCs/>
          <w:sz w:val="20"/>
          <w:szCs w:val="20"/>
        </w:rPr>
      </w:pPr>
      <w:r>
        <w:rPr>
          <w:rFonts w:ascii="Arial" w:hAnsi="Arial" w:eastAsia="Arial" w:cs="Arial"/>
          <w:b/>
          <w:bCs/>
          <w:sz w:val="20"/>
          <w:szCs w:val="20"/>
        </w:rPr>
      </w:r>
      <w:r>
        <w:rPr>
          <w:rFonts w:ascii="Arial" w:hAnsi="Arial" w:cs="Arial"/>
          <w:b/>
          <w:bCs/>
          <w:sz w:val="20"/>
          <w:szCs w:val="20"/>
        </w:rPr>
      </w:r>
      <w:r>
        <w:rPr>
          <w:rFonts w:ascii="Arial" w:hAnsi="Arial" w:cs="Arial"/>
          <w:b/>
          <w:bCs/>
          <w:sz w:val="20"/>
          <w:szCs w:val="20"/>
        </w:rPr>
      </w:r>
    </w:p>
    <w:p>
      <w:pPr>
        <w:pStyle w:val="2059"/>
        <w:pBdr/>
        <w:spacing/>
        <w:ind/>
        <w:jc w:val="both"/>
        <w:rPr>
          <w:rFonts w:ascii="Arial" w:hAnsi="Arial" w:cs="Arial"/>
          <w:sz w:val="20"/>
          <w:szCs w:val="20"/>
        </w:rPr>
      </w:pPr>
      <w:r>
        <w:rPr>
          <w:rFonts w:ascii="Arial" w:hAnsi="Arial" w:eastAsia="Arial" w:cs="Arial"/>
          <w:b/>
          <w:bCs/>
          <w:sz w:val="20"/>
          <w:szCs w:val="20"/>
        </w:rPr>
        <w:t xml:space="preserve">9.2.</w:t>
      </w:r>
      <w:r>
        <w:rPr>
          <w:rFonts w:ascii="Arial" w:hAnsi="Arial" w:eastAsia="Arial" w:cs="Arial"/>
          <w:sz w:val="20"/>
          <w:szCs w:val="20"/>
        </w:rPr>
        <w:t xml:space="preserve"> O descumprimento do prazo de substituição implicará a aplicação das sanções previstas no Edital, no Termo de Referência, na Minuta d</w:t>
      </w:r>
      <w:r>
        <w:rPr>
          <w:rFonts w:ascii="Arial" w:hAnsi="Arial" w:eastAsia="Arial" w:cs="Arial"/>
          <w:sz w:val="20"/>
          <w:szCs w:val="20"/>
        </w:rPr>
        <w:t xml:space="preserve">o Contrato e na legislação aplicável, especialmente a Lei nº 14.133/2021, incluindo, mas não se limitando a: advertência, multa, impedimento de contratar com a Administração ou declaração de inidoneidade.</w:t>
      </w:r>
      <w:r>
        <w:rPr>
          <w:rFonts w:ascii="Arial" w:hAnsi="Arial" w:cs="Arial"/>
          <w:sz w:val="20"/>
          <w:szCs w:val="20"/>
        </w:rPr>
      </w:r>
      <w:r>
        <w:rPr>
          <w:rFonts w:ascii="Arial" w:hAnsi="Arial" w:cs="Arial"/>
          <w:sz w:val="20"/>
          <w:szCs w:val="20"/>
        </w:rPr>
      </w:r>
    </w:p>
    <w:p>
      <w:pPr>
        <w:pStyle w:val="2059"/>
        <w:pBdr/>
        <w:spacing/>
        <w:ind/>
        <w:jc w:val="both"/>
        <w:rPr>
          <w:rFonts w:ascii="Arial" w:hAnsi="Arial" w:cs="Arial"/>
          <w:b/>
          <w:bCs/>
          <w:sz w:val="20"/>
          <w:szCs w:val="20"/>
        </w:rPr>
      </w:pPr>
      <w:r>
        <w:rPr>
          <w:rFonts w:ascii="Arial" w:hAnsi="Arial" w:eastAsia="Arial" w:cs="Arial"/>
          <w:b/>
          <w:bCs/>
          <w:sz w:val="20"/>
          <w:szCs w:val="20"/>
        </w:rPr>
      </w:r>
      <w:r>
        <w:rPr>
          <w:rFonts w:ascii="Arial" w:hAnsi="Arial" w:cs="Arial"/>
          <w:b/>
          <w:bCs/>
          <w:sz w:val="20"/>
          <w:szCs w:val="20"/>
        </w:rPr>
      </w:r>
      <w:r>
        <w:rPr>
          <w:rFonts w:ascii="Arial" w:hAnsi="Arial" w:cs="Arial"/>
          <w:b/>
          <w:bCs/>
          <w:sz w:val="20"/>
          <w:szCs w:val="20"/>
        </w:rPr>
      </w:r>
    </w:p>
    <w:p>
      <w:pPr>
        <w:pStyle w:val="2059"/>
        <w:pBdr/>
        <w:spacing/>
        <w:ind/>
        <w:jc w:val="both"/>
        <w:rPr>
          <w:rFonts w:ascii="Arial" w:hAnsi="Arial" w:cs="Arial"/>
          <w:sz w:val="20"/>
          <w:szCs w:val="20"/>
        </w:rPr>
      </w:pPr>
      <w:r>
        <w:rPr>
          <w:rFonts w:ascii="Arial" w:hAnsi="Arial" w:eastAsia="Arial" w:cs="Arial"/>
          <w:b/>
          <w:bCs/>
          <w:sz w:val="20"/>
          <w:szCs w:val="20"/>
        </w:rPr>
        <w:t xml:space="preserve">9.3.</w:t>
      </w:r>
      <w:r>
        <w:rPr>
          <w:rFonts w:ascii="Arial" w:hAnsi="Arial" w:eastAsia="Arial" w:cs="Arial"/>
          <w:sz w:val="20"/>
          <w:szCs w:val="20"/>
        </w:rPr>
        <w:t xml:space="preserve"> Constatada, por laudo técnico ou perícia, a entrega de produtos em desconformidade com as especificações exigidas, a contratada ficará obrig</w:t>
      </w:r>
      <w:r>
        <w:rPr>
          <w:rFonts w:ascii="Arial" w:hAnsi="Arial" w:eastAsia="Arial" w:cs="Arial"/>
          <w:sz w:val="20"/>
          <w:szCs w:val="20"/>
        </w:rPr>
        <w:t xml:space="preserve">ada a ressarcir integralmente a Administração Pública Municipal por todos os custos decorrentes da realização da perícia, além de indenizar eventuais prejuízos e danos materiais ou morais causados ao erário ou a terceiros, nos termos da legislação vigente.</w:t>
      </w:r>
      <w:r>
        <w:rPr>
          <w:rFonts w:ascii="Arial" w:hAnsi="Arial" w:cs="Arial"/>
          <w:sz w:val="20"/>
          <w:szCs w:val="20"/>
        </w:rPr>
      </w:r>
      <w:r>
        <w:rPr>
          <w:rFonts w:ascii="Arial" w:hAnsi="Arial" w:cs="Arial"/>
          <w:sz w:val="20"/>
          <w:szCs w:val="20"/>
        </w:rPr>
      </w:r>
    </w:p>
    <w:p>
      <w:pPr>
        <w:pStyle w:val="2059"/>
        <w:pBdr/>
        <w:spacing/>
        <w:ind/>
        <w:jc w:val="both"/>
        <w:rPr>
          <w:rFonts w:ascii="Arial" w:hAnsi="Arial" w:cs="Arial"/>
          <w:b/>
          <w:bCs/>
          <w:sz w:val="20"/>
          <w:szCs w:val="20"/>
        </w:rPr>
      </w:pPr>
      <w:r>
        <w:rPr>
          <w:rFonts w:ascii="Arial" w:hAnsi="Arial" w:eastAsia="Arial" w:cs="Arial"/>
          <w:b/>
          <w:bCs/>
          <w:sz w:val="20"/>
          <w:szCs w:val="20"/>
        </w:rPr>
      </w:r>
      <w:r>
        <w:rPr>
          <w:rFonts w:ascii="Arial" w:hAnsi="Arial" w:cs="Arial"/>
          <w:b/>
          <w:bCs/>
          <w:sz w:val="20"/>
          <w:szCs w:val="20"/>
        </w:rPr>
      </w:r>
      <w:r>
        <w:rPr>
          <w:rFonts w:ascii="Arial" w:hAnsi="Arial" w:cs="Arial"/>
          <w:b/>
          <w:bCs/>
          <w:sz w:val="20"/>
          <w:szCs w:val="20"/>
        </w:rPr>
      </w:r>
    </w:p>
    <w:p>
      <w:pPr>
        <w:pStyle w:val="2059"/>
        <w:pBdr/>
        <w:spacing/>
        <w:ind/>
        <w:jc w:val="both"/>
        <w:rPr>
          <w:rFonts w:ascii="Arial" w:hAnsi="Arial" w:cs="Arial"/>
          <w:sz w:val="20"/>
          <w:szCs w:val="20"/>
        </w:rPr>
      </w:pPr>
      <w:r>
        <w:rPr>
          <w:rFonts w:ascii="Arial" w:hAnsi="Arial" w:eastAsia="Arial" w:cs="Arial"/>
          <w:b/>
          <w:bCs/>
          <w:sz w:val="20"/>
          <w:szCs w:val="20"/>
        </w:rPr>
        <w:t xml:space="preserve">9.4.</w:t>
      </w:r>
      <w:r>
        <w:rPr>
          <w:rFonts w:ascii="Arial" w:hAnsi="Arial" w:eastAsia="Arial" w:cs="Arial"/>
          <w:sz w:val="20"/>
          <w:szCs w:val="20"/>
        </w:rPr>
        <w:t xml:space="preserve"> A subs</w:t>
      </w:r>
      <w:r>
        <w:rPr>
          <w:rFonts w:ascii="Arial" w:hAnsi="Arial" w:eastAsia="Arial" w:cs="Arial"/>
          <w:sz w:val="20"/>
          <w:szCs w:val="20"/>
        </w:rPr>
        <w:t xml:space="preserve">tituição deverá obedecer integralmente aos padrões de qualidade e características técnicas inicialmente exigidos, sendo vedada a entrega de produtos recondicionados, usados ou com especificações inferiores, sob pena de rejeição imediata pela Administração.</w:t>
      </w:r>
      <w:r>
        <w:rPr>
          <w:rFonts w:ascii="Arial" w:hAnsi="Arial" w:cs="Arial"/>
          <w:sz w:val="20"/>
          <w:szCs w:val="20"/>
        </w:rPr>
      </w:r>
      <w:r>
        <w:rPr>
          <w:rFonts w:ascii="Arial" w:hAnsi="Arial" w:cs="Arial"/>
          <w:sz w:val="20"/>
          <w:szCs w:val="20"/>
        </w:rPr>
      </w:r>
    </w:p>
    <w:p>
      <w:pPr>
        <w:pStyle w:val="2059"/>
        <w:pBdr/>
        <w:spacing/>
        <w:ind/>
        <w:jc w:val="both"/>
        <w:rPr>
          <w:rFonts w:ascii="Arial" w:hAnsi="Arial" w:cs="Arial"/>
          <w:b/>
          <w:bCs/>
          <w:sz w:val="20"/>
          <w:szCs w:val="20"/>
        </w:rPr>
      </w:pPr>
      <w:r>
        <w:rPr>
          <w:rFonts w:ascii="Arial" w:hAnsi="Arial" w:eastAsia="Arial" w:cs="Arial"/>
          <w:b/>
          <w:bCs/>
          <w:sz w:val="20"/>
          <w:szCs w:val="20"/>
        </w:rPr>
      </w:r>
      <w:r>
        <w:rPr>
          <w:rFonts w:ascii="Arial" w:hAnsi="Arial" w:cs="Arial"/>
          <w:b/>
          <w:bCs/>
          <w:sz w:val="20"/>
          <w:szCs w:val="20"/>
        </w:rPr>
      </w:r>
      <w:r>
        <w:rPr>
          <w:rFonts w:ascii="Arial" w:hAnsi="Arial" w:cs="Arial"/>
          <w:b/>
          <w:bCs/>
          <w:sz w:val="20"/>
          <w:szCs w:val="20"/>
        </w:rPr>
      </w:r>
    </w:p>
    <w:p>
      <w:pPr>
        <w:pStyle w:val="2059"/>
        <w:pBdr/>
        <w:spacing/>
        <w:ind/>
        <w:jc w:val="both"/>
        <w:rPr>
          <w:rFonts w:ascii="Arial" w:hAnsi="Arial" w:cs="Arial"/>
          <w:sz w:val="20"/>
          <w:szCs w:val="20"/>
        </w:rPr>
      </w:pPr>
      <w:r>
        <w:rPr>
          <w:rFonts w:ascii="Arial" w:hAnsi="Arial" w:eastAsia="Arial" w:cs="Arial"/>
          <w:b/>
          <w:bCs/>
          <w:sz w:val="20"/>
          <w:szCs w:val="20"/>
        </w:rPr>
        <w:t xml:space="preserve">9.5.</w:t>
      </w:r>
      <w:r>
        <w:rPr>
          <w:rFonts w:ascii="Arial" w:hAnsi="Arial" w:eastAsia="Arial" w:cs="Arial"/>
          <w:sz w:val="20"/>
          <w:szCs w:val="20"/>
        </w:rPr>
        <w:t xml:space="preserve"> A Administração reserva-se o direito de recusar o recebimento definitivo dos insumos até a plena regularização da entrega, sem prejuízo da aplicação das penalidades administrativas cabíveis.</w:t>
      </w:r>
      <w:bookmarkEnd w:id="63"/>
      <w:r>
        <w:rPr>
          <w:rFonts w:ascii="Arial" w:hAnsi="Arial" w:cs="Arial"/>
          <w:sz w:val="20"/>
          <w:szCs w:val="20"/>
        </w:rPr>
      </w:r>
      <w:r>
        <w:rPr>
          <w:rFonts w:ascii="Arial" w:hAnsi="Arial" w:cs="Arial"/>
          <w:sz w:val="20"/>
          <w:szCs w:val="20"/>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2059"/>
        <w:pBdr/>
        <w:spacing/>
        <w:ind/>
        <w:jc w:val="both"/>
        <w:rPr>
          <w:rFonts w:ascii="Arial" w:hAnsi="Arial" w:cs="Arial"/>
          <w:b/>
          <w:sz w:val="20"/>
          <w:szCs w:val="20"/>
        </w:rPr>
      </w:pPr>
      <w:r>
        <w:rPr>
          <w:rFonts w:ascii="Arial" w:hAnsi="Arial" w:eastAsia="Arial" w:cs="Arial"/>
          <w:b/>
          <w:sz w:val="20"/>
          <w:szCs w:val="20"/>
        </w:rPr>
        <w:t xml:space="preserve">CLÁUSULA DÉCIMA – DAS CONDIÇÕES DE PAGAMENTO</w:t>
      </w:r>
      <w:r>
        <w:rPr>
          <w:rFonts w:ascii="Arial" w:hAnsi="Arial" w:cs="Arial"/>
          <w:b/>
          <w:sz w:val="20"/>
          <w:szCs w:val="20"/>
        </w:rPr>
      </w:r>
      <w:r>
        <w:rPr>
          <w:rFonts w:ascii="Arial" w:hAnsi="Arial" w:cs="Arial"/>
          <w:b/>
          <w:sz w:val="20"/>
          <w:szCs w:val="20"/>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color w:val="000000"/>
          <w:sz w:val="19"/>
          <w:szCs w:val="19"/>
        </w:rPr>
        <w:t xml:space="preserve">10. DA FORMA, CONDIÇÕES, PRAZOS DE PAGAMENTO, E CRITÉRIO DE REAJUSTE, QUANDO FOR O CASO: </w:t>
      </w:r>
      <w:r>
        <w:rPr>
          <w:rFonts w:ascii="Arial" w:hAnsi="Arial" w:cs="Arial"/>
        </w:rPr>
      </w:r>
      <w:r>
        <w:rPr>
          <w:rFonts w:ascii="Arial" w:hAnsi="Arial" w:cs="Arial"/>
        </w:rPr>
      </w:r>
    </w:p>
    <w:p>
      <w:pPr>
        <w:pStyle w:val="2090"/>
        <w:pBdr/>
        <w:tabs>
          <w:tab w:val="left" w:leader="none" w:pos="0"/>
          <w:tab w:val="clear" w:leader="none" w:pos="708"/>
        </w:tabs>
        <w:spacing w:after="0" w:before="0" w:line="240" w:lineRule="auto"/>
        <w:ind/>
        <w:jc w:val="both"/>
        <w:rPr>
          <w:rFonts w:ascii="Arial" w:hAnsi="Arial" w:cs="Arial"/>
          <w:b/>
          <w:sz w:val="20"/>
          <w:szCs w:val="20"/>
        </w:rPr>
      </w:pPr>
      <w:r>
        <w:rPr>
          <w:rFonts w:ascii="Arial" w:hAnsi="Arial" w:eastAsia="Arial" w:cs="Arial"/>
          <w:b/>
          <w:sz w:val="20"/>
          <w:szCs w:val="20"/>
        </w:rPr>
      </w:r>
      <w:r>
        <w:rPr>
          <w:rFonts w:ascii="Arial" w:hAnsi="Arial" w:cs="Arial"/>
          <w:b/>
          <w:sz w:val="20"/>
          <w:szCs w:val="20"/>
        </w:rPr>
      </w:r>
      <w:r>
        <w:rPr>
          <w:rFonts w:ascii="Arial" w:hAnsi="Arial" w:cs="Arial"/>
          <w:b/>
          <w:sz w:val="20"/>
          <w:szCs w:val="20"/>
        </w:rPr>
      </w:r>
    </w:p>
    <w:p>
      <w:pPr>
        <w:pStyle w:val="887"/>
        <w:pBdr/>
        <w:spacing/>
        <w:ind/>
        <w:jc w:val="both"/>
        <w:rPr>
          <w:rFonts w:ascii="Arial" w:hAnsi="Arial" w:cs="Arial"/>
          <w:b/>
          <w:bCs/>
          <w:color w:val="000000"/>
        </w:rPr>
      </w:pPr>
      <w:r>
        <w:rPr>
          <w:rFonts w:ascii="Arial" w:hAnsi="Arial" w:eastAsia="Arial" w:cs="Arial"/>
          <w:b/>
          <w:color w:val="000000"/>
        </w:rPr>
        <w:t xml:space="preserve">10.1. </w:t>
      </w:r>
      <w:r>
        <w:rPr>
          <w:rFonts w:ascii="Arial" w:hAnsi="Arial" w:eastAsia="Arial" w:cs="Arial"/>
          <w:b/>
        </w:rPr>
        <w:t xml:space="preserve">FORMAS:</w:t>
      </w:r>
      <w:r>
        <w:rPr>
          <w:rFonts w:ascii="Arial" w:hAnsi="Arial" w:cs="Arial"/>
          <w:b/>
          <w:bCs/>
          <w:color w:val="000000"/>
        </w:rPr>
      </w:r>
      <w:r>
        <w:rPr>
          <w:rFonts w:ascii="Arial" w:hAnsi="Arial" w:cs="Arial"/>
          <w:b/>
          <w:bCs/>
          <w:color w:val="000000"/>
        </w:rPr>
      </w:r>
    </w:p>
    <w:p>
      <w:pPr>
        <w:pStyle w:val="887"/>
        <w:pBdr/>
        <w:spacing/>
        <w:ind/>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rPr>
      </w:pPr>
      <w:r>
        <w:rPr>
          <w:rFonts w:ascii="Arial" w:hAnsi="Arial" w:eastAsia="Arial" w:cs="Arial"/>
          <w:b/>
        </w:rPr>
        <w:t xml:space="preserve">10.1.1.</w:t>
      </w:r>
      <w:r>
        <w:rPr>
          <w:rFonts w:ascii="Arial" w:hAnsi="Arial" w:eastAsia="Arial" w:cs="Arial"/>
        </w:rPr>
        <w:t xml:space="preserve"> O Município de Rondonópolis efetuará os pagamentos por meio de ordens bancárias, tomada junto ao Banco ou Cooperativa, endereçada ao banco discriminado na nota fiscal;</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t xml:space="preserve">10.2. CONDIÇÕES:</w:t>
      </w:r>
      <w:r>
        <w:rPr>
          <w:rFonts w:ascii="Arial" w:hAnsi="Arial" w:cs="Arial"/>
          <w:b/>
        </w:rPr>
      </w:r>
      <w:r>
        <w:rPr>
          <w:rFonts w:ascii="Arial" w:hAnsi="Arial" w:cs="Arial"/>
          <w:b/>
        </w:rPr>
      </w:r>
    </w:p>
    <w:p>
      <w:pPr>
        <w:pStyle w:val="2090"/>
        <w:pBdr/>
        <w:spacing w:after="0" w:before="0" w:line="240" w:lineRule="auto"/>
        <w:ind w:left="284"/>
        <w:jc w:val="both"/>
        <w:rPr>
          <w:rFonts w:ascii="Arial" w:hAnsi="Arial" w:cs="Arial"/>
          <w:sz w:val="20"/>
          <w:szCs w:val="20"/>
        </w:rPr>
      </w:pPr>
      <w:r>
        <w:rPr>
          <w:rFonts w:ascii="Arial" w:hAnsi="Arial" w:eastAsia="Arial" w:cs="Arial"/>
          <w:sz w:val="20"/>
          <w:szCs w:val="20"/>
        </w:rPr>
      </w:r>
      <w:r>
        <w:rPr>
          <w:rFonts w:ascii="Arial" w:hAnsi="Arial" w:cs="Arial"/>
          <w:sz w:val="20"/>
          <w:szCs w:val="20"/>
        </w:rPr>
      </w:r>
      <w:r>
        <w:rPr>
          <w:rFonts w:ascii="Arial" w:hAnsi="Arial" w:cs="Arial"/>
          <w:sz w:val="20"/>
          <w:szCs w:val="20"/>
        </w:rPr>
      </w:r>
    </w:p>
    <w:p>
      <w:pPr>
        <w:pStyle w:val="2090"/>
        <w:pBdr/>
        <w:spacing w:after="0" w:before="0" w:line="240" w:lineRule="auto"/>
        <w:ind/>
        <w:jc w:val="both"/>
        <w:rPr>
          <w:rFonts w:ascii="Arial" w:hAnsi="Arial" w:cs="Arial"/>
          <w:b/>
          <w:bCs/>
          <w:sz w:val="20"/>
          <w:szCs w:val="20"/>
        </w:rPr>
      </w:pPr>
      <w:r>
        <w:rPr>
          <w:rFonts w:ascii="Arial" w:hAnsi="Arial" w:eastAsia="Arial" w:cs="Arial"/>
          <w:b/>
          <w:sz w:val="20"/>
          <w:szCs w:val="20"/>
        </w:rPr>
        <w:t xml:space="preserve">10.2.1.</w:t>
      </w:r>
      <w:r>
        <w:rPr>
          <w:rFonts w:ascii="Arial" w:hAnsi="Arial" w:eastAsia="Arial" w:cs="Arial"/>
          <w:sz w:val="20"/>
          <w:szCs w:val="20"/>
        </w:rPr>
        <w:t xml:space="preserve"> A contratada deverá indicar no corpo da nota fiscal, n.º do contrato, mês de referência, descrição dos produtos, o número e nome do banco, agência e número da conta, na qual deverá ser feito o pagamento, via ordem bancária;</w:t>
      </w:r>
      <w:r>
        <w:rPr>
          <w:rFonts w:ascii="Arial" w:hAnsi="Arial" w:cs="Arial"/>
          <w:b/>
          <w:bCs/>
          <w:sz w:val="20"/>
          <w:szCs w:val="20"/>
        </w:rPr>
      </w:r>
      <w:r>
        <w:rPr>
          <w:rFonts w:ascii="Arial" w:hAnsi="Arial" w:cs="Arial"/>
          <w:b/>
          <w:bCs/>
          <w:sz w:val="20"/>
          <w:szCs w:val="20"/>
        </w:rPr>
      </w:r>
    </w:p>
    <w:p>
      <w:pPr>
        <w:pStyle w:val="2090"/>
        <w:pBdr/>
        <w:spacing w:after="0" w:before="0" w:line="240" w:lineRule="auto"/>
        <w:ind/>
        <w:jc w:val="both"/>
        <w:rPr>
          <w:rFonts w:ascii="Arial" w:hAnsi="Arial" w:cs="Arial"/>
          <w:b/>
          <w:bCs/>
          <w:sz w:val="20"/>
          <w:szCs w:val="20"/>
        </w:rPr>
      </w:pPr>
      <w:r>
        <w:rPr>
          <w:rFonts w:ascii="Arial" w:hAnsi="Arial" w:eastAsia="Arial" w:cs="Arial"/>
          <w:b/>
          <w:bCs/>
          <w:sz w:val="20"/>
          <w:szCs w:val="20"/>
        </w:rPr>
      </w:r>
      <w:r>
        <w:rPr>
          <w:rFonts w:ascii="Arial" w:hAnsi="Arial" w:cs="Arial"/>
          <w:b/>
          <w:bCs/>
          <w:sz w:val="20"/>
          <w:szCs w:val="20"/>
        </w:rPr>
      </w:r>
      <w:r>
        <w:rPr>
          <w:rFonts w:ascii="Arial" w:hAnsi="Arial" w:cs="Arial"/>
          <w:b/>
          <w:bCs/>
          <w:sz w:val="20"/>
          <w:szCs w:val="20"/>
        </w:rPr>
      </w:r>
    </w:p>
    <w:p>
      <w:pPr>
        <w:pStyle w:val="2090"/>
        <w:pBdr/>
        <w:spacing w:after="0" w:before="0" w:line="240" w:lineRule="auto"/>
        <w:ind/>
        <w:jc w:val="both"/>
        <w:rPr>
          <w:rFonts w:ascii="Arial" w:hAnsi="Arial" w:cs="Arial"/>
          <w:b/>
          <w:sz w:val="20"/>
          <w:szCs w:val="20"/>
        </w:rPr>
      </w:pPr>
      <w:r>
        <w:rPr>
          <w:rFonts w:ascii="Arial" w:hAnsi="Arial" w:eastAsia="Arial" w:cs="Arial"/>
          <w:b/>
          <w:sz w:val="20"/>
          <w:szCs w:val="20"/>
        </w:rPr>
        <w:t xml:space="preserve">10.2.2.</w:t>
      </w:r>
      <w:r>
        <w:rPr>
          <w:rFonts w:ascii="Arial" w:hAnsi="Arial" w:eastAsia="Arial" w:cs="Arial"/>
          <w:sz w:val="20"/>
          <w:szCs w:val="20"/>
        </w:rPr>
        <w:t xml:space="preserve"> As despesas bancárias decorrentes de transferências de valores para outras praças serão de responsabilidade da contratada;</w:t>
      </w:r>
      <w:r>
        <w:rPr>
          <w:rFonts w:ascii="Arial" w:hAnsi="Arial" w:cs="Arial"/>
          <w:b/>
          <w:sz w:val="20"/>
          <w:szCs w:val="20"/>
        </w:rPr>
      </w:r>
      <w:r>
        <w:rPr>
          <w:rFonts w:ascii="Arial" w:hAnsi="Arial" w:cs="Arial"/>
          <w:b/>
          <w:sz w:val="20"/>
          <w:szCs w:val="20"/>
        </w:rPr>
      </w:r>
    </w:p>
    <w:p>
      <w:pPr>
        <w:pStyle w:val="2090"/>
        <w:pBdr/>
        <w:spacing w:after="0" w:before="0" w:line="240" w:lineRule="auto"/>
        <w:ind w:left="284"/>
        <w:jc w:val="both"/>
        <w:rPr>
          <w:rFonts w:ascii="Arial" w:hAnsi="Arial" w:cs="Arial"/>
          <w:b/>
          <w:sz w:val="20"/>
          <w:szCs w:val="20"/>
        </w:rPr>
      </w:pPr>
      <w:r>
        <w:rPr>
          <w:rFonts w:ascii="Arial" w:hAnsi="Arial" w:eastAsia="Arial" w:cs="Arial"/>
          <w:b/>
          <w:sz w:val="20"/>
          <w:szCs w:val="20"/>
        </w:rPr>
      </w:r>
      <w:r>
        <w:rPr>
          <w:rFonts w:ascii="Arial" w:hAnsi="Arial" w:cs="Arial"/>
          <w:b/>
          <w:sz w:val="20"/>
          <w:szCs w:val="20"/>
        </w:rPr>
      </w:r>
      <w:r>
        <w:rPr>
          <w:rFonts w:ascii="Arial" w:hAnsi="Arial" w:cs="Arial"/>
          <w:b/>
          <w:sz w:val="20"/>
          <w:szCs w:val="20"/>
        </w:rPr>
      </w:r>
    </w:p>
    <w:p>
      <w:pPr>
        <w:pStyle w:val="2090"/>
        <w:pBdr/>
        <w:spacing w:after="0" w:before="0" w:line="240" w:lineRule="auto"/>
        <w:ind/>
        <w:jc w:val="both"/>
        <w:rPr>
          <w:rFonts w:ascii="Arial" w:hAnsi="Arial" w:cs="Arial"/>
          <w:sz w:val="20"/>
          <w:szCs w:val="20"/>
        </w:rPr>
      </w:pPr>
      <w:r>
        <w:rPr>
          <w:rFonts w:ascii="Arial" w:hAnsi="Arial" w:eastAsia="Arial" w:cs="Arial"/>
          <w:b/>
          <w:sz w:val="20"/>
          <w:szCs w:val="20"/>
        </w:rPr>
        <w:t xml:space="preserve">10.2.3.</w:t>
      </w:r>
      <w:r>
        <w:rPr>
          <w:rFonts w:ascii="Arial" w:hAnsi="Arial" w:eastAsia="Arial" w:cs="Arial"/>
          <w:sz w:val="20"/>
          <w:szCs w:val="20"/>
        </w:rPr>
        <w:t xml:space="preserve"> Pelo fiel e perfeito fornecimento do objeto des</w:t>
      </w:r>
      <w:r>
        <w:rPr>
          <w:rFonts w:ascii="Arial" w:hAnsi="Arial" w:eastAsia="Arial" w:cs="Arial"/>
          <w:sz w:val="20"/>
          <w:szCs w:val="20"/>
        </w:rPr>
        <w:t xml:space="preserve">ta licitação, o município de Rondonópolis-MT., pagará o valor total, em Reais (R$), à Contratada, mediante a entrega da Nota Fiscal, devidamente atestada pela Secretaria solicitante, que corresponderá ao valor do objeto licitado entregue, após verificação;</w:t>
      </w:r>
      <w:r>
        <w:rPr>
          <w:rFonts w:ascii="Arial" w:hAnsi="Arial" w:cs="Arial"/>
          <w:sz w:val="20"/>
          <w:szCs w:val="20"/>
        </w:rPr>
      </w:r>
      <w:r>
        <w:rPr>
          <w:rFonts w:ascii="Arial" w:hAnsi="Arial" w:cs="Arial"/>
          <w:sz w:val="20"/>
          <w:szCs w:val="20"/>
        </w:rPr>
      </w:r>
    </w:p>
    <w:p>
      <w:pPr>
        <w:pStyle w:val="2090"/>
        <w:pBdr/>
        <w:spacing w:after="0" w:before="0" w:line="240" w:lineRule="auto"/>
        <w:ind w:left="284"/>
        <w:jc w:val="both"/>
        <w:rPr>
          <w:rFonts w:ascii="Arial" w:hAnsi="Arial" w:cs="Arial"/>
          <w:b/>
          <w:sz w:val="20"/>
          <w:szCs w:val="20"/>
        </w:rPr>
      </w:pPr>
      <w:r>
        <w:rPr>
          <w:rFonts w:ascii="Arial" w:hAnsi="Arial" w:eastAsia="Arial" w:cs="Arial"/>
          <w:b/>
          <w:sz w:val="20"/>
          <w:szCs w:val="20"/>
        </w:rPr>
      </w:r>
      <w:r>
        <w:rPr>
          <w:rFonts w:ascii="Arial" w:hAnsi="Arial" w:cs="Arial"/>
          <w:b/>
          <w:sz w:val="20"/>
          <w:szCs w:val="20"/>
        </w:rPr>
      </w:r>
      <w:r>
        <w:rPr>
          <w:rFonts w:ascii="Arial" w:hAnsi="Arial" w:cs="Arial"/>
          <w:b/>
          <w:sz w:val="20"/>
          <w:szCs w:val="20"/>
        </w:rPr>
      </w:r>
    </w:p>
    <w:p>
      <w:pPr>
        <w:pStyle w:val="2090"/>
        <w:pBdr/>
        <w:spacing w:after="0" w:before="0" w:line="240" w:lineRule="auto"/>
        <w:ind/>
        <w:jc w:val="both"/>
        <w:rPr>
          <w:rFonts w:ascii="Arial" w:hAnsi="Arial" w:cs="Arial"/>
          <w:b/>
          <w:sz w:val="20"/>
          <w:szCs w:val="20"/>
        </w:rPr>
      </w:pPr>
      <w:r>
        <w:rPr>
          <w:rFonts w:ascii="Arial" w:hAnsi="Arial" w:eastAsia="Arial" w:cs="Arial"/>
          <w:b/>
          <w:sz w:val="20"/>
          <w:szCs w:val="20"/>
        </w:rPr>
        <w:t xml:space="preserve">10.2.4. </w:t>
      </w:r>
      <w:r>
        <w:rPr>
          <w:rFonts w:ascii="Arial" w:hAnsi="Arial" w:eastAsia="Arial" w:cs="Arial"/>
          <w:sz w:val="20"/>
          <w:szCs w:val="20"/>
        </w:rPr>
        <w:t xml:space="preserve">As Notas Fiscais deverão ser emitidas até o dia 25 de cada mês, conforme disposto no artigo 3º, § 1º da Instrução Normativa n. 03/2008.</w:t>
      </w:r>
      <w:r>
        <w:rPr>
          <w:rFonts w:ascii="Arial" w:hAnsi="Arial" w:cs="Arial"/>
          <w:b/>
          <w:sz w:val="20"/>
          <w:szCs w:val="20"/>
        </w:rPr>
      </w:r>
      <w:r>
        <w:rPr>
          <w:rFonts w:ascii="Arial" w:hAnsi="Arial" w:cs="Arial"/>
          <w:b/>
          <w:sz w:val="20"/>
          <w:szCs w:val="20"/>
        </w:rPr>
      </w:r>
    </w:p>
    <w:p>
      <w:pPr>
        <w:pStyle w:val="2090"/>
        <w:pBdr/>
        <w:spacing w:after="0" w:before="0" w:line="240" w:lineRule="auto"/>
        <w:ind w:left="284"/>
        <w:jc w:val="both"/>
        <w:rPr>
          <w:rFonts w:ascii="Arial" w:hAnsi="Arial" w:cs="Arial"/>
          <w:b/>
          <w:sz w:val="20"/>
          <w:szCs w:val="20"/>
        </w:rPr>
      </w:pPr>
      <w:r>
        <w:rPr>
          <w:rFonts w:ascii="Arial" w:hAnsi="Arial" w:eastAsia="Arial" w:cs="Arial"/>
          <w:b/>
          <w:sz w:val="20"/>
          <w:szCs w:val="20"/>
        </w:rPr>
      </w:r>
      <w:r>
        <w:rPr>
          <w:rFonts w:ascii="Arial" w:hAnsi="Arial" w:cs="Arial"/>
          <w:b/>
          <w:sz w:val="20"/>
          <w:szCs w:val="20"/>
        </w:rPr>
      </w:r>
      <w:r>
        <w:rPr>
          <w:rFonts w:ascii="Arial" w:hAnsi="Arial" w:cs="Arial"/>
          <w:b/>
          <w:sz w:val="20"/>
          <w:szCs w:val="20"/>
        </w:rPr>
      </w:r>
    </w:p>
    <w:p>
      <w:pPr>
        <w:pStyle w:val="2090"/>
        <w:pBdr/>
        <w:spacing w:after="0" w:before="0" w:line="240" w:lineRule="auto"/>
        <w:ind/>
        <w:jc w:val="both"/>
        <w:rPr>
          <w:rFonts w:ascii="Arial" w:hAnsi="Arial" w:cs="Arial"/>
          <w:b/>
          <w:sz w:val="20"/>
          <w:szCs w:val="20"/>
        </w:rPr>
      </w:pPr>
      <w:r>
        <w:rPr>
          <w:rFonts w:ascii="Arial" w:hAnsi="Arial" w:eastAsia="Arial" w:cs="Arial"/>
          <w:b/>
          <w:sz w:val="20"/>
          <w:szCs w:val="20"/>
        </w:rPr>
        <w:t xml:space="preserve">10.2.5.</w:t>
      </w:r>
      <w:r>
        <w:rPr>
          <w:rFonts w:ascii="Arial" w:hAnsi="Arial" w:eastAsia="Arial" w:cs="Arial"/>
          <w:sz w:val="20"/>
          <w:szCs w:val="20"/>
        </w:rPr>
        <w:t xml:space="preserve"> </w:t>
      </w:r>
      <w:r>
        <w:rPr>
          <w:rStyle w:val="1010"/>
          <w:rFonts w:ascii="Arial" w:hAnsi="Arial" w:eastAsia="Arial" w:cs="Arial"/>
          <w:sz w:val="20"/>
          <w:szCs w:val="20"/>
          <w:lang w:eastAsia="pt-BR"/>
        </w:rPr>
        <w:t xml:space="preserve">Nas Notas Fiscais deverão constar o número do processo e da modalidade da licitação, bem como a Secretaria solicitante. </w:t>
      </w:r>
      <w:r>
        <w:rPr>
          <w:rFonts w:ascii="Arial" w:hAnsi="Arial" w:cs="Arial"/>
          <w:b/>
          <w:sz w:val="20"/>
          <w:szCs w:val="20"/>
        </w:rPr>
      </w:r>
      <w:r>
        <w:rPr>
          <w:rFonts w:ascii="Arial" w:hAnsi="Arial" w:cs="Arial"/>
          <w:b/>
          <w:sz w:val="20"/>
          <w:szCs w:val="20"/>
        </w:rPr>
      </w:r>
    </w:p>
    <w:p>
      <w:pPr>
        <w:pStyle w:val="887"/>
        <w:pBdr/>
        <w:spacing/>
        <w:ind/>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10.2.6. </w:t>
      </w:r>
      <w:r>
        <w:rPr>
          <w:rFonts w:ascii="Arial" w:hAnsi="Arial" w:eastAsia="Arial" w:cs="Arial"/>
          <w:color w:val="000000"/>
        </w:rPr>
        <w:t xml:space="preserve">O Município de Rondonópolis-MT., só autorizará a realização dos pagamentos, se houver por parte do setor requisitante dos produtos, o necessário ATESTO dos produtos entregues pela empresa vencedora, no verso da Nota Fiscal.</w:t>
      </w:r>
      <w:r>
        <w:rPr>
          <w:rFonts w:ascii="Arial" w:hAnsi="Arial" w:cs="Arial"/>
        </w:rPr>
      </w:r>
      <w:r>
        <w:rPr>
          <w:rFonts w:ascii="Arial" w:hAnsi="Arial" w:cs="Arial"/>
        </w:rPr>
      </w:r>
    </w:p>
    <w:p>
      <w:pPr>
        <w:pStyle w:val="2090"/>
        <w:pBdr/>
        <w:spacing w:after="0" w:before="0" w:line="240" w:lineRule="auto"/>
        <w:ind w:left="284"/>
        <w:jc w:val="both"/>
        <w:rPr>
          <w:rFonts w:ascii="Arial" w:hAnsi="Arial" w:cs="Arial"/>
          <w:b/>
          <w:sz w:val="20"/>
          <w:szCs w:val="20"/>
        </w:rPr>
      </w:pPr>
      <w:r>
        <w:rPr>
          <w:rFonts w:ascii="Arial" w:hAnsi="Arial" w:eastAsia="Arial" w:cs="Arial"/>
          <w:b/>
          <w:sz w:val="20"/>
          <w:szCs w:val="20"/>
        </w:rPr>
      </w:r>
      <w:r>
        <w:rPr>
          <w:rFonts w:ascii="Arial" w:hAnsi="Arial" w:cs="Arial"/>
          <w:b/>
          <w:sz w:val="20"/>
          <w:szCs w:val="20"/>
        </w:rPr>
      </w:r>
      <w:r>
        <w:rPr>
          <w:rFonts w:ascii="Arial" w:hAnsi="Arial" w:cs="Arial"/>
          <w:b/>
          <w:sz w:val="20"/>
          <w:szCs w:val="20"/>
        </w:rPr>
      </w:r>
    </w:p>
    <w:p>
      <w:pPr>
        <w:pStyle w:val="2090"/>
        <w:pBdr/>
        <w:spacing w:after="0" w:before="0" w:line="240" w:lineRule="auto"/>
        <w:ind/>
        <w:jc w:val="both"/>
        <w:rPr>
          <w:rFonts w:ascii="Arial" w:hAnsi="Arial" w:cs="Arial"/>
          <w:sz w:val="20"/>
          <w:szCs w:val="20"/>
        </w:rPr>
      </w:pPr>
      <w:r>
        <w:rPr>
          <w:rFonts w:ascii="Arial" w:hAnsi="Arial" w:eastAsia="Arial" w:cs="Arial"/>
          <w:b/>
          <w:sz w:val="20"/>
          <w:szCs w:val="20"/>
        </w:rPr>
        <w:t xml:space="preserve">10.2.7.</w:t>
      </w:r>
      <w:r>
        <w:rPr>
          <w:rFonts w:ascii="Arial" w:hAnsi="Arial" w:eastAsia="Arial" w:cs="Arial"/>
          <w:sz w:val="20"/>
          <w:szCs w:val="20"/>
        </w:rPr>
        <w:t xml:space="preserve"> Nos preços a ser pago deverão estar in</w:t>
      </w:r>
      <w:r>
        <w:rPr>
          <w:rFonts w:ascii="Arial" w:hAnsi="Arial" w:eastAsia="Arial" w:cs="Arial"/>
          <w:sz w:val="20"/>
          <w:szCs w:val="20"/>
        </w:rPr>
        <w:t xml:space="preserve">clusas todas as despesas inerentes a: salários, encargos sociais, tributários, trabalhistas, comerciais (inclusive frete), materiais, enfim todas as despesas necessárias ao fornecimento do objeto deste Pregão a ser entregue no município de Rondonópolis-MT;</w:t>
      </w:r>
      <w:r>
        <w:rPr>
          <w:rFonts w:ascii="Arial" w:hAnsi="Arial" w:cs="Arial"/>
          <w:sz w:val="20"/>
          <w:szCs w:val="20"/>
        </w:rPr>
      </w:r>
      <w:r>
        <w:rPr>
          <w:rFonts w:ascii="Arial" w:hAnsi="Arial" w:cs="Arial"/>
          <w:sz w:val="20"/>
          <w:szCs w:val="20"/>
        </w:rPr>
      </w:r>
    </w:p>
    <w:p>
      <w:pPr>
        <w:pStyle w:val="2090"/>
        <w:pBdr/>
        <w:spacing w:after="0" w:before="0" w:line="240" w:lineRule="auto"/>
        <w:ind w:left="284"/>
        <w:jc w:val="both"/>
        <w:rPr>
          <w:rFonts w:ascii="Arial" w:hAnsi="Arial" w:cs="Arial"/>
          <w:b/>
          <w:sz w:val="20"/>
          <w:szCs w:val="20"/>
        </w:rPr>
      </w:pPr>
      <w:r>
        <w:rPr>
          <w:rFonts w:ascii="Arial" w:hAnsi="Arial" w:eastAsia="Arial" w:cs="Arial"/>
          <w:b/>
          <w:sz w:val="20"/>
          <w:szCs w:val="20"/>
        </w:rPr>
      </w:r>
      <w:r>
        <w:rPr>
          <w:rFonts w:ascii="Arial" w:hAnsi="Arial" w:cs="Arial"/>
          <w:b/>
          <w:sz w:val="20"/>
          <w:szCs w:val="20"/>
        </w:rPr>
      </w:r>
      <w:r>
        <w:rPr>
          <w:rFonts w:ascii="Arial" w:hAnsi="Arial" w:cs="Arial"/>
          <w:b/>
          <w:sz w:val="20"/>
          <w:szCs w:val="20"/>
        </w:rPr>
      </w:r>
    </w:p>
    <w:p>
      <w:pPr>
        <w:pStyle w:val="2090"/>
        <w:pBdr/>
        <w:spacing w:after="0" w:before="0" w:line="240" w:lineRule="auto"/>
        <w:ind/>
        <w:jc w:val="both"/>
        <w:rPr>
          <w:rFonts w:ascii="Arial" w:hAnsi="Arial" w:cs="Arial"/>
          <w:sz w:val="20"/>
          <w:szCs w:val="20"/>
        </w:rPr>
      </w:pPr>
      <w:r>
        <w:rPr>
          <w:rFonts w:ascii="Arial" w:hAnsi="Arial" w:eastAsia="Arial" w:cs="Arial"/>
          <w:b/>
          <w:sz w:val="20"/>
          <w:szCs w:val="20"/>
        </w:rPr>
        <w:t xml:space="preserve">10.2.8. </w:t>
      </w:r>
      <w:r>
        <w:rPr>
          <w:rFonts w:ascii="Arial" w:hAnsi="Arial" w:eastAsia="Arial" w:cs="Arial"/>
          <w:sz w:val="20"/>
          <w:szCs w:val="20"/>
        </w:rPr>
        <w:t xml:space="preserve">O pagamento será r</w:t>
      </w:r>
      <w:r>
        <w:rPr>
          <w:rFonts w:ascii="Arial" w:hAnsi="Arial" w:eastAsia="Arial" w:cs="Arial"/>
          <w:sz w:val="20"/>
          <w:szCs w:val="20"/>
        </w:rPr>
        <w:t xml:space="preserve">ealizado conforme contrato, devendo ainda atender aos termos do art. 60 da Lei federal n.º 4.320, de 17/03/1964, em até 30 (trinta) dias após entrega e atesto de recebimento definitivo do objeto licitado, mediante apresentação da Nota Fiscal, atestada pelo</w:t>
      </w:r>
      <w:r>
        <w:rPr>
          <w:rFonts w:ascii="Arial" w:hAnsi="Arial" w:eastAsia="Arial" w:cs="Arial"/>
          <w:sz w:val="20"/>
          <w:szCs w:val="20"/>
        </w:rPr>
        <w:t xml:space="preserve"> servidor da secretaria demandante responsável pelo recebimento, devidamente acompanhada dos documentos estabelecidos na Legislação Vigente ou o que venha a substituí-los, através de boleto ou transferência bancaria em conta jurídica da empresa contratada.</w:t>
      </w:r>
      <w:r>
        <w:rPr>
          <w:rFonts w:ascii="Arial" w:hAnsi="Arial" w:cs="Arial"/>
          <w:sz w:val="20"/>
          <w:szCs w:val="20"/>
        </w:rPr>
      </w:r>
      <w:r>
        <w:rPr>
          <w:rFonts w:ascii="Arial" w:hAnsi="Arial" w:cs="Arial"/>
          <w:sz w:val="20"/>
          <w:szCs w:val="20"/>
        </w:rPr>
      </w:r>
    </w:p>
    <w:p>
      <w:pPr>
        <w:pStyle w:val="2090"/>
        <w:pBdr/>
        <w:spacing w:after="0" w:before="0" w:line="240" w:lineRule="auto"/>
        <w:ind/>
        <w:jc w:val="both"/>
        <w:rPr>
          <w:rFonts w:ascii="Arial" w:hAnsi="Arial" w:cs="Arial"/>
          <w:b/>
          <w:sz w:val="20"/>
          <w:szCs w:val="20"/>
        </w:rPr>
      </w:pPr>
      <w:r>
        <w:rPr>
          <w:rFonts w:ascii="Arial" w:hAnsi="Arial" w:eastAsia="Arial" w:cs="Arial"/>
          <w:b/>
          <w:sz w:val="20"/>
          <w:szCs w:val="20"/>
        </w:rPr>
      </w:r>
      <w:r>
        <w:rPr>
          <w:rFonts w:ascii="Arial" w:hAnsi="Arial" w:cs="Arial"/>
          <w:b/>
          <w:sz w:val="20"/>
          <w:szCs w:val="20"/>
        </w:rPr>
      </w:r>
      <w:r>
        <w:rPr>
          <w:rFonts w:ascii="Arial" w:hAnsi="Arial" w:cs="Arial"/>
          <w:b/>
          <w:sz w:val="20"/>
          <w:szCs w:val="20"/>
        </w:rPr>
      </w:r>
    </w:p>
    <w:p>
      <w:pPr>
        <w:pStyle w:val="2090"/>
        <w:pBdr/>
        <w:spacing w:after="0" w:before="0" w:line="240" w:lineRule="auto"/>
        <w:ind/>
        <w:jc w:val="both"/>
        <w:rPr>
          <w:rFonts w:ascii="Arial" w:hAnsi="Arial" w:cs="Arial"/>
          <w:sz w:val="20"/>
          <w:szCs w:val="20"/>
        </w:rPr>
      </w:pPr>
      <w:r>
        <w:rPr>
          <w:rFonts w:ascii="Arial" w:hAnsi="Arial" w:eastAsia="Arial" w:cs="Arial"/>
          <w:b/>
          <w:sz w:val="20"/>
          <w:szCs w:val="20"/>
        </w:rPr>
        <w:t xml:space="preserve">10.2.9.</w:t>
      </w:r>
      <w:r>
        <w:rPr>
          <w:rFonts w:ascii="Arial" w:hAnsi="Arial" w:eastAsia="Arial" w:cs="Arial"/>
          <w:sz w:val="20"/>
          <w:szCs w:val="20"/>
        </w:rPr>
        <w:t xml:space="preserve"> Constando qualquer incorreção na nota fiscal, bem como, outra circunstância que desaconselhe o seu pagamento, o prazo para pagamento constante fluirá a partir da respectiva regularização;</w:t>
      </w:r>
      <w:r>
        <w:rPr>
          <w:rFonts w:ascii="Arial" w:hAnsi="Arial" w:cs="Arial"/>
          <w:sz w:val="20"/>
          <w:szCs w:val="20"/>
        </w:rPr>
      </w:r>
      <w:r>
        <w:rPr>
          <w:rFonts w:ascii="Arial" w:hAnsi="Arial" w:cs="Arial"/>
          <w:sz w:val="20"/>
          <w:szCs w:val="20"/>
        </w:rPr>
      </w:r>
    </w:p>
    <w:p>
      <w:pPr>
        <w:pStyle w:val="2090"/>
        <w:pBdr/>
        <w:spacing w:after="0" w:before="0" w:line="240" w:lineRule="auto"/>
        <w:ind w:left="284"/>
        <w:jc w:val="both"/>
        <w:rPr>
          <w:rFonts w:ascii="Arial" w:hAnsi="Arial" w:cs="Arial"/>
          <w:b/>
          <w:sz w:val="20"/>
          <w:szCs w:val="20"/>
        </w:rPr>
      </w:pPr>
      <w:r>
        <w:rPr>
          <w:rFonts w:ascii="Arial" w:hAnsi="Arial" w:eastAsia="Arial" w:cs="Arial"/>
          <w:b/>
          <w:sz w:val="20"/>
          <w:szCs w:val="20"/>
        </w:rPr>
      </w:r>
      <w:r>
        <w:rPr>
          <w:rFonts w:ascii="Arial" w:hAnsi="Arial" w:cs="Arial"/>
          <w:b/>
          <w:sz w:val="20"/>
          <w:szCs w:val="20"/>
        </w:rPr>
      </w:r>
      <w:r>
        <w:rPr>
          <w:rFonts w:ascii="Arial" w:hAnsi="Arial" w:cs="Arial"/>
          <w:b/>
          <w:sz w:val="20"/>
          <w:szCs w:val="20"/>
        </w:rPr>
      </w:r>
    </w:p>
    <w:p>
      <w:pPr>
        <w:pStyle w:val="2090"/>
        <w:pBdr/>
        <w:spacing w:after="0" w:before="0" w:line="240" w:lineRule="auto"/>
        <w:ind/>
        <w:jc w:val="both"/>
        <w:rPr>
          <w:rFonts w:ascii="Arial" w:hAnsi="Arial" w:cs="Arial"/>
          <w:sz w:val="20"/>
          <w:szCs w:val="20"/>
        </w:rPr>
      </w:pPr>
      <w:r>
        <w:rPr>
          <w:rFonts w:ascii="Arial" w:hAnsi="Arial" w:eastAsia="Arial" w:cs="Arial"/>
          <w:b/>
          <w:sz w:val="20"/>
          <w:szCs w:val="20"/>
        </w:rPr>
        <w:t xml:space="preserve">10.2.10.</w:t>
      </w:r>
      <w:r>
        <w:rPr>
          <w:rFonts w:ascii="Arial" w:hAnsi="Arial" w:eastAsia="Arial" w:cs="Arial"/>
          <w:sz w:val="20"/>
          <w:szCs w:val="20"/>
        </w:rPr>
        <w:t xml:space="preserve"> Qua</w:t>
      </w:r>
      <w:r>
        <w:rPr>
          <w:rFonts w:ascii="Arial" w:hAnsi="Arial" w:eastAsia="Arial" w:cs="Arial"/>
          <w:sz w:val="20"/>
          <w:szCs w:val="20"/>
        </w:rPr>
        <w:t xml:space="preserve">ndo do pagamento a ser efetuado ficará condicionado à apresentação pela empresa dos comprobatórios de quitação das obrigações para com o INSS e FGTS, referente ao mês anterior. Portanto, será efetuada a retenção tributária prevista na legislação aplicável.</w:t>
      </w:r>
      <w:r>
        <w:rPr>
          <w:rFonts w:ascii="Arial" w:hAnsi="Arial" w:cs="Arial"/>
          <w:sz w:val="20"/>
          <w:szCs w:val="20"/>
        </w:rPr>
      </w:r>
      <w:r>
        <w:rPr>
          <w:rFonts w:ascii="Arial" w:hAnsi="Arial" w:cs="Arial"/>
          <w:sz w:val="20"/>
          <w:szCs w:val="20"/>
        </w:rPr>
      </w:r>
    </w:p>
    <w:p>
      <w:pPr>
        <w:pStyle w:val="2090"/>
        <w:pBdr/>
        <w:spacing w:after="0" w:before="0" w:line="240" w:lineRule="auto"/>
        <w:ind/>
        <w:jc w:val="both"/>
        <w:rPr>
          <w:rFonts w:ascii="Arial" w:hAnsi="Arial" w:cs="Arial"/>
          <w:b/>
          <w:sz w:val="20"/>
          <w:szCs w:val="20"/>
        </w:rPr>
      </w:pPr>
      <w:r>
        <w:rPr>
          <w:rFonts w:ascii="Arial" w:hAnsi="Arial" w:eastAsia="Arial" w:cs="Arial"/>
          <w:b/>
          <w:sz w:val="20"/>
          <w:szCs w:val="20"/>
        </w:rPr>
      </w:r>
      <w:r>
        <w:rPr>
          <w:rFonts w:ascii="Arial" w:hAnsi="Arial" w:cs="Arial"/>
          <w:b/>
          <w:sz w:val="20"/>
          <w:szCs w:val="20"/>
        </w:rPr>
      </w:r>
      <w:r>
        <w:rPr>
          <w:rFonts w:ascii="Arial" w:hAnsi="Arial" w:cs="Arial"/>
          <w:b/>
          <w:sz w:val="20"/>
          <w:szCs w:val="20"/>
        </w:rPr>
      </w:r>
    </w:p>
    <w:p>
      <w:pPr>
        <w:pStyle w:val="2090"/>
        <w:pBdr/>
        <w:spacing w:after="0" w:before="0" w:line="240" w:lineRule="auto"/>
        <w:ind/>
        <w:jc w:val="both"/>
        <w:rPr>
          <w:rFonts w:ascii="Arial" w:hAnsi="Arial" w:cs="Arial"/>
          <w:sz w:val="20"/>
          <w:szCs w:val="20"/>
        </w:rPr>
      </w:pPr>
      <w:r>
        <w:rPr>
          <w:rFonts w:ascii="Arial" w:hAnsi="Arial" w:eastAsia="Arial" w:cs="Arial"/>
          <w:b/>
          <w:sz w:val="20"/>
          <w:szCs w:val="20"/>
        </w:rPr>
        <w:t xml:space="preserve">10.2.11.</w:t>
      </w:r>
      <w:r>
        <w:rPr>
          <w:rFonts w:ascii="Arial" w:hAnsi="Arial" w:eastAsia="Arial" w:cs="Arial"/>
          <w:sz w:val="20"/>
          <w:szCs w:val="20"/>
        </w:rPr>
        <w:t xml:space="preserve"> Quando do pagamento, será efetuada a retenção tributária prevista na legislação aplicável.</w:t>
      </w:r>
      <w:r>
        <w:rPr>
          <w:rFonts w:ascii="Arial" w:hAnsi="Arial" w:cs="Arial"/>
          <w:sz w:val="20"/>
          <w:szCs w:val="20"/>
        </w:rPr>
      </w:r>
      <w:r>
        <w:rPr>
          <w:rFonts w:ascii="Arial" w:hAnsi="Arial" w:cs="Arial"/>
          <w:sz w:val="20"/>
          <w:szCs w:val="20"/>
        </w:rPr>
      </w:r>
    </w:p>
    <w:p>
      <w:pPr>
        <w:pStyle w:val="2090"/>
        <w:pBdr/>
        <w:spacing w:after="0" w:before="0" w:line="240" w:lineRule="auto"/>
        <w:ind w:left="284"/>
        <w:jc w:val="both"/>
        <w:rPr>
          <w:rFonts w:ascii="Arial" w:hAnsi="Arial" w:cs="Arial"/>
          <w:sz w:val="20"/>
          <w:szCs w:val="20"/>
        </w:rPr>
      </w:pPr>
      <w:r>
        <w:rPr>
          <w:rFonts w:ascii="Arial" w:hAnsi="Arial" w:eastAsia="Arial" w:cs="Arial"/>
          <w:sz w:val="20"/>
          <w:szCs w:val="20"/>
        </w:rPr>
      </w:r>
      <w:r>
        <w:rPr>
          <w:rFonts w:ascii="Arial" w:hAnsi="Arial" w:cs="Arial"/>
          <w:sz w:val="20"/>
          <w:szCs w:val="20"/>
        </w:rPr>
      </w:r>
      <w:r>
        <w:rPr>
          <w:rFonts w:ascii="Arial" w:hAnsi="Arial" w:cs="Arial"/>
          <w:sz w:val="20"/>
          <w:szCs w:val="20"/>
        </w:rPr>
      </w:r>
    </w:p>
    <w:p>
      <w:pPr>
        <w:pStyle w:val="2090"/>
        <w:pBdr/>
        <w:spacing w:after="0" w:before="0" w:line="240" w:lineRule="auto"/>
        <w:ind/>
        <w:jc w:val="both"/>
        <w:rPr>
          <w:rFonts w:ascii="Arial" w:hAnsi="Arial" w:cs="Arial"/>
          <w:sz w:val="20"/>
          <w:szCs w:val="20"/>
        </w:rPr>
      </w:pPr>
      <w:r>
        <w:rPr>
          <w:rFonts w:ascii="Arial" w:hAnsi="Arial" w:eastAsia="Arial" w:cs="Arial"/>
          <w:b/>
          <w:sz w:val="20"/>
          <w:szCs w:val="20"/>
        </w:rPr>
        <w:t xml:space="preserve">10.2.12.</w:t>
      </w:r>
      <w:r>
        <w:rPr>
          <w:rFonts w:ascii="Arial" w:hAnsi="Arial" w:eastAsia="Arial" w:cs="Arial"/>
          <w:sz w:val="20"/>
          <w:szCs w:val="20"/>
        </w:rPr>
        <w:t xml:space="preserve"> O pagamento efetuado não isentará a contratada de suas responsabilidades vinculadas ao fornecimento, especialmente àquelas relacionadas com a qualidade e garantia dos itens fornecidos;</w:t>
      </w:r>
      <w:r>
        <w:rPr>
          <w:rFonts w:ascii="Arial" w:hAnsi="Arial" w:cs="Arial"/>
          <w:sz w:val="20"/>
          <w:szCs w:val="20"/>
        </w:rPr>
      </w:r>
      <w:r>
        <w:rPr>
          <w:rFonts w:ascii="Arial" w:hAnsi="Arial" w:cs="Arial"/>
          <w:sz w:val="20"/>
          <w:szCs w:val="20"/>
        </w:rPr>
      </w:r>
    </w:p>
    <w:p>
      <w:pPr>
        <w:pStyle w:val="2090"/>
        <w:pBdr/>
        <w:spacing w:after="0" w:before="0" w:line="240" w:lineRule="auto"/>
        <w:ind w:left="284"/>
        <w:jc w:val="both"/>
        <w:rPr>
          <w:rFonts w:ascii="Arial" w:hAnsi="Arial" w:cs="Arial"/>
          <w:b/>
          <w:sz w:val="19"/>
          <w:szCs w:val="19"/>
        </w:rPr>
      </w:pPr>
      <w:r>
        <w:rPr>
          <w:rFonts w:ascii="Arial" w:hAnsi="Arial" w:eastAsia="Arial" w:cs="Arial"/>
          <w:b/>
          <w:sz w:val="19"/>
          <w:szCs w:val="19"/>
        </w:rPr>
      </w:r>
      <w:r>
        <w:rPr>
          <w:rFonts w:ascii="Arial" w:hAnsi="Arial" w:cs="Arial"/>
          <w:b/>
          <w:sz w:val="19"/>
          <w:szCs w:val="19"/>
        </w:rPr>
      </w:r>
      <w:r>
        <w:rPr>
          <w:rFonts w:ascii="Arial" w:hAnsi="Arial" w:cs="Arial"/>
          <w:b/>
          <w:sz w:val="19"/>
          <w:szCs w:val="19"/>
        </w:rPr>
      </w:r>
    </w:p>
    <w:p>
      <w:pPr>
        <w:pStyle w:val="2090"/>
        <w:pBdr/>
        <w:spacing w:after="0" w:before="0" w:line="240" w:lineRule="auto"/>
        <w:ind/>
        <w:jc w:val="both"/>
        <w:rPr>
          <w:rFonts w:ascii="Arial" w:hAnsi="Arial" w:cs="Arial"/>
          <w:b/>
          <w:sz w:val="19"/>
          <w:szCs w:val="19"/>
        </w:rPr>
      </w:pPr>
      <w:r>
        <w:rPr>
          <w:rFonts w:ascii="Arial" w:hAnsi="Arial" w:eastAsia="Arial" w:cs="Arial"/>
          <w:b/>
          <w:sz w:val="19"/>
          <w:szCs w:val="19"/>
        </w:rPr>
        <w:t xml:space="preserve">10.2</w:t>
      </w:r>
      <w:r>
        <w:rPr>
          <w:rStyle w:val="1010"/>
          <w:rFonts w:ascii="Arial" w:hAnsi="Arial" w:eastAsia="Arial" w:cs="Arial"/>
          <w:b/>
          <w:sz w:val="19"/>
          <w:szCs w:val="19"/>
          <w:lang w:eastAsia="pt-BR" w:bidi="ar-SA"/>
        </w:rPr>
        <w:t xml:space="preserve">.13.</w:t>
      </w:r>
      <w:r>
        <w:rPr>
          <w:rStyle w:val="1010"/>
          <w:rFonts w:ascii="Arial" w:hAnsi="Arial" w:eastAsia="Arial" w:cs="Arial"/>
          <w:sz w:val="19"/>
          <w:szCs w:val="19"/>
          <w:lang w:eastAsia="pt-BR" w:bidi="ar-SA"/>
        </w:rPr>
        <w:t xml:space="preserve"> Ocorrendo umas das hipóteses previstas na alínea “d” do inciso II do artigo 124 da </w:t>
      </w:r>
      <w:r>
        <w:rPr>
          <w:rStyle w:val="1010"/>
          <w:rFonts w:ascii="Arial" w:hAnsi="Arial" w:eastAsia="Arial" w:cs="Arial"/>
          <w:sz w:val="19"/>
          <w:szCs w:val="19"/>
          <w:lang w:eastAsia="pt-BR" w:bidi="ar-SA"/>
        </w:rPr>
        <w:t xml:space="preserve">Lei n. 14.133/2021, poderá haver a repactuação, reajuste, revisão ou realinhamento, onde deverão ser precedidos de demonstração analítica do aumento dos custos, bem como análise Técnico Contábil do setor Financeiro e da Assessoria Jurídica deste Município.</w:t>
      </w:r>
      <w:r>
        <w:rPr>
          <w:rFonts w:ascii="Arial" w:hAnsi="Arial" w:cs="Arial"/>
          <w:b/>
          <w:sz w:val="19"/>
          <w:szCs w:val="19"/>
        </w:rPr>
      </w:r>
      <w:r>
        <w:rPr>
          <w:rFonts w:ascii="Arial" w:hAnsi="Arial" w:cs="Arial"/>
          <w:b/>
          <w:sz w:val="19"/>
          <w:szCs w:val="19"/>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b/>
        </w:rPr>
      </w:pPr>
      <w:r>
        <w:rPr>
          <w:rFonts w:ascii="Arial" w:hAnsi="Arial" w:eastAsia="Arial" w:cs="Arial"/>
          <w:b/>
        </w:rPr>
        <w:t xml:space="preserve">10.3. PRAZOS DE PAGAMENTO:</w:t>
      </w:r>
      <w:r>
        <w:rPr>
          <w:rFonts w:ascii="Arial" w:hAnsi="Arial" w:cs="Arial"/>
          <w:b/>
        </w:rPr>
      </w:r>
      <w:r>
        <w:rPr>
          <w:rFonts w:ascii="Arial" w:hAnsi="Arial" w:cs="Arial"/>
          <w:b/>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color w:val="000000"/>
        </w:rPr>
      </w:pPr>
      <w:r>
        <w:rPr>
          <w:rFonts w:ascii="Arial" w:hAnsi="Arial" w:eastAsia="Arial" w:cs="Arial"/>
          <w:b/>
          <w:color w:val="000000"/>
        </w:rPr>
        <w:t xml:space="preserve">10.3.1.</w:t>
      </w:r>
      <w:r>
        <w:rPr>
          <w:rFonts w:ascii="Arial" w:hAnsi="Arial" w:eastAsia="Arial" w:cs="Arial"/>
          <w:color w:val="000000"/>
        </w:rPr>
        <w:t xml:space="preserve"> O pagamento será r</w:t>
      </w:r>
      <w:r>
        <w:rPr>
          <w:rFonts w:ascii="Arial" w:hAnsi="Arial" w:eastAsia="Arial" w:cs="Arial"/>
          <w:color w:val="000000"/>
        </w:rPr>
        <w:t xml:space="preserve">ealizado conforme contrato, devendo ainda atender aos termos do art. 60 da Lei federal n.º 4.320, de 17/03/1964, em até 30 (trinta) dias após entrega e atesto de recebimento definitivo do objeto licitado, mediante apresentação da Nota Fiscal, atestada pelo</w:t>
      </w:r>
      <w:r>
        <w:rPr>
          <w:rFonts w:ascii="Arial" w:hAnsi="Arial" w:eastAsia="Arial" w:cs="Arial"/>
          <w:color w:val="000000"/>
        </w:rPr>
        <w:t xml:space="preserve"> servidor da secretaria demandante responsável pelo recebimento, devidamente acompanhada dos documentos estabelecidos na Legislação Vigente ou o que venha a substituí-los, através de boleto ou transferência bancaria em conta jurídica da empresa contratada.</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10.3.2.</w:t>
      </w:r>
      <w:r>
        <w:rPr>
          <w:rFonts w:ascii="Arial" w:hAnsi="Arial" w:eastAsia="Arial" w:cs="Arial"/>
          <w:color w:val="000000"/>
        </w:rPr>
        <w:t xml:space="preserve"> O(s) pagamento(s) não realizado(s) dentro do prazo por eventos decorrentes do contratado, não será(ão)</w:t>
      </w:r>
      <w:r>
        <w:rPr>
          <w:rFonts w:ascii="Arial" w:hAnsi="Arial" w:eastAsia="Arial" w:cs="Arial"/>
          <w:color w:val="000000"/>
        </w:rPr>
        <w:t xml:space="preserve"> gerador(es) de direito a qualquer acréscimo financeiro; A efetivação dos pagamentos não isentará o contratado das suas responsabilidades e das suas obrigações contratuais, especialmente aquelas relacionadas à qualidade e à garantia dos produtos entregues.</w:t>
      </w:r>
      <w:r>
        <w:rPr>
          <w:rFonts w:ascii="Arial" w:hAnsi="Arial" w:cs="Arial"/>
          <w:color w:val="000000"/>
        </w:rPr>
      </w:r>
      <w:r>
        <w:rPr>
          <w:rFonts w:ascii="Arial" w:hAnsi="Arial" w:cs="Arial"/>
          <w:color w:val="000000"/>
        </w:rPr>
      </w:r>
    </w:p>
    <w:p>
      <w:pPr>
        <w:pStyle w:val="887"/>
        <w:pBdr/>
        <w:spacing/>
        <w:ind/>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color w:val="000000"/>
        </w:rPr>
      </w:pPr>
      <w:r>
        <w:rPr>
          <w:rFonts w:ascii="Arial" w:hAnsi="Arial" w:eastAsia="Arial" w:cs="Arial"/>
          <w:b/>
          <w:color w:val="000000"/>
        </w:rPr>
        <w:t xml:space="preserve">10.3.3.</w:t>
      </w:r>
      <w:r>
        <w:rPr>
          <w:rFonts w:ascii="Arial" w:hAnsi="Arial" w:eastAsia="Arial" w:cs="Arial"/>
          <w:color w:val="000000"/>
        </w:rPr>
        <w:t xml:space="preserve"> O Município de Rondonópolis-MT., só autorizará a realização dos pagamentos, se houver por parte do setor requisitante dos produtos, o necessário ATESTO dos produtos entregues pela empresa vencedora, no verso da Nota Fiscal.</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10.3.4.</w:t>
      </w:r>
      <w:r>
        <w:rPr>
          <w:rFonts w:ascii="Arial" w:hAnsi="Arial" w:eastAsia="Arial" w:cs="Arial"/>
          <w:color w:val="000000"/>
        </w:rPr>
        <w:t xml:space="preserve"> Nos preços a ser pago deverão estar in</w:t>
      </w:r>
      <w:r>
        <w:rPr>
          <w:rFonts w:ascii="Arial" w:hAnsi="Arial" w:eastAsia="Arial" w:cs="Arial"/>
          <w:color w:val="000000"/>
        </w:rPr>
        <w:t xml:space="preserve">clusas todas as despesas inerentes a: salários, encargos sociais, tributários, trabalhistas, comerciais (inclusive frete), materiais, enfim todas as despesas necessárias ao fornecimento do objeto deste Pregão a ser entregue no município de Rondonópolis-MT;</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10.3.5.</w:t>
      </w:r>
      <w:r>
        <w:rPr>
          <w:rFonts w:ascii="Arial" w:hAnsi="Arial" w:eastAsia="Arial" w:cs="Arial"/>
          <w:color w:val="000000"/>
        </w:rPr>
        <w:t xml:space="preserve"> Constando qualquer incorreção na nota fiscal, bem como, outra circunstância que desaconselhe o seu pagamento, o prazo para pagamento constante fluirá a partir da respectiva regularização;</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10.3.6.</w:t>
      </w:r>
      <w:r>
        <w:rPr>
          <w:rFonts w:ascii="Arial" w:hAnsi="Arial" w:eastAsia="Arial" w:cs="Arial"/>
          <w:color w:val="000000"/>
        </w:rPr>
        <w:t xml:space="preserve"> Qua</w:t>
      </w:r>
      <w:r>
        <w:rPr>
          <w:rFonts w:ascii="Arial" w:hAnsi="Arial" w:eastAsia="Arial" w:cs="Arial"/>
          <w:color w:val="000000"/>
        </w:rPr>
        <w:t xml:space="preserve">ndo do pagamento a ser efetuado ficará condicionado à apresentação pela empresa dos comprobatórios de quitação das obrigações para com o INSS e FGTS, referente ao mês anterior. Portanto, será efetuada a retenção tributária prevista na legislação aplicável.</w:t>
      </w:r>
      <w:r>
        <w:rPr>
          <w:rFonts w:ascii="Arial" w:hAnsi="Arial" w:cs="Arial"/>
          <w:color w:val="000000"/>
        </w:rPr>
      </w:r>
      <w:r>
        <w:rPr>
          <w:rFonts w:ascii="Arial" w:hAnsi="Arial" w:cs="Arial"/>
          <w:color w:val="000000"/>
        </w:rPr>
      </w:r>
    </w:p>
    <w:p>
      <w:pPr>
        <w:pStyle w:val="887"/>
        <w:pBdr/>
        <w:spacing/>
        <w:ind/>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color w:val="000000"/>
        </w:rPr>
      </w:pPr>
      <w:r>
        <w:rPr>
          <w:rFonts w:ascii="Arial" w:hAnsi="Arial" w:eastAsia="Arial" w:cs="Arial"/>
          <w:b/>
          <w:color w:val="000000"/>
        </w:rPr>
        <w:t xml:space="preserve">10.3.7.</w:t>
      </w:r>
      <w:r>
        <w:rPr>
          <w:rFonts w:ascii="Arial" w:hAnsi="Arial" w:eastAsia="Arial" w:cs="Arial"/>
          <w:color w:val="000000"/>
        </w:rPr>
        <w:t xml:space="preserve"> Quando do pagamento, será efetuada a retenção tributária prevista na legislação aplicável.</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10.3.8.</w:t>
      </w:r>
      <w:r>
        <w:rPr>
          <w:rFonts w:ascii="Arial" w:hAnsi="Arial" w:eastAsia="Arial" w:cs="Arial"/>
          <w:color w:val="000000"/>
        </w:rPr>
        <w:t xml:space="preserve"> O pagamento efetuado não isentará a contratada de suas responsabilidades vinculadas ao fornecimento, especialmente àquelas relacionadas com a qualidade e garantia dos itens fornecidos;</w:t>
      </w:r>
      <w:r>
        <w:rPr>
          <w:rFonts w:ascii="Arial" w:hAnsi="Arial" w:cs="Arial"/>
          <w:color w:val="000000"/>
        </w:rPr>
      </w:r>
      <w:r>
        <w:rPr>
          <w:rFonts w:ascii="Arial" w:hAnsi="Arial" w:cs="Arial"/>
          <w:color w:val="000000"/>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CLÁUSULA DÉCIMA PRIMEIRA – DA ALTERAÇÃO DE MARCA E DE PREÇO</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hd w:val="clear" w:color="auto" w:fill="ffffff"/>
        <w:spacing/>
        <w:ind/>
        <w:jc w:val="both"/>
        <w:rPr>
          <w:rFonts w:ascii="Arial" w:hAnsi="Arial" w:cs="Arial"/>
        </w:rPr>
      </w:pPr>
      <w:r>
        <w:rPr>
          <w:rFonts w:ascii="Arial" w:hAnsi="Arial" w:eastAsia="Arial" w:cs="Arial"/>
          <w:b/>
        </w:rPr>
        <w:t xml:space="preserve">11.1.</w:t>
      </w:r>
      <w:r>
        <w:rPr>
          <w:rFonts w:ascii="Arial" w:hAnsi="Arial" w:eastAsia="Arial" w:cs="Arial"/>
        </w:rPr>
        <w:t xml:space="preserve">  A ARP poderá ser alterada mediante a substituição de marca nas seguintes condições:</w:t>
      </w:r>
      <w:r>
        <w:rPr>
          <w:rFonts w:ascii="Arial" w:hAnsi="Arial" w:cs="Arial"/>
        </w:rPr>
      </w:r>
      <w:r>
        <w:rPr>
          <w:rFonts w:ascii="Arial" w:hAnsi="Arial" w:cs="Arial"/>
        </w:rPr>
      </w:r>
    </w:p>
    <w:p>
      <w:pPr>
        <w:pStyle w:val="887"/>
        <w:pBdr/>
        <w:shd w:val="clear" w:color="auto" w:fill="ffffff"/>
        <w:spacing/>
        <w:ind w:hanging="567" w:left="567"/>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hd w:val="clear" w:color="auto" w:fill="ffffff"/>
        <w:spacing/>
        <w:ind/>
        <w:jc w:val="both"/>
        <w:rPr>
          <w:rFonts w:ascii="Arial" w:hAnsi="Arial" w:cs="Arial"/>
        </w:rPr>
      </w:pPr>
      <w:r>
        <w:rPr>
          <w:rFonts w:ascii="Arial" w:hAnsi="Arial" w:eastAsia="Arial" w:cs="Arial"/>
          <w:b/>
        </w:rPr>
        <w:t xml:space="preserve">I </w:t>
      </w:r>
      <w:r>
        <w:rPr>
          <w:rFonts w:ascii="Arial" w:hAnsi="Arial" w:eastAsia="Arial" w:cs="Arial"/>
        </w:rPr>
        <w:t xml:space="preserve">- Por solicitação do Órgão ou da Entidade Gerenciadora, se comprovado que a marca não mais atende às especificações exigidas ou se encontra fora da legislação aplicável;</w:t>
      </w:r>
      <w:r>
        <w:rPr>
          <w:rFonts w:ascii="Arial" w:hAnsi="Arial" w:cs="Arial"/>
        </w:rPr>
      </w:r>
      <w:r>
        <w:rPr>
          <w:rFonts w:ascii="Arial" w:hAnsi="Arial" w:cs="Arial"/>
        </w:rPr>
      </w:r>
    </w:p>
    <w:p>
      <w:pPr>
        <w:pStyle w:val="887"/>
        <w:pBdr/>
        <w:shd w:val="clear" w:color="auto" w:fill="ffffff"/>
        <w:spacing/>
        <w:ind w:firstLine="709"/>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hd w:val="clear" w:color="auto" w:fill="ffffff"/>
        <w:spacing/>
        <w:ind/>
        <w:jc w:val="both"/>
        <w:rPr>
          <w:rFonts w:ascii="Arial" w:hAnsi="Arial" w:cs="Arial"/>
        </w:rPr>
      </w:pPr>
      <w:r>
        <w:rPr>
          <w:rFonts w:ascii="Arial" w:hAnsi="Arial" w:eastAsia="Arial" w:cs="Arial"/>
          <w:b/>
        </w:rPr>
        <w:t xml:space="preserve">II</w:t>
      </w:r>
      <w:r>
        <w:rPr>
          <w:rFonts w:ascii="Arial" w:hAnsi="Arial" w:eastAsia="Arial" w:cs="Arial"/>
        </w:rPr>
        <w:t xml:space="preserve"> - Por requerimento do Detentor, que deve ser apreciado pelo Órgão ou Entidade Gerenciadora, em hipótese que comprove a impossibilidade de fornecimento.</w:t>
      </w:r>
      <w:r>
        <w:rPr>
          <w:rFonts w:ascii="Arial" w:hAnsi="Arial" w:cs="Arial"/>
        </w:rPr>
      </w:r>
      <w:r>
        <w:rPr>
          <w:rFonts w:ascii="Arial" w:hAnsi="Arial" w:cs="Arial"/>
        </w:rPr>
      </w:r>
    </w:p>
    <w:p>
      <w:pPr>
        <w:pStyle w:val="887"/>
        <w:pBdr/>
        <w:shd w:val="clear" w:color="auto" w:fill="ffffff"/>
        <w:spacing/>
        <w:ind w:firstLine="709"/>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hd w:val="clear" w:color="auto" w:fill="ffffff"/>
        <w:spacing/>
        <w:ind/>
        <w:jc w:val="both"/>
        <w:rPr>
          <w:rFonts w:ascii="Arial" w:hAnsi="Arial" w:cs="Arial"/>
        </w:rPr>
      </w:pPr>
      <w:r>
        <w:rPr>
          <w:rFonts w:ascii="Arial" w:hAnsi="Arial" w:eastAsia="Arial" w:cs="Arial"/>
          <w:b/>
        </w:rPr>
        <w:t xml:space="preserve">11.1.1.</w:t>
      </w:r>
      <w:r>
        <w:rPr>
          <w:rFonts w:ascii="Arial" w:hAnsi="Arial" w:eastAsia="Arial" w:cs="Arial"/>
        </w:rPr>
        <w:t xml:space="preserve"> O Órgão ou Entidade Gerenciadora somente poderá aquiescer com a substituição requerida pelo Detentor se comprovadamente houver igualdade de condições ou vantagem para o interesse público.</w:t>
      </w:r>
      <w:r>
        <w:rPr>
          <w:rFonts w:ascii="Arial" w:hAnsi="Arial" w:cs="Arial"/>
        </w:rPr>
      </w:r>
      <w:r>
        <w:rPr>
          <w:rFonts w:ascii="Arial" w:hAnsi="Arial" w:cs="Arial"/>
        </w:rPr>
      </w:r>
    </w:p>
    <w:p>
      <w:pPr>
        <w:pStyle w:val="887"/>
        <w:pBdr/>
        <w:shd w:val="clear" w:color="auto" w:fill="ffffff"/>
        <w:spacing/>
        <w:ind w:firstLine="709"/>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clear" w:leader="none" w:pos="708"/>
          <w:tab w:val="left" w:leader="none" w:pos="7740"/>
        </w:tabs>
        <w:spacing/>
        <w:ind/>
        <w:jc w:val="both"/>
        <w:rPr>
          <w:rFonts w:ascii="Arial" w:hAnsi="Arial" w:cs="Arial"/>
        </w:rPr>
      </w:pPr>
      <w:r>
        <w:rPr>
          <w:rFonts w:ascii="Arial" w:hAnsi="Arial" w:eastAsia="Arial" w:cs="Arial"/>
          <w:b/>
        </w:rPr>
        <w:t xml:space="preserve">11.1.2.</w:t>
      </w:r>
      <w:r>
        <w:rPr>
          <w:rFonts w:ascii="Arial" w:hAnsi="Arial" w:eastAsia="Arial" w:cs="Arial"/>
        </w:rPr>
        <w:t xml:space="preserve"> A substituição de marca implicará em nova análise do produto, conforme previsto no edital, anexos e na legislação aplicável. </w:t>
      </w:r>
      <w:r>
        <w:rPr>
          <w:rFonts w:ascii="Arial" w:hAnsi="Arial" w:cs="Arial"/>
        </w:rPr>
      </w:r>
      <w:r>
        <w:rPr>
          <w:rFonts w:ascii="Arial" w:hAnsi="Arial" w:cs="Arial"/>
        </w:rPr>
      </w:r>
    </w:p>
    <w:p>
      <w:pPr>
        <w:pStyle w:val="887"/>
        <w:pBdr/>
        <w:tabs>
          <w:tab w:val="clear" w:leader="none" w:pos="708"/>
          <w:tab w:val="left" w:leader="none" w:pos="1276"/>
          <w:tab w:val="left" w:leader="none" w:pos="7740"/>
        </w:tabs>
        <w:spacing/>
        <w:ind w:hanging="709" w:left="1276"/>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tabs>
          <w:tab w:val="clear" w:leader="none" w:pos="708"/>
          <w:tab w:val="left" w:leader="none" w:pos="1276"/>
          <w:tab w:val="left" w:leader="none" w:pos="7740"/>
        </w:tabs>
        <w:spacing/>
        <w:ind/>
        <w:jc w:val="both"/>
        <w:rPr>
          <w:rFonts w:ascii="Arial" w:hAnsi="Arial" w:cs="Arial"/>
        </w:rPr>
      </w:pPr>
      <w:r>
        <w:rPr>
          <w:rFonts w:ascii="Arial" w:hAnsi="Arial" w:eastAsia="Arial" w:cs="Arial"/>
          <w:b/>
        </w:rPr>
        <w:t xml:space="preserve">11.1.3.</w:t>
      </w:r>
      <w:r>
        <w:rPr>
          <w:rFonts w:ascii="Arial" w:hAnsi="Arial" w:eastAsia="Arial" w:cs="Arial"/>
        </w:rPr>
        <w:t xml:space="preserve"> A substituição de marca deverá ser publicada obrigatoriamente no DIORONDON.</w:t>
      </w:r>
      <w:r>
        <w:rPr>
          <w:rFonts w:ascii="Arial" w:hAnsi="Arial" w:cs="Arial"/>
        </w:rPr>
      </w:r>
      <w:r>
        <w:rPr>
          <w:rFonts w:ascii="Arial" w:hAnsi="Arial" w:cs="Arial"/>
        </w:rPr>
      </w:r>
    </w:p>
    <w:p>
      <w:pPr>
        <w:pStyle w:val="887"/>
        <w:pBdr/>
        <w:shd w:val="clear" w:color="auto" w:fill="ffffff"/>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hd w:val="clear" w:color="auto" w:fill="ffffff"/>
        <w:spacing/>
        <w:ind/>
        <w:jc w:val="both"/>
        <w:rPr>
          <w:rFonts w:ascii="Arial" w:hAnsi="Arial" w:cs="Arial"/>
        </w:rPr>
      </w:pPr>
      <w:r>
        <w:rPr>
          <w:rFonts w:ascii="Arial" w:hAnsi="Arial" w:eastAsia="Arial" w:cs="Arial"/>
          <w:b/>
        </w:rPr>
        <w:t xml:space="preserve">11.2.</w:t>
      </w:r>
      <w:r>
        <w:rPr>
          <w:rFonts w:ascii="Arial" w:hAnsi="Arial" w:eastAsia="Arial" w:cs="Arial"/>
        </w:rPr>
        <w:t xml:space="preserve"> As alterações de preços em ata decorrentes de SRP obedecerão às seguintes regras:</w:t>
      </w:r>
      <w:r>
        <w:rPr>
          <w:rFonts w:ascii="Arial" w:hAnsi="Arial" w:cs="Arial"/>
        </w:rPr>
      </w:r>
      <w:r>
        <w:rPr>
          <w:rFonts w:ascii="Arial" w:hAnsi="Arial" w:cs="Arial"/>
        </w:rPr>
      </w:r>
    </w:p>
    <w:p>
      <w:pPr>
        <w:pStyle w:val="887"/>
        <w:pBdr/>
        <w:shd w:val="clear" w:color="auto" w:fill="ffffff"/>
        <w:spacing/>
        <w:ind w:firstLine="709"/>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hd w:val="clear" w:color="auto" w:fill="ffffff"/>
        <w:spacing/>
        <w:ind/>
        <w:jc w:val="both"/>
        <w:rPr>
          <w:rFonts w:ascii="Arial" w:hAnsi="Arial" w:cs="Arial"/>
        </w:rPr>
      </w:pPr>
      <w:r>
        <w:rPr>
          <w:rFonts w:ascii="Arial" w:hAnsi="Arial" w:eastAsia="Arial" w:cs="Arial"/>
        </w:rPr>
        <w:t xml:space="preserve">I - O preço registrado na ata não poderá ultrapassar o praticado no mercado.</w:t>
      </w:r>
      <w:r>
        <w:rPr>
          <w:rFonts w:ascii="Arial" w:hAnsi="Arial" w:cs="Arial"/>
        </w:rPr>
      </w:r>
      <w:r>
        <w:rPr>
          <w:rFonts w:ascii="Arial" w:hAnsi="Arial" w:cs="Arial"/>
        </w:rPr>
      </w:r>
    </w:p>
    <w:p>
      <w:pPr>
        <w:pStyle w:val="887"/>
        <w:pBdr/>
        <w:shd w:val="clear" w:color="auto" w:fill="ffffff"/>
        <w:spacing/>
        <w:ind w:hanging="425" w:left="1134"/>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hd w:val="clear" w:color="auto" w:fill="ffffff"/>
        <w:spacing/>
        <w:ind/>
        <w:jc w:val="both"/>
        <w:rPr>
          <w:rFonts w:ascii="Arial" w:hAnsi="Arial" w:cs="Arial"/>
        </w:rPr>
      </w:pPr>
      <w:r>
        <w:rPr>
          <w:rFonts w:ascii="Arial" w:hAnsi="Arial" w:eastAsia="Arial" w:cs="Arial"/>
        </w:rPr>
        <w:t xml:space="preserve">II</w:t>
      </w:r>
      <w:r>
        <w:rPr>
          <w:rFonts w:ascii="Arial" w:hAnsi="Arial" w:eastAsia="Arial" w:cs="Arial"/>
        </w:rPr>
        <w:t xml:space="preserve"> - O Órgão ou Entidade Gerenciadora poderá conceder aumento do preço registrado na ata, mediante pedido fundamentado do Detentor da ARP, devidamente instruído com os documentos necessários à comprovação dos fatos alegados, devendo obedecer ao que se segue:</w:t>
      </w:r>
      <w:r>
        <w:rPr>
          <w:rFonts w:ascii="Arial" w:hAnsi="Arial" w:cs="Arial"/>
        </w:rPr>
      </w:r>
      <w:r>
        <w:rPr>
          <w:rFonts w:ascii="Arial" w:hAnsi="Arial" w:cs="Arial"/>
        </w:rPr>
      </w:r>
    </w:p>
    <w:p>
      <w:pPr>
        <w:pStyle w:val="887"/>
        <w:pBdr/>
        <w:shd w:val="clear" w:color="auto" w:fill="ffffff"/>
        <w:spacing/>
        <w:ind w:firstLine="709"/>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hd w:val="clear" w:color="auto" w:fill="ffffff"/>
        <w:spacing/>
        <w:ind/>
        <w:jc w:val="both"/>
        <w:rPr>
          <w:rFonts w:ascii="Arial" w:hAnsi="Arial" w:cs="Arial"/>
        </w:rPr>
      </w:pPr>
      <w:r>
        <w:rPr>
          <w:rFonts w:ascii="Arial" w:hAnsi="Arial" w:eastAsia="Arial" w:cs="Arial"/>
          <w:b/>
        </w:rPr>
        <w:t xml:space="preserve">a)</w:t>
      </w:r>
      <w:r>
        <w:rPr>
          <w:rFonts w:ascii="Arial" w:hAnsi="Arial" w:eastAsia="Arial" w:cs="Arial"/>
        </w:rPr>
        <w:t xml:space="preserve"> manter, preferencialmente, a diferença percentual apurada na época da licitação entre o preço ofertado pelo licitante e o preço vigente no mercado à época do registro;</w:t>
      </w:r>
      <w:r>
        <w:rPr>
          <w:rFonts w:ascii="Arial" w:hAnsi="Arial" w:cs="Arial"/>
        </w:rPr>
      </w:r>
      <w:r>
        <w:rPr>
          <w:rFonts w:ascii="Arial" w:hAnsi="Arial" w:cs="Arial"/>
        </w:rPr>
      </w:r>
    </w:p>
    <w:p>
      <w:pPr>
        <w:pStyle w:val="887"/>
        <w:pBdr/>
        <w:shd w:val="clear" w:color="auto" w:fill="ffffff"/>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hd w:val="clear" w:color="auto" w:fill="ffffff"/>
        <w:spacing/>
        <w:ind/>
        <w:jc w:val="both"/>
        <w:rPr>
          <w:rFonts w:ascii="Arial" w:hAnsi="Arial" w:cs="Arial"/>
        </w:rPr>
      </w:pPr>
      <w:r>
        <w:rPr>
          <w:rFonts w:ascii="Arial" w:hAnsi="Arial" w:eastAsia="Arial" w:cs="Arial"/>
          <w:b/>
        </w:rPr>
        <w:t xml:space="preserve">b)</w:t>
      </w:r>
      <w:r>
        <w:rPr>
          <w:rFonts w:ascii="Arial" w:hAnsi="Arial" w:eastAsia="Arial" w:cs="Arial"/>
        </w:rPr>
        <w:t xml:space="preserve"> considerar o valor solicitado pelo Detentor como o máximo a ser concedido para a alteração;</w:t>
      </w:r>
      <w:r>
        <w:rPr>
          <w:rFonts w:ascii="Arial" w:hAnsi="Arial" w:cs="Arial"/>
        </w:rPr>
      </w:r>
      <w:r>
        <w:rPr>
          <w:rFonts w:ascii="Arial" w:hAnsi="Arial" w:cs="Arial"/>
        </w:rPr>
      </w:r>
    </w:p>
    <w:p>
      <w:pPr>
        <w:pStyle w:val="887"/>
        <w:pBdr/>
        <w:shd w:val="clear" w:color="auto" w:fill="ffffff"/>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hd w:val="clear" w:color="auto" w:fill="ffffff"/>
        <w:spacing/>
        <w:ind/>
        <w:jc w:val="both"/>
        <w:rPr>
          <w:rFonts w:ascii="Arial" w:hAnsi="Arial" w:cs="Arial"/>
        </w:rPr>
      </w:pPr>
      <w:r>
        <w:rPr>
          <w:rFonts w:ascii="Arial" w:hAnsi="Arial" w:eastAsia="Arial" w:cs="Arial"/>
          <w:b/>
        </w:rPr>
        <w:t xml:space="preserve">c)</w:t>
      </w:r>
      <w:r>
        <w:rPr>
          <w:rFonts w:ascii="Arial" w:hAnsi="Arial" w:eastAsia="Arial" w:cs="Arial"/>
        </w:rPr>
        <w:t xml:space="preserve"> poderá deferir valor menor daquele solicitado pelo Detentor.</w:t>
      </w:r>
      <w:r>
        <w:rPr>
          <w:rFonts w:ascii="Arial" w:hAnsi="Arial" w:cs="Arial"/>
        </w:rPr>
      </w:r>
      <w:r>
        <w:rPr>
          <w:rFonts w:ascii="Arial" w:hAnsi="Arial" w:cs="Arial"/>
        </w:rPr>
      </w:r>
    </w:p>
    <w:p>
      <w:pPr>
        <w:pStyle w:val="887"/>
        <w:pBdr/>
        <w:shd w:val="clear" w:color="auto" w:fill="ffffff"/>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hd w:val="clear" w:color="auto" w:fill="ffffff"/>
        <w:spacing/>
        <w:ind/>
        <w:jc w:val="both"/>
        <w:rPr>
          <w:rFonts w:ascii="Arial" w:hAnsi="Arial" w:cs="Arial"/>
        </w:rPr>
      </w:pPr>
      <w:r>
        <w:rPr>
          <w:rFonts w:ascii="Arial" w:hAnsi="Arial" w:eastAsia="Arial" w:cs="Arial"/>
          <w:b/>
        </w:rPr>
        <w:t xml:space="preserve">11.2.1.</w:t>
      </w:r>
      <w:r>
        <w:rPr>
          <w:rFonts w:ascii="Arial" w:hAnsi="Arial" w:eastAsia="Arial" w:cs="Arial"/>
        </w:rPr>
        <w:t xml:space="preserve"> A exceção à regra prevista na alínea “a” do subitem 11.2, deverá ser devidamente justificada no processo administrativo.</w:t>
      </w:r>
      <w:r>
        <w:rPr>
          <w:rFonts w:ascii="Arial" w:hAnsi="Arial" w:cs="Arial"/>
        </w:rPr>
      </w:r>
      <w:r>
        <w:rPr>
          <w:rFonts w:ascii="Arial" w:hAnsi="Arial" w:cs="Arial"/>
        </w:rPr>
      </w:r>
    </w:p>
    <w:p>
      <w:pPr>
        <w:pStyle w:val="887"/>
        <w:pBdr/>
        <w:shd w:val="clear" w:color="auto" w:fill="ffffff"/>
        <w:spacing/>
        <w:ind/>
        <w:jc w:val="both"/>
        <w:rPr>
          <w:rFonts w:ascii="Arial" w:hAnsi="Arial" w:cs="Arial"/>
        </w:rPr>
      </w:pPr>
      <w:r>
        <w:rPr>
          <w:rFonts w:ascii="Arial" w:hAnsi="Arial" w:eastAsia="Arial" w:cs="Arial"/>
        </w:rPr>
      </w:r>
      <w:r>
        <w:rPr>
          <w:rFonts w:ascii="Arial" w:hAnsi="Arial" w:cs="Arial"/>
        </w:rPr>
      </w:r>
      <w:r>
        <w:rPr>
          <w:rFonts w:ascii="Arial" w:hAnsi="Arial" w:cs="Arial"/>
        </w:rPr>
      </w:r>
    </w:p>
    <w:p w14:paraId="3F60C752">
      <w:pPr>
        <w:pBdr>
          <w:top w:val="none" w:color="000000" w:sz="4" w:space="0"/>
          <w:left w:val="none" w:color="000000" w:sz="4" w:space="0"/>
          <w:bottom w:val="none" w:color="000000" w:sz="4" w:space="0"/>
          <w:right w:val="none" w:color="000000" w:sz="4" w:space="0"/>
        </w:pBdr>
        <w:shd w:val="clear" w:color="auto" w:fill="ffffff"/>
        <w:spacing/>
        <w:ind/>
        <w:jc w:val="both"/>
        <w:rPr>
          <w:rFonts w:ascii="Arial" w:hAnsi="Arial" w:eastAsia="Arial" w:cs="Arial"/>
          <w14:ligatures w14:val="none"/>
        </w:rPr>
      </w:pPr>
      <w:r>
        <w:rPr>
          <w:rFonts w:ascii="Arial" w:hAnsi="Arial" w:eastAsia="Arial" w:cs="Arial"/>
          <w:b/>
          <w:bCs/>
        </w:rPr>
        <w:t xml:space="preserve">11.2.2.</w:t>
      </w:r>
      <w:r>
        <w:rPr>
          <w:rFonts w:ascii="Arial" w:hAnsi="Arial" w:eastAsia="Arial" w:cs="Arial"/>
        </w:rPr>
        <w:t xml:space="preserve"> </w:t>
      </w:r>
      <w:r>
        <w:rPr>
          <w:rFonts w:ascii="Arial" w:hAnsi="Arial" w:eastAsia="Arial" w:cs="Arial"/>
        </w:rPr>
        <w:t xml:space="preserve">Quando fato superveniente devidamente comprovado tornar o preço registrado incompatível com as condições do mercado ou comprometer o equilíbrio econômico-financeiro, o Detentor poderá requerer sua revisão, instruindo o pedido com documentação comprobatória</w:t>
      </w:r>
      <w:r>
        <w:rPr>
          <w:rFonts w:ascii="Arial" w:hAnsi="Arial" w:eastAsia="Arial" w:cs="Arial"/>
        </w:rPr>
        <w:t xml:space="preserve">.</w:t>
      </w:r>
      <w:r>
        <w:rPr>
          <w:rFonts w:ascii="Arial" w:hAnsi="Arial" w:eastAsia="Arial" w:cs="Arial"/>
        </w:rPr>
      </w:r>
      <w:r>
        <w:rPr>
          <w:rFonts w:ascii="Arial" w:hAnsi="Arial" w:eastAsia="Arial" w:cs="Arial"/>
          <w14:ligatures w14:val="none"/>
        </w:rPr>
      </w:r>
    </w:p>
    <w:p w14:paraId="05B9DE42">
      <w:pPr>
        <w:pBdr>
          <w:top w:val="none" w:color="000000" w:sz="4" w:space="0"/>
          <w:left w:val="none" w:color="000000" w:sz="4" w:space="0"/>
          <w:bottom w:val="none" w:color="000000" w:sz="4" w:space="0"/>
          <w:right w:val="none" w:color="000000" w:sz="4" w:space="0"/>
        </w:pBdr>
        <w:shd w:val="clear" w:color="auto" w:fill="ffffff"/>
        <w:spacing/>
        <w:ind/>
        <w:jc w:val="both"/>
        <w:rPr>
          <w:rFonts w:ascii="Arial" w:hAnsi="Arial" w:eastAsia="Arial" w:cs="Arial"/>
          <w14:ligatures w14:val="none"/>
        </w:rPr>
      </w:pPr>
      <w:r>
        <w:rPr>
          <w:rFonts w:ascii="Arial" w:hAnsi="Arial" w:eastAsia="Arial" w:cs="Arial"/>
          <w:highlight w:val="none"/>
        </w:rPr>
      </w:r>
      <w:r>
        <w:rPr>
          <w:rFonts w:ascii="Arial" w:hAnsi="Arial" w:eastAsia="Arial" w:cs="Arial"/>
          <w:highlight w:val="none"/>
        </w:rPr>
      </w:r>
      <w:r>
        <w:rPr>
          <w:rFonts w:ascii="Arial" w:hAnsi="Arial" w:eastAsia="Arial" w:cs="Arial"/>
          <w14:ligatures w14:val="none"/>
        </w:rPr>
      </w:r>
    </w:p>
    <w:p w14:paraId="45F19C1F">
      <w:pPr>
        <w:pBdr>
          <w:top w:val="none" w:color="000000" w:sz="4" w:space="0"/>
          <w:left w:val="none" w:color="000000" w:sz="4" w:space="0"/>
          <w:bottom w:val="none" w:color="000000" w:sz="4" w:space="0"/>
          <w:right w:val="none" w:color="000000" w:sz="4" w:space="0"/>
        </w:pBdr>
        <w:shd w:val="clear" w:color="auto" w:fill="ffffff"/>
        <w:spacing/>
        <w:ind/>
        <w:jc w:val="both"/>
        <w:rPr>
          <w:rFonts w:ascii="Arial" w:hAnsi="Arial" w:eastAsia="Arial" w:cs="Arial"/>
          <w:highlight w:val="none"/>
          <w14:ligatures w14:val="none"/>
        </w:rPr>
      </w:pPr>
      <w:r>
        <w:rPr>
          <w:rFonts w:ascii="Arial" w:hAnsi="Arial" w:eastAsia="Arial" w:cs="Arial"/>
          <w:b/>
          <w:bCs/>
        </w:rPr>
        <w:t xml:space="preserve">11.2.3.</w:t>
      </w:r>
      <w:r>
        <w:rPr>
          <w:rFonts w:ascii="Arial" w:hAnsi="Arial" w:eastAsia="Arial" w:cs="Arial"/>
        </w:rPr>
        <w:t xml:space="preserve"> O Órgão Gerenciador promoverá análise do pedido, pesquisa de mercado e, quando cabível, negociação com o fornecedor.</w:t>
      </w:r>
      <w:r>
        <w:rPr>
          <w:rFonts w:ascii="Arial" w:hAnsi="Arial" w:eastAsia="Arial" w:cs="Arial"/>
        </w:rPr>
      </w:r>
      <w:r>
        <w:rPr>
          <w:rFonts w:ascii="Arial" w:hAnsi="Arial" w:eastAsia="Arial" w:cs="Arial"/>
          <w:highlight w:val="none"/>
          <w14:ligatures w14:val="none"/>
        </w:rPr>
      </w:r>
    </w:p>
    <w:p w14:paraId="7E8312D5">
      <w:pPr>
        <w:pBdr>
          <w:top w:val="none" w:color="000000" w:sz="4" w:space="0"/>
          <w:left w:val="none" w:color="000000" w:sz="4" w:space="0"/>
          <w:bottom w:val="none" w:color="000000" w:sz="4" w:space="0"/>
          <w:right w:val="none" w:color="000000" w:sz="4" w:space="0"/>
        </w:pBdr>
        <w:shd w:val="clear" w:color="auto" w:fill="ffffff"/>
        <w:spacing/>
        <w:ind/>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rPr>
          <w:rFonts w:ascii="Times New Roman" w:hAnsi="Times New Roman" w:eastAsia="Times New Roman" w:cs="Times New Roman"/>
          <w:sz w:val="24"/>
          <w:szCs w:val="24"/>
        </w:rPr>
      </w:r>
    </w:p>
    <w:p w14:paraId="4E65AB69">
      <w:pPr>
        <w:pBdr>
          <w:top w:val="none" w:color="000000" w:sz="4" w:space="0"/>
          <w:left w:val="none" w:color="000000" w:sz="4" w:space="0"/>
          <w:bottom w:val="none" w:color="000000" w:sz="4" w:space="0"/>
          <w:right w:val="none" w:color="000000" w:sz="4" w:space="0"/>
        </w:pBdr>
        <w:shd w:val="clear" w:color="auto" w:fill="ffffff"/>
        <w:spacing/>
        <w:ind/>
        <w:jc w:val="both"/>
        <w:rPr>
          <w:rFonts w:ascii="Arial" w:hAnsi="Arial" w:eastAsia="Arial" w:cs="Arial"/>
          <w14:ligatures w14:val="none"/>
        </w:rPr>
      </w:pPr>
      <w:r>
        <w:rPr>
          <w:rFonts w:ascii="Arial" w:hAnsi="Arial" w:eastAsia="Arial" w:cs="Arial"/>
          <w:b/>
          <w:bCs/>
        </w:rPr>
        <w:t xml:space="preserve">11.2.4.</w:t>
      </w:r>
      <w:r>
        <w:rPr>
          <w:rFonts w:ascii="Arial" w:hAnsi="Arial" w:eastAsia="Arial" w:cs="Arial"/>
          <w:b/>
          <w:bCs/>
        </w:rPr>
        <w:t xml:space="preserve"> </w:t>
      </w:r>
      <w:r>
        <w:rPr>
          <w:rFonts w:ascii="Arial" w:hAnsi="Arial" w:eastAsia="Arial" w:cs="Arial"/>
        </w:rPr>
        <w:t xml:space="preserve">Não sendo possível manter o compromisso nas condições originalmente registradas e estando</w:t>
      </w:r>
      <w:r>
        <w:rPr>
          <w:rFonts w:ascii="Arial" w:hAnsi="Arial" w:eastAsia="Arial" w:cs="Arial"/>
        </w:rPr>
        <w:t xml:space="preserve"> comprovada a ocorrência de fato que justifique a revisão, serão adotadas as providências previstas na legislação e no Decreto Municipal nº 11.685/2023, inclusive neg</w:t>
      </w:r>
      <w:r>
        <w:rPr>
          <w:rFonts w:ascii="Arial" w:hAnsi="Arial" w:eastAsia="Arial" w:cs="Arial"/>
        </w:rPr>
        <w:t xml:space="preserve">ociação, eventual liberação do fornecedor e convocação do cadastro de reserva, conforme o caso.</w:t>
      </w:r>
      <w:r>
        <w:rPr>
          <w:rFonts w:ascii="Arial" w:hAnsi="Arial" w:eastAsia="Arial" w:cs="Arial"/>
        </w:rPr>
      </w:r>
      <w:r>
        <w:rPr>
          <w:rFonts w:ascii="Arial" w:hAnsi="Arial" w:eastAsia="Arial" w:cs="Arial"/>
          <w14:ligatures w14:val="none"/>
        </w:rPr>
      </w:r>
    </w:p>
    <w:p w14:paraId="5A49B6A3">
      <w:pPr>
        <w:pBdr>
          <w:top w:val="none" w:color="000000" w:sz="4" w:space="0"/>
          <w:left w:val="none" w:color="000000" w:sz="4" w:space="0"/>
          <w:bottom w:val="none" w:color="000000" w:sz="4" w:space="0"/>
          <w:right w:val="none" w:color="000000" w:sz="4" w:space="0"/>
        </w:pBdr>
        <w:shd w:val="clear" w:color="auto" w:fill="ffffff"/>
        <w:spacing/>
        <w:ind/>
        <w:jc w:val="both"/>
        <w:rPr>
          <w:rFonts w:ascii="Arial" w:hAnsi="Arial" w:eastAsia="Arial" w:cs="Arial"/>
          <w14:ligatures w14:val="none"/>
        </w:rPr>
      </w:pPr>
      <w:r>
        <w:rPr>
          <w:rFonts w:ascii="Arial" w:hAnsi="Arial" w:eastAsia="Arial" w:cs="Arial"/>
        </w:rPr>
      </w:r>
      <w:r>
        <w:rPr>
          <w:rFonts w:ascii="Arial" w:hAnsi="Arial" w:eastAsia="Arial" w:cs="Arial"/>
        </w:rPr>
      </w:r>
      <w:r>
        <w:rPr>
          <w:rFonts w:ascii="Arial" w:hAnsi="Arial" w:eastAsia="Arial" w:cs="Arial"/>
          <w14:ligatures w14:val="none"/>
        </w:rPr>
      </w:r>
    </w:p>
    <w:p>
      <w:pPr>
        <w:pStyle w:val="887"/>
        <w:pBdr/>
        <w:tabs>
          <w:tab w:val="clear" w:leader="none" w:pos="708"/>
          <w:tab w:val="left" w:leader="none" w:pos="7740"/>
        </w:tabs>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clear" w:leader="none" w:pos="708"/>
          <w:tab w:val="left" w:leader="none" w:pos="7740"/>
        </w:tabs>
        <w:spacing/>
        <w:ind/>
        <w:jc w:val="both"/>
        <w:rPr>
          <w:rFonts w:ascii="Arial" w:hAnsi="Arial" w:cs="Arial"/>
        </w:rPr>
      </w:pPr>
      <w:r>
        <w:rPr>
          <w:rFonts w:ascii="Arial" w:hAnsi="Arial" w:eastAsia="Arial" w:cs="Arial"/>
          <w:b/>
        </w:rPr>
        <w:t xml:space="preserve">11.2.5.</w:t>
      </w:r>
      <w:r>
        <w:rPr>
          <w:rFonts w:ascii="Arial" w:hAnsi="Arial" w:eastAsia="Arial" w:cs="Arial"/>
        </w:rPr>
        <w:t xml:space="preserve"> Não havendo êxito nas negociações, o órgão ou</w:t>
      </w:r>
      <w:r>
        <w:rPr>
          <w:rFonts w:ascii="Arial" w:hAnsi="Arial" w:eastAsia="Arial" w:cs="Arial"/>
        </w:rPr>
        <w:t xml:space="preserve"> a entidade gerenciadora poderá convocar os licitantes remanescentes ou integrantes do cadastro de reserva, se houver, ou proceder à revogação do item, ou de toda a ARP, conforme o caso, adotando as medidas cabíveis para obter a contratação mais vantajosa.</w:t>
      </w:r>
      <w:r>
        <w:rPr>
          <w:rFonts w:ascii="Arial" w:hAnsi="Arial" w:cs="Arial"/>
        </w:rPr>
      </w:r>
      <w:r>
        <w:rPr>
          <w:rFonts w:ascii="Arial" w:hAnsi="Arial" w:cs="Arial"/>
        </w:rPr>
      </w:r>
    </w:p>
    <w:p>
      <w:pPr>
        <w:pStyle w:val="887"/>
        <w:pBdr/>
        <w:tabs>
          <w:tab w:val="left" w:leader="none" w:pos="567"/>
          <w:tab w:val="clear" w:leader="none" w:pos="708"/>
          <w:tab w:val="left" w:leader="none" w:pos="7740"/>
        </w:tabs>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tabs>
          <w:tab w:val="left" w:leader="none" w:pos="567"/>
          <w:tab w:val="clear" w:leader="none" w:pos="708"/>
          <w:tab w:val="left" w:leader="none" w:pos="7740"/>
        </w:tabs>
        <w:spacing/>
        <w:ind/>
        <w:jc w:val="both"/>
        <w:rPr>
          <w:rFonts w:ascii="Arial" w:hAnsi="Arial" w:cs="Arial"/>
        </w:rPr>
      </w:pPr>
      <w:r>
        <w:rPr>
          <w:rFonts w:ascii="Arial" w:hAnsi="Arial" w:eastAsia="Arial" w:cs="Arial"/>
          <w:b/>
        </w:rPr>
        <w:t xml:space="preserve">11.2.6.</w:t>
      </w:r>
      <w:r>
        <w:rPr>
          <w:rFonts w:ascii="Arial" w:hAnsi="Arial" w:eastAsia="Arial" w:cs="Arial"/>
        </w:rPr>
        <w:t xml:space="preserve"> A solicitação de revisão de preço (s) d</w:t>
      </w:r>
      <w:r>
        <w:rPr>
          <w:rFonts w:ascii="Arial" w:hAnsi="Arial" w:eastAsia="Arial" w:cs="Arial"/>
        </w:rPr>
        <w:t xml:space="preserve">everá ser devidamente justificada e acompanhada de documentos comprobatórios da sua necessidade, originais ou cópias autenticadas, para análise em aproximadamente 30 (trinta) dias úteis, contados a partir da entrega da documentação completa pelo Detentor. </w:t>
      </w:r>
      <w:r>
        <w:rPr>
          <w:rFonts w:ascii="Arial" w:hAnsi="Arial" w:cs="Arial"/>
        </w:rPr>
      </w:r>
      <w:r>
        <w:rPr>
          <w:rFonts w:ascii="Arial" w:hAnsi="Arial" w:cs="Arial"/>
        </w:rPr>
      </w:r>
    </w:p>
    <w:p>
      <w:pPr>
        <w:pStyle w:val="887"/>
        <w:pBdr/>
        <w:tabs>
          <w:tab w:val="left" w:leader="none" w:pos="0"/>
          <w:tab w:val="clear" w:leader="none" w:pos="708"/>
          <w:tab w:val="left" w:leader="none" w:pos="7740"/>
        </w:tabs>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tabs>
          <w:tab w:val="left" w:leader="none" w:pos="0"/>
          <w:tab w:val="clear" w:leader="none" w:pos="708"/>
          <w:tab w:val="left" w:leader="none" w:pos="7740"/>
        </w:tabs>
        <w:spacing/>
        <w:ind/>
        <w:jc w:val="both"/>
        <w:rPr>
          <w:rFonts w:ascii="Arial" w:hAnsi="Arial" w:cs="Arial"/>
        </w:rPr>
      </w:pPr>
      <w:r>
        <w:rPr>
          <w:rFonts w:ascii="Arial" w:hAnsi="Arial" w:eastAsia="Arial" w:cs="Arial"/>
          <w:b/>
        </w:rPr>
        <w:t xml:space="preserve">11.3.</w:t>
      </w:r>
      <w:r>
        <w:rPr>
          <w:rFonts w:ascii="Arial" w:hAnsi="Arial" w:eastAsia="Arial" w:cs="Arial"/>
        </w:rPr>
        <w:t xml:space="preserve"> Os pedidos para revisão de preço ou substituição de marca deverão ser solicitados diretamente a Secretaria demandante.</w:t>
      </w:r>
      <w:r>
        <w:rPr>
          <w:rFonts w:ascii="Arial" w:hAnsi="Arial" w:cs="Arial"/>
        </w:rPr>
      </w:r>
      <w:r>
        <w:rPr>
          <w:rFonts w:ascii="Arial" w:hAnsi="Arial" w:cs="Arial"/>
        </w:rPr>
      </w:r>
    </w:p>
    <w:p>
      <w:pPr>
        <w:pStyle w:val="887"/>
        <w:pBdr/>
        <w:tabs>
          <w:tab w:val="clear" w:leader="none" w:pos="708"/>
          <w:tab w:val="left" w:leader="none" w:pos="7740"/>
        </w:tabs>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left" w:leader="none" w:pos="0"/>
          <w:tab w:val="clear" w:leader="none" w:pos="708"/>
          <w:tab w:val="left" w:leader="none" w:pos="7740"/>
        </w:tabs>
        <w:spacing/>
        <w:ind/>
        <w:jc w:val="both"/>
        <w:rPr>
          <w:rFonts w:ascii="Arial" w:hAnsi="Arial" w:cs="Arial"/>
        </w:rPr>
      </w:pPr>
      <w:r>
        <w:rPr>
          <w:rFonts w:ascii="Arial" w:hAnsi="Arial" w:eastAsia="Arial" w:cs="Arial"/>
          <w:b/>
        </w:rPr>
        <w:t xml:space="preserve">11.4.</w:t>
      </w:r>
      <w:r>
        <w:rPr>
          <w:rFonts w:ascii="Arial" w:hAnsi="Arial" w:eastAsia="Arial" w:cs="Arial"/>
        </w:rPr>
        <w:t xml:space="preserve"> Os pedidos de revisão de preço e de alteração de marca, enquanto não deferidos total ou parcialmente, não isentam o Detentor a dar continuidade às entregas nas condições vigentes.</w:t>
      </w:r>
      <w:r>
        <w:rPr>
          <w:rFonts w:ascii="Arial" w:hAnsi="Arial" w:cs="Arial"/>
        </w:rPr>
      </w:r>
      <w:r>
        <w:rPr>
          <w:rFonts w:ascii="Arial" w:hAnsi="Arial" w:cs="Arial"/>
        </w:rPr>
      </w:r>
    </w:p>
    <w:p>
      <w:pPr>
        <w:pStyle w:val="887"/>
        <w:pBdr/>
        <w:tabs>
          <w:tab w:val="clear" w:leader="none" w:pos="708"/>
          <w:tab w:val="left" w:leader="none" w:pos="7740"/>
        </w:tabs>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tabs>
          <w:tab w:val="left" w:leader="none" w:pos="0"/>
          <w:tab w:val="clear" w:leader="none" w:pos="708"/>
          <w:tab w:val="left" w:leader="none" w:pos="7740"/>
        </w:tabs>
        <w:spacing/>
        <w:ind/>
        <w:jc w:val="both"/>
        <w:rPr>
          <w:rFonts w:ascii="Arial" w:hAnsi="Arial" w:cs="Arial"/>
        </w:rPr>
      </w:pPr>
      <w:r>
        <w:rPr>
          <w:rFonts w:ascii="Arial" w:hAnsi="Arial" w:eastAsia="Arial" w:cs="Arial"/>
          <w:b/>
        </w:rPr>
        <w:t xml:space="preserve">11.5.</w:t>
      </w:r>
      <w:r>
        <w:rPr>
          <w:rFonts w:ascii="Arial" w:hAnsi="Arial" w:eastAsia="Arial" w:cs="Arial"/>
        </w:rPr>
        <w:t xml:space="preserve"> A alteração de preço e a substituição de marca somente terão validade a partir da publicação no Diário Oficial do Município - DIORONDON, produzindo todos os efeitos legais, não se exigindo nenhum outro instrumento jurídico formal para a sua efetivação. </w:t>
      </w:r>
      <w:r>
        <w:rPr>
          <w:rFonts w:ascii="Arial" w:hAnsi="Arial" w:cs="Arial"/>
        </w:rPr>
      </w:r>
      <w:r>
        <w:rPr>
          <w:rFonts w:ascii="Arial" w:hAnsi="Arial" w:cs="Arial"/>
        </w:rPr>
      </w:r>
    </w:p>
    <w:p>
      <w:pPr>
        <w:pStyle w:val="887"/>
        <w:pBdr/>
        <w:tabs>
          <w:tab w:val="clear" w:leader="none" w:pos="708"/>
          <w:tab w:val="left" w:leader="none" w:pos="7740"/>
        </w:tabs>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clear" w:leader="none" w:pos="708"/>
          <w:tab w:val="left" w:leader="none" w:pos="7740"/>
        </w:tabs>
        <w:spacing/>
        <w:ind/>
        <w:jc w:val="both"/>
        <w:rPr>
          <w:rFonts w:ascii="Arial" w:hAnsi="Arial" w:cs="Arial"/>
        </w:rPr>
      </w:pPr>
      <w:r>
        <w:rPr>
          <w:rFonts w:ascii="Arial" w:hAnsi="Arial" w:eastAsia="Arial" w:cs="Arial"/>
          <w:b/>
        </w:rPr>
        <w:t xml:space="preserve">11.5.1.</w:t>
      </w:r>
      <w:r>
        <w:rPr>
          <w:rFonts w:ascii="Arial" w:hAnsi="Arial" w:eastAsia="Arial" w:cs="Arial"/>
        </w:rPr>
        <w:t xml:space="preserve"> As alterações citadas no subitem anterior, valerão somente para as futuras contratações e não para as contratações já realizadas.</w:t>
      </w:r>
      <w:r>
        <w:rPr>
          <w:rFonts w:ascii="Arial" w:hAnsi="Arial" w:cs="Arial"/>
        </w:rPr>
      </w:r>
      <w:r>
        <w:rPr>
          <w:rFonts w:ascii="Arial" w:hAnsi="Arial" w:cs="Arial"/>
        </w:rPr>
      </w:r>
    </w:p>
    <w:p>
      <w:pPr>
        <w:pStyle w:val="887"/>
        <w:pBdr/>
        <w:tabs>
          <w:tab w:val="clear" w:leader="none" w:pos="708"/>
          <w:tab w:val="left" w:leader="none" w:pos="7740"/>
        </w:tabs>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clear" w:leader="none" w:pos="708"/>
          <w:tab w:val="left" w:leader="none" w:pos="1276"/>
          <w:tab w:val="left" w:leader="none" w:pos="7740"/>
        </w:tabs>
        <w:spacing/>
        <w:ind/>
        <w:jc w:val="both"/>
        <w:rPr>
          <w:rFonts w:ascii="Arial" w:hAnsi="Arial" w:cs="Arial"/>
        </w:rPr>
      </w:pPr>
      <w:r>
        <w:rPr>
          <w:rFonts w:ascii="Arial" w:hAnsi="Arial" w:eastAsia="Arial" w:cs="Arial"/>
          <w:b/>
        </w:rPr>
        <w:t xml:space="preserve">11.6.</w:t>
      </w:r>
      <w:r>
        <w:rPr>
          <w:rFonts w:ascii="Arial" w:hAnsi="Arial" w:eastAsia="Arial" w:cs="Arial"/>
        </w:rPr>
        <w:t xml:space="preserve"> A alteração dos preços registrados não altera automaticamente os preços dos contratos decorrentes do SRP, cuja revisão deverá ser feita pelo órgão contratante, observadas as disposições legais incidentes sobre os contratos.</w:t>
      </w:r>
      <w:r>
        <w:rPr>
          <w:rFonts w:ascii="Arial" w:hAnsi="Arial" w:cs="Arial"/>
        </w:rPr>
      </w:r>
      <w:r>
        <w:rPr>
          <w:rFonts w:ascii="Arial" w:hAnsi="Arial" w:cs="Arial"/>
        </w:rPr>
      </w:r>
    </w:p>
    <w:p>
      <w:pPr>
        <w:pStyle w:val="887"/>
        <w:pBdr/>
        <w:tabs>
          <w:tab w:val="clear" w:leader="none" w:pos="708"/>
          <w:tab w:val="left" w:leader="none" w:pos="7740"/>
        </w:tabs>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clear" w:leader="none" w:pos="708"/>
          <w:tab w:val="left" w:leader="none" w:pos="7740"/>
        </w:tabs>
        <w:spacing/>
        <w:ind/>
        <w:jc w:val="both"/>
        <w:rPr>
          <w:rFonts w:ascii="Arial" w:hAnsi="Arial" w:cs="Arial"/>
        </w:rPr>
      </w:pPr>
      <w:r>
        <w:rPr>
          <w:rFonts w:ascii="Arial" w:hAnsi="Arial" w:eastAsia="Arial" w:cs="Arial"/>
          <w:b/>
        </w:rPr>
        <w:t xml:space="preserve">11.7.</w:t>
      </w:r>
      <w:r>
        <w:rPr>
          <w:rFonts w:ascii="Arial" w:hAnsi="Arial" w:eastAsia="Arial" w:cs="Arial"/>
        </w:rPr>
        <w:t xml:space="preserve"> Será pago o preç</w:t>
      </w:r>
      <w:r>
        <w:rPr>
          <w:rFonts w:ascii="Arial" w:hAnsi="Arial" w:eastAsia="Arial" w:cs="Arial"/>
        </w:rPr>
        <w:t xml:space="preserve">o vigente na data em que as Notas de Empenho ou outros instrumentos equivalentes forem entregues ao Detentor, independentemente da data de entrega do(s) produto(s) na unidade requisitante, ou de qualquer revisão de preços deferida nesse intervalo de tempo.</w:t>
      </w:r>
      <w:r>
        <w:rPr>
          <w:rFonts w:ascii="Arial" w:hAnsi="Arial" w:cs="Arial"/>
        </w:rPr>
      </w:r>
      <w:r>
        <w:rPr>
          <w:rFonts w:ascii="Arial" w:hAnsi="Arial" w:cs="Arial"/>
        </w:rPr>
      </w:r>
    </w:p>
    <w:p>
      <w:pPr>
        <w:pStyle w:val="887"/>
        <w:pBdr/>
        <w:tabs>
          <w:tab w:val="clear" w:leader="none" w:pos="708"/>
          <w:tab w:val="left" w:leader="none" w:pos="7740"/>
        </w:tabs>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hanging="567" w:left="567"/>
        <w:jc w:val="both"/>
        <w:rPr>
          <w:rFonts w:ascii="Arial" w:hAnsi="Arial" w:cs="Arial"/>
        </w:rPr>
      </w:pPr>
      <w:r>
        <w:rPr>
          <w:rFonts w:ascii="Arial" w:hAnsi="Arial" w:eastAsia="Arial" w:cs="Arial"/>
          <w:b/>
        </w:rPr>
        <w:t xml:space="preserve">CLÁUSULA DÉCIMA SEGUNDA – DA PESQUISA DE PREÇOS</w:t>
      </w:r>
      <w:r>
        <w:rPr>
          <w:rFonts w:ascii="Arial" w:hAnsi="Arial" w:cs="Arial"/>
        </w:rPr>
      </w:r>
      <w:r>
        <w:rPr>
          <w:rFonts w:ascii="Arial" w:hAnsi="Arial" w:cs="Arial"/>
        </w:rPr>
      </w:r>
    </w:p>
    <w:p>
      <w:pPr>
        <w:pStyle w:val="887"/>
        <w:pBdr/>
        <w:spacing/>
        <w:ind w:hanging="567" w:left="567"/>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tabs>
          <w:tab w:val="left" w:leader="none" w:pos="426"/>
          <w:tab w:val="left" w:leader="none" w:pos="567"/>
          <w:tab w:val="clear" w:leader="none" w:pos="708"/>
        </w:tabs>
        <w:spacing/>
        <w:ind/>
        <w:jc w:val="both"/>
        <w:rPr>
          <w:rFonts w:ascii="Arial" w:hAnsi="Arial" w:cs="Arial"/>
        </w:rPr>
      </w:pPr>
      <w:r>
        <w:rPr>
          <w:rFonts w:ascii="Arial" w:hAnsi="Arial" w:eastAsia="Arial" w:cs="Arial"/>
          <w:b/>
        </w:rPr>
        <w:t xml:space="preserve">12.1.</w:t>
      </w:r>
      <w:r>
        <w:rPr>
          <w:rFonts w:ascii="Arial" w:hAnsi="Arial" w:eastAsia="Arial" w:cs="Arial"/>
        </w:rPr>
        <w:tab/>
        <w:t xml:space="preserve">As pesquisas de mercado deverão observar as disposições do Decreto nº 11.685, de 18 de setembro de 2023, podendo consistir em consultas ao mercado, publi</w:t>
      </w:r>
      <w:r>
        <w:rPr>
          <w:rFonts w:ascii="Arial" w:hAnsi="Arial" w:eastAsia="Arial" w:cs="Arial"/>
        </w:rPr>
        <w:t xml:space="preserve">cações especializadas, preços praticados no âmbito da administração pública, listas de instituições privadas e públicas de formação de preços ou outros meios praticados no mercado, ressalvadas as especificidades aplicáveis a obras e serviços de engenharia.</w:t>
      </w:r>
      <w:r>
        <w:rPr>
          <w:rFonts w:ascii="Arial" w:hAnsi="Arial" w:cs="Arial"/>
        </w:rPr>
      </w:r>
      <w:r>
        <w:rPr>
          <w:rFonts w:ascii="Arial" w:hAnsi="Arial" w:cs="Arial"/>
        </w:rPr>
      </w:r>
    </w:p>
    <w:p>
      <w:pPr>
        <w:pStyle w:val="887"/>
        <w:pBdr/>
        <w:spacing/>
        <w:ind w:hanging="709" w:left="1276"/>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12.1.1.</w:t>
      </w:r>
      <w:r>
        <w:rPr>
          <w:rFonts w:ascii="Arial" w:hAnsi="Arial" w:eastAsia="Arial" w:cs="Arial"/>
        </w:rPr>
        <w:tab/>
        <w:t xml:space="preserve">As consultas referidas no subitem anterior poderão ser realizadas por qualquer meio de comunicação, devendo ser certificadas pela autoridade competente.</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12.1.2. </w:t>
      </w:r>
      <w:r>
        <w:rPr>
          <w:rFonts w:ascii="Arial" w:hAnsi="Arial" w:eastAsia="Arial" w:cs="Arial"/>
        </w:rPr>
        <w:t xml:space="preserve">A pesquisa de preços, a critério do Órgão ou Entidade Gerenciadora ou da Autoridade competente</w:t>
      </w:r>
      <w:r>
        <w:rPr>
          <w:rFonts w:ascii="Arial" w:hAnsi="Arial" w:eastAsia="Arial" w:cs="Arial"/>
        </w:rPr>
        <w:t xml:space="preserve"> para autorizar a contratação, poderá ser repetida sempre que necessário à preservação do interesse público, na forma do Decreto nº 11.685, de 18 de setembro de 2023, considerado o tempo decorrido, a sazonalidade de mercado ou outras condições específicas.</w:t>
      </w:r>
      <w:r>
        <w:rPr>
          <w:rFonts w:ascii="Arial" w:hAnsi="Arial" w:cs="Arial"/>
        </w:rPr>
      </w:r>
      <w:r>
        <w:rPr>
          <w:rFonts w:ascii="Arial" w:hAnsi="Arial" w:cs="Arial"/>
        </w:rPr>
      </w:r>
    </w:p>
    <w:p>
      <w:pPr>
        <w:pStyle w:val="887"/>
        <w:pBdr/>
        <w:spacing/>
        <w:ind w:hanging="709" w:left="1276"/>
        <w:jc w:val="both"/>
        <w:rPr>
          <w:rFonts w:ascii="Arial" w:hAnsi="Arial" w:cs="Arial"/>
        </w:rPr>
      </w:pPr>
      <w:r>
        <w:rPr>
          <w:rFonts w:ascii="Arial" w:hAnsi="Arial" w:eastAsia="Arial" w:cs="Arial"/>
        </w:rPr>
        <w:t xml:space="preserve">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12.1.3. </w:t>
      </w:r>
      <w:r>
        <w:rPr>
          <w:rFonts w:ascii="Arial" w:hAnsi="Arial" w:eastAsia="Arial" w:cs="Arial"/>
        </w:rPr>
        <w:t xml:space="preserve">Será utilizada, preferencialmente, a média aritmética simples dos preços pesquisados como referência.</w:t>
      </w:r>
      <w:r>
        <w:rPr>
          <w:rFonts w:ascii="Arial" w:hAnsi="Arial" w:cs="Arial"/>
        </w:rPr>
      </w:r>
      <w:r>
        <w:rPr>
          <w:rFonts w:ascii="Arial" w:hAnsi="Arial" w:cs="Arial"/>
        </w:rPr>
      </w:r>
    </w:p>
    <w:p>
      <w:pPr>
        <w:pStyle w:val="887"/>
        <w:pBdr/>
        <w:spacing/>
        <w:ind w:hanging="709" w:left="1276"/>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12.1.4.</w:t>
      </w:r>
      <w:r>
        <w:rPr>
          <w:rFonts w:ascii="Arial" w:hAnsi="Arial" w:eastAsia="Arial" w:cs="Arial"/>
        </w:rPr>
        <w:t xml:space="preserve"> Qualquer alteração na forma da pesquisa de preço deverá ser devidamente motivada.</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color w:val="000000"/>
        </w:rPr>
      </w:pPr>
      <w:r>
        <w:rPr>
          <w:rFonts w:ascii="Arial" w:hAnsi="Arial" w:eastAsia="Arial" w:cs="Arial"/>
          <w:b/>
          <w:color w:val="000000"/>
        </w:rPr>
        <w:t xml:space="preserve">CLÁUSULA DÉCIMA TERCEIRA – DAS OBRIGAÇÕES DO ÓRGÃO GERENCIADOR DETENTOR DA ARP.</w:t>
      </w:r>
      <w:r>
        <w:rPr>
          <w:rFonts w:ascii="Arial" w:hAnsi="Arial" w:cs="Arial"/>
          <w:color w:val="000000"/>
        </w:rPr>
      </w:r>
      <w:r>
        <w:rPr>
          <w:rFonts w:ascii="Arial" w:hAnsi="Arial" w:cs="Arial"/>
          <w:color w:val="000000"/>
        </w:rPr>
      </w:r>
    </w:p>
    <w:p>
      <w:pPr>
        <w:pStyle w:val="887"/>
        <w:numPr>
          <w:ilvl w:val="0"/>
          <w:numId w:val="2"/>
        </w:numPr>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numPr>
          <w:ilvl w:val="0"/>
          <w:numId w:val="2"/>
        </w:numPr>
        <w:pBdr/>
        <w:spacing/>
        <w:ind/>
        <w:jc w:val="both"/>
        <w:rPr>
          <w:rFonts w:ascii="Arial" w:hAnsi="Arial" w:cs="Arial"/>
        </w:rPr>
      </w:pPr>
      <w:r>
        <w:rPr>
          <w:rFonts w:ascii="Arial" w:hAnsi="Arial" w:eastAsia="Arial" w:cs="Arial"/>
          <w:b/>
        </w:rPr>
        <w:t xml:space="preserve">13.1.</w:t>
      </w:r>
      <w:r>
        <w:rPr>
          <w:rFonts w:ascii="Arial" w:hAnsi="Arial" w:eastAsia="Arial" w:cs="Arial"/>
        </w:rPr>
        <w:t xml:space="preserve"> As obrigações do Órgão ou da Entidade Gerenciadora, e do Detentor da ARP constam do Edital.</w:t>
      </w:r>
      <w:r>
        <w:rPr>
          <w:rFonts w:ascii="Arial" w:hAnsi="Arial" w:cs="Arial"/>
        </w:rPr>
      </w:r>
      <w:r>
        <w:rPr>
          <w:rFonts w:ascii="Arial" w:hAnsi="Arial" w:cs="Arial"/>
        </w:rPr>
      </w:r>
    </w:p>
    <w:p>
      <w:pPr>
        <w:pStyle w:val="887"/>
        <w:numPr>
          <w:ilvl w:val="0"/>
          <w:numId w:val="2"/>
        </w:numPr>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numPr>
          <w:ilvl w:val="0"/>
          <w:numId w:val="2"/>
        </w:numPr>
        <w:pBdr/>
        <w:spacing/>
        <w:ind/>
        <w:jc w:val="both"/>
        <w:rPr>
          <w:rFonts w:ascii="Arial" w:hAnsi="Arial" w:cs="Arial"/>
          <w:color w:val="000000"/>
        </w:rPr>
      </w:pPr>
      <w:r>
        <w:rPr>
          <w:rFonts w:ascii="Arial" w:hAnsi="Arial" w:eastAsia="Arial" w:cs="Arial"/>
          <w:b/>
        </w:rPr>
        <w:t xml:space="preserve">13</w:t>
      </w:r>
      <w:r>
        <w:rPr>
          <w:rFonts w:ascii="Arial" w:hAnsi="Arial" w:eastAsia="Arial" w:cs="Arial"/>
          <w:b/>
          <w:color w:val="000000"/>
          <w:shd w:val="clear" w:color="auto" w:fill="ffffff"/>
        </w:rPr>
        <w:t xml:space="preserve">.2.</w:t>
      </w:r>
      <w:r>
        <w:rPr>
          <w:rFonts w:ascii="Arial" w:hAnsi="Arial" w:eastAsia="Arial" w:cs="Arial"/>
          <w:color w:val="000000"/>
          <w:shd w:val="clear" w:color="auto" w:fill="ffffff"/>
        </w:rPr>
        <w:t xml:space="preserve"> Co</w:t>
      </w:r>
      <w:r>
        <w:rPr>
          <w:rFonts w:ascii="Arial" w:hAnsi="Arial" w:eastAsia="Arial" w:cs="Arial"/>
          <w:color w:val="000000"/>
          <w:shd w:val="clear" w:color="auto" w:fill="ffffff"/>
        </w:rPr>
        <w:t xml:space="preserve">nceder livre acesso aos documentos e registros contábeis da empresa, referente ao objeto da licitação, para os servidores ou empregados do órgão ou entidade contratante e dos órgãos de controle interno e externo, conforme Art. 169, § 2º da Lei 14.133/2021.</w:t>
      </w:r>
      <w:r>
        <w:rPr>
          <w:rFonts w:ascii="Arial" w:hAnsi="Arial" w:cs="Arial"/>
          <w:color w:val="000000"/>
        </w:rPr>
      </w:r>
      <w:r>
        <w:rPr>
          <w:rFonts w:ascii="Arial" w:hAnsi="Arial" w:cs="Arial"/>
          <w:color w:val="000000"/>
        </w:rPr>
      </w:r>
    </w:p>
    <w:p>
      <w:pPr>
        <w:pStyle w:val="887"/>
        <w:numPr>
          <w:ilvl w:val="0"/>
          <w:numId w:val="2"/>
        </w:numPr>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numPr>
          <w:ilvl w:val="0"/>
          <w:numId w:val="2"/>
        </w:numPr>
        <w:pBdr/>
        <w:spacing/>
        <w:ind/>
        <w:jc w:val="both"/>
        <w:rPr>
          <w:rFonts w:ascii="Arial" w:hAnsi="Arial" w:cs="Arial"/>
        </w:rPr>
      </w:pPr>
      <w:r>
        <w:rPr>
          <w:rFonts w:ascii="Arial" w:hAnsi="Arial" w:eastAsia="Arial" w:cs="Arial"/>
          <w:b/>
          <w:bCs/>
        </w:rPr>
        <w:t xml:space="preserve">CLÁUSULA DÉCIMA QUARTA – DO CANCELAMENTO DO REGISTRO DE PREÇOS</w:t>
      </w:r>
      <w:r>
        <w:rPr>
          <w:rFonts w:ascii="Arial" w:hAnsi="Arial" w:eastAsia="Arial" w:cs="Arial"/>
        </w:rPr>
        <w:t xml:space="preserve">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left" w:leader="none" w:pos="567"/>
          <w:tab w:val="clear" w:leader="none" w:pos="708"/>
        </w:tabs>
        <w:spacing/>
        <w:ind/>
        <w:jc w:val="both"/>
        <w:rPr>
          <w:rFonts w:ascii="Arial" w:hAnsi="Arial" w:cs="Arial"/>
        </w:rPr>
      </w:pPr>
      <w:r>
        <w:rPr>
          <w:rFonts w:ascii="Arial" w:hAnsi="Arial" w:eastAsia="Arial" w:cs="Arial"/>
          <w:b/>
          <w:color w:val="000000"/>
        </w:rPr>
        <w:t xml:space="preserve">14.1. </w:t>
      </w:r>
      <w:r>
        <w:rPr>
          <w:rFonts w:ascii="Arial" w:hAnsi="Arial" w:eastAsia="Arial" w:cs="Arial"/>
          <w:color w:val="000000"/>
        </w:rPr>
        <w:t xml:space="preserve">O Órgão ou Entidade Gerenciadora poderá cancelar o registro de preços do </w:t>
      </w:r>
      <w:r>
        <w:rPr>
          <w:rFonts w:ascii="Arial" w:hAnsi="Arial" w:eastAsia="Arial" w:cs="Arial"/>
        </w:rPr>
        <w:t xml:space="preserve">Detentor, total ou parcialmente,</w:t>
      </w:r>
      <w:r>
        <w:rPr>
          <w:rFonts w:ascii="Arial" w:hAnsi="Arial" w:eastAsia="Arial" w:cs="Arial"/>
          <w:color w:val="000000"/>
        </w:rPr>
        <w:t xml:space="preserve"> observados o contraditório e a ampla defesa, nos seguintes casos:</w:t>
      </w:r>
      <w:r>
        <w:rPr>
          <w:rFonts w:ascii="Arial" w:hAnsi="Arial" w:cs="Arial"/>
        </w:rPr>
      </w:r>
      <w:r>
        <w:rPr>
          <w:rFonts w:ascii="Arial" w:hAnsi="Arial" w:cs="Arial"/>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I </w:t>
      </w:r>
      <w:r>
        <w:rPr>
          <w:rFonts w:ascii="Arial" w:hAnsi="Arial" w:eastAsia="Arial" w:cs="Arial"/>
          <w:color w:val="000000"/>
        </w:rPr>
        <w:t xml:space="preserve">– Descumprimento parcial ou total, por parte do detentor, das condições da ARP;</w:t>
      </w:r>
      <w:r>
        <w:rPr>
          <w:rFonts w:ascii="Arial" w:hAnsi="Arial" w:cs="Arial"/>
        </w:rPr>
      </w:r>
      <w:r>
        <w:rPr>
          <w:rFonts w:ascii="Arial" w:hAnsi="Arial" w:cs="Arial"/>
        </w:rPr>
      </w:r>
    </w:p>
    <w:p>
      <w:pPr>
        <w:pStyle w:val="887"/>
        <w:pBdr/>
        <w:spacing/>
        <w:ind/>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color w:val="000000"/>
        </w:rPr>
        <w:t xml:space="preserve">II</w:t>
      </w:r>
      <w:r>
        <w:rPr>
          <w:rFonts w:ascii="Arial" w:hAnsi="Arial" w:eastAsia="Arial" w:cs="Arial"/>
          <w:color w:val="000000"/>
        </w:rPr>
        <w:t xml:space="preserve"> – Quando o detentor não atender à convocação para firmar as obrigações contratuais decorrentes do registro de preços, não retirar ou não aceitar o instrumento equivalente no prazo estabelecido pelo órgão ou entidade gerenciadora;</w:t>
      </w:r>
      <w:r>
        <w:rPr>
          <w:rFonts w:ascii="Arial" w:hAnsi="Arial" w:cs="Arial"/>
        </w:rPr>
      </w:r>
      <w:r>
        <w:rPr>
          <w:rFonts w:ascii="Arial" w:hAnsi="Arial" w:cs="Arial"/>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III</w:t>
      </w:r>
      <w:r>
        <w:rPr>
          <w:rFonts w:ascii="Arial" w:hAnsi="Arial" w:eastAsia="Arial" w:cs="Arial"/>
          <w:color w:val="000000"/>
        </w:rPr>
        <w:t xml:space="preserve"> – Nas hipóteses de inexecução parcial ou total do contrato decorrente da ARP;</w:t>
      </w:r>
      <w:r>
        <w:rPr>
          <w:rFonts w:ascii="Arial" w:hAnsi="Arial" w:cs="Arial"/>
        </w:rPr>
      </w:r>
      <w:r>
        <w:rPr>
          <w:rFonts w:ascii="Arial" w:hAnsi="Arial" w:cs="Arial"/>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IV</w:t>
      </w:r>
      <w:r>
        <w:rPr>
          <w:rFonts w:ascii="Arial" w:hAnsi="Arial" w:eastAsia="Arial" w:cs="Arial"/>
          <w:color w:val="000000"/>
        </w:rPr>
        <w:t xml:space="preserve"> – Nas hipóteses dos preços registrados não estiverem compatíveis com os praticados no mercado e o detentor se recusar a adequá-los na forma solicitada pelo órgão ou pela entidade </w:t>
      </w:r>
      <w:r>
        <w:rPr>
          <w:rFonts w:ascii="Arial" w:hAnsi="Arial" w:eastAsia="Arial" w:cs="Arial"/>
        </w:rPr>
        <w:t xml:space="preserve">gerenciadora, prevista no edital e na ARP, </w:t>
      </w:r>
      <w:r>
        <w:rPr>
          <w:rFonts w:ascii="Arial" w:hAnsi="Arial" w:eastAsia="Arial" w:cs="Arial"/>
          <w:color w:val="000000"/>
        </w:rPr>
        <w:t xml:space="preserve">observado o disposto nos arts. 309 e 310 do Decreto Municipal nº 11.685/2023;</w:t>
      </w:r>
      <w:r>
        <w:rPr>
          <w:rFonts w:ascii="Arial" w:hAnsi="Arial" w:cs="Arial"/>
        </w:rPr>
      </w:r>
      <w:r>
        <w:rPr>
          <w:rFonts w:ascii="Arial" w:hAnsi="Arial" w:cs="Arial"/>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V</w:t>
      </w:r>
      <w:r>
        <w:rPr>
          <w:rFonts w:ascii="Arial" w:hAnsi="Arial" w:eastAsia="Arial" w:cs="Arial"/>
          <w:color w:val="000000"/>
        </w:rPr>
        <w:t xml:space="preserve"> – Por razões de interesse público, reduzida a termo no processo;</w:t>
      </w:r>
      <w:r>
        <w:rPr>
          <w:rFonts w:ascii="Arial" w:hAnsi="Arial" w:cs="Arial"/>
        </w:rPr>
      </w:r>
      <w:r>
        <w:rPr>
          <w:rFonts w:ascii="Arial" w:hAnsi="Arial" w:cs="Arial"/>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VI</w:t>
      </w:r>
      <w:r>
        <w:rPr>
          <w:rFonts w:ascii="Arial" w:hAnsi="Arial" w:eastAsia="Arial" w:cs="Arial"/>
          <w:color w:val="000000"/>
        </w:rPr>
        <w:t xml:space="preserve"> – Por fato s</w:t>
      </w:r>
      <w:r>
        <w:rPr>
          <w:rFonts w:ascii="Arial" w:hAnsi="Arial" w:eastAsia="Arial" w:cs="Arial"/>
          <w:color w:val="000000"/>
        </w:rPr>
        <w:t xml:space="preserve">uperveniente, decorrente de caso de força maior, caso fortuito ou fato do príncipe ou em decorrência de fatos imprevisíveis ou previsíveis de consequências incalculáveis, que inviabilizem a execução das obrigações previstas na ata, devidamente demonstrado;</w:t>
      </w:r>
      <w:r>
        <w:rPr>
          <w:rFonts w:ascii="Arial" w:hAnsi="Arial" w:cs="Arial"/>
        </w:rPr>
      </w:r>
      <w:r>
        <w:rPr>
          <w:rFonts w:ascii="Arial" w:hAnsi="Arial" w:cs="Arial"/>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VII</w:t>
      </w:r>
      <w:r>
        <w:rPr>
          <w:rFonts w:ascii="Arial" w:hAnsi="Arial" w:eastAsia="Arial" w:cs="Arial"/>
          <w:color w:val="000000"/>
        </w:rPr>
        <w:t xml:space="preserve"> – Quando o detentor for </w:t>
      </w:r>
      <w:r>
        <w:rPr>
          <w:rFonts w:ascii="Arial" w:hAnsi="Arial" w:eastAsia="Arial" w:cs="Arial"/>
        </w:rPr>
        <w:t xml:space="preserve">suspenso ou </w:t>
      </w:r>
      <w:r>
        <w:rPr>
          <w:rFonts w:ascii="Arial" w:hAnsi="Arial" w:eastAsia="Arial" w:cs="Arial"/>
          <w:color w:val="000000"/>
        </w:rPr>
        <w:t xml:space="preserve">impedido de licitar e contratar com a administração municipal;</w:t>
      </w:r>
      <w:r>
        <w:rPr>
          <w:rFonts w:ascii="Arial" w:hAnsi="Arial" w:cs="Arial"/>
        </w:rPr>
      </w:r>
      <w:r>
        <w:rPr>
          <w:rFonts w:ascii="Arial" w:hAnsi="Arial" w:cs="Arial"/>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VIII</w:t>
      </w:r>
      <w:r>
        <w:rPr>
          <w:rFonts w:ascii="Arial" w:hAnsi="Arial" w:eastAsia="Arial" w:cs="Arial"/>
          <w:color w:val="000000"/>
        </w:rPr>
        <w:t xml:space="preserve"> – Quando o detentor for declarado inidôneo para licitar ou contratar com a administração pública;</w:t>
      </w:r>
      <w:r>
        <w:rPr>
          <w:rFonts w:ascii="Arial" w:hAnsi="Arial" w:cs="Arial"/>
        </w:rPr>
      </w:r>
      <w:r>
        <w:rPr>
          <w:rFonts w:ascii="Arial" w:hAnsi="Arial" w:cs="Arial"/>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IX</w:t>
      </w:r>
      <w:r>
        <w:rPr>
          <w:rFonts w:ascii="Arial" w:hAnsi="Arial" w:eastAsia="Arial" w:cs="Arial"/>
          <w:color w:val="000000"/>
        </w:rPr>
        <w:t xml:space="preserve"> – Amigavelmente, por acordo entre as partes, reduzida a termo no processo, desde que haja conveniência para a administração;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color w:val="000000"/>
        </w:rPr>
        <w:t xml:space="preserve">X</w:t>
      </w:r>
      <w:r>
        <w:rPr>
          <w:rFonts w:ascii="Arial" w:hAnsi="Arial" w:eastAsia="Arial" w:cs="Arial"/>
          <w:color w:val="000000"/>
        </w:rPr>
        <w:t xml:space="preserve"> – Por ordem judicial.</w:t>
      </w:r>
      <w:r>
        <w:rPr>
          <w:rFonts w:ascii="Arial" w:hAnsi="Arial" w:cs="Arial"/>
        </w:rPr>
      </w:r>
      <w:r>
        <w:rPr>
          <w:rFonts w:ascii="Arial" w:hAnsi="Arial" w:cs="Arial"/>
        </w:rPr>
      </w:r>
    </w:p>
    <w:p>
      <w:pPr>
        <w:pStyle w:val="887"/>
        <w:pBdr/>
        <w:tabs>
          <w:tab w:val="clear" w:leader="none" w:pos="708"/>
          <w:tab w:val="left" w:leader="none" w:pos="1276"/>
        </w:tabs>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tabs>
          <w:tab w:val="clear" w:leader="none" w:pos="708"/>
          <w:tab w:val="left" w:leader="none" w:pos="1276"/>
        </w:tabs>
        <w:spacing/>
        <w:ind/>
        <w:jc w:val="both"/>
        <w:rPr>
          <w:rFonts w:ascii="Arial" w:hAnsi="Arial" w:cs="Arial"/>
        </w:rPr>
      </w:pPr>
      <w:r>
        <w:rPr>
          <w:rFonts w:ascii="Arial" w:hAnsi="Arial" w:eastAsia="Arial" w:cs="Arial"/>
          <w:b/>
        </w:rPr>
        <w:t xml:space="preserve">XI</w:t>
      </w:r>
      <w:r>
        <w:rPr>
          <w:rFonts w:ascii="Arial" w:hAnsi="Arial" w:eastAsia="Arial" w:cs="Arial"/>
        </w:rPr>
        <w:t xml:space="preserve"> - No caso de alteração social ou modificação da finalidade ou da estrutura da empresa que restrinja sua capacidade de concluir o contrato.</w:t>
      </w:r>
      <w:r>
        <w:rPr>
          <w:rFonts w:ascii="Arial" w:hAnsi="Arial" w:cs="Arial"/>
        </w:rPr>
      </w:r>
      <w:r>
        <w:rPr>
          <w:rFonts w:ascii="Arial" w:hAnsi="Arial" w:cs="Arial"/>
        </w:rPr>
      </w:r>
    </w:p>
    <w:p>
      <w:pPr>
        <w:pStyle w:val="887"/>
        <w:pBdr/>
        <w:tabs>
          <w:tab w:val="clear" w:leader="none" w:pos="708"/>
          <w:tab w:val="left" w:leader="none" w:pos="1276"/>
        </w:tabs>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rPr>
        <w:t xml:space="preserve">XII</w:t>
      </w:r>
      <w:r>
        <w:rPr>
          <w:rFonts w:ascii="Arial" w:hAnsi="Arial" w:eastAsia="Arial" w:cs="Arial"/>
        </w:rPr>
        <w:t xml:space="preserve"> - Nos casos em que o Detentor estiver envolvido em casos de corrupção, nos termos da Lei Federal nº 12.846, de 1º de agosto de 2013. </w:t>
      </w:r>
      <w:r>
        <w:rPr>
          <w:rFonts w:ascii="Arial" w:hAnsi="Arial" w:cs="Arial"/>
        </w:rPr>
      </w:r>
      <w:r>
        <w:rPr>
          <w:rFonts w:ascii="Arial" w:hAnsi="Arial" w:cs="Arial"/>
        </w:rPr>
      </w:r>
    </w:p>
    <w:p>
      <w:pPr>
        <w:pStyle w:val="887"/>
        <w:pBdr/>
        <w:tabs>
          <w:tab w:val="clear" w:leader="none" w:pos="708"/>
          <w:tab w:val="left" w:leader="none" w:pos="1276"/>
        </w:tabs>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rPr>
        <w:t xml:space="preserve">XIII</w:t>
      </w:r>
      <w:r>
        <w:rPr>
          <w:rFonts w:ascii="Arial" w:hAnsi="Arial" w:eastAsia="Arial" w:cs="Arial"/>
        </w:rPr>
        <w:t xml:space="preserve"> – No caso de não cumprimento da regra referente à subcontratação prevista no Edital.</w:t>
      </w:r>
      <w:r>
        <w:rPr>
          <w:rFonts w:ascii="Arial" w:hAnsi="Arial" w:cs="Arial"/>
        </w:rPr>
      </w:r>
      <w:r>
        <w:rPr>
          <w:rFonts w:ascii="Arial" w:hAnsi="Arial" w:cs="Arial"/>
        </w:rPr>
      </w:r>
    </w:p>
    <w:p>
      <w:pPr>
        <w:pStyle w:val="887"/>
        <w:pBdr/>
        <w:tabs>
          <w:tab w:val="left" w:leader="none" w:pos="567"/>
          <w:tab w:val="clear" w:leader="none" w:pos="708"/>
          <w:tab w:val="left" w:leader="none" w:pos="709"/>
        </w:tabs>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tabs>
          <w:tab w:val="left" w:leader="none" w:pos="567"/>
          <w:tab w:val="clear" w:leader="none" w:pos="708"/>
          <w:tab w:val="left" w:leader="none" w:pos="709"/>
        </w:tabs>
        <w:spacing/>
        <w:ind/>
        <w:jc w:val="both"/>
        <w:rPr>
          <w:rFonts w:ascii="Arial" w:hAnsi="Arial" w:cs="Arial"/>
        </w:rPr>
      </w:pPr>
      <w:r>
        <w:rPr>
          <w:rFonts w:ascii="Arial" w:hAnsi="Arial" w:eastAsia="Arial" w:cs="Arial"/>
          <w:b/>
        </w:rPr>
        <w:t xml:space="preserve">14.2. </w:t>
      </w:r>
      <w:r>
        <w:rPr>
          <w:rFonts w:ascii="Arial" w:hAnsi="Arial" w:eastAsia="Arial" w:cs="Arial"/>
        </w:rPr>
        <w:t xml:space="preserve">A notificação do Órgã</w:t>
      </w:r>
      <w:r>
        <w:rPr>
          <w:rFonts w:ascii="Arial" w:hAnsi="Arial" w:eastAsia="Arial" w:cs="Arial"/>
        </w:rPr>
        <w:t xml:space="preserve">o ou Entidade Gerenciadora para o cancelamento do preço registrado será enviada diretamente ao Detentor da ARP por ofício, correspondência eletrônica ou por outro meio eficaz, e no caso da ausência do recebimento, a notificação será publicada no DIORONDON.</w:t>
      </w:r>
      <w:r>
        <w:rPr>
          <w:rFonts w:ascii="Arial" w:hAnsi="Arial" w:cs="Arial"/>
        </w:rPr>
      </w:r>
      <w:r>
        <w:rPr>
          <w:rFonts w:ascii="Arial" w:hAnsi="Arial" w:cs="Arial"/>
        </w:rPr>
      </w:r>
    </w:p>
    <w:p>
      <w:pPr>
        <w:pStyle w:val="887"/>
        <w:pBdr/>
        <w:tabs>
          <w:tab w:val="clear" w:leader="none" w:pos="708"/>
          <w:tab w:val="left" w:leader="none" w:pos="1276"/>
        </w:tabs>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tabs>
          <w:tab w:val="clear" w:leader="none" w:pos="708"/>
          <w:tab w:val="left" w:leader="none" w:pos="1211"/>
        </w:tabs>
        <w:spacing/>
        <w:ind/>
        <w:jc w:val="both"/>
        <w:rPr>
          <w:rFonts w:ascii="Arial" w:hAnsi="Arial" w:cs="Arial"/>
        </w:rPr>
      </w:pPr>
      <w:r>
        <w:rPr>
          <w:rFonts w:ascii="Arial" w:hAnsi="Arial" w:eastAsia="Arial" w:cs="Arial"/>
          <w:b/>
        </w:rPr>
        <w:t xml:space="preserve">14.3.</w:t>
      </w:r>
      <w:r>
        <w:rPr>
          <w:rFonts w:ascii="Arial" w:hAnsi="Arial" w:eastAsia="Arial" w:cs="Arial"/>
        </w:rPr>
        <w:t xml:space="preserve"> A solicitação do Detentor para cancelamento do registro de preço deverá ser formulada por escrito, assegurando-se o fornecimento do bem regis</w:t>
      </w:r>
      <w:r>
        <w:rPr>
          <w:rFonts w:ascii="Arial" w:hAnsi="Arial" w:eastAsia="Arial" w:cs="Arial"/>
        </w:rPr>
        <w:t xml:space="preserve">trado por prazo mínimo de quarenta e cinco dias, contado a partir da comprovação do recebimento da solicitação do cancelamento, salvo na hipótese da impossibilidade de seu cumprimento, devidamente justificada e aprovada pelo Órgão ou Entidade Gerenciadora.</w:t>
      </w:r>
      <w:r>
        <w:rPr>
          <w:rFonts w:ascii="Arial" w:hAnsi="Arial" w:cs="Arial"/>
        </w:rPr>
      </w:r>
      <w:r>
        <w:rPr>
          <w:rFonts w:ascii="Arial" w:hAnsi="Arial" w:cs="Arial"/>
        </w:rPr>
      </w:r>
    </w:p>
    <w:p>
      <w:pPr>
        <w:pStyle w:val="887"/>
        <w:pBdr/>
        <w:shd w:val="clear" w:color="auto" w:fill="ffffff"/>
        <w:tabs>
          <w:tab w:val="left" w:leader="none" w:pos="567"/>
          <w:tab w:val="clear" w:leader="none" w:pos="708"/>
        </w:tabs>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hd w:val="clear" w:color="auto" w:fill="ffffff"/>
        <w:tabs>
          <w:tab w:val="left" w:leader="none" w:pos="567"/>
          <w:tab w:val="clear" w:leader="none" w:pos="708"/>
        </w:tabs>
        <w:spacing/>
        <w:ind/>
        <w:jc w:val="both"/>
        <w:rPr>
          <w:rFonts w:ascii="Arial" w:hAnsi="Arial" w:cs="Arial"/>
        </w:rPr>
      </w:pPr>
      <w:r>
        <w:rPr>
          <w:rFonts w:ascii="Arial" w:hAnsi="Arial" w:eastAsia="Arial" w:cs="Arial"/>
          <w:b/>
        </w:rPr>
        <w:t xml:space="preserve">14.4. </w:t>
      </w:r>
      <w:r>
        <w:rPr>
          <w:rFonts w:ascii="Arial" w:hAnsi="Arial" w:eastAsia="Arial" w:cs="Arial"/>
        </w:rPr>
        <w:t xml:space="preserve">O Detentor poderá solicitar</w:t>
      </w:r>
      <w:r>
        <w:rPr>
          <w:rFonts w:ascii="Arial" w:hAnsi="Arial" w:eastAsia="Arial" w:cs="Arial"/>
        </w:rPr>
        <w:t xml:space="preserve"> o cancelamento do seu preço registrado na ocorrência de fato superveniente decorrente de caso fortuito ou de força maior, devidamente comprovados, bem como nas hipóteses compreendidas na legislação aplicável a que venham comprometer o fornecimento do bem.</w:t>
      </w:r>
      <w:r>
        <w:rPr>
          <w:rFonts w:ascii="Arial" w:hAnsi="Arial" w:cs="Arial"/>
        </w:rPr>
      </w:r>
      <w:r>
        <w:rPr>
          <w:rFonts w:ascii="Arial" w:hAnsi="Arial" w:cs="Arial"/>
        </w:rPr>
      </w:r>
    </w:p>
    <w:p>
      <w:pPr>
        <w:pStyle w:val="887"/>
        <w:pBdr/>
        <w:tabs>
          <w:tab w:val="clear" w:leader="none" w:pos="708"/>
          <w:tab w:val="left" w:leader="none" w:pos="1276"/>
        </w:tabs>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tabs>
          <w:tab w:val="left" w:leader="none" w:pos="142"/>
          <w:tab w:val="left" w:leader="none" w:pos="567"/>
          <w:tab w:val="clear" w:leader="none" w:pos="708"/>
          <w:tab w:val="left" w:leader="none" w:pos="709"/>
        </w:tabs>
        <w:spacing/>
        <w:ind/>
        <w:jc w:val="both"/>
        <w:rPr>
          <w:rFonts w:ascii="Arial" w:hAnsi="Arial" w:cs="Arial"/>
        </w:rPr>
      </w:pPr>
      <w:r>
        <w:rPr>
          <w:rFonts w:ascii="Arial" w:hAnsi="Arial" w:eastAsia="Arial" w:cs="Arial"/>
          <w:b/>
        </w:rPr>
        <w:t xml:space="preserve">14.5. </w:t>
      </w:r>
      <w:r>
        <w:rPr>
          <w:rFonts w:ascii="Arial" w:hAnsi="Arial" w:eastAsia="Arial" w:cs="Arial"/>
        </w:rPr>
        <w:t xml:space="preserve">O cancelamento da ARP não afasta a possibilidade de aplicação de sanções, observadas as competências previstas no Decreto Municipal nº 11.685/2023.</w:t>
      </w:r>
      <w:r>
        <w:rPr>
          <w:rFonts w:ascii="Arial" w:hAnsi="Arial" w:cs="Arial"/>
        </w:rPr>
      </w:r>
      <w:r>
        <w:rPr>
          <w:rFonts w:ascii="Arial" w:hAnsi="Arial" w:cs="Arial"/>
        </w:rPr>
      </w:r>
    </w:p>
    <w:p>
      <w:pPr>
        <w:pStyle w:val="887"/>
        <w:pBdr/>
        <w:tabs>
          <w:tab w:val="clear" w:leader="none" w:pos="708"/>
          <w:tab w:val="left" w:leader="none" w:pos="1276"/>
        </w:tabs>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tabs>
          <w:tab w:val="left" w:leader="none" w:pos="426"/>
          <w:tab w:val="left" w:leader="none" w:pos="567"/>
          <w:tab w:val="clear" w:leader="none" w:pos="708"/>
          <w:tab w:val="left" w:leader="none" w:pos="1260"/>
        </w:tabs>
        <w:spacing/>
        <w:ind/>
        <w:jc w:val="both"/>
        <w:rPr>
          <w:rFonts w:ascii="Arial" w:hAnsi="Arial" w:cs="Arial"/>
        </w:rPr>
      </w:pPr>
      <w:r>
        <w:rPr>
          <w:rFonts w:ascii="Arial" w:hAnsi="Arial" w:eastAsia="Arial" w:cs="Arial"/>
          <w:b/>
        </w:rPr>
        <w:t xml:space="preserve">14.6.</w:t>
      </w:r>
      <w:r>
        <w:rPr>
          <w:rFonts w:ascii="Arial" w:hAnsi="Arial" w:eastAsia="Arial" w:cs="Arial"/>
        </w:rPr>
        <w:t xml:space="preserve"> O cancelamento do Registro, nas hipóteses previstas, será formalizado por despacho da Autoridade Superior do Órgão ou Entidade Gerenciadora e publicado no DIORONDON</w:t>
      </w:r>
      <w:r>
        <w:rPr>
          <w:rFonts w:ascii="Arial" w:hAnsi="Arial" w:cs="Arial"/>
        </w:rPr>
      </w:r>
      <w:r>
        <w:rPr>
          <w:rFonts w:ascii="Arial" w:hAnsi="Arial" w:cs="Arial"/>
        </w:rPr>
      </w:r>
    </w:p>
    <w:p>
      <w:pPr>
        <w:pStyle w:val="887"/>
        <w:pBdr/>
        <w:tabs>
          <w:tab w:val="left" w:leader="none" w:pos="426"/>
          <w:tab w:val="left" w:leader="none" w:pos="567"/>
          <w:tab w:val="clear" w:leader="none" w:pos="708"/>
          <w:tab w:val="left" w:leader="none" w:pos="1260"/>
        </w:tabs>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left" w:leader="none" w:pos="426"/>
          <w:tab w:val="left" w:leader="none" w:pos="567"/>
          <w:tab w:val="clear" w:leader="none" w:pos="708"/>
          <w:tab w:val="left" w:leader="none" w:pos="1260"/>
        </w:tabs>
        <w:spacing/>
        <w:ind/>
        <w:jc w:val="both"/>
        <w:rPr>
          <w:rFonts w:ascii="Arial" w:hAnsi="Arial" w:cs="Arial"/>
        </w:rPr>
      </w:pPr>
      <w:r>
        <w:rPr>
          <w:rFonts w:ascii="Arial" w:hAnsi="Arial" w:eastAsia="Arial" w:cs="Arial"/>
          <w:b/>
          <w:smallCaps/>
          <w:color w:val="000000"/>
        </w:rPr>
        <w:t xml:space="preserve">CLÁUSULA DÉCIMA QUINTA </w:t>
      </w:r>
      <w:r>
        <w:rPr>
          <w:rFonts w:ascii="Arial" w:hAnsi="Arial" w:eastAsia="Arial" w:cs="Arial"/>
          <w:b/>
        </w:rPr>
        <w:t xml:space="preserve">–</w:t>
      </w:r>
      <w:r>
        <w:rPr>
          <w:rFonts w:ascii="Arial" w:hAnsi="Arial" w:eastAsia="Arial" w:cs="Arial"/>
          <w:b/>
          <w:smallCaps/>
          <w:color w:val="000000"/>
        </w:rPr>
        <w:t xml:space="preserve"> DA PROTEÇÃO E TRANSMISSÃO DE INFORMAÇÃO, DADOS PESSOAIS E/OU BASE DE DADOS</w:t>
      </w:r>
      <w:r>
        <w:rPr>
          <w:rFonts w:ascii="Arial" w:hAnsi="Arial" w:cs="Arial"/>
        </w:rPr>
      </w:r>
      <w:r>
        <w:rPr>
          <w:rFonts w:ascii="Arial" w:hAnsi="Arial" w:cs="Arial"/>
        </w:rPr>
      </w:r>
    </w:p>
    <w:p>
      <w:pPr>
        <w:pStyle w:val="887"/>
        <w:pBdr/>
        <w:tabs>
          <w:tab w:val="clear" w:leader="none" w:pos="708"/>
          <w:tab w:val="left" w:leader="none" w:pos="1276"/>
        </w:tabs>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tabs>
          <w:tab w:val="left" w:leader="none" w:pos="426"/>
          <w:tab w:val="left" w:leader="none" w:pos="567"/>
          <w:tab w:val="clear" w:leader="none" w:pos="708"/>
        </w:tabs>
        <w:spacing/>
        <w:ind/>
        <w:jc w:val="both"/>
        <w:rPr>
          <w:rFonts w:ascii="Arial" w:hAnsi="Arial" w:cs="Arial"/>
        </w:rPr>
      </w:pPr>
      <w:r>
        <w:rPr>
          <w:rFonts w:ascii="Arial" w:hAnsi="Arial" w:eastAsia="Arial" w:cs="Arial"/>
          <w:b/>
        </w:rPr>
        <w:t xml:space="preserve">15.1. </w:t>
      </w:r>
      <w:r>
        <w:rPr>
          <w:rFonts w:ascii="Arial" w:hAnsi="Arial" w:eastAsia="Arial" w:cs="Arial"/>
        </w:rPr>
        <w:t xml:space="preserve">O Detentor obriga-se ao dever de proteção, confidencialidade e sigilo de toda informação, dados pessoais e/ou base de da</w:t>
      </w:r>
      <w:r>
        <w:rPr>
          <w:rFonts w:ascii="Arial" w:hAnsi="Arial" w:eastAsia="Arial" w:cs="Arial"/>
        </w:rPr>
        <w:t xml:space="preserve">dos a que tenha acesso, inclusive em razão de licenciamento ou da operação dos programas/sistemas, nos termos da Lei nº 13.709/2018, suas alterações e regulamentações posteriores, durante o cumprimento do objeto descrito no presente instrumento contratual.</w:t>
      </w:r>
      <w:r>
        <w:rPr>
          <w:rFonts w:ascii="Arial" w:hAnsi="Arial" w:cs="Arial"/>
        </w:rPr>
      </w:r>
      <w:r>
        <w:rPr>
          <w:rFonts w:ascii="Arial" w:hAnsi="Arial" w:cs="Arial"/>
        </w:rPr>
      </w:r>
    </w:p>
    <w:p>
      <w:pPr>
        <w:pStyle w:val="887"/>
        <w:pBdr/>
        <w:tabs>
          <w:tab w:val="clear" w:leader="none" w:pos="708"/>
          <w:tab w:val="left" w:leader="none" w:pos="1276"/>
        </w:tabs>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tabs>
          <w:tab w:val="clear" w:leader="none" w:pos="708"/>
          <w:tab w:val="left" w:leader="none" w:pos="927"/>
          <w:tab w:val="left" w:leader="none" w:pos="1276"/>
          <w:tab w:val="left" w:leader="none" w:pos="1418"/>
        </w:tabs>
        <w:spacing/>
        <w:ind/>
        <w:jc w:val="both"/>
        <w:rPr>
          <w:rFonts w:ascii="Arial" w:hAnsi="Arial" w:cs="Arial"/>
        </w:rPr>
      </w:pPr>
      <w:r>
        <w:rPr>
          <w:rFonts w:ascii="Arial" w:hAnsi="Arial" w:eastAsia="Arial" w:cs="Arial"/>
          <w:b/>
        </w:rPr>
        <w:t xml:space="preserve">15.1.1.</w:t>
      </w:r>
      <w:r>
        <w:rPr>
          <w:rFonts w:ascii="Arial" w:hAnsi="Arial" w:eastAsia="Arial" w:cs="Arial"/>
        </w:rPr>
        <w:t xml:space="preserve"> O Detentor obriga-se a implementar medidas técnicas e administrativas suficientes visando a segurança, a proteção, a confidencialidade e o sigilo de toda </w:t>
      </w:r>
      <w:r>
        <w:rPr>
          <w:rFonts w:ascii="Arial" w:hAnsi="Arial" w:eastAsia="Arial" w:cs="Arial"/>
        </w:rPr>
        <w:t xml:space="preserve">informação, dados pessoais e/ou base de dados a que tenha acesso a fim de evitar acessos não autorizados, acidentes, vazamentos acidentais ou ilícitos que causem destruição, perda, alteração, comunicação ou qualquer outra forma de tratamento não previstos.</w:t>
      </w:r>
      <w:r>
        <w:rPr>
          <w:rFonts w:ascii="Arial" w:hAnsi="Arial" w:cs="Arial"/>
        </w:rPr>
      </w:r>
      <w:r>
        <w:rPr>
          <w:rFonts w:ascii="Arial" w:hAnsi="Arial" w:cs="Arial"/>
        </w:rPr>
      </w:r>
    </w:p>
    <w:p>
      <w:pPr>
        <w:pStyle w:val="887"/>
        <w:pBdr/>
        <w:tabs>
          <w:tab w:val="clear" w:leader="none" w:pos="708"/>
          <w:tab w:val="left" w:leader="none" w:pos="1276"/>
        </w:tabs>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tabs>
          <w:tab w:val="clear" w:leader="none" w:pos="708"/>
          <w:tab w:val="left" w:leader="none" w:pos="927"/>
          <w:tab w:val="left" w:leader="none" w:pos="1276"/>
        </w:tabs>
        <w:spacing/>
        <w:ind/>
        <w:jc w:val="both"/>
        <w:rPr>
          <w:rFonts w:ascii="Arial" w:hAnsi="Arial" w:cs="Arial"/>
        </w:rPr>
      </w:pPr>
      <w:r>
        <w:rPr>
          <w:rFonts w:ascii="Arial" w:hAnsi="Arial" w:eastAsia="Arial" w:cs="Arial"/>
          <w:b/>
        </w:rPr>
        <w:t xml:space="preserve">15.1.2.</w:t>
      </w:r>
      <w:r>
        <w:rPr>
          <w:rFonts w:ascii="Arial" w:hAnsi="Arial" w:eastAsia="Arial" w:cs="Arial"/>
        </w:rPr>
        <w:t xml:space="preserve"> O Detentor deve as</w:t>
      </w:r>
      <w:r>
        <w:rPr>
          <w:rFonts w:ascii="Arial" w:hAnsi="Arial" w:eastAsia="Arial" w:cs="Arial"/>
        </w:rPr>
        <w:t xml:space="preserve">segurar-se de que todos os seus colaboradores, consultores e/ou prestadores de serviços que, no exercício das suas atividades, tenham acesso e/ou conhecimento da informação e/ou dos dados pessoais, respeitem o dever de proteção, confidencialidade e sigilo.</w:t>
      </w:r>
      <w:r>
        <w:rPr>
          <w:rFonts w:ascii="Arial" w:hAnsi="Arial" w:cs="Arial"/>
        </w:rPr>
      </w:r>
      <w:r>
        <w:rPr>
          <w:rFonts w:ascii="Arial" w:hAnsi="Arial" w:cs="Arial"/>
        </w:rPr>
      </w:r>
    </w:p>
    <w:p>
      <w:pPr>
        <w:pStyle w:val="887"/>
        <w:pBdr/>
        <w:tabs>
          <w:tab w:val="clear" w:leader="none" w:pos="708"/>
          <w:tab w:val="left" w:leader="none" w:pos="1276"/>
        </w:tabs>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tabs>
          <w:tab w:val="clear" w:leader="none" w:pos="708"/>
          <w:tab w:val="left" w:leader="none" w:pos="927"/>
        </w:tabs>
        <w:spacing/>
        <w:ind/>
        <w:jc w:val="both"/>
        <w:rPr>
          <w:rFonts w:ascii="Arial" w:hAnsi="Arial" w:cs="Arial"/>
        </w:rPr>
      </w:pPr>
      <w:r>
        <w:rPr>
          <w:rFonts w:ascii="Arial" w:hAnsi="Arial" w:eastAsia="Arial" w:cs="Arial"/>
          <w:b/>
        </w:rPr>
        <w:t xml:space="preserve">15.1.3.</w:t>
      </w:r>
      <w:r>
        <w:rPr>
          <w:rFonts w:ascii="Arial" w:hAnsi="Arial" w:eastAsia="Arial" w:cs="Arial"/>
        </w:rPr>
        <w:t xml:space="preserve"> O Detentor não poderá utilizar-se de informação, dados pessoais e/ou base de dados a que tenha acesso, para fins distintos ao cumprimento do objeto deste instrumento contratual.</w:t>
      </w:r>
      <w:r>
        <w:rPr>
          <w:rFonts w:ascii="Arial" w:hAnsi="Arial" w:cs="Arial"/>
        </w:rPr>
      </w:r>
      <w:r>
        <w:rPr>
          <w:rFonts w:ascii="Arial" w:hAnsi="Arial" w:cs="Arial"/>
        </w:rPr>
      </w:r>
    </w:p>
    <w:p>
      <w:pPr>
        <w:pStyle w:val="887"/>
        <w:pBdr/>
        <w:tabs>
          <w:tab w:val="clear" w:leader="none" w:pos="708"/>
          <w:tab w:val="left" w:leader="none" w:pos="927"/>
        </w:tabs>
        <w:spacing/>
        <w:ind w:hanging="709" w:left="1276"/>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clear" w:leader="none" w:pos="708"/>
          <w:tab w:val="left" w:leader="none" w:pos="927"/>
          <w:tab w:val="left" w:leader="none" w:pos="1276"/>
          <w:tab w:val="left" w:leader="none" w:pos="1418"/>
        </w:tabs>
        <w:spacing/>
        <w:ind/>
        <w:jc w:val="both"/>
        <w:rPr>
          <w:rFonts w:ascii="Arial" w:hAnsi="Arial" w:cs="Arial"/>
        </w:rPr>
      </w:pPr>
      <w:r>
        <w:rPr>
          <w:rFonts w:ascii="Arial" w:hAnsi="Arial" w:eastAsia="Arial" w:cs="Arial"/>
          <w:b/>
        </w:rPr>
        <w:t xml:space="preserve">15.1.4.</w:t>
      </w:r>
      <w:r>
        <w:rPr>
          <w:rFonts w:ascii="Arial" w:hAnsi="Arial" w:eastAsia="Arial" w:cs="Arial"/>
        </w:rPr>
        <w:t xml:space="preserve"> O Detentor não poderá disponibilizar e/ou transmitir a terceiros, sem prévia autorização escrita, informação, dados pessoais e/ou base de dados a que tenha acesso em razão do cumprimento do objeto deste instrumento contratual. </w:t>
      </w:r>
      <w:r>
        <w:rPr>
          <w:rFonts w:ascii="Arial" w:hAnsi="Arial" w:cs="Arial"/>
        </w:rPr>
      </w:r>
      <w:r>
        <w:rPr>
          <w:rFonts w:ascii="Arial" w:hAnsi="Arial" w:cs="Arial"/>
        </w:rPr>
      </w:r>
    </w:p>
    <w:p>
      <w:pPr>
        <w:pStyle w:val="887"/>
        <w:pBdr/>
        <w:tabs>
          <w:tab w:val="clear" w:leader="none" w:pos="708"/>
          <w:tab w:val="left" w:leader="none" w:pos="927"/>
        </w:tabs>
        <w:spacing/>
        <w:ind w:hanging="851" w:left="2127"/>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clear" w:leader="none" w:pos="708"/>
          <w:tab w:val="left" w:leader="none" w:pos="927"/>
        </w:tabs>
        <w:spacing/>
        <w:ind/>
        <w:jc w:val="both"/>
        <w:rPr>
          <w:rFonts w:ascii="Arial" w:hAnsi="Arial" w:cs="Arial"/>
        </w:rPr>
      </w:pPr>
      <w:r>
        <w:rPr>
          <w:rFonts w:ascii="Arial" w:hAnsi="Arial" w:eastAsia="Arial" w:cs="Arial"/>
          <w:b/>
        </w:rPr>
        <w:t xml:space="preserve">15.1.4.1. </w:t>
      </w:r>
      <w:r>
        <w:rPr>
          <w:rFonts w:ascii="Arial" w:hAnsi="Arial" w:eastAsia="Arial" w:cs="Arial"/>
        </w:rPr>
        <w:t xml:space="preserve">O Detentor obriga-se a fornecer informação, dados pessoais e/ou base de dados estritamente necessários caso quando da transmissão autorizada a terceiros durante o cumprimento do objeto descrito neste instrumento contratual.</w:t>
      </w:r>
      <w:r>
        <w:rPr>
          <w:rFonts w:ascii="Arial" w:hAnsi="Arial" w:cs="Arial"/>
        </w:rPr>
      </w:r>
      <w:r>
        <w:rPr>
          <w:rFonts w:ascii="Arial" w:hAnsi="Arial" w:cs="Arial"/>
        </w:rPr>
      </w:r>
    </w:p>
    <w:p>
      <w:pPr>
        <w:pStyle w:val="887"/>
        <w:pBdr/>
        <w:shd w:val="clear" w:color="auto" w:fill="ffffff"/>
        <w:spacing/>
        <w:ind w:left="993"/>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clear" w:leader="none" w:pos="708"/>
          <w:tab w:val="left" w:leader="none" w:pos="927"/>
        </w:tabs>
        <w:spacing/>
        <w:ind/>
        <w:jc w:val="both"/>
        <w:rPr>
          <w:rFonts w:ascii="Arial" w:hAnsi="Arial" w:cs="Arial"/>
        </w:rPr>
      </w:pPr>
      <w:r>
        <w:rPr>
          <w:rFonts w:ascii="Arial" w:hAnsi="Arial" w:eastAsia="Arial" w:cs="Arial"/>
          <w:b/>
        </w:rPr>
        <w:t xml:space="preserve">15.1.5.</w:t>
      </w:r>
      <w:r>
        <w:rPr>
          <w:rFonts w:ascii="Arial" w:hAnsi="Arial" w:eastAsia="Arial" w:cs="Arial"/>
        </w:rPr>
        <w:t xml:space="preserve"> O Detentor fica obrigado a devolver todos os documentos, registros e cópias que contenham informação, dados pessoais e/ou ba</w:t>
      </w:r>
      <w:r>
        <w:rPr>
          <w:rFonts w:ascii="Arial" w:hAnsi="Arial" w:eastAsia="Arial" w:cs="Arial"/>
        </w:rPr>
        <w:t xml:space="preserve">se de dados a que tenha tido acesso durante a execução do cumprimento do objeto deste instrumento contratual no prazo de 30 (trinta) dias corridos contados da rescisão contratual, restando autorizada a conservação apenas nas hipóteses legalmente previstas.</w:t>
      </w:r>
      <w:r>
        <w:rPr>
          <w:rFonts w:ascii="Arial" w:hAnsi="Arial" w:cs="Arial"/>
        </w:rPr>
      </w:r>
      <w:r>
        <w:rPr>
          <w:rFonts w:ascii="Arial" w:hAnsi="Arial" w:cs="Arial"/>
        </w:rPr>
      </w:r>
    </w:p>
    <w:p>
      <w:pPr>
        <w:pStyle w:val="887"/>
        <w:pBdr/>
        <w:shd w:val="clear" w:color="auto" w:fill="ffffff"/>
        <w:spacing/>
        <w:ind w:left="993"/>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clear" w:leader="none" w:pos="708"/>
          <w:tab w:val="left" w:leader="none" w:pos="927"/>
        </w:tabs>
        <w:spacing/>
        <w:ind/>
        <w:jc w:val="both"/>
        <w:rPr>
          <w:rFonts w:ascii="Arial" w:hAnsi="Arial" w:cs="Arial"/>
        </w:rPr>
      </w:pPr>
      <w:r>
        <w:rPr>
          <w:rFonts w:ascii="Arial" w:hAnsi="Arial" w:eastAsia="Arial" w:cs="Arial"/>
          <w:b/>
        </w:rPr>
        <w:t xml:space="preserve">15.1.5.1.</w:t>
      </w:r>
      <w:r>
        <w:rPr>
          <w:rFonts w:ascii="Arial" w:hAnsi="Arial" w:eastAsia="Arial" w:cs="Arial"/>
        </w:rPr>
        <w:t xml:space="preserve"> Ao Detentor não será permitido deter cópias ou backups, informação, dados pessoais e/ou base de dados a que tenha tido acesso durante a execução do cumprimento do objeto deste instrumento contratual.</w:t>
      </w:r>
      <w:r>
        <w:rPr>
          <w:rFonts w:ascii="Arial" w:hAnsi="Arial" w:cs="Arial"/>
        </w:rPr>
      </w:r>
      <w:r>
        <w:rPr>
          <w:rFonts w:ascii="Arial" w:hAnsi="Arial" w:cs="Arial"/>
        </w:rPr>
      </w:r>
    </w:p>
    <w:p>
      <w:pPr>
        <w:pStyle w:val="887"/>
        <w:pBdr/>
        <w:shd w:val="clear" w:color="auto" w:fill="ffffff"/>
        <w:spacing/>
        <w:ind/>
        <w:jc w:val="both"/>
        <w:rPr>
          <w:rFonts w:ascii="Arial" w:hAnsi="Arial" w:cs="Arial"/>
        </w:rPr>
      </w:pPr>
      <w:r>
        <w:rPr>
          <w:rFonts w:ascii="Arial" w:hAnsi="Arial" w:eastAsia="Arial" w:cs="Arial"/>
          <w:b/>
        </w:rPr>
        <w:t xml:space="preserve">15.1.5.1.1.</w:t>
      </w:r>
      <w:r>
        <w:rPr>
          <w:rFonts w:ascii="Arial" w:hAnsi="Arial" w:eastAsia="Arial" w:cs="Arial"/>
        </w:rPr>
        <w:t xml:space="preserve"> O Detentor deverá eliminar os dados pessoais a que tiver conhecimento ou posse em razão do cumprimento do objeto deste instrumento contratual tão logo não haja necessidade de realizar seu tratamento.</w:t>
      </w:r>
      <w:r>
        <w:rPr>
          <w:rFonts w:ascii="Arial" w:hAnsi="Arial" w:cs="Arial"/>
        </w:rPr>
      </w:r>
      <w:r>
        <w:rPr>
          <w:rFonts w:ascii="Arial" w:hAnsi="Arial" w:cs="Arial"/>
        </w:rPr>
      </w:r>
    </w:p>
    <w:p>
      <w:pPr>
        <w:pStyle w:val="887"/>
        <w:pBdr/>
        <w:tabs>
          <w:tab w:val="clear" w:leader="none" w:pos="708"/>
          <w:tab w:val="left" w:leader="none" w:pos="927"/>
        </w:tabs>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tabs>
          <w:tab w:val="clear" w:leader="none" w:pos="708"/>
          <w:tab w:val="left" w:leader="none" w:pos="927"/>
        </w:tabs>
        <w:spacing/>
        <w:ind/>
        <w:jc w:val="both"/>
        <w:rPr>
          <w:rFonts w:ascii="Arial" w:hAnsi="Arial" w:cs="Arial"/>
        </w:rPr>
      </w:pPr>
      <w:r>
        <w:rPr>
          <w:rFonts w:ascii="Arial" w:hAnsi="Arial" w:eastAsia="Arial" w:cs="Arial"/>
          <w:b/>
        </w:rPr>
        <w:t xml:space="preserve">15.1.6.</w:t>
      </w:r>
      <w:r>
        <w:rPr>
          <w:rFonts w:ascii="Arial" w:hAnsi="Arial" w:eastAsia="Arial" w:cs="Arial"/>
        </w:rPr>
        <w:t xml:space="preserve"> O Detentor deverá notificar, imediatamente, o Órgão ou Entidade Gerenciadora/Órgãos Participantes no caso de vazamento, perda parcial ou total de informação, dados pessoais e/ou base de dados.</w:t>
      </w:r>
      <w:r>
        <w:rPr>
          <w:rFonts w:ascii="Arial" w:hAnsi="Arial" w:cs="Arial"/>
        </w:rPr>
      </w:r>
      <w:r>
        <w:rPr>
          <w:rFonts w:ascii="Arial" w:hAnsi="Arial" w:cs="Arial"/>
        </w:rPr>
      </w:r>
    </w:p>
    <w:p>
      <w:pPr>
        <w:pStyle w:val="887"/>
        <w:pBdr/>
        <w:tabs>
          <w:tab w:val="clear" w:leader="none" w:pos="708"/>
          <w:tab w:val="left" w:leader="none" w:pos="927"/>
        </w:tabs>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tabs>
          <w:tab w:val="clear" w:leader="none" w:pos="708"/>
          <w:tab w:val="left" w:leader="none" w:pos="927"/>
        </w:tabs>
        <w:spacing/>
        <w:ind/>
        <w:jc w:val="both"/>
        <w:rPr>
          <w:rFonts w:ascii="Arial" w:hAnsi="Arial" w:cs="Arial"/>
        </w:rPr>
      </w:pPr>
      <w:r>
        <w:rPr>
          <w:rFonts w:ascii="Arial" w:hAnsi="Arial" w:eastAsia="Arial" w:cs="Arial"/>
          <w:b/>
        </w:rPr>
        <w:t xml:space="preserve">15.1.6.1.</w:t>
      </w:r>
      <w:r>
        <w:rPr>
          <w:rFonts w:ascii="Arial" w:hAnsi="Arial" w:eastAsia="Arial" w:cs="Arial"/>
        </w:rPr>
        <w:t xml:space="preserve"> A notificação não eximirá o Detentor das obrigações e/ou sanções que possam incidir em razão da perda de informação, dados pessoais e/ou base de dados.</w:t>
      </w:r>
      <w:r>
        <w:rPr>
          <w:rFonts w:ascii="Arial" w:hAnsi="Arial" w:cs="Arial"/>
        </w:rPr>
      </w:r>
      <w:r>
        <w:rPr>
          <w:rFonts w:ascii="Arial" w:hAnsi="Arial" w:cs="Arial"/>
        </w:rPr>
      </w:r>
    </w:p>
    <w:p>
      <w:pPr>
        <w:pStyle w:val="887"/>
        <w:pBdr/>
        <w:shd w:val="clear" w:color="auto" w:fill="ffffff"/>
        <w:spacing/>
        <w:ind w:left="1701"/>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clear" w:leader="none" w:pos="708"/>
          <w:tab w:val="left" w:leader="none" w:pos="927"/>
        </w:tabs>
        <w:spacing/>
        <w:ind/>
        <w:jc w:val="both"/>
        <w:rPr>
          <w:rFonts w:ascii="Arial" w:hAnsi="Arial" w:cs="Arial"/>
        </w:rPr>
      </w:pPr>
      <w:r>
        <w:rPr>
          <w:rFonts w:ascii="Arial" w:hAnsi="Arial" w:eastAsia="Arial" w:cs="Arial"/>
          <w:b/>
        </w:rPr>
        <w:t xml:space="preserve">15.1.6.2.</w:t>
      </w:r>
      <w:r>
        <w:rPr>
          <w:rFonts w:ascii="Arial" w:hAnsi="Arial" w:eastAsia="Arial" w:cs="Arial"/>
        </w:rPr>
        <w:t xml:space="preserve"> O Detentor que descumprir nos termos da Lei nº 13.709/2018 suas alterações e regulamentações posteri</w:t>
      </w:r>
      <w:r>
        <w:rPr>
          <w:rFonts w:ascii="Arial" w:hAnsi="Arial" w:eastAsia="Arial" w:cs="Arial"/>
        </w:rPr>
        <w:t xml:space="preserve">ores, durante ou após a execução do objeto descrito no presente instrumento contratual fica obrigado a assumir total responsabilidade e ao ressarcimento por todo e qualquer dano e/ou prejuízo sofrido, incluindo sanções aplicadas pela autoridade competente.</w:t>
      </w:r>
      <w:r>
        <w:rPr>
          <w:rFonts w:ascii="Arial" w:hAnsi="Arial" w:cs="Arial"/>
        </w:rPr>
      </w:r>
      <w:r>
        <w:rPr>
          <w:rFonts w:ascii="Arial" w:hAnsi="Arial" w:cs="Arial"/>
        </w:rPr>
      </w:r>
    </w:p>
    <w:p>
      <w:pPr>
        <w:pStyle w:val="887"/>
        <w:pBdr/>
        <w:shd w:val="clear" w:color="auto" w:fill="ffffff"/>
        <w:spacing/>
        <w:ind w:left="993"/>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clear" w:leader="none" w:pos="708"/>
          <w:tab w:val="left" w:leader="none" w:pos="927"/>
        </w:tabs>
        <w:spacing/>
        <w:ind/>
        <w:jc w:val="both"/>
        <w:rPr>
          <w:rFonts w:ascii="Arial" w:hAnsi="Arial" w:cs="Arial"/>
        </w:rPr>
      </w:pPr>
      <w:r>
        <w:rPr>
          <w:rFonts w:ascii="Arial" w:hAnsi="Arial" w:eastAsia="Arial" w:cs="Arial"/>
          <w:b/>
        </w:rPr>
        <w:t xml:space="preserve">15.1.7.</w:t>
      </w:r>
      <w:r>
        <w:rPr>
          <w:rFonts w:ascii="Arial" w:hAnsi="Arial" w:eastAsia="Arial" w:cs="Arial"/>
        </w:rPr>
        <w:t xml:space="preserve"> O Detentor fica obrigado a manter preposto para comunicação com o Órgão ou Entidade Gerenciadora/ para os assuntos pertinentes à Lei nº 13.709/2018 suas alterações e regulamentações posteriores.</w:t>
      </w:r>
      <w:r>
        <w:rPr>
          <w:rFonts w:ascii="Arial" w:hAnsi="Arial" w:cs="Arial"/>
        </w:rPr>
      </w:r>
      <w:r>
        <w:rPr>
          <w:rFonts w:ascii="Arial" w:hAnsi="Arial" w:cs="Arial"/>
        </w:rPr>
      </w:r>
    </w:p>
    <w:p>
      <w:pPr>
        <w:pStyle w:val="887"/>
        <w:pBdr/>
        <w:tabs>
          <w:tab w:val="clear" w:leader="none" w:pos="708"/>
          <w:tab w:val="left" w:leader="none" w:pos="927"/>
        </w:tabs>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tabs>
          <w:tab w:val="clear" w:leader="none" w:pos="708"/>
          <w:tab w:val="left" w:leader="none" w:pos="927"/>
        </w:tabs>
        <w:spacing/>
        <w:ind/>
        <w:jc w:val="both"/>
        <w:rPr>
          <w:rFonts w:ascii="Arial" w:hAnsi="Arial" w:cs="Arial"/>
        </w:rPr>
      </w:pPr>
      <w:r>
        <w:rPr>
          <w:rFonts w:ascii="Arial" w:hAnsi="Arial" w:eastAsia="Arial" w:cs="Arial"/>
          <w:b/>
        </w:rPr>
        <w:t xml:space="preserve">15.1.8.</w:t>
      </w:r>
      <w:r>
        <w:rPr>
          <w:rFonts w:ascii="Arial" w:hAnsi="Arial" w:eastAsia="Arial" w:cs="Arial"/>
        </w:rPr>
        <w:t xml:space="preserve"> O dever de sigilo e confidencialidade, e as demais obrigações descritas na presente cláusula, permanecerão em vigor após a extinção das relações entre o Detentor e o Órgão ou Entidade Gerenciadora/Órgãos Pa</w:t>
      </w:r>
      <w:r>
        <w:rPr>
          <w:rFonts w:ascii="Arial" w:hAnsi="Arial" w:eastAsia="Arial" w:cs="Arial"/>
        </w:rPr>
        <w:t xml:space="preserve">rticipantes, bem como, entre o Detentor e os seus colaboradores, subcontratados, consultores e/ou prestadores de serviços sob pena das sanções previstas na Lei nº 13.709/2018, suas alterações e regulamentações posteriores, salvo decisão judicial contrária.</w:t>
      </w:r>
      <w:r>
        <w:rPr>
          <w:rFonts w:ascii="Arial" w:hAnsi="Arial" w:cs="Arial"/>
        </w:rPr>
      </w:r>
      <w:r>
        <w:rPr>
          <w:rFonts w:ascii="Arial" w:hAnsi="Arial" w:cs="Arial"/>
        </w:rPr>
      </w:r>
    </w:p>
    <w:p>
      <w:pPr>
        <w:pStyle w:val="887"/>
        <w:pBdr/>
        <w:tabs>
          <w:tab w:val="clear" w:leader="none" w:pos="708"/>
          <w:tab w:val="left" w:leader="none" w:pos="927"/>
        </w:tabs>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tabs>
          <w:tab w:val="clear" w:leader="none" w:pos="708"/>
          <w:tab w:val="left" w:leader="none" w:pos="927"/>
        </w:tabs>
        <w:spacing/>
        <w:ind/>
        <w:jc w:val="both"/>
        <w:rPr>
          <w:rFonts w:ascii="Arial" w:hAnsi="Arial" w:cs="Arial"/>
        </w:rPr>
      </w:pPr>
      <w:r>
        <w:rPr>
          <w:rFonts w:ascii="Arial" w:hAnsi="Arial" w:eastAsia="Arial" w:cs="Arial"/>
          <w:b/>
        </w:rPr>
        <w:t xml:space="preserve">15.1.9.</w:t>
      </w:r>
      <w:r>
        <w:rPr>
          <w:rFonts w:ascii="Arial" w:hAnsi="Arial" w:eastAsia="Arial" w:cs="Arial"/>
        </w:rPr>
        <w:t xml:space="preserve"> O não cumprimento de quaisquer das obrigações descritas nesta cláusula sujeitará o Detentor a processo administrativo para apuração de responsabilidade e, consequente, sanção, sem prejuízo de outras cominações cíveis e penais.</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CLÁUSULA DÉCIMA SEXTA - DAS SANÇÕES ADMINISTRATIVAS</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16.1.</w:t>
      </w:r>
      <w:r>
        <w:rPr>
          <w:rFonts w:ascii="Arial" w:hAnsi="Arial" w:eastAsia="Arial" w:cs="Arial"/>
        </w:rPr>
        <w:t xml:space="preserve"> O descumprimento das obrigações assumidas caracterizará a inadimplência do Detentor, sujeitando-o às seguintes penalidades, na forma do Decreto nº 11.685/2023:</w:t>
      </w:r>
      <w:r>
        <w:rPr>
          <w:rFonts w:ascii="Arial" w:hAnsi="Arial" w:cs="Arial"/>
        </w:rPr>
      </w:r>
      <w:r>
        <w:rPr>
          <w:rFonts w:ascii="Arial" w:hAnsi="Arial" w:cs="Arial"/>
        </w:rPr>
      </w:r>
    </w:p>
    <w:p>
      <w:pPr>
        <w:pStyle w:val="887"/>
        <w:pBdr/>
        <w:spacing/>
        <w:ind w:hanging="567" w:left="567"/>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16.1.1.</w:t>
      </w:r>
      <w:r>
        <w:rPr>
          <w:rFonts w:ascii="Arial" w:hAnsi="Arial" w:eastAsia="Arial" w:cs="Arial"/>
        </w:rPr>
        <w:t xml:space="preserve"> advertência;</w:t>
      </w:r>
      <w:r>
        <w:rPr>
          <w:rFonts w:ascii="Arial" w:hAnsi="Arial" w:cs="Arial"/>
        </w:rPr>
      </w:r>
      <w:r>
        <w:rPr>
          <w:rFonts w:ascii="Arial" w:hAnsi="Arial" w:cs="Arial"/>
        </w:rPr>
      </w:r>
    </w:p>
    <w:p>
      <w:pPr>
        <w:pStyle w:val="887"/>
        <w:pBdr/>
        <w:spacing/>
        <w:ind w:hanging="567" w:left="567"/>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16.1.2.</w:t>
      </w:r>
      <w:r>
        <w:rPr>
          <w:rFonts w:ascii="Arial" w:hAnsi="Arial" w:eastAsia="Arial" w:cs="Arial"/>
        </w:rPr>
        <w:t xml:space="preserve"> multas nos seguintes percentuais:</w:t>
      </w:r>
      <w:r>
        <w:rPr>
          <w:rFonts w:ascii="Arial" w:hAnsi="Arial" w:cs="Arial"/>
        </w:rPr>
      </w:r>
      <w:r>
        <w:rPr>
          <w:rFonts w:ascii="Arial" w:hAnsi="Arial" w:cs="Arial"/>
        </w:rPr>
      </w:r>
    </w:p>
    <w:p>
      <w:pPr>
        <w:pStyle w:val="887"/>
        <w:pBdr/>
        <w:spacing/>
        <w:ind w:hanging="567" w:left="567"/>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t xml:space="preserve">a</w:t>
      </w:r>
      <w:r>
        <w:rPr>
          <w:rFonts w:ascii="Arial" w:hAnsi="Arial" w:eastAsia="Arial" w:cs="Arial"/>
        </w:rPr>
        <w:t xml:space="preserve">) multa moratória de 0,5% (cinco décimos por cento) por dia de atraso na entrega de material ou execução de serviços, recaindo o cálculo sobre o valor da parcela inadimplida, até o limite de 30% (trinta por cento) do contrato ou do instrumento equivalente.</w:t>
      </w:r>
      <w:r>
        <w:rPr>
          <w:rFonts w:ascii="Arial" w:hAnsi="Arial" w:cs="Arial"/>
        </w:rPr>
      </w:r>
      <w:r>
        <w:rPr>
          <w:rFonts w:ascii="Arial" w:hAnsi="Arial" w:cs="Arial"/>
        </w:rPr>
      </w:r>
    </w:p>
    <w:p>
      <w:pPr>
        <w:pStyle w:val="887"/>
        <w:pBdr/>
        <w:spacing/>
        <w:ind w:left="1276"/>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t xml:space="preserve">b) multa compensatória de até 3% (três por cento) sobre o valor de referência ao contratado que retardar o procedimento de contratação, descumprir preceito normativo ou obrigações assumidas.</w:t>
      </w:r>
      <w:r>
        <w:rPr>
          <w:rFonts w:ascii="Arial" w:hAnsi="Arial" w:cs="Arial"/>
        </w:rPr>
      </w:r>
      <w:r>
        <w:rPr>
          <w:rFonts w:ascii="Arial" w:hAnsi="Arial" w:cs="Arial"/>
        </w:rPr>
      </w:r>
    </w:p>
    <w:p>
      <w:pPr>
        <w:pStyle w:val="887"/>
        <w:pBdr/>
        <w:spacing/>
        <w:ind w:hanging="284" w:left="993"/>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t xml:space="preserve">c) multa compensatória de até 5% (cinco por</w:t>
      </w:r>
      <w:r>
        <w:rPr>
          <w:rFonts w:ascii="Arial" w:hAnsi="Arial" w:eastAsia="Arial" w:cs="Arial"/>
        </w:rPr>
        <w:t xml:space="preserve"> cento) sobre o valor da parcela inadimplida ao contratado que entregar o objeto contratual em desacordo com as especificações, condições e qualidade contratadas ou com irregularidades ou defeitos ocultos que o tornem impróprio para o fim a que se destina.</w:t>
      </w:r>
      <w:r>
        <w:rPr>
          <w:rFonts w:ascii="Arial" w:hAnsi="Arial" w:cs="Arial"/>
        </w:rPr>
      </w:r>
      <w:r>
        <w:rPr>
          <w:rFonts w:ascii="Arial" w:hAnsi="Arial" w:cs="Arial"/>
        </w:rPr>
      </w:r>
    </w:p>
    <w:p>
      <w:pPr>
        <w:pStyle w:val="887"/>
        <w:pBdr/>
        <w:spacing/>
        <w:ind w:left="1276"/>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t xml:space="preserve">d) multa compensatória de até 30% (trinta por cento) do valor do contrato em razão do cometimento das infrações administrativas previstas no Decreto Municipal nº 11.685/2023</w:t>
      </w:r>
      <w:r>
        <w:rPr>
          <w:rFonts w:ascii="Arial" w:hAnsi="Arial" w:cs="Arial"/>
        </w:rPr>
      </w:r>
      <w:r>
        <w:rPr>
          <w:rFonts w:ascii="Arial" w:hAnsi="Arial" w:cs="Arial"/>
        </w:rPr>
      </w:r>
    </w:p>
    <w:p>
      <w:pPr>
        <w:pStyle w:val="887"/>
        <w:pBdr/>
        <w:spacing/>
        <w:ind w:hanging="567" w:left="567"/>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16.1.3.</w:t>
      </w:r>
      <w:r>
        <w:rPr>
          <w:rFonts w:ascii="Arial" w:hAnsi="Arial" w:eastAsia="Arial" w:cs="Arial"/>
        </w:rPr>
        <w:t xml:space="preserve"> impedimento de licitar e contratar;</w:t>
      </w:r>
      <w:r>
        <w:rPr>
          <w:rFonts w:ascii="Arial" w:hAnsi="Arial" w:cs="Arial"/>
        </w:rPr>
      </w:r>
      <w:r>
        <w:rPr>
          <w:rFonts w:ascii="Arial" w:hAnsi="Arial" w:cs="Arial"/>
        </w:rPr>
      </w:r>
    </w:p>
    <w:p>
      <w:pPr>
        <w:pStyle w:val="887"/>
        <w:pBdr/>
        <w:spacing/>
        <w:ind w:left="567"/>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16.1.4.</w:t>
      </w:r>
      <w:r>
        <w:rPr>
          <w:rFonts w:ascii="Arial" w:hAnsi="Arial" w:eastAsia="Arial" w:cs="Arial"/>
        </w:rPr>
        <w:t xml:space="preserve"> declaração de inidoneidade para licitar e contratar.</w:t>
      </w:r>
      <w:r>
        <w:rPr>
          <w:rFonts w:ascii="Arial" w:hAnsi="Arial" w:cs="Arial"/>
        </w:rPr>
      </w:r>
      <w:r>
        <w:rPr>
          <w:rFonts w:ascii="Arial" w:hAnsi="Arial" w:cs="Arial"/>
        </w:rPr>
      </w:r>
    </w:p>
    <w:p>
      <w:pPr>
        <w:pStyle w:val="887"/>
        <w:pBdr/>
        <w:spacing/>
        <w:ind w:hanging="567" w:left="567"/>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w:t>
      </w:r>
      <w:r>
        <w:rPr>
          <w:rFonts w:ascii="Arial" w:hAnsi="Arial" w:eastAsia="Arial" w:cs="Arial"/>
        </w:rPr>
        <w:t xml:space="preserve"> A multa moratória pode ser aplicada cumulativamente com as demais multas previstas.</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hanging="567" w:left="567"/>
        <w:jc w:val="both"/>
        <w:rPr>
          <w:rFonts w:ascii="Arial" w:hAnsi="Arial" w:cs="Arial"/>
        </w:rPr>
      </w:pPr>
      <w:r>
        <w:rPr>
          <w:rFonts w:ascii="Arial" w:hAnsi="Arial" w:eastAsia="Arial" w:cs="Arial"/>
          <w:b/>
        </w:rPr>
        <w:t xml:space="preserve">16.3.</w:t>
      </w:r>
      <w:r>
        <w:rPr>
          <w:rFonts w:ascii="Arial" w:hAnsi="Arial" w:eastAsia="Arial" w:cs="Arial"/>
        </w:rPr>
        <w:t xml:space="preserve"> As penalidades de advertência e multa serão aplicadas pelo Diretor competente.</w:t>
      </w:r>
      <w:r>
        <w:rPr>
          <w:rFonts w:ascii="Arial" w:hAnsi="Arial" w:cs="Arial"/>
        </w:rPr>
      </w:r>
      <w:r>
        <w:rPr>
          <w:rFonts w:ascii="Arial" w:hAnsi="Arial" w:cs="Arial"/>
        </w:rPr>
      </w:r>
    </w:p>
    <w:p>
      <w:pPr>
        <w:pStyle w:val="887"/>
        <w:pBdr/>
        <w:spacing/>
        <w:ind w:hanging="567" w:left="567"/>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16.4.</w:t>
      </w:r>
      <w:r>
        <w:rPr>
          <w:rFonts w:ascii="Arial" w:hAnsi="Arial" w:eastAsia="Arial" w:cs="Arial"/>
        </w:rPr>
        <w:t xml:space="preserve"> A penalidade de impedimento de licitar e contratar será aplicada pelo Secretário Municipal ou ocupante de cargo equivalente, nos demais órgãos e entidades da administração direta ou indireta.</w:t>
      </w:r>
      <w:r>
        <w:rPr>
          <w:rFonts w:ascii="Arial" w:hAnsi="Arial" w:cs="Arial"/>
        </w:rPr>
      </w:r>
      <w:r>
        <w:rPr>
          <w:rFonts w:ascii="Arial" w:hAnsi="Arial" w:cs="Arial"/>
        </w:rPr>
      </w:r>
    </w:p>
    <w:p>
      <w:pPr>
        <w:pStyle w:val="887"/>
        <w:pBdr/>
        <w:spacing/>
        <w:ind w:hanging="567" w:left="567"/>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16.5.</w:t>
      </w:r>
      <w:r>
        <w:rPr>
          <w:rFonts w:ascii="Arial" w:hAnsi="Arial" w:eastAsia="Arial" w:cs="Arial"/>
        </w:rPr>
        <w:t xml:space="preserve"> A penalidade de declaração de inidoneidade será aplicada pelo Secretário ou autoridade máxima da entidade, nos demais órgãos e entidades da administração direta ou indireta.</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16.6.</w:t>
      </w:r>
      <w:r>
        <w:rPr>
          <w:rFonts w:ascii="Arial" w:hAnsi="Arial" w:eastAsia="Arial" w:cs="Arial"/>
        </w:rPr>
        <w:t xml:space="preserve"> A notificada poderá apresentar defesa escrita, no prazo de 15 (quinze) dias úteis, cujo termo inicial será:</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t xml:space="preserve">a) o primeiro dia após a confirmação do recebimento da notificação por e-mail;</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t xml:space="preserve">b) o primeiro dia após a juntada ao processo do Aviso de Recebimento da correspondência em que a notificação foi enviada;</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t xml:space="preserve">c) o primeiro dia após o fim do prazo de 5 (cinco) dias, quando a notificação for publicada no DIORONDON.</w:t>
      </w:r>
      <w:r>
        <w:rPr>
          <w:rFonts w:ascii="Arial" w:hAnsi="Arial" w:cs="Arial"/>
        </w:rPr>
      </w:r>
      <w:r>
        <w:rPr>
          <w:rFonts w:ascii="Arial" w:hAnsi="Arial" w:cs="Arial"/>
        </w:rPr>
      </w:r>
    </w:p>
    <w:p>
      <w:pPr>
        <w:pStyle w:val="887"/>
        <w:pBdr/>
        <w:spacing/>
        <w:ind w:hanging="567" w:left="567"/>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16.7.</w:t>
      </w:r>
      <w:r>
        <w:rPr>
          <w:rFonts w:ascii="Arial" w:hAnsi="Arial" w:eastAsia="Arial" w:cs="Arial"/>
        </w:rPr>
        <w:t xml:space="preserve"> No caso de aplicação das penalidades de advertência, multa ou impedimento de licitar e contratar será concedido prazo de 15 (quinze) dias para apresentação de recurso a contar da publicação da decisão condenatória no DIORONDON.</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16.8.</w:t>
      </w:r>
      <w:r>
        <w:rPr>
          <w:rFonts w:ascii="Arial" w:hAnsi="Arial" w:eastAsia="Arial" w:cs="Arial"/>
        </w:rPr>
        <w:t xml:space="preserve"> Da aplicação de sanção de declaração de inidoneidade para licitar ou contratar caberá apenas pedido de reconsideração, que deverá ser apresentado no prazo de 15 (quinze) dias úteis, contado da data da publicação da decisão no DIORONDON.</w:t>
      </w:r>
      <w:r>
        <w:rPr>
          <w:rFonts w:ascii="Arial" w:hAnsi="Arial" w:cs="Arial"/>
        </w:rPr>
      </w:r>
      <w:r>
        <w:rPr>
          <w:rFonts w:ascii="Arial" w:hAnsi="Arial" w:cs="Arial"/>
        </w:rPr>
      </w:r>
    </w:p>
    <w:p>
      <w:pPr>
        <w:pStyle w:val="887"/>
        <w:pBdr/>
        <w:spacing/>
        <w:ind w:hanging="567" w:left="567"/>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16.9.</w:t>
      </w:r>
      <w:r>
        <w:rPr>
          <w:rFonts w:ascii="Arial" w:hAnsi="Arial" w:eastAsia="Arial" w:cs="Arial"/>
        </w:rPr>
        <w:t xml:space="preserve"> As sanções de advertência, impedimento de licitar e contratar e declaração de inidoneidade para licitar ou contratar poderão ser aplicadas, cumulativamente ou não, à penalidade de multa.</w:t>
      </w:r>
      <w:r>
        <w:rPr>
          <w:rFonts w:ascii="Arial" w:hAnsi="Arial" w:cs="Arial"/>
        </w:rPr>
      </w:r>
      <w:r>
        <w:rPr>
          <w:rFonts w:ascii="Arial" w:hAnsi="Arial" w:cs="Arial"/>
        </w:rPr>
      </w:r>
    </w:p>
    <w:p>
      <w:pPr>
        <w:pStyle w:val="887"/>
        <w:pBdr/>
        <w:spacing/>
        <w:ind w:hanging="567" w:left="567"/>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16.10.</w:t>
      </w:r>
      <w:r>
        <w:rPr>
          <w:rFonts w:ascii="Arial" w:hAnsi="Arial" w:eastAsia="Arial" w:cs="Arial"/>
        </w:rPr>
        <w:t xml:space="preserve"> O </w:t>
      </w:r>
      <w:r>
        <w:rPr>
          <w:rFonts w:ascii="Arial" w:hAnsi="Arial" w:eastAsia="Arial" w:cs="Arial"/>
          <w:b/>
        </w:rPr>
        <w:t xml:space="preserve">recurso</w:t>
      </w:r>
      <w:r>
        <w:rPr>
          <w:rFonts w:ascii="Arial" w:hAnsi="Arial" w:eastAsia="Arial" w:cs="Arial"/>
        </w:rPr>
        <w:t xml:space="preserve"> e o pedido de reconsideração terão efeito suspensivo do ato ou da decisão recorrida até que sobrevenha decisão final da autoridade competente.</w:t>
      </w:r>
      <w:r>
        <w:rPr>
          <w:rFonts w:ascii="Arial" w:hAnsi="Arial" w:cs="Arial"/>
        </w:rPr>
      </w:r>
      <w:r>
        <w:rPr>
          <w:rFonts w:ascii="Arial" w:hAnsi="Arial" w:cs="Arial"/>
        </w:rPr>
      </w:r>
    </w:p>
    <w:p>
      <w:pPr>
        <w:pStyle w:val="887"/>
        <w:pBdr/>
        <w:spacing/>
        <w:ind w:hanging="567" w:left="567"/>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16.11.</w:t>
      </w:r>
      <w:r>
        <w:rPr>
          <w:rFonts w:ascii="Arial" w:hAnsi="Arial" w:eastAsia="Arial" w:cs="Arial"/>
        </w:rPr>
        <w:t xml:space="preserve"> A aplicação das sanções previstas não exclui, em hipótese alguma, a obrigação de reparação integral dos danos causados, aplicando-se no que couber o disposto na Lei 14.133/2021 e Decreto Municipal 11.685/2023.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b/>
          <w:bCs/>
        </w:rPr>
      </w:pPr>
      <w:r>
        <w:rPr>
          <w:rFonts w:ascii="Arial" w:hAnsi="Arial" w:eastAsia="Arial" w:cs="Arial"/>
          <w:b/>
          <w:bCs/>
        </w:rPr>
        <w:t xml:space="preserve">CLÁUSULA DÉCIMA SÉTIMA – DAS DISPOSIÇÕES FINAIS</w:t>
      </w:r>
      <w:r>
        <w:rPr>
          <w:rFonts w:ascii="Arial" w:hAnsi="Arial" w:cs="Arial"/>
          <w:b/>
          <w:bCs/>
        </w:rPr>
      </w:r>
      <w:r>
        <w:rPr>
          <w:rFonts w:ascii="Arial" w:hAnsi="Arial" w:cs="Arial"/>
          <w:b/>
          <w:bCs/>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17.1.</w:t>
      </w:r>
      <w:r>
        <w:rPr>
          <w:rFonts w:ascii="Arial" w:hAnsi="Arial" w:eastAsia="Arial" w:cs="Arial"/>
        </w:rPr>
        <w:t xml:space="preserve"> Aplicam-se aos produtos todas as normas e exigências do Código de Defesa do Consumidor.  </w:t>
      </w:r>
      <w:r>
        <w:rPr>
          <w:rFonts w:ascii="Arial" w:hAnsi="Arial" w:cs="Arial"/>
        </w:rPr>
      </w:r>
      <w:r>
        <w:rPr>
          <w:rFonts w:ascii="Arial" w:hAnsi="Arial" w:cs="Arial"/>
        </w:rPr>
      </w:r>
    </w:p>
    <w:p>
      <w:pPr>
        <w:pStyle w:val="887"/>
        <w:pBdr/>
        <w:spacing/>
        <w:ind/>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17.2.</w:t>
      </w:r>
      <w:r>
        <w:rPr>
          <w:rFonts w:ascii="Arial" w:hAnsi="Arial" w:eastAsia="Arial" w:cs="Arial"/>
        </w:rPr>
        <w:t xml:space="preserve"> A tolerância do Município com qualquer atraso ou inadimplência por parte do Detentor não importará de forma alguma em alteração ou novação.</w:t>
      </w:r>
      <w:r>
        <w:rPr>
          <w:rFonts w:ascii="Arial" w:hAnsi="Arial" w:cs="Arial"/>
        </w:rPr>
      </w:r>
      <w:r>
        <w:rPr>
          <w:rFonts w:ascii="Arial" w:hAnsi="Arial" w:cs="Arial"/>
        </w:rPr>
      </w:r>
    </w:p>
    <w:p>
      <w:pPr>
        <w:pStyle w:val="887"/>
        <w:pBdr/>
        <w:spacing/>
        <w:ind w:hanging="567" w:left="567"/>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17.3.</w:t>
      </w:r>
      <w:r>
        <w:rPr>
          <w:rFonts w:ascii="Arial" w:hAnsi="Arial" w:eastAsia="Arial" w:cs="Arial"/>
        </w:rPr>
        <w:t xml:space="preserve"> Para ciência dos interessados e efeitos legais, a publicação do extrato da presente ARP no Diário Oficial do Município - DIORONDON - será providenciada e correrá por conta e ônus do Município.</w:t>
      </w:r>
      <w:r>
        <w:rPr>
          <w:rFonts w:ascii="Arial" w:hAnsi="Arial" w:cs="Arial"/>
        </w:rPr>
      </w:r>
      <w:r>
        <w:rPr>
          <w:rFonts w:ascii="Arial" w:hAnsi="Arial" w:cs="Arial"/>
        </w:rPr>
      </w:r>
    </w:p>
    <w:p>
      <w:pPr>
        <w:pStyle w:val="887"/>
        <w:pBdr/>
        <w:spacing/>
        <w:ind/>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color w:val="000000"/>
        </w:rPr>
      </w:pPr>
      <w:r>
        <w:rPr>
          <w:rFonts w:ascii="Arial" w:hAnsi="Arial" w:eastAsia="Arial" w:cs="Arial"/>
          <w:b/>
          <w:color w:val="000000"/>
        </w:rPr>
        <w:t xml:space="preserve">17.4.</w:t>
      </w:r>
      <w:r>
        <w:rPr>
          <w:rFonts w:ascii="Arial" w:hAnsi="Arial" w:eastAsia="Arial" w:cs="Arial"/>
          <w:color w:val="000000"/>
        </w:rPr>
        <w:t xml:space="preserve"> A presente ARP está vinculada, independentemente de transcrição, ao Edital e seus </w:t>
      </w:r>
      <w:r>
        <w:rPr>
          <w:rFonts w:ascii="Arial" w:hAnsi="Arial" w:eastAsia="Arial" w:cs="Arial"/>
        </w:rPr>
        <w:t xml:space="preserve">Anexos, bem como a proposta do Detentor, e </w:t>
      </w:r>
      <w:r>
        <w:rPr>
          <w:rFonts w:ascii="Arial" w:hAnsi="Arial" w:eastAsia="Arial" w:cs="Arial"/>
          <w:color w:val="000000"/>
        </w:rPr>
        <w:t xml:space="preserve">integram o presente instrumento os seguintes anexos:</w:t>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a)</w:t>
      </w:r>
      <w:r>
        <w:rPr>
          <w:rFonts w:ascii="Arial" w:hAnsi="Arial" w:eastAsia="Arial" w:cs="Arial"/>
        </w:rPr>
        <w:t xml:space="preserve"> Anexo I – Informações sobre os produtos registrados;</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b)</w:t>
      </w:r>
      <w:r>
        <w:rPr>
          <w:rFonts w:ascii="Arial" w:hAnsi="Arial" w:eastAsia="Arial" w:cs="Arial"/>
        </w:rPr>
        <w:t xml:space="preserve"> Anexo II – Relação dos endereços dos participantes deste Registro;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c)</w:t>
      </w:r>
      <w:r>
        <w:rPr>
          <w:rFonts w:ascii="Arial" w:hAnsi="Arial" w:eastAsia="Arial" w:cs="Arial"/>
        </w:rPr>
        <w:t xml:space="preserve"> Anexo III – Minuta de Contrato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17.5.</w:t>
      </w:r>
      <w:r>
        <w:rPr>
          <w:rFonts w:ascii="Arial" w:hAnsi="Arial" w:eastAsia="Arial" w:cs="Arial"/>
        </w:rPr>
        <w:t xml:space="preserve"> As questões decorrentes da utilização da presente Ata que não possam ser dirimidas administrativamente serão processadas e julgadas no foro da cidade de RONDONÓPOLIS/MT, eleito pelas partes com exclusão de qualquer outro.</w:t>
      </w:r>
      <w:r>
        <w:rPr>
          <w:rFonts w:ascii="Arial" w:hAnsi="Arial" w:cs="Arial"/>
        </w:rPr>
      </w:r>
      <w:r>
        <w:rPr>
          <w:rFonts w:ascii="Arial" w:hAnsi="Arial" w:cs="Arial"/>
        </w:rPr>
      </w:r>
    </w:p>
    <w:p>
      <w:pPr>
        <w:pStyle w:val="887"/>
        <w:pBdr/>
        <w:spacing w:line="360" w:lineRule="auto"/>
        <w:ind/>
        <w:jc w:val="right"/>
        <w:rPr>
          <w:rFonts w:ascii="Arial" w:hAnsi="Arial" w:cs="Arial"/>
        </w:rPr>
      </w:pPr>
      <w:r>
        <w:rPr>
          <w:rFonts w:ascii="Arial" w:hAnsi="Arial" w:eastAsia="Arial" w:cs="Arial"/>
        </w:rPr>
        <w:t xml:space="preserve">Rondonópolis-MT., XX de XXXXXX de 2026</w:t>
      </w:r>
      <w:r>
        <w:rPr>
          <w:rFonts w:ascii="Arial" w:hAnsi="Arial" w:cs="Arial"/>
        </w:rPr>
      </w:r>
      <w:r>
        <w:rPr>
          <w:rFonts w:ascii="Arial" w:hAnsi="Arial" w:cs="Arial"/>
        </w:rPr>
      </w:r>
    </w:p>
    <w:p>
      <w:pPr>
        <w:pStyle w:val="891"/>
        <w:pBdr/>
        <w:spacing/>
        <w:ind/>
        <w:rPr>
          <w:rFonts w:ascii="Arial" w:hAnsi="Arial" w:cs="Arial"/>
        </w:rPr>
      </w:pPr>
      <w:r>
        <w:rPr>
          <w:rFonts w:ascii="Arial" w:hAnsi="Arial" w:eastAsia="Arial" w:cs="Arial"/>
          <w:sz w:val="20"/>
          <w:szCs w:val="20"/>
        </w:rPr>
        <w:t xml:space="preserve">Secretária Municipal de XXXXXXX</w:t>
      </w:r>
      <w:r>
        <w:rPr>
          <w:rFonts w:ascii="Arial" w:hAnsi="Arial" w:cs="Arial"/>
        </w:rPr>
      </w:r>
      <w:r>
        <w:rPr>
          <w:rFonts w:ascii="Arial" w:hAnsi="Arial" w:cs="Arial"/>
        </w:rPr>
      </w:r>
    </w:p>
    <w:p>
      <w:pPr>
        <w:pStyle w:val="887"/>
        <w:pBdr/>
        <w:spacing/>
        <w:ind/>
        <w:rPr>
          <w:rFonts w:ascii="Arial" w:hAnsi="Arial" w:cs="Arial"/>
        </w:rPr>
      </w:pPr>
      <w:r>
        <w:rPr>
          <w:rFonts w:ascii="Arial" w:hAnsi="Arial" w:eastAsia="Arial" w:cs="Arial"/>
        </w:rPr>
        <w:t xml:space="preserve">Representante Legal do Órgão Gerenciador</w:t>
      </w:r>
      <w:r>
        <w:rPr>
          <w:rFonts w:ascii="Arial" w:hAnsi="Arial" w:cs="Arial"/>
        </w:rPr>
      </w:r>
      <w:r>
        <w:rPr>
          <w:rFonts w:ascii="Arial" w:hAnsi="Arial" w:cs="Arial"/>
        </w:rPr>
      </w:r>
    </w:p>
    <w:p>
      <w:pPr>
        <w:pStyle w:val="887"/>
        <w:pBdr/>
        <w:spacing/>
        <w:ind/>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line="360" w:lineRule="auto"/>
        <w:ind w:left="-142"/>
        <w:jc w:val="center"/>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line="360" w:lineRule="auto"/>
        <w:ind w:left="-142"/>
        <w:jc w:val="center"/>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line="360" w:lineRule="auto"/>
        <w:ind w:left="-142"/>
        <w:jc w:val="center"/>
        <w:rPr>
          <w:rFonts w:ascii="Arial" w:hAnsi="Arial" w:cs="Arial"/>
          <w:b/>
          <w:bCs/>
        </w:rPr>
      </w:pPr>
      <w:r>
        <w:rPr>
          <w:rFonts w:ascii="Arial" w:hAnsi="Arial" w:eastAsia="Arial" w:cs="Arial"/>
          <w:b/>
          <w:bCs/>
        </w:rPr>
        <w:t xml:space="preserve">Fornecedor</w:t>
      </w:r>
      <w:r>
        <w:rPr>
          <w:rFonts w:ascii="Arial" w:hAnsi="Arial" w:eastAsia="Arial" w:cs="Arial"/>
          <w:b/>
          <w:bCs/>
          <w:color w:val="c0504d"/>
        </w:rPr>
        <w:t xml:space="preserve"> </w:t>
      </w:r>
      <w:r>
        <w:rPr>
          <w:rFonts w:ascii="Arial" w:hAnsi="Arial" w:eastAsia="Arial" w:cs="Arial"/>
          <w:b/>
          <w:bCs/>
        </w:rPr>
        <w:t xml:space="preserve">da Ata de Registro de Preços</w:t>
      </w:r>
      <w:r>
        <w:rPr>
          <w:rFonts w:ascii="Arial" w:hAnsi="Arial" w:cs="Arial"/>
          <w:b/>
          <w:bCs/>
        </w:rPr>
      </w:r>
      <w:r>
        <w:rPr>
          <w:rFonts w:ascii="Arial" w:hAnsi="Arial" w:cs="Arial"/>
          <w:b/>
          <w:bCs/>
        </w:rPr>
      </w:r>
    </w:p>
    <w:p>
      <w:pPr>
        <w:pStyle w:val="887"/>
        <w:pBdr/>
        <w:spacing w:line="360" w:lineRule="auto"/>
        <w:ind w:left="-142"/>
        <w:jc w:val="center"/>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line="360" w:lineRule="auto"/>
        <w:ind w:left="-142"/>
        <w:jc w:val="center"/>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line="360" w:lineRule="auto"/>
        <w:ind w:left="-142"/>
        <w:jc w:val="center"/>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line="360" w:lineRule="auto"/>
        <w:ind w:left="-142"/>
        <w:jc w:val="center"/>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line="360" w:lineRule="auto"/>
        <w:ind w:left="-142"/>
        <w:jc w:val="center"/>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line="360" w:lineRule="auto"/>
        <w:ind w:left="-142"/>
        <w:jc w:val="center"/>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line="360" w:lineRule="auto"/>
        <w:ind w:left="-142"/>
        <w:jc w:val="center"/>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line="360" w:lineRule="auto"/>
        <w:ind w:left="-142"/>
        <w:jc w:val="center"/>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line="360" w:lineRule="auto"/>
        <w:ind w:left="-142"/>
        <w:jc w:val="center"/>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line="360" w:lineRule="auto"/>
        <w:ind w:left="-142"/>
        <w:jc w:val="center"/>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line="360" w:lineRule="auto"/>
        <w:ind w:left="-142"/>
        <w:jc w:val="center"/>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line="360" w:lineRule="auto"/>
        <w:ind w:left="-142"/>
        <w:jc w:val="center"/>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line="360" w:lineRule="auto"/>
        <w:ind w:left="-142"/>
        <w:jc w:val="center"/>
        <w:rPr>
          <w:rFonts w:ascii="Arial" w:hAnsi="Arial" w:cs="Arial"/>
        </w:rPr>
      </w:pPr>
      <w:r>
        <w:rPr>
          <w:rFonts w:ascii="Arial" w:hAnsi="Arial" w:eastAsia="Arial" w:cs="Arial"/>
        </w:rPr>
      </w:r>
      <w:r>
        <w:rPr>
          <w:rFonts w:ascii="Arial" w:hAnsi="Arial" w:cs="Arial"/>
        </w:rPr>
      </w:r>
      <w:r>
        <w:rPr>
          <w:rFonts w:ascii="Arial" w:hAnsi="Arial" w:cs="Arial"/>
        </w:rPr>
      </w:r>
    </w:p>
    <w:p w14:paraId="4F0C7C41">
      <w:pPr>
        <w:pStyle w:val="887"/>
        <w:pBdr/>
        <w:spacing w:line="360" w:lineRule="auto"/>
        <w:ind w:left="-142"/>
        <w:jc w:val="center"/>
        <w:rPr>
          <w:rFonts w:ascii="Arial" w:hAnsi="Arial" w:cs="Arial"/>
        </w:rPr>
      </w:pPr>
      <w:r>
        <w:rPr>
          <w:rFonts w:ascii="Arial" w:hAnsi="Arial" w:eastAsia="Arial" w:cs="Arial"/>
        </w:rPr>
      </w:r>
      <w:r>
        <w:rPr>
          <w:rFonts w:ascii="Arial" w:hAnsi="Arial" w:cs="Arial"/>
        </w:rPr>
      </w:r>
      <w:r>
        <w:rPr>
          <w:rFonts w:ascii="Arial" w:hAnsi="Arial" w:cs="Arial"/>
        </w:rPr>
      </w:r>
    </w:p>
    <w:p w14:paraId="0AA1BB92">
      <w:pPr>
        <w:pStyle w:val="887"/>
        <w:pBdr/>
        <w:spacing w:line="360" w:lineRule="auto"/>
        <w:ind w:left="-142"/>
        <w:jc w:val="center"/>
        <w:rPr>
          <w:rFonts w:ascii="Arial" w:hAnsi="Arial" w:cs="Arial"/>
        </w:rPr>
      </w:pPr>
      <w:r>
        <w:rPr>
          <w:rFonts w:ascii="Arial" w:hAnsi="Arial" w:eastAsia="Arial" w:cs="Arial"/>
        </w:rPr>
      </w:r>
      <w:r>
        <w:rPr>
          <w:rFonts w:ascii="Arial" w:hAnsi="Arial" w:cs="Arial"/>
        </w:rPr>
      </w:r>
      <w:r>
        <w:rPr>
          <w:rFonts w:ascii="Arial" w:hAnsi="Arial" w:cs="Arial"/>
        </w:rPr>
      </w:r>
    </w:p>
    <w:p w14:paraId="7452D263">
      <w:pPr>
        <w:pStyle w:val="887"/>
        <w:pBdr/>
        <w:spacing w:line="360" w:lineRule="auto"/>
        <w:ind w:left="-142"/>
        <w:jc w:val="center"/>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line="360" w:lineRule="auto"/>
        <w:ind w:left="0"/>
        <w:jc w:val="left"/>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line="360" w:lineRule="auto"/>
        <w:ind w:left="-142"/>
        <w:jc w:val="center"/>
        <w:rPr>
          <w:rFonts w:ascii="Arial" w:hAnsi="Arial" w:cs="Arial"/>
        </w:rPr>
      </w:pPr>
      <w:r>
        <w:rPr>
          <w:rFonts w:ascii="Arial" w:hAnsi="Arial" w:eastAsia="Arial" w:cs="Arial"/>
        </w:rPr>
      </w:r>
      <w:r>
        <w:rPr>
          <w:rFonts w:ascii="Arial" w:hAnsi="Arial" w:cs="Arial"/>
        </w:rPr>
      </w:r>
      <w:r>
        <w:rPr>
          <w:rFonts w:ascii="Arial" w:hAnsi="Arial" w:cs="Arial"/>
        </w:rPr>
      </w:r>
    </w:p>
    <w:p>
      <w:pPr>
        <w:pStyle w:val="888"/>
        <w:pBdr/>
        <w:spacing w:after="0" w:before="0"/>
        <w:ind/>
        <w:rPr>
          <w:rFonts w:ascii="Arial" w:hAnsi="Arial" w:cs="Arial"/>
          <w:b w:val="0"/>
          <w:bCs w:val="0"/>
          <w:sz w:val="20"/>
          <w:szCs w:val="20"/>
        </w:rPr>
      </w:pPr>
      <w:r/>
      <w:bookmarkStart w:id="102" w:name="_Toc39"/>
      <w:r>
        <w:rPr>
          <w:rFonts w:ascii="Arial" w:hAnsi="Arial" w:eastAsia="Arial" w:cs="Arial"/>
          <w:b w:val="0"/>
          <w:bCs w:val="0"/>
          <w:sz w:val="20"/>
          <w:szCs w:val="20"/>
        </w:rPr>
        <w:t xml:space="preserve">ANEXO III: MINUTA DO CONTRATO.</w:t>
      </w:r>
      <w:bookmarkEnd w:id="102"/>
      <w:r>
        <w:rPr>
          <w:rFonts w:ascii="Arial" w:hAnsi="Arial" w:cs="Arial"/>
          <w:b w:val="0"/>
          <w:bCs w:val="0"/>
          <w:sz w:val="20"/>
          <w:szCs w:val="20"/>
        </w:rPr>
      </w:r>
      <w:r>
        <w:rPr>
          <w:rFonts w:ascii="Arial" w:hAnsi="Arial" w:cs="Arial"/>
          <w:b w:val="0"/>
          <w:bCs w:val="0"/>
          <w:sz w:val="20"/>
          <w:szCs w:val="20"/>
        </w:rPr>
      </w:r>
    </w:p>
    <w:p>
      <w:pPr>
        <w:pStyle w:val="887"/>
        <w:pBdr/>
        <w:spacing/>
        <w:ind/>
        <w:jc w:val="center"/>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center"/>
        <w:rPr>
          <w:rFonts w:ascii="Arial" w:hAnsi="Arial" w:cs="Arial"/>
        </w:rPr>
      </w:pPr>
      <w:r>
        <w:rPr>
          <w:rFonts w:ascii="Arial" w:hAnsi="Arial" w:eastAsia="Arial" w:cs="Arial"/>
          <w:b/>
          <w:bCs/>
        </w:rPr>
        <w:t xml:space="preserve">MINUTA DO CONTRATO</w:t>
      </w:r>
      <w:r>
        <w:rPr>
          <w:rFonts w:ascii="Arial" w:hAnsi="Arial" w:cs="Arial"/>
        </w:rPr>
      </w:r>
      <w:r>
        <w:rPr>
          <w:rFonts w:ascii="Arial" w:hAnsi="Arial" w:cs="Arial"/>
        </w:rPr>
      </w:r>
    </w:p>
    <w:p>
      <w:pPr>
        <w:pStyle w:val="887"/>
        <w:pBdr/>
        <w:spacing/>
        <w:ind/>
        <w:jc w:val="center"/>
        <w:rPr>
          <w:rFonts w:ascii="Arial" w:hAnsi="Arial" w:cs="Arial"/>
          <w:b/>
          <w:bCs/>
        </w:rPr>
      </w:pPr>
      <w:r>
        <w:rPr>
          <w:rFonts w:ascii="Arial" w:hAnsi="Arial" w:eastAsia="Arial" w:cs="Arial"/>
          <w:b/>
          <w:bCs/>
        </w:rPr>
      </w:r>
      <w:r>
        <w:rPr>
          <w:rFonts w:ascii="Arial" w:hAnsi="Arial" w:cs="Arial"/>
          <w:b/>
          <w:bCs/>
        </w:rPr>
      </w:r>
      <w:r>
        <w:rPr>
          <w:rFonts w:ascii="Arial" w:hAnsi="Arial" w:cs="Arial"/>
          <w:b/>
          <w:bCs/>
        </w:rPr>
      </w:r>
    </w:p>
    <w:p>
      <w:pPr>
        <w:pStyle w:val="887"/>
        <w:pBdr/>
        <w:spacing/>
        <w:ind w:left="4820"/>
        <w:jc w:val="both"/>
        <w:rPr>
          <w:rFonts w:ascii="Arial" w:hAnsi="Arial" w:cs="Arial"/>
        </w:rPr>
      </w:pPr>
      <w:r>
        <w:rPr>
          <w:rFonts w:ascii="Arial" w:hAnsi="Arial" w:eastAsia="Arial" w:cs="Arial"/>
          <w:b/>
        </w:rPr>
        <w:t xml:space="preserve">CONTRATO Nº XX, QUE ENTRE SI, CELEBRAM O MUNICÍPIO DE RONDONÓPOLIS-ESTADO DE MATO GROSSO E A EMPRESA XXX, PARA OS FINS QUE SE ESPECIFICA.</w:t>
      </w:r>
      <w:r>
        <w:rPr>
          <w:rFonts w:ascii="Arial" w:hAnsi="Arial" w:cs="Arial"/>
        </w:rPr>
      </w:r>
      <w:r>
        <w:rPr>
          <w:rFonts w:ascii="Arial" w:hAnsi="Arial" w:cs="Arial"/>
        </w:rPr>
      </w:r>
    </w:p>
    <w:p>
      <w:pPr>
        <w:pStyle w:val="887"/>
        <w:pBdr/>
        <w:spacing/>
        <w:ind w:left="4820"/>
        <w:jc w:val="both"/>
        <w:rPr>
          <w:rFonts w:ascii="Arial" w:hAnsi="Arial" w:cs="Arial"/>
          <w:b/>
          <w:bCs/>
        </w:rPr>
      </w:pPr>
      <w:r>
        <w:rPr>
          <w:rFonts w:ascii="Arial" w:hAnsi="Arial" w:eastAsia="Arial" w:cs="Arial"/>
          <w:b/>
          <w:bCs/>
        </w:rPr>
      </w:r>
      <w:r>
        <w:rPr>
          <w:rFonts w:ascii="Arial" w:hAnsi="Arial" w:cs="Arial"/>
          <w:b/>
          <w:bCs/>
        </w:rPr>
      </w:r>
      <w:r>
        <w:rPr>
          <w:rFonts w:ascii="Arial" w:hAnsi="Arial" w:cs="Arial"/>
          <w:b/>
          <w:bCs/>
        </w:rPr>
      </w:r>
    </w:p>
    <w:p>
      <w:pPr>
        <w:pStyle w:val="887"/>
        <w:pBdr/>
        <w:spacing w:line="276" w:lineRule="auto"/>
        <w:ind/>
        <w:jc w:val="both"/>
        <w:rPr>
          <w:rFonts w:ascii="Arial" w:hAnsi="Arial" w:cs="Arial"/>
        </w:rPr>
      </w:pPr>
      <w:r>
        <w:rPr>
          <w:rFonts w:ascii="Arial" w:hAnsi="Arial" w:eastAsia="Arial" w:cs="Arial"/>
          <w:b/>
          <w:bCs/>
        </w:rPr>
        <w:t xml:space="preserve">O</w:t>
      </w:r>
      <w:r>
        <w:rPr>
          <w:rFonts w:ascii="Arial" w:hAnsi="Arial" w:eastAsia="Arial" w:cs="Arial"/>
          <w:b/>
        </w:rPr>
        <w:t xml:space="preserve"> MUNICÍPIO DE RONDONÓPOLIS</w:t>
      </w:r>
      <w:r>
        <w:rPr>
          <w:rFonts w:ascii="Arial" w:hAnsi="Arial" w:eastAsia="Arial" w:cs="Arial"/>
        </w:rPr>
        <w:t xml:space="preserve">, pessoa jurídica de direito público, com sede na cidade de Rondonópolis, Estado de Mato Grosso, na Avenida Duque de Caxias n.º 1000, Bairro: Vila Aurora, inscrita no CNPJ/MF. sob nº 03.347.101/0001-21, neste ato representada pelo Prefeito Municipal, Sr. </w:t>
      </w:r>
      <w:r>
        <w:rPr>
          <w:rFonts w:ascii="Arial" w:hAnsi="Arial" w:eastAsia="Arial" w:cs="Arial"/>
          <w:b/>
        </w:rPr>
        <w:t xml:space="preserve">xxxxxxxxxxxxxxxx</w:t>
      </w:r>
      <w:r>
        <w:rPr>
          <w:rFonts w:ascii="Arial" w:hAnsi="Arial" w:eastAsia="Arial" w:cs="Arial"/>
        </w:rPr>
        <w:t xml:space="preserve">, brasileiro,</w:t>
      </w:r>
      <w:r>
        <w:rPr>
          <w:rFonts w:ascii="Arial" w:hAnsi="Arial" w:eastAsia="Arial" w:cs="Arial"/>
        </w:rPr>
        <w:t xml:space="preserve"> casado, xxxxxxxxxxxxx, portador do RG. n.º xxxxxx- SSP/xx, inscrito no CPF/MF. sob n.ºxxxxxxxxxxxxx, residente e domiciliado na cidade de Rondonópolis-MT., à Rua xxxxxxxxxxxx, Casa n.º xx, Quadra n.º xxx, Bairro xxxxxxx, doravante denominada simplesmente </w:t>
      </w:r>
      <w:r>
        <w:rPr>
          <w:rFonts w:ascii="Arial" w:hAnsi="Arial" w:eastAsia="Arial" w:cs="Arial"/>
          <w:b/>
        </w:rPr>
        <w:t xml:space="preserve">CONTRATANTE</w:t>
      </w:r>
      <w:r>
        <w:rPr>
          <w:rFonts w:ascii="Arial" w:hAnsi="Arial" w:eastAsia="Arial" w:cs="Arial"/>
        </w:rPr>
        <w:t xml:space="preserve">; e de outro lado, a empresa </w:t>
      </w:r>
      <w:r>
        <w:rPr>
          <w:rFonts w:ascii="Arial" w:hAnsi="Arial" w:eastAsia="Arial" w:cs="Arial"/>
          <w:b/>
        </w:rPr>
        <w:t xml:space="preserve">xxxxxxxxxxxx</w:t>
      </w:r>
      <w:r>
        <w:rPr>
          <w:rFonts w:ascii="Arial" w:hAnsi="Arial" w:eastAsia="Arial" w:cs="Arial"/>
        </w:rPr>
        <w:t xml:space="preserve">, inscrita no CNPJ/MF. sob nº xx.xxx.xxx/xxxx-xx, Inscrição Estadual nº xxx.xxx.xxx.xxx, com sede na cidade de xxxxxxxxxx, Estado de xxxxxxxxxx, com sede na Rua xxxxxxxxxxxxx nº x.xxx, xxxxxxxx, neste ato representada pelo xxxxxxxx, Sr. </w:t>
      </w:r>
      <w:r>
        <w:rPr>
          <w:rFonts w:ascii="Arial" w:hAnsi="Arial" w:eastAsia="Arial" w:cs="Arial"/>
          <w:b/>
        </w:rPr>
        <w:t xml:space="preserve">xxxxxxxxx</w:t>
      </w:r>
      <w:r>
        <w:rPr>
          <w:rFonts w:ascii="Arial" w:hAnsi="Arial" w:eastAsia="Arial" w:cs="Arial"/>
        </w:rPr>
        <w:t xml:space="preserve">, xxxxxxxxx, xxxxxxx, xxxxxxxxxx, portador do RG. nº x.xxx.xxx-x SSP/xx., inscrito no CPF/MF. sob nº xxx.xxx.xxx-xx, residente e domiciliado na cidade de xxxxxxxxx-xx., à Rua xxxxxxxxxxx nº xxx, xxxxxxxx, doravante denominada simplesmente </w:t>
      </w:r>
      <w:r>
        <w:rPr>
          <w:rFonts w:ascii="Arial" w:hAnsi="Arial" w:eastAsia="Arial" w:cs="Arial"/>
          <w:b/>
        </w:rPr>
        <w:t xml:space="preserve">CONTRATADA</w:t>
      </w:r>
      <w:r>
        <w:rPr>
          <w:rFonts w:ascii="Arial" w:hAnsi="Arial" w:eastAsia="Arial" w:cs="Arial"/>
        </w:rPr>
        <w:t xml:space="preserve">, tendo em vista o resultado do </w:t>
      </w:r>
      <w:r>
        <w:rPr>
          <w:rFonts w:ascii="Arial" w:hAnsi="Arial" w:eastAsia="Arial" w:cs="Arial"/>
          <w:b/>
          <w:bCs/>
        </w:rPr>
        <w:t xml:space="preserve">PREGÃO ELETRÔNICO nº 44/2026</w:t>
      </w:r>
      <w:r>
        <w:rPr>
          <w:rFonts w:ascii="Arial" w:hAnsi="Arial" w:eastAsia="Arial" w:cs="Arial"/>
        </w:rPr>
        <w:t xml:space="preserve">, com fundamento na Lei 14.133/2021, e demais legislações correlatadas, resolvem celebrar o presente instrumento, mediante as cláusulas e condições a seguir:</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CLÁUSULA PRIMEIRA – DOCUMENTOS INTEGRANTES DO CONTRATO:</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numPr>
          <w:ilvl w:val="1"/>
          <w:numId w:val="4"/>
        </w:numPr>
        <w:pBdr/>
        <w:spacing/>
        <w:ind/>
        <w:jc w:val="both"/>
        <w:rPr>
          <w:rFonts w:ascii="Arial" w:hAnsi="Arial" w:cs="Arial"/>
        </w:rPr>
      </w:pPr>
      <w:r>
        <w:rPr>
          <w:rFonts w:ascii="Arial" w:hAnsi="Arial" w:eastAsia="Arial" w:cs="Arial"/>
        </w:rPr>
        <w:t xml:space="preserve">Edital e anexos do PREGÃO ELETRÔNICO nº 44/2026;</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numPr>
          <w:ilvl w:val="1"/>
          <w:numId w:val="4"/>
        </w:numPr>
        <w:pBdr/>
        <w:spacing/>
        <w:ind/>
        <w:jc w:val="both"/>
        <w:rPr>
          <w:rFonts w:ascii="Arial" w:hAnsi="Arial" w:cs="Arial"/>
        </w:rPr>
      </w:pPr>
      <w:r>
        <w:rPr>
          <w:rFonts w:ascii="Arial" w:hAnsi="Arial" w:eastAsia="Arial" w:cs="Arial"/>
        </w:rPr>
        <w:t xml:space="preserve">Proposta de Preço readequada da CONTRATADA;</w:t>
      </w:r>
      <w:r>
        <w:rPr>
          <w:rFonts w:ascii="Arial" w:hAnsi="Arial" w:cs="Arial"/>
        </w:rPr>
      </w:r>
      <w:r>
        <w:rPr>
          <w:rFonts w:ascii="Arial" w:hAnsi="Arial" w:cs="Arial"/>
        </w:rPr>
      </w:r>
    </w:p>
    <w:p>
      <w:pPr>
        <w:pStyle w:val="887"/>
        <w:pBdr/>
        <w:spacing/>
        <w:ind w:left="360"/>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numPr>
          <w:ilvl w:val="1"/>
          <w:numId w:val="4"/>
        </w:numPr>
        <w:pBdr/>
        <w:spacing/>
        <w:ind/>
        <w:jc w:val="both"/>
        <w:rPr>
          <w:rFonts w:ascii="Arial" w:hAnsi="Arial" w:cs="Arial"/>
        </w:rPr>
      </w:pPr>
      <w:r>
        <w:rPr>
          <w:rFonts w:ascii="Arial" w:hAnsi="Arial" w:eastAsia="Arial" w:cs="Arial"/>
        </w:rPr>
        <w:t xml:space="preserve">Anexos dos documentos aqui listados;</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numPr>
          <w:ilvl w:val="1"/>
          <w:numId w:val="4"/>
        </w:numPr>
        <w:pBdr/>
        <w:spacing/>
        <w:ind/>
        <w:jc w:val="both"/>
        <w:rPr>
          <w:rFonts w:ascii="Arial" w:hAnsi="Arial" w:cs="Arial"/>
        </w:rPr>
      </w:pPr>
      <w:r>
        <w:rPr>
          <w:rFonts w:ascii="Arial" w:hAnsi="Arial" w:eastAsia="Arial" w:cs="Arial"/>
        </w:rPr>
        <w:t xml:space="preserve">Ata (s) de Registro de Preços;</w:t>
      </w:r>
      <w:r>
        <w:rPr>
          <w:rFonts w:ascii="Arial" w:hAnsi="Arial" w:cs="Arial"/>
        </w:rPr>
      </w:r>
      <w:r>
        <w:rPr>
          <w:rFonts w:ascii="Arial" w:hAnsi="Arial" w:cs="Arial"/>
        </w:rPr>
      </w:r>
    </w:p>
    <w:p>
      <w:pPr>
        <w:pStyle w:val="2038"/>
        <w:pBdr/>
        <w:spacing/>
        <w:ind/>
        <w:rPr>
          <w:rFonts w:ascii="Arial" w:hAnsi="Arial" w:cs="Arial"/>
          <w:sz w:val="20"/>
          <w:szCs w:val="20"/>
        </w:rPr>
      </w:pPr>
      <w:r>
        <w:rPr>
          <w:rFonts w:ascii="Arial" w:hAnsi="Arial" w:eastAsia="Arial" w:cs="Arial"/>
          <w:sz w:val="20"/>
          <w:szCs w:val="20"/>
        </w:rPr>
      </w:r>
      <w:r>
        <w:rPr>
          <w:rFonts w:ascii="Arial" w:hAnsi="Arial" w:cs="Arial"/>
          <w:sz w:val="20"/>
          <w:szCs w:val="20"/>
        </w:rPr>
      </w:r>
      <w:r>
        <w:rPr>
          <w:rFonts w:ascii="Arial" w:hAnsi="Arial" w:cs="Arial"/>
          <w:sz w:val="20"/>
          <w:szCs w:val="20"/>
        </w:rPr>
      </w:r>
    </w:p>
    <w:p>
      <w:pPr>
        <w:pStyle w:val="887"/>
        <w:pBdr/>
        <w:spacing/>
        <w:ind/>
        <w:jc w:val="both"/>
        <w:rPr>
          <w:rFonts w:ascii="Arial" w:hAnsi="Arial" w:cs="Arial"/>
        </w:rPr>
      </w:pPr>
      <w:r>
        <w:rPr>
          <w:rFonts w:ascii="Arial" w:hAnsi="Arial" w:eastAsia="Arial" w:cs="Arial"/>
          <w:b/>
        </w:rPr>
        <w:t xml:space="preserve">1.5.</w:t>
      </w:r>
      <w:r>
        <w:rPr>
          <w:rFonts w:ascii="Arial" w:hAnsi="Arial" w:eastAsia="Arial" w:cs="Arial"/>
        </w:rPr>
        <w:t xml:space="preserve"> Os documentos referidos acima são considerados suficientes para, em complemento a este instrumento contratual, definir a sua intenção e, desta forma, reger sua execução dentro do mais alto padrão da técnica atual.</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CLÁUSULA SEGUNDA - DO OBJETO:</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Style w:val="1010"/>
          <w:rFonts w:ascii="Arial" w:hAnsi="Arial" w:eastAsia="Arial" w:cs="Arial"/>
          <w:b/>
        </w:rPr>
        <w:t xml:space="preserve">2.1</w:t>
      </w:r>
      <w:r>
        <w:rPr>
          <w:rStyle w:val="1010"/>
          <w:rFonts w:ascii="Arial" w:hAnsi="Arial" w:eastAsia="Arial" w:cs="Arial"/>
        </w:rPr>
        <w:t xml:space="preserve">. </w:t>
      </w:r>
      <w:r>
        <w:rPr>
          <w:rFonts w:ascii="Arial" w:hAnsi="Arial" w:eastAsia="Arial" w:cs="Arial"/>
        </w:rPr>
        <w:t xml:space="preserve">O presente contrato tem por objeto </w:t>
      </w:r>
      <w:r>
        <w:rPr>
          <w:rFonts w:ascii="Arial" w:hAnsi="Arial" w:eastAsia="Arial" w:cs="Arial"/>
          <w:b/>
          <w:bCs/>
          <w:color w:val="000000"/>
        </w:rPr>
        <w:t xml:space="preserve">A FUTURA E </w:t>
      </w:r>
      <w:r>
        <w:rPr>
          <w:rFonts w:ascii="Arial" w:hAnsi="Arial" w:eastAsia="Arial" w:cs="Arial"/>
          <w:b/>
          <w:bCs/>
          <w:color w:val="000000"/>
        </w:rPr>
        <w:t xml:space="preserve">EVENTUAL AQUISIÇÃO DE TUBOS E AGULHAS PARA COLETA DE SANGUE A VÁCUO LABORATORIAL, DE USO CONTÍNUO, PARA ATENDER AS DEMANDAS DA SECRETARIA MUNICIPAL DE SAÚDE DE RONDONÓPOLIS - MT, CONFORME ESPECIFICAÇÕES E QUANTITATIVOS ESTABELECIDOS NO EDITAL E SEUS ANEXOS</w:t>
      </w:r>
      <w:r>
        <w:rPr>
          <w:rFonts w:ascii="Arial" w:hAnsi="Arial" w:eastAsia="Arial" w:cs="Arial"/>
          <w:b/>
          <w:i/>
          <w:color w:val="000000"/>
        </w:rPr>
        <w:t xml:space="preserve">,</w:t>
      </w:r>
      <w:r>
        <w:rPr>
          <w:rFonts w:ascii="Arial" w:hAnsi="Arial" w:eastAsia="Arial" w:cs="Arial"/>
          <w:color w:val="000000"/>
        </w:rPr>
        <w:t xml:space="preserve"> </w:t>
      </w:r>
      <w:r>
        <w:rPr>
          <w:rFonts w:ascii="Arial" w:hAnsi="Arial" w:eastAsia="Arial" w:cs="Arial"/>
        </w:rPr>
        <w:t xml:space="preserve">na forma e qualidade estabelecidas nos documentos constantes da CLÁUSULA PRIMEIRA.</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CLÁUSULA TERCEIRA – DO REGIME DE EXECUÇÃO E FORMA DE FORNECIMENTO:</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3.1. </w:t>
      </w:r>
      <w:r>
        <w:rPr>
          <w:rFonts w:ascii="Arial" w:hAnsi="Arial" w:eastAsia="Arial" w:cs="Arial"/>
        </w:rPr>
        <w:t xml:space="preserve">O regime de execução é diferido e o fornecimento do objeto se dará mediante solicitação realizada pelo órgão municipal, por meio de ordem de fornecimento, devendo constar informações que identifique o solicitante</w:t>
      </w:r>
      <w:r>
        <w:rPr>
          <w:rFonts w:ascii="Arial" w:hAnsi="Arial" w:eastAsia="Arial" w:cs="Arial"/>
          <w:b/>
        </w:rPr>
        <w:t xml:space="preserve">;</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3.2. </w:t>
      </w:r>
      <w:r>
        <w:rPr>
          <w:rFonts w:ascii="Arial" w:hAnsi="Arial" w:eastAsia="Arial" w:cs="Arial"/>
        </w:rPr>
        <w:t xml:space="preserve">Na execução do objeto deverão ainda serem observadas as condições estabelecidas no termo de referência, edital e seus anexos;</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eastAsia="Arial" w:cs="Arial"/>
          <w:highlight w:val="none"/>
        </w:rPr>
      </w:pPr>
      <w:r>
        <w:rPr>
          <w:rFonts w:ascii="Arial" w:hAnsi="Arial" w:eastAsia="Arial" w:cs="Arial"/>
          <w:b/>
        </w:rPr>
        <w:t xml:space="preserve">3.3. </w:t>
      </w:r>
      <w:r>
        <w:rPr>
          <w:rFonts w:ascii="Arial" w:hAnsi="Arial" w:eastAsia="Arial" w:cs="Arial"/>
        </w:rPr>
        <w:t xml:space="preserve">O fornecimento/execução do objeto licitado terá início após a assinatura deste, expedição de nota de empenho e a emissão da ordem de fornecimento.</w:t>
      </w:r>
      <w:r>
        <w:rPr>
          <w:rFonts w:ascii="Arial" w:hAnsi="Arial" w:cs="Arial"/>
        </w:rPr>
      </w:r>
      <w:r>
        <w:rPr>
          <w:rFonts w:ascii="Arial" w:hAnsi="Arial" w:eastAsia="Arial" w:cs="Arial"/>
          <w:highlight w:val="none"/>
        </w:rPr>
      </w:r>
    </w:p>
    <w:p w14:paraId="33A20F04">
      <w:pPr>
        <w:pStyle w:val="887"/>
        <w:pBdr/>
        <w:spacing/>
        <w:ind/>
        <w:jc w:val="both"/>
        <w:rPr>
          <w:rFonts w:ascii="Arial" w:hAnsi="Arial" w:cs="Arial"/>
        </w:rPr>
      </w:pPr>
      <w:r>
        <w:rPr>
          <w:highlight w:val="none"/>
        </w:rPr>
      </w:r>
      <w:r>
        <w:rPr>
          <w:highlight w:val="none"/>
        </w:rPr>
      </w:r>
      <w:r>
        <w:rPr>
          <w:rFonts w:ascii="Arial" w:hAnsi="Arial" w:cs="Arial"/>
        </w:rPr>
      </w:r>
    </w:p>
    <w:p w14:paraId="43A06571">
      <w:pPr>
        <w:pBdr/>
        <w:spacing/>
        <w:ind/>
        <w:jc w:val="both"/>
        <w:rPr>
          <w:rFonts w:ascii="Arial" w:hAnsi="Arial" w:eastAsia="Arial" w:cs="Arial"/>
          <w14:ligatures w14:val="none"/>
        </w:rPr>
      </w:pPr>
      <w:r>
        <w:rPr>
          <w:rFonts w:ascii="Arial" w:hAnsi="Arial" w:eastAsia="Arial" w:cs="Arial"/>
          <w:highlight w:val="none"/>
        </w:rPr>
      </w:r>
      <w:r>
        <w:rPr>
          <w:rFonts w:ascii="Arial" w:hAnsi="Arial" w:eastAsia="Arial" w:cs="Arial"/>
          <w:b/>
        </w:rPr>
        <w:t xml:space="preserve">3.4.</w:t>
      </w:r>
      <w:r>
        <w:t xml:space="preserve"> </w:t>
      </w:r>
      <w:r>
        <w:rPr>
          <w:rFonts w:ascii="Arial" w:hAnsi="Arial" w:eastAsia="Arial" w:cs="Arial"/>
        </w:rPr>
        <w:t xml:space="preserve">Os produtos serão entregues no Almoxarifado da Secretaria Municipal de Saúde, situado na Avenida Ângelo Thum, nº 181, Jardim Monte Líbano, Rondonópolis/MT, observada eventual indicação de outro local no perímetro urbano, quando formalmente estabelecida na </w:t>
      </w:r>
      <w:r>
        <w:rPr>
          <w:rFonts w:ascii="Arial" w:hAnsi="Arial" w:eastAsia="Arial" w:cs="Arial"/>
        </w:rPr>
        <w:t xml:space="preserve">Ordem de Fornecimento.</w:t>
      </w:r>
      <w:r>
        <w:rPr>
          <w:rFonts w:ascii="Arial" w:hAnsi="Arial" w:eastAsia="Arial" w:cs="Arial"/>
        </w:rPr>
      </w:r>
      <w:r>
        <w:rPr>
          <w:rFonts w:ascii="Arial" w:hAnsi="Arial" w:eastAsia="Arial" w:cs="Arial"/>
          <w14:ligatures w14:val="none"/>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t xml:space="preserve">CLÁUSULA QUARTA – DAS ESPECIFICAÇÕES E QUANTIDADES DOS PRODUTOS:</w:t>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4.1. </w:t>
      </w:r>
      <w:r>
        <w:rPr>
          <w:rFonts w:ascii="Arial" w:hAnsi="Arial" w:eastAsia="Arial" w:cs="Arial"/>
        </w:rPr>
        <w:t xml:space="preserve">O objeto licitado deverá ser fornecido conforme as especificações e quantidades licitadas e contratadas, constantes nos documentos da CLÁUSULA PRIMEIRA.</w:t>
      </w:r>
      <w:r>
        <w:rPr>
          <w:rFonts w:ascii="Arial" w:hAnsi="Arial" w:eastAsia="Arial" w:cs="Arial"/>
          <w:b/>
        </w:rPr>
        <w:t xml:space="preserve">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    </w:t>
      </w:r>
      <w:r>
        <w:rPr>
          <w:rFonts w:ascii="Arial" w:hAnsi="Arial" w:cs="Arial"/>
        </w:rPr>
      </w:r>
      <w:r>
        <w:rPr>
          <w:rFonts w:ascii="Arial" w:hAnsi="Arial" w:cs="Arial"/>
        </w:rPr>
      </w:r>
    </w:p>
    <w:p>
      <w:pPr>
        <w:pStyle w:val="887"/>
        <w:pBdr/>
        <w:spacing/>
        <w:ind/>
        <w:rPr>
          <w:rFonts w:ascii="Arial" w:hAnsi="Arial" w:cs="Arial"/>
        </w:rPr>
      </w:pPr>
      <w:r>
        <w:rPr>
          <w:rFonts w:ascii="Arial" w:hAnsi="Arial" w:eastAsia="Arial" w:cs="Arial"/>
          <w:b/>
        </w:rPr>
        <w:t xml:space="preserve">CLÁUSULA QUINTA – DAS OBRIGAÇÕES DA CONTRATADA:</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color w:val="000000"/>
        </w:rPr>
      </w:pPr>
      <w:r>
        <w:rPr>
          <w:rStyle w:val="1010"/>
          <w:rFonts w:ascii="Arial" w:hAnsi="Arial" w:eastAsia="Arial" w:cs="Arial"/>
          <w:b/>
        </w:rPr>
        <w:t xml:space="preserve">5.1.</w:t>
      </w:r>
      <w:r>
        <w:rPr>
          <w:rStyle w:val="1010"/>
          <w:rFonts w:ascii="Arial" w:hAnsi="Arial" w:eastAsia="Arial" w:cs="Arial"/>
        </w:rPr>
        <w:t xml:space="preserve"> Constituem obrigações da Contratada, a</w:t>
      </w:r>
      <w:r>
        <w:rPr>
          <w:rFonts w:ascii="Arial" w:hAnsi="Arial" w:eastAsia="Arial" w:cs="Arial"/>
          <w:lang w:val="pt-PT"/>
        </w:rPr>
        <w:t xml:space="preserve">lém das demais previstas no edital e todos seus anexos.</w:t>
      </w:r>
      <w:r>
        <w:rPr>
          <w:rStyle w:val="1010"/>
          <w:rFonts w:ascii="Arial" w:hAnsi="Arial" w:eastAsia="Arial" w:cs="Arial"/>
          <w:color w:val="000000"/>
        </w:rPr>
        <w:t xml:space="preserve"> </w:t>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Style w:val="1010"/>
          <w:rFonts w:ascii="Arial" w:hAnsi="Arial" w:eastAsia="Arial" w:cs="Arial"/>
          <w:b/>
        </w:rPr>
        <w:t xml:space="preserve">5.2.</w:t>
      </w:r>
      <w:r>
        <w:rPr>
          <w:rStyle w:val="1010"/>
          <w:rFonts w:ascii="Arial" w:hAnsi="Arial" w:eastAsia="Arial" w:cs="Arial"/>
        </w:rPr>
        <w:t xml:space="preserve"> Cumprir o objeto da contratação, realizando </w:t>
      </w:r>
      <w:r>
        <w:rPr>
          <w:rStyle w:val="1010"/>
          <w:rFonts w:ascii="Arial" w:hAnsi="Arial" w:eastAsia="Arial" w:cs="Arial"/>
          <w:color w:val="000000"/>
        </w:rPr>
        <w:t xml:space="preserve">a entrega dos itens</w:t>
      </w:r>
      <w:r>
        <w:rPr>
          <w:rStyle w:val="1010"/>
          <w:rFonts w:ascii="Arial" w:hAnsi="Arial" w:eastAsia="Arial" w:cs="Arial"/>
        </w:rPr>
        <w:t xml:space="preserve"> especificados na Cláusula Segunda, conforme disposições contidas na cláusula quarta.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Style w:val="1010"/>
          <w:rFonts w:ascii="Arial" w:hAnsi="Arial" w:eastAsia="Arial" w:cs="Arial"/>
          <w:b/>
        </w:rPr>
        <w:t xml:space="preserve">5.3.</w:t>
      </w:r>
      <w:r>
        <w:rPr>
          <w:rStyle w:val="1010"/>
          <w:rFonts w:ascii="Arial" w:hAnsi="Arial" w:eastAsia="Arial" w:cs="Arial"/>
        </w:rPr>
        <w:t xml:space="preserve"> Cumprir todas as leis e posturas federais, estaduais e municipais pertinentes e responsabilizar-se por todos os prejuízos decorrentes de infrações a que houver dado causa.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Style w:val="1010"/>
          <w:rFonts w:ascii="Arial" w:hAnsi="Arial" w:eastAsia="Arial" w:cs="Arial"/>
          <w:b/>
        </w:rPr>
        <w:t xml:space="preserve">5.4.</w:t>
      </w:r>
      <w:r>
        <w:rPr>
          <w:rStyle w:val="1010"/>
          <w:rFonts w:ascii="Arial" w:hAnsi="Arial" w:eastAsia="Arial" w:cs="Arial"/>
        </w:rPr>
        <w:t xml:space="preserve"> Assumir, com exclusividade, todos os tributos, impostos e taxas que forem devidos em decorrência do objet</w:t>
      </w:r>
      <w:r>
        <w:rPr>
          <w:rStyle w:val="1010"/>
          <w:rFonts w:ascii="Arial" w:hAnsi="Arial" w:eastAsia="Arial" w:cs="Arial"/>
        </w:rPr>
        <w:t xml:space="preserve">o da contratação e quaisquer outras despesas que se fizerem necessárias ao cumprimento do objeto pactuado, inclusive quanto ao transporte, carga e descarga, configuração, despesas com pessoal e apresentar os respectivos comprovantes quando solicitado pelo </w:t>
      </w:r>
      <w:r>
        <w:rPr>
          <w:rStyle w:val="1010"/>
          <w:rFonts w:ascii="Arial" w:hAnsi="Arial" w:eastAsia="Arial" w:cs="Arial"/>
          <w:b/>
        </w:rPr>
        <w:t xml:space="preserve">CONTRATANTE</w:t>
      </w:r>
      <w:r>
        <w:rPr>
          <w:rStyle w:val="1010"/>
          <w:rFonts w:ascii="Arial" w:hAnsi="Arial" w:eastAsia="Arial" w:cs="Arial"/>
        </w:rPr>
        <w:t xml:space="preserve">.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Style w:val="1010"/>
          <w:rFonts w:ascii="Arial" w:hAnsi="Arial" w:eastAsia="Arial" w:cs="Arial"/>
          <w:b/>
        </w:rPr>
        <w:t xml:space="preserve">5.5.</w:t>
      </w:r>
      <w:r>
        <w:rPr>
          <w:rStyle w:val="1010"/>
          <w:rFonts w:ascii="Arial" w:hAnsi="Arial" w:eastAsia="Arial" w:cs="Arial"/>
        </w:rPr>
        <w:t xml:space="preserve"> Aceitar, nas mesmas condições contratuais, os acréscimos ou supressões que se fizerem, no objeto deste instrumento de até 25% (vinte e cinco por cento) do valor inicial atualizado da contratação.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Style w:val="1010"/>
          <w:rFonts w:ascii="Arial" w:hAnsi="Arial" w:eastAsia="Arial" w:cs="Arial"/>
          <w:b/>
        </w:rPr>
        <w:t xml:space="preserve">5.6.</w:t>
      </w:r>
      <w:r>
        <w:rPr>
          <w:rStyle w:val="1010"/>
          <w:rFonts w:ascii="Arial" w:hAnsi="Arial" w:eastAsia="Arial" w:cs="Arial"/>
        </w:rPr>
        <w:t xml:space="preserve"> Responder perante a </w:t>
      </w:r>
      <w:r>
        <w:rPr>
          <w:rStyle w:val="1010"/>
          <w:rFonts w:ascii="Arial" w:hAnsi="Arial" w:eastAsia="Arial" w:cs="Arial"/>
          <w:b/>
        </w:rPr>
        <w:t xml:space="preserve">CONTRATANTE</w:t>
      </w:r>
      <w:r>
        <w:rPr>
          <w:rStyle w:val="1010"/>
          <w:rFonts w:ascii="Arial" w:hAnsi="Arial" w:eastAsia="Arial" w:cs="Arial"/>
        </w:rPr>
        <w:t xml:space="preserve"> e terceiros por eventuais prejuízos e danos decorrentes de sua demora ou de sua omissão, na condução do objeto deste instrumento sob a sua responsabilidade ou por erro relativo à sua execução.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Style w:val="1010"/>
          <w:rFonts w:ascii="Arial" w:hAnsi="Arial" w:eastAsia="Arial" w:cs="Arial"/>
          <w:b/>
        </w:rPr>
        <w:t xml:space="preserve">5.7.</w:t>
      </w:r>
      <w:r>
        <w:rPr>
          <w:rStyle w:val="1010"/>
          <w:rFonts w:ascii="Arial" w:hAnsi="Arial" w:eastAsia="Arial" w:cs="Arial"/>
        </w:rPr>
        <w:t xml:space="preserve"> Responsabilizar-se por quaisquer ônus decorrentes de omissões ou erros na elaboração de estimativa de custos e que redundem em aumento de despesas para o </w:t>
      </w:r>
      <w:r>
        <w:rPr>
          <w:rStyle w:val="1010"/>
          <w:rFonts w:ascii="Arial" w:hAnsi="Arial" w:eastAsia="Arial" w:cs="Arial"/>
          <w:b/>
        </w:rPr>
        <w:t xml:space="preserve">CONTRATANTE</w:t>
      </w:r>
      <w:r>
        <w:rPr>
          <w:rStyle w:val="1010"/>
          <w:rFonts w:ascii="Arial" w:hAnsi="Arial" w:eastAsia="Arial" w:cs="Arial"/>
        </w:rPr>
        <w:t xml:space="preserve">.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Style w:val="1010"/>
          <w:rFonts w:ascii="Arial" w:hAnsi="Arial" w:eastAsia="Arial" w:cs="Arial"/>
          <w:b/>
        </w:rPr>
        <w:t xml:space="preserve">5.8.</w:t>
      </w:r>
      <w:r>
        <w:rPr>
          <w:rStyle w:val="1010"/>
          <w:rFonts w:ascii="Arial" w:hAnsi="Arial" w:eastAsia="Arial" w:cs="Arial"/>
        </w:rPr>
        <w:t xml:space="preserve"> Responsabilizar-se pelo ônus resultante de quaisquer ações, demandas, custos e despesas decorrentes de danos</w:t>
      </w:r>
      <w:r>
        <w:rPr>
          <w:rStyle w:val="1010"/>
          <w:rFonts w:ascii="Arial" w:hAnsi="Arial" w:eastAsia="Arial" w:cs="Arial"/>
        </w:rPr>
        <w:t xml:space="preserve"> causados por culpa ou dolo de seus empregados, prepostos e/ou contratados, bem como se obrigar por quaisquer responsabilidades decorrentes de ações judiciais que lhe venham a ser atribuídas por força de lei, relacionadas com o cumprimento da contratação.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Style w:val="1010"/>
          <w:rFonts w:ascii="Arial" w:hAnsi="Arial" w:eastAsia="Arial" w:cs="Arial"/>
          <w:b/>
        </w:rPr>
        <w:t xml:space="preserve">5.9.</w:t>
      </w:r>
      <w:r>
        <w:rPr>
          <w:rStyle w:val="1010"/>
          <w:rFonts w:ascii="Arial" w:hAnsi="Arial" w:eastAsia="Arial" w:cs="Arial"/>
        </w:rPr>
        <w:t xml:space="preserve"> Manter-se, durante toda a execução do contrato, em compatibilidade com todas as condições de habilitação e qualificação exigidas na licitação.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Style w:val="1010"/>
          <w:rFonts w:ascii="Arial" w:hAnsi="Arial" w:eastAsia="Arial" w:cs="Arial"/>
          <w:b/>
        </w:rPr>
        <w:t xml:space="preserve">5.10.</w:t>
      </w:r>
      <w:r>
        <w:rPr>
          <w:rStyle w:val="1010"/>
          <w:rFonts w:ascii="Arial" w:hAnsi="Arial" w:eastAsia="Arial" w:cs="Arial"/>
        </w:rPr>
        <w:t xml:space="preserve"> Comunicar a Prefeitura Municipal qualquer alteração às condições em que se encontrava no momento da contratação dos serviços, como endereço, telefone, conta bancária, responsável pela empresa, etc.</w:t>
      </w:r>
      <w:r>
        <w:rPr>
          <w:rFonts w:ascii="Arial" w:hAnsi="Arial" w:eastAsia="Arial" w:cs="Arial"/>
        </w:rPr>
        <w:t xml:space="preserve">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lang w:val="pt-PT"/>
        </w:rPr>
        <w:t xml:space="preserve">5.11</w:t>
      </w:r>
      <w:r>
        <w:rPr>
          <w:rFonts w:ascii="Arial" w:hAnsi="Arial" w:eastAsia="Arial" w:cs="Arial"/>
          <w:lang w:val="pt-PT"/>
        </w:rPr>
        <w:t xml:space="preserve">. A </w:t>
      </w:r>
      <w:r>
        <w:rPr>
          <w:rFonts w:ascii="Arial" w:hAnsi="Arial" w:eastAsia="Arial" w:cs="Arial"/>
          <w:b/>
          <w:u w:val="single"/>
          <w:lang w:val="pt-PT"/>
        </w:rPr>
        <w:t xml:space="preserve">CONTRATADA</w:t>
      </w:r>
      <w:r>
        <w:rPr>
          <w:rFonts w:ascii="Arial" w:hAnsi="Arial" w:eastAsia="Arial" w:cs="Arial"/>
          <w:lang w:val="pt-PT"/>
        </w:rPr>
        <w:t xml:space="preserve"> se obriga a permitir que a auditoria interna da </w:t>
      </w:r>
      <w:r>
        <w:rPr>
          <w:rFonts w:ascii="Arial" w:hAnsi="Arial" w:eastAsia="Arial" w:cs="Arial"/>
          <w:b/>
          <w:u w:val="single"/>
          <w:lang w:val="pt-PT"/>
        </w:rPr>
        <w:t xml:space="preserve">CONTRATANTE</w:t>
      </w:r>
      <w:r>
        <w:rPr>
          <w:rFonts w:ascii="Arial" w:hAnsi="Arial" w:eastAsia="Arial" w:cs="Arial"/>
          <w:lang w:val="pt-PT"/>
        </w:rPr>
        <w:t xml:space="preserve"> por ela indicada, tenham acesso a todos os documentos fiscais e contábeis que digam respeito aos </w:t>
      </w:r>
      <w:r>
        <w:rPr>
          <w:rFonts w:ascii="Arial" w:hAnsi="Arial" w:eastAsia="Arial" w:cs="Arial"/>
          <w:lang w:val="pt-BR"/>
        </w:rPr>
        <w:t xml:space="preserve">produtos</w:t>
      </w:r>
      <w:r>
        <w:rPr>
          <w:rFonts w:ascii="Arial" w:hAnsi="Arial" w:eastAsia="Arial" w:cs="Arial"/>
          <w:lang w:val="pt-PT"/>
        </w:rPr>
        <w:t xml:space="preserve"> fornecidos à </w:t>
      </w:r>
      <w:r>
        <w:rPr>
          <w:rFonts w:ascii="Arial" w:hAnsi="Arial" w:eastAsia="Arial" w:cs="Arial"/>
          <w:b/>
          <w:u w:val="single"/>
          <w:lang w:val="pt-PT"/>
        </w:rPr>
        <w:t xml:space="preserve">CONTRATANTE</w:t>
      </w:r>
      <w:r>
        <w:rPr>
          <w:rFonts w:ascii="Arial" w:hAnsi="Arial" w:eastAsia="Arial" w:cs="Arial"/>
          <w:lang w:val="pt-PT"/>
        </w:rPr>
        <w:t xml:space="preserve">.</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lang w:val="pt-PT"/>
        </w:rPr>
      </w:r>
      <w:r>
        <w:rPr>
          <w:rFonts w:ascii="Arial" w:hAnsi="Arial" w:cs="Arial"/>
        </w:rPr>
      </w:r>
      <w:r>
        <w:rPr>
          <w:rFonts w:ascii="Arial" w:hAnsi="Arial" w:cs="Arial"/>
        </w:rPr>
      </w:r>
    </w:p>
    <w:p>
      <w:pPr>
        <w:pBdr/>
        <w:spacing/>
        <w:ind/>
        <w:jc w:val="both"/>
        <w:rPr>
          <w:rFonts w:ascii="Arial" w:hAnsi="Arial" w:cs="Arial"/>
        </w:rPr>
      </w:pPr>
      <w:r>
        <w:rPr>
          <w:rStyle w:val="1010"/>
          <w:rFonts w:ascii="Arial" w:hAnsi="Arial" w:eastAsia="Arial" w:cs="Arial"/>
          <w:b/>
        </w:rPr>
        <w:t xml:space="preserve">5.12.</w:t>
      </w:r>
      <w:r>
        <w:rPr>
          <w:rStyle w:val="1010"/>
          <w:rFonts w:ascii="Arial" w:hAnsi="Arial" w:eastAsia="Arial" w:cs="Arial"/>
        </w:rPr>
        <w:t xml:space="preserve"> Executar o fornecimento dentro dos padrões estabelecidos, de acordo com </w:t>
      </w:r>
      <w:r>
        <w:rPr>
          <w:rStyle w:val="1010"/>
          <w:rFonts w:ascii="Arial" w:hAnsi="Arial" w:eastAsia="Arial" w:cs="Arial"/>
        </w:rPr>
        <w:t xml:space="preserve">a </w:t>
      </w:r>
      <w:r>
        <w:rPr>
          <w:rStyle w:val="1010"/>
          <w:rFonts w:ascii="Arial" w:hAnsi="Arial" w:eastAsia="Arial" w:cs="Arial"/>
        </w:rPr>
        <w:t xml:space="preserve">especificação dos produtos/insumos</w:t>
      </w:r>
      <w:r>
        <w:rPr>
          <w:rStyle w:val="1010"/>
          <w:rFonts w:ascii="Arial" w:hAnsi="Arial" w:eastAsia="Arial" w:cs="Arial"/>
        </w:rPr>
        <w:t xml:space="preserve"> responsabilizando-se por eventuais prejuízos decorrentes do descumprimento de condição estabelecida</w:t>
      </w:r>
      <w:r>
        <w:rPr>
          <w:rStyle w:val="1010"/>
          <w:rFonts w:ascii="Arial" w:hAnsi="Arial" w:eastAsia="Arial" w:cs="Arial"/>
        </w:rPr>
        <w:t xml:space="preserve">.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5.13.</w:t>
      </w:r>
      <w:r>
        <w:rPr>
          <w:rFonts w:ascii="Arial" w:hAnsi="Arial" w:eastAsia="Arial" w:cs="Arial"/>
        </w:rPr>
        <w:t xml:space="preserve"> Cumprir com os prazos de entrega acordados junto à Secretaria solicitante dos materiais;</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Style w:val="1010"/>
          <w:rFonts w:ascii="Arial" w:hAnsi="Arial" w:eastAsia="Arial" w:cs="Arial"/>
          <w:b/>
        </w:rPr>
        <w:t xml:space="preserve">5.14</w:t>
      </w:r>
      <w:r>
        <w:rPr>
          <w:rStyle w:val="1010"/>
          <w:rFonts w:ascii="Arial" w:hAnsi="Arial" w:eastAsia="Arial" w:cs="Arial"/>
        </w:rPr>
        <w:t xml:space="preserve">. Realizar as entregas dos produtos no endereço fornecido pela Secretaria;</w:t>
      </w:r>
      <w:r>
        <w:rPr>
          <w:rFonts w:ascii="Arial" w:hAnsi="Arial" w:cs="Arial"/>
        </w:rPr>
      </w:r>
      <w:r>
        <w:rPr>
          <w:rFonts w:ascii="Arial" w:hAnsi="Arial" w:cs="Arial"/>
        </w:rPr>
      </w:r>
    </w:p>
    <w:p>
      <w:pPr>
        <w:pBdr/>
        <w:spacing/>
        <w:ind/>
        <w:jc w:val="both"/>
        <w:rPr>
          <w:rStyle w:val="1010"/>
          <w:rFonts w:ascii="Arial" w:hAnsi="Arial" w:cs="Arial"/>
          <w14:ligatures w14:val="none"/>
        </w:rPr>
      </w:pPr>
      <w:r>
        <w:rPr>
          <w:rStyle w:val="1010"/>
          <w:rFonts w:ascii="Arial" w:hAnsi="Arial" w:eastAsia="Arial" w:cs="Arial"/>
        </w:rPr>
      </w:r>
      <w:r>
        <w:rPr>
          <w:rStyle w:val="1010"/>
          <w:rFonts w:ascii="Arial" w:hAnsi="Arial" w:cs="Arial"/>
          <w14:ligatures w14:val="none"/>
        </w:rPr>
      </w:r>
      <w:r>
        <w:rPr>
          <w:rStyle w:val="1010"/>
          <w:rFonts w:ascii="Arial" w:hAnsi="Arial" w:cs="Arial"/>
          <w14:ligatures w14:val="none"/>
        </w:rPr>
      </w:r>
    </w:p>
    <w:p>
      <w:pPr>
        <w:pBdr/>
        <w:spacing/>
        <w:ind/>
        <w:jc w:val="both"/>
        <w:rPr>
          <w:rStyle w:val="1010"/>
          <w:rFonts w:ascii="Arial" w:hAnsi="Arial" w:cs="Arial"/>
          <w14:ligatures w14:val="none"/>
        </w:rPr>
      </w:pPr>
      <w:r>
        <w:rPr>
          <w:rStyle w:val="1010"/>
          <w:rFonts w:ascii="Arial" w:hAnsi="Arial" w:eastAsia="Arial" w:cs="Arial"/>
        </w:rPr>
        <w:t xml:space="preserve">5.15.</w:t>
      </w:r>
      <w:r>
        <w:rPr>
          <w:rStyle w:val="1010"/>
          <w:rFonts w:ascii="Arial" w:hAnsi="Arial" w:eastAsia="Arial" w:cs="Arial"/>
        </w:rPr>
        <w:t xml:space="preserve"> </w:t>
      </w:r>
      <w:r>
        <w:rPr>
          <w:rStyle w:val="1010"/>
          <w:rFonts w:ascii="Arial" w:hAnsi="Arial" w:eastAsia="Arial" w:cs="Arial"/>
        </w:rPr>
        <w:t xml:space="preserve">Os produtos que se encontrarem em desconformidade com as condições exigidas deverão ser substituídos no prazo máximo de 05 (cinco) dias úteis, contado do recebimento da notificação, sem ônus para a Administração, salvo prazo inferior fixado pela fiscalizaç</w:t>
      </w:r>
      <w:r>
        <w:rPr>
          <w:rStyle w:val="1010"/>
          <w:rFonts w:ascii="Arial" w:hAnsi="Arial" w:eastAsia="Arial" w:cs="Arial"/>
        </w:rPr>
        <w:t xml:space="preserve">ão em razão de risco de desabastecimento ou urgência assistencial devidamente justificada.</w:t>
      </w:r>
      <w:r>
        <w:rPr>
          <w:rStyle w:val="1010"/>
          <w:rFonts w:ascii="Arial" w:hAnsi="Arial" w:eastAsia="Arial" w:cs="Arial"/>
        </w:rPr>
        <w:t xml:space="preserve"> </w:t>
      </w:r>
      <w:r>
        <w:rPr>
          <w:rStyle w:val="1010"/>
          <w:rFonts w:ascii="Arial" w:hAnsi="Arial" w:cs="Arial"/>
          <w14:ligatures w14:val="none"/>
        </w:rPr>
      </w:r>
      <w:r>
        <w:rPr>
          <w:rStyle w:val="1010"/>
          <w:rFonts w:ascii="Arial" w:hAnsi="Arial" w:cs="Arial"/>
          <w14:ligatures w14:val="none"/>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5.16.</w:t>
      </w:r>
      <w:r>
        <w:rPr>
          <w:rFonts w:ascii="Arial" w:hAnsi="Arial" w:eastAsia="Arial" w:cs="Arial"/>
        </w:rPr>
        <w:t xml:space="preserve"> Prestar esclarecimentos que forem solicitados pelo Município, cujas reclamações se obriga a atender prontamente, bem como, oferecer</w:t>
      </w:r>
      <w:r>
        <w:rPr>
          <w:rFonts w:ascii="Arial" w:hAnsi="Arial" w:eastAsia="Arial" w:cs="Arial"/>
          <w:lang w:val="pt-PT"/>
        </w:rPr>
        <w:t xml:space="preserve"> condições para a mais ampla </w:t>
      </w:r>
      <w:r>
        <w:rPr>
          <w:rFonts w:ascii="Arial" w:hAnsi="Arial" w:eastAsia="Arial" w:cs="Arial"/>
          <w:lang w:val="pt-PT"/>
        </w:rPr>
        <w:t xml:space="preserve">e completa fiscalização, durante a vigência deste Contrato, bem como de seu (s) aditivo (s), propiciando o acesso à toda documentação pertinente (s) ao (s) fornecimento (s) dos produtos, atendendo às observações e exigências apresentadas pela fiscalização.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lang w:val="pt-PT"/>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5.17.</w:t>
      </w:r>
      <w:r>
        <w:rPr>
          <w:rFonts w:ascii="Arial" w:hAnsi="Arial" w:eastAsia="Arial" w:cs="Arial"/>
        </w:rPr>
        <w:t xml:space="preserve"> A contratada se responsabilizará pela substituição dos produtos entregues</w:t>
      </w:r>
      <w:r>
        <w:rPr>
          <w:rFonts w:ascii="Arial" w:hAnsi="Arial" w:eastAsia="Arial" w:cs="Arial"/>
          <w:b/>
        </w:rPr>
        <w:t xml:space="preserve"> </w:t>
      </w:r>
      <w:r>
        <w:rPr>
          <w:rFonts w:ascii="Arial" w:hAnsi="Arial" w:eastAsia="Arial" w:cs="Arial"/>
        </w:rPr>
        <w:t xml:space="preserve">em que forem constatados defeitos de fabricação ou que se encontrarem em desacordo com as especificações constantes deste Edital e seus anexos, isentando este Município de quaisquer ônus financeiros adicionais;</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5.18. </w:t>
      </w:r>
      <w:r>
        <w:rPr>
          <w:rFonts w:ascii="Arial" w:hAnsi="Arial" w:eastAsia="Arial" w:cs="Arial"/>
        </w:rPr>
        <w:t xml:space="preserve">A CONTRATADA tem a obrigação de atender as exigências de reserva de cargos prevista em lei, bem como em outras normas específicas, para pessoa com deficiência, para reabilitado da Previdência Social e para aprendiz; (Lei 14.133/2021 art. 92 – inciso XVII)</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CLÁUSULA SEXTA – SUBCONTRATAÇÃO:</w:t>
      </w:r>
      <w:r>
        <w:rPr>
          <w:rFonts w:ascii="Arial" w:hAnsi="Arial" w:eastAsia="Arial" w:cs="Arial"/>
        </w:rPr>
        <w:t xml:space="preserve"> </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14:paraId="2357F897">
      <w:pPr>
        <w:pBdr>
          <w:top w:val="none" w:color="000000" w:sz="4" w:space="0"/>
          <w:left w:val="none" w:color="000000" w:sz="4" w:space="0"/>
          <w:bottom w:val="none" w:color="000000" w:sz="4" w:space="0"/>
          <w:right w:val="none" w:color="000000" w:sz="4" w:space="0"/>
        </w:pBdr>
        <w:spacing/>
        <w:ind/>
        <w:jc w:val="both"/>
        <w:rPr>
          <w:rFonts w:ascii="Arial" w:hAnsi="Arial" w:eastAsia="Arial" w:cs="Arial"/>
          <w14:ligatures w14:val="none"/>
        </w:rPr>
      </w:pPr>
      <w:r>
        <w:rPr>
          <w:rFonts w:ascii="Arial" w:hAnsi="Arial" w:eastAsia="Arial" w:cs="Arial"/>
          <w:b/>
          <w:bCs/>
        </w:rPr>
        <w:t xml:space="preserve">6.1.</w:t>
      </w:r>
      <w:r>
        <w:rPr>
          <w:rFonts w:ascii="Arial" w:hAnsi="Arial" w:eastAsia="Arial" w:cs="Arial"/>
          <w:b/>
          <w:bCs/>
        </w:rPr>
        <w:t xml:space="preserve"> </w:t>
      </w:r>
      <w:r>
        <w:rPr>
          <w:rFonts w:ascii="Arial" w:hAnsi="Arial" w:eastAsia="Arial" w:cs="Arial"/>
        </w:rPr>
        <w:t xml:space="preserve">É vedada a subcontratação integral das obrigações principais do contrato.</w:t>
      </w:r>
      <w:r>
        <w:rPr>
          <w:rFonts w:ascii="Arial" w:hAnsi="Arial" w:eastAsia="Arial" w:cs="Arial"/>
        </w:rPr>
      </w:r>
      <w:r>
        <w:rPr>
          <w:rFonts w:ascii="Arial" w:hAnsi="Arial" w:eastAsia="Arial" w:cs="Arial"/>
          <w14:ligatures w14:val="none"/>
        </w:rPr>
      </w:r>
    </w:p>
    <w:p w14:paraId="2F5CFF83">
      <w:pPr>
        <w:pBdr>
          <w:top w:val="none" w:color="000000" w:sz="4" w:space="0"/>
          <w:left w:val="none" w:color="000000" w:sz="4" w:space="0"/>
          <w:bottom w:val="none" w:color="000000" w:sz="4" w:space="0"/>
          <w:right w:val="none" w:color="000000" w:sz="4" w:space="0"/>
        </w:pBdr>
        <w:spacing/>
        <w:ind/>
        <w:jc w:val="both"/>
        <w:rPr>
          <w:rFonts w:ascii="Arial" w:hAnsi="Arial" w:eastAsia="Arial" w:cs="Arial"/>
          <w14:ligatures w14:val="none"/>
        </w:rPr>
      </w:pPr>
      <w:r>
        <w:rPr>
          <w:rFonts w:ascii="Arial" w:hAnsi="Arial" w:eastAsia="Arial" w:cs="Arial"/>
        </w:rPr>
      </w:r>
      <w:r>
        <w:rPr>
          <w:rFonts w:ascii="Arial" w:hAnsi="Arial" w:eastAsia="Arial" w:cs="Arial"/>
        </w:rPr>
      </w:r>
      <w:r>
        <w:rPr>
          <w:rFonts w:ascii="Arial" w:hAnsi="Arial" w:eastAsia="Arial" w:cs="Arial"/>
          <w14:ligatures w14:val="none"/>
        </w:rPr>
      </w:r>
    </w:p>
    <w:p w14:paraId="46B43F75">
      <w:pPr>
        <w:pBdr>
          <w:top w:val="none" w:color="000000" w:sz="4" w:space="0"/>
          <w:left w:val="none" w:color="000000" w:sz="4" w:space="0"/>
          <w:bottom w:val="none" w:color="000000" w:sz="4" w:space="0"/>
          <w:right w:val="none" w:color="000000" w:sz="4" w:space="0"/>
        </w:pBdr>
        <w:spacing/>
        <w:ind/>
        <w:jc w:val="both"/>
        <w:rPr>
          <w:rFonts w:ascii="Arial" w:hAnsi="Arial" w:eastAsia="Arial" w:cs="Arial"/>
          <w14:ligatures w14:val="none"/>
        </w:rPr>
      </w:pPr>
      <w:r>
        <w:rPr>
          <w:rFonts w:ascii="Arial" w:hAnsi="Arial" w:eastAsia="Arial" w:cs="Arial"/>
          <w:b/>
          <w:bCs/>
        </w:rPr>
        <w:t xml:space="preserve">6.2.</w:t>
      </w:r>
      <w:r>
        <w:rPr>
          <w:rFonts w:ascii="Arial" w:hAnsi="Arial" w:eastAsia="Arial" w:cs="Arial"/>
        </w:rPr>
        <w:t xml:space="preserve"> Será admitida a utilização de terceiros para atividades auxiliares de logística, transporte ou distribuição, desde que não haja transferência da obrigação principal e que a Contratada permaneça integralmente responsável pela execução, qualidade, prazos, s</w:t>
      </w:r>
      <w:r>
        <w:rPr>
          <w:rFonts w:ascii="Arial" w:hAnsi="Arial" w:eastAsia="Arial" w:cs="Arial"/>
        </w:rPr>
        <w:t xml:space="preserve">egurança e demais obrigações contratuais.</w:t>
      </w:r>
      <w:r>
        <w:rPr>
          <w:rFonts w:ascii="Arial" w:hAnsi="Arial" w:eastAsia="Arial" w:cs="Arial"/>
        </w:rPr>
      </w:r>
      <w:r>
        <w:rPr>
          <w:rFonts w:ascii="Arial" w:hAnsi="Arial" w:eastAsia="Arial" w:cs="Arial"/>
          <w14:ligatures w14:val="none"/>
        </w:rPr>
      </w:r>
    </w:p>
    <w:p>
      <w:pPr>
        <w:pBdr/>
        <w:spacing/>
        <w:ind/>
        <w:jc w:val="both"/>
        <w:rPr>
          <w:rFonts w:ascii="Arial" w:hAnsi="Arial" w:eastAsia="Arial" w:cs="Arial"/>
          <w14:ligatures w14:val="none"/>
        </w:rPr>
      </w:pPr>
      <w:r>
        <w:rPr>
          <w:rFonts w:ascii="Arial" w:hAnsi="Arial" w:eastAsia="Arial" w:cs="Arial"/>
        </w:rPr>
      </w:r>
      <w:r>
        <w:rPr>
          <w:rFonts w:ascii="Arial" w:hAnsi="Arial" w:eastAsia="Arial" w:cs="Arial"/>
        </w:rPr>
      </w:r>
      <w:r>
        <w:rPr>
          <w:rFonts w:ascii="Arial" w:hAnsi="Arial" w:eastAsia="Arial" w:cs="Arial"/>
          <w14:ligatures w14:val="none"/>
        </w:rPr>
      </w:r>
    </w:p>
    <w:p>
      <w:pPr>
        <w:pStyle w:val="887"/>
        <w:pBdr/>
        <w:spacing/>
        <w:ind/>
        <w:jc w:val="both"/>
        <w:rPr>
          <w:rFonts w:ascii="Arial" w:hAnsi="Arial" w:cs="Arial"/>
          <w:color w:val="000000"/>
        </w:rPr>
      </w:pPr>
      <w:r>
        <w:rPr>
          <w:rFonts w:ascii="Arial" w:hAnsi="Arial" w:eastAsia="Arial" w:cs="Arial"/>
          <w:b/>
          <w:color w:val="000000"/>
        </w:rPr>
        <w:t xml:space="preserve">CLÁUSULA SÉTIMA – DO RECEBIMENTO DOS ITENS E DA EXECUÇÃO DO CONTRATO:</w:t>
      </w:r>
      <w:r>
        <w:rPr>
          <w:rFonts w:ascii="Arial" w:hAnsi="Arial" w:cs="Arial"/>
          <w:color w:val="000000"/>
        </w:rPr>
      </w:r>
      <w:r>
        <w:rPr>
          <w:rFonts w:ascii="Arial" w:hAnsi="Arial" w:cs="Arial"/>
          <w:color w:val="000000"/>
        </w:rPr>
      </w:r>
    </w:p>
    <w:p>
      <w:pPr>
        <w:pStyle w:val="887"/>
        <w:pBdr/>
        <w:spacing/>
        <w:ind w:right="-5"/>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rPr>
      </w:pPr>
      <w:r>
        <w:rPr>
          <w:rFonts w:ascii="Arial" w:hAnsi="Arial" w:eastAsia="Arial" w:cs="Arial"/>
          <w:b/>
          <w:bCs/>
        </w:rPr>
        <w:t xml:space="preserve">7.1. Recebimento Provisório: </w:t>
      </w:r>
      <w:r>
        <w:rPr>
          <w:rFonts w:ascii="Arial" w:hAnsi="Arial" w:eastAsia="Arial" w:cs="Arial"/>
        </w:rPr>
        <w:t xml:space="preserve">Os insumos obje</w:t>
      </w:r>
      <w:r>
        <w:rPr>
          <w:rFonts w:ascii="Arial" w:hAnsi="Arial" w:eastAsia="Arial" w:cs="Arial"/>
        </w:rPr>
        <w:t xml:space="preserve">to da presente contratação serão recebidos provisoriamente no ato da entrega, mediante apresentação da Nota Fiscal ou outro instrumento de cobrança equivalente, pelo responsável pelo acompanhamento e fiscalização do contrato. Este recebimento terá caráter </w:t>
      </w:r>
      <w:r>
        <w:rPr>
          <w:rFonts w:ascii="Arial" w:hAnsi="Arial" w:eastAsia="Arial" w:cs="Arial"/>
          <w:b/>
          <w:bCs/>
        </w:rPr>
        <w:t xml:space="preserve">provisório</w:t>
      </w:r>
      <w:r>
        <w:rPr>
          <w:rFonts w:ascii="Arial" w:hAnsi="Arial" w:eastAsia="Arial" w:cs="Arial"/>
        </w:rPr>
        <w:t xml:space="preserve">, servindo para verificação inicial da conformidade com as especificações do Termo de Referência e da proposta vencedora.</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clear" w:leader="none" w:pos="708"/>
          <w:tab w:val="left" w:leader="none" w:pos="720"/>
        </w:tabs>
        <w:spacing/>
        <w:ind/>
        <w:jc w:val="both"/>
        <w:rPr>
          <w:rFonts w:ascii="Arial" w:hAnsi="Arial" w:cs="Arial"/>
        </w:rPr>
      </w:pPr>
      <w:r>
        <w:rPr>
          <w:rFonts w:ascii="Arial" w:hAnsi="Arial" w:eastAsia="Arial" w:cs="Arial"/>
          <w:b/>
          <w:bCs/>
        </w:rPr>
        <w:t xml:space="preserve">7.2. Recebimento Definitivo: </w:t>
      </w:r>
      <w:r>
        <w:rPr>
          <w:rFonts w:ascii="Arial" w:hAnsi="Arial" w:eastAsia="Arial" w:cs="Arial"/>
        </w:rPr>
        <w:t xml:space="preserve">Após a entrega, insumos passarão por inspeção detalhada</w:t>
      </w:r>
      <w:r>
        <w:rPr>
          <w:rFonts w:ascii="Arial" w:hAnsi="Arial" w:eastAsia="Arial" w:cs="Arial"/>
        </w:rPr>
        <w:t xml:space="preserve">.</w:t>
      </w:r>
      <w:r>
        <w:rPr>
          <w:rFonts w:ascii="Arial" w:hAnsi="Arial" w:cs="Arial"/>
        </w:rPr>
      </w:r>
      <w:r>
        <w:rPr>
          <w:rFonts w:ascii="Arial" w:hAnsi="Arial" w:cs="Arial"/>
        </w:rPr>
      </w:r>
    </w:p>
    <w:p>
      <w:pPr>
        <w:pStyle w:val="887"/>
        <w:pBdr/>
        <w:tabs>
          <w:tab w:val="clear" w:leader="none" w:pos="708"/>
          <w:tab w:val="left" w:leader="none" w:pos="720"/>
        </w:tabs>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bCs/>
        </w:rPr>
        <w:t xml:space="preserve">7.2.1.</w:t>
      </w:r>
      <w:r>
        <w:rPr>
          <w:rFonts w:ascii="Arial" w:hAnsi="Arial" w:eastAsia="Arial" w:cs="Arial"/>
        </w:rPr>
        <w:t xml:space="preserve"> O recebimento definitivo será formalizado mediante </w:t>
      </w:r>
      <w:r>
        <w:rPr>
          <w:rFonts w:ascii="Arial" w:hAnsi="Arial" w:eastAsia="Arial" w:cs="Arial"/>
          <w:b/>
          <w:bCs/>
        </w:rPr>
        <w:t xml:space="preserve">termo de aceitação</w:t>
      </w:r>
      <w:r>
        <w:rPr>
          <w:rFonts w:ascii="Arial" w:hAnsi="Arial" w:eastAsia="Arial" w:cs="Arial"/>
        </w:rPr>
        <w:t xml:space="preserve">, assinado pelo responsável pelo acompanhamento e fiscalização, </w:t>
      </w:r>
      <w:r>
        <w:rPr>
          <w:rFonts w:ascii="Arial" w:hAnsi="Arial" w:eastAsia="Arial" w:cs="Arial"/>
          <w:b/>
          <w:bCs/>
        </w:rPr>
        <w:t xml:space="preserve">somente após constatação de que os itens estão em plena conformidade com as especificações técnicas do Termo de Referência e da proposta contratada</w:t>
      </w:r>
      <w:r>
        <w:rPr>
          <w:rFonts w:ascii="Arial" w:hAnsi="Arial" w:eastAsia="Arial" w:cs="Arial"/>
        </w:rPr>
        <w:t xml:space="preserve">.</w:t>
      </w:r>
      <w:r>
        <w:rPr>
          <w:rFonts w:ascii="Arial" w:hAnsi="Arial" w:cs="Arial"/>
        </w:rPr>
      </w:r>
      <w:r>
        <w:rPr>
          <w:rFonts w:ascii="Arial" w:hAnsi="Arial" w:cs="Arial"/>
        </w:rPr>
      </w:r>
    </w:p>
    <w:p>
      <w:pPr>
        <w:pStyle w:val="887"/>
        <w:pBdr/>
        <w:spacing/>
        <w:ind/>
        <w:jc w:val="both"/>
        <w:rPr>
          <w:rFonts w:ascii="Arial" w:hAnsi="Arial" w:cs="Arial"/>
          <w:b/>
          <w:bCs/>
        </w:rPr>
      </w:pPr>
      <w:r>
        <w:rPr>
          <w:rFonts w:ascii="Arial" w:hAnsi="Arial" w:eastAsia="Arial" w:cs="Arial"/>
          <w:b/>
          <w:bCs/>
        </w:rPr>
      </w:r>
      <w:r>
        <w:rPr>
          <w:rFonts w:ascii="Arial" w:hAnsi="Arial" w:cs="Arial"/>
          <w:b/>
          <w:bCs/>
        </w:rPr>
      </w:r>
      <w:r>
        <w:rPr>
          <w:rFonts w:ascii="Arial" w:hAnsi="Arial" w:cs="Arial"/>
          <w:b/>
          <w:bCs/>
        </w:rPr>
      </w:r>
    </w:p>
    <w:p>
      <w:pPr>
        <w:pStyle w:val="887"/>
        <w:pBdr/>
        <w:tabs>
          <w:tab w:val="clear" w:leader="none" w:pos="708"/>
          <w:tab w:val="left" w:leader="none" w:pos="720"/>
        </w:tabs>
        <w:spacing/>
        <w:ind/>
        <w:jc w:val="both"/>
        <w:rPr>
          <w:rFonts w:ascii="Arial" w:hAnsi="Arial" w:cs="Arial"/>
        </w:rPr>
      </w:pPr>
      <w:r>
        <w:rPr>
          <w:rFonts w:ascii="Arial" w:hAnsi="Arial" w:eastAsia="Arial" w:cs="Arial"/>
          <w:b/>
          <w:bCs/>
        </w:rPr>
        <w:t xml:space="preserve">7.3. Rejeição e Correções: </w:t>
      </w:r>
      <w:r>
        <w:rPr>
          <w:rFonts w:ascii="Arial" w:hAnsi="Arial" w:eastAsia="Arial" w:cs="Arial"/>
          <w:sz w:val="20"/>
          <w:szCs w:val="20"/>
        </w:rPr>
        <w:t xml:space="preserve">Caso algum item não atenda aos requisitos exigidos, total ou parcialmente, deverá ser recusado pela Administração e substituído pela contratada, sem ônus ao Município, no prazo previsto neste edital e seus anexos, vedado qualquer reparo, ajuste, reprocessa</w:t>
      </w:r>
      <w:r>
        <w:rPr>
          <w:rFonts w:ascii="Arial" w:hAnsi="Arial" w:eastAsia="Arial" w:cs="Arial"/>
          <w:sz w:val="20"/>
          <w:szCs w:val="20"/>
        </w:rPr>
        <w:t xml:space="preserve">mento ou reaproveitamento do produto recusado.</w:t>
      </w:r>
      <w:r>
        <w:rPr>
          <w:rFonts w:ascii="Arial" w:hAnsi="Arial" w:cs="Arial"/>
        </w:rPr>
      </w:r>
      <w:r>
        <w:rPr>
          <w:rFonts w:ascii="Arial" w:hAnsi="Arial" w:cs="Arial"/>
        </w:rPr>
      </w:r>
    </w:p>
    <w:p>
      <w:pPr>
        <w:pStyle w:val="887"/>
        <w:pBdr/>
        <w:spacing/>
        <w:ind/>
        <w:jc w:val="both"/>
        <w:rPr>
          <w:rFonts w:ascii="Arial" w:hAnsi="Arial" w:cs="Arial"/>
          <w:b/>
          <w:bCs/>
        </w:rPr>
      </w:pPr>
      <w:r>
        <w:rPr>
          <w:rFonts w:ascii="Arial" w:hAnsi="Arial" w:eastAsia="Arial" w:cs="Arial"/>
          <w:b/>
          <w:bCs/>
        </w:rPr>
      </w:r>
      <w:r>
        <w:rPr>
          <w:rFonts w:ascii="Arial" w:hAnsi="Arial" w:cs="Arial"/>
          <w:b/>
          <w:bCs/>
        </w:rPr>
      </w:r>
      <w:r>
        <w:rPr>
          <w:rFonts w:ascii="Arial" w:hAnsi="Arial" w:cs="Arial"/>
          <w:b/>
          <w:bCs/>
        </w:rPr>
      </w:r>
    </w:p>
    <w:p>
      <w:pPr>
        <w:pStyle w:val="887"/>
        <w:pBdr/>
        <w:spacing/>
        <w:ind/>
        <w:jc w:val="both"/>
        <w:rPr>
          <w:rFonts w:ascii="Arial" w:hAnsi="Arial" w:cs="Arial"/>
          <w:b/>
        </w:rPr>
      </w:pPr>
      <w:r>
        <w:rPr>
          <w:rFonts w:ascii="Arial" w:hAnsi="Arial" w:eastAsia="Arial" w:cs="Arial"/>
          <w:b/>
          <w:color w:val="000000"/>
        </w:rPr>
        <w:t xml:space="preserve">7.4. (...) REGIME DE EXECUÇÃO</w:t>
      </w:r>
      <w:r>
        <w:rPr>
          <w:rFonts w:ascii="Arial" w:hAnsi="Arial" w:eastAsia="Arial" w:cs="Arial"/>
          <w:b/>
        </w:rPr>
        <w:t xml:space="preserve"> DO CONTRATO E RESULTADOS: </w:t>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color w:val="000000"/>
        </w:rPr>
      </w:pPr>
      <w:r>
        <w:rPr>
          <w:rFonts w:ascii="Arial" w:hAnsi="Arial" w:eastAsia="Arial" w:cs="Arial"/>
          <w:b/>
          <w:color w:val="000000"/>
        </w:rPr>
        <w:t xml:space="preserve">7.4.1.</w:t>
      </w:r>
      <w:r>
        <w:rPr>
          <w:rFonts w:ascii="Arial" w:hAnsi="Arial" w:eastAsia="Arial" w:cs="Arial"/>
          <w:color w:val="000000"/>
        </w:rPr>
        <w:t xml:space="preserve"> O contrato deverá ser executado fielmente pelas partes, de acordo com as cláusulas avençadas e as normas da Lei n.º 14.133/2021, e cada parte responderá pelas consequências de sua inexecução total ou parcial.</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7.4.2.</w:t>
      </w:r>
      <w:r>
        <w:rPr>
          <w:rFonts w:ascii="Arial" w:hAnsi="Arial" w:eastAsia="Arial" w:cs="Arial"/>
          <w:color w:val="000000"/>
        </w:rPr>
        <w:t xml:space="preserve"> O contrato decorrente da ARP, ou outro instrumento</w:t>
      </w:r>
      <w:r>
        <w:rPr>
          <w:rFonts w:ascii="Arial" w:hAnsi="Arial" w:eastAsia="Arial" w:cs="Arial"/>
          <w:color w:val="000000"/>
        </w:rPr>
        <w:t xml:space="preserve"> hábil que o substitua deverá ser executado fielmente pelas partes, de acordo com as cláusulas avençadas e as normas da Lei n° 14.133/2021 e do Decreto Municipal n° 11.685/2023 e cada parte responderá pelas consequências de sua inexecução total ou parcial.</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7.4.3.</w:t>
      </w:r>
      <w:r>
        <w:rPr>
          <w:rFonts w:ascii="Arial" w:hAnsi="Arial" w:eastAsia="Arial" w:cs="Arial"/>
          <w:color w:val="000000"/>
        </w:rPr>
        <w:t xml:space="preserve"> Em caso de impedimento, ordem de paralisação ou suspensão do contrato, o cronograma de execução será prorrogado automaticamente pelo tempo correspondente, anotadas tais circunstâncias mediante simples apostila.</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7.4.4.</w:t>
      </w:r>
      <w:r>
        <w:rPr>
          <w:rFonts w:ascii="Arial" w:hAnsi="Arial" w:eastAsia="Arial" w:cs="Arial"/>
          <w:color w:val="000000"/>
        </w:rPr>
        <w:t xml:space="preserve"> As comunicações entre o órgão e a contratada devem ser realizadas por escrito sempre que o ato exigir tal formalidade, admitindo-se o uso de mensagem eletrônica para esse fim.</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7.4.5.</w:t>
      </w:r>
      <w:r>
        <w:rPr>
          <w:rFonts w:ascii="Arial" w:hAnsi="Arial" w:eastAsia="Arial" w:cs="Arial"/>
          <w:color w:val="000000"/>
        </w:rPr>
        <w:t xml:space="preserve"> O órgão poderá convocar representante da empresa para adoção de providências que devam ser cumpridas de imediato.</w:t>
      </w:r>
      <w:r>
        <w:rPr>
          <w:rFonts w:ascii="Arial" w:hAnsi="Arial" w:cs="Arial"/>
          <w:color w:val="000000"/>
        </w:rPr>
      </w:r>
      <w:r>
        <w:rPr>
          <w:rFonts w:ascii="Arial" w:hAnsi="Arial" w:cs="Arial"/>
          <w:color w:val="000000"/>
        </w:rPr>
      </w:r>
    </w:p>
    <w:p>
      <w:pPr>
        <w:pStyle w:val="887"/>
        <w:pBdr/>
        <w:spacing/>
        <w:ind/>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color w:val="000000"/>
        </w:rPr>
      </w:pPr>
      <w:r>
        <w:rPr>
          <w:rFonts w:ascii="Arial" w:hAnsi="Arial" w:eastAsia="Arial" w:cs="Arial"/>
          <w:b/>
          <w:color w:val="000000"/>
        </w:rPr>
        <w:t xml:space="preserve">7.4.6.</w:t>
      </w:r>
      <w:r>
        <w:rPr>
          <w:rFonts w:ascii="Arial" w:hAnsi="Arial" w:eastAsia="Arial" w:cs="Arial"/>
          <w:color w:val="000000"/>
        </w:rPr>
        <w:t xml:space="preserve"> Após a assinatura do contrato ou instrumento equivalente, o órgão ou entidade poderá convocar o representante da empresa contratada para reunião inicial para apresentação do plano de fiscalização, que conterá info</w:t>
      </w:r>
      <w:r>
        <w:rPr>
          <w:rFonts w:ascii="Arial" w:hAnsi="Arial" w:eastAsia="Arial" w:cs="Arial"/>
          <w:color w:val="000000"/>
        </w:rPr>
        <w:t xml:space="preserve">rmações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7.4.7.</w:t>
      </w:r>
      <w:r>
        <w:rPr>
          <w:rFonts w:ascii="Arial" w:hAnsi="Arial" w:eastAsia="Arial" w:cs="Arial"/>
          <w:color w:val="000000"/>
        </w:rPr>
        <w:t xml:space="preserve"> A execução do contrato deverá ser acompanhada e fiscalizada pelo(</w:t>
      </w:r>
      <w:r>
        <w:rPr>
          <w:rFonts w:ascii="Arial" w:hAnsi="Arial" w:eastAsia="Arial" w:cs="Arial"/>
          <w:color w:val="000000"/>
        </w:rPr>
        <w:t xml:space="preserve">s) fiscal(is) do contrato, ou pelos respectivos substitutos, observado o disposto nos artigos 11 e 12 do Decreto Municipal n° 11.685/2023 e do artigo 117 da Lei 14.133/2021, consistindo a sua atuação, sem prejuízo de outras previstas em lei ou regulamento:</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a)</w:t>
      </w:r>
      <w:r>
        <w:rPr>
          <w:rFonts w:ascii="Arial" w:hAnsi="Arial" w:eastAsia="Arial" w:cs="Arial"/>
          <w:color w:val="000000"/>
        </w:rPr>
        <w:t xml:space="preserve"> anotar, em registro, próprio todas as ocorrências relacionadas com a execução e determinará o que for necessário à regularização de falhas ou defeitos observados.</w:t>
      </w:r>
      <w:r>
        <w:rPr>
          <w:rFonts w:ascii="Arial" w:hAnsi="Arial" w:cs="Arial"/>
          <w:color w:val="000000"/>
        </w:rPr>
      </w:r>
      <w:r>
        <w:rPr>
          <w:rFonts w:ascii="Arial" w:hAnsi="Arial" w:cs="Arial"/>
          <w:color w:val="000000"/>
        </w:rPr>
      </w:r>
    </w:p>
    <w:p>
      <w:pPr>
        <w:pStyle w:val="887"/>
        <w:pBdr/>
        <w:spacing/>
        <w:ind/>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color w:val="000000"/>
        </w:rPr>
      </w:pPr>
      <w:r>
        <w:rPr>
          <w:rFonts w:ascii="Arial" w:hAnsi="Arial" w:eastAsia="Arial" w:cs="Arial"/>
          <w:b/>
          <w:color w:val="000000"/>
        </w:rPr>
        <w:t xml:space="preserve">b)</w:t>
      </w:r>
      <w:r>
        <w:rPr>
          <w:rFonts w:ascii="Arial" w:hAnsi="Arial" w:eastAsia="Arial" w:cs="Arial"/>
          <w:color w:val="000000"/>
        </w:rPr>
        <w:t xml:space="preserve"> informar a seus superiores, em tempo hábil para a adoção das medidas convenientes, a situação que demandar decisão ou providência que ultrapasse sua competência.</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c)</w:t>
      </w:r>
      <w:r>
        <w:rPr>
          <w:rFonts w:ascii="Arial" w:hAnsi="Arial" w:eastAsia="Arial" w:cs="Arial"/>
          <w:color w:val="000000"/>
        </w:rPr>
        <w:t xml:space="preserve"> solicitar, quando necessário, o auxílio dos órgãos de assessoramento jurídico de controle interno da Administração, que deverão dirimir dúvidas e subsidiá-lo com informações relevantes para prevenir riscos na execução contratual.</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d)</w:t>
      </w:r>
      <w:r>
        <w:rPr>
          <w:rFonts w:ascii="Arial" w:hAnsi="Arial" w:eastAsia="Arial" w:cs="Arial"/>
          <w:color w:val="000000"/>
        </w:rPr>
        <w:t xml:space="preserve"> esclarecer prontamente as dúvidas administrativas e técnicas e divergências surgidas na execução do objeto contratado;</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e)</w:t>
      </w:r>
      <w:r>
        <w:rPr>
          <w:rFonts w:ascii="Arial" w:hAnsi="Arial" w:eastAsia="Arial" w:cs="Arial"/>
          <w:color w:val="000000"/>
        </w:rPr>
        <w:t xml:space="preserve"> expedir, através de notificações e/ou relatório de vistoria, as ocorrências e fazer as determinações e comunicações necessárias à perfeita execução dos serviços;</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f)</w:t>
      </w:r>
      <w:r>
        <w:rPr>
          <w:rFonts w:ascii="Arial" w:hAnsi="Arial" w:eastAsia="Arial" w:cs="Arial"/>
          <w:color w:val="000000"/>
        </w:rPr>
        <w:t xml:space="preserve"> proceder, conforme cronograma físico-financeiro, a medição referente as entregas dos produtos e aprovar disposto em contrato;</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g)</w:t>
      </w:r>
      <w:r>
        <w:rPr>
          <w:rFonts w:ascii="Arial" w:hAnsi="Arial" w:eastAsia="Arial" w:cs="Arial"/>
          <w:color w:val="000000"/>
        </w:rPr>
        <w:t xml:space="preserve"> adotar as medidas preventivas de controle dos contratos, inclusive manifestar-se a respeito da suspensão da entrega dos produtos;</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h)</w:t>
      </w:r>
      <w:r>
        <w:rPr>
          <w:rFonts w:ascii="Arial" w:hAnsi="Arial" w:eastAsia="Arial" w:cs="Arial"/>
          <w:color w:val="000000"/>
        </w:rPr>
        <w:t xml:space="preserve"> conferir e certificar as faturas relativas às aquisições;</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i)</w:t>
      </w:r>
      <w:r>
        <w:rPr>
          <w:rFonts w:ascii="Arial" w:hAnsi="Arial" w:eastAsia="Arial" w:cs="Arial"/>
          <w:color w:val="000000"/>
        </w:rPr>
        <w:t xml:space="preserve"> proceder a avaliação dos produtos entregues pela contratada;</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j)</w:t>
      </w:r>
      <w:r>
        <w:rPr>
          <w:rFonts w:ascii="Arial" w:hAnsi="Arial" w:eastAsia="Arial" w:cs="Arial"/>
          <w:color w:val="000000"/>
        </w:rPr>
        <w:t xml:space="preserve"> determinar por todos os meios adequados a observância das normas técnicas e legais, especificações e métodos de execução exigíveis para a perfeita execução do objeto;</w:t>
      </w:r>
      <w:r>
        <w:rPr>
          <w:rFonts w:ascii="Arial" w:hAnsi="Arial" w:cs="Arial"/>
          <w:color w:val="000000"/>
        </w:rPr>
      </w:r>
      <w:r>
        <w:rPr>
          <w:rFonts w:ascii="Arial" w:hAnsi="Arial" w:cs="Arial"/>
          <w:color w:val="000000"/>
        </w:rPr>
      </w:r>
    </w:p>
    <w:p>
      <w:pPr>
        <w:pStyle w:val="887"/>
        <w:pBdr/>
        <w:spacing/>
        <w:ind/>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color w:val="000000"/>
        </w:rPr>
      </w:pPr>
      <w:r>
        <w:rPr>
          <w:rFonts w:ascii="Arial" w:hAnsi="Arial" w:eastAsia="Arial" w:cs="Arial"/>
          <w:b/>
          <w:color w:val="000000"/>
        </w:rPr>
        <w:t xml:space="preserve">k)</w:t>
      </w:r>
      <w:r>
        <w:rPr>
          <w:rFonts w:ascii="Arial" w:hAnsi="Arial" w:eastAsia="Arial" w:cs="Arial"/>
          <w:color w:val="000000"/>
        </w:rPr>
        <w:t xml:space="preserve"> exigir o uso correto dos equipamentos de proteção individual e coletiva de segurança do trabalho;</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l)</w:t>
      </w:r>
      <w:r>
        <w:rPr>
          <w:rFonts w:ascii="Arial" w:hAnsi="Arial" w:eastAsia="Arial" w:cs="Arial"/>
          <w:color w:val="000000"/>
        </w:rPr>
        <w:t xml:space="preserve"> determinar a retirada de qualquer empregado subordinado direta ou indiretamente à contratada, inclusive empregados de eventuais subcontratadas, ou as próprias subcontratadas, que, a seu critério, comprometam o bom andamento dos serviços;</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m)</w:t>
      </w:r>
      <w:r>
        <w:rPr>
          <w:rFonts w:ascii="Arial" w:hAnsi="Arial" w:eastAsia="Arial" w:cs="Arial"/>
          <w:color w:val="000000"/>
        </w:rPr>
        <w:t xml:space="preserve"> receber designação e manter contato com o preposto da contratada, e se for necessário, promover reuniões periódicas ou especiais para a resolução de problemas na entrega dos produtos;</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n)</w:t>
      </w:r>
      <w:r>
        <w:rPr>
          <w:rFonts w:ascii="Arial" w:hAnsi="Arial" w:eastAsia="Arial" w:cs="Arial"/>
          <w:color w:val="000000"/>
        </w:rPr>
        <w:t xml:space="preserve"> dar parecer técnico nos pedidos de alterações contratuais;</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o)</w:t>
      </w:r>
      <w:r>
        <w:rPr>
          <w:rFonts w:ascii="Arial" w:hAnsi="Arial" w:eastAsia="Arial" w:cs="Arial"/>
          <w:color w:val="000000"/>
        </w:rPr>
        <w:t xml:space="preserve"> verificar a correta aplicação dos produtos;</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p)</w:t>
      </w:r>
      <w:r>
        <w:rPr>
          <w:rFonts w:ascii="Arial" w:hAnsi="Arial" w:eastAsia="Arial" w:cs="Arial"/>
          <w:color w:val="000000"/>
        </w:rPr>
        <w:t xml:space="preserve"> requerer das empresas testes, exames e ensaios quando necessários, no sentido de promoção de controle de qualidade da execução produtos; </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q)</w:t>
      </w:r>
      <w:r>
        <w:rPr>
          <w:rFonts w:ascii="Arial" w:hAnsi="Arial" w:eastAsia="Arial" w:cs="Arial"/>
          <w:color w:val="000000"/>
        </w:rPr>
        <w:t xml:space="preserve"> realizar, na forma do art. 140 da Lei Federal n.° 14.133, de 2021, o recebimento do objeto contratado, quando for o caso;</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r)</w:t>
      </w:r>
      <w:r>
        <w:rPr>
          <w:rFonts w:ascii="Arial" w:hAnsi="Arial" w:eastAsia="Arial" w:cs="Arial"/>
          <w:color w:val="000000"/>
        </w:rPr>
        <w:t xml:space="preserve"> propor à autoridade competente a abertura de procedimento administrativo para apuração de responsabilidade;</w:t>
      </w:r>
      <w:r>
        <w:rPr>
          <w:rFonts w:ascii="Arial" w:hAnsi="Arial" w:cs="Arial"/>
          <w:color w:val="000000"/>
        </w:rPr>
      </w:r>
      <w:r>
        <w:rPr>
          <w:rFonts w:ascii="Arial" w:hAnsi="Arial" w:cs="Arial"/>
          <w:color w:val="000000"/>
        </w:rPr>
      </w:r>
    </w:p>
    <w:p>
      <w:pPr>
        <w:pStyle w:val="887"/>
        <w:pBdr/>
        <w:spacing/>
        <w:ind/>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color w:val="000000"/>
        </w:rPr>
      </w:pPr>
      <w:r>
        <w:rPr>
          <w:rFonts w:ascii="Arial" w:hAnsi="Arial" w:eastAsia="Arial" w:cs="Arial"/>
          <w:b/>
          <w:color w:val="000000"/>
        </w:rPr>
        <w:t xml:space="preserve">7.4.8.</w:t>
      </w:r>
      <w:r>
        <w:rPr>
          <w:rFonts w:ascii="Arial" w:hAnsi="Arial" w:eastAsia="Arial" w:cs="Arial"/>
          <w:color w:val="000000"/>
        </w:rPr>
        <w:t xml:space="preserve"> A execução do contrato deverá ainda contar com a atuação do Gestor de Contrato, conforme previsão no art. 8o, §3° da Lei 14.133/2021 e dos artigos 10 e 198 do Decreto Municipal n. 11.685/2023, com as seguintes atribuições:</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a)</w:t>
      </w:r>
      <w:r>
        <w:rPr>
          <w:rFonts w:ascii="Arial" w:hAnsi="Arial" w:eastAsia="Arial" w:cs="Arial"/>
          <w:color w:val="000000"/>
        </w:rPr>
        <w:t xml:space="preserve"> solicitação de aditivos ou apostilamento, validar os documentos elaborados e garantir que as contratações estejam previstas no plano de contratações anual e no planejamento orçamentário;</w:t>
      </w:r>
      <w:r>
        <w:rPr>
          <w:rFonts w:ascii="Arial" w:hAnsi="Arial" w:cs="Arial"/>
          <w:color w:val="000000"/>
        </w:rPr>
      </w:r>
      <w:r>
        <w:rPr>
          <w:rFonts w:ascii="Arial" w:hAnsi="Arial" w:cs="Arial"/>
          <w:color w:val="000000"/>
        </w:rPr>
      </w:r>
    </w:p>
    <w:p>
      <w:pPr>
        <w:pStyle w:val="887"/>
        <w:pBdr/>
        <w:spacing/>
        <w:ind/>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color w:val="000000"/>
        </w:rPr>
      </w:pPr>
      <w:r>
        <w:rPr>
          <w:rFonts w:ascii="Arial" w:hAnsi="Arial" w:eastAsia="Arial" w:cs="Arial"/>
          <w:b/>
          <w:color w:val="000000"/>
        </w:rPr>
        <w:t xml:space="preserve">b)</w:t>
      </w:r>
      <w:r>
        <w:rPr>
          <w:rFonts w:ascii="Arial" w:hAnsi="Arial" w:eastAsia="Arial" w:cs="Arial"/>
          <w:color w:val="000000"/>
        </w:rPr>
        <w:t xml:space="preserve"> emitir, com a ciência dos fiscais de contrato, ordens de fornecimento ou ordens de execução de serviço, ordens de paralisação e reinício, bem como decidir sobre pedidos de prorrogação da execução contratual;</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c)</w:t>
      </w:r>
      <w:r>
        <w:rPr>
          <w:rFonts w:ascii="Arial" w:hAnsi="Arial" w:eastAsia="Arial" w:cs="Arial"/>
          <w:color w:val="000000"/>
        </w:rPr>
        <w:t xml:space="preserve"> indicar os fiscais de contrato e seus substitutos;</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d) </w:t>
      </w:r>
      <w:r>
        <w:rPr>
          <w:rFonts w:ascii="Arial" w:hAnsi="Arial" w:eastAsia="Arial" w:cs="Arial"/>
          <w:color w:val="000000"/>
        </w:rPr>
        <w:t xml:space="preserve">dirimir dúvidas dos fiscais de contrato sobre a correta execução contratual e sua fiscalização;</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e)</w:t>
      </w:r>
      <w:r>
        <w:rPr>
          <w:rFonts w:ascii="Arial" w:hAnsi="Arial" w:eastAsia="Arial" w:cs="Arial"/>
          <w:color w:val="000000"/>
        </w:rPr>
        <w:t xml:space="preserve"> quando necessário, convocar e coordenar reuniões, registradas</w:t>
      </w:r>
      <w:r>
        <w:rPr>
          <w:rFonts w:ascii="Arial" w:hAnsi="Arial" w:eastAsia="Arial" w:cs="Arial"/>
          <w:color w:val="000000"/>
        </w:rPr>
        <w:t xml:space="preserve"> em ata, com a participação da contratada e dos fiscais, a fim de serem alinhados os procedimentos de acompanhamento da execução contratual, da forma de apresentação dos documentos exigíveis para realização de pagamentos e conclusão da execução contratual;</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f)</w:t>
      </w:r>
      <w:r>
        <w:rPr>
          <w:rFonts w:ascii="Arial" w:hAnsi="Arial" w:eastAsia="Arial" w:cs="Arial"/>
          <w:color w:val="000000"/>
        </w:rPr>
        <w:t xml:space="preserve"> acompanhar a execução do cronograma físico-financeiro e analisar os relatórios de fiscalização de</w:t>
      </w:r>
      <w:r>
        <w:rPr>
          <w:rFonts w:ascii="Arial" w:hAnsi="Arial" w:eastAsia="Arial" w:cs="Arial"/>
          <w:color w:val="000000"/>
        </w:rPr>
        <w:t xml:space="preserve"> contratos, especialmente os relacionados ao cumprimento do cronograma de entrega e recebimento de bens e serviços, bem como os relacionados à execução do cronograma físico-financeiro das obras e reformas, a fim de garantir a perfeita execução do contrato;</w:t>
      </w:r>
      <w:r>
        <w:rPr>
          <w:rFonts w:ascii="Arial" w:hAnsi="Arial" w:cs="Arial"/>
          <w:color w:val="000000"/>
        </w:rPr>
      </w:r>
      <w:r>
        <w:rPr>
          <w:rFonts w:ascii="Arial" w:hAnsi="Arial" w:cs="Arial"/>
          <w:color w:val="000000"/>
        </w:rPr>
      </w:r>
    </w:p>
    <w:p>
      <w:pPr>
        <w:pStyle w:val="887"/>
        <w:pBdr/>
        <w:spacing/>
        <w:ind/>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color w:val="000000"/>
        </w:rPr>
      </w:pPr>
      <w:r>
        <w:rPr>
          <w:rFonts w:ascii="Arial" w:hAnsi="Arial" w:eastAsia="Arial" w:cs="Arial"/>
          <w:b/>
          <w:color w:val="000000"/>
        </w:rPr>
        <w:t xml:space="preserve">g)</w:t>
      </w:r>
      <w:r>
        <w:rPr>
          <w:rFonts w:ascii="Arial" w:hAnsi="Arial" w:eastAsia="Arial" w:cs="Arial"/>
          <w:color w:val="000000"/>
        </w:rPr>
        <w:t xml:space="preserve"> observar os prazos de vigência e execução dos contratos e tomar as medidas necessárias para que sejam executados conforme o contratado, de acordo com as necessidades da administração e planejamento orçamentário e financeiro;</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h)</w:t>
      </w:r>
      <w:r>
        <w:rPr>
          <w:rFonts w:ascii="Arial" w:hAnsi="Arial" w:eastAsia="Arial" w:cs="Arial"/>
          <w:color w:val="000000"/>
        </w:rPr>
        <w:t xml:space="preserve"> decidir sobre a</w:t>
      </w:r>
      <w:r>
        <w:rPr>
          <w:rFonts w:ascii="Arial" w:hAnsi="Arial" w:eastAsia="Arial" w:cs="Arial"/>
          <w:color w:val="000000"/>
        </w:rPr>
        <w:t xml:space="preserve"> renovação, prorrogação ou alteração dos contratos, ou sobre a realização de novo procedimento licitatório ou de contratação direta, bem como sobre a suspensão da entrega de bens ou da realização de serviços, de acordo com as necessidades da administração;</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i)</w:t>
      </w:r>
      <w:r>
        <w:rPr>
          <w:rFonts w:ascii="Arial" w:hAnsi="Arial" w:eastAsia="Arial" w:cs="Arial"/>
          <w:color w:val="000000"/>
        </w:rPr>
        <w:t xml:space="preserve"> quando necessário, negociar com a contratada as condições contratuais;</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j)</w:t>
      </w:r>
      <w:r>
        <w:rPr>
          <w:rFonts w:ascii="Arial" w:hAnsi="Arial" w:eastAsia="Arial" w:cs="Arial"/>
          <w:color w:val="000000"/>
        </w:rPr>
        <w:t xml:space="preserve"> encaminhar os processos de pagamento, após o atesto da nota fiscal pelo fiscal do contrato;</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k)</w:t>
      </w:r>
      <w:r>
        <w:rPr>
          <w:rFonts w:ascii="Arial" w:hAnsi="Arial" w:eastAsia="Arial" w:cs="Arial"/>
          <w:color w:val="000000"/>
        </w:rPr>
        <w:t xml:space="preserve"> tomar providências para apurar o descumprimento do contrato ou fraude na sua execução;</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l)</w:t>
      </w:r>
      <w:r>
        <w:rPr>
          <w:rFonts w:ascii="Arial" w:hAnsi="Arial" w:eastAsia="Arial" w:cs="Arial"/>
          <w:color w:val="000000"/>
        </w:rPr>
        <w:t xml:space="preserve"> exigir dos fiscais a inclusão tempestiva das informações relativas à execução do contrato nos sistemas corporativos de controle, publicidade e transparência, inclusive no PNCP;</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m)</w:t>
      </w:r>
      <w:r>
        <w:rPr>
          <w:rFonts w:ascii="Arial" w:hAnsi="Arial" w:eastAsia="Arial" w:cs="Arial"/>
          <w:color w:val="000000"/>
        </w:rPr>
        <w:t xml:space="preserve"> coordenar as atividades relacionadas à fiscalização técnica e administrativa do contrato;</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n)</w:t>
      </w:r>
      <w:r>
        <w:rPr>
          <w:rFonts w:ascii="Arial" w:hAnsi="Arial" w:eastAsia="Arial" w:cs="Arial"/>
          <w:color w:val="000000"/>
        </w:rPr>
        <w:t xml:space="preserve"> emitir decisão sobre as solicitações e reclamações relacionadas à execução dos contratos;</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o)</w:t>
      </w:r>
      <w:r>
        <w:rPr>
          <w:rFonts w:ascii="Arial" w:hAnsi="Arial" w:eastAsia="Arial" w:cs="Arial"/>
          <w:color w:val="000000"/>
        </w:rPr>
        <w:t xml:space="preserve"> acompanhar os registr</w:t>
      </w:r>
      <w:r>
        <w:rPr>
          <w:rFonts w:ascii="Arial" w:hAnsi="Arial" w:eastAsia="Arial" w:cs="Arial"/>
          <w:color w:val="000000"/>
        </w:rPr>
        <w:t xml:space="preserve">os realizados pelos fiscais do contrato ou dos terceiros contratados a respeito de todas as ocorrências relacionadas à execução do contrato e as medidas adotadas, informando, se for o caso, à autoridade superior àquelas que ultrapassarem a sua competência;</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p)</w:t>
      </w:r>
      <w:r>
        <w:rPr>
          <w:rFonts w:ascii="Arial" w:hAnsi="Arial" w:eastAsia="Arial" w:cs="Arial"/>
          <w:color w:val="000000"/>
        </w:rPr>
        <w:t xml:space="preserve"> </w:t>
      </w:r>
      <w:r>
        <w:rPr>
          <w:rFonts w:ascii="Arial" w:hAnsi="Arial" w:eastAsia="Arial" w:cs="Arial"/>
          <w:color w:val="000000"/>
        </w:rPr>
        <w:t xml:space="preserve">constituir relatório final, de que trata a alínea “d” do inciso VI do § 3o do art. 174 da Lei Federal n° 14.133, de 1º de abril de 2021, com as informações obtidas durante a execução do contrato, como forma de aprimoramento das atividades da Administração;</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q)</w:t>
      </w:r>
      <w:r>
        <w:rPr>
          <w:rFonts w:ascii="Arial" w:hAnsi="Arial" w:eastAsia="Arial" w:cs="Arial"/>
          <w:color w:val="000000"/>
        </w:rPr>
        <w:t xml:space="preserve"> outras atividades compatíveis com a função, determinadas pela autoridade competente.</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b/>
          <w:color w:val="000000"/>
        </w:rPr>
        <w:t xml:space="preserve">r)</w:t>
      </w:r>
      <w:r>
        <w:rPr>
          <w:rFonts w:ascii="Arial" w:hAnsi="Arial" w:eastAsia="Arial" w:cs="Arial"/>
          <w:color w:val="000000"/>
        </w:rPr>
        <w:t xml:space="preserve"> as ausências e impedimentos dos fiscais titulares e substitutos, o gestor de contrato deverá designar fiscal provisório, preferencialmente entre servidores que preencham os requisitos técnicos profissionais aplicáveis.</w:t>
      </w:r>
      <w:r>
        <w:rPr>
          <w:rFonts w:ascii="Arial" w:hAnsi="Arial" w:cs="Arial"/>
          <w:color w:val="000000"/>
        </w:rPr>
      </w:r>
      <w:r>
        <w:rPr>
          <w:rFonts w:ascii="Arial" w:hAnsi="Arial" w:cs="Arial"/>
          <w:color w:val="000000"/>
        </w:rPr>
      </w:r>
    </w:p>
    <w:p>
      <w:pPr>
        <w:pStyle w:val="887"/>
        <w:pBdr/>
        <w:spacing/>
        <w:ind/>
        <w:jc w:val="both"/>
        <w:rPr>
          <w:rFonts w:ascii="Arial" w:hAnsi="Arial" w:cs="Arial"/>
          <w:b/>
          <w:color w:val="000000"/>
        </w:rPr>
      </w:pPr>
      <w:r>
        <w:rPr>
          <w:rFonts w:ascii="Arial" w:hAnsi="Arial" w:eastAsia="Arial" w:cs="Arial"/>
          <w:b/>
          <w:color w:val="000000"/>
        </w:rPr>
      </w:r>
      <w:r>
        <w:rPr>
          <w:rFonts w:ascii="Arial" w:hAnsi="Arial" w:cs="Arial"/>
          <w:b/>
          <w:color w:val="000000"/>
        </w:rPr>
      </w:r>
      <w:r>
        <w:rPr>
          <w:rFonts w:ascii="Arial" w:hAnsi="Arial" w:cs="Arial"/>
          <w:b/>
          <w:color w:val="000000"/>
        </w:rPr>
      </w:r>
    </w:p>
    <w:p>
      <w:pPr>
        <w:pStyle w:val="887"/>
        <w:pBdr/>
        <w:spacing/>
        <w:ind/>
        <w:jc w:val="both"/>
        <w:rPr>
          <w:rFonts w:ascii="Arial" w:hAnsi="Arial" w:cs="Arial"/>
          <w:color w:val="000000"/>
        </w:rPr>
      </w:pPr>
      <w:r>
        <w:rPr>
          <w:rFonts w:ascii="Arial" w:hAnsi="Arial" w:eastAsia="Arial" w:cs="Arial"/>
          <w:b/>
          <w:color w:val="000000"/>
        </w:rPr>
        <w:t xml:space="preserve">s)</w:t>
      </w:r>
      <w:r>
        <w:rPr>
          <w:rFonts w:ascii="Arial" w:hAnsi="Arial" w:eastAsia="Arial" w:cs="Arial"/>
          <w:color w:val="000000"/>
        </w:rPr>
        <w:t xml:space="preserve"> Na f</w:t>
      </w:r>
      <w:r>
        <w:rPr>
          <w:rFonts w:ascii="Arial" w:hAnsi="Arial" w:eastAsia="Arial" w:cs="Arial"/>
          <w:color w:val="000000"/>
        </w:rPr>
        <w:t xml:space="preserve">orma do disposto no artigo 107 da Lei Federal n.º 14.133, de 2021, o gestor do contrato poderá negociar condições mais vantajosas com a contratada no procedimento que antecede a prorrogação ou a extinção dos contratos de serviços e fornecimentos contínuos.</w:t>
      </w:r>
      <w:r>
        <w:rPr>
          <w:rFonts w:ascii="Arial" w:hAnsi="Arial" w:cs="Arial"/>
          <w:color w:val="000000"/>
        </w:rPr>
      </w:r>
      <w:r>
        <w:rPr>
          <w:rFonts w:ascii="Arial" w:hAnsi="Arial" w:cs="Arial"/>
          <w:color w:val="000000"/>
        </w:rPr>
      </w:r>
    </w:p>
    <w:p>
      <w:pPr>
        <w:pStyle w:val="887"/>
        <w:pBdr/>
        <w:spacing/>
        <w:ind w:right="-5"/>
        <w:jc w:val="both"/>
        <w:rPr>
          <w:rStyle w:val="1010"/>
          <w:rFonts w:ascii="Arial" w:hAnsi="Arial" w:cs="Arial"/>
          <w:b/>
        </w:rPr>
      </w:pPr>
      <w:r>
        <w:rPr>
          <w:rFonts w:ascii="Arial" w:hAnsi="Arial" w:eastAsia="Arial" w:cs="Arial"/>
          <w:b/>
        </w:rPr>
      </w:r>
      <w:r>
        <w:rPr>
          <w:rStyle w:val="1010"/>
          <w:rFonts w:ascii="Arial" w:hAnsi="Arial" w:cs="Arial"/>
          <w:b/>
        </w:rPr>
      </w:r>
      <w:r>
        <w:rPr>
          <w:rStyle w:val="1010"/>
          <w:rFonts w:ascii="Arial" w:hAnsi="Arial" w:cs="Arial"/>
          <w:b/>
        </w:rPr>
      </w:r>
    </w:p>
    <w:p>
      <w:pPr>
        <w:pStyle w:val="887"/>
        <w:pBdr/>
        <w:spacing/>
        <w:ind w:right="-5"/>
        <w:jc w:val="both"/>
        <w:rPr>
          <w:rFonts w:ascii="Arial" w:hAnsi="Arial" w:cs="Arial"/>
        </w:rPr>
      </w:pPr>
      <w:r>
        <w:rPr>
          <w:rStyle w:val="1010"/>
          <w:rFonts w:ascii="Arial" w:hAnsi="Arial" w:eastAsia="Arial" w:cs="Arial"/>
          <w:b/>
        </w:rPr>
        <w:t xml:space="preserve">CLÁUSULA OITAVA – DAS OBRIGAÇÕES DA CONTRATANTE:</w:t>
      </w:r>
      <w:r>
        <w:rPr>
          <w:rFonts w:ascii="Arial" w:hAnsi="Arial" w:cs="Arial"/>
        </w:rPr>
      </w:r>
      <w:r>
        <w:rPr>
          <w:rFonts w:ascii="Arial" w:hAnsi="Arial" w:cs="Arial"/>
        </w:rPr>
      </w:r>
    </w:p>
    <w:p>
      <w:pPr>
        <w:pStyle w:val="887"/>
        <w:pBdr/>
        <w:spacing/>
        <w:ind w:right="-5"/>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ight="-5"/>
        <w:jc w:val="both"/>
        <w:rPr>
          <w:rFonts w:ascii="Arial" w:hAnsi="Arial" w:cs="Arial"/>
        </w:rPr>
      </w:pPr>
      <w:r>
        <w:rPr>
          <w:rStyle w:val="1010"/>
          <w:rFonts w:ascii="Arial" w:hAnsi="Arial" w:eastAsia="Arial" w:cs="Arial"/>
          <w:b/>
        </w:rPr>
        <w:t xml:space="preserve">8.1.</w:t>
      </w:r>
      <w:r>
        <w:rPr>
          <w:rStyle w:val="1010"/>
          <w:rFonts w:ascii="Arial" w:hAnsi="Arial" w:eastAsia="Arial" w:cs="Arial"/>
        </w:rPr>
        <w:t xml:space="preserve"> Constituem obrigações da </w:t>
      </w:r>
      <w:r>
        <w:rPr>
          <w:rStyle w:val="1010"/>
          <w:rFonts w:ascii="Arial" w:hAnsi="Arial" w:eastAsia="Arial" w:cs="Arial"/>
          <w:b/>
        </w:rPr>
        <w:t xml:space="preserve">CONTRATANTE</w:t>
      </w:r>
      <w:r>
        <w:rPr>
          <w:rStyle w:val="1010"/>
          <w:rFonts w:ascii="Arial" w:hAnsi="Arial" w:eastAsia="Arial" w:cs="Arial"/>
        </w:rPr>
        <w:t xml:space="preserve">: </w:t>
      </w:r>
      <w:r>
        <w:rPr>
          <w:rFonts w:ascii="Arial" w:hAnsi="Arial" w:cs="Arial"/>
        </w:rPr>
      </w:r>
      <w:r>
        <w:rPr>
          <w:rFonts w:ascii="Arial" w:hAnsi="Arial" w:cs="Arial"/>
        </w:rPr>
      </w:r>
    </w:p>
    <w:p>
      <w:pPr>
        <w:pStyle w:val="887"/>
        <w:pBdr/>
        <w:spacing/>
        <w:ind w:right="-5"/>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ight="-5"/>
        <w:jc w:val="both"/>
        <w:rPr>
          <w:rFonts w:ascii="Arial" w:hAnsi="Arial" w:cs="Arial"/>
        </w:rPr>
      </w:pPr>
      <w:r>
        <w:rPr>
          <w:rStyle w:val="1010"/>
          <w:rFonts w:ascii="Arial" w:hAnsi="Arial" w:eastAsia="Arial" w:cs="Arial"/>
          <w:b/>
        </w:rPr>
        <w:t xml:space="preserve">8.2.</w:t>
      </w:r>
      <w:r>
        <w:rPr>
          <w:rStyle w:val="1010"/>
          <w:rFonts w:ascii="Arial" w:hAnsi="Arial" w:eastAsia="Arial" w:cs="Arial"/>
        </w:rPr>
        <w:t xml:space="preserve"> Cumprir todos os compromissos financeiros assumidos com a contratada, efetuando os pagamentos de acordo com a Cláusula Décima deste Contrato.</w:t>
      </w:r>
      <w:r>
        <w:rPr>
          <w:rFonts w:ascii="Arial" w:hAnsi="Arial" w:cs="Arial"/>
        </w:rPr>
      </w:r>
      <w:r>
        <w:rPr>
          <w:rFonts w:ascii="Arial" w:hAnsi="Arial" w:cs="Arial"/>
        </w:rPr>
      </w:r>
    </w:p>
    <w:p>
      <w:pPr>
        <w:pStyle w:val="887"/>
        <w:pBdr/>
        <w:spacing/>
        <w:ind w:right="-5"/>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ight="-5"/>
        <w:jc w:val="both"/>
        <w:rPr>
          <w:rFonts w:ascii="Arial" w:hAnsi="Arial" w:cs="Arial"/>
        </w:rPr>
      </w:pPr>
      <w:r>
        <w:rPr>
          <w:rStyle w:val="1010"/>
          <w:rFonts w:ascii="Arial" w:hAnsi="Arial" w:eastAsia="Arial" w:cs="Arial"/>
          <w:b/>
        </w:rPr>
        <w:t xml:space="preserve">8.3.</w:t>
      </w:r>
      <w:r>
        <w:rPr>
          <w:rStyle w:val="1010"/>
          <w:rFonts w:ascii="Arial" w:hAnsi="Arial" w:eastAsia="Arial" w:cs="Arial"/>
        </w:rPr>
        <w:t xml:space="preserve"> Fornecer e colocar à disposição da </w:t>
      </w:r>
      <w:r>
        <w:rPr>
          <w:rStyle w:val="1010"/>
          <w:rFonts w:ascii="Arial" w:hAnsi="Arial" w:eastAsia="Arial" w:cs="Arial"/>
          <w:b/>
        </w:rPr>
        <w:t xml:space="preserve">CONTRATADA</w:t>
      </w:r>
      <w:r>
        <w:rPr>
          <w:rStyle w:val="1010"/>
          <w:rFonts w:ascii="Arial" w:hAnsi="Arial" w:eastAsia="Arial" w:cs="Arial"/>
        </w:rPr>
        <w:t xml:space="preserve"> todos os elementos e informações que se fizerem necessários ao efetivo cumprimento do objeto contratado. </w:t>
      </w:r>
      <w:r>
        <w:rPr>
          <w:rFonts w:ascii="Arial" w:hAnsi="Arial" w:cs="Arial"/>
        </w:rPr>
      </w:r>
      <w:r>
        <w:rPr>
          <w:rFonts w:ascii="Arial" w:hAnsi="Arial" w:cs="Arial"/>
        </w:rPr>
      </w:r>
    </w:p>
    <w:p>
      <w:pPr>
        <w:pStyle w:val="887"/>
        <w:pBdr/>
        <w:spacing/>
        <w:ind w:right="-5"/>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ight="-5"/>
        <w:jc w:val="both"/>
        <w:rPr>
          <w:rFonts w:ascii="Arial" w:hAnsi="Arial" w:cs="Arial"/>
        </w:rPr>
      </w:pPr>
      <w:r>
        <w:rPr>
          <w:rStyle w:val="1010"/>
          <w:rFonts w:ascii="Arial" w:hAnsi="Arial" w:eastAsia="Arial" w:cs="Arial"/>
          <w:b/>
        </w:rPr>
        <w:t xml:space="preserve">8.4.</w:t>
      </w:r>
      <w:r>
        <w:rPr>
          <w:rStyle w:val="1010"/>
          <w:rFonts w:ascii="Arial" w:hAnsi="Arial" w:eastAsia="Arial" w:cs="Arial"/>
        </w:rPr>
        <w:t xml:space="preserve"> Notificar, formal e tempestivamente, a contratada sobre as irregularidades observadas no cumprimento do objeto.</w:t>
      </w:r>
      <w:r>
        <w:rPr>
          <w:rFonts w:ascii="Arial" w:hAnsi="Arial" w:cs="Arial"/>
        </w:rPr>
      </w:r>
      <w:r>
        <w:rPr>
          <w:rFonts w:ascii="Arial" w:hAnsi="Arial" w:cs="Arial"/>
        </w:rPr>
      </w:r>
    </w:p>
    <w:p>
      <w:pPr>
        <w:pStyle w:val="887"/>
        <w:pBdr/>
        <w:spacing/>
        <w:ind w:right="-5"/>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ight="-5"/>
        <w:jc w:val="both"/>
        <w:rPr>
          <w:rFonts w:ascii="Arial" w:hAnsi="Arial" w:cs="Arial"/>
        </w:rPr>
      </w:pPr>
      <w:r>
        <w:rPr>
          <w:rStyle w:val="1010"/>
          <w:rFonts w:ascii="Arial" w:hAnsi="Arial" w:eastAsia="Arial" w:cs="Arial"/>
          <w:b/>
        </w:rPr>
        <w:t xml:space="preserve">8.5.</w:t>
      </w:r>
      <w:r>
        <w:rPr>
          <w:rStyle w:val="1010"/>
          <w:rFonts w:ascii="Arial" w:hAnsi="Arial" w:eastAsia="Arial" w:cs="Arial"/>
        </w:rPr>
        <w:t xml:space="preserve"> Notificar a contratada, por escrito e com antecedência, sobre multas, penalidades e quaisquer débitos de sua responsabilidade. </w:t>
      </w:r>
      <w:r>
        <w:rPr>
          <w:rFonts w:ascii="Arial" w:hAnsi="Arial" w:cs="Arial"/>
        </w:rPr>
      </w:r>
      <w:r>
        <w:rPr>
          <w:rFonts w:ascii="Arial" w:hAnsi="Arial" w:cs="Arial"/>
        </w:rPr>
      </w:r>
    </w:p>
    <w:p>
      <w:pPr>
        <w:pStyle w:val="887"/>
        <w:pBdr/>
        <w:spacing/>
        <w:ind w:right="-5"/>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ight="-5"/>
        <w:jc w:val="both"/>
        <w:rPr>
          <w:rFonts w:ascii="Arial" w:hAnsi="Arial" w:cs="Arial"/>
        </w:rPr>
      </w:pPr>
      <w:r>
        <w:rPr>
          <w:rStyle w:val="1010"/>
          <w:rFonts w:ascii="Arial" w:hAnsi="Arial" w:eastAsia="Arial" w:cs="Arial"/>
          <w:b/>
        </w:rPr>
        <w:t xml:space="preserve">8.6.</w:t>
      </w:r>
      <w:r>
        <w:rPr>
          <w:rStyle w:val="1010"/>
          <w:rFonts w:ascii="Arial" w:hAnsi="Arial" w:eastAsia="Arial" w:cs="Arial"/>
        </w:rPr>
        <w:t xml:space="preserve"> Acompanhar a entrega dos itens licitados pela contratada, podendo intervir durante a sua entrega, para fins de ajustes ou suspensão do fornecimento.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8.7.</w:t>
      </w:r>
      <w:r>
        <w:rPr>
          <w:rFonts w:ascii="Arial" w:hAnsi="Arial" w:eastAsia="Arial" w:cs="Arial"/>
        </w:rPr>
        <w:t xml:space="preserve"> Fiscalizar a execução do objeto contratual através de sua unidade compe</w:t>
      </w:r>
      <w:r>
        <w:rPr>
          <w:rFonts w:ascii="Arial" w:hAnsi="Arial" w:eastAsia="Arial" w:cs="Arial"/>
        </w:rPr>
        <w:t xml:space="preserve">tente que designará um representante para esse fim fiscal do contrato, podendo, em decorrência, solicitar providências da contratada, que atenderá ou justificará de imediato, e de tudo dará ciência à Administração, conforme art. 117 da Lei nº 14.133/2021. </w:t>
      </w:r>
      <w:r>
        <w:rPr>
          <w:rFonts w:ascii="Arial" w:hAnsi="Arial" w:cs="Arial"/>
        </w:rPr>
      </w:r>
      <w:r>
        <w:rPr>
          <w:rFonts w:ascii="Arial" w:hAnsi="Arial" w:cs="Arial"/>
        </w:rPr>
      </w:r>
    </w:p>
    <w:p>
      <w:pPr>
        <w:pStyle w:val="887"/>
        <w:pBdr/>
        <w:tabs>
          <w:tab w:val="clear" w:leader="none" w:pos="708"/>
          <w:tab w:val="left" w:leader="none" w:pos="1800"/>
        </w:tabs>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8.7.1. </w:t>
      </w:r>
      <w:r>
        <w:rPr>
          <w:rFonts w:ascii="Arial" w:hAnsi="Arial" w:eastAsia="Arial" w:cs="Arial"/>
        </w:rPr>
        <w:t xml:space="preserve">O gestor do contrato (secretário da pasta solicitante) deverá nomear, via Portaria Interna e publicar no DIORONDON, o servidor responsável pelo acompan</w:t>
      </w:r>
      <w:r>
        <w:rPr>
          <w:rFonts w:ascii="Arial" w:hAnsi="Arial" w:eastAsia="Arial" w:cs="Arial"/>
        </w:rPr>
        <w:t xml:space="preserve">hamento e fiscalização da execução do objeto contrato, bem como, o pagamento da nota fiscal referente à entrega do produto realizado pelo contratado será condicionado à apresentação do relatório do Fiscal do contrato. (conf. Recomendação Técnica nº21/2014)</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8.8.</w:t>
      </w:r>
      <w:r>
        <w:rPr>
          <w:rFonts w:ascii="Arial" w:hAnsi="Arial" w:eastAsia="Arial" w:cs="Arial"/>
        </w:rPr>
        <w:t xml:space="preserve"> A fiscalização de que trata o subitem acima não exclui nem reduz a responsabilidade da contratada pelos danos causados diretamente à contratante ou a terceiros, decorrentes de sua culpa ou dolo na execução da contratação.</w:t>
      </w:r>
      <w:r>
        <w:rPr>
          <w:rFonts w:ascii="Arial" w:hAnsi="Arial" w:cs="Arial"/>
        </w:rPr>
      </w:r>
      <w:r>
        <w:rPr>
          <w:rFonts w:ascii="Arial" w:hAnsi="Arial" w:cs="Arial"/>
        </w:rPr>
      </w:r>
    </w:p>
    <w:p>
      <w:pPr>
        <w:pStyle w:val="887"/>
        <w:pBdr/>
        <w:spacing/>
        <w:ind w:right="-5"/>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bCs/>
        </w:rPr>
        <w:t xml:space="preserve">8.9.</w:t>
      </w:r>
      <w:r>
        <w:rPr>
          <w:rFonts w:ascii="Arial" w:hAnsi="Arial" w:eastAsia="Arial" w:cs="Arial"/>
          <w:bCs/>
        </w:rPr>
        <w:t xml:space="preserve">  </w:t>
      </w:r>
      <w:r>
        <w:rPr>
          <w:rFonts w:ascii="Arial" w:hAnsi="Arial" w:eastAsia="Arial" w:cs="Arial"/>
        </w:rPr>
        <w:t xml:space="preserve">Aplicar as sanções administrativas contratuais pertinentes, em caso de inadimplemento;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ight="-5"/>
        <w:jc w:val="both"/>
        <w:rPr>
          <w:rFonts w:ascii="Arial" w:hAnsi="Arial" w:cs="Arial"/>
        </w:rPr>
      </w:pPr>
      <w:r>
        <w:rPr>
          <w:rFonts w:ascii="Arial" w:hAnsi="Arial" w:eastAsia="Arial" w:cs="Arial"/>
          <w:b/>
        </w:rPr>
        <w:t xml:space="preserve">8.10. </w:t>
      </w:r>
      <w:r>
        <w:rPr>
          <w:rFonts w:ascii="Arial" w:hAnsi="Arial" w:eastAsia="Arial" w:cs="Arial"/>
        </w:rPr>
        <w:t xml:space="preserve"> Rejeitar, no todo ou em parte, os materiais/serviços entregues em desacordo com o contrato; </w:t>
      </w:r>
      <w:r>
        <w:rPr>
          <w:rFonts w:ascii="Arial" w:hAnsi="Arial" w:cs="Arial"/>
        </w:rPr>
      </w:r>
      <w:r>
        <w:rPr>
          <w:rFonts w:ascii="Arial" w:hAnsi="Arial" w:cs="Arial"/>
        </w:rPr>
      </w:r>
    </w:p>
    <w:p>
      <w:pPr>
        <w:pStyle w:val="887"/>
        <w:pBdr/>
        <w:spacing/>
        <w:ind w:right="-5"/>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Style w:val="1010"/>
          <w:rFonts w:ascii="Arial" w:hAnsi="Arial" w:eastAsia="Arial" w:cs="Arial"/>
          <w:b/>
        </w:rPr>
        <w:t xml:space="preserve">CLÁUSULA NONA – DA DOTAÇÃO ORÇAMENTÁRIA: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Pr>
          <w:rFonts w:ascii="Arial" w:hAnsi="Arial" w:eastAsia="Arial" w:cs="Arial"/>
          <w:highlight w:val="none"/>
        </w:rPr>
      </w:pPr>
      <w:r>
        <w:rPr>
          <w:rFonts w:ascii="Arial" w:hAnsi="Arial" w:eastAsia="Arial" w:cs="Arial"/>
          <w:b/>
        </w:rPr>
        <w:t xml:space="preserve">9.1.</w:t>
      </w:r>
      <w:r>
        <w:rPr>
          <w:rFonts w:ascii="Arial" w:hAnsi="Arial" w:eastAsia="Arial" w:cs="Arial"/>
        </w:rPr>
        <w:t xml:space="preserve"> As despesas decorrentes da presente contratação correrão à conta de recursos específicos consignados no Orçamento deste exercício:</w:t>
      </w:r>
      <w:r>
        <w:rPr>
          <w:rFonts w:ascii="Arial" w:hAnsi="Arial" w:cs="Arial"/>
          <w:highlight w:val="none"/>
        </w:rPr>
      </w:r>
      <w:r>
        <w:rPr>
          <w:rFonts w:ascii="Arial" w:hAnsi="Arial" w:eastAsia="Arial" w:cs="Arial"/>
          <w:highlight w:val="none"/>
        </w:rPr>
      </w:r>
    </w:p>
    <w:p w14:paraId="39BBEC8D">
      <w:pPr>
        <w:pStyle w:val="887"/>
        <w:pBdr/>
        <w:spacing/>
        <w:ind/>
        <w:rPr>
          <w:rFonts w:ascii="Arial" w:hAnsi="Arial" w:cs="Arial"/>
          <w:highlight w:val="none"/>
        </w:rPr>
      </w:pPr>
      <w:r>
        <w:rPr>
          <w:rFonts w:ascii="Arial" w:hAnsi="Arial" w:eastAsia="Arial" w:cs="Arial"/>
          <w:highlight w:val="none"/>
        </w:rPr>
      </w:r>
      <w:r>
        <w:rPr>
          <w:rFonts w:ascii="Arial" w:hAnsi="Arial" w:eastAsia="Arial" w:cs="Arial"/>
          <w:highlight w:val="none"/>
        </w:rPr>
      </w:r>
      <w:r>
        <w:rPr>
          <w:rFonts w:ascii="Arial" w:hAnsi="Arial" w:cs="Arial"/>
          <w:highlight w:val="none"/>
        </w:rPr>
      </w:r>
    </w:p>
    <w:tbl>
      <w:tblPr>
        <w:jc w:val="center"/>
        <w:tblW w:w="8969" w:type="dxa"/>
        <w:tblBorders/>
        <w:tblLayout w:type="fixed"/>
        <w:tblLook w:val="04A0" w:firstRow="1" w:lastRow="0" w:firstColumn="1" w:lastColumn="0" w:noHBand="0" w:noVBand="1"/>
      </w:tblPr>
      <w:tblGrid>
        <w:gridCol w:w="2189"/>
        <w:gridCol w:w="6780"/>
      </w:tblGrid>
      <w:tr>
        <w:trPr>
          <w:jc w:val="center"/>
          <w:trHeight w:val="196"/>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6BF9B2C4">
            <w:pPr>
              <w:pBdr/>
              <w:spacing/>
              <w:ind/>
              <w:jc w:val="center"/>
              <w:rPr>
                <w:rFonts w:ascii="Arial" w:hAnsi="Arial" w:cs="Arial"/>
                <w:sz w:val="16"/>
                <w:szCs w:val="16"/>
              </w:rPr>
            </w:pPr>
            <w:r>
              <w:rPr>
                <w:rFonts w:ascii="Arial" w:hAnsi="Arial" w:eastAsia="Arial" w:cs="Arial"/>
                <w:b/>
                <w:color w:val="000000"/>
                <w:sz w:val="16"/>
                <w:szCs w:val="16"/>
                <w:lang w:val="pt-BR" w:eastAsia="pt-BR"/>
              </w:rPr>
              <w:t xml:space="preserve">Classificação Orçamentária da Despesa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3D6B5835">
            <w:pPr>
              <w:pBdr/>
              <w:spacing/>
              <w:ind/>
              <w:jc w:val="right"/>
              <w:rPr>
                <w:rFonts w:ascii="Arial" w:hAnsi="Arial" w:cs="Arial"/>
                <w:sz w:val="16"/>
                <w:szCs w:val="16"/>
              </w:rPr>
            </w:pPr>
            <w:r>
              <w:rPr>
                <w:rFonts w:ascii="Arial" w:hAnsi="Arial" w:eastAsia="Arial" w:cs="Arial"/>
                <w:color w:val="000000"/>
                <w:sz w:val="16"/>
                <w:szCs w:val="16"/>
                <w:lang w:val="pt-BR" w:eastAsia="pt-BR"/>
              </w:rPr>
              <w:t xml:space="preserve">Órgão: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5C7E2E5E">
            <w:pPr>
              <w:pBdr/>
              <w:spacing/>
              <w:ind/>
              <w:rPr>
                <w:rFonts w:ascii="Arial" w:hAnsi="Arial" w:cs="Arial"/>
                <w:sz w:val="16"/>
                <w:szCs w:val="16"/>
              </w:rPr>
            </w:pPr>
            <w:r>
              <w:rPr>
                <w:rFonts w:ascii="Arial" w:hAnsi="Arial" w:eastAsia="Arial" w:cs="Arial"/>
                <w:color w:val="000000"/>
                <w:sz w:val="16"/>
                <w:szCs w:val="16"/>
                <w:lang w:val="pt-BR" w:eastAsia="pt-BR"/>
              </w:rPr>
              <w:t xml:space="preserve">02 – Prefeitura Municipal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358DAD58">
            <w:pPr>
              <w:pBdr/>
              <w:spacing/>
              <w:ind/>
              <w:jc w:val="right"/>
              <w:rPr>
                <w:rFonts w:ascii="Arial" w:hAnsi="Arial" w:cs="Arial"/>
                <w:sz w:val="16"/>
                <w:szCs w:val="16"/>
              </w:rPr>
            </w:pPr>
            <w:r>
              <w:rPr>
                <w:rFonts w:ascii="Arial" w:hAnsi="Arial" w:eastAsia="Arial" w:cs="Arial"/>
                <w:color w:val="000000"/>
                <w:sz w:val="16"/>
                <w:szCs w:val="16"/>
                <w:lang w:val="pt-BR" w:eastAsia="pt-BR"/>
              </w:rPr>
              <w:t xml:space="preserve">Unidade:</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3426EFFD">
            <w:pPr>
              <w:pBdr/>
              <w:spacing/>
              <w:ind/>
              <w:rPr>
                <w:rFonts w:ascii="Arial" w:hAnsi="Arial" w:cs="Arial"/>
                <w:sz w:val="16"/>
                <w:szCs w:val="16"/>
              </w:rPr>
            </w:pPr>
            <w:r>
              <w:rPr>
                <w:rFonts w:ascii="Arial" w:hAnsi="Arial" w:eastAsia="Arial" w:cs="Arial"/>
                <w:color w:val="000000"/>
                <w:sz w:val="16"/>
                <w:szCs w:val="16"/>
                <w:lang w:val="pt-BR" w:eastAsia="pt-BR"/>
              </w:rPr>
              <w:t xml:space="preserve">14 – Fundo Municipal de Saúde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6A9DD1FB">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Funcional Programática: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6954553D">
            <w:pPr>
              <w:pBdr/>
              <w:spacing/>
              <w:ind/>
              <w:rPr>
                <w:rFonts w:ascii="Arial" w:hAnsi="Arial" w:cs="Arial"/>
                <w:sz w:val="16"/>
                <w:szCs w:val="16"/>
              </w:rPr>
            </w:pPr>
            <w:r>
              <w:rPr>
                <w:rFonts w:ascii="Arial" w:hAnsi="Arial" w:eastAsia="Arial" w:cs="Arial"/>
                <w:sz w:val="16"/>
                <w:szCs w:val="16"/>
              </w:rPr>
              <w:t xml:space="preserve">10.301.2202.2180 - MANUTENÇÃO E CONSERVAÇÃO DA ATENÇÃO PRIMÁRIA À SAÚDE - APS E PROGRAMAS ESPECIAIS.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C568098">
            <w:pPr>
              <w:pBdr/>
              <w:spacing/>
              <w:ind/>
              <w:jc w:val="right"/>
              <w:rPr>
                <w:rFonts w:ascii="Arial" w:hAnsi="Arial" w:cs="Arial"/>
                <w:sz w:val="16"/>
                <w:szCs w:val="16"/>
              </w:rPr>
            </w:pPr>
            <w:r>
              <w:rPr>
                <w:rFonts w:ascii="Arial" w:hAnsi="Arial" w:eastAsia="Arial" w:cs="Arial"/>
                <w:color w:val="000000"/>
                <w:sz w:val="16"/>
                <w:szCs w:val="16"/>
                <w:lang w:val="pt-BR" w:eastAsia="pt-BR"/>
              </w:rPr>
              <w:t xml:space="preserve">Elemento de Despesa: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36392239">
            <w:pPr>
              <w:pBdr/>
              <w:spacing/>
              <w:ind/>
              <w:rPr>
                <w:rFonts w:ascii="Arial" w:hAnsi="Arial" w:cs="Arial"/>
                <w:sz w:val="16"/>
                <w:szCs w:val="16"/>
              </w:rPr>
            </w:pPr>
            <w:r>
              <w:rPr>
                <w:rFonts w:ascii="Arial" w:hAnsi="Arial" w:eastAsia="Arial" w:cs="Arial"/>
                <w:sz w:val="16"/>
                <w:szCs w:val="16"/>
              </w:rPr>
              <w:t xml:space="preserve">3.3.90.30.00.00 – MATERIAL DE CONSUMO</w:t>
            </w:r>
            <w:r>
              <w:rPr>
                <w:rFonts w:ascii="Arial" w:hAnsi="Arial" w:cs="Arial"/>
                <w:sz w:val="16"/>
                <w:szCs w:val="16"/>
              </w:rPr>
            </w:r>
            <w:r>
              <w:rPr>
                <w:rFonts w:ascii="Arial" w:hAnsi="Arial" w:cs="Arial"/>
                <w:sz w:val="16"/>
                <w:szCs w:val="16"/>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14947839">
            <w:pPr>
              <w:pBdr/>
              <w:spacing/>
              <w:ind/>
              <w:jc w:val="right"/>
              <w:rPr>
                <w:rFonts w:ascii="Arial" w:hAnsi="Arial" w:cs="Arial"/>
                <w:sz w:val="16"/>
                <w:szCs w:val="16"/>
              </w:rPr>
            </w:pPr>
            <w:r>
              <w:rPr>
                <w:rFonts w:ascii="Arial" w:hAnsi="Arial" w:eastAsia="Arial" w:cs="Arial"/>
                <w:color w:val="000000"/>
                <w:sz w:val="16"/>
                <w:szCs w:val="16"/>
                <w:lang w:val="pt-BR" w:eastAsia="pt-BR"/>
              </w:rPr>
              <w:t xml:space="preserve">Reduzido:</w:t>
            </w:r>
            <w:r>
              <w:rPr>
                <w:rFonts w:ascii="Arial" w:hAnsi="Arial" w:cs="Arial"/>
                <w:sz w:val="16"/>
                <w:szCs w:val="16"/>
              </w:rPr>
            </w:r>
            <w:r>
              <w:rPr>
                <w:rFonts w:ascii="Arial" w:hAnsi="Arial" w:cs="Arial"/>
                <w:sz w:val="16"/>
                <w:szCs w:val="16"/>
              </w:rPr>
            </w:r>
          </w:p>
        </w:tc>
        <w:tc>
          <w:tcPr>
            <w:tcBorders>
              <w:left w:val="single" w:color="000000" w:sz="4" w:space="0"/>
              <w:bottom w:val="single" w:color="000000" w:sz="4" w:space="0"/>
              <w:right w:val="single" w:color="000000" w:sz="4" w:space="0"/>
            </w:tcBorders>
            <w:tcW w:w="6780" w:type="dxa"/>
            <w:textDirection w:val="lrTb"/>
            <w:noWrap w:val="false"/>
          </w:tcPr>
          <w:p w14:paraId="533B019E">
            <w:pPr>
              <w:pBdr/>
              <w:spacing/>
              <w:ind/>
              <w:rPr>
                <w:rFonts w:ascii="Arial" w:hAnsi="Arial" w:cs="Arial"/>
                <w:sz w:val="16"/>
                <w:szCs w:val="16"/>
              </w:rPr>
            </w:pPr>
            <w:r>
              <w:rPr>
                <w:rFonts w:ascii="Arial" w:hAnsi="Arial" w:eastAsia="Arial" w:cs="Arial"/>
                <w:b/>
                <w:sz w:val="16"/>
                <w:szCs w:val="16"/>
              </w:rPr>
              <w:t xml:space="preserve">673</w:t>
            </w:r>
            <w:r>
              <w:rPr>
                <w:rFonts w:ascii="Arial" w:hAnsi="Arial" w:cs="Arial"/>
                <w:sz w:val="16"/>
                <w:szCs w:val="16"/>
              </w:rPr>
            </w:r>
            <w:r>
              <w:rPr>
                <w:rFonts w:ascii="Arial" w:hAnsi="Arial" w:cs="Arial"/>
                <w:sz w:val="16"/>
                <w:szCs w:val="16"/>
              </w:rPr>
            </w:r>
          </w:p>
        </w:tc>
      </w:tr>
      <w:tr>
        <w:trPr>
          <w:jc w:val="center"/>
          <w:trHeight w:val="108"/>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33FA3DE6">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Fonte de Recurso: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05B6B25D">
            <w:pPr>
              <w:pBdr/>
              <w:spacing/>
              <w:ind/>
              <w:rPr>
                <w:rFonts w:ascii="Arial" w:hAnsi="Arial" w:cs="Arial"/>
                <w:sz w:val="16"/>
                <w:szCs w:val="16"/>
              </w:rPr>
            </w:pPr>
            <w:r>
              <w:rPr>
                <w:rFonts w:ascii="Arial" w:hAnsi="Arial" w:eastAsia="Arial" w:cs="Arial"/>
                <w:sz w:val="16"/>
                <w:szCs w:val="16"/>
              </w:rPr>
              <w:t xml:space="preserve">1.500.1002000</w:t>
            </w:r>
            <w:r>
              <w:rPr>
                <w:rFonts w:ascii="Arial" w:hAnsi="Arial" w:cs="Arial"/>
                <w:sz w:val="16"/>
                <w:szCs w:val="16"/>
              </w:rPr>
            </w:r>
            <w:r>
              <w:rPr>
                <w:rFonts w:ascii="Arial" w:hAnsi="Arial" w:cs="Arial"/>
                <w:sz w:val="16"/>
                <w:szCs w:val="16"/>
              </w:rPr>
            </w:r>
          </w:p>
        </w:tc>
      </w:tr>
    </w:tbl>
    <w:p w14:paraId="1B9C4C0D">
      <w:pPr>
        <w:pBdr/>
        <w:spacing/>
        <w:ind/>
        <w:jc w:val="both"/>
        <w:rPr>
          <w:rFonts w:ascii="Arial" w:hAnsi="Arial" w:cs="Arial"/>
          <w:sz w:val="16"/>
          <w:szCs w:val="16"/>
        </w:rPr>
      </w:pPr>
      <w:r>
        <w:rPr>
          <w:rFonts w:ascii="Arial" w:hAnsi="Arial" w:eastAsia="Arial" w:cs="Arial"/>
          <w:sz w:val="16"/>
          <w:szCs w:val="16"/>
        </w:rPr>
      </w:r>
      <w:r>
        <w:rPr>
          <w:rFonts w:ascii="Arial" w:hAnsi="Arial" w:cs="Arial"/>
          <w:sz w:val="16"/>
          <w:szCs w:val="16"/>
        </w:rPr>
      </w:r>
      <w:r>
        <w:rPr>
          <w:rFonts w:ascii="Arial" w:hAnsi="Arial" w:cs="Arial"/>
          <w:sz w:val="16"/>
          <w:szCs w:val="16"/>
        </w:rPr>
      </w:r>
    </w:p>
    <w:tbl>
      <w:tblPr>
        <w:jc w:val="center"/>
        <w:tblW w:w="8969" w:type="dxa"/>
        <w:tblBorders/>
        <w:tblLayout w:type="fixed"/>
        <w:tblLook w:val="04A0" w:firstRow="1" w:lastRow="0" w:firstColumn="1" w:lastColumn="0" w:noHBand="0" w:noVBand="1"/>
      </w:tblPr>
      <w:tblGrid>
        <w:gridCol w:w="2189"/>
        <w:gridCol w:w="6780"/>
      </w:tblGrid>
      <w:tr>
        <w:trPr>
          <w:jc w:val="center"/>
          <w:trHeight w:val="158"/>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25C95B94">
            <w:pPr>
              <w:pBdr/>
              <w:spacing/>
              <w:ind/>
              <w:jc w:val="center"/>
              <w:rPr>
                <w:rFonts w:ascii="Arial" w:hAnsi="Arial" w:cs="Arial"/>
                <w:sz w:val="16"/>
                <w:szCs w:val="16"/>
              </w:rPr>
            </w:pPr>
            <w:r>
              <w:rPr>
                <w:rFonts w:ascii="Arial" w:hAnsi="Arial" w:eastAsia="Arial" w:cs="Arial"/>
                <w:b/>
                <w:color w:val="000000"/>
                <w:sz w:val="16"/>
                <w:szCs w:val="16"/>
                <w:lang w:val="pt-BR" w:eastAsia="pt-BR"/>
              </w:rPr>
              <w:t xml:space="preserve">Classificação Orçamentária da Despesa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31AE5651">
            <w:pPr>
              <w:pBdr/>
              <w:spacing/>
              <w:ind/>
              <w:jc w:val="right"/>
              <w:rPr>
                <w:rFonts w:ascii="Arial" w:hAnsi="Arial" w:cs="Arial"/>
                <w:sz w:val="16"/>
                <w:szCs w:val="16"/>
              </w:rPr>
            </w:pPr>
            <w:r>
              <w:rPr>
                <w:rFonts w:ascii="Arial" w:hAnsi="Arial" w:eastAsia="Arial" w:cs="Arial"/>
                <w:color w:val="000000"/>
                <w:sz w:val="16"/>
                <w:szCs w:val="16"/>
                <w:lang w:val="pt-BR" w:eastAsia="pt-BR"/>
              </w:rPr>
              <w:t xml:space="preserve">Órgão: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2AA41E39">
            <w:pPr>
              <w:pBdr/>
              <w:spacing/>
              <w:ind/>
              <w:rPr>
                <w:rFonts w:ascii="Arial" w:hAnsi="Arial" w:cs="Arial"/>
                <w:sz w:val="16"/>
                <w:szCs w:val="16"/>
              </w:rPr>
            </w:pPr>
            <w:r>
              <w:rPr>
                <w:rFonts w:ascii="Arial" w:hAnsi="Arial" w:eastAsia="Arial" w:cs="Arial"/>
                <w:color w:val="000000"/>
                <w:sz w:val="16"/>
                <w:szCs w:val="16"/>
                <w:lang w:val="pt-BR" w:eastAsia="pt-BR"/>
              </w:rPr>
              <w:t xml:space="preserve">02 – Prefeitura Municipal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6485E43D">
            <w:pPr>
              <w:pBdr/>
              <w:spacing/>
              <w:ind/>
              <w:jc w:val="right"/>
              <w:rPr>
                <w:rFonts w:ascii="Arial" w:hAnsi="Arial" w:cs="Arial"/>
                <w:sz w:val="16"/>
                <w:szCs w:val="16"/>
              </w:rPr>
            </w:pPr>
            <w:r>
              <w:rPr>
                <w:rFonts w:ascii="Arial" w:hAnsi="Arial" w:eastAsia="Arial" w:cs="Arial"/>
                <w:color w:val="000000"/>
                <w:sz w:val="16"/>
                <w:szCs w:val="16"/>
                <w:lang w:val="pt-BR" w:eastAsia="pt-BR"/>
              </w:rPr>
              <w:t xml:space="preserve">Unidade:</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79E9D9F8">
            <w:pPr>
              <w:pBdr/>
              <w:spacing/>
              <w:ind/>
              <w:rPr>
                <w:rFonts w:ascii="Arial" w:hAnsi="Arial" w:cs="Arial"/>
                <w:sz w:val="16"/>
                <w:szCs w:val="16"/>
              </w:rPr>
            </w:pPr>
            <w:r>
              <w:rPr>
                <w:rFonts w:ascii="Arial" w:hAnsi="Arial" w:eastAsia="Arial" w:cs="Arial"/>
                <w:color w:val="000000"/>
                <w:sz w:val="16"/>
                <w:szCs w:val="16"/>
                <w:lang w:val="pt-BR" w:eastAsia="pt-BR"/>
              </w:rPr>
              <w:t xml:space="preserve">14 – Fundo Municipal de Saúde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73159EC1">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Funcional Programática: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434798CA">
            <w:pPr>
              <w:pBdr/>
              <w:spacing/>
              <w:ind/>
              <w:rPr>
                <w:rFonts w:ascii="Arial" w:hAnsi="Arial" w:cs="Arial"/>
                <w:sz w:val="16"/>
                <w:szCs w:val="16"/>
              </w:rPr>
            </w:pPr>
            <w:r>
              <w:rPr>
                <w:rFonts w:ascii="Arial" w:hAnsi="Arial" w:eastAsia="Arial" w:cs="Arial"/>
                <w:sz w:val="16"/>
                <w:szCs w:val="16"/>
              </w:rPr>
              <w:t xml:space="preserve">10.301.2202.2180 - MANUTENÇÃO E CONSERVAÇÃO DA ATENÇÃO PRIMÁRIA À SAÚDE - APS E PROGRAMAS ESPECIAIS.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2AFD067">
            <w:pPr>
              <w:pBdr/>
              <w:spacing/>
              <w:ind/>
              <w:jc w:val="right"/>
              <w:rPr>
                <w:rFonts w:ascii="Arial" w:hAnsi="Arial" w:cs="Arial"/>
                <w:sz w:val="16"/>
                <w:szCs w:val="16"/>
              </w:rPr>
            </w:pPr>
            <w:r>
              <w:rPr>
                <w:rFonts w:ascii="Arial" w:hAnsi="Arial" w:eastAsia="Arial" w:cs="Arial"/>
                <w:color w:val="000000"/>
                <w:sz w:val="16"/>
                <w:szCs w:val="16"/>
                <w:lang w:val="pt-BR" w:eastAsia="pt-BR"/>
              </w:rPr>
              <w:t xml:space="preserve">Elemento de Despesa: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3F606364">
            <w:pPr>
              <w:pBdr/>
              <w:spacing/>
              <w:ind/>
              <w:rPr>
                <w:rFonts w:ascii="Arial" w:hAnsi="Arial" w:cs="Arial"/>
                <w:sz w:val="16"/>
                <w:szCs w:val="16"/>
              </w:rPr>
            </w:pPr>
            <w:r>
              <w:rPr>
                <w:rFonts w:ascii="Arial" w:hAnsi="Arial" w:eastAsia="Arial" w:cs="Arial"/>
                <w:sz w:val="16"/>
                <w:szCs w:val="16"/>
              </w:rPr>
              <w:t xml:space="preserve">3.3.90.30.00.00 – MATERIAL DE CONSUMO</w:t>
            </w:r>
            <w:r>
              <w:rPr>
                <w:rFonts w:ascii="Arial" w:hAnsi="Arial" w:cs="Arial"/>
                <w:sz w:val="16"/>
                <w:szCs w:val="16"/>
              </w:rPr>
            </w:r>
            <w:r>
              <w:rPr>
                <w:rFonts w:ascii="Arial" w:hAnsi="Arial" w:cs="Arial"/>
                <w:sz w:val="16"/>
                <w:szCs w:val="16"/>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6632A8F2">
            <w:pPr>
              <w:pBdr/>
              <w:spacing/>
              <w:ind/>
              <w:jc w:val="right"/>
              <w:rPr>
                <w:rFonts w:ascii="Arial" w:hAnsi="Arial" w:cs="Arial"/>
                <w:sz w:val="16"/>
                <w:szCs w:val="16"/>
              </w:rPr>
            </w:pPr>
            <w:r>
              <w:rPr>
                <w:rFonts w:ascii="Arial" w:hAnsi="Arial" w:eastAsia="Arial" w:cs="Arial"/>
                <w:color w:val="000000"/>
                <w:sz w:val="16"/>
                <w:szCs w:val="16"/>
                <w:lang w:val="pt-BR" w:eastAsia="pt-BR"/>
              </w:rPr>
              <w:t xml:space="preserve">Reduzido:</w:t>
            </w:r>
            <w:r>
              <w:rPr>
                <w:rFonts w:ascii="Arial" w:hAnsi="Arial" w:cs="Arial"/>
                <w:sz w:val="16"/>
                <w:szCs w:val="16"/>
              </w:rPr>
            </w:r>
            <w:r>
              <w:rPr>
                <w:rFonts w:ascii="Arial" w:hAnsi="Arial" w:cs="Arial"/>
                <w:sz w:val="16"/>
                <w:szCs w:val="16"/>
              </w:rPr>
            </w:r>
          </w:p>
        </w:tc>
        <w:tc>
          <w:tcPr>
            <w:tcBorders>
              <w:left w:val="single" w:color="000000" w:sz="4" w:space="0"/>
              <w:bottom w:val="single" w:color="000000" w:sz="4" w:space="0"/>
              <w:right w:val="single" w:color="000000" w:sz="4" w:space="0"/>
            </w:tcBorders>
            <w:tcW w:w="6780" w:type="dxa"/>
            <w:textDirection w:val="lrTb"/>
            <w:noWrap w:val="false"/>
          </w:tcPr>
          <w:p w14:paraId="387913E1">
            <w:pPr>
              <w:pBdr/>
              <w:spacing/>
              <w:ind/>
              <w:rPr>
                <w:rFonts w:ascii="Arial" w:hAnsi="Arial" w:cs="Arial"/>
                <w:sz w:val="16"/>
                <w:szCs w:val="16"/>
              </w:rPr>
            </w:pPr>
            <w:r>
              <w:rPr>
                <w:rFonts w:ascii="Arial" w:hAnsi="Arial" w:eastAsia="Arial" w:cs="Arial"/>
                <w:b/>
                <w:sz w:val="16"/>
                <w:szCs w:val="16"/>
              </w:rPr>
              <w:t xml:space="preserve">674</w:t>
            </w:r>
            <w:r>
              <w:rPr>
                <w:rFonts w:ascii="Arial" w:hAnsi="Arial" w:cs="Arial"/>
                <w:sz w:val="16"/>
                <w:szCs w:val="16"/>
              </w:rPr>
            </w:r>
            <w:r>
              <w:rPr>
                <w:rFonts w:ascii="Arial" w:hAnsi="Arial" w:cs="Arial"/>
                <w:sz w:val="16"/>
                <w:szCs w:val="16"/>
              </w:rPr>
            </w:r>
          </w:p>
        </w:tc>
      </w:tr>
      <w:tr>
        <w:trPr>
          <w:jc w:val="center"/>
          <w:trHeight w:val="227"/>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42477525">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Fonte de Recurso: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6D659C7D">
            <w:pPr>
              <w:pBdr/>
              <w:spacing/>
              <w:ind/>
              <w:rPr>
                <w:rFonts w:ascii="Arial" w:hAnsi="Arial" w:cs="Arial"/>
                <w:sz w:val="16"/>
                <w:szCs w:val="16"/>
              </w:rPr>
            </w:pPr>
            <w:r>
              <w:rPr>
                <w:rFonts w:ascii="Arial" w:hAnsi="Arial" w:eastAsia="Arial" w:cs="Arial"/>
                <w:sz w:val="16"/>
                <w:szCs w:val="16"/>
              </w:rPr>
              <w:t xml:space="preserve">1.600.0000600</w:t>
            </w:r>
            <w:r>
              <w:rPr>
                <w:rFonts w:ascii="Arial" w:hAnsi="Arial" w:cs="Arial"/>
                <w:sz w:val="16"/>
                <w:szCs w:val="16"/>
              </w:rPr>
            </w:r>
            <w:r>
              <w:rPr>
                <w:rFonts w:ascii="Arial" w:hAnsi="Arial" w:cs="Arial"/>
                <w:sz w:val="16"/>
                <w:szCs w:val="16"/>
              </w:rPr>
            </w:r>
          </w:p>
        </w:tc>
      </w:tr>
    </w:tbl>
    <w:p w14:paraId="4E1B5165">
      <w:pPr>
        <w:pBdr/>
        <w:spacing/>
        <w:ind/>
        <w:jc w:val="both"/>
        <w:rPr>
          <w:rFonts w:ascii="Arial" w:hAnsi="Arial" w:cs="Arial"/>
          <w:sz w:val="16"/>
          <w:szCs w:val="16"/>
        </w:rPr>
      </w:pPr>
      <w:r>
        <w:rPr>
          <w:rFonts w:ascii="Arial" w:hAnsi="Arial" w:eastAsia="Arial" w:cs="Arial"/>
          <w:sz w:val="16"/>
          <w:szCs w:val="16"/>
        </w:rPr>
      </w:r>
      <w:r>
        <w:rPr>
          <w:rFonts w:ascii="Arial" w:hAnsi="Arial" w:cs="Arial"/>
          <w:sz w:val="16"/>
          <w:szCs w:val="16"/>
        </w:rPr>
      </w:r>
      <w:r>
        <w:rPr>
          <w:rFonts w:ascii="Arial" w:hAnsi="Arial" w:cs="Arial"/>
          <w:sz w:val="16"/>
          <w:szCs w:val="16"/>
        </w:rPr>
      </w:r>
    </w:p>
    <w:tbl>
      <w:tblPr>
        <w:jc w:val="center"/>
        <w:tblW w:w="8969" w:type="dxa"/>
        <w:tblBorders/>
        <w:tblLayout w:type="fixed"/>
        <w:tblLook w:val="04A0" w:firstRow="1" w:lastRow="0" w:firstColumn="1" w:lastColumn="0" w:noHBand="0" w:noVBand="1"/>
      </w:tblPr>
      <w:tblGrid>
        <w:gridCol w:w="2189"/>
        <w:gridCol w:w="6780"/>
      </w:tblGrid>
      <w:tr>
        <w:trPr>
          <w:jc w:val="center"/>
          <w:trHeight w:val="136"/>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05C693BB">
            <w:pPr>
              <w:pBdr/>
              <w:spacing/>
              <w:ind/>
              <w:jc w:val="center"/>
              <w:rPr>
                <w:rFonts w:ascii="Arial" w:hAnsi="Arial" w:cs="Arial"/>
                <w:sz w:val="16"/>
                <w:szCs w:val="16"/>
              </w:rPr>
            </w:pPr>
            <w:r>
              <w:rPr>
                <w:rFonts w:ascii="Arial" w:hAnsi="Arial" w:eastAsia="Arial" w:cs="Arial"/>
                <w:b/>
                <w:color w:val="000000"/>
                <w:sz w:val="16"/>
                <w:szCs w:val="16"/>
                <w:lang w:val="pt-BR" w:eastAsia="pt-BR"/>
              </w:rPr>
              <w:t xml:space="preserve">Classificação Orçamentária da Despesa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9529C42">
            <w:pPr>
              <w:pBdr/>
              <w:spacing/>
              <w:ind/>
              <w:jc w:val="right"/>
              <w:rPr>
                <w:rFonts w:ascii="Arial" w:hAnsi="Arial" w:cs="Arial"/>
                <w:sz w:val="16"/>
                <w:szCs w:val="16"/>
              </w:rPr>
            </w:pPr>
            <w:r>
              <w:rPr>
                <w:rFonts w:ascii="Arial" w:hAnsi="Arial" w:eastAsia="Arial" w:cs="Arial"/>
                <w:color w:val="000000"/>
                <w:sz w:val="16"/>
                <w:szCs w:val="16"/>
                <w:lang w:val="pt-BR" w:eastAsia="pt-BR"/>
              </w:rPr>
              <w:t xml:space="preserve">Órgão: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39652EE8">
            <w:pPr>
              <w:pBdr/>
              <w:spacing/>
              <w:ind/>
              <w:rPr>
                <w:rFonts w:ascii="Arial" w:hAnsi="Arial" w:cs="Arial"/>
                <w:sz w:val="16"/>
                <w:szCs w:val="16"/>
              </w:rPr>
            </w:pPr>
            <w:r>
              <w:rPr>
                <w:rFonts w:ascii="Arial" w:hAnsi="Arial" w:eastAsia="Arial" w:cs="Arial"/>
                <w:color w:val="000000"/>
                <w:sz w:val="16"/>
                <w:szCs w:val="16"/>
                <w:lang w:val="pt-BR" w:eastAsia="pt-BR"/>
              </w:rPr>
              <w:t xml:space="preserve">02 – Prefeitura Municipal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AF9F21A">
            <w:pPr>
              <w:pBdr/>
              <w:spacing/>
              <w:ind/>
              <w:jc w:val="right"/>
              <w:rPr>
                <w:rFonts w:ascii="Arial" w:hAnsi="Arial" w:cs="Arial"/>
                <w:sz w:val="16"/>
                <w:szCs w:val="16"/>
              </w:rPr>
            </w:pPr>
            <w:r>
              <w:rPr>
                <w:rFonts w:ascii="Arial" w:hAnsi="Arial" w:eastAsia="Arial" w:cs="Arial"/>
                <w:color w:val="000000"/>
                <w:sz w:val="16"/>
                <w:szCs w:val="16"/>
                <w:lang w:val="pt-BR" w:eastAsia="pt-BR"/>
              </w:rPr>
              <w:t xml:space="preserve">Unidade:</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3D9EE7EE">
            <w:pPr>
              <w:pBdr/>
              <w:spacing/>
              <w:ind/>
              <w:rPr>
                <w:rFonts w:ascii="Arial" w:hAnsi="Arial" w:cs="Arial"/>
                <w:sz w:val="16"/>
                <w:szCs w:val="16"/>
              </w:rPr>
            </w:pPr>
            <w:r>
              <w:rPr>
                <w:rFonts w:ascii="Arial" w:hAnsi="Arial" w:eastAsia="Arial" w:cs="Arial"/>
                <w:color w:val="000000"/>
                <w:sz w:val="16"/>
                <w:szCs w:val="16"/>
                <w:lang w:val="pt-BR" w:eastAsia="pt-BR"/>
              </w:rPr>
              <w:t xml:space="preserve">14 – Fundo Municipal de Saúde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17ABD0B">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Funcional Programática: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711E8A07">
            <w:pPr>
              <w:pBdr/>
              <w:spacing/>
              <w:ind/>
              <w:rPr>
                <w:rFonts w:ascii="Arial" w:hAnsi="Arial" w:cs="Arial"/>
                <w:sz w:val="16"/>
                <w:szCs w:val="16"/>
              </w:rPr>
            </w:pPr>
            <w:r>
              <w:rPr>
                <w:rFonts w:ascii="Arial" w:hAnsi="Arial" w:eastAsia="Arial" w:cs="Arial"/>
                <w:sz w:val="16"/>
                <w:szCs w:val="16"/>
              </w:rPr>
              <w:t xml:space="preserve">10.302.2203. 2189 - MANUTENÇÃO E EXPANSÃO DO SERVIÇO DE ATENDIMENTO MÓVEL DE URGÊNCIA-SAMU 192</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4307B97C">
            <w:pPr>
              <w:pBdr/>
              <w:spacing/>
              <w:ind/>
              <w:jc w:val="right"/>
              <w:rPr>
                <w:rFonts w:ascii="Arial" w:hAnsi="Arial" w:cs="Arial"/>
                <w:sz w:val="16"/>
                <w:szCs w:val="16"/>
              </w:rPr>
            </w:pPr>
            <w:r>
              <w:rPr>
                <w:rFonts w:ascii="Arial" w:hAnsi="Arial" w:eastAsia="Arial" w:cs="Arial"/>
                <w:color w:val="000000"/>
                <w:sz w:val="16"/>
                <w:szCs w:val="16"/>
                <w:lang w:val="pt-BR" w:eastAsia="pt-BR"/>
              </w:rPr>
              <w:t xml:space="preserve">Elemento de Despesa: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2445A436">
            <w:pPr>
              <w:pBdr/>
              <w:spacing/>
              <w:ind/>
              <w:rPr>
                <w:rFonts w:ascii="Arial" w:hAnsi="Arial" w:cs="Arial"/>
                <w:sz w:val="16"/>
                <w:szCs w:val="16"/>
              </w:rPr>
            </w:pPr>
            <w:r>
              <w:rPr>
                <w:rFonts w:ascii="Arial" w:hAnsi="Arial" w:eastAsia="Arial" w:cs="Arial"/>
                <w:sz w:val="16"/>
                <w:szCs w:val="16"/>
              </w:rPr>
              <w:t xml:space="preserve">3.3.90.30.00.00 – MATERIAL DE CONSUMO</w:t>
            </w:r>
            <w:r>
              <w:rPr>
                <w:rFonts w:ascii="Arial" w:hAnsi="Arial" w:cs="Arial"/>
                <w:sz w:val="16"/>
                <w:szCs w:val="16"/>
              </w:rPr>
            </w:r>
            <w:r>
              <w:rPr>
                <w:rFonts w:ascii="Arial" w:hAnsi="Arial" w:cs="Arial"/>
                <w:sz w:val="16"/>
                <w:szCs w:val="16"/>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35F405AB">
            <w:pPr>
              <w:pBdr/>
              <w:spacing/>
              <w:ind/>
              <w:jc w:val="right"/>
              <w:rPr>
                <w:rFonts w:ascii="Arial" w:hAnsi="Arial" w:cs="Arial"/>
                <w:sz w:val="16"/>
                <w:szCs w:val="16"/>
              </w:rPr>
            </w:pPr>
            <w:r>
              <w:rPr>
                <w:rFonts w:ascii="Arial" w:hAnsi="Arial" w:eastAsia="Arial" w:cs="Arial"/>
                <w:color w:val="000000"/>
                <w:sz w:val="16"/>
                <w:szCs w:val="16"/>
                <w:lang w:val="pt-BR" w:eastAsia="pt-BR"/>
              </w:rPr>
              <w:t xml:space="preserve">Reduzido:</w:t>
            </w:r>
            <w:r>
              <w:rPr>
                <w:rFonts w:ascii="Arial" w:hAnsi="Arial" w:cs="Arial"/>
                <w:sz w:val="16"/>
                <w:szCs w:val="16"/>
              </w:rPr>
            </w:r>
            <w:r>
              <w:rPr>
                <w:rFonts w:ascii="Arial" w:hAnsi="Arial" w:cs="Arial"/>
                <w:sz w:val="16"/>
                <w:szCs w:val="16"/>
              </w:rPr>
            </w:r>
          </w:p>
        </w:tc>
        <w:tc>
          <w:tcPr>
            <w:tcBorders>
              <w:left w:val="single" w:color="000000" w:sz="4" w:space="0"/>
              <w:bottom w:val="single" w:color="000000" w:sz="4" w:space="0"/>
              <w:right w:val="single" w:color="000000" w:sz="4" w:space="0"/>
            </w:tcBorders>
            <w:tcW w:w="6780" w:type="dxa"/>
            <w:textDirection w:val="lrTb"/>
            <w:noWrap w:val="false"/>
          </w:tcPr>
          <w:p w14:paraId="35749EF2">
            <w:pPr>
              <w:pBdr/>
              <w:spacing/>
              <w:ind/>
              <w:rPr>
                <w:rFonts w:ascii="Arial" w:hAnsi="Arial" w:cs="Arial"/>
                <w:sz w:val="16"/>
                <w:szCs w:val="16"/>
              </w:rPr>
            </w:pPr>
            <w:r>
              <w:rPr>
                <w:rFonts w:ascii="Arial" w:hAnsi="Arial" w:eastAsia="Arial" w:cs="Arial"/>
                <w:b/>
                <w:sz w:val="16"/>
                <w:szCs w:val="16"/>
              </w:rPr>
              <w:t xml:space="preserve">593</w:t>
            </w:r>
            <w:r>
              <w:rPr>
                <w:rFonts w:ascii="Arial" w:hAnsi="Arial" w:cs="Arial"/>
                <w:sz w:val="16"/>
                <w:szCs w:val="16"/>
              </w:rPr>
            </w:r>
            <w:r>
              <w:rPr>
                <w:rFonts w:ascii="Arial" w:hAnsi="Arial" w:cs="Arial"/>
                <w:sz w:val="16"/>
                <w:szCs w:val="16"/>
              </w:rPr>
            </w:r>
          </w:p>
        </w:tc>
      </w:tr>
      <w:tr>
        <w:trPr>
          <w:jc w:val="center"/>
          <w:trHeight w:val="205"/>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45DDCCAF">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Fonte de Recurso: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1C0A5282">
            <w:pPr>
              <w:pBdr/>
              <w:spacing/>
              <w:ind/>
              <w:rPr>
                <w:rFonts w:ascii="Arial" w:hAnsi="Arial" w:cs="Arial"/>
                <w:sz w:val="16"/>
                <w:szCs w:val="16"/>
              </w:rPr>
            </w:pPr>
            <w:r>
              <w:rPr>
                <w:rFonts w:ascii="Arial" w:hAnsi="Arial" w:eastAsia="Arial" w:cs="Arial"/>
                <w:sz w:val="16"/>
                <w:szCs w:val="16"/>
              </w:rPr>
              <w:t xml:space="preserve">1.600.0000603</w:t>
            </w:r>
            <w:r>
              <w:rPr>
                <w:rFonts w:ascii="Arial" w:hAnsi="Arial" w:cs="Arial"/>
                <w:sz w:val="16"/>
                <w:szCs w:val="16"/>
              </w:rPr>
            </w:r>
            <w:r>
              <w:rPr>
                <w:rFonts w:ascii="Arial" w:hAnsi="Arial" w:cs="Arial"/>
                <w:sz w:val="16"/>
                <w:szCs w:val="16"/>
              </w:rPr>
            </w:r>
          </w:p>
        </w:tc>
      </w:tr>
    </w:tbl>
    <w:p w14:paraId="259DCA42">
      <w:pPr>
        <w:pBdr/>
        <w:spacing/>
        <w:ind/>
        <w:jc w:val="both"/>
        <w:rPr>
          <w:rFonts w:ascii="Arial" w:hAnsi="Arial" w:cs="Arial"/>
          <w:sz w:val="16"/>
          <w:szCs w:val="16"/>
        </w:rPr>
      </w:pPr>
      <w:r>
        <w:rPr>
          <w:rFonts w:ascii="Arial" w:hAnsi="Arial" w:eastAsia="Arial" w:cs="Arial"/>
          <w:sz w:val="16"/>
          <w:szCs w:val="16"/>
        </w:rPr>
      </w:r>
      <w:r>
        <w:rPr>
          <w:rFonts w:ascii="Arial" w:hAnsi="Arial" w:cs="Arial"/>
          <w:sz w:val="16"/>
          <w:szCs w:val="16"/>
        </w:rPr>
      </w:r>
      <w:r>
        <w:rPr>
          <w:rFonts w:ascii="Arial" w:hAnsi="Arial" w:cs="Arial"/>
          <w:sz w:val="16"/>
          <w:szCs w:val="16"/>
        </w:rPr>
      </w:r>
    </w:p>
    <w:tbl>
      <w:tblPr>
        <w:jc w:val="center"/>
        <w:tblW w:w="8969" w:type="dxa"/>
        <w:tblBorders/>
        <w:tblLayout w:type="fixed"/>
        <w:tblLook w:val="04A0" w:firstRow="1" w:lastRow="0" w:firstColumn="1" w:lastColumn="0" w:noHBand="0" w:noVBand="1"/>
      </w:tblPr>
      <w:tblGrid>
        <w:gridCol w:w="2189"/>
        <w:gridCol w:w="6780"/>
      </w:tblGrid>
      <w:tr>
        <w:trPr>
          <w:jc w:val="center"/>
          <w:trHeight w:val="113"/>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3FD0E783">
            <w:pPr>
              <w:pBdr/>
              <w:spacing/>
              <w:ind/>
              <w:jc w:val="center"/>
              <w:rPr>
                <w:rFonts w:ascii="Arial" w:hAnsi="Arial" w:cs="Arial"/>
                <w:sz w:val="16"/>
                <w:szCs w:val="16"/>
              </w:rPr>
            </w:pPr>
            <w:r>
              <w:rPr>
                <w:rFonts w:ascii="Arial" w:hAnsi="Arial" w:eastAsia="Arial" w:cs="Arial"/>
                <w:b/>
                <w:color w:val="000000"/>
                <w:sz w:val="16"/>
                <w:szCs w:val="16"/>
                <w:lang w:val="pt-BR" w:eastAsia="pt-BR"/>
              </w:rPr>
              <w:t xml:space="preserve">Classificação Orçamentária da Despesa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386CF354">
            <w:pPr>
              <w:pBdr/>
              <w:spacing/>
              <w:ind/>
              <w:jc w:val="right"/>
              <w:rPr>
                <w:rFonts w:ascii="Arial" w:hAnsi="Arial" w:cs="Arial"/>
                <w:sz w:val="16"/>
                <w:szCs w:val="16"/>
              </w:rPr>
            </w:pPr>
            <w:r>
              <w:rPr>
                <w:rFonts w:ascii="Arial" w:hAnsi="Arial" w:eastAsia="Arial" w:cs="Arial"/>
                <w:color w:val="000000"/>
                <w:sz w:val="16"/>
                <w:szCs w:val="16"/>
                <w:lang w:val="pt-BR" w:eastAsia="pt-BR"/>
              </w:rPr>
              <w:t xml:space="preserve">Órgão: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1B21E279">
            <w:pPr>
              <w:pBdr/>
              <w:spacing/>
              <w:ind/>
              <w:rPr>
                <w:rFonts w:ascii="Arial" w:hAnsi="Arial" w:cs="Arial"/>
                <w:sz w:val="16"/>
                <w:szCs w:val="16"/>
              </w:rPr>
            </w:pPr>
            <w:r>
              <w:rPr>
                <w:rFonts w:ascii="Arial" w:hAnsi="Arial" w:eastAsia="Arial" w:cs="Arial"/>
                <w:color w:val="000000"/>
                <w:sz w:val="16"/>
                <w:szCs w:val="16"/>
                <w:lang w:val="pt-BR" w:eastAsia="pt-BR"/>
              </w:rPr>
              <w:t xml:space="preserve">02 – Prefeitura Municipal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5EC7D10E">
            <w:pPr>
              <w:pBdr/>
              <w:spacing/>
              <w:ind/>
              <w:jc w:val="right"/>
              <w:rPr>
                <w:rFonts w:ascii="Arial" w:hAnsi="Arial" w:cs="Arial"/>
                <w:sz w:val="16"/>
                <w:szCs w:val="16"/>
              </w:rPr>
            </w:pPr>
            <w:r>
              <w:rPr>
                <w:rFonts w:ascii="Arial" w:hAnsi="Arial" w:eastAsia="Arial" w:cs="Arial"/>
                <w:color w:val="000000"/>
                <w:sz w:val="16"/>
                <w:szCs w:val="16"/>
                <w:lang w:val="pt-BR" w:eastAsia="pt-BR"/>
              </w:rPr>
              <w:t xml:space="preserve">Unidade:</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410A7F33">
            <w:pPr>
              <w:pBdr/>
              <w:spacing/>
              <w:ind/>
              <w:rPr>
                <w:rFonts w:ascii="Arial" w:hAnsi="Arial" w:cs="Arial"/>
                <w:sz w:val="16"/>
                <w:szCs w:val="16"/>
              </w:rPr>
            </w:pPr>
            <w:r>
              <w:rPr>
                <w:rFonts w:ascii="Arial" w:hAnsi="Arial" w:eastAsia="Arial" w:cs="Arial"/>
                <w:color w:val="000000"/>
                <w:sz w:val="16"/>
                <w:szCs w:val="16"/>
                <w:lang w:val="pt-BR" w:eastAsia="pt-BR"/>
              </w:rPr>
              <w:t xml:space="preserve">14 – Fundo Municipal de Saúde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6A1A9F3">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Funcional Programática: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4C08CF59">
            <w:pPr>
              <w:pBdr/>
              <w:spacing/>
              <w:ind/>
              <w:rPr>
                <w:rFonts w:ascii="Arial" w:hAnsi="Arial" w:cs="Arial"/>
                <w:sz w:val="16"/>
                <w:szCs w:val="16"/>
              </w:rPr>
            </w:pPr>
            <w:r>
              <w:rPr>
                <w:rFonts w:ascii="Arial" w:hAnsi="Arial" w:eastAsia="Arial" w:cs="Arial"/>
                <w:sz w:val="16"/>
                <w:szCs w:val="16"/>
              </w:rPr>
              <w:t xml:space="preserve">10.302.2203.2192 - MANUTENÇÃO DOS SERVIÇOS DE NEFROLOGIA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620C96D">
            <w:pPr>
              <w:pBdr/>
              <w:spacing/>
              <w:ind/>
              <w:jc w:val="right"/>
              <w:rPr>
                <w:rFonts w:ascii="Arial" w:hAnsi="Arial" w:cs="Arial"/>
                <w:sz w:val="16"/>
                <w:szCs w:val="16"/>
              </w:rPr>
            </w:pPr>
            <w:r>
              <w:rPr>
                <w:rFonts w:ascii="Arial" w:hAnsi="Arial" w:eastAsia="Arial" w:cs="Arial"/>
                <w:color w:val="000000"/>
                <w:sz w:val="16"/>
                <w:szCs w:val="16"/>
                <w:lang w:val="pt-BR" w:eastAsia="pt-BR"/>
              </w:rPr>
              <w:t xml:space="preserve">Elemento de Despesa: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1EB25F49">
            <w:pPr>
              <w:pBdr/>
              <w:spacing/>
              <w:ind/>
              <w:rPr>
                <w:rFonts w:ascii="Arial" w:hAnsi="Arial" w:cs="Arial"/>
                <w:sz w:val="16"/>
                <w:szCs w:val="16"/>
              </w:rPr>
            </w:pPr>
            <w:r>
              <w:rPr>
                <w:rFonts w:ascii="Arial" w:hAnsi="Arial" w:eastAsia="Arial" w:cs="Arial"/>
                <w:sz w:val="16"/>
                <w:szCs w:val="16"/>
              </w:rPr>
              <w:t xml:space="preserve">3.3.90.30.00.00 – MATERIAL DE CONSUMO</w:t>
            </w:r>
            <w:r>
              <w:rPr>
                <w:rFonts w:ascii="Arial" w:hAnsi="Arial" w:cs="Arial"/>
                <w:sz w:val="16"/>
                <w:szCs w:val="16"/>
              </w:rPr>
            </w:r>
            <w:r>
              <w:rPr>
                <w:rFonts w:ascii="Arial" w:hAnsi="Arial" w:cs="Arial"/>
                <w:sz w:val="16"/>
                <w:szCs w:val="16"/>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7E1E495B">
            <w:pPr>
              <w:pBdr/>
              <w:spacing/>
              <w:ind/>
              <w:jc w:val="right"/>
              <w:rPr>
                <w:rFonts w:ascii="Arial" w:hAnsi="Arial" w:cs="Arial"/>
                <w:sz w:val="16"/>
                <w:szCs w:val="16"/>
              </w:rPr>
            </w:pPr>
            <w:r>
              <w:rPr>
                <w:rFonts w:ascii="Arial" w:hAnsi="Arial" w:eastAsia="Arial" w:cs="Arial"/>
                <w:color w:val="000000"/>
                <w:sz w:val="16"/>
                <w:szCs w:val="16"/>
                <w:lang w:val="pt-BR" w:eastAsia="pt-BR"/>
              </w:rPr>
              <w:t xml:space="preserve">Reduzido:</w:t>
            </w:r>
            <w:r>
              <w:rPr>
                <w:rFonts w:ascii="Arial" w:hAnsi="Arial" w:cs="Arial"/>
                <w:sz w:val="16"/>
                <w:szCs w:val="16"/>
              </w:rPr>
            </w:r>
            <w:r>
              <w:rPr>
                <w:rFonts w:ascii="Arial" w:hAnsi="Arial" w:cs="Arial"/>
                <w:sz w:val="16"/>
                <w:szCs w:val="16"/>
              </w:rPr>
            </w:r>
          </w:p>
        </w:tc>
        <w:tc>
          <w:tcPr>
            <w:tcBorders>
              <w:left w:val="single" w:color="000000" w:sz="4" w:space="0"/>
              <w:bottom w:val="single" w:color="000000" w:sz="4" w:space="0"/>
              <w:right w:val="single" w:color="000000" w:sz="4" w:space="0"/>
            </w:tcBorders>
            <w:tcW w:w="6780" w:type="dxa"/>
            <w:textDirection w:val="lrTb"/>
            <w:noWrap w:val="false"/>
          </w:tcPr>
          <w:p w14:paraId="37B30160">
            <w:pPr>
              <w:pBdr/>
              <w:spacing/>
              <w:ind/>
              <w:rPr>
                <w:rFonts w:ascii="Arial" w:hAnsi="Arial" w:cs="Arial"/>
                <w:sz w:val="16"/>
                <w:szCs w:val="16"/>
              </w:rPr>
            </w:pPr>
            <w:r>
              <w:rPr>
                <w:rFonts w:ascii="Arial" w:hAnsi="Arial" w:eastAsia="Arial" w:cs="Arial"/>
                <w:b/>
                <w:sz w:val="16"/>
                <w:szCs w:val="16"/>
              </w:rPr>
              <w:t xml:space="preserve">600</w:t>
            </w:r>
            <w:r>
              <w:rPr>
                <w:rFonts w:ascii="Arial" w:hAnsi="Arial" w:cs="Arial"/>
                <w:sz w:val="16"/>
                <w:szCs w:val="16"/>
              </w:rPr>
            </w:r>
            <w:r>
              <w:rPr>
                <w:rFonts w:ascii="Arial" w:hAnsi="Arial" w:cs="Arial"/>
                <w:sz w:val="16"/>
                <w:szCs w:val="16"/>
              </w:rPr>
            </w:r>
          </w:p>
        </w:tc>
      </w:tr>
      <w:tr>
        <w:trPr>
          <w:jc w:val="center"/>
          <w:trHeight w:val="225"/>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2D1008D8">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Fonte de Recurso: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424780B5">
            <w:pPr>
              <w:pBdr/>
              <w:spacing/>
              <w:ind/>
              <w:rPr>
                <w:rFonts w:ascii="Arial" w:hAnsi="Arial" w:cs="Arial"/>
                <w:sz w:val="16"/>
                <w:szCs w:val="16"/>
              </w:rPr>
            </w:pPr>
            <w:r>
              <w:rPr>
                <w:rFonts w:ascii="Arial" w:hAnsi="Arial" w:eastAsia="Arial" w:cs="Arial"/>
                <w:sz w:val="16"/>
                <w:szCs w:val="16"/>
              </w:rPr>
              <w:t xml:space="preserve">1.600.0000603</w:t>
            </w:r>
            <w:r>
              <w:rPr>
                <w:rFonts w:ascii="Arial" w:hAnsi="Arial" w:cs="Arial"/>
                <w:sz w:val="16"/>
                <w:szCs w:val="16"/>
              </w:rPr>
            </w:r>
            <w:r>
              <w:rPr>
                <w:rFonts w:ascii="Arial" w:hAnsi="Arial" w:cs="Arial"/>
                <w:sz w:val="16"/>
                <w:szCs w:val="16"/>
              </w:rPr>
            </w:r>
          </w:p>
        </w:tc>
      </w:tr>
    </w:tbl>
    <w:p w14:paraId="23D55FA8">
      <w:pPr>
        <w:pBdr/>
        <w:spacing/>
        <w:ind/>
        <w:jc w:val="both"/>
        <w:rPr>
          <w:rFonts w:ascii="Arial" w:hAnsi="Arial" w:cs="Arial"/>
          <w:sz w:val="16"/>
          <w:szCs w:val="16"/>
        </w:rPr>
      </w:pPr>
      <w:r>
        <w:rPr>
          <w:rFonts w:ascii="Arial" w:hAnsi="Arial" w:eastAsia="Arial" w:cs="Arial"/>
          <w:sz w:val="16"/>
          <w:szCs w:val="16"/>
        </w:rPr>
      </w:r>
      <w:r>
        <w:rPr>
          <w:rFonts w:ascii="Arial" w:hAnsi="Arial" w:cs="Arial"/>
          <w:sz w:val="16"/>
          <w:szCs w:val="16"/>
        </w:rPr>
      </w:r>
      <w:r>
        <w:rPr>
          <w:rFonts w:ascii="Arial" w:hAnsi="Arial" w:cs="Arial"/>
          <w:sz w:val="16"/>
          <w:szCs w:val="16"/>
        </w:rPr>
      </w:r>
    </w:p>
    <w:tbl>
      <w:tblPr>
        <w:jc w:val="center"/>
        <w:tblW w:w="8969" w:type="dxa"/>
        <w:tblBorders/>
        <w:tblLayout w:type="fixed"/>
        <w:tblLook w:val="04A0" w:firstRow="1" w:lastRow="0" w:firstColumn="1" w:lastColumn="0" w:noHBand="0" w:noVBand="1"/>
      </w:tblPr>
      <w:tblGrid>
        <w:gridCol w:w="2189"/>
        <w:gridCol w:w="6780"/>
      </w:tblGrid>
      <w:tr>
        <w:trPr>
          <w:jc w:val="center"/>
          <w:trHeight w:val="133"/>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3AEF6D34">
            <w:pPr>
              <w:pBdr/>
              <w:spacing/>
              <w:ind/>
              <w:jc w:val="center"/>
              <w:rPr>
                <w:rFonts w:ascii="Arial" w:hAnsi="Arial" w:cs="Arial"/>
                <w:sz w:val="16"/>
                <w:szCs w:val="16"/>
              </w:rPr>
            </w:pPr>
            <w:r>
              <w:rPr>
                <w:rFonts w:ascii="Arial" w:hAnsi="Arial" w:eastAsia="Arial" w:cs="Arial"/>
                <w:b/>
                <w:color w:val="000000"/>
                <w:sz w:val="16"/>
                <w:szCs w:val="16"/>
                <w:lang w:val="pt-BR" w:eastAsia="pt-BR"/>
              </w:rPr>
              <w:t xml:space="preserve">Classificação Orçamentária da Despesa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30200644">
            <w:pPr>
              <w:pBdr/>
              <w:spacing/>
              <w:ind/>
              <w:jc w:val="right"/>
              <w:rPr>
                <w:rFonts w:ascii="Arial" w:hAnsi="Arial" w:cs="Arial"/>
                <w:sz w:val="16"/>
                <w:szCs w:val="16"/>
              </w:rPr>
            </w:pPr>
            <w:r>
              <w:rPr>
                <w:rFonts w:ascii="Arial" w:hAnsi="Arial" w:eastAsia="Arial" w:cs="Arial"/>
                <w:color w:val="000000"/>
                <w:sz w:val="16"/>
                <w:szCs w:val="16"/>
                <w:lang w:val="pt-BR" w:eastAsia="pt-BR"/>
              </w:rPr>
              <w:t xml:space="preserve">Órgão: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5619D6A0">
            <w:pPr>
              <w:pBdr/>
              <w:spacing/>
              <w:ind/>
              <w:rPr>
                <w:rFonts w:ascii="Arial" w:hAnsi="Arial" w:cs="Arial"/>
                <w:sz w:val="16"/>
                <w:szCs w:val="16"/>
              </w:rPr>
            </w:pPr>
            <w:r>
              <w:rPr>
                <w:rFonts w:ascii="Arial" w:hAnsi="Arial" w:eastAsia="Arial" w:cs="Arial"/>
                <w:color w:val="000000"/>
                <w:sz w:val="16"/>
                <w:szCs w:val="16"/>
                <w:lang w:val="pt-BR" w:eastAsia="pt-BR"/>
              </w:rPr>
              <w:t xml:space="preserve">02 – Prefeitura Municipal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7957E9CD">
            <w:pPr>
              <w:pBdr/>
              <w:spacing/>
              <w:ind/>
              <w:jc w:val="right"/>
              <w:rPr>
                <w:rFonts w:ascii="Arial" w:hAnsi="Arial" w:cs="Arial"/>
                <w:sz w:val="16"/>
                <w:szCs w:val="16"/>
              </w:rPr>
            </w:pPr>
            <w:r>
              <w:rPr>
                <w:rFonts w:ascii="Arial" w:hAnsi="Arial" w:eastAsia="Arial" w:cs="Arial"/>
                <w:color w:val="000000"/>
                <w:sz w:val="16"/>
                <w:szCs w:val="16"/>
                <w:lang w:val="pt-BR" w:eastAsia="pt-BR"/>
              </w:rPr>
              <w:t xml:space="preserve">Unidade:</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7CE53A89">
            <w:pPr>
              <w:pBdr/>
              <w:spacing/>
              <w:ind/>
              <w:rPr>
                <w:rFonts w:ascii="Arial" w:hAnsi="Arial" w:cs="Arial"/>
                <w:sz w:val="16"/>
                <w:szCs w:val="16"/>
              </w:rPr>
            </w:pPr>
            <w:r>
              <w:rPr>
                <w:rFonts w:ascii="Arial" w:hAnsi="Arial" w:eastAsia="Arial" w:cs="Arial"/>
                <w:color w:val="000000"/>
                <w:sz w:val="16"/>
                <w:szCs w:val="16"/>
                <w:lang w:val="pt-BR" w:eastAsia="pt-BR"/>
              </w:rPr>
              <w:t xml:space="preserve">14 – Fundo Municipal de Saúde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9AA2D21">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Funcional Programática: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4355E550">
            <w:pPr>
              <w:pBdr/>
              <w:spacing/>
              <w:ind/>
              <w:rPr>
                <w:rFonts w:ascii="Arial" w:hAnsi="Arial" w:cs="Arial"/>
                <w:sz w:val="16"/>
                <w:szCs w:val="16"/>
              </w:rPr>
            </w:pPr>
            <w:r>
              <w:rPr>
                <w:rFonts w:ascii="Arial" w:hAnsi="Arial" w:eastAsia="Arial" w:cs="Arial"/>
                <w:sz w:val="16"/>
                <w:szCs w:val="16"/>
              </w:rPr>
              <w:t xml:space="preserve">10.302.2203.2193 - MANUTENÇÃO DOS SERVIÇOS DE MÉDIA E ALTA COMPLEXIDADE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50240FBF">
            <w:pPr>
              <w:pBdr/>
              <w:spacing/>
              <w:ind/>
              <w:jc w:val="right"/>
              <w:rPr>
                <w:rFonts w:ascii="Arial" w:hAnsi="Arial" w:cs="Arial"/>
                <w:sz w:val="16"/>
                <w:szCs w:val="16"/>
              </w:rPr>
            </w:pPr>
            <w:r>
              <w:rPr>
                <w:rFonts w:ascii="Arial" w:hAnsi="Arial" w:eastAsia="Arial" w:cs="Arial"/>
                <w:color w:val="000000"/>
                <w:sz w:val="16"/>
                <w:szCs w:val="16"/>
                <w:lang w:val="pt-BR" w:eastAsia="pt-BR"/>
              </w:rPr>
              <w:t xml:space="preserve">Elemento de Despesa: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3DA51A54">
            <w:pPr>
              <w:pBdr/>
              <w:spacing/>
              <w:ind/>
              <w:rPr>
                <w:rFonts w:ascii="Arial" w:hAnsi="Arial" w:cs="Arial"/>
                <w:sz w:val="16"/>
                <w:szCs w:val="16"/>
              </w:rPr>
            </w:pPr>
            <w:r>
              <w:rPr>
                <w:rFonts w:ascii="Arial" w:hAnsi="Arial" w:eastAsia="Arial" w:cs="Arial"/>
                <w:sz w:val="16"/>
                <w:szCs w:val="16"/>
              </w:rPr>
              <w:t xml:space="preserve">3.3.90.30.00.00 – MATERIAL DE CONSUMO</w:t>
            </w:r>
            <w:r>
              <w:rPr>
                <w:rFonts w:ascii="Arial" w:hAnsi="Arial" w:cs="Arial"/>
                <w:sz w:val="16"/>
                <w:szCs w:val="16"/>
              </w:rPr>
            </w:r>
            <w:r>
              <w:rPr>
                <w:rFonts w:ascii="Arial" w:hAnsi="Arial" w:cs="Arial"/>
                <w:sz w:val="16"/>
                <w:szCs w:val="16"/>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44FDB131">
            <w:pPr>
              <w:pBdr/>
              <w:spacing/>
              <w:ind/>
              <w:jc w:val="right"/>
              <w:rPr>
                <w:rFonts w:ascii="Arial" w:hAnsi="Arial" w:cs="Arial"/>
                <w:sz w:val="16"/>
                <w:szCs w:val="16"/>
              </w:rPr>
            </w:pPr>
            <w:r>
              <w:rPr>
                <w:rFonts w:ascii="Arial" w:hAnsi="Arial" w:eastAsia="Arial" w:cs="Arial"/>
                <w:color w:val="000000"/>
                <w:sz w:val="16"/>
                <w:szCs w:val="16"/>
                <w:lang w:val="pt-BR" w:eastAsia="pt-BR"/>
              </w:rPr>
              <w:t xml:space="preserve">Reduzido:</w:t>
            </w:r>
            <w:r>
              <w:rPr>
                <w:rFonts w:ascii="Arial" w:hAnsi="Arial" w:cs="Arial"/>
                <w:sz w:val="16"/>
                <w:szCs w:val="16"/>
              </w:rPr>
            </w:r>
            <w:r>
              <w:rPr>
                <w:rFonts w:ascii="Arial" w:hAnsi="Arial" w:cs="Arial"/>
                <w:sz w:val="16"/>
                <w:szCs w:val="16"/>
              </w:rPr>
            </w:r>
          </w:p>
        </w:tc>
        <w:tc>
          <w:tcPr>
            <w:tcBorders>
              <w:left w:val="single" w:color="000000" w:sz="4" w:space="0"/>
              <w:bottom w:val="single" w:color="000000" w:sz="4" w:space="0"/>
              <w:right w:val="single" w:color="000000" w:sz="4" w:space="0"/>
            </w:tcBorders>
            <w:tcW w:w="6780" w:type="dxa"/>
            <w:textDirection w:val="lrTb"/>
            <w:noWrap w:val="false"/>
          </w:tcPr>
          <w:p w14:paraId="348B2132">
            <w:pPr>
              <w:pBdr/>
              <w:spacing/>
              <w:ind/>
              <w:rPr>
                <w:rFonts w:ascii="Arial" w:hAnsi="Arial" w:cs="Arial"/>
                <w:sz w:val="16"/>
                <w:szCs w:val="16"/>
              </w:rPr>
            </w:pPr>
            <w:r>
              <w:rPr>
                <w:rFonts w:ascii="Arial" w:hAnsi="Arial" w:eastAsia="Arial" w:cs="Arial"/>
                <w:b/>
                <w:sz w:val="16"/>
                <w:szCs w:val="16"/>
              </w:rPr>
              <w:t xml:space="preserve">556</w:t>
            </w:r>
            <w:r>
              <w:rPr>
                <w:rFonts w:ascii="Arial" w:hAnsi="Arial" w:cs="Arial"/>
                <w:sz w:val="16"/>
                <w:szCs w:val="16"/>
              </w:rPr>
            </w:r>
            <w:r>
              <w:rPr>
                <w:rFonts w:ascii="Arial" w:hAnsi="Arial" w:cs="Arial"/>
                <w:sz w:val="16"/>
                <w:szCs w:val="16"/>
              </w:rPr>
            </w:r>
          </w:p>
        </w:tc>
      </w:tr>
      <w:tr>
        <w:trPr>
          <w:jc w:val="center"/>
          <w:trHeight w:val="103"/>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92B49BA">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Fonte de Recurso: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511959A9">
            <w:pPr>
              <w:pBdr/>
              <w:spacing/>
              <w:ind/>
              <w:rPr>
                <w:rFonts w:ascii="Arial" w:hAnsi="Arial" w:cs="Arial"/>
                <w:sz w:val="16"/>
                <w:szCs w:val="16"/>
              </w:rPr>
            </w:pPr>
            <w:r>
              <w:rPr>
                <w:rFonts w:ascii="Arial" w:hAnsi="Arial" w:eastAsia="Arial" w:cs="Arial"/>
                <w:sz w:val="16"/>
                <w:szCs w:val="16"/>
              </w:rPr>
              <w:t xml:space="preserve">1.500.1002000</w:t>
            </w:r>
            <w:r>
              <w:rPr>
                <w:rFonts w:ascii="Arial" w:hAnsi="Arial" w:cs="Arial"/>
                <w:sz w:val="16"/>
                <w:szCs w:val="16"/>
              </w:rPr>
            </w:r>
            <w:r>
              <w:rPr>
                <w:rFonts w:ascii="Arial" w:hAnsi="Arial" w:cs="Arial"/>
                <w:sz w:val="16"/>
                <w:szCs w:val="16"/>
              </w:rPr>
            </w:r>
          </w:p>
        </w:tc>
      </w:tr>
    </w:tbl>
    <w:p w14:paraId="7BCDE94C">
      <w:pPr>
        <w:pBdr/>
        <w:spacing/>
        <w:ind/>
        <w:jc w:val="both"/>
        <w:rPr>
          <w:rFonts w:ascii="Arial" w:hAnsi="Arial" w:cs="Arial"/>
          <w:sz w:val="16"/>
          <w:szCs w:val="16"/>
        </w:rPr>
      </w:pPr>
      <w:r>
        <w:rPr>
          <w:rFonts w:ascii="Arial" w:hAnsi="Arial" w:eastAsia="Arial" w:cs="Arial"/>
          <w:sz w:val="16"/>
          <w:szCs w:val="16"/>
        </w:rPr>
      </w:r>
      <w:r>
        <w:rPr>
          <w:rFonts w:ascii="Arial" w:hAnsi="Arial" w:cs="Arial"/>
          <w:sz w:val="16"/>
          <w:szCs w:val="16"/>
        </w:rPr>
      </w:r>
      <w:r>
        <w:rPr>
          <w:rFonts w:ascii="Arial" w:hAnsi="Arial" w:cs="Arial"/>
          <w:sz w:val="16"/>
          <w:szCs w:val="16"/>
        </w:rPr>
      </w:r>
    </w:p>
    <w:tbl>
      <w:tblPr>
        <w:jc w:val="center"/>
        <w:tblW w:w="8969" w:type="dxa"/>
        <w:tblBorders/>
        <w:tblLayout w:type="fixed"/>
        <w:tblLook w:val="04A0" w:firstRow="1" w:lastRow="0" w:firstColumn="1" w:lastColumn="0" w:noHBand="0" w:noVBand="1"/>
      </w:tblPr>
      <w:tblGrid>
        <w:gridCol w:w="2189"/>
        <w:gridCol w:w="6780"/>
      </w:tblGrid>
      <w:tr>
        <w:trPr>
          <w:jc w:val="center"/>
          <w:trHeight w:val="153"/>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3CAAC5E0">
            <w:pPr>
              <w:pBdr/>
              <w:spacing/>
              <w:ind/>
              <w:jc w:val="center"/>
              <w:rPr>
                <w:rFonts w:ascii="Arial" w:hAnsi="Arial" w:cs="Arial"/>
                <w:sz w:val="16"/>
                <w:szCs w:val="16"/>
              </w:rPr>
            </w:pPr>
            <w:r>
              <w:rPr>
                <w:rFonts w:ascii="Arial" w:hAnsi="Arial" w:eastAsia="Arial" w:cs="Arial"/>
                <w:b/>
                <w:color w:val="000000"/>
                <w:sz w:val="16"/>
                <w:szCs w:val="16"/>
                <w:lang w:val="pt-BR" w:eastAsia="pt-BR"/>
              </w:rPr>
              <w:t xml:space="preserve">Classificação Orçamentária da Despesa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2203970C">
            <w:pPr>
              <w:pBdr/>
              <w:spacing/>
              <w:ind/>
              <w:jc w:val="right"/>
              <w:rPr>
                <w:rFonts w:ascii="Arial" w:hAnsi="Arial" w:cs="Arial"/>
                <w:sz w:val="16"/>
                <w:szCs w:val="16"/>
              </w:rPr>
            </w:pPr>
            <w:r>
              <w:rPr>
                <w:rFonts w:ascii="Arial" w:hAnsi="Arial" w:eastAsia="Arial" w:cs="Arial"/>
                <w:color w:val="000000"/>
                <w:sz w:val="16"/>
                <w:szCs w:val="16"/>
                <w:lang w:val="pt-BR" w:eastAsia="pt-BR"/>
              </w:rPr>
              <w:t xml:space="preserve">Órgão: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553123EE">
            <w:pPr>
              <w:pBdr/>
              <w:spacing/>
              <w:ind/>
              <w:rPr>
                <w:rFonts w:ascii="Arial" w:hAnsi="Arial" w:cs="Arial"/>
                <w:sz w:val="16"/>
                <w:szCs w:val="16"/>
              </w:rPr>
            </w:pPr>
            <w:r>
              <w:rPr>
                <w:rFonts w:ascii="Arial" w:hAnsi="Arial" w:eastAsia="Arial" w:cs="Arial"/>
                <w:color w:val="000000"/>
                <w:sz w:val="16"/>
                <w:szCs w:val="16"/>
                <w:lang w:val="pt-BR" w:eastAsia="pt-BR"/>
              </w:rPr>
              <w:t xml:space="preserve">02 – Prefeitura Municipal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7F8E78AD">
            <w:pPr>
              <w:pBdr/>
              <w:spacing/>
              <w:ind/>
              <w:jc w:val="right"/>
              <w:rPr>
                <w:rFonts w:ascii="Arial" w:hAnsi="Arial" w:cs="Arial"/>
                <w:sz w:val="16"/>
                <w:szCs w:val="16"/>
              </w:rPr>
            </w:pPr>
            <w:r>
              <w:rPr>
                <w:rFonts w:ascii="Arial" w:hAnsi="Arial" w:eastAsia="Arial" w:cs="Arial"/>
                <w:color w:val="000000"/>
                <w:sz w:val="16"/>
                <w:szCs w:val="16"/>
                <w:lang w:val="pt-BR" w:eastAsia="pt-BR"/>
              </w:rPr>
              <w:t xml:space="preserve">Unidade:</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66C398CF">
            <w:pPr>
              <w:pBdr/>
              <w:spacing/>
              <w:ind/>
              <w:rPr>
                <w:rFonts w:ascii="Arial" w:hAnsi="Arial" w:cs="Arial"/>
                <w:sz w:val="16"/>
                <w:szCs w:val="16"/>
              </w:rPr>
            </w:pPr>
            <w:r>
              <w:rPr>
                <w:rFonts w:ascii="Arial" w:hAnsi="Arial" w:eastAsia="Arial" w:cs="Arial"/>
                <w:color w:val="000000"/>
                <w:sz w:val="16"/>
                <w:szCs w:val="16"/>
                <w:lang w:val="pt-BR" w:eastAsia="pt-BR"/>
              </w:rPr>
              <w:t xml:space="preserve">14 – Fundo Municipal de Saúde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5352F0F">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Funcional Programática: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623BE424">
            <w:pPr>
              <w:pBdr/>
              <w:spacing/>
              <w:ind/>
              <w:rPr>
                <w:rFonts w:ascii="Arial" w:hAnsi="Arial" w:cs="Arial"/>
                <w:sz w:val="16"/>
                <w:szCs w:val="16"/>
              </w:rPr>
            </w:pPr>
            <w:r>
              <w:rPr>
                <w:rFonts w:ascii="Arial" w:hAnsi="Arial" w:eastAsia="Arial" w:cs="Arial"/>
                <w:sz w:val="16"/>
                <w:szCs w:val="16"/>
              </w:rPr>
              <w:t xml:space="preserve">10.302.2203.2194 - MANUTENÇÃO DOS HOSPITAIS MUNICIPAIS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3F9F182F">
            <w:pPr>
              <w:pBdr/>
              <w:spacing/>
              <w:ind/>
              <w:jc w:val="right"/>
              <w:rPr>
                <w:rFonts w:ascii="Arial" w:hAnsi="Arial" w:cs="Arial"/>
                <w:sz w:val="16"/>
                <w:szCs w:val="16"/>
              </w:rPr>
            </w:pPr>
            <w:r>
              <w:rPr>
                <w:rFonts w:ascii="Arial" w:hAnsi="Arial" w:eastAsia="Arial" w:cs="Arial"/>
                <w:color w:val="000000"/>
                <w:sz w:val="16"/>
                <w:szCs w:val="16"/>
                <w:lang w:val="pt-BR" w:eastAsia="pt-BR"/>
              </w:rPr>
              <w:t xml:space="preserve">Elemento de Despesa: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616DAD8D">
            <w:pPr>
              <w:pBdr/>
              <w:spacing/>
              <w:ind/>
              <w:rPr>
                <w:rFonts w:ascii="Arial" w:hAnsi="Arial" w:cs="Arial"/>
                <w:sz w:val="16"/>
                <w:szCs w:val="16"/>
              </w:rPr>
            </w:pPr>
            <w:r>
              <w:rPr>
                <w:rFonts w:ascii="Arial" w:hAnsi="Arial" w:eastAsia="Arial" w:cs="Arial"/>
                <w:sz w:val="16"/>
                <w:szCs w:val="16"/>
              </w:rPr>
              <w:t xml:space="preserve">3.3.90.30.00.00 – MATERIAL DE CONSUMO</w:t>
            </w:r>
            <w:r>
              <w:rPr>
                <w:rFonts w:ascii="Arial" w:hAnsi="Arial" w:cs="Arial"/>
                <w:sz w:val="16"/>
                <w:szCs w:val="16"/>
              </w:rPr>
            </w:r>
            <w:r>
              <w:rPr>
                <w:rFonts w:ascii="Arial" w:hAnsi="Arial" w:cs="Arial"/>
                <w:sz w:val="16"/>
                <w:szCs w:val="16"/>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24BB173F">
            <w:pPr>
              <w:pBdr/>
              <w:spacing/>
              <w:ind/>
              <w:jc w:val="right"/>
              <w:rPr>
                <w:rFonts w:ascii="Arial" w:hAnsi="Arial" w:cs="Arial"/>
                <w:sz w:val="16"/>
                <w:szCs w:val="16"/>
              </w:rPr>
            </w:pPr>
            <w:r>
              <w:rPr>
                <w:rFonts w:ascii="Arial" w:hAnsi="Arial" w:eastAsia="Arial" w:cs="Arial"/>
                <w:color w:val="000000"/>
                <w:sz w:val="16"/>
                <w:szCs w:val="16"/>
                <w:lang w:val="pt-BR" w:eastAsia="pt-BR"/>
              </w:rPr>
              <w:t xml:space="preserve">Reduzido:</w:t>
            </w:r>
            <w:r>
              <w:rPr>
                <w:rFonts w:ascii="Arial" w:hAnsi="Arial" w:cs="Arial"/>
                <w:sz w:val="16"/>
                <w:szCs w:val="16"/>
              </w:rPr>
            </w:r>
            <w:r>
              <w:rPr>
                <w:rFonts w:ascii="Arial" w:hAnsi="Arial" w:cs="Arial"/>
                <w:sz w:val="16"/>
                <w:szCs w:val="16"/>
              </w:rPr>
            </w:r>
          </w:p>
        </w:tc>
        <w:tc>
          <w:tcPr>
            <w:tcBorders>
              <w:left w:val="single" w:color="000000" w:sz="4" w:space="0"/>
              <w:bottom w:val="single" w:color="000000" w:sz="4" w:space="0"/>
              <w:right w:val="single" w:color="000000" w:sz="4" w:space="0"/>
            </w:tcBorders>
            <w:tcW w:w="6780" w:type="dxa"/>
            <w:textDirection w:val="lrTb"/>
            <w:noWrap w:val="false"/>
          </w:tcPr>
          <w:p w14:paraId="532EEE65">
            <w:pPr>
              <w:pBdr/>
              <w:spacing/>
              <w:ind/>
              <w:rPr>
                <w:rFonts w:ascii="Arial" w:hAnsi="Arial" w:cs="Arial"/>
                <w:sz w:val="16"/>
                <w:szCs w:val="16"/>
              </w:rPr>
            </w:pPr>
            <w:r>
              <w:rPr>
                <w:rFonts w:ascii="Arial" w:hAnsi="Arial" w:eastAsia="Arial" w:cs="Arial"/>
                <w:b/>
                <w:sz w:val="16"/>
                <w:szCs w:val="16"/>
              </w:rPr>
              <w:t xml:space="preserve">636</w:t>
            </w:r>
            <w:r>
              <w:rPr>
                <w:rFonts w:ascii="Arial" w:hAnsi="Arial" w:cs="Arial"/>
                <w:sz w:val="16"/>
                <w:szCs w:val="16"/>
              </w:rPr>
            </w:r>
            <w:r>
              <w:rPr>
                <w:rFonts w:ascii="Arial" w:hAnsi="Arial" w:cs="Arial"/>
                <w:sz w:val="16"/>
                <w:szCs w:val="16"/>
              </w:rPr>
            </w:r>
          </w:p>
        </w:tc>
      </w:tr>
      <w:tr>
        <w:trPr>
          <w:jc w:val="center"/>
          <w:trHeight w:val="123"/>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786681A">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Fonte de Recurso: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0BCAFBD9">
            <w:pPr>
              <w:pBdr/>
              <w:spacing/>
              <w:ind/>
              <w:rPr>
                <w:rFonts w:ascii="Arial" w:hAnsi="Arial" w:cs="Arial"/>
                <w:sz w:val="16"/>
                <w:szCs w:val="16"/>
              </w:rPr>
            </w:pPr>
            <w:r>
              <w:rPr>
                <w:rFonts w:ascii="Arial" w:hAnsi="Arial" w:eastAsia="Arial" w:cs="Arial"/>
                <w:sz w:val="16"/>
                <w:szCs w:val="16"/>
              </w:rPr>
              <w:t xml:space="preserve">1.500.1002000</w:t>
            </w:r>
            <w:r>
              <w:rPr>
                <w:rFonts w:ascii="Arial" w:hAnsi="Arial" w:cs="Arial"/>
                <w:sz w:val="16"/>
                <w:szCs w:val="16"/>
              </w:rPr>
            </w:r>
            <w:r>
              <w:rPr>
                <w:rFonts w:ascii="Arial" w:hAnsi="Arial" w:cs="Arial"/>
                <w:sz w:val="16"/>
                <w:szCs w:val="16"/>
              </w:rPr>
            </w:r>
          </w:p>
        </w:tc>
      </w:tr>
    </w:tbl>
    <w:p w14:paraId="1306688B">
      <w:pPr>
        <w:pBdr/>
        <w:spacing/>
        <w:ind/>
        <w:jc w:val="both"/>
        <w:rPr>
          <w:rFonts w:ascii="Arial" w:hAnsi="Arial" w:cs="Arial"/>
          <w:sz w:val="16"/>
          <w:szCs w:val="16"/>
        </w:rPr>
      </w:pPr>
      <w:r>
        <w:rPr>
          <w:rFonts w:ascii="Arial" w:hAnsi="Arial" w:eastAsia="Arial" w:cs="Arial"/>
          <w:sz w:val="16"/>
          <w:szCs w:val="16"/>
        </w:rPr>
      </w:r>
      <w:r>
        <w:rPr>
          <w:rFonts w:ascii="Arial" w:hAnsi="Arial" w:cs="Arial"/>
          <w:sz w:val="16"/>
          <w:szCs w:val="16"/>
        </w:rPr>
      </w:r>
      <w:r>
        <w:rPr>
          <w:rFonts w:ascii="Arial" w:hAnsi="Arial" w:cs="Arial"/>
          <w:sz w:val="16"/>
          <w:szCs w:val="16"/>
        </w:rPr>
      </w:r>
    </w:p>
    <w:tbl>
      <w:tblPr>
        <w:jc w:val="center"/>
        <w:tblW w:w="8969" w:type="dxa"/>
        <w:tblBorders/>
        <w:tblLayout w:type="fixed"/>
        <w:tblLook w:val="04A0" w:firstRow="1" w:lastRow="0" w:firstColumn="1" w:lastColumn="0" w:noHBand="0" w:noVBand="1"/>
      </w:tblPr>
      <w:tblGrid>
        <w:gridCol w:w="2189"/>
        <w:gridCol w:w="6780"/>
      </w:tblGrid>
      <w:tr>
        <w:trPr>
          <w:jc w:val="center"/>
          <w:trHeight w:val="133"/>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70C07A52">
            <w:pPr>
              <w:pBdr/>
              <w:spacing/>
              <w:ind/>
              <w:jc w:val="center"/>
              <w:rPr>
                <w:rFonts w:ascii="Arial" w:hAnsi="Arial" w:cs="Arial"/>
                <w:sz w:val="16"/>
                <w:szCs w:val="16"/>
              </w:rPr>
            </w:pPr>
            <w:r>
              <w:rPr>
                <w:rFonts w:ascii="Arial" w:hAnsi="Arial" w:eastAsia="Arial" w:cs="Arial"/>
                <w:b/>
                <w:color w:val="000000"/>
                <w:sz w:val="16"/>
                <w:szCs w:val="16"/>
                <w:lang w:val="pt-BR" w:eastAsia="pt-BR"/>
              </w:rPr>
              <w:t xml:space="preserve">Classificação Orçamentária da Despesa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13A13B9">
            <w:pPr>
              <w:pBdr/>
              <w:spacing/>
              <w:ind/>
              <w:jc w:val="right"/>
              <w:rPr>
                <w:rFonts w:ascii="Arial" w:hAnsi="Arial" w:cs="Arial"/>
                <w:sz w:val="16"/>
                <w:szCs w:val="16"/>
              </w:rPr>
            </w:pPr>
            <w:r>
              <w:rPr>
                <w:rFonts w:ascii="Arial" w:hAnsi="Arial" w:eastAsia="Arial" w:cs="Arial"/>
                <w:color w:val="000000"/>
                <w:sz w:val="16"/>
                <w:szCs w:val="16"/>
                <w:lang w:val="pt-BR" w:eastAsia="pt-BR"/>
              </w:rPr>
              <w:t xml:space="preserve">Órgão: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30F45EDF">
            <w:pPr>
              <w:pBdr/>
              <w:spacing/>
              <w:ind/>
              <w:rPr>
                <w:rFonts w:ascii="Arial" w:hAnsi="Arial" w:cs="Arial"/>
                <w:sz w:val="16"/>
                <w:szCs w:val="16"/>
              </w:rPr>
            </w:pPr>
            <w:r>
              <w:rPr>
                <w:rFonts w:ascii="Arial" w:hAnsi="Arial" w:eastAsia="Arial" w:cs="Arial"/>
                <w:color w:val="000000"/>
                <w:sz w:val="16"/>
                <w:szCs w:val="16"/>
                <w:lang w:val="pt-BR" w:eastAsia="pt-BR"/>
              </w:rPr>
              <w:t xml:space="preserve">02 – Prefeitura Municipal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55645EC0">
            <w:pPr>
              <w:pBdr/>
              <w:spacing/>
              <w:ind/>
              <w:jc w:val="right"/>
              <w:rPr>
                <w:rFonts w:ascii="Arial" w:hAnsi="Arial" w:cs="Arial"/>
                <w:sz w:val="16"/>
                <w:szCs w:val="16"/>
              </w:rPr>
            </w:pPr>
            <w:r>
              <w:rPr>
                <w:rFonts w:ascii="Arial" w:hAnsi="Arial" w:eastAsia="Arial" w:cs="Arial"/>
                <w:color w:val="000000"/>
                <w:sz w:val="16"/>
                <w:szCs w:val="16"/>
                <w:lang w:val="pt-BR" w:eastAsia="pt-BR"/>
              </w:rPr>
              <w:t xml:space="preserve">Unidade:</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5D38B163">
            <w:pPr>
              <w:pBdr/>
              <w:spacing/>
              <w:ind/>
              <w:rPr>
                <w:rFonts w:ascii="Arial" w:hAnsi="Arial" w:cs="Arial"/>
                <w:sz w:val="16"/>
                <w:szCs w:val="16"/>
              </w:rPr>
            </w:pPr>
            <w:r>
              <w:rPr>
                <w:rFonts w:ascii="Arial" w:hAnsi="Arial" w:eastAsia="Arial" w:cs="Arial"/>
                <w:color w:val="000000"/>
                <w:sz w:val="16"/>
                <w:szCs w:val="16"/>
                <w:lang w:val="pt-BR" w:eastAsia="pt-BR"/>
              </w:rPr>
              <w:t xml:space="preserve">14 – Fundo Municipal de Saúde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5F0AAAEE">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Funcional Programática: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0AF54224">
            <w:pPr>
              <w:pBdr/>
              <w:spacing/>
              <w:ind/>
              <w:rPr>
                <w:rFonts w:ascii="Arial" w:hAnsi="Arial" w:cs="Arial"/>
                <w:sz w:val="16"/>
                <w:szCs w:val="16"/>
              </w:rPr>
            </w:pPr>
            <w:r>
              <w:rPr>
                <w:rFonts w:ascii="Arial" w:hAnsi="Arial" w:eastAsia="Arial" w:cs="Arial"/>
                <w:sz w:val="16"/>
                <w:szCs w:val="16"/>
              </w:rPr>
              <w:t xml:space="preserve">10.302.2203.2198 - MANUTENÇÃO E AMPLIAÇÃO DOS SERVIÇOS DO LABORATÓRIO CENTRAL-LACEN</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407FC67E">
            <w:pPr>
              <w:pBdr/>
              <w:spacing/>
              <w:ind/>
              <w:jc w:val="right"/>
              <w:rPr>
                <w:rFonts w:ascii="Arial" w:hAnsi="Arial" w:cs="Arial"/>
                <w:sz w:val="16"/>
                <w:szCs w:val="16"/>
              </w:rPr>
            </w:pPr>
            <w:r>
              <w:rPr>
                <w:rFonts w:ascii="Arial" w:hAnsi="Arial" w:eastAsia="Arial" w:cs="Arial"/>
                <w:color w:val="000000"/>
                <w:sz w:val="16"/>
                <w:szCs w:val="16"/>
                <w:lang w:val="pt-BR" w:eastAsia="pt-BR"/>
              </w:rPr>
              <w:t xml:space="preserve">Elemento de Despesa: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296E78E0">
            <w:pPr>
              <w:pBdr/>
              <w:spacing/>
              <w:ind/>
              <w:rPr>
                <w:rFonts w:ascii="Arial" w:hAnsi="Arial" w:cs="Arial"/>
                <w:sz w:val="16"/>
                <w:szCs w:val="16"/>
              </w:rPr>
            </w:pPr>
            <w:r>
              <w:rPr>
                <w:rFonts w:ascii="Arial" w:hAnsi="Arial" w:eastAsia="Arial" w:cs="Arial"/>
                <w:sz w:val="16"/>
                <w:szCs w:val="16"/>
              </w:rPr>
              <w:t xml:space="preserve">3.3.90.30.00.00 – MATERIAL DE CONSUMO</w:t>
            </w:r>
            <w:r>
              <w:rPr>
                <w:rFonts w:ascii="Arial" w:hAnsi="Arial" w:cs="Arial"/>
                <w:sz w:val="16"/>
                <w:szCs w:val="16"/>
              </w:rPr>
            </w:r>
            <w:r>
              <w:rPr>
                <w:rFonts w:ascii="Arial" w:hAnsi="Arial" w:cs="Arial"/>
                <w:sz w:val="16"/>
                <w:szCs w:val="16"/>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36F6ED79">
            <w:pPr>
              <w:pBdr/>
              <w:spacing/>
              <w:ind/>
              <w:jc w:val="right"/>
              <w:rPr>
                <w:rFonts w:ascii="Arial" w:hAnsi="Arial" w:cs="Arial"/>
                <w:sz w:val="16"/>
                <w:szCs w:val="16"/>
              </w:rPr>
            </w:pPr>
            <w:r>
              <w:rPr>
                <w:rFonts w:ascii="Arial" w:hAnsi="Arial" w:eastAsia="Arial" w:cs="Arial"/>
                <w:color w:val="000000"/>
                <w:sz w:val="16"/>
                <w:szCs w:val="16"/>
                <w:lang w:val="pt-BR" w:eastAsia="pt-BR"/>
              </w:rPr>
              <w:t xml:space="preserve">Reduzido:</w:t>
            </w:r>
            <w:r>
              <w:rPr>
                <w:rFonts w:ascii="Arial" w:hAnsi="Arial" w:cs="Arial"/>
                <w:sz w:val="16"/>
                <w:szCs w:val="16"/>
              </w:rPr>
            </w:r>
            <w:r>
              <w:rPr>
                <w:rFonts w:ascii="Arial" w:hAnsi="Arial" w:cs="Arial"/>
                <w:sz w:val="16"/>
                <w:szCs w:val="16"/>
              </w:rPr>
            </w:r>
          </w:p>
        </w:tc>
        <w:tc>
          <w:tcPr>
            <w:tcBorders>
              <w:left w:val="single" w:color="000000" w:sz="4" w:space="0"/>
              <w:bottom w:val="single" w:color="000000" w:sz="4" w:space="0"/>
              <w:right w:val="single" w:color="000000" w:sz="4" w:space="0"/>
            </w:tcBorders>
            <w:tcW w:w="6780" w:type="dxa"/>
            <w:textDirection w:val="lrTb"/>
            <w:noWrap w:val="false"/>
          </w:tcPr>
          <w:p w14:paraId="00773FD9">
            <w:pPr>
              <w:pBdr/>
              <w:spacing/>
              <w:ind/>
              <w:rPr>
                <w:rFonts w:ascii="Arial" w:hAnsi="Arial" w:cs="Arial"/>
                <w:sz w:val="16"/>
                <w:szCs w:val="16"/>
              </w:rPr>
            </w:pPr>
            <w:r>
              <w:rPr>
                <w:rFonts w:ascii="Arial" w:hAnsi="Arial" w:eastAsia="Arial" w:cs="Arial"/>
                <w:b/>
                <w:sz w:val="16"/>
                <w:szCs w:val="16"/>
              </w:rPr>
              <w:t xml:space="preserve">573</w:t>
            </w:r>
            <w:r>
              <w:rPr>
                <w:rFonts w:ascii="Arial" w:hAnsi="Arial" w:cs="Arial"/>
                <w:sz w:val="16"/>
                <w:szCs w:val="16"/>
              </w:rPr>
            </w:r>
            <w:r>
              <w:rPr>
                <w:rFonts w:ascii="Arial" w:hAnsi="Arial" w:cs="Arial"/>
                <w:sz w:val="16"/>
                <w:szCs w:val="16"/>
              </w:rPr>
            </w:r>
          </w:p>
        </w:tc>
      </w:tr>
      <w:tr>
        <w:trPr>
          <w:jc w:val="center"/>
          <w:trHeight w:val="65"/>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A3CA486">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Fonte de Recurso: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7122AF2F">
            <w:pPr>
              <w:pBdr/>
              <w:spacing/>
              <w:ind/>
              <w:rPr>
                <w:rFonts w:ascii="Arial" w:hAnsi="Arial" w:cs="Arial"/>
                <w:sz w:val="16"/>
                <w:szCs w:val="16"/>
              </w:rPr>
            </w:pPr>
            <w:r>
              <w:rPr>
                <w:rFonts w:ascii="Arial" w:hAnsi="Arial" w:eastAsia="Arial" w:cs="Arial"/>
                <w:sz w:val="16"/>
                <w:szCs w:val="16"/>
              </w:rPr>
              <w:t xml:space="preserve">1.500.1002000</w:t>
            </w:r>
            <w:r>
              <w:rPr>
                <w:rFonts w:ascii="Arial" w:hAnsi="Arial" w:cs="Arial"/>
                <w:sz w:val="16"/>
                <w:szCs w:val="16"/>
              </w:rPr>
            </w:r>
            <w:r>
              <w:rPr>
                <w:rFonts w:ascii="Arial" w:hAnsi="Arial" w:cs="Arial"/>
                <w:sz w:val="16"/>
                <w:szCs w:val="16"/>
              </w:rPr>
            </w:r>
          </w:p>
        </w:tc>
      </w:tr>
    </w:tbl>
    <w:p w14:paraId="161AC517">
      <w:pPr>
        <w:pBdr/>
        <w:spacing/>
        <w:ind/>
        <w:jc w:val="both"/>
        <w:rPr>
          <w:rFonts w:ascii="Arial" w:hAnsi="Arial" w:cs="Arial"/>
          <w:sz w:val="16"/>
          <w:szCs w:val="16"/>
        </w:rPr>
      </w:pPr>
      <w:r>
        <w:rPr>
          <w:rFonts w:ascii="Arial" w:hAnsi="Arial" w:eastAsia="Arial" w:cs="Arial"/>
          <w:sz w:val="16"/>
          <w:szCs w:val="16"/>
        </w:rPr>
      </w:r>
      <w:r>
        <w:rPr>
          <w:rFonts w:ascii="Arial" w:hAnsi="Arial" w:cs="Arial"/>
          <w:sz w:val="16"/>
          <w:szCs w:val="16"/>
        </w:rPr>
      </w:r>
      <w:r>
        <w:rPr>
          <w:rFonts w:ascii="Arial" w:hAnsi="Arial" w:cs="Arial"/>
          <w:sz w:val="16"/>
          <w:szCs w:val="16"/>
        </w:rPr>
      </w:r>
    </w:p>
    <w:tbl>
      <w:tblPr>
        <w:jc w:val="center"/>
        <w:tblW w:w="8969" w:type="dxa"/>
        <w:tblBorders/>
        <w:tblLayout w:type="fixed"/>
        <w:tblLook w:val="04A0" w:firstRow="1" w:lastRow="0" w:firstColumn="1" w:lastColumn="0" w:noHBand="0" w:noVBand="1"/>
      </w:tblPr>
      <w:tblGrid>
        <w:gridCol w:w="2189"/>
        <w:gridCol w:w="6780"/>
      </w:tblGrid>
      <w:tr>
        <w:trPr>
          <w:jc w:val="center"/>
          <w:trHeight w:val="240"/>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01C142A2">
            <w:pPr>
              <w:pBdr/>
              <w:spacing/>
              <w:ind/>
              <w:jc w:val="center"/>
              <w:rPr>
                <w:rFonts w:ascii="Arial" w:hAnsi="Arial" w:cs="Arial"/>
                <w:sz w:val="16"/>
                <w:szCs w:val="16"/>
              </w:rPr>
            </w:pPr>
            <w:r>
              <w:rPr>
                <w:rFonts w:ascii="Arial" w:hAnsi="Arial" w:eastAsia="Arial" w:cs="Arial"/>
                <w:b/>
                <w:color w:val="000000"/>
                <w:sz w:val="16"/>
                <w:szCs w:val="16"/>
                <w:lang w:val="pt-BR" w:eastAsia="pt-BR"/>
              </w:rPr>
              <w:t xml:space="preserve">Classificação Orçamentária da Despesa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7364B820">
            <w:pPr>
              <w:pBdr/>
              <w:spacing/>
              <w:ind/>
              <w:jc w:val="right"/>
              <w:rPr>
                <w:rFonts w:ascii="Arial" w:hAnsi="Arial" w:cs="Arial"/>
                <w:sz w:val="16"/>
                <w:szCs w:val="16"/>
              </w:rPr>
            </w:pPr>
            <w:r>
              <w:rPr>
                <w:rFonts w:ascii="Arial" w:hAnsi="Arial" w:eastAsia="Arial" w:cs="Arial"/>
                <w:color w:val="000000"/>
                <w:sz w:val="16"/>
                <w:szCs w:val="16"/>
                <w:lang w:val="pt-BR" w:eastAsia="pt-BR"/>
              </w:rPr>
              <w:t xml:space="preserve">Órgão: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1FEB9C80">
            <w:pPr>
              <w:pBdr/>
              <w:spacing/>
              <w:ind/>
              <w:rPr>
                <w:rFonts w:ascii="Arial" w:hAnsi="Arial" w:cs="Arial"/>
                <w:sz w:val="16"/>
                <w:szCs w:val="16"/>
              </w:rPr>
            </w:pPr>
            <w:r>
              <w:rPr>
                <w:rFonts w:ascii="Arial" w:hAnsi="Arial" w:eastAsia="Arial" w:cs="Arial"/>
                <w:color w:val="000000"/>
                <w:sz w:val="16"/>
                <w:szCs w:val="16"/>
                <w:lang w:val="pt-BR" w:eastAsia="pt-BR"/>
              </w:rPr>
              <w:t xml:space="preserve">02 – Prefeitura Municipal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885D207">
            <w:pPr>
              <w:pBdr/>
              <w:spacing/>
              <w:ind/>
              <w:jc w:val="right"/>
              <w:rPr>
                <w:rFonts w:ascii="Arial" w:hAnsi="Arial" w:cs="Arial"/>
                <w:sz w:val="16"/>
                <w:szCs w:val="16"/>
              </w:rPr>
            </w:pPr>
            <w:r>
              <w:rPr>
                <w:rFonts w:ascii="Arial" w:hAnsi="Arial" w:eastAsia="Arial" w:cs="Arial"/>
                <w:color w:val="000000"/>
                <w:sz w:val="16"/>
                <w:szCs w:val="16"/>
                <w:lang w:val="pt-BR" w:eastAsia="pt-BR"/>
              </w:rPr>
              <w:t xml:space="preserve">Unidade:</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0E65D563">
            <w:pPr>
              <w:pBdr/>
              <w:spacing/>
              <w:ind/>
              <w:rPr>
                <w:rFonts w:ascii="Arial" w:hAnsi="Arial" w:cs="Arial"/>
                <w:sz w:val="16"/>
                <w:szCs w:val="16"/>
              </w:rPr>
            </w:pPr>
            <w:r>
              <w:rPr>
                <w:rFonts w:ascii="Arial" w:hAnsi="Arial" w:eastAsia="Arial" w:cs="Arial"/>
                <w:color w:val="000000"/>
                <w:sz w:val="16"/>
                <w:szCs w:val="16"/>
                <w:lang w:val="pt-BR" w:eastAsia="pt-BR"/>
              </w:rPr>
              <w:t xml:space="preserve">14 – Fundo Municipal de Saúde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5729B2D">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Funcional Programática: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25D3F706">
            <w:pPr>
              <w:pBdr/>
              <w:spacing/>
              <w:ind/>
              <w:rPr>
                <w:rFonts w:ascii="Arial" w:hAnsi="Arial" w:cs="Arial"/>
                <w:sz w:val="16"/>
                <w:szCs w:val="16"/>
              </w:rPr>
            </w:pPr>
            <w:r>
              <w:rPr>
                <w:rFonts w:ascii="Arial" w:hAnsi="Arial" w:eastAsia="Arial" w:cs="Arial"/>
                <w:sz w:val="16"/>
                <w:szCs w:val="16"/>
              </w:rPr>
              <w:t xml:space="preserve">10.302.2203.2419 - MANUTENÇÃO DO CENTRO DE ATENDIMENTO INTEGRAL À SAÚDE DA MULHER - CAISM</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990720A">
            <w:pPr>
              <w:pBdr/>
              <w:spacing/>
              <w:ind/>
              <w:jc w:val="right"/>
              <w:rPr>
                <w:rFonts w:ascii="Arial" w:hAnsi="Arial" w:cs="Arial"/>
                <w:sz w:val="16"/>
                <w:szCs w:val="16"/>
              </w:rPr>
            </w:pPr>
            <w:r>
              <w:rPr>
                <w:rFonts w:ascii="Arial" w:hAnsi="Arial" w:eastAsia="Arial" w:cs="Arial"/>
                <w:color w:val="000000"/>
                <w:sz w:val="16"/>
                <w:szCs w:val="16"/>
                <w:lang w:val="pt-BR" w:eastAsia="pt-BR"/>
              </w:rPr>
              <w:t xml:space="preserve">Elemento de Despesa: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5865C557">
            <w:pPr>
              <w:pBdr/>
              <w:spacing/>
              <w:ind/>
              <w:rPr>
                <w:rFonts w:ascii="Arial" w:hAnsi="Arial" w:cs="Arial"/>
                <w:sz w:val="16"/>
                <w:szCs w:val="16"/>
              </w:rPr>
            </w:pPr>
            <w:r>
              <w:rPr>
                <w:rFonts w:ascii="Arial" w:hAnsi="Arial" w:eastAsia="Arial" w:cs="Arial"/>
                <w:sz w:val="16"/>
                <w:szCs w:val="16"/>
              </w:rPr>
              <w:t xml:space="preserve">3.3.90.30.00.00 – MATERIAL DE CONSUMO</w:t>
            </w:r>
            <w:r>
              <w:rPr>
                <w:rFonts w:ascii="Arial" w:hAnsi="Arial" w:cs="Arial"/>
                <w:sz w:val="16"/>
                <w:szCs w:val="16"/>
              </w:rPr>
            </w:r>
            <w:r>
              <w:rPr>
                <w:rFonts w:ascii="Arial" w:hAnsi="Arial" w:cs="Arial"/>
                <w:sz w:val="16"/>
                <w:szCs w:val="16"/>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1697033E">
            <w:pPr>
              <w:pBdr/>
              <w:spacing/>
              <w:ind/>
              <w:jc w:val="right"/>
              <w:rPr>
                <w:rFonts w:ascii="Arial" w:hAnsi="Arial" w:cs="Arial"/>
                <w:sz w:val="16"/>
                <w:szCs w:val="16"/>
              </w:rPr>
            </w:pPr>
            <w:r>
              <w:rPr>
                <w:rFonts w:ascii="Arial" w:hAnsi="Arial" w:eastAsia="Arial" w:cs="Arial"/>
                <w:color w:val="000000"/>
                <w:sz w:val="16"/>
                <w:szCs w:val="16"/>
                <w:lang w:val="pt-BR" w:eastAsia="pt-BR"/>
              </w:rPr>
              <w:t xml:space="preserve">Reduzido:</w:t>
            </w:r>
            <w:r>
              <w:rPr>
                <w:rFonts w:ascii="Arial" w:hAnsi="Arial" w:cs="Arial"/>
                <w:sz w:val="16"/>
                <w:szCs w:val="16"/>
              </w:rPr>
            </w:r>
            <w:r>
              <w:rPr>
                <w:rFonts w:ascii="Arial" w:hAnsi="Arial" w:cs="Arial"/>
                <w:sz w:val="16"/>
                <w:szCs w:val="16"/>
              </w:rPr>
            </w:r>
          </w:p>
        </w:tc>
        <w:tc>
          <w:tcPr>
            <w:tcBorders>
              <w:left w:val="single" w:color="000000" w:sz="4" w:space="0"/>
              <w:bottom w:val="single" w:color="000000" w:sz="4" w:space="0"/>
              <w:right w:val="single" w:color="000000" w:sz="4" w:space="0"/>
            </w:tcBorders>
            <w:tcW w:w="6780" w:type="dxa"/>
            <w:textDirection w:val="lrTb"/>
            <w:noWrap w:val="false"/>
          </w:tcPr>
          <w:p w14:paraId="3C0B55C2">
            <w:pPr>
              <w:pBdr/>
              <w:spacing/>
              <w:ind/>
              <w:rPr>
                <w:rFonts w:ascii="Arial" w:hAnsi="Arial" w:cs="Arial"/>
                <w:sz w:val="16"/>
                <w:szCs w:val="16"/>
              </w:rPr>
            </w:pPr>
            <w:r>
              <w:rPr>
                <w:rFonts w:ascii="Arial" w:hAnsi="Arial" w:eastAsia="Arial" w:cs="Arial"/>
                <w:b/>
                <w:sz w:val="16"/>
                <w:szCs w:val="16"/>
              </w:rPr>
              <w:t xml:space="preserve">643</w:t>
            </w:r>
            <w:r>
              <w:rPr>
                <w:rFonts w:ascii="Arial" w:hAnsi="Arial" w:cs="Arial"/>
                <w:sz w:val="16"/>
                <w:szCs w:val="16"/>
              </w:rPr>
            </w:r>
            <w:r>
              <w:rPr>
                <w:rFonts w:ascii="Arial" w:hAnsi="Arial" w:cs="Arial"/>
                <w:sz w:val="16"/>
                <w:szCs w:val="16"/>
              </w:rPr>
            </w:r>
          </w:p>
        </w:tc>
      </w:tr>
      <w:tr>
        <w:trPr>
          <w:jc w:val="center"/>
          <w:trHeight w:val="253"/>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22E896FE">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Fonte de Recurso: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717A269F">
            <w:pPr>
              <w:pBdr/>
              <w:spacing/>
              <w:ind/>
              <w:rPr>
                <w:rFonts w:ascii="Arial" w:hAnsi="Arial" w:cs="Arial"/>
                <w:sz w:val="16"/>
                <w:szCs w:val="16"/>
              </w:rPr>
            </w:pPr>
            <w:r>
              <w:rPr>
                <w:rFonts w:ascii="Arial" w:hAnsi="Arial" w:eastAsia="Arial" w:cs="Arial"/>
                <w:sz w:val="16"/>
                <w:szCs w:val="16"/>
              </w:rPr>
              <w:t xml:space="preserve">1.500.1002000</w:t>
            </w:r>
            <w:r>
              <w:rPr>
                <w:rFonts w:ascii="Arial" w:hAnsi="Arial" w:cs="Arial"/>
                <w:sz w:val="16"/>
                <w:szCs w:val="16"/>
              </w:rPr>
            </w:r>
            <w:r>
              <w:rPr>
                <w:rFonts w:ascii="Arial" w:hAnsi="Arial" w:cs="Arial"/>
                <w:sz w:val="16"/>
                <w:szCs w:val="16"/>
              </w:rPr>
            </w:r>
          </w:p>
        </w:tc>
      </w:tr>
    </w:tbl>
    <w:p w14:paraId="57582674">
      <w:pPr>
        <w:pBdr/>
        <w:spacing/>
        <w:ind/>
        <w:jc w:val="both"/>
        <w:rPr>
          <w:rFonts w:ascii="Arial" w:hAnsi="Arial" w:cs="Arial"/>
          <w:sz w:val="16"/>
          <w:szCs w:val="16"/>
        </w:rPr>
      </w:pPr>
      <w:r>
        <w:rPr>
          <w:rFonts w:ascii="Arial" w:hAnsi="Arial" w:eastAsia="Arial" w:cs="Arial"/>
          <w:sz w:val="16"/>
          <w:szCs w:val="16"/>
        </w:rPr>
      </w:r>
      <w:r>
        <w:rPr>
          <w:rFonts w:ascii="Arial" w:hAnsi="Arial" w:cs="Arial"/>
          <w:sz w:val="16"/>
          <w:szCs w:val="16"/>
        </w:rPr>
      </w:r>
      <w:r>
        <w:rPr>
          <w:rFonts w:ascii="Arial" w:hAnsi="Arial" w:cs="Arial"/>
          <w:sz w:val="16"/>
          <w:szCs w:val="16"/>
        </w:rPr>
      </w:r>
    </w:p>
    <w:tbl>
      <w:tblPr>
        <w:jc w:val="center"/>
        <w:tblW w:w="8969" w:type="dxa"/>
        <w:tblBorders/>
        <w:tblLayout w:type="fixed"/>
        <w:tblLook w:val="04A0" w:firstRow="1" w:lastRow="0" w:firstColumn="1" w:lastColumn="0" w:noHBand="0" w:noVBand="1"/>
      </w:tblPr>
      <w:tblGrid>
        <w:gridCol w:w="2189"/>
        <w:gridCol w:w="6780"/>
      </w:tblGrid>
      <w:tr>
        <w:trPr>
          <w:jc w:val="center"/>
          <w:trHeight w:val="79"/>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51923ED7">
            <w:pPr>
              <w:pBdr/>
              <w:spacing/>
              <w:ind/>
              <w:jc w:val="center"/>
              <w:rPr>
                <w:rFonts w:ascii="Arial" w:hAnsi="Arial" w:cs="Arial"/>
                <w:sz w:val="16"/>
                <w:szCs w:val="16"/>
              </w:rPr>
            </w:pPr>
            <w:r>
              <w:rPr>
                <w:rFonts w:ascii="Arial" w:hAnsi="Arial" w:eastAsia="Arial" w:cs="Arial"/>
                <w:b/>
                <w:color w:val="000000"/>
                <w:sz w:val="16"/>
                <w:szCs w:val="16"/>
                <w:lang w:val="pt-BR" w:eastAsia="pt-BR"/>
              </w:rPr>
              <w:t xml:space="preserve">Classificação Orçamentária da Despesa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9A38B3A">
            <w:pPr>
              <w:pBdr/>
              <w:spacing/>
              <w:ind/>
              <w:jc w:val="right"/>
              <w:rPr>
                <w:rFonts w:ascii="Arial" w:hAnsi="Arial" w:cs="Arial"/>
                <w:sz w:val="16"/>
                <w:szCs w:val="16"/>
              </w:rPr>
            </w:pPr>
            <w:r>
              <w:rPr>
                <w:rFonts w:ascii="Arial" w:hAnsi="Arial" w:eastAsia="Arial" w:cs="Arial"/>
                <w:color w:val="000000"/>
                <w:sz w:val="16"/>
                <w:szCs w:val="16"/>
                <w:lang w:val="pt-BR" w:eastAsia="pt-BR"/>
              </w:rPr>
              <w:t xml:space="preserve">Órgão: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6E17AD14">
            <w:pPr>
              <w:pBdr/>
              <w:spacing/>
              <w:ind/>
              <w:rPr>
                <w:rFonts w:ascii="Arial" w:hAnsi="Arial" w:cs="Arial"/>
                <w:sz w:val="16"/>
                <w:szCs w:val="16"/>
              </w:rPr>
            </w:pPr>
            <w:r>
              <w:rPr>
                <w:rFonts w:ascii="Arial" w:hAnsi="Arial" w:eastAsia="Arial" w:cs="Arial"/>
                <w:color w:val="000000"/>
                <w:sz w:val="16"/>
                <w:szCs w:val="16"/>
                <w:lang w:val="pt-BR" w:eastAsia="pt-BR"/>
              </w:rPr>
              <w:t xml:space="preserve">02 – Prefeitura Municipal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5C3099BD">
            <w:pPr>
              <w:pBdr/>
              <w:spacing/>
              <w:ind/>
              <w:jc w:val="right"/>
              <w:rPr>
                <w:rFonts w:ascii="Arial" w:hAnsi="Arial" w:cs="Arial"/>
                <w:sz w:val="16"/>
                <w:szCs w:val="16"/>
              </w:rPr>
            </w:pPr>
            <w:r>
              <w:rPr>
                <w:rFonts w:ascii="Arial" w:hAnsi="Arial" w:eastAsia="Arial" w:cs="Arial"/>
                <w:color w:val="000000"/>
                <w:sz w:val="16"/>
                <w:szCs w:val="16"/>
                <w:lang w:val="pt-BR" w:eastAsia="pt-BR"/>
              </w:rPr>
              <w:t xml:space="preserve">Unidade:</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55F91981">
            <w:pPr>
              <w:pBdr/>
              <w:spacing/>
              <w:ind/>
              <w:rPr>
                <w:rFonts w:ascii="Arial" w:hAnsi="Arial" w:cs="Arial"/>
                <w:sz w:val="16"/>
                <w:szCs w:val="16"/>
              </w:rPr>
            </w:pPr>
            <w:r>
              <w:rPr>
                <w:rFonts w:ascii="Arial" w:hAnsi="Arial" w:eastAsia="Arial" w:cs="Arial"/>
                <w:color w:val="000000"/>
                <w:sz w:val="16"/>
                <w:szCs w:val="16"/>
                <w:lang w:val="pt-BR" w:eastAsia="pt-BR"/>
              </w:rPr>
              <w:t xml:space="preserve">14 – Fundo Municipal de Saúde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3033FEFE">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Funcional Programática: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52D201B3">
            <w:pPr>
              <w:pBdr/>
              <w:spacing/>
              <w:ind/>
              <w:rPr>
                <w:rFonts w:ascii="Arial" w:hAnsi="Arial" w:cs="Arial"/>
                <w:sz w:val="16"/>
                <w:szCs w:val="16"/>
              </w:rPr>
            </w:pPr>
            <w:r>
              <w:rPr>
                <w:rFonts w:ascii="Arial" w:hAnsi="Arial" w:eastAsia="Arial" w:cs="Arial"/>
                <w:sz w:val="16"/>
                <w:szCs w:val="16"/>
              </w:rPr>
              <w:t xml:space="preserve">10.302.2203.2421 - MANUTENÇÃO E CONSERVAÇÃO DO CENTRO DE ESPECIALIDADES DE APOIO E DIAGNÓSTICO ALBERT SABIN- CEADAS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488DF7CA">
            <w:pPr>
              <w:pBdr/>
              <w:spacing/>
              <w:ind/>
              <w:jc w:val="right"/>
              <w:rPr>
                <w:rFonts w:ascii="Arial" w:hAnsi="Arial" w:cs="Arial"/>
                <w:sz w:val="16"/>
                <w:szCs w:val="16"/>
              </w:rPr>
            </w:pPr>
            <w:r>
              <w:rPr>
                <w:rFonts w:ascii="Arial" w:hAnsi="Arial" w:eastAsia="Arial" w:cs="Arial"/>
                <w:color w:val="000000"/>
                <w:sz w:val="16"/>
                <w:szCs w:val="16"/>
                <w:lang w:val="pt-BR" w:eastAsia="pt-BR"/>
              </w:rPr>
              <w:t xml:space="preserve">Elemento de Despesa: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49E6572B">
            <w:pPr>
              <w:pBdr/>
              <w:spacing/>
              <w:ind/>
              <w:rPr>
                <w:rFonts w:ascii="Arial" w:hAnsi="Arial" w:cs="Arial"/>
                <w:sz w:val="16"/>
                <w:szCs w:val="16"/>
              </w:rPr>
            </w:pPr>
            <w:r>
              <w:rPr>
                <w:rFonts w:ascii="Arial" w:hAnsi="Arial" w:eastAsia="Arial" w:cs="Arial"/>
                <w:sz w:val="16"/>
                <w:szCs w:val="16"/>
              </w:rPr>
              <w:t xml:space="preserve">3.3.90.30.00.00 – MATERIAL DE CONSUMO</w:t>
            </w:r>
            <w:r>
              <w:rPr>
                <w:rFonts w:ascii="Arial" w:hAnsi="Arial" w:cs="Arial"/>
                <w:sz w:val="16"/>
                <w:szCs w:val="16"/>
              </w:rPr>
            </w:r>
            <w:r>
              <w:rPr>
                <w:rFonts w:ascii="Arial" w:hAnsi="Arial" w:cs="Arial"/>
                <w:sz w:val="16"/>
                <w:szCs w:val="16"/>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6DEA4D6E">
            <w:pPr>
              <w:pBdr/>
              <w:spacing/>
              <w:ind/>
              <w:jc w:val="right"/>
              <w:rPr>
                <w:rFonts w:ascii="Arial" w:hAnsi="Arial" w:cs="Arial"/>
                <w:sz w:val="16"/>
                <w:szCs w:val="16"/>
              </w:rPr>
            </w:pPr>
            <w:r>
              <w:rPr>
                <w:rFonts w:ascii="Arial" w:hAnsi="Arial" w:eastAsia="Arial" w:cs="Arial"/>
                <w:color w:val="000000"/>
                <w:sz w:val="16"/>
                <w:szCs w:val="16"/>
                <w:lang w:val="pt-BR" w:eastAsia="pt-BR"/>
              </w:rPr>
              <w:t xml:space="preserve">Reduzido:</w:t>
            </w:r>
            <w:r>
              <w:rPr>
                <w:rFonts w:ascii="Arial" w:hAnsi="Arial" w:cs="Arial"/>
                <w:sz w:val="16"/>
                <w:szCs w:val="16"/>
              </w:rPr>
            </w:r>
            <w:r>
              <w:rPr>
                <w:rFonts w:ascii="Arial" w:hAnsi="Arial" w:cs="Arial"/>
                <w:sz w:val="16"/>
                <w:szCs w:val="16"/>
              </w:rPr>
            </w:r>
          </w:p>
        </w:tc>
        <w:tc>
          <w:tcPr>
            <w:tcBorders>
              <w:left w:val="single" w:color="000000" w:sz="4" w:space="0"/>
              <w:bottom w:val="single" w:color="000000" w:sz="4" w:space="0"/>
              <w:right w:val="single" w:color="000000" w:sz="4" w:space="0"/>
            </w:tcBorders>
            <w:tcW w:w="6780" w:type="dxa"/>
            <w:textDirection w:val="lrTb"/>
            <w:noWrap w:val="false"/>
          </w:tcPr>
          <w:p w14:paraId="735C5BB5">
            <w:pPr>
              <w:pBdr/>
              <w:spacing/>
              <w:ind/>
              <w:rPr>
                <w:rFonts w:ascii="Arial" w:hAnsi="Arial" w:cs="Arial"/>
                <w:sz w:val="16"/>
                <w:szCs w:val="16"/>
              </w:rPr>
            </w:pPr>
            <w:r>
              <w:rPr>
                <w:rFonts w:ascii="Arial" w:hAnsi="Arial" w:eastAsia="Arial" w:cs="Arial"/>
                <w:b/>
                <w:sz w:val="16"/>
                <w:szCs w:val="16"/>
              </w:rPr>
              <w:t xml:space="preserve">544</w:t>
            </w:r>
            <w:r>
              <w:rPr>
                <w:rFonts w:ascii="Arial" w:hAnsi="Arial" w:cs="Arial"/>
                <w:sz w:val="16"/>
                <w:szCs w:val="16"/>
              </w:rPr>
            </w:r>
            <w:r>
              <w:rPr>
                <w:rFonts w:ascii="Arial" w:hAnsi="Arial" w:cs="Arial"/>
                <w:sz w:val="16"/>
                <w:szCs w:val="16"/>
              </w:rPr>
            </w:r>
          </w:p>
        </w:tc>
      </w:tr>
      <w:tr>
        <w:trPr>
          <w:jc w:val="center"/>
          <w:trHeight w:val="198"/>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341FE58E">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Fonte de Recurso: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76164FD0">
            <w:pPr>
              <w:pBdr/>
              <w:spacing/>
              <w:ind/>
              <w:rPr>
                <w:rFonts w:ascii="Arial" w:hAnsi="Arial" w:cs="Arial"/>
                <w:sz w:val="16"/>
                <w:szCs w:val="16"/>
              </w:rPr>
            </w:pPr>
            <w:r>
              <w:rPr>
                <w:rFonts w:ascii="Arial" w:hAnsi="Arial" w:eastAsia="Arial" w:cs="Arial"/>
                <w:sz w:val="16"/>
                <w:szCs w:val="16"/>
              </w:rPr>
              <w:t xml:space="preserve">1.500.1002000</w:t>
            </w:r>
            <w:r>
              <w:rPr>
                <w:rFonts w:ascii="Arial" w:hAnsi="Arial" w:cs="Arial"/>
                <w:sz w:val="16"/>
                <w:szCs w:val="16"/>
              </w:rPr>
            </w:r>
            <w:r>
              <w:rPr>
                <w:rFonts w:ascii="Arial" w:hAnsi="Arial" w:cs="Arial"/>
                <w:sz w:val="16"/>
                <w:szCs w:val="16"/>
              </w:rPr>
            </w:r>
          </w:p>
        </w:tc>
      </w:tr>
    </w:tbl>
    <w:p w14:paraId="7991604B">
      <w:pPr>
        <w:pBdr/>
        <w:spacing/>
        <w:ind/>
        <w:jc w:val="both"/>
        <w:rPr>
          <w:rFonts w:ascii="Arial" w:hAnsi="Arial" w:cs="Arial"/>
          <w:sz w:val="16"/>
          <w:szCs w:val="16"/>
        </w:rPr>
      </w:pPr>
      <w:r>
        <w:rPr>
          <w:rFonts w:ascii="Arial" w:hAnsi="Arial" w:eastAsia="Arial" w:cs="Arial"/>
          <w:sz w:val="16"/>
          <w:szCs w:val="16"/>
        </w:rPr>
      </w:r>
      <w:r>
        <w:rPr>
          <w:rFonts w:ascii="Arial" w:hAnsi="Arial" w:cs="Arial"/>
          <w:sz w:val="16"/>
          <w:szCs w:val="16"/>
        </w:rPr>
      </w:r>
      <w:r>
        <w:rPr>
          <w:rFonts w:ascii="Arial" w:hAnsi="Arial" w:cs="Arial"/>
          <w:sz w:val="16"/>
          <w:szCs w:val="16"/>
        </w:rPr>
      </w:r>
    </w:p>
    <w:tbl>
      <w:tblPr>
        <w:jc w:val="center"/>
        <w:tblW w:w="8969" w:type="dxa"/>
        <w:tblBorders/>
        <w:tblLayout w:type="fixed"/>
        <w:tblLook w:val="04A0" w:firstRow="1" w:lastRow="0" w:firstColumn="1" w:lastColumn="0" w:noHBand="0" w:noVBand="1"/>
      </w:tblPr>
      <w:tblGrid>
        <w:gridCol w:w="2189"/>
        <w:gridCol w:w="6780"/>
      </w:tblGrid>
      <w:tr>
        <w:trPr>
          <w:jc w:val="center"/>
          <w:trHeight w:val="221"/>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35BF7DAD">
            <w:pPr>
              <w:pBdr/>
              <w:spacing/>
              <w:ind/>
              <w:jc w:val="center"/>
              <w:rPr>
                <w:rFonts w:ascii="Arial" w:hAnsi="Arial" w:cs="Arial"/>
                <w:sz w:val="16"/>
                <w:szCs w:val="16"/>
              </w:rPr>
            </w:pPr>
            <w:r>
              <w:rPr>
                <w:rFonts w:ascii="Arial" w:hAnsi="Arial" w:eastAsia="Arial" w:cs="Arial"/>
                <w:b/>
                <w:color w:val="000000"/>
                <w:sz w:val="16"/>
                <w:szCs w:val="16"/>
                <w:lang w:val="pt-BR" w:eastAsia="pt-BR"/>
              </w:rPr>
              <w:t xml:space="preserve">Classificação Orçamentária da Despesa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CA721B7">
            <w:pPr>
              <w:pBdr/>
              <w:spacing/>
              <w:ind/>
              <w:jc w:val="right"/>
              <w:rPr>
                <w:rFonts w:ascii="Arial" w:hAnsi="Arial" w:cs="Arial"/>
                <w:sz w:val="16"/>
                <w:szCs w:val="16"/>
              </w:rPr>
            </w:pPr>
            <w:r>
              <w:rPr>
                <w:rFonts w:ascii="Arial" w:hAnsi="Arial" w:eastAsia="Arial" w:cs="Arial"/>
                <w:color w:val="000000"/>
                <w:sz w:val="16"/>
                <w:szCs w:val="16"/>
                <w:lang w:val="pt-BR" w:eastAsia="pt-BR"/>
              </w:rPr>
              <w:t xml:space="preserve">Órgão: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59162E30">
            <w:pPr>
              <w:pBdr/>
              <w:spacing/>
              <w:ind/>
              <w:rPr>
                <w:rFonts w:ascii="Arial" w:hAnsi="Arial" w:cs="Arial"/>
                <w:sz w:val="16"/>
                <w:szCs w:val="16"/>
              </w:rPr>
            </w:pPr>
            <w:r>
              <w:rPr>
                <w:rFonts w:ascii="Arial" w:hAnsi="Arial" w:eastAsia="Arial" w:cs="Arial"/>
                <w:color w:val="000000"/>
                <w:sz w:val="16"/>
                <w:szCs w:val="16"/>
                <w:lang w:val="pt-BR" w:eastAsia="pt-BR"/>
              </w:rPr>
              <w:t xml:space="preserve">02 – Prefeitura Municipal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351B74A5">
            <w:pPr>
              <w:pBdr/>
              <w:spacing/>
              <w:ind/>
              <w:jc w:val="right"/>
              <w:rPr>
                <w:rFonts w:ascii="Arial" w:hAnsi="Arial" w:cs="Arial"/>
                <w:sz w:val="16"/>
                <w:szCs w:val="16"/>
              </w:rPr>
            </w:pPr>
            <w:r>
              <w:rPr>
                <w:rFonts w:ascii="Arial" w:hAnsi="Arial" w:eastAsia="Arial" w:cs="Arial"/>
                <w:color w:val="000000"/>
                <w:sz w:val="16"/>
                <w:szCs w:val="16"/>
                <w:lang w:val="pt-BR" w:eastAsia="pt-BR"/>
              </w:rPr>
              <w:t xml:space="preserve">Unidade:</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40607D99">
            <w:pPr>
              <w:pBdr/>
              <w:spacing/>
              <w:ind/>
              <w:rPr>
                <w:rFonts w:ascii="Arial" w:hAnsi="Arial" w:cs="Arial"/>
                <w:sz w:val="16"/>
                <w:szCs w:val="16"/>
              </w:rPr>
            </w:pPr>
            <w:r>
              <w:rPr>
                <w:rFonts w:ascii="Arial" w:hAnsi="Arial" w:eastAsia="Arial" w:cs="Arial"/>
                <w:color w:val="000000"/>
                <w:sz w:val="16"/>
                <w:szCs w:val="16"/>
                <w:lang w:val="pt-BR" w:eastAsia="pt-BR"/>
              </w:rPr>
              <w:t xml:space="preserve">14 – Fundo Municipal de Saúde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641266BB">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Funcional Programática: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78D9F7F3">
            <w:pPr>
              <w:pBdr/>
              <w:spacing/>
              <w:ind/>
              <w:rPr>
                <w:rFonts w:ascii="Arial" w:hAnsi="Arial" w:cs="Arial"/>
                <w:sz w:val="16"/>
                <w:szCs w:val="16"/>
              </w:rPr>
            </w:pPr>
            <w:r>
              <w:rPr>
                <w:rFonts w:ascii="Arial" w:hAnsi="Arial" w:eastAsia="Arial" w:cs="Arial"/>
                <w:sz w:val="16"/>
                <w:szCs w:val="16"/>
              </w:rPr>
              <w:t xml:space="preserve">10.302.2203. 2487 - MANUTENÇÃO DOS SERVIÇOS DE URGÊNCIA E EMERGÊNCIA - UPA 24 HORAS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685CF2D8">
            <w:pPr>
              <w:pBdr/>
              <w:spacing/>
              <w:ind/>
              <w:jc w:val="right"/>
              <w:rPr>
                <w:rFonts w:ascii="Arial" w:hAnsi="Arial" w:cs="Arial"/>
                <w:sz w:val="16"/>
                <w:szCs w:val="16"/>
              </w:rPr>
            </w:pPr>
            <w:r>
              <w:rPr>
                <w:rFonts w:ascii="Arial" w:hAnsi="Arial" w:eastAsia="Arial" w:cs="Arial"/>
                <w:color w:val="000000"/>
                <w:sz w:val="16"/>
                <w:szCs w:val="16"/>
                <w:lang w:val="pt-BR" w:eastAsia="pt-BR"/>
              </w:rPr>
              <w:t xml:space="preserve">Elemento de Despesa: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7BCB628E">
            <w:pPr>
              <w:pBdr/>
              <w:spacing/>
              <w:ind/>
              <w:rPr>
                <w:rFonts w:ascii="Arial" w:hAnsi="Arial" w:cs="Arial"/>
                <w:sz w:val="16"/>
                <w:szCs w:val="16"/>
              </w:rPr>
            </w:pPr>
            <w:r>
              <w:rPr>
                <w:rFonts w:ascii="Arial" w:hAnsi="Arial" w:eastAsia="Arial" w:cs="Arial"/>
                <w:sz w:val="16"/>
                <w:szCs w:val="16"/>
              </w:rPr>
              <w:t xml:space="preserve">3.3.90.30.00.00 – MATERIAL DE CONSUMO</w:t>
            </w:r>
            <w:r>
              <w:rPr>
                <w:rFonts w:ascii="Arial" w:hAnsi="Arial" w:cs="Arial"/>
                <w:sz w:val="16"/>
                <w:szCs w:val="16"/>
              </w:rPr>
            </w:r>
            <w:r>
              <w:rPr>
                <w:rFonts w:ascii="Arial" w:hAnsi="Arial" w:cs="Arial"/>
                <w:sz w:val="16"/>
                <w:szCs w:val="16"/>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3D48F0F3">
            <w:pPr>
              <w:pBdr/>
              <w:spacing/>
              <w:ind/>
              <w:jc w:val="right"/>
              <w:rPr>
                <w:rFonts w:ascii="Arial" w:hAnsi="Arial" w:cs="Arial"/>
                <w:sz w:val="16"/>
                <w:szCs w:val="16"/>
              </w:rPr>
            </w:pPr>
            <w:r>
              <w:rPr>
                <w:rFonts w:ascii="Arial" w:hAnsi="Arial" w:eastAsia="Arial" w:cs="Arial"/>
                <w:color w:val="000000"/>
                <w:sz w:val="16"/>
                <w:szCs w:val="16"/>
                <w:lang w:val="pt-BR" w:eastAsia="pt-BR"/>
              </w:rPr>
              <w:t xml:space="preserve">Reduzido:</w:t>
            </w:r>
            <w:r>
              <w:rPr>
                <w:rFonts w:ascii="Arial" w:hAnsi="Arial" w:cs="Arial"/>
                <w:sz w:val="16"/>
                <w:szCs w:val="16"/>
              </w:rPr>
            </w:r>
            <w:r>
              <w:rPr>
                <w:rFonts w:ascii="Arial" w:hAnsi="Arial" w:cs="Arial"/>
                <w:sz w:val="16"/>
                <w:szCs w:val="16"/>
              </w:rPr>
            </w:r>
          </w:p>
        </w:tc>
        <w:tc>
          <w:tcPr>
            <w:tcBorders>
              <w:left w:val="single" w:color="000000" w:sz="4" w:space="0"/>
              <w:bottom w:val="single" w:color="000000" w:sz="4" w:space="0"/>
              <w:right w:val="single" w:color="000000" w:sz="4" w:space="0"/>
            </w:tcBorders>
            <w:tcW w:w="6780" w:type="dxa"/>
            <w:textDirection w:val="lrTb"/>
            <w:noWrap w:val="false"/>
          </w:tcPr>
          <w:p w14:paraId="51DE40C7">
            <w:pPr>
              <w:pBdr/>
              <w:spacing/>
              <w:ind/>
              <w:rPr>
                <w:rFonts w:ascii="Arial" w:hAnsi="Arial" w:cs="Arial"/>
                <w:sz w:val="16"/>
                <w:szCs w:val="16"/>
              </w:rPr>
            </w:pPr>
            <w:r>
              <w:rPr>
                <w:rFonts w:ascii="Arial" w:hAnsi="Arial" w:eastAsia="Arial" w:cs="Arial"/>
                <w:b/>
                <w:sz w:val="16"/>
                <w:szCs w:val="16"/>
              </w:rPr>
              <w:t xml:space="preserve">612</w:t>
            </w:r>
            <w:r>
              <w:rPr>
                <w:rFonts w:ascii="Arial" w:hAnsi="Arial" w:cs="Arial"/>
                <w:sz w:val="16"/>
                <w:szCs w:val="16"/>
              </w:rPr>
            </w:r>
            <w:r>
              <w:rPr>
                <w:rFonts w:ascii="Arial" w:hAnsi="Arial" w:cs="Arial"/>
                <w:sz w:val="16"/>
                <w:szCs w:val="16"/>
              </w:rPr>
            </w:r>
          </w:p>
        </w:tc>
      </w:tr>
      <w:tr>
        <w:trPr>
          <w:jc w:val="center"/>
          <w:trHeight w:val="112"/>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45667025">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Fonte de Recurso: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06D17D0F">
            <w:pPr>
              <w:pBdr/>
              <w:spacing/>
              <w:ind/>
              <w:rPr>
                <w:rFonts w:ascii="Arial" w:hAnsi="Arial" w:cs="Arial"/>
                <w:sz w:val="16"/>
                <w:szCs w:val="16"/>
              </w:rPr>
            </w:pPr>
            <w:r>
              <w:rPr>
                <w:rFonts w:ascii="Arial" w:hAnsi="Arial" w:eastAsia="Arial" w:cs="Arial"/>
                <w:sz w:val="16"/>
                <w:szCs w:val="16"/>
              </w:rPr>
              <w:t xml:space="preserve">1.500.1002000</w:t>
            </w:r>
            <w:r>
              <w:rPr>
                <w:rFonts w:ascii="Arial" w:hAnsi="Arial" w:cs="Arial"/>
                <w:sz w:val="16"/>
                <w:szCs w:val="16"/>
              </w:rPr>
            </w:r>
            <w:r>
              <w:rPr>
                <w:rFonts w:ascii="Arial" w:hAnsi="Arial" w:cs="Arial"/>
                <w:sz w:val="16"/>
                <w:szCs w:val="16"/>
              </w:rPr>
            </w:r>
          </w:p>
        </w:tc>
      </w:tr>
    </w:tbl>
    <w:p w14:paraId="4D6E0A1F">
      <w:pPr>
        <w:pBdr/>
        <w:spacing/>
        <w:ind/>
        <w:jc w:val="both"/>
        <w:rPr>
          <w:rFonts w:ascii="Arial" w:hAnsi="Arial" w:cs="Arial"/>
          <w:sz w:val="16"/>
          <w:szCs w:val="16"/>
        </w:rPr>
      </w:pPr>
      <w:r>
        <w:rPr>
          <w:rFonts w:ascii="Arial" w:hAnsi="Arial" w:eastAsia="Arial" w:cs="Arial"/>
          <w:sz w:val="16"/>
          <w:szCs w:val="16"/>
        </w:rPr>
      </w:r>
      <w:r>
        <w:rPr>
          <w:rFonts w:ascii="Arial" w:hAnsi="Arial" w:cs="Arial"/>
          <w:sz w:val="16"/>
          <w:szCs w:val="16"/>
        </w:rPr>
      </w:r>
      <w:r>
        <w:rPr>
          <w:rFonts w:ascii="Arial" w:hAnsi="Arial" w:cs="Arial"/>
          <w:sz w:val="16"/>
          <w:szCs w:val="16"/>
        </w:rPr>
      </w:r>
    </w:p>
    <w:tbl>
      <w:tblPr>
        <w:jc w:val="center"/>
        <w:tblW w:w="8969" w:type="dxa"/>
        <w:tblBorders/>
        <w:tblLayout w:type="fixed"/>
        <w:tblLook w:val="04A0" w:firstRow="1" w:lastRow="0" w:firstColumn="1" w:lastColumn="0" w:noHBand="0" w:noVBand="1"/>
      </w:tblPr>
      <w:tblGrid>
        <w:gridCol w:w="2189"/>
        <w:gridCol w:w="6780"/>
      </w:tblGrid>
      <w:tr>
        <w:trPr>
          <w:jc w:val="center"/>
          <w:trHeight w:val="149"/>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64F5099A">
            <w:pPr>
              <w:pBdr/>
              <w:spacing/>
              <w:ind/>
              <w:jc w:val="center"/>
              <w:rPr>
                <w:rFonts w:ascii="Arial" w:hAnsi="Arial" w:cs="Arial"/>
                <w:sz w:val="16"/>
                <w:szCs w:val="16"/>
              </w:rPr>
            </w:pPr>
            <w:r>
              <w:rPr>
                <w:rFonts w:ascii="Arial" w:hAnsi="Arial" w:eastAsia="Arial" w:cs="Arial"/>
                <w:b/>
                <w:color w:val="000000"/>
                <w:sz w:val="16"/>
                <w:szCs w:val="16"/>
                <w:lang w:val="pt-BR" w:eastAsia="pt-BR"/>
              </w:rPr>
              <w:t xml:space="preserve">Classificação Orçamentária da Despesa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553B6D13">
            <w:pPr>
              <w:pBdr/>
              <w:spacing/>
              <w:ind/>
              <w:jc w:val="right"/>
              <w:rPr>
                <w:rFonts w:ascii="Arial" w:hAnsi="Arial" w:cs="Arial"/>
                <w:sz w:val="16"/>
                <w:szCs w:val="16"/>
              </w:rPr>
            </w:pPr>
            <w:r>
              <w:rPr>
                <w:rFonts w:ascii="Arial" w:hAnsi="Arial" w:eastAsia="Arial" w:cs="Arial"/>
                <w:color w:val="000000"/>
                <w:sz w:val="16"/>
                <w:szCs w:val="16"/>
                <w:lang w:val="pt-BR" w:eastAsia="pt-BR"/>
              </w:rPr>
              <w:t xml:space="preserve">Órgão: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57D6007C">
            <w:pPr>
              <w:pBdr/>
              <w:spacing/>
              <w:ind/>
              <w:rPr>
                <w:rFonts w:ascii="Arial" w:hAnsi="Arial" w:cs="Arial"/>
                <w:sz w:val="16"/>
                <w:szCs w:val="16"/>
              </w:rPr>
            </w:pPr>
            <w:r>
              <w:rPr>
                <w:rFonts w:ascii="Arial" w:hAnsi="Arial" w:eastAsia="Arial" w:cs="Arial"/>
                <w:color w:val="000000"/>
                <w:sz w:val="16"/>
                <w:szCs w:val="16"/>
                <w:lang w:val="pt-BR" w:eastAsia="pt-BR"/>
              </w:rPr>
              <w:t xml:space="preserve">02 – Prefeitura Municipal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EA7763F">
            <w:pPr>
              <w:pBdr/>
              <w:spacing/>
              <w:ind/>
              <w:jc w:val="right"/>
              <w:rPr>
                <w:rFonts w:ascii="Arial" w:hAnsi="Arial" w:cs="Arial"/>
                <w:sz w:val="16"/>
                <w:szCs w:val="16"/>
              </w:rPr>
            </w:pPr>
            <w:r>
              <w:rPr>
                <w:rFonts w:ascii="Arial" w:hAnsi="Arial" w:eastAsia="Arial" w:cs="Arial"/>
                <w:color w:val="000000"/>
                <w:sz w:val="16"/>
                <w:szCs w:val="16"/>
                <w:lang w:val="pt-BR" w:eastAsia="pt-BR"/>
              </w:rPr>
              <w:t xml:space="preserve">Unidade:</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238E6541">
            <w:pPr>
              <w:pBdr/>
              <w:spacing/>
              <w:ind/>
              <w:rPr>
                <w:rFonts w:ascii="Arial" w:hAnsi="Arial" w:cs="Arial"/>
                <w:sz w:val="16"/>
                <w:szCs w:val="16"/>
              </w:rPr>
            </w:pPr>
            <w:r>
              <w:rPr>
                <w:rFonts w:ascii="Arial" w:hAnsi="Arial" w:eastAsia="Arial" w:cs="Arial"/>
                <w:color w:val="000000"/>
                <w:sz w:val="16"/>
                <w:szCs w:val="16"/>
                <w:lang w:val="pt-BR" w:eastAsia="pt-BR"/>
              </w:rPr>
              <w:t xml:space="preserve">14 – Fundo Municipal de Saúde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FF47336">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Funcional Programática: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4CDF22CB">
            <w:pPr>
              <w:pBdr/>
              <w:spacing/>
              <w:ind/>
              <w:rPr>
                <w:rFonts w:ascii="Arial" w:hAnsi="Arial" w:cs="Arial"/>
                <w:sz w:val="16"/>
                <w:szCs w:val="16"/>
              </w:rPr>
            </w:pPr>
            <w:r>
              <w:rPr>
                <w:rFonts w:ascii="Arial" w:hAnsi="Arial" w:eastAsia="Arial" w:cs="Arial"/>
                <w:sz w:val="16"/>
                <w:szCs w:val="16"/>
              </w:rPr>
              <w:t xml:space="preserve">10.302.2203. 2487 - MANUTENÇÃO DOS SERVIÇOS DE URGÊNCIA E EMERGÊNCIA - UPA 24 HORAS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3F81C33">
            <w:pPr>
              <w:pBdr/>
              <w:spacing/>
              <w:ind/>
              <w:jc w:val="right"/>
              <w:rPr>
                <w:rFonts w:ascii="Arial" w:hAnsi="Arial" w:cs="Arial"/>
                <w:sz w:val="16"/>
                <w:szCs w:val="16"/>
              </w:rPr>
            </w:pPr>
            <w:r>
              <w:rPr>
                <w:rFonts w:ascii="Arial" w:hAnsi="Arial" w:eastAsia="Arial" w:cs="Arial"/>
                <w:color w:val="000000"/>
                <w:sz w:val="16"/>
                <w:szCs w:val="16"/>
                <w:lang w:val="pt-BR" w:eastAsia="pt-BR"/>
              </w:rPr>
              <w:t xml:space="preserve">Elemento de Despesa: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5D07FAE9">
            <w:pPr>
              <w:pBdr/>
              <w:spacing/>
              <w:ind/>
              <w:rPr>
                <w:rFonts w:ascii="Arial" w:hAnsi="Arial" w:cs="Arial"/>
                <w:sz w:val="16"/>
                <w:szCs w:val="16"/>
              </w:rPr>
            </w:pPr>
            <w:r>
              <w:rPr>
                <w:rFonts w:ascii="Arial" w:hAnsi="Arial" w:eastAsia="Arial" w:cs="Arial"/>
                <w:sz w:val="16"/>
                <w:szCs w:val="16"/>
              </w:rPr>
              <w:t xml:space="preserve">3.3.90.30.00.00 – MATERIAL DE CONSUMO</w:t>
            </w:r>
            <w:r>
              <w:rPr>
                <w:rFonts w:ascii="Arial" w:hAnsi="Arial" w:cs="Arial"/>
                <w:sz w:val="16"/>
                <w:szCs w:val="16"/>
              </w:rPr>
            </w:r>
            <w:r>
              <w:rPr>
                <w:rFonts w:ascii="Arial" w:hAnsi="Arial" w:cs="Arial"/>
                <w:sz w:val="16"/>
                <w:szCs w:val="16"/>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41B79B61">
            <w:pPr>
              <w:pBdr/>
              <w:spacing/>
              <w:ind/>
              <w:jc w:val="right"/>
              <w:rPr>
                <w:rFonts w:ascii="Arial" w:hAnsi="Arial" w:cs="Arial"/>
                <w:sz w:val="16"/>
                <w:szCs w:val="16"/>
              </w:rPr>
            </w:pPr>
            <w:r>
              <w:rPr>
                <w:rFonts w:ascii="Arial" w:hAnsi="Arial" w:eastAsia="Arial" w:cs="Arial"/>
                <w:color w:val="000000"/>
                <w:sz w:val="16"/>
                <w:szCs w:val="16"/>
                <w:lang w:val="pt-BR" w:eastAsia="pt-BR"/>
              </w:rPr>
              <w:t xml:space="preserve">Reduzido:</w:t>
            </w:r>
            <w:r>
              <w:rPr>
                <w:rFonts w:ascii="Arial" w:hAnsi="Arial" w:cs="Arial"/>
                <w:sz w:val="16"/>
                <w:szCs w:val="16"/>
              </w:rPr>
            </w:r>
            <w:r>
              <w:rPr>
                <w:rFonts w:ascii="Arial" w:hAnsi="Arial" w:cs="Arial"/>
                <w:sz w:val="16"/>
                <w:szCs w:val="16"/>
              </w:rPr>
            </w:r>
          </w:p>
        </w:tc>
        <w:tc>
          <w:tcPr>
            <w:tcBorders>
              <w:left w:val="single" w:color="000000" w:sz="4" w:space="0"/>
              <w:bottom w:val="single" w:color="000000" w:sz="4" w:space="0"/>
              <w:right w:val="single" w:color="000000" w:sz="4" w:space="0"/>
            </w:tcBorders>
            <w:tcW w:w="6780" w:type="dxa"/>
            <w:textDirection w:val="lrTb"/>
            <w:noWrap w:val="false"/>
          </w:tcPr>
          <w:p w14:paraId="29F8867E">
            <w:pPr>
              <w:pBdr/>
              <w:spacing/>
              <w:ind/>
              <w:rPr>
                <w:rFonts w:ascii="Arial" w:hAnsi="Arial" w:cs="Arial"/>
                <w:sz w:val="16"/>
                <w:szCs w:val="16"/>
              </w:rPr>
            </w:pPr>
            <w:r>
              <w:rPr>
                <w:rFonts w:ascii="Arial" w:hAnsi="Arial" w:eastAsia="Arial" w:cs="Arial"/>
                <w:b/>
                <w:sz w:val="16"/>
                <w:szCs w:val="16"/>
              </w:rPr>
              <w:t xml:space="preserve">613</w:t>
            </w:r>
            <w:r>
              <w:rPr>
                <w:rFonts w:ascii="Arial" w:hAnsi="Arial" w:cs="Arial"/>
                <w:sz w:val="16"/>
                <w:szCs w:val="16"/>
              </w:rPr>
            </w:r>
            <w:r>
              <w:rPr>
                <w:rFonts w:ascii="Arial" w:hAnsi="Arial" w:cs="Arial"/>
                <w:sz w:val="16"/>
                <w:szCs w:val="16"/>
              </w:rPr>
            </w:r>
          </w:p>
        </w:tc>
      </w:tr>
      <w:tr>
        <w:trPr>
          <w:jc w:val="center"/>
          <w:trHeight w:val="77"/>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65F6A97D">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Fonte de Recurso: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23A5A0DE">
            <w:pPr>
              <w:pBdr/>
              <w:spacing/>
              <w:ind/>
              <w:rPr>
                <w:rFonts w:ascii="Arial" w:hAnsi="Arial" w:cs="Arial"/>
                <w:sz w:val="16"/>
                <w:szCs w:val="16"/>
              </w:rPr>
            </w:pPr>
            <w:r>
              <w:rPr>
                <w:rFonts w:ascii="Arial" w:hAnsi="Arial" w:eastAsia="Arial" w:cs="Arial"/>
                <w:sz w:val="16"/>
                <w:szCs w:val="16"/>
              </w:rPr>
              <w:t xml:space="preserve">1.600.0000603</w:t>
            </w:r>
            <w:r>
              <w:rPr>
                <w:rFonts w:ascii="Arial" w:hAnsi="Arial" w:cs="Arial"/>
                <w:sz w:val="16"/>
                <w:szCs w:val="16"/>
              </w:rPr>
            </w:r>
            <w:r>
              <w:rPr>
                <w:rFonts w:ascii="Arial" w:hAnsi="Arial" w:cs="Arial"/>
                <w:sz w:val="16"/>
                <w:szCs w:val="16"/>
              </w:rPr>
            </w:r>
          </w:p>
        </w:tc>
      </w:tr>
    </w:tbl>
    <w:p w14:paraId="373AA47B">
      <w:pPr>
        <w:pBdr/>
        <w:spacing/>
        <w:ind/>
        <w:jc w:val="both"/>
        <w:rPr>
          <w:rFonts w:ascii="Arial" w:hAnsi="Arial" w:cs="Arial"/>
          <w:sz w:val="16"/>
          <w:szCs w:val="16"/>
        </w:rPr>
      </w:pPr>
      <w:r>
        <w:rPr>
          <w:rFonts w:ascii="Arial" w:hAnsi="Arial" w:eastAsia="Arial" w:cs="Arial"/>
          <w:sz w:val="16"/>
          <w:szCs w:val="16"/>
        </w:rPr>
      </w:r>
      <w:r>
        <w:rPr>
          <w:rFonts w:ascii="Arial" w:hAnsi="Arial" w:cs="Arial"/>
          <w:sz w:val="16"/>
          <w:szCs w:val="16"/>
        </w:rPr>
      </w:r>
      <w:r>
        <w:rPr>
          <w:rFonts w:ascii="Arial" w:hAnsi="Arial" w:cs="Arial"/>
          <w:sz w:val="16"/>
          <w:szCs w:val="16"/>
        </w:rPr>
      </w:r>
    </w:p>
    <w:tbl>
      <w:tblPr>
        <w:jc w:val="center"/>
        <w:tblW w:w="8969" w:type="dxa"/>
        <w:tblBorders/>
        <w:tblLayout w:type="fixed"/>
        <w:tblLook w:val="04A0" w:firstRow="1" w:lastRow="0" w:firstColumn="1" w:lastColumn="0" w:noHBand="0" w:noVBand="1"/>
      </w:tblPr>
      <w:tblGrid>
        <w:gridCol w:w="2189"/>
        <w:gridCol w:w="6780"/>
      </w:tblGrid>
      <w:tr>
        <w:trPr>
          <w:jc w:val="center"/>
          <w:trHeight w:val="114"/>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4F09F560">
            <w:pPr>
              <w:pBdr/>
              <w:spacing/>
              <w:ind/>
              <w:jc w:val="center"/>
              <w:rPr>
                <w:rFonts w:ascii="Arial" w:hAnsi="Arial" w:cs="Arial"/>
                <w:sz w:val="16"/>
                <w:szCs w:val="16"/>
              </w:rPr>
            </w:pPr>
            <w:r>
              <w:rPr>
                <w:rFonts w:ascii="Arial" w:hAnsi="Arial" w:eastAsia="Arial" w:cs="Arial"/>
                <w:b/>
                <w:color w:val="000000"/>
                <w:sz w:val="16"/>
                <w:szCs w:val="16"/>
                <w:lang w:val="pt-BR" w:eastAsia="pt-BR"/>
              </w:rPr>
              <w:t xml:space="preserve">Classificação Orçamentária da Despesa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48159110">
            <w:pPr>
              <w:pBdr/>
              <w:spacing/>
              <w:ind/>
              <w:jc w:val="right"/>
              <w:rPr>
                <w:rFonts w:ascii="Arial" w:hAnsi="Arial" w:cs="Arial"/>
                <w:sz w:val="16"/>
                <w:szCs w:val="16"/>
              </w:rPr>
            </w:pPr>
            <w:r>
              <w:rPr>
                <w:rFonts w:ascii="Arial" w:hAnsi="Arial" w:eastAsia="Arial" w:cs="Arial"/>
                <w:color w:val="000000"/>
                <w:sz w:val="16"/>
                <w:szCs w:val="16"/>
                <w:lang w:val="pt-BR" w:eastAsia="pt-BR"/>
              </w:rPr>
              <w:t xml:space="preserve">Órgão: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099FE0D5">
            <w:pPr>
              <w:pBdr/>
              <w:spacing/>
              <w:ind/>
              <w:rPr>
                <w:rFonts w:ascii="Arial" w:hAnsi="Arial" w:cs="Arial"/>
                <w:sz w:val="16"/>
                <w:szCs w:val="16"/>
              </w:rPr>
            </w:pPr>
            <w:r>
              <w:rPr>
                <w:rFonts w:ascii="Arial" w:hAnsi="Arial" w:eastAsia="Arial" w:cs="Arial"/>
                <w:color w:val="000000"/>
                <w:sz w:val="16"/>
                <w:szCs w:val="16"/>
                <w:lang w:val="pt-BR" w:eastAsia="pt-BR"/>
              </w:rPr>
              <w:t xml:space="preserve">02 – Prefeitura Municipal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7DA2DDE7">
            <w:pPr>
              <w:pBdr/>
              <w:spacing/>
              <w:ind/>
              <w:jc w:val="right"/>
              <w:rPr>
                <w:rFonts w:ascii="Arial" w:hAnsi="Arial" w:cs="Arial"/>
                <w:sz w:val="16"/>
                <w:szCs w:val="16"/>
              </w:rPr>
            </w:pPr>
            <w:r>
              <w:rPr>
                <w:rFonts w:ascii="Arial" w:hAnsi="Arial" w:eastAsia="Arial" w:cs="Arial"/>
                <w:color w:val="000000"/>
                <w:sz w:val="16"/>
                <w:szCs w:val="16"/>
                <w:lang w:val="pt-BR" w:eastAsia="pt-BR"/>
              </w:rPr>
              <w:t xml:space="preserve">Unidade:</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2016CE7D">
            <w:pPr>
              <w:pBdr/>
              <w:spacing/>
              <w:ind/>
              <w:rPr>
                <w:rFonts w:ascii="Arial" w:hAnsi="Arial" w:cs="Arial"/>
                <w:sz w:val="16"/>
                <w:szCs w:val="16"/>
              </w:rPr>
            </w:pPr>
            <w:r>
              <w:rPr>
                <w:rFonts w:ascii="Arial" w:hAnsi="Arial" w:eastAsia="Arial" w:cs="Arial"/>
                <w:color w:val="000000"/>
                <w:sz w:val="16"/>
                <w:szCs w:val="16"/>
                <w:lang w:val="pt-BR" w:eastAsia="pt-BR"/>
              </w:rPr>
              <w:t xml:space="preserve">14 – Fundo Municipal de Saúde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0B83A4DC">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Funcional Programática: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0B9F1062">
            <w:pPr>
              <w:pBdr/>
              <w:spacing/>
              <w:ind/>
              <w:rPr>
                <w:rFonts w:ascii="Arial" w:hAnsi="Arial" w:cs="Arial"/>
                <w:sz w:val="16"/>
                <w:szCs w:val="16"/>
              </w:rPr>
            </w:pPr>
            <w:r>
              <w:rPr>
                <w:rFonts w:ascii="Arial" w:hAnsi="Arial" w:eastAsia="Arial" w:cs="Arial"/>
                <w:sz w:val="16"/>
                <w:szCs w:val="16"/>
              </w:rPr>
              <w:t xml:space="preserve">10.305.2201.2184 - MANUTENÇÃO DA AÇÕES DA VIGILÂNCIA EPIDEMIOLÓGICA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3FD3DD99">
            <w:pPr>
              <w:pBdr/>
              <w:spacing/>
              <w:ind/>
              <w:jc w:val="right"/>
              <w:rPr>
                <w:rFonts w:ascii="Arial" w:hAnsi="Arial" w:cs="Arial"/>
                <w:sz w:val="16"/>
                <w:szCs w:val="16"/>
              </w:rPr>
            </w:pPr>
            <w:r>
              <w:rPr>
                <w:rFonts w:ascii="Arial" w:hAnsi="Arial" w:eastAsia="Arial" w:cs="Arial"/>
                <w:color w:val="000000"/>
                <w:sz w:val="16"/>
                <w:szCs w:val="16"/>
                <w:lang w:val="pt-BR" w:eastAsia="pt-BR"/>
              </w:rPr>
              <w:t xml:space="preserve">Elemento de Despesa: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006263C1">
            <w:pPr>
              <w:pBdr/>
              <w:spacing/>
              <w:ind/>
              <w:rPr>
                <w:rFonts w:ascii="Arial" w:hAnsi="Arial" w:cs="Arial"/>
                <w:sz w:val="16"/>
                <w:szCs w:val="16"/>
              </w:rPr>
            </w:pPr>
            <w:r>
              <w:rPr>
                <w:rFonts w:ascii="Arial" w:hAnsi="Arial" w:eastAsia="Arial" w:cs="Arial"/>
                <w:sz w:val="16"/>
                <w:szCs w:val="16"/>
              </w:rPr>
              <w:t xml:space="preserve">3.3.90.30.00.00 – MATERIAL DE CONSUMO</w:t>
            </w:r>
            <w:r>
              <w:rPr>
                <w:rFonts w:ascii="Arial" w:hAnsi="Arial" w:cs="Arial"/>
                <w:sz w:val="16"/>
                <w:szCs w:val="16"/>
              </w:rPr>
            </w:r>
            <w:r>
              <w:rPr>
                <w:rFonts w:ascii="Arial" w:hAnsi="Arial" w:cs="Arial"/>
                <w:sz w:val="16"/>
                <w:szCs w:val="16"/>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76F4721D">
            <w:pPr>
              <w:pBdr/>
              <w:spacing/>
              <w:ind/>
              <w:jc w:val="right"/>
              <w:rPr>
                <w:rFonts w:ascii="Arial" w:hAnsi="Arial" w:cs="Arial"/>
                <w:sz w:val="16"/>
                <w:szCs w:val="16"/>
              </w:rPr>
            </w:pPr>
            <w:r>
              <w:rPr>
                <w:rFonts w:ascii="Arial" w:hAnsi="Arial" w:eastAsia="Arial" w:cs="Arial"/>
                <w:color w:val="000000"/>
                <w:sz w:val="16"/>
                <w:szCs w:val="16"/>
                <w:lang w:val="pt-BR" w:eastAsia="pt-BR"/>
              </w:rPr>
              <w:t xml:space="preserve">Reduzido:</w:t>
            </w:r>
            <w:r>
              <w:rPr>
                <w:rFonts w:ascii="Arial" w:hAnsi="Arial" w:cs="Arial"/>
                <w:sz w:val="16"/>
                <w:szCs w:val="16"/>
              </w:rPr>
            </w:r>
            <w:r>
              <w:rPr>
                <w:rFonts w:ascii="Arial" w:hAnsi="Arial" w:cs="Arial"/>
                <w:sz w:val="16"/>
                <w:szCs w:val="16"/>
              </w:rPr>
            </w:r>
          </w:p>
        </w:tc>
        <w:tc>
          <w:tcPr>
            <w:tcBorders>
              <w:left w:val="single" w:color="000000" w:sz="4" w:space="0"/>
              <w:bottom w:val="single" w:color="000000" w:sz="4" w:space="0"/>
              <w:right w:val="single" w:color="000000" w:sz="4" w:space="0"/>
            </w:tcBorders>
            <w:tcW w:w="6780" w:type="dxa"/>
            <w:textDirection w:val="lrTb"/>
            <w:noWrap w:val="false"/>
          </w:tcPr>
          <w:p w14:paraId="27475220">
            <w:pPr>
              <w:pBdr/>
              <w:spacing/>
              <w:ind/>
              <w:rPr>
                <w:rFonts w:ascii="Arial" w:hAnsi="Arial" w:cs="Arial"/>
                <w:sz w:val="16"/>
                <w:szCs w:val="16"/>
              </w:rPr>
            </w:pPr>
            <w:r>
              <w:rPr>
                <w:rFonts w:ascii="Arial" w:hAnsi="Arial" w:eastAsia="Arial" w:cs="Arial"/>
                <w:b/>
                <w:sz w:val="16"/>
                <w:szCs w:val="16"/>
              </w:rPr>
              <w:t xml:space="preserve">486</w:t>
            </w:r>
            <w:r>
              <w:rPr>
                <w:rFonts w:ascii="Arial" w:hAnsi="Arial" w:cs="Arial"/>
                <w:sz w:val="16"/>
                <w:szCs w:val="16"/>
              </w:rPr>
            </w:r>
            <w:r>
              <w:rPr>
                <w:rFonts w:ascii="Arial" w:hAnsi="Arial" w:cs="Arial"/>
                <w:sz w:val="16"/>
                <w:szCs w:val="16"/>
              </w:rPr>
            </w:r>
          </w:p>
        </w:tc>
      </w:tr>
      <w:tr>
        <w:trPr>
          <w:jc w:val="center"/>
          <w:trHeight w:val="225"/>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704DFA8D">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Fonte de Recurso: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40334AE6">
            <w:pPr>
              <w:pBdr/>
              <w:spacing/>
              <w:ind/>
              <w:rPr>
                <w:rFonts w:ascii="Arial" w:hAnsi="Arial" w:cs="Arial"/>
                <w:sz w:val="16"/>
                <w:szCs w:val="16"/>
              </w:rPr>
            </w:pPr>
            <w:r>
              <w:rPr>
                <w:rFonts w:ascii="Arial" w:hAnsi="Arial" w:eastAsia="Arial" w:cs="Arial"/>
                <w:sz w:val="16"/>
                <w:szCs w:val="16"/>
              </w:rPr>
              <w:t xml:space="preserve">1.600.0000605</w:t>
            </w:r>
            <w:r>
              <w:rPr>
                <w:rFonts w:ascii="Arial" w:hAnsi="Arial" w:cs="Arial"/>
                <w:sz w:val="16"/>
                <w:szCs w:val="16"/>
              </w:rPr>
            </w:r>
            <w:r>
              <w:rPr>
                <w:rFonts w:ascii="Arial" w:hAnsi="Arial" w:cs="Arial"/>
                <w:sz w:val="16"/>
                <w:szCs w:val="16"/>
              </w:rPr>
            </w:r>
          </w:p>
        </w:tc>
      </w:tr>
    </w:tbl>
    <w:p w14:paraId="044E340E">
      <w:pPr>
        <w:pBdr/>
        <w:spacing/>
        <w:ind/>
        <w:jc w:val="both"/>
        <w:rPr>
          <w:rFonts w:ascii="Arial" w:hAnsi="Arial" w:cs="Arial"/>
          <w:sz w:val="16"/>
          <w:szCs w:val="16"/>
        </w:rPr>
      </w:pPr>
      <w:r>
        <w:rPr>
          <w:rFonts w:ascii="Arial" w:hAnsi="Arial" w:eastAsia="Arial" w:cs="Arial"/>
          <w:sz w:val="16"/>
          <w:szCs w:val="16"/>
        </w:rPr>
      </w:r>
      <w:r>
        <w:rPr>
          <w:rFonts w:ascii="Arial" w:hAnsi="Arial" w:cs="Arial"/>
          <w:sz w:val="16"/>
          <w:szCs w:val="16"/>
        </w:rPr>
      </w:r>
      <w:r>
        <w:rPr>
          <w:rFonts w:ascii="Arial" w:hAnsi="Arial" w:cs="Arial"/>
          <w:sz w:val="16"/>
          <w:szCs w:val="16"/>
        </w:rPr>
      </w:r>
    </w:p>
    <w:tbl>
      <w:tblPr>
        <w:jc w:val="center"/>
        <w:tblW w:w="8969" w:type="dxa"/>
        <w:tblBorders/>
        <w:tblLayout w:type="fixed"/>
        <w:tblLook w:val="04A0" w:firstRow="1" w:lastRow="0" w:firstColumn="1" w:lastColumn="0" w:noHBand="0" w:noVBand="1"/>
      </w:tblPr>
      <w:tblGrid>
        <w:gridCol w:w="2189"/>
        <w:gridCol w:w="6780"/>
      </w:tblGrid>
      <w:tr>
        <w:trPr>
          <w:jc w:val="center"/>
          <w:trHeight w:val="221"/>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40042A0C">
            <w:pPr>
              <w:pBdr/>
              <w:spacing/>
              <w:ind/>
              <w:jc w:val="center"/>
              <w:rPr>
                <w:rFonts w:ascii="Arial" w:hAnsi="Arial" w:cs="Arial"/>
                <w:sz w:val="16"/>
                <w:szCs w:val="16"/>
              </w:rPr>
            </w:pPr>
            <w:r>
              <w:rPr>
                <w:rFonts w:ascii="Arial" w:hAnsi="Arial" w:eastAsia="Arial" w:cs="Arial"/>
                <w:b/>
                <w:color w:val="000000"/>
                <w:sz w:val="16"/>
                <w:szCs w:val="16"/>
                <w:lang w:val="pt-BR" w:eastAsia="pt-BR"/>
              </w:rPr>
              <w:t xml:space="preserve">Classificação Orçamentária da Despesa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36CECE60">
            <w:pPr>
              <w:pBdr/>
              <w:spacing/>
              <w:ind/>
              <w:jc w:val="right"/>
              <w:rPr>
                <w:rFonts w:ascii="Arial" w:hAnsi="Arial" w:cs="Arial"/>
                <w:sz w:val="16"/>
                <w:szCs w:val="16"/>
              </w:rPr>
            </w:pPr>
            <w:r>
              <w:rPr>
                <w:rFonts w:ascii="Arial" w:hAnsi="Arial" w:eastAsia="Arial" w:cs="Arial"/>
                <w:color w:val="000000"/>
                <w:sz w:val="16"/>
                <w:szCs w:val="16"/>
                <w:lang w:val="pt-BR" w:eastAsia="pt-BR"/>
              </w:rPr>
              <w:t xml:space="preserve">Órgão: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57CD89D3">
            <w:pPr>
              <w:pBdr/>
              <w:spacing/>
              <w:ind/>
              <w:rPr>
                <w:rFonts w:ascii="Arial" w:hAnsi="Arial" w:cs="Arial"/>
                <w:sz w:val="16"/>
                <w:szCs w:val="16"/>
              </w:rPr>
            </w:pPr>
            <w:r>
              <w:rPr>
                <w:rFonts w:ascii="Arial" w:hAnsi="Arial" w:eastAsia="Arial" w:cs="Arial"/>
                <w:color w:val="000000"/>
                <w:sz w:val="16"/>
                <w:szCs w:val="16"/>
                <w:lang w:val="pt-BR" w:eastAsia="pt-BR"/>
              </w:rPr>
              <w:t xml:space="preserve">02 – Prefeitura Municipal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23F21E8C">
            <w:pPr>
              <w:pBdr/>
              <w:spacing/>
              <w:ind/>
              <w:jc w:val="right"/>
              <w:rPr>
                <w:rFonts w:ascii="Arial" w:hAnsi="Arial" w:cs="Arial"/>
                <w:sz w:val="16"/>
                <w:szCs w:val="16"/>
              </w:rPr>
            </w:pPr>
            <w:r>
              <w:rPr>
                <w:rFonts w:ascii="Arial" w:hAnsi="Arial" w:eastAsia="Arial" w:cs="Arial"/>
                <w:color w:val="000000"/>
                <w:sz w:val="16"/>
                <w:szCs w:val="16"/>
                <w:lang w:val="pt-BR" w:eastAsia="pt-BR"/>
              </w:rPr>
              <w:t xml:space="preserve">Unidade:</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04700C14">
            <w:pPr>
              <w:pBdr/>
              <w:spacing/>
              <w:ind/>
              <w:rPr>
                <w:rFonts w:ascii="Arial" w:hAnsi="Arial" w:cs="Arial"/>
                <w:sz w:val="16"/>
                <w:szCs w:val="16"/>
              </w:rPr>
            </w:pPr>
            <w:r>
              <w:rPr>
                <w:rFonts w:ascii="Arial" w:hAnsi="Arial" w:eastAsia="Arial" w:cs="Arial"/>
                <w:color w:val="000000"/>
                <w:sz w:val="16"/>
                <w:szCs w:val="16"/>
                <w:lang w:val="pt-BR" w:eastAsia="pt-BR"/>
              </w:rPr>
              <w:t xml:space="preserve">14 – Fundo Municipal de Saúde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3CFF911E">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Funcional Programática: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4DD374FF">
            <w:pPr>
              <w:pBdr/>
              <w:spacing/>
              <w:ind/>
              <w:rPr>
                <w:rFonts w:ascii="Arial" w:hAnsi="Arial" w:cs="Arial"/>
                <w:sz w:val="16"/>
                <w:szCs w:val="16"/>
              </w:rPr>
            </w:pPr>
            <w:r>
              <w:rPr>
                <w:rFonts w:ascii="Arial" w:hAnsi="Arial" w:eastAsia="Arial" w:cs="Arial"/>
                <w:sz w:val="16"/>
                <w:szCs w:val="16"/>
              </w:rPr>
              <w:t xml:space="preserve">10.305.2201.2187 - MANUTENÇÃO DAS AÇÕES DE VIGILÂNCIA AMBIENTAL E UNIDADE DE CONTROLE DE ZOONOZES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2AF456EA">
            <w:pPr>
              <w:pBdr/>
              <w:spacing/>
              <w:ind/>
              <w:jc w:val="right"/>
              <w:rPr>
                <w:rFonts w:ascii="Arial" w:hAnsi="Arial" w:cs="Arial"/>
                <w:sz w:val="16"/>
                <w:szCs w:val="16"/>
              </w:rPr>
            </w:pPr>
            <w:r>
              <w:rPr>
                <w:rFonts w:ascii="Arial" w:hAnsi="Arial" w:eastAsia="Arial" w:cs="Arial"/>
                <w:color w:val="000000"/>
                <w:sz w:val="16"/>
                <w:szCs w:val="16"/>
                <w:lang w:val="pt-BR" w:eastAsia="pt-BR"/>
              </w:rPr>
              <w:t xml:space="preserve">Elemento de Despesa: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177C3E4D">
            <w:pPr>
              <w:pBdr/>
              <w:spacing/>
              <w:ind/>
              <w:rPr>
                <w:rFonts w:ascii="Arial" w:hAnsi="Arial" w:cs="Arial"/>
                <w:sz w:val="16"/>
                <w:szCs w:val="16"/>
              </w:rPr>
            </w:pPr>
            <w:r>
              <w:rPr>
                <w:rFonts w:ascii="Arial" w:hAnsi="Arial" w:eastAsia="Arial" w:cs="Arial"/>
                <w:sz w:val="16"/>
                <w:szCs w:val="16"/>
              </w:rPr>
              <w:t xml:space="preserve">3.3.90.30.00.00 – MATERIAL DE CONSUMO</w:t>
            </w:r>
            <w:r>
              <w:rPr>
                <w:rFonts w:ascii="Arial" w:hAnsi="Arial" w:cs="Arial"/>
                <w:sz w:val="16"/>
                <w:szCs w:val="16"/>
              </w:rPr>
            </w:r>
            <w:r>
              <w:rPr>
                <w:rFonts w:ascii="Arial" w:hAnsi="Arial" w:cs="Arial"/>
                <w:sz w:val="16"/>
                <w:szCs w:val="16"/>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3D34E331">
            <w:pPr>
              <w:pBdr/>
              <w:spacing/>
              <w:ind/>
              <w:jc w:val="right"/>
              <w:rPr>
                <w:rFonts w:ascii="Arial" w:hAnsi="Arial" w:cs="Arial"/>
                <w:sz w:val="16"/>
                <w:szCs w:val="16"/>
              </w:rPr>
            </w:pPr>
            <w:r>
              <w:rPr>
                <w:rFonts w:ascii="Arial" w:hAnsi="Arial" w:eastAsia="Arial" w:cs="Arial"/>
                <w:color w:val="000000"/>
                <w:sz w:val="16"/>
                <w:szCs w:val="16"/>
                <w:lang w:val="pt-BR" w:eastAsia="pt-BR"/>
              </w:rPr>
              <w:t xml:space="preserve">Reduzido:</w:t>
            </w:r>
            <w:r>
              <w:rPr>
                <w:rFonts w:ascii="Arial" w:hAnsi="Arial" w:cs="Arial"/>
                <w:sz w:val="16"/>
                <w:szCs w:val="16"/>
              </w:rPr>
            </w:r>
            <w:r>
              <w:rPr>
                <w:rFonts w:ascii="Arial" w:hAnsi="Arial" w:cs="Arial"/>
                <w:sz w:val="16"/>
                <w:szCs w:val="16"/>
              </w:rPr>
            </w:r>
          </w:p>
        </w:tc>
        <w:tc>
          <w:tcPr>
            <w:tcBorders>
              <w:left w:val="single" w:color="000000" w:sz="4" w:space="0"/>
              <w:bottom w:val="single" w:color="000000" w:sz="4" w:space="0"/>
              <w:right w:val="single" w:color="000000" w:sz="4" w:space="0"/>
            </w:tcBorders>
            <w:tcW w:w="6780" w:type="dxa"/>
            <w:textDirection w:val="lrTb"/>
            <w:noWrap w:val="false"/>
          </w:tcPr>
          <w:p w14:paraId="09939DBB">
            <w:pPr>
              <w:pBdr/>
              <w:spacing/>
              <w:ind/>
              <w:rPr>
                <w:rFonts w:ascii="Arial" w:hAnsi="Arial" w:cs="Arial"/>
                <w:sz w:val="16"/>
                <w:szCs w:val="16"/>
              </w:rPr>
            </w:pPr>
            <w:r>
              <w:rPr>
                <w:rFonts w:ascii="Arial" w:hAnsi="Arial" w:eastAsia="Arial" w:cs="Arial"/>
                <w:b/>
                <w:sz w:val="16"/>
                <w:szCs w:val="16"/>
              </w:rPr>
              <w:t xml:space="preserve">497</w:t>
            </w:r>
            <w:r>
              <w:rPr>
                <w:rFonts w:ascii="Arial" w:hAnsi="Arial" w:cs="Arial"/>
                <w:sz w:val="16"/>
                <w:szCs w:val="16"/>
              </w:rPr>
            </w:r>
            <w:r>
              <w:rPr>
                <w:rFonts w:ascii="Arial" w:hAnsi="Arial" w:cs="Arial"/>
                <w:sz w:val="16"/>
                <w:szCs w:val="16"/>
              </w:rPr>
            </w:r>
          </w:p>
        </w:tc>
      </w:tr>
      <w:tr>
        <w:trPr>
          <w:jc w:val="center"/>
          <w:trHeight w:val="112"/>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AAA5B37">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Fonte de Recurso: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5E2E4ED1">
            <w:pPr>
              <w:pBdr/>
              <w:spacing/>
              <w:ind/>
              <w:rPr>
                <w:rFonts w:ascii="Arial" w:hAnsi="Arial" w:cs="Arial"/>
                <w:sz w:val="16"/>
                <w:szCs w:val="16"/>
              </w:rPr>
            </w:pPr>
            <w:r>
              <w:rPr>
                <w:rFonts w:ascii="Arial" w:hAnsi="Arial" w:eastAsia="Arial" w:cs="Arial"/>
                <w:sz w:val="16"/>
                <w:szCs w:val="16"/>
              </w:rPr>
              <w:t xml:space="preserve">1.500.1002000</w:t>
            </w:r>
            <w:r>
              <w:rPr>
                <w:rFonts w:ascii="Arial" w:hAnsi="Arial" w:cs="Arial"/>
                <w:sz w:val="16"/>
                <w:szCs w:val="16"/>
              </w:rPr>
            </w:r>
            <w:r>
              <w:rPr>
                <w:rFonts w:ascii="Arial" w:hAnsi="Arial" w:cs="Arial"/>
                <w:sz w:val="16"/>
                <w:szCs w:val="16"/>
              </w:rPr>
            </w:r>
          </w:p>
        </w:tc>
      </w:tr>
    </w:tbl>
    <w:p w14:paraId="1C11A4DC">
      <w:pPr>
        <w:pBdr/>
        <w:spacing/>
        <w:ind/>
        <w:jc w:val="both"/>
        <w:rPr>
          <w:rFonts w:ascii="Arial" w:hAnsi="Arial" w:cs="Arial"/>
          <w:sz w:val="16"/>
          <w:szCs w:val="16"/>
        </w:rPr>
      </w:pPr>
      <w:r>
        <w:rPr>
          <w:rFonts w:ascii="Arial" w:hAnsi="Arial" w:eastAsia="Arial" w:cs="Arial"/>
          <w:sz w:val="16"/>
          <w:szCs w:val="16"/>
        </w:rPr>
      </w:r>
      <w:r>
        <w:rPr>
          <w:rFonts w:ascii="Arial" w:hAnsi="Arial" w:cs="Arial"/>
          <w:sz w:val="16"/>
          <w:szCs w:val="16"/>
        </w:rPr>
      </w:r>
      <w:r>
        <w:rPr>
          <w:rFonts w:ascii="Arial" w:hAnsi="Arial" w:cs="Arial"/>
          <w:sz w:val="16"/>
          <w:szCs w:val="16"/>
        </w:rPr>
      </w:r>
    </w:p>
    <w:tbl>
      <w:tblPr>
        <w:jc w:val="center"/>
        <w:tblW w:w="8969" w:type="dxa"/>
        <w:tblBorders/>
        <w:tblLayout w:type="fixed"/>
        <w:tblLook w:val="04A0" w:firstRow="1" w:lastRow="0" w:firstColumn="1" w:lastColumn="0" w:noHBand="0" w:noVBand="1"/>
      </w:tblPr>
      <w:tblGrid>
        <w:gridCol w:w="2189"/>
        <w:gridCol w:w="6780"/>
      </w:tblGrid>
      <w:tr>
        <w:trPr>
          <w:jc w:val="center"/>
          <w:trHeight w:val="107"/>
        </w:trPr>
        <w:tc>
          <w:tcPr>
            <w:gridSpan w:val="2"/>
            <w:tcBorders>
              <w:top w:val="single" w:color="000000" w:sz="4" w:space="0"/>
              <w:left w:val="single" w:color="000000" w:sz="4" w:space="0"/>
              <w:bottom w:val="single" w:color="000000" w:sz="4" w:space="0"/>
              <w:right w:val="single" w:color="000000" w:sz="4" w:space="0"/>
            </w:tcBorders>
            <w:tcW w:w="8969" w:type="dxa"/>
            <w:vAlign w:val="center"/>
            <w:textDirection w:val="lrTb"/>
            <w:noWrap w:val="false"/>
          </w:tcPr>
          <w:p w14:paraId="1B4B603B">
            <w:pPr>
              <w:pBdr/>
              <w:spacing/>
              <w:ind/>
              <w:jc w:val="center"/>
              <w:rPr>
                <w:rFonts w:ascii="Arial" w:hAnsi="Arial" w:cs="Arial"/>
                <w:sz w:val="16"/>
                <w:szCs w:val="16"/>
              </w:rPr>
            </w:pPr>
            <w:r>
              <w:rPr>
                <w:rFonts w:ascii="Arial" w:hAnsi="Arial" w:eastAsia="Arial" w:cs="Arial"/>
                <w:b/>
                <w:color w:val="000000"/>
                <w:sz w:val="16"/>
                <w:szCs w:val="16"/>
                <w:lang w:val="pt-BR" w:eastAsia="pt-BR"/>
              </w:rPr>
              <w:t xml:space="preserve">Classificação Orçamentária da Despesa</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3077FC59">
            <w:pPr>
              <w:pBdr/>
              <w:spacing/>
              <w:ind/>
              <w:jc w:val="right"/>
              <w:rPr>
                <w:rFonts w:ascii="Arial" w:hAnsi="Arial" w:cs="Arial"/>
                <w:sz w:val="16"/>
                <w:szCs w:val="16"/>
              </w:rPr>
            </w:pPr>
            <w:r>
              <w:rPr>
                <w:rFonts w:ascii="Arial" w:hAnsi="Arial" w:eastAsia="Arial" w:cs="Arial"/>
                <w:color w:val="000000"/>
                <w:sz w:val="16"/>
                <w:szCs w:val="16"/>
                <w:lang w:val="pt-BR" w:eastAsia="pt-BR"/>
              </w:rPr>
              <w:t xml:space="preserve">Órgão: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36217E62">
            <w:pPr>
              <w:pBdr/>
              <w:spacing/>
              <w:ind/>
              <w:rPr>
                <w:rFonts w:ascii="Arial" w:hAnsi="Arial" w:cs="Arial"/>
                <w:sz w:val="16"/>
                <w:szCs w:val="16"/>
              </w:rPr>
            </w:pPr>
            <w:r>
              <w:rPr>
                <w:rFonts w:ascii="Arial" w:hAnsi="Arial" w:eastAsia="Arial" w:cs="Arial"/>
                <w:color w:val="000000"/>
                <w:sz w:val="16"/>
                <w:szCs w:val="16"/>
                <w:lang w:val="pt-BR" w:eastAsia="pt-BR"/>
              </w:rPr>
              <w:t xml:space="preserve">02 – Prefeitura Municipal de Rondonópolis</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2794049">
            <w:pPr>
              <w:pBdr/>
              <w:spacing/>
              <w:ind/>
              <w:jc w:val="right"/>
              <w:rPr>
                <w:rFonts w:ascii="Arial" w:hAnsi="Arial" w:cs="Arial"/>
                <w:sz w:val="16"/>
                <w:szCs w:val="16"/>
              </w:rPr>
            </w:pPr>
            <w:r>
              <w:rPr>
                <w:rFonts w:ascii="Arial" w:hAnsi="Arial" w:eastAsia="Arial" w:cs="Arial"/>
                <w:color w:val="000000"/>
                <w:sz w:val="16"/>
                <w:szCs w:val="16"/>
                <w:lang w:val="pt-BR" w:eastAsia="pt-BR"/>
              </w:rPr>
              <w:t xml:space="preserve">Unidade:</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14:paraId="75998638">
            <w:pPr>
              <w:pBdr/>
              <w:spacing/>
              <w:ind/>
              <w:rPr>
                <w:rFonts w:ascii="Arial" w:hAnsi="Arial" w:cs="Arial"/>
                <w:sz w:val="16"/>
                <w:szCs w:val="16"/>
              </w:rPr>
            </w:pPr>
            <w:r>
              <w:rPr>
                <w:rFonts w:ascii="Arial" w:hAnsi="Arial" w:eastAsia="Arial" w:cs="Arial"/>
                <w:color w:val="000000"/>
                <w:sz w:val="16"/>
                <w:szCs w:val="16"/>
                <w:lang w:val="pt-BR" w:eastAsia="pt-BR"/>
              </w:rPr>
              <w:t xml:space="preserve">14 – Fundo Municipal de Saúde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2CBDD3DF">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Funcional Programática: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58C2AB3F">
            <w:pPr>
              <w:pBdr/>
              <w:spacing/>
              <w:ind/>
              <w:rPr>
                <w:rFonts w:ascii="Arial" w:hAnsi="Arial" w:cs="Arial"/>
                <w:sz w:val="16"/>
                <w:szCs w:val="16"/>
              </w:rPr>
            </w:pPr>
            <w:r>
              <w:rPr>
                <w:rFonts w:ascii="Arial" w:hAnsi="Arial" w:eastAsia="Arial" w:cs="Arial"/>
                <w:sz w:val="16"/>
                <w:szCs w:val="16"/>
              </w:rPr>
              <w:t xml:space="preserve">10.305.2201.2199 - MANUTENÇÃO DO PROGRAMA MUNICIPAL DE IST/AIDS/HV/TB E HANSENÍASE</w:t>
            </w:r>
            <w:r>
              <w:rPr>
                <w:rFonts w:ascii="Arial" w:hAnsi="Arial" w:cs="Arial"/>
                <w:sz w:val="16"/>
                <w:szCs w:val="16"/>
              </w:rPr>
            </w:r>
            <w:r>
              <w:rPr>
                <w:rFonts w:ascii="Arial" w:hAnsi="Arial" w:cs="Arial"/>
                <w:sz w:val="16"/>
                <w:szCs w:val="16"/>
              </w:rPr>
            </w:r>
          </w:p>
        </w:tc>
      </w:tr>
      <w:tr>
        <w:trPr>
          <w:jc w:val="center"/>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6AB7009C">
            <w:pPr>
              <w:pBdr/>
              <w:spacing/>
              <w:ind/>
              <w:jc w:val="right"/>
              <w:rPr>
                <w:rFonts w:ascii="Arial" w:hAnsi="Arial" w:cs="Arial"/>
                <w:sz w:val="16"/>
                <w:szCs w:val="16"/>
              </w:rPr>
            </w:pPr>
            <w:r>
              <w:rPr>
                <w:rFonts w:ascii="Arial" w:hAnsi="Arial" w:eastAsia="Arial" w:cs="Arial"/>
                <w:color w:val="000000"/>
                <w:sz w:val="16"/>
                <w:szCs w:val="16"/>
                <w:lang w:val="pt-BR" w:eastAsia="pt-BR"/>
              </w:rPr>
              <w:t xml:space="preserve">Elemento de Despesa:</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557B8F45">
            <w:pPr>
              <w:pBdr/>
              <w:spacing/>
              <w:ind/>
              <w:rPr>
                <w:rFonts w:ascii="Arial" w:hAnsi="Arial" w:cs="Arial"/>
                <w:sz w:val="16"/>
                <w:szCs w:val="16"/>
              </w:rPr>
            </w:pPr>
            <w:r>
              <w:rPr>
                <w:rFonts w:ascii="Arial" w:hAnsi="Arial" w:eastAsia="Arial" w:cs="Arial"/>
                <w:sz w:val="16"/>
                <w:szCs w:val="16"/>
              </w:rPr>
              <w:t xml:space="preserve">3.3.90.30.00.00 – MATERIAL DE CONSUMO</w:t>
            </w:r>
            <w:r>
              <w:rPr>
                <w:rFonts w:ascii="Arial" w:hAnsi="Arial" w:cs="Arial"/>
                <w:sz w:val="16"/>
                <w:szCs w:val="16"/>
              </w:rPr>
            </w:r>
            <w:r>
              <w:rPr>
                <w:rFonts w:ascii="Arial" w:hAnsi="Arial" w:cs="Arial"/>
                <w:sz w:val="16"/>
                <w:szCs w:val="16"/>
              </w:rPr>
            </w:r>
          </w:p>
        </w:tc>
      </w:tr>
      <w:tr>
        <w:trPr>
          <w:jc w:val="center"/>
        </w:trPr>
        <w:tc>
          <w:tcPr>
            <w:tcBorders>
              <w:left w:val="single" w:color="000000" w:sz="4" w:space="0"/>
              <w:bottom w:val="single" w:color="000000" w:sz="4" w:space="0"/>
              <w:right w:val="single" w:color="000000" w:sz="4" w:space="0"/>
            </w:tcBorders>
            <w:tcW w:w="2189" w:type="dxa"/>
            <w:vAlign w:val="center"/>
            <w:textDirection w:val="lrTb"/>
            <w:noWrap w:val="false"/>
          </w:tcPr>
          <w:p w14:paraId="5692066C">
            <w:pPr>
              <w:pBdr/>
              <w:spacing/>
              <w:ind/>
              <w:jc w:val="right"/>
              <w:rPr>
                <w:rFonts w:ascii="Arial" w:hAnsi="Arial" w:cs="Arial"/>
                <w:sz w:val="16"/>
                <w:szCs w:val="16"/>
              </w:rPr>
            </w:pPr>
            <w:r>
              <w:rPr>
                <w:rFonts w:ascii="Arial" w:hAnsi="Arial" w:eastAsia="Arial" w:cs="Arial"/>
                <w:color w:val="000000"/>
                <w:sz w:val="16"/>
                <w:szCs w:val="16"/>
                <w:lang w:val="pt-BR" w:eastAsia="pt-BR"/>
              </w:rPr>
              <w:t xml:space="preserve">Reduzido:</w:t>
            </w:r>
            <w:r>
              <w:rPr>
                <w:rFonts w:ascii="Arial" w:hAnsi="Arial" w:cs="Arial"/>
                <w:sz w:val="16"/>
                <w:szCs w:val="16"/>
              </w:rPr>
            </w:r>
            <w:r>
              <w:rPr>
                <w:rFonts w:ascii="Arial" w:hAnsi="Arial" w:cs="Arial"/>
                <w:sz w:val="16"/>
                <w:szCs w:val="16"/>
              </w:rPr>
            </w:r>
          </w:p>
        </w:tc>
        <w:tc>
          <w:tcPr>
            <w:tcBorders>
              <w:left w:val="single" w:color="000000" w:sz="4" w:space="0"/>
              <w:bottom w:val="single" w:color="000000" w:sz="4" w:space="0"/>
              <w:right w:val="single" w:color="000000" w:sz="4" w:space="0"/>
            </w:tcBorders>
            <w:tcW w:w="6780" w:type="dxa"/>
            <w:textDirection w:val="lrTb"/>
            <w:noWrap w:val="false"/>
          </w:tcPr>
          <w:p w14:paraId="59410FCD">
            <w:pPr>
              <w:pBdr/>
              <w:spacing/>
              <w:ind/>
              <w:rPr>
                <w:rFonts w:ascii="Arial" w:hAnsi="Arial" w:cs="Arial"/>
                <w:sz w:val="16"/>
                <w:szCs w:val="16"/>
              </w:rPr>
            </w:pPr>
            <w:r>
              <w:rPr>
                <w:rFonts w:ascii="Arial" w:hAnsi="Arial" w:eastAsia="Arial" w:cs="Arial"/>
                <w:b/>
                <w:sz w:val="16"/>
                <w:szCs w:val="16"/>
              </w:rPr>
              <w:t xml:space="preserve">463</w:t>
            </w:r>
            <w:r>
              <w:rPr>
                <w:rFonts w:ascii="Arial" w:hAnsi="Arial" w:cs="Arial"/>
                <w:sz w:val="16"/>
                <w:szCs w:val="16"/>
              </w:rPr>
            </w:r>
            <w:r>
              <w:rPr>
                <w:rFonts w:ascii="Arial" w:hAnsi="Arial" w:cs="Arial"/>
                <w:sz w:val="16"/>
                <w:szCs w:val="16"/>
              </w:rPr>
            </w:r>
          </w:p>
        </w:tc>
      </w:tr>
      <w:tr>
        <w:trPr>
          <w:jc w:val="center"/>
          <w:trHeight w:val="176"/>
        </w:trPr>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14:paraId="1F935207">
            <w:pPr>
              <w:pBdr/>
              <w:spacing/>
              <w:ind/>
              <w:jc w:val="right"/>
              <w:rPr>
                <w:rFonts w:ascii="Arial" w:hAnsi="Arial" w:cs="Arial"/>
                <w:sz w:val="16"/>
                <w:szCs w:val="16"/>
              </w:rPr>
            </w:pPr>
            <w:r>
              <w:rPr>
                <w:rFonts w:ascii="Arial" w:hAnsi="Arial" w:eastAsia="Arial" w:cs="Arial"/>
                <w:color w:val="000000"/>
                <w:sz w:val="16"/>
                <w:szCs w:val="16"/>
                <w:lang w:val="pt-BR" w:eastAsia="pt-BR"/>
              </w:rPr>
              <w:t xml:space="preserve">Fonte de Recurso:</w:t>
            </w:r>
            <w:r>
              <w:rPr>
                <w:rFonts w:ascii="Arial" w:hAnsi="Arial" w:cs="Arial"/>
                <w:sz w:val="16"/>
                <w:szCs w:val="16"/>
              </w:rPr>
            </w:r>
            <w:r>
              <w:rPr>
                <w:rFonts w:ascii="Arial" w:hAnsi="Arial" w:cs="Arial"/>
                <w:sz w:val="16"/>
                <w:szCs w:val="16"/>
              </w:rPr>
            </w:r>
          </w:p>
        </w:tc>
        <w:tc>
          <w:tcPr>
            <w:tcBorders>
              <w:top w:val="single" w:color="000000" w:sz="4" w:space="0"/>
              <w:left w:val="single" w:color="000000" w:sz="4" w:space="0"/>
              <w:bottom w:val="single" w:color="000000" w:sz="4" w:space="0"/>
              <w:right w:val="single" w:color="000000" w:sz="4" w:space="0"/>
            </w:tcBorders>
            <w:tcW w:w="6780" w:type="dxa"/>
            <w:textDirection w:val="lrTb"/>
            <w:noWrap w:val="false"/>
          </w:tcPr>
          <w:p w14:paraId="35B4B358">
            <w:pPr>
              <w:pBdr/>
              <w:spacing/>
              <w:ind/>
              <w:rPr>
                <w:rFonts w:ascii="Arial" w:hAnsi="Arial" w:cs="Arial"/>
                <w:sz w:val="16"/>
                <w:szCs w:val="16"/>
              </w:rPr>
            </w:pPr>
            <w:r>
              <w:rPr>
                <w:rFonts w:ascii="Arial" w:hAnsi="Arial" w:eastAsia="Arial" w:cs="Arial"/>
                <w:sz w:val="16"/>
                <w:szCs w:val="16"/>
              </w:rPr>
              <w:t xml:space="preserve">1.600.0000605</w:t>
            </w:r>
            <w:r>
              <w:rPr>
                <w:rFonts w:ascii="Arial" w:hAnsi="Arial" w:cs="Arial"/>
                <w:sz w:val="16"/>
                <w:szCs w:val="16"/>
              </w:rPr>
            </w:r>
            <w:r>
              <w:rPr>
                <w:rFonts w:ascii="Arial" w:hAnsi="Arial" w:cs="Arial"/>
                <w:sz w:val="16"/>
                <w:szCs w:val="16"/>
              </w:rPr>
            </w:r>
          </w:p>
        </w:tc>
      </w:tr>
    </w:tbl>
    <w:p>
      <w:pPr>
        <w:pStyle w:val="887"/>
        <w:pBdr/>
        <w:spacing/>
        <w:ind/>
        <w:jc w:val="both"/>
        <w:rPr>
          <w:rFonts w:ascii="Arial" w:hAnsi="Arial" w:cs="Arial"/>
          <w:b/>
          <w:bCs/>
          <w:color w:val="ff0000"/>
        </w:rPr>
      </w:pPr>
      <w:r>
        <w:rPr>
          <w:rFonts w:ascii="Arial" w:hAnsi="Arial" w:eastAsia="Arial" w:cs="Arial"/>
          <w:b/>
          <w:bCs/>
          <w:color w:val="ff0000"/>
        </w:rPr>
      </w:r>
      <w:r>
        <w:rPr>
          <w:rFonts w:ascii="Arial" w:hAnsi="Arial" w:cs="Arial"/>
          <w:b/>
          <w:bCs/>
          <w:color w:val="ff0000"/>
        </w:rPr>
      </w:r>
      <w:r>
        <w:rPr>
          <w:rFonts w:ascii="Arial" w:hAnsi="Arial" w:cs="Arial"/>
          <w:b/>
          <w:bCs/>
          <w:color w:val="ff0000"/>
        </w:rPr>
      </w:r>
    </w:p>
    <w:p>
      <w:pPr>
        <w:pStyle w:val="887"/>
        <w:pBdr/>
        <w:spacing/>
        <w:ind w:right="-5"/>
        <w:rPr>
          <w:rFonts w:ascii="Arial" w:hAnsi="Arial" w:cs="Arial"/>
          <w:b/>
          <w:bCs/>
        </w:rPr>
      </w:pPr>
      <w:r>
        <w:rPr>
          <w:rFonts w:ascii="Arial" w:hAnsi="Arial" w:eastAsia="Arial" w:cs="Arial"/>
          <w:b/>
        </w:rPr>
        <w:t xml:space="preserve">CLÁUSULA DÉCIMA - DO VALOR E DAS CONDIÇÕES DE PAGAMENTO:</w:t>
      </w:r>
      <w:r>
        <w:rPr>
          <w:rFonts w:ascii="Arial" w:hAnsi="Arial" w:cs="Arial"/>
          <w:b/>
          <w:bCs/>
        </w:rPr>
      </w:r>
      <w:r>
        <w:rPr>
          <w:rFonts w:ascii="Arial" w:hAnsi="Arial" w:cs="Arial"/>
          <w:b/>
          <w:bCs/>
        </w:rPr>
      </w:r>
    </w:p>
    <w:p>
      <w:pPr>
        <w:pStyle w:val="887"/>
        <w:pBdr/>
        <w:spacing/>
        <w:ind w:right="-5"/>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right="-5"/>
        <w:jc w:val="both"/>
        <w:rPr>
          <w:rFonts w:ascii="Arial" w:hAnsi="Arial" w:cs="Arial"/>
        </w:rPr>
      </w:pPr>
      <w:r>
        <w:rPr>
          <w:rFonts w:ascii="Arial" w:hAnsi="Arial" w:eastAsia="Arial" w:cs="Arial"/>
          <w:b/>
        </w:rPr>
        <w:t xml:space="preserve">10.1.</w:t>
      </w:r>
      <w:r>
        <w:rPr>
          <w:rFonts w:ascii="Arial" w:hAnsi="Arial" w:eastAsia="Arial" w:cs="Arial"/>
        </w:rPr>
        <w:t xml:space="preserve"> O valor global do presente Contrato é de </w:t>
      </w:r>
      <w:r>
        <w:rPr>
          <w:rFonts w:ascii="Arial" w:hAnsi="Arial" w:eastAsia="Arial" w:cs="Arial"/>
          <w:b/>
        </w:rPr>
        <w:t xml:space="preserve">R$ XXXXXX (..........................................), </w:t>
      </w:r>
      <w:r>
        <w:rPr>
          <w:rFonts w:ascii="Arial" w:hAnsi="Arial" w:eastAsia="Arial" w:cs="Arial"/>
        </w:rPr>
        <w:t xml:space="preserve">de acordo com a Proposta Comercial da Contratada, a serem pagos, mediante apresentação de nota fiscal, na Tesouraria desta Prefeitura;</w:t>
      </w:r>
      <w:r>
        <w:rPr>
          <w:rFonts w:ascii="Arial" w:hAnsi="Arial" w:cs="Arial"/>
        </w:rPr>
      </w:r>
      <w:r>
        <w:rPr>
          <w:rFonts w:ascii="Arial" w:hAnsi="Arial" w:cs="Arial"/>
        </w:rPr>
      </w:r>
    </w:p>
    <w:p>
      <w:pPr>
        <w:pStyle w:val="887"/>
        <w:pBdr/>
        <w:spacing/>
        <w:ind w:right="-5"/>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ight="-5"/>
        <w:jc w:val="both"/>
        <w:rPr>
          <w:rFonts w:ascii="Arial" w:hAnsi="Arial" w:cs="Arial"/>
        </w:rPr>
      </w:pPr>
      <w:r>
        <w:rPr>
          <w:rStyle w:val="1010"/>
          <w:rFonts w:ascii="Arial" w:hAnsi="Arial" w:eastAsia="Arial" w:cs="Arial"/>
          <w:b/>
        </w:rPr>
        <w:t xml:space="preserve">10.2.</w:t>
      </w:r>
      <w:r>
        <w:rPr>
          <w:rStyle w:val="1010"/>
          <w:rFonts w:ascii="Arial" w:hAnsi="Arial" w:eastAsia="Arial" w:cs="Arial"/>
        </w:rPr>
        <w:t xml:space="preserve"> Nos preços supracitados estão incluídas todas as despesas relativas ao objeto contratado (tributos, seguros, encargos sociais etc.). </w:t>
      </w:r>
      <w:r>
        <w:rPr>
          <w:rFonts w:ascii="Arial" w:hAnsi="Arial" w:cs="Arial"/>
        </w:rPr>
      </w:r>
      <w:r>
        <w:rPr>
          <w:rFonts w:ascii="Arial" w:hAnsi="Arial" w:cs="Arial"/>
        </w:rPr>
      </w:r>
    </w:p>
    <w:p>
      <w:pPr>
        <w:pStyle w:val="887"/>
        <w:pBdr/>
        <w:spacing/>
        <w:ind w:right="-5"/>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10.3.</w:t>
      </w:r>
      <w:r>
        <w:rPr>
          <w:rFonts w:ascii="Arial" w:hAnsi="Arial" w:eastAsia="Arial" w:cs="Arial"/>
        </w:rPr>
        <w:t xml:space="preserve"> O pagamento será efetuado mediante ordem bancária emitida em favor da empresa contratada, após o recebimento definitivo dos materiais, até </w:t>
      </w:r>
      <w:r>
        <w:rPr>
          <w:rStyle w:val="1010"/>
          <w:rFonts w:ascii="Arial" w:hAnsi="Arial" w:eastAsia="Arial" w:cs="Arial"/>
        </w:rPr>
        <w:t xml:space="preserve">o 30º (trigésimo) dia</w:t>
      </w:r>
      <w:r>
        <w:rPr>
          <w:rFonts w:ascii="Arial" w:hAnsi="Arial" w:eastAsia="Arial" w:cs="Arial"/>
        </w:rPr>
        <w:t xml:space="preserve">, contados a partir da data de entrega da Nota Fiscal (ELETRÔNICA), conforme exigência prevista no Artigo 180, do RICMS (Regulamento do ICMS) a ser processada em duas vias, com todos os campos preenchidos discriminando valores unitários e to</w:t>
      </w:r>
      <w:r>
        <w:rPr>
          <w:rFonts w:ascii="Arial" w:hAnsi="Arial" w:eastAsia="Arial" w:cs="Arial"/>
        </w:rPr>
        <w:t xml:space="preserve">tais dos itens, sem rasuras e devidamente atestada pelo servidor responsável pelo recebimento do serviço e/ou material da Secretaria Municipal solicitante, constando, ainda, o número do banco, da agência e da conta corrente onde deseja receber seu crédito.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Style w:val="1010"/>
          <w:rFonts w:ascii="Arial" w:hAnsi="Arial" w:eastAsia="Arial" w:cs="Arial"/>
          <w:b/>
        </w:rPr>
        <w:t xml:space="preserve">10.3.1.</w:t>
      </w:r>
      <w:r>
        <w:rPr>
          <w:rStyle w:val="1010"/>
          <w:rFonts w:ascii="Arial" w:hAnsi="Arial" w:eastAsia="Arial" w:cs="Arial"/>
        </w:rPr>
        <w:t xml:space="preserve"> </w:t>
      </w:r>
      <w:r>
        <w:rPr>
          <w:rFonts w:ascii="Arial" w:hAnsi="Arial" w:eastAsia="Arial" w:cs="Arial"/>
          <w:bCs/>
        </w:rPr>
        <w:t xml:space="preserve">Apresentar, junto com a Nota Fiscal, as certidões que comprovem a regularidade com as condições de habilitação e qualificação exigidas na licitação </w:t>
      </w:r>
      <w:r>
        <w:rPr>
          <w:rFonts w:ascii="Arial" w:hAnsi="Arial" w:eastAsia="Arial" w:cs="Arial"/>
        </w:rPr>
        <w:t xml:space="preserve">conforme ao disposto n</w:t>
      </w:r>
      <w:r>
        <w:rPr>
          <w:rFonts w:ascii="Arial" w:hAnsi="Arial" w:eastAsia="Arial" w:cs="Arial"/>
          <w:b/>
        </w:rPr>
        <w:t xml:space="preserve">o artigo 92 inciso </w:t>
      </w:r>
      <w:r>
        <w:rPr>
          <w:rFonts w:ascii="Arial" w:hAnsi="Arial" w:eastAsia="Arial" w:cs="Arial"/>
        </w:rPr>
        <w:t xml:space="preserve">XVI da Lei nº 14.133, de 01 de abril de 2021.</w:t>
      </w:r>
      <w:r>
        <w:rPr>
          <w:rFonts w:ascii="Arial" w:hAnsi="Arial" w:cs="Arial"/>
        </w:rPr>
      </w:r>
      <w:r>
        <w:rPr>
          <w:rFonts w:ascii="Arial" w:hAnsi="Arial" w:cs="Arial"/>
        </w:rPr>
      </w:r>
    </w:p>
    <w:p>
      <w:pPr>
        <w:pStyle w:val="887"/>
        <w:pBdr/>
        <w:spacing w:after="280" w:before="280"/>
        <w:ind w:left="1134"/>
        <w:jc w:val="both"/>
        <w:rPr>
          <w:rFonts w:ascii="Arial" w:hAnsi="Arial" w:cs="Arial"/>
        </w:rPr>
      </w:pPr>
      <w:r>
        <w:rPr>
          <w:rFonts w:ascii="Arial" w:hAnsi="Arial" w:eastAsia="Arial" w:cs="Arial"/>
        </w:rPr>
        <w:t xml:space="preserve"> </w:t>
      </w:r>
      <w:r>
        <w:rPr>
          <w:rFonts w:ascii="Arial" w:hAnsi="Arial" w:eastAsia="Arial" w:cs="Arial"/>
        </w:rPr>
        <w:t xml:space="preserve">“</w:t>
      </w:r>
      <w:r>
        <w:rPr>
          <w:rFonts w:ascii="Arial" w:hAnsi="Arial" w:eastAsia="Arial" w:cs="Arial"/>
        </w:rPr>
        <w:t xml:space="preserve">XVI - a obrigação do contratado de manter, durante toda a execução do contrato, em compatibilidade com as obrigações por ele assumidas, todas as condições exigidas para a habilitação na licitação, ou para a qualificação, na contratação direta;”.</w:t>
      </w:r>
      <w:r>
        <w:rPr>
          <w:rFonts w:ascii="Arial" w:hAnsi="Arial" w:cs="Arial"/>
        </w:rPr>
      </w:r>
      <w:r>
        <w:rPr>
          <w:rFonts w:ascii="Arial" w:hAnsi="Arial" w:cs="Arial"/>
        </w:rPr>
      </w:r>
    </w:p>
    <w:p>
      <w:pPr>
        <w:pStyle w:val="887"/>
        <w:pBdr/>
        <w:spacing/>
        <w:ind w:right="-5"/>
        <w:jc w:val="both"/>
        <w:rPr>
          <w:rFonts w:ascii="Arial" w:hAnsi="Arial" w:cs="Arial"/>
        </w:rPr>
      </w:pPr>
      <w:r>
        <w:rPr>
          <w:rStyle w:val="1010"/>
          <w:rFonts w:ascii="Arial" w:hAnsi="Arial" w:eastAsia="Arial" w:cs="Arial"/>
          <w:b/>
        </w:rPr>
        <w:t xml:space="preserve">10.3.2. </w:t>
      </w:r>
      <w:r>
        <w:rPr>
          <w:rStyle w:val="1010"/>
          <w:rFonts w:ascii="Arial" w:hAnsi="Arial" w:eastAsia="Arial" w:cs="Arial"/>
        </w:rPr>
        <w:t xml:space="preserve">Constatando-se qualquer incorreção na Nota Fiscal, bem como, qualquer outra circunstância que desaconselhe o seu pagamento, o prazo constante no item 10.3 fluirá a partir da respectiva data de regularização. </w:t>
      </w:r>
      <w:r>
        <w:rPr>
          <w:rFonts w:ascii="Arial" w:hAnsi="Arial" w:cs="Arial"/>
        </w:rPr>
      </w:r>
      <w:r>
        <w:rPr>
          <w:rFonts w:ascii="Arial" w:hAnsi="Arial" w:cs="Arial"/>
        </w:rPr>
      </w:r>
    </w:p>
    <w:p>
      <w:pPr>
        <w:pStyle w:val="887"/>
        <w:pBdr/>
        <w:spacing/>
        <w:ind w:right="-5"/>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ight="-5"/>
        <w:jc w:val="both"/>
        <w:rPr>
          <w:rFonts w:ascii="Arial" w:hAnsi="Arial" w:cs="Arial"/>
        </w:rPr>
      </w:pPr>
      <w:r>
        <w:rPr>
          <w:rStyle w:val="1010"/>
          <w:rFonts w:ascii="Arial" w:hAnsi="Arial" w:eastAsia="Arial" w:cs="Arial"/>
          <w:b/>
        </w:rPr>
        <w:t xml:space="preserve">10.4.</w:t>
      </w:r>
      <w:r>
        <w:rPr>
          <w:rStyle w:val="1010"/>
          <w:rFonts w:ascii="Arial" w:hAnsi="Arial" w:eastAsia="Arial" w:cs="Arial"/>
        </w:rPr>
        <w:t xml:space="preserve"> Nenhum pagamento será efetuado à Contratada enquanto pendente de liquidação qualquer obrigação, não podendo este fato ensejar direito de reajustamento de preços ou a atualização monetária.</w:t>
      </w:r>
      <w:r>
        <w:rPr>
          <w:rFonts w:ascii="Arial" w:hAnsi="Arial" w:cs="Arial"/>
        </w:rPr>
      </w:r>
      <w:r>
        <w:rPr>
          <w:rFonts w:ascii="Arial" w:hAnsi="Arial" w:cs="Arial"/>
        </w:rPr>
      </w:r>
    </w:p>
    <w:p>
      <w:pPr>
        <w:pStyle w:val="887"/>
        <w:pBdr/>
        <w:spacing/>
        <w:ind w:right="-5"/>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ight="-5"/>
        <w:jc w:val="both"/>
        <w:rPr>
          <w:rFonts w:ascii="Arial" w:hAnsi="Arial" w:cs="Arial"/>
        </w:rPr>
      </w:pPr>
      <w:r>
        <w:rPr>
          <w:rStyle w:val="1010"/>
          <w:rFonts w:ascii="Arial" w:hAnsi="Arial" w:eastAsia="Arial" w:cs="Arial"/>
          <w:b/>
        </w:rPr>
        <w:t xml:space="preserve">10.5.</w:t>
      </w:r>
      <w:r>
        <w:rPr>
          <w:rStyle w:val="1010"/>
          <w:rFonts w:ascii="Arial" w:hAnsi="Arial" w:eastAsia="Arial" w:cs="Arial"/>
        </w:rPr>
        <w:t xml:space="preserve"> Os pagamentos não realizados dentro do prazo, motivados pela CONTRATADA, não serão geradores de direito a reajustamento de preços. </w:t>
      </w:r>
      <w:r>
        <w:rPr>
          <w:rFonts w:ascii="Arial" w:hAnsi="Arial" w:cs="Arial"/>
        </w:rPr>
      </w:r>
      <w:r>
        <w:rPr>
          <w:rFonts w:ascii="Arial" w:hAnsi="Arial" w:cs="Arial"/>
        </w:rPr>
      </w:r>
    </w:p>
    <w:p>
      <w:pPr>
        <w:pStyle w:val="887"/>
        <w:pBdr/>
        <w:spacing/>
        <w:ind w:right="-5"/>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ight="-5"/>
        <w:jc w:val="both"/>
        <w:rPr>
          <w:rFonts w:ascii="Arial" w:hAnsi="Arial" w:cs="Arial"/>
        </w:rPr>
      </w:pPr>
      <w:r>
        <w:rPr>
          <w:rFonts w:ascii="Arial" w:hAnsi="Arial" w:eastAsia="Arial" w:cs="Arial"/>
          <w:b/>
        </w:rPr>
        <w:t xml:space="preserve">10.6.</w:t>
      </w:r>
      <w:r>
        <w:rPr>
          <w:rFonts w:ascii="Arial" w:hAnsi="Arial" w:eastAsia="Arial" w:cs="Arial"/>
        </w:rPr>
        <w:t xml:space="preserve"> As notas fiscais deverão estar devidamente atestada(s) pelos Secretários responsáveis pelas Secretarias solicitantes;</w:t>
      </w:r>
      <w:r>
        <w:rPr>
          <w:rFonts w:ascii="Arial" w:hAnsi="Arial" w:eastAsia="Arial" w:cs="Arial"/>
          <w:b/>
          <w:u w:val="single"/>
        </w:rPr>
        <w:t xml:space="preserve"> </w:t>
      </w:r>
      <w:r>
        <w:rPr>
          <w:rFonts w:ascii="Arial" w:hAnsi="Arial" w:cs="Arial"/>
        </w:rPr>
      </w:r>
      <w:r>
        <w:rPr>
          <w:rFonts w:ascii="Arial" w:hAnsi="Arial" w:cs="Arial"/>
        </w:rPr>
      </w:r>
    </w:p>
    <w:p>
      <w:pPr>
        <w:pStyle w:val="887"/>
        <w:pBdr/>
        <w:spacing/>
        <w:ind w:right="-5"/>
        <w:jc w:val="both"/>
        <w:rPr>
          <w:rFonts w:ascii="Arial" w:hAnsi="Arial" w:cs="Arial"/>
          <w:b/>
          <w:u w:val="single"/>
        </w:rPr>
      </w:pPr>
      <w:r>
        <w:rPr>
          <w:rFonts w:ascii="Arial" w:hAnsi="Arial" w:eastAsia="Arial" w:cs="Arial"/>
          <w:b/>
          <w:u w:val="single"/>
        </w:rPr>
      </w:r>
      <w:r>
        <w:rPr>
          <w:rFonts w:ascii="Arial" w:hAnsi="Arial" w:cs="Arial"/>
          <w:b/>
          <w:u w:val="single"/>
        </w:rPr>
      </w:r>
      <w:r>
        <w:rPr>
          <w:rFonts w:ascii="Arial" w:hAnsi="Arial" w:cs="Arial"/>
          <w:b/>
          <w:u w:val="single"/>
        </w:rPr>
      </w:r>
    </w:p>
    <w:p>
      <w:pPr>
        <w:pStyle w:val="887"/>
        <w:pBdr/>
        <w:spacing/>
        <w:ind/>
        <w:jc w:val="both"/>
        <w:rPr>
          <w:rFonts w:ascii="Arial" w:hAnsi="Arial" w:cs="Arial"/>
        </w:rPr>
      </w:pPr>
      <w:r>
        <w:rPr>
          <w:rFonts w:ascii="Arial" w:hAnsi="Arial" w:eastAsia="Arial" w:cs="Arial"/>
          <w:b/>
        </w:rPr>
        <w:t xml:space="preserve">10.7.</w:t>
      </w:r>
      <w:r>
        <w:rPr>
          <w:rFonts w:ascii="Arial" w:hAnsi="Arial" w:eastAsia="Arial" w:cs="Arial"/>
          <w:b/>
        </w:rPr>
        <w:t xml:space="preserve"> As Notas Fiscais deverão ser emitidas até o dia 25 de cada mês, conforme disposto no artigo 3º, § 1º da Instrução Normativa n. 03/2008. Nas Notas Fiscais deverão constar o número do processo e da modalidade da licitação, bem como a Secretaria solicitante.</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10.8.</w:t>
      </w:r>
      <w:r>
        <w:rPr>
          <w:rFonts w:ascii="Arial" w:hAnsi="Arial" w:eastAsia="Arial" w:cs="Arial"/>
        </w:rPr>
        <w:t xml:space="preserve"> O Município de Rondonópolis-MT, só autorizará a realização dos pagamentos, se houver por parte do setor requisitante dos produtos, o necessário ATESTO dos produtos entregues pela empresa vencedora, no verso da Nota Fiscal.</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Bdr/>
        <w:spacing/>
        <w:ind/>
        <w:jc w:val="both"/>
        <w:rPr>
          <w:rFonts w:ascii="Arial" w:hAnsi="Arial" w:cs="Arial"/>
        </w:rPr>
      </w:pPr>
      <w:r>
        <w:rPr>
          <w:rFonts w:ascii="Arial" w:hAnsi="Arial" w:eastAsia="Arial" w:cs="Arial"/>
          <w:b/>
        </w:rPr>
        <w:t xml:space="preserve">10.9.</w:t>
      </w:r>
      <w:r>
        <w:rPr>
          <w:rFonts w:ascii="Arial" w:hAnsi="Arial" w:eastAsia="Arial" w:cs="Arial"/>
        </w:rPr>
        <w:t xml:space="preserve"> </w:t>
      </w:r>
      <w:r>
        <w:rPr>
          <w:rFonts w:ascii="Arial" w:hAnsi="Arial" w:eastAsia="Arial" w:cs="Arial"/>
        </w:rPr>
        <w:t xml:space="preserve">O prazo para liquidação será de 15 (quinze) dias úteis</w:t>
      </w:r>
      <w:r>
        <w:rPr>
          <w:rFonts w:ascii="Arial" w:hAnsi="Arial" w:eastAsia="Arial" w:cs="Arial"/>
        </w:rPr>
        <w:t xml:space="preserve">.</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10.10. </w:t>
      </w:r>
      <w:r>
        <w:rPr>
          <w:rFonts w:ascii="Arial" w:hAnsi="Arial" w:eastAsia="Arial" w:cs="Arial"/>
        </w:rPr>
        <w:t xml:space="preserve">Quando do pagamento, será efetuada a retenção tributária prevista na legislação aplicável.</w:t>
      </w:r>
      <w:r>
        <w:rPr>
          <w:rFonts w:ascii="Arial" w:hAnsi="Arial" w:cs="Arial"/>
        </w:rPr>
      </w:r>
      <w:r>
        <w:rPr>
          <w:rFonts w:ascii="Arial" w:hAnsi="Arial" w:cs="Arial"/>
        </w:rPr>
      </w:r>
    </w:p>
    <w:p>
      <w:pPr>
        <w:pStyle w:val="887"/>
        <w:pBdr/>
        <w:tabs>
          <w:tab w:val="clear" w:leader="none" w:pos="708"/>
          <w:tab w:val="left" w:leader="none" w:pos="1440"/>
        </w:tabs>
        <w:spacing w:after="120" w:before="120"/>
        <w:ind w:left="708"/>
        <w:jc w:val="both"/>
        <w:rPr>
          <w:rFonts w:ascii="Arial" w:hAnsi="Arial" w:cs="Arial"/>
        </w:rPr>
      </w:pPr>
      <w:r>
        <w:rPr>
          <w:rFonts w:ascii="Arial" w:hAnsi="Arial" w:eastAsia="Arial" w:cs="Arial"/>
          <w:b/>
        </w:rPr>
        <w:t xml:space="preserve">10.10.1. </w:t>
      </w:r>
      <w:r>
        <w:rPr>
          <w:rFonts w:ascii="Arial" w:hAnsi="Arial" w:eastAsia="Arial" w:cs="Arial"/>
        </w:rPr>
        <w:t xml:space="preserve">A Contratada regularmente optante pelo Simples Nacional, nos termos da Lei Complementar nº 123, de 2006, não sofrerá a retenção tributária quant</w:t>
      </w:r>
      <w:r>
        <w:rPr>
          <w:rFonts w:ascii="Arial" w:hAnsi="Arial" w:eastAsia="Arial" w:cs="Arial"/>
        </w:rPr>
        <w:t xml:space="preserve">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10.11.</w:t>
      </w:r>
      <w:r>
        <w:rPr>
          <w:rFonts w:ascii="Arial" w:hAnsi="Arial" w:eastAsia="Arial" w:cs="Arial"/>
        </w:rPr>
        <w:t xml:space="preserve"> A liquidação e o pagamento não isentam o contratado das suas responsabilidades e obrigações vinculadas ao fornecimento, especialmente àquelas relacionadas à qualidade e garantia dos produtos, tampouco implicará aceitação definitiva do fornecimento.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10.12.</w:t>
      </w:r>
      <w:r>
        <w:rPr>
          <w:rFonts w:ascii="Arial" w:hAnsi="Arial" w:eastAsia="Arial" w:cs="Arial"/>
        </w:rPr>
        <w:t xml:space="preserve"> As despesas bancárias decorrentes de transferência de valores para outras praças, serão de responsabilidade do contratado.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CLÁUSULA DÉCIMA PRIMEIRA - DO REEQUILÍBRIO ECONÕMICO FINANCEIRO</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11.1.</w:t>
      </w:r>
      <w:r>
        <w:rPr>
          <w:rFonts w:ascii="Arial" w:hAnsi="Arial" w:eastAsia="Arial" w:cs="Arial"/>
        </w:rPr>
        <w:t xml:space="preserve"> Os preços inicialmente contratados são fixos e irreajustáveis pelo prazo de um ano contado da data do orçamento estimado.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2040"/>
        <w:widowControl w:val="false"/>
        <w:pBdr/>
        <w:tabs>
          <w:tab w:val="left" w:leader="none" w:pos="426"/>
          <w:tab w:val="clear" w:leader="none" w:pos="708"/>
        </w:tabs>
        <w:spacing/>
        <w:ind/>
        <w:jc w:val="both"/>
        <w:rPr>
          <w:rFonts w:ascii="Arial" w:hAnsi="Arial" w:cs="Arial"/>
        </w:rPr>
      </w:pPr>
      <w:r>
        <w:rPr>
          <w:rFonts w:ascii="Arial" w:hAnsi="Arial" w:eastAsia="Arial" w:cs="Arial"/>
          <w:b/>
          <w:bCs/>
          <w:iCs/>
          <w:spacing w:val="-1"/>
          <w:sz w:val="20"/>
          <w:szCs w:val="20"/>
          <w:lang w:eastAsia="pt-BR"/>
        </w:rPr>
        <w:t xml:space="preserve">11.1.1.</w:t>
      </w:r>
      <w:r>
        <w:rPr>
          <w:rFonts w:ascii="Arial" w:hAnsi="Arial" w:eastAsia="Arial" w:cs="Arial"/>
          <w:bCs/>
          <w:iCs/>
          <w:spacing w:val="-1"/>
          <w:sz w:val="20"/>
          <w:szCs w:val="20"/>
          <w:lang w:eastAsia="pt-BR"/>
        </w:rPr>
        <w:t xml:space="preserve"> </w:t>
      </w:r>
      <w:r>
        <w:rPr>
          <w:rFonts w:ascii="Arial" w:hAnsi="Arial" w:eastAsia="Arial" w:cs="Arial"/>
          <w:iCs/>
          <w:spacing w:val="-1"/>
          <w:sz w:val="20"/>
          <w:szCs w:val="20"/>
          <w:lang w:eastAsia="pt-BR"/>
        </w:rPr>
        <w:t xml:space="preserve">Considera-se preço registrado aquele atribuído ao produto, incluindo todas as despesas tais como: tributos (impostos, taxas, emolumentos, contribuições fiscais e para fiscais) e</w:t>
      </w:r>
      <w:r>
        <w:rPr>
          <w:rFonts w:ascii="Arial" w:hAnsi="Arial" w:eastAsia="Arial" w:cs="Arial"/>
          <w:sz w:val="20"/>
          <w:szCs w:val="20"/>
        </w:rPr>
        <w:t xml:space="preserve"> qualquer despesa, acessória e/ou complementar e outras não especificadas neste edital, mas que incidam no cumprimento das obrigações assumidas pela empresa detentora da Ata na execução da mesma.</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11.2.</w:t>
      </w:r>
      <w:r>
        <w:rPr>
          <w:rFonts w:ascii="Arial" w:hAnsi="Arial" w:eastAsia="Arial" w:cs="Arial"/>
        </w:rPr>
        <w:t xml:space="preserve"> Após o intervalo de um ano, os preços iniciais serão reajustados por meio da aplicação do Índice Nacional de Preços ao Consumidor Amplo (IPCA), divulgado pelo Instituto Brasileiro de Geografia e Estatística – IBGE.</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11.3.</w:t>
      </w:r>
      <w:r>
        <w:rPr>
          <w:rFonts w:ascii="Arial" w:hAnsi="Arial" w:eastAsia="Arial" w:cs="Arial"/>
        </w:rPr>
        <w:t xml:space="preserve"> Os reajustes deverão ser precedidos de solicitação do contratado, acompanhada de memorial do cálculo.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11.4.</w:t>
      </w:r>
      <w:r>
        <w:rPr>
          <w:rFonts w:ascii="Arial" w:hAnsi="Arial" w:eastAsia="Arial" w:cs="Arial"/>
        </w:rPr>
        <w:t xml:space="preserve"> Independentemente do requerimento de reajus</w:t>
      </w:r>
      <w:r>
        <w:rPr>
          <w:rFonts w:ascii="Arial" w:hAnsi="Arial" w:eastAsia="Arial" w:cs="Arial"/>
        </w:rPr>
        <w:t xml:space="preserve">te formulado pelo contratado, o contratante verificará, a cada anualidade, se houve deflação do índice adotado que justifique o recálculo dos custos em valor menor, promovendo, em caso positivo, a redução dos valores correspondentes da planilha contratual.</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11.5.</w:t>
      </w:r>
      <w:r>
        <w:rPr>
          <w:rFonts w:ascii="Arial" w:hAnsi="Arial" w:eastAsia="Arial" w:cs="Arial"/>
        </w:rPr>
        <w:t xml:space="preserve"> Nos reajustes subsequentes ao primeiro, o intervalo mínimo de um ano será contado a partir dos efeitos financeiros do último reajuste.</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11.6.</w:t>
      </w:r>
      <w:r>
        <w:rPr>
          <w:rFonts w:ascii="Arial" w:hAnsi="Arial" w:eastAsia="Arial" w:cs="Arial"/>
        </w:rPr>
        <w:t xml:space="preserve"> No </w:t>
      </w:r>
      <w:r>
        <w:rPr>
          <w:rFonts w:ascii="Arial" w:hAnsi="Arial" w:eastAsia="Arial" w:cs="Arial"/>
        </w:rPr>
        <w:t xml:space="preserve">caso de atraso ou não divulgação do(s) índice (s) de reajustamento, o contratante pagará ao contratado a importância calculada pela última variação conhecida, liquidando a diferença correspondente tão logo seja(m) divulgado(s) o(s) índice(s) definitivo(s).</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11.7</w:t>
      </w:r>
      <w:r>
        <w:rPr>
          <w:rFonts w:ascii="Arial" w:hAnsi="Arial" w:eastAsia="Arial" w:cs="Arial"/>
        </w:rPr>
        <w:t xml:space="preserve">. A prorrogação contratual sem a solicitação do reajuste implica a preclusão deste, sem prejuízo dos futuros reajustes nos termos pactuados.</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11.8.</w:t>
      </w:r>
      <w:r>
        <w:rPr>
          <w:rFonts w:ascii="Arial" w:hAnsi="Arial" w:eastAsia="Arial" w:cs="Arial"/>
        </w:rPr>
        <w:t xml:space="preserve"> Caso o(s) índice(s) estabelecido(s) para reajustamento venha(m) a ser extinto(s) ou de qualquer forma não possa(m) mais ser utilizado(s), será(ão) adotado(s), em substituição, o(s) que vier(em) a ser determinado(s) pela legislação então em vigor.</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11.9.</w:t>
      </w:r>
      <w:r>
        <w:rPr>
          <w:rFonts w:ascii="Arial" w:hAnsi="Arial" w:eastAsia="Arial" w:cs="Arial"/>
        </w:rPr>
        <w:t xml:space="preserve"> Na ausência de previsão legal quanto ao índice substituto, as partes elegerão novo índice oficial, para reajustamento do preço do valor remanescente, por meio de termo aditivo.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11.10</w:t>
      </w:r>
      <w:r>
        <w:rPr>
          <w:rFonts w:ascii="Arial" w:hAnsi="Arial" w:eastAsia="Arial" w:cs="Arial"/>
        </w:rPr>
        <w:t xml:space="preserve">. O reajuste será realizado por apostilamento.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11.11.</w:t>
      </w:r>
      <w:r>
        <w:rPr>
          <w:rFonts w:ascii="Arial" w:hAnsi="Arial" w:eastAsia="Arial" w:cs="Arial"/>
        </w:rPr>
        <w:t xml:space="preserve"> O prazo para resposta para pedido de pedido de reajuste, pedido de equilíbrio econômico-financeiro será de até 30 (trinta) dias úteis.</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ight="-5"/>
        <w:rPr>
          <w:rFonts w:ascii="Arial" w:hAnsi="Arial" w:cs="Arial"/>
        </w:rPr>
      </w:pPr>
      <w:r>
        <w:rPr>
          <w:rFonts w:ascii="Arial" w:hAnsi="Arial" w:eastAsia="Arial" w:cs="Arial"/>
          <w:b/>
        </w:rPr>
        <w:t xml:space="preserve">CLÁUSULA DÉCIMA SEGUNDA – DA VIGÊNCIA:</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Bdr/>
        <w:spacing/>
        <w:ind/>
        <w:jc w:val="both"/>
        <w:rPr>
          <w:rFonts w:ascii="Arial" w:hAnsi="Arial" w:cs="Arial"/>
          <w14:ligatures w14:val="none"/>
        </w:rPr>
      </w:pPr>
      <w:r>
        <w:rPr>
          <w:rFonts w:ascii="Arial" w:hAnsi="Arial" w:eastAsia="Arial" w:cs="Arial"/>
          <w:b/>
        </w:rPr>
        <w:t xml:space="preserve">12.1</w:t>
      </w:r>
      <w:r>
        <w:rPr>
          <w:rFonts w:ascii="Arial" w:hAnsi="Arial" w:eastAsia="Arial" w:cs="Arial"/>
        </w:rPr>
        <w:t xml:space="preserve">. </w:t>
      </w:r>
      <w:r>
        <w:rPr>
          <w:rFonts w:ascii="Arial" w:hAnsi="Arial" w:eastAsia="Arial" w:cs="Arial"/>
        </w:rPr>
        <w:t xml:space="preserve">O prazo de vigência do futuro contrato será de 12 (doze) meses, contados de sua assinatura, podendo ser prorrogado, </w:t>
      </w:r>
      <w:r>
        <w:rPr>
          <w:rFonts w:ascii="Arial" w:hAnsi="Arial" w:eastAsia="Arial" w:cs="Arial"/>
        </w:rPr>
        <w:t xml:space="preserve">desde que haja interesse da Administração e justificativa formal, observadas as disposições da Lei nº 14.133/2021 e do Decreto Municipal nº 11.685/2023, mantidas as condições pactuadas e atendidos os pressupostos legais aplicáveis à prorrogação contratual.</w:t>
      </w:r>
      <w:r>
        <w:rPr>
          <w:rFonts w:ascii="Arial" w:hAnsi="Arial" w:cs="Arial"/>
          <w14:ligatures w14:val="none"/>
        </w:rPr>
      </w:r>
      <w:r>
        <w:rPr>
          <w:rFonts w:ascii="Arial" w:hAnsi="Arial" w:cs="Arial"/>
          <w14:ligatures w14:val="none"/>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CLÁUSULA DÉCIMA TERCEIRA – DA ALTERAÇÃO DO CONTRATO</w:t>
      </w:r>
      <w:r>
        <w:rPr>
          <w:rFonts w:ascii="Arial" w:hAnsi="Arial" w:eastAsia="Arial" w:cs="Arial"/>
        </w:rPr>
        <w:t xml:space="preserve">:</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13.1.</w:t>
      </w:r>
      <w:r>
        <w:rPr>
          <w:rFonts w:ascii="Arial" w:hAnsi="Arial" w:eastAsia="Arial" w:cs="Arial"/>
        </w:rPr>
        <w:t xml:space="preserve"> O contrato poderá ser alterado na forma do artigo 124 e seguintes da Lei nº 14.133/2021 e Decreto Municipal nº 11.685/2023.</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13.2.</w:t>
      </w:r>
      <w:r>
        <w:rPr>
          <w:rFonts w:ascii="Arial" w:hAnsi="Arial" w:eastAsia="Arial" w:cs="Arial"/>
        </w:rPr>
        <w:t xml:space="preserve"> O contratado é obrigado a aceitar, nas mesmas condições contratuais, os acréscimos ou supressões que se fizerem necessários, até o limite de 25% (vinte e cinco por cento) do valor inicial atualizado do contrato.</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13.3.</w:t>
      </w:r>
      <w:r>
        <w:rPr>
          <w:rFonts w:ascii="Arial" w:hAnsi="Arial" w:eastAsia="Arial" w:cs="Arial"/>
        </w:rPr>
        <w:t xml:space="preserve"> Registros que não caracterizam alteração do contrato podem ser realizados por simples apostila, dispensada a celebração de termo aditivo, na forma do artigo 136 da Lei nº 14.133, de 2021.</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13.4.</w:t>
      </w:r>
      <w:r>
        <w:rPr>
          <w:rFonts w:ascii="Arial" w:hAnsi="Arial" w:eastAsia="Arial" w:cs="Arial"/>
        </w:rPr>
        <w:t xml:space="preserve"> Durante a vigência do contrato </w:t>
      </w:r>
      <w:r>
        <w:rPr>
          <w:rFonts w:ascii="Arial" w:hAnsi="Arial" w:eastAsia="Arial" w:cs="Arial"/>
        </w:rPr>
        <w:t xml:space="preserve">o contratado poderá solicitar a revisão dos preços para manter o equilíbrio econômico-financeiro obtido na licitação, mediante a comprovação dos fatos previstos no artigo 124, inciso II, alínea “d”, da Lei nº 14.133/2021, conforme cláusula décima primeira.</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CLÁUSULA DÉCIMA QUARTA – DA EXTINÇÃO DO CONTRATO</w:t>
      </w:r>
      <w:r>
        <w:rPr>
          <w:rFonts w:ascii="Arial" w:hAnsi="Arial" w:eastAsia="Arial" w:cs="Arial"/>
        </w:rPr>
        <w:t xml:space="preserve">:</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14.1.</w:t>
      </w:r>
      <w:r>
        <w:rPr>
          <w:rFonts w:ascii="Arial" w:hAnsi="Arial" w:eastAsia="Arial" w:cs="Arial"/>
        </w:rPr>
        <w:t xml:space="preserve"> O contrato se extingue quando cumpridas as obrigações de ambas as partes, ainda que isso ocorra antes do prazo estipulado para tanto.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14.2.</w:t>
      </w:r>
      <w:r>
        <w:rPr>
          <w:rFonts w:ascii="Arial" w:hAnsi="Arial" w:eastAsia="Arial" w:cs="Arial"/>
        </w:rPr>
        <w:t xml:space="preserve"> O presente termo de contrato poderá ser extinto nas hipóteses previstas no rol do</w:t>
      </w:r>
      <w:r>
        <w:rPr>
          <w:rFonts w:ascii="Arial" w:hAnsi="Arial" w:eastAsia="Arial" w:cs="Arial"/>
        </w:rPr>
        <w:t xml:space="preserve"> artigo 137 da Lei nº 14.133/202, devendo a extinção ser formalmente motivada nos autos do processo, assegurado o contraditório e ampla defesa e respeitados os procedimentos descritos no Decreto Municipal nº 11.685/2023 e nas demais legislações aplicáveis.</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14.2.1.</w:t>
      </w:r>
      <w:r>
        <w:rPr>
          <w:rFonts w:ascii="Arial" w:hAnsi="Arial" w:eastAsia="Arial" w:cs="Arial"/>
        </w:rPr>
        <w:t xml:space="preserve"> Nesta hipótese, aplicam-se também os artigos 138 e 139 da Lei 14.133/2021.</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14.2.2.</w:t>
      </w:r>
      <w:r>
        <w:rPr>
          <w:rFonts w:ascii="Arial" w:hAnsi="Arial" w:eastAsia="Arial" w:cs="Arial"/>
        </w:rPr>
        <w:t xml:space="preserve"> A alteração social ou a modificação da finalidade ou da estrutura da empresa não ensejará a rescisão se não restringir sua capacidade de concluir o contrato.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14.2.3.</w:t>
      </w:r>
      <w:r>
        <w:rPr>
          <w:rFonts w:ascii="Arial" w:hAnsi="Arial" w:eastAsia="Arial" w:cs="Arial"/>
        </w:rPr>
        <w:t xml:space="preserve"> Se a operação implicar mudança da pessoa jurídica contratada, deverá ser formalizado termo aditivo para alteração subjetiva.</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14.3.</w:t>
      </w:r>
      <w:r>
        <w:rPr>
          <w:rFonts w:ascii="Arial" w:hAnsi="Arial" w:eastAsia="Arial" w:cs="Arial"/>
        </w:rPr>
        <w:t xml:space="preserve"> A extinção determinada por ato unilateral da Administração e a extinção consensual deverão ser precedidas de autorização escrita e fundamentada da autoridade competente e reduzidas a termo no respectivo processo.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14.4.</w:t>
      </w:r>
      <w:r>
        <w:rPr>
          <w:rFonts w:ascii="Arial" w:hAnsi="Arial" w:eastAsia="Arial" w:cs="Arial"/>
        </w:rPr>
        <w:t xml:space="preserve"> O contrato poderá ser extinto caso se constate que o contratado mantém vínculo de natureza técnica, comercial, econômica, financeira, trabalhista ou civil com dirigente do órgão ou entidade contratante ou com agente públic</w:t>
      </w:r>
      <w:r>
        <w:rPr>
          <w:rFonts w:ascii="Arial" w:hAnsi="Arial" w:eastAsia="Arial" w:cs="Arial"/>
        </w:rPr>
        <w:t xml:space="preserve">o que tenha desempenhado função na licitação ou atue na fiscalização ou na gestão do contrato, ou que deles seja cônjuge, companheiro ou parente em linha reta, colateral ou por afinidade, até o terceiro grau (art. 14, inciso IV, da Lei nº 14.133, de 2021).</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14.5.</w:t>
      </w:r>
      <w:r>
        <w:rPr>
          <w:rFonts w:ascii="Arial" w:hAnsi="Arial" w:eastAsia="Arial" w:cs="Arial"/>
        </w:rPr>
        <w:t xml:space="preserve"> A extinção do contrato não configura óbice para o reconhecimento do desequilíbrio econômico-financeiro, hipótese em que será concedida indenização por meio de termo indenizatório (art. 131, </w:t>
      </w:r>
      <w:r>
        <w:rPr>
          <w:rFonts w:ascii="Arial" w:hAnsi="Arial" w:eastAsia="Arial" w:cs="Arial"/>
          <w:i/>
          <w:iCs/>
        </w:rPr>
        <w:t xml:space="preserve">caput, </w:t>
      </w:r>
      <w:r>
        <w:rPr>
          <w:rFonts w:ascii="Arial" w:hAnsi="Arial" w:eastAsia="Arial" w:cs="Arial"/>
        </w:rPr>
        <w:t xml:space="preserve">da Lei nº 14.133, de 2021).</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CLÁUSULA DÉCIMA QUINTA – DA FISCALIZAÇÃO E GESTÃO DO CONTRATO</w:t>
      </w:r>
      <w:r>
        <w:rPr>
          <w:rFonts w:ascii="Arial" w:hAnsi="Arial" w:eastAsia="Arial" w:cs="Arial"/>
        </w:rPr>
        <w:t xml:space="preserve">:</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15.1.</w:t>
      </w:r>
      <w:r>
        <w:rPr>
          <w:rFonts w:ascii="Arial" w:hAnsi="Arial" w:eastAsia="Arial" w:cs="Arial"/>
        </w:rPr>
        <w:t xml:space="preserve"> Será designado, pelo contratante, um servidor qualificado ou uma comissão para exercer a fiscalização e acompanhamento do contrato,</w:t>
      </w:r>
      <w:r>
        <w:rPr>
          <w:rFonts w:ascii="Arial" w:hAnsi="Arial" w:eastAsia="Arial" w:cs="Arial"/>
        </w:rPr>
        <w:t xml:space="preserve"> que terá, dentre outras, a incumbência de informar as ocorrências relevantes verificadas na execução contratual, inclusive quanto a eventuais atrasos e descumprimentos de cláusulas contratuais; solicitar ao contratado documentos exigidos para o fornecimen</w:t>
      </w:r>
      <w:r>
        <w:rPr>
          <w:rFonts w:ascii="Arial" w:hAnsi="Arial" w:eastAsia="Arial" w:cs="Arial"/>
        </w:rPr>
        <w:t xml:space="preserve">to do bem, correção de falhas na execução contratual, cumprimento da legislação aplicável, e, sendo o caso, determinar a substituição de produtos defeituosos; informar as autoridades competentes a ocorrência de ilegalidades e irregularidades que constatar;</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15.2</w:t>
      </w:r>
      <w:r>
        <w:rPr>
          <w:rFonts w:ascii="Arial" w:hAnsi="Arial" w:eastAsia="Arial" w:cs="Arial"/>
        </w:rPr>
        <w:t xml:space="preserve">. A execução do contrato deverá ser acompanhada e fiscalizada por um ou mais fiscais de contratos, representantes da Administração especialmente designados, nos termos do art. 117 da Lei nº 14.133/2021.</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15.3. </w:t>
      </w:r>
      <w:r>
        <w:rPr>
          <w:rFonts w:ascii="Arial" w:hAnsi="Arial" w:eastAsia="Arial" w:cs="Arial"/>
        </w:rPr>
        <w:t xml:space="preserve">A fiscalização exercida pelo contratante na entrega dos bens não exclui a responsabilidade do contra</w:t>
      </w:r>
      <w:r>
        <w:rPr>
          <w:rFonts w:ascii="Arial" w:hAnsi="Arial" w:eastAsia="Arial" w:cs="Arial"/>
        </w:rPr>
        <w:t xml:space="preserve">tado, por quaisquer irregularidades resultantes de imperfeições técnicas, vícios redibitórios, ou emprego de material inadequado ou de qualidade inferior e, na ocorrência deste, não implica co-responsabilidade do contratante ou de seus agentes e prepostos.</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15.4.</w:t>
      </w:r>
      <w:r>
        <w:rPr>
          <w:rFonts w:ascii="Arial" w:hAnsi="Arial" w:eastAsia="Arial" w:cs="Arial"/>
        </w:rPr>
        <w:t xml:space="preserve"> Em caso de impedimento, ordem de paralisação ou suspensão do contrato, o cronograma de execução será prorrogado automaticamente pelo tempo correspondente, anotadas tais circunstâncias mediante simples apostilamento.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15.5.</w:t>
      </w:r>
      <w:r>
        <w:rPr>
          <w:rFonts w:ascii="Arial" w:hAnsi="Arial" w:eastAsia="Arial" w:cs="Arial"/>
        </w:rPr>
        <w:t xml:space="preserve"> A execução do contrato deverá ser acompanhada e fiscalizada pelo(s) fiscal(is) do contrato, ou, em caso de afastamentos legais, pelos respectivos substitutos.</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15.6.</w:t>
      </w:r>
      <w:r>
        <w:rPr>
          <w:rFonts w:ascii="Arial" w:hAnsi="Arial" w:eastAsia="Arial" w:cs="Arial"/>
        </w:rPr>
        <w:t xml:space="preserve"> Os gestores e fiscais de contrato devem ser previamente designados, por portaria geral ou específica, conforme Decreto Municipal nº 11.685/2023 e cientificados de forma expressa, preferencialmente por meio eletrônico, bem como os titulares e substitutos.</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15.7.</w:t>
      </w:r>
      <w:r>
        <w:rPr>
          <w:rFonts w:ascii="Arial" w:hAnsi="Arial" w:eastAsia="Arial" w:cs="Arial"/>
        </w:rPr>
        <w:t xml:space="preserve"> Não obstante o contratado se</w:t>
      </w:r>
      <w:r>
        <w:rPr>
          <w:rFonts w:ascii="Arial" w:hAnsi="Arial" w:eastAsia="Arial" w:cs="Arial"/>
        </w:rPr>
        <w:t xml:space="preserve">ja o único e exclusivo responsável pela execução do Contrato, o contratante reserva-se o direito de, sem que de qualquer forma restrinja a plenitude dessa responsabilidade, exercer a mais ampla e completa fiscalização sobre a execução do objeto contratado.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CLÁUSULA DÉCIMA SEXTA - DAS INFRAÇÕES E SANÇÕES ADMINISTRATIVAS: </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16.1.</w:t>
      </w:r>
      <w:r>
        <w:rPr>
          <w:rFonts w:ascii="Arial" w:hAnsi="Arial" w:eastAsia="Arial" w:cs="Arial"/>
        </w:rPr>
        <w:t xml:space="preserve"> Comete infração administrativa, nos termos da Lei nº 14.133/2021 (art. 155) e do Decreto Municipal nº 11.685/2023 o contratado que:</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16.1.1.</w:t>
      </w:r>
      <w:r>
        <w:rPr>
          <w:rFonts w:ascii="Arial" w:hAnsi="Arial" w:eastAsia="Arial" w:cs="Arial"/>
        </w:rPr>
        <w:t xml:space="preserve"> Dar causa à inexecução parcial do contrato que cause grave dano à Administração, ao funcionamento dos serviços públicos ou ao interesse coletivo.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16.1.2.</w:t>
      </w:r>
      <w:r>
        <w:rPr>
          <w:rFonts w:ascii="Arial" w:hAnsi="Arial" w:eastAsia="Arial" w:cs="Arial"/>
        </w:rPr>
        <w:t xml:space="preserve"> Dar causa à inexecução total do contrato.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16.1.3.</w:t>
      </w:r>
      <w:r>
        <w:rPr>
          <w:rFonts w:ascii="Arial" w:hAnsi="Arial" w:eastAsia="Arial" w:cs="Arial"/>
        </w:rPr>
        <w:t xml:space="preserve"> Não celebrar o contrato ou não entregar a documentação exigida para a contratação, quando convocado dentro do prazo de validade de sua proposta.</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16.1.4.</w:t>
      </w:r>
      <w:r>
        <w:rPr>
          <w:rFonts w:ascii="Arial" w:hAnsi="Arial" w:eastAsia="Arial" w:cs="Arial"/>
        </w:rPr>
        <w:t xml:space="preserve"> Ensejar o retardamento da execução ou da entrega do objeto da licitação sem motivo justificado.</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16.1.5.</w:t>
      </w:r>
      <w:r>
        <w:rPr>
          <w:rFonts w:ascii="Arial" w:hAnsi="Arial" w:eastAsia="Arial" w:cs="Arial"/>
        </w:rPr>
        <w:t xml:space="preserve"> Apresentar declaração ou documentação falsa exigida para o certame ou prestar declaração falsa durante a licitação ou a execução do contrato.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16.1.6. </w:t>
      </w:r>
      <w:r>
        <w:rPr>
          <w:rFonts w:ascii="Arial" w:hAnsi="Arial" w:eastAsia="Arial" w:cs="Arial"/>
        </w:rPr>
        <w:t xml:space="preserve">Fraudar a licitação ou praticar ato fraudulento na execução do contrato.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16.1.7.</w:t>
      </w:r>
      <w:r>
        <w:rPr>
          <w:rFonts w:ascii="Arial" w:hAnsi="Arial" w:eastAsia="Arial" w:cs="Arial"/>
        </w:rPr>
        <w:t xml:space="preserve"> Comportar-se de modo inidôneo ou cometer fraude de qualquer natureza.</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16.1.8.</w:t>
      </w:r>
      <w:r>
        <w:rPr>
          <w:rFonts w:ascii="Arial" w:hAnsi="Arial" w:eastAsia="Arial" w:cs="Arial"/>
        </w:rPr>
        <w:t xml:space="preserve"> Praticar atos ilícitos com vistas a frustrar os objetivos da licitação.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16.1.9.</w:t>
      </w:r>
      <w:r>
        <w:rPr>
          <w:rFonts w:ascii="Arial" w:hAnsi="Arial" w:eastAsia="Arial" w:cs="Arial"/>
        </w:rPr>
        <w:t xml:space="preserve"> Praticar ato lesivo previsto no art. 5º, da Lei nº 12.846/2013.</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w:t>
      </w:r>
      <w:r>
        <w:rPr>
          <w:rFonts w:ascii="Arial" w:hAnsi="Arial" w:eastAsia="Arial" w:cs="Arial"/>
        </w:rPr>
        <w:t xml:space="preserve"> Serão aplicadas ao contratado que incorrer nas infrações acima descritas as seguintes sanções:</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16.2.1.</w:t>
      </w:r>
      <w:r>
        <w:rPr>
          <w:rFonts w:ascii="Arial" w:hAnsi="Arial" w:eastAsia="Arial" w:cs="Arial"/>
        </w:rPr>
        <w:t xml:space="preserve"> Advertência, quan</w:t>
      </w:r>
      <w:r>
        <w:rPr>
          <w:rFonts w:ascii="Arial" w:hAnsi="Arial" w:eastAsia="Arial" w:cs="Arial"/>
        </w:rPr>
        <w:t xml:space="preserve">do o contratado der causa à inexecução parcial do contrato que não implique em prejuízo ou dano à administração, bem como na hipótese de descumprimento de pequena relevância praticado pelo contratado e que não justifique imposição de penalidade mais grave;</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16.2.2.</w:t>
      </w:r>
      <w:r>
        <w:rPr>
          <w:rFonts w:ascii="Arial" w:hAnsi="Arial" w:eastAsia="Arial" w:cs="Arial"/>
        </w:rPr>
        <w:t xml:space="preserve"> Multa:</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Bdr/>
        <w:spacing/>
        <w:ind/>
        <w:jc w:val="both"/>
        <w:rPr>
          <w:rFonts w:ascii="Arial" w:hAnsi="Arial" w:cs="Arial"/>
          <w14:ligatures w14:val="none"/>
        </w:rPr>
      </w:pPr>
      <w:r>
        <w:rPr>
          <w:rFonts w:ascii="Arial" w:hAnsi="Arial" w:eastAsia="Arial" w:cs="Arial"/>
          <w:b/>
        </w:rPr>
        <w:t xml:space="preserve">16.2.2.1.</w:t>
      </w:r>
      <w:r>
        <w:rPr>
          <w:rFonts w:ascii="Arial" w:hAnsi="Arial" w:eastAsia="Arial" w:cs="Arial"/>
        </w:rPr>
        <w:t xml:space="preserve"> </w:t>
      </w:r>
      <w:r>
        <w:rPr>
          <w:rFonts w:ascii="Arial" w:hAnsi="Arial" w:eastAsia="Arial" w:cs="Arial"/>
        </w:rPr>
        <w:t xml:space="preserve">Multa moratória de 0,5% (meio por cento) do valor da parcela inadimplida por dia de atraso injustificado, limitada ao percentual máximo previsto no edital e na legislação aplicável.</w:t>
      </w:r>
      <w:r>
        <w:rPr>
          <w:rFonts w:ascii="Arial" w:hAnsi="Arial" w:cs="Arial"/>
          <w14:ligatures w14:val="none"/>
        </w:rPr>
      </w:r>
      <w:r>
        <w:rPr>
          <w:rFonts w:ascii="Arial" w:hAnsi="Arial" w:cs="Arial"/>
          <w14:ligatures w14:val="none"/>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16.2.2.1.1</w:t>
      </w:r>
      <w:r>
        <w:rPr>
          <w:rFonts w:ascii="Arial" w:hAnsi="Arial" w:eastAsia="Arial" w:cs="Arial"/>
        </w:rPr>
        <w:t xml:space="preserve">. O atraso superior a 30 (trinta) dias autoriza a Administração a promover a extinção do contrato por descumprimento ou cumprimento irregular de suas cláusulas, conforme dispõe o inciso I do art. 137 da Lei n.</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t xml:space="preserve">14.133, de 2021.</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16.2.2.2.</w:t>
      </w:r>
      <w:r>
        <w:rPr>
          <w:rFonts w:ascii="Arial" w:hAnsi="Arial" w:eastAsia="Arial" w:cs="Arial"/>
        </w:rPr>
        <w:t xml:space="preserve"> Compensatória: será aplicada multa de 0,5% até 30% sobre o valor do contrato, devendo a autoridade competente observar, na dosimetria da pena, as seguintes recomendações:</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16.2.2.2.1. </w:t>
      </w:r>
      <w:r>
        <w:rPr>
          <w:rFonts w:ascii="Arial" w:hAnsi="Arial" w:eastAsia="Arial" w:cs="Arial"/>
        </w:rPr>
        <w:t xml:space="preserve">Em casos</w:t>
      </w:r>
      <w:r>
        <w:rPr>
          <w:rFonts w:ascii="Arial" w:hAnsi="Arial" w:eastAsia="Arial" w:cs="Arial"/>
        </w:rPr>
        <w:t xml:space="preserve"> de inexecução parcial do contrato, que cause grave dano à Administração, ao funcionamento dos serviços públicos ou ao interesse coletivo (item 16.1.1), bem como quantos aos itens: 16.1.3 e 16.1.4, a multa será de 0,5% a 15% do valor do contrato licitado.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16.2.2.2.2.</w:t>
      </w:r>
      <w:r>
        <w:rPr>
          <w:rFonts w:ascii="Arial" w:hAnsi="Arial" w:eastAsia="Arial" w:cs="Arial"/>
        </w:rPr>
        <w:t xml:space="preserve"> Em casos de ine</w:t>
      </w:r>
      <w:r>
        <w:rPr>
          <w:rFonts w:ascii="Arial" w:hAnsi="Arial" w:eastAsia="Arial" w:cs="Arial"/>
        </w:rPr>
        <w:t xml:space="preserve">xecução total do contrato (item 16.1.2), bem como quanto aos itens: 16.1.5; 16.1.6; 16.1.7; 16.1.8 e 16.1.9) nas hipóteses de atos fraudulentos com o objetivo de obter vantagens indevidas, a multa será fixada entre 15% a 30% do valor do contrato licitado.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16.2.2.2.3.</w:t>
      </w:r>
      <w:r>
        <w:rPr>
          <w:rFonts w:ascii="Arial" w:hAnsi="Arial" w:eastAsia="Arial" w:cs="Arial"/>
        </w:rPr>
        <w:t xml:space="preserve"> No caso de inexecução total, a multa será aplicada independentemente da existência ou não do prejuízo ao contratante, implicando ainda na possibilidade de rescisão do contrato.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16.2.2.3.</w:t>
      </w:r>
      <w:r>
        <w:rPr>
          <w:rFonts w:ascii="Arial" w:hAnsi="Arial" w:eastAsia="Arial" w:cs="Arial"/>
        </w:rPr>
        <w:t xml:space="preserve"> Antes da aplicação da multa será facultada a defesa do interessado no prazo de 15 (quinze) dias úteis, contado da data de sua intimação.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16.2.2.4.</w:t>
      </w:r>
      <w:r>
        <w:rPr>
          <w:rFonts w:ascii="Arial" w:hAnsi="Arial" w:eastAsia="Arial" w:cs="Arial"/>
        </w:rPr>
        <w:t xml:space="preserve"> Se a multa aplicada e as indenizações cabíveis forem superiores ao valor do pagamento eventualmente devido pelo contratante ao contratado, além da perda desse valor, a diferença será descontada da garantia prestada ou será cobrada judicialmente.</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16.2.2.5.</w:t>
      </w:r>
      <w:r>
        <w:rPr>
          <w:rFonts w:ascii="Arial" w:hAnsi="Arial" w:eastAsia="Arial" w:cs="Arial"/>
        </w:rPr>
        <w:t xml:space="preserve"> Caso o cont</w:t>
      </w:r>
      <w:r>
        <w:rPr>
          <w:rFonts w:ascii="Arial" w:hAnsi="Arial" w:eastAsia="Arial" w:cs="Arial"/>
        </w:rPr>
        <w:t xml:space="preserve">ratado não tenha nenhum valor a receber do contratante, ou os valores do pagamento e da garantia contratual forem insuficientes, o contratante concederá o prazo de 05 (cinco) dias úteis, contados do recebimento de sua intimação, para que a multa seja paga.</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16.2.2.6.</w:t>
      </w:r>
      <w:r>
        <w:rPr>
          <w:rFonts w:ascii="Arial" w:hAnsi="Arial" w:eastAsia="Arial" w:cs="Arial"/>
        </w:rPr>
        <w:t xml:space="preserve"> Esgotados os meios administrativos para a cobrança dos valores devidos, o contratante providenciará o encaminhamento do processo à Procuradoria-Geral do Município para que seja realizada a cobrança judicial.</w:t>
      </w:r>
      <w:r>
        <w:rPr>
          <w:rFonts w:ascii="Arial" w:hAnsi="Arial" w:cs="Arial"/>
        </w:rPr>
      </w:r>
      <w:r>
        <w:rPr>
          <w:rFonts w:ascii="Arial" w:hAnsi="Arial" w:cs="Arial"/>
        </w:rPr>
      </w:r>
    </w:p>
    <w:p w14:paraId="661F05C6">
      <w:pPr>
        <w:pStyle w:val="887"/>
        <w:pBdr/>
        <w:spacing/>
        <w:ind/>
        <w:jc w:val="both"/>
        <w:rPr>
          <w:rFonts w:ascii="Arial" w:hAnsi="Arial" w:cs="Arial"/>
        </w:rPr>
      </w:pPr>
      <w:r>
        <w:rPr>
          <w:rFonts w:ascii="Arial" w:hAnsi="Arial" w:eastAsia="Arial" w:cs="Arial"/>
          <w:highlight w:val="none"/>
        </w:rPr>
      </w:r>
      <w:r>
        <w:rPr>
          <w:rFonts w:ascii="Arial" w:hAnsi="Arial" w:cs="Arial"/>
        </w:rPr>
      </w:r>
      <w:r>
        <w:rPr>
          <w:rFonts w:ascii="Arial" w:hAnsi="Arial" w:cs="Arial"/>
        </w:rPr>
      </w:r>
    </w:p>
    <w:p>
      <w:pPr>
        <w:pStyle w:val="887"/>
        <w:pBdr/>
        <w:spacing/>
        <w:ind/>
        <w:jc w:val="both"/>
        <w:rPr>
          <w:rFonts w:ascii="Arial" w:hAnsi="Arial" w:cs="Arial"/>
          <w:highlight w:val="none"/>
        </w:rPr>
      </w:pPr>
      <w:r>
        <w:rPr>
          <w:rFonts w:ascii="Arial" w:hAnsi="Arial" w:eastAsia="Arial" w:cs="Arial"/>
          <w:b/>
        </w:rPr>
        <w:t xml:space="preserve">16.2.2.7.</w:t>
      </w:r>
      <w:r>
        <w:rPr>
          <w:rFonts w:ascii="Arial" w:hAnsi="Arial" w:eastAsia="Arial" w:cs="Arial"/>
        </w:rPr>
        <w:t xml:space="preserve"> Caso o contratante tenha de recorrer ou comparecer a juízo para haver o que lhe for devido, o contratado ficará sujeita ao pagamento, além do princi</w:t>
      </w:r>
      <w:r>
        <w:rPr>
          <w:rFonts w:ascii="Arial" w:hAnsi="Arial" w:eastAsia="Arial" w:cs="Arial"/>
        </w:rPr>
        <w:t xml:space="preserve">pal do débito, da pena convencional de 10% (dez por cento) sobre o valor do litígio, dos juros de mora de 1% (um por cento) ao mês, despesas de processo e honorários de advogado, estes fixados, desde logo, em 20% (vinte por cento) sobre o valor em litígio.</w:t>
      </w:r>
      <w:r>
        <w:rPr>
          <w:rFonts w:ascii="Arial" w:hAnsi="Arial" w:cs="Arial"/>
          <w:highlight w:val="none"/>
        </w:rPr>
      </w:r>
      <w:r>
        <w:rPr>
          <w:rFonts w:ascii="Arial" w:hAnsi="Arial" w:cs="Arial"/>
          <w:highlight w:val="none"/>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16.2.2.8.</w:t>
      </w:r>
      <w:r>
        <w:rPr>
          <w:rFonts w:ascii="Arial" w:hAnsi="Arial" w:eastAsia="Arial" w:cs="Arial"/>
        </w:rPr>
        <w:t xml:space="preserve"> A aplicação de multa de mora não impedirá que a Administração a converta em compensatória e promova a extinção unilateral do contrato com a aplicação cumulada de outras sanções previstas na Lei 14.133/2021.</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16.2.3.</w:t>
      </w:r>
      <w:r>
        <w:rPr>
          <w:rFonts w:ascii="Arial" w:hAnsi="Arial" w:eastAsia="Arial" w:cs="Arial"/>
        </w:rPr>
        <w:t xml:space="preserve"> Impedimento de licitar e contratar, caso não se justifique imposição de penalidade mais grave.</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16.2.3.1.</w:t>
      </w:r>
      <w:r>
        <w:rPr>
          <w:rFonts w:ascii="Arial" w:hAnsi="Arial" w:eastAsia="Arial" w:cs="Arial"/>
        </w:rPr>
        <w:t xml:space="preserve"> Essa penalidade poderá ser aplicada nas seguintes hipóteses:</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16.2.3.1.1.</w:t>
      </w:r>
      <w:r>
        <w:rPr>
          <w:rFonts w:ascii="Arial" w:hAnsi="Arial" w:eastAsia="Arial" w:cs="Arial"/>
        </w:rPr>
        <w:t xml:space="preserve"> Der causa à inexecução parcial do contrato que cause grave dano à Administração, ao funcionamento dos serviços públicos ou ao interesse coletivo;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16.2.3.1.2</w:t>
      </w:r>
      <w:r>
        <w:rPr>
          <w:rFonts w:ascii="Arial" w:hAnsi="Arial" w:eastAsia="Arial" w:cs="Arial"/>
        </w:rPr>
        <w:t xml:space="preserve">. Der causa à inexecução total do contrato;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16.2.3.1.3</w:t>
      </w:r>
      <w:r>
        <w:rPr>
          <w:rFonts w:ascii="Arial" w:hAnsi="Arial" w:eastAsia="Arial" w:cs="Arial"/>
        </w:rPr>
        <w:t xml:space="preserve">. Deixar de entregar a documentação exigida para o certame;</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16.2.3.1.4</w:t>
      </w:r>
      <w:r>
        <w:rPr>
          <w:rFonts w:ascii="Arial" w:hAnsi="Arial" w:eastAsia="Arial" w:cs="Arial"/>
        </w:rPr>
        <w:t xml:space="preserve">. Não manter a proposta, salvo em decorrência de fato superveniente devidamente justificado;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16.2.3.1.5.</w:t>
      </w:r>
      <w:r>
        <w:rPr>
          <w:rFonts w:ascii="Arial" w:hAnsi="Arial" w:eastAsia="Arial" w:cs="Arial"/>
        </w:rPr>
        <w:t xml:space="preserve"> Não celebrar o contrato ou não entregar a documentação exigida para a contratação, quando convocado dentro do prazo de validade de sua proposta;</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16.2.3.1.6.</w:t>
      </w:r>
      <w:r>
        <w:rPr>
          <w:rFonts w:ascii="Arial" w:hAnsi="Arial" w:eastAsia="Arial" w:cs="Arial"/>
        </w:rPr>
        <w:t xml:space="preserve"> Ensejar o retardamento da execução ou da entrega do objeto da licitação sem motivo justificado.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16.2.4.</w:t>
      </w:r>
      <w:r>
        <w:rPr>
          <w:rFonts w:ascii="Arial" w:hAnsi="Arial" w:eastAsia="Arial" w:cs="Arial"/>
        </w:rPr>
        <w:t xml:space="preserve"> As condutas aqui enumeradas também podem justificar a aplicação da declaração de inidoneidade quando as circunstâncias do caso concreto justificarem a imposição de penalidade mais grave.</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16.2.4.1.</w:t>
      </w:r>
      <w:r>
        <w:rPr>
          <w:rFonts w:ascii="Arial" w:hAnsi="Arial" w:eastAsia="Arial" w:cs="Arial"/>
        </w:rPr>
        <w:t xml:space="preserve"> Declaração de inidoneidade para licitar e contratar.</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16.2.4.2.</w:t>
      </w:r>
      <w:r>
        <w:rPr>
          <w:rFonts w:ascii="Arial" w:hAnsi="Arial" w:eastAsia="Arial" w:cs="Arial"/>
        </w:rPr>
        <w:t xml:space="preserve"> A declaração de inidoneidade par</w:t>
      </w:r>
      <w:r>
        <w:rPr>
          <w:rFonts w:ascii="Arial" w:hAnsi="Arial" w:eastAsia="Arial" w:cs="Arial"/>
        </w:rPr>
        <w:t xml:space="preserve">a licitar e contratar pode ser aplicada por qualquer ente da federação impedirá o responsável de licitar e contratar com a Administração Pública direta e indireta do município de Rondonópolis-MT pelo prazo mínimo de 3 (três) anos e máximo de 6 (seis) anos.</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16.2.4.2.1</w:t>
      </w:r>
      <w:r>
        <w:rPr>
          <w:rFonts w:ascii="Arial" w:hAnsi="Arial" w:eastAsia="Arial" w:cs="Arial"/>
        </w:rPr>
        <w:t xml:space="preserve">. Essa penalidade poderá ser aplicada nas seguintes hipóteses:</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16.2.4.2.2.</w:t>
      </w:r>
      <w:r>
        <w:rPr>
          <w:rFonts w:ascii="Arial" w:hAnsi="Arial" w:eastAsia="Arial" w:cs="Arial"/>
        </w:rPr>
        <w:t xml:space="preserve"> Apresentar declaração ou documentação falsa exigida para o certame ou prestar declaração falsa durante a licitação ou a execução do contrato;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16.2.4.2.3.</w:t>
      </w:r>
      <w:r>
        <w:rPr>
          <w:rFonts w:ascii="Arial" w:hAnsi="Arial" w:eastAsia="Arial" w:cs="Arial"/>
        </w:rPr>
        <w:t xml:space="preserve"> Fraudar a licitação ou praticar ato fraudulento na execução do contrato;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16.2.4.2.4.</w:t>
      </w:r>
      <w:r>
        <w:rPr>
          <w:rFonts w:ascii="Arial" w:hAnsi="Arial" w:eastAsia="Arial" w:cs="Arial"/>
        </w:rPr>
        <w:t xml:space="preserve"> Comportar-se de modo inidôneo ou cometer fraude de qualquer natureza;</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16.2.4.2.5.</w:t>
      </w:r>
      <w:r>
        <w:rPr>
          <w:rFonts w:ascii="Arial" w:hAnsi="Arial" w:eastAsia="Arial" w:cs="Arial"/>
        </w:rPr>
        <w:t xml:space="preserve"> Praticar atos ilícitos com vistas a frustrar os objetivos da licitação;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16.2.4.2.6.</w:t>
      </w:r>
      <w:r>
        <w:rPr>
          <w:rFonts w:ascii="Arial" w:hAnsi="Arial" w:eastAsia="Arial" w:cs="Arial"/>
        </w:rPr>
        <w:t xml:space="preserve"> Praticar ato lesivo previsto no art. 5º da Lei nº 12.846/2013.</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16.3.</w:t>
      </w:r>
      <w:r>
        <w:rPr>
          <w:rFonts w:ascii="Arial" w:hAnsi="Arial" w:eastAsia="Arial" w:cs="Arial"/>
        </w:rPr>
        <w:t xml:space="preserve"> Todas as sanções previstas neste Contrato poderão ser aplicadas cumulativamente com a multa (art. 156, §7º, da Lei nº 14.133, de 2021).</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16.4.</w:t>
      </w:r>
      <w:r>
        <w:rPr>
          <w:rFonts w:ascii="Arial" w:hAnsi="Arial" w:eastAsia="Arial" w:cs="Arial"/>
        </w:rPr>
        <w:t xml:space="preserve"> A aplicação das sanções previstas neste Contrato não exclui, em hipótese alguma, a obrigação de reparação integral do dano causado ao contratante (art. 156, §9º, da Lei nº 14.133, de 2021).</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16.5.</w:t>
      </w:r>
      <w:r>
        <w:rPr>
          <w:rFonts w:ascii="Arial" w:hAnsi="Arial" w:eastAsia="Arial" w:cs="Arial"/>
        </w:rPr>
        <w:t xml:space="preserve"> A aplicação de qualquer das penalidades previstas realizar-se-á em processo administrativo que assegurará o contraditório e a ampla defesa, observando-se o procedimento previsto na Lei nº 14.133/2021 e no Decreto Municipal nº 11.685/2023.</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t xml:space="preserve">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16.6.</w:t>
      </w:r>
      <w:r>
        <w:rPr>
          <w:rFonts w:ascii="Arial" w:hAnsi="Arial" w:eastAsia="Arial" w:cs="Arial"/>
        </w:rPr>
        <w:t xml:space="preserve"> A autoridade competente, na aplicação das sanções, levará em consideração: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16.6.1.</w:t>
      </w:r>
      <w:r>
        <w:rPr>
          <w:rFonts w:ascii="Arial" w:hAnsi="Arial" w:eastAsia="Arial" w:cs="Arial"/>
        </w:rPr>
        <w:t xml:space="preserve"> a natureza e a gravidade da infração cometida;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16.6.2.</w:t>
      </w:r>
      <w:r>
        <w:rPr>
          <w:rFonts w:ascii="Arial" w:hAnsi="Arial" w:eastAsia="Arial" w:cs="Arial"/>
        </w:rPr>
        <w:t xml:space="preserve"> as peculiaridades do caso concreto;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16.6.3.</w:t>
      </w:r>
      <w:r>
        <w:rPr>
          <w:rFonts w:ascii="Arial" w:hAnsi="Arial" w:eastAsia="Arial" w:cs="Arial"/>
        </w:rPr>
        <w:t xml:space="preserve"> as circunstâncias agravantes ou atenuantes;</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16.6.4.</w:t>
      </w:r>
      <w:r>
        <w:rPr>
          <w:rFonts w:ascii="Arial" w:hAnsi="Arial" w:eastAsia="Arial" w:cs="Arial"/>
        </w:rPr>
        <w:t xml:space="preserve"> os danos que dela provierem para o contratante;</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16.6.5.</w:t>
      </w:r>
      <w:r>
        <w:rPr>
          <w:rFonts w:ascii="Arial" w:hAnsi="Arial" w:eastAsia="Arial" w:cs="Arial"/>
        </w:rPr>
        <w:t xml:space="preserve"> a implantação ou o aperfeiçoamento de programa de integridade, conforme normas e orientações dos órgãos de controle.</w:t>
      </w:r>
      <w:r>
        <w:rPr>
          <w:rFonts w:ascii="Arial" w:hAnsi="Arial" w:cs="Arial"/>
        </w:rPr>
      </w:r>
      <w:r>
        <w:rPr>
          <w:rFonts w:ascii="Arial" w:hAnsi="Arial" w:cs="Arial"/>
        </w:rPr>
      </w:r>
    </w:p>
    <w:p w14:paraId="241CCA46">
      <w:pPr>
        <w:pStyle w:val="887"/>
        <w:pBdr/>
        <w:spacing/>
        <w:ind/>
        <w:jc w:val="both"/>
        <w:rPr>
          <w:rFonts w:ascii="Arial" w:hAnsi="Arial" w:cs="Arial"/>
        </w:rPr>
      </w:pPr>
      <w:r>
        <w:rPr>
          <w:rFonts w:ascii="Arial" w:hAnsi="Arial" w:eastAsia="Arial" w:cs="Arial"/>
          <w:highlight w:val="none"/>
        </w:rPr>
      </w:r>
      <w:r>
        <w:rPr>
          <w:rFonts w:ascii="Arial" w:hAnsi="Arial" w:eastAsia="Arial" w:cs="Arial"/>
          <w:highlight w:val="none"/>
        </w:rPr>
      </w:r>
      <w:r>
        <w:rPr>
          <w:rFonts w:ascii="Arial" w:hAnsi="Arial" w:cs="Arial"/>
        </w:rPr>
      </w:r>
    </w:p>
    <w:p>
      <w:pPr>
        <w:pStyle w:val="887"/>
        <w:pBdr/>
        <w:spacing/>
        <w:ind/>
        <w:jc w:val="both"/>
        <w:rPr>
          <w:rFonts w:ascii="Arial" w:hAnsi="Arial" w:eastAsia="Arial" w:cs="Arial"/>
          <w:highlight w:val="none"/>
        </w:rPr>
      </w:pPr>
      <w:r>
        <w:rPr>
          <w:rFonts w:ascii="Arial" w:hAnsi="Arial" w:eastAsia="Arial" w:cs="Arial"/>
          <w:b/>
        </w:rPr>
        <w:t xml:space="preserve">16.7.</w:t>
      </w:r>
      <w:r>
        <w:rPr>
          <w:rFonts w:ascii="Arial" w:hAnsi="Arial" w:eastAsia="Arial" w:cs="Arial"/>
        </w:rPr>
        <w:t xml:space="preserve"> Os atos previstos como infrações administrativas na Lei nº 14.133, de 2021, ou em outras leis de licitações e contratos da Administração Pública </w:t>
      </w:r>
      <w:r>
        <w:rPr>
          <w:rFonts w:ascii="Arial" w:hAnsi="Arial" w:eastAsia="Arial" w:cs="Arial"/>
        </w:rPr>
        <w:t xml:space="preserve">que também sejam tipificados como atos lesivos na Lei nº 12.846, de 2013, serão apurados e julgados conjuntamente, nos mesmos autos, observados o rito procedimental e autoridade competente definidos na referida Lei e nos demais regulamentos complementares.</w:t>
      </w:r>
      <w:r>
        <w:rPr>
          <w:rFonts w:ascii="Arial" w:hAnsi="Arial" w:cs="Arial"/>
        </w:rPr>
      </w:r>
      <w:r>
        <w:rPr>
          <w:rFonts w:ascii="Arial" w:hAnsi="Arial" w:eastAsia="Arial" w:cs="Arial"/>
          <w:highlight w:val="none"/>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16.8.</w:t>
      </w:r>
      <w:r>
        <w:rPr>
          <w:rFonts w:ascii="Arial" w:hAnsi="Arial" w:eastAsia="Arial" w:cs="Arial"/>
        </w:rPr>
        <w:t xml:space="preserve"> A personalidade jurídica do Contratado poderá ser desconsiderada sempre que utilizada com abuso do direito para facilitar, </w:t>
      </w:r>
      <w:r>
        <w:rPr>
          <w:rFonts w:ascii="Arial" w:hAnsi="Arial" w:eastAsia="Arial" w:cs="Arial"/>
        </w:rPr>
        <w:t xml:space="preserve">encobrir ou dissimular a prática dos atos ilícitos previstos neste Contrato ou para provocar confusão patrimonial, e, nesse caso, todos os efeitos das sanções aplicadas à pessoa jurídica serão estendidos aos seus administradores e sócios com poderes de adm</w:t>
      </w:r>
      <w:r>
        <w:rPr>
          <w:rFonts w:ascii="Arial" w:hAnsi="Arial" w:eastAsia="Arial" w:cs="Arial"/>
        </w:rPr>
        <w:t xml:space="preserve">inistração, à pessoa jurídica sucessora ou à empresa do mesmo ramo com relação de coligação ou controle, de fato ou de direito, com o Contratado, observados, em todos os casos, o contraditório, a ampla defesa e a obrigatoriedade de análise jurídica prévia.</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16.9.</w:t>
      </w:r>
      <w:r>
        <w:rPr>
          <w:rFonts w:ascii="Arial" w:hAnsi="Arial" w:eastAsia="Arial" w:cs="Arial"/>
        </w:rPr>
        <w:t xml:space="preserve"> As sanções de impedimento de licitar e contratar e declaração de inidoneidade para licitar ou contratar são passíveis de reabilitação na forma do art. 163 da Lei nº 14.133/2021.</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CLÁUSULA DÉCIMA SÉTIMA – CLÁUSULA ANTICORRUPÇÃO:</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17.1.</w:t>
      </w:r>
      <w:r>
        <w:rPr>
          <w:rFonts w:ascii="Arial" w:hAnsi="Arial" w:eastAsia="Arial" w:cs="Arial"/>
        </w:rPr>
        <w:t xml:space="preserve"> Para a execução deste contrato, nenhuma das partes poderá oferecer, dar ou se comprometer a dar a quem quer que seja, ou aceitar ou se comprometer a aceitar de quem quer que seja, tanto por conta própria quanto por intermédio de outrem, qualquer pagam</w:t>
      </w:r>
      <w:r>
        <w:rPr>
          <w:rFonts w:ascii="Arial" w:hAnsi="Arial" w:eastAsia="Arial" w:cs="Arial"/>
        </w:rPr>
        <w:t xml:space="preserve">ento, doação, compensação, vantagens financeiras ou benefícios de qualquer espécie, seja de forma direta ou indireta quanto ao objeto deste contrato, ou de outra forma a ele não relacionada, o que deve ser observado, ainda, pelos prepostos e colaboradores.</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17.2.</w:t>
      </w:r>
      <w:r>
        <w:rPr>
          <w:rFonts w:ascii="Arial" w:hAnsi="Arial" w:eastAsia="Arial" w:cs="Arial"/>
        </w:rPr>
        <w:t xml:space="preserve"> Consta em anexo do contrato o Termo Anticorrupção (Anexo), expresso pelo contratado, declarando formalmente que a condução de seus negócios segue estritamente a legislação aplicável, a moral e a ética.</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CLÁUSULA DÉCIMA OITAVA – DA NULIDADE DO CONTRATO:</w:t>
      </w:r>
      <w:r>
        <w:rPr>
          <w:rFonts w:ascii="Arial" w:hAnsi="Arial" w:cs="Arial"/>
        </w:rPr>
      </w:r>
      <w:r>
        <w:rPr>
          <w:rFonts w:ascii="Arial" w:hAnsi="Arial" w:cs="Arial"/>
        </w:rPr>
      </w:r>
    </w:p>
    <w:p>
      <w:pPr>
        <w:pStyle w:val="887"/>
        <w:pBdr/>
        <w:spacing/>
        <w:ind/>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jc w:val="both"/>
        <w:rPr>
          <w:rFonts w:ascii="Arial" w:hAnsi="Arial" w:cs="Arial"/>
        </w:rPr>
      </w:pPr>
      <w:r>
        <w:rPr>
          <w:rFonts w:ascii="Arial" w:hAnsi="Arial" w:eastAsia="Arial" w:cs="Arial"/>
          <w:b/>
        </w:rPr>
        <w:t xml:space="preserve">18.1.</w:t>
      </w:r>
      <w:r>
        <w:rPr>
          <w:rFonts w:ascii="Arial" w:hAnsi="Arial" w:eastAsia="Arial" w:cs="Arial"/>
        </w:rPr>
        <w:t xml:space="preserve"> Constatada irregularidade no procedimento licitatório ou na execução contratual, caso não seja poss</w:t>
      </w:r>
      <w:r>
        <w:rPr>
          <w:rFonts w:ascii="Arial" w:hAnsi="Arial" w:eastAsia="Arial" w:cs="Arial"/>
        </w:rPr>
        <w:t xml:space="preserve">ível o saneamento, a decisão sobre a suspensão da execução ou sobre a declaração de nulidade do contrato somente será adotada quando revelar medida de interesse público, com avaliação, entre outros, dos aspectos descritos no art. 147 da Lei nº 14.133/2021.</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rPr>
        <w:t xml:space="preserve">18.2.</w:t>
      </w:r>
      <w:r>
        <w:rPr>
          <w:rFonts w:ascii="Arial" w:hAnsi="Arial" w:eastAsia="Arial" w:cs="Arial"/>
        </w:rPr>
        <w:t xml:space="preserve"> A nulidade não exonera o contratante do dever de indenizar o contratado pelo que houver executado até a data em </w:t>
      </w:r>
      <w:r>
        <w:rPr>
          <w:rFonts w:ascii="Arial" w:hAnsi="Arial" w:eastAsia="Arial" w:cs="Arial"/>
        </w:rPr>
        <w:t xml:space="preserve">que for declarada ou tornada eficaz, bem como por outros prejuízos regularmente comprovados, desde que não lhe seja imputável, e será promovida a responsabilização de quem lhe tenha dado causa, nos termos do que estabelece o art. 149 da Lei nº 14.133/2021.</w:t>
      </w:r>
      <w:r>
        <w:rPr>
          <w:rFonts w:ascii="Arial" w:hAnsi="Arial" w:cs="Arial"/>
        </w:rPr>
      </w:r>
      <w:r>
        <w:rPr>
          <w:rFonts w:ascii="Arial" w:hAnsi="Arial" w:cs="Arial"/>
        </w:rPr>
      </w:r>
    </w:p>
    <w:p>
      <w:pPr>
        <w:pStyle w:val="887"/>
        <w:pBdr/>
        <w:spacing/>
        <w:ind w:right="-5"/>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right="-5"/>
        <w:jc w:val="both"/>
        <w:rPr>
          <w:rFonts w:ascii="Arial" w:hAnsi="Arial" w:cs="Arial"/>
        </w:rPr>
      </w:pPr>
      <w:r>
        <w:rPr>
          <w:rFonts w:ascii="Arial" w:hAnsi="Arial" w:eastAsia="Arial" w:cs="Arial"/>
          <w:b/>
        </w:rPr>
        <w:t xml:space="preserve">CLÁUSULA DÉCIMA NONA – GARANTIA DE EXECUÇÃO</w:t>
      </w:r>
      <w:r>
        <w:rPr>
          <w:rFonts w:ascii="Arial" w:hAnsi="Arial" w:eastAsia="Arial" w:cs="Arial"/>
        </w:rPr>
        <w:t xml:space="preserve"> </w:t>
      </w:r>
      <w:r>
        <w:rPr>
          <w:rFonts w:ascii="Arial" w:hAnsi="Arial" w:cs="Arial"/>
        </w:rPr>
      </w:r>
      <w:r>
        <w:rPr>
          <w:rFonts w:ascii="Arial" w:hAnsi="Arial" w:cs="Arial"/>
        </w:rPr>
      </w:r>
    </w:p>
    <w:p>
      <w:pPr>
        <w:pStyle w:val="887"/>
        <w:pBdr/>
        <w:spacing/>
        <w:ind w:right="-5"/>
        <w:jc w:val="both"/>
        <w:rPr>
          <w:rFonts w:ascii="Arial" w:hAnsi="Arial" w:cs="Arial"/>
          <w:b/>
        </w:rPr>
      </w:pPr>
      <w:r>
        <w:rPr>
          <w:rFonts w:ascii="Arial" w:hAnsi="Arial" w:eastAsia="Arial" w:cs="Arial"/>
          <w:b/>
        </w:rPr>
      </w:r>
      <w:r>
        <w:rPr>
          <w:rFonts w:ascii="Arial" w:hAnsi="Arial" w:cs="Arial"/>
          <w:b/>
        </w:rPr>
      </w:r>
      <w:r>
        <w:rPr>
          <w:rFonts w:ascii="Arial" w:hAnsi="Arial" w:cs="Arial"/>
          <w:b/>
        </w:rPr>
      </w:r>
    </w:p>
    <w:p w14:paraId="77F7FBF9">
      <w:pPr>
        <w:pBdr>
          <w:top w:val="none" w:color="000000" w:sz="4" w:space="0"/>
          <w:left w:val="none" w:color="000000" w:sz="4" w:space="0"/>
          <w:bottom w:val="none" w:color="000000" w:sz="4" w:space="0"/>
          <w:right w:val="none" w:color="000000" w:sz="4" w:space="0"/>
        </w:pBdr>
        <w:spacing/>
        <w:ind/>
        <w:jc w:val="both"/>
        <w:rPr>
          <w:rFonts w:ascii="Arial" w:hAnsi="Arial" w:eastAsia="Arial" w:cs="Arial"/>
          <w14:ligatures w14:val="none"/>
        </w:rPr>
      </w:pPr>
      <w:r>
        <w:rPr>
          <w:rFonts w:ascii="Arial" w:hAnsi="Arial" w:eastAsia="Arial" w:cs="Arial"/>
          <w:b/>
          <w:bCs/>
        </w:rPr>
        <w:t xml:space="preserve">19.1.</w:t>
      </w:r>
      <w:r>
        <w:rPr>
          <w:rFonts w:ascii="Arial" w:hAnsi="Arial" w:eastAsia="Arial" w:cs="Arial"/>
        </w:rPr>
        <w:t xml:space="preserve"> Será exigida garantia de execução correspondente a 5% (cinco por cento) do valor inicial deste Contrato.</w:t>
      </w:r>
      <w:r>
        <w:rPr>
          <w:rFonts w:ascii="Arial" w:hAnsi="Arial" w:eastAsia="Arial" w:cs="Arial"/>
        </w:rPr>
      </w:r>
      <w:r>
        <w:rPr>
          <w:rFonts w:ascii="Arial" w:hAnsi="Arial" w:eastAsia="Arial" w:cs="Arial"/>
          <w14:ligatures w14:val="none"/>
        </w:rPr>
      </w:r>
    </w:p>
    <w:p w14:paraId="3B6F79A5">
      <w:pPr>
        <w:pBdr>
          <w:top w:val="none" w:color="000000" w:sz="4" w:space="0"/>
          <w:left w:val="none" w:color="000000" w:sz="4" w:space="0"/>
          <w:bottom w:val="none" w:color="000000" w:sz="4" w:space="0"/>
          <w:right w:val="none" w:color="000000" w:sz="4" w:space="0"/>
        </w:pBdr>
        <w:spacing/>
        <w:ind/>
        <w:jc w:val="both"/>
        <w:rPr>
          <w:rFonts w:ascii="Arial" w:hAnsi="Arial" w:eastAsia="Arial" w:cs="Arial"/>
          <w14:ligatures w14:val="none"/>
        </w:rPr>
      </w:pPr>
      <w:r>
        <w:rPr>
          <w:rFonts w:ascii="Arial" w:hAnsi="Arial" w:eastAsia="Arial" w:cs="Arial"/>
          <w:highlight w:val="none"/>
        </w:rPr>
      </w:r>
      <w:r>
        <w:rPr>
          <w:rFonts w:ascii="Arial" w:hAnsi="Arial" w:eastAsia="Arial" w:cs="Arial"/>
          <w:highlight w:val="none"/>
        </w:rPr>
      </w:r>
      <w:r>
        <w:rPr>
          <w:rFonts w:ascii="Arial" w:hAnsi="Arial" w:eastAsia="Arial" w:cs="Arial"/>
          <w14:ligatures w14:val="none"/>
        </w:rPr>
      </w:r>
    </w:p>
    <w:p w14:paraId="17684F89">
      <w:pPr>
        <w:pBdr>
          <w:top w:val="none" w:color="000000" w:sz="4" w:space="0"/>
          <w:left w:val="none" w:color="000000" w:sz="4" w:space="0"/>
          <w:bottom w:val="none" w:color="000000" w:sz="4" w:space="0"/>
          <w:right w:val="none" w:color="000000" w:sz="4" w:space="0"/>
        </w:pBdr>
        <w:spacing/>
        <w:ind/>
        <w:jc w:val="both"/>
        <w:rPr>
          <w:rFonts w:ascii="Arial" w:hAnsi="Arial" w:eastAsia="Arial" w:cs="Arial"/>
          <w:highlight w:val="none"/>
          <w14:ligatures w14:val="none"/>
        </w:rPr>
      </w:pPr>
      <w:r>
        <w:rPr>
          <w:rFonts w:ascii="Arial" w:hAnsi="Arial" w:eastAsia="Arial" w:cs="Arial"/>
          <w:b/>
          <w:bCs/>
        </w:rPr>
        <w:t xml:space="preserve">19.2.</w:t>
      </w:r>
      <w:r>
        <w:rPr>
          <w:rFonts w:ascii="Arial" w:hAnsi="Arial" w:eastAsia="Arial" w:cs="Arial"/>
          <w:b/>
          <w:bCs/>
        </w:rPr>
        <w:t xml:space="preserve"> </w:t>
      </w:r>
      <w:r>
        <w:rPr>
          <w:rFonts w:ascii="Arial" w:hAnsi="Arial" w:eastAsia="Arial" w:cs="Arial"/>
        </w:rPr>
        <w:t xml:space="preserve">A Contratada poderá optar por qualquer das modalidades legalmente admitidas, observados os respectivos requisitos, condições e prazos.</w:t>
      </w:r>
      <w:r>
        <w:rPr>
          <w:rFonts w:ascii="Arial" w:hAnsi="Arial" w:eastAsia="Arial" w:cs="Arial"/>
        </w:rPr>
      </w:r>
      <w:r>
        <w:rPr>
          <w:rFonts w:ascii="Arial" w:hAnsi="Arial" w:eastAsia="Arial" w:cs="Arial"/>
          <w:highlight w:val="none"/>
          <w14:ligatures w14:val="none"/>
        </w:rPr>
      </w:r>
    </w:p>
    <w:p w14:paraId="2C6138D3">
      <w:pPr>
        <w:pBdr>
          <w:top w:val="none" w:color="000000" w:sz="4" w:space="0"/>
          <w:left w:val="none" w:color="000000" w:sz="4" w:space="0"/>
          <w:bottom w:val="none" w:color="000000" w:sz="4" w:space="0"/>
          <w:right w:val="none" w:color="000000" w:sz="4" w:space="0"/>
        </w:pBdr>
        <w:spacing/>
        <w:ind/>
        <w:jc w:val="both"/>
        <w:rPr>
          <w:rFonts w:ascii="Arial" w:hAnsi="Arial" w:eastAsia="Arial" w:cs="Arial"/>
          <w14:ligatures w14:val="none"/>
        </w:rPr>
      </w:pPr>
      <w:r>
        <w:rPr>
          <w:rFonts w:ascii="Arial" w:hAnsi="Arial" w:eastAsia="Arial" w:cs="Arial"/>
          <w:highlight w:val="none"/>
        </w:rPr>
      </w:r>
      <w:r>
        <w:rPr>
          <w:rFonts w:ascii="Arial" w:hAnsi="Arial" w:eastAsia="Arial" w:cs="Arial"/>
          <w:highlight w:val="none"/>
        </w:rPr>
      </w:r>
      <w:r>
        <w:rPr>
          <w:rFonts w:ascii="Arial" w:hAnsi="Arial" w:eastAsia="Arial" w:cs="Arial"/>
          <w14:ligatures w14:val="none"/>
        </w:rPr>
      </w:r>
    </w:p>
    <w:p w14:paraId="7EEA1F3C">
      <w:pPr>
        <w:pBdr>
          <w:top w:val="none" w:color="000000" w:sz="4" w:space="0"/>
          <w:left w:val="none" w:color="000000" w:sz="4" w:space="0"/>
          <w:bottom w:val="none" w:color="000000" w:sz="4" w:space="0"/>
          <w:right w:val="none" w:color="000000" w:sz="4" w:space="0"/>
        </w:pBdr>
        <w:spacing/>
        <w:ind/>
        <w:jc w:val="both"/>
        <w:rPr>
          <w:rFonts w:ascii="Arial" w:hAnsi="Arial" w:eastAsia="Arial" w:cs="Arial"/>
          <w:highlight w:val="none"/>
          <w14:ligatures w14:val="none"/>
        </w:rPr>
      </w:pPr>
      <w:r>
        <w:rPr>
          <w:rFonts w:ascii="Arial" w:hAnsi="Arial" w:eastAsia="Arial" w:cs="Arial"/>
          <w:b/>
          <w:bCs/>
        </w:rPr>
        <w:t xml:space="preserve">19.3.</w:t>
      </w:r>
      <w:r>
        <w:rPr>
          <w:rFonts w:ascii="Arial" w:hAnsi="Arial" w:eastAsia="Arial" w:cs="Arial"/>
        </w:rPr>
        <w:t xml:space="preserve"> A garantia deverá permanecer válida durante a vigência contratual e enquanto subsistirem obrigações por ela garantidas.</w:t>
      </w:r>
      <w:r>
        <w:rPr>
          <w:rFonts w:ascii="Arial" w:hAnsi="Arial" w:eastAsia="Arial" w:cs="Arial"/>
        </w:rPr>
      </w:r>
      <w:r>
        <w:rPr>
          <w:rFonts w:ascii="Arial" w:hAnsi="Arial" w:eastAsia="Arial" w:cs="Arial"/>
          <w:highlight w:val="none"/>
          <w14:ligatures w14:val="none"/>
        </w:rPr>
      </w:r>
    </w:p>
    <w:p>
      <w:pPr>
        <w:pBdr/>
        <w:spacing/>
        <w:ind/>
        <w:jc w:val="both"/>
        <w:rPr>
          <w:rFonts w:ascii="Arial" w:hAnsi="Arial" w:eastAsia="Arial" w:cs="Arial"/>
          <w14:ligatures w14:val="none"/>
        </w:rPr>
      </w:pPr>
      <w:r>
        <w:rPr>
          <w:rFonts w:ascii="Arial" w:hAnsi="Arial" w:eastAsia="Arial" w:cs="Arial"/>
        </w:rPr>
      </w:r>
      <w:r>
        <w:rPr>
          <w:rFonts w:ascii="Arial" w:hAnsi="Arial" w:eastAsia="Arial" w:cs="Arial"/>
        </w:rPr>
        <w:t xml:space="preserve">sem complexidade relevante de execução contratual.</w:t>
      </w:r>
      <w:r>
        <w:rPr>
          <w:rFonts w:ascii="Arial" w:hAnsi="Arial" w:eastAsia="Arial" w:cs="Arial"/>
        </w:rPr>
      </w:r>
      <w:r>
        <w:rPr>
          <w:rFonts w:ascii="Arial" w:hAnsi="Arial" w:eastAsia="Arial" w:cs="Arial"/>
          <w14:ligatures w14:val="none"/>
        </w:rPr>
      </w:r>
    </w:p>
    <w:p>
      <w:pPr>
        <w:pStyle w:val="887"/>
        <w:pBdr/>
        <w:spacing/>
        <w:ind w:right="-5"/>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right="-5"/>
        <w:jc w:val="both"/>
        <w:rPr>
          <w:rFonts w:ascii="Arial" w:hAnsi="Arial" w:cs="Arial"/>
        </w:rPr>
      </w:pPr>
      <w:r>
        <w:rPr>
          <w:rFonts w:ascii="Arial" w:hAnsi="Arial" w:eastAsia="Arial" w:cs="Arial"/>
          <w:b/>
        </w:rPr>
        <w:t xml:space="preserve">CLÁUSULA VIGÉSIMA – GARANTIA DO OBJETO</w:t>
      </w:r>
      <w:r>
        <w:rPr>
          <w:rFonts w:ascii="Arial" w:hAnsi="Arial" w:cs="Arial"/>
        </w:rPr>
      </w:r>
      <w:r>
        <w:rPr>
          <w:rFonts w:ascii="Arial" w:hAnsi="Arial" w:cs="Arial"/>
        </w:rPr>
      </w:r>
    </w:p>
    <w:p>
      <w:pPr>
        <w:pStyle w:val="887"/>
        <w:pBdr/>
        <w:spacing/>
        <w:ind w:right="-5"/>
        <w:jc w:val="both"/>
        <w:rPr>
          <w:rFonts w:ascii="Arial" w:hAnsi="Arial" w:cs="Arial"/>
          <w:b/>
        </w:rPr>
      </w:pPr>
      <w:r>
        <w:rPr>
          <w:rFonts w:ascii="Arial" w:hAnsi="Arial" w:eastAsia="Arial" w:cs="Arial"/>
          <w:b/>
        </w:rPr>
      </w:r>
      <w:r>
        <w:rPr>
          <w:rFonts w:ascii="Arial" w:hAnsi="Arial" w:cs="Arial"/>
          <w:b/>
        </w:rPr>
      </w:r>
      <w:r>
        <w:rPr>
          <w:rFonts w:ascii="Arial" w:hAnsi="Arial" w:cs="Arial"/>
          <w:b/>
        </w:rPr>
      </w:r>
    </w:p>
    <w:p w14:paraId="02D6FA2B">
      <w:pPr>
        <w:pBdr>
          <w:top w:val="none" w:color="000000" w:sz="4" w:space="0"/>
          <w:left w:val="none" w:color="000000" w:sz="4" w:space="0"/>
          <w:bottom w:val="none" w:color="000000" w:sz="4" w:space="0"/>
          <w:right w:val="none" w:color="000000" w:sz="4" w:space="0"/>
        </w:pBdr>
        <w:spacing/>
        <w:ind w:right="-5"/>
        <w:jc w:val="both"/>
        <w:rPr>
          <w:rFonts w:ascii="Arial" w:hAnsi="Arial" w:eastAsia="Arial" w:cs="Arial"/>
          <w14:ligatures w14:val="none"/>
        </w:rPr>
      </w:pPr>
      <w:r>
        <w:rPr>
          <w:rFonts w:ascii="Arial" w:hAnsi="Arial" w:eastAsia="Arial" w:cs="Arial"/>
          <w:b/>
          <w:bCs/>
        </w:rPr>
        <w:t xml:space="preserve">20.1.</w:t>
      </w:r>
      <w:r>
        <w:rPr>
          <w:rFonts w:ascii="Arial" w:hAnsi="Arial" w:eastAsia="Arial" w:cs="Arial"/>
        </w:rPr>
        <w:t xml:space="preserve"> Os produtos deverão possuir, na data da entrega, prazo de validade remanescente correspondente a, no mínimo, 75% do prazo total de validade estabelecido pelo fabricante, observadas as exceções previstas no Termo de Referência.</w:t>
      </w:r>
      <w:r>
        <w:rPr>
          <w:rFonts w:ascii="Arial" w:hAnsi="Arial" w:eastAsia="Arial" w:cs="Arial"/>
        </w:rPr>
      </w:r>
      <w:r>
        <w:rPr>
          <w:rFonts w:ascii="Arial" w:hAnsi="Arial" w:eastAsia="Arial" w:cs="Arial"/>
          <w14:ligatures w14:val="none"/>
        </w:rPr>
      </w:r>
    </w:p>
    <w:p w14:paraId="0C1BCD38">
      <w:pPr>
        <w:pBdr>
          <w:top w:val="none" w:color="000000" w:sz="4" w:space="0"/>
          <w:left w:val="none" w:color="000000" w:sz="4" w:space="0"/>
          <w:bottom w:val="none" w:color="000000" w:sz="4" w:space="0"/>
          <w:right w:val="none" w:color="000000" w:sz="4" w:space="0"/>
        </w:pBdr>
        <w:spacing/>
        <w:ind w:right="-5"/>
        <w:jc w:val="both"/>
        <w:rPr>
          <w:rFonts w:ascii="Arial" w:hAnsi="Arial" w:eastAsia="Arial" w:cs="Arial"/>
          <w14:ligatures w14:val="none"/>
        </w:rPr>
      </w:pPr>
      <w:r>
        <w:rPr>
          <w:rFonts w:ascii="Arial" w:hAnsi="Arial" w:eastAsia="Arial" w:cs="Arial"/>
          <w:highlight w:val="none"/>
        </w:rPr>
      </w:r>
      <w:r>
        <w:rPr>
          <w:rFonts w:ascii="Arial" w:hAnsi="Arial" w:eastAsia="Arial" w:cs="Arial"/>
          <w:highlight w:val="none"/>
        </w:rPr>
      </w:r>
      <w:r>
        <w:rPr>
          <w:rFonts w:ascii="Arial" w:hAnsi="Arial" w:eastAsia="Arial" w:cs="Arial"/>
          <w14:ligatures w14:val="none"/>
        </w:rPr>
      </w:r>
    </w:p>
    <w:p w14:paraId="12CC6678">
      <w:pPr>
        <w:pBdr>
          <w:top w:val="none" w:color="000000" w:sz="4" w:space="0"/>
          <w:left w:val="none" w:color="000000" w:sz="4" w:space="0"/>
          <w:bottom w:val="none" w:color="000000" w:sz="4" w:space="0"/>
          <w:right w:val="none" w:color="000000" w:sz="4" w:space="0"/>
        </w:pBdr>
        <w:spacing/>
        <w:ind w:right="-5"/>
        <w:jc w:val="both"/>
        <w:rPr>
          <w:rFonts w:ascii="Arial" w:hAnsi="Arial" w:eastAsia="Arial" w:cs="Arial"/>
          <w:highlight w:val="none"/>
          <w14:ligatures w14:val="none"/>
        </w:rPr>
      </w:pPr>
      <w:r>
        <w:rPr>
          <w:rFonts w:ascii="Arial" w:hAnsi="Arial" w:eastAsia="Arial" w:cs="Arial"/>
          <w:b/>
          <w:bCs/>
        </w:rPr>
        <w:t xml:space="preserve">20.2.</w:t>
      </w:r>
      <w:r>
        <w:rPr>
          <w:rFonts w:ascii="Arial" w:hAnsi="Arial" w:eastAsia="Arial" w:cs="Arial"/>
        </w:rPr>
        <w:t xml:space="preserve"> Durante o respectivo prazo de validade, a Contratada permanecerá responsável pela qualidade, integridade, esterilidade, regularidade sanitária, rastreabilidade e conformidade dos produtos fornecidos.</w:t>
      </w:r>
      <w:r>
        <w:rPr>
          <w:rFonts w:ascii="Arial" w:hAnsi="Arial" w:eastAsia="Arial" w:cs="Arial"/>
        </w:rPr>
      </w:r>
      <w:r>
        <w:rPr>
          <w:rFonts w:ascii="Arial" w:hAnsi="Arial" w:eastAsia="Arial" w:cs="Arial"/>
          <w:highlight w:val="none"/>
          <w14:ligatures w14:val="none"/>
        </w:rPr>
      </w:r>
    </w:p>
    <w:p>
      <w:pPr>
        <w:pStyle w:val="887"/>
        <w:pBdr/>
        <w:spacing/>
        <w:ind w:right="-5"/>
        <w:jc w:val="both"/>
        <w:rPr>
          <w:rFonts w:ascii="Arial" w:hAnsi="Arial" w:cs="Arial"/>
        </w:rPr>
      </w:pPr>
      <w:r>
        <w:rPr>
          <w:rFonts w:ascii="Arial" w:hAnsi="Arial" w:eastAsia="Arial" w:cs="Arial"/>
        </w:rPr>
      </w:r>
      <w:r>
        <w:rPr>
          <w:rFonts w:ascii="Arial" w:hAnsi="Arial" w:cs="Arial"/>
        </w:rPr>
      </w:r>
      <w:r>
        <w:rPr>
          <w:rFonts w:ascii="Arial" w:hAnsi="Arial" w:cs="Arial"/>
        </w:rPr>
      </w:r>
    </w:p>
    <w:p>
      <w:pPr>
        <w:pBdr/>
        <w:spacing/>
        <w:ind w:right="-5"/>
        <w:jc w:val="both"/>
        <w:rPr>
          <w:rFonts w:ascii="Arial" w:hAnsi="Arial" w:cs="Arial"/>
        </w:rPr>
      </w:pPr>
      <w:r>
        <w:rPr>
          <w:rFonts w:ascii="Arial" w:hAnsi="Arial" w:eastAsia="Arial" w:cs="Arial"/>
          <w:b/>
        </w:rPr>
        <w:t xml:space="preserve">20.3.</w:t>
      </w:r>
      <w:r>
        <w:rPr>
          <w:rFonts w:ascii="Arial" w:hAnsi="Arial" w:eastAsia="Arial" w:cs="Arial"/>
        </w:rPr>
        <w:t xml:space="preserve"> </w:t>
      </w:r>
      <w:r>
        <w:rPr>
          <w:rFonts w:ascii="Arial" w:hAnsi="Arial" w:eastAsia="Arial" w:cs="Arial"/>
        </w:rPr>
        <w:t xml:space="preserve">Durante o prazo de validade e garantia de qualidade dos produtos, a contratada responderá pela integridade, conformidade técnica, regularidade sanitária, estabilidade, rastreabilidade e segurança dos insumos fornecidos, obrigando-se a substituir, sem ônus </w:t>
      </w:r>
      <w:r>
        <w:rPr>
          <w:rFonts w:ascii="Arial" w:hAnsi="Arial" w:eastAsia="Arial" w:cs="Arial"/>
        </w:rPr>
        <w:t xml:space="preserve">para a Administração, os produtos que apresentarem vício, avaria, contaminação, violação de embalagem, desconformidade técnica, irregularidade sanitária ou prazo de validade inadequado.</w:t>
      </w:r>
      <w:r>
        <w:rPr>
          <w:rFonts w:ascii="Arial" w:hAnsi="Arial" w:cs="Arial"/>
        </w:rPr>
      </w:r>
      <w:r>
        <w:rPr>
          <w:rFonts w:ascii="Arial" w:hAnsi="Arial" w:cs="Arial"/>
        </w:rPr>
      </w:r>
    </w:p>
    <w:p>
      <w:pPr>
        <w:pStyle w:val="887"/>
        <w:pBdr/>
        <w:spacing/>
        <w:ind w:right="-5"/>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right="-5"/>
        <w:jc w:val="both"/>
        <w:rPr>
          <w:rFonts w:ascii="Arial" w:hAnsi="Arial" w:cs="Arial"/>
        </w:rPr>
      </w:pPr>
      <w:r>
        <w:rPr>
          <w:rFonts w:ascii="Arial" w:hAnsi="Arial" w:eastAsia="Arial" w:cs="Arial"/>
          <w:b/>
        </w:rPr>
        <w:t xml:space="preserve">CLÁUSULA VIGÉSIMA PRIMEIRA – DO DIREITO DE PETIÇÃO:</w:t>
      </w:r>
      <w:r>
        <w:rPr>
          <w:rFonts w:ascii="Arial" w:hAnsi="Arial" w:cs="Arial"/>
        </w:rPr>
      </w:r>
      <w:r>
        <w:rPr>
          <w:rFonts w:ascii="Arial" w:hAnsi="Arial" w:cs="Arial"/>
        </w:rPr>
      </w:r>
    </w:p>
    <w:p>
      <w:pPr>
        <w:pStyle w:val="887"/>
        <w:pBdr/>
        <w:spacing/>
        <w:ind w:right="-5"/>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right="-5"/>
        <w:jc w:val="both"/>
        <w:rPr>
          <w:rFonts w:ascii="Arial" w:hAnsi="Arial" w:cs="Arial"/>
        </w:rPr>
      </w:pPr>
      <w:r>
        <w:rPr>
          <w:rFonts w:ascii="Arial" w:hAnsi="Arial" w:eastAsia="Arial" w:cs="Arial"/>
          <w:b/>
        </w:rPr>
        <w:t xml:space="preserve">21.</w:t>
      </w:r>
      <w:r>
        <w:rPr>
          <w:rStyle w:val="1010"/>
          <w:rFonts w:ascii="Arial" w:hAnsi="Arial" w:eastAsia="Arial" w:cs="Arial"/>
          <w:b/>
        </w:rPr>
        <w:t xml:space="preserve">1</w:t>
      </w:r>
      <w:r>
        <w:rPr>
          <w:rStyle w:val="1010"/>
          <w:rFonts w:ascii="Arial" w:hAnsi="Arial" w:eastAsia="Arial" w:cs="Arial"/>
        </w:rPr>
        <w:t xml:space="preserve">. No tocante a recursos, representações e pedidos de reconsideração, deverá ser observado o disposto no art. 164 da Lei nº 14.133/2021.</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ight="-5"/>
        <w:rPr>
          <w:rFonts w:ascii="Arial" w:hAnsi="Arial" w:cs="Arial"/>
        </w:rPr>
      </w:pPr>
      <w:r>
        <w:rPr>
          <w:rFonts w:ascii="Arial" w:hAnsi="Arial" w:eastAsia="Arial" w:cs="Arial"/>
          <w:b/>
        </w:rPr>
        <w:t xml:space="preserve">CLÁUSULA VIGÉSIMA SEGUNDA - DAS DISPOSIÇÕES GERAIS:</w:t>
      </w:r>
      <w:r>
        <w:rPr>
          <w:rFonts w:ascii="Arial" w:hAnsi="Arial" w:cs="Arial"/>
        </w:rPr>
      </w:r>
      <w:r>
        <w:rPr>
          <w:rFonts w:ascii="Arial" w:hAnsi="Arial" w:cs="Arial"/>
        </w:rPr>
      </w:r>
    </w:p>
    <w:p>
      <w:pPr>
        <w:pStyle w:val="887"/>
        <w:pBdr/>
        <w:spacing/>
        <w:ind w:right="-5"/>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right="-5"/>
        <w:jc w:val="both"/>
        <w:rPr>
          <w:rFonts w:ascii="Arial" w:hAnsi="Arial" w:cs="Arial"/>
        </w:rPr>
      </w:pPr>
      <w:r>
        <w:rPr>
          <w:rStyle w:val="1010"/>
          <w:rFonts w:ascii="Arial" w:hAnsi="Arial" w:eastAsia="Arial" w:cs="Arial"/>
          <w:b/>
        </w:rPr>
        <w:t xml:space="preserve">22.1. DOS FUNDAMENTOS LEGAIS E DA SUJEIÇÃO ÀS NORMAS LEGAIS E CONTRATUAIS: </w:t>
      </w:r>
      <w:r>
        <w:rPr>
          <w:rFonts w:ascii="Arial" w:hAnsi="Arial" w:cs="Arial"/>
        </w:rPr>
      </w:r>
      <w:r>
        <w:rPr>
          <w:rFonts w:ascii="Arial" w:hAnsi="Arial" w:cs="Arial"/>
        </w:rPr>
      </w:r>
    </w:p>
    <w:p>
      <w:pPr>
        <w:pStyle w:val="887"/>
        <w:pBdr/>
        <w:spacing/>
        <w:ind w:right="-5" w:left="708"/>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ight="-5" w:left="708"/>
        <w:jc w:val="both"/>
        <w:rPr>
          <w:rFonts w:ascii="Arial" w:hAnsi="Arial" w:cs="Arial"/>
        </w:rPr>
      </w:pPr>
      <w:r>
        <w:rPr>
          <w:rStyle w:val="1010"/>
          <w:rFonts w:ascii="Arial" w:hAnsi="Arial" w:eastAsia="Arial" w:cs="Arial"/>
          <w:b/>
        </w:rPr>
        <w:t xml:space="preserve">22.1.1.</w:t>
      </w:r>
      <w:r>
        <w:rPr>
          <w:rStyle w:val="1010"/>
          <w:rFonts w:ascii="Arial" w:hAnsi="Arial" w:eastAsia="Arial" w:cs="Arial"/>
        </w:rPr>
        <w:t xml:space="preserve"> A legislação aplicável a este Contrato é a constante do </w:t>
      </w:r>
      <w:r>
        <w:rPr>
          <w:rFonts w:ascii="Arial" w:hAnsi="Arial" w:eastAsia="Arial" w:cs="Arial"/>
        </w:rPr>
        <w:t xml:space="preserve">Decreto Municipal nº 11.685/2023 </w:t>
      </w:r>
      <w:r>
        <w:rPr>
          <w:rStyle w:val="1010"/>
          <w:rFonts w:ascii="Arial" w:hAnsi="Arial" w:eastAsia="Arial" w:cs="Arial"/>
        </w:rPr>
        <w:t xml:space="preserve">e a Lei nº 14.133/21 e demais disposições aplicáveis as Licitações e Contratos Administrativos.  </w:t>
      </w:r>
      <w:r>
        <w:rPr>
          <w:rFonts w:ascii="Arial" w:hAnsi="Arial" w:cs="Arial"/>
        </w:rPr>
      </w:r>
      <w:r>
        <w:rPr>
          <w:rFonts w:ascii="Arial" w:hAnsi="Arial" w:cs="Arial"/>
        </w:rPr>
      </w:r>
    </w:p>
    <w:p>
      <w:pPr>
        <w:pStyle w:val="887"/>
        <w:pBdr/>
        <w:spacing/>
        <w:ind w:right="-5" w:left="708"/>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ight="-5" w:hanging="142" w:left="709"/>
        <w:jc w:val="both"/>
        <w:rPr>
          <w:rFonts w:ascii="Arial" w:hAnsi="Arial" w:cs="Arial"/>
        </w:rPr>
      </w:pPr>
      <w:r>
        <w:rPr>
          <w:rStyle w:val="1010"/>
          <w:rFonts w:ascii="Arial" w:hAnsi="Arial" w:eastAsia="Arial" w:cs="Arial"/>
          <w:b/>
        </w:rPr>
        <w:t xml:space="preserve">   </w:t>
      </w:r>
      <w:r>
        <w:rPr>
          <w:rStyle w:val="1010"/>
          <w:rFonts w:ascii="Arial" w:hAnsi="Arial" w:eastAsia="Arial" w:cs="Arial"/>
          <w:b/>
        </w:rPr>
        <w:t xml:space="preserve">22.1.2.</w:t>
      </w:r>
      <w:r>
        <w:rPr>
          <w:rStyle w:val="1010"/>
          <w:rFonts w:ascii="Arial" w:hAnsi="Arial" w:eastAsia="Arial" w:cs="Arial"/>
        </w:rPr>
        <w:t xml:space="preserve"> Os casos omissos que se tornarem controvertidos em face das cláusulas do presente contrato serão   resolvidos segundo os princípios jurídicos aplicáveis, e entendimentos dos tribunais de contas.</w:t>
      </w:r>
      <w:r>
        <w:rPr>
          <w:rFonts w:ascii="Arial" w:hAnsi="Arial" w:cs="Arial"/>
        </w:rPr>
      </w:r>
      <w:r>
        <w:rPr>
          <w:rFonts w:ascii="Arial" w:hAnsi="Arial" w:cs="Arial"/>
        </w:rPr>
      </w:r>
    </w:p>
    <w:p>
      <w:pPr>
        <w:pStyle w:val="887"/>
        <w:pBdr/>
        <w:spacing/>
        <w:ind w:right="-5" w:left="708"/>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ight="-5" w:left="708"/>
        <w:jc w:val="both"/>
        <w:rPr>
          <w:rFonts w:ascii="Arial" w:hAnsi="Arial" w:cs="Arial"/>
        </w:rPr>
      </w:pPr>
      <w:r>
        <w:rPr>
          <w:rStyle w:val="1010"/>
          <w:rFonts w:ascii="Arial" w:hAnsi="Arial" w:eastAsia="Arial" w:cs="Arial"/>
          <w:b/>
        </w:rPr>
        <w:t xml:space="preserve">22.1.3.</w:t>
      </w:r>
      <w:r>
        <w:rPr>
          <w:rStyle w:val="1010"/>
          <w:rFonts w:ascii="Arial" w:hAnsi="Arial" w:eastAsia="Arial" w:cs="Arial"/>
        </w:rPr>
        <w:t xml:space="preserve"> Após a assinatura deste Contrato, toda comunicação entre o </w:t>
      </w:r>
      <w:r>
        <w:rPr>
          <w:rStyle w:val="1010"/>
          <w:rFonts w:ascii="Arial" w:hAnsi="Arial" w:eastAsia="Arial" w:cs="Arial"/>
          <w:b/>
        </w:rPr>
        <w:t xml:space="preserve">CONTRATANTE</w:t>
      </w:r>
      <w:r>
        <w:rPr>
          <w:rStyle w:val="1010"/>
          <w:rFonts w:ascii="Arial" w:hAnsi="Arial" w:eastAsia="Arial" w:cs="Arial"/>
        </w:rPr>
        <w:t xml:space="preserve"> e a </w:t>
      </w:r>
      <w:r>
        <w:rPr>
          <w:rStyle w:val="1010"/>
          <w:rFonts w:ascii="Arial" w:hAnsi="Arial" w:eastAsia="Arial" w:cs="Arial"/>
          <w:b/>
        </w:rPr>
        <w:t xml:space="preserve">CONTRATADA</w:t>
      </w:r>
      <w:r>
        <w:rPr>
          <w:rStyle w:val="1010"/>
          <w:rFonts w:ascii="Arial" w:hAnsi="Arial" w:eastAsia="Arial" w:cs="Arial"/>
        </w:rPr>
        <w:t xml:space="preserve"> será feita através de correspondência devidamente registrada. </w:t>
      </w:r>
      <w:r>
        <w:rPr>
          <w:rFonts w:ascii="Arial" w:hAnsi="Arial" w:cs="Arial"/>
        </w:rPr>
      </w:r>
      <w:r>
        <w:rPr>
          <w:rFonts w:ascii="Arial" w:hAnsi="Arial" w:cs="Arial"/>
        </w:rPr>
      </w:r>
    </w:p>
    <w:p>
      <w:pPr>
        <w:pStyle w:val="887"/>
        <w:pBdr/>
        <w:spacing/>
        <w:ind w:right="-5" w:left="708"/>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ight="-5" w:left="708"/>
        <w:jc w:val="both"/>
        <w:rPr>
          <w:rFonts w:ascii="Arial" w:hAnsi="Arial" w:cs="Arial"/>
        </w:rPr>
      </w:pPr>
      <w:r>
        <w:rPr>
          <w:rStyle w:val="1010"/>
          <w:rFonts w:ascii="Arial" w:hAnsi="Arial" w:eastAsia="Arial" w:cs="Arial"/>
          <w:b/>
        </w:rPr>
        <w:t xml:space="preserve">22.1.4.</w:t>
      </w:r>
      <w:r>
        <w:rPr>
          <w:rStyle w:val="1010"/>
          <w:rFonts w:ascii="Arial" w:hAnsi="Arial" w:eastAsia="Arial" w:cs="Arial"/>
        </w:rPr>
        <w:t xml:space="preserve"> Qualquer alteração nas condições ora estipuladas neste Contrato deverá ser feita através de Termo Aditivo, assinado pelos representantes legais das partes. </w:t>
      </w:r>
      <w:r>
        <w:rPr>
          <w:rFonts w:ascii="Arial" w:hAnsi="Arial" w:cs="Arial"/>
        </w:rPr>
      </w:r>
      <w:r>
        <w:rPr>
          <w:rFonts w:ascii="Arial" w:hAnsi="Arial" w:cs="Arial"/>
        </w:rPr>
      </w:r>
    </w:p>
    <w:p>
      <w:pPr>
        <w:pStyle w:val="887"/>
        <w:pBdr/>
        <w:spacing/>
        <w:ind w:right="-5"/>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ight="-5"/>
        <w:jc w:val="both"/>
        <w:rPr>
          <w:rFonts w:ascii="Arial" w:hAnsi="Arial" w:cs="Arial"/>
        </w:rPr>
      </w:pPr>
      <w:r>
        <w:rPr>
          <w:rFonts w:ascii="Arial" w:hAnsi="Arial" w:eastAsia="Arial" w:cs="Arial"/>
          <w:b/>
        </w:rPr>
        <w:t xml:space="preserve">CLÁUSULA VIGÉSIMA TERCEIRA – DA VINCULAÇÃO AO EDITAL:</w:t>
      </w:r>
      <w:r>
        <w:rPr>
          <w:rFonts w:ascii="Arial" w:hAnsi="Arial" w:cs="Arial"/>
        </w:rPr>
      </w:r>
      <w:r>
        <w:rPr>
          <w:rFonts w:ascii="Arial" w:hAnsi="Arial" w:cs="Arial"/>
        </w:rPr>
      </w:r>
    </w:p>
    <w:p>
      <w:pPr>
        <w:pStyle w:val="887"/>
        <w:pBdr/>
        <w:spacing/>
        <w:ind w:right="-5"/>
        <w:jc w:val="both"/>
        <w:rPr>
          <w:rFonts w:ascii="Arial" w:hAnsi="Arial" w:cs="Arial"/>
          <w:b/>
          <w:u w:val="single"/>
        </w:rPr>
      </w:pPr>
      <w:r>
        <w:rPr>
          <w:rFonts w:ascii="Arial" w:hAnsi="Arial" w:eastAsia="Arial" w:cs="Arial"/>
          <w:b/>
          <w:u w:val="single"/>
        </w:rPr>
      </w:r>
      <w:r>
        <w:rPr>
          <w:rFonts w:ascii="Arial" w:hAnsi="Arial" w:cs="Arial"/>
          <w:b/>
          <w:u w:val="single"/>
        </w:rPr>
      </w:r>
      <w:r>
        <w:rPr>
          <w:rFonts w:ascii="Arial" w:hAnsi="Arial" w:cs="Arial"/>
          <w:b/>
          <w:u w:val="single"/>
        </w:rPr>
      </w:r>
    </w:p>
    <w:p>
      <w:pPr>
        <w:pStyle w:val="887"/>
        <w:pBdr/>
        <w:spacing/>
        <w:ind w:right="-5"/>
        <w:jc w:val="both"/>
        <w:rPr>
          <w:rFonts w:ascii="Arial" w:hAnsi="Arial" w:cs="Arial"/>
        </w:rPr>
      </w:pPr>
      <w:r>
        <w:rPr>
          <w:rFonts w:ascii="Arial" w:hAnsi="Arial" w:eastAsia="Arial" w:cs="Arial"/>
          <w:b/>
        </w:rPr>
        <w:t xml:space="preserve">23.1.</w:t>
      </w:r>
      <w:r>
        <w:rPr>
          <w:rFonts w:ascii="Arial" w:hAnsi="Arial" w:eastAsia="Arial" w:cs="Arial"/>
          <w:b/>
          <w:u w:val="single"/>
        </w:rPr>
        <w:t xml:space="preserve"> </w:t>
      </w:r>
      <w:r>
        <w:rPr>
          <w:rFonts w:ascii="Arial" w:hAnsi="Arial" w:eastAsia="Arial" w:cs="Arial"/>
        </w:rPr>
        <w:t xml:space="preserve">O presente </w:t>
      </w:r>
      <w:r>
        <w:rPr>
          <w:rFonts w:ascii="Arial" w:hAnsi="Arial" w:eastAsia="Arial" w:cs="Arial"/>
          <w:b/>
        </w:rPr>
        <w:t xml:space="preserve">CONTRATO</w:t>
      </w:r>
      <w:r>
        <w:rPr>
          <w:rFonts w:ascii="Arial" w:hAnsi="Arial" w:eastAsia="Arial" w:cs="Arial"/>
        </w:rPr>
        <w:t xml:space="preserve"> fica vinculado aos termos do </w:t>
      </w:r>
      <w:r>
        <w:rPr>
          <w:rFonts w:ascii="Arial" w:hAnsi="Arial" w:eastAsia="Arial" w:cs="Arial"/>
          <w:b/>
        </w:rPr>
        <w:t xml:space="preserve">Edital de Pregão, Termo de Referência e todos os anexos que os acompanham </w:t>
      </w:r>
      <w:r>
        <w:rPr>
          <w:rFonts w:ascii="Arial" w:hAnsi="Arial" w:eastAsia="Arial" w:cs="Arial"/>
        </w:rPr>
        <w:t xml:space="preserve">e à proposta da </w:t>
      </w:r>
      <w:r>
        <w:rPr>
          <w:rFonts w:ascii="Arial" w:hAnsi="Arial" w:eastAsia="Arial" w:cs="Arial"/>
          <w:bCs/>
        </w:rPr>
        <w:t xml:space="preserve">CONTRATADA.</w:t>
      </w:r>
      <w:r>
        <w:rPr>
          <w:rFonts w:ascii="Arial" w:hAnsi="Arial" w:cs="Arial"/>
        </w:rPr>
      </w:r>
      <w:r>
        <w:rPr>
          <w:rFonts w:ascii="Arial" w:hAnsi="Arial" w:cs="Arial"/>
        </w:rPr>
      </w:r>
    </w:p>
    <w:p>
      <w:pPr>
        <w:pStyle w:val="887"/>
        <w:pBdr/>
        <w:spacing/>
        <w:ind w:right="-5"/>
        <w:jc w:val="both"/>
        <w:rPr>
          <w:rFonts w:ascii="Arial" w:hAnsi="Arial" w:cs="Arial"/>
          <w:bCs/>
          <w:u w:val="single"/>
        </w:rPr>
      </w:pPr>
      <w:r>
        <w:rPr>
          <w:rFonts w:ascii="Arial" w:hAnsi="Arial" w:eastAsia="Arial" w:cs="Arial"/>
          <w:bCs/>
          <w:u w:val="single"/>
        </w:rPr>
      </w:r>
      <w:r>
        <w:rPr>
          <w:rFonts w:ascii="Arial" w:hAnsi="Arial" w:cs="Arial"/>
          <w:bCs/>
          <w:u w:val="single"/>
        </w:rPr>
      </w:r>
      <w:r>
        <w:rPr>
          <w:rFonts w:ascii="Arial" w:hAnsi="Arial" w:cs="Arial"/>
          <w:bCs/>
          <w:u w:val="single"/>
        </w:rPr>
      </w:r>
    </w:p>
    <w:p>
      <w:pPr>
        <w:pStyle w:val="887"/>
        <w:pBdr/>
        <w:spacing/>
        <w:ind w:right="-5"/>
        <w:jc w:val="both"/>
        <w:rPr>
          <w:rFonts w:ascii="Arial" w:hAnsi="Arial" w:cs="Arial"/>
        </w:rPr>
      </w:pPr>
      <w:r>
        <w:rPr>
          <w:rFonts w:ascii="Arial" w:hAnsi="Arial" w:eastAsia="Arial" w:cs="Arial"/>
          <w:b/>
        </w:rPr>
        <w:t xml:space="preserve">CLÁUSULA VIGÉSIMA QUARTA – CASOS OMISSOS</w:t>
      </w:r>
      <w:r>
        <w:rPr>
          <w:rFonts w:ascii="Arial" w:hAnsi="Arial" w:cs="Arial"/>
        </w:rPr>
      </w:r>
      <w:r>
        <w:rPr>
          <w:rFonts w:ascii="Arial" w:hAnsi="Arial" w:cs="Arial"/>
        </w:rPr>
      </w:r>
    </w:p>
    <w:p>
      <w:pPr>
        <w:pStyle w:val="887"/>
        <w:pBdr/>
        <w:spacing/>
        <w:ind w:right="-5"/>
        <w:jc w:val="both"/>
        <w:rPr>
          <w:rFonts w:ascii="Arial" w:hAnsi="Arial" w:cs="Arial"/>
          <w:b/>
        </w:rPr>
      </w:pPr>
      <w:r>
        <w:rPr>
          <w:rFonts w:ascii="Arial" w:hAnsi="Arial" w:eastAsia="Arial" w:cs="Arial"/>
          <w:b/>
        </w:rPr>
      </w:r>
      <w:r>
        <w:rPr>
          <w:rFonts w:ascii="Arial" w:hAnsi="Arial" w:cs="Arial"/>
          <w:b/>
        </w:rPr>
      </w:r>
      <w:r>
        <w:rPr>
          <w:rFonts w:ascii="Arial" w:hAnsi="Arial" w:cs="Arial"/>
          <w:b/>
        </w:rPr>
      </w:r>
    </w:p>
    <w:p>
      <w:pPr>
        <w:pStyle w:val="887"/>
        <w:pBdr/>
        <w:spacing/>
        <w:ind w:right="-5"/>
        <w:jc w:val="both"/>
        <w:rPr>
          <w:rFonts w:ascii="Arial" w:hAnsi="Arial" w:cs="Arial"/>
        </w:rPr>
      </w:pPr>
      <w:r>
        <w:rPr>
          <w:rFonts w:ascii="Arial" w:hAnsi="Arial" w:eastAsia="Arial" w:cs="Arial"/>
          <w:b/>
        </w:rPr>
        <w:t xml:space="preserve">24.1.</w:t>
      </w:r>
      <w:r>
        <w:rPr>
          <w:rFonts w:ascii="Arial" w:hAnsi="Arial" w:eastAsia="Arial" w:cs="Arial"/>
        </w:rPr>
        <w:t xml:space="preserve"> Os casos omissos serão decididos pelo contratante, segundo as disposições contidas na Lei nº 14.133/2021, no Dec</w:t>
      </w:r>
      <w:r>
        <w:rPr>
          <w:rFonts w:ascii="Arial" w:hAnsi="Arial" w:eastAsia="Arial" w:cs="Arial"/>
        </w:rPr>
        <w:t xml:space="preserve">reto 11.685/2023 e demais normas estaduais de licitações e contratos administrativos e, supletivamente as disposições contidas na Lei nº 8.078/1990 – Código de Defesa do Consumidor, normas e Princípios Gerais dos Contratos e disposições do direito privado.</w:t>
      </w:r>
      <w:r>
        <w:rPr>
          <w:rFonts w:ascii="Arial" w:hAnsi="Arial" w:cs="Arial"/>
        </w:rPr>
      </w:r>
      <w:r>
        <w:rPr>
          <w:rFonts w:ascii="Arial" w:hAnsi="Arial" w:cs="Arial"/>
        </w:rPr>
      </w:r>
    </w:p>
    <w:p>
      <w:pPr>
        <w:pStyle w:val="887"/>
        <w:pBdr/>
        <w:spacing/>
        <w:ind w:right="-5"/>
        <w:jc w:val="both"/>
        <w:rPr>
          <w:rFonts w:ascii="Arial" w:hAnsi="Arial" w:cs="Arial"/>
          <w:b/>
          <w:u w:val="single"/>
        </w:rPr>
      </w:pPr>
      <w:r>
        <w:rPr>
          <w:rFonts w:ascii="Arial" w:hAnsi="Arial" w:eastAsia="Arial" w:cs="Arial"/>
          <w:b/>
          <w:u w:val="single"/>
        </w:rPr>
      </w:r>
      <w:r>
        <w:rPr>
          <w:rFonts w:ascii="Arial" w:hAnsi="Arial" w:cs="Arial"/>
          <w:b/>
          <w:u w:val="single"/>
        </w:rPr>
      </w:r>
      <w:r>
        <w:rPr>
          <w:rFonts w:ascii="Arial" w:hAnsi="Arial" w:cs="Arial"/>
          <w:b/>
          <w:u w:val="single"/>
        </w:rPr>
      </w:r>
    </w:p>
    <w:p>
      <w:pPr>
        <w:pStyle w:val="887"/>
        <w:pBdr/>
        <w:spacing/>
        <w:ind w:right="-5"/>
        <w:jc w:val="both"/>
        <w:rPr>
          <w:rFonts w:ascii="Arial" w:hAnsi="Arial" w:cs="Arial"/>
        </w:rPr>
      </w:pPr>
      <w:r>
        <w:rPr>
          <w:rFonts w:ascii="Arial" w:hAnsi="Arial" w:eastAsia="Arial" w:cs="Arial"/>
          <w:b/>
        </w:rPr>
        <w:t xml:space="preserve">CLÁUSULA VIGÉSIMA QUINTA - DO FORO:</w:t>
      </w:r>
      <w:r>
        <w:rPr>
          <w:rFonts w:ascii="Arial" w:hAnsi="Arial" w:cs="Arial"/>
        </w:rPr>
      </w:r>
      <w:r>
        <w:rPr>
          <w:rFonts w:ascii="Arial" w:hAnsi="Arial" w:cs="Arial"/>
        </w:rPr>
      </w:r>
    </w:p>
    <w:p>
      <w:pPr>
        <w:pStyle w:val="887"/>
        <w:pBdr/>
        <w:spacing/>
        <w:ind w:right="-5"/>
        <w:jc w:val="both"/>
        <w:rPr>
          <w:rFonts w:ascii="Arial" w:hAnsi="Arial" w:cs="Arial"/>
          <w:b/>
          <w:u w:val="single"/>
        </w:rPr>
      </w:pPr>
      <w:r>
        <w:rPr>
          <w:rFonts w:ascii="Arial" w:hAnsi="Arial" w:eastAsia="Arial" w:cs="Arial"/>
          <w:b/>
          <w:u w:val="single"/>
        </w:rPr>
      </w:r>
      <w:r>
        <w:rPr>
          <w:rFonts w:ascii="Arial" w:hAnsi="Arial" w:cs="Arial"/>
          <w:b/>
          <w:u w:val="single"/>
        </w:rPr>
      </w:r>
      <w:r>
        <w:rPr>
          <w:rFonts w:ascii="Arial" w:hAnsi="Arial" w:cs="Arial"/>
          <w:b/>
          <w:u w:val="single"/>
        </w:rPr>
      </w:r>
    </w:p>
    <w:p>
      <w:pPr>
        <w:pStyle w:val="887"/>
        <w:pBdr/>
        <w:spacing/>
        <w:ind/>
        <w:jc w:val="both"/>
        <w:rPr>
          <w:rFonts w:ascii="Arial" w:hAnsi="Arial" w:cs="Arial"/>
        </w:rPr>
      </w:pPr>
      <w:r>
        <w:rPr>
          <w:rFonts w:ascii="Arial" w:hAnsi="Arial" w:eastAsia="Arial" w:cs="Arial"/>
          <w:b/>
        </w:rPr>
        <w:t xml:space="preserve">25.1.</w:t>
      </w:r>
      <w:r>
        <w:rPr>
          <w:rFonts w:ascii="Arial" w:hAnsi="Arial" w:eastAsia="Arial" w:cs="Arial"/>
        </w:rPr>
        <w:t xml:space="preserve"> Fica eleito o foro de Rondonópolis, Estado de Mato Grosso, como competente para dirimir quaisquer dúvidas ou questões decorrentes da execução deste contrato, que não puderem ser compostas pela conciliação, conforme art. 92, §1º, da Lei nº 14.133/2021.</w:t>
      </w:r>
      <w:r>
        <w:rPr>
          <w:rFonts w:ascii="Arial" w:hAnsi="Arial" w:cs="Arial"/>
        </w:rPr>
      </w:r>
      <w:r>
        <w:rPr>
          <w:rFonts w:ascii="Arial" w:hAnsi="Arial" w:cs="Arial"/>
        </w:rPr>
      </w:r>
    </w:p>
    <w:p>
      <w:pPr>
        <w:pStyle w:val="887"/>
        <w:pBdr/>
        <w:spacing/>
        <w:ind/>
        <w:jc w:val="both"/>
        <w:rPr>
          <w:rFonts w:ascii="Arial" w:hAnsi="Arial" w:cs="Arial"/>
          <w:b/>
          <w:u w:val="single"/>
        </w:rPr>
      </w:pPr>
      <w:r>
        <w:rPr>
          <w:rFonts w:ascii="Arial" w:hAnsi="Arial" w:eastAsia="Arial" w:cs="Arial"/>
          <w:b/>
          <w:u w:val="single"/>
        </w:rPr>
      </w:r>
      <w:r>
        <w:rPr>
          <w:rFonts w:ascii="Arial" w:hAnsi="Arial" w:cs="Arial"/>
          <w:b/>
          <w:u w:val="single"/>
        </w:rPr>
      </w:r>
      <w:r>
        <w:rPr>
          <w:rFonts w:ascii="Arial" w:hAnsi="Arial" w:cs="Arial"/>
          <w:b/>
          <w:u w:val="single"/>
        </w:rPr>
      </w:r>
    </w:p>
    <w:p>
      <w:pPr>
        <w:pStyle w:val="887"/>
        <w:pBdr/>
        <w:spacing/>
        <w:ind w:firstLine="708"/>
        <w:jc w:val="both"/>
        <w:rPr>
          <w:rFonts w:ascii="Arial" w:hAnsi="Arial" w:cs="Arial"/>
        </w:rPr>
      </w:pPr>
      <w:r>
        <w:rPr>
          <w:rFonts w:ascii="Arial" w:hAnsi="Arial" w:eastAsia="Arial" w:cs="Arial"/>
        </w:rPr>
        <w:t xml:space="preserve">E, para firmeza e validade do que foi pactuado, lavrou-se o presente </w:t>
      </w:r>
      <w:r>
        <w:rPr>
          <w:rFonts w:ascii="Arial" w:hAnsi="Arial" w:eastAsia="Arial" w:cs="Arial"/>
          <w:b/>
          <w:bCs/>
        </w:rPr>
        <w:t xml:space="preserve">CONTRATO </w:t>
      </w:r>
      <w:r>
        <w:rPr>
          <w:rFonts w:ascii="Arial" w:hAnsi="Arial" w:eastAsia="Arial" w:cs="Arial"/>
        </w:rPr>
        <w:t xml:space="preserve">em 04 (quatro) vias de igual teor e forma, para que surtam um só efeito, as quais, depois de lidas, são assinadas pelos representantes do </w:t>
      </w:r>
      <w:r>
        <w:rPr>
          <w:rFonts w:ascii="Arial" w:hAnsi="Arial" w:eastAsia="Arial" w:cs="Arial"/>
          <w:b/>
          <w:bCs/>
        </w:rPr>
        <w:t xml:space="preserve">CONTRATANTE </w:t>
      </w:r>
      <w:r>
        <w:rPr>
          <w:rFonts w:ascii="Arial" w:hAnsi="Arial" w:eastAsia="Arial" w:cs="Arial"/>
        </w:rPr>
        <w:t xml:space="preserve">e da </w:t>
      </w:r>
      <w:r>
        <w:rPr>
          <w:rFonts w:ascii="Arial" w:hAnsi="Arial" w:eastAsia="Arial" w:cs="Arial"/>
          <w:b/>
          <w:bCs/>
        </w:rPr>
        <w:t xml:space="preserve">CONTRATADA</w:t>
      </w:r>
      <w:r>
        <w:rPr>
          <w:rFonts w:ascii="Arial" w:hAnsi="Arial" w:eastAsia="Arial" w:cs="Arial"/>
        </w:rPr>
        <w:t xml:space="preserve">, e pelas testemunhas abaixo relacionadas.</w:t>
      </w:r>
      <w:r>
        <w:rPr>
          <w:rFonts w:ascii="Arial" w:hAnsi="Arial" w:cs="Arial"/>
        </w:rPr>
      </w:r>
      <w:r>
        <w:rPr>
          <w:rFonts w:ascii="Arial" w:hAnsi="Arial" w:cs="Arial"/>
        </w:rPr>
      </w:r>
    </w:p>
    <w:p>
      <w:pPr>
        <w:pStyle w:val="887"/>
        <w:pBdr/>
        <w:spacing/>
        <w:ind w:right="-20"/>
        <w:jc w:val="right"/>
        <w:rPr>
          <w:rFonts w:ascii="Arial" w:hAnsi="Arial" w:cs="Arial"/>
          <w:spacing w:val="1"/>
        </w:rPr>
      </w:pPr>
      <w:r>
        <w:rPr>
          <w:rFonts w:ascii="Arial" w:hAnsi="Arial" w:eastAsia="Arial" w:cs="Arial"/>
          <w:spacing w:val="1"/>
        </w:rPr>
      </w:r>
      <w:r>
        <w:rPr>
          <w:rFonts w:ascii="Arial" w:hAnsi="Arial" w:cs="Arial"/>
          <w:spacing w:val="1"/>
        </w:rPr>
      </w:r>
      <w:r>
        <w:rPr>
          <w:rFonts w:ascii="Arial" w:hAnsi="Arial" w:cs="Arial"/>
          <w:spacing w:val="1"/>
        </w:rPr>
      </w:r>
    </w:p>
    <w:p>
      <w:pPr>
        <w:pStyle w:val="887"/>
        <w:pBdr/>
        <w:spacing/>
        <w:ind w:right="-20"/>
        <w:jc w:val="right"/>
        <w:rPr>
          <w:rFonts w:ascii="Arial" w:hAnsi="Arial" w:cs="Arial"/>
        </w:rPr>
      </w:pPr>
      <w:r>
        <w:rPr>
          <w:rFonts w:ascii="Arial" w:hAnsi="Arial" w:eastAsia="Arial" w:cs="Arial"/>
          <w:spacing w:val="1"/>
        </w:rPr>
        <w:t xml:space="preserve">Rondonópolis</w:t>
      </w:r>
      <w:r>
        <w:rPr>
          <w:rFonts w:ascii="Arial" w:hAnsi="Arial" w:eastAsia="Arial" w:cs="Arial"/>
        </w:rPr>
        <w:t xml:space="preserve">-</w:t>
      </w:r>
      <w:r>
        <w:rPr>
          <w:rFonts w:ascii="Arial" w:hAnsi="Arial" w:eastAsia="Arial" w:cs="Arial"/>
          <w:spacing w:val="2"/>
        </w:rPr>
        <w:t xml:space="preserve">MT.</w:t>
      </w:r>
      <w:r>
        <w:rPr>
          <w:rFonts w:ascii="Arial" w:hAnsi="Arial" w:eastAsia="Arial" w:cs="Arial"/>
        </w:rPr>
        <w:t xml:space="preserve">,</w:t>
      </w:r>
      <w:r>
        <w:rPr>
          <w:rFonts w:ascii="Arial" w:hAnsi="Arial" w:eastAsia="Arial" w:cs="Arial"/>
          <w:spacing w:val="10"/>
        </w:rPr>
        <w:t xml:space="preserve"> ___ de ____________ </w:t>
      </w:r>
      <w:r>
        <w:rPr>
          <w:rFonts w:ascii="Arial" w:hAnsi="Arial" w:eastAsia="Arial" w:cs="Arial"/>
          <w:spacing w:val="2"/>
        </w:rPr>
        <w:t xml:space="preserve">d</w:t>
      </w:r>
      <w:r>
        <w:rPr>
          <w:rFonts w:ascii="Arial" w:hAnsi="Arial" w:eastAsia="Arial" w:cs="Arial"/>
        </w:rPr>
        <w:t xml:space="preserve">e</w:t>
      </w:r>
      <w:r>
        <w:rPr>
          <w:rFonts w:ascii="Arial" w:hAnsi="Arial" w:eastAsia="Arial" w:cs="Arial"/>
          <w:spacing w:val="10"/>
        </w:rPr>
        <w:t xml:space="preserve"> </w:t>
      </w:r>
      <w:r>
        <w:rPr>
          <w:rFonts w:ascii="Arial" w:hAnsi="Arial" w:eastAsia="Arial" w:cs="Arial"/>
        </w:rPr>
        <w:t xml:space="preserve">2026</w:t>
      </w:r>
      <w:r>
        <w:rPr>
          <w:rFonts w:ascii="Arial" w:hAnsi="Arial" w:eastAsia="Arial" w:cs="Arial"/>
        </w:rPr>
        <w:t xml:space="preserve">.</w:t>
      </w:r>
      <w:r>
        <w:rPr>
          <w:rFonts w:ascii="Arial" w:hAnsi="Arial" w:cs="Arial"/>
        </w:rPr>
      </w:r>
      <w:r>
        <w:rPr>
          <w:rFonts w:ascii="Arial" w:hAnsi="Arial" w:cs="Arial"/>
        </w:rPr>
      </w:r>
    </w:p>
    <w:tbl>
      <w:tblPr>
        <w:tblInd w:w="0" w:type="dxa"/>
        <w:tblW w:w="9410" w:type="dxa"/>
        <w:tblCellMar>
          <w:left w:w="70" w:type="dxa"/>
          <w:top w:w="0" w:type="dxa"/>
          <w:right w:w="70" w:type="dxa"/>
          <w:bottom w:w="0" w:type="dxa"/>
        </w:tblCellMar>
        <w:tblBorders/>
        <w:tblLayout w:type="fixed"/>
        <w:tblLook w:val="0000" w:firstRow="0" w:lastRow="0" w:firstColumn="0" w:lastColumn="0" w:noHBand="0" w:noVBand="0"/>
      </w:tblPr>
      <w:tblGrid>
        <w:gridCol w:w="4929"/>
        <w:gridCol w:w="720"/>
        <w:gridCol w:w="3760"/>
      </w:tblGrid>
      <w:tr>
        <w:trPr/>
        <w:tc>
          <w:tcPr>
            <w:gridSpan w:val="2"/>
            <w:tcBorders/>
            <w:tcW w:w="5649" w:type="dxa"/>
            <w:textDirection w:val="lrTb"/>
            <w:noWrap w:val="false"/>
          </w:tcPr>
          <w:p>
            <w:pPr>
              <w:pStyle w:val="2076"/>
              <w:pBdr/>
              <w:spacing/>
              <w:ind/>
              <w:jc w:val="center"/>
              <w:rPr>
                <w:rFonts w:ascii="Arial" w:hAnsi="Arial" w:cs="Arial"/>
              </w:rPr>
            </w:pPr>
            <w:r>
              <w:rPr>
                <w:rFonts w:ascii="Arial" w:hAnsi="Arial" w:eastAsia="Arial" w:cs="Arial"/>
              </w:rPr>
              <w:t xml:space="preserve">O MUNICÍPIO DE RONDONÓPOLIS-MT.</w:t>
            </w:r>
            <w:r>
              <w:rPr>
                <w:rFonts w:ascii="Arial" w:hAnsi="Arial" w:cs="Arial"/>
              </w:rPr>
            </w:r>
            <w:r>
              <w:rPr>
                <w:rFonts w:ascii="Arial" w:hAnsi="Arial" w:cs="Arial"/>
              </w:rPr>
            </w:r>
          </w:p>
          <w:p>
            <w:pPr>
              <w:pStyle w:val="887"/>
              <w:pBdr/>
              <w:spacing/>
              <w:ind/>
              <w:jc w:val="center"/>
              <w:rPr>
                <w:rFonts w:ascii="Arial" w:hAnsi="Arial" w:cs="Arial"/>
              </w:rPr>
            </w:pPr>
            <w:r>
              <w:rPr>
                <w:rFonts w:ascii="Arial" w:hAnsi="Arial" w:eastAsia="Arial" w:cs="Arial"/>
              </w:rPr>
              <w:t xml:space="preserve">CONTRATANTE</w:t>
            </w:r>
            <w:r>
              <w:rPr>
                <w:rFonts w:ascii="Arial" w:hAnsi="Arial" w:cs="Arial"/>
              </w:rPr>
            </w:r>
            <w:r>
              <w:rPr>
                <w:rFonts w:ascii="Arial" w:hAnsi="Arial" w:cs="Arial"/>
              </w:rPr>
            </w:r>
          </w:p>
        </w:tc>
        <w:tc>
          <w:tcPr>
            <w:tcBorders/>
            <w:tcW w:w="3760" w:type="dxa"/>
            <w:textDirection w:val="lrTb"/>
            <w:noWrap w:val="false"/>
          </w:tcPr>
          <w:p>
            <w:pPr>
              <w:pStyle w:val="2076"/>
              <w:pBdr/>
              <w:spacing/>
              <w:ind/>
              <w:jc w:val="center"/>
              <w:rPr>
                <w:rFonts w:ascii="Arial" w:hAnsi="Arial" w:cs="Arial"/>
              </w:rPr>
            </w:pPr>
            <w:r>
              <w:rPr>
                <w:rFonts w:ascii="Arial" w:hAnsi="Arial" w:eastAsia="Arial" w:cs="Arial"/>
              </w:rPr>
            </w:r>
            <w:r>
              <w:rPr>
                <w:rFonts w:ascii="Arial" w:hAnsi="Arial" w:cs="Arial"/>
              </w:rPr>
            </w:r>
            <w:r>
              <w:rPr>
                <w:rFonts w:ascii="Arial" w:hAnsi="Arial" w:cs="Arial"/>
              </w:rPr>
            </w:r>
          </w:p>
          <w:p>
            <w:pPr>
              <w:pStyle w:val="2076"/>
              <w:pBdr/>
              <w:spacing/>
              <w:ind/>
              <w:jc w:val="center"/>
              <w:rPr>
                <w:rFonts w:ascii="Arial" w:hAnsi="Arial" w:cs="Arial"/>
              </w:rPr>
            </w:pPr>
            <w:r>
              <w:rPr>
                <w:rFonts w:ascii="Arial" w:hAnsi="Arial" w:eastAsia="Arial" w:cs="Arial"/>
              </w:rPr>
              <w:t xml:space="preserve">CONTRATADA</w:t>
            </w:r>
            <w:r>
              <w:rPr>
                <w:rFonts w:ascii="Arial" w:hAnsi="Arial" w:cs="Arial"/>
              </w:rPr>
            </w:r>
            <w:r>
              <w:rPr>
                <w:rFonts w:ascii="Arial" w:hAnsi="Arial" w:cs="Arial"/>
              </w:rPr>
            </w:r>
          </w:p>
          <w:p>
            <w:pPr>
              <w:pStyle w:val="887"/>
              <w:pBdr/>
              <w:spacing/>
              <w:ind/>
              <w:jc w:val="center"/>
              <w:rPr>
                <w:rFonts w:ascii="Arial" w:hAnsi="Arial" w:cs="Arial"/>
              </w:rPr>
            </w:pPr>
            <w:r>
              <w:rPr>
                <w:rFonts w:ascii="Arial" w:hAnsi="Arial" w:eastAsia="Arial" w:cs="Arial"/>
              </w:rPr>
            </w:r>
            <w:r>
              <w:rPr>
                <w:rFonts w:ascii="Arial" w:hAnsi="Arial" w:cs="Arial"/>
              </w:rPr>
            </w:r>
            <w:r>
              <w:rPr>
                <w:rFonts w:ascii="Arial" w:hAnsi="Arial" w:cs="Arial"/>
              </w:rPr>
            </w:r>
          </w:p>
        </w:tc>
      </w:tr>
      <w:tr>
        <w:trPr/>
        <w:tc>
          <w:tcPr>
            <w:tcBorders/>
            <w:tcW w:w="4929" w:type="dxa"/>
            <w:textDirection w:val="lrTb"/>
            <w:noWrap w:val="false"/>
          </w:tcPr>
          <w:p>
            <w:pPr>
              <w:pStyle w:val="887"/>
              <w:pBdr/>
              <w:spacing/>
              <w:ind/>
              <w:jc w:val="center"/>
              <w:rPr>
                <w:rFonts w:ascii="Arial" w:hAnsi="Arial" w:cs="Arial"/>
              </w:rPr>
            </w:pPr>
            <w:r>
              <w:rPr>
                <w:rFonts w:ascii="Arial" w:hAnsi="Arial" w:eastAsia="Arial" w:cs="Arial"/>
              </w:rPr>
              <w:t xml:space="preserve">TESTEMUNHAS:__________________________</w:t>
            </w:r>
            <w:r>
              <w:rPr>
                <w:rFonts w:ascii="Arial" w:hAnsi="Arial" w:cs="Arial"/>
              </w:rPr>
            </w:r>
            <w:r>
              <w:rPr>
                <w:rFonts w:ascii="Arial" w:hAnsi="Arial" w:cs="Arial"/>
              </w:rPr>
            </w:r>
          </w:p>
          <w:p>
            <w:pPr>
              <w:pStyle w:val="887"/>
              <w:pBdr/>
              <w:spacing/>
              <w:ind/>
              <w:jc w:val="center"/>
              <w:rPr>
                <w:rFonts w:ascii="Arial" w:hAnsi="Arial" w:cs="Arial"/>
              </w:rPr>
            </w:pPr>
            <w:r>
              <w:rPr>
                <w:rFonts w:ascii="Arial" w:hAnsi="Arial" w:eastAsia="Arial" w:cs="Arial"/>
              </w:rPr>
              <w:t xml:space="preserve">                       </w:t>
            </w:r>
            <w:r>
              <w:rPr>
                <w:rFonts w:ascii="Arial" w:hAnsi="Arial" w:eastAsia="Arial" w:cs="Arial"/>
              </w:rPr>
              <w:t xml:space="preserve">RG N.º</w:t>
            </w:r>
            <w:r>
              <w:rPr>
                <w:rFonts w:ascii="Arial" w:hAnsi="Arial" w:cs="Arial"/>
              </w:rPr>
            </w:r>
            <w:r>
              <w:rPr>
                <w:rFonts w:ascii="Arial" w:hAnsi="Arial" w:cs="Arial"/>
              </w:rPr>
            </w:r>
          </w:p>
        </w:tc>
        <w:tc>
          <w:tcPr>
            <w:gridSpan w:val="2"/>
            <w:tcBorders/>
            <w:tcW w:w="4480" w:type="dxa"/>
            <w:textDirection w:val="lrTb"/>
            <w:noWrap w:val="false"/>
          </w:tcPr>
          <w:p>
            <w:pPr>
              <w:pStyle w:val="2076"/>
              <w:pBdr/>
              <w:spacing/>
              <w:ind/>
              <w:jc w:val="center"/>
              <w:rPr>
                <w:rFonts w:ascii="Arial" w:hAnsi="Arial" w:cs="Arial"/>
              </w:rPr>
            </w:pPr>
            <w:r>
              <w:rPr>
                <w:rFonts w:ascii="Arial" w:hAnsi="Arial" w:eastAsia="Arial" w:cs="Arial"/>
              </w:rPr>
              <w:t xml:space="preserve">______________________________</w:t>
            </w:r>
            <w:r>
              <w:rPr>
                <w:rFonts w:ascii="Arial" w:hAnsi="Arial" w:cs="Arial"/>
              </w:rPr>
            </w:r>
            <w:r>
              <w:rPr>
                <w:rFonts w:ascii="Arial" w:hAnsi="Arial" w:cs="Arial"/>
              </w:rPr>
            </w:r>
          </w:p>
          <w:p>
            <w:pPr>
              <w:pStyle w:val="2076"/>
              <w:pBdr/>
              <w:spacing/>
              <w:ind/>
              <w:jc w:val="center"/>
              <w:rPr>
                <w:rFonts w:ascii="Arial" w:hAnsi="Arial" w:cs="Arial"/>
              </w:rPr>
            </w:pPr>
            <w:r>
              <w:rPr>
                <w:rFonts w:ascii="Arial" w:hAnsi="Arial" w:eastAsia="Arial" w:cs="Arial"/>
              </w:rPr>
              <w:t xml:space="preserve">RG N.º</w:t>
            </w:r>
            <w:r>
              <w:rPr>
                <w:rFonts w:ascii="Arial" w:hAnsi="Arial" w:cs="Arial"/>
              </w:rPr>
            </w:r>
            <w:r>
              <w:rPr>
                <w:rFonts w:ascii="Arial" w:hAnsi="Arial" w:cs="Arial"/>
              </w:rPr>
            </w:r>
          </w:p>
        </w:tc>
      </w:tr>
    </w:tbl>
    <w:p>
      <w:pPr>
        <w:pStyle w:val="887"/>
        <w:pBdr/>
        <w:spacing/>
        <w:ind/>
        <w:rPr>
          <w:rFonts w:ascii="Arial" w:hAnsi="Arial" w:cs="Arial"/>
        </w:rPr>
      </w:pPr>
      <w:r>
        <w:rPr>
          <w:rFonts w:ascii="Arial" w:hAnsi="Arial" w:eastAsia="Arial" w:cs="Arial"/>
        </w:rPr>
        <w:t xml:space="preserve">                                                </w:t>
      </w:r>
      <w:r>
        <w:rPr>
          <w:rFonts w:ascii="Arial" w:hAnsi="Arial" w:cs="Arial"/>
        </w:rPr>
      </w:r>
      <w:r>
        <w:rPr>
          <w:rFonts w:ascii="Arial" w:hAnsi="Arial" w:cs="Arial"/>
        </w:rPr>
      </w:r>
    </w:p>
    <w:p>
      <w:pPr>
        <w:pStyle w:val="887"/>
        <w:pBdr/>
        <w:spacing/>
        <w:ind/>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rPr>
          <w:rFonts w:ascii="Arial" w:hAnsi="Arial" w:cs="Arial"/>
        </w:rPr>
      </w:pPr>
      <w:r>
        <w:rPr>
          <w:rFonts w:ascii="Arial" w:hAnsi="Arial" w:eastAsia="Arial" w:cs="Arial"/>
        </w:rPr>
        <w:t xml:space="preserve">                                                 </w:t>
      </w:r>
      <w:r>
        <w:rPr>
          <w:rFonts w:ascii="Arial" w:hAnsi="Arial" w:cs="Arial"/>
        </w:rPr>
      </w:r>
      <w:r>
        <w:rPr>
          <w:rFonts w:ascii="Arial" w:hAnsi="Arial" w:cs="Arial"/>
        </w:rPr>
      </w:r>
    </w:p>
    <w:p w14:paraId="2B0F05D8">
      <w:pPr>
        <w:pStyle w:val="887"/>
        <w:pBdr/>
        <w:spacing/>
        <w:ind/>
        <w:rPr>
          <w:rFonts w:ascii="Arial" w:hAnsi="Arial" w:cs="Arial"/>
        </w:rPr>
      </w:pPr>
      <w:r>
        <w:rPr>
          <w:rFonts w:ascii="Arial" w:hAnsi="Arial" w:eastAsia="Arial" w:cs="Arial"/>
          <w:highlight w:val="none"/>
        </w:rPr>
      </w:r>
      <w:r>
        <w:rPr>
          <w:rFonts w:ascii="Arial" w:hAnsi="Arial" w:cs="Arial"/>
        </w:rPr>
      </w:r>
      <w:r>
        <w:rPr>
          <w:rFonts w:ascii="Arial" w:hAnsi="Arial" w:cs="Arial"/>
        </w:rPr>
      </w:r>
    </w:p>
    <w:p w14:paraId="181AE2ED">
      <w:pPr>
        <w:pStyle w:val="887"/>
        <w:pBdr/>
        <w:spacing/>
        <w:ind/>
        <w:rPr>
          <w:rFonts w:ascii="Arial" w:hAnsi="Arial" w:cs="Arial"/>
          <w:highlight w:val="none"/>
        </w:rPr>
      </w:pPr>
      <w:r>
        <w:rPr>
          <w:rFonts w:ascii="Arial" w:hAnsi="Arial" w:eastAsia="Arial" w:cs="Arial"/>
          <w:highlight w:val="none"/>
        </w:rPr>
      </w:r>
      <w:r>
        <w:rPr>
          <w:rFonts w:ascii="Arial" w:hAnsi="Arial" w:cs="Arial"/>
          <w:highlight w:val="none"/>
        </w:rPr>
      </w:r>
      <w:r>
        <w:rPr>
          <w:rFonts w:ascii="Arial" w:hAnsi="Arial" w:cs="Arial"/>
          <w:highlight w:val="none"/>
        </w:rPr>
      </w:r>
    </w:p>
    <w:p w14:paraId="552109CC">
      <w:pPr>
        <w:pStyle w:val="887"/>
        <w:pBdr/>
        <w:spacing/>
        <w:ind/>
        <w:rPr>
          <w:rFonts w:ascii="Arial" w:hAnsi="Arial" w:cs="Arial"/>
          <w:highlight w:val="none"/>
        </w:rPr>
      </w:pPr>
      <w:r>
        <w:rPr>
          <w:rFonts w:ascii="Arial" w:hAnsi="Arial" w:eastAsia="Arial" w:cs="Arial"/>
          <w:highlight w:val="none"/>
        </w:rPr>
      </w:r>
      <w:r>
        <w:rPr>
          <w:rFonts w:ascii="Arial" w:hAnsi="Arial" w:cs="Arial"/>
          <w:highlight w:val="none"/>
        </w:rPr>
      </w:r>
      <w:r>
        <w:rPr>
          <w:rFonts w:ascii="Arial" w:hAnsi="Arial" w:cs="Arial"/>
          <w:highlight w:val="none"/>
        </w:rPr>
      </w:r>
    </w:p>
    <w:p w14:paraId="6C8D2043">
      <w:pPr>
        <w:pStyle w:val="887"/>
        <w:pBdr/>
        <w:spacing/>
        <w:ind/>
        <w:rPr>
          <w:rFonts w:ascii="Arial" w:hAnsi="Arial" w:cs="Arial"/>
          <w:highlight w:val="none"/>
        </w:rPr>
      </w:pPr>
      <w:r>
        <w:rPr>
          <w:rFonts w:ascii="Arial" w:hAnsi="Arial" w:eastAsia="Arial" w:cs="Arial"/>
          <w:highlight w:val="none"/>
        </w:rPr>
      </w:r>
      <w:r>
        <w:rPr>
          <w:rFonts w:ascii="Arial" w:hAnsi="Arial" w:cs="Arial"/>
          <w:highlight w:val="none"/>
        </w:rPr>
      </w:r>
      <w:r>
        <w:rPr>
          <w:rFonts w:ascii="Arial" w:hAnsi="Arial" w:cs="Arial"/>
          <w:highlight w:val="none"/>
        </w:rPr>
      </w:r>
    </w:p>
    <w:p w14:paraId="14D71B5A">
      <w:pPr>
        <w:pStyle w:val="887"/>
        <w:pBdr/>
        <w:spacing/>
        <w:ind/>
        <w:rPr>
          <w:rFonts w:ascii="Arial" w:hAnsi="Arial" w:cs="Arial"/>
          <w:highlight w:val="none"/>
        </w:rPr>
      </w:pPr>
      <w:r>
        <w:rPr>
          <w:rFonts w:ascii="Arial" w:hAnsi="Arial" w:eastAsia="Arial" w:cs="Arial"/>
          <w:highlight w:val="none"/>
        </w:rPr>
      </w:r>
      <w:r>
        <w:rPr>
          <w:rFonts w:ascii="Arial" w:hAnsi="Arial" w:cs="Arial"/>
          <w:highlight w:val="none"/>
        </w:rPr>
      </w:r>
      <w:r>
        <w:rPr>
          <w:rFonts w:ascii="Arial" w:hAnsi="Arial" w:cs="Arial"/>
          <w:highlight w:val="none"/>
        </w:rPr>
      </w:r>
    </w:p>
    <w:p w14:paraId="0DB223EB">
      <w:pPr>
        <w:pStyle w:val="887"/>
        <w:pBdr/>
        <w:spacing/>
        <w:ind/>
        <w:rPr>
          <w:rFonts w:ascii="Arial" w:hAnsi="Arial" w:cs="Arial"/>
          <w:highlight w:val="none"/>
        </w:rPr>
      </w:pPr>
      <w:r>
        <w:rPr>
          <w:rFonts w:ascii="Arial" w:hAnsi="Arial" w:eastAsia="Arial" w:cs="Arial"/>
          <w:highlight w:val="none"/>
        </w:rPr>
      </w:r>
      <w:r>
        <w:rPr>
          <w:rFonts w:ascii="Arial" w:hAnsi="Arial" w:cs="Arial"/>
          <w:highlight w:val="none"/>
        </w:rPr>
      </w:r>
      <w:r>
        <w:rPr>
          <w:rFonts w:ascii="Arial" w:hAnsi="Arial" w:cs="Arial"/>
          <w:highlight w:val="none"/>
        </w:rPr>
      </w:r>
    </w:p>
    <w:p w14:paraId="56AEF2D3">
      <w:pPr>
        <w:pStyle w:val="887"/>
        <w:pBdr/>
        <w:spacing/>
        <w:ind/>
        <w:rPr>
          <w:rFonts w:ascii="Arial" w:hAnsi="Arial" w:cs="Arial"/>
          <w:highlight w:val="none"/>
        </w:rPr>
      </w:pPr>
      <w:r>
        <w:rPr>
          <w:rFonts w:ascii="Arial" w:hAnsi="Arial" w:eastAsia="Arial" w:cs="Arial"/>
        </w:rPr>
        <w:t xml:space="preserve">    </w:t>
      </w:r>
      <w:r>
        <w:rPr>
          <w:rFonts w:ascii="Arial" w:hAnsi="Arial" w:cs="Arial"/>
          <w:highlight w:val="none"/>
        </w:rPr>
      </w:r>
      <w:r>
        <w:rPr>
          <w:rFonts w:ascii="Arial" w:hAnsi="Arial" w:cs="Arial"/>
          <w:highlight w:val="none"/>
        </w:rPr>
      </w:r>
    </w:p>
    <w:p w14:paraId="296F2EE5">
      <w:pPr>
        <w:pStyle w:val="887"/>
        <w:pBdr/>
        <w:spacing/>
        <w:ind/>
        <w:rPr>
          <w:rFonts w:ascii="Arial" w:hAnsi="Arial" w:cs="Arial"/>
          <w:highlight w:val="none"/>
        </w:rPr>
      </w:pPr>
      <w:r>
        <w:rPr>
          <w:rFonts w:ascii="Arial" w:hAnsi="Arial" w:cs="Arial"/>
          <w:highlight w:val="none"/>
        </w:rPr>
      </w:r>
      <w:r>
        <w:rPr>
          <w:rFonts w:ascii="Arial" w:hAnsi="Arial" w:cs="Arial"/>
          <w:highlight w:val="none"/>
        </w:rPr>
      </w:r>
      <w:r>
        <w:rPr>
          <w:rFonts w:ascii="Arial" w:hAnsi="Arial" w:cs="Arial"/>
          <w:highlight w:val="none"/>
        </w:rPr>
      </w:r>
    </w:p>
    <w:p w14:paraId="2C1CF742">
      <w:pPr>
        <w:pStyle w:val="887"/>
        <w:pBdr/>
        <w:spacing/>
        <w:ind/>
        <w:rPr>
          <w:rFonts w:ascii="Arial" w:hAnsi="Arial" w:cs="Arial"/>
          <w:highlight w:val="none"/>
        </w:rPr>
      </w:pPr>
      <w:r>
        <w:rPr>
          <w:rFonts w:ascii="Arial" w:hAnsi="Arial" w:cs="Arial"/>
          <w:highlight w:val="none"/>
        </w:rPr>
      </w:r>
      <w:r>
        <w:rPr>
          <w:rFonts w:ascii="Arial" w:hAnsi="Arial" w:cs="Arial"/>
          <w:highlight w:val="none"/>
        </w:rPr>
      </w:r>
      <w:r>
        <w:rPr>
          <w:rFonts w:ascii="Arial" w:hAnsi="Arial" w:cs="Arial"/>
          <w:highlight w:val="none"/>
        </w:rPr>
      </w:r>
    </w:p>
    <w:p w14:paraId="169EAA27">
      <w:pPr>
        <w:pStyle w:val="887"/>
        <w:pBdr/>
        <w:spacing/>
        <w:ind/>
        <w:rPr>
          <w:rFonts w:ascii="Arial" w:hAnsi="Arial" w:cs="Arial"/>
          <w:highlight w:val="none"/>
        </w:rPr>
      </w:pPr>
      <w:r>
        <w:rPr>
          <w:rFonts w:ascii="Arial" w:hAnsi="Arial" w:cs="Arial"/>
          <w:highlight w:val="none"/>
        </w:rPr>
      </w:r>
      <w:r>
        <w:rPr>
          <w:rFonts w:ascii="Arial" w:hAnsi="Arial" w:cs="Arial"/>
          <w:highlight w:val="none"/>
        </w:rPr>
      </w:r>
      <w:r>
        <w:rPr>
          <w:rFonts w:ascii="Arial" w:hAnsi="Arial" w:cs="Arial"/>
          <w:highlight w:val="none"/>
        </w:rPr>
      </w:r>
    </w:p>
    <w:p w14:paraId="50604DD5">
      <w:pPr>
        <w:pStyle w:val="887"/>
        <w:pBdr/>
        <w:spacing/>
        <w:ind/>
        <w:rPr>
          <w:rFonts w:ascii="Arial" w:hAnsi="Arial" w:cs="Arial"/>
          <w:highlight w:val="none"/>
        </w:rPr>
      </w:pPr>
      <w:r>
        <w:rPr>
          <w:rFonts w:ascii="Arial" w:hAnsi="Arial" w:cs="Arial"/>
          <w:highlight w:val="none"/>
        </w:rPr>
      </w:r>
      <w:r>
        <w:rPr>
          <w:rFonts w:ascii="Arial" w:hAnsi="Arial" w:cs="Arial"/>
          <w:highlight w:val="none"/>
        </w:rPr>
      </w:r>
      <w:r>
        <w:rPr>
          <w:rFonts w:ascii="Arial" w:hAnsi="Arial" w:cs="Arial"/>
          <w:highlight w:val="none"/>
        </w:rPr>
      </w:r>
    </w:p>
    <w:p w14:paraId="0CEF5794">
      <w:pPr>
        <w:pStyle w:val="887"/>
        <w:pBdr/>
        <w:spacing/>
        <w:ind/>
        <w:rPr>
          <w:rFonts w:ascii="Arial" w:hAnsi="Arial" w:cs="Arial"/>
          <w:highlight w:val="none"/>
        </w:rPr>
      </w:pPr>
      <w:r>
        <w:rPr>
          <w:rFonts w:ascii="Arial" w:hAnsi="Arial" w:cs="Arial"/>
          <w:highlight w:val="none"/>
        </w:rPr>
      </w:r>
      <w:r>
        <w:rPr>
          <w:rFonts w:ascii="Arial" w:hAnsi="Arial" w:cs="Arial"/>
          <w:highlight w:val="none"/>
        </w:rPr>
      </w:r>
      <w:r>
        <w:rPr>
          <w:rFonts w:ascii="Arial" w:hAnsi="Arial" w:cs="Arial"/>
          <w:highlight w:val="none"/>
        </w:rPr>
      </w:r>
    </w:p>
    <w:p w14:paraId="635A417F">
      <w:pPr>
        <w:pStyle w:val="887"/>
        <w:pBdr/>
        <w:spacing/>
        <w:ind/>
        <w:rPr>
          <w:rFonts w:ascii="Arial" w:hAnsi="Arial" w:cs="Arial"/>
          <w:highlight w:val="none"/>
        </w:rPr>
      </w:pPr>
      <w:r>
        <w:rPr>
          <w:rFonts w:ascii="Arial" w:hAnsi="Arial" w:cs="Arial"/>
          <w:highlight w:val="none"/>
        </w:rPr>
      </w:r>
      <w:r>
        <w:rPr>
          <w:rFonts w:ascii="Arial" w:hAnsi="Arial" w:cs="Arial"/>
          <w:highlight w:val="none"/>
        </w:rPr>
      </w:r>
      <w:r>
        <w:rPr>
          <w:rFonts w:ascii="Arial" w:hAnsi="Arial" w:cs="Arial"/>
          <w:highlight w:val="none"/>
        </w:rPr>
      </w:r>
    </w:p>
    <w:p w14:paraId="7A96CD2A">
      <w:pPr>
        <w:pStyle w:val="887"/>
        <w:pBdr/>
        <w:spacing/>
        <w:ind/>
        <w:rPr>
          <w:rFonts w:ascii="Arial" w:hAnsi="Arial" w:cs="Arial"/>
          <w:highlight w:val="none"/>
        </w:rPr>
      </w:pPr>
      <w:r>
        <w:rPr>
          <w:rFonts w:ascii="Arial" w:hAnsi="Arial" w:cs="Arial"/>
          <w:highlight w:val="none"/>
        </w:rPr>
      </w:r>
      <w:r>
        <w:rPr>
          <w:rFonts w:ascii="Arial" w:hAnsi="Arial" w:cs="Arial"/>
          <w:highlight w:val="none"/>
        </w:rPr>
      </w:r>
      <w:r>
        <w:rPr>
          <w:rFonts w:ascii="Arial" w:hAnsi="Arial" w:cs="Arial"/>
          <w:highlight w:val="none"/>
        </w:rPr>
      </w:r>
    </w:p>
    <w:p w14:paraId="14546B1B">
      <w:pPr>
        <w:pStyle w:val="887"/>
        <w:pBdr/>
        <w:spacing/>
        <w:ind/>
        <w:rPr>
          <w:rFonts w:ascii="Arial" w:hAnsi="Arial" w:cs="Arial"/>
          <w:highlight w:val="none"/>
        </w:rPr>
      </w:pPr>
      <w:r>
        <w:rPr>
          <w:rFonts w:ascii="Arial" w:hAnsi="Arial" w:cs="Arial"/>
          <w:highlight w:val="none"/>
        </w:rPr>
      </w:r>
      <w:r>
        <w:rPr>
          <w:rFonts w:ascii="Arial" w:hAnsi="Arial" w:cs="Arial"/>
          <w:highlight w:val="none"/>
        </w:rPr>
      </w:r>
      <w:r>
        <w:rPr>
          <w:rFonts w:ascii="Arial" w:hAnsi="Arial" w:cs="Arial"/>
          <w:highlight w:val="none"/>
        </w:rPr>
      </w:r>
    </w:p>
    <w:p w14:paraId="33EC81E1">
      <w:pPr>
        <w:pStyle w:val="887"/>
        <w:pBdr/>
        <w:spacing/>
        <w:ind/>
        <w:rPr>
          <w:rFonts w:ascii="Arial" w:hAnsi="Arial" w:cs="Arial"/>
          <w:highlight w:val="none"/>
        </w:rPr>
      </w:pPr>
      <w:r>
        <w:rPr>
          <w:rFonts w:ascii="Arial" w:hAnsi="Arial" w:cs="Arial"/>
          <w:highlight w:val="none"/>
        </w:rPr>
      </w:r>
      <w:r>
        <w:rPr>
          <w:rFonts w:ascii="Arial" w:hAnsi="Arial" w:cs="Arial"/>
          <w:highlight w:val="none"/>
        </w:rPr>
      </w:r>
      <w:r>
        <w:rPr>
          <w:rFonts w:ascii="Arial" w:hAnsi="Arial" w:cs="Arial"/>
          <w:highlight w:val="none"/>
        </w:rPr>
      </w:r>
    </w:p>
    <w:p w14:paraId="4847A4AB">
      <w:pPr>
        <w:pStyle w:val="887"/>
        <w:pBdr/>
        <w:spacing/>
        <w:ind/>
        <w:rPr>
          <w:rFonts w:ascii="Arial" w:hAnsi="Arial" w:cs="Arial"/>
          <w:highlight w:val="none"/>
        </w:rPr>
      </w:pPr>
      <w:r>
        <w:rPr>
          <w:rFonts w:ascii="Arial" w:hAnsi="Arial" w:cs="Arial"/>
          <w:highlight w:val="none"/>
        </w:rPr>
      </w:r>
      <w:r>
        <w:rPr>
          <w:rFonts w:ascii="Arial" w:hAnsi="Arial" w:cs="Arial"/>
          <w:highlight w:val="none"/>
        </w:rPr>
      </w:r>
      <w:r>
        <w:rPr>
          <w:rFonts w:ascii="Arial" w:hAnsi="Arial" w:cs="Arial"/>
          <w:highlight w:val="none"/>
        </w:rPr>
      </w:r>
    </w:p>
    <w:p w14:paraId="484B8567">
      <w:pPr>
        <w:pStyle w:val="887"/>
        <w:pBdr/>
        <w:spacing/>
        <w:ind/>
        <w:rPr>
          <w:rFonts w:ascii="Arial" w:hAnsi="Arial" w:cs="Arial"/>
          <w:highlight w:val="none"/>
        </w:rPr>
      </w:pPr>
      <w:r>
        <w:rPr>
          <w:rFonts w:ascii="Arial" w:hAnsi="Arial" w:cs="Arial"/>
          <w:highlight w:val="none"/>
        </w:rPr>
      </w:r>
      <w:r>
        <w:rPr>
          <w:rFonts w:ascii="Arial" w:hAnsi="Arial" w:cs="Arial"/>
          <w:highlight w:val="none"/>
        </w:rPr>
      </w:r>
      <w:r>
        <w:rPr>
          <w:rFonts w:ascii="Arial" w:hAnsi="Arial" w:cs="Arial"/>
          <w:highlight w:val="none"/>
        </w:rPr>
      </w:r>
    </w:p>
    <w:p w14:paraId="01FF6103">
      <w:pPr>
        <w:pStyle w:val="887"/>
        <w:pBdr/>
        <w:spacing/>
        <w:ind/>
        <w:rPr>
          <w:rFonts w:ascii="Arial" w:hAnsi="Arial" w:cs="Arial"/>
          <w:highlight w:val="none"/>
        </w:rPr>
      </w:pPr>
      <w:r>
        <w:rPr>
          <w:rFonts w:ascii="Arial" w:hAnsi="Arial" w:cs="Arial"/>
          <w:highlight w:val="none"/>
        </w:rPr>
      </w:r>
      <w:r>
        <w:rPr>
          <w:rFonts w:ascii="Arial" w:hAnsi="Arial" w:cs="Arial"/>
          <w:highlight w:val="none"/>
        </w:rPr>
      </w:r>
      <w:r>
        <w:rPr>
          <w:rFonts w:ascii="Arial" w:hAnsi="Arial" w:cs="Arial"/>
          <w:highlight w:val="none"/>
        </w:rPr>
      </w:r>
    </w:p>
    <w:p w14:paraId="4B88775C">
      <w:pPr>
        <w:pStyle w:val="887"/>
        <w:pBdr/>
        <w:spacing/>
        <w:ind/>
        <w:rPr>
          <w:rFonts w:ascii="Arial" w:hAnsi="Arial" w:cs="Arial"/>
          <w:highlight w:val="none"/>
        </w:rPr>
      </w:pPr>
      <w:r>
        <w:rPr>
          <w:rFonts w:ascii="Arial" w:hAnsi="Arial" w:eastAsia="Arial" w:cs="Arial"/>
          <w:highlight w:val="none"/>
        </w:rPr>
      </w:r>
      <w:r>
        <w:rPr>
          <w:rFonts w:ascii="Arial" w:hAnsi="Arial" w:cs="Arial"/>
          <w:highlight w:val="none"/>
        </w:rPr>
      </w:r>
      <w:r>
        <w:rPr>
          <w:rFonts w:ascii="Arial" w:hAnsi="Arial" w:cs="Arial"/>
          <w:highlight w:val="none"/>
        </w:rPr>
      </w:r>
    </w:p>
    <w:p w14:paraId="0EAFFE56">
      <w:pPr>
        <w:pStyle w:val="887"/>
        <w:pBdr/>
        <w:spacing/>
        <w:ind/>
        <w:rPr>
          <w:rFonts w:ascii="Arial" w:hAnsi="Arial" w:cs="Arial"/>
          <w:highlight w:val="none"/>
        </w:rPr>
      </w:pPr>
      <w:r>
        <w:rPr>
          <w:rFonts w:ascii="Arial" w:hAnsi="Arial" w:eastAsia="Arial" w:cs="Arial"/>
          <w:highlight w:val="none"/>
        </w:rPr>
      </w:r>
      <w:r>
        <w:rPr>
          <w:rFonts w:ascii="Arial" w:hAnsi="Arial" w:cs="Arial"/>
          <w:highlight w:val="none"/>
        </w:rPr>
      </w:r>
      <w:r>
        <w:rPr>
          <w:rFonts w:ascii="Arial" w:hAnsi="Arial" w:cs="Arial"/>
          <w:highlight w:val="none"/>
        </w:rPr>
      </w:r>
    </w:p>
    <w:p w14:paraId="7738E564">
      <w:pPr>
        <w:pStyle w:val="887"/>
        <w:pBdr/>
        <w:spacing/>
        <w:ind/>
        <w:rPr>
          <w:rFonts w:ascii="Arial" w:hAnsi="Arial" w:cs="Arial"/>
          <w:highlight w:val="none"/>
        </w:rPr>
      </w:pPr>
      <w:r>
        <w:rPr>
          <w:rFonts w:ascii="Arial" w:hAnsi="Arial" w:eastAsia="Arial" w:cs="Arial"/>
          <w:highlight w:val="none"/>
        </w:rPr>
      </w:r>
      <w:r>
        <w:rPr>
          <w:rFonts w:ascii="Arial" w:hAnsi="Arial" w:cs="Arial"/>
          <w:highlight w:val="none"/>
        </w:rPr>
      </w:r>
      <w:r>
        <w:rPr>
          <w:rFonts w:ascii="Arial" w:hAnsi="Arial" w:cs="Arial"/>
          <w:highlight w:val="none"/>
        </w:rPr>
      </w:r>
    </w:p>
    <w:p>
      <w:pPr>
        <w:pStyle w:val="887"/>
        <w:pBdr/>
        <w:spacing/>
        <w:ind/>
        <w:rPr>
          <w:rFonts w:ascii="Arial" w:hAnsi="Arial" w:cs="Arial"/>
        </w:rPr>
      </w:pPr>
      <w:r>
        <w:rPr>
          <w:rFonts w:ascii="Arial" w:hAnsi="Arial" w:eastAsia="Arial" w:cs="Arial"/>
        </w:rPr>
      </w:r>
      <w:r>
        <w:rPr>
          <w:rFonts w:ascii="Arial" w:hAnsi="Arial" w:cs="Arial"/>
        </w:rPr>
      </w:r>
      <w:r>
        <w:rPr>
          <w:rFonts w:ascii="Arial" w:hAnsi="Arial" w:cs="Arial"/>
        </w:rPr>
      </w:r>
    </w:p>
    <w:p>
      <w:pPr>
        <w:pStyle w:val="887"/>
        <w:pBdr>
          <w:top w:val="single" w:color="000000" w:sz="4" w:space="0"/>
          <w:left w:val="single" w:color="000000" w:sz="4" w:space="3"/>
          <w:bottom w:val="single" w:color="000000" w:sz="4" w:space="0"/>
          <w:right w:val="single" w:color="000000" w:sz="4" w:space="3"/>
        </w:pBdr>
        <w:tabs>
          <w:tab w:val="clear" w:leader="none" w:pos="708"/>
          <w:tab w:val="left" w:leader="none" w:pos="8576"/>
          <w:tab w:val="left" w:leader="none" w:pos="10419"/>
        </w:tabs>
        <w:spacing/>
        <w:ind/>
        <w:jc w:val="center"/>
        <w:rPr>
          <w:rFonts w:ascii="Arial" w:hAnsi="Arial" w:cs="Arial"/>
          <w:b/>
          <w:bCs/>
        </w:rPr>
      </w:pPr>
      <w:r>
        <w:rPr>
          <w:rFonts w:ascii="Arial" w:hAnsi="Arial" w:eastAsia="Arial" w:cs="Arial"/>
          <w:b/>
          <w:bCs/>
        </w:rPr>
        <w:t xml:space="preserve">PAPEL TIMBRADO DA EMPRESA LICITANTE</w:t>
      </w:r>
      <w:r>
        <w:rPr>
          <w:rFonts w:ascii="Arial" w:hAnsi="Arial" w:cs="Arial"/>
          <w:b/>
          <w:bCs/>
        </w:rPr>
      </w:r>
      <w:r>
        <w:rPr>
          <w:rFonts w:ascii="Arial" w:hAnsi="Arial" w:cs="Arial"/>
          <w:b/>
          <w:bCs/>
        </w:rPr>
      </w:r>
    </w:p>
    <w:p>
      <w:pPr>
        <w:pStyle w:val="887"/>
        <w:pBdr/>
        <w:spacing/>
        <w:ind/>
        <w:jc w:val="both"/>
        <w:rPr>
          <w:rFonts w:ascii="Arial" w:hAnsi="Arial" w:cs="Arial"/>
          <w:b/>
          <w:bCs/>
        </w:rPr>
      </w:pPr>
      <w:r>
        <w:rPr>
          <w:rFonts w:ascii="Arial" w:hAnsi="Arial" w:eastAsia="Arial" w:cs="Arial"/>
          <w:b/>
          <w:bCs/>
        </w:rPr>
      </w:r>
      <w:r>
        <w:rPr>
          <w:rFonts w:ascii="Arial" w:hAnsi="Arial" w:cs="Arial"/>
          <w:b/>
          <w:bCs/>
        </w:rPr>
      </w:r>
      <w:r>
        <w:rPr>
          <w:rFonts w:ascii="Arial" w:hAnsi="Arial" w:cs="Arial"/>
          <w:b/>
          <w:bCs/>
        </w:rPr>
      </w:r>
    </w:p>
    <w:p>
      <w:pPr>
        <w:pStyle w:val="888"/>
        <w:pBdr/>
        <w:spacing w:after="0" w:before="0"/>
        <w:ind/>
        <w:rPr>
          <w:rFonts w:ascii="Arial" w:hAnsi="Arial" w:cs="Arial"/>
          <w:sz w:val="20"/>
          <w:szCs w:val="20"/>
        </w:rPr>
      </w:pPr>
      <w:r/>
      <w:bookmarkStart w:id="103" w:name="_Toc40"/>
      <w:r>
        <w:rPr>
          <w:rFonts w:ascii="Arial" w:hAnsi="Arial" w:eastAsia="Arial" w:cs="Arial"/>
          <w:sz w:val="20"/>
          <w:szCs w:val="20"/>
        </w:rPr>
        <w:t xml:space="preserve">ANEXO IV: </w:t>
      </w:r>
      <w:r>
        <w:rPr>
          <w:rFonts w:ascii="Arial" w:hAnsi="Arial" w:eastAsia="Arial" w:cs="Arial"/>
          <w:b w:val="0"/>
          <w:bCs w:val="0"/>
          <w:sz w:val="20"/>
          <w:szCs w:val="20"/>
        </w:rPr>
        <w:t xml:space="preserve">MODELO DE PROPOSTA COMERCIAL.</w:t>
      </w:r>
      <w:bookmarkEnd w:id="103"/>
      <w:r>
        <w:rPr>
          <w:rFonts w:ascii="Arial" w:hAnsi="Arial" w:cs="Arial"/>
          <w:sz w:val="20"/>
          <w:szCs w:val="20"/>
        </w:rPr>
      </w:r>
      <w:r>
        <w:rPr>
          <w:rFonts w:ascii="Arial" w:hAnsi="Arial" w:cs="Arial"/>
          <w:sz w:val="20"/>
          <w:szCs w:val="20"/>
        </w:rPr>
      </w:r>
    </w:p>
    <w:p>
      <w:pPr>
        <w:pStyle w:val="887"/>
        <w:pBdr/>
        <w:spacing/>
        <w:ind/>
        <w:jc w:val="both"/>
        <w:rPr>
          <w:rFonts w:ascii="Arial" w:hAnsi="Arial" w:cs="Arial"/>
          <w:b/>
          <w:bCs/>
        </w:rPr>
      </w:pPr>
      <w:r>
        <w:rPr>
          <w:rFonts w:ascii="Arial" w:hAnsi="Arial" w:eastAsia="Arial" w:cs="Arial"/>
          <w:b/>
          <w:bCs/>
        </w:rPr>
      </w:r>
      <w:r>
        <w:rPr>
          <w:rFonts w:ascii="Arial" w:hAnsi="Arial" w:cs="Arial"/>
          <w:b/>
          <w:bCs/>
        </w:rPr>
      </w:r>
      <w:r>
        <w:rPr>
          <w:rFonts w:ascii="Arial" w:hAnsi="Arial" w:cs="Arial"/>
          <w:b/>
          <w:bCs/>
        </w:rPr>
      </w:r>
    </w:p>
    <w:tbl>
      <w:tblPr>
        <w:tblInd w:w="108" w:type="dxa"/>
        <w:tblW w:w="10285" w:type="dxa"/>
        <w:tblCellMar>
          <w:left w:w="108" w:type="dxa"/>
          <w:top w:w="0" w:type="dxa"/>
          <w:right w:w="108" w:type="dxa"/>
          <w:bottom w:w="0" w:type="dxa"/>
        </w:tblCellMar>
        <w:tblBorders/>
        <w:tblLayout w:type="fixed"/>
        <w:tblLook w:val="04A0" w:firstRow="1" w:lastRow="0" w:firstColumn="1" w:lastColumn="0" w:noHBand="0" w:noVBand="1"/>
      </w:tblPr>
      <w:tblGrid>
        <w:gridCol w:w="3418"/>
        <w:gridCol w:w="826"/>
        <w:gridCol w:w="1623"/>
        <w:gridCol w:w="1164"/>
        <w:gridCol w:w="437"/>
        <w:gridCol w:w="2817"/>
      </w:tblGrid>
      <w:tr>
        <w:trPr>
          <w:trHeight w:val="255"/>
        </w:trPr>
        <w:tc>
          <w:tcPr>
            <w:gridSpan w:val="4"/>
            <w:tcBorders>
              <w:top w:val="single" w:color="000000" w:sz="4" w:space="0"/>
              <w:left w:val="single" w:color="000000" w:sz="4" w:space="0"/>
              <w:bottom w:val="single" w:color="000000" w:sz="4" w:space="0"/>
              <w:right w:val="single" w:color="000000" w:sz="4" w:space="0"/>
            </w:tcBorders>
            <w:tcW w:w="7031" w:type="dxa"/>
            <w:textDirection w:val="lrTb"/>
            <w:noWrap w:val="false"/>
          </w:tcPr>
          <w:p>
            <w:pPr>
              <w:pStyle w:val="887"/>
              <w:pBdr/>
              <w:tabs>
                <w:tab w:val="clear" w:leader="none" w:pos="708"/>
                <w:tab w:val="left" w:leader="none" w:pos="2714"/>
                <w:tab w:val="left" w:leader="none" w:pos="10419"/>
              </w:tabs>
              <w:spacing/>
              <w:ind/>
              <w:rPr>
                <w:rFonts w:ascii="Arial" w:hAnsi="Arial" w:cs="Arial"/>
              </w:rPr>
            </w:pPr>
            <w:r>
              <w:rPr>
                <w:rFonts w:ascii="Arial" w:hAnsi="Arial" w:eastAsia="Arial" w:cs="Arial"/>
                <w:b/>
                <w:bCs/>
              </w:rPr>
              <w:t xml:space="preserve">Licitante Razão Social:</w:t>
            </w:r>
            <w:r>
              <w:rPr>
                <w:rFonts w:ascii="Arial" w:hAnsi="Arial" w:cs="Arial"/>
              </w:rPr>
            </w:r>
            <w:r>
              <w:rPr>
                <w:rFonts w:ascii="Arial" w:hAnsi="Arial" w:cs="Arial"/>
              </w:rPr>
            </w:r>
          </w:p>
        </w:tc>
        <w:tc>
          <w:tcPr>
            <w:gridSpan w:val="2"/>
            <w:tcBorders>
              <w:top w:val="single" w:color="000000" w:sz="4" w:space="0"/>
              <w:left w:val="single" w:color="000000" w:sz="4" w:space="0"/>
              <w:bottom w:val="single" w:color="000000" w:sz="4" w:space="0"/>
              <w:right w:val="single" w:color="000000" w:sz="4" w:space="0"/>
            </w:tcBorders>
            <w:tcW w:w="3254" w:type="dxa"/>
            <w:textDirection w:val="lrTb"/>
            <w:noWrap w:val="false"/>
          </w:tcPr>
          <w:p>
            <w:pPr>
              <w:pStyle w:val="887"/>
              <w:pBdr/>
              <w:tabs>
                <w:tab w:val="clear" w:leader="none" w:pos="708"/>
                <w:tab w:val="left" w:leader="none" w:pos="2714"/>
                <w:tab w:val="left" w:leader="none" w:pos="10419"/>
              </w:tabs>
              <w:spacing/>
              <w:ind/>
              <w:rPr>
                <w:rFonts w:ascii="Arial" w:hAnsi="Arial" w:cs="Arial"/>
              </w:rPr>
            </w:pPr>
            <w:r>
              <w:rPr>
                <w:rFonts w:ascii="Arial" w:hAnsi="Arial" w:eastAsia="Arial" w:cs="Arial"/>
                <w:b/>
                <w:bCs/>
              </w:rPr>
              <w:t xml:space="preserve">CNPJ N.º:</w:t>
            </w:r>
            <w:r>
              <w:rPr>
                <w:rFonts w:ascii="Arial" w:hAnsi="Arial" w:cs="Arial"/>
              </w:rPr>
            </w:r>
            <w:r>
              <w:rPr>
                <w:rFonts w:ascii="Arial" w:hAnsi="Arial" w:cs="Arial"/>
              </w:rPr>
            </w:r>
          </w:p>
        </w:tc>
      </w:tr>
      <w:tr>
        <w:trPr>
          <w:trHeight w:val="255"/>
        </w:trPr>
        <w:tc>
          <w:tcPr>
            <w:tcBorders>
              <w:top w:val="single" w:color="000000" w:sz="4" w:space="0"/>
              <w:left w:val="single" w:color="000000" w:sz="4" w:space="0"/>
              <w:bottom w:val="single" w:color="000000" w:sz="4" w:space="0"/>
              <w:right w:val="single" w:color="000000" w:sz="4" w:space="0"/>
            </w:tcBorders>
            <w:tcW w:w="3418" w:type="dxa"/>
            <w:textDirection w:val="lrTb"/>
            <w:noWrap w:val="false"/>
          </w:tcPr>
          <w:p>
            <w:pPr>
              <w:pStyle w:val="887"/>
              <w:pBdr/>
              <w:tabs>
                <w:tab w:val="clear" w:leader="none" w:pos="708"/>
                <w:tab w:val="left" w:leader="none" w:pos="2714"/>
                <w:tab w:val="left" w:leader="none" w:pos="10419"/>
              </w:tabs>
              <w:spacing/>
              <w:ind/>
              <w:rPr>
                <w:rFonts w:ascii="Arial" w:hAnsi="Arial" w:cs="Arial"/>
              </w:rPr>
            </w:pPr>
            <w:r>
              <w:rPr>
                <w:rFonts w:ascii="Arial" w:hAnsi="Arial" w:eastAsia="Arial" w:cs="Arial"/>
                <w:b/>
                <w:bCs/>
              </w:rPr>
              <w:t xml:space="preserve">Telefone fixo:</w:t>
            </w:r>
            <w:r>
              <w:rPr>
                <w:rFonts w:ascii="Arial" w:hAnsi="Arial" w:cs="Arial"/>
              </w:rPr>
            </w:r>
            <w:r>
              <w:rPr>
                <w:rFonts w:ascii="Arial" w:hAnsi="Arial" w:cs="Arial"/>
              </w:rPr>
            </w:r>
          </w:p>
        </w:tc>
        <w:tc>
          <w:tcPr>
            <w:gridSpan w:val="2"/>
            <w:tcBorders>
              <w:top w:val="single" w:color="000000" w:sz="4" w:space="0"/>
              <w:left w:val="single" w:color="000000" w:sz="4" w:space="0"/>
              <w:bottom w:val="single" w:color="000000" w:sz="4" w:space="0"/>
              <w:right w:val="single" w:color="000000" w:sz="4" w:space="0"/>
            </w:tcBorders>
            <w:tcW w:w="2449" w:type="dxa"/>
            <w:textDirection w:val="lrTb"/>
            <w:noWrap w:val="false"/>
          </w:tcPr>
          <w:p>
            <w:pPr>
              <w:pStyle w:val="887"/>
              <w:pBdr/>
              <w:tabs>
                <w:tab w:val="clear" w:leader="none" w:pos="708"/>
                <w:tab w:val="left" w:leader="none" w:pos="2714"/>
                <w:tab w:val="left" w:leader="none" w:pos="10419"/>
              </w:tabs>
              <w:spacing/>
              <w:ind/>
              <w:rPr>
                <w:rFonts w:ascii="Arial" w:hAnsi="Arial" w:cs="Arial"/>
              </w:rPr>
            </w:pPr>
            <w:r>
              <w:rPr>
                <w:rFonts w:ascii="Arial" w:hAnsi="Arial" w:eastAsia="Arial" w:cs="Arial"/>
                <w:b/>
                <w:bCs/>
              </w:rPr>
              <w:t xml:space="preserve">Celular:</w:t>
            </w:r>
            <w:r>
              <w:rPr>
                <w:rFonts w:ascii="Arial" w:hAnsi="Arial" w:cs="Arial"/>
              </w:rPr>
            </w:r>
            <w:r>
              <w:rPr>
                <w:rFonts w:ascii="Arial" w:hAnsi="Arial" w:cs="Arial"/>
              </w:rPr>
            </w:r>
          </w:p>
        </w:tc>
        <w:tc>
          <w:tcPr>
            <w:gridSpan w:val="3"/>
            <w:tcBorders>
              <w:top w:val="single" w:color="000000" w:sz="4" w:space="0"/>
              <w:left w:val="single" w:color="000000" w:sz="4" w:space="0"/>
              <w:bottom w:val="single" w:color="000000" w:sz="4" w:space="0"/>
              <w:right w:val="single" w:color="000000" w:sz="4" w:space="0"/>
            </w:tcBorders>
            <w:tcW w:w="4418" w:type="dxa"/>
            <w:textDirection w:val="lrTb"/>
            <w:noWrap w:val="false"/>
          </w:tcPr>
          <w:p>
            <w:pPr>
              <w:pStyle w:val="887"/>
              <w:pBdr/>
              <w:tabs>
                <w:tab w:val="clear" w:leader="none" w:pos="708"/>
                <w:tab w:val="left" w:leader="none" w:pos="2714"/>
                <w:tab w:val="left" w:leader="none" w:pos="10419"/>
              </w:tabs>
              <w:spacing/>
              <w:ind/>
              <w:rPr>
                <w:rFonts w:ascii="Arial" w:hAnsi="Arial" w:cs="Arial"/>
              </w:rPr>
            </w:pPr>
            <w:r>
              <w:rPr>
                <w:rFonts w:ascii="Arial" w:hAnsi="Arial" w:eastAsia="Arial" w:cs="Arial"/>
                <w:b/>
                <w:bCs/>
              </w:rPr>
              <w:t xml:space="preserve">Endereço eletrônico e-mail:</w:t>
            </w:r>
            <w:r>
              <w:rPr>
                <w:rFonts w:ascii="Arial" w:hAnsi="Arial" w:cs="Arial"/>
              </w:rPr>
            </w:r>
            <w:r>
              <w:rPr>
                <w:rFonts w:ascii="Arial" w:hAnsi="Arial" w:cs="Arial"/>
              </w:rPr>
            </w:r>
          </w:p>
        </w:tc>
      </w:tr>
      <w:tr>
        <w:trPr>
          <w:trHeight w:val="255"/>
        </w:trPr>
        <w:tc>
          <w:tcPr>
            <w:gridSpan w:val="6"/>
            <w:tcBorders>
              <w:top w:val="single" w:color="000000" w:sz="4" w:space="0"/>
              <w:left w:val="single" w:color="000000" w:sz="4" w:space="0"/>
              <w:bottom w:val="single" w:color="000000" w:sz="4" w:space="0"/>
              <w:right w:val="single" w:color="000000" w:sz="4" w:space="0"/>
            </w:tcBorders>
            <w:tcW w:w="10285" w:type="dxa"/>
            <w:textDirection w:val="lrTb"/>
            <w:noWrap w:val="false"/>
          </w:tcPr>
          <w:p>
            <w:pPr>
              <w:pStyle w:val="887"/>
              <w:pBdr/>
              <w:tabs>
                <w:tab w:val="clear" w:leader="none" w:pos="708"/>
                <w:tab w:val="left" w:leader="none" w:pos="2714"/>
                <w:tab w:val="left" w:leader="none" w:pos="10419"/>
              </w:tabs>
              <w:spacing/>
              <w:ind/>
              <w:rPr>
                <w:rFonts w:ascii="Arial" w:hAnsi="Arial" w:cs="Arial"/>
              </w:rPr>
            </w:pPr>
            <w:r>
              <w:rPr>
                <w:rFonts w:ascii="Arial" w:hAnsi="Arial" w:eastAsia="Arial" w:cs="Arial"/>
                <w:b/>
                <w:bCs/>
              </w:rPr>
              <w:t xml:space="preserve">Endereço Completo Rua, Nº, Bairro, Município, Estado, Cep:</w:t>
            </w:r>
            <w:r>
              <w:rPr>
                <w:rFonts w:ascii="Arial" w:hAnsi="Arial" w:cs="Arial"/>
              </w:rPr>
            </w:r>
            <w:r>
              <w:rPr>
                <w:rFonts w:ascii="Arial" w:hAnsi="Arial" w:cs="Arial"/>
              </w:rPr>
            </w:r>
          </w:p>
        </w:tc>
      </w:tr>
      <w:tr>
        <w:trPr>
          <w:trHeight w:val="272"/>
        </w:trPr>
        <w:tc>
          <w:tcPr>
            <w:gridSpan w:val="2"/>
            <w:tcBorders>
              <w:top w:val="single" w:color="000000" w:sz="4" w:space="0"/>
              <w:left w:val="single" w:color="000000" w:sz="4" w:space="0"/>
              <w:bottom w:val="single" w:color="000000" w:sz="4" w:space="0"/>
              <w:right w:val="single" w:color="000000" w:sz="4" w:space="0"/>
            </w:tcBorders>
            <w:tcW w:w="4244" w:type="dxa"/>
            <w:textDirection w:val="lrTb"/>
            <w:noWrap w:val="false"/>
          </w:tcPr>
          <w:p>
            <w:pPr>
              <w:pStyle w:val="887"/>
              <w:pBdr/>
              <w:spacing/>
              <w:ind/>
              <w:jc w:val="both"/>
              <w:rPr>
                <w:rFonts w:ascii="Arial" w:hAnsi="Arial" w:cs="Arial"/>
              </w:rPr>
            </w:pPr>
            <w:r>
              <w:rPr>
                <w:rFonts w:ascii="Arial" w:hAnsi="Arial" w:eastAsia="Arial" w:cs="Arial"/>
                <w:b/>
                <w:bCs/>
              </w:rPr>
              <w:t xml:space="preserve">Conta Corrente nº:</w:t>
            </w:r>
            <w:r>
              <w:rPr>
                <w:rFonts w:ascii="Arial" w:hAnsi="Arial" w:cs="Arial"/>
              </w:rPr>
            </w:r>
            <w:r>
              <w:rPr>
                <w:rFonts w:ascii="Arial" w:hAnsi="Arial" w:cs="Arial"/>
              </w:rPr>
            </w:r>
          </w:p>
        </w:tc>
        <w:tc>
          <w:tcPr>
            <w:gridSpan w:val="3"/>
            <w:tcBorders>
              <w:top w:val="single" w:color="000000" w:sz="4" w:space="0"/>
              <w:left w:val="single" w:color="000000" w:sz="4" w:space="0"/>
              <w:bottom w:val="single" w:color="000000" w:sz="4" w:space="0"/>
              <w:right w:val="single" w:color="000000" w:sz="4" w:space="0"/>
            </w:tcBorders>
            <w:tcW w:w="3224" w:type="dxa"/>
            <w:textDirection w:val="lrTb"/>
            <w:noWrap w:val="false"/>
          </w:tcPr>
          <w:p>
            <w:pPr>
              <w:pStyle w:val="887"/>
              <w:pBdr/>
              <w:spacing/>
              <w:ind/>
              <w:jc w:val="both"/>
              <w:rPr>
                <w:rFonts w:ascii="Arial" w:hAnsi="Arial" w:cs="Arial"/>
              </w:rPr>
            </w:pPr>
            <w:r>
              <w:rPr>
                <w:rFonts w:ascii="Arial" w:hAnsi="Arial" w:eastAsia="Arial" w:cs="Arial"/>
                <w:b/>
                <w:bCs/>
              </w:rPr>
              <w:t xml:space="preserve">Agência:</w:t>
            </w:r>
            <w:r>
              <w:rPr>
                <w:rFonts w:ascii="Arial" w:hAnsi="Arial" w:cs="Arial"/>
              </w:rPr>
            </w:r>
            <w:r>
              <w:rPr>
                <w:rFonts w:ascii="Arial" w:hAnsi="Arial" w:cs="Arial"/>
              </w:rPr>
            </w:r>
          </w:p>
        </w:tc>
        <w:tc>
          <w:tcPr>
            <w:tcBorders>
              <w:top w:val="single" w:color="000000" w:sz="4" w:space="0"/>
              <w:left w:val="single" w:color="000000" w:sz="4" w:space="0"/>
              <w:bottom w:val="single" w:color="000000" w:sz="4" w:space="0"/>
              <w:right w:val="single" w:color="000000" w:sz="4" w:space="0"/>
            </w:tcBorders>
            <w:tcW w:w="2817" w:type="dxa"/>
            <w:textDirection w:val="lrTb"/>
            <w:noWrap w:val="false"/>
          </w:tcPr>
          <w:p>
            <w:pPr>
              <w:pStyle w:val="887"/>
              <w:pBdr/>
              <w:spacing/>
              <w:ind/>
              <w:jc w:val="both"/>
              <w:rPr>
                <w:rFonts w:ascii="Arial" w:hAnsi="Arial" w:cs="Arial"/>
              </w:rPr>
            </w:pPr>
            <w:r>
              <w:rPr>
                <w:rFonts w:ascii="Arial" w:hAnsi="Arial" w:eastAsia="Arial" w:cs="Arial"/>
                <w:b/>
                <w:bCs/>
              </w:rPr>
              <w:t xml:space="preserve">Banco:</w:t>
            </w:r>
            <w:r>
              <w:rPr>
                <w:rFonts w:ascii="Arial" w:hAnsi="Arial" w:cs="Arial"/>
              </w:rPr>
            </w:r>
            <w:r>
              <w:rPr>
                <w:rFonts w:ascii="Arial" w:hAnsi="Arial" w:cs="Arial"/>
              </w:rPr>
            </w:r>
          </w:p>
        </w:tc>
      </w:tr>
    </w:tbl>
    <w:p>
      <w:pPr>
        <w:pStyle w:val="887"/>
        <w:pBdr/>
        <w:tabs>
          <w:tab w:val="clear" w:leader="none" w:pos="708"/>
          <w:tab w:val="left" w:leader="none" w:pos="2714"/>
          <w:tab w:val="left" w:leader="none" w:pos="10419"/>
        </w:tabs>
        <w:spacing/>
        <w:ind/>
        <w:rPr>
          <w:rFonts w:ascii="Arial" w:hAnsi="Arial" w:cs="Arial"/>
          <w:b/>
          <w:bCs/>
        </w:rPr>
      </w:pPr>
      <w:r>
        <w:rPr>
          <w:rFonts w:ascii="Arial" w:hAnsi="Arial" w:eastAsia="Arial" w:cs="Arial"/>
          <w:b/>
          <w:bCs/>
        </w:rPr>
      </w:r>
      <w:r>
        <w:rPr>
          <w:rFonts w:ascii="Arial" w:hAnsi="Arial" w:cs="Arial"/>
          <w:b/>
          <w:bCs/>
        </w:rPr>
      </w:r>
      <w:r>
        <w:rPr>
          <w:rFonts w:ascii="Arial" w:hAnsi="Arial" w:cs="Arial"/>
          <w:b/>
          <w:bCs/>
        </w:rPr>
      </w:r>
    </w:p>
    <w:p>
      <w:pPr>
        <w:pStyle w:val="887"/>
        <w:pBdr/>
        <w:tabs>
          <w:tab w:val="clear" w:leader="none" w:pos="708"/>
          <w:tab w:val="left" w:leader="none" w:pos="2714"/>
          <w:tab w:val="left" w:leader="none" w:pos="10419"/>
        </w:tabs>
        <w:spacing/>
        <w:ind/>
        <w:rPr>
          <w:rFonts w:ascii="Arial" w:hAnsi="Arial" w:cs="Arial"/>
          <w:b/>
          <w:bCs/>
          <w:color w:val="000000"/>
        </w:rPr>
      </w:pPr>
      <w:r>
        <w:rPr>
          <w:rFonts w:ascii="Arial" w:hAnsi="Arial" w:eastAsia="Arial" w:cs="Arial"/>
          <w:b/>
          <w:bCs/>
          <w:color w:val="000000"/>
        </w:rPr>
        <w:t xml:space="preserve">Licitação Modalidade: Pregão Eletrônico N.º: 44/2026. Tipo: MENOR PREÇO POR LOTE.</w:t>
      </w:r>
      <w:r>
        <w:rPr>
          <w:rFonts w:ascii="Arial" w:hAnsi="Arial" w:cs="Arial"/>
          <w:b/>
          <w:bCs/>
          <w:color w:val="000000"/>
        </w:rPr>
      </w:r>
      <w:r>
        <w:rPr>
          <w:rFonts w:ascii="Arial" w:hAnsi="Arial" w:cs="Arial"/>
          <w:b/>
          <w:bCs/>
          <w:color w:val="000000"/>
        </w:rPr>
      </w:r>
    </w:p>
    <w:p w14:paraId="3E3BF172">
      <w:pPr>
        <w:pStyle w:val="887"/>
        <w:pBdr/>
        <w:spacing/>
        <w:ind/>
        <w:jc w:val="both"/>
        <w:rPr>
          <w:rFonts w:ascii="Arial" w:hAnsi="Arial" w:cs="Arial"/>
          <w:b/>
          <w:bCs/>
        </w:rPr>
      </w:pPr>
      <w:r>
        <w:rPr>
          <w:rFonts w:ascii="Arial" w:hAnsi="Arial" w:eastAsia="Arial" w:cs="Arial"/>
          <w:b/>
          <w:bCs/>
          <w:color w:val="000000"/>
          <w:highlight w:val="none"/>
        </w:rPr>
      </w:r>
      <w:r>
        <w:rPr>
          <w:rFonts w:ascii="Arial" w:hAnsi="Arial" w:eastAsia="Arial" w:cs="Arial"/>
          <w:b/>
          <w:bCs/>
          <w:color w:val="000000"/>
          <w:highlight w:val="none"/>
        </w:rPr>
      </w:r>
      <w:r>
        <w:rPr>
          <w:rFonts w:ascii="Arial" w:hAnsi="Arial" w:cs="Arial"/>
          <w:b/>
          <w:bCs/>
        </w:rPr>
      </w:r>
    </w:p>
    <w:p>
      <w:pPr>
        <w:pStyle w:val="887"/>
        <w:pBdr/>
        <w:spacing/>
        <w:ind/>
        <w:jc w:val="both"/>
        <w:rPr>
          <w:rFonts w:ascii="Arial" w:hAnsi="Arial" w:eastAsia="Arial" w:cs="Arial"/>
          <w:b/>
          <w:bCs/>
          <w:color w:val="000000"/>
          <w:highlight w:val="none"/>
        </w:rPr>
      </w:pPr>
      <w:r>
        <w:rPr>
          <w:rFonts w:ascii="Arial" w:hAnsi="Arial" w:eastAsia="Arial" w:cs="Arial"/>
          <w:b/>
          <w:bCs/>
        </w:rPr>
        <w:t xml:space="preserve">Objeto: </w:t>
      </w:r>
      <w:r>
        <w:rPr>
          <w:rFonts w:ascii="Arial" w:hAnsi="Arial" w:eastAsia="Arial" w:cs="Arial"/>
          <w:b/>
          <w:bCs/>
          <w:color w:val="000000"/>
        </w:rPr>
        <w:t xml:space="preserve"> REGISTRO DE PREÇOS PARA FUTURA E E</w:t>
      </w:r>
      <w:r>
        <w:rPr>
          <w:rFonts w:ascii="Arial" w:hAnsi="Arial" w:eastAsia="Arial" w:cs="Arial"/>
          <w:b/>
          <w:bCs/>
          <w:color w:val="000000"/>
        </w:rPr>
        <w:t xml:space="preserve">VENTUAL AQUISIÇÃO DE TUBOS E AGULHAS PARA COLETA DE SANGUE A VÁCUO LABORATORIAL, DE USO CONTÍNUO, PARA ATENDER AS DEMANDAS DA SECRETARIA MUNICIPAL DE SAÚDE DE RONDONÓPOLIS - MT, CONFORME ESPECIFICAÇÕES E QUANTITATIVOS ESTABELECIDOS NO EDITAL E SEUS ANEXOS.</w:t>
      </w:r>
      <w:r>
        <w:rPr>
          <w:rFonts w:ascii="Arial" w:hAnsi="Arial" w:cs="Arial"/>
          <w:b/>
          <w:bCs/>
        </w:rPr>
      </w:r>
      <w:r>
        <w:rPr>
          <w:rFonts w:ascii="Arial" w:hAnsi="Arial" w:eastAsia="Arial" w:cs="Arial"/>
          <w:b/>
          <w:bCs/>
          <w:color w:val="000000"/>
          <w:highlight w:val="none"/>
        </w:rPr>
      </w:r>
    </w:p>
    <w:tbl>
      <w:tblPr>
        <w:tblInd w:w="60" w:type="dxa"/>
        <w:tblW w:w="10499" w:type="dxa"/>
        <w:tblCellMar>
          <w:left w:w="70" w:type="dxa"/>
          <w:right w:w="70" w:type="dxa"/>
        </w:tblCellMar>
        <w:tblBorders/>
        <w:tblLayout w:type="fixed"/>
        <w:tblLook w:val="04A0" w:firstRow="1" w:lastRow="0" w:firstColumn="1" w:lastColumn="0" w:noHBand="0" w:noVBand="1"/>
      </w:tblPr>
      <w:tblGrid>
        <w:gridCol w:w="474"/>
        <w:gridCol w:w="663"/>
        <w:gridCol w:w="4684"/>
        <w:gridCol w:w="1134"/>
        <w:gridCol w:w="992"/>
        <w:gridCol w:w="1134"/>
        <w:gridCol w:w="1417"/>
        <w:gridCol w:w="1"/>
      </w:tblGrid>
      <w:tr>
        <w:trPr>
          <w:trHeight w:val="342"/>
          <w:tblHeader/>
        </w:trPr>
        <w:tc>
          <w:tcPr>
            <w:gridSpan w:val="8"/>
            <w:shd w:val="clear" w:color="ffffff" w:fill="d9d9d9"/>
            <w:tcBorders>
              <w:top w:val="single" w:color="000000" w:sz="4" w:space="0"/>
              <w:left w:val="single" w:color="000000" w:sz="4" w:space="0"/>
              <w:bottom w:val="single" w:color="000000" w:sz="4" w:space="0"/>
              <w:right w:val="single" w:color="000000" w:sz="4" w:space="0"/>
            </w:tcBorders>
            <w:tcW w:w="10499" w:type="dxa"/>
            <w:vAlign w:val="center"/>
            <w:textDirection w:val="lrTb"/>
            <w:noWrap w:val="false"/>
          </w:tcPr>
          <w:p w14:paraId="16CFE847">
            <w:pPr>
              <w:pBdr/>
              <w:spacing/>
              <w:ind/>
              <w:jc w:val="center"/>
              <w:rPr>
                <w:rFonts w:ascii="Times New Roman" w:hAnsi="Times New Roman" w:cs="Times New Roman"/>
                <w:b/>
                <w:bCs/>
                <w:sz w:val="12"/>
                <w:szCs w:val="12"/>
              </w:rPr>
            </w:pPr>
            <w:r>
              <w:rPr>
                <w:rFonts w:ascii="Times New Roman" w:hAnsi="Times New Roman" w:cs="Times New Roman"/>
                <w:b/>
                <w:bCs/>
                <w:sz w:val="12"/>
                <w:szCs w:val="12"/>
              </w:rPr>
              <w:t xml:space="preserve">LOTE UNICO </w:t>
            </w:r>
            <w:r>
              <w:rPr>
                <w:rFonts w:ascii="Times New Roman" w:hAnsi="Times New Roman" w:cs="Times New Roman"/>
                <w:b/>
                <w:bCs/>
                <w:sz w:val="12"/>
                <w:szCs w:val="12"/>
              </w:rPr>
            </w:r>
            <w:r>
              <w:rPr>
                <w:rFonts w:ascii="Times New Roman" w:hAnsi="Times New Roman" w:cs="Times New Roman"/>
                <w:b/>
                <w:bCs/>
                <w:sz w:val="12"/>
                <w:szCs w:val="12"/>
              </w:rPr>
            </w:r>
          </w:p>
        </w:tc>
      </w:tr>
      <w:tr>
        <w:trPr>
          <w:gridAfter w:val="1"/>
          <w:trHeight w:val="372"/>
          <w:tblHeader/>
        </w:trPr>
        <w:tc>
          <w:tcPr>
            <w:shd w:val="clear" w:color="ffffff" w:fill="d9d9d9"/>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14:paraId="795BA0D2">
            <w:pPr>
              <w:pBdr/>
              <w:spacing/>
              <w:ind/>
              <w:jc w:val="center"/>
              <w:rPr>
                <w:rFonts w:ascii="Times New Roman" w:hAnsi="Times New Roman" w:cs="Times New Roman"/>
                <w:b/>
                <w:sz w:val="12"/>
                <w:szCs w:val="12"/>
              </w:rPr>
            </w:pPr>
            <w:r>
              <w:rPr>
                <w:rFonts w:ascii="Times New Roman" w:hAnsi="Times New Roman" w:cs="Times New Roman"/>
                <w:b/>
                <w:sz w:val="12"/>
                <w:szCs w:val="12"/>
              </w:rPr>
              <w:t xml:space="preserve">ITEM</w:t>
            </w:r>
            <w:r>
              <w:rPr>
                <w:rFonts w:ascii="Times New Roman" w:hAnsi="Times New Roman" w:cs="Times New Roman"/>
                <w:b/>
                <w:sz w:val="12"/>
                <w:szCs w:val="12"/>
              </w:rPr>
            </w:r>
            <w:r>
              <w:rPr>
                <w:rFonts w:ascii="Times New Roman" w:hAnsi="Times New Roman" w:cs="Times New Roman"/>
                <w:b/>
                <w:sz w:val="12"/>
                <w:szCs w:val="12"/>
              </w:rPr>
            </w:r>
          </w:p>
        </w:tc>
        <w:tc>
          <w:tcPr>
            <w:shd w:val="clear" w:color="ffffff" w:fill="d9d9d9"/>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14:paraId="5ECED250">
            <w:pPr>
              <w:pBdr/>
              <w:spacing/>
              <w:ind/>
              <w:jc w:val="center"/>
              <w:rPr>
                <w:rFonts w:ascii="Times New Roman" w:hAnsi="Times New Roman" w:cs="Times New Roman"/>
                <w:b/>
                <w:sz w:val="12"/>
                <w:szCs w:val="12"/>
              </w:rPr>
            </w:pPr>
            <w:r>
              <w:rPr>
                <w:rFonts w:ascii="Times New Roman" w:hAnsi="Times New Roman" w:cs="Times New Roman"/>
                <w:b/>
                <w:sz w:val="12"/>
                <w:szCs w:val="12"/>
              </w:rPr>
              <w:t xml:space="preserve">CÓDIGO AGILI</w:t>
            </w:r>
            <w:r>
              <w:rPr>
                <w:rFonts w:ascii="Times New Roman" w:hAnsi="Times New Roman" w:cs="Times New Roman"/>
                <w:b/>
                <w:sz w:val="12"/>
                <w:szCs w:val="12"/>
              </w:rPr>
            </w:r>
            <w:r>
              <w:rPr>
                <w:rFonts w:ascii="Times New Roman" w:hAnsi="Times New Roman" w:cs="Times New Roman"/>
                <w:b/>
                <w:sz w:val="12"/>
                <w:szCs w:val="12"/>
              </w:rPr>
            </w:r>
          </w:p>
        </w:tc>
        <w:tc>
          <w:tcPr>
            <w:shd w:val="clear" w:color="ffffff" w:fill="d9d9d9"/>
            <w:tcBorders>
              <w:top w:val="single" w:color="000000" w:sz="4" w:space="0"/>
              <w:left w:val="single" w:color="000000" w:sz="4" w:space="0"/>
              <w:bottom w:val="single" w:color="000000" w:sz="4" w:space="0"/>
            </w:tcBorders>
            <w:tcW w:w="4684" w:type="dxa"/>
            <w:vAlign w:val="center"/>
            <w:textDirection w:val="lrTb"/>
            <w:noWrap w:val="false"/>
          </w:tcPr>
          <w:p w14:paraId="4F919355">
            <w:pPr>
              <w:pBdr/>
              <w:spacing/>
              <w:ind w:left="220"/>
              <w:jc w:val="center"/>
              <w:rPr>
                <w:rFonts w:ascii="Times New Roman" w:hAnsi="Times New Roman" w:cs="Times New Roman"/>
                <w:b/>
                <w:sz w:val="12"/>
                <w:szCs w:val="12"/>
              </w:rPr>
            </w:pPr>
            <w:r>
              <w:rPr>
                <w:rFonts w:ascii="Times New Roman" w:hAnsi="Times New Roman" w:cs="Times New Roman"/>
                <w:b/>
                <w:sz w:val="12"/>
                <w:szCs w:val="12"/>
              </w:rPr>
              <w:t xml:space="preserve">DESCRIÇÃO</w:t>
            </w:r>
            <w:r>
              <w:rPr>
                <w:rFonts w:ascii="Times New Roman" w:hAnsi="Times New Roman" w:cs="Times New Roman"/>
                <w:b/>
                <w:sz w:val="12"/>
                <w:szCs w:val="12"/>
              </w:rPr>
            </w:r>
            <w:r>
              <w:rPr>
                <w:rFonts w:ascii="Times New Roman" w:hAnsi="Times New Roman" w:cs="Times New Roman"/>
                <w:b/>
                <w:sz w:val="12"/>
                <w:szCs w:val="12"/>
              </w:rPr>
            </w:r>
          </w:p>
        </w:tc>
        <w:tc>
          <w:tcPr>
            <w:shd w:val="clear" w:color="ffffff" w:fill="d9d9d9"/>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14:paraId="005F936A">
            <w:pPr>
              <w:pBdr/>
              <w:spacing/>
              <w:ind/>
              <w:jc w:val="center"/>
              <w:rPr>
                <w:rFonts w:ascii="Times New Roman" w:hAnsi="Times New Roman" w:cs="Times New Roman"/>
                <w:b/>
                <w:bCs/>
                <w:sz w:val="12"/>
                <w:szCs w:val="12"/>
              </w:rPr>
            </w:pPr>
            <w:r>
              <w:rPr>
                <w:rFonts w:ascii="Times New Roman" w:hAnsi="Times New Roman" w:cs="Times New Roman"/>
                <w:b/>
                <w:bCs/>
                <w:sz w:val="12"/>
                <w:szCs w:val="12"/>
              </w:rPr>
              <w:t xml:space="preserve">UNI. MEDIDA</w:t>
            </w:r>
            <w:r>
              <w:rPr>
                <w:rFonts w:ascii="Times New Roman" w:hAnsi="Times New Roman" w:cs="Times New Roman"/>
                <w:b/>
                <w:bCs/>
                <w:sz w:val="12"/>
                <w:szCs w:val="12"/>
              </w:rPr>
            </w:r>
            <w:r>
              <w:rPr>
                <w:rFonts w:ascii="Times New Roman" w:hAnsi="Times New Roman" w:cs="Times New Roman"/>
                <w:b/>
                <w:bCs/>
                <w:sz w:val="12"/>
                <w:szCs w:val="12"/>
              </w:rPr>
            </w:r>
          </w:p>
        </w:tc>
        <w:tc>
          <w:tcPr>
            <w:shd w:val="clear" w:color="ffffff" w:fill="d9d9d9"/>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14:paraId="0DE8F76A">
            <w:pPr>
              <w:pBdr/>
              <w:spacing/>
              <w:ind/>
              <w:jc w:val="center"/>
              <w:rPr>
                <w:rFonts w:ascii="Times New Roman" w:hAnsi="Times New Roman" w:cs="Times New Roman"/>
                <w:b/>
                <w:sz w:val="12"/>
                <w:szCs w:val="12"/>
              </w:rPr>
            </w:pPr>
            <w:r>
              <w:rPr>
                <w:rFonts w:ascii="Times New Roman" w:hAnsi="Times New Roman" w:cs="Times New Roman"/>
                <w:b/>
                <w:sz w:val="12"/>
                <w:szCs w:val="12"/>
              </w:rPr>
              <w:t xml:space="preserve">QTD</w:t>
            </w:r>
            <w:r>
              <w:rPr>
                <w:rFonts w:ascii="Times New Roman" w:hAnsi="Times New Roman" w:cs="Times New Roman"/>
                <w:b/>
                <w:sz w:val="12"/>
                <w:szCs w:val="12"/>
              </w:rPr>
            </w:r>
            <w:r>
              <w:rPr>
                <w:rFonts w:ascii="Times New Roman" w:hAnsi="Times New Roman" w:cs="Times New Roman"/>
                <w:b/>
                <w:sz w:val="12"/>
                <w:szCs w:val="12"/>
              </w:rPr>
            </w:r>
          </w:p>
        </w:tc>
        <w:tc>
          <w:tcPr>
            <w:shd w:val="clear" w:color="ffffff" w:fill="d9d9d9"/>
            <w:tcBorders>
              <w:top w:val="single" w:color="000000" w:sz="4" w:space="0"/>
              <w:left w:val="single" w:color="000000" w:sz="4" w:space="0"/>
              <w:bottom w:val="single" w:color="000000" w:sz="4" w:space="0"/>
            </w:tcBorders>
            <w:tcW w:w="1134" w:type="dxa"/>
            <w:vAlign w:val="center"/>
            <w:textDirection w:val="lrTb"/>
            <w:noWrap w:val="false"/>
          </w:tcPr>
          <w:p w14:paraId="1465590E">
            <w:pPr>
              <w:pBdr/>
              <w:spacing/>
              <w:ind/>
              <w:jc w:val="center"/>
              <w:rPr>
                <w:rFonts w:ascii="Times New Roman" w:hAnsi="Times New Roman" w:cs="Times New Roman"/>
                <w:b/>
                <w:sz w:val="12"/>
                <w:szCs w:val="12"/>
              </w:rPr>
            </w:pPr>
            <w:r>
              <w:rPr>
                <w:rFonts w:ascii="Times New Roman" w:hAnsi="Times New Roman" w:cs="Times New Roman"/>
                <w:b/>
                <w:sz w:val="12"/>
                <w:szCs w:val="12"/>
              </w:rPr>
            </w:r>
            <w:r>
              <w:rPr>
                <w:rFonts w:ascii="Times New Roman" w:hAnsi="Times New Roman" w:cs="Times New Roman"/>
                <w:b/>
                <w:sz w:val="12"/>
                <w:szCs w:val="12"/>
              </w:rPr>
              <w:t xml:space="preserve">VALOR UNITÁRIO</w:t>
            </w:r>
            <w:r>
              <w:rPr>
                <w:rFonts w:ascii="Times New Roman" w:hAnsi="Times New Roman" w:cs="Times New Roman"/>
                <w:b/>
                <w:sz w:val="12"/>
                <w:szCs w:val="12"/>
              </w:rPr>
            </w:r>
            <w:r>
              <w:rPr>
                <w:rFonts w:ascii="Times New Roman" w:hAnsi="Times New Roman" w:cs="Times New Roman"/>
                <w:b/>
                <w:sz w:val="12"/>
                <w:szCs w:val="12"/>
              </w:rPr>
            </w:r>
          </w:p>
        </w:tc>
        <w:tc>
          <w:tcPr>
            <w:shd w:val="clear" w:color="ffffff" w:fill="d9d9d9"/>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14:paraId="5D21995E">
            <w:pPr>
              <w:pBdr/>
              <w:spacing/>
              <w:ind/>
              <w:jc w:val="center"/>
              <w:rPr>
                <w:rFonts w:ascii="Times New Roman" w:hAnsi="Times New Roman" w:cs="Times New Roman"/>
                <w:b/>
                <w:sz w:val="12"/>
                <w:szCs w:val="12"/>
              </w:rPr>
            </w:pPr>
            <w:r>
              <w:rPr>
                <w:rFonts w:ascii="Times New Roman" w:hAnsi="Times New Roman" w:cs="Times New Roman"/>
                <w:b/>
                <w:sz w:val="12"/>
                <w:szCs w:val="12"/>
              </w:rPr>
              <w:t xml:space="preserve">VALOR TOTAL</w:t>
            </w:r>
            <w:r>
              <w:rPr>
                <w:rFonts w:ascii="Times New Roman" w:hAnsi="Times New Roman" w:cs="Times New Roman"/>
                <w:b/>
                <w:sz w:val="12"/>
                <w:szCs w:val="12"/>
              </w:rPr>
            </w:r>
            <w:r>
              <w:rPr>
                <w:rFonts w:ascii="Times New Roman" w:hAnsi="Times New Roman" w:cs="Times New Roman"/>
                <w:b/>
                <w:sz w:val="12"/>
                <w:szCs w:val="12"/>
              </w:rPr>
            </w:r>
          </w:p>
        </w:tc>
      </w:tr>
      <w:tr>
        <w:trPr>
          <w:gridAfter w:val="1"/>
          <w:trHeight w:val="146"/>
        </w:trPr>
        <w:tc>
          <w:tcPr>
            <w:shd w:val="clear" w:color="ffffff" w:fill="ffffff"/>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14:paraId="246AEEFC">
            <w:pPr>
              <w:pBdr/>
              <w:tabs>
                <w:tab w:val="left" w:leader="none" w:pos="312"/>
              </w:tabs>
              <w:spacing/>
              <w:ind w:left="114"/>
              <w:jc w:val="center"/>
              <w:rPr>
                <w:rFonts w:ascii="Times New Roman" w:hAnsi="Times New Roman" w:eastAsia="Calibri" w:cs="Times New Roman"/>
                <w:sz w:val="12"/>
                <w:szCs w:val="12"/>
                <w:lang w:val="pt-BR"/>
              </w:rPr>
            </w:pPr>
            <w:r>
              <w:rPr>
                <w:rFonts w:ascii="Times New Roman" w:hAnsi="Times New Roman" w:cs="Times New Roman"/>
                <w:color w:val="000000"/>
                <w:sz w:val="12"/>
                <w:szCs w:val="12"/>
              </w:rPr>
              <w:t xml:space="preserve">1</w:t>
            </w:r>
            <w:r>
              <w:rPr>
                <w:rFonts w:ascii="Times New Roman" w:hAnsi="Times New Roman" w:eastAsia="Calibri" w:cs="Times New Roman"/>
                <w:sz w:val="12"/>
                <w:szCs w:val="12"/>
                <w:lang w:val="pt-BR"/>
              </w:rPr>
            </w:r>
            <w:r>
              <w:rPr>
                <w:rFonts w:ascii="Times New Roman" w:hAnsi="Times New Roman" w:eastAsia="Calibri" w:cs="Times New Roman"/>
                <w:sz w:val="12"/>
                <w:szCs w:val="12"/>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14:paraId="69476E62">
            <w:pPr>
              <w:pBdr/>
              <w:spacing/>
              <w:ind/>
              <w:jc w:val="center"/>
              <w:rPr>
                <w:rFonts w:ascii="Times New Roman" w:hAnsi="Times New Roman" w:eastAsia="SimSun" w:cs="Times New Roman"/>
                <w:color w:val="000000"/>
                <w:sz w:val="12"/>
                <w:szCs w:val="12"/>
                <w:lang w:val="pt-BR" w:eastAsia="zh-CN"/>
              </w:rPr>
            </w:pPr>
            <w:r>
              <w:rPr>
                <w:rFonts w:ascii="Times New Roman" w:hAnsi="Times New Roman" w:cs="Times New Roman"/>
                <w:color w:val="000000"/>
                <w:sz w:val="12"/>
                <w:szCs w:val="12"/>
              </w:rPr>
              <w:t xml:space="preserve">130286</w:t>
            </w:r>
            <w:r>
              <w:rPr>
                <w:rFonts w:ascii="Times New Roman" w:hAnsi="Times New Roman" w:eastAsia="SimSun" w:cs="Times New Roman"/>
                <w:color w:val="000000"/>
                <w:sz w:val="12"/>
                <w:szCs w:val="12"/>
                <w:lang w:val="pt-BR" w:eastAsia="zh-CN"/>
              </w:rPr>
            </w:r>
            <w:r>
              <w:rPr>
                <w:rFonts w:ascii="Times New Roman" w:hAnsi="Times New Roman" w:eastAsia="SimSun" w:cs="Times New Roman"/>
                <w:color w:val="000000"/>
                <w:sz w:val="12"/>
                <w:szCs w:val="12"/>
                <w:lang w:val="pt-BR" w:eastAsia="zh-CN"/>
              </w:rPr>
            </w:r>
          </w:p>
        </w:tc>
        <w:tc>
          <w:tcPr>
            <w:shd w:val="clear" w:color="ffffff" w:fill="ffffff"/>
            <w:tcBorders>
              <w:top w:val="single" w:color="000000" w:sz="4" w:space="0"/>
              <w:left w:val="single" w:color="000000" w:sz="4" w:space="0"/>
              <w:bottom w:val="single" w:color="000000" w:sz="4" w:space="0"/>
            </w:tcBorders>
            <w:tcW w:w="4684" w:type="dxa"/>
            <w:vAlign w:val="center"/>
            <w:textDirection w:val="lrTb"/>
            <w:noWrap w:val="false"/>
          </w:tcPr>
          <w:p w14:paraId="45F6FD96">
            <w:pPr>
              <w:pBdr/>
              <w:spacing/>
              <w:ind/>
              <w:jc w:val="both"/>
              <w:rPr>
                <w:rFonts w:ascii="Times New Roman" w:hAnsi="Times New Roman" w:eastAsia="Calibri" w:cs="Times New Roman"/>
                <w:color w:val="000000"/>
                <w:sz w:val="12"/>
                <w:szCs w:val="12"/>
                <w:lang w:val="pt-BR"/>
              </w:rPr>
            </w:pPr>
            <w:r>
              <w:rPr>
                <w:rFonts w:ascii="Times New Roman" w:hAnsi="Times New Roman" w:cs="Times New Roman"/>
                <w:color w:val="000000"/>
                <w:sz w:val="12"/>
                <w:szCs w:val="12"/>
              </w:rPr>
              <w:t xml:space="preserve">AGULHA PARA COLETA DE SANGUE Á VÁCUO - 21G. MEDIDAS APROXIMADAS 25 A 32 X 0,8 MM. PARA COLETA MÚLTIPLA, A VÁCUO COM VISEL TRIFACETADO. SILICONZADO. ESTÉRIL. DESCARTÁVEL.  A AGULHA DEVER</w:t>
            </w:r>
            <w:r>
              <w:rPr>
                <w:rFonts w:ascii="Times New Roman" w:hAnsi="Times New Roman" w:cs="Times New Roman"/>
                <w:color w:val="000000"/>
                <w:sz w:val="12"/>
                <w:szCs w:val="12"/>
              </w:rPr>
              <w:t xml:space="preserve">Á POSSUIR DISPOSITIVO DE SEGURANÇA INTEGRADO NA PRÓPRIA AGULHA OU NO ADAPTADOR, QUE APÓS ACIONADO RECOBRIRÁ COMPLETAMENTE A AGULHA, GARANTINDO TOTAL BIOSSEGURANÇA. PARA CADA AGULHA SERÁ FORNECIDO UM ADAPTADOR. ATENDER A NR:32. CONFORME TERMO DE REFERÊNCIA.</w:t>
            </w:r>
            <w:r>
              <w:rPr>
                <w:rFonts w:ascii="Times New Roman" w:hAnsi="Times New Roman" w:eastAsia="Calibri" w:cs="Times New Roman"/>
                <w:color w:val="000000"/>
                <w:sz w:val="12"/>
                <w:szCs w:val="12"/>
                <w:lang w:val="pt-BR"/>
              </w:rPr>
            </w:r>
            <w:r>
              <w:rPr>
                <w:rFonts w:ascii="Times New Roman" w:hAnsi="Times New Roman" w:eastAsia="Calibri" w:cs="Times New Roman"/>
                <w:color w:val="000000"/>
                <w:sz w:val="12"/>
                <w:szCs w:val="12"/>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14:paraId="4D6A58C3">
            <w:pPr>
              <w:pBdr/>
              <w:tabs>
                <w:tab w:val="left" w:leader="none" w:pos="-142"/>
              </w:tabs>
              <w:spacing/>
              <w:ind/>
              <w:jc w:val="center"/>
              <w:rPr>
                <w:rFonts w:ascii="Times New Roman" w:hAnsi="Times New Roman" w:eastAsia="Calibri" w:cs="Times New Roman"/>
                <w:sz w:val="12"/>
                <w:szCs w:val="12"/>
                <w:lang w:val="pt-BR"/>
              </w:rPr>
            </w:pPr>
            <w:r>
              <w:rPr>
                <w:rFonts w:ascii="Times New Roman" w:hAnsi="Times New Roman" w:eastAsia="Calibri" w:cs="Times New Roman"/>
                <w:sz w:val="12"/>
                <w:szCs w:val="12"/>
                <w:lang w:val="pt-BR"/>
              </w:rPr>
              <w:t xml:space="preserve">UNIDADE </w:t>
            </w:r>
            <w:r>
              <w:rPr>
                <w:rFonts w:ascii="Times New Roman" w:hAnsi="Times New Roman" w:eastAsia="Calibri" w:cs="Times New Roman"/>
                <w:sz w:val="12"/>
                <w:szCs w:val="12"/>
                <w:lang w:val="pt-BR"/>
              </w:rPr>
            </w:r>
            <w:r>
              <w:rPr>
                <w:rFonts w:ascii="Times New Roman" w:hAnsi="Times New Roman" w:eastAsia="Calibri" w:cs="Times New Roman"/>
                <w:sz w:val="12"/>
                <w:szCs w:val="12"/>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14:paraId="5969B068">
            <w:pPr>
              <w:pBdr/>
              <w:spacing/>
              <w:ind/>
              <w:jc w:val="center"/>
              <w:rPr>
                <w:rFonts w:ascii="Times New Roman" w:hAnsi="Times New Roman" w:eastAsia="Calibri" w:cs="Times New Roman"/>
                <w:sz w:val="12"/>
                <w:szCs w:val="12"/>
                <w:lang w:val="pt-BR"/>
              </w:rPr>
            </w:pPr>
            <w:r>
              <w:rPr>
                <w:rFonts w:ascii="Times New Roman" w:hAnsi="Times New Roman" w:cs="Times New Roman"/>
                <w:color w:val="000000"/>
                <w:sz w:val="12"/>
                <w:szCs w:val="12"/>
              </w:rPr>
              <w:t xml:space="preserve">250.000</w:t>
            </w:r>
            <w:r>
              <w:rPr>
                <w:rFonts w:ascii="Times New Roman" w:hAnsi="Times New Roman" w:eastAsia="Calibri" w:cs="Times New Roman"/>
                <w:sz w:val="12"/>
                <w:szCs w:val="12"/>
                <w:lang w:val="pt-BR"/>
              </w:rPr>
            </w:r>
            <w:r>
              <w:rPr>
                <w:rFonts w:ascii="Times New Roman" w:hAnsi="Times New Roman" w:eastAsia="Calibri" w:cs="Times New Roman"/>
                <w:sz w:val="12"/>
                <w:szCs w:val="12"/>
                <w:lang w:val="pt-BR"/>
              </w:rPr>
            </w:r>
          </w:p>
        </w:tc>
        <w:tc>
          <w:tcPr>
            <w:shd w:val="clear" w:color="ffffff" w:fill="ffffff"/>
            <w:tcBorders>
              <w:top w:val="single" w:color="000000" w:sz="4" w:space="0"/>
              <w:left w:val="single" w:color="000000" w:sz="4" w:space="0"/>
              <w:bottom w:val="single" w:color="000000" w:sz="4" w:space="0"/>
            </w:tcBorders>
            <w:tcW w:w="1134" w:type="dxa"/>
            <w:vAlign w:val="center"/>
            <w:textDirection w:val="lrTb"/>
            <w:noWrap w:val="false"/>
          </w:tcPr>
          <w:p w14:paraId="4BACCEB5">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14:paraId="4A803C1C">
            <w:pPr>
              <w:pBdr/>
              <w:spacing/>
              <w:ind/>
              <w:rPr/>
            </w:pPr>
            <w:r/>
            <w:r/>
          </w:p>
        </w:tc>
      </w:tr>
      <w:tr>
        <w:trPr>
          <w:gridAfter w:val="1"/>
          <w:trHeight w:val="656"/>
        </w:trPr>
        <w:tc>
          <w:tcPr>
            <w:shd w:val="clear" w:color="ffffff" w:fill="ffffff"/>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14:paraId="032616AC">
            <w:pPr>
              <w:pBdr/>
              <w:tabs>
                <w:tab w:val="left" w:leader="none" w:pos="312"/>
              </w:tabs>
              <w:spacing/>
              <w:ind w:left="114"/>
              <w:jc w:val="center"/>
              <w:rPr>
                <w:rFonts w:ascii="Times New Roman" w:hAnsi="Times New Roman" w:eastAsia="Calibri" w:cs="Times New Roman"/>
                <w:sz w:val="12"/>
                <w:szCs w:val="12"/>
                <w:lang w:val="pt-BR"/>
              </w:rPr>
            </w:pPr>
            <w:r>
              <w:rPr>
                <w:rFonts w:ascii="Times New Roman" w:hAnsi="Times New Roman" w:cs="Times New Roman"/>
                <w:color w:val="000000"/>
                <w:sz w:val="12"/>
                <w:szCs w:val="12"/>
              </w:rPr>
              <w:t xml:space="preserve">2</w:t>
            </w:r>
            <w:r>
              <w:rPr>
                <w:rFonts w:ascii="Times New Roman" w:hAnsi="Times New Roman" w:eastAsia="Calibri" w:cs="Times New Roman"/>
                <w:sz w:val="12"/>
                <w:szCs w:val="12"/>
                <w:lang w:val="pt-BR"/>
              </w:rPr>
            </w:r>
            <w:r>
              <w:rPr>
                <w:rFonts w:ascii="Times New Roman" w:hAnsi="Times New Roman" w:eastAsia="Calibri" w:cs="Times New Roman"/>
                <w:sz w:val="12"/>
                <w:szCs w:val="12"/>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14:paraId="31A4968D">
            <w:pPr>
              <w:pBdr/>
              <w:spacing/>
              <w:ind/>
              <w:jc w:val="center"/>
              <w:rPr>
                <w:rFonts w:ascii="Times New Roman" w:hAnsi="Times New Roman" w:eastAsia="SimSun" w:cs="Times New Roman"/>
                <w:color w:val="000000"/>
                <w:sz w:val="12"/>
                <w:szCs w:val="12"/>
                <w:lang w:val="pt-BR" w:eastAsia="zh-CN"/>
              </w:rPr>
            </w:pPr>
            <w:r>
              <w:rPr>
                <w:rFonts w:ascii="Times New Roman" w:hAnsi="Times New Roman" w:cs="Times New Roman"/>
                <w:color w:val="000000"/>
                <w:sz w:val="12"/>
                <w:szCs w:val="12"/>
              </w:rPr>
              <w:t xml:space="preserve">130291</w:t>
            </w:r>
            <w:r>
              <w:rPr>
                <w:rFonts w:ascii="Times New Roman" w:hAnsi="Times New Roman" w:eastAsia="SimSun" w:cs="Times New Roman"/>
                <w:color w:val="000000"/>
                <w:sz w:val="12"/>
                <w:szCs w:val="12"/>
                <w:lang w:val="pt-BR" w:eastAsia="zh-CN"/>
              </w:rPr>
            </w:r>
            <w:r>
              <w:rPr>
                <w:rFonts w:ascii="Times New Roman" w:hAnsi="Times New Roman" w:eastAsia="SimSun" w:cs="Times New Roman"/>
                <w:color w:val="000000"/>
                <w:sz w:val="12"/>
                <w:szCs w:val="12"/>
                <w:lang w:val="pt-BR" w:eastAsia="zh-CN"/>
              </w:rPr>
            </w:r>
          </w:p>
        </w:tc>
        <w:tc>
          <w:tcPr>
            <w:shd w:val="clear" w:color="ffffff" w:fill="ffffff"/>
            <w:tcBorders>
              <w:top w:val="single" w:color="000000" w:sz="4" w:space="0"/>
              <w:left w:val="single" w:color="000000" w:sz="4" w:space="0"/>
              <w:bottom w:val="single" w:color="000000" w:sz="4" w:space="0"/>
            </w:tcBorders>
            <w:tcW w:w="4684" w:type="dxa"/>
            <w:vAlign w:val="center"/>
            <w:textDirection w:val="lrTb"/>
            <w:noWrap w:val="false"/>
          </w:tcPr>
          <w:p w14:paraId="56253D2A">
            <w:pPr>
              <w:pBdr/>
              <w:spacing/>
              <w:ind/>
              <w:jc w:val="both"/>
              <w:rPr>
                <w:rFonts w:ascii="Times New Roman" w:hAnsi="Times New Roman" w:eastAsia="Calibri" w:cs="Times New Roman"/>
                <w:color w:val="000000"/>
                <w:sz w:val="12"/>
                <w:szCs w:val="12"/>
                <w:lang w:val="pt-BR"/>
              </w:rPr>
            </w:pPr>
            <w:r>
              <w:rPr>
                <w:rFonts w:ascii="Times New Roman" w:hAnsi="Times New Roman" w:cs="Times New Roman"/>
                <w:color w:val="000000"/>
                <w:sz w:val="12"/>
                <w:szCs w:val="12"/>
              </w:rPr>
              <w:t xml:space="preserve">TUBO DE COLETA DE SANGUE A VÁCUO – COM ANTICOAGULANTE EDTA-K2 OU K3. EM PLÁSTICO PET, TAMANHO 13X75 MM, ESTÉRIL. DESCARTÁVEL. INCOLOR. VOLUME DE 2,0 ML, COM TAMPA DE BORRACHA SILICONIZADA E CAPA PROTETORA NA COR ROXA.</w:t>
            </w:r>
            <w:r>
              <w:rPr>
                <w:rFonts w:ascii="Times New Roman" w:hAnsi="Times New Roman" w:eastAsia="Calibri" w:cs="Times New Roman"/>
                <w:color w:val="000000"/>
                <w:sz w:val="12"/>
                <w:szCs w:val="12"/>
                <w:lang w:val="pt-BR"/>
              </w:rPr>
            </w:r>
            <w:r>
              <w:rPr>
                <w:rFonts w:ascii="Times New Roman" w:hAnsi="Times New Roman" w:eastAsia="Calibri" w:cs="Times New Roman"/>
                <w:color w:val="000000"/>
                <w:sz w:val="12"/>
                <w:szCs w:val="12"/>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14:paraId="6F016544">
            <w:pPr>
              <w:pBdr/>
              <w:tabs>
                <w:tab w:val="left" w:leader="none" w:pos="-142"/>
              </w:tabs>
              <w:spacing/>
              <w:ind/>
              <w:jc w:val="center"/>
              <w:rPr>
                <w:rFonts w:ascii="Times New Roman" w:hAnsi="Times New Roman" w:eastAsia="Calibri" w:cs="Times New Roman"/>
                <w:sz w:val="12"/>
                <w:szCs w:val="12"/>
                <w:lang w:val="pt-BR"/>
              </w:rPr>
            </w:pPr>
            <w:r>
              <w:rPr>
                <w:rFonts w:ascii="Times New Roman" w:hAnsi="Times New Roman" w:eastAsia="Calibri" w:cs="Times New Roman"/>
                <w:sz w:val="12"/>
                <w:szCs w:val="12"/>
                <w:lang w:val="pt-BR"/>
              </w:rPr>
              <w:t xml:space="preserve">UNIDADE</w:t>
            </w:r>
            <w:r>
              <w:rPr>
                <w:rFonts w:ascii="Times New Roman" w:hAnsi="Times New Roman" w:eastAsia="Calibri" w:cs="Times New Roman"/>
                <w:sz w:val="12"/>
                <w:szCs w:val="12"/>
                <w:lang w:val="pt-BR"/>
              </w:rPr>
            </w:r>
            <w:r>
              <w:rPr>
                <w:rFonts w:ascii="Times New Roman" w:hAnsi="Times New Roman" w:eastAsia="Calibri" w:cs="Times New Roman"/>
                <w:sz w:val="12"/>
                <w:szCs w:val="12"/>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14:paraId="3F29A91F">
            <w:pPr>
              <w:pBdr/>
              <w:spacing/>
              <w:ind/>
              <w:jc w:val="center"/>
              <w:rPr>
                <w:rFonts w:ascii="Times New Roman" w:hAnsi="Times New Roman" w:eastAsia="Calibri" w:cs="Times New Roman"/>
                <w:sz w:val="12"/>
                <w:szCs w:val="12"/>
                <w:lang w:val="pt-BR"/>
              </w:rPr>
            </w:pPr>
            <w:r>
              <w:rPr>
                <w:rFonts w:ascii="Times New Roman" w:hAnsi="Times New Roman" w:cs="Times New Roman"/>
                <w:color w:val="000000"/>
                <w:sz w:val="12"/>
                <w:szCs w:val="12"/>
              </w:rPr>
              <w:t xml:space="preserve">5.000</w:t>
            </w:r>
            <w:r>
              <w:rPr>
                <w:rFonts w:ascii="Times New Roman" w:hAnsi="Times New Roman" w:eastAsia="Calibri" w:cs="Times New Roman"/>
                <w:sz w:val="12"/>
                <w:szCs w:val="12"/>
                <w:lang w:val="pt-BR"/>
              </w:rPr>
            </w:r>
            <w:r>
              <w:rPr>
                <w:rFonts w:ascii="Times New Roman" w:hAnsi="Times New Roman" w:eastAsia="Calibri" w:cs="Times New Roman"/>
                <w:sz w:val="12"/>
                <w:szCs w:val="12"/>
                <w:lang w:val="pt-BR"/>
              </w:rPr>
            </w:r>
          </w:p>
        </w:tc>
        <w:tc>
          <w:tcPr>
            <w:shd w:val="clear" w:color="ffffff" w:fill="ffffff"/>
            <w:tcBorders>
              <w:top w:val="single" w:color="000000" w:sz="4" w:space="0"/>
              <w:left w:val="single" w:color="000000" w:sz="4" w:space="0"/>
              <w:bottom w:val="single" w:color="000000" w:sz="4" w:space="0"/>
            </w:tcBorders>
            <w:tcW w:w="1134" w:type="dxa"/>
            <w:vAlign w:val="center"/>
            <w:textDirection w:val="lrTb"/>
            <w:noWrap w:val="false"/>
          </w:tcPr>
          <w:p w14:paraId="2676FB2A">
            <w:pPr>
              <w:pBdr/>
              <w:spacing/>
              <w:ind/>
              <w:jc w:val="center"/>
              <w:rPr>
                <w:rFonts w:ascii="Times New Roman" w:hAnsi="Times New Roman" w:cs="Times New Roman"/>
                <w:sz w:val="12"/>
                <w:szCs w:val="12"/>
                <w:lang w:val="pt-BR"/>
              </w:rPr>
            </w:pPr>
            <w:r>
              <w:rPr>
                <w:rFonts w:ascii="Times New Roman" w:hAnsi="Times New Roman" w:cs="Times New Roman"/>
                <w:color w:val="000000"/>
                <w:sz w:val="12"/>
                <w:szCs w:val="12"/>
              </w:rPr>
              <w:t xml:space="preserve"> </w:t>
            </w:r>
            <w:r>
              <w:rPr>
                <w:rFonts w:ascii="Times New Roman" w:hAnsi="Times New Roman" w:cs="Times New Roman"/>
                <w:sz w:val="12"/>
                <w:szCs w:val="12"/>
                <w:lang w:val="pt-BR"/>
              </w:rPr>
            </w:r>
            <w:r>
              <w:rPr>
                <w:rFonts w:ascii="Times New Roman" w:hAnsi="Times New Roman" w:cs="Times New Roman"/>
                <w:sz w:val="12"/>
                <w:szCs w:val="12"/>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14:paraId="4ED88616">
            <w:pPr>
              <w:pBdr/>
              <w:spacing/>
              <w:ind/>
              <w:rPr/>
            </w:pPr>
            <w:r/>
            <w:r/>
          </w:p>
        </w:tc>
      </w:tr>
      <w:tr>
        <w:trPr>
          <w:gridAfter w:val="1"/>
          <w:trHeight w:val="656"/>
        </w:trPr>
        <w:tc>
          <w:tcPr>
            <w:shd w:val="clear" w:color="ffffff" w:fill="ffffff"/>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14:paraId="3DC087C0">
            <w:pPr>
              <w:pBdr/>
              <w:tabs>
                <w:tab w:val="left" w:leader="none" w:pos="312"/>
              </w:tabs>
              <w:spacing/>
              <w:ind w:left="114"/>
              <w:jc w:val="center"/>
              <w:rPr>
                <w:rFonts w:ascii="Times New Roman" w:hAnsi="Times New Roman" w:eastAsia="Calibri" w:cs="Times New Roman"/>
                <w:sz w:val="12"/>
                <w:szCs w:val="12"/>
                <w:lang w:val="pt-BR"/>
              </w:rPr>
            </w:pPr>
            <w:r>
              <w:rPr>
                <w:rFonts w:ascii="Times New Roman" w:hAnsi="Times New Roman" w:cs="Times New Roman"/>
                <w:color w:val="000000"/>
                <w:sz w:val="12"/>
                <w:szCs w:val="12"/>
              </w:rPr>
              <w:t xml:space="preserve">3</w:t>
            </w:r>
            <w:r>
              <w:rPr>
                <w:rFonts w:ascii="Times New Roman" w:hAnsi="Times New Roman" w:eastAsia="Calibri" w:cs="Times New Roman"/>
                <w:sz w:val="12"/>
                <w:szCs w:val="12"/>
                <w:lang w:val="pt-BR"/>
              </w:rPr>
            </w:r>
            <w:r>
              <w:rPr>
                <w:rFonts w:ascii="Times New Roman" w:hAnsi="Times New Roman" w:eastAsia="Calibri" w:cs="Times New Roman"/>
                <w:sz w:val="12"/>
                <w:szCs w:val="12"/>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14:paraId="457079A7">
            <w:pPr>
              <w:pBdr/>
              <w:spacing/>
              <w:ind/>
              <w:jc w:val="center"/>
              <w:rPr>
                <w:rFonts w:ascii="Times New Roman" w:hAnsi="Times New Roman" w:eastAsia="SimSun" w:cs="Times New Roman"/>
                <w:color w:val="000000"/>
                <w:sz w:val="12"/>
                <w:szCs w:val="12"/>
                <w:lang w:val="pt-BR" w:eastAsia="zh-CN"/>
              </w:rPr>
            </w:pPr>
            <w:r>
              <w:rPr>
                <w:rFonts w:ascii="Times New Roman" w:hAnsi="Times New Roman" w:cs="Times New Roman"/>
                <w:color w:val="000000"/>
                <w:sz w:val="12"/>
                <w:szCs w:val="12"/>
              </w:rPr>
              <w:t xml:space="preserve">130292</w:t>
            </w:r>
            <w:r>
              <w:rPr>
                <w:rFonts w:ascii="Times New Roman" w:hAnsi="Times New Roman" w:eastAsia="SimSun" w:cs="Times New Roman"/>
                <w:color w:val="000000"/>
                <w:sz w:val="12"/>
                <w:szCs w:val="12"/>
                <w:lang w:val="pt-BR" w:eastAsia="zh-CN"/>
              </w:rPr>
            </w:r>
            <w:r>
              <w:rPr>
                <w:rFonts w:ascii="Times New Roman" w:hAnsi="Times New Roman" w:eastAsia="SimSun" w:cs="Times New Roman"/>
                <w:color w:val="000000"/>
                <w:sz w:val="12"/>
                <w:szCs w:val="12"/>
                <w:lang w:val="pt-BR" w:eastAsia="zh-CN"/>
              </w:rPr>
            </w:r>
          </w:p>
        </w:tc>
        <w:tc>
          <w:tcPr>
            <w:shd w:val="clear" w:color="ffffff" w:fill="ffffff"/>
            <w:tcBorders>
              <w:top w:val="single" w:color="000000" w:sz="4" w:space="0"/>
              <w:left w:val="single" w:color="000000" w:sz="4" w:space="0"/>
              <w:bottom w:val="single" w:color="000000" w:sz="4" w:space="0"/>
            </w:tcBorders>
            <w:tcW w:w="4684" w:type="dxa"/>
            <w:vAlign w:val="bottom"/>
            <w:textDirection w:val="lrTb"/>
            <w:noWrap w:val="false"/>
          </w:tcPr>
          <w:p w14:paraId="40DA7BDF">
            <w:pPr>
              <w:pBdr/>
              <w:spacing/>
              <w:ind/>
              <w:jc w:val="both"/>
              <w:rPr>
                <w:rFonts w:ascii="Times New Roman" w:hAnsi="Times New Roman" w:eastAsia="Calibri" w:cs="Times New Roman"/>
                <w:color w:val="000000"/>
                <w:sz w:val="12"/>
                <w:szCs w:val="12"/>
                <w:lang w:val="pt-BR"/>
              </w:rPr>
            </w:pPr>
            <w:r>
              <w:rPr>
                <w:rFonts w:ascii="Times New Roman" w:hAnsi="Times New Roman" w:cs="Times New Roman"/>
                <w:color w:val="000000"/>
                <w:sz w:val="12"/>
                <w:szCs w:val="12"/>
              </w:rPr>
              <w:t xml:space="preserve">TUBO DE COLETA DE SANGUE A VÁCUO – COM ANTICOAGULANTE EDTA-K2 OU K3. EM PLÁSTICO PET, TAMANHO 13X75 MM, ESTÉRIL. DESCARTÁVEL. INCOLOR. VOLUME DE 4,0 ML. COM TAMPA DE BORRACHA SILICONIZADA E CAPA PROTETORA NA COR ROXA.</w:t>
            </w:r>
            <w:r>
              <w:rPr>
                <w:rFonts w:ascii="Times New Roman" w:hAnsi="Times New Roman" w:eastAsia="Calibri" w:cs="Times New Roman"/>
                <w:color w:val="000000"/>
                <w:sz w:val="12"/>
                <w:szCs w:val="12"/>
                <w:lang w:val="pt-BR"/>
              </w:rPr>
            </w:r>
            <w:r>
              <w:rPr>
                <w:rFonts w:ascii="Times New Roman" w:hAnsi="Times New Roman" w:eastAsia="Calibri" w:cs="Times New Roman"/>
                <w:color w:val="000000"/>
                <w:sz w:val="12"/>
                <w:szCs w:val="12"/>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14:paraId="3C94EE4A">
            <w:pPr>
              <w:pBdr/>
              <w:tabs>
                <w:tab w:val="left" w:leader="none" w:pos="-142"/>
              </w:tabs>
              <w:spacing/>
              <w:ind/>
              <w:jc w:val="center"/>
              <w:rPr>
                <w:rFonts w:ascii="Times New Roman" w:hAnsi="Times New Roman" w:eastAsia="Calibri" w:cs="Times New Roman"/>
                <w:sz w:val="12"/>
                <w:szCs w:val="12"/>
                <w:lang w:val="pt-BR"/>
              </w:rPr>
            </w:pPr>
            <w:r>
              <w:rPr>
                <w:rFonts w:ascii="Times New Roman" w:hAnsi="Times New Roman" w:cs="Times New Roman"/>
                <w:color w:val="000000"/>
                <w:sz w:val="12"/>
                <w:szCs w:val="12"/>
              </w:rPr>
              <w:t xml:space="preserve">UNIDADE</w:t>
            </w:r>
            <w:r>
              <w:rPr>
                <w:rFonts w:ascii="Times New Roman" w:hAnsi="Times New Roman" w:eastAsia="Calibri" w:cs="Times New Roman"/>
                <w:sz w:val="12"/>
                <w:szCs w:val="12"/>
                <w:lang w:val="pt-BR"/>
              </w:rPr>
            </w:r>
            <w:r>
              <w:rPr>
                <w:rFonts w:ascii="Times New Roman" w:hAnsi="Times New Roman" w:eastAsia="Calibri" w:cs="Times New Roman"/>
                <w:sz w:val="12"/>
                <w:szCs w:val="12"/>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14:paraId="1CA32C27">
            <w:pPr>
              <w:pBdr/>
              <w:spacing/>
              <w:ind/>
              <w:jc w:val="center"/>
              <w:rPr>
                <w:rFonts w:ascii="Times New Roman" w:hAnsi="Times New Roman" w:eastAsia="Calibri" w:cs="Times New Roman"/>
                <w:sz w:val="12"/>
                <w:szCs w:val="12"/>
                <w:lang w:val="pt-BR"/>
              </w:rPr>
            </w:pPr>
            <w:r>
              <w:rPr>
                <w:rFonts w:ascii="Times New Roman" w:hAnsi="Times New Roman" w:cs="Times New Roman"/>
                <w:color w:val="000000"/>
                <w:sz w:val="12"/>
                <w:szCs w:val="12"/>
              </w:rPr>
              <w:t xml:space="preserve">450.000</w:t>
            </w:r>
            <w:r>
              <w:rPr>
                <w:rFonts w:ascii="Times New Roman" w:hAnsi="Times New Roman" w:eastAsia="Calibri" w:cs="Times New Roman"/>
                <w:sz w:val="12"/>
                <w:szCs w:val="12"/>
                <w:lang w:val="pt-BR"/>
              </w:rPr>
            </w:r>
            <w:r>
              <w:rPr>
                <w:rFonts w:ascii="Times New Roman" w:hAnsi="Times New Roman" w:eastAsia="Calibri" w:cs="Times New Roman"/>
                <w:sz w:val="12"/>
                <w:szCs w:val="12"/>
                <w:lang w:val="pt-BR"/>
              </w:rPr>
            </w:r>
          </w:p>
        </w:tc>
        <w:tc>
          <w:tcPr>
            <w:shd w:val="clear" w:color="ffffff" w:fill="ffffff"/>
            <w:tcBorders>
              <w:top w:val="single" w:color="000000" w:sz="4" w:space="0"/>
              <w:left w:val="single" w:color="000000" w:sz="4" w:space="0"/>
              <w:bottom w:val="single" w:color="000000" w:sz="4" w:space="0"/>
            </w:tcBorders>
            <w:tcW w:w="1134" w:type="dxa"/>
            <w:vAlign w:val="center"/>
            <w:textDirection w:val="lrTb"/>
            <w:noWrap w:val="false"/>
          </w:tcPr>
          <w:p w14:paraId="0F7F2212">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14:paraId="49BBED9B">
            <w:pPr>
              <w:pBdr/>
              <w:spacing/>
              <w:ind/>
              <w:rPr/>
            </w:pPr>
            <w:r/>
            <w:r/>
          </w:p>
        </w:tc>
      </w:tr>
      <w:tr>
        <w:trPr>
          <w:gridAfter w:val="1"/>
          <w:trHeight w:val="656"/>
        </w:trPr>
        <w:tc>
          <w:tcPr>
            <w:shd w:val="clear" w:color="ffffff" w:fill="ffffff"/>
            <w:tcBorders>
              <w:top w:val="single" w:color="000000" w:sz="4" w:space="0"/>
              <w:left w:val="single" w:color="000000" w:sz="4" w:space="0"/>
              <w:bottom w:val="single" w:color="000000" w:sz="4" w:space="0"/>
              <w:right w:val="single" w:color="000000" w:sz="4" w:space="0"/>
            </w:tcBorders>
            <w:tcW w:w="474" w:type="dxa"/>
            <w:vAlign w:val="center"/>
            <w:vMerge w:val="restart"/>
            <w:textDirection w:val="lrTb"/>
            <w:noWrap w:val="false"/>
          </w:tcPr>
          <w:p w14:paraId="5BB5E134">
            <w:pPr>
              <w:pBdr/>
              <w:tabs>
                <w:tab w:val="left" w:leader="none" w:pos="312"/>
              </w:tabs>
              <w:spacing/>
              <w:ind w:left="114"/>
              <w:jc w:val="center"/>
              <w:rPr>
                <w:rFonts w:ascii="Times New Roman" w:hAnsi="Times New Roman" w:cs="Times New Roman"/>
                <w:color w:val="000000"/>
                <w:sz w:val="12"/>
                <w:szCs w:val="12"/>
              </w:rPr>
            </w:pPr>
            <w:r>
              <w:rPr>
                <w:rFonts w:ascii="Times New Roman" w:hAnsi="Times New Roman" w:cs="Times New Roman"/>
                <w:color w:val="000000"/>
                <w:sz w:val="12"/>
                <w:szCs w:val="12"/>
              </w:rPr>
              <w:t xml:space="preserve">4</w:t>
            </w:r>
            <w:r>
              <w:rPr>
                <w:rFonts w:ascii="Times New Roman" w:hAnsi="Times New Roman" w:cs="Times New Roman"/>
                <w:color w:val="000000"/>
                <w:sz w:val="12"/>
                <w:szCs w:val="12"/>
              </w:rPr>
            </w:r>
            <w:r>
              <w:rPr>
                <w:rFonts w:ascii="Times New Roman" w:hAnsi="Times New Roman" w:cs="Times New Roman"/>
                <w:color w:val="000000"/>
                <w:sz w:val="12"/>
                <w:szCs w:val="12"/>
              </w:rPr>
            </w:r>
          </w:p>
        </w:tc>
        <w:tc>
          <w:tcPr>
            <w:shd w:val="clear" w:color="ffffff" w:fill="ffffff"/>
            <w:tcBorders>
              <w:top w:val="singl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14:paraId="44F42299">
            <w:pPr>
              <w:pBdr/>
              <w:spacing/>
              <w:ind/>
              <w:jc w:val="center"/>
              <w:rPr>
                <w:rFonts w:ascii="Times New Roman" w:hAnsi="Times New Roman" w:cs="Times New Roman"/>
                <w:color w:val="000000"/>
                <w:sz w:val="12"/>
                <w:szCs w:val="12"/>
              </w:rPr>
            </w:pPr>
            <w:r>
              <w:rPr>
                <w:rFonts w:ascii="Times New Roman" w:hAnsi="Times New Roman" w:cs="Times New Roman"/>
                <w:color w:val="000000"/>
                <w:sz w:val="12"/>
                <w:szCs w:val="12"/>
              </w:rPr>
              <w:t xml:space="preserve">...</w:t>
            </w:r>
            <w:r>
              <w:rPr>
                <w:rFonts w:ascii="Times New Roman" w:hAnsi="Times New Roman" w:cs="Times New Roman"/>
                <w:color w:val="000000"/>
                <w:sz w:val="12"/>
                <w:szCs w:val="12"/>
              </w:rPr>
            </w:r>
            <w:r>
              <w:rPr>
                <w:rFonts w:ascii="Times New Roman" w:hAnsi="Times New Roman" w:cs="Times New Roman"/>
                <w:color w:val="000000"/>
                <w:sz w:val="12"/>
                <w:szCs w:val="12"/>
              </w:rPr>
            </w:r>
          </w:p>
        </w:tc>
        <w:tc>
          <w:tcPr>
            <w:shd w:val="clear" w:color="ffffff" w:fill="ffffff"/>
            <w:tcBorders>
              <w:top w:val="single" w:color="000000" w:sz="4" w:space="0"/>
              <w:left w:val="single" w:color="000000" w:sz="4" w:space="0"/>
              <w:bottom w:val="single" w:color="000000" w:sz="4" w:space="0"/>
            </w:tcBorders>
            <w:tcW w:w="4684" w:type="dxa"/>
            <w:vAlign w:val="bottom"/>
            <w:vMerge w:val="restart"/>
            <w:textDirection w:val="lrTb"/>
            <w:noWrap w:val="false"/>
          </w:tcPr>
          <w:p w14:paraId="5C1E5C86">
            <w:pPr>
              <w:pBdr/>
              <w:tabs>
                <w:tab w:val="left" w:leader="none" w:pos="-142"/>
                <w:tab w:val="left" w:leader="none" w:pos="1526"/>
                <w:tab w:val="center" w:leader="none" w:pos="2272"/>
              </w:tabs>
              <w:spacing/>
              <w:ind/>
              <w:jc w:val="both"/>
              <w:rPr>
                <w:rFonts w:ascii="Times New Roman" w:hAnsi="Times New Roman" w:cs="Times New Roman"/>
                <w:color w:val="000000"/>
                <w:sz w:val="12"/>
                <w:szCs w:val="12"/>
                <w14:ligatures w14:val="none"/>
              </w:rPr>
            </w:pPr>
            <w:r>
              <w:rPr>
                <w:rFonts w:ascii="Times New Roman" w:hAnsi="Times New Roman" w:cs="Times New Roman"/>
                <w:color w:val="000000"/>
                <w:sz w:val="12"/>
                <w:szCs w:val="12"/>
              </w:rPr>
            </w:r>
            <w:r>
              <w:rPr>
                <w:rFonts w:ascii="Times New Roman" w:hAnsi="Times New Roman" w:cs="Times New Roman"/>
                <w:color w:val="000000"/>
                <w:sz w:val="12"/>
                <w:szCs w:val="12"/>
              </w:rPr>
              <w:tab/>
            </w:r>
            <w:r>
              <w:rPr>
                <w:rFonts w:ascii="Times New Roman" w:hAnsi="Times New Roman" w:cs="Times New Roman"/>
                <w:color w:val="000000"/>
                <w:sz w:val="12"/>
                <w:szCs w:val="12"/>
                <w:lang w:val="pt-BR"/>
              </w:rPr>
              <w:t xml:space="preserve">...</w:t>
            </w:r>
            <w:r>
              <w:rPr>
                <w:rFonts w:ascii="Times New Roman" w:hAnsi="Times New Roman" w:cs="Times New Roman"/>
                <w:color w:val="000000"/>
                <w:sz w:val="12"/>
                <w:szCs w:val="12"/>
              </w:rPr>
            </w:r>
            <w:r>
              <w:rPr>
                <w:rFonts w:ascii="Times New Roman" w:hAnsi="Times New Roman" w:cs="Times New Roman"/>
                <w:color w:val="000000"/>
                <w:sz w:val="12"/>
                <w:szCs w:val="1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14:paraId="1F8AD576">
            <w:pPr>
              <w:pBdr/>
              <w:tabs>
                <w:tab w:val="left" w:leader="none" w:pos="-142"/>
              </w:tabs>
              <w:spacing/>
              <w:ind/>
              <w:jc w:val="center"/>
              <w:rPr>
                <w:rFonts w:ascii="Times New Roman" w:hAnsi="Times New Roman" w:cs="Times New Roman"/>
                <w:color w:val="000000"/>
                <w:sz w:val="12"/>
                <w:szCs w:val="12"/>
              </w:rPr>
            </w:pPr>
            <w:r>
              <w:rPr>
                <w:rFonts w:ascii="Times New Roman" w:hAnsi="Times New Roman" w:cs="Times New Roman"/>
                <w:color w:val="000000"/>
                <w:sz w:val="12"/>
                <w:szCs w:val="12"/>
              </w:rPr>
              <w:t xml:space="preserve">...</w:t>
            </w:r>
            <w:r>
              <w:rPr>
                <w:rFonts w:ascii="Times New Roman" w:hAnsi="Times New Roman" w:cs="Times New Roman"/>
                <w:color w:val="000000"/>
                <w:sz w:val="12"/>
                <w:szCs w:val="12"/>
              </w:rPr>
            </w:r>
            <w:r>
              <w:rPr>
                <w:rFonts w:ascii="Times New Roman" w:hAnsi="Times New Roman" w:cs="Times New Roman"/>
                <w:color w:val="000000"/>
                <w:sz w:val="12"/>
                <w:szCs w:val="12"/>
              </w:rPr>
            </w:r>
          </w:p>
        </w:tc>
        <w:tc>
          <w:tcPr>
            <w:shd w:val="clear" w:color="ffffff" w:fill="ffffff"/>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14:paraId="748B6408">
            <w:pPr>
              <w:pBdr/>
              <w:spacing/>
              <w:ind/>
              <w:jc w:val="center"/>
              <w:rPr>
                <w:rFonts w:ascii="Times New Roman" w:hAnsi="Times New Roman" w:cs="Times New Roman"/>
                <w:color w:val="000000"/>
                <w:sz w:val="12"/>
                <w:szCs w:val="12"/>
              </w:rPr>
            </w:pPr>
            <w:r>
              <w:rPr>
                <w:rFonts w:ascii="Times New Roman" w:hAnsi="Times New Roman" w:cs="Times New Roman"/>
                <w:color w:val="000000"/>
                <w:sz w:val="12"/>
                <w:szCs w:val="12"/>
              </w:rPr>
            </w:r>
            <w:r>
              <w:rPr>
                <w:rFonts w:ascii="Times New Roman" w:hAnsi="Times New Roman" w:cs="Times New Roman"/>
                <w:color w:val="000000"/>
                <w:sz w:val="12"/>
                <w:szCs w:val="12"/>
              </w:rPr>
            </w:r>
            <w:r>
              <w:rPr>
                <w:rFonts w:ascii="Times New Roman" w:hAnsi="Times New Roman" w:cs="Times New Roman"/>
                <w:color w:val="000000"/>
                <w:sz w:val="12"/>
                <w:szCs w:val="12"/>
              </w:rPr>
            </w:r>
          </w:p>
        </w:tc>
        <w:tc>
          <w:tcPr>
            <w:shd w:val="clear" w:color="ffffff" w:fill="ffffff"/>
            <w:tcBorders>
              <w:top w:val="single" w:color="000000" w:sz="4" w:space="0"/>
              <w:left w:val="single" w:color="000000" w:sz="4" w:space="0"/>
              <w:bottom w:val="single" w:color="000000" w:sz="4" w:space="0"/>
            </w:tcBorders>
            <w:tcW w:w="1134" w:type="dxa"/>
            <w:vAlign w:val="center"/>
            <w:vMerge w:val="restart"/>
            <w:textDirection w:val="lrTb"/>
            <w:noWrap w:val="false"/>
          </w:tcPr>
          <w:p w14:paraId="5CBA446F">
            <w:pPr>
              <w:pBdr/>
              <w:spacing/>
              <w:ind/>
              <w:jc w:val="center"/>
              <w:rPr>
                <w:rFonts w:ascii="Times New Roman" w:hAnsi="Times New Roman" w:cs="Times New Roman"/>
                <w:color w:val="000000"/>
                <w:sz w:val="12"/>
                <w:szCs w:val="12"/>
              </w:rPr>
            </w:pPr>
            <w:r>
              <w:rPr>
                <w:rFonts w:ascii="Times New Roman" w:hAnsi="Times New Roman" w:cs="Times New Roman"/>
                <w:color w:val="000000"/>
                <w:sz w:val="12"/>
                <w:szCs w:val="12"/>
              </w:rPr>
            </w:r>
            <w:r>
              <w:rPr>
                <w:rFonts w:ascii="Times New Roman" w:hAnsi="Times New Roman" w:cs="Times New Roman"/>
                <w:color w:val="000000"/>
                <w:sz w:val="12"/>
                <w:szCs w:val="12"/>
              </w:rPr>
            </w:r>
            <w:r>
              <w:rPr>
                <w:rFonts w:ascii="Times New Roman" w:hAnsi="Times New Roman" w:cs="Times New Roman"/>
                <w:color w:val="000000"/>
                <w:sz w:val="12"/>
                <w:szCs w:val="12"/>
              </w:rPr>
            </w:r>
          </w:p>
        </w:tc>
        <w:tc>
          <w:tcPr>
            <w:shd w:val="clear" w:color="ffffff" w:fill="ffffff"/>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14:paraId="4DF1D0CB">
            <w:pPr>
              <w:pBdr/>
              <w:spacing/>
              <w:ind/>
              <w:jc w:val="center"/>
              <w:rPr>
                <w:rFonts w:ascii="Times New Roman" w:hAnsi="Times New Roman" w:cs="Times New Roman"/>
                <w:color w:val="000000"/>
                <w:sz w:val="12"/>
                <w:szCs w:val="12"/>
              </w:rPr>
            </w:pPr>
            <w:r>
              <w:rPr>
                <w:rFonts w:ascii="Times New Roman" w:hAnsi="Times New Roman" w:cs="Times New Roman"/>
                <w:color w:val="000000"/>
                <w:sz w:val="12"/>
                <w:szCs w:val="12"/>
              </w:rPr>
            </w:r>
            <w:r>
              <w:rPr>
                <w:rFonts w:ascii="Times New Roman" w:hAnsi="Times New Roman" w:cs="Times New Roman"/>
                <w:color w:val="000000"/>
                <w:sz w:val="12"/>
                <w:szCs w:val="12"/>
              </w:rPr>
            </w:r>
            <w:r>
              <w:rPr>
                <w:rFonts w:ascii="Times New Roman" w:hAnsi="Times New Roman" w:cs="Times New Roman"/>
                <w:color w:val="000000"/>
                <w:sz w:val="12"/>
                <w:szCs w:val="12"/>
              </w:rPr>
            </w:r>
          </w:p>
        </w:tc>
      </w:tr>
    </w:tbl>
    <w:p>
      <w:pPr>
        <w:pStyle w:val="887"/>
        <w:pBdr/>
        <w:spacing/>
        <w:ind/>
        <w:jc w:val="both"/>
        <w:rPr>
          <w:rFonts w:ascii="Arial" w:hAnsi="Arial" w:cs="Arial"/>
          <w:b/>
          <w:bCs/>
        </w:rPr>
      </w:pPr>
      <w:r>
        <w:rPr>
          <w:rFonts w:ascii="Arial" w:hAnsi="Arial" w:eastAsia="Arial" w:cs="Arial"/>
          <w:b/>
          <w:bCs/>
        </w:rPr>
      </w:r>
      <w:r>
        <w:rPr>
          <w:rFonts w:ascii="Arial" w:hAnsi="Arial" w:cs="Arial"/>
          <w:b/>
          <w:bCs/>
        </w:rPr>
      </w:r>
      <w:r>
        <w:rPr>
          <w:rFonts w:ascii="Arial" w:hAnsi="Arial" w:cs="Arial"/>
          <w:b/>
          <w:bCs/>
        </w:rPr>
      </w:r>
    </w:p>
    <w:p>
      <w:pPr>
        <w:pStyle w:val="2065"/>
        <w:pBdr/>
        <w:spacing w:after="45" w:before="0"/>
        <w:ind w:left="0"/>
        <w:jc w:val="both"/>
        <w:rPr>
          <w:rFonts w:ascii="Arial" w:hAnsi="Arial" w:cs="Arial"/>
          <w:sz w:val="20"/>
          <w:szCs w:val="20"/>
          <w:highlight w:val="none"/>
        </w:rPr>
      </w:pPr>
      <w:r>
        <w:rPr>
          <w:rFonts w:ascii="Arial" w:hAnsi="Arial" w:eastAsia="Arial" w:cs="Arial"/>
          <w:sz w:val="20"/>
          <w:szCs w:val="20"/>
        </w:rPr>
        <w:t xml:space="preserve">1 – Nos preços estão inclusos todos os custos básicos diretos, bem como quaisquer outros custos ou despesas que incidam ou venham a incidir direta ou indiretamente que porventura possam recair sobre o fornecimento.</w:t>
      </w:r>
      <w:r>
        <w:rPr>
          <w:rFonts w:ascii="Arial" w:hAnsi="Arial" w:cs="Arial"/>
          <w:sz w:val="20"/>
          <w:szCs w:val="20"/>
          <w:highlight w:val="none"/>
        </w:rPr>
      </w:r>
      <w:r>
        <w:rPr>
          <w:rFonts w:ascii="Arial" w:hAnsi="Arial" w:cs="Arial"/>
          <w:sz w:val="20"/>
          <w:szCs w:val="20"/>
          <w:highlight w:val="none"/>
        </w:rPr>
      </w:r>
    </w:p>
    <w:p>
      <w:pPr>
        <w:pStyle w:val="2065"/>
        <w:pBdr/>
        <w:spacing w:after="45" w:before="0"/>
        <w:ind w:left="0"/>
        <w:jc w:val="both"/>
        <w:rPr>
          <w:rFonts w:ascii="Arial" w:hAnsi="Arial" w:cs="Arial"/>
          <w:sz w:val="20"/>
          <w:szCs w:val="20"/>
        </w:rPr>
      </w:pPr>
      <w:r>
        <w:rPr>
          <w:rFonts w:ascii="Arial" w:hAnsi="Arial" w:eastAsia="Arial" w:cs="Arial"/>
          <w:sz w:val="20"/>
          <w:szCs w:val="20"/>
        </w:rPr>
        <w:t xml:space="preserve">2 – Declaramos que temos pleno conhecimento de todas as condições estabelecidas no termo de referência, edital e anexos, bem como do (s) local (is) de entrega do objeto licitado.</w:t>
      </w:r>
      <w:r>
        <w:rPr>
          <w:rFonts w:ascii="Arial" w:hAnsi="Arial" w:cs="Arial"/>
          <w:sz w:val="20"/>
          <w:szCs w:val="20"/>
        </w:rPr>
      </w:r>
      <w:r>
        <w:rPr>
          <w:rFonts w:ascii="Arial" w:hAnsi="Arial" w:cs="Arial"/>
          <w:sz w:val="20"/>
          <w:szCs w:val="20"/>
        </w:rPr>
      </w:r>
    </w:p>
    <w:p>
      <w:pPr>
        <w:pStyle w:val="2065"/>
        <w:pBdr/>
        <w:spacing w:after="45" w:before="0"/>
        <w:ind w:left="0"/>
        <w:jc w:val="both"/>
        <w:rPr>
          <w:rFonts w:ascii="Arial" w:hAnsi="Arial" w:cs="Arial"/>
          <w:sz w:val="20"/>
          <w:szCs w:val="20"/>
        </w:rPr>
      </w:pPr>
      <w:r>
        <w:rPr>
          <w:rFonts w:ascii="Arial" w:hAnsi="Arial" w:eastAsia="Arial" w:cs="Arial"/>
          <w:sz w:val="20"/>
          <w:szCs w:val="20"/>
        </w:rPr>
        <w:t xml:space="preserve">3 – Declaramos que assumimos inteira e completa responsabilidade pela perfeita execução da entrega dos produtos/serviços, conforme condições estabelecidas no termo de referência, edital e anexos.</w:t>
      </w:r>
      <w:r>
        <w:rPr>
          <w:rFonts w:ascii="Arial" w:hAnsi="Arial" w:cs="Arial"/>
          <w:sz w:val="20"/>
          <w:szCs w:val="20"/>
        </w:rPr>
      </w:r>
      <w:r>
        <w:rPr>
          <w:rFonts w:ascii="Arial" w:hAnsi="Arial" w:cs="Arial"/>
          <w:sz w:val="20"/>
          <w:szCs w:val="20"/>
        </w:rPr>
      </w:r>
    </w:p>
    <w:p>
      <w:pPr>
        <w:pStyle w:val="2065"/>
        <w:pBdr/>
        <w:spacing w:after="45" w:before="0"/>
        <w:ind w:left="0"/>
        <w:jc w:val="both"/>
        <w:rPr>
          <w:rFonts w:ascii="Arial" w:hAnsi="Arial" w:cs="Arial"/>
          <w:sz w:val="20"/>
          <w:szCs w:val="20"/>
        </w:rPr>
      </w:pPr>
      <w:r>
        <w:rPr>
          <w:rFonts w:ascii="Arial" w:hAnsi="Arial" w:eastAsia="Arial" w:cs="Arial"/>
          <w:sz w:val="20"/>
          <w:szCs w:val="20"/>
        </w:rPr>
        <w:t xml:space="preserve">4 – Declaramos que possuímos total capacidade técnica para atendermos ao objeto solicitado.</w:t>
      </w:r>
      <w:r>
        <w:rPr>
          <w:rFonts w:ascii="Arial" w:hAnsi="Arial" w:cs="Arial"/>
          <w:sz w:val="20"/>
          <w:szCs w:val="20"/>
        </w:rPr>
      </w:r>
      <w:r>
        <w:rPr>
          <w:rFonts w:ascii="Arial" w:hAnsi="Arial" w:cs="Arial"/>
          <w:sz w:val="20"/>
          <w:szCs w:val="20"/>
        </w:rPr>
      </w:r>
    </w:p>
    <w:p>
      <w:pPr>
        <w:pStyle w:val="2065"/>
        <w:pBdr/>
        <w:spacing w:after="45" w:before="0"/>
        <w:ind w:left="0"/>
        <w:jc w:val="both"/>
        <w:rPr>
          <w:rFonts w:ascii="Arial" w:hAnsi="Arial" w:cs="Arial"/>
          <w:sz w:val="20"/>
          <w:szCs w:val="20"/>
          <w14:ligatures w14:val="none"/>
        </w:rPr>
      </w:pPr>
      <w:r>
        <w:rPr>
          <w:rFonts w:ascii="Arial" w:hAnsi="Arial" w:eastAsia="Arial" w:cs="Arial"/>
          <w:sz w:val="20"/>
          <w:szCs w:val="20"/>
        </w:rPr>
        <w:t xml:space="preserve">5 – O prazo de validade da proposta é de 120 (cento e vinte) dias corri</w:t>
      </w:r>
      <w:r>
        <w:rPr>
          <w:rFonts w:ascii="Arial" w:hAnsi="Arial" w:eastAsia="Arial" w:cs="Arial"/>
          <w:sz w:val="20"/>
          <w:szCs w:val="20"/>
        </w:rPr>
        <w:t xml:space="preserve">dos, contados da </w:t>
      </w:r>
      <w:r>
        <w:rPr>
          <w:rFonts w:ascii="Arial" w:hAnsi="Arial" w:eastAsia="Arial" w:cs="Arial"/>
          <w:sz w:val="20"/>
          <w:szCs w:val="20"/>
        </w:rPr>
        <w:t xml:space="preserve">apresentação da proposta no sistema eletrônico</w:t>
      </w:r>
      <w:r>
        <w:rPr>
          <w:rFonts w:ascii="Arial" w:hAnsi="Arial" w:eastAsia="Arial" w:cs="Arial"/>
          <w:sz w:val="20"/>
          <w:szCs w:val="20"/>
        </w:rPr>
        <w:t xml:space="preserve">.</w:t>
      </w:r>
      <w:r>
        <w:rPr>
          <w:rFonts w:ascii="Arial" w:hAnsi="Arial" w:cs="Arial"/>
          <w:sz w:val="20"/>
          <w:szCs w:val="20"/>
          <w14:ligatures w14:val="none"/>
        </w:rPr>
      </w:r>
      <w:r>
        <w:rPr>
          <w:rFonts w:ascii="Arial" w:hAnsi="Arial" w:cs="Arial"/>
          <w:sz w:val="20"/>
          <w:szCs w:val="20"/>
          <w14:ligatures w14:val="none"/>
        </w:rPr>
      </w:r>
    </w:p>
    <w:p>
      <w:pPr>
        <w:pStyle w:val="2031"/>
        <w:pBdr/>
        <w:spacing w:after="45" w:before="0"/>
        <w:ind/>
        <w:jc w:val="both"/>
        <w:rPr>
          <w:rFonts w:ascii="Arial" w:hAnsi="Arial" w:cs="Arial"/>
        </w:rPr>
      </w:pPr>
      <w:r>
        <w:rPr>
          <w:rFonts w:ascii="Arial" w:hAnsi="Arial" w:eastAsia="Arial" w:cs="Arial"/>
        </w:rPr>
        <w:t xml:space="preserve">6 – O prazo de realização dos serviços/entrega do produto é</w:t>
      </w:r>
      <w:r>
        <w:rPr>
          <w:rFonts w:ascii="Arial" w:hAnsi="Arial" w:eastAsia="Arial" w:cs="Arial"/>
          <w:b/>
          <w:bCs/>
        </w:rPr>
        <w:t xml:space="preserve"> </w:t>
      </w:r>
      <w:r>
        <w:rPr>
          <w:rFonts w:ascii="Arial" w:hAnsi="Arial" w:eastAsia="Arial" w:cs="Arial"/>
        </w:rPr>
        <w:t xml:space="preserve">de acordo com o previsto contida no edital e seus anexos.</w:t>
      </w:r>
      <w:r>
        <w:rPr>
          <w:rFonts w:ascii="Arial" w:hAnsi="Arial" w:cs="Arial"/>
        </w:rPr>
      </w:r>
      <w:r>
        <w:rPr>
          <w:rFonts w:ascii="Arial" w:hAnsi="Arial" w:cs="Arial"/>
        </w:rPr>
      </w:r>
    </w:p>
    <w:p>
      <w:pPr>
        <w:pStyle w:val="2031"/>
        <w:pBdr/>
        <w:spacing w:after="45" w:before="0" w:line="220" w:lineRule="auto"/>
        <w:ind/>
        <w:jc w:val="both"/>
        <w:rPr>
          <w:rFonts w:ascii="Arial" w:hAnsi="Arial" w:cs="Arial"/>
        </w:rPr>
      </w:pPr>
      <w:r>
        <w:rPr>
          <w:rFonts w:ascii="Arial" w:hAnsi="Arial" w:eastAsia="Arial" w:cs="Arial"/>
        </w:rPr>
        <w:t xml:space="preserve">7 – Apresentamos, conforme exigido, nossos dados bancários:</w:t>
      </w:r>
      <w:r>
        <w:rPr>
          <w:rFonts w:ascii="Arial" w:hAnsi="Arial" w:cs="Arial"/>
        </w:rPr>
      </w:r>
      <w:r>
        <w:rPr>
          <w:rFonts w:ascii="Arial" w:hAnsi="Arial" w:cs="Arial"/>
        </w:rPr>
      </w:r>
    </w:p>
    <w:p>
      <w:pPr>
        <w:pStyle w:val="887"/>
        <w:pBdr/>
        <w:spacing w:line="220" w:lineRule="auto"/>
        <w:ind w:firstLine="284"/>
        <w:jc w:val="both"/>
        <w:rPr>
          <w:rFonts w:ascii="Arial" w:hAnsi="Arial" w:cs="Arial"/>
        </w:rPr>
      </w:pPr>
      <w:r>
        <w:rPr>
          <w:rFonts w:ascii="Arial" w:hAnsi="Arial" w:eastAsia="Arial" w:cs="Arial"/>
        </w:rPr>
        <w:t xml:space="preserve">NOME DO BANCO ......................... N° ...............</w:t>
      </w:r>
      <w:r>
        <w:rPr>
          <w:rFonts w:ascii="Arial" w:hAnsi="Arial" w:cs="Arial"/>
        </w:rPr>
      </w:r>
      <w:r>
        <w:rPr>
          <w:rFonts w:ascii="Arial" w:hAnsi="Arial" w:cs="Arial"/>
        </w:rPr>
      </w:r>
    </w:p>
    <w:p>
      <w:pPr>
        <w:pStyle w:val="887"/>
        <w:pBdr/>
        <w:tabs>
          <w:tab w:val="clear" w:leader="none" w:pos="708"/>
          <w:tab w:val="center" w:leader="none" w:pos="5033"/>
        </w:tabs>
        <w:spacing w:line="220" w:lineRule="auto"/>
        <w:ind w:firstLine="284"/>
        <w:jc w:val="both"/>
        <w:rPr>
          <w:rFonts w:ascii="Arial" w:hAnsi="Arial" w:cs="Arial"/>
        </w:rPr>
      </w:pPr>
      <w:r>
        <w:rPr>
          <w:rFonts w:ascii="Arial" w:hAnsi="Arial" w:eastAsia="Arial" w:cs="Arial"/>
        </w:rPr>
        <w:t xml:space="preserve">NOME DA AGÊNCIA ....................... N° ..............</w:t>
      </w:r>
      <w:r>
        <w:rPr>
          <w:rFonts w:ascii="Arial" w:hAnsi="Arial" w:eastAsia="Arial" w:cs="Arial"/>
        </w:rPr>
        <w:tab/>
      </w:r>
      <w:r>
        <w:rPr>
          <w:rFonts w:ascii="Arial" w:hAnsi="Arial" w:cs="Arial"/>
        </w:rPr>
      </w:r>
      <w:r>
        <w:rPr>
          <w:rFonts w:ascii="Arial" w:hAnsi="Arial" w:cs="Arial"/>
        </w:rPr>
      </w:r>
    </w:p>
    <w:p>
      <w:pPr>
        <w:pStyle w:val="887"/>
        <w:pBdr/>
        <w:spacing/>
        <w:ind w:firstLine="284"/>
        <w:jc w:val="both"/>
        <w:rPr>
          <w:rFonts w:ascii="Arial" w:hAnsi="Arial" w:cs="Arial"/>
        </w:rPr>
      </w:pPr>
      <w:r>
        <w:rPr>
          <w:rFonts w:ascii="Arial" w:hAnsi="Arial" w:eastAsia="Arial" w:cs="Arial"/>
        </w:rPr>
        <w:t xml:space="preserve">NÚMERO DA CONTA ..........................................</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t xml:space="preserve">Local/data..................................................................</w:t>
      </w:r>
      <w:r>
        <w:rPr>
          <w:rFonts w:ascii="Arial" w:hAnsi="Arial" w:cs="Arial"/>
        </w:rPr>
      </w:r>
      <w:r>
        <w:rPr>
          <w:rFonts w:ascii="Arial" w:hAnsi="Arial" w:cs="Arial"/>
        </w:rPr>
      </w:r>
    </w:p>
    <w:p>
      <w:pPr>
        <w:pStyle w:val="887"/>
        <w:pBdr/>
        <w:spacing/>
        <w:ind/>
        <w:jc w:val="center"/>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center"/>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center"/>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center"/>
        <w:rPr>
          <w:rFonts w:ascii="Arial" w:hAnsi="Arial" w:cs="Arial"/>
        </w:rPr>
      </w:pPr>
      <w:r>
        <w:rPr>
          <w:rFonts w:ascii="Arial" w:hAnsi="Arial" w:eastAsia="Arial" w:cs="Arial"/>
        </w:rPr>
        <w:t xml:space="preserve">(Assinatura do Representante Legal pela Empresa)</w:t>
      </w:r>
      <w:r>
        <w:rPr>
          <w:rFonts w:ascii="Arial" w:hAnsi="Arial" w:cs="Arial"/>
        </w:rPr>
      </w:r>
      <w:r>
        <w:rPr>
          <w:rFonts w:ascii="Arial" w:hAnsi="Arial" w:cs="Arial"/>
        </w:rPr>
      </w:r>
    </w:p>
    <w:p>
      <w:pPr>
        <w:pStyle w:val="887"/>
        <w:pBdr/>
        <w:spacing/>
        <w:ind/>
        <w:jc w:val="center"/>
        <w:rPr>
          <w:rFonts w:ascii="Arial" w:hAnsi="Arial" w:cs="Arial"/>
        </w:rPr>
      </w:pPr>
      <w:r>
        <w:rPr>
          <w:rFonts w:ascii="Arial" w:hAnsi="Arial" w:eastAsia="Arial" w:cs="Arial"/>
        </w:rPr>
        <w:t xml:space="preserve">Nome/Cargo e Carimbo CNP</w:t>
      </w:r>
      <w:r>
        <w:rPr>
          <w:rFonts w:ascii="Arial" w:hAnsi="Arial" w:cs="Arial"/>
        </w:rPr>
      </w:r>
      <w:r>
        <w:rPr>
          <w:rFonts w:ascii="Arial" w:hAnsi="Arial" w:cs="Arial"/>
        </w:rPr>
      </w:r>
    </w:p>
    <w:p>
      <w:pPr>
        <w:pStyle w:val="887"/>
        <w:pBdr/>
        <w:spacing/>
        <w:ind/>
        <w:jc w:val="center"/>
        <w:rPr>
          <w:rFonts w:ascii="Arial" w:hAnsi="Arial" w:cs="Arial"/>
        </w:rPr>
      </w:pPr>
      <w:r>
        <w:rPr>
          <w:rFonts w:ascii="Arial" w:hAnsi="Arial" w:eastAsia="Arial" w:cs="Arial"/>
        </w:rPr>
      </w:r>
      <w:r>
        <w:rPr>
          <w:rFonts w:ascii="Arial" w:hAnsi="Arial" w:cs="Arial"/>
        </w:rPr>
      </w:r>
      <w:r>
        <w:rPr>
          <w:rFonts w:ascii="Arial" w:hAnsi="Arial" w:cs="Arial"/>
        </w:rPr>
      </w:r>
    </w:p>
    <w:p w14:paraId="6A9B8D82">
      <w:pPr>
        <w:pStyle w:val="887"/>
        <w:pBdr/>
        <w:spacing/>
        <w:ind/>
        <w:jc w:val="center"/>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center"/>
        <w:rPr>
          <w:rFonts w:ascii="Arial" w:hAnsi="Arial" w:cs="Arial"/>
        </w:rPr>
      </w:pPr>
      <w:r>
        <w:rPr>
          <w:rFonts w:ascii="Arial" w:hAnsi="Arial" w:eastAsia="Arial" w:cs="Arial"/>
        </w:rPr>
      </w:r>
      <w:r>
        <w:rPr>
          <w:rFonts w:ascii="Arial" w:hAnsi="Arial" w:cs="Arial"/>
        </w:rPr>
      </w:r>
      <w:r>
        <w:rPr>
          <w:rFonts w:ascii="Arial" w:hAnsi="Arial" w:cs="Arial"/>
        </w:rPr>
      </w:r>
    </w:p>
    <w:p>
      <w:pPr>
        <w:pStyle w:val="887"/>
        <w:pBdr>
          <w:top w:val="single" w:color="000000" w:sz="4" w:space="0"/>
          <w:left w:val="single" w:color="000000" w:sz="4" w:space="3"/>
          <w:bottom w:val="single" w:color="000000" w:sz="4" w:space="0"/>
          <w:right w:val="single" w:color="000000" w:sz="4" w:space="3"/>
        </w:pBdr>
        <w:tabs>
          <w:tab w:val="clear" w:leader="none" w:pos="708"/>
          <w:tab w:val="left" w:leader="none" w:pos="8576"/>
          <w:tab w:val="left" w:leader="none" w:pos="10419"/>
        </w:tabs>
        <w:spacing/>
        <w:ind/>
        <w:jc w:val="center"/>
        <w:rPr>
          <w:rFonts w:ascii="Arial" w:hAnsi="Arial" w:cs="Arial"/>
          <w:b/>
          <w:bCs/>
        </w:rPr>
      </w:pPr>
      <w:r>
        <w:rPr>
          <w:rFonts w:ascii="Arial" w:hAnsi="Arial" w:eastAsia="Arial" w:cs="Arial"/>
          <w:b/>
          <w:bCs/>
        </w:rPr>
        <w:t xml:space="preserve">PAPEL TIMBRADO DA EMPRESA LICITANTE</w:t>
      </w:r>
      <w:r>
        <w:rPr>
          <w:rFonts w:ascii="Arial" w:hAnsi="Arial" w:cs="Arial"/>
          <w:b/>
          <w:bCs/>
        </w:rPr>
      </w:r>
      <w:r>
        <w:rPr>
          <w:rFonts w:ascii="Arial" w:hAnsi="Arial" w:cs="Arial"/>
          <w:b/>
          <w:bCs/>
        </w:rPr>
      </w:r>
    </w:p>
    <w:p>
      <w:pPr>
        <w:pStyle w:val="887"/>
        <w:pBdr/>
        <w:spacing/>
        <w:ind/>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8"/>
        <w:pBdr/>
        <w:spacing w:after="0" w:before="0"/>
        <w:ind/>
        <w:rPr>
          <w:rFonts w:ascii="Arial" w:hAnsi="Arial" w:cs="Arial"/>
          <w:sz w:val="20"/>
          <w:szCs w:val="20"/>
        </w:rPr>
      </w:pPr>
      <w:r/>
      <w:bookmarkStart w:id="104" w:name="_Toc41"/>
      <w:r>
        <w:rPr>
          <w:rFonts w:ascii="Arial" w:hAnsi="Arial" w:eastAsia="Arial" w:cs="Arial"/>
          <w:sz w:val="20"/>
          <w:szCs w:val="20"/>
        </w:rPr>
        <w:t xml:space="preserve">ANEXO V: MODELO CREDENCIAMENTO E COMPROVAÇÕES COMPLEMENTARES ESPECIAIS.</w:t>
      </w:r>
      <w:bookmarkEnd w:id="104"/>
      <w:r>
        <w:rPr>
          <w:rFonts w:ascii="Arial" w:hAnsi="Arial" w:cs="Arial"/>
          <w:sz w:val="20"/>
          <w:szCs w:val="20"/>
        </w:rPr>
      </w:r>
      <w:r>
        <w:rPr>
          <w:rFonts w:ascii="Arial" w:hAnsi="Arial" w:cs="Arial"/>
          <w:sz w:val="20"/>
          <w:szCs w:val="20"/>
        </w:rPr>
      </w:r>
    </w:p>
    <w:p>
      <w:pPr>
        <w:pStyle w:val="887"/>
        <w:pBdr/>
        <w:spacing/>
        <w:ind/>
        <w:jc w:val="both"/>
        <w:rPr>
          <w:rFonts w:ascii="Arial" w:hAnsi="Arial" w:cs="Arial"/>
          <w:b/>
          <w:bCs/>
          <w:color w:val="000000"/>
        </w:rPr>
      </w:pPr>
      <w:r>
        <w:rPr>
          <w:rFonts w:ascii="Arial" w:hAnsi="Arial" w:eastAsia="Arial" w:cs="Arial"/>
          <w:b/>
          <w:bCs/>
          <w:color w:val="000000"/>
        </w:rPr>
        <w:t xml:space="preserve">À</w:t>
      </w:r>
      <w:r>
        <w:rPr>
          <w:rFonts w:ascii="Arial" w:hAnsi="Arial" w:cs="Arial"/>
          <w:b/>
          <w:bCs/>
          <w:color w:val="000000"/>
        </w:rPr>
      </w:r>
      <w:r>
        <w:rPr>
          <w:rFonts w:ascii="Arial" w:hAnsi="Arial" w:cs="Arial"/>
          <w:b/>
          <w:bCs/>
          <w:color w:val="000000"/>
        </w:rPr>
      </w:r>
    </w:p>
    <w:p>
      <w:pPr>
        <w:pStyle w:val="887"/>
        <w:pBdr/>
        <w:spacing/>
        <w:ind/>
        <w:jc w:val="both"/>
        <w:rPr>
          <w:rFonts w:ascii="Arial" w:hAnsi="Arial" w:cs="Arial"/>
          <w:b/>
          <w:bCs/>
          <w:color w:val="000000"/>
        </w:rPr>
      </w:pPr>
      <w:r>
        <w:rPr>
          <w:rFonts w:ascii="Arial" w:hAnsi="Arial" w:eastAsia="Arial" w:cs="Arial"/>
          <w:b/>
          <w:bCs/>
          <w:color w:val="000000"/>
        </w:rPr>
        <w:t xml:space="preserve">PREFEITURA MUNICIPAL DE RONDONÓPOLIS-MT.</w:t>
      </w:r>
      <w:r>
        <w:rPr>
          <w:rFonts w:ascii="Arial" w:hAnsi="Arial" w:cs="Arial"/>
          <w:b/>
          <w:bCs/>
          <w:color w:val="000000"/>
        </w:rPr>
      </w:r>
      <w:r>
        <w:rPr>
          <w:rFonts w:ascii="Arial" w:hAnsi="Arial" w:cs="Arial"/>
          <w:b/>
          <w:bCs/>
          <w:color w:val="000000"/>
        </w:rPr>
      </w:r>
    </w:p>
    <w:p>
      <w:pPr>
        <w:pStyle w:val="887"/>
        <w:pBdr/>
        <w:spacing/>
        <w:ind/>
        <w:jc w:val="both"/>
        <w:rPr>
          <w:rFonts w:ascii="Arial" w:hAnsi="Arial" w:cs="Arial"/>
          <w:b/>
          <w:bCs/>
          <w:color w:val="000000"/>
        </w:rPr>
      </w:pPr>
      <w:r>
        <w:rPr>
          <w:rFonts w:ascii="Arial" w:hAnsi="Arial" w:eastAsia="Arial" w:cs="Arial"/>
          <w:b/>
          <w:bCs/>
          <w:color w:val="000000"/>
        </w:rPr>
        <w:t xml:space="preserve">REF.: EDITAL DE LICITAÇÃO - MODALIDADE PREGÃO 44/2026.</w:t>
      </w:r>
      <w:r>
        <w:rPr>
          <w:rFonts w:ascii="Arial" w:hAnsi="Arial" w:cs="Arial"/>
          <w:b/>
          <w:bCs/>
          <w:color w:val="000000"/>
        </w:rPr>
      </w:r>
      <w:r>
        <w:rPr>
          <w:rFonts w:ascii="Arial" w:hAnsi="Arial" w:cs="Arial"/>
          <w:b/>
          <w:bCs/>
          <w:color w:val="000000"/>
        </w:rPr>
      </w:r>
    </w:p>
    <w:p>
      <w:pPr>
        <w:pStyle w:val="887"/>
        <w:pBdr/>
        <w:spacing/>
        <w:ind/>
        <w:jc w:val="both"/>
        <w:rPr>
          <w:rFonts w:ascii="Arial" w:hAnsi="Arial" w:cs="Arial"/>
          <w:b/>
          <w:bCs/>
          <w:color w:val="000000"/>
        </w:rPr>
      </w:pPr>
      <w:r>
        <w:rPr>
          <w:rFonts w:ascii="Arial" w:hAnsi="Arial" w:eastAsia="Arial" w:cs="Arial"/>
          <w:b/>
          <w:bCs/>
          <w:color w:val="000000"/>
        </w:rPr>
        <w:t xml:space="preserve">TIPO MENOR PREÇO POR LOTE.</w:t>
      </w:r>
      <w:r>
        <w:rPr>
          <w:rFonts w:ascii="Arial" w:hAnsi="Arial" w:cs="Arial"/>
          <w:b/>
          <w:bCs/>
          <w:color w:val="000000"/>
        </w:rPr>
      </w:r>
      <w:r>
        <w:rPr>
          <w:rFonts w:ascii="Arial" w:hAnsi="Arial" w:cs="Arial"/>
          <w:b/>
          <w:bCs/>
          <w:color w:val="000000"/>
        </w:rPr>
      </w:r>
    </w:p>
    <w:p>
      <w:pPr>
        <w:pStyle w:val="887"/>
        <w:pBdr/>
        <w:spacing/>
        <w:ind/>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b/>
          <w:bCs/>
          <w:color w:val="000000"/>
        </w:rPr>
      </w:pPr>
      <w:r>
        <w:rPr>
          <w:rFonts w:ascii="Arial" w:hAnsi="Arial" w:eastAsia="Arial" w:cs="Arial"/>
          <w:b/>
          <w:bCs/>
          <w:color w:val="000000"/>
        </w:rPr>
        <w:t xml:space="preserve">(Razão Social da Licitante) ____________________, inscrita no CNPJ/MF sob o n.º __________, sediada à_____________________________________________, por intermédio de seu representante legal o(a) Sr(a)______________________</w:t>
      </w:r>
      <w:r>
        <w:rPr>
          <w:rFonts w:ascii="Arial" w:hAnsi="Arial" w:eastAsia="Arial" w:cs="Arial"/>
          <w:b/>
          <w:bCs/>
          <w:color w:val="000000"/>
        </w:rPr>
        <w:t xml:space="preserve">____, portador(a) da Carteira de Identidade n.º_________________ e do CPF n.º__________________, declara como nosso representante legal na Licitação em referência, podendo rubricar a documentação de Habilitação e das Propostas, manifestar, dar lances por m</w:t>
      </w:r>
      <w:r>
        <w:rPr>
          <w:rFonts w:ascii="Arial" w:hAnsi="Arial" w:eastAsia="Arial" w:cs="Arial"/>
          <w:b/>
          <w:bCs/>
          <w:color w:val="000000"/>
        </w:rPr>
        <w:t xml:space="preserve">eio da plataforma eletrônica, prestar todos os esclarecimentos à nossa Proposta, interpor recursos, desistir de prazos e recursos, enfim, praticar todos os atos necessários ao fiel cumprimento do presente Credenciamento.(No caso de indicar representante). </w:t>
      </w:r>
      <w:r>
        <w:rPr>
          <w:rFonts w:ascii="Arial" w:hAnsi="Arial" w:cs="Arial"/>
          <w:b/>
          <w:bCs/>
          <w:color w:val="000000"/>
        </w:rPr>
      </w:r>
      <w:r>
        <w:rPr>
          <w:rFonts w:ascii="Arial" w:hAnsi="Arial" w:cs="Arial"/>
          <w:b/>
          <w:bCs/>
          <w:color w:val="000000"/>
        </w:rPr>
      </w:r>
    </w:p>
    <w:p>
      <w:pPr>
        <w:pStyle w:val="887"/>
        <w:pBdr/>
        <w:spacing/>
        <w:ind/>
        <w:jc w:val="both"/>
        <w:rPr>
          <w:rFonts w:ascii="Arial" w:hAnsi="Arial" w:cs="Arial"/>
          <w:b/>
          <w:bCs/>
          <w:color w:val="000000"/>
        </w:rPr>
      </w:pPr>
      <w:r>
        <w:rPr>
          <w:rFonts w:ascii="Arial" w:hAnsi="Arial" w:eastAsia="Arial" w:cs="Arial"/>
          <w:b/>
          <w:bCs/>
          <w:color w:val="000000"/>
        </w:rPr>
      </w:r>
      <w:r>
        <w:rPr>
          <w:rFonts w:ascii="Arial" w:hAnsi="Arial" w:cs="Arial"/>
          <w:b/>
          <w:bCs/>
          <w:color w:val="000000"/>
        </w:rPr>
      </w:r>
      <w:r>
        <w:rPr>
          <w:rFonts w:ascii="Arial" w:hAnsi="Arial" w:cs="Arial"/>
          <w:b/>
          <w:bCs/>
          <w:color w:val="000000"/>
        </w:rPr>
      </w:r>
    </w:p>
    <w:p>
      <w:pPr>
        <w:pStyle w:val="887"/>
        <w:pBdr/>
        <w:spacing/>
        <w:ind/>
        <w:jc w:val="both"/>
        <w:rPr>
          <w:rFonts w:ascii="Arial" w:hAnsi="Arial" w:cs="Arial"/>
        </w:rPr>
      </w:pPr>
      <w:r>
        <w:rPr>
          <w:rFonts w:ascii="Arial" w:hAnsi="Arial" w:eastAsia="Arial" w:cs="Arial"/>
          <w:b/>
          <w:color w:val="000000"/>
        </w:rPr>
        <w:t xml:space="preserve">13.1.1.</w:t>
      </w:r>
      <w:r>
        <w:rPr>
          <w:rFonts w:ascii="Arial" w:hAnsi="Arial" w:eastAsia="Arial" w:cs="Arial"/>
          <w:color w:val="000000"/>
        </w:rPr>
        <w:t xml:space="preserve"> Está ciente e concorda com as condições contidas no edital e seus anexos, bem como de que a proposta apresentada compreende a integralidade dos custos para atendimento dos direitos trabalhistas assegurados na Constituição Federal, nas </w:t>
      </w:r>
      <w:r>
        <w:rPr>
          <w:rFonts w:ascii="Arial" w:hAnsi="Arial" w:eastAsia="Arial" w:cs="Arial"/>
          <w:color w:val="000000"/>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color w:val="000000"/>
        </w:rPr>
        <w:t xml:space="preserve">13.1.2.</w:t>
      </w:r>
      <w:r>
        <w:rPr>
          <w:rFonts w:ascii="Arial" w:hAnsi="Arial" w:eastAsia="Arial" w:cs="Arial"/>
          <w:color w:val="000000"/>
        </w:rPr>
        <w:t xml:space="preserve"> Não emprega menor de 18 anos em trabalho noturno, perigoso ou insalubre e não emprega menor de 16 anos, em qualquer trabalho, salvo menor, a partir de 14 anos, na condição de aprendiz, nos termos do </w:t>
      </w:r>
      <w:hyperlink r:id="rId43" w:tooltip="https://www.planalto.gov.br/ccivil_03/constituicao/constituicaocompilado.htm#art7" w:anchor="art7" w:history="1">
        <w:r>
          <w:rPr>
            <w:rStyle w:val="994"/>
            <w:rFonts w:ascii="Arial" w:hAnsi="Arial" w:eastAsia="Arial" w:cs="Arial"/>
            <w:color w:val="000000"/>
          </w:rPr>
          <w:t xml:space="preserve">artigo 7°, XXXIII da Constituição</w:t>
        </w:r>
      </w:hyperlink>
      <w:r>
        <w:rPr>
          <w:rFonts w:ascii="Arial" w:hAnsi="Arial" w:eastAsia="Arial" w:cs="Arial"/>
          <w:color w:val="000000"/>
        </w:rPr>
        <w:t xml:space="preserve"> Federal, </w:t>
      </w:r>
      <w:r>
        <w:rPr>
          <w:rFonts w:ascii="Arial" w:hAnsi="Arial" w:eastAsia="Arial" w:cs="Arial"/>
        </w:rPr>
        <w:t xml:space="preserve">bem como, no </w:t>
      </w:r>
      <w:r>
        <w:rPr>
          <w:rFonts w:ascii="Arial" w:hAnsi="Arial" w:eastAsia="Arial" w:cs="Arial"/>
          <w:color w:val="000000"/>
        </w:rPr>
        <w:t xml:space="preserve">artigo 68, inciso VI, da Lei nº 14.133/2021;</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color w:val="000000"/>
        </w:rPr>
        <w:t xml:space="preserve">13.1.3.</w:t>
      </w:r>
      <w:r>
        <w:rPr>
          <w:rFonts w:ascii="Arial" w:hAnsi="Arial" w:eastAsia="Arial" w:cs="Arial"/>
          <w:color w:val="000000"/>
        </w:rPr>
        <w:t xml:space="preserve"> Não possui empregados executando trabalho degradante ou forçado, observando o disposto nos </w:t>
      </w:r>
      <w:hyperlink r:id="rId44" w:tooltip="https://www.planalto.gov.br/ccivil_03/constituicao/constituicaocompilado.htm" w:history="1">
        <w:r>
          <w:rPr>
            <w:rStyle w:val="994"/>
            <w:rFonts w:ascii="Arial" w:hAnsi="Arial" w:eastAsia="Arial" w:cs="Arial"/>
            <w:color w:val="000000"/>
          </w:rPr>
          <w:t xml:space="preserve">incisos III e IV do art. 1º e no inciso III do art. 5º da C.F.</w:t>
        </w:r>
      </w:hyperlink>
      <w:r>
        <w:rPr>
          <w:rStyle w:val="994"/>
          <w:rFonts w:ascii="Arial" w:hAnsi="Arial" w:eastAsia="Arial" w:cs="Arial"/>
          <w:color w:val="000000"/>
          <w:u w:val="none"/>
        </w:rPr>
        <w:t xml:space="preserve">, </w:t>
      </w:r>
      <w:r>
        <w:rPr>
          <w:rFonts w:ascii="Arial" w:hAnsi="Arial" w:eastAsia="Arial" w:cs="Arial"/>
        </w:rPr>
        <w:t xml:space="preserve">e art. 14, inciso VI da Lei nº 14.133/2021.</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color w:val="000000"/>
        </w:rPr>
        <w:t xml:space="preserve">13.1.4.</w:t>
      </w:r>
      <w:r>
        <w:rPr>
          <w:rFonts w:ascii="Arial" w:hAnsi="Arial" w:eastAsia="Arial" w:cs="Arial"/>
          <w:color w:val="000000"/>
        </w:rPr>
        <w:t xml:space="preserve"> Cumpre as exigências de reserva de cargos para pessoa com deficiência (PcD) e para reabilitado da Previdência Social, previstas em lei e em outras normas específicas, art. 63, IV, da Lei nº 14.133/2021;</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color w:val="000000"/>
        </w:rPr>
        <w:t xml:space="preserve">13.1.5.</w:t>
      </w:r>
      <w:r>
        <w:rPr>
          <w:rFonts w:ascii="Arial" w:hAnsi="Arial" w:eastAsia="Arial" w:cs="Arial"/>
          <w:color w:val="000000"/>
        </w:rPr>
        <w:t xml:space="preserve"> Que suas propostas econômicas compreendem a integralidade dos custos para atendimento dos direit</w:t>
      </w:r>
      <w:r>
        <w:rPr>
          <w:rFonts w:ascii="Arial" w:hAnsi="Arial" w:eastAsia="Arial" w:cs="Arial"/>
          <w:color w:val="000000"/>
        </w:rPr>
        <w:t xml:space="preserve">os trabalhistas assegurados na Constituição Federal, nas leis trabalhistas, nas normas infralegais, nas convenções coletivas de trabalho e nos termos de ajustamento de conduta vigentes na data de entrega das propostas, art. 63, § 1º, da Lei nº 14.133/2021;</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color w:val="000000"/>
        </w:rPr>
        <w:t xml:space="preserve">13.1.6.</w:t>
      </w:r>
      <w:r>
        <w:rPr>
          <w:rFonts w:ascii="Arial" w:hAnsi="Arial" w:eastAsia="Arial" w:cs="Arial"/>
          <w:color w:val="000000"/>
        </w:rPr>
        <w:t xml:space="preserve"> N</w:t>
      </w:r>
      <w:r>
        <w:rPr>
          <w:rFonts w:ascii="Arial" w:hAnsi="Arial" w:eastAsia="Arial" w:cs="Arial"/>
        </w:rPr>
        <w:t xml:space="preserve">ão possui em seu quadro de pessoal e societário, servidor público do Pode</w:t>
      </w:r>
      <w:r>
        <w:rPr>
          <w:rFonts w:ascii="Arial" w:hAnsi="Arial" w:eastAsia="Arial" w:cs="Arial"/>
        </w:rPr>
        <w:t xml:space="preserve">r Executivo Estadual exercendo funções de gerência ou administração, conforme art. 1, inciso X da Lei Complementar Estadual nº 04/1990, ou servidor do Órgão/Entidade contratante em qualquer função, nos termos do art. 9º, §1º da Lei Federal nº 14.133/2021; </w:t>
      </w:r>
      <w:r>
        <w:rPr>
          <w:rFonts w:ascii="Arial" w:hAnsi="Arial" w:cs="Arial"/>
        </w:rPr>
      </w:r>
      <w:r>
        <w:rPr>
          <w:rFonts w:ascii="Arial" w:hAnsi="Arial" w:cs="Arial"/>
        </w:rPr>
      </w:r>
    </w:p>
    <w:p>
      <w:pPr>
        <w:pStyle w:val="887"/>
        <w:pBdr/>
        <w:spacing/>
        <w:ind/>
        <w:jc w:val="both"/>
        <w:rPr>
          <w:rFonts w:ascii="Arial" w:hAnsi="Arial" w:cs="Arial"/>
          <w:color w:val="000000"/>
        </w:rPr>
      </w:pPr>
      <w:r>
        <w:rPr>
          <w:rFonts w:ascii="Arial" w:hAnsi="Arial" w:eastAsia="Arial" w:cs="Arial"/>
          <w:b/>
          <w:color w:val="000000"/>
        </w:rPr>
        <w:t xml:space="preserve">13.1.7.</w:t>
      </w:r>
      <w:r>
        <w:rPr>
          <w:rFonts w:ascii="Arial" w:hAnsi="Arial" w:eastAsia="Arial" w:cs="Arial"/>
          <w:color w:val="000000"/>
        </w:rPr>
        <w:t xml:space="preserve"> </w:t>
      </w:r>
      <w:r>
        <w:rPr>
          <w:rFonts w:ascii="Arial" w:hAnsi="Arial" w:eastAsia="Arial" w:cs="Arial"/>
          <w:color w:val="000000"/>
          <w:u w:val="single"/>
        </w:rPr>
        <w:t xml:space="preserve">O licitante enquadrado como microempresa, empresa de pequeno porte ou sociedade cooperativa</w:t>
      </w:r>
      <w:r>
        <w:rPr>
          <w:rFonts w:ascii="Arial" w:hAnsi="Arial" w:eastAsia="Arial" w:cs="Arial"/>
          <w:color w:val="000000"/>
        </w:rPr>
        <w:t xml:space="preserve"> deverá declarar, que cumpre os requisitos estabelecidos no </w:t>
      </w:r>
      <w:hyperlink r:id="rId45" w:tooltip="https://www.planalto.gov.br/ccivil_03/leis/lcp/lcp123.htm#art3" w:anchor="art3" w:history="1">
        <w:r>
          <w:rPr>
            <w:rStyle w:val="994"/>
            <w:rFonts w:ascii="Arial" w:hAnsi="Arial" w:eastAsia="Arial" w:cs="Arial"/>
            <w:color w:val="000000"/>
          </w:rPr>
          <w:t xml:space="preserve">artigo 3° da Lei Complementar nº 123, de 2006</w:t>
        </w:r>
      </w:hyperlink>
      <w:r>
        <w:rPr>
          <w:rFonts w:ascii="Arial" w:hAnsi="Arial" w:eastAsia="Arial" w:cs="Arial"/>
          <w:color w:val="000000"/>
        </w:rPr>
        <w:t xml:space="preserve">, estando apto a usufruir do tratamento favorecido estabelecido em seus </w:t>
      </w:r>
      <w:hyperlink r:id="rId46" w:tooltip="https://www.planalto.gov.br/ccivil_03/leis/lcp/lcp123.htm#art42" w:anchor="art42" w:history="1">
        <w:r>
          <w:rPr>
            <w:rStyle w:val="994"/>
            <w:rFonts w:ascii="Arial" w:hAnsi="Arial" w:eastAsia="Arial" w:cs="Arial"/>
            <w:color w:val="000000"/>
          </w:rPr>
          <w:t xml:space="preserve">arts. 42 a 49</w:t>
        </w:r>
      </w:hyperlink>
      <w:r>
        <w:rPr>
          <w:rFonts w:ascii="Arial" w:hAnsi="Arial" w:eastAsia="Arial" w:cs="Arial"/>
          <w:color w:val="000000"/>
        </w:rPr>
        <w:t xml:space="preserve">, observado o disposto nos </w:t>
      </w:r>
      <w:hyperlink r:id="rId47" w:tooltip="http://www.planalto.gov.br/ccivil_03/_ato2019-2022/2021/lei/L14133.htm#art4§1" w:anchor="art4§1" w:history="1">
        <w:r>
          <w:rPr>
            <w:rStyle w:val="994"/>
            <w:rFonts w:ascii="Arial" w:hAnsi="Arial" w:eastAsia="Arial" w:cs="Arial"/>
            <w:color w:val="000000"/>
          </w:rPr>
          <w:t xml:space="preserve">§§ 1º ao 3º do art. 4º, da Lei n.º 14.133, de 2021;</w:t>
        </w:r>
      </w:hyperlink>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b/>
          <w:color w:val="000000"/>
        </w:rPr>
        <w:t xml:space="preserve">13.1.8.</w:t>
      </w:r>
      <w:r>
        <w:rPr>
          <w:rFonts w:ascii="Arial" w:hAnsi="Arial" w:eastAsia="Arial" w:cs="Arial"/>
          <w:color w:val="000000"/>
        </w:rPr>
        <w:t xml:space="preserve"> O licitante organizado em cooperativa deverá declarar, ainda que, cumpre os requisitos estabelecidos no </w:t>
      </w:r>
      <w:hyperlink r:id="rId48" w:tooltip="http://www.planalto.gov.br/ccivil_03/_ato2019-2022/2021/lei/L14133.htm#art16" w:anchor="art16" w:history="1">
        <w:r>
          <w:rPr>
            <w:rStyle w:val="994"/>
            <w:rFonts w:ascii="Arial" w:hAnsi="Arial" w:eastAsia="Arial" w:cs="Arial"/>
            <w:color w:val="000000"/>
          </w:rPr>
          <w:t xml:space="preserve">artigo 16 da Lei nº 14.133, de 2021</w:t>
        </w:r>
      </w:hyperlink>
      <w:r>
        <w:rPr>
          <w:rFonts w:ascii="Arial" w:hAnsi="Arial" w:eastAsia="Arial" w:cs="Arial"/>
          <w:color w:val="000000"/>
        </w:rPr>
        <w:t xml:space="preserve">;</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color w:val="000000"/>
        </w:rPr>
        <w:t xml:space="preserve">13.1.9. </w:t>
      </w:r>
      <w:r>
        <w:rPr>
          <w:rFonts w:ascii="Arial" w:hAnsi="Arial" w:eastAsia="Arial" w:cs="Arial"/>
          <w:color w:val="000000"/>
        </w:rPr>
        <w:t xml:space="preserve">Que não há sanções vigentes que legalmente proíbam a participante de licitar e/ou contratar com o Órgão/Entidade contratante;</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color w:val="000000"/>
        </w:rPr>
        <w:t xml:space="preserve">13.1.10.</w:t>
      </w:r>
      <w:r>
        <w:rPr>
          <w:rFonts w:ascii="Arial" w:hAnsi="Arial" w:eastAsia="Arial" w:cs="Arial"/>
          <w:color w:val="000000"/>
        </w:rPr>
        <w:t xml:space="preserve"> O declarante responderá pela veracidade das informações prestadas, sujeitando-se às sanções previstas na forma da lei, e neste Edital.</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b/>
          <w:color w:val="000000"/>
        </w:rPr>
        <w:t xml:space="preserve">13.1.11.</w:t>
      </w:r>
      <w:r>
        <w:rPr>
          <w:rFonts w:ascii="Arial" w:hAnsi="Arial" w:eastAsia="Arial" w:cs="Arial"/>
          <w:color w:val="000000"/>
        </w:rPr>
        <w:t xml:space="preserve"> No caso em que a empresa apresente as r</w:t>
      </w:r>
      <w:r>
        <w:rPr>
          <w:rFonts w:ascii="Arial" w:hAnsi="Arial" w:eastAsia="Arial" w:cs="Arial"/>
          <w:color w:val="000000"/>
        </w:rPr>
        <w:t xml:space="preserve">eferidas declarações e não cumpra as exigências habilitatórias do certame o qual está participando, será passível de punição na forma da lei e deste Edital. Bem como, caso não apresente as respectivas declarações o licitante será passível de inabilitação. </w:t>
      </w:r>
      <w:r>
        <w:rPr>
          <w:rFonts w:ascii="Arial" w:hAnsi="Arial" w:cs="Arial"/>
        </w:rPr>
      </w:r>
      <w:r>
        <w:rPr>
          <w:rFonts w:ascii="Arial" w:hAnsi="Arial" w:cs="Arial"/>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t xml:space="preserve">__________________, _______ de ___________________ de 2026.</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b/>
          <w:bCs/>
          <w:color w:val="000000"/>
        </w:rPr>
      </w:pPr>
      <w:r>
        <w:rPr>
          <w:rFonts w:ascii="Arial" w:hAnsi="Arial" w:eastAsia="Arial" w:cs="Arial"/>
          <w:b/>
          <w:bCs/>
          <w:color w:val="000000"/>
        </w:rPr>
        <w:t xml:space="preserve">________________________________________________________________________</w:t>
      </w:r>
      <w:r>
        <w:rPr>
          <w:rFonts w:ascii="Arial" w:hAnsi="Arial" w:cs="Arial"/>
          <w:b/>
          <w:bCs/>
          <w:color w:val="000000"/>
        </w:rPr>
      </w:r>
      <w:r>
        <w:rPr>
          <w:rFonts w:ascii="Arial" w:hAnsi="Arial" w:cs="Arial"/>
          <w:b/>
          <w:bCs/>
          <w:color w:val="000000"/>
        </w:rPr>
      </w:r>
    </w:p>
    <w:p>
      <w:pPr>
        <w:pStyle w:val="887"/>
        <w:pBdr/>
        <w:spacing/>
        <w:ind/>
        <w:jc w:val="both"/>
        <w:rPr>
          <w:rFonts w:ascii="Arial" w:hAnsi="Arial" w:cs="Arial"/>
          <w:color w:val="000000"/>
        </w:rPr>
      </w:pPr>
      <w:r>
        <w:rPr>
          <w:rFonts w:ascii="Arial" w:hAnsi="Arial" w:eastAsia="Arial" w:cs="Arial"/>
          <w:color w:val="000000"/>
        </w:rPr>
        <w:t xml:space="preserve">Assinatura do Representante Legal</w:t>
      </w:r>
      <w:r>
        <w:rPr>
          <w:rFonts w:ascii="Arial" w:hAnsi="Arial" w:cs="Arial"/>
          <w:color w:val="000000"/>
        </w:rPr>
      </w:r>
      <w:r>
        <w:rPr>
          <w:rFonts w:ascii="Arial" w:hAnsi="Arial" w:cs="Arial"/>
          <w:color w:val="000000"/>
        </w:rPr>
      </w:r>
    </w:p>
    <w:p>
      <w:pPr>
        <w:pStyle w:val="887"/>
        <w:pBdr/>
        <w:spacing/>
        <w:ind/>
        <w:jc w:val="both"/>
        <w:rPr>
          <w:rFonts w:ascii="Arial" w:hAnsi="Arial" w:cs="Arial"/>
          <w:color w:val="000000"/>
        </w:rPr>
      </w:pPr>
      <w:r>
        <w:rPr>
          <w:rFonts w:ascii="Arial" w:hAnsi="Arial" w:eastAsia="Arial" w:cs="Arial"/>
          <w:color w:val="000000"/>
        </w:rPr>
      </w:r>
      <w:r>
        <w:rPr>
          <w:rFonts w:ascii="Arial" w:hAnsi="Arial" w:cs="Arial"/>
          <w:color w:val="000000"/>
        </w:rPr>
      </w:r>
      <w:r>
        <w:rPr>
          <w:rFonts w:ascii="Arial" w:hAnsi="Arial" w:cs="Arial"/>
          <w:color w:val="000000"/>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op w:val="single" w:color="000000" w:sz="4" w:space="0"/>
          <w:left w:val="single" w:color="000000" w:sz="4" w:space="3"/>
          <w:bottom w:val="single" w:color="000000" w:sz="4" w:space="0"/>
          <w:right w:val="single" w:color="000000" w:sz="4" w:space="3"/>
        </w:pBdr>
        <w:tabs>
          <w:tab w:val="clear" w:leader="none" w:pos="708"/>
          <w:tab w:val="left" w:leader="none" w:pos="8576"/>
          <w:tab w:val="left" w:leader="none" w:pos="10419"/>
        </w:tabs>
        <w:spacing/>
        <w:ind/>
        <w:jc w:val="center"/>
        <w:rPr>
          <w:rFonts w:ascii="Arial" w:hAnsi="Arial" w:cs="Arial"/>
          <w:b/>
          <w:bCs/>
        </w:rPr>
      </w:pPr>
      <w:r>
        <w:rPr>
          <w:rFonts w:ascii="Arial" w:hAnsi="Arial" w:eastAsia="Arial" w:cs="Arial"/>
          <w:b/>
          <w:bCs/>
        </w:rPr>
        <w:t xml:space="preserve">PAPEL TIMBRADO DA EMPRESA LICITANTE</w:t>
      </w:r>
      <w:r>
        <w:rPr>
          <w:rFonts w:ascii="Arial" w:hAnsi="Arial" w:cs="Arial"/>
          <w:b/>
          <w:bCs/>
        </w:rPr>
      </w:r>
      <w:r>
        <w:rPr>
          <w:rFonts w:ascii="Arial" w:hAnsi="Arial" w:cs="Arial"/>
          <w:b/>
          <w:bCs/>
        </w:rPr>
      </w:r>
    </w:p>
    <w:p>
      <w:pPr>
        <w:pStyle w:val="887"/>
        <w:pBdr/>
        <w:spacing w:line="276" w:lineRule="auto"/>
        <w:ind/>
        <w:jc w:val="both"/>
        <w:rPr>
          <w:rFonts w:ascii="Arial" w:hAnsi="Arial" w:cs="Arial"/>
          <w:b/>
          <w:bCs/>
          <w:u w:val="single"/>
        </w:rPr>
      </w:pPr>
      <w:r>
        <w:rPr>
          <w:rFonts w:ascii="Arial" w:hAnsi="Arial" w:eastAsia="Arial" w:cs="Arial"/>
          <w:b/>
          <w:bCs/>
          <w:u w:val="single"/>
        </w:rPr>
      </w:r>
      <w:r>
        <w:rPr>
          <w:rFonts w:ascii="Arial" w:hAnsi="Arial" w:cs="Arial"/>
          <w:b/>
          <w:bCs/>
          <w:u w:val="single"/>
        </w:rPr>
      </w:r>
      <w:r>
        <w:rPr>
          <w:rFonts w:ascii="Arial" w:hAnsi="Arial" w:cs="Arial"/>
          <w:b/>
          <w:bCs/>
          <w:u w:val="single"/>
        </w:rPr>
      </w:r>
    </w:p>
    <w:p>
      <w:pPr>
        <w:pStyle w:val="888"/>
        <w:pBdr/>
        <w:spacing w:after="0" w:before="0"/>
        <w:ind/>
        <w:rPr>
          <w:rFonts w:ascii="Arial" w:hAnsi="Arial" w:cs="Arial"/>
          <w:sz w:val="20"/>
          <w:szCs w:val="20"/>
        </w:rPr>
      </w:pPr>
      <w:r/>
      <w:bookmarkStart w:id="105" w:name="_Toc42"/>
      <w:r>
        <w:rPr>
          <w:rFonts w:ascii="Arial" w:hAnsi="Arial" w:eastAsia="Arial" w:cs="Arial"/>
          <w:sz w:val="20"/>
          <w:szCs w:val="20"/>
        </w:rPr>
        <w:t xml:space="preserve">ANEXO VI: FICHA DE ATUALIZAÇÃO CADASTRAL.</w:t>
      </w:r>
      <w:bookmarkEnd w:id="105"/>
      <w:r>
        <w:rPr>
          <w:rFonts w:ascii="Arial" w:hAnsi="Arial" w:cs="Arial"/>
          <w:sz w:val="20"/>
          <w:szCs w:val="20"/>
        </w:rPr>
      </w:r>
      <w:r>
        <w:rPr>
          <w:rFonts w:ascii="Arial" w:hAnsi="Arial" w:cs="Arial"/>
          <w:sz w:val="20"/>
          <w:szCs w:val="20"/>
        </w:rPr>
      </w:r>
    </w:p>
    <w:p w14:paraId="11D73D1E">
      <w:pPr>
        <w:pBdr>
          <w:top w:val="none" w:color="000000" w:sz="4" w:space="0"/>
          <w:left w:val="none" w:color="000000" w:sz="4" w:space="0"/>
          <w:bottom w:val="none" w:color="000000" w:sz="4" w:space="0"/>
          <w:right w:val="none" w:color="000000" w:sz="4" w:space="0"/>
        </w:pBdr>
        <w:spacing w:line="360" w:lineRule="auto"/>
        <w:ind/>
        <w:jc w:val="both"/>
        <w:rPr>
          <w:rFonts w:ascii="Arial" w:hAnsi="Arial" w:eastAsia="Arial" w:cs="Arial"/>
          <w14:ligatures w14:val="none"/>
        </w:rPr>
      </w:pPr>
      <w:r>
        <w:rPr>
          <w:rFonts w:ascii="Arial" w:hAnsi="Arial" w:eastAsia="Arial" w:cs="Arial"/>
          <w:b/>
          <w:bCs/>
        </w:rPr>
        <w:t xml:space="preserve">A presente ficha possui finalidade exclusivamente administrativa e cadastral interna do Município de Rondonópolis/MT</w:t>
      </w:r>
      <w:r>
        <w:rPr>
          <w:rFonts w:ascii="Arial" w:hAnsi="Arial" w:eastAsia="Arial" w:cs="Arial"/>
          <w:b/>
          <w:bCs/>
        </w:rPr>
        <w:t xml:space="preserve">.</w:t>
      </w:r>
      <w:r>
        <w:rPr>
          <w:rFonts w:ascii="Arial" w:hAnsi="Arial" w:eastAsia="Arial" w:cs="Arial"/>
        </w:rPr>
        <w:t xml:space="preserve"> </w:t>
      </w:r>
      <w:r>
        <w:rPr>
          <w:rFonts w:ascii="Arial" w:hAnsi="Arial" w:eastAsia="Arial" w:cs="Arial"/>
        </w:rPr>
        <w:t xml:space="preserve">Seu preenchimento não constitui requisito para participação no Pregão Eletrônico nº 44/2026, não integra os critérios de classificação ou habilitação e sua ausência não acarretará desclassificação ou inabilitação da licitante. </w:t>
      </w:r>
      <w:r>
        <w:rPr>
          <w:rFonts w:ascii="Arial" w:hAnsi="Arial" w:eastAsia="Arial" w:cs="Arial"/>
        </w:rPr>
        <w:t xml:space="preserve">A empresa adjudicatária poderá ser solicitada a apresentar ou atualizar as informações cadastrais necessárias à formalização da Ata de Registro de Preços e do Contrato, após concluída a fase de julgamento e habilitação.</w:t>
      </w:r>
      <w:r>
        <w:rPr>
          <w:rFonts w:ascii="Arial" w:hAnsi="Arial" w:eastAsia="Arial" w:cs="Arial"/>
        </w:rPr>
      </w:r>
      <w:r>
        <w:rPr>
          <w:rFonts w:ascii="Arial" w:hAnsi="Arial" w:eastAsia="Arial" w:cs="Arial"/>
          <w14:ligatures w14:val="none"/>
        </w:rPr>
      </w:r>
    </w:p>
    <w:tbl>
      <w:tblPr>
        <w:tblInd w:w="109" w:type="dxa"/>
        <w:tblW w:w="9923" w:type="dxa"/>
        <w:tblCellMar>
          <w:left w:w="108" w:type="dxa"/>
          <w:top w:w="0" w:type="dxa"/>
          <w:right w:w="108" w:type="dxa"/>
          <w:bottom w:w="0" w:type="dxa"/>
        </w:tblCellMar>
        <w:tblBorders/>
        <w:tblLayout w:type="fixed"/>
        <w:tblLook w:val="04A0" w:firstRow="1" w:lastRow="0" w:firstColumn="1" w:lastColumn="0" w:noHBand="0" w:noVBand="1"/>
      </w:tblPr>
      <w:tblGrid>
        <w:gridCol w:w="2496"/>
        <w:gridCol w:w="910"/>
        <w:gridCol w:w="932"/>
        <w:gridCol w:w="342"/>
        <w:gridCol w:w="545"/>
        <w:gridCol w:w="796"/>
        <w:gridCol w:w="1295"/>
        <w:gridCol w:w="334"/>
        <w:gridCol w:w="45"/>
        <w:gridCol w:w="2228"/>
      </w:tblGrid>
      <w:tr>
        <w:trPr/>
        <w:tc>
          <w:tcPr>
            <w:gridSpan w:val="10"/>
            <w:tcBorders>
              <w:top w:val="single" w:color="000000" w:sz="4" w:space="0"/>
              <w:left w:val="single" w:color="000000" w:sz="4" w:space="0"/>
              <w:bottom w:val="single" w:color="000000" w:sz="4" w:space="0"/>
              <w:right w:val="single" w:color="000000" w:sz="4" w:space="0"/>
            </w:tcBorders>
            <w:tcW w:w="9923" w:type="dxa"/>
            <w:textDirection w:val="lrTb"/>
            <w:noWrap w:val="false"/>
          </w:tcPr>
          <w:p>
            <w:pPr>
              <w:pStyle w:val="887"/>
              <w:pBdr/>
              <w:spacing w:line="360" w:lineRule="auto"/>
              <w:ind/>
              <w:rPr>
                <w:rFonts w:ascii="Arial" w:hAnsi="Arial" w:cs="Arial"/>
              </w:rPr>
            </w:pPr>
            <w:r>
              <w:rPr>
                <w:rFonts w:ascii="Arial" w:hAnsi="Arial" w:eastAsia="Arial" w:cs="Arial"/>
              </w:rPr>
              <w:t xml:space="preserve">RAZÃO SOCIAL DA EMPRESA:</w:t>
            </w:r>
            <w:r>
              <w:rPr>
                <w:rFonts w:ascii="Arial" w:hAnsi="Arial" w:cs="Arial"/>
              </w:rPr>
            </w:r>
            <w:r>
              <w:rPr>
                <w:rFonts w:ascii="Arial" w:hAnsi="Arial" w:cs="Arial"/>
              </w:rPr>
            </w:r>
          </w:p>
        </w:tc>
      </w:tr>
      <w:tr>
        <w:trPr/>
        <w:tc>
          <w:tcPr>
            <w:gridSpan w:val="6"/>
            <w:tcBorders>
              <w:top w:val="single" w:color="000000" w:sz="4" w:space="0"/>
              <w:left w:val="single" w:color="000000" w:sz="4" w:space="0"/>
              <w:bottom w:val="single" w:color="000000" w:sz="4" w:space="0"/>
              <w:right w:val="single" w:color="000000" w:sz="4" w:space="0"/>
            </w:tcBorders>
            <w:tcW w:w="6021" w:type="dxa"/>
            <w:textDirection w:val="lrTb"/>
            <w:noWrap w:val="false"/>
          </w:tcPr>
          <w:p>
            <w:pPr>
              <w:pStyle w:val="887"/>
              <w:pBdr/>
              <w:spacing w:line="360" w:lineRule="auto"/>
              <w:ind/>
              <w:rPr>
                <w:rFonts w:ascii="Arial" w:hAnsi="Arial" w:cs="Arial"/>
              </w:rPr>
            </w:pPr>
            <w:r>
              <w:rPr>
                <w:rFonts w:ascii="Arial" w:hAnsi="Arial" w:eastAsia="Arial" w:cs="Arial"/>
              </w:rPr>
              <w:t xml:space="preserve">NOME FANTASIA:</w:t>
            </w:r>
            <w:r>
              <w:rPr>
                <w:rFonts w:ascii="Arial" w:hAnsi="Arial" w:cs="Arial"/>
              </w:rPr>
            </w:r>
            <w:r>
              <w:rPr>
                <w:rFonts w:ascii="Arial" w:hAnsi="Arial" w:cs="Arial"/>
              </w:rPr>
            </w:r>
          </w:p>
        </w:tc>
        <w:tc>
          <w:tcPr>
            <w:gridSpan w:val="4"/>
            <w:tcBorders>
              <w:top w:val="single" w:color="000000" w:sz="4" w:space="0"/>
              <w:left w:val="single" w:color="000000" w:sz="4" w:space="0"/>
              <w:bottom w:val="single" w:color="000000" w:sz="4" w:space="0"/>
              <w:right w:val="single" w:color="000000" w:sz="4" w:space="0"/>
            </w:tcBorders>
            <w:tcW w:w="3902" w:type="dxa"/>
            <w:textDirection w:val="lrTb"/>
            <w:noWrap w:val="false"/>
          </w:tcPr>
          <w:p>
            <w:pPr>
              <w:pStyle w:val="887"/>
              <w:pBdr/>
              <w:spacing w:line="360" w:lineRule="auto"/>
              <w:ind/>
              <w:rPr>
                <w:rFonts w:ascii="Arial" w:hAnsi="Arial" w:cs="Arial"/>
              </w:rPr>
            </w:pPr>
            <w:r>
              <w:rPr>
                <w:rFonts w:ascii="Arial" w:hAnsi="Arial" w:eastAsia="Arial" w:cs="Arial"/>
              </w:rPr>
              <w:t xml:space="preserve">CNPJ Nº</w:t>
            </w:r>
            <w:r>
              <w:rPr>
                <w:rFonts w:ascii="Arial" w:hAnsi="Arial" w:cs="Arial"/>
              </w:rPr>
            </w:r>
            <w:r>
              <w:rPr>
                <w:rFonts w:ascii="Arial" w:hAnsi="Arial" w:cs="Arial"/>
              </w:rPr>
            </w:r>
          </w:p>
        </w:tc>
      </w:tr>
      <w:tr>
        <w:trPr/>
        <w:tc>
          <w:tcPr>
            <w:gridSpan w:val="3"/>
            <w:tcBorders>
              <w:top w:val="single" w:color="000000" w:sz="4" w:space="0"/>
              <w:left w:val="single" w:color="000000" w:sz="4" w:space="0"/>
              <w:bottom w:val="single" w:color="000000" w:sz="4" w:space="0"/>
              <w:right w:val="single" w:color="000000" w:sz="4" w:space="0"/>
            </w:tcBorders>
            <w:tcW w:w="4338" w:type="dxa"/>
            <w:textDirection w:val="lrTb"/>
            <w:noWrap w:val="false"/>
          </w:tcPr>
          <w:p>
            <w:pPr>
              <w:pStyle w:val="887"/>
              <w:pBdr/>
              <w:spacing w:line="360" w:lineRule="auto"/>
              <w:ind/>
              <w:rPr>
                <w:rFonts w:ascii="Arial" w:hAnsi="Arial" w:cs="Arial"/>
              </w:rPr>
            </w:pPr>
            <w:r>
              <w:rPr>
                <w:rFonts w:ascii="Arial" w:hAnsi="Arial" w:eastAsia="Arial" w:cs="Arial"/>
              </w:rPr>
              <w:t xml:space="preserve">INSCRIÇÃO ESTADUAL:</w:t>
            </w:r>
            <w:r>
              <w:rPr>
                <w:rFonts w:ascii="Arial" w:hAnsi="Arial" w:cs="Arial"/>
              </w:rPr>
            </w:r>
            <w:r>
              <w:rPr>
                <w:rFonts w:ascii="Arial" w:hAnsi="Arial" w:cs="Arial"/>
              </w:rPr>
            </w:r>
          </w:p>
        </w:tc>
        <w:tc>
          <w:tcPr>
            <w:gridSpan w:val="7"/>
            <w:tcBorders>
              <w:top w:val="single" w:color="000000" w:sz="4" w:space="0"/>
              <w:left w:val="single" w:color="000000" w:sz="4" w:space="0"/>
              <w:bottom w:val="single" w:color="000000" w:sz="4" w:space="0"/>
              <w:right w:val="single" w:color="000000" w:sz="4" w:space="0"/>
            </w:tcBorders>
            <w:tcW w:w="5585" w:type="dxa"/>
            <w:textDirection w:val="lrTb"/>
            <w:noWrap w:val="false"/>
          </w:tcPr>
          <w:p>
            <w:pPr>
              <w:pStyle w:val="887"/>
              <w:pBdr/>
              <w:spacing w:line="360" w:lineRule="auto"/>
              <w:ind/>
              <w:rPr>
                <w:rFonts w:ascii="Arial" w:hAnsi="Arial" w:cs="Arial"/>
              </w:rPr>
            </w:pPr>
            <w:r>
              <w:rPr>
                <w:rFonts w:ascii="Arial" w:hAnsi="Arial" w:eastAsia="Arial" w:cs="Arial"/>
              </w:rPr>
              <w:t xml:space="preserve">INSCRIÇÃO MUNICIPAL:</w:t>
            </w:r>
            <w:r>
              <w:rPr>
                <w:rFonts w:ascii="Arial" w:hAnsi="Arial" w:cs="Arial"/>
              </w:rPr>
            </w:r>
            <w:r>
              <w:rPr>
                <w:rFonts w:ascii="Arial" w:hAnsi="Arial" w:cs="Arial"/>
              </w:rPr>
            </w:r>
          </w:p>
        </w:tc>
      </w:tr>
      <w:tr>
        <w:trPr/>
        <w:tc>
          <w:tcPr>
            <w:gridSpan w:val="10"/>
            <w:tcBorders>
              <w:top w:val="single" w:color="000000" w:sz="4" w:space="0"/>
              <w:left w:val="single" w:color="000000" w:sz="4" w:space="0"/>
              <w:bottom w:val="single" w:color="000000" w:sz="4" w:space="0"/>
              <w:right w:val="single" w:color="000000" w:sz="4" w:space="0"/>
            </w:tcBorders>
            <w:tcW w:w="9923" w:type="dxa"/>
            <w:textDirection w:val="lrTb"/>
            <w:noWrap w:val="false"/>
          </w:tcPr>
          <w:p>
            <w:pPr>
              <w:pStyle w:val="887"/>
              <w:pBdr/>
              <w:spacing w:line="360" w:lineRule="auto"/>
              <w:ind/>
              <w:rPr>
                <w:rFonts w:ascii="Arial" w:hAnsi="Arial" w:cs="Arial"/>
              </w:rPr>
            </w:pPr>
            <w:r>
              <w:rPr>
                <w:rFonts w:ascii="Arial" w:hAnsi="Arial" w:eastAsia="Arial" w:cs="Arial"/>
              </w:rPr>
              <w:t xml:space="preserve">ENQUADRAMENTO DA EMPRESA: ME(  )  EPP(  ) NENHUMA. OPTANTE DO SIMPLES: SIM(  ) NÃO(  )</w:t>
            </w:r>
            <w:r>
              <w:rPr>
                <w:rFonts w:ascii="Arial" w:hAnsi="Arial" w:cs="Arial"/>
              </w:rPr>
            </w:r>
            <w:r>
              <w:rPr>
                <w:rFonts w:ascii="Arial" w:hAnsi="Arial" w:cs="Arial"/>
              </w:rPr>
            </w:r>
          </w:p>
        </w:tc>
      </w:tr>
      <w:tr>
        <w:trPr/>
        <w:tc>
          <w:tcPr>
            <w:gridSpan w:val="10"/>
            <w:tcBorders>
              <w:top w:val="single" w:color="000000" w:sz="4" w:space="0"/>
              <w:left w:val="single" w:color="000000" w:sz="4" w:space="0"/>
              <w:bottom w:val="single" w:color="000000" w:sz="4" w:space="0"/>
              <w:right w:val="single" w:color="000000" w:sz="4" w:space="0"/>
            </w:tcBorders>
            <w:tcW w:w="9923" w:type="dxa"/>
            <w:textDirection w:val="lrTb"/>
            <w:noWrap w:val="false"/>
          </w:tcPr>
          <w:p>
            <w:pPr>
              <w:pStyle w:val="887"/>
              <w:pBdr/>
              <w:spacing w:line="360" w:lineRule="auto"/>
              <w:ind/>
              <w:rPr>
                <w:rFonts w:ascii="Arial" w:hAnsi="Arial" w:cs="Arial"/>
              </w:rPr>
            </w:pPr>
            <w:r>
              <w:rPr>
                <w:rFonts w:ascii="Arial" w:hAnsi="Arial" w:eastAsia="Arial" w:cs="Arial"/>
              </w:rPr>
              <w:t xml:space="preserve">ENDEREÇO:</w:t>
            </w:r>
            <w:r>
              <w:rPr>
                <w:rFonts w:ascii="Arial" w:hAnsi="Arial" w:cs="Arial"/>
              </w:rPr>
            </w:r>
            <w:r>
              <w:rPr>
                <w:rFonts w:ascii="Arial" w:hAnsi="Arial" w:cs="Arial"/>
              </w:rPr>
            </w:r>
          </w:p>
        </w:tc>
      </w:tr>
      <w:tr>
        <w:trPr/>
        <w:tc>
          <w:tcPr>
            <w:gridSpan w:val="4"/>
            <w:tcBorders>
              <w:top w:val="single" w:color="000000" w:sz="4" w:space="0"/>
              <w:left w:val="single" w:color="000000" w:sz="4" w:space="0"/>
              <w:bottom w:val="single" w:color="000000" w:sz="4" w:space="0"/>
              <w:right w:val="single" w:color="000000" w:sz="4" w:space="0"/>
            </w:tcBorders>
            <w:tcW w:w="4680" w:type="dxa"/>
            <w:textDirection w:val="lrTb"/>
            <w:noWrap w:val="false"/>
          </w:tcPr>
          <w:p>
            <w:pPr>
              <w:pStyle w:val="887"/>
              <w:pBdr/>
              <w:spacing w:line="360" w:lineRule="auto"/>
              <w:ind/>
              <w:rPr>
                <w:rFonts w:ascii="Arial" w:hAnsi="Arial" w:cs="Arial"/>
              </w:rPr>
            </w:pPr>
            <w:r>
              <w:rPr>
                <w:rFonts w:ascii="Arial" w:hAnsi="Arial" w:eastAsia="Arial" w:cs="Arial"/>
              </w:rPr>
              <w:t xml:space="preserve">BAIRRO:</w:t>
            </w:r>
            <w:r>
              <w:rPr>
                <w:rFonts w:ascii="Arial" w:hAnsi="Arial" w:cs="Arial"/>
              </w:rPr>
            </w:r>
            <w:r>
              <w:rPr>
                <w:rFonts w:ascii="Arial" w:hAnsi="Arial" w:cs="Arial"/>
              </w:rPr>
            </w:r>
          </w:p>
        </w:tc>
        <w:tc>
          <w:tcPr>
            <w:gridSpan w:val="3"/>
            <w:tcBorders>
              <w:top w:val="single" w:color="000000" w:sz="4" w:space="0"/>
              <w:left w:val="single" w:color="000000" w:sz="4" w:space="0"/>
              <w:bottom w:val="single" w:color="000000" w:sz="4" w:space="0"/>
              <w:right w:val="single" w:color="000000" w:sz="4" w:space="0"/>
            </w:tcBorders>
            <w:tcW w:w="2636" w:type="dxa"/>
            <w:textDirection w:val="lrTb"/>
            <w:noWrap w:val="false"/>
          </w:tcPr>
          <w:p>
            <w:pPr>
              <w:pStyle w:val="887"/>
              <w:pBdr/>
              <w:spacing w:line="360" w:lineRule="auto"/>
              <w:ind/>
              <w:rPr>
                <w:rFonts w:ascii="Arial" w:hAnsi="Arial" w:cs="Arial"/>
              </w:rPr>
            </w:pPr>
            <w:r>
              <w:rPr>
                <w:rFonts w:ascii="Arial" w:hAnsi="Arial" w:eastAsia="Arial" w:cs="Arial"/>
              </w:rPr>
              <w:t xml:space="preserve">FONE:</w:t>
            </w:r>
            <w:r>
              <w:rPr>
                <w:rFonts w:ascii="Arial" w:hAnsi="Arial" w:cs="Arial"/>
              </w:rPr>
            </w:r>
            <w:r>
              <w:rPr>
                <w:rFonts w:ascii="Arial" w:hAnsi="Arial" w:cs="Arial"/>
              </w:rPr>
            </w:r>
          </w:p>
        </w:tc>
        <w:tc>
          <w:tcPr>
            <w:gridSpan w:val="3"/>
            <w:tcBorders>
              <w:top w:val="single" w:color="000000" w:sz="4" w:space="0"/>
              <w:left w:val="single" w:color="000000" w:sz="4" w:space="0"/>
              <w:bottom w:val="single" w:color="000000" w:sz="4" w:space="0"/>
              <w:right w:val="single" w:color="000000" w:sz="4" w:space="0"/>
            </w:tcBorders>
            <w:tcW w:w="2607" w:type="dxa"/>
            <w:textDirection w:val="lrTb"/>
            <w:noWrap w:val="false"/>
          </w:tcPr>
          <w:p>
            <w:pPr>
              <w:pStyle w:val="887"/>
              <w:pBdr/>
              <w:spacing w:line="360" w:lineRule="auto"/>
              <w:ind/>
              <w:rPr>
                <w:rFonts w:ascii="Arial" w:hAnsi="Arial" w:cs="Arial"/>
              </w:rPr>
            </w:pPr>
            <w:r>
              <w:rPr>
                <w:rFonts w:ascii="Arial" w:hAnsi="Arial" w:eastAsia="Arial" w:cs="Arial"/>
              </w:rPr>
              <w:t xml:space="preserve">FAX:</w:t>
            </w:r>
            <w:r>
              <w:rPr>
                <w:rFonts w:ascii="Arial" w:hAnsi="Arial" w:cs="Arial"/>
              </w:rPr>
            </w:r>
            <w:r>
              <w:rPr>
                <w:rFonts w:ascii="Arial" w:hAnsi="Arial" w:cs="Arial"/>
              </w:rPr>
            </w:r>
          </w:p>
        </w:tc>
      </w:tr>
      <w:tr>
        <w:trPr/>
        <w:tc>
          <w:tcPr>
            <w:gridSpan w:val="4"/>
            <w:tcBorders>
              <w:top w:val="single" w:color="000000" w:sz="4" w:space="0"/>
              <w:left w:val="single" w:color="000000" w:sz="4" w:space="0"/>
              <w:bottom w:val="single" w:color="000000" w:sz="4" w:space="0"/>
              <w:right w:val="single" w:color="000000" w:sz="4" w:space="0"/>
            </w:tcBorders>
            <w:tcW w:w="4680" w:type="dxa"/>
            <w:textDirection w:val="lrTb"/>
            <w:noWrap w:val="false"/>
          </w:tcPr>
          <w:p>
            <w:pPr>
              <w:pStyle w:val="887"/>
              <w:pBdr/>
              <w:spacing w:line="360" w:lineRule="auto"/>
              <w:ind/>
              <w:rPr>
                <w:rFonts w:ascii="Arial" w:hAnsi="Arial" w:cs="Arial"/>
              </w:rPr>
            </w:pPr>
            <w:r>
              <w:rPr>
                <w:rFonts w:ascii="Arial" w:hAnsi="Arial" w:eastAsia="Arial" w:cs="Arial"/>
              </w:rPr>
              <w:t xml:space="preserve">MUNICÍPIO:</w:t>
            </w:r>
            <w:r>
              <w:rPr>
                <w:rFonts w:ascii="Arial" w:hAnsi="Arial" w:cs="Arial"/>
              </w:rPr>
            </w:r>
            <w:r>
              <w:rPr>
                <w:rFonts w:ascii="Arial" w:hAnsi="Arial" w:cs="Arial"/>
              </w:rPr>
            </w:r>
          </w:p>
        </w:tc>
        <w:tc>
          <w:tcPr>
            <w:gridSpan w:val="3"/>
            <w:tcBorders>
              <w:top w:val="single" w:color="000000" w:sz="4" w:space="0"/>
              <w:left w:val="single" w:color="000000" w:sz="4" w:space="0"/>
              <w:bottom w:val="single" w:color="000000" w:sz="4" w:space="0"/>
              <w:right w:val="single" w:color="000000" w:sz="4" w:space="0"/>
            </w:tcBorders>
            <w:tcW w:w="2636" w:type="dxa"/>
            <w:textDirection w:val="lrTb"/>
            <w:noWrap w:val="false"/>
          </w:tcPr>
          <w:p>
            <w:pPr>
              <w:pStyle w:val="887"/>
              <w:pBdr/>
              <w:spacing w:line="360" w:lineRule="auto"/>
              <w:ind/>
              <w:rPr>
                <w:rFonts w:ascii="Arial" w:hAnsi="Arial" w:cs="Arial"/>
              </w:rPr>
            </w:pPr>
            <w:r>
              <w:rPr>
                <w:rFonts w:ascii="Arial" w:hAnsi="Arial" w:eastAsia="Arial" w:cs="Arial"/>
              </w:rPr>
              <w:t xml:space="preserve">U.F.</w:t>
            </w:r>
            <w:r>
              <w:rPr>
                <w:rFonts w:ascii="Arial" w:hAnsi="Arial" w:cs="Arial"/>
              </w:rPr>
            </w:r>
            <w:r>
              <w:rPr>
                <w:rFonts w:ascii="Arial" w:hAnsi="Arial" w:cs="Arial"/>
              </w:rPr>
            </w:r>
          </w:p>
        </w:tc>
        <w:tc>
          <w:tcPr>
            <w:gridSpan w:val="3"/>
            <w:tcBorders>
              <w:top w:val="single" w:color="000000" w:sz="4" w:space="0"/>
              <w:left w:val="single" w:color="000000" w:sz="4" w:space="0"/>
              <w:bottom w:val="single" w:color="000000" w:sz="4" w:space="0"/>
              <w:right w:val="single" w:color="000000" w:sz="4" w:space="0"/>
            </w:tcBorders>
            <w:tcW w:w="2607" w:type="dxa"/>
            <w:textDirection w:val="lrTb"/>
            <w:noWrap w:val="false"/>
          </w:tcPr>
          <w:p>
            <w:pPr>
              <w:pStyle w:val="887"/>
              <w:pBdr/>
              <w:spacing w:line="360" w:lineRule="auto"/>
              <w:ind/>
              <w:rPr>
                <w:rFonts w:ascii="Arial" w:hAnsi="Arial" w:cs="Arial"/>
              </w:rPr>
            </w:pPr>
            <w:r>
              <w:rPr>
                <w:rFonts w:ascii="Arial" w:hAnsi="Arial" w:eastAsia="Arial" w:cs="Arial"/>
              </w:rPr>
              <w:t xml:space="preserve">CEP:</w:t>
            </w:r>
            <w:r>
              <w:rPr>
                <w:rFonts w:ascii="Arial" w:hAnsi="Arial" w:cs="Arial"/>
              </w:rPr>
            </w:r>
            <w:r>
              <w:rPr>
                <w:rFonts w:ascii="Arial" w:hAnsi="Arial" w:cs="Arial"/>
              </w:rPr>
            </w:r>
          </w:p>
        </w:tc>
      </w:tr>
      <w:tr>
        <w:trPr/>
        <w:tc>
          <w:tcPr>
            <w:gridSpan w:val="4"/>
            <w:tcBorders>
              <w:top w:val="single" w:color="000000" w:sz="4" w:space="0"/>
              <w:left w:val="single" w:color="000000" w:sz="4" w:space="0"/>
              <w:bottom w:val="single" w:color="000000" w:sz="4" w:space="0"/>
              <w:right w:val="single" w:color="000000" w:sz="4" w:space="0"/>
            </w:tcBorders>
            <w:tcW w:w="4680" w:type="dxa"/>
            <w:textDirection w:val="lrTb"/>
            <w:noWrap w:val="false"/>
          </w:tcPr>
          <w:p>
            <w:pPr>
              <w:pStyle w:val="887"/>
              <w:pBdr/>
              <w:spacing w:line="360" w:lineRule="auto"/>
              <w:ind/>
              <w:rPr>
                <w:rFonts w:ascii="Arial" w:hAnsi="Arial" w:cs="Arial"/>
              </w:rPr>
            </w:pPr>
            <w:r>
              <w:rPr>
                <w:rFonts w:ascii="Arial" w:hAnsi="Arial" w:eastAsia="Arial" w:cs="Arial"/>
              </w:rPr>
              <w:t xml:space="preserve">NOME DO RESPONSÁVEL PARA CONTATO:</w:t>
            </w:r>
            <w:r>
              <w:rPr>
                <w:rFonts w:ascii="Arial" w:hAnsi="Arial" w:cs="Arial"/>
              </w:rPr>
            </w:r>
            <w:r>
              <w:rPr>
                <w:rFonts w:ascii="Arial" w:hAnsi="Arial" w:cs="Arial"/>
              </w:rPr>
            </w:r>
          </w:p>
        </w:tc>
        <w:tc>
          <w:tcPr>
            <w:gridSpan w:val="6"/>
            <w:tcBorders>
              <w:top w:val="single" w:color="000000" w:sz="4" w:space="0"/>
              <w:left w:val="single" w:color="000000" w:sz="4" w:space="0"/>
              <w:bottom w:val="single" w:color="000000" w:sz="4" w:space="0"/>
              <w:right w:val="single" w:color="000000" w:sz="4" w:space="0"/>
            </w:tcBorders>
            <w:tcW w:w="5243" w:type="dxa"/>
            <w:textDirection w:val="lrTb"/>
            <w:noWrap w:val="false"/>
          </w:tcPr>
          <w:p>
            <w:pPr>
              <w:pStyle w:val="887"/>
              <w:pBdr/>
              <w:spacing w:line="360" w:lineRule="auto"/>
              <w:ind/>
              <w:rPr>
                <w:rFonts w:ascii="Arial" w:hAnsi="Arial" w:cs="Arial"/>
              </w:rPr>
            </w:pPr>
            <w:r>
              <w:rPr>
                <w:rFonts w:ascii="Arial" w:hAnsi="Arial" w:eastAsia="Arial" w:cs="Arial"/>
              </w:rPr>
              <w:t xml:space="preserve">CARGO OU FUNÇÃO NA EMPRESA:</w:t>
            </w:r>
            <w:r>
              <w:rPr>
                <w:rFonts w:ascii="Arial" w:hAnsi="Arial" w:cs="Arial"/>
              </w:rPr>
            </w:r>
            <w:r>
              <w:rPr>
                <w:rFonts w:ascii="Arial" w:hAnsi="Arial" w:cs="Arial"/>
              </w:rPr>
            </w:r>
          </w:p>
        </w:tc>
      </w:tr>
      <w:tr>
        <w:trPr/>
        <w:tc>
          <w:tcPr>
            <w:gridSpan w:val="4"/>
            <w:tcBorders>
              <w:top w:val="single" w:color="000000" w:sz="4" w:space="0"/>
              <w:left w:val="single" w:color="000000" w:sz="4" w:space="0"/>
              <w:bottom w:val="single" w:color="000000" w:sz="4" w:space="0"/>
              <w:right w:val="single" w:color="000000" w:sz="4" w:space="0"/>
            </w:tcBorders>
            <w:tcW w:w="4680" w:type="dxa"/>
            <w:textDirection w:val="lrTb"/>
            <w:noWrap w:val="false"/>
          </w:tcPr>
          <w:p>
            <w:pPr>
              <w:pStyle w:val="887"/>
              <w:pBdr/>
              <w:spacing w:line="360" w:lineRule="auto"/>
              <w:ind/>
              <w:rPr>
                <w:rFonts w:ascii="Arial" w:hAnsi="Arial" w:cs="Arial"/>
              </w:rPr>
            </w:pPr>
            <w:r>
              <w:rPr>
                <w:rFonts w:ascii="Arial" w:hAnsi="Arial" w:eastAsia="Arial" w:cs="Arial"/>
              </w:rPr>
            </w:r>
            <w:r>
              <w:rPr>
                <w:rFonts w:ascii="Arial" w:hAnsi="Arial" w:cs="Arial"/>
              </w:rPr>
            </w:r>
            <w:r>
              <w:rPr>
                <w:rFonts w:ascii="Arial" w:hAnsi="Arial" w:cs="Arial"/>
              </w:rPr>
            </w:r>
          </w:p>
        </w:tc>
        <w:tc>
          <w:tcPr>
            <w:gridSpan w:val="6"/>
            <w:tcBorders>
              <w:top w:val="single" w:color="000000" w:sz="4" w:space="0"/>
              <w:left w:val="single" w:color="000000" w:sz="4" w:space="0"/>
              <w:bottom w:val="single" w:color="000000" w:sz="4" w:space="0"/>
              <w:right w:val="single" w:color="000000" w:sz="4" w:space="0"/>
            </w:tcBorders>
            <w:tcW w:w="5243" w:type="dxa"/>
            <w:textDirection w:val="lrTb"/>
            <w:noWrap w:val="false"/>
          </w:tcPr>
          <w:p>
            <w:pPr>
              <w:pStyle w:val="887"/>
              <w:pBdr/>
              <w:spacing w:line="360" w:lineRule="auto"/>
              <w:ind/>
              <w:rPr>
                <w:rFonts w:ascii="Arial" w:hAnsi="Arial" w:cs="Arial"/>
              </w:rPr>
            </w:pPr>
            <w:r>
              <w:rPr>
                <w:rFonts w:ascii="Arial" w:hAnsi="Arial" w:eastAsia="Arial" w:cs="Arial"/>
              </w:rPr>
            </w:r>
            <w:r>
              <w:rPr>
                <w:rFonts w:ascii="Arial" w:hAnsi="Arial" w:cs="Arial"/>
              </w:rPr>
            </w:r>
            <w:r>
              <w:rPr>
                <w:rFonts w:ascii="Arial" w:hAnsi="Arial" w:cs="Arial"/>
              </w:rPr>
            </w:r>
          </w:p>
        </w:tc>
      </w:tr>
      <w:tr>
        <w:trPr/>
        <w:tc>
          <w:tcPr>
            <w:tcBorders>
              <w:top w:val="single" w:color="000000" w:sz="4" w:space="0"/>
              <w:left w:val="single" w:color="000000" w:sz="4" w:space="0"/>
              <w:bottom w:val="single" w:color="000000" w:sz="4" w:space="0"/>
              <w:right w:val="single" w:color="000000" w:sz="4" w:space="0"/>
            </w:tcBorders>
            <w:tcW w:w="2496" w:type="dxa"/>
            <w:textDirection w:val="lrTb"/>
            <w:noWrap w:val="false"/>
          </w:tcPr>
          <w:p>
            <w:pPr>
              <w:pStyle w:val="887"/>
              <w:pBdr/>
              <w:spacing w:line="360" w:lineRule="auto"/>
              <w:ind/>
              <w:rPr>
                <w:rFonts w:ascii="Arial" w:hAnsi="Arial" w:cs="Arial"/>
              </w:rPr>
            </w:pPr>
            <w:r>
              <w:rPr>
                <w:rFonts w:ascii="Arial" w:hAnsi="Arial" w:eastAsia="Arial" w:cs="Arial"/>
              </w:rPr>
              <w:t xml:space="preserve">TELEFONE:</w:t>
            </w:r>
            <w:r>
              <w:rPr>
                <w:rFonts w:ascii="Arial" w:hAnsi="Arial" w:cs="Arial"/>
              </w:rPr>
            </w:r>
            <w:r>
              <w:rPr>
                <w:rFonts w:ascii="Arial" w:hAnsi="Arial" w:cs="Arial"/>
              </w:rPr>
            </w:r>
          </w:p>
        </w:tc>
        <w:tc>
          <w:tcPr>
            <w:gridSpan w:val="4"/>
            <w:tcBorders>
              <w:top w:val="single" w:color="000000" w:sz="4" w:space="0"/>
              <w:left w:val="single" w:color="000000" w:sz="4" w:space="0"/>
              <w:bottom w:val="single" w:color="000000" w:sz="4" w:space="0"/>
              <w:right w:val="single" w:color="000000" w:sz="4" w:space="0"/>
            </w:tcBorders>
            <w:tcW w:w="2729" w:type="dxa"/>
            <w:textDirection w:val="lrTb"/>
            <w:noWrap w:val="false"/>
          </w:tcPr>
          <w:p>
            <w:pPr>
              <w:pStyle w:val="887"/>
              <w:pBdr/>
              <w:spacing w:line="360" w:lineRule="auto"/>
              <w:ind/>
              <w:rPr>
                <w:rFonts w:ascii="Arial" w:hAnsi="Arial" w:cs="Arial"/>
              </w:rPr>
            </w:pPr>
            <w:r>
              <w:rPr>
                <w:rFonts w:ascii="Arial" w:hAnsi="Arial" w:eastAsia="Arial" w:cs="Arial"/>
              </w:rPr>
              <w:t xml:space="preserve">CELULAR:</w:t>
            </w:r>
            <w:r>
              <w:rPr>
                <w:rFonts w:ascii="Arial" w:hAnsi="Arial" w:cs="Arial"/>
              </w:rPr>
            </w:r>
            <w:r>
              <w:rPr>
                <w:rFonts w:ascii="Arial" w:hAnsi="Arial" w:cs="Arial"/>
              </w:rPr>
            </w:r>
          </w:p>
        </w:tc>
        <w:tc>
          <w:tcPr>
            <w:gridSpan w:val="5"/>
            <w:tcBorders>
              <w:top w:val="single" w:color="000000" w:sz="4" w:space="0"/>
              <w:left w:val="single" w:color="000000" w:sz="4" w:space="0"/>
              <w:bottom w:val="single" w:color="000000" w:sz="4" w:space="0"/>
              <w:right w:val="single" w:color="000000" w:sz="4" w:space="0"/>
            </w:tcBorders>
            <w:tcW w:w="4698" w:type="dxa"/>
            <w:textDirection w:val="lrTb"/>
            <w:noWrap w:val="false"/>
          </w:tcPr>
          <w:p>
            <w:pPr>
              <w:pStyle w:val="887"/>
              <w:pBdr/>
              <w:spacing w:line="360" w:lineRule="auto"/>
              <w:ind/>
              <w:rPr>
                <w:rFonts w:ascii="Arial" w:hAnsi="Arial" w:cs="Arial"/>
              </w:rPr>
            </w:pPr>
            <w:r>
              <w:rPr>
                <w:rFonts w:ascii="Arial" w:hAnsi="Arial" w:eastAsia="Arial" w:cs="Arial"/>
              </w:rPr>
              <w:t xml:space="preserve">E-MAIL:</w:t>
            </w:r>
            <w:r>
              <w:rPr>
                <w:rFonts w:ascii="Arial" w:hAnsi="Arial" w:cs="Arial"/>
              </w:rPr>
            </w:r>
            <w:r>
              <w:rPr>
                <w:rFonts w:ascii="Arial" w:hAnsi="Arial" w:cs="Arial"/>
              </w:rPr>
            </w:r>
          </w:p>
        </w:tc>
      </w:tr>
      <w:tr>
        <w:trPr/>
        <w:tc>
          <w:tcPr>
            <w:tcBorders>
              <w:top w:val="single" w:color="000000" w:sz="4" w:space="0"/>
              <w:left w:val="single" w:color="000000" w:sz="4" w:space="0"/>
              <w:bottom w:val="single" w:color="000000" w:sz="4" w:space="0"/>
              <w:right w:val="single" w:color="000000" w:sz="4" w:space="0"/>
            </w:tcBorders>
            <w:tcW w:w="2496" w:type="dxa"/>
            <w:textDirection w:val="lrTb"/>
            <w:noWrap w:val="false"/>
          </w:tcPr>
          <w:p>
            <w:pPr>
              <w:pStyle w:val="887"/>
              <w:pBdr/>
              <w:spacing w:line="360" w:lineRule="auto"/>
              <w:ind/>
              <w:rPr>
                <w:rFonts w:ascii="Arial" w:hAnsi="Arial" w:cs="Arial"/>
              </w:rPr>
            </w:pPr>
            <w:r>
              <w:rPr>
                <w:rFonts w:ascii="Arial" w:hAnsi="Arial" w:eastAsia="Arial" w:cs="Arial"/>
              </w:rPr>
            </w:r>
            <w:r>
              <w:rPr>
                <w:rFonts w:ascii="Arial" w:hAnsi="Arial" w:cs="Arial"/>
              </w:rPr>
            </w:r>
            <w:r>
              <w:rPr>
                <w:rFonts w:ascii="Arial" w:hAnsi="Arial" w:cs="Arial"/>
              </w:rPr>
            </w:r>
          </w:p>
        </w:tc>
        <w:tc>
          <w:tcPr>
            <w:gridSpan w:val="4"/>
            <w:tcBorders>
              <w:top w:val="single" w:color="000000" w:sz="4" w:space="0"/>
              <w:left w:val="single" w:color="000000" w:sz="4" w:space="0"/>
              <w:bottom w:val="single" w:color="000000" w:sz="4" w:space="0"/>
              <w:right w:val="single" w:color="000000" w:sz="4" w:space="0"/>
            </w:tcBorders>
            <w:tcW w:w="2729" w:type="dxa"/>
            <w:textDirection w:val="lrTb"/>
            <w:noWrap w:val="false"/>
          </w:tcPr>
          <w:p>
            <w:pPr>
              <w:pStyle w:val="887"/>
              <w:pBdr/>
              <w:spacing w:line="360" w:lineRule="auto"/>
              <w:ind/>
              <w:rPr>
                <w:rFonts w:ascii="Arial" w:hAnsi="Arial" w:cs="Arial"/>
              </w:rPr>
            </w:pPr>
            <w:r>
              <w:rPr>
                <w:rFonts w:ascii="Arial" w:hAnsi="Arial" w:eastAsia="Arial" w:cs="Arial"/>
              </w:rPr>
            </w:r>
            <w:r>
              <w:rPr>
                <w:rFonts w:ascii="Arial" w:hAnsi="Arial" w:cs="Arial"/>
              </w:rPr>
            </w:r>
            <w:r>
              <w:rPr>
                <w:rFonts w:ascii="Arial" w:hAnsi="Arial" w:cs="Arial"/>
              </w:rPr>
            </w:r>
          </w:p>
        </w:tc>
        <w:tc>
          <w:tcPr>
            <w:gridSpan w:val="5"/>
            <w:tcBorders>
              <w:top w:val="single" w:color="000000" w:sz="4" w:space="0"/>
              <w:left w:val="single" w:color="000000" w:sz="4" w:space="0"/>
              <w:bottom w:val="single" w:color="000000" w:sz="4" w:space="0"/>
              <w:right w:val="single" w:color="000000" w:sz="4" w:space="0"/>
            </w:tcBorders>
            <w:tcW w:w="4698" w:type="dxa"/>
            <w:textDirection w:val="lrTb"/>
            <w:noWrap w:val="false"/>
          </w:tcPr>
          <w:p>
            <w:pPr>
              <w:pStyle w:val="887"/>
              <w:pBdr/>
              <w:spacing w:line="360" w:lineRule="auto"/>
              <w:ind/>
              <w:rPr>
                <w:rFonts w:ascii="Arial" w:hAnsi="Arial" w:cs="Arial"/>
              </w:rPr>
            </w:pPr>
            <w:r>
              <w:rPr>
                <w:rFonts w:ascii="Arial" w:hAnsi="Arial" w:eastAsia="Arial" w:cs="Arial"/>
              </w:rPr>
            </w:r>
            <w:r>
              <w:rPr>
                <w:rFonts w:ascii="Arial" w:hAnsi="Arial" w:cs="Arial"/>
              </w:rPr>
            </w:r>
            <w:r>
              <w:rPr>
                <w:rFonts w:ascii="Arial" w:hAnsi="Arial" w:cs="Arial"/>
              </w:rPr>
            </w:r>
          </w:p>
        </w:tc>
      </w:tr>
      <w:tr>
        <w:trPr/>
        <w:tc>
          <w:tcPr>
            <w:gridSpan w:val="5"/>
            <w:tcBorders>
              <w:top w:val="single" w:color="000000" w:sz="4" w:space="0"/>
              <w:left w:val="single" w:color="000000" w:sz="4" w:space="0"/>
              <w:bottom w:val="single" w:color="000000" w:sz="4" w:space="0"/>
              <w:right w:val="single" w:color="000000" w:sz="4" w:space="0"/>
            </w:tcBorders>
            <w:tcW w:w="5225" w:type="dxa"/>
            <w:textDirection w:val="lrTb"/>
            <w:noWrap w:val="false"/>
          </w:tcPr>
          <w:p>
            <w:pPr>
              <w:pStyle w:val="887"/>
              <w:pBdr/>
              <w:spacing w:line="360" w:lineRule="auto"/>
              <w:ind/>
              <w:rPr>
                <w:rFonts w:ascii="Arial" w:hAnsi="Arial" w:cs="Arial"/>
              </w:rPr>
            </w:pPr>
            <w:r>
              <w:rPr>
                <w:rFonts w:ascii="Arial" w:hAnsi="Arial" w:eastAsia="Arial" w:cs="Arial"/>
              </w:rPr>
              <w:t xml:space="preserve">SÓCIO(S) NOME(S):</w:t>
            </w:r>
            <w:r>
              <w:rPr>
                <w:rFonts w:ascii="Arial" w:hAnsi="Arial" w:cs="Arial"/>
              </w:rPr>
            </w:r>
            <w:r>
              <w:rPr>
                <w:rFonts w:ascii="Arial" w:hAnsi="Arial" w:cs="Arial"/>
              </w:rPr>
            </w:r>
          </w:p>
        </w:tc>
        <w:tc>
          <w:tcPr>
            <w:gridSpan w:val="4"/>
            <w:tcBorders>
              <w:top w:val="single" w:color="000000" w:sz="4" w:space="0"/>
              <w:left w:val="single" w:color="000000" w:sz="4" w:space="0"/>
              <w:bottom w:val="single" w:color="000000" w:sz="4" w:space="0"/>
              <w:right w:val="single" w:color="000000" w:sz="4" w:space="0"/>
            </w:tcBorders>
            <w:tcW w:w="2470" w:type="dxa"/>
            <w:textDirection w:val="lrTb"/>
            <w:noWrap w:val="false"/>
          </w:tcPr>
          <w:p>
            <w:pPr>
              <w:pStyle w:val="887"/>
              <w:pBdr/>
              <w:spacing w:line="360" w:lineRule="auto"/>
              <w:ind/>
              <w:rPr>
                <w:rFonts w:ascii="Arial" w:hAnsi="Arial" w:cs="Arial"/>
              </w:rPr>
            </w:pPr>
            <w:r>
              <w:rPr>
                <w:rFonts w:ascii="Arial" w:hAnsi="Arial" w:eastAsia="Arial" w:cs="Arial"/>
              </w:rPr>
              <w:t xml:space="preserve">CPF Nº:</w:t>
            </w:r>
            <w:r>
              <w:rPr>
                <w:rFonts w:ascii="Arial" w:hAnsi="Arial" w:cs="Arial"/>
              </w:rPr>
            </w:r>
            <w:r>
              <w:rPr>
                <w:rFonts w:ascii="Arial" w:hAnsi="Arial" w:cs="Arial"/>
              </w:rPr>
            </w:r>
          </w:p>
        </w:tc>
        <w:tc>
          <w:tcPr>
            <w:tcBorders>
              <w:top w:val="single" w:color="000000" w:sz="4" w:space="0"/>
              <w:left w:val="single" w:color="000000" w:sz="4" w:space="0"/>
              <w:bottom w:val="single" w:color="000000" w:sz="4" w:space="0"/>
              <w:right w:val="single" w:color="000000" w:sz="4" w:space="0"/>
            </w:tcBorders>
            <w:tcW w:w="2228" w:type="dxa"/>
            <w:textDirection w:val="lrTb"/>
            <w:noWrap w:val="false"/>
          </w:tcPr>
          <w:p>
            <w:pPr>
              <w:pStyle w:val="887"/>
              <w:pBdr/>
              <w:spacing w:line="360" w:lineRule="auto"/>
              <w:ind/>
              <w:rPr>
                <w:rFonts w:ascii="Arial" w:hAnsi="Arial" w:cs="Arial"/>
              </w:rPr>
            </w:pPr>
            <w:r>
              <w:rPr>
                <w:rFonts w:ascii="Arial" w:hAnsi="Arial" w:eastAsia="Arial" w:cs="Arial"/>
              </w:rPr>
              <w:t xml:space="preserve">NACIONALIDADE:</w:t>
            </w:r>
            <w:r>
              <w:rPr>
                <w:rFonts w:ascii="Arial" w:hAnsi="Arial" w:cs="Arial"/>
              </w:rPr>
            </w:r>
            <w:r>
              <w:rPr>
                <w:rFonts w:ascii="Arial" w:hAnsi="Arial" w:cs="Arial"/>
              </w:rPr>
            </w:r>
          </w:p>
        </w:tc>
      </w:tr>
      <w:tr>
        <w:trPr/>
        <w:tc>
          <w:tcPr>
            <w:gridSpan w:val="5"/>
            <w:tcBorders>
              <w:top w:val="single" w:color="000000" w:sz="4" w:space="0"/>
              <w:left w:val="single" w:color="000000" w:sz="4" w:space="0"/>
              <w:bottom w:val="single" w:color="000000" w:sz="4" w:space="0"/>
              <w:right w:val="single" w:color="000000" w:sz="4" w:space="0"/>
            </w:tcBorders>
            <w:tcW w:w="5225" w:type="dxa"/>
            <w:textDirection w:val="lrTb"/>
            <w:noWrap w:val="false"/>
          </w:tcPr>
          <w:p>
            <w:pPr>
              <w:pStyle w:val="887"/>
              <w:pBdr/>
              <w:spacing w:line="360" w:lineRule="auto"/>
              <w:ind/>
              <w:rPr>
                <w:rFonts w:ascii="Arial" w:hAnsi="Arial" w:cs="Arial"/>
              </w:rPr>
            </w:pPr>
            <w:r>
              <w:rPr>
                <w:rFonts w:ascii="Arial" w:hAnsi="Arial" w:eastAsia="Arial" w:cs="Arial"/>
              </w:rPr>
            </w:r>
            <w:r>
              <w:rPr>
                <w:rFonts w:ascii="Arial" w:hAnsi="Arial" w:cs="Arial"/>
              </w:rPr>
            </w:r>
            <w:r>
              <w:rPr>
                <w:rFonts w:ascii="Arial" w:hAnsi="Arial" w:cs="Arial"/>
              </w:rPr>
            </w:r>
          </w:p>
        </w:tc>
        <w:tc>
          <w:tcPr>
            <w:gridSpan w:val="4"/>
            <w:tcBorders>
              <w:top w:val="single" w:color="000000" w:sz="4" w:space="0"/>
              <w:left w:val="single" w:color="000000" w:sz="4" w:space="0"/>
              <w:bottom w:val="single" w:color="000000" w:sz="4" w:space="0"/>
              <w:right w:val="single" w:color="000000" w:sz="4" w:space="0"/>
            </w:tcBorders>
            <w:tcW w:w="2470" w:type="dxa"/>
            <w:textDirection w:val="lrTb"/>
            <w:noWrap w:val="false"/>
          </w:tcPr>
          <w:p>
            <w:pPr>
              <w:pStyle w:val="887"/>
              <w:pBdr/>
              <w:spacing w:line="360" w:lineRule="auto"/>
              <w:ind/>
              <w:rPr>
                <w:rFonts w:ascii="Arial" w:hAnsi="Arial" w:cs="Arial"/>
              </w:rPr>
            </w:pPr>
            <w:r>
              <w:rPr>
                <w:rFonts w:ascii="Arial" w:hAnsi="Arial" w:eastAsia="Arial" w:cs="Arial"/>
              </w:rPr>
            </w:r>
            <w:r>
              <w:rPr>
                <w:rFonts w:ascii="Arial" w:hAnsi="Arial" w:cs="Arial"/>
              </w:rPr>
            </w:r>
            <w:r>
              <w:rPr>
                <w:rFonts w:ascii="Arial" w:hAnsi="Arial" w:cs="Arial"/>
              </w:rPr>
            </w:r>
          </w:p>
        </w:tc>
        <w:tc>
          <w:tcPr>
            <w:tcBorders>
              <w:top w:val="single" w:color="000000" w:sz="4" w:space="0"/>
              <w:left w:val="single" w:color="000000" w:sz="4" w:space="0"/>
              <w:bottom w:val="single" w:color="000000" w:sz="4" w:space="0"/>
              <w:right w:val="single" w:color="000000" w:sz="4" w:space="0"/>
            </w:tcBorders>
            <w:tcW w:w="2228" w:type="dxa"/>
            <w:textDirection w:val="lrTb"/>
            <w:noWrap w:val="false"/>
          </w:tcPr>
          <w:p>
            <w:pPr>
              <w:pStyle w:val="887"/>
              <w:pBdr/>
              <w:spacing w:line="360" w:lineRule="auto"/>
              <w:ind/>
              <w:rPr>
                <w:rFonts w:ascii="Arial" w:hAnsi="Arial" w:cs="Arial"/>
              </w:rPr>
            </w:pPr>
            <w:r>
              <w:rPr>
                <w:rFonts w:ascii="Arial" w:hAnsi="Arial" w:eastAsia="Arial" w:cs="Arial"/>
              </w:rPr>
            </w:r>
            <w:r>
              <w:rPr>
                <w:rFonts w:ascii="Arial" w:hAnsi="Arial" w:cs="Arial"/>
              </w:rPr>
            </w:r>
            <w:r>
              <w:rPr>
                <w:rFonts w:ascii="Arial" w:hAnsi="Arial" w:cs="Arial"/>
              </w:rPr>
            </w:r>
          </w:p>
        </w:tc>
      </w:tr>
      <w:tr>
        <w:trPr/>
        <w:tc>
          <w:tcPr>
            <w:gridSpan w:val="5"/>
            <w:tcBorders>
              <w:top w:val="single" w:color="000000" w:sz="4" w:space="0"/>
              <w:left w:val="single" w:color="000000" w:sz="4" w:space="0"/>
              <w:bottom w:val="single" w:color="000000" w:sz="4" w:space="0"/>
              <w:right w:val="single" w:color="000000" w:sz="4" w:space="0"/>
            </w:tcBorders>
            <w:tcW w:w="5225" w:type="dxa"/>
            <w:textDirection w:val="lrTb"/>
            <w:noWrap w:val="false"/>
          </w:tcPr>
          <w:p>
            <w:pPr>
              <w:pStyle w:val="887"/>
              <w:pBdr/>
              <w:spacing w:line="360" w:lineRule="auto"/>
              <w:ind/>
              <w:rPr>
                <w:rFonts w:ascii="Arial" w:hAnsi="Arial" w:cs="Arial"/>
              </w:rPr>
            </w:pPr>
            <w:r>
              <w:rPr>
                <w:rFonts w:ascii="Arial" w:hAnsi="Arial" w:eastAsia="Arial" w:cs="Arial"/>
              </w:rPr>
            </w:r>
            <w:r>
              <w:rPr>
                <w:rFonts w:ascii="Arial" w:hAnsi="Arial" w:cs="Arial"/>
              </w:rPr>
            </w:r>
            <w:r>
              <w:rPr>
                <w:rFonts w:ascii="Arial" w:hAnsi="Arial" w:cs="Arial"/>
              </w:rPr>
            </w:r>
          </w:p>
        </w:tc>
        <w:tc>
          <w:tcPr>
            <w:gridSpan w:val="4"/>
            <w:tcBorders>
              <w:top w:val="single" w:color="000000" w:sz="4" w:space="0"/>
              <w:left w:val="single" w:color="000000" w:sz="4" w:space="0"/>
              <w:bottom w:val="single" w:color="000000" w:sz="4" w:space="0"/>
              <w:right w:val="single" w:color="000000" w:sz="4" w:space="0"/>
            </w:tcBorders>
            <w:tcW w:w="2470" w:type="dxa"/>
            <w:textDirection w:val="lrTb"/>
            <w:noWrap w:val="false"/>
          </w:tcPr>
          <w:p>
            <w:pPr>
              <w:pStyle w:val="887"/>
              <w:pBdr/>
              <w:spacing w:line="360" w:lineRule="auto"/>
              <w:ind/>
              <w:rPr>
                <w:rFonts w:ascii="Arial" w:hAnsi="Arial" w:cs="Arial"/>
              </w:rPr>
            </w:pPr>
            <w:r>
              <w:rPr>
                <w:rFonts w:ascii="Arial" w:hAnsi="Arial" w:eastAsia="Arial" w:cs="Arial"/>
              </w:rPr>
            </w:r>
            <w:r>
              <w:rPr>
                <w:rFonts w:ascii="Arial" w:hAnsi="Arial" w:cs="Arial"/>
              </w:rPr>
            </w:r>
            <w:r>
              <w:rPr>
                <w:rFonts w:ascii="Arial" w:hAnsi="Arial" w:cs="Arial"/>
              </w:rPr>
            </w:r>
          </w:p>
        </w:tc>
        <w:tc>
          <w:tcPr>
            <w:tcBorders>
              <w:top w:val="single" w:color="000000" w:sz="4" w:space="0"/>
              <w:left w:val="single" w:color="000000" w:sz="4" w:space="0"/>
              <w:bottom w:val="single" w:color="000000" w:sz="4" w:space="0"/>
              <w:right w:val="single" w:color="000000" w:sz="4" w:space="0"/>
            </w:tcBorders>
            <w:tcW w:w="2228" w:type="dxa"/>
            <w:textDirection w:val="lrTb"/>
            <w:noWrap w:val="false"/>
          </w:tcPr>
          <w:p>
            <w:pPr>
              <w:pStyle w:val="887"/>
              <w:pBdr/>
              <w:spacing w:line="360" w:lineRule="auto"/>
              <w:ind/>
              <w:rPr>
                <w:rFonts w:ascii="Arial" w:hAnsi="Arial" w:cs="Arial"/>
              </w:rPr>
            </w:pPr>
            <w:r>
              <w:rPr>
                <w:rFonts w:ascii="Arial" w:hAnsi="Arial" w:eastAsia="Arial" w:cs="Arial"/>
              </w:rPr>
            </w:r>
            <w:r>
              <w:rPr>
                <w:rFonts w:ascii="Arial" w:hAnsi="Arial" w:cs="Arial"/>
              </w:rPr>
            </w:r>
            <w:r>
              <w:rPr>
                <w:rFonts w:ascii="Arial" w:hAnsi="Arial" w:cs="Arial"/>
              </w:rPr>
            </w:r>
          </w:p>
        </w:tc>
      </w:tr>
      <w:tr>
        <w:trPr/>
        <w:tc>
          <w:tcPr>
            <w:gridSpan w:val="5"/>
            <w:tcBorders>
              <w:top w:val="single" w:color="000000" w:sz="4" w:space="0"/>
              <w:left w:val="single" w:color="000000" w:sz="4" w:space="0"/>
              <w:bottom w:val="single" w:color="000000" w:sz="4" w:space="0"/>
              <w:right w:val="single" w:color="000000" w:sz="4" w:space="0"/>
            </w:tcBorders>
            <w:tcW w:w="5225" w:type="dxa"/>
            <w:textDirection w:val="lrTb"/>
            <w:noWrap w:val="false"/>
          </w:tcPr>
          <w:p>
            <w:pPr>
              <w:pStyle w:val="887"/>
              <w:pBdr/>
              <w:spacing w:line="360" w:lineRule="auto"/>
              <w:ind/>
              <w:rPr>
                <w:rFonts w:ascii="Arial" w:hAnsi="Arial" w:cs="Arial"/>
              </w:rPr>
            </w:pPr>
            <w:r>
              <w:rPr>
                <w:rFonts w:ascii="Arial" w:hAnsi="Arial" w:eastAsia="Arial" w:cs="Arial"/>
              </w:rPr>
            </w:r>
            <w:r>
              <w:rPr>
                <w:rFonts w:ascii="Arial" w:hAnsi="Arial" w:cs="Arial"/>
              </w:rPr>
            </w:r>
            <w:r>
              <w:rPr>
                <w:rFonts w:ascii="Arial" w:hAnsi="Arial" w:cs="Arial"/>
              </w:rPr>
            </w:r>
          </w:p>
        </w:tc>
        <w:tc>
          <w:tcPr>
            <w:gridSpan w:val="4"/>
            <w:tcBorders>
              <w:top w:val="single" w:color="000000" w:sz="4" w:space="0"/>
              <w:left w:val="single" w:color="000000" w:sz="4" w:space="0"/>
              <w:bottom w:val="single" w:color="000000" w:sz="4" w:space="0"/>
              <w:right w:val="single" w:color="000000" w:sz="4" w:space="0"/>
            </w:tcBorders>
            <w:tcW w:w="2470" w:type="dxa"/>
            <w:textDirection w:val="lrTb"/>
            <w:noWrap w:val="false"/>
          </w:tcPr>
          <w:p>
            <w:pPr>
              <w:pStyle w:val="887"/>
              <w:pBdr/>
              <w:spacing w:line="360" w:lineRule="auto"/>
              <w:ind/>
              <w:rPr>
                <w:rFonts w:ascii="Arial" w:hAnsi="Arial" w:cs="Arial"/>
              </w:rPr>
            </w:pPr>
            <w:r>
              <w:rPr>
                <w:rFonts w:ascii="Arial" w:hAnsi="Arial" w:eastAsia="Arial" w:cs="Arial"/>
              </w:rPr>
            </w:r>
            <w:r>
              <w:rPr>
                <w:rFonts w:ascii="Arial" w:hAnsi="Arial" w:cs="Arial"/>
              </w:rPr>
            </w:r>
            <w:r>
              <w:rPr>
                <w:rFonts w:ascii="Arial" w:hAnsi="Arial" w:cs="Arial"/>
              </w:rPr>
            </w:r>
          </w:p>
        </w:tc>
        <w:tc>
          <w:tcPr>
            <w:tcBorders>
              <w:top w:val="single" w:color="000000" w:sz="4" w:space="0"/>
              <w:left w:val="single" w:color="000000" w:sz="4" w:space="0"/>
              <w:bottom w:val="single" w:color="000000" w:sz="4" w:space="0"/>
              <w:right w:val="single" w:color="000000" w:sz="4" w:space="0"/>
            </w:tcBorders>
            <w:tcW w:w="2228" w:type="dxa"/>
            <w:textDirection w:val="lrTb"/>
            <w:noWrap w:val="false"/>
          </w:tcPr>
          <w:p>
            <w:pPr>
              <w:pStyle w:val="887"/>
              <w:pBdr/>
              <w:spacing w:line="360" w:lineRule="auto"/>
              <w:ind/>
              <w:rPr>
                <w:rFonts w:ascii="Arial" w:hAnsi="Arial" w:cs="Arial"/>
              </w:rPr>
            </w:pPr>
            <w:r>
              <w:rPr>
                <w:rFonts w:ascii="Arial" w:hAnsi="Arial" w:eastAsia="Arial" w:cs="Arial"/>
              </w:rPr>
            </w:r>
            <w:r>
              <w:rPr>
                <w:rFonts w:ascii="Arial" w:hAnsi="Arial" w:cs="Arial"/>
              </w:rPr>
            </w:r>
            <w:r>
              <w:rPr>
                <w:rFonts w:ascii="Arial" w:hAnsi="Arial" w:cs="Arial"/>
              </w:rPr>
            </w:r>
          </w:p>
        </w:tc>
      </w:tr>
      <w:tr>
        <w:trPr>
          <w:trHeight w:val="383"/>
        </w:trPr>
        <w:tc>
          <w:tcPr>
            <w:gridSpan w:val="10"/>
            <w:tcBorders>
              <w:top w:val="single" w:color="000000" w:sz="4" w:space="0"/>
              <w:left w:val="single" w:color="000000" w:sz="4" w:space="0"/>
              <w:bottom w:val="single" w:color="000000" w:sz="4" w:space="0"/>
              <w:right w:val="single" w:color="000000" w:sz="4" w:space="0"/>
            </w:tcBorders>
            <w:tcW w:w="9923" w:type="dxa"/>
            <w:vAlign w:val="bottom"/>
            <w:textDirection w:val="lrTb"/>
            <w:noWrap w:val="false"/>
          </w:tcPr>
          <w:p>
            <w:pPr>
              <w:pStyle w:val="887"/>
              <w:pBdr/>
              <w:spacing/>
              <w:ind/>
              <w:rPr>
                <w:rFonts w:ascii="Arial" w:hAnsi="Arial" w:cs="Arial"/>
              </w:rPr>
            </w:pPr>
            <w:r>
              <w:rPr>
                <w:rFonts w:ascii="Arial" w:hAnsi="Arial" w:eastAsia="Arial" w:cs="Arial"/>
              </w:rPr>
              <w:t xml:space="preserve">DATA DE REGISTRO DA EMPRESA NA JUNTA COMERCIAL: ____/____/______</w:t>
            </w:r>
            <w:r>
              <w:rPr>
                <w:rFonts w:ascii="Arial" w:hAnsi="Arial" w:cs="Arial"/>
              </w:rPr>
            </w:r>
            <w:r>
              <w:rPr>
                <w:rFonts w:ascii="Arial" w:hAnsi="Arial" w:cs="Arial"/>
              </w:rPr>
            </w:r>
          </w:p>
        </w:tc>
      </w:tr>
      <w:tr>
        <w:trPr>
          <w:trHeight w:val="417"/>
        </w:trPr>
        <w:tc>
          <w:tcPr>
            <w:gridSpan w:val="2"/>
            <w:tcBorders>
              <w:top w:val="single" w:color="000000" w:sz="4" w:space="0"/>
              <w:left w:val="single" w:color="000000" w:sz="4" w:space="0"/>
              <w:bottom w:val="single" w:color="000000" w:sz="4" w:space="0"/>
              <w:right w:val="single" w:color="000000" w:sz="4" w:space="0"/>
            </w:tcBorders>
            <w:tcW w:w="3406" w:type="dxa"/>
            <w:vAlign w:val="bottom"/>
            <w:textDirection w:val="lrTb"/>
            <w:noWrap w:val="false"/>
          </w:tcPr>
          <w:p>
            <w:pPr>
              <w:pStyle w:val="887"/>
              <w:pBdr/>
              <w:spacing/>
              <w:ind/>
              <w:rPr>
                <w:rFonts w:ascii="Arial" w:hAnsi="Arial" w:cs="Arial"/>
              </w:rPr>
            </w:pPr>
            <w:r>
              <w:rPr>
                <w:rFonts w:ascii="Arial" w:hAnsi="Arial" w:eastAsia="Arial" w:cs="Arial"/>
              </w:rPr>
              <w:t xml:space="preserve">CONTA CORRENTE Nº:</w:t>
            </w:r>
            <w:r>
              <w:rPr>
                <w:rFonts w:ascii="Arial" w:hAnsi="Arial" w:cs="Arial"/>
              </w:rPr>
            </w:r>
            <w:r>
              <w:rPr>
                <w:rFonts w:ascii="Arial" w:hAnsi="Arial" w:cs="Arial"/>
              </w:rPr>
            </w:r>
          </w:p>
        </w:tc>
        <w:tc>
          <w:tcPr>
            <w:gridSpan w:val="6"/>
            <w:tcBorders>
              <w:top w:val="single" w:color="000000" w:sz="4" w:space="0"/>
              <w:left w:val="single" w:color="000000" w:sz="4" w:space="0"/>
              <w:bottom w:val="single" w:color="000000" w:sz="4" w:space="0"/>
              <w:right w:val="single" w:color="000000" w:sz="4" w:space="0"/>
            </w:tcBorders>
            <w:tcW w:w="4244" w:type="dxa"/>
            <w:vAlign w:val="bottom"/>
            <w:textDirection w:val="lrTb"/>
            <w:noWrap w:val="false"/>
          </w:tcPr>
          <w:p>
            <w:pPr>
              <w:pStyle w:val="887"/>
              <w:pBdr/>
              <w:spacing/>
              <w:ind/>
              <w:rPr>
                <w:rFonts w:ascii="Arial" w:hAnsi="Arial" w:cs="Arial"/>
              </w:rPr>
            </w:pPr>
            <w:r>
              <w:rPr>
                <w:rFonts w:ascii="Arial" w:hAnsi="Arial" w:eastAsia="Arial" w:cs="Arial"/>
              </w:rPr>
              <w:t xml:space="preserve">NOME DO BANCO:</w:t>
            </w:r>
            <w:r>
              <w:rPr>
                <w:rFonts w:ascii="Arial" w:hAnsi="Arial" w:cs="Arial"/>
              </w:rPr>
            </w:r>
            <w:r>
              <w:rPr>
                <w:rFonts w:ascii="Arial" w:hAnsi="Arial" w:cs="Arial"/>
              </w:rPr>
            </w:r>
          </w:p>
        </w:tc>
        <w:tc>
          <w:tcPr>
            <w:gridSpan w:val="2"/>
            <w:tcBorders>
              <w:top w:val="single" w:color="000000" w:sz="4" w:space="0"/>
              <w:left w:val="single" w:color="000000" w:sz="4" w:space="0"/>
              <w:bottom w:val="single" w:color="000000" w:sz="4" w:space="0"/>
              <w:right w:val="single" w:color="000000" w:sz="4" w:space="0"/>
            </w:tcBorders>
            <w:tcW w:w="2273" w:type="dxa"/>
            <w:vAlign w:val="bottom"/>
            <w:textDirection w:val="lrTb"/>
            <w:noWrap w:val="false"/>
          </w:tcPr>
          <w:p>
            <w:pPr>
              <w:pStyle w:val="887"/>
              <w:pBdr/>
              <w:spacing/>
              <w:ind/>
              <w:rPr>
                <w:rFonts w:ascii="Arial" w:hAnsi="Arial" w:cs="Arial"/>
              </w:rPr>
            </w:pPr>
            <w:r>
              <w:rPr>
                <w:rFonts w:ascii="Arial" w:hAnsi="Arial" w:eastAsia="Arial" w:cs="Arial"/>
              </w:rPr>
              <w:t xml:space="preserve">AGENCIA Nº:</w:t>
            </w:r>
            <w:r>
              <w:rPr>
                <w:rFonts w:ascii="Arial" w:hAnsi="Arial" w:cs="Arial"/>
              </w:rPr>
            </w:r>
            <w:r>
              <w:rPr>
                <w:rFonts w:ascii="Arial" w:hAnsi="Arial" w:cs="Arial"/>
              </w:rPr>
            </w:r>
          </w:p>
        </w:tc>
      </w:tr>
    </w:tbl>
    <w:p>
      <w:pPr>
        <w:pStyle w:val="887"/>
        <w:pBdr/>
        <w:spacing w:line="360" w:lineRule="auto"/>
        <w:ind/>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center"/>
        <w:rPr>
          <w:rFonts w:ascii="Arial" w:hAnsi="Arial" w:cs="Arial"/>
        </w:rPr>
      </w:pPr>
      <w:r>
        <w:rPr>
          <w:rFonts w:ascii="Arial" w:hAnsi="Arial" w:eastAsia="Arial" w:cs="Arial"/>
        </w:rPr>
        <w:t xml:space="preserve">AUTORIZAÇÃO</w:t>
      </w:r>
      <w:r>
        <w:rPr>
          <w:rFonts w:ascii="Arial" w:hAnsi="Arial" w:cs="Arial"/>
        </w:rPr>
      </w:r>
      <w:r>
        <w:rPr>
          <w:rFonts w:ascii="Arial" w:hAnsi="Arial" w:cs="Arial"/>
        </w:rPr>
      </w:r>
    </w:p>
    <w:p>
      <w:pPr>
        <w:pStyle w:val="887"/>
        <w:pBdr/>
        <w:spacing/>
        <w:ind/>
        <w:jc w:val="center"/>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t xml:space="preserve">Autorizo o depósito na conta corrente acima especificada, dos valores de vendas e ou serviços a serem oferecidos para Prefeitura Municipal de Rondonópolis.</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spacing/>
        <w:ind/>
        <w:jc w:val="center"/>
        <w:rPr>
          <w:rFonts w:ascii="Arial" w:hAnsi="Arial" w:cs="Arial"/>
        </w:rPr>
      </w:pPr>
      <w:r>
        <w:rPr>
          <w:rFonts w:ascii="Arial" w:hAnsi="Arial" w:eastAsia="Arial" w:cs="Arial"/>
        </w:rPr>
        <w:t xml:space="preserve">____________________________________________</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t xml:space="preserve">                                                                </w:t>
      </w:r>
      <w:r>
        <w:rPr>
          <w:rFonts w:ascii="Arial" w:hAnsi="Arial" w:eastAsia="Arial" w:cs="Arial"/>
        </w:rPr>
        <w:t xml:space="preserve">Sócio/Proprietário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r>
      <w:r>
        <w:rPr>
          <w:rFonts w:ascii="Arial" w:hAnsi="Arial" w:cs="Arial"/>
        </w:rPr>
      </w:r>
      <w:r>
        <w:rPr>
          <w:rFonts w:ascii="Arial" w:hAnsi="Arial" w:cs="Arial"/>
        </w:rPr>
      </w:r>
    </w:p>
    <w:p>
      <w:pPr>
        <w:pStyle w:val="887"/>
        <w:pBdr/>
        <w:tabs>
          <w:tab w:val="clear" w:leader="none" w:pos="708"/>
          <w:tab w:val="left" w:leader="none" w:pos="8190"/>
        </w:tabs>
        <w:spacing w:line="276" w:lineRule="auto"/>
        <w:ind/>
        <w:jc w:val="both"/>
        <w:rPr>
          <w:rFonts w:ascii="Arial" w:hAnsi="Arial" w:cs="Arial"/>
        </w:rPr>
      </w:pPr>
      <w:r>
        <w:rPr>
          <w:rFonts w:ascii="Arial" w:hAnsi="Arial" w:eastAsia="Arial" w:cs="Arial"/>
        </w:rPr>
        <w:t xml:space="preserve">01 – CONTRATO SOCIAL CONSTANDO O OBJETO E A ÚLTIMA ALTERAÇÃO;</w:t>
        <w:tab/>
      </w:r>
      <w:r>
        <w:rPr>
          <w:rFonts w:ascii="Arial" w:hAnsi="Arial" w:cs="Arial"/>
        </w:rPr>
      </w:r>
      <w:r>
        <w:rPr>
          <w:rFonts w:ascii="Arial" w:hAnsi="Arial" w:cs="Arial"/>
        </w:rPr>
      </w:r>
    </w:p>
    <w:p>
      <w:pPr>
        <w:pStyle w:val="887"/>
        <w:pBdr/>
        <w:spacing w:line="276" w:lineRule="auto"/>
        <w:ind/>
        <w:jc w:val="both"/>
        <w:rPr>
          <w:rFonts w:ascii="Arial" w:hAnsi="Arial" w:cs="Arial"/>
        </w:rPr>
      </w:pPr>
      <w:r>
        <w:rPr>
          <w:rFonts w:ascii="Arial" w:hAnsi="Arial" w:eastAsia="Arial" w:cs="Arial"/>
        </w:rPr>
        <w:t xml:space="preserve">02 – ALVARÁ DE LOCALIZAÇÃO EM VIGÊNCIA;</w:t>
      </w:r>
      <w:r>
        <w:rPr>
          <w:rFonts w:ascii="Arial" w:hAnsi="Arial" w:cs="Arial"/>
        </w:rPr>
      </w:r>
      <w:r>
        <w:rPr>
          <w:rFonts w:ascii="Arial" w:hAnsi="Arial" w:cs="Arial"/>
        </w:rPr>
      </w:r>
    </w:p>
    <w:p>
      <w:pPr>
        <w:pStyle w:val="887"/>
        <w:pBdr/>
        <w:spacing w:line="276" w:lineRule="auto"/>
        <w:ind/>
        <w:jc w:val="both"/>
        <w:rPr>
          <w:rFonts w:ascii="Arial" w:hAnsi="Arial" w:cs="Arial"/>
        </w:rPr>
      </w:pPr>
      <w:r>
        <w:rPr>
          <w:rFonts w:ascii="Arial" w:hAnsi="Arial" w:eastAsia="Arial" w:cs="Arial"/>
        </w:rPr>
        <w:t xml:space="preserve">03 – CARTÃO DO CNPJ; </w:t>
      </w:r>
      <w:r>
        <w:rPr>
          <w:rFonts w:ascii="Arial" w:hAnsi="Arial" w:cs="Arial"/>
        </w:rPr>
      </w:r>
      <w:r>
        <w:rPr>
          <w:rFonts w:ascii="Arial" w:hAnsi="Arial" w:cs="Arial"/>
        </w:rPr>
      </w:r>
    </w:p>
    <w:p>
      <w:pPr>
        <w:pStyle w:val="887"/>
        <w:pBdr/>
        <w:spacing w:line="276" w:lineRule="auto"/>
        <w:ind/>
        <w:jc w:val="both"/>
        <w:rPr>
          <w:rFonts w:ascii="Arial" w:hAnsi="Arial" w:cs="Arial"/>
        </w:rPr>
      </w:pPr>
      <w:r>
        <w:rPr>
          <w:rFonts w:ascii="Arial" w:hAnsi="Arial" w:eastAsia="Arial" w:cs="Arial"/>
        </w:rPr>
        <w:t xml:space="preserve">04 – CARTÃO DE INSCRIÇÃO ESTADUAL;</w:t>
      </w:r>
      <w:r>
        <w:rPr>
          <w:rFonts w:ascii="Arial" w:hAnsi="Arial" w:cs="Arial"/>
        </w:rPr>
      </w:r>
      <w:r>
        <w:rPr>
          <w:rFonts w:ascii="Arial" w:hAnsi="Arial" w:cs="Arial"/>
        </w:rPr>
      </w:r>
    </w:p>
    <w:p>
      <w:pPr>
        <w:pStyle w:val="887"/>
        <w:pBdr/>
        <w:spacing w:line="276" w:lineRule="auto"/>
        <w:ind/>
        <w:jc w:val="both"/>
        <w:rPr>
          <w:rFonts w:ascii="Arial" w:hAnsi="Arial" w:cs="Arial"/>
        </w:rPr>
      </w:pPr>
      <w:r>
        <w:rPr>
          <w:rFonts w:ascii="Arial" w:hAnsi="Arial" w:eastAsia="Arial" w:cs="Arial"/>
        </w:rPr>
        <w:t xml:space="preserve">05 – DOCUMENTOS PESSOAIS DOS SÓCIOS</w:t>
      </w:r>
      <w:r>
        <w:rPr>
          <w:rFonts w:ascii="Arial" w:hAnsi="Arial" w:cs="Arial"/>
        </w:rPr>
      </w:r>
      <w:r>
        <w:rPr>
          <w:rFonts w:ascii="Arial" w:hAnsi="Arial" w:cs="Arial"/>
        </w:rPr>
      </w:r>
    </w:p>
    <w:p>
      <w:pPr>
        <w:pStyle w:val="887"/>
        <w:pBdr/>
        <w:spacing w:line="276" w:lineRule="auto"/>
        <w:ind/>
        <w:jc w:val="both"/>
        <w:rPr>
          <w:rFonts w:ascii="Arial" w:hAnsi="Arial" w:cs="Arial"/>
        </w:rPr>
      </w:pPr>
      <w:r>
        <w:rPr>
          <w:rFonts w:ascii="Arial" w:hAnsi="Arial" w:eastAsia="Arial" w:cs="Arial"/>
        </w:rPr>
        <w:t xml:space="preserve">06 – DOCUMENTO QUE COMPROVE OS DADOS BANCÁRIOS (EX. CARTÃO ELETRÔNICO).</w:t>
      </w:r>
      <w:r>
        <w:rPr>
          <w:rFonts w:ascii="Arial" w:hAnsi="Arial" w:cs="Arial"/>
        </w:rPr>
      </w:r>
      <w:r>
        <w:rPr>
          <w:rFonts w:ascii="Arial" w:hAnsi="Arial" w:cs="Arial"/>
        </w:rPr>
      </w:r>
    </w:p>
    <w:p>
      <w:pPr>
        <w:pStyle w:val="887"/>
        <w:pBdr/>
        <w:spacing/>
        <w:ind/>
        <w:jc w:val="both"/>
        <w:rPr>
          <w:rFonts w:ascii="Arial" w:hAnsi="Arial" w:cs="Arial"/>
        </w:rPr>
      </w:pPr>
      <w:r>
        <w:rPr>
          <w:rFonts w:ascii="Arial" w:hAnsi="Arial" w:eastAsia="Arial" w:cs="Arial"/>
        </w:rPr>
        <w:t xml:space="preserve">Observação: As cópias dos documentos solicitados não serão devolvidas, pois as mesmas serão arquivadas, no Departamento de Compras.</w:t>
      </w:r>
      <w:r>
        <w:rPr>
          <w:rFonts w:ascii="Arial" w:hAnsi="Arial" w:cs="Arial"/>
        </w:rPr>
      </w:r>
      <w:r>
        <w:rPr>
          <w:rFonts w:ascii="Arial" w:hAnsi="Arial" w:cs="Arial"/>
        </w:rPr>
      </w:r>
    </w:p>
    <w:sectPr>
      <w:headerReference w:type="default" r:id="rId9"/>
      <w:footerReference w:type="default" r:id="rId10"/>
      <w:footnotePr/>
      <w:endnotePr/>
      <w:type w:val="nextPage"/>
      <w:pgSz w:h="16838" w:orient="portrait" w:w="11906"/>
      <w:pgMar w:top="777" w:right="709" w:bottom="777" w:left="1134" w:header="720" w:footer="720" w:gutter="0"/>
      <w:pgNumType w:start="1"/>
      <w:cols w:num="1" w:sep="0" w:space="1701"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font>
  <w:font w:name="Noto Sans">
    <w:panose1 w:val="05040102010807070707"/>
  </w:font>
  <w:font w:name="TimesNewRoman">
    <w:panose1 w:val="02020603050405020304"/>
  </w:font>
  <w:font w:name="Consolas">
    <w:panose1 w:val="020B0609020204030204"/>
  </w:font>
  <w:font w:name="Ottawa">
    <w:panose1 w:val="05040102010807070707"/>
  </w:font>
  <w:font w:name="Helvetica">
    <w:panose1 w:val="020B0604020202020204"/>
  </w:font>
  <w:font w:name="SimSun">
    <w:panose1 w:val="02010600030101010101"/>
  </w:font>
  <w:font w:name="Liberation Sans">
    <w:panose1 w:val="020B0604020202020204"/>
  </w:font>
  <w:font w:name="Liberation Serif">
    <w:panose1 w:val="02020603050405020304"/>
  </w:font>
  <w:font w:name="MS Gothic">
    <w:panose1 w:val="020B0609070205080204"/>
  </w:font>
  <w:font w:name="Calibri">
    <w:panose1 w:val="020F0502020204030204"/>
  </w:font>
  <w:font w:name="Tahoma">
    <w:panose1 w:val="020B0604030504040204"/>
  </w:font>
  <w:font w:name="MS Mincho">
    <w:panose1 w:val="02020503050405090304"/>
  </w:font>
  <w:font w:name="Segoe UI">
    <w:panose1 w:val="020B0502040204020203"/>
  </w:font>
  <w:font w:name="Ecofont_Spranq_eco_Sans">
    <w:panose1 w:val="05040102010807070707"/>
  </w:font>
  <w:font w:name="Courier New">
    <w:panose1 w:val="02070309020205020404"/>
  </w:font>
  <w:font w:name="OpenSymbol">
    <w:panose1 w:val="05010000000000000000"/>
  </w:font>
  <w:font w:name="Mangal">
    <w:panose1 w:val="02040503050406030204"/>
  </w:font>
  <w:font w:name="Symbol">
    <w:panose1 w:val="05050102010706020507"/>
  </w:font>
  <w:font w:name="NSimSun">
    <w:panose1 w:val="02010609030101010101"/>
  </w:font>
  <w:font w:name="Arial">
    <w:panose1 w:val="020B0604020202020204"/>
  </w:font>
  <w:font w:name="Times New Roman">
    <w:panose1 w:val="02020603050405020304"/>
  </w:font>
  <w:font w:name="Microsoft YaHei">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43"/>
      <w:pBdr>
        <w:top w:val="single" w:color="000000" w:sz="12" w:space="1"/>
      </w:pBdr>
      <w:spacing/>
      <w:ind/>
      <w:jc w:val="center"/>
      <w:rPr>
        <w:lang w:val="pt-BR"/>
      </w:rPr>
    </w:pPr>
    <w:r>
      <mc:AlternateContent>
        <mc:Choice Requires="wpg">
          <w:drawing>
            <wp:anchor xmlns:wp="http://schemas.openxmlformats.org/drawingml/2006/wordprocessingDrawing" xmlns:wp14="http://schemas.microsoft.com/office/word/2010/wordprocessingDrawing" distT="0" distB="0" distL="0" distR="0" simplePos="0" relativeHeight="188" behindDoc="1" locked="0" layoutInCell="0" allowOverlap="1">
              <wp:simplePos x="0" y="0"/>
              <wp:positionH relativeFrom="margin">
                <wp:posOffset>5963920</wp:posOffset>
              </wp:positionH>
              <wp:positionV relativeFrom="paragraph">
                <wp:posOffset>126365</wp:posOffset>
              </wp:positionV>
              <wp:extent cx="508635" cy="191770"/>
              <wp:effectExtent l="0" t="0" r="0" b="0"/>
              <wp:wrapNone/>
              <wp:docPr id="2" name="_x005F_x0000_s2049"/>
              <wp:cNvGraphicFramePr/>
              <a:graphic xmlns:a="http://schemas.openxmlformats.org/drawingml/2006/main">
                <a:graphicData uri="http://schemas.microsoft.com/office/word/2010/wordprocessingShape">
                  <wps:wsp>
                    <wps:cNvPr id="0" name=""/>
                    <wps:cNvSpPr/>
                    <wps:spPr bwMode="auto">
                      <a:xfrm>
                        <a:off x="0" y="0"/>
                        <a:ext cx="508680" cy="191880"/>
                      </a:xfrm>
                      <a:prstGeom prst="rect">
                        <a:avLst/>
                      </a:prstGeom>
                      <a:noFill/>
                      <a:ln w="0">
                        <a:noFill/>
                      </a:ln>
                    </wps:spPr>
                    <wps:style>
                      <a:lnRef idx="0"/>
                      <a:fillRef idx="0"/>
                      <a:effectRef idx="0"/>
                      <a:fontRef idx="minor"/>
                    </wps:style>
                    <wps:txbx>
                      <w:txbxContent>
                        <w:p>
                          <w:pPr>
                            <w:pStyle w:val="2043"/>
                            <w:pBdr/>
                            <w:spacing/>
                            <w:ind/>
                            <w:jc w:val="center"/>
                            <w:rPr>
                              <w:rFonts w:ascii="SimSun" w:hAnsi="SimSun" w:eastAsia="SimSun" w:cs="SimSun"/>
                            </w:rPr>
                          </w:pPr>
                          <w:r>
                            <w:fldChar w:fldCharType="begin"/>
                          </w:r>
                          <w:r>
                            <w:instrText xml:space="preserve"> PAGE \* ARABIC </w:instrText>
                          </w:r>
                          <w:r>
                            <w:fldChar w:fldCharType="separate"/>
                          </w:r>
                          <w:r>
                            <w:t xml:space="preserve">2</w:t>
                          </w:r>
                          <w:r>
                            <w:fldChar w:fldCharType="end"/>
                          </w:r>
                          <w:r>
                            <w:rPr>
                              <w:rFonts w:ascii="Arial" w:hAnsi="Arial" w:eastAsia="Arial" w:cs="Arial"/>
                              <w:b/>
                              <w:bCs/>
                            </w:rPr>
                            <w:t xml:space="preserve"> </w:t>
                          </w:r>
                          <w:r>
                            <w:rPr>
                              <w:rFonts w:ascii="Arial" w:hAnsi="Arial" w:eastAsia="Arial" w:cs="Arial"/>
                              <w:b/>
                              <w:bCs/>
                            </w:rPr>
                            <w:t xml:space="preserve">de </w:t>
                          </w:r>
                          <w:r>
                            <w:rPr>
                              <w:rFonts w:ascii="Arial" w:hAnsi="Arial" w:eastAsia="Arial" w:cs="Arial"/>
                              <w:b/>
                              <w:bCs/>
                              <w:lang w:val="pt-BR"/>
                            </w:rPr>
                            <w:t xml:space="preserve">9</w:t>
                          </w:r>
                          <w:r>
                            <w:rPr>
                              <w:rFonts w:ascii="Arial" w:hAnsi="Arial" w:eastAsia="Arial" w:cs="Arial"/>
                              <w:b/>
                              <w:bCs/>
                              <w:lang w:val="pt-BR"/>
                            </w:rPr>
                            <w:t xml:space="preserve">3</w:t>
                          </w:r>
                          <w:r>
                            <w:rPr>
                              <w:rFonts w:ascii="SimSun" w:hAnsi="SimSun" w:eastAsia="SimSun" w:cs="SimSun"/>
                            </w:rPr>
                          </w:r>
                          <w:r>
                            <w:rPr>
                              <w:rFonts w:ascii="SimSun" w:hAnsi="SimSun" w:eastAsia="SimSun" w:cs="SimSun"/>
                            </w:rPr>
                          </w:r>
                        </w:p>
                        <w:p>
                          <w:pPr>
                            <w:pStyle w:val="2043"/>
                            <w:pBdr/>
                            <w:spacing/>
                            <w:ind/>
                            <w:jc w:val="right"/>
                            <w:rPr/>
                          </w:pPr>
                          <w:r/>
                          <w:r/>
                        </w:p>
                      </w:txbxContent>
                    </wps:txbx>
                    <wps:bodyPr lIns="720" tIns="720" rIns="720" bIns="720" anchor="t" upright="1">
                      <a:noAutofit/>
                    </wps:bodyPr>
                  </wps:wsp>
                </a:graphicData>
              </a:graphic>
            </wp:anchor>
          </w:drawing>
        </mc:Choice>
        <mc:Fallback>
          <w:pict>
            <v:shape id="shape 1" o:spid="_x0000_s1" o:spt="1" type="#_x0000_t1" style="position:absolute;z-index:-188;o:allowoverlap:true;o:allowincell:false;mso-position-horizontal-relative:margin;margin-left:469.60pt;mso-position-horizontal:absolute;mso-position-vertical-relative:text;margin-top:9.95pt;mso-position-vertical:absolute;width:40.05pt;height:15.10pt;mso-wrap-distance-left:0.00pt;mso-wrap-distance-top:0.00pt;mso-wrap-distance-right:0.00pt;mso-wrap-distance-bottom:0.00pt;v-text-anchor:top;visibility:visible;" filled="f" stroked="f" strokeweight="0.00pt">
              <v:textbox inset="0,0,0,0">
                <w:txbxContent>
                  <w:p>
                    <w:pPr>
                      <w:pStyle w:val="2043"/>
                      <w:pBdr/>
                      <w:spacing/>
                      <w:ind/>
                      <w:jc w:val="center"/>
                      <w:rPr>
                        <w:rFonts w:ascii="SimSun" w:hAnsi="SimSun" w:eastAsia="SimSun" w:cs="SimSun"/>
                      </w:rPr>
                    </w:pPr>
                    <w:r>
                      <w:fldChar w:fldCharType="begin"/>
                    </w:r>
                    <w:r>
                      <w:instrText xml:space="preserve"> PAGE \* ARABIC </w:instrText>
                    </w:r>
                    <w:r>
                      <w:fldChar w:fldCharType="separate"/>
                    </w:r>
                    <w:r>
                      <w:t xml:space="preserve">2</w:t>
                    </w:r>
                    <w:r>
                      <w:fldChar w:fldCharType="end"/>
                    </w:r>
                    <w:r>
                      <w:rPr>
                        <w:rFonts w:ascii="Arial" w:hAnsi="Arial" w:eastAsia="Arial" w:cs="Arial"/>
                        <w:b/>
                        <w:bCs/>
                      </w:rPr>
                      <w:t xml:space="preserve"> </w:t>
                    </w:r>
                    <w:r>
                      <w:rPr>
                        <w:rFonts w:ascii="Arial" w:hAnsi="Arial" w:eastAsia="Arial" w:cs="Arial"/>
                        <w:b/>
                        <w:bCs/>
                      </w:rPr>
                      <w:t xml:space="preserve">de </w:t>
                    </w:r>
                    <w:r>
                      <w:rPr>
                        <w:rFonts w:ascii="Arial" w:hAnsi="Arial" w:eastAsia="Arial" w:cs="Arial"/>
                        <w:b/>
                        <w:bCs/>
                        <w:lang w:val="pt-BR"/>
                      </w:rPr>
                      <w:t xml:space="preserve">9</w:t>
                    </w:r>
                    <w:r>
                      <w:rPr>
                        <w:rFonts w:ascii="Arial" w:hAnsi="Arial" w:eastAsia="Arial" w:cs="Arial"/>
                        <w:b/>
                        <w:bCs/>
                        <w:lang w:val="pt-BR"/>
                      </w:rPr>
                      <w:t xml:space="preserve">3</w:t>
                    </w:r>
                    <w:r>
                      <w:rPr>
                        <w:rFonts w:ascii="SimSun" w:hAnsi="SimSun" w:eastAsia="SimSun" w:cs="SimSun"/>
                      </w:rPr>
                    </w:r>
                    <w:r>
                      <w:rPr>
                        <w:rFonts w:ascii="SimSun" w:hAnsi="SimSun" w:eastAsia="SimSun" w:cs="SimSun"/>
                      </w:rPr>
                    </w:r>
                  </w:p>
                  <w:p>
                    <w:pPr>
                      <w:pStyle w:val="2043"/>
                      <w:pBdr/>
                      <w:spacing/>
                      <w:ind/>
                      <w:jc w:val="right"/>
                      <w:rPr/>
                    </w:pPr>
                    <w:r/>
                    <w:r/>
                  </w:p>
                </w:txbxContent>
              </v:textbox>
            </v:shape>
          </w:pict>
        </mc:Fallback>
      </mc:AlternateContent>
    </w:r>
    <w:r>
      <w:rPr>
        <w:rFonts w:ascii="Arial" w:hAnsi="Arial" w:cs="Arial"/>
        <w:b/>
        <w:sz w:val="16"/>
        <w:lang w:val="pt-BR"/>
      </w:rPr>
      <w:t xml:space="preserve">Av. Duque de Caxias, 1.000 – Vila Aurora – Fone (0**66) 3411-5741 – CEP 78.740-022 – Rondonópolis/MT</w:t>
    </w:r>
    <w:r>
      <w:rPr>
        <w:lang w:val="pt-BR"/>
      </w:rPr>
    </w:r>
    <w:r>
      <w:rPr>
        <w:lang w:val="pt-BR"/>
      </w:rPr>
    </w:r>
  </w:p>
  <w:p>
    <w:pPr>
      <w:pStyle w:val="2043"/>
      <w:pBdr/>
      <w:tabs>
        <w:tab w:val="center" w:leader="none" w:pos="4419"/>
        <w:tab w:val="center" w:leader="none" w:pos="4535"/>
        <w:tab w:val="right" w:leader="none" w:pos="8838"/>
        <w:tab w:val="right" w:leader="none" w:pos="9071"/>
      </w:tabs>
      <w:spacing/>
      <w:ind/>
      <w:rPr/>
    </w:pPr>
    <w:r>
      <w:rPr>
        <w:rFonts w:ascii="Arial" w:hAnsi="Arial" w:cs="Arial"/>
        <w:b/>
        <w:sz w:val="16"/>
        <w:lang w:val="pt-BR"/>
      </w:rPr>
      <w:tab/>
    </w:r>
    <w:r>
      <w:rPr>
        <w:rFonts w:ascii="Arial" w:hAnsi="Arial" w:cs="Arial"/>
        <w:b/>
        <w:sz w:val="16"/>
      </w:rPr>
      <w:t xml:space="preserve">Home Page: </w:t>
    </w:r>
    <w:hyperlink r:id="rId1" w:tooltip="http://www.rondonopolis.mt.gov.br/" w:history="1">
      <w:r>
        <w:rPr>
          <w:rStyle w:val="994"/>
          <w:rFonts w:ascii="Arial" w:hAnsi="Arial" w:cs="Arial"/>
          <w:b/>
          <w:sz w:val="16"/>
        </w:rPr>
        <w:t xml:space="preserve">www.rondonopolis.mt.gov.br</w:t>
      </w:r>
    </w:hyperlink>
    <w:r>
      <w:rPr>
        <w:rFonts w:ascii="Arial" w:hAnsi="Arial" w:cs="Arial"/>
        <w:b/>
        <w:sz w:val="16"/>
      </w:rPr>
      <w:t xml:space="preserve">       e-mail: pmrroo@hotmail.com</w:t>
      <w:tab/>
    </w:r>
    <w:r/>
  </w:p>
  <w:p>
    <w:pPr>
      <w:pStyle w:val="2043"/>
      <w:pBdr/>
      <w:spacing/>
      <w:ind/>
      <w:rPr/>
    </w:pPr>
    <w: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Ind w:w="-86" w:type="dxa"/>
      <w:tblW w:w="10454" w:type="dxa"/>
      <w:tblCellMar>
        <w:left w:w="108" w:type="dxa"/>
        <w:top w:w="0" w:type="dxa"/>
        <w:right w:w="108" w:type="dxa"/>
        <w:bottom w:w="0" w:type="dxa"/>
      </w:tblCellMar>
      <w:tblBorders/>
      <w:tblLayout w:type="fixed"/>
      <w:tblLook w:val="04A0" w:firstRow="1" w:lastRow="0" w:firstColumn="1" w:lastColumn="0" w:noHBand="0" w:noVBand="1"/>
    </w:tblPr>
    <w:tblGrid>
      <w:gridCol w:w="4346"/>
      <w:gridCol w:w="6107"/>
    </w:tblGrid>
    <w:tr>
      <w:trPr>
        <w:trHeight w:val="612"/>
      </w:trPr>
      <w:tc>
        <w:tcPr>
          <w:shd w:val="clear" w:color="ffffff" w:fill="ffffff"/>
          <w:tcBorders>
            <w:bottom w:val="single" w:color="000000" w:sz="4" w:space="0"/>
          </w:tcBorders>
          <w:tcW w:w="4346" w:type="dxa"/>
          <w:vAlign w:val="center"/>
          <w:textDirection w:val="lrTb"/>
          <w:noWrap w:val="false"/>
        </w:tcPr>
        <w:p>
          <w:pPr>
            <w:pStyle w:val="2331"/>
            <w:pBdr/>
            <w:tabs>
              <w:tab w:val="center" w:leader="none" w:pos="4419"/>
              <w:tab w:val="right" w:leader="none" w:pos="8838"/>
              <w:tab w:val="right" w:leader="none" w:pos="9360"/>
            </w:tabs>
            <w:spacing/>
            <w:ind w:left="-283"/>
            <w:jc w:val="center"/>
            <w:rPr>
              <w:rFonts w:ascii="Helvetica" w:hAnsi="Helvetica" w:eastAsia="Helvetica" w:cs="Helvetica"/>
              <w:smallCaps/>
            </w:rPr>
          </w:pPr>
          <w:r>
            <mc:AlternateContent>
              <mc:Choice Requires="wpg">
                <w:drawing>
                  <wp:inline xmlns:wp="http://schemas.openxmlformats.org/drawingml/2006/wordprocessingDrawing" distT="0" distB="0" distL="0" distR="0">
                    <wp:extent cx="2508250" cy="579120"/>
                    <wp:effectExtent l="0" t="0" r="0" b="0"/>
                    <wp:docPr id="1" name="_x005F_x0000_s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x005F_x0000_s1" descr=""/>
                            <pic:cNvPicPr>
                              <a:picLocks noChangeAspect="1"/>
                            </pic:cNvPicPr>
                            <pic:nvPr/>
                          </pic:nvPicPr>
                          <pic:blipFill rotWithShape="1">
                            <a:blip r:embed="rId1"/>
                            <a:stretch/>
                          </pic:blipFill>
                          <pic:spPr bwMode="auto">
                            <a:xfrm>
                              <a:off x="0" y="0"/>
                              <a:ext cx="2508250" cy="57912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197.50pt;height:45.60pt;mso-wrap-distance-left:0.00pt;mso-wrap-distance-top:0.00pt;mso-wrap-distance-right:0.00pt;mso-wrap-distance-bottom:0.00pt;z-index:1;" stroked="false">
                    <v:imagedata r:id="rId1" o:title=""/>
                    <o:lock v:ext="edit" rotation="t"/>
                  </v:shape>
                </w:pict>
              </mc:Fallback>
            </mc:AlternateContent>
          </w:r>
          <w:r>
            <w:rPr>
              <w:rFonts w:ascii="Helvetica" w:hAnsi="Helvetica" w:eastAsia="Helvetica" w:cs="Helvetica"/>
              <w:smallCaps/>
            </w:rPr>
          </w:r>
          <w:r>
            <w:rPr>
              <w:rFonts w:ascii="Helvetica" w:hAnsi="Helvetica" w:eastAsia="Helvetica" w:cs="Helvetica"/>
              <w:smallCaps/>
            </w:rPr>
          </w:r>
        </w:p>
      </w:tc>
      <w:tc>
        <w:tcPr>
          <w:shd w:val="clear" w:color="ffffff" w:fill="ffffff"/>
          <w:tcBorders>
            <w:bottom w:val="single" w:color="000000" w:sz="4" w:space="0"/>
          </w:tcBorders>
          <w:tcW w:w="6107" w:type="dxa"/>
          <w:vAlign w:val="center"/>
          <w:textDirection w:val="lrTb"/>
          <w:noWrap w:val="false"/>
        </w:tcPr>
        <w:p>
          <w:pPr>
            <w:pStyle w:val="887"/>
            <w:pBdr/>
            <w:spacing w:line="276" w:lineRule="auto"/>
            <w:ind w:hanging="283" w:left="500"/>
            <w:jc w:val="both"/>
            <w:rPr>
              <w:rFonts w:ascii="Arial" w:hAnsi="Arial" w:eastAsia="Arial" w:cs="Arial"/>
              <w:b/>
              <w:bCs/>
              <w:smallCaps/>
            </w:rPr>
          </w:pPr>
          <w:r>
            <w:rPr>
              <w:rFonts w:ascii="Arial" w:hAnsi="Arial" w:eastAsia="Arial" w:cs="Arial"/>
              <w:b/>
              <w:bCs/>
              <w:smallCaps/>
            </w:rPr>
            <w:t xml:space="preserve">Estado de Mato Grosso</w:t>
          </w:r>
          <w:r>
            <w:rPr>
              <w:rFonts w:ascii="Arial" w:hAnsi="Arial" w:eastAsia="Arial" w:cs="Arial"/>
              <w:b/>
              <w:bCs/>
              <w:smallCaps/>
            </w:rPr>
          </w:r>
          <w:r>
            <w:rPr>
              <w:rFonts w:ascii="Arial" w:hAnsi="Arial" w:eastAsia="Arial" w:cs="Arial"/>
              <w:b/>
              <w:bCs/>
              <w:smallCaps/>
            </w:rPr>
          </w:r>
        </w:p>
        <w:p>
          <w:pPr>
            <w:pStyle w:val="887"/>
            <w:pBdr/>
            <w:spacing w:line="276" w:lineRule="auto"/>
            <w:ind w:hanging="283" w:left="500"/>
            <w:jc w:val="both"/>
            <w:rPr>
              <w:rFonts w:ascii="Arial" w:hAnsi="Arial" w:eastAsia="Arial" w:cs="Arial"/>
              <w:b/>
              <w:bCs/>
              <w:smallCaps/>
            </w:rPr>
          </w:pPr>
          <w:r>
            <w:rPr>
              <w:rFonts w:ascii="Arial" w:hAnsi="Arial" w:eastAsia="Arial" w:cs="Arial"/>
              <w:b/>
              <w:bCs/>
              <w:smallCaps/>
            </w:rPr>
            <w:t xml:space="preserve">Município de Rondonópolis</w:t>
          </w:r>
          <w:r>
            <w:rPr>
              <w:rFonts w:ascii="Arial" w:hAnsi="Arial" w:eastAsia="Arial" w:cs="Arial"/>
              <w:b/>
              <w:bCs/>
              <w:smallCaps/>
            </w:rPr>
          </w:r>
          <w:r>
            <w:rPr>
              <w:rFonts w:ascii="Arial" w:hAnsi="Arial" w:eastAsia="Arial" w:cs="Arial"/>
              <w:b/>
              <w:bCs/>
              <w:smallCaps/>
            </w:rPr>
          </w:r>
        </w:p>
        <w:p>
          <w:pPr>
            <w:pStyle w:val="887"/>
            <w:pBdr/>
            <w:spacing w:line="276" w:lineRule="auto"/>
            <w:ind w:hanging="283" w:left="500"/>
            <w:jc w:val="both"/>
            <w:rPr>
              <w:rFonts w:ascii="Arial" w:hAnsi="Arial" w:eastAsia="Arial" w:cs="Arial"/>
              <w:b/>
              <w:bCs/>
              <w:smallCaps/>
            </w:rPr>
          </w:pPr>
          <w:r>
            <w:rPr>
              <w:rFonts w:ascii="Arial" w:hAnsi="Arial" w:eastAsia="Arial" w:cs="Arial"/>
              <w:b/>
              <w:bCs/>
              <w:smallCaps/>
            </w:rPr>
            <w:t xml:space="preserve">Secretaria Municipal de Administração, Gestão e Inovação</w:t>
          </w:r>
          <w:r>
            <w:rPr>
              <w:rFonts w:ascii="Arial" w:hAnsi="Arial" w:eastAsia="Arial" w:cs="Arial"/>
              <w:b/>
              <w:bCs/>
              <w:smallCaps/>
            </w:rPr>
          </w:r>
          <w:r>
            <w:rPr>
              <w:rFonts w:ascii="Arial" w:hAnsi="Arial" w:eastAsia="Arial" w:cs="Arial"/>
              <w:b/>
              <w:bCs/>
              <w:smallCaps/>
            </w:rPr>
          </w:r>
        </w:p>
        <w:p>
          <w:pPr>
            <w:pStyle w:val="887"/>
            <w:pBdr/>
            <w:spacing w:line="276" w:lineRule="auto"/>
            <w:ind w:hanging="283" w:left="500"/>
            <w:jc w:val="both"/>
            <w:rPr>
              <w:rFonts w:ascii="TimesNewRoman" w:hAnsi="TimesNewRoman" w:eastAsia="TimesNewRoman" w:cs="TimesNewRoman"/>
            </w:rPr>
          </w:pPr>
          <w:r>
            <w:rPr>
              <w:rFonts w:ascii="Arial" w:hAnsi="Arial" w:eastAsia="Arial" w:cs="Arial"/>
              <w:b/>
              <w:bCs/>
              <w:smallCaps/>
            </w:rPr>
            <w:t xml:space="preserve">Superintendência de Compras e Licitações (P.E.44/2026)</w:t>
          </w:r>
          <w:r>
            <w:rPr>
              <w:rFonts w:ascii="TimesNewRoman" w:hAnsi="TimesNewRoman" w:eastAsia="TimesNewRoman" w:cs="TimesNewRoman"/>
            </w:rPr>
          </w:r>
          <w:r>
            <w:rPr>
              <w:rFonts w:ascii="TimesNewRoman" w:hAnsi="TimesNewRoman" w:eastAsia="TimesNewRoman" w:cs="TimesNewRoman"/>
            </w:rPr>
          </w:r>
        </w:p>
      </w:tc>
    </w:tr>
  </w:tbl>
  <w:p>
    <w:pPr>
      <w:pStyle w:val="2042"/>
      <w:pBdr/>
      <w:spacing/>
      <w:ind/>
      <w:jc w:val="center"/>
      <w:rPr>
        <w:lang w:val="pt-BR"/>
      </w:rPr>
    </w:pPr>
    <w:r>
      <w:rPr>
        <w:lang w:val="pt-BR"/>
      </w:rPr>
    </w:r>
    <w:r>
      <w:rPr>
        <w:lang w:val="pt-BR"/>
      </w:rPr>
    </w:r>
    <w:r>
      <w:rPr>
        <w:lang w:val="pt-BR"/>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decimal"/>
      <w:pPr>
        <w:pBdr/>
        <w:tabs>
          <w:tab w:val="num" w:leader="none" w:pos="0"/>
        </w:tabs>
        <w:spacing/>
        <w:ind w:firstLine="0" w:left="0"/>
      </w:pPr>
      <w:pStyle w:val="888"/>
      <w:rPr>
        <w:rFonts w:cs="Arial"/>
        <w:b/>
        <w:color w:val="000000"/>
        <w:sz w:val="20"/>
        <w:szCs w:val="20"/>
      </w:rPr>
      <w:start w:val="1"/>
      <w:suff w:val="nothing"/>
    </w:lvl>
    <w:lvl w:ilvl="1">
      <w:isLgl w:val="false"/>
      <w:lvlJc w:val="left"/>
      <w:lvlText w:val=""/>
      <w:numFmt w:val="decimal"/>
      <w:pPr>
        <w:pBdr/>
        <w:tabs>
          <w:tab w:val="num" w:leader="none" w:pos="0"/>
        </w:tabs>
        <w:spacing/>
        <w:ind w:firstLine="0" w:left="0"/>
      </w:pPr>
      <w:pStyle w:val="889"/>
      <w:rPr/>
      <w:start w:val="1"/>
      <w:suff w:val="nothing"/>
    </w:lvl>
    <w:lvl w:ilvl="2">
      <w:isLgl w:val="false"/>
      <w:lvlJc w:val="left"/>
      <w:lvlText w:val=""/>
      <w:numFmt w:val="decimal"/>
      <w:pPr>
        <w:pBdr/>
        <w:tabs>
          <w:tab w:val="num" w:leader="none" w:pos="0"/>
        </w:tabs>
        <w:spacing/>
        <w:ind w:firstLine="0" w:left="0"/>
      </w:pPr>
      <w:pStyle w:val="890"/>
      <w:rPr/>
      <w:start w:val="1"/>
      <w:suff w:val="nothing"/>
    </w:lvl>
    <w:lvl w:ilvl="3">
      <w:isLgl w:val="false"/>
      <w:lvlJc w:val="left"/>
      <w:lvlText w:val=""/>
      <w:numFmt w:val="decimal"/>
      <w:pPr>
        <w:pBdr/>
        <w:tabs>
          <w:tab w:val="num" w:leader="none" w:pos="0"/>
        </w:tabs>
        <w:spacing/>
        <w:ind w:firstLine="0" w:left="0"/>
      </w:pPr>
      <w:pStyle w:val="891"/>
      <w:rPr/>
      <w:start w:val="1"/>
      <w:suff w:val="nothing"/>
    </w:lvl>
    <w:lvl w:ilvl="4">
      <w:isLgl w:val="false"/>
      <w:lvlJc w:val="left"/>
      <w:lvlText w:val=""/>
      <w:numFmt w:val="decimal"/>
      <w:pPr>
        <w:pBdr/>
        <w:tabs>
          <w:tab w:val="num" w:leader="none" w:pos="0"/>
        </w:tabs>
        <w:spacing/>
        <w:ind w:firstLine="0" w:left="0"/>
      </w:pPr>
      <w:pStyle w:val="892"/>
      <w:rPr/>
      <w:start w:val="1"/>
      <w:suff w:val="nothing"/>
    </w:lvl>
    <w:lvl w:ilvl="5">
      <w:isLgl w:val="false"/>
      <w:lvlJc w:val="left"/>
      <w:lvlText w:val=""/>
      <w:numFmt w:val="decimal"/>
      <w:pPr>
        <w:pBdr/>
        <w:tabs>
          <w:tab w:val="num" w:leader="none" w:pos="0"/>
        </w:tabs>
        <w:spacing/>
        <w:ind w:firstLine="0" w:left="0"/>
      </w:pPr>
      <w:rPr/>
      <w:start w:val="1"/>
      <w:suff w:val="nothing"/>
    </w:lvl>
    <w:lvl w:ilvl="6">
      <w:isLgl w:val="false"/>
      <w:lvlJc w:val="left"/>
      <w:lvlText w:val=""/>
      <w:numFmt w:val="decimal"/>
      <w:pPr>
        <w:pBdr/>
        <w:tabs>
          <w:tab w:val="num" w:leader="none" w:pos="0"/>
        </w:tabs>
        <w:spacing/>
        <w:ind w:firstLine="0" w:left="0"/>
      </w:pPr>
      <w:rPr/>
      <w:start w:val="1"/>
      <w:suff w:val="nothing"/>
    </w:lvl>
    <w:lvl w:ilvl="7">
      <w:isLgl w:val="false"/>
      <w:lvlJc w:val="left"/>
      <w:lvlText w:val=""/>
      <w:numFmt w:val="decimal"/>
      <w:pPr>
        <w:pBdr/>
        <w:tabs>
          <w:tab w:val="num" w:leader="none" w:pos="0"/>
        </w:tabs>
        <w:spacing/>
        <w:ind w:firstLine="0" w:left="0"/>
      </w:pPr>
      <w:rPr/>
      <w:start w:val="1"/>
      <w:suff w:val="nothing"/>
    </w:lvl>
    <w:lvl w:ilvl="8">
      <w:isLgl w:val="false"/>
      <w:lvlJc w:val="left"/>
      <w:lvlText w:val=""/>
      <w:numFmt w:val="decimal"/>
      <w:pPr>
        <w:pBdr/>
        <w:tabs>
          <w:tab w:val="num" w:leader="none" w:pos="0"/>
        </w:tabs>
        <w:spacing/>
        <w:ind w:firstLine="0" w:left="0"/>
      </w:pPr>
      <w:rPr/>
      <w:start w:val="1"/>
      <w:suff w:val="nothing"/>
    </w:lvl>
  </w:abstractNum>
  <w:abstractNum w:abstractNumId="1">
    <w:lvl w:ilvl="0">
      <w:isLgl w:val="false"/>
      <w:lvlJc w:val="left"/>
      <w:lvlText w:val=""/>
      <w:numFmt w:val="decimal"/>
      <w:pPr>
        <w:pBdr/>
        <w:tabs>
          <w:tab w:val="num" w:leader="none" w:pos="0"/>
        </w:tabs>
        <w:spacing/>
        <w:ind w:firstLine="0" w:left="0"/>
      </w:pPr>
      <w:rPr>
        <w:rFonts w:cs="Arial"/>
        <w:b/>
        <w:color w:val="000000"/>
        <w:sz w:val="20"/>
        <w:szCs w:val="20"/>
      </w:rPr>
      <w:start w:val="1"/>
      <w:suff w:val="nothing"/>
    </w:lvl>
    <w:lvl w:ilvl="1">
      <w:isLgl w:val="false"/>
      <w:lvlJc w:val="left"/>
      <w:lvlText w:val=""/>
      <w:numFmt w:val="decimal"/>
      <w:pPr>
        <w:pBdr/>
        <w:tabs>
          <w:tab w:val="num" w:leader="none" w:pos="0"/>
        </w:tabs>
        <w:spacing/>
        <w:ind w:firstLine="0" w:left="0"/>
      </w:pPr>
      <w:rPr/>
      <w:start w:val="1"/>
      <w:suff w:val="nothing"/>
    </w:lvl>
    <w:lvl w:ilvl="2">
      <w:isLgl w:val="false"/>
      <w:lvlJc w:val="left"/>
      <w:lvlText w:val=""/>
      <w:numFmt w:val="decimal"/>
      <w:pPr>
        <w:pBdr/>
        <w:tabs>
          <w:tab w:val="num" w:leader="none" w:pos="0"/>
        </w:tabs>
        <w:spacing/>
        <w:ind w:firstLine="0" w:left="0"/>
      </w:pPr>
      <w:rPr/>
      <w:start w:val="1"/>
      <w:suff w:val="nothing"/>
    </w:lvl>
    <w:lvl w:ilvl="3">
      <w:isLgl w:val="false"/>
      <w:lvlJc w:val="left"/>
      <w:lvlText w:val=""/>
      <w:numFmt w:val="decimal"/>
      <w:pPr>
        <w:pBdr/>
        <w:tabs>
          <w:tab w:val="num" w:leader="none" w:pos="0"/>
        </w:tabs>
        <w:spacing/>
        <w:ind w:firstLine="0" w:left="0"/>
      </w:pPr>
      <w:rPr/>
      <w:start w:val="1"/>
      <w:suff w:val="nothing"/>
    </w:lvl>
    <w:lvl w:ilvl="4">
      <w:isLgl w:val="false"/>
      <w:lvlJc w:val="left"/>
      <w:lvlText w:val=""/>
      <w:numFmt w:val="decimal"/>
      <w:pPr>
        <w:pBdr/>
        <w:tabs>
          <w:tab w:val="num" w:leader="none" w:pos="0"/>
        </w:tabs>
        <w:spacing/>
        <w:ind w:firstLine="0" w:left="0"/>
      </w:pPr>
      <w:rPr/>
      <w:start w:val="1"/>
      <w:suff w:val="nothing"/>
    </w:lvl>
    <w:lvl w:ilvl="5">
      <w:isLgl w:val="false"/>
      <w:lvlJc w:val="left"/>
      <w:lvlText w:val=""/>
      <w:numFmt w:val="decimal"/>
      <w:pPr>
        <w:pBdr/>
        <w:tabs>
          <w:tab w:val="num" w:leader="none" w:pos="0"/>
        </w:tabs>
        <w:spacing/>
        <w:ind w:firstLine="0" w:left="0"/>
      </w:pPr>
      <w:rPr/>
      <w:start w:val="1"/>
      <w:suff w:val="nothing"/>
    </w:lvl>
    <w:lvl w:ilvl="6">
      <w:isLgl w:val="false"/>
      <w:lvlJc w:val="left"/>
      <w:lvlText w:val=""/>
      <w:numFmt w:val="decimal"/>
      <w:pPr>
        <w:pBdr/>
        <w:tabs>
          <w:tab w:val="num" w:leader="none" w:pos="0"/>
        </w:tabs>
        <w:spacing/>
        <w:ind w:firstLine="0" w:left="0"/>
      </w:pPr>
      <w:rPr/>
      <w:start w:val="1"/>
      <w:suff w:val="nothing"/>
    </w:lvl>
    <w:lvl w:ilvl="7">
      <w:isLgl w:val="false"/>
      <w:lvlJc w:val="left"/>
      <w:lvlText w:val=""/>
      <w:numFmt w:val="decimal"/>
      <w:pPr>
        <w:pBdr/>
        <w:tabs>
          <w:tab w:val="num" w:leader="none" w:pos="0"/>
        </w:tabs>
        <w:spacing/>
        <w:ind w:firstLine="0" w:left="0"/>
      </w:pPr>
      <w:rPr/>
      <w:start w:val="1"/>
      <w:suff w:val="nothing"/>
    </w:lvl>
    <w:lvl w:ilvl="8">
      <w:isLgl w:val="false"/>
      <w:lvlJc w:val="left"/>
      <w:lvlText w:val=""/>
      <w:numFmt w:val="decimal"/>
      <w:pPr>
        <w:pBdr/>
        <w:tabs>
          <w:tab w:val="num" w:leader="none" w:pos="0"/>
        </w:tabs>
        <w:spacing/>
        <w:ind w:firstLine="0" w:left="0"/>
      </w:pPr>
      <w:rPr/>
      <w:start w:val="1"/>
      <w:suff w:val="nothing"/>
    </w:lvl>
  </w:abstractNum>
  <w:abstractNum w:abstractNumId="2">
    <w:lvl w:ilvl="0">
      <w:isLgl w:val="false"/>
      <w:lvlJc w:val="left"/>
      <w:lvlText w:val="%1."/>
      <w:numFmt w:val="decimal"/>
      <w:pPr>
        <w:pBdr/>
        <w:tabs>
          <w:tab w:val="num" w:leader="none" w:pos="0"/>
        </w:tabs>
        <w:spacing/>
        <w:ind w:hanging="360" w:left="360"/>
      </w:pPr>
      <w:pStyle w:val="2079"/>
      <w:rPr>
        <w:b/>
      </w:rPr>
      <w:start w:val="8"/>
      <w:suff w:val="tab"/>
    </w:lvl>
    <w:lvl w:ilvl="1">
      <w:isLgl w:val="false"/>
      <w:lvlJc w:val="left"/>
      <w:lvlText w:val="%1.%2."/>
      <w:numFmt w:val="decimal"/>
      <w:pPr>
        <w:pBdr/>
        <w:tabs>
          <w:tab w:val="num" w:leader="none" w:pos="0"/>
        </w:tabs>
        <w:spacing/>
        <w:ind w:hanging="432" w:left="574"/>
      </w:pPr>
      <w:rPr>
        <w:rFonts w:ascii="Arial" w:hAnsi="Arial" w:cs="Arial"/>
        <w:b w:val="0"/>
        <w:i w:val="0"/>
        <w:strike w:val="0"/>
        <w:color w:val="000000"/>
        <w:sz w:val="20"/>
        <w:szCs w:val="20"/>
        <w:u w:val="none"/>
      </w:rPr>
      <w:start w:val="1"/>
      <w:suff w:val="tab"/>
    </w:lvl>
    <w:lvl w:ilvl="2">
      <w:isLgl w:val="false"/>
      <w:lvlJc w:val="left"/>
      <w:lvlText w:val="%1.%2.%3."/>
      <w:numFmt w:val="decimal"/>
      <w:pPr>
        <w:pBdr/>
        <w:tabs>
          <w:tab w:val="num" w:leader="none" w:pos="0"/>
        </w:tabs>
        <w:spacing/>
        <w:ind w:hanging="504" w:left="1638"/>
      </w:pPr>
      <w:rPr>
        <w:rFonts w:ascii="Arial" w:hAnsi="Arial" w:cs="Arial"/>
        <w:b w:val="0"/>
        <w:i w:val="0"/>
        <w:strike w:val="0"/>
        <w:color w:val="000000"/>
        <w:sz w:val="20"/>
        <w:szCs w:val="20"/>
      </w:rPr>
      <w:start w:val="1"/>
      <w:suff w:val="tab"/>
    </w:lvl>
    <w:lvl w:ilvl="3">
      <w:isLgl w:val="false"/>
      <w:lvlJc w:val="left"/>
      <w:lvlText w:val="%1.%2.%3.%4."/>
      <w:numFmt w:val="decimal"/>
      <w:pPr>
        <w:pBdr/>
        <w:tabs>
          <w:tab w:val="num" w:leader="none" w:pos="0"/>
        </w:tabs>
        <w:spacing/>
        <w:ind w:hanging="648" w:left="2491"/>
      </w:pPr>
      <w:rPr/>
      <w:start w:val="1"/>
      <w:suff w:val="tab"/>
    </w:lvl>
    <w:lvl w:ilvl="4">
      <w:isLgl w:val="false"/>
      <w:lvlJc w:val="left"/>
      <w:lvlText w:val="%1.%2.%3.%4.%5."/>
      <w:numFmt w:val="decimal"/>
      <w:pPr>
        <w:pBdr/>
        <w:tabs>
          <w:tab w:val="num" w:leader="none" w:pos="0"/>
        </w:tabs>
        <w:spacing/>
        <w:ind w:hanging="792" w:left="2232"/>
      </w:pPr>
      <w:rPr/>
      <w:start w:val="1"/>
      <w:suff w:val="tab"/>
    </w:lvl>
    <w:lvl w:ilvl="5">
      <w:isLgl w:val="false"/>
      <w:lvlJc w:val="left"/>
      <w:lvlText w:val="%1.%2.%3.%4.%5.%6."/>
      <w:numFmt w:val="decimal"/>
      <w:pPr>
        <w:pBdr/>
        <w:tabs>
          <w:tab w:val="num" w:leader="none" w:pos="0"/>
        </w:tabs>
        <w:spacing/>
        <w:ind w:hanging="936" w:left="2736"/>
      </w:pPr>
      <w:rPr/>
      <w:start w:val="1"/>
      <w:suff w:val="tab"/>
    </w:lvl>
    <w:lvl w:ilvl="6">
      <w:isLgl w:val="false"/>
      <w:lvlJc w:val="left"/>
      <w:lvlText w:val="%1.%2.%3.%4.%5.%6.%7."/>
      <w:numFmt w:val="decimal"/>
      <w:pPr>
        <w:pBdr/>
        <w:tabs>
          <w:tab w:val="num" w:leader="none" w:pos="0"/>
        </w:tabs>
        <w:spacing/>
        <w:ind w:hanging="1080" w:left="3240"/>
      </w:pPr>
      <w:rPr/>
      <w:start w:val="1"/>
      <w:suff w:val="tab"/>
    </w:lvl>
    <w:lvl w:ilvl="7">
      <w:isLgl w:val="false"/>
      <w:lvlJc w:val="left"/>
      <w:lvlText w:val="%1.%2.%3.%4.%5.%6.%7.%8."/>
      <w:numFmt w:val="decimal"/>
      <w:pPr>
        <w:pBdr/>
        <w:tabs>
          <w:tab w:val="num" w:leader="none" w:pos="0"/>
        </w:tabs>
        <w:spacing/>
        <w:ind w:hanging="1224" w:left="3744"/>
      </w:pPr>
      <w:rPr/>
      <w:start w:val="1"/>
      <w:suff w:val="tab"/>
    </w:lvl>
    <w:lvl w:ilvl="8">
      <w:isLgl w:val="false"/>
      <w:lvlJc w:val="left"/>
      <w:lvlText w:val="%1.%2.%3.%4.%5.%6.%7.%8.%9."/>
      <w:numFmt w:val="decimal"/>
      <w:pPr>
        <w:pBdr/>
        <w:tabs>
          <w:tab w:val="num" w:leader="none" w:pos="0"/>
        </w:tabs>
        <w:spacing/>
        <w:ind w:hanging="1440" w:left="4320"/>
      </w:pPr>
      <w:rPr/>
      <w:start w:val="1"/>
      <w:suff w:val="tab"/>
    </w:lvl>
  </w:abstractNum>
  <w:abstractNum w:abstractNumId="3">
    <w:lvl w:ilvl="0">
      <w:isLgl w:val="false"/>
      <w:lvlJc w:val="left"/>
      <w:lvlText w:val="%1."/>
      <w:numFmt w:val="decimal"/>
      <w:pPr>
        <w:pBdr/>
        <w:tabs>
          <w:tab w:val="num" w:leader="none" w:pos="0"/>
        </w:tabs>
        <w:spacing/>
        <w:ind w:hanging="360" w:left="360"/>
      </w:pPr>
      <w:rPr>
        <w:rFonts w:cs="Times New Roman"/>
      </w:rPr>
      <w:start w:val="1"/>
      <w:suff w:val="tab"/>
    </w:lvl>
    <w:lvl w:ilvl="1">
      <w:isLgl w:val="false"/>
      <w:lvlJc w:val="left"/>
      <w:lvlText w:val="%1.%2."/>
      <w:numFmt w:val="decimal"/>
      <w:pPr>
        <w:pBdr/>
        <w:tabs>
          <w:tab w:val="num" w:leader="none" w:pos="0"/>
        </w:tabs>
        <w:spacing/>
        <w:ind w:hanging="360" w:left="360"/>
      </w:pPr>
      <w:rPr>
        <w:rFonts w:ascii="Arial" w:hAnsi="Arial" w:cs="Arial"/>
        <w:b/>
      </w:rPr>
      <w:start w:val="1"/>
      <w:suff w:val="tab"/>
    </w:lvl>
    <w:lvl w:ilvl="2">
      <w:isLgl w:val="false"/>
      <w:lvlJc w:val="left"/>
      <w:lvlText w:val="%1.%2.%3."/>
      <w:numFmt w:val="decimal"/>
      <w:pPr>
        <w:pBdr/>
        <w:tabs>
          <w:tab w:val="num" w:leader="none" w:pos="0"/>
        </w:tabs>
        <w:spacing/>
        <w:ind w:hanging="720" w:left="720"/>
      </w:pPr>
      <w:rPr>
        <w:rFonts w:cs="Times New Roman"/>
      </w:rPr>
      <w:start w:val="1"/>
      <w:suff w:val="tab"/>
    </w:lvl>
    <w:lvl w:ilvl="3">
      <w:isLgl w:val="false"/>
      <w:lvlJc w:val="left"/>
      <w:lvlText w:val="%1.%2.%3.%4."/>
      <w:numFmt w:val="decimal"/>
      <w:pPr>
        <w:pBdr/>
        <w:tabs>
          <w:tab w:val="num" w:leader="none" w:pos="0"/>
        </w:tabs>
        <w:spacing/>
        <w:ind w:hanging="720" w:left="720"/>
      </w:pPr>
      <w:rPr>
        <w:rFonts w:cs="Times New Roman"/>
      </w:rPr>
      <w:start w:val="1"/>
      <w:suff w:val="tab"/>
    </w:lvl>
    <w:lvl w:ilvl="4">
      <w:isLgl w:val="false"/>
      <w:lvlJc w:val="left"/>
      <w:lvlText w:val="%1.%2.%3.%4.%5."/>
      <w:numFmt w:val="decimal"/>
      <w:pPr>
        <w:pBdr/>
        <w:tabs>
          <w:tab w:val="num" w:leader="none" w:pos="0"/>
        </w:tabs>
        <w:spacing/>
        <w:ind w:hanging="1080" w:left="1080"/>
      </w:pPr>
      <w:rPr>
        <w:rFonts w:cs="Times New Roman"/>
      </w:rPr>
      <w:start w:val="1"/>
      <w:suff w:val="tab"/>
    </w:lvl>
    <w:lvl w:ilvl="5">
      <w:isLgl w:val="false"/>
      <w:lvlJc w:val="left"/>
      <w:lvlText w:val="%1.%2.%3.%4.%5.%6."/>
      <w:numFmt w:val="decimal"/>
      <w:pPr>
        <w:pBdr/>
        <w:tabs>
          <w:tab w:val="num" w:leader="none" w:pos="0"/>
        </w:tabs>
        <w:spacing/>
        <w:ind w:hanging="1080" w:left="1080"/>
      </w:pPr>
      <w:rPr>
        <w:rFonts w:cs="Times New Roman"/>
      </w:rPr>
      <w:start w:val="1"/>
      <w:suff w:val="tab"/>
    </w:lvl>
    <w:lvl w:ilvl="6">
      <w:isLgl w:val="false"/>
      <w:lvlJc w:val="left"/>
      <w:lvlText w:val="%1.%2.%3.%4.%5.%6.%7."/>
      <w:numFmt w:val="decimal"/>
      <w:pPr>
        <w:pBdr/>
        <w:tabs>
          <w:tab w:val="num" w:leader="none" w:pos="0"/>
        </w:tabs>
        <w:spacing/>
        <w:ind w:hanging="1440" w:left="1440"/>
      </w:pPr>
      <w:rPr>
        <w:rFonts w:cs="Times New Roman"/>
      </w:rPr>
      <w:start w:val="1"/>
      <w:suff w:val="tab"/>
    </w:lvl>
    <w:lvl w:ilvl="7">
      <w:isLgl w:val="false"/>
      <w:lvlJc w:val="left"/>
      <w:lvlText w:val="%1.%2.%3.%4.%5.%6.%7.%8."/>
      <w:numFmt w:val="decimal"/>
      <w:pPr>
        <w:pBdr/>
        <w:tabs>
          <w:tab w:val="num" w:leader="none" w:pos="0"/>
        </w:tabs>
        <w:spacing/>
        <w:ind w:hanging="1440" w:left="1440"/>
      </w:pPr>
      <w:rPr>
        <w:rFonts w:cs="Times New Roman"/>
      </w:rPr>
      <w:start w:val="1"/>
      <w:suff w:val="tab"/>
    </w:lvl>
    <w:lvl w:ilvl="8">
      <w:isLgl w:val="false"/>
      <w:lvlJc w:val="left"/>
      <w:lvlText w:val="%1.%2.%3.%4.%5.%6.%7.%8.%9."/>
      <w:numFmt w:val="decimal"/>
      <w:pPr>
        <w:pBdr/>
        <w:tabs>
          <w:tab w:val="num" w:leader="none" w:pos="0"/>
        </w:tabs>
        <w:spacing/>
        <w:ind w:hanging="1800" w:left="1800"/>
      </w:pPr>
      <w:rPr>
        <w:rFonts w:cs="Times New Roman"/>
      </w:rPr>
      <w:start w:val="1"/>
      <w:suff w:val="tab"/>
    </w:lvl>
  </w:abstractNum>
  <w:abstractNum w:abstractNumId="4">
    <w:lvl w:ilvl="0">
      <w:isLgl w:val="false"/>
      <w:lvlJc w:val="left"/>
      <w:lvlText w:val="%1."/>
      <w:numFmt w:val="decimal"/>
      <w:pPr>
        <w:pBdr/>
        <w:tabs>
          <w:tab w:val="num" w:leader="none" w:pos="0"/>
        </w:tabs>
        <w:spacing/>
        <w:ind w:hanging="284" w:left="284"/>
      </w:pPr>
      <w:pStyle w:val="2241"/>
      <w:rPr>
        <w:rFonts w:cs="Times New Roman"/>
        <w:b w:val="0"/>
        <w:i w:val="0"/>
        <w:sz w:val="24"/>
      </w:rPr>
      <w:start w:val="1"/>
      <w:suff w:val="tab"/>
    </w:lvl>
    <w:lvl w:ilvl="1">
      <w:isLgl w:val="false"/>
      <w:lvlJc w:val="left"/>
      <w:lvlText w:val="%1.%2."/>
      <w:numFmt w:val="decimal"/>
      <w:pPr>
        <w:pBdr/>
        <w:tabs>
          <w:tab w:val="num" w:leader="none" w:pos="0"/>
        </w:tabs>
        <w:spacing/>
        <w:ind w:hanging="284" w:left="568"/>
      </w:pPr>
      <w:rPr>
        <w:rFonts w:ascii="Arial" w:hAnsi="Arial" w:cs="Arial"/>
        <w:b w:val="0"/>
        <w:i w:val="0"/>
        <w:color w:val="000000"/>
        <w:sz w:val="20"/>
        <w:szCs w:val="20"/>
      </w:rPr>
      <w:start w:val="1"/>
      <w:suff w:val="space"/>
    </w:lvl>
    <w:lvl w:ilvl="2">
      <w:isLgl w:val="false"/>
      <w:lvlJc w:val="left"/>
      <w:lvlText w:val="%1.%2.%3."/>
      <w:numFmt w:val="decimal"/>
      <w:pPr>
        <w:pBdr/>
        <w:tabs>
          <w:tab w:val="num" w:leader="none" w:pos="0"/>
        </w:tabs>
        <w:spacing/>
        <w:ind w:hanging="284" w:left="426"/>
      </w:pPr>
      <w:rPr>
        <w:rFonts w:cs="Times New Roman"/>
        <w:b w:val="0"/>
        <w:i w:val="0"/>
        <w:color w:val="000000"/>
        <w:sz w:val="20"/>
        <w:szCs w:val="20"/>
      </w:rPr>
      <w:start w:val="1"/>
      <w:suff w:val="space"/>
    </w:lvl>
    <w:lvl w:ilvl="3">
      <w:isLgl w:val="false"/>
      <w:lvlJc w:val="left"/>
      <w:lvlText w:val="%1.%2.%3.%4."/>
      <w:numFmt w:val="decimal"/>
      <w:pPr>
        <w:pBdr/>
        <w:tabs>
          <w:tab w:val="num" w:leader="none" w:pos="0"/>
        </w:tabs>
        <w:spacing/>
        <w:ind w:hanging="284" w:left="1136"/>
      </w:pPr>
      <w:rPr>
        <w:rFonts w:cs="Times New Roman"/>
        <w:b w:val="0"/>
        <w:i w:val="0"/>
      </w:rPr>
      <w:start w:val="1"/>
      <w:suff w:val="space"/>
    </w:lvl>
    <w:lvl w:ilvl="4">
      <w:isLgl w:val="false"/>
      <w:lvlJc w:val="left"/>
      <w:lvlText w:val="%1.%2.%3.%4.%5."/>
      <w:numFmt w:val="decimal"/>
      <w:pPr>
        <w:pBdr/>
        <w:tabs>
          <w:tab w:val="num" w:leader="none" w:pos="0"/>
        </w:tabs>
        <w:spacing/>
        <w:ind w:hanging="284" w:left="1420"/>
      </w:pPr>
      <w:rPr>
        <w:rFonts w:cs="Times New Roman"/>
        <w:b/>
        <w:i w:val="0"/>
      </w:rPr>
      <w:start w:val="1"/>
      <w:suff w:val="space"/>
    </w:lvl>
    <w:lvl w:ilvl="5">
      <w:isLgl w:val="false"/>
      <w:lvlJc w:val="left"/>
      <w:lvlText w:val="%1.%2.%3.%4.%5.%6."/>
      <w:numFmt w:val="decimal"/>
      <w:pPr>
        <w:pBdr/>
        <w:tabs>
          <w:tab w:val="num" w:leader="none" w:pos="2880"/>
        </w:tabs>
        <w:spacing/>
        <w:ind w:hanging="284" w:left="1704"/>
      </w:pPr>
      <w:rPr>
        <w:rFonts w:cs="Times New Roman"/>
      </w:rPr>
      <w:start w:val="1"/>
      <w:suff w:val="tab"/>
    </w:lvl>
    <w:lvl w:ilvl="6">
      <w:isLgl w:val="false"/>
      <w:lvlJc w:val="left"/>
      <w:lvlText w:val="%1.%2.%3.%4.%5.%6.%7."/>
      <w:numFmt w:val="decimal"/>
      <w:pPr>
        <w:pBdr/>
        <w:tabs>
          <w:tab w:val="num" w:leader="none" w:pos="3600"/>
        </w:tabs>
        <w:spacing/>
        <w:ind w:hanging="284" w:left="1988"/>
      </w:pPr>
      <w:rPr>
        <w:rFonts w:cs="Times New Roman"/>
      </w:rPr>
      <w:start w:val="1"/>
      <w:suff w:val="tab"/>
    </w:lvl>
    <w:lvl w:ilvl="7">
      <w:isLgl w:val="false"/>
      <w:lvlJc w:val="left"/>
      <w:lvlText w:val="%1.%2.%3.%4.%5.%6.%7.%8."/>
      <w:numFmt w:val="decimal"/>
      <w:pPr>
        <w:pBdr/>
        <w:tabs>
          <w:tab w:val="num" w:leader="none" w:pos="3960"/>
        </w:tabs>
        <w:spacing/>
        <w:ind w:hanging="284" w:left="2272"/>
      </w:pPr>
      <w:rPr>
        <w:rFonts w:cs="Times New Roman"/>
      </w:rPr>
      <w:start w:val="1"/>
      <w:suff w:val="tab"/>
    </w:lvl>
    <w:lvl w:ilvl="8">
      <w:isLgl w:val="false"/>
      <w:lvlJc w:val="left"/>
      <w:lvlText w:val="%1.%2.%3.%4.%5.%6.%7.%8.%9."/>
      <w:numFmt w:val="decimal"/>
      <w:pPr>
        <w:pBdr/>
        <w:tabs>
          <w:tab w:val="num" w:leader="none" w:pos="4680"/>
        </w:tabs>
        <w:spacing/>
        <w:ind w:hanging="284" w:left="2556"/>
      </w:pPr>
      <w:rPr>
        <w:rFonts w:cs="Times New Roman"/>
      </w:rPr>
      <w:start w:val="1"/>
      <w:suff w:val="tab"/>
    </w:lvl>
  </w:abstractNum>
  <w:abstractNum w:abstractNumId="5">
    <w:lvl w:ilvl="0">
      <w:isLgl w:val="false"/>
      <w:lvlJc w:val="left"/>
      <w:lvlText w:val="%1."/>
      <w:numFmt w:val="decimal"/>
      <w:pPr>
        <w:pBdr/>
        <w:tabs>
          <w:tab w:val="num" w:leader="none" w:pos="0"/>
        </w:tabs>
        <w:spacing/>
        <w:ind w:hanging="221" w:left="334"/>
      </w:pPr>
      <w:pStyle w:val="2236"/>
      <w:rPr>
        <w:rFonts w:ascii="Arial" w:hAnsi="Arial" w:eastAsia="Times New Roman" w:cs="Arial"/>
        <w:b/>
        <w:bCs/>
        <w:sz w:val="20"/>
        <w:szCs w:val="20"/>
      </w:rPr>
      <w:start w:val="1"/>
      <w:suff w:val="tab"/>
    </w:lvl>
    <w:lvl w:ilvl="1">
      <w:isLgl w:val="false"/>
      <w:lvlJc w:val="left"/>
      <w:lvlText w:val="%1.%2."/>
      <w:numFmt w:val="decimal"/>
      <w:pPr>
        <w:pBdr/>
        <w:tabs>
          <w:tab w:val="num" w:leader="none" w:pos="0"/>
        </w:tabs>
        <w:spacing/>
        <w:ind w:hanging="526" w:left="113"/>
      </w:pPr>
      <w:rPr>
        <w:rFonts w:cs="Times New Roman"/>
        <w:b/>
        <w:bCs/>
        <w:color w:val="000000"/>
        <w:spacing w:val="-1"/>
        <w:sz w:val="22"/>
        <w:szCs w:val="22"/>
      </w:rPr>
      <w:start w:val="1"/>
      <w:suff w:val="tab"/>
    </w:lvl>
    <w:lvl w:ilvl="2">
      <w:isLgl w:val="false"/>
      <w:lvlJc w:val="left"/>
      <w:lvlText w:val="%1.%2.%3."/>
      <w:numFmt w:val="decimal"/>
      <w:pPr>
        <w:pBdr/>
        <w:tabs>
          <w:tab w:val="num" w:leader="none" w:pos="0"/>
        </w:tabs>
        <w:spacing/>
        <w:ind w:hanging="526" w:left="113"/>
      </w:pPr>
      <w:rPr>
        <w:rFonts w:ascii="Arial" w:hAnsi="Arial" w:eastAsia="Times New Roman" w:cs="Arial"/>
        <w:b/>
        <w:bCs/>
        <w:spacing w:val="-1"/>
        <w:sz w:val="20"/>
        <w:szCs w:val="20"/>
      </w:rPr>
      <w:start w:val="1"/>
      <w:suff w:val="tab"/>
    </w:lvl>
    <w:lvl w:ilvl="3">
      <w:isLgl w:val="false"/>
      <w:lvlJc w:val="left"/>
      <w:lvlText w:val="•"/>
      <w:numFmt w:val="bullet"/>
      <w:pPr>
        <w:pBdr/>
        <w:tabs>
          <w:tab w:val="num" w:leader="none" w:pos="0"/>
        </w:tabs>
        <w:spacing/>
        <w:ind w:hanging="526" w:left="2572"/>
      </w:pPr>
      <w:rPr>
        <w:rFonts w:hint="default" w:ascii="Liberation Serif" w:hAnsi="Liberation Serif" w:cs="Liberation Serif"/>
      </w:rPr>
      <w:start w:val="0"/>
      <w:suff w:val="tab"/>
    </w:lvl>
    <w:lvl w:ilvl="4">
      <w:isLgl w:val="false"/>
      <w:lvlJc w:val="left"/>
      <w:lvlText w:val="•"/>
      <w:numFmt w:val="bullet"/>
      <w:pPr>
        <w:pBdr/>
        <w:tabs>
          <w:tab w:val="num" w:leader="none" w:pos="0"/>
        </w:tabs>
        <w:spacing/>
        <w:ind w:hanging="526" w:left="3688"/>
      </w:pPr>
      <w:rPr>
        <w:rFonts w:hint="default" w:ascii="Liberation Serif" w:hAnsi="Liberation Serif" w:cs="Liberation Serif"/>
      </w:rPr>
      <w:start w:val="0"/>
      <w:suff w:val="tab"/>
    </w:lvl>
    <w:lvl w:ilvl="5">
      <w:isLgl w:val="false"/>
      <w:lvlJc w:val="left"/>
      <w:lvlText w:val="•"/>
      <w:numFmt w:val="bullet"/>
      <w:pPr>
        <w:pBdr/>
        <w:tabs>
          <w:tab w:val="num" w:leader="none" w:pos="0"/>
        </w:tabs>
        <w:spacing/>
        <w:ind w:hanging="526" w:left="4804"/>
      </w:pPr>
      <w:rPr>
        <w:rFonts w:hint="default" w:ascii="Liberation Serif" w:hAnsi="Liberation Serif" w:cs="Liberation Serif"/>
      </w:rPr>
      <w:start w:val="0"/>
      <w:suff w:val="tab"/>
    </w:lvl>
    <w:lvl w:ilvl="6">
      <w:isLgl w:val="false"/>
      <w:lvlJc w:val="left"/>
      <w:lvlText w:val="•"/>
      <w:numFmt w:val="bullet"/>
      <w:pPr>
        <w:pBdr/>
        <w:tabs>
          <w:tab w:val="num" w:leader="none" w:pos="0"/>
        </w:tabs>
        <w:spacing/>
        <w:ind w:hanging="526" w:left="5920"/>
      </w:pPr>
      <w:rPr>
        <w:rFonts w:hint="default" w:ascii="Liberation Serif" w:hAnsi="Liberation Serif" w:cs="Liberation Serif"/>
      </w:rPr>
      <w:start w:val="0"/>
      <w:suff w:val="tab"/>
    </w:lvl>
    <w:lvl w:ilvl="7">
      <w:isLgl w:val="false"/>
      <w:lvlJc w:val="left"/>
      <w:lvlText w:val="•"/>
      <w:numFmt w:val="bullet"/>
      <w:pPr>
        <w:pBdr/>
        <w:tabs>
          <w:tab w:val="num" w:leader="none" w:pos="0"/>
        </w:tabs>
        <w:spacing/>
        <w:ind w:hanging="526" w:left="7036"/>
      </w:pPr>
      <w:rPr>
        <w:rFonts w:hint="default" w:ascii="Liberation Serif" w:hAnsi="Liberation Serif" w:cs="Liberation Serif"/>
      </w:rPr>
      <w:start w:val="0"/>
      <w:suff w:val="tab"/>
    </w:lvl>
    <w:lvl w:ilvl="8">
      <w:isLgl w:val="false"/>
      <w:lvlJc w:val="left"/>
      <w:lvlText w:val="•"/>
      <w:numFmt w:val="bullet"/>
      <w:pPr>
        <w:pBdr/>
        <w:tabs>
          <w:tab w:val="num" w:leader="none" w:pos="0"/>
        </w:tabs>
        <w:spacing/>
        <w:ind w:hanging="526" w:left="8152"/>
      </w:pPr>
      <w:rPr>
        <w:rFonts w:hint="default" w:ascii="Liberation Serif" w:hAnsi="Liberation Serif" w:cs="Liberation Serif"/>
      </w:rPr>
      <w:start w:val="0"/>
      <w:suff w:val="tab"/>
    </w:lvl>
  </w:abstractNum>
  <w:abstractNum w:abstractNumId="6">
    <w:lvl w:ilvl="0">
      <w:isLgl w:val="false"/>
      <w:lvlJc w:val="left"/>
      <w:lvlText w:val="%1."/>
      <w:numFmt w:val="decimal"/>
      <w:pPr>
        <w:pBdr/>
        <w:tabs>
          <w:tab w:val="num" w:leader="none" w:pos="0"/>
        </w:tabs>
        <w:spacing/>
        <w:ind w:hanging="360" w:left="0"/>
      </w:pPr>
      <w:rPr>
        <w:rFonts w:ascii="TimesNewRoman" w:hAnsi="TimesNewRoman" w:eastAsia="TimesNewRoman" w:cs="TimesNewRoman"/>
        <w:sz w:val="20"/>
        <w:szCs w:val="20"/>
      </w:rPr>
      <w:start w:val="1"/>
      <w:suff w:val="tab"/>
    </w:lvl>
    <w:lvl w:ilvl="1">
      <w:isLgl w:val="false"/>
      <w:lvlJc w:val="left"/>
      <w:lvlText w:val=""/>
      <w:numFmt w:val="none"/>
      <w:pPr>
        <w:pBdr/>
        <w:tabs>
          <w:tab w:val="num" w:leader="none" w:pos="360"/>
        </w:tabs>
        <w:spacing/>
        <w:ind w:firstLine="0" w:left="0"/>
      </w:pPr>
      <w:rPr>
        <w:rFonts w:eastAsia="TimesNewRoman" w:cs="TimesNewRoman"/>
        <w:sz w:val="20"/>
        <w:szCs w:val="20"/>
      </w:rPr>
      <w:start w:val="0"/>
      <w:suff w:val="nothing"/>
    </w:lvl>
    <w:lvl w:ilvl="2">
      <w:isLgl w:val="false"/>
      <w:lvlJc w:val="left"/>
      <w:lvlText w:val=""/>
      <w:numFmt w:val="none"/>
      <w:pPr>
        <w:pBdr/>
        <w:tabs>
          <w:tab w:val="num" w:leader="none" w:pos="360"/>
        </w:tabs>
        <w:spacing/>
        <w:ind w:firstLine="0" w:left="0"/>
      </w:pPr>
      <w:rPr>
        <w:rFonts w:eastAsia="TimesNewRoman" w:cs="TimesNewRoman"/>
        <w:sz w:val="20"/>
        <w:szCs w:val="20"/>
      </w:rPr>
      <w:start w:val="0"/>
      <w:suff w:val="nothing"/>
    </w:lvl>
    <w:lvl w:ilvl="3">
      <w:isLgl w:val="false"/>
      <w:lvlJc w:val="left"/>
      <w:lvlText w:val=""/>
      <w:numFmt w:val="none"/>
      <w:pPr>
        <w:pBdr/>
        <w:tabs>
          <w:tab w:val="num" w:leader="none" w:pos="360"/>
        </w:tabs>
        <w:spacing/>
        <w:ind w:firstLine="0" w:left="0"/>
      </w:pPr>
      <w:rPr>
        <w:rFonts w:eastAsia="TimesNewRoman" w:cs="TimesNewRoman"/>
        <w:sz w:val="20"/>
        <w:szCs w:val="20"/>
      </w:rPr>
      <w:start w:val="0"/>
      <w:suff w:val="nothing"/>
    </w:lvl>
    <w:lvl w:ilvl="4">
      <w:isLgl w:val="false"/>
      <w:lvlJc w:val="left"/>
      <w:lvlText w:val=""/>
      <w:numFmt w:val="none"/>
      <w:pPr>
        <w:pBdr/>
        <w:tabs>
          <w:tab w:val="num" w:leader="none" w:pos="360"/>
        </w:tabs>
        <w:spacing/>
        <w:ind w:firstLine="0" w:left="0"/>
      </w:pPr>
      <w:rPr>
        <w:rFonts w:eastAsia="TimesNewRoman" w:cs="TimesNewRoman"/>
        <w:sz w:val="20"/>
        <w:szCs w:val="20"/>
      </w:rPr>
      <w:start w:val="0"/>
      <w:suff w:val="nothing"/>
    </w:lvl>
    <w:lvl w:ilvl="5">
      <w:isLgl w:val="false"/>
      <w:lvlJc w:val="left"/>
      <w:lvlText w:val=""/>
      <w:numFmt w:val="none"/>
      <w:pPr>
        <w:pBdr/>
        <w:tabs>
          <w:tab w:val="num" w:leader="none" w:pos="360"/>
        </w:tabs>
        <w:spacing/>
        <w:ind w:firstLine="0" w:left="0"/>
      </w:pPr>
      <w:rPr>
        <w:rFonts w:eastAsia="TimesNewRoman" w:cs="TimesNewRoman"/>
        <w:sz w:val="20"/>
        <w:szCs w:val="20"/>
      </w:rPr>
      <w:start w:val="0"/>
      <w:suff w:val="nothing"/>
    </w:lvl>
    <w:lvl w:ilvl="6">
      <w:isLgl w:val="false"/>
      <w:lvlJc w:val="left"/>
      <w:lvlText w:val=""/>
      <w:numFmt w:val="none"/>
      <w:pPr>
        <w:pBdr/>
        <w:tabs>
          <w:tab w:val="num" w:leader="none" w:pos="360"/>
        </w:tabs>
        <w:spacing/>
        <w:ind w:firstLine="0" w:left="0"/>
      </w:pPr>
      <w:rPr>
        <w:rFonts w:eastAsia="TimesNewRoman" w:cs="TimesNewRoman"/>
        <w:sz w:val="20"/>
        <w:szCs w:val="20"/>
      </w:rPr>
      <w:start w:val="0"/>
      <w:suff w:val="nothing"/>
    </w:lvl>
    <w:lvl w:ilvl="7">
      <w:isLgl w:val="false"/>
      <w:lvlJc w:val="left"/>
      <w:lvlText w:val=""/>
      <w:numFmt w:val="none"/>
      <w:pPr>
        <w:pBdr/>
        <w:tabs>
          <w:tab w:val="num" w:leader="none" w:pos="360"/>
        </w:tabs>
        <w:spacing/>
        <w:ind w:firstLine="0" w:left="0"/>
      </w:pPr>
      <w:rPr>
        <w:rFonts w:eastAsia="TimesNewRoman" w:cs="TimesNewRoman"/>
        <w:sz w:val="20"/>
        <w:szCs w:val="20"/>
      </w:rPr>
      <w:start w:val="0"/>
      <w:suff w:val="nothing"/>
    </w:lvl>
    <w:lvl w:ilvl="8">
      <w:isLgl w:val="false"/>
      <w:lvlJc w:val="left"/>
      <w:lvlText w:val=""/>
      <w:numFmt w:val="none"/>
      <w:pPr>
        <w:pBdr/>
        <w:tabs>
          <w:tab w:val="num" w:leader="none" w:pos="360"/>
        </w:tabs>
        <w:spacing/>
        <w:ind w:firstLine="0" w:left="0"/>
      </w:pPr>
      <w:rPr>
        <w:rFonts w:eastAsia="TimesNewRoman" w:cs="TimesNewRoman"/>
        <w:sz w:val="20"/>
        <w:szCs w:val="20"/>
      </w:rPr>
      <w:start w:val="0"/>
      <w:suff w:val="nothing"/>
    </w:lvl>
  </w:abstractNum>
  <w:abstractNum w:abstractNumId="7">
    <w:lvl w:ilvl="0">
      <w:isLgl w:val="false"/>
      <w:lvlJc w:val="left"/>
      <w:lvlText w:val="%1."/>
      <w:numFmt w:val="decimal"/>
      <w:pPr>
        <w:pBdr/>
        <w:tabs>
          <w:tab w:val="num" w:leader="none" w:pos="0"/>
        </w:tabs>
        <w:spacing/>
        <w:ind w:firstLine="0" w:left="0"/>
      </w:pPr>
      <w:rPr/>
      <w:start w:val="1"/>
      <w:suff w:val="space"/>
    </w:lvl>
    <w:lvl w:ilvl="1">
      <w:isLgl w:val="false"/>
      <w:lvlJc w:val="left"/>
      <w:lvlText w:val="%1.%2."/>
      <w:numFmt w:val="decimal"/>
      <w:pPr>
        <w:pBdr/>
        <w:tabs>
          <w:tab w:val="num" w:leader="none" w:pos="0"/>
        </w:tabs>
        <w:spacing/>
        <w:ind w:firstLine="0" w:left="0"/>
      </w:pPr>
      <w:rPr>
        <w:rFonts w:ascii="Times New Roman" w:hAnsi="Times New Roman" w:cs="Times New Roman"/>
        <w:b/>
        <w:bCs/>
      </w:rPr>
      <w:start w:val="1"/>
      <w:suff w:val="space"/>
    </w:lvl>
    <w:lvl w:ilvl="2">
      <w:isLgl w:val="false"/>
      <w:lvlJc w:val="left"/>
      <w:lvlText w:val="%1.%2.%3."/>
      <w:numFmt w:val="decimal"/>
      <w:pPr>
        <w:pBdr/>
        <w:tabs>
          <w:tab w:val="num" w:leader="none" w:pos="0"/>
        </w:tabs>
        <w:spacing/>
        <w:ind w:firstLine="0" w:left="0"/>
      </w:pPr>
      <w:rPr/>
      <w:start w:val="1"/>
      <w:suff w:val="space"/>
    </w:lvl>
    <w:lvl w:ilvl="3">
      <w:isLgl w:val="false"/>
      <w:lvlJc w:val="left"/>
      <w:lvlText w:val="%1.%2.%3.%4."/>
      <w:numFmt w:val="decimal"/>
      <w:pPr>
        <w:pBdr/>
        <w:tabs>
          <w:tab w:val="num" w:leader="none" w:pos="0"/>
        </w:tabs>
        <w:spacing/>
        <w:ind w:firstLine="0" w:left="0"/>
      </w:pPr>
      <w:rPr/>
      <w:start w:val="1"/>
      <w:suff w:val="space"/>
    </w:lvl>
    <w:lvl w:ilvl="4">
      <w:isLgl w:val="false"/>
      <w:lvlJc w:val="left"/>
      <w:lvlText w:val="%1.%2.%3.%4.%5."/>
      <w:numFmt w:val="decimal"/>
      <w:pPr>
        <w:pBdr/>
        <w:tabs>
          <w:tab w:val="num" w:leader="none" w:pos="0"/>
        </w:tabs>
        <w:spacing/>
        <w:ind w:firstLine="0" w:left="0"/>
      </w:pPr>
      <w:rPr/>
      <w:start w:val="1"/>
      <w:suff w:val="space"/>
    </w:lvl>
    <w:lvl w:ilvl="5">
      <w:isLgl w:val="false"/>
      <w:lvlJc w:val="left"/>
      <w:lvlText w:val="%1.%2.%3.%4.%5.%6."/>
      <w:numFmt w:val="decimal"/>
      <w:pPr>
        <w:pBdr/>
        <w:tabs>
          <w:tab w:val="num" w:leader="none" w:pos="0"/>
        </w:tabs>
        <w:spacing/>
        <w:ind w:firstLine="0" w:left="0"/>
      </w:pPr>
      <w:rPr/>
      <w:start w:val="1"/>
      <w:suff w:val="space"/>
    </w:lvl>
    <w:lvl w:ilvl="6">
      <w:isLgl w:val="false"/>
      <w:lvlJc w:val="left"/>
      <w:lvlText w:val="%1.%2.%3.%4.%5.%6.%7."/>
      <w:numFmt w:val="decimal"/>
      <w:pPr>
        <w:pBdr/>
        <w:tabs>
          <w:tab w:val="num" w:leader="none" w:pos="0"/>
        </w:tabs>
        <w:spacing/>
        <w:ind w:firstLine="0" w:left="0"/>
      </w:pPr>
      <w:rPr/>
      <w:start w:val="1"/>
      <w:suff w:val="space"/>
    </w:lvl>
    <w:lvl w:ilvl="7">
      <w:isLgl w:val="false"/>
      <w:lvlJc w:val="left"/>
      <w:lvlText w:val="%1.%2.%3.%4.%5.%6.%7.%8."/>
      <w:numFmt w:val="decimal"/>
      <w:pPr>
        <w:pBdr/>
        <w:tabs>
          <w:tab w:val="num" w:leader="none" w:pos="0"/>
        </w:tabs>
        <w:spacing/>
        <w:ind w:firstLine="0" w:left="0"/>
      </w:pPr>
      <w:rPr/>
      <w:start w:val="1"/>
      <w:suff w:val="space"/>
    </w:lvl>
    <w:lvl w:ilvl="8">
      <w:isLgl w:val="false"/>
      <w:lvlJc w:val="left"/>
      <w:lvlText w:val="%1.%2.%3.%4.%5.%6.%7.%8.%9."/>
      <w:numFmt w:val="decimal"/>
      <w:pPr>
        <w:pBdr/>
        <w:tabs>
          <w:tab w:val="num" w:leader="none" w:pos="0"/>
        </w:tabs>
        <w:spacing/>
        <w:ind w:firstLine="0" w:left="0"/>
      </w:pPr>
      <w:rPr/>
      <w:start w:val="1"/>
      <w:suff w:val="space"/>
    </w:lvl>
  </w:abstractNum>
  <w:abstractNum w:abstractNumId="8">
    <w:nsid w:val="B523685C"/>
    <w:lvl w:ilvl="0">
      <w:isLgl w:val="false"/>
      <w:lvlJc w:val="left"/>
      <w:lvlText w:val="%1."/>
      <w:numFmt w:val="decimal"/>
      <w:pPr>
        <w:pBdr/>
        <w:spacing/>
        <w:ind w:firstLine="0" w:left="0"/>
      </w:pPr>
      <w:rPr>
        <w:rFonts w:hint="default"/>
      </w:rPr>
      <w:start w:val="1"/>
      <w:suff w:val="space"/>
    </w:lvl>
    <w:lvl w:ilvl="1">
      <w:isLgl w:val="false"/>
      <w:lvlJc w:val="left"/>
      <w:lvlText w:val="%1.%2."/>
      <w:numFmt w:val="decimal"/>
      <w:pPr>
        <w:pBdr/>
        <w:spacing/>
        <w:ind w:firstLine="0" w:left="0"/>
      </w:pPr>
      <w:rPr>
        <w:rFonts w:hint="default" w:ascii="Times New Roman" w:hAnsi="Times New Roman" w:cs="Times New Roman"/>
        <w:b/>
        <w:bCs/>
        <w:highlight w:val="none"/>
      </w:rPr>
      <w:start w:val="1"/>
      <w:suff w:val="space"/>
    </w:lvl>
    <w:lvl w:ilvl="2">
      <w:isLgl w:val="false"/>
      <w:lvlJc w:val="left"/>
      <w:lvlText w:val="%1.%2.%3."/>
      <w:numFmt w:val="decimal"/>
      <w:pPr>
        <w:pBdr/>
        <w:spacing/>
        <w:ind w:firstLine="0" w:left="0"/>
      </w:pPr>
      <w:rPr>
        <w:rFonts w:hint="default"/>
      </w:rPr>
      <w:start w:val="1"/>
      <w:suff w:val="space"/>
    </w:lvl>
    <w:lvl w:ilvl="3">
      <w:isLgl w:val="false"/>
      <w:lvlJc w:val="left"/>
      <w:lvlText w:val="%1.%2.%3.%4."/>
      <w:numFmt w:val="decimal"/>
      <w:pPr>
        <w:pBdr/>
        <w:spacing/>
        <w:ind w:firstLine="0" w:left="0"/>
      </w:pPr>
      <w:rPr>
        <w:rFonts w:hint="default"/>
      </w:rPr>
      <w:start w:val="1"/>
      <w:suff w:val="space"/>
    </w:lvl>
    <w:lvl w:ilvl="4">
      <w:isLgl w:val="false"/>
      <w:lvlJc w:val="left"/>
      <w:lvlText w:val="%1.%2.%3.%4.%5."/>
      <w:numFmt w:val="decimal"/>
      <w:pPr>
        <w:pBdr/>
        <w:spacing/>
        <w:ind w:firstLine="0" w:left="0"/>
      </w:pPr>
      <w:rPr>
        <w:rFonts w:hint="default"/>
      </w:rPr>
      <w:start w:val="1"/>
      <w:suff w:val="space"/>
    </w:lvl>
    <w:lvl w:ilvl="5">
      <w:isLgl w:val="false"/>
      <w:lvlJc w:val="left"/>
      <w:lvlText w:val="%1.%2.%3.%4.%5.%6."/>
      <w:numFmt w:val="decimal"/>
      <w:pPr>
        <w:pBdr/>
        <w:spacing/>
        <w:ind w:firstLine="0" w:left="0"/>
      </w:pPr>
      <w:rPr>
        <w:rFonts w:hint="default"/>
      </w:rPr>
      <w:start w:val="1"/>
      <w:suff w:val="space"/>
    </w:lvl>
    <w:lvl w:ilvl="6">
      <w:isLgl w:val="false"/>
      <w:lvlJc w:val="left"/>
      <w:lvlText w:val="%1.%2.%3.%4.%5.%6.%7."/>
      <w:numFmt w:val="decimal"/>
      <w:pPr>
        <w:pBdr/>
        <w:spacing/>
        <w:ind w:firstLine="0" w:left="0"/>
      </w:pPr>
      <w:rPr>
        <w:rFonts w:hint="default"/>
      </w:rPr>
      <w:start w:val="1"/>
      <w:suff w:val="space"/>
    </w:lvl>
    <w:lvl w:ilvl="7">
      <w:isLgl w:val="false"/>
      <w:lvlJc w:val="left"/>
      <w:lvlText w:val="%1.%2.%3.%4.%5.%6.%7.%8."/>
      <w:numFmt w:val="decimal"/>
      <w:pPr>
        <w:pBdr/>
        <w:spacing/>
        <w:ind w:firstLine="0" w:left="0"/>
      </w:pPr>
      <w:rPr>
        <w:rFonts w:hint="default"/>
      </w:rPr>
      <w:start w:val="1"/>
      <w:suff w:val="space"/>
    </w:lvl>
    <w:lvl w:ilvl="8">
      <w:isLgl w:val="false"/>
      <w:lvlJc w:val="left"/>
      <w:lvlText w:val="%1.%2.%3.%4.%5.%6.%7.%8.%9."/>
      <w:numFmt w:val="decimal"/>
      <w:pPr>
        <w:pBdr/>
        <w:spacing/>
        <w:ind w:firstLine="0" w:left="0"/>
      </w:pPr>
      <w:rPr>
        <w:rFonts w:hint="default"/>
      </w:rPr>
      <w:start w:val="1"/>
      <w:suff w:val="space"/>
    </w:lvl>
  </w:abstractNum>
  <w:abstractNum w:abstractNumId="9">
    <w:nsid w:val="F832BE6C"/>
    <w:lvl w:ilvl="0">
      <w:isLgl w:val="false"/>
      <w:lvlJc w:val="left"/>
      <w:lvlText w:val="%1)"/>
      <w:numFmt w:val="lowerLetter"/>
      <w:pPr>
        <w:pBdr/>
        <w:tabs>
          <w:tab w:val="left" w:leader="none" w:pos="425"/>
        </w:tabs>
        <w:spacing/>
        <w:ind w:hanging="425" w:left="425"/>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0">
    <w:nsid w:val="9C66DE72"/>
    <w:lvl w:ilvl="0">
      <w:isLgl w:val="false"/>
      <w:lvlJc w:val="left"/>
      <w:lvlText w:val="%1)"/>
      <w:numFmt w:val="lowerLetter"/>
      <w:pPr>
        <w:pBdr/>
        <w:tabs>
          <w:tab w:val="left" w:leader="none" w:pos="425"/>
        </w:tabs>
        <w:spacing/>
        <w:ind w:hanging="425" w:left="425"/>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1">
    <w:nsid w:val="B8DC08A3"/>
    <w:lvl w:ilvl="0">
      <w:isLgl w:val="false"/>
      <w:lvlJc w:val="left"/>
      <w:lvlText w:val="%1)"/>
      <w:numFmt w:val="lowerLetter"/>
      <w:pPr>
        <w:pBdr/>
        <w:tabs>
          <w:tab w:val="left" w:leader="none" w:pos="425"/>
        </w:tabs>
        <w:spacing/>
        <w:ind w:hanging="425" w:left="425"/>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2">
    <w:nsid w:val="2FBA5D9A"/>
    <w:lvl w:ilvl="0">
      <w:isLgl w:val="false"/>
      <w:lvlJc w:val="left"/>
      <w:lvlText w:val="%1)"/>
      <w:numFmt w:val="lowerLetter"/>
      <w:pPr>
        <w:pBdr/>
        <w:tabs>
          <w:tab w:val="left" w:leader="none" w:pos="425"/>
        </w:tabs>
        <w:spacing/>
        <w:ind w:hanging="425" w:left="425"/>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3">
    <w:nsid w:val="297BD49E"/>
    <w:lvl w:ilvl="0">
      <w:isLgl w:val="false"/>
      <w:lvlJc w:val="left"/>
      <w:lvlText w:val="%1)"/>
      <w:numFmt w:val="lowerLetter"/>
      <w:pPr>
        <w:pBdr/>
        <w:tabs>
          <w:tab w:val="left" w:leader="none" w:pos="425"/>
        </w:tabs>
        <w:spacing/>
        <w:ind w:hanging="425" w:left="425"/>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4">
    <w:nsid w:val="C20D96E5"/>
    <w:lvl w:ilvl="0">
      <w:isLgl w:val="false"/>
      <w:lvlJc w:val="left"/>
      <w:lvlText w:val="%1)"/>
      <w:numFmt w:val="lowerLetter"/>
      <w:pPr>
        <w:pBdr/>
        <w:tabs>
          <w:tab w:val="left" w:leader="none" w:pos="425"/>
        </w:tabs>
        <w:spacing/>
        <w:ind w:hanging="425" w:left="425"/>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5">
    <w:nsid w:val="B523685C"/>
    <w:lvl w:ilvl="0">
      <w:isLgl w:val="false"/>
      <w:lvlJc w:val="left"/>
      <w:lvlText w:val="%1."/>
      <w:numFmt w:val="decimal"/>
      <w:pPr>
        <w:pBdr/>
        <w:spacing/>
        <w:ind w:firstLine="0" w:left="0"/>
      </w:pPr>
      <w:rPr>
        <w:rFonts w:hint="default"/>
      </w:rPr>
      <w:start w:val="1"/>
      <w:suff w:val="space"/>
    </w:lvl>
    <w:lvl w:ilvl="1">
      <w:isLgl w:val="false"/>
      <w:lvlJc w:val="left"/>
      <w:lvlText w:val="%1.%2."/>
      <w:numFmt w:val="decimal"/>
      <w:pPr>
        <w:pBdr/>
        <w:spacing/>
        <w:ind w:firstLine="0" w:left="0"/>
      </w:pPr>
      <w:rPr>
        <w:rFonts w:hint="default" w:ascii="Times New Roman" w:hAnsi="Times New Roman" w:cs="Times New Roman"/>
        <w:b/>
        <w:bCs/>
        <w:highlight w:val="none"/>
      </w:rPr>
      <w:start w:val="1"/>
      <w:suff w:val="space"/>
    </w:lvl>
    <w:lvl w:ilvl="2">
      <w:isLgl w:val="false"/>
      <w:lvlJc w:val="left"/>
      <w:lvlText w:val="%1.%2.%3."/>
      <w:numFmt w:val="decimal"/>
      <w:pPr>
        <w:pBdr/>
        <w:spacing/>
        <w:ind w:firstLine="0" w:left="0"/>
      </w:pPr>
      <w:rPr>
        <w:rFonts w:hint="default"/>
      </w:rPr>
      <w:start w:val="1"/>
      <w:suff w:val="space"/>
    </w:lvl>
    <w:lvl w:ilvl="3">
      <w:isLgl w:val="false"/>
      <w:lvlJc w:val="left"/>
      <w:lvlText w:val="%1.%2.%3.%4."/>
      <w:numFmt w:val="decimal"/>
      <w:pPr>
        <w:pBdr/>
        <w:spacing/>
        <w:ind w:firstLine="0" w:left="0"/>
      </w:pPr>
      <w:rPr>
        <w:rFonts w:hint="default"/>
      </w:rPr>
      <w:start w:val="1"/>
      <w:suff w:val="space"/>
    </w:lvl>
    <w:lvl w:ilvl="4">
      <w:isLgl w:val="false"/>
      <w:lvlJc w:val="left"/>
      <w:lvlText w:val="%1.%2.%3.%4.%5."/>
      <w:numFmt w:val="decimal"/>
      <w:pPr>
        <w:pBdr/>
        <w:spacing/>
        <w:ind w:firstLine="0" w:left="0"/>
      </w:pPr>
      <w:rPr>
        <w:rFonts w:hint="default"/>
      </w:rPr>
      <w:start w:val="1"/>
      <w:suff w:val="space"/>
    </w:lvl>
    <w:lvl w:ilvl="5">
      <w:isLgl w:val="false"/>
      <w:lvlJc w:val="left"/>
      <w:lvlText w:val="%1.%2.%3.%4.%5.%6."/>
      <w:numFmt w:val="decimal"/>
      <w:pPr>
        <w:pBdr/>
        <w:spacing/>
        <w:ind w:firstLine="0" w:left="0"/>
      </w:pPr>
      <w:rPr>
        <w:rFonts w:hint="default"/>
      </w:rPr>
      <w:start w:val="1"/>
      <w:suff w:val="space"/>
    </w:lvl>
    <w:lvl w:ilvl="6">
      <w:isLgl w:val="false"/>
      <w:lvlJc w:val="left"/>
      <w:lvlText w:val="%1.%2.%3.%4.%5.%6.%7."/>
      <w:numFmt w:val="decimal"/>
      <w:pPr>
        <w:pBdr/>
        <w:spacing/>
        <w:ind w:firstLine="0" w:left="0"/>
      </w:pPr>
      <w:rPr>
        <w:rFonts w:hint="default"/>
      </w:rPr>
      <w:start w:val="1"/>
      <w:suff w:val="space"/>
    </w:lvl>
    <w:lvl w:ilvl="7">
      <w:isLgl w:val="false"/>
      <w:lvlJc w:val="left"/>
      <w:lvlText w:val="%1.%2.%3.%4.%5.%6.%7.%8."/>
      <w:numFmt w:val="decimal"/>
      <w:pPr>
        <w:pBdr/>
        <w:spacing/>
        <w:ind w:firstLine="0" w:left="0"/>
      </w:pPr>
      <w:rPr>
        <w:rFonts w:hint="default"/>
      </w:rPr>
      <w:start w:val="1"/>
      <w:suff w:val="space"/>
    </w:lvl>
    <w:lvl w:ilvl="8">
      <w:isLgl w:val="false"/>
      <w:lvlJc w:val="left"/>
      <w:lvlText w:val="%1.%2.%3.%4.%5.%6.%7.%8.%9."/>
      <w:numFmt w:val="decimal"/>
      <w:pPr>
        <w:pBdr/>
        <w:spacing/>
        <w:ind w:firstLine="0" w:left="0"/>
      </w:pPr>
      <w:rPr>
        <w:rFonts w:hint="default"/>
      </w:rPr>
      <w:start w:val="1"/>
      <w:suff w:val="space"/>
    </w:lvl>
  </w:abstractNum>
  <w:abstractNum w:abstractNumId="16">
    <w:nsid w:val="F832BE6C"/>
    <w:lvl w:ilvl="0">
      <w:isLgl w:val="false"/>
      <w:lvlJc w:val="left"/>
      <w:lvlText w:val="%1)"/>
      <w:numFmt w:val="lowerLetter"/>
      <w:pPr>
        <w:pBdr/>
        <w:tabs>
          <w:tab w:val="left" w:leader="none" w:pos="425"/>
        </w:tabs>
        <w:spacing/>
        <w:ind w:hanging="425" w:left="425"/>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7">
    <w:nsid w:val="9C66DE72"/>
    <w:lvl w:ilvl="0">
      <w:isLgl w:val="false"/>
      <w:lvlJc w:val="left"/>
      <w:lvlText w:val="%1)"/>
      <w:numFmt w:val="lowerLetter"/>
      <w:pPr>
        <w:pBdr/>
        <w:tabs>
          <w:tab w:val="left" w:leader="none" w:pos="425"/>
        </w:tabs>
        <w:spacing/>
        <w:ind w:hanging="425" w:left="425"/>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8">
    <w:nsid w:val="B8DC08A3"/>
    <w:lvl w:ilvl="0">
      <w:isLgl w:val="false"/>
      <w:lvlJc w:val="left"/>
      <w:lvlText w:val="%1)"/>
      <w:numFmt w:val="lowerLetter"/>
      <w:pPr>
        <w:pBdr/>
        <w:tabs>
          <w:tab w:val="left" w:leader="none" w:pos="425"/>
        </w:tabs>
        <w:spacing/>
        <w:ind w:hanging="425" w:left="425"/>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9">
    <w:nsid w:val="2FBA5D9A"/>
    <w:lvl w:ilvl="0">
      <w:isLgl w:val="false"/>
      <w:lvlJc w:val="left"/>
      <w:lvlText w:val="%1)"/>
      <w:numFmt w:val="lowerLetter"/>
      <w:pPr>
        <w:pBdr/>
        <w:tabs>
          <w:tab w:val="left" w:leader="none" w:pos="425"/>
        </w:tabs>
        <w:spacing/>
        <w:ind w:hanging="425" w:left="425"/>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0">
    <w:nsid w:val="297BD49E"/>
    <w:lvl w:ilvl="0">
      <w:isLgl w:val="false"/>
      <w:lvlJc w:val="left"/>
      <w:lvlText w:val="%1)"/>
      <w:numFmt w:val="lowerLetter"/>
      <w:pPr>
        <w:pBdr/>
        <w:tabs>
          <w:tab w:val="left" w:leader="none" w:pos="425"/>
        </w:tabs>
        <w:spacing/>
        <w:ind w:hanging="425" w:left="425"/>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1">
    <w:nsid w:val="C20D96E5"/>
    <w:lvl w:ilvl="0">
      <w:isLgl w:val="false"/>
      <w:lvlJc w:val="left"/>
      <w:lvlText w:val="%1)"/>
      <w:numFmt w:val="lowerLetter"/>
      <w:pPr>
        <w:pBdr/>
        <w:tabs>
          <w:tab w:val="left" w:leader="none" w:pos="425"/>
        </w:tabs>
        <w:spacing/>
        <w:ind w:hanging="425" w:left="425"/>
      </w:pPr>
      <w:rPr>
        <w:rFonts w:hint="default"/>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2">
    <w:lvl w:ilvl="0">
      <w:isLgl w:val="false"/>
      <w:lvlJc w:val="left"/>
      <w:lvlText w:val="%1."/>
      <w:numFmt w:val="decimal"/>
      <w:pPr>
        <w:pBdr/>
        <w:tabs>
          <w:tab w:val="num" w:leader="none" w:pos="0"/>
        </w:tabs>
        <w:spacing/>
        <w:ind w:firstLine="0" w:left="0"/>
      </w:pPr>
      <w:rPr/>
      <w:start w:val="1"/>
      <w:suff w:val="space"/>
    </w:lvl>
    <w:lvl w:ilvl="1">
      <w:isLgl w:val="false"/>
      <w:lvlJc w:val="left"/>
      <w:lvlText w:val="%1.%2."/>
      <w:numFmt w:val="decimal"/>
      <w:pPr>
        <w:pBdr/>
        <w:tabs>
          <w:tab w:val="num" w:leader="none" w:pos="0"/>
        </w:tabs>
        <w:spacing/>
        <w:ind w:firstLine="0" w:left="0"/>
      </w:pPr>
      <w:rPr>
        <w:rFonts w:ascii="Times New Roman" w:hAnsi="Times New Roman" w:cs="Times New Roman"/>
        <w:b/>
        <w:bCs/>
      </w:rPr>
      <w:start w:val="1"/>
      <w:suff w:val="space"/>
    </w:lvl>
    <w:lvl w:ilvl="2">
      <w:isLgl w:val="false"/>
      <w:lvlJc w:val="left"/>
      <w:lvlText w:val="%1.%2.%3."/>
      <w:numFmt w:val="decimal"/>
      <w:pPr>
        <w:pBdr/>
        <w:tabs>
          <w:tab w:val="num" w:leader="none" w:pos="0"/>
        </w:tabs>
        <w:spacing/>
        <w:ind w:firstLine="0" w:left="0"/>
      </w:pPr>
      <w:rPr/>
      <w:start w:val="1"/>
      <w:suff w:val="space"/>
    </w:lvl>
    <w:lvl w:ilvl="3">
      <w:isLgl w:val="false"/>
      <w:lvlJc w:val="left"/>
      <w:lvlText w:val="%1.%2.%3.%4."/>
      <w:numFmt w:val="decimal"/>
      <w:pPr>
        <w:pBdr/>
        <w:tabs>
          <w:tab w:val="num" w:leader="none" w:pos="0"/>
        </w:tabs>
        <w:spacing/>
        <w:ind w:firstLine="0" w:left="0"/>
      </w:pPr>
      <w:rPr/>
      <w:start w:val="1"/>
      <w:suff w:val="space"/>
    </w:lvl>
    <w:lvl w:ilvl="4">
      <w:isLgl w:val="false"/>
      <w:lvlJc w:val="left"/>
      <w:lvlText w:val="%1.%2.%3.%4.%5."/>
      <w:numFmt w:val="decimal"/>
      <w:pPr>
        <w:pBdr/>
        <w:tabs>
          <w:tab w:val="num" w:leader="none" w:pos="0"/>
        </w:tabs>
        <w:spacing/>
        <w:ind w:firstLine="0" w:left="0"/>
      </w:pPr>
      <w:rPr/>
      <w:start w:val="1"/>
      <w:suff w:val="space"/>
    </w:lvl>
    <w:lvl w:ilvl="5">
      <w:isLgl w:val="false"/>
      <w:lvlJc w:val="left"/>
      <w:lvlText w:val="%1.%2.%3.%4.%5.%6."/>
      <w:numFmt w:val="decimal"/>
      <w:pPr>
        <w:pBdr/>
        <w:tabs>
          <w:tab w:val="num" w:leader="none" w:pos="0"/>
        </w:tabs>
        <w:spacing/>
        <w:ind w:firstLine="0" w:left="0"/>
      </w:pPr>
      <w:rPr/>
      <w:start w:val="1"/>
      <w:suff w:val="space"/>
    </w:lvl>
    <w:lvl w:ilvl="6">
      <w:isLgl w:val="false"/>
      <w:lvlJc w:val="left"/>
      <w:lvlText w:val="%1.%2.%3.%4.%5.%6.%7."/>
      <w:numFmt w:val="decimal"/>
      <w:pPr>
        <w:pBdr/>
        <w:tabs>
          <w:tab w:val="num" w:leader="none" w:pos="0"/>
        </w:tabs>
        <w:spacing/>
        <w:ind w:firstLine="0" w:left="0"/>
      </w:pPr>
      <w:rPr/>
      <w:start w:val="1"/>
      <w:suff w:val="space"/>
    </w:lvl>
    <w:lvl w:ilvl="7">
      <w:isLgl w:val="false"/>
      <w:lvlJc w:val="left"/>
      <w:lvlText w:val="%1.%2.%3.%4.%5.%6.%7.%8."/>
      <w:numFmt w:val="decimal"/>
      <w:pPr>
        <w:pBdr/>
        <w:tabs>
          <w:tab w:val="num" w:leader="none" w:pos="0"/>
        </w:tabs>
        <w:spacing/>
        <w:ind w:firstLine="0" w:left="0"/>
      </w:pPr>
      <w:rPr/>
      <w:start w:val="1"/>
      <w:suff w:val="space"/>
    </w:lvl>
    <w:lvl w:ilvl="8">
      <w:isLgl w:val="false"/>
      <w:lvlJc w:val="left"/>
      <w:lvlText w:val="%1.%2.%3.%4.%5.%6.%7.%8.%9."/>
      <w:numFmt w:val="decimal"/>
      <w:pPr>
        <w:pBdr/>
        <w:tabs>
          <w:tab w:val="num" w:leader="none" w:pos="0"/>
        </w:tabs>
        <w:spacing/>
        <w:ind w:firstLine="0" w:left="0"/>
      </w:pPr>
      <w:rPr/>
      <w:start w:val="1"/>
      <w:suff w:val="space"/>
    </w:lvl>
  </w:abstractNum>
  <w:abstractNum w:abstractNumId="23">
    <w:lvl w:ilvl="0">
      <w:isLgl w:val="false"/>
      <w:lvlJc w:val="left"/>
      <w:lvlText w:val="%1)"/>
      <w:numFmt w:val="lowerLetter"/>
      <w:pPr>
        <w:pBdr/>
        <w:tabs>
          <w:tab w:val="num" w:leader="none" w:pos="425"/>
        </w:tabs>
        <w:spacing/>
        <w:ind w:hanging="425" w:left="425"/>
      </w:pPr>
      <w:rPr>
        <w:b/>
        <w:bCs/>
      </w:rPr>
      <w:start w:val="1"/>
      <w:suff w:val="tab"/>
    </w:lvl>
    <w:lvl w:ilvl="1">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2">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3">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4">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5">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6">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7">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8">
      <w:isLgl w:val="false"/>
      <w:lvlJc w:val="left"/>
      <w:lvlText w:val=""/>
      <w:numFmt w:val="bullet"/>
      <w:pPr>
        <w:pBdr/>
        <w:tabs>
          <w:tab w:val="num" w:leader="none" w:pos="0"/>
        </w:tabs>
        <w:spacing/>
        <w:ind w:firstLine="0" w:left="0"/>
      </w:pPr>
      <w:rPr>
        <w:rFonts w:hint="default" w:ascii="OpenSymbol" w:hAnsi="OpenSymbol" w:cs="OpenSymbol"/>
      </w:rPr>
      <w:start w:val="0"/>
      <w:suff w:val="tab"/>
    </w:lvl>
  </w:abstractNum>
  <w:abstractNum w:abstractNumId="24">
    <w:lvl w:ilvl="0">
      <w:isLgl w:val="false"/>
      <w:lvlJc w:val="left"/>
      <w:lvlText w:val="%1)"/>
      <w:numFmt w:val="lowerLetter"/>
      <w:pPr>
        <w:pBdr/>
        <w:tabs>
          <w:tab w:val="num" w:leader="none" w:pos="425"/>
        </w:tabs>
        <w:spacing/>
        <w:ind w:hanging="425" w:left="425"/>
      </w:pPr>
      <w:rPr>
        <w:b/>
        <w:bCs/>
      </w:rPr>
      <w:start w:val="1"/>
      <w:suff w:val="tab"/>
    </w:lvl>
    <w:lvl w:ilvl="1">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2">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3">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4">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5">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6">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7">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8">
      <w:isLgl w:val="false"/>
      <w:lvlJc w:val="left"/>
      <w:lvlText w:val=""/>
      <w:numFmt w:val="bullet"/>
      <w:pPr>
        <w:pBdr/>
        <w:tabs>
          <w:tab w:val="num" w:leader="none" w:pos="0"/>
        </w:tabs>
        <w:spacing/>
        <w:ind w:firstLine="0" w:left="0"/>
      </w:pPr>
      <w:rPr>
        <w:rFonts w:hint="default" w:ascii="OpenSymbol" w:hAnsi="OpenSymbol" w:cs="OpenSymbol"/>
      </w:rPr>
      <w:start w:val="0"/>
      <w:suff w:val="tab"/>
    </w:lvl>
  </w:abstractNum>
  <w:abstractNum w:abstractNumId="25">
    <w:lvl w:ilvl="0">
      <w:isLgl w:val="false"/>
      <w:lvlJc w:val="left"/>
      <w:lvlText w:val="%1)"/>
      <w:numFmt w:val="lowerLetter"/>
      <w:pPr>
        <w:pBdr/>
        <w:tabs>
          <w:tab w:val="num" w:leader="none" w:pos="425"/>
        </w:tabs>
        <w:spacing/>
        <w:ind w:hanging="425" w:left="425"/>
      </w:pPr>
      <w:rPr>
        <w:b/>
        <w:bCs/>
      </w:rPr>
      <w:start w:val="1"/>
      <w:suff w:val="tab"/>
    </w:lvl>
    <w:lvl w:ilvl="1">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2">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3">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4">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5">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6">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7">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8">
      <w:isLgl w:val="false"/>
      <w:lvlJc w:val="left"/>
      <w:lvlText w:val=""/>
      <w:numFmt w:val="bullet"/>
      <w:pPr>
        <w:pBdr/>
        <w:tabs>
          <w:tab w:val="num" w:leader="none" w:pos="0"/>
        </w:tabs>
        <w:spacing/>
        <w:ind w:firstLine="0" w:left="0"/>
      </w:pPr>
      <w:rPr>
        <w:rFonts w:hint="default" w:ascii="OpenSymbol" w:hAnsi="OpenSymbol" w:cs="OpenSymbol"/>
      </w:rPr>
      <w:start w:val="0"/>
      <w:suff w:val="tab"/>
    </w:lvl>
  </w:abstractNum>
  <w:abstractNum w:abstractNumId="26">
    <w:lvl w:ilvl="0">
      <w:isLgl w:val="false"/>
      <w:lvlJc w:val="left"/>
      <w:lvlText w:val="%1)"/>
      <w:numFmt w:val="lowerLetter"/>
      <w:pPr>
        <w:pBdr/>
        <w:tabs>
          <w:tab w:val="num" w:leader="none" w:pos="425"/>
        </w:tabs>
        <w:spacing/>
        <w:ind w:hanging="425" w:left="425"/>
      </w:pPr>
      <w:rPr>
        <w:b/>
        <w:bCs/>
      </w:rPr>
      <w:start w:val="1"/>
      <w:suff w:val="tab"/>
    </w:lvl>
    <w:lvl w:ilvl="1">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2">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3">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4">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5">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6">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7">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8">
      <w:isLgl w:val="false"/>
      <w:lvlJc w:val="left"/>
      <w:lvlText w:val=""/>
      <w:numFmt w:val="bullet"/>
      <w:pPr>
        <w:pBdr/>
        <w:tabs>
          <w:tab w:val="num" w:leader="none" w:pos="0"/>
        </w:tabs>
        <w:spacing/>
        <w:ind w:firstLine="0" w:left="0"/>
      </w:pPr>
      <w:rPr>
        <w:rFonts w:hint="default" w:ascii="OpenSymbol" w:hAnsi="OpenSymbol" w:cs="OpenSymbol"/>
      </w:rPr>
      <w:start w:val="0"/>
      <w:suff w:val="tab"/>
    </w:lvl>
  </w:abstractNum>
  <w:abstractNum w:abstractNumId="27">
    <w:lvl w:ilvl="0">
      <w:isLgl w:val="false"/>
      <w:lvlJc w:val="left"/>
      <w:lvlText w:val="%1)"/>
      <w:numFmt w:val="lowerLetter"/>
      <w:pPr>
        <w:pBdr/>
        <w:tabs>
          <w:tab w:val="num" w:leader="none" w:pos="425"/>
        </w:tabs>
        <w:spacing/>
        <w:ind w:hanging="425" w:left="425"/>
      </w:pPr>
      <w:rPr>
        <w:b/>
        <w:bCs/>
      </w:rPr>
      <w:start w:val="1"/>
      <w:suff w:val="tab"/>
    </w:lvl>
    <w:lvl w:ilvl="1">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2">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3">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4">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5">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6">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7">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8">
      <w:isLgl w:val="false"/>
      <w:lvlJc w:val="left"/>
      <w:lvlText w:val=""/>
      <w:numFmt w:val="bullet"/>
      <w:pPr>
        <w:pBdr/>
        <w:tabs>
          <w:tab w:val="num" w:leader="none" w:pos="0"/>
        </w:tabs>
        <w:spacing/>
        <w:ind w:firstLine="0" w:left="0"/>
      </w:pPr>
      <w:rPr>
        <w:rFonts w:hint="default" w:ascii="OpenSymbol" w:hAnsi="OpenSymbol" w:cs="OpenSymbol"/>
      </w:rPr>
      <w:start w:val="0"/>
      <w:suff w:val="tab"/>
    </w:lvl>
  </w:abstractNum>
  <w:abstractNum w:abstractNumId="28">
    <w:lvl w:ilvl="0">
      <w:isLgl w:val="false"/>
      <w:lvlJc w:val="left"/>
      <w:lvlText w:val="%1)"/>
      <w:numFmt w:val="lowerLetter"/>
      <w:pPr>
        <w:pBdr/>
        <w:tabs>
          <w:tab w:val="num" w:leader="none" w:pos="425"/>
        </w:tabs>
        <w:spacing/>
        <w:ind w:hanging="425" w:left="425"/>
      </w:pPr>
      <w:rPr>
        <w:b/>
        <w:bCs/>
      </w:rPr>
      <w:start w:val="1"/>
      <w:suff w:val="tab"/>
    </w:lvl>
    <w:lvl w:ilvl="1">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2">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3">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4">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5">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6">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7">
      <w:isLgl w:val="false"/>
      <w:lvlJc w:val="left"/>
      <w:lvlText w:val=""/>
      <w:numFmt w:val="bullet"/>
      <w:pPr>
        <w:pBdr/>
        <w:tabs>
          <w:tab w:val="num" w:leader="none" w:pos="0"/>
        </w:tabs>
        <w:spacing/>
        <w:ind w:firstLine="0" w:left="0"/>
      </w:pPr>
      <w:rPr>
        <w:rFonts w:hint="default" w:ascii="OpenSymbol" w:hAnsi="OpenSymbol" w:cs="OpenSymbol"/>
      </w:rPr>
      <w:start w:val="0"/>
      <w:suff w:val="tab"/>
    </w:lvl>
    <w:lvl w:ilvl="8">
      <w:isLgl w:val="false"/>
      <w:lvlJc w:val="left"/>
      <w:lvlText w:val=""/>
      <w:numFmt w:val="bullet"/>
      <w:pPr>
        <w:pBdr/>
        <w:tabs>
          <w:tab w:val="num" w:leader="none" w:pos="0"/>
        </w:tabs>
        <w:spacing/>
        <w:ind w:firstLine="0" w:left="0"/>
      </w:pPr>
      <w:rPr>
        <w:rFonts w:hint="default" w:ascii="OpenSymbol" w:hAnsi="OpenSymbol" w:cs="OpenSymbol"/>
      </w:rPr>
      <w:start w:val="0"/>
      <w:suff w:val="tab"/>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autoHyphenation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NSimSun" w:cs="Arial"/>
        <w:lang w:val="pt-BR" w:eastAsia="pt-BR"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7" w:default="1">
    <w:name w:val="Normal"/>
    <w:qFormat/>
    <w:pPr>
      <w:widowControl w:val="true"/>
      <w:pBdr/>
      <w:bidi w:val="false"/>
      <w:spacing w:after="0" w:before="0"/>
      <w:ind/>
      <w:jc w:val="left"/>
    </w:pPr>
    <w:rPr>
      <w:rFonts w:ascii="Times New Roman" w:hAnsi="Times New Roman" w:eastAsia="NSimSun" w:cs="Arial"/>
      <w:color w:val="auto"/>
      <w:sz w:val="20"/>
      <w:szCs w:val="20"/>
      <w:lang w:val="pt-BR" w:eastAsia="zh-CN" w:bidi="ar-SA"/>
    </w:rPr>
  </w:style>
  <w:style w:type="paragraph" w:styleId="888">
    <w:name w:val="Heading 1"/>
    <w:basedOn w:val="887"/>
    <w:next w:val="887"/>
    <w:link w:val="915"/>
    <w:uiPriority w:val="9"/>
    <w:qFormat/>
    <w:pPr>
      <w:keepNext w:val="true"/>
      <w:numPr>
        <w:ilvl w:val="0"/>
        <w:numId w:val="1"/>
      </w:numPr>
      <w:pBdr/>
      <w:tabs>
        <w:tab w:val="left" w:leader="none" w:pos="0"/>
        <w:tab w:val="clear" w:leader="none" w:pos="708"/>
      </w:tabs>
      <w:spacing w:after="60" w:before="240"/>
      <w:ind/>
      <w:outlineLvl w:val="0"/>
    </w:pPr>
    <w:rPr>
      <w:rFonts w:ascii="Arial" w:hAnsi="Arial" w:cs="Arial"/>
      <w:b/>
      <w:bCs/>
      <w:sz w:val="32"/>
      <w:szCs w:val="32"/>
      <w:lang w:val="en-US"/>
    </w:rPr>
  </w:style>
  <w:style w:type="paragraph" w:styleId="889">
    <w:name w:val="Heading 2"/>
    <w:basedOn w:val="887"/>
    <w:next w:val="887"/>
    <w:link w:val="916"/>
    <w:uiPriority w:val="9"/>
    <w:qFormat/>
    <w:pPr>
      <w:keepNext w:val="true"/>
      <w:widowControl w:val="false"/>
      <w:numPr>
        <w:ilvl w:val="1"/>
        <w:numId w:val="1"/>
      </w:numPr>
      <w:pBdr/>
      <w:tabs>
        <w:tab w:val="left" w:leader="none" w:pos="0"/>
        <w:tab w:val="clear" w:leader="none" w:pos="708"/>
        <w:tab w:val="left" w:leader="none" w:pos="857"/>
        <w:tab w:val="left" w:leader="none" w:pos="2714"/>
        <w:tab w:val="left" w:leader="none" w:pos="6592"/>
        <w:tab w:val="left" w:leader="none" w:pos="8576"/>
        <w:tab w:val="left" w:leader="none" w:pos="10419"/>
      </w:tabs>
      <w:spacing/>
      <w:ind/>
      <w:jc w:val="center"/>
      <w:outlineLvl w:val="1"/>
    </w:pPr>
    <w:rPr>
      <w:rFonts w:ascii="Arial" w:hAnsi="Arial" w:cs="Arial"/>
      <w:b/>
      <w:color w:val="000000"/>
      <w:sz w:val="22"/>
    </w:rPr>
  </w:style>
  <w:style w:type="paragraph" w:styleId="890">
    <w:name w:val="Heading 3"/>
    <w:basedOn w:val="887"/>
    <w:next w:val="887"/>
    <w:link w:val="917"/>
    <w:uiPriority w:val="9"/>
    <w:qFormat/>
    <w:pPr>
      <w:keepNext w:val="true"/>
      <w:numPr>
        <w:ilvl w:val="2"/>
        <w:numId w:val="1"/>
      </w:numPr>
      <w:pBdr/>
      <w:tabs>
        <w:tab w:val="left" w:leader="none" w:pos="0"/>
        <w:tab w:val="clear" w:leader="none" w:pos="708"/>
      </w:tabs>
      <w:spacing w:after="60" w:before="240"/>
      <w:ind/>
      <w:outlineLvl w:val="2"/>
    </w:pPr>
    <w:rPr>
      <w:rFonts w:ascii="Arial" w:hAnsi="Arial" w:cs="Arial"/>
      <w:b/>
      <w:bCs/>
      <w:sz w:val="26"/>
      <w:szCs w:val="26"/>
    </w:rPr>
  </w:style>
  <w:style w:type="paragraph" w:styleId="891">
    <w:name w:val="Heading 4"/>
    <w:basedOn w:val="887"/>
    <w:next w:val="887"/>
    <w:link w:val="918"/>
    <w:uiPriority w:val="9"/>
    <w:qFormat/>
    <w:pPr>
      <w:keepNext w:val="true"/>
      <w:numPr>
        <w:ilvl w:val="3"/>
        <w:numId w:val="1"/>
      </w:numPr>
      <w:pBdr/>
      <w:tabs>
        <w:tab w:val="left" w:leader="none" w:pos="0"/>
        <w:tab w:val="clear" w:leader="none" w:pos="708"/>
      </w:tabs>
      <w:spacing w:after="60" w:before="240"/>
      <w:ind/>
      <w:outlineLvl w:val="3"/>
    </w:pPr>
    <w:rPr>
      <w:b/>
      <w:bCs/>
      <w:sz w:val="28"/>
      <w:szCs w:val="28"/>
    </w:rPr>
  </w:style>
  <w:style w:type="paragraph" w:styleId="892">
    <w:name w:val="Heading 5"/>
    <w:basedOn w:val="887"/>
    <w:next w:val="887"/>
    <w:link w:val="919"/>
    <w:uiPriority w:val="9"/>
    <w:qFormat/>
    <w:pPr>
      <w:numPr>
        <w:ilvl w:val="4"/>
        <w:numId w:val="1"/>
      </w:numPr>
      <w:pBdr/>
      <w:tabs>
        <w:tab w:val="left" w:leader="none" w:pos="0"/>
        <w:tab w:val="clear" w:leader="none" w:pos="708"/>
      </w:tabs>
      <w:spacing w:after="60" w:before="240"/>
      <w:ind/>
      <w:outlineLvl w:val="4"/>
    </w:pPr>
    <w:rPr>
      <w:b/>
      <w:bCs/>
      <w:i/>
      <w:iCs/>
      <w:sz w:val="26"/>
      <w:szCs w:val="26"/>
    </w:rPr>
  </w:style>
  <w:style w:type="paragraph" w:styleId="893">
    <w:name w:val="Heading 6"/>
    <w:basedOn w:val="887"/>
    <w:next w:val="887"/>
    <w:link w:val="920"/>
    <w:uiPriority w:val="9"/>
    <w:unhideWhenUsed/>
    <w:qFormat/>
    <w:pPr>
      <w:keepNext w:val="true"/>
      <w:keepLines w:val="true"/>
      <w:pBdr/>
      <w:spacing w:after="0" w:before="40"/>
      <w:ind/>
      <w:outlineLvl w:val="5"/>
    </w:pPr>
    <w:rPr>
      <w:rFonts w:ascii="Arial" w:hAnsi="Arial" w:eastAsia="Arial" w:cs="Arial"/>
      <w:i/>
      <w:iCs/>
      <w:color w:val="595959"/>
    </w:rPr>
  </w:style>
  <w:style w:type="paragraph" w:styleId="894">
    <w:name w:val="Heading 7"/>
    <w:basedOn w:val="887"/>
    <w:next w:val="887"/>
    <w:link w:val="921"/>
    <w:uiPriority w:val="9"/>
    <w:unhideWhenUsed/>
    <w:qFormat/>
    <w:pPr>
      <w:keepNext w:val="true"/>
      <w:keepLines w:val="true"/>
      <w:pBdr/>
      <w:spacing w:after="0" w:before="40"/>
      <w:ind/>
      <w:outlineLvl w:val="6"/>
    </w:pPr>
    <w:rPr>
      <w:rFonts w:ascii="Arial" w:hAnsi="Arial" w:eastAsia="Arial" w:cs="Arial"/>
      <w:color w:val="595959"/>
    </w:rPr>
  </w:style>
  <w:style w:type="paragraph" w:styleId="895">
    <w:name w:val="Heading 8"/>
    <w:basedOn w:val="887"/>
    <w:next w:val="887"/>
    <w:link w:val="922"/>
    <w:uiPriority w:val="9"/>
    <w:unhideWhenUsed/>
    <w:qFormat/>
    <w:pPr>
      <w:keepNext w:val="true"/>
      <w:keepLines w:val="true"/>
      <w:pBdr/>
      <w:spacing/>
      <w:ind/>
      <w:outlineLvl w:val="7"/>
    </w:pPr>
    <w:rPr>
      <w:rFonts w:ascii="Arial" w:hAnsi="Arial" w:eastAsia="Arial" w:cs="Arial"/>
      <w:i/>
      <w:iCs/>
      <w:color w:val="272727"/>
    </w:rPr>
  </w:style>
  <w:style w:type="paragraph" w:styleId="896">
    <w:name w:val="Heading 9"/>
    <w:basedOn w:val="887"/>
    <w:next w:val="887"/>
    <w:link w:val="923"/>
    <w:uiPriority w:val="9"/>
    <w:unhideWhenUsed/>
    <w:qFormat/>
    <w:pPr>
      <w:keepNext w:val="true"/>
      <w:keepLines w:val="true"/>
      <w:pBdr/>
      <w:spacing/>
      <w:ind/>
      <w:outlineLvl w:val="8"/>
    </w:pPr>
    <w:rPr>
      <w:rFonts w:ascii="Arial" w:hAnsi="Arial" w:eastAsia="Arial" w:cs="Arial"/>
      <w:i/>
      <w:iCs/>
      <w:color w:val="272727"/>
    </w:rPr>
  </w:style>
  <w:style w:type="character" w:styleId="897" w:default="1">
    <w:name w:val="Default Paragraph Font"/>
    <w:uiPriority w:val="1"/>
    <w:semiHidden/>
    <w:unhideWhenUsed/>
    <w:qFormat/>
    <w:pPr>
      <w:pBdr/>
      <w:spacing/>
      <w:ind/>
    </w:pPr>
  </w:style>
  <w:style w:type="character" w:styleId="898" w:customStyle="1">
    <w:name w:val="Heading 1 Char"/>
    <w:uiPriority w:val="9"/>
    <w:qFormat/>
    <w:pPr>
      <w:pBdr/>
      <w:spacing/>
      <w:ind/>
    </w:pPr>
    <w:rPr>
      <w:rFonts w:ascii="Arial" w:hAnsi="Arial" w:eastAsia="Arial" w:cs="Arial"/>
      <w:color w:val="365f91"/>
      <w:sz w:val="40"/>
      <w:szCs w:val="40"/>
    </w:rPr>
  </w:style>
  <w:style w:type="character" w:styleId="899" w:customStyle="1">
    <w:name w:val="Heading 2 Char"/>
    <w:uiPriority w:val="9"/>
    <w:qFormat/>
    <w:pPr>
      <w:pBdr/>
      <w:spacing/>
      <w:ind/>
    </w:pPr>
    <w:rPr>
      <w:rFonts w:ascii="Arial" w:hAnsi="Arial" w:eastAsia="Arial" w:cs="Arial"/>
      <w:color w:val="365f91"/>
      <w:sz w:val="32"/>
      <w:szCs w:val="32"/>
    </w:rPr>
  </w:style>
  <w:style w:type="character" w:styleId="900" w:customStyle="1">
    <w:name w:val="Heading 3 Char"/>
    <w:uiPriority w:val="9"/>
    <w:qFormat/>
    <w:pPr>
      <w:pBdr/>
      <w:spacing/>
      <w:ind/>
    </w:pPr>
    <w:rPr>
      <w:rFonts w:ascii="Arial" w:hAnsi="Arial" w:eastAsia="Arial" w:cs="Arial"/>
      <w:color w:val="365f91"/>
      <w:sz w:val="28"/>
      <w:szCs w:val="28"/>
    </w:rPr>
  </w:style>
  <w:style w:type="character" w:styleId="901" w:customStyle="1">
    <w:name w:val="Heading 4 Char"/>
    <w:uiPriority w:val="9"/>
    <w:qFormat/>
    <w:pPr>
      <w:pBdr/>
      <w:spacing/>
      <w:ind/>
    </w:pPr>
    <w:rPr>
      <w:rFonts w:ascii="Arial" w:hAnsi="Arial" w:eastAsia="Arial" w:cs="Arial"/>
      <w:i/>
      <w:iCs/>
      <w:color w:val="365f91"/>
    </w:rPr>
  </w:style>
  <w:style w:type="character" w:styleId="902" w:customStyle="1">
    <w:name w:val="Heading 5 Char"/>
    <w:uiPriority w:val="9"/>
    <w:qFormat/>
    <w:pPr>
      <w:pBdr/>
      <w:spacing/>
      <w:ind/>
    </w:pPr>
    <w:rPr>
      <w:rFonts w:ascii="Arial" w:hAnsi="Arial" w:eastAsia="Arial" w:cs="Arial"/>
      <w:color w:val="365f91"/>
    </w:rPr>
  </w:style>
  <w:style w:type="character" w:styleId="903" w:customStyle="1">
    <w:name w:val="Heading 6 Char"/>
    <w:uiPriority w:val="9"/>
    <w:qFormat/>
    <w:pPr>
      <w:pBdr/>
      <w:spacing/>
      <w:ind/>
    </w:pPr>
    <w:rPr>
      <w:rFonts w:ascii="Arial" w:hAnsi="Arial" w:eastAsia="Arial" w:cs="Arial"/>
      <w:i/>
      <w:iCs/>
      <w:color w:val="595959"/>
    </w:rPr>
  </w:style>
  <w:style w:type="character" w:styleId="904" w:customStyle="1">
    <w:name w:val="Heading 7 Char"/>
    <w:uiPriority w:val="9"/>
    <w:qFormat/>
    <w:pPr>
      <w:pBdr/>
      <w:spacing/>
      <w:ind/>
    </w:pPr>
    <w:rPr>
      <w:rFonts w:ascii="Arial" w:hAnsi="Arial" w:eastAsia="Arial" w:cs="Arial"/>
      <w:color w:val="595959"/>
    </w:rPr>
  </w:style>
  <w:style w:type="character" w:styleId="905" w:customStyle="1">
    <w:name w:val="Heading 8 Char"/>
    <w:uiPriority w:val="9"/>
    <w:qFormat/>
    <w:pPr>
      <w:pBdr/>
      <w:spacing/>
      <w:ind/>
    </w:pPr>
    <w:rPr>
      <w:rFonts w:ascii="Arial" w:hAnsi="Arial" w:eastAsia="Arial" w:cs="Arial"/>
      <w:i/>
      <w:iCs/>
      <w:color w:val="272727"/>
    </w:rPr>
  </w:style>
  <w:style w:type="character" w:styleId="906" w:customStyle="1">
    <w:name w:val="Heading 9 Char"/>
    <w:uiPriority w:val="9"/>
    <w:qFormat/>
    <w:pPr>
      <w:pBdr/>
      <w:spacing/>
      <w:ind/>
    </w:pPr>
    <w:rPr>
      <w:rFonts w:ascii="Arial" w:hAnsi="Arial" w:eastAsia="Arial" w:cs="Arial"/>
      <w:i/>
      <w:iCs/>
      <w:color w:val="272727"/>
    </w:rPr>
  </w:style>
  <w:style w:type="character" w:styleId="907" w:customStyle="1">
    <w:name w:val="Title Char"/>
    <w:uiPriority w:val="10"/>
    <w:qFormat/>
    <w:pPr>
      <w:pBdr/>
      <w:spacing/>
      <w:ind/>
    </w:pPr>
    <w:rPr>
      <w:rFonts w:ascii="Arial" w:hAnsi="Arial" w:eastAsia="Arial" w:cs="Arial"/>
      <w:spacing w:val="-10"/>
      <w:sz w:val="56"/>
      <w:szCs w:val="56"/>
    </w:rPr>
  </w:style>
  <w:style w:type="character" w:styleId="908" w:customStyle="1">
    <w:name w:val="Subtitle Char"/>
    <w:uiPriority w:val="11"/>
    <w:qFormat/>
    <w:pPr>
      <w:pBdr/>
      <w:spacing/>
      <w:ind/>
    </w:pPr>
    <w:rPr>
      <w:color w:val="595959"/>
      <w:spacing w:val="15"/>
      <w:sz w:val="28"/>
      <w:szCs w:val="28"/>
    </w:rPr>
  </w:style>
  <w:style w:type="character" w:styleId="909" w:customStyle="1">
    <w:name w:val="Quote Char"/>
    <w:uiPriority w:val="29"/>
    <w:qFormat/>
    <w:pPr>
      <w:pBdr/>
      <w:spacing/>
      <w:ind/>
    </w:pPr>
    <w:rPr>
      <w:i/>
      <w:iCs/>
      <w:color w:val="404040"/>
    </w:rPr>
  </w:style>
  <w:style w:type="character" w:styleId="910" w:customStyle="1">
    <w:name w:val="Intense Quote Char"/>
    <w:uiPriority w:val="30"/>
    <w:qFormat/>
    <w:pPr>
      <w:pBdr/>
      <w:spacing/>
      <w:ind/>
    </w:pPr>
    <w:rPr>
      <w:i/>
      <w:iCs/>
      <w:color w:val="365f91"/>
    </w:rPr>
  </w:style>
  <w:style w:type="character" w:styleId="911" w:customStyle="1">
    <w:name w:val="Header Char"/>
    <w:basedOn w:val="897"/>
    <w:uiPriority w:val="99"/>
    <w:qFormat/>
    <w:pPr>
      <w:pBdr/>
      <w:spacing/>
      <w:ind/>
    </w:pPr>
  </w:style>
  <w:style w:type="character" w:styleId="912" w:customStyle="1">
    <w:name w:val="Footer Char"/>
    <w:basedOn w:val="897"/>
    <w:uiPriority w:val="99"/>
    <w:qFormat/>
    <w:pPr>
      <w:pBdr/>
      <w:spacing/>
      <w:ind/>
    </w:pPr>
  </w:style>
  <w:style w:type="character" w:styleId="913" w:customStyle="1">
    <w:name w:val="Footnote Text Char"/>
    <w:uiPriority w:val="99"/>
    <w:semiHidden/>
    <w:qFormat/>
    <w:pPr>
      <w:pBdr/>
      <w:spacing/>
      <w:ind/>
    </w:pPr>
    <w:rPr>
      <w:sz w:val="20"/>
      <w:szCs w:val="20"/>
    </w:rPr>
  </w:style>
  <w:style w:type="character" w:styleId="914" w:customStyle="1">
    <w:name w:val="Endnote Text Char"/>
    <w:uiPriority w:val="99"/>
    <w:semiHidden/>
    <w:qFormat/>
    <w:pPr>
      <w:pBdr/>
      <w:spacing/>
      <w:ind/>
    </w:pPr>
    <w:rPr>
      <w:sz w:val="20"/>
      <w:szCs w:val="20"/>
    </w:rPr>
  </w:style>
  <w:style w:type="character" w:styleId="915" w:customStyle="1">
    <w:name w:val="Título 1 Char1"/>
    <w:uiPriority w:val="9"/>
    <w:qFormat/>
    <w:pPr>
      <w:pBdr/>
      <w:spacing/>
      <w:ind/>
    </w:pPr>
    <w:rPr>
      <w:rFonts w:ascii="Arial" w:hAnsi="Arial" w:cs="Arial"/>
      <w:b/>
      <w:bCs/>
      <w:sz w:val="32"/>
      <w:szCs w:val="32"/>
      <w:lang w:val="en-US" w:eastAsia="zh-CN"/>
    </w:rPr>
  </w:style>
  <w:style w:type="character" w:styleId="916" w:customStyle="1">
    <w:name w:val="Título 2 Char1"/>
    <w:uiPriority w:val="9"/>
    <w:qFormat/>
    <w:pPr>
      <w:pBdr/>
      <w:spacing/>
      <w:ind/>
    </w:pPr>
    <w:rPr>
      <w:rFonts w:ascii="Arial" w:hAnsi="Arial" w:cs="Arial"/>
      <w:b/>
      <w:color w:val="000000"/>
      <w:sz w:val="22"/>
      <w:lang w:eastAsia="zh-CN"/>
    </w:rPr>
  </w:style>
  <w:style w:type="character" w:styleId="917" w:customStyle="1">
    <w:name w:val="Título 3 Char1"/>
    <w:uiPriority w:val="9"/>
    <w:qFormat/>
    <w:pPr>
      <w:pBdr/>
      <w:spacing/>
      <w:ind/>
    </w:pPr>
    <w:rPr>
      <w:rFonts w:ascii="Arial" w:hAnsi="Arial" w:cs="Arial"/>
      <w:b/>
      <w:bCs/>
      <w:sz w:val="26"/>
      <w:szCs w:val="26"/>
      <w:lang w:eastAsia="zh-CN"/>
    </w:rPr>
  </w:style>
  <w:style w:type="character" w:styleId="918" w:customStyle="1">
    <w:name w:val="Título 4 Char1"/>
    <w:uiPriority w:val="9"/>
    <w:qFormat/>
    <w:pPr>
      <w:pBdr/>
      <w:spacing/>
      <w:ind/>
    </w:pPr>
    <w:rPr>
      <w:b/>
      <w:bCs/>
      <w:sz w:val="28"/>
      <w:szCs w:val="28"/>
      <w:lang w:eastAsia="zh-CN"/>
    </w:rPr>
  </w:style>
  <w:style w:type="character" w:styleId="919" w:customStyle="1">
    <w:name w:val="Título 5 Char1"/>
    <w:uiPriority w:val="9"/>
    <w:qFormat/>
    <w:pPr>
      <w:pBdr/>
      <w:spacing/>
      <w:ind/>
    </w:pPr>
    <w:rPr>
      <w:b/>
      <w:bCs/>
      <w:i/>
      <w:iCs/>
      <w:sz w:val="26"/>
      <w:szCs w:val="26"/>
      <w:lang w:eastAsia="zh-CN"/>
    </w:rPr>
  </w:style>
  <w:style w:type="character" w:styleId="920" w:customStyle="1">
    <w:name w:val="Título 6 Char"/>
    <w:uiPriority w:val="9"/>
    <w:qFormat/>
    <w:pPr>
      <w:pBdr/>
      <w:spacing/>
      <w:ind/>
    </w:pPr>
    <w:rPr>
      <w:rFonts w:ascii="Arial" w:hAnsi="Arial" w:eastAsia="Arial" w:cs="Arial"/>
      <w:i/>
      <w:iCs/>
      <w:color w:val="595959"/>
    </w:rPr>
  </w:style>
  <w:style w:type="character" w:styleId="921" w:customStyle="1">
    <w:name w:val="Título 7 Char"/>
    <w:uiPriority w:val="9"/>
    <w:qFormat/>
    <w:pPr>
      <w:pBdr/>
      <w:spacing/>
      <w:ind/>
    </w:pPr>
    <w:rPr>
      <w:rFonts w:ascii="Arial" w:hAnsi="Arial" w:eastAsia="Arial" w:cs="Arial"/>
      <w:color w:val="595959"/>
    </w:rPr>
  </w:style>
  <w:style w:type="character" w:styleId="922" w:customStyle="1">
    <w:name w:val="Título 8 Char"/>
    <w:uiPriority w:val="9"/>
    <w:qFormat/>
    <w:pPr>
      <w:pBdr/>
      <w:spacing/>
      <w:ind/>
    </w:pPr>
    <w:rPr>
      <w:rFonts w:ascii="Arial" w:hAnsi="Arial" w:eastAsia="Arial" w:cs="Arial"/>
      <w:i/>
      <w:iCs/>
      <w:color w:val="272727"/>
    </w:rPr>
  </w:style>
  <w:style w:type="character" w:styleId="923" w:customStyle="1">
    <w:name w:val="Título 9 Char"/>
    <w:uiPriority w:val="9"/>
    <w:qFormat/>
    <w:pPr>
      <w:pBdr/>
      <w:spacing/>
      <w:ind/>
    </w:pPr>
    <w:rPr>
      <w:rFonts w:ascii="Arial" w:hAnsi="Arial" w:eastAsia="Arial" w:cs="Arial"/>
      <w:i/>
      <w:iCs/>
      <w:color w:val="272727"/>
    </w:rPr>
  </w:style>
  <w:style w:type="character" w:styleId="924" w:customStyle="1">
    <w:name w:val="Título Char1"/>
    <w:uiPriority w:val="10"/>
    <w:qFormat/>
    <w:pPr>
      <w:pBdr/>
      <w:spacing/>
      <w:ind/>
    </w:pPr>
    <w:rPr>
      <w:rFonts w:ascii="Arial" w:hAnsi="Arial" w:eastAsia="Arial" w:cs="Arial"/>
      <w:spacing w:val="-10"/>
      <w:sz w:val="56"/>
      <w:szCs w:val="56"/>
    </w:rPr>
  </w:style>
  <w:style w:type="character" w:styleId="925" w:customStyle="1">
    <w:name w:val="Subtítulo Char"/>
    <w:uiPriority w:val="11"/>
    <w:qFormat/>
    <w:pPr>
      <w:pBdr/>
      <w:spacing/>
      <w:ind/>
    </w:pPr>
    <w:rPr>
      <w:color w:val="595959"/>
      <w:spacing w:val="15"/>
      <w:sz w:val="28"/>
      <w:szCs w:val="28"/>
    </w:rPr>
  </w:style>
  <w:style w:type="character" w:styleId="926" w:customStyle="1">
    <w:name w:val="Citação Char2"/>
    <w:link w:val="2037"/>
    <w:uiPriority w:val="29"/>
    <w:qFormat/>
    <w:pPr>
      <w:pBdr/>
      <w:spacing/>
      <w:ind/>
    </w:pPr>
    <w:rPr>
      <w:i/>
      <w:iCs/>
      <w:color w:val="404040"/>
    </w:rPr>
  </w:style>
  <w:style w:type="character" w:styleId="927">
    <w:name w:val="Intense Emphasis"/>
    <w:uiPriority w:val="21"/>
    <w:qFormat/>
    <w:pPr>
      <w:pBdr/>
      <w:spacing/>
      <w:ind/>
    </w:pPr>
    <w:rPr>
      <w:i/>
      <w:iCs/>
      <w:color w:val="365f91"/>
    </w:rPr>
  </w:style>
  <w:style w:type="character" w:styleId="928" w:customStyle="1">
    <w:name w:val="Citação Intensa Char"/>
    <w:link w:val="2039"/>
    <w:uiPriority w:val="30"/>
    <w:qFormat/>
    <w:pPr>
      <w:pBdr/>
      <w:spacing/>
      <w:ind/>
    </w:pPr>
    <w:rPr>
      <w:i/>
      <w:iCs/>
      <w:color w:val="365f91"/>
    </w:rPr>
  </w:style>
  <w:style w:type="character" w:styleId="929">
    <w:name w:val="Intense Reference"/>
    <w:uiPriority w:val="32"/>
    <w:qFormat/>
    <w:pPr>
      <w:pBdr/>
      <w:spacing/>
      <w:ind/>
    </w:pPr>
    <w:rPr>
      <w:b/>
      <w:bCs/>
      <w:smallCaps/>
      <w:color w:val="365f91"/>
      <w:spacing w:val="5"/>
    </w:rPr>
  </w:style>
  <w:style w:type="character" w:styleId="930">
    <w:name w:val="Subtle Emphasis"/>
    <w:uiPriority w:val="19"/>
    <w:qFormat/>
    <w:pPr>
      <w:pBdr/>
      <w:spacing/>
      <w:ind/>
    </w:pPr>
    <w:rPr>
      <w:i/>
      <w:iCs/>
      <w:color w:val="404040"/>
    </w:rPr>
  </w:style>
  <w:style w:type="character" w:styleId="931">
    <w:name w:val="Emphasis"/>
    <w:uiPriority w:val="20"/>
    <w:qFormat/>
    <w:pPr>
      <w:pBdr/>
      <w:spacing/>
      <w:ind/>
    </w:pPr>
    <w:rPr>
      <w:i/>
      <w:iCs/>
    </w:rPr>
  </w:style>
  <w:style w:type="character" w:styleId="932">
    <w:name w:val="Strong"/>
    <w:uiPriority w:val="22"/>
    <w:qFormat/>
    <w:pPr>
      <w:pBdr/>
      <w:spacing/>
      <w:ind/>
    </w:pPr>
    <w:rPr>
      <w:b/>
      <w:bCs/>
    </w:rPr>
  </w:style>
  <w:style w:type="character" w:styleId="933">
    <w:name w:val="Subtle Reference"/>
    <w:uiPriority w:val="31"/>
    <w:qFormat/>
    <w:pPr>
      <w:pBdr/>
      <w:spacing/>
      <w:ind/>
    </w:pPr>
    <w:rPr>
      <w:smallCaps/>
      <w:color w:val="5a5a5a"/>
    </w:rPr>
  </w:style>
  <w:style w:type="character" w:styleId="934">
    <w:name w:val="Book Title"/>
    <w:uiPriority w:val="33"/>
    <w:qFormat/>
    <w:pPr>
      <w:pBdr/>
      <w:spacing/>
      <w:ind/>
    </w:pPr>
    <w:rPr>
      <w:b/>
      <w:bCs/>
      <w:i/>
      <w:iCs/>
      <w:spacing w:val="5"/>
    </w:rPr>
  </w:style>
  <w:style w:type="character" w:styleId="935" w:customStyle="1">
    <w:name w:val="Cabeçalho Char3"/>
    <w:basedOn w:val="897"/>
    <w:uiPriority w:val="99"/>
    <w:qFormat/>
    <w:pPr>
      <w:pBdr/>
      <w:spacing/>
      <w:ind/>
    </w:pPr>
  </w:style>
  <w:style w:type="character" w:styleId="936" w:customStyle="1">
    <w:name w:val="Rodapé Char2"/>
    <w:basedOn w:val="897"/>
    <w:uiPriority w:val="99"/>
    <w:qFormat/>
    <w:pPr>
      <w:pBdr/>
      <w:spacing/>
      <w:ind/>
    </w:pPr>
  </w:style>
  <w:style w:type="character" w:styleId="937" w:customStyle="1">
    <w:name w:val="Texto de nota de rodapé Char2"/>
    <w:uiPriority w:val="99"/>
    <w:semiHidden/>
    <w:qFormat/>
    <w:pPr>
      <w:pBdr/>
      <w:spacing/>
      <w:ind/>
    </w:pPr>
    <w:rPr>
      <w:sz w:val="20"/>
      <w:szCs w:val="20"/>
    </w:rPr>
  </w:style>
  <w:style w:type="character" w:styleId="938" w:customStyle="1">
    <w:name w:val="Caracteres de nota de rodapé"/>
    <w:qFormat/>
    <w:pPr>
      <w:pBdr/>
      <w:spacing/>
      <w:ind/>
    </w:pPr>
    <w:rPr>
      <w:rFonts w:cs="Times New Roman"/>
      <w:vertAlign w:val="superscript"/>
    </w:rPr>
  </w:style>
  <w:style w:type="character" w:styleId="939">
    <w:name w:val="footnote reference"/>
    <w:pPr>
      <w:pBdr/>
      <w:spacing/>
      <w:ind/>
    </w:pPr>
    <w:rPr>
      <w:vertAlign w:val="superscript"/>
    </w:rPr>
  </w:style>
  <w:style w:type="character" w:styleId="940" w:customStyle="1">
    <w:name w:val="Texto de nota de fim Char1"/>
    <w:uiPriority w:val="99"/>
    <w:semiHidden/>
    <w:qFormat/>
    <w:pPr>
      <w:pBdr/>
      <w:spacing/>
      <w:ind/>
    </w:pPr>
    <w:rPr>
      <w:sz w:val="20"/>
      <w:szCs w:val="20"/>
    </w:rPr>
  </w:style>
  <w:style w:type="character" w:styleId="941">
    <w:name w:val="Caracteres de nota de fim"/>
    <w:uiPriority w:val="99"/>
    <w:semiHidden/>
    <w:unhideWhenUsed/>
    <w:qFormat/>
    <w:pPr>
      <w:pBdr/>
      <w:spacing/>
      <w:ind/>
    </w:pPr>
    <w:rPr>
      <w:vertAlign w:val="superscript"/>
    </w:rPr>
  </w:style>
  <w:style w:type="character" w:styleId="942">
    <w:name w:val="endnote reference"/>
    <w:pPr>
      <w:pBdr/>
      <w:spacing/>
      <w:ind/>
    </w:pPr>
    <w:rPr>
      <w:vertAlign w:val="superscript"/>
    </w:rPr>
  </w:style>
  <w:style w:type="character" w:styleId="943">
    <w:name w:val="FollowedHyperlink"/>
    <w:uiPriority w:val="99"/>
    <w:pPr>
      <w:pBdr/>
      <w:spacing/>
      <w:ind/>
    </w:pPr>
    <w:rPr>
      <w:rFonts w:cs="Times New Roman"/>
      <w:u w:val="single"/>
    </w:rPr>
  </w:style>
  <w:style w:type="character" w:styleId="944">
    <w:name w:val="Placeholder Text"/>
    <w:uiPriority w:val="99"/>
    <w:semiHidden/>
    <w:qFormat/>
    <w:pPr>
      <w:pBdr/>
      <w:spacing/>
      <w:ind/>
    </w:pPr>
    <w:rPr>
      <w:color w:val="666666"/>
    </w:rPr>
  </w:style>
  <w:style w:type="character" w:styleId="945" w:customStyle="1">
    <w:name w:val="WW8Num1z0"/>
    <w:uiPriority w:val="99"/>
    <w:qFormat/>
    <w:pPr>
      <w:pBdr/>
      <w:spacing/>
      <w:ind/>
    </w:pPr>
    <w:rPr>
      <w:rFonts w:cs="Times New Roman"/>
    </w:rPr>
  </w:style>
  <w:style w:type="character" w:styleId="946" w:customStyle="1">
    <w:name w:val="WW8Num2z0"/>
    <w:qFormat/>
    <w:pPr>
      <w:pBdr/>
      <w:spacing/>
      <w:ind/>
    </w:pPr>
    <w:rPr>
      <w:rFonts w:cs="Times New Roman"/>
    </w:rPr>
  </w:style>
  <w:style w:type="character" w:styleId="947" w:customStyle="1">
    <w:name w:val="WW8Num3z0"/>
    <w:uiPriority w:val="99"/>
    <w:qFormat/>
    <w:pPr>
      <w:pBdr/>
      <w:spacing/>
      <w:ind/>
    </w:pPr>
    <w:rPr>
      <w:rFonts w:cs="Times New Roman"/>
    </w:rPr>
  </w:style>
  <w:style w:type="character" w:styleId="948" w:customStyle="1">
    <w:name w:val="WW8Num4z0"/>
    <w:uiPriority w:val="99"/>
    <w:qFormat/>
    <w:pPr>
      <w:pBdr/>
      <w:spacing/>
      <w:ind/>
    </w:pPr>
    <w:rPr>
      <w:rFonts w:cs="Times New Roman"/>
    </w:rPr>
  </w:style>
  <w:style w:type="character" w:styleId="949" w:customStyle="1">
    <w:name w:val="WW8Num5z0"/>
    <w:qFormat/>
    <w:pPr>
      <w:pBdr/>
      <w:spacing/>
      <w:ind/>
    </w:pPr>
    <w:rPr>
      <w:rFonts w:ascii="Symbol" w:hAnsi="Symbol" w:cs="Symbol"/>
    </w:rPr>
  </w:style>
  <w:style w:type="character" w:styleId="950" w:customStyle="1">
    <w:name w:val="WW8Num6z0"/>
    <w:uiPriority w:val="99"/>
    <w:qFormat/>
    <w:pPr>
      <w:pBdr/>
      <w:spacing/>
      <w:ind/>
    </w:pPr>
    <w:rPr>
      <w:rFonts w:ascii="Symbol" w:hAnsi="Symbol" w:cs="Symbol"/>
    </w:rPr>
  </w:style>
  <w:style w:type="character" w:styleId="951" w:customStyle="1">
    <w:name w:val="WW8Num7z0"/>
    <w:qFormat/>
    <w:pPr>
      <w:pBdr/>
      <w:spacing/>
      <w:ind/>
    </w:pPr>
    <w:rPr>
      <w:rFonts w:ascii="Symbol" w:hAnsi="Symbol" w:cs="Symbol"/>
    </w:rPr>
  </w:style>
  <w:style w:type="character" w:styleId="952" w:customStyle="1">
    <w:name w:val="WW8Num8z0"/>
    <w:uiPriority w:val="99"/>
    <w:qFormat/>
    <w:pPr>
      <w:pBdr/>
      <w:spacing/>
      <w:ind/>
    </w:pPr>
    <w:rPr>
      <w:rFonts w:ascii="Symbol" w:hAnsi="Symbol" w:cs="Symbol"/>
    </w:rPr>
  </w:style>
  <w:style w:type="character" w:styleId="953" w:customStyle="1">
    <w:name w:val="WW8Num9z0"/>
    <w:uiPriority w:val="99"/>
    <w:qFormat/>
    <w:pPr>
      <w:pBdr/>
      <w:spacing/>
      <w:ind/>
    </w:pPr>
    <w:rPr>
      <w:rFonts w:cs="Times New Roman"/>
    </w:rPr>
  </w:style>
  <w:style w:type="character" w:styleId="954" w:customStyle="1">
    <w:name w:val="WW8Num10z0"/>
    <w:uiPriority w:val="99"/>
    <w:qFormat/>
    <w:pPr>
      <w:pBdr/>
      <w:spacing/>
      <w:ind/>
    </w:pPr>
    <w:rPr>
      <w:rFonts w:ascii="Symbol" w:hAnsi="Symbol" w:cs="Symbol"/>
    </w:rPr>
  </w:style>
  <w:style w:type="character" w:styleId="955" w:customStyle="1">
    <w:name w:val="WW8Num11z0"/>
    <w:uiPriority w:val="99"/>
    <w:qFormat/>
    <w:pPr>
      <w:pBdr/>
      <w:spacing/>
      <w:ind/>
    </w:pPr>
    <w:rPr>
      <w:rFonts w:ascii="Arial" w:hAnsi="Arial" w:cs="Arial"/>
      <w:b/>
      <w:color w:val="000000"/>
      <w:sz w:val="20"/>
      <w:szCs w:val="20"/>
    </w:rPr>
  </w:style>
  <w:style w:type="character" w:styleId="956" w:customStyle="1">
    <w:name w:val="WW8Num11z1"/>
    <w:qFormat/>
    <w:pPr>
      <w:pBdr/>
      <w:spacing/>
      <w:ind/>
    </w:pPr>
  </w:style>
  <w:style w:type="character" w:styleId="957" w:customStyle="1">
    <w:name w:val="WW8Num11z2"/>
    <w:qFormat/>
    <w:pPr>
      <w:pBdr/>
      <w:spacing/>
      <w:ind/>
    </w:pPr>
  </w:style>
  <w:style w:type="character" w:styleId="958" w:customStyle="1">
    <w:name w:val="WW8Num11z3"/>
    <w:qFormat/>
    <w:pPr>
      <w:pBdr/>
      <w:spacing/>
      <w:ind/>
    </w:pPr>
  </w:style>
  <w:style w:type="character" w:styleId="959" w:customStyle="1">
    <w:name w:val="WW8Num11z4"/>
    <w:qFormat/>
    <w:pPr>
      <w:pBdr/>
      <w:spacing/>
      <w:ind/>
    </w:pPr>
  </w:style>
  <w:style w:type="character" w:styleId="960" w:customStyle="1">
    <w:name w:val="WW8Num11z5"/>
    <w:qFormat/>
    <w:pPr>
      <w:pBdr/>
      <w:spacing/>
      <w:ind/>
    </w:pPr>
  </w:style>
  <w:style w:type="character" w:styleId="961" w:customStyle="1">
    <w:name w:val="WW8Num11z6"/>
    <w:qFormat/>
    <w:pPr>
      <w:pBdr/>
      <w:spacing/>
      <w:ind/>
    </w:pPr>
  </w:style>
  <w:style w:type="character" w:styleId="962" w:customStyle="1">
    <w:name w:val="WW8Num11z7"/>
    <w:qFormat/>
    <w:pPr>
      <w:pBdr/>
      <w:spacing/>
      <w:ind/>
    </w:pPr>
  </w:style>
  <w:style w:type="character" w:styleId="963" w:customStyle="1">
    <w:name w:val="WW8Num11z8"/>
    <w:qFormat/>
    <w:pPr>
      <w:pBdr/>
      <w:spacing/>
      <w:ind/>
    </w:pPr>
  </w:style>
  <w:style w:type="character" w:styleId="964" w:customStyle="1">
    <w:name w:val="WW8Num12z0"/>
    <w:uiPriority w:val="99"/>
    <w:qFormat/>
    <w:pPr>
      <w:pBdr/>
      <w:spacing/>
      <w:ind/>
    </w:pPr>
    <w:rPr>
      <w:rFonts w:cs="Times New Roman"/>
      <w:b/>
    </w:rPr>
  </w:style>
  <w:style w:type="character" w:styleId="965" w:customStyle="1">
    <w:name w:val="WW8Num12z1"/>
    <w:uiPriority w:val="99"/>
    <w:qFormat/>
    <w:pPr>
      <w:pBdr/>
      <w:spacing/>
      <w:ind/>
    </w:pPr>
    <w:rPr>
      <w:rFonts w:ascii="Arial" w:hAnsi="Arial" w:cs="Arial"/>
      <w:b/>
    </w:rPr>
  </w:style>
  <w:style w:type="character" w:styleId="966" w:customStyle="1">
    <w:name w:val="WW8Num13z0"/>
    <w:uiPriority w:val="99"/>
    <w:qFormat/>
    <w:pPr>
      <w:pBdr/>
      <w:spacing/>
      <w:ind/>
    </w:pPr>
    <w:rPr>
      <w:rFonts w:cs="Times New Roman"/>
      <w:b/>
    </w:rPr>
  </w:style>
  <w:style w:type="character" w:styleId="967" w:customStyle="1">
    <w:name w:val="WW8Num14z0"/>
    <w:uiPriority w:val="99"/>
    <w:qFormat/>
    <w:pPr>
      <w:pBdr/>
      <w:spacing/>
      <w:ind/>
    </w:pPr>
    <w:rPr>
      <w:b/>
    </w:rPr>
  </w:style>
  <w:style w:type="character" w:styleId="968" w:customStyle="1">
    <w:name w:val="WW8Num14z1"/>
    <w:qFormat/>
    <w:pPr>
      <w:pBdr/>
      <w:spacing/>
      <w:ind/>
    </w:pPr>
    <w:rPr>
      <w:rFonts w:ascii="Arial" w:hAnsi="Arial" w:cs="Arial"/>
      <w:b w:val="0"/>
      <w:i w:val="0"/>
      <w:strike w:val="0"/>
      <w:color w:val="000000"/>
      <w:sz w:val="20"/>
      <w:szCs w:val="20"/>
      <w:u w:val="none"/>
    </w:rPr>
  </w:style>
  <w:style w:type="character" w:styleId="969" w:customStyle="1">
    <w:name w:val="WW8Num14z2"/>
    <w:qFormat/>
    <w:pPr>
      <w:pBdr/>
      <w:spacing/>
      <w:ind/>
    </w:pPr>
    <w:rPr>
      <w:rFonts w:ascii="Arial" w:hAnsi="Arial" w:cs="Arial"/>
      <w:b w:val="0"/>
      <w:i w:val="0"/>
      <w:strike w:val="0"/>
      <w:color w:val="000000"/>
      <w:sz w:val="20"/>
      <w:szCs w:val="20"/>
    </w:rPr>
  </w:style>
  <w:style w:type="character" w:styleId="970" w:customStyle="1">
    <w:name w:val="WW8Num14z3"/>
    <w:qFormat/>
    <w:pPr>
      <w:pBdr/>
      <w:spacing/>
      <w:ind/>
    </w:pPr>
  </w:style>
  <w:style w:type="character" w:styleId="971" w:customStyle="1">
    <w:name w:val="WW8Num15z0"/>
    <w:uiPriority w:val="99"/>
    <w:qFormat/>
    <w:pPr>
      <w:pBdr/>
      <w:spacing/>
      <w:ind/>
    </w:pPr>
    <w:rPr>
      <w:rFonts w:cs="Times New Roman"/>
    </w:rPr>
  </w:style>
  <w:style w:type="character" w:styleId="972" w:customStyle="1">
    <w:name w:val="WW8Num15z1"/>
    <w:uiPriority w:val="99"/>
    <w:qFormat/>
    <w:pPr>
      <w:pBdr/>
      <w:spacing/>
      <w:ind/>
    </w:pPr>
    <w:rPr>
      <w:rFonts w:cs="Times New Roman"/>
      <w:b/>
    </w:rPr>
  </w:style>
  <w:style w:type="character" w:styleId="973" w:customStyle="1">
    <w:name w:val="WW8Num16z0"/>
    <w:uiPriority w:val="99"/>
    <w:qFormat/>
    <w:pPr>
      <w:pBdr/>
      <w:spacing/>
      <w:ind/>
    </w:pPr>
    <w:rPr>
      <w:rFonts w:cs="Times New Roman"/>
      <w:b/>
    </w:rPr>
  </w:style>
  <w:style w:type="character" w:styleId="974" w:customStyle="1">
    <w:name w:val="WW8Num17z0"/>
    <w:uiPriority w:val="99"/>
    <w:qFormat/>
    <w:pPr>
      <w:pBdr/>
      <w:spacing/>
      <w:ind/>
    </w:pPr>
    <w:rPr>
      <w:rFonts w:cs="Times New Roman"/>
    </w:rPr>
  </w:style>
  <w:style w:type="character" w:styleId="975" w:customStyle="1">
    <w:name w:val="WW8Num18z0"/>
    <w:qFormat/>
    <w:pPr>
      <w:pBdr/>
      <w:spacing/>
      <w:ind/>
    </w:pPr>
    <w:rPr>
      <w:rFonts w:cs="Times New Roman"/>
      <w:b/>
    </w:rPr>
  </w:style>
  <w:style w:type="character" w:styleId="976" w:customStyle="1">
    <w:name w:val="WW8Num18z1"/>
    <w:uiPriority w:val="99"/>
    <w:qFormat/>
    <w:pPr>
      <w:pBdr/>
      <w:spacing/>
      <w:ind/>
    </w:pPr>
    <w:rPr>
      <w:rFonts w:ascii="Arial" w:hAnsi="Arial" w:cs="Arial"/>
      <w:b w:val="0"/>
      <w:i w:val="0"/>
      <w:strike w:val="0"/>
      <w:color w:val="000000"/>
      <w:sz w:val="20"/>
      <w:szCs w:val="20"/>
      <w:u w:val="none"/>
    </w:rPr>
  </w:style>
  <w:style w:type="character" w:styleId="977" w:customStyle="1">
    <w:name w:val="WW8Num18z2"/>
    <w:qFormat/>
    <w:pPr>
      <w:pBdr/>
      <w:spacing/>
      <w:ind/>
    </w:pPr>
    <w:rPr>
      <w:rFonts w:ascii="Arial" w:hAnsi="Arial" w:cs="Arial"/>
      <w:b w:val="0"/>
      <w:i w:val="0"/>
      <w:strike w:val="0"/>
      <w:color w:val="000000"/>
      <w:sz w:val="20"/>
      <w:szCs w:val="20"/>
    </w:rPr>
  </w:style>
  <w:style w:type="character" w:styleId="978" w:customStyle="1">
    <w:name w:val="WW8Num18z3"/>
    <w:qFormat/>
    <w:pPr>
      <w:pBdr/>
      <w:spacing/>
      <w:ind/>
    </w:pPr>
    <w:rPr>
      <w:rFonts w:cs="Times New Roman"/>
    </w:rPr>
  </w:style>
  <w:style w:type="character" w:styleId="979" w:customStyle="1">
    <w:name w:val="WW8Num19z0"/>
    <w:uiPriority w:val="99"/>
    <w:qFormat/>
    <w:pPr>
      <w:pBdr/>
      <w:spacing/>
      <w:ind/>
    </w:pPr>
    <w:rPr>
      <w:rFonts w:cs="Times New Roman"/>
    </w:rPr>
  </w:style>
  <w:style w:type="character" w:styleId="980" w:customStyle="1">
    <w:name w:val="WW8Num20z0"/>
    <w:qFormat/>
    <w:pPr>
      <w:pBdr/>
      <w:spacing/>
      <w:ind/>
    </w:pPr>
    <w:rPr>
      <w:rFonts w:cs="Times New Roman"/>
      <w:b/>
    </w:rPr>
  </w:style>
  <w:style w:type="character" w:styleId="981" w:customStyle="1">
    <w:name w:val="WW8Num21z0"/>
    <w:uiPriority w:val="99"/>
    <w:qFormat/>
    <w:pPr>
      <w:pBdr/>
      <w:spacing/>
      <w:ind/>
    </w:pPr>
    <w:rPr>
      <w:rFonts w:cs="Times New Roman"/>
      <w:b w:val="0"/>
      <w:i w:val="0"/>
      <w:sz w:val="24"/>
    </w:rPr>
  </w:style>
  <w:style w:type="character" w:styleId="982" w:customStyle="1">
    <w:name w:val="WW8Num21z1"/>
    <w:uiPriority w:val="99"/>
    <w:qFormat/>
    <w:pPr>
      <w:pBdr/>
      <w:spacing/>
      <w:ind/>
    </w:pPr>
    <w:rPr>
      <w:rFonts w:ascii="Arial" w:hAnsi="Arial" w:cs="Arial"/>
      <w:b w:val="0"/>
      <w:i w:val="0"/>
      <w:color w:val="000000"/>
      <w:sz w:val="20"/>
      <w:szCs w:val="20"/>
    </w:rPr>
  </w:style>
  <w:style w:type="character" w:styleId="983" w:customStyle="1">
    <w:name w:val="WW8Num21z2"/>
    <w:uiPriority w:val="99"/>
    <w:qFormat/>
    <w:pPr>
      <w:pBdr/>
      <w:spacing/>
      <w:ind/>
    </w:pPr>
    <w:rPr>
      <w:rFonts w:cs="Times New Roman"/>
      <w:b w:val="0"/>
      <w:i w:val="0"/>
      <w:color w:val="000000"/>
      <w:sz w:val="20"/>
      <w:szCs w:val="20"/>
    </w:rPr>
  </w:style>
  <w:style w:type="character" w:styleId="984" w:customStyle="1">
    <w:name w:val="WW8Num21z3"/>
    <w:uiPriority w:val="99"/>
    <w:qFormat/>
    <w:pPr>
      <w:pBdr/>
      <w:spacing/>
      <w:ind/>
    </w:pPr>
    <w:rPr>
      <w:rFonts w:cs="Times New Roman"/>
      <w:b w:val="0"/>
      <w:i w:val="0"/>
    </w:rPr>
  </w:style>
  <w:style w:type="character" w:styleId="985" w:customStyle="1">
    <w:name w:val="WW8Num21z4"/>
    <w:uiPriority w:val="99"/>
    <w:qFormat/>
    <w:pPr>
      <w:pBdr/>
      <w:spacing/>
      <w:ind/>
    </w:pPr>
    <w:rPr>
      <w:rFonts w:cs="Times New Roman"/>
      <w:b/>
      <w:i w:val="0"/>
    </w:rPr>
  </w:style>
  <w:style w:type="character" w:styleId="986" w:customStyle="1">
    <w:name w:val="WW8Num21z5"/>
    <w:uiPriority w:val="99"/>
    <w:qFormat/>
    <w:pPr>
      <w:pBdr/>
      <w:spacing/>
      <w:ind/>
    </w:pPr>
    <w:rPr>
      <w:rFonts w:cs="Times New Roman"/>
    </w:rPr>
  </w:style>
  <w:style w:type="character" w:styleId="987" w:customStyle="1">
    <w:name w:val="WW8Num22z0"/>
    <w:qFormat/>
    <w:pPr>
      <w:pBdr/>
      <w:spacing/>
      <w:ind/>
    </w:pPr>
    <w:rPr>
      <w:rFonts w:cs="Times New Roman"/>
    </w:rPr>
  </w:style>
  <w:style w:type="character" w:styleId="988" w:customStyle="1">
    <w:name w:val="WW8Num22z1"/>
    <w:uiPriority w:val="99"/>
    <w:qFormat/>
    <w:pPr>
      <w:pBdr/>
      <w:spacing/>
      <w:ind/>
    </w:pPr>
    <w:rPr>
      <w:rFonts w:cs="Times New Roman"/>
      <w:b/>
    </w:rPr>
  </w:style>
  <w:style w:type="character" w:styleId="989" w:customStyle="1">
    <w:name w:val="WW8Num23z0"/>
    <w:uiPriority w:val="99"/>
    <w:qFormat/>
    <w:pPr>
      <w:pBdr/>
      <w:spacing/>
      <w:ind/>
    </w:pPr>
    <w:rPr>
      <w:rFonts w:ascii="Arial" w:hAnsi="Arial" w:eastAsia="Times New Roman" w:cs="Arial"/>
      <w:b/>
      <w:bCs/>
      <w:sz w:val="20"/>
      <w:szCs w:val="20"/>
    </w:rPr>
  </w:style>
  <w:style w:type="character" w:styleId="990" w:customStyle="1">
    <w:name w:val="WW8Num23z1"/>
    <w:uiPriority w:val="99"/>
    <w:qFormat/>
    <w:pPr>
      <w:pBdr/>
      <w:spacing/>
      <w:ind/>
    </w:pPr>
    <w:rPr>
      <w:rFonts w:cs="Times New Roman"/>
      <w:b/>
      <w:bCs/>
      <w:color w:val="000000"/>
      <w:spacing w:val="-1"/>
      <w:sz w:val="22"/>
      <w:szCs w:val="22"/>
    </w:rPr>
  </w:style>
  <w:style w:type="character" w:styleId="991" w:customStyle="1">
    <w:name w:val="WW8Num23z2"/>
    <w:uiPriority w:val="99"/>
    <w:qFormat/>
    <w:pPr>
      <w:pBdr/>
      <w:spacing/>
      <w:ind/>
    </w:pPr>
    <w:rPr>
      <w:rFonts w:ascii="Arial" w:hAnsi="Arial" w:eastAsia="Times New Roman" w:cs="Arial"/>
      <w:b/>
      <w:bCs/>
      <w:spacing w:val="-1"/>
      <w:sz w:val="20"/>
      <w:szCs w:val="20"/>
    </w:rPr>
  </w:style>
  <w:style w:type="character" w:styleId="992" w:customStyle="1">
    <w:name w:val="WW8Num23z3"/>
    <w:uiPriority w:val="99"/>
    <w:qFormat/>
    <w:pPr>
      <w:pBdr/>
      <w:spacing/>
      <w:ind/>
    </w:pPr>
  </w:style>
  <w:style w:type="character" w:styleId="993" w:customStyle="1">
    <w:name w:val="Fonte parág. padrão3"/>
    <w:qFormat/>
    <w:pPr>
      <w:pBdr/>
      <w:spacing/>
      <w:ind/>
    </w:pPr>
  </w:style>
  <w:style w:type="character" w:styleId="994" w:customStyle="1">
    <w:name w:val="Hyperlink"/>
    <w:uiPriority w:val="99"/>
    <w:unhideWhenUsed/>
    <w:qFormat/>
    <w:pPr>
      <w:pBdr/>
      <w:spacing/>
      <w:ind/>
    </w:pPr>
    <w:rPr>
      <w:rFonts w:cs="Times New Roman"/>
      <w:color w:val="0000ff"/>
      <w:u w:val="single"/>
    </w:rPr>
  </w:style>
  <w:style w:type="character" w:styleId="995">
    <w:name w:val="page number"/>
    <w:uiPriority w:val="99"/>
    <w:qFormat/>
    <w:pPr>
      <w:pBdr/>
      <w:spacing/>
      <w:ind/>
    </w:pPr>
  </w:style>
  <w:style w:type="character" w:styleId="996" w:customStyle="1">
    <w:name w:val="Fonte parág. padrão2"/>
    <w:qFormat/>
    <w:pPr>
      <w:pBdr/>
      <w:spacing/>
      <w:ind/>
    </w:pPr>
  </w:style>
  <w:style w:type="character" w:styleId="997" w:customStyle="1">
    <w:name w:val="WW8Num1z1"/>
    <w:uiPriority w:val="99"/>
    <w:qFormat/>
    <w:pPr>
      <w:pBdr/>
      <w:spacing/>
      <w:ind/>
    </w:pPr>
    <w:rPr>
      <w:b/>
    </w:rPr>
  </w:style>
  <w:style w:type="character" w:styleId="998" w:customStyle="1">
    <w:name w:val="WW8Num8z1"/>
    <w:uiPriority w:val="99"/>
    <w:qFormat/>
    <w:pPr>
      <w:pBdr/>
      <w:spacing/>
      <w:ind/>
    </w:pPr>
    <w:rPr>
      <w:rFonts w:ascii="Arial" w:hAnsi="Arial" w:cs="Arial"/>
      <w:b w:val="0"/>
      <w:i w:val="0"/>
      <w:strike w:val="0"/>
      <w:color w:val="000000"/>
      <w:sz w:val="20"/>
      <w:szCs w:val="20"/>
      <w:u w:val="none"/>
    </w:rPr>
  </w:style>
  <w:style w:type="character" w:styleId="999" w:customStyle="1">
    <w:name w:val="WW8Num8z2"/>
    <w:uiPriority w:val="99"/>
    <w:qFormat/>
    <w:pPr>
      <w:pBdr/>
      <w:spacing/>
      <w:ind/>
    </w:pPr>
    <w:rPr>
      <w:rFonts w:ascii="Arial" w:hAnsi="Arial" w:cs="Arial"/>
      <w:b w:val="0"/>
      <w:i w:val="0"/>
      <w:strike w:val="0"/>
      <w:color w:val="000000"/>
      <w:sz w:val="20"/>
      <w:szCs w:val="20"/>
    </w:rPr>
  </w:style>
  <w:style w:type="character" w:styleId="1000" w:customStyle="1">
    <w:name w:val="WW8Num8z3"/>
    <w:uiPriority w:val="99"/>
    <w:qFormat/>
    <w:pPr>
      <w:pBdr/>
      <w:spacing/>
      <w:ind/>
    </w:pPr>
  </w:style>
  <w:style w:type="character" w:styleId="1001" w:customStyle="1">
    <w:name w:val="WW8Num25z0"/>
    <w:uiPriority w:val="99"/>
    <w:qFormat/>
    <w:pPr>
      <w:pBdr/>
      <w:spacing/>
      <w:ind/>
    </w:pPr>
    <w:rPr>
      <w:b w:val="0"/>
      <w:bCs w:val="0"/>
      <w:sz w:val="20"/>
      <w:szCs w:val="20"/>
    </w:rPr>
  </w:style>
  <w:style w:type="character" w:styleId="1002" w:customStyle="1">
    <w:name w:val="WW8Num27z0"/>
    <w:uiPriority w:val="99"/>
    <w:qFormat/>
    <w:pPr>
      <w:pBdr/>
      <w:spacing/>
      <w:ind/>
    </w:pPr>
    <w:rPr>
      <w:rFonts w:cs="Times New Roman"/>
    </w:rPr>
  </w:style>
  <w:style w:type="character" w:styleId="1003" w:customStyle="1">
    <w:name w:val="WW8Num27z1"/>
    <w:uiPriority w:val="99"/>
    <w:qFormat/>
    <w:pPr>
      <w:pBdr/>
      <w:spacing/>
      <w:ind/>
    </w:pPr>
    <w:rPr>
      <w:rFonts w:cs="Times New Roman"/>
      <w:b/>
    </w:rPr>
  </w:style>
  <w:style w:type="character" w:styleId="1004" w:customStyle="1">
    <w:name w:val="WW8Num28z0"/>
    <w:qFormat/>
    <w:pPr>
      <w:pBdr/>
      <w:spacing/>
      <w:ind/>
    </w:pPr>
    <w:rPr>
      <w:b w:val="0"/>
      <w:bCs w:val="0"/>
      <w:sz w:val="20"/>
      <w:szCs w:val="20"/>
    </w:rPr>
  </w:style>
  <w:style w:type="character" w:styleId="1005" w:customStyle="1">
    <w:name w:val="WW8Num29z0"/>
    <w:qFormat/>
    <w:pPr>
      <w:pBdr/>
      <w:spacing/>
      <w:ind/>
    </w:pPr>
    <w:rPr>
      <w:b w:val="0"/>
      <w:bCs w:val="0"/>
      <w:sz w:val="20"/>
      <w:szCs w:val="20"/>
    </w:rPr>
  </w:style>
  <w:style w:type="character" w:styleId="1006" w:customStyle="1">
    <w:name w:val="WW8Num33z0"/>
    <w:qFormat/>
    <w:pPr>
      <w:pBdr/>
      <w:spacing/>
      <w:ind/>
    </w:pPr>
    <w:rPr>
      <w:b w:val="0"/>
      <w:bCs w:val="0"/>
      <w:sz w:val="20"/>
      <w:szCs w:val="20"/>
    </w:rPr>
  </w:style>
  <w:style w:type="character" w:styleId="1007" w:customStyle="1">
    <w:name w:val="WW8Num34z0"/>
    <w:qFormat/>
    <w:pPr>
      <w:pBdr/>
      <w:spacing/>
      <w:ind/>
    </w:pPr>
    <w:rPr>
      <w:b w:val="0"/>
      <w:bCs w:val="0"/>
      <w:sz w:val="20"/>
      <w:szCs w:val="20"/>
    </w:rPr>
  </w:style>
  <w:style w:type="character" w:styleId="1008" w:customStyle="1">
    <w:name w:val="Título 2 Char"/>
    <w:uiPriority w:val="9"/>
    <w:qFormat/>
    <w:pPr>
      <w:pBdr/>
      <w:spacing/>
      <w:ind/>
    </w:pPr>
    <w:rPr>
      <w:rFonts w:ascii="Arial" w:hAnsi="Arial" w:eastAsia="Times New Roman" w:cs="Arial"/>
      <w:b/>
      <w:color w:val="000000"/>
      <w:sz w:val="22"/>
    </w:rPr>
  </w:style>
  <w:style w:type="character" w:styleId="1009" w:customStyle="1">
    <w:name w:val="Texto sem Formatação Char"/>
    <w:link w:val="2321"/>
    <w:uiPriority w:val="99"/>
    <w:qFormat/>
    <w:pPr>
      <w:pBdr/>
      <w:spacing/>
      <w:ind/>
    </w:pPr>
    <w:rPr>
      <w:rFonts w:ascii="Courier New" w:hAnsi="Courier New" w:eastAsia="Times New Roman" w:cs="Courier New"/>
    </w:rPr>
  </w:style>
  <w:style w:type="character" w:styleId="1010" w:customStyle="1">
    <w:name w:val="paginarotulo"/>
    <w:qFormat/>
    <w:pPr>
      <w:pBdr/>
      <w:spacing/>
      <w:ind/>
    </w:pPr>
  </w:style>
  <w:style w:type="character" w:styleId="1011" w:customStyle="1">
    <w:name w:val="apple-converted-space"/>
    <w:uiPriority w:val="99"/>
    <w:qFormat/>
    <w:pPr>
      <w:pBdr/>
      <w:spacing/>
      <w:ind/>
    </w:pPr>
  </w:style>
  <w:style w:type="character" w:styleId="1012" w:customStyle="1">
    <w:name w:val="Cabeçalho Char"/>
    <w:uiPriority w:val="99"/>
    <w:qFormat/>
    <w:pPr>
      <w:pBdr/>
      <w:spacing/>
      <w:ind/>
    </w:pPr>
    <w:rPr>
      <w:rFonts w:eastAsia="Times New Roman"/>
      <w:lang w:val="en-US"/>
    </w:rPr>
  </w:style>
  <w:style w:type="character" w:styleId="1013" w:customStyle="1">
    <w:name w:val="Corpo de texto 3 Char"/>
    <w:uiPriority w:val="99"/>
    <w:qFormat/>
    <w:pPr>
      <w:pBdr/>
      <w:spacing/>
      <w:ind/>
    </w:pPr>
    <w:rPr>
      <w:rFonts w:eastAsia="Times New Roman"/>
      <w:sz w:val="16"/>
      <w:szCs w:val="16"/>
      <w:lang w:val="en-US"/>
    </w:rPr>
  </w:style>
  <w:style w:type="character" w:styleId="1014" w:customStyle="1">
    <w:name w:val="Parágrafo da Lista Char"/>
    <w:qFormat/>
    <w:pPr>
      <w:pBdr/>
      <w:spacing/>
      <w:ind/>
    </w:pPr>
    <w:rPr>
      <w:rFonts w:ascii="Ecofont_Spranq_eco_Sans" w:hAnsi="Ecofont_Spranq_eco_Sans" w:eastAsia="Times New Roman" w:cs="Tahoma"/>
      <w:sz w:val="24"/>
      <w:szCs w:val="24"/>
    </w:rPr>
  </w:style>
  <w:style w:type="character" w:styleId="1015" w:customStyle="1">
    <w:name w:val="Rodapé Char"/>
    <w:uiPriority w:val="99"/>
    <w:qFormat/>
    <w:pPr>
      <w:pBdr/>
      <w:spacing/>
      <w:ind/>
    </w:pPr>
    <w:rPr>
      <w:rFonts w:eastAsia="Times New Roman"/>
      <w:lang w:val="en-US"/>
    </w:rPr>
  </w:style>
  <w:style w:type="character" w:styleId="1016" w:customStyle="1">
    <w:name w:val="Texto de nota de rodapé Char"/>
    <w:qFormat/>
    <w:pPr>
      <w:pBdr/>
      <w:spacing/>
      <w:ind/>
    </w:pPr>
  </w:style>
  <w:style w:type="character" w:styleId="1017" w:customStyle="1">
    <w:name w:val="citação 2 Char"/>
    <w:qFormat/>
    <w:pPr>
      <w:pBdr/>
      <w:spacing/>
      <w:ind/>
    </w:pPr>
    <w:rPr>
      <w:rFonts w:ascii="Arial" w:hAnsi="Arial" w:eastAsia="Calibri" w:cs="Tahoma"/>
      <w:i/>
      <w:iCs/>
      <w:color w:val="000000"/>
      <w:shd w:val="clear" w:color="auto" w:fill="ffffcc"/>
    </w:rPr>
  </w:style>
  <w:style w:type="character" w:styleId="1018" w:customStyle="1">
    <w:name w:val="Citação Char"/>
    <w:qFormat/>
    <w:pPr>
      <w:pBdr/>
      <w:spacing/>
      <w:ind/>
    </w:pPr>
    <w:rPr>
      <w:rFonts w:eastAsia="Times New Roman"/>
      <w:i/>
      <w:iCs/>
      <w:color w:val="404040"/>
    </w:rPr>
  </w:style>
  <w:style w:type="character" w:styleId="1019" w:customStyle="1">
    <w:name w:val="Ref. de comentário1"/>
    <w:qFormat/>
    <w:pPr>
      <w:pBdr/>
      <w:spacing/>
      <w:ind/>
    </w:pPr>
    <w:rPr>
      <w:sz w:val="16"/>
      <w:szCs w:val="16"/>
    </w:rPr>
  </w:style>
  <w:style w:type="character" w:styleId="1020" w:customStyle="1">
    <w:name w:val="Texto de comentário Char"/>
    <w:link w:val="2318"/>
    <w:uiPriority w:val="99"/>
    <w:qFormat/>
    <w:pPr>
      <w:pBdr/>
      <w:spacing/>
      <w:ind/>
    </w:pPr>
    <w:rPr>
      <w:rFonts w:ascii="Ecofont_Spranq_eco_Sans" w:hAnsi="Ecofont_Spranq_eco_Sans" w:eastAsia="MS Mincho" w:cs="Tahoma"/>
    </w:rPr>
  </w:style>
  <w:style w:type="character" w:styleId="1021" w:customStyle="1">
    <w:name w:val="Nivel 2 Char"/>
    <w:qFormat/>
    <w:pPr>
      <w:pBdr/>
      <w:spacing/>
      <w:ind/>
    </w:pPr>
    <w:rPr>
      <w:rFonts w:ascii="Arial" w:hAnsi="Arial" w:eastAsia="MS Mincho" w:cs="Arial"/>
      <w:color w:val="000000"/>
    </w:rPr>
  </w:style>
  <w:style w:type="character" w:styleId="1022" w:customStyle="1">
    <w:name w:val="Nível 2 -Red Char"/>
    <w:qFormat/>
    <w:pPr>
      <w:pBdr/>
      <w:spacing/>
      <w:ind/>
    </w:pPr>
    <w:rPr>
      <w:rFonts w:ascii="Arial" w:hAnsi="Arial" w:eastAsia="MS Mincho" w:cs="Arial"/>
      <w:i/>
      <w:iCs/>
      <w:color w:val="ff0000"/>
    </w:rPr>
  </w:style>
  <w:style w:type="character" w:styleId="1023" w:customStyle="1">
    <w:name w:val="Nivel 3 Char"/>
    <w:qFormat/>
    <w:pPr>
      <w:pBdr/>
      <w:spacing/>
      <w:ind/>
    </w:pPr>
    <w:rPr>
      <w:rFonts w:ascii="Arial" w:hAnsi="Arial" w:eastAsia="MS Mincho" w:cs="Arial"/>
      <w:color w:val="000000"/>
    </w:rPr>
  </w:style>
  <w:style w:type="character" w:styleId="1024" w:customStyle="1">
    <w:name w:val="Nível 3-R Char"/>
    <w:qFormat/>
    <w:pPr>
      <w:pBdr/>
      <w:spacing/>
      <w:ind/>
    </w:pPr>
    <w:rPr>
      <w:rFonts w:ascii="Arial" w:hAnsi="Arial" w:eastAsia="MS Mincho" w:cs="Arial"/>
      <w:i/>
      <w:iCs/>
      <w:color w:val="ff0000"/>
    </w:rPr>
  </w:style>
  <w:style w:type="character" w:styleId="1025" w:customStyle="1">
    <w:name w:val="Assunto do comentário Char"/>
    <w:uiPriority w:val="99"/>
    <w:qFormat/>
    <w:pPr>
      <w:pBdr/>
      <w:spacing/>
      <w:ind/>
    </w:pPr>
    <w:rPr>
      <w:rFonts w:ascii="Ecofont_Spranq_eco_Sans" w:hAnsi="Ecofont_Spranq_eco_Sans" w:eastAsia="Times New Roman" w:cs="Tahoma"/>
      <w:b/>
      <w:bCs/>
    </w:rPr>
  </w:style>
  <w:style w:type="character" w:styleId="1026" w:customStyle="1">
    <w:name w:val="Nivel 01 Char"/>
    <w:qFormat/>
    <w:pPr>
      <w:pBdr/>
      <w:spacing/>
      <w:ind/>
    </w:pPr>
    <w:rPr>
      <w:rFonts w:ascii="Ecofont_Spranq_eco_Sans" w:hAnsi="Ecofont_Spranq_eco_Sans" w:eastAsia="MS Gothic" w:cs="Ecofont_Spranq_eco_Sans"/>
      <w:b/>
      <w:bCs/>
      <w:color w:val="000000"/>
    </w:rPr>
  </w:style>
  <w:style w:type="character" w:styleId="1027" w:customStyle="1">
    <w:name w:val="normaltextrun"/>
    <w:qFormat/>
    <w:pPr>
      <w:pBdr/>
      <w:spacing/>
      <w:ind/>
    </w:pPr>
  </w:style>
  <w:style w:type="character" w:styleId="1028" w:customStyle="1">
    <w:name w:val="eop"/>
    <w:qFormat/>
    <w:pPr>
      <w:pBdr/>
      <w:spacing/>
      <w:ind/>
    </w:pPr>
  </w:style>
  <w:style w:type="character" w:styleId="1029" w:customStyle="1">
    <w:name w:val="Nivel 4 Char"/>
    <w:qFormat/>
    <w:pPr>
      <w:pBdr/>
      <w:spacing/>
      <w:ind/>
    </w:pPr>
    <w:rPr>
      <w:rFonts w:ascii="Arial" w:hAnsi="Arial" w:eastAsia="MS Mincho" w:cs="Arial"/>
    </w:rPr>
  </w:style>
  <w:style w:type="character" w:styleId="1030" w:customStyle="1">
    <w:name w:val="Título 1 Char"/>
    <w:uiPriority w:val="9"/>
    <w:qFormat/>
    <w:pPr>
      <w:pBdr/>
      <w:spacing/>
      <w:ind/>
    </w:pPr>
    <w:rPr>
      <w:rFonts w:ascii="Arial" w:hAnsi="Arial" w:eastAsia="Times New Roman" w:cs="Arial"/>
      <w:b/>
      <w:bCs/>
      <w:sz w:val="32"/>
      <w:szCs w:val="32"/>
      <w:lang w:val="en-US"/>
    </w:rPr>
  </w:style>
  <w:style w:type="character" w:styleId="1031" w:customStyle="1">
    <w:name w:val="Título 3 Char"/>
    <w:uiPriority w:val="9"/>
    <w:qFormat/>
    <w:pPr>
      <w:pBdr/>
      <w:spacing/>
      <w:ind/>
    </w:pPr>
    <w:rPr>
      <w:rFonts w:ascii="Arial" w:hAnsi="Arial" w:eastAsia="Times New Roman" w:cs="Arial"/>
      <w:b/>
      <w:bCs/>
      <w:sz w:val="26"/>
      <w:szCs w:val="26"/>
    </w:rPr>
  </w:style>
  <w:style w:type="character" w:styleId="1032" w:customStyle="1">
    <w:name w:val="Título 4 Char"/>
    <w:uiPriority w:val="9"/>
    <w:qFormat/>
    <w:pPr>
      <w:pBdr/>
      <w:spacing/>
      <w:ind/>
    </w:pPr>
    <w:rPr>
      <w:rFonts w:eastAsia="Times New Roman"/>
      <w:b/>
      <w:bCs/>
      <w:sz w:val="28"/>
      <w:szCs w:val="28"/>
    </w:rPr>
  </w:style>
  <w:style w:type="character" w:styleId="1033" w:customStyle="1">
    <w:name w:val="Título 5 Char"/>
    <w:uiPriority w:val="9"/>
    <w:qFormat/>
    <w:pPr>
      <w:pBdr/>
      <w:spacing/>
      <w:ind/>
    </w:pPr>
    <w:rPr>
      <w:rFonts w:eastAsia="Times New Roman"/>
      <w:b/>
      <w:bCs/>
      <w:i/>
      <w:iCs/>
      <w:sz w:val="26"/>
      <w:szCs w:val="26"/>
    </w:rPr>
  </w:style>
  <w:style w:type="character" w:styleId="1034" w:customStyle="1">
    <w:name w:val="Corpo de texto Char"/>
    <w:uiPriority w:val="99"/>
    <w:qFormat/>
    <w:pPr>
      <w:pBdr/>
      <w:spacing/>
      <w:ind/>
    </w:pPr>
    <w:rPr>
      <w:rFonts w:eastAsia="Times New Roman"/>
    </w:rPr>
  </w:style>
  <w:style w:type="character" w:styleId="1035" w:customStyle="1">
    <w:name w:val="Recuo de corpo de texto Char"/>
    <w:uiPriority w:val="99"/>
    <w:qFormat/>
    <w:pPr>
      <w:pBdr/>
      <w:spacing/>
      <w:ind/>
    </w:pPr>
    <w:rPr>
      <w:rFonts w:eastAsia="Times New Roman"/>
      <w:sz w:val="24"/>
      <w:szCs w:val="24"/>
      <w:lang w:val="en-US"/>
    </w:rPr>
  </w:style>
  <w:style w:type="character" w:styleId="1036" w:customStyle="1">
    <w:name w:val="Recuo de corpo de texto 3 Char"/>
    <w:uiPriority w:val="99"/>
    <w:qFormat/>
    <w:pPr>
      <w:pBdr/>
      <w:spacing/>
      <w:ind/>
    </w:pPr>
    <w:rPr>
      <w:rFonts w:ascii="Arial" w:hAnsi="Arial" w:cs="Arial"/>
      <w:sz w:val="24"/>
      <w:lang w:val="en-US"/>
    </w:rPr>
  </w:style>
  <w:style w:type="character" w:styleId="1037" w:customStyle="1">
    <w:name w:val="Recuo de corpo de texto 2 Char"/>
    <w:uiPriority w:val="99"/>
    <w:qFormat/>
    <w:pPr>
      <w:pBdr/>
      <w:spacing/>
      <w:ind/>
    </w:pPr>
    <w:rPr>
      <w:rFonts w:eastAsia="Times New Roman"/>
    </w:rPr>
  </w:style>
  <w:style w:type="character" w:styleId="1038" w:customStyle="1">
    <w:name w:val="Texto de balão Char"/>
    <w:uiPriority w:val="99"/>
    <w:qFormat/>
    <w:pPr>
      <w:pBdr/>
      <w:spacing/>
      <w:ind/>
    </w:pPr>
    <w:rPr>
      <w:rFonts w:ascii="Tahoma" w:hAnsi="Tahoma" w:eastAsia="Times New Roman" w:cs="Tahoma"/>
      <w:sz w:val="16"/>
      <w:szCs w:val="16"/>
    </w:rPr>
  </w:style>
  <w:style w:type="character" w:styleId="1039" w:customStyle="1">
    <w:name w:val="Corpo de texto 2 Char"/>
    <w:uiPriority w:val="99"/>
    <w:qFormat/>
    <w:pPr>
      <w:pBdr/>
      <w:spacing/>
      <w:ind/>
    </w:pPr>
    <w:rPr>
      <w:rFonts w:eastAsia="Times New Roman"/>
    </w:rPr>
  </w:style>
  <w:style w:type="character" w:styleId="1040" w:customStyle="1">
    <w:name w:val="lrzxr"/>
    <w:qFormat/>
    <w:pPr>
      <w:pBdr/>
      <w:spacing/>
      <w:ind/>
    </w:pPr>
  </w:style>
  <w:style w:type="character" w:styleId="1041" w:customStyle="1">
    <w:name w:val="theme-text-color-4-3"/>
    <w:qFormat/>
    <w:pPr>
      <w:pBdr/>
      <w:spacing/>
      <w:ind/>
    </w:pPr>
  </w:style>
  <w:style w:type="character" w:styleId="1042" w:customStyle="1">
    <w:name w:val="cskcde"/>
    <w:qFormat/>
    <w:pPr>
      <w:pBdr/>
      <w:spacing/>
      <w:ind/>
    </w:pPr>
  </w:style>
  <w:style w:type="character" w:styleId="1043" w:customStyle="1">
    <w:name w:val="hgkelc"/>
    <w:qFormat/>
    <w:pPr>
      <w:pBdr/>
      <w:spacing/>
      <w:ind/>
    </w:pPr>
  </w:style>
  <w:style w:type="character" w:styleId="1044" w:customStyle="1">
    <w:name w:val="d9fyld"/>
    <w:qFormat/>
    <w:pPr>
      <w:pBdr/>
      <w:spacing/>
      <w:ind/>
    </w:pPr>
  </w:style>
  <w:style w:type="character" w:styleId="1045" w:customStyle="1">
    <w:name w:val="WW8Num4z1"/>
    <w:uiPriority w:val="99"/>
    <w:qFormat/>
    <w:pPr>
      <w:pBdr/>
      <w:spacing/>
      <w:ind/>
    </w:pPr>
  </w:style>
  <w:style w:type="character" w:styleId="1046" w:customStyle="1">
    <w:name w:val="WW8Num4z2"/>
    <w:uiPriority w:val="99"/>
    <w:qFormat/>
    <w:pPr>
      <w:pBdr/>
      <w:spacing/>
      <w:ind/>
    </w:pPr>
  </w:style>
  <w:style w:type="character" w:styleId="1047" w:customStyle="1">
    <w:name w:val="WW8Num4z3"/>
    <w:uiPriority w:val="99"/>
    <w:qFormat/>
    <w:pPr>
      <w:pBdr/>
      <w:spacing/>
      <w:ind/>
    </w:pPr>
  </w:style>
  <w:style w:type="character" w:styleId="1048" w:customStyle="1">
    <w:name w:val="WW8Num4z4"/>
    <w:qFormat/>
    <w:pPr>
      <w:pBdr/>
      <w:spacing/>
      <w:ind/>
    </w:pPr>
  </w:style>
  <w:style w:type="character" w:styleId="1049" w:customStyle="1">
    <w:name w:val="WW8Num4z5"/>
    <w:qFormat/>
    <w:pPr>
      <w:pBdr/>
      <w:spacing/>
      <w:ind/>
    </w:pPr>
  </w:style>
  <w:style w:type="character" w:styleId="1050" w:customStyle="1">
    <w:name w:val="WW8Num4z6"/>
    <w:qFormat/>
    <w:pPr>
      <w:pBdr/>
      <w:spacing/>
      <w:ind/>
    </w:pPr>
  </w:style>
  <w:style w:type="character" w:styleId="1051" w:customStyle="1">
    <w:name w:val="WW8Num4z7"/>
    <w:qFormat/>
    <w:pPr>
      <w:pBdr/>
      <w:spacing/>
      <w:ind/>
    </w:pPr>
  </w:style>
  <w:style w:type="character" w:styleId="1052" w:customStyle="1">
    <w:name w:val="WW8Num4z8"/>
    <w:qFormat/>
    <w:pPr>
      <w:pBdr/>
      <w:spacing/>
      <w:ind/>
    </w:pPr>
  </w:style>
  <w:style w:type="character" w:styleId="1053" w:customStyle="1">
    <w:name w:val="WW8Num6z1"/>
    <w:uiPriority w:val="99"/>
    <w:qFormat/>
    <w:pPr>
      <w:pBdr/>
      <w:spacing/>
      <w:ind/>
    </w:pPr>
  </w:style>
  <w:style w:type="character" w:styleId="1054" w:customStyle="1">
    <w:name w:val="WW8Num6z2"/>
    <w:qFormat/>
    <w:pPr>
      <w:pBdr/>
      <w:spacing/>
      <w:ind/>
    </w:pPr>
  </w:style>
  <w:style w:type="character" w:styleId="1055" w:customStyle="1">
    <w:name w:val="WW8Num6z3"/>
    <w:qFormat/>
    <w:pPr>
      <w:pBdr/>
      <w:spacing/>
      <w:ind/>
    </w:pPr>
  </w:style>
  <w:style w:type="character" w:styleId="1056" w:customStyle="1">
    <w:name w:val="WW8Num6z4"/>
    <w:qFormat/>
    <w:pPr>
      <w:pBdr/>
      <w:spacing/>
      <w:ind/>
    </w:pPr>
  </w:style>
  <w:style w:type="character" w:styleId="1057" w:customStyle="1">
    <w:name w:val="WW8Num6z5"/>
    <w:qFormat/>
    <w:pPr>
      <w:pBdr/>
      <w:spacing/>
      <w:ind/>
    </w:pPr>
  </w:style>
  <w:style w:type="character" w:styleId="1058" w:customStyle="1">
    <w:name w:val="WW8Num6z6"/>
    <w:qFormat/>
    <w:pPr>
      <w:pBdr/>
      <w:spacing/>
      <w:ind/>
    </w:pPr>
  </w:style>
  <w:style w:type="character" w:styleId="1059" w:customStyle="1">
    <w:name w:val="WW8Num6z7"/>
    <w:qFormat/>
    <w:pPr>
      <w:pBdr/>
      <w:spacing/>
      <w:ind/>
    </w:pPr>
  </w:style>
  <w:style w:type="character" w:styleId="1060" w:customStyle="1">
    <w:name w:val="WW8Num6z8"/>
    <w:qFormat/>
    <w:pPr>
      <w:pBdr/>
      <w:spacing/>
      <w:ind/>
    </w:pPr>
  </w:style>
  <w:style w:type="character" w:styleId="1061" w:customStyle="1">
    <w:name w:val="WW8Num10z1"/>
    <w:uiPriority w:val="99"/>
    <w:qFormat/>
    <w:pPr>
      <w:pBdr/>
      <w:spacing/>
      <w:ind/>
    </w:pPr>
  </w:style>
  <w:style w:type="character" w:styleId="1062" w:customStyle="1">
    <w:name w:val="WW8Num10z2"/>
    <w:uiPriority w:val="99"/>
    <w:qFormat/>
    <w:pPr>
      <w:pBdr/>
      <w:spacing/>
      <w:ind/>
    </w:pPr>
  </w:style>
  <w:style w:type="character" w:styleId="1063" w:customStyle="1">
    <w:name w:val="WW8Num10z3"/>
    <w:uiPriority w:val="99"/>
    <w:qFormat/>
    <w:pPr>
      <w:pBdr/>
      <w:spacing/>
      <w:ind/>
    </w:pPr>
  </w:style>
  <w:style w:type="character" w:styleId="1064" w:customStyle="1">
    <w:name w:val="WW8Num10z4"/>
    <w:uiPriority w:val="99"/>
    <w:qFormat/>
    <w:pPr>
      <w:pBdr/>
      <w:spacing/>
      <w:ind/>
    </w:pPr>
  </w:style>
  <w:style w:type="character" w:styleId="1065" w:customStyle="1">
    <w:name w:val="WW8Num10z5"/>
    <w:uiPriority w:val="99"/>
    <w:qFormat/>
    <w:pPr>
      <w:pBdr/>
      <w:spacing/>
      <w:ind/>
    </w:pPr>
  </w:style>
  <w:style w:type="character" w:styleId="1066" w:customStyle="1">
    <w:name w:val="WW8Num10z6"/>
    <w:uiPriority w:val="99"/>
    <w:qFormat/>
    <w:pPr>
      <w:pBdr/>
      <w:spacing/>
      <w:ind/>
    </w:pPr>
  </w:style>
  <w:style w:type="character" w:styleId="1067" w:customStyle="1">
    <w:name w:val="WW8Num10z7"/>
    <w:uiPriority w:val="99"/>
    <w:qFormat/>
    <w:pPr>
      <w:pBdr/>
      <w:spacing/>
      <w:ind/>
    </w:pPr>
  </w:style>
  <w:style w:type="character" w:styleId="1068" w:customStyle="1">
    <w:name w:val="WW8Num10z8"/>
    <w:uiPriority w:val="99"/>
    <w:qFormat/>
    <w:pPr>
      <w:pBdr/>
      <w:spacing/>
      <w:ind/>
    </w:pPr>
  </w:style>
  <w:style w:type="character" w:styleId="1069" w:customStyle="1">
    <w:name w:val="WW8Num12z2"/>
    <w:qFormat/>
    <w:pPr>
      <w:pBdr/>
      <w:spacing/>
      <w:ind/>
    </w:pPr>
  </w:style>
  <w:style w:type="character" w:styleId="1070" w:customStyle="1">
    <w:name w:val="WW8Num12z3"/>
    <w:qFormat/>
    <w:pPr>
      <w:pBdr/>
      <w:spacing/>
      <w:ind/>
    </w:pPr>
  </w:style>
  <w:style w:type="character" w:styleId="1071" w:customStyle="1">
    <w:name w:val="WW8Num12z4"/>
    <w:qFormat/>
    <w:pPr>
      <w:pBdr/>
      <w:spacing/>
      <w:ind/>
    </w:pPr>
  </w:style>
  <w:style w:type="character" w:styleId="1072" w:customStyle="1">
    <w:name w:val="WW8Num12z5"/>
    <w:qFormat/>
    <w:pPr>
      <w:pBdr/>
      <w:spacing/>
      <w:ind/>
    </w:pPr>
  </w:style>
  <w:style w:type="character" w:styleId="1073" w:customStyle="1">
    <w:name w:val="WW8Num12z6"/>
    <w:qFormat/>
    <w:pPr>
      <w:pBdr/>
      <w:spacing/>
      <w:ind/>
    </w:pPr>
  </w:style>
  <w:style w:type="character" w:styleId="1074" w:customStyle="1">
    <w:name w:val="WW8Num12z7"/>
    <w:qFormat/>
    <w:pPr>
      <w:pBdr/>
      <w:spacing/>
      <w:ind/>
    </w:pPr>
  </w:style>
  <w:style w:type="character" w:styleId="1075" w:customStyle="1">
    <w:name w:val="WW8Num12z8"/>
    <w:qFormat/>
    <w:pPr>
      <w:pBdr/>
      <w:spacing/>
      <w:ind/>
    </w:pPr>
  </w:style>
  <w:style w:type="character" w:styleId="1076" w:customStyle="1">
    <w:name w:val="WW8Num3z1"/>
    <w:uiPriority w:val="99"/>
    <w:qFormat/>
    <w:pPr>
      <w:pBdr/>
      <w:spacing/>
      <w:ind/>
    </w:pPr>
  </w:style>
  <w:style w:type="character" w:styleId="1077" w:customStyle="1">
    <w:name w:val="WW8Num3z2"/>
    <w:uiPriority w:val="99"/>
    <w:qFormat/>
    <w:pPr>
      <w:pBdr/>
      <w:spacing/>
      <w:ind/>
    </w:pPr>
  </w:style>
  <w:style w:type="character" w:styleId="1078" w:customStyle="1">
    <w:name w:val="WW8Num3z3"/>
    <w:uiPriority w:val="99"/>
    <w:qFormat/>
    <w:pPr>
      <w:pBdr/>
      <w:spacing/>
      <w:ind/>
    </w:pPr>
  </w:style>
  <w:style w:type="character" w:styleId="1079" w:customStyle="1">
    <w:name w:val="WW8Num3z4"/>
    <w:uiPriority w:val="99"/>
    <w:qFormat/>
    <w:pPr>
      <w:pBdr/>
      <w:spacing/>
      <w:ind/>
    </w:pPr>
  </w:style>
  <w:style w:type="character" w:styleId="1080" w:customStyle="1">
    <w:name w:val="WW8Num3z5"/>
    <w:uiPriority w:val="99"/>
    <w:qFormat/>
    <w:pPr>
      <w:pBdr/>
      <w:spacing/>
      <w:ind/>
    </w:pPr>
  </w:style>
  <w:style w:type="character" w:styleId="1081" w:customStyle="1">
    <w:name w:val="WW8Num3z6"/>
    <w:uiPriority w:val="99"/>
    <w:qFormat/>
    <w:pPr>
      <w:pBdr/>
      <w:spacing/>
      <w:ind/>
    </w:pPr>
  </w:style>
  <w:style w:type="character" w:styleId="1082" w:customStyle="1">
    <w:name w:val="WW8Num3z7"/>
    <w:uiPriority w:val="99"/>
    <w:qFormat/>
    <w:pPr>
      <w:pBdr/>
      <w:spacing/>
      <w:ind/>
    </w:pPr>
  </w:style>
  <w:style w:type="character" w:styleId="1083" w:customStyle="1">
    <w:name w:val="WW8Num3z8"/>
    <w:uiPriority w:val="99"/>
    <w:qFormat/>
    <w:pPr>
      <w:pBdr/>
      <w:spacing/>
      <w:ind/>
    </w:pPr>
  </w:style>
  <w:style w:type="character" w:styleId="1084" w:customStyle="1">
    <w:name w:val="Fonte parág. padrão1"/>
    <w:qFormat/>
    <w:pPr>
      <w:pBdr/>
      <w:spacing/>
      <w:ind/>
    </w:pPr>
  </w:style>
  <w:style w:type="character" w:styleId="1085" w:customStyle="1">
    <w:name w:val="Símbolos de numeração"/>
    <w:qFormat/>
    <w:pPr>
      <w:pBdr/>
      <w:spacing/>
      <w:ind/>
    </w:pPr>
    <w:rPr>
      <w:b/>
    </w:rPr>
  </w:style>
  <w:style w:type="character" w:styleId="1086" w:customStyle="1">
    <w:name w:val="hl hilite"/>
    <w:qFormat/>
    <w:pPr>
      <w:pBdr/>
      <w:spacing/>
      <w:ind/>
    </w:pPr>
  </w:style>
  <w:style w:type="character" w:styleId="1087" w:customStyle="1">
    <w:name w:val="Corpo de texto 3 Char1"/>
    <w:link w:val="2322"/>
    <w:uiPriority w:val="99"/>
    <w:qFormat/>
    <w:pPr>
      <w:pBdr/>
      <w:spacing/>
      <w:ind/>
    </w:pPr>
    <w:rPr>
      <w:sz w:val="16"/>
      <w:szCs w:val="16"/>
      <w:lang w:eastAsia="zh-CN"/>
    </w:rPr>
  </w:style>
  <w:style w:type="character" w:styleId="1088" w:customStyle="1">
    <w:name w:val="Recuo de corpo de texto 3 Char1"/>
    <w:uiPriority w:val="99"/>
    <w:qFormat/>
    <w:pPr>
      <w:pBdr/>
      <w:spacing/>
      <w:ind/>
    </w:pPr>
    <w:rPr>
      <w:sz w:val="16"/>
      <w:szCs w:val="16"/>
      <w:lang w:eastAsia="zh-CN"/>
    </w:rPr>
  </w:style>
  <w:style w:type="character" w:styleId="1089" w:customStyle="1">
    <w:name w:val="Recuo de corpo de texto 2 Char1"/>
    <w:link w:val="2319"/>
    <w:uiPriority w:val="99"/>
    <w:qFormat/>
    <w:pPr>
      <w:pBdr/>
      <w:spacing/>
      <w:ind/>
    </w:pPr>
    <w:rPr>
      <w:lang w:eastAsia="zh-CN"/>
    </w:rPr>
  </w:style>
  <w:style w:type="character" w:styleId="1090" w:customStyle="1">
    <w:name w:val="Corpo de texto 2 Char1"/>
    <w:link w:val="2323"/>
    <w:uiPriority w:val="99"/>
    <w:qFormat/>
    <w:pPr>
      <w:pBdr/>
      <w:spacing/>
      <w:ind/>
    </w:pPr>
    <w:rPr>
      <w:lang w:eastAsia="zh-CN"/>
    </w:rPr>
  </w:style>
  <w:style w:type="character" w:styleId="1091" w:customStyle="1">
    <w:name w:val="Texto sem Formatação Char1"/>
    <w:uiPriority w:val="99"/>
    <w:qFormat/>
    <w:pPr>
      <w:pBdr/>
      <w:spacing/>
      <w:ind/>
    </w:pPr>
    <w:rPr>
      <w:rFonts w:ascii="Courier New" w:hAnsi="Courier New" w:cs="Courier New"/>
      <w:lang w:eastAsia="zh-CN"/>
    </w:rPr>
  </w:style>
  <w:style w:type="character" w:styleId="1092" w:customStyle="1">
    <w:name w:val="Ref. de nota de rodapé1"/>
    <w:qFormat/>
    <w:pPr>
      <w:pBdr/>
      <w:spacing/>
      <w:ind/>
    </w:pPr>
    <w:rPr>
      <w:rFonts w:cs="Times New Roman"/>
      <w:vertAlign w:val="superscript"/>
    </w:rPr>
  </w:style>
  <w:style w:type="character" w:styleId="1093" w:customStyle="1">
    <w:name w:val="Ref. de comentário2"/>
    <w:qFormat/>
    <w:pPr>
      <w:pBdr/>
      <w:spacing/>
      <w:ind/>
    </w:pPr>
    <w:rPr>
      <w:rFonts w:cs="Times New Roman"/>
      <w:sz w:val="16"/>
    </w:rPr>
  </w:style>
  <w:style w:type="character" w:styleId="1094" w:customStyle="1">
    <w:name w:val="Texto de comentário Char1"/>
    <w:uiPriority w:val="99"/>
    <w:qFormat/>
    <w:pPr>
      <w:pBdr/>
      <w:spacing/>
      <w:ind/>
    </w:pPr>
    <w:rPr>
      <w:lang w:eastAsia="zh-CN"/>
    </w:rPr>
  </w:style>
  <w:style w:type="character" w:styleId="1095" w:customStyle="1">
    <w:name w:val="product-specs__highlights-desc"/>
    <w:qFormat/>
    <w:pPr>
      <w:pBdr/>
      <w:spacing/>
      <w:ind/>
    </w:pPr>
  </w:style>
  <w:style w:type="character" w:styleId="1096" w:customStyle="1">
    <w:name w:val="WW-Link da Internet"/>
    <w:qFormat/>
    <w:pPr>
      <w:pBdr/>
      <w:spacing/>
      <w:ind/>
    </w:pPr>
    <w:rPr>
      <w:color w:val="0000ff"/>
      <w:u w:val="single"/>
    </w:rPr>
  </w:style>
  <w:style w:type="character" w:styleId="1097" w:customStyle="1">
    <w:name w:val="Marcadores"/>
    <w:qFormat/>
    <w:pPr>
      <w:pBdr/>
      <w:spacing/>
      <w:ind/>
    </w:pPr>
    <w:rPr>
      <w:rFonts w:ascii="OpenSymbol" w:hAnsi="OpenSymbol" w:cs="OpenSymbol"/>
    </w:rPr>
  </w:style>
  <w:style w:type="character" w:styleId="1098" w:customStyle="1">
    <w:name w:val="WW-Ênfase forte"/>
    <w:qFormat/>
    <w:pPr>
      <w:pBdr/>
      <w:spacing/>
      <w:ind/>
    </w:pPr>
    <w:rPr>
      <w:b/>
    </w:rPr>
  </w:style>
  <w:style w:type="character" w:styleId="1099" w:customStyle="1">
    <w:name w:val="Título Char"/>
    <w:uiPriority w:val="10"/>
    <w:qFormat/>
    <w:pPr>
      <w:pBdr/>
      <w:spacing/>
      <w:ind/>
    </w:pPr>
    <w:rPr>
      <w:rFonts w:ascii="Liberation Sans" w:hAnsi="Liberation Sans" w:eastAsia="Microsoft YaHei" w:cs="Arial"/>
      <w:sz w:val="28"/>
      <w:szCs w:val="28"/>
    </w:rPr>
  </w:style>
  <w:style w:type="character" w:styleId="1100" w:customStyle="1">
    <w:name w:val="TEXTO Char"/>
    <w:qFormat/>
    <w:pPr>
      <w:pBdr/>
      <w:spacing/>
      <w:ind/>
    </w:pPr>
    <w:rPr>
      <w:rFonts w:ascii="Arial" w:hAnsi="Arial" w:eastAsia="SimSun" w:cs="Arial"/>
      <w:sz w:val="22"/>
      <w:szCs w:val="22"/>
    </w:rPr>
  </w:style>
  <w:style w:type="character" w:styleId="1101" w:customStyle="1">
    <w:name w:val="Título 1.1 Char"/>
    <w:qFormat/>
    <w:pPr>
      <w:pBdr/>
      <w:spacing/>
      <w:ind/>
    </w:pPr>
    <w:rPr>
      <w:rFonts w:ascii="Arial" w:hAnsi="Arial" w:eastAsia="SimSun" w:cs="Arial"/>
      <w:szCs w:val="22"/>
    </w:rPr>
  </w:style>
  <w:style w:type="character" w:styleId="1102" w:customStyle="1">
    <w:name w:val="title-related-item"/>
    <w:qFormat/>
    <w:pPr>
      <w:pBdr/>
      <w:spacing/>
      <w:ind/>
    </w:pPr>
  </w:style>
  <w:style w:type="character" w:styleId="1103" w:customStyle="1">
    <w:name w:val="Parte superior-z do formulário Char"/>
    <w:qFormat/>
    <w:pPr>
      <w:pBdr/>
      <w:spacing/>
      <w:ind/>
    </w:pPr>
    <w:rPr>
      <w:rFonts w:ascii="Arial" w:hAnsi="Arial" w:cs="Arial"/>
      <w:vanish/>
      <w:sz w:val="16"/>
    </w:rPr>
  </w:style>
  <w:style w:type="character" w:styleId="1104" w:customStyle="1">
    <w:name w:val="Parte superior-z do formulário Char1"/>
    <w:qFormat/>
    <w:pPr>
      <w:pBdr/>
      <w:spacing/>
      <w:ind/>
    </w:pPr>
    <w:rPr>
      <w:rFonts w:ascii="Arial" w:hAnsi="Arial" w:cs="Arial"/>
      <w:vanish/>
      <w:sz w:val="16"/>
      <w:szCs w:val="16"/>
      <w:lang w:eastAsia="zh-CN"/>
    </w:rPr>
  </w:style>
  <w:style w:type="character" w:styleId="1105" w:customStyle="1">
    <w:name w:val="Parte superior-z do formulário Char110"/>
    <w:qFormat/>
    <w:pPr>
      <w:pBdr/>
      <w:spacing/>
      <w:ind/>
    </w:pPr>
    <w:rPr>
      <w:rFonts w:ascii="Arial" w:hAnsi="Arial" w:cs="Arial"/>
      <w:vanish/>
      <w:sz w:val="16"/>
      <w:szCs w:val="16"/>
    </w:rPr>
  </w:style>
  <w:style w:type="character" w:styleId="1106" w:customStyle="1">
    <w:name w:val="Parte superior-z do formulário Char19"/>
    <w:qFormat/>
    <w:pPr>
      <w:pBdr/>
      <w:spacing/>
      <w:ind/>
    </w:pPr>
    <w:rPr>
      <w:rFonts w:ascii="Arial" w:hAnsi="Arial" w:cs="Arial"/>
      <w:vanish/>
      <w:sz w:val="16"/>
      <w:szCs w:val="16"/>
    </w:rPr>
  </w:style>
  <w:style w:type="character" w:styleId="1107" w:customStyle="1">
    <w:name w:val="Parte superior-z do formulário Char18"/>
    <w:qFormat/>
    <w:pPr>
      <w:pBdr/>
      <w:spacing/>
      <w:ind/>
    </w:pPr>
    <w:rPr>
      <w:rFonts w:ascii="Arial" w:hAnsi="Arial" w:cs="Arial"/>
      <w:vanish/>
      <w:sz w:val="16"/>
      <w:szCs w:val="16"/>
    </w:rPr>
  </w:style>
  <w:style w:type="character" w:styleId="1108" w:customStyle="1">
    <w:name w:val="Parte superior-z do formulário Char17"/>
    <w:qFormat/>
    <w:pPr>
      <w:pBdr/>
      <w:spacing/>
      <w:ind/>
    </w:pPr>
    <w:rPr>
      <w:rFonts w:ascii="Arial" w:hAnsi="Arial" w:cs="Arial"/>
      <w:vanish/>
      <w:sz w:val="16"/>
      <w:szCs w:val="16"/>
    </w:rPr>
  </w:style>
  <w:style w:type="character" w:styleId="1109" w:customStyle="1">
    <w:name w:val="Parte superior-z do formulário Char16"/>
    <w:qFormat/>
    <w:pPr>
      <w:pBdr/>
      <w:spacing/>
      <w:ind/>
    </w:pPr>
    <w:rPr>
      <w:rFonts w:ascii="Arial" w:hAnsi="Arial" w:cs="Arial"/>
      <w:vanish/>
      <w:sz w:val="16"/>
      <w:szCs w:val="16"/>
    </w:rPr>
  </w:style>
  <w:style w:type="character" w:styleId="1110" w:customStyle="1">
    <w:name w:val="Parte superior-z do formulário Char15"/>
    <w:qFormat/>
    <w:pPr>
      <w:pBdr/>
      <w:spacing/>
      <w:ind/>
    </w:pPr>
    <w:rPr>
      <w:rFonts w:ascii="Arial" w:hAnsi="Arial" w:cs="Arial"/>
      <w:vanish/>
      <w:sz w:val="16"/>
      <w:szCs w:val="16"/>
    </w:rPr>
  </w:style>
  <w:style w:type="character" w:styleId="1111" w:customStyle="1">
    <w:name w:val="Parte superior-z do formulário Char14"/>
    <w:qFormat/>
    <w:pPr>
      <w:pBdr/>
      <w:spacing/>
      <w:ind/>
    </w:pPr>
    <w:rPr>
      <w:rFonts w:ascii="Arial" w:hAnsi="Arial" w:cs="Arial"/>
      <w:vanish/>
      <w:sz w:val="16"/>
      <w:szCs w:val="16"/>
    </w:rPr>
  </w:style>
  <w:style w:type="character" w:styleId="1112" w:customStyle="1">
    <w:name w:val="Parte superior-z do formulário Char13"/>
    <w:qFormat/>
    <w:pPr>
      <w:pBdr/>
      <w:spacing/>
      <w:ind/>
    </w:pPr>
    <w:rPr>
      <w:rFonts w:ascii="Arial" w:hAnsi="Arial" w:cs="Arial"/>
      <w:vanish/>
      <w:sz w:val="16"/>
      <w:szCs w:val="16"/>
    </w:rPr>
  </w:style>
  <w:style w:type="character" w:styleId="1113" w:customStyle="1">
    <w:name w:val="Parte superior-z do formulário Char12"/>
    <w:qFormat/>
    <w:pPr>
      <w:pBdr/>
      <w:spacing/>
      <w:ind/>
    </w:pPr>
    <w:rPr>
      <w:rFonts w:ascii="Arial" w:hAnsi="Arial" w:cs="Arial"/>
      <w:vanish/>
      <w:sz w:val="16"/>
      <w:szCs w:val="16"/>
    </w:rPr>
  </w:style>
  <w:style w:type="character" w:styleId="1114" w:customStyle="1">
    <w:name w:val="Parte superior-z do formulário Char11"/>
    <w:qFormat/>
    <w:pPr>
      <w:pBdr/>
      <w:spacing/>
      <w:ind/>
    </w:pPr>
    <w:rPr>
      <w:rFonts w:ascii="Arial" w:hAnsi="Arial" w:cs="Arial"/>
      <w:vanish/>
      <w:sz w:val="16"/>
    </w:rPr>
  </w:style>
  <w:style w:type="character" w:styleId="1115" w:customStyle="1">
    <w:name w:val="Parte inferior do formulário Char"/>
    <w:qFormat/>
    <w:pPr>
      <w:pBdr/>
      <w:spacing/>
      <w:ind/>
    </w:pPr>
    <w:rPr>
      <w:rFonts w:ascii="Arial" w:hAnsi="Arial" w:cs="Arial"/>
      <w:vanish/>
      <w:sz w:val="16"/>
    </w:rPr>
  </w:style>
  <w:style w:type="character" w:styleId="1116" w:customStyle="1">
    <w:name w:val="Parte inferior do formulário Char1"/>
    <w:qFormat/>
    <w:pPr>
      <w:pBdr/>
      <w:spacing/>
      <w:ind/>
    </w:pPr>
    <w:rPr>
      <w:rFonts w:ascii="Arial" w:hAnsi="Arial" w:cs="Arial"/>
      <w:vanish/>
      <w:sz w:val="16"/>
      <w:szCs w:val="16"/>
      <w:lang w:eastAsia="zh-CN"/>
    </w:rPr>
  </w:style>
  <w:style w:type="character" w:styleId="1117" w:customStyle="1">
    <w:name w:val="Parte inferior do formulário Char110"/>
    <w:qFormat/>
    <w:pPr>
      <w:pBdr/>
      <w:spacing/>
      <w:ind/>
    </w:pPr>
    <w:rPr>
      <w:rFonts w:ascii="Arial" w:hAnsi="Arial" w:cs="Arial"/>
      <w:vanish/>
      <w:sz w:val="16"/>
      <w:szCs w:val="16"/>
    </w:rPr>
  </w:style>
  <w:style w:type="character" w:styleId="1118" w:customStyle="1">
    <w:name w:val="Parte inferior do formulário Char19"/>
    <w:qFormat/>
    <w:pPr>
      <w:pBdr/>
      <w:spacing/>
      <w:ind/>
    </w:pPr>
    <w:rPr>
      <w:rFonts w:ascii="Arial" w:hAnsi="Arial" w:cs="Arial"/>
      <w:vanish/>
      <w:sz w:val="16"/>
      <w:szCs w:val="16"/>
    </w:rPr>
  </w:style>
  <w:style w:type="character" w:styleId="1119" w:customStyle="1">
    <w:name w:val="Parte inferior do formulário Char18"/>
    <w:qFormat/>
    <w:pPr>
      <w:pBdr/>
      <w:spacing/>
      <w:ind/>
    </w:pPr>
    <w:rPr>
      <w:rFonts w:ascii="Arial" w:hAnsi="Arial" w:cs="Arial"/>
      <w:vanish/>
      <w:sz w:val="16"/>
      <w:szCs w:val="16"/>
    </w:rPr>
  </w:style>
  <w:style w:type="character" w:styleId="1120" w:customStyle="1">
    <w:name w:val="Parte inferior do formulário Char17"/>
    <w:qFormat/>
    <w:pPr>
      <w:pBdr/>
      <w:spacing/>
      <w:ind/>
    </w:pPr>
    <w:rPr>
      <w:rFonts w:ascii="Arial" w:hAnsi="Arial" w:cs="Arial"/>
      <w:vanish/>
      <w:sz w:val="16"/>
      <w:szCs w:val="16"/>
    </w:rPr>
  </w:style>
  <w:style w:type="character" w:styleId="1121" w:customStyle="1">
    <w:name w:val="Parte inferior do formulário Char16"/>
    <w:qFormat/>
    <w:pPr>
      <w:pBdr/>
      <w:spacing/>
      <w:ind/>
    </w:pPr>
    <w:rPr>
      <w:rFonts w:ascii="Arial" w:hAnsi="Arial" w:cs="Arial"/>
      <w:vanish/>
      <w:sz w:val="16"/>
      <w:szCs w:val="16"/>
    </w:rPr>
  </w:style>
  <w:style w:type="character" w:styleId="1122" w:customStyle="1">
    <w:name w:val="Parte inferior do formulário Char15"/>
    <w:qFormat/>
    <w:pPr>
      <w:pBdr/>
      <w:spacing/>
      <w:ind/>
    </w:pPr>
    <w:rPr>
      <w:rFonts w:ascii="Arial" w:hAnsi="Arial" w:cs="Arial"/>
      <w:vanish/>
      <w:sz w:val="16"/>
      <w:szCs w:val="16"/>
    </w:rPr>
  </w:style>
  <w:style w:type="character" w:styleId="1123" w:customStyle="1">
    <w:name w:val="Parte inferior do formulário Char14"/>
    <w:qFormat/>
    <w:pPr>
      <w:pBdr/>
      <w:spacing/>
      <w:ind/>
    </w:pPr>
    <w:rPr>
      <w:rFonts w:ascii="Arial" w:hAnsi="Arial" w:cs="Arial"/>
      <w:vanish/>
      <w:sz w:val="16"/>
      <w:szCs w:val="16"/>
    </w:rPr>
  </w:style>
  <w:style w:type="character" w:styleId="1124" w:customStyle="1">
    <w:name w:val="Parte inferior do formulário Char13"/>
    <w:qFormat/>
    <w:pPr>
      <w:pBdr/>
      <w:spacing/>
      <w:ind/>
    </w:pPr>
    <w:rPr>
      <w:rFonts w:ascii="Arial" w:hAnsi="Arial" w:cs="Arial"/>
      <w:vanish/>
      <w:sz w:val="16"/>
      <w:szCs w:val="16"/>
    </w:rPr>
  </w:style>
  <w:style w:type="character" w:styleId="1125" w:customStyle="1">
    <w:name w:val="Parte inferior do formulário Char12"/>
    <w:qFormat/>
    <w:pPr>
      <w:pBdr/>
      <w:spacing/>
      <w:ind/>
    </w:pPr>
    <w:rPr>
      <w:rFonts w:ascii="Arial" w:hAnsi="Arial" w:cs="Arial"/>
      <w:vanish/>
      <w:sz w:val="16"/>
      <w:szCs w:val="16"/>
    </w:rPr>
  </w:style>
  <w:style w:type="character" w:styleId="1126" w:customStyle="1">
    <w:name w:val="Parte inferior do formulário Char11"/>
    <w:qFormat/>
    <w:pPr>
      <w:pBdr/>
      <w:spacing/>
      <w:ind/>
    </w:pPr>
    <w:rPr>
      <w:rFonts w:ascii="Arial" w:hAnsi="Arial" w:cs="Arial"/>
      <w:vanish/>
      <w:sz w:val="16"/>
    </w:rPr>
  </w:style>
  <w:style w:type="character" w:styleId="1127" w:customStyle="1">
    <w:name w:val="Corpo de texto Char1"/>
    <w:uiPriority w:val="99"/>
    <w:qFormat/>
    <w:pPr>
      <w:pBdr/>
      <w:spacing/>
      <w:ind/>
    </w:pPr>
    <w:rPr>
      <w:rFonts w:cs="Times New Roman"/>
      <w:lang w:val="en-US" w:eastAsia="zh-CN"/>
    </w:rPr>
  </w:style>
  <w:style w:type="character" w:styleId="1128" w:customStyle="1">
    <w:name w:val="Cabeçalho Char1"/>
    <w:uiPriority w:val="99"/>
    <w:qFormat/>
    <w:pPr>
      <w:pBdr/>
      <w:spacing/>
      <w:ind/>
    </w:pPr>
    <w:rPr>
      <w:rFonts w:cs="Times New Roman"/>
      <w:lang w:val="en-US" w:eastAsia="zh-CN"/>
    </w:rPr>
  </w:style>
  <w:style w:type="character" w:styleId="1129" w:customStyle="1">
    <w:name w:val="Rodapé Char1"/>
    <w:qFormat/>
    <w:pPr>
      <w:pBdr/>
      <w:spacing/>
      <w:ind/>
    </w:pPr>
    <w:rPr>
      <w:rFonts w:cs="Times New Roman"/>
      <w:lang w:val="en-US" w:eastAsia="zh-CN"/>
    </w:rPr>
  </w:style>
  <w:style w:type="character" w:styleId="1130" w:customStyle="1">
    <w:name w:val="Recuo de corpo de texto Char1"/>
    <w:qFormat/>
    <w:pPr>
      <w:pBdr/>
      <w:spacing/>
      <w:ind/>
    </w:pPr>
    <w:rPr>
      <w:rFonts w:cs="Times New Roman"/>
      <w:lang w:val="en-US" w:eastAsia="zh-CN"/>
    </w:rPr>
  </w:style>
  <w:style w:type="character" w:styleId="1131" w:customStyle="1">
    <w:name w:val="Texto de balão Char1"/>
    <w:uiPriority w:val="99"/>
    <w:qFormat/>
    <w:pPr>
      <w:pBdr/>
      <w:spacing/>
      <w:ind/>
    </w:pPr>
    <w:rPr>
      <w:rFonts w:ascii="Segoe UI" w:hAnsi="Segoe UI" w:cs="Segoe UI"/>
      <w:sz w:val="18"/>
      <w:szCs w:val="18"/>
      <w:lang w:val="en-US" w:eastAsia="zh-CN"/>
    </w:rPr>
  </w:style>
  <w:style w:type="character" w:styleId="1132" w:customStyle="1">
    <w:name w:val="Texto de nota de rodapé Char1"/>
    <w:qFormat/>
    <w:pPr>
      <w:pBdr/>
      <w:spacing/>
      <w:ind/>
    </w:pPr>
    <w:rPr>
      <w:rFonts w:cs="Times New Roman"/>
      <w:lang w:val="en-US" w:eastAsia="zh-CN"/>
    </w:rPr>
  </w:style>
  <w:style w:type="character" w:styleId="1133" w:customStyle="1">
    <w:name w:val="Citação Char1"/>
    <w:qFormat/>
    <w:pPr>
      <w:pBdr/>
      <w:spacing/>
      <w:ind/>
    </w:pPr>
    <w:rPr>
      <w:rFonts w:cs="Times New Roman"/>
      <w:i/>
      <w:iCs/>
      <w:color w:val="404040"/>
      <w:lang w:val="en-US" w:eastAsia="zh-CN"/>
    </w:rPr>
  </w:style>
  <w:style w:type="character" w:styleId="1134" w:customStyle="1">
    <w:name w:val="Assunto do comentário Char1"/>
    <w:uiPriority w:val="99"/>
    <w:qFormat/>
    <w:pPr>
      <w:pBdr/>
      <w:spacing/>
      <w:ind/>
    </w:pPr>
    <w:rPr>
      <w:rFonts w:cs="Times New Roman"/>
      <w:b/>
      <w:bCs/>
      <w:lang w:val="en-US" w:eastAsia="zh-CN"/>
    </w:rPr>
  </w:style>
  <w:style w:type="character" w:styleId="1135" w:customStyle="1">
    <w:name w:val="Nivel_01_Titulo Char"/>
    <w:qFormat/>
    <w:pPr>
      <w:pBdr/>
      <w:spacing/>
      <w:ind/>
    </w:pPr>
    <w:rPr>
      <w:rFonts w:ascii="Arial" w:hAnsi="Arial" w:cs="Arial"/>
      <w:b/>
      <w:color w:val="2e74b5"/>
      <w:lang w:val="en-US"/>
    </w:rPr>
  </w:style>
  <w:style w:type="character" w:styleId="1136" w:customStyle="1">
    <w:name w:val="Fonte paráe1g. padrãe3o"/>
    <w:uiPriority w:val="99"/>
    <w:qFormat/>
    <w:pPr>
      <w:pBdr/>
      <w:spacing/>
      <w:ind/>
    </w:pPr>
  </w:style>
  <w:style w:type="character" w:styleId="1137" w:customStyle="1">
    <w:name w:val="Ref. de comentáe1rio"/>
    <w:uiPriority w:val="99"/>
    <w:qFormat/>
    <w:pPr>
      <w:pBdr/>
      <w:spacing/>
      <w:ind/>
    </w:pPr>
    <w:rPr>
      <w:sz w:val="16"/>
    </w:rPr>
  </w:style>
  <w:style w:type="character" w:styleId="1138" w:customStyle="1">
    <w:name w:val="WW8Num7z1"/>
    <w:uiPriority w:val="99"/>
    <w:qFormat/>
    <w:pPr>
      <w:pBdr/>
      <w:spacing/>
      <w:ind/>
    </w:pPr>
  </w:style>
  <w:style w:type="character" w:styleId="1139" w:customStyle="1">
    <w:name w:val="Recuo de corpo de texto 2 Char2"/>
    <w:uiPriority w:val="99"/>
    <w:qFormat/>
    <w:pPr>
      <w:pBdr/>
      <w:spacing/>
      <w:ind/>
    </w:pPr>
    <w:rPr>
      <w:rFonts w:eastAsia="Times New Roman" w:cs="Mangal"/>
      <w:sz w:val="18"/>
      <w:szCs w:val="18"/>
      <w:lang w:bidi="hi-IN"/>
    </w:rPr>
  </w:style>
  <w:style w:type="character" w:styleId="1140" w:customStyle="1">
    <w:name w:val="WW8Num1z7"/>
    <w:uiPriority w:val="99"/>
    <w:qFormat/>
    <w:pPr>
      <w:pBdr/>
      <w:spacing/>
      <w:ind/>
    </w:pPr>
  </w:style>
  <w:style w:type="character" w:styleId="1141" w:customStyle="1">
    <w:name w:val="WW8Num2z5"/>
    <w:uiPriority w:val="99"/>
    <w:qFormat/>
    <w:pPr>
      <w:pBdr/>
      <w:spacing/>
      <w:ind/>
    </w:pPr>
  </w:style>
  <w:style w:type="character" w:styleId="1142" w:customStyle="1">
    <w:name w:val="WW8Num5z1"/>
    <w:uiPriority w:val="99"/>
    <w:qFormat/>
    <w:pPr>
      <w:pBdr/>
      <w:spacing/>
      <w:ind/>
    </w:pPr>
    <w:rPr>
      <w:rFonts w:eastAsia="Times New Roman"/>
      <w:b/>
      <w:color w:val="000000"/>
      <w:spacing w:val="1"/>
      <w:sz w:val="22"/>
    </w:rPr>
  </w:style>
  <w:style w:type="character" w:styleId="1143" w:customStyle="1">
    <w:name w:val="Recuo de corpo de texto 2 Char21"/>
    <w:uiPriority w:val="99"/>
    <w:qFormat/>
    <w:pPr>
      <w:pBdr/>
      <w:spacing/>
      <w:ind/>
    </w:pPr>
    <w:rPr>
      <w:rFonts w:eastAsia="Times New Roman" w:cs="Mangal"/>
      <w:sz w:val="18"/>
      <w:szCs w:val="18"/>
      <w:lang w:bidi="hi-IN"/>
    </w:rPr>
  </w:style>
  <w:style w:type="character" w:styleId="1144" w:customStyle="1">
    <w:name w:val="WW8Num8z7"/>
    <w:uiPriority w:val="99"/>
    <w:qFormat/>
    <w:pPr>
      <w:pBdr/>
      <w:spacing/>
      <w:ind/>
    </w:pPr>
  </w:style>
  <w:style w:type="character" w:styleId="1145" w:customStyle="1">
    <w:name w:val="WW8Num26z4"/>
    <w:uiPriority w:val="99"/>
    <w:qFormat/>
    <w:pPr>
      <w:pBdr/>
      <w:spacing/>
      <w:ind/>
    </w:pPr>
  </w:style>
  <w:style w:type="character" w:styleId="1146" w:customStyle="1">
    <w:name w:val="Normal (Web) Char"/>
    <w:uiPriority w:val="99"/>
    <w:qFormat/>
    <w:pPr>
      <w:pBdr/>
      <w:spacing/>
      <w:ind/>
    </w:pPr>
  </w:style>
  <w:style w:type="character" w:styleId="1147" w:customStyle="1">
    <w:name w:val="Paráe1grafo da Lista Char"/>
    <w:uiPriority w:val="99"/>
    <w:qFormat/>
    <w:pPr>
      <w:pBdr/>
      <w:spacing/>
      <w:ind/>
    </w:pPr>
    <w:rPr>
      <w:rFonts w:eastAsia="Times New Roman"/>
    </w:rPr>
  </w:style>
  <w:style w:type="character" w:styleId="1148" w:customStyle="1">
    <w:name w:val="Assunto do comentáe1rio Char"/>
    <w:uiPriority w:val="99"/>
    <w:qFormat/>
    <w:pPr>
      <w:pBdr/>
      <w:spacing/>
      <w:ind/>
    </w:pPr>
    <w:rPr>
      <w:rFonts w:cs="Times New Roman"/>
      <w:b/>
    </w:rPr>
  </w:style>
  <w:style w:type="character" w:styleId="1149" w:customStyle="1">
    <w:name w:val="Texto sem Formatação Char14"/>
    <w:uiPriority w:val="99"/>
    <w:qFormat/>
    <w:pPr>
      <w:pBdr/>
      <w:spacing/>
      <w:ind/>
    </w:pPr>
    <w:rPr>
      <w:rFonts w:ascii="Courier New" w:hAnsi="Courier New" w:cs="Courier New"/>
      <w:sz w:val="18"/>
      <w:szCs w:val="18"/>
      <w:lang w:bidi="hi-IN"/>
    </w:rPr>
  </w:style>
  <w:style w:type="character" w:styleId="1150" w:customStyle="1">
    <w:name w:val="WW-Absatz-Standardschriftart11111"/>
    <w:uiPriority w:val="99"/>
    <w:qFormat/>
    <w:pPr>
      <w:pBdr/>
      <w:spacing/>
      <w:ind/>
    </w:pPr>
  </w:style>
  <w:style w:type="character" w:styleId="1151" w:customStyle="1">
    <w:name w:val="Texto de balão Char13"/>
    <w:uiPriority w:val="99"/>
    <w:qFormat/>
    <w:pPr>
      <w:pBdr/>
      <w:spacing/>
      <w:ind/>
    </w:pPr>
    <w:rPr>
      <w:rFonts w:ascii="Segoe UI" w:hAnsi="Segoe UI" w:cs="Segoe UI"/>
      <w:sz w:val="16"/>
      <w:szCs w:val="16"/>
      <w:lang w:bidi="hi-IN"/>
    </w:rPr>
  </w:style>
  <w:style w:type="character" w:styleId="1152" w:customStyle="1">
    <w:name w:val="Assunto do comentário Char14"/>
    <w:uiPriority w:val="99"/>
    <w:qFormat/>
    <w:pPr>
      <w:pBdr/>
      <w:spacing/>
      <w:ind/>
    </w:pPr>
    <w:rPr>
      <w:rFonts w:ascii="Ecofont_Spranq_eco_Sans" w:hAnsi="Ecofont_Spranq_eco_Sans" w:eastAsia="Times New Roman" w:cs="Mangal"/>
      <w:b/>
      <w:sz w:val="18"/>
      <w:szCs w:val="18"/>
      <w:lang w:bidi="hi-IN"/>
    </w:rPr>
  </w:style>
  <w:style w:type="character" w:styleId="1153" w:customStyle="1">
    <w:name w:val="WW8Num9z1"/>
    <w:uiPriority w:val="99"/>
    <w:qFormat/>
    <w:pPr>
      <w:pBdr/>
      <w:spacing/>
      <w:ind/>
    </w:pPr>
    <w:rPr>
      <w:rFonts w:eastAsia="Times New Roman"/>
    </w:rPr>
  </w:style>
  <w:style w:type="character" w:styleId="1154" w:customStyle="1">
    <w:name w:val="Corpo de texto 3 Char24"/>
    <w:uiPriority w:val="99"/>
    <w:qFormat/>
    <w:pPr>
      <w:pBdr/>
      <w:spacing/>
      <w:ind/>
    </w:pPr>
    <w:rPr>
      <w:rFonts w:eastAsia="Times New Roman" w:cs="Mangal"/>
      <w:sz w:val="14"/>
      <w:szCs w:val="14"/>
      <w:lang w:bidi="hi-IN"/>
    </w:rPr>
  </w:style>
  <w:style w:type="character" w:styleId="1155" w:customStyle="1">
    <w:name w:val="WW-Absatz-Standardschriftart111111"/>
    <w:uiPriority w:val="99"/>
    <w:qFormat/>
    <w:pPr>
      <w:pBdr/>
      <w:spacing/>
      <w:ind/>
    </w:pPr>
  </w:style>
  <w:style w:type="character" w:styleId="1156" w:customStyle="1">
    <w:name w:val="WW8Num20z1"/>
    <w:uiPriority w:val="99"/>
    <w:qFormat/>
    <w:pPr>
      <w:pBdr/>
      <w:spacing/>
      <w:ind/>
    </w:pPr>
    <w:rPr>
      <w:rFonts w:eastAsia="Times New Roman"/>
    </w:rPr>
  </w:style>
  <w:style w:type="character" w:styleId="1157" w:customStyle="1">
    <w:name w:val="Cabeçalho Char14"/>
    <w:uiPriority w:val="99"/>
    <w:qFormat/>
    <w:pPr>
      <w:pBdr/>
      <w:spacing/>
      <w:ind/>
    </w:pPr>
    <w:rPr>
      <w:rFonts w:eastAsia="Times New Roman" w:cs="Mangal"/>
      <w:sz w:val="18"/>
      <w:szCs w:val="18"/>
      <w:lang w:bidi="hi-IN"/>
    </w:rPr>
  </w:style>
  <w:style w:type="character" w:styleId="1158" w:customStyle="1">
    <w:name w:val="WW8Num13z3"/>
    <w:uiPriority w:val="99"/>
    <w:qFormat/>
    <w:pPr>
      <w:pBdr/>
      <w:spacing/>
      <w:ind/>
    </w:pPr>
  </w:style>
  <w:style w:type="character" w:styleId="1159" w:customStyle="1">
    <w:name w:val="Corpo de texto 2 Char2"/>
    <w:uiPriority w:val="99"/>
    <w:qFormat/>
    <w:pPr>
      <w:pBdr/>
      <w:spacing/>
      <w:ind/>
    </w:pPr>
    <w:rPr>
      <w:rFonts w:eastAsia="Times New Roman" w:cs="Mangal"/>
      <w:sz w:val="18"/>
      <w:szCs w:val="18"/>
      <w:lang w:bidi="hi-IN"/>
    </w:rPr>
  </w:style>
  <w:style w:type="character" w:styleId="1160" w:customStyle="1">
    <w:name w:val="Texto de balão Char12"/>
    <w:uiPriority w:val="99"/>
    <w:qFormat/>
    <w:pPr>
      <w:pBdr/>
      <w:spacing/>
      <w:ind/>
    </w:pPr>
    <w:rPr>
      <w:rFonts w:ascii="Segoe UI" w:hAnsi="Segoe UI" w:cs="Segoe UI"/>
      <w:sz w:val="16"/>
      <w:szCs w:val="16"/>
      <w:lang w:bidi="hi-IN"/>
    </w:rPr>
  </w:style>
  <w:style w:type="character" w:styleId="1161" w:customStyle="1">
    <w:name w:val="WW8Num19z4"/>
    <w:uiPriority w:val="99"/>
    <w:qFormat/>
    <w:pPr>
      <w:pBdr/>
      <w:spacing/>
      <w:ind/>
    </w:pPr>
  </w:style>
  <w:style w:type="character" w:styleId="1162" w:customStyle="1">
    <w:name w:val="WW-Caracteres de numeraçe7ãe3o1"/>
    <w:uiPriority w:val="99"/>
    <w:qFormat/>
    <w:pPr>
      <w:pBdr/>
      <w:spacing/>
      <w:ind/>
    </w:pPr>
  </w:style>
  <w:style w:type="character" w:styleId="1163" w:customStyle="1">
    <w:name w:val="WW8Num19z5"/>
    <w:uiPriority w:val="99"/>
    <w:qFormat/>
    <w:pPr>
      <w:pBdr/>
      <w:spacing/>
      <w:ind/>
    </w:pPr>
  </w:style>
  <w:style w:type="character" w:styleId="1164" w:customStyle="1">
    <w:name w:val="WW8Num1z8"/>
    <w:uiPriority w:val="99"/>
    <w:qFormat/>
    <w:pPr>
      <w:pBdr/>
      <w:spacing/>
      <w:ind/>
    </w:pPr>
  </w:style>
  <w:style w:type="character" w:styleId="1165" w:customStyle="1">
    <w:name w:val="Texto de comentário Char13"/>
    <w:uiPriority w:val="99"/>
    <w:qFormat/>
    <w:pPr>
      <w:pBdr/>
      <w:spacing/>
      <w:ind/>
    </w:pPr>
    <w:rPr>
      <w:rFonts w:eastAsia="Times New Roman" w:cs="Mangal"/>
      <w:sz w:val="18"/>
      <w:szCs w:val="18"/>
      <w:lang w:bidi="hi-IN"/>
    </w:rPr>
  </w:style>
  <w:style w:type="character" w:styleId="1166" w:customStyle="1">
    <w:name w:val="WW8Num13z1"/>
    <w:uiPriority w:val="99"/>
    <w:qFormat/>
    <w:pPr>
      <w:pBdr/>
      <w:spacing/>
      <w:ind/>
    </w:pPr>
    <w:rPr>
      <w:rFonts w:eastAsia="Times New Roman"/>
      <w:b/>
      <w:spacing w:val="-14"/>
      <w:sz w:val="22"/>
    </w:rPr>
  </w:style>
  <w:style w:type="character" w:styleId="1167" w:customStyle="1">
    <w:name w:val="Texto de comentário Char11"/>
    <w:uiPriority w:val="99"/>
    <w:qFormat/>
    <w:pPr>
      <w:pBdr/>
      <w:spacing/>
      <w:ind/>
    </w:pPr>
    <w:rPr>
      <w:rFonts w:eastAsia="Times New Roman" w:cs="Mangal"/>
      <w:sz w:val="18"/>
      <w:szCs w:val="18"/>
      <w:lang w:bidi="hi-IN"/>
    </w:rPr>
  </w:style>
  <w:style w:type="character" w:styleId="1168" w:customStyle="1">
    <w:name w:val="WW-Absatz-Standardschriftart11"/>
    <w:uiPriority w:val="99"/>
    <w:qFormat/>
    <w:pPr>
      <w:pBdr/>
      <w:spacing/>
      <w:ind/>
    </w:pPr>
  </w:style>
  <w:style w:type="character" w:styleId="1169" w:customStyle="1">
    <w:name w:val="Tíedtulo 9 Char"/>
    <w:uiPriority w:val="99"/>
    <w:qFormat/>
    <w:pPr>
      <w:pBdr/>
      <w:spacing/>
      <w:ind/>
    </w:pPr>
    <w:rPr>
      <w:rFonts w:eastAsia="Times New Roman" w:cs="Ottawa"/>
      <w:sz w:val="22"/>
      <w:szCs w:val="22"/>
      <w:shd w:val="clear" w:color="auto" w:fill="ffffff"/>
    </w:rPr>
  </w:style>
  <w:style w:type="character" w:styleId="1170" w:customStyle="1">
    <w:name w:val="WW8Num19z6"/>
    <w:uiPriority w:val="99"/>
    <w:qFormat/>
    <w:pPr>
      <w:pBdr/>
      <w:spacing/>
      <w:ind/>
    </w:pPr>
  </w:style>
  <w:style w:type="character" w:styleId="1171" w:customStyle="1">
    <w:name w:val="WW8Num1z5"/>
    <w:uiPriority w:val="99"/>
    <w:qFormat/>
    <w:pPr>
      <w:pBdr/>
      <w:spacing/>
      <w:ind/>
    </w:pPr>
  </w:style>
  <w:style w:type="character" w:styleId="1172" w:customStyle="1">
    <w:name w:val="WW8Num7z3"/>
    <w:uiPriority w:val="99"/>
    <w:qFormat/>
    <w:pPr>
      <w:pBdr/>
      <w:spacing/>
      <w:ind/>
    </w:pPr>
  </w:style>
  <w:style w:type="character" w:styleId="1173" w:customStyle="1">
    <w:name w:val="WW8Num8z5"/>
    <w:uiPriority w:val="99"/>
    <w:qFormat/>
    <w:pPr>
      <w:pBdr/>
      <w:spacing/>
      <w:ind/>
    </w:pPr>
  </w:style>
  <w:style w:type="character" w:styleId="1174" w:customStyle="1">
    <w:name w:val="WW-Absatz-Standardschriftart"/>
    <w:uiPriority w:val="99"/>
    <w:qFormat/>
    <w:pPr>
      <w:pBdr/>
      <w:spacing/>
      <w:ind/>
    </w:pPr>
  </w:style>
  <w:style w:type="character" w:styleId="1175" w:customStyle="1">
    <w:name w:val="WW8Num25z7"/>
    <w:uiPriority w:val="99"/>
    <w:qFormat/>
    <w:pPr>
      <w:pBdr/>
      <w:spacing/>
      <w:ind/>
    </w:pPr>
  </w:style>
  <w:style w:type="character" w:styleId="1176" w:customStyle="1">
    <w:name w:val="WW8Num25z2"/>
    <w:uiPriority w:val="99"/>
    <w:qFormat/>
    <w:pPr>
      <w:pBdr/>
      <w:spacing/>
      <w:ind/>
    </w:pPr>
  </w:style>
  <w:style w:type="character" w:styleId="1177" w:customStyle="1">
    <w:name w:val="Tíedtulo Char"/>
    <w:uiPriority w:val="99"/>
    <w:qFormat/>
    <w:pPr>
      <w:pBdr/>
      <w:spacing/>
      <w:ind/>
    </w:pPr>
    <w:rPr>
      <w:rFonts w:eastAsia="Times New Roman" w:cs="Arial"/>
      <w:b/>
      <w:sz w:val="32"/>
      <w:szCs w:val="32"/>
    </w:rPr>
  </w:style>
  <w:style w:type="character" w:styleId="1178" w:customStyle="1">
    <w:name w:val="Âc2ncora da nota de rodapée9"/>
    <w:uiPriority w:val="99"/>
    <w:qFormat/>
    <w:pPr>
      <w:pBdr/>
      <w:spacing/>
      <w:ind/>
    </w:pPr>
    <w:rPr>
      <w:vertAlign w:val="superscript"/>
    </w:rPr>
  </w:style>
  <w:style w:type="character" w:styleId="1179" w:customStyle="1">
    <w:name w:val="Corpo de texto 2 Char23"/>
    <w:uiPriority w:val="99"/>
    <w:qFormat/>
    <w:pPr>
      <w:pBdr/>
      <w:spacing/>
      <w:ind/>
    </w:pPr>
    <w:rPr>
      <w:rFonts w:eastAsia="Times New Roman" w:cs="Mangal"/>
      <w:sz w:val="18"/>
      <w:szCs w:val="18"/>
      <w:lang w:bidi="hi-IN"/>
    </w:rPr>
  </w:style>
  <w:style w:type="character" w:styleId="1180" w:customStyle="1">
    <w:name w:val="tex3"/>
    <w:uiPriority w:val="99"/>
    <w:qFormat/>
    <w:pPr>
      <w:pBdr/>
      <w:spacing/>
      <w:ind/>
    </w:pPr>
  </w:style>
  <w:style w:type="character" w:styleId="1181" w:customStyle="1">
    <w:name w:val="WW8Num17z1"/>
    <w:uiPriority w:val="99"/>
    <w:qFormat/>
    <w:pPr>
      <w:pBdr/>
      <w:spacing/>
      <w:ind/>
    </w:pPr>
  </w:style>
  <w:style w:type="character" w:styleId="1182" w:customStyle="1">
    <w:name w:val="spellingerror"/>
    <w:uiPriority w:val="99"/>
    <w:qFormat/>
    <w:pPr>
      <w:pBdr/>
      <w:spacing/>
      <w:ind/>
    </w:pPr>
  </w:style>
  <w:style w:type="character" w:styleId="1183" w:customStyle="1">
    <w:name w:val="WW8Num13z8"/>
    <w:uiPriority w:val="99"/>
    <w:qFormat/>
    <w:pPr>
      <w:pBdr/>
      <w:spacing/>
      <w:ind/>
    </w:pPr>
  </w:style>
  <w:style w:type="character" w:styleId="1184" w:customStyle="1">
    <w:name w:val="WW8Num1z6"/>
    <w:uiPriority w:val="99"/>
    <w:qFormat/>
    <w:pPr>
      <w:pBdr/>
      <w:spacing/>
      <w:ind/>
    </w:pPr>
  </w:style>
  <w:style w:type="character" w:styleId="1185" w:customStyle="1">
    <w:name w:val="Assunto do comentário Char11"/>
    <w:uiPriority w:val="99"/>
    <w:qFormat/>
    <w:pPr>
      <w:pBdr/>
      <w:spacing/>
      <w:ind/>
    </w:pPr>
    <w:rPr>
      <w:rFonts w:ascii="Ecofont_Spranq_eco_Sans" w:hAnsi="Ecofont_Spranq_eco_Sans" w:eastAsia="Times New Roman" w:cs="Mangal"/>
      <w:b/>
      <w:sz w:val="18"/>
      <w:szCs w:val="18"/>
      <w:lang w:bidi="hi-IN"/>
    </w:rPr>
  </w:style>
  <w:style w:type="character" w:styleId="1186" w:customStyle="1">
    <w:name w:val="WW8Num26z5"/>
    <w:uiPriority w:val="99"/>
    <w:qFormat/>
    <w:pPr>
      <w:pBdr/>
      <w:spacing/>
      <w:ind/>
    </w:pPr>
  </w:style>
  <w:style w:type="character" w:styleId="1187" w:customStyle="1">
    <w:name w:val="WW8Num5z2"/>
    <w:uiPriority w:val="99"/>
    <w:qFormat/>
    <w:pPr>
      <w:pBdr/>
      <w:spacing/>
      <w:ind/>
    </w:pPr>
    <w:rPr>
      <w:rFonts w:eastAsia="Times New Roman"/>
      <w:sz w:val="22"/>
    </w:rPr>
  </w:style>
  <w:style w:type="character" w:styleId="1188" w:customStyle="1">
    <w:name w:val="Corpo de texto 3 Char21"/>
    <w:uiPriority w:val="99"/>
    <w:qFormat/>
    <w:pPr>
      <w:pBdr/>
      <w:spacing/>
      <w:ind/>
    </w:pPr>
    <w:rPr>
      <w:rFonts w:eastAsia="Times New Roman" w:cs="Mangal"/>
      <w:sz w:val="14"/>
      <w:szCs w:val="14"/>
      <w:lang w:bidi="hi-IN"/>
    </w:rPr>
  </w:style>
  <w:style w:type="character" w:styleId="1189" w:customStyle="1">
    <w:name w:val="Assunto do comentário Char12"/>
    <w:uiPriority w:val="99"/>
    <w:qFormat/>
    <w:pPr>
      <w:pBdr/>
      <w:spacing/>
      <w:ind/>
    </w:pPr>
    <w:rPr>
      <w:rFonts w:ascii="Ecofont_Spranq_eco_Sans" w:hAnsi="Ecofont_Spranq_eco_Sans" w:eastAsia="Times New Roman" w:cs="Mangal"/>
      <w:b/>
      <w:sz w:val="18"/>
      <w:szCs w:val="18"/>
      <w:lang w:bidi="hi-IN"/>
    </w:rPr>
  </w:style>
  <w:style w:type="character" w:styleId="1190" w:customStyle="1">
    <w:name w:val="Texto de comentário Char14"/>
    <w:uiPriority w:val="99"/>
    <w:qFormat/>
    <w:pPr>
      <w:pBdr/>
      <w:spacing/>
      <w:ind/>
    </w:pPr>
    <w:rPr>
      <w:rFonts w:eastAsia="Times New Roman" w:cs="Mangal"/>
      <w:sz w:val="18"/>
      <w:szCs w:val="18"/>
      <w:lang w:bidi="hi-IN"/>
    </w:rPr>
  </w:style>
  <w:style w:type="character" w:styleId="1191" w:customStyle="1">
    <w:name w:val="Texto de comentário Char12"/>
    <w:uiPriority w:val="99"/>
    <w:qFormat/>
    <w:pPr>
      <w:pBdr/>
      <w:spacing/>
      <w:ind/>
    </w:pPr>
    <w:rPr>
      <w:rFonts w:eastAsia="Times New Roman" w:cs="Mangal"/>
      <w:sz w:val="18"/>
      <w:szCs w:val="18"/>
      <w:lang w:bidi="hi-IN"/>
    </w:rPr>
  </w:style>
  <w:style w:type="character" w:styleId="1192" w:customStyle="1">
    <w:name w:val="WW8Num26z1"/>
    <w:uiPriority w:val="99"/>
    <w:qFormat/>
    <w:pPr>
      <w:pBdr/>
      <w:spacing/>
      <w:ind/>
    </w:pPr>
  </w:style>
  <w:style w:type="character" w:styleId="1193" w:customStyle="1">
    <w:name w:val="WW8Num25z6"/>
    <w:uiPriority w:val="99"/>
    <w:qFormat/>
    <w:pPr>
      <w:pBdr/>
      <w:spacing/>
      <w:ind/>
    </w:pPr>
  </w:style>
  <w:style w:type="character" w:styleId="1194" w:customStyle="1">
    <w:name w:val="Cabeçalho Char12"/>
    <w:uiPriority w:val="99"/>
    <w:qFormat/>
    <w:pPr>
      <w:pBdr/>
      <w:spacing/>
      <w:ind/>
    </w:pPr>
    <w:rPr>
      <w:rFonts w:eastAsia="Times New Roman" w:cs="Mangal"/>
      <w:sz w:val="18"/>
      <w:szCs w:val="18"/>
      <w:lang w:bidi="hi-IN"/>
    </w:rPr>
  </w:style>
  <w:style w:type="character" w:styleId="1195" w:customStyle="1">
    <w:name w:val="Corpo de texto 2 Char24"/>
    <w:uiPriority w:val="99"/>
    <w:qFormat/>
    <w:pPr>
      <w:pBdr/>
      <w:spacing/>
      <w:ind/>
    </w:pPr>
    <w:rPr>
      <w:rFonts w:eastAsia="Times New Roman" w:cs="Mangal"/>
      <w:sz w:val="18"/>
      <w:szCs w:val="18"/>
      <w:lang w:bidi="hi-IN"/>
    </w:rPr>
  </w:style>
  <w:style w:type="character" w:styleId="1196" w:customStyle="1">
    <w:name w:val="WW8Num1z2"/>
    <w:uiPriority w:val="99"/>
    <w:qFormat/>
    <w:pPr>
      <w:pBdr/>
      <w:spacing/>
      <w:ind/>
    </w:pPr>
  </w:style>
  <w:style w:type="character" w:styleId="1197" w:customStyle="1">
    <w:name w:val="WW8Num23z4"/>
    <w:uiPriority w:val="99"/>
    <w:qFormat/>
    <w:pPr>
      <w:pBdr/>
      <w:spacing/>
      <w:ind/>
    </w:pPr>
  </w:style>
  <w:style w:type="character" w:styleId="1198" w:customStyle="1">
    <w:name w:val="Recuo de corpo de texto 2 Char24"/>
    <w:uiPriority w:val="99"/>
    <w:qFormat/>
    <w:pPr>
      <w:pBdr/>
      <w:spacing/>
      <w:ind/>
    </w:pPr>
    <w:rPr>
      <w:rFonts w:eastAsia="Times New Roman" w:cs="Mangal"/>
      <w:sz w:val="18"/>
      <w:szCs w:val="18"/>
      <w:lang w:bidi="hi-IN"/>
    </w:rPr>
  </w:style>
  <w:style w:type="character" w:styleId="1199" w:customStyle="1">
    <w:name w:val="WW8Num8z4"/>
    <w:uiPriority w:val="99"/>
    <w:qFormat/>
    <w:pPr>
      <w:pBdr/>
      <w:spacing/>
      <w:ind/>
    </w:pPr>
  </w:style>
  <w:style w:type="character" w:styleId="1200" w:customStyle="1">
    <w:name w:val="WW8Num25z4"/>
    <w:uiPriority w:val="99"/>
    <w:qFormat/>
    <w:pPr>
      <w:pBdr/>
      <w:spacing/>
      <w:ind/>
    </w:pPr>
  </w:style>
  <w:style w:type="character" w:styleId="1201" w:customStyle="1">
    <w:name w:val="WW8Num26z3"/>
    <w:uiPriority w:val="99"/>
    <w:qFormat/>
    <w:pPr>
      <w:pBdr/>
      <w:spacing/>
      <w:ind/>
    </w:pPr>
  </w:style>
  <w:style w:type="character" w:styleId="1202" w:customStyle="1">
    <w:name w:val="Rodapée9 Char"/>
    <w:uiPriority w:val="99"/>
    <w:qFormat/>
    <w:pPr>
      <w:pBdr/>
      <w:spacing/>
      <w:ind/>
    </w:pPr>
    <w:rPr>
      <w:rFonts w:cs="Times New Roman"/>
      <w:lang w:val="en-US"/>
    </w:rPr>
  </w:style>
  <w:style w:type="character" w:styleId="1203" w:customStyle="1">
    <w:name w:val="WW8Num26z6"/>
    <w:uiPriority w:val="99"/>
    <w:qFormat/>
    <w:pPr>
      <w:pBdr/>
      <w:spacing/>
      <w:ind/>
    </w:pPr>
  </w:style>
  <w:style w:type="character" w:styleId="1204" w:customStyle="1">
    <w:name w:val="paginarotulo1"/>
    <w:uiPriority w:val="99"/>
    <w:qFormat/>
    <w:pPr>
      <w:pBdr/>
      <w:spacing/>
      <w:ind/>
    </w:pPr>
    <w:rPr>
      <w:rFonts w:eastAsia="Times New Roman"/>
      <w:sz w:val="15"/>
    </w:rPr>
  </w:style>
  <w:style w:type="character" w:styleId="1205" w:customStyle="1">
    <w:name w:val="WW8Num13z5"/>
    <w:uiPriority w:val="99"/>
    <w:qFormat/>
    <w:pPr>
      <w:pBdr/>
      <w:spacing/>
      <w:ind/>
    </w:pPr>
  </w:style>
  <w:style w:type="character" w:styleId="1206" w:customStyle="1">
    <w:name w:val="Âc2ncora da nota de fim"/>
    <w:uiPriority w:val="99"/>
    <w:qFormat/>
    <w:pPr>
      <w:pBdr/>
      <w:spacing/>
      <w:ind/>
    </w:pPr>
    <w:rPr>
      <w:vertAlign w:val="superscript"/>
    </w:rPr>
  </w:style>
  <w:style w:type="character" w:styleId="1207" w:customStyle="1">
    <w:name w:val="WW8Num19z2"/>
    <w:uiPriority w:val="99"/>
    <w:qFormat/>
    <w:pPr>
      <w:pBdr/>
      <w:spacing/>
      <w:ind/>
    </w:pPr>
  </w:style>
  <w:style w:type="character" w:styleId="1208" w:customStyle="1">
    <w:name w:val="WW8Num27z2"/>
    <w:uiPriority w:val="99"/>
    <w:qFormat/>
    <w:pPr>
      <w:pBdr/>
      <w:spacing/>
      <w:ind/>
    </w:pPr>
  </w:style>
  <w:style w:type="character" w:styleId="1209" w:customStyle="1">
    <w:name w:val="Assunto do comentário Char13"/>
    <w:uiPriority w:val="99"/>
    <w:qFormat/>
    <w:pPr>
      <w:pBdr/>
      <w:spacing/>
      <w:ind/>
    </w:pPr>
    <w:rPr>
      <w:rFonts w:ascii="Ecofont_Spranq_eco_Sans" w:hAnsi="Ecofont_Spranq_eco_Sans" w:eastAsia="Times New Roman" w:cs="Mangal"/>
      <w:b/>
      <w:sz w:val="18"/>
      <w:szCs w:val="18"/>
      <w:lang w:bidi="hi-IN"/>
    </w:rPr>
  </w:style>
  <w:style w:type="character" w:styleId="1210" w:customStyle="1">
    <w:name w:val="WW8Num7z4"/>
    <w:uiPriority w:val="99"/>
    <w:qFormat/>
    <w:pPr>
      <w:pBdr/>
      <w:spacing/>
      <w:ind/>
    </w:pPr>
  </w:style>
  <w:style w:type="character" w:styleId="1211" w:customStyle="1">
    <w:name w:val="Cabeçe7alho Char2"/>
    <w:uiPriority w:val="99"/>
    <w:qFormat/>
    <w:pPr>
      <w:pBdr/>
      <w:spacing/>
      <w:ind/>
    </w:pPr>
  </w:style>
  <w:style w:type="character" w:styleId="1212" w:customStyle="1">
    <w:name w:val="SUB-TITULO 6 Char"/>
    <w:uiPriority w:val="99"/>
    <w:qFormat/>
    <w:pPr>
      <w:pBdr/>
      <w:spacing/>
      <w:ind/>
    </w:pPr>
    <w:rPr>
      <w:rFonts w:eastAsia="Times New Roman"/>
      <w:b/>
      <w:i/>
      <w:color w:val="002060"/>
      <w:sz w:val="22"/>
    </w:rPr>
  </w:style>
  <w:style w:type="character" w:styleId="1213" w:customStyle="1">
    <w:name w:val="WW-Caracteres de numeraçe7ãe3o11"/>
    <w:uiPriority w:val="99"/>
    <w:qFormat/>
    <w:pPr>
      <w:pBdr/>
      <w:spacing/>
      <w:ind/>
    </w:pPr>
  </w:style>
  <w:style w:type="character" w:styleId="1214" w:customStyle="1">
    <w:name w:val="WW-Absatz-Standardschriftart1111"/>
    <w:uiPriority w:val="99"/>
    <w:qFormat/>
    <w:pPr>
      <w:pBdr/>
      <w:spacing/>
      <w:ind/>
    </w:pPr>
  </w:style>
  <w:style w:type="character" w:styleId="1215" w:customStyle="1">
    <w:name w:val="WW-Caracteres de numeraçe7ãe3o111"/>
    <w:uiPriority w:val="99"/>
    <w:qFormat/>
    <w:pPr>
      <w:pBdr/>
      <w:spacing/>
      <w:ind/>
    </w:pPr>
  </w:style>
  <w:style w:type="character" w:styleId="1216" w:customStyle="1">
    <w:name w:val="WW8Num2z4"/>
    <w:uiPriority w:val="99"/>
    <w:qFormat/>
    <w:pPr>
      <w:pBdr/>
      <w:spacing/>
      <w:ind/>
    </w:pPr>
  </w:style>
  <w:style w:type="character" w:styleId="1217" w:customStyle="1">
    <w:name w:val="WW8Num23z6"/>
    <w:uiPriority w:val="99"/>
    <w:qFormat/>
    <w:pPr>
      <w:pBdr/>
      <w:spacing/>
      <w:ind/>
    </w:pPr>
  </w:style>
  <w:style w:type="character" w:styleId="1218" w:customStyle="1">
    <w:name w:val="WW8Num2z7"/>
    <w:uiPriority w:val="99"/>
    <w:qFormat/>
    <w:pPr>
      <w:pBdr/>
      <w:spacing/>
      <w:ind/>
    </w:pPr>
  </w:style>
  <w:style w:type="character" w:styleId="1219" w:customStyle="1">
    <w:name w:val="WW8Num25z3"/>
    <w:uiPriority w:val="99"/>
    <w:qFormat/>
    <w:pPr>
      <w:pBdr/>
      <w:spacing/>
      <w:ind/>
    </w:pPr>
  </w:style>
  <w:style w:type="character" w:styleId="1220" w:customStyle="1">
    <w:name w:val="WW8Num26z7"/>
    <w:uiPriority w:val="99"/>
    <w:qFormat/>
    <w:pPr>
      <w:pBdr/>
      <w:spacing/>
      <w:ind/>
    </w:pPr>
  </w:style>
  <w:style w:type="character" w:styleId="1221" w:customStyle="1">
    <w:name w:val="Texto de balão Char14"/>
    <w:uiPriority w:val="99"/>
    <w:qFormat/>
    <w:pPr>
      <w:pBdr/>
      <w:spacing/>
      <w:ind/>
    </w:pPr>
    <w:rPr>
      <w:rFonts w:ascii="Segoe UI" w:hAnsi="Segoe UI" w:cs="Segoe UI"/>
      <w:sz w:val="16"/>
      <w:szCs w:val="16"/>
      <w:lang w:bidi="hi-IN"/>
    </w:rPr>
  </w:style>
  <w:style w:type="character" w:styleId="1222" w:customStyle="1">
    <w:name w:val="WW8Num23z7"/>
    <w:uiPriority w:val="99"/>
    <w:qFormat/>
    <w:pPr>
      <w:pBdr/>
      <w:spacing/>
      <w:ind/>
    </w:pPr>
  </w:style>
  <w:style w:type="character" w:styleId="1223" w:customStyle="1">
    <w:name w:val="Subtíedtulo Char"/>
    <w:uiPriority w:val="99"/>
    <w:qFormat/>
    <w:pPr>
      <w:pBdr/>
      <w:spacing/>
      <w:ind/>
    </w:pPr>
    <w:rPr>
      <w:rFonts w:eastAsia="Times New Roman" w:cs="Calibri"/>
    </w:rPr>
  </w:style>
  <w:style w:type="character" w:styleId="1224" w:customStyle="1">
    <w:name w:val="WW8Num19z8"/>
    <w:uiPriority w:val="99"/>
    <w:qFormat/>
    <w:pPr>
      <w:pBdr/>
      <w:spacing/>
      <w:ind/>
    </w:pPr>
  </w:style>
  <w:style w:type="character" w:styleId="1225" w:customStyle="1">
    <w:name w:val="WW8Num1z4"/>
    <w:uiPriority w:val="99"/>
    <w:qFormat/>
    <w:pPr>
      <w:pBdr/>
      <w:spacing/>
      <w:ind/>
    </w:pPr>
  </w:style>
  <w:style w:type="character" w:styleId="1226" w:customStyle="1">
    <w:name w:val="WW8Num13z6"/>
    <w:uiPriority w:val="99"/>
    <w:qFormat/>
    <w:pPr>
      <w:pBdr/>
      <w:spacing/>
      <w:ind/>
    </w:pPr>
  </w:style>
  <w:style w:type="character" w:styleId="1227" w:customStyle="1">
    <w:name w:val="Texto de nota de rodapée9 Char"/>
    <w:uiPriority w:val="99"/>
    <w:qFormat/>
    <w:pPr>
      <w:pBdr/>
      <w:spacing/>
      <w:ind/>
    </w:pPr>
    <w:rPr>
      <w:rFonts w:cs="Times New Roman"/>
    </w:rPr>
  </w:style>
  <w:style w:type="character" w:styleId="1228" w:customStyle="1">
    <w:name w:val="WW-Absatz-Standardschriftart111"/>
    <w:uiPriority w:val="99"/>
    <w:qFormat/>
    <w:pPr>
      <w:pBdr/>
      <w:spacing/>
      <w:ind/>
    </w:pPr>
  </w:style>
  <w:style w:type="character" w:styleId="1229" w:customStyle="1">
    <w:name w:val="WW8Num2z2"/>
    <w:uiPriority w:val="99"/>
    <w:qFormat/>
    <w:pPr>
      <w:pBdr/>
      <w:spacing/>
      <w:ind/>
    </w:pPr>
  </w:style>
  <w:style w:type="character" w:styleId="1230" w:customStyle="1">
    <w:name w:val="Texto sem Formatação Char13"/>
    <w:uiPriority w:val="99"/>
    <w:qFormat/>
    <w:pPr>
      <w:pBdr/>
      <w:spacing/>
      <w:ind/>
    </w:pPr>
    <w:rPr>
      <w:rFonts w:ascii="Courier New" w:hAnsi="Courier New" w:cs="Courier New"/>
      <w:sz w:val="18"/>
      <w:szCs w:val="18"/>
      <w:lang w:bidi="hi-IN"/>
    </w:rPr>
  </w:style>
  <w:style w:type="character" w:styleId="1231" w:customStyle="1">
    <w:name w:val="Texto sem Formatação Char12"/>
    <w:uiPriority w:val="99"/>
    <w:qFormat/>
    <w:pPr>
      <w:pBdr/>
      <w:spacing/>
      <w:ind/>
    </w:pPr>
    <w:rPr>
      <w:rFonts w:ascii="Courier New" w:hAnsi="Courier New" w:cs="Courier New"/>
      <w:sz w:val="18"/>
      <w:szCs w:val="18"/>
      <w:lang w:bidi="hi-IN"/>
    </w:rPr>
  </w:style>
  <w:style w:type="character" w:styleId="1232" w:customStyle="1">
    <w:name w:val="Recuo de corpo de texto 3 Char22"/>
    <w:uiPriority w:val="99"/>
    <w:qFormat/>
    <w:pPr>
      <w:pBdr/>
      <w:spacing/>
      <w:ind/>
    </w:pPr>
    <w:rPr>
      <w:rFonts w:eastAsia="Times New Roman" w:cs="Mangal"/>
      <w:sz w:val="14"/>
      <w:szCs w:val="14"/>
      <w:lang w:bidi="hi-IN"/>
    </w:rPr>
  </w:style>
  <w:style w:type="character" w:styleId="1233" w:customStyle="1">
    <w:name w:val="Texto sem Formataçe7ãe3o Char"/>
    <w:uiPriority w:val="99"/>
    <w:qFormat/>
    <w:pPr>
      <w:pBdr/>
      <w:spacing/>
      <w:ind/>
    </w:pPr>
    <w:rPr>
      <w:rFonts w:eastAsia="Times New Roman" w:cs="Courier New"/>
    </w:rPr>
  </w:style>
  <w:style w:type="character" w:styleId="1234" w:customStyle="1">
    <w:name w:val="Recuo de corpo de texto 2 Char23"/>
    <w:uiPriority w:val="99"/>
    <w:qFormat/>
    <w:pPr>
      <w:pBdr/>
      <w:spacing/>
      <w:ind/>
    </w:pPr>
    <w:rPr>
      <w:rFonts w:eastAsia="Times New Roman" w:cs="Mangal"/>
      <w:sz w:val="18"/>
      <w:szCs w:val="18"/>
      <w:lang w:bidi="hi-IN"/>
    </w:rPr>
  </w:style>
  <w:style w:type="character" w:styleId="1235" w:customStyle="1">
    <w:name w:val="WW-Default Paragraph Font"/>
    <w:uiPriority w:val="99"/>
    <w:qFormat/>
    <w:pPr>
      <w:pBdr/>
      <w:spacing/>
      <w:ind/>
    </w:pPr>
  </w:style>
  <w:style w:type="character" w:styleId="1236" w:customStyle="1">
    <w:name w:val="Caracteres de numeraçe7ãe3o"/>
    <w:uiPriority w:val="99"/>
    <w:qFormat/>
    <w:pPr>
      <w:pBdr/>
      <w:spacing/>
      <w:ind/>
    </w:pPr>
  </w:style>
  <w:style w:type="character" w:styleId="1237" w:customStyle="1">
    <w:name w:val="WW-Caracteres de numeraçe7ãe3o1111"/>
    <w:uiPriority w:val="99"/>
    <w:qFormat/>
    <w:pPr>
      <w:pBdr/>
      <w:spacing/>
      <w:ind/>
    </w:pPr>
  </w:style>
  <w:style w:type="character" w:styleId="1238" w:customStyle="1">
    <w:name w:val="WW8Num25z8"/>
    <w:uiPriority w:val="99"/>
    <w:qFormat/>
    <w:pPr>
      <w:pBdr/>
      <w:spacing/>
      <w:ind/>
    </w:pPr>
  </w:style>
  <w:style w:type="character" w:styleId="1239" w:customStyle="1">
    <w:name w:val="WW8Num7z6"/>
    <w:uiPriority w:val="99"/>
    <w:qFormat/>
    <w:pPr>
      <w:pBdr/>
      <w:spacing/>
      <w:ind/>
    </w:pPr>
  </w:style>
  <w:style w:type="character" w:styleId="1240" w:customStyle="1">
    <w:name w:val="TITULO 3 Char"/>
    <w:qFormat/>
    <w:pPr>
      <w:pBdr/>
      <w:spacing/>
      <w:ind/>
    </w:pPr>
    <w:rPr>
      <w:rFonts w:eastAsia="Times New Roman"/>
      <w:b/>
      <w:color w:val="002060"/>
      <w:sz w:val="22"/>
    </w:rPr>
  </w:style>
  <w:style w:type="character" w:styleId="1241" w:customStyle="1">
    <w:name w:val="WW8Num2z3"/>
    <w:uiPriority w:val="99"/>
    <w:qFormat/>
    <w:pPr>
      <w:pBdr/>
      <w:spacing/>
      <w:ind/>
    </w:pPr>
  </w:style>
  <w:style w:type="character" w:styleId="1242" w:customStyle="1">
    <w:name w:val="Corpo de texto 2 Char21"/>
    <w:uiPriority w:val="99"/>
    <w:qFormat/>
    <w:pPr>
      <w:pBdr/>
      <w:spacing/>
      <w:ind/>
    </w:pPr>
    <w:rPr>
      <w:rFonts w:eastAsia="Times New Roman" w:cs="Mangal"/>
      <w:sz w:val="18"/>
      <w:szCs w:val="18"/>
      <w:lang w:bidi="hi-IN"/>
    </w:rPr>
  </w:style>
  <w:style w:type="character" w:styleId="1243" w:customStyle="1">
    <w:name w:val="Tíedtulo 1 Char"/>
    <w:uiPriority w:val="99"/>
    <w:qFormat/>
    <w:pPr>
      <w:pBdr/>
      <w:spacing/>
      <w:ind/>
    </w:pPr>
    <w:rPr>
      <w:rFonts w:eastAsia="Times New Roman" w:cs="Arial"/>
      <w:b/>
      <w:sz w:val="32"/>
      <w:szCs w:val="32"/>
      <w:lang w:val="en-US"/>
    </w:rPr>
  </w:style>
  <w:style w:type="character" w:styleId="1244" w:customStyle="1">
    <w:name w:val="Tíedtulo 3 Char"/>
    <w:uiPriority w:val="99"/>
    <w:qFormat/>
    <w:pPr>
      <w:pBdr/>
      <w:spacing/>
      <w:ind/>
    </w:pPr>
    <w:rPr>
      <w:rFonts w:eastAsia="Times New Roman" w:cs="Arial"/>
      <w:b/>
      <w:sz w:val="26"/>
      <w:szCs w:val="26"/>
    </w:rPr>
  </w:style>
  <w:style w:type="character" w:styleId="1245" w:customStyle="1">
    <w:name w:val="highlight"/>
    <w:uiPriority w:val="99"/>
    <w:qFormat/>
    <w:pPr>
      <w:pBdr/>
      <w:spacing/>
      <w:ind/>
    </w:pPr>
  </w:style>
  <w:style w:type="character" w:styleId="1246" w:customStyle="1">
    <w:name w:val="Tíedtulo 4 Char"/>
    <w:uiPriority w:val="99"/>
    <w:qFormat/>
    <w:pPr>
      <w:pBdr/>
      <w:spacing/>
      <w:ind/>
    </w:pPr>
    <w:rPr>
      <w:rFonts w:cs="Times New Roman"/>
      <w:b/>
      <w:sz w:val="28"/>
      <w:szCs w:val="28"/>
    </w:rPr>
  </w:style>
  <w:style w:type="character" w:styleId="1247" w:customStyle="1">
    <w:name w:val="Tíedtulo 2 Char"/>
    <w:uiPriority w:val="99"/>
    <w:qFormat/>
    <w:pPr>
      <w:pBdr/>
      <w:spacing/>
      <w:ind/>
    </w:pPr>
    <w:rPr>
      <w:rFonts w:eastAsia="Times New Roman" w:cs="Arial"/>
      <w:b/>
      <w:color w:val="000000"/>
      <w:sz w:val="22"/>
      <w:szCs w:val="22"/>
    </w:rPr>
  </w:style>
  <w:style w:type="character" w:styleId="1248" w:customStyle="1">
    <w:name w:val="WW8Num5z3"/>
    <w:uiPriority w:val="99"/>
    <w:qFormat/>
    <w:pPr>
      <w:pBdr/>
      <w:spacing/>
      <w:ind/>
    </w:pPr>
  </w:style>
  <w:style w:type="character" w:styleId="1249" w:customStyle="1">
    <w:name w:val="WW8Num19z3"/>
    <w:uiPriority w:val="99"/>
    <w:qFormat/>
    <w:pPr>
      <w:pBdr/>
      <w:spacing/>
      <w:ind/>
    </w:pPr>
  </w:style>
  <w:style w:type="character" w:styleId="1250" w:customStyle="1">
    <w:name w:val="Footnote Characters"/>
    <w:uiPriority w:val="99"/>
    <w:qFormat/>
    <w:pPr>
      <w:pBdr/>
      <w:spacing/>
      <w:ind/>
    </w:pPr>
    <w:rPr>
      <w:rFonts w:cs="Times New Roman"/>
      <w:vertAlign w:val="superscript"/>
    </w:rPr>
  </w:style>
  <w:style w:type="character" w:styleId="1251" w:customStyle="1">
    <w:name w:val="WW8Num26z0"/>
    <w:uiPriority w:val="99"/>
    <w:qFormat/>
    <w:pPr>
      <w:pBdr/>
      <w:spacing/>
      <w:ind/>
    </w:pPr>
    <w:rPr>
      <w:color w:val="000000"/>
    </w:rPr>
  </w:style>
  <w:style w:type="character" w:styleId="1252" w:customStyle="1">
    <w:name w:val="WW8Num1z3"/>
    <w:uiPriority w:val="99"/>
    <w:qFormat/>
    <w:pPr>
      <w:pBdr/>
      <w:spacing/>
      <w:ind/>
    </w:pPr>
  </w:style>
  <w:style w:type="character" w:styleId="1253" w:customStyle="1">
    <w:name w:val="WW8Num8z8"/>
    <w:uiPriority w:val="99"/>
    <w:qFormat/>
    <w:pPr>
      <w:pBdr/>
      <w:spacing/>
      <w:ind/>
    </w:pPr>
  </w:style>
  <w:style w:type="character" w:styleId="1254" w:customStyle="1">
    <w:name w:val="WW8Num21z8"/>
    <w:uiPriority w:val="99"/>
    <w:qFormat/>
    <w:pPr>
      <w:pBdr/>
      <w:spacing/>
      <w:ind/>
    </w:pPr>
  </w:style>
  <w:style w:type="character" w:styleId="1255" w:customStyle="1">
    <w:name w:val="Tíedtulo 7 Char"/>
    <w:uiPriority w:val="99"/>
    <w:qFormat/>
    <w:pPr>
      <w:pBdr/>
      <w:spacing/>
      <w:ind/>
    </w:pPr>
    <w:rPr>
      <w:rFonts w:eastAsia="Times New Roman" w:cs="Arial"/>
      <w:b/>
      <w:sz w:val="22"/>
      <w:szCs w:val="22"/>
    </w:rPr>
  </w:style>
  <w:style w:type="character" w:styleId="1256" w:customStyle="1">
    <w:name w:val="Recuo de corpo de texto 3 Char24"/>
    <w:uiPriority w:val="99"/>
    <w:qFormat/>
    <w:pPr>
      <w:pBdr/>
      <w:spacing/>
      <w:ind/>
    </w:pPr>
    <w:rPr>
      <w:rFonts w:eastAsia="Times New Roman" w:cs="Mangal"/>
      <w:sz w:val="14"/>
      <w:szCs w:val="14"/>
      <w:lang w:bidi="hi-IN"/>
    </w:rPr>
  </w:style>
  <w:style w:type="character" w:styleId="1257" w:customStyle="1">
    <w:name w:val="WW8Num7z5"/>
    <w:uiPriority w:val="99"/>
    <w:qFormat/>
    <w:pPr>
      <w:pBdr/>
      <w:spacing/>
      <w:ind/>
    </w:pPr>
  </w:style>
  <w:style w:type="character" w:styleId="1258" w:customStyle="1">
    <w:name w:val="WW8Num2z8"/>
    <w:uiPriority w:val="99"/>
    <w:qFormat/>
    <w:pPr>
      <w:pBdr/>
      <w:spacing/>
      <w:ind/>
    </w:pPr>
  </w:style>
  <w:style w:type="character" w:styleId="1259" w:customStyle="1">
    <w:name w:val="WW-Caracteres de numeraçe7ãe3o"/>
    <w:uiPriority w:val="99"/>
    <w:qFormat/>
    <w:pPr>
      <w:pBdr/>
      <w:spacing/>
      <w:ind/>
    </w:pPr>
  </w:style>
  <w:style w:type="character" w:styleId="1260" w:customStyle="1">
    <w:name w:val="WW8Num26z8"/>
    <w:uiPriority w:val="99"/>
    <w:qFormat/>
    <w:pPr>
      <w:pBdr/>
      <w:spacing/>
      <w:ind/>
    </w:pPr>
  </w:style>
  <w:style w:type="character" w:styleId="1261" w:customStyle="1">
    <w:name w:val="WW8Num13z4"/>
    <w:uiPriority w:val="99"/>
    <w:qFormat/>
    <w:pPr>
      <w:pBdr/>
      <w:spacing/>
      <w:ind/>
    </w:pPr>
  </w:style>
  <w:style w:type="character" w:styleId="1262" w:customStyle="1">
    <w:name w:val="TITULO 2 Char"/>
    <w:uiPriority w:val="99"/>
    <w:qFormat/>
    <w:pPr>
      <w:pBdr/>
      <w:spacing/>
      <w:ind/>
    </w:pPr>
    <w:rPr>
      <w:rFonts w:eastAsia="Times New Roman"/>
      <w:b/>
      <w:smallCaps/>
      <w:color w:val="002060"/>
      <w:sz w:val="22"/>
    </w:rPr>
  </w:style>
  <w:style w:type="character" w:styleId="1263" w:customStyle="1">
    <w:name w:val="Texto de comentáe1rio Char"/>
    <w:uiPriority w:val="99"/>
    <w:qFormat/>
    <w:pPr>
      <w:pBdr/>
      <w:spacing/>
      <w:ind/>
    </w:pPr>
    <w:rPr>
      <w:rFonts w:cs="Times New Roman"/>
    </w:rPr>
  </w:style>
  <w:style w:type="character" w:styleId="1264" w:customStyle="1">
    <w:name w:val="Corpo de texto 3 Char2"/>
    <w:uiPriority w:val="99"/>
    <w:qFormat/>
    <w:pPr>
      <w:pBdr/>
      <w:spacing/>
      <w:ind/>
    </w:pPr>
    <w:rPr>
      <w:rFonts w:eastAsia="Times New Roman" w:cs="Mangal"/>
      <w:sz w:val="14"/>
      <w:szCs w:val="14"/>
      <w:lang w:bidi="hi-IN"/>
    </w:rPr>
  </w:style>
  <w:style w:type="character" w:styleId="1265" w:customStyle="1">
    <w:name w:val="WW-Caracteres de numeraçe7ãe3o11111"/>
    <w:uiPriority w:val="99"/>
    <w:qFormat/>
    <w:pPr>
      <w:pBdr/>
      <w:spacing/>
      <w:ind/>
    </w:pPr>
  </w:style>
  <w:style w:type="character" w:styleId="1266" w:customStyle="1">
    <w:name w:val="Êcanfase"/>
    <w:uiPriority w:val="99"/>
    <w:qFormat/>
    <w:pPr>
      <w:pBdr/>
      <w:spacing/>
      <w:ind/>
    </w:pPr>
    <w:rPr>
      <w:rFonts w:cs="Times New Roman"/>
      <w:i/>
    </w:rPr>
  </w:style>
  <w:style w:type="character" w:styleId="1267" w:customStyle="1">
    <w:name w:val="WW8Num13z7"/>
    <w:uiPriority w:val="99"/>
    <w:qFormat/>
    <w:pPr>
      <w:pBdr/>
      <w:spacing/>
      <w:ind/>
    </w:pPr>
  </w:style>
  <w:style w:type="character" w:styleId="1268" w:customStyle="1">
    <w:name w:val="m_-2884721576075861681highlight"/>
    <w:uiPriority w:val="99"/>
    <w:qFormat/>
    <w:pPr>
      <w:pBdr/>
      <w:spacing/>
      <w:ind/>
    </w:pPr>
  </w:style>
  <w:style w:type="character" w:styleId="1269" w:customStyle="1">
    <w:name w:val="_xdb"/>
    <w:uiPriority w:val="99"/>
    <w:qFormat/>
    <w:pPr>
      <w:pBdr/>
      <w:spacing/>
      <w:ind/>
    </w:pPr>
  </w:style>
  <w:style w:type="character" w:styleId="1270" w:customStyle="1">
    <w:name w:val="WW8Num7z7"/>
    <w:uiPriority w:val="99"/>
    <w:qFormat/>
    <w:pPr>
      <w:pBdr/>
      <w:spacing/>
      <w:ind/>
    </w:pPr>
  </w:style>
  <w:style w:type="character" w:styleId="1271" w:customStyle="1">
    <w:name w:val="Recuo de corpo de texto 3 Char2"/>
    <w:uiPriority w:val="99"/>
    <w:qFormat/>
    <w:pPr>
      <w:pBdr/>
      <w:spacing/>
      <w:ind/>
    </w:pPr>
    <w:rPr>
      <w:rFonts w:eastAsia="Times New Roman" w:cs="Mangal"/>
      <w:sz w:val="14"/>
      <w:szCs w:val="14"/>
      <w:lang w:bidi="hi-IN"/>
    </w:rPr>
  </w:style>
  <w:style w:type="character" w:styleId="1272" w:customStyle="1">
    <w:name w:val="st"/>
    <w:uiPriority w:val="99"/>
    <w:qFormat/>
    <w:pPr>
      <w:pBdr/>
      <w:spacing/>
      <w:ind/>
    </w:pPr>
  </w:style>
  <w:style w:type="character" w:styleId="1273" w:customStyle="1">
    <w:name w:val="WW8Num21z6"/>
    <w:uiPriority w:val="99"/>
    <w:qFormat/>
    <w:pPr>
      <w:pBdr/>
      <w:spacing/>
      <w:ind/>
    </w:pPr>
  </w:style>
  <w:style w:type="character" w:styleId="1274" w:customStyle="1">
    <w:name w:val="WW8Num8z6"/>
    <w:uiPriority w:val="99"/>
    <w:qFormat/>
    <w:pPr>
      <w:pBdr/>
      <w:spacing/>
      <w:ind/>
    </w:pPr>
  </w:style>
  <w:style w:type="character" w:styleId="1275" w:customStyle="1">
    <w:name w:val="Endnote Characters"/>
    <w:uiPriority w:val="99"/>
    <w:qFormat/>
    <w:pPr>
      <w:pBdr/>
      <w:spacing/>
      <w:ind/>
    </w:pPr>
    <w:rPr>
      <w:rFonts w:cs="Times New Roman"/>
      <w:vertAlign w:val="superscript"/>
    </w:rPr>
  </w:style>
  <w:style w:type="character" w:styleId="1276" w:customStyle="1">
    <w:name w:val="WW8Num7z8"/>
    <w:uiPriority w:val="99"/>
    <w:qFormat/>
    <w:pPr>
      <w:pBdr/>
      <w:spacing/>
      <w:ind/>
    </w:pPr>
  </w:style>
  <w:style w:type="character" w:styleId="1277" w:customStyle="1">
    <w:name w:val="Tíedtulo 6 Char"/>
    <w:uiPriority w:val="99"/>
    <w:qFormat/>
    <w:pPr>
      <w:pBdr/>
      <w:spacing/>
      <w:ind/>
    </w:pPr>
    <w:rPr>
      <w:rFonts w:eastAsia="Times New Roman" w:cs="Arial"/>
      <w:b/>
      <w:sz w:val="22"/>
      <w:szCs w:val="22"/>
    </w:rPr>
  </w:style>
  <w:style w:type="character" w:styleId="1278" w:customStyle="1">
    <w:name w:val="WW8Num24z1"/>
    <w:uiPriority w:val="99"/>
    <w:qFormat/>
    <w:pPr>
      <w:pBdr/>
      <w:spacing/>
      <w:ind/>
    </w:pPr>
    <w:rPr>
      <w:rFonts w:eastAsia="Times New Roman"/>
    </w:rPr>
  </w:style>
  <w:style w:type="character" w:styleId="1279" w:customStyle="1">
    <w:name w:val="WW8Num26z2"/>
    <w:uiPriority w:val="99"/>
    <w:qFormat/>
    <w:pPr>
      <w:pBdr/>
      <w:spacing/>
      <w:ind/>
    </w:pPr>
  </w:style>
  <w:style w:type="character" w:styleId="1280" w:customStyle="1">
    <w:name w:val="Texto de nota de fim Char"/>
    <w:uiPriority w:val="99"/>
    <w:qFormat/>
    <w:pPr>
      <w:pBdr/>
      <w:spacing/>
      <w:ind/>
    </w:pPr>
    <w:rPr>
      <w:rFonts w:cs="Times New Roman"/>
    </w:rPr>
  </w:style>
  <w:style w:type="character" w:styleId="1281" w:customStyle="1">
    <w:name w:val="Texto de balãe3o Char"/>
    <w:uiPriority w:val="99"/>
    <w:qFormat/>
    <w:pPr>
      <w:pBdr/>
      <w:spacing/>
      <w:ind/>
    </w:pPr>
    <w:rPr>
      <w:rFonts w:eastAsia="Times New Roman" w:cs="Tahoma"/>
      <w:sz w:val="16"/>
      <w:szCs w:val="16"/>
    </w:rPr>
  </w:style>
  <w:style w:type="character" w:styleId="1282" w:customStyle="1">
    <w:name w:val="WW8Num2z1"/>
    <w:uiPriority w:val="99"/>
    <w:qFormat/>
    <w:pPr>
      <w:pBdr/>
      <w:spacing/>
      <w:ind/>
    </w:pPr>
  </w:style>
  <w:style w:type="character" w:styleId="1283" w:customStyle="1">
    <w:name w:val="WW8Num7z2"/>
    <w:uiPriority w:val="99"/>
    <w:qFormat/>
    <w:pPr>
      <w:pBdr/>
      <w:spacing/>
      <w:ind/>
    </w:pPr>
  </w:style>
  <w:style w:type="character" w:styleId="1284" w:customStyle="1">
    <w:name w:val="WW8Num19z1"/>
    <w:uiPriority w:val="99"/>
    <w:qFormat/>
    <w:pPr>
      <w:pBdr/>
      <w:spacing/>
      <w:ind/>
    </w:pPr>
  </w:style>
  <w:style w:type="character" w:styleId="1285" w:customStyle="1">
    <w:name w:val="WW8Num19z7"/>
    <w:uiPriority w:val="99"/>
    <w:qFormat/>
    <w:pPr>
      <w:pBdr/>
      <w:spacing/>
      <w:ind/>
    </w:pPr>
  </w:style>
  <w:style w:type="character" w:styleId="1286" w:customStyle="1">
    <w:name w:val="WW8Num13z2"/>
    <w:uiPriority w:val="99"/>
    <w:qFormat/>
    <w:pPr>
      <w:pBdr/>
      <w:spacing/>
      <w:ind/>
    </w:pPr>
  </w:style>
  <w:style w:type="character" w:styleId="1287" w:customStyle="1">
    <w:name w:val="WW8Num16z1"/>
    <w:uiPriority w:val="99"/>
    <w:qFormat/>
    <w:pPr>
      <w:pBdr/>
      <w:spacing/>
      <w:ind/>
    </w:pPr>
    <w:rPr>
      <w:rFonts w:eastAsia="Times New Roman"/>
    </w:rPr>
  </w:style>
  <w:style w:type="character" w:styleId="1288" w:customStyle="1">
    <w:name w:val="WW8Num2z6"/>
    <w:uiPriority w:val="99"/>
    <w:qFormat/>
    <w:pPr>
      <w:pBdr/>
      <w:spacing/>
      <w:ind/>
    </w:pPr>
  </w:style>
  <w:style w:type="character" w:styleId="1289" w:customStyle="1">
    <w:name w:val="WW8Num21z7"/>
    <w:uiPriority w:val="99"/>
    <w:qFormat/>
    <w:pPr>
      <w:pBdr/>
      <w:spacing/>
      <w:ind/>
    </w:pPr>
  </w:style>
  <w:style w:type="character" w:styleId="1290" w:customStyle="1">
    <w:name w:val="Tíedtulo 5 Char"/>
    <w:uiPriority w:val="99"/>
    <w:qFormat/>
    <w:pPr>
      <w:pBdr/>
      <w:spacing/>
      <w:ind/>
    </w:pPr>
    <w:rPr>
      <w:rFonts w:cs="Times New Roman"/>
      <w:b/>
      <w:i/>
      <w:sz w:val="26"/>
      <w:szCs w:val="26"/>
    </w:rPr>
  </w:style>
  <w:style w:type="character" w:styleId="1291" w:customStyle="1">
    <w:name w:val="WW-Absatz-Standardschriftart1"/>
    <w:uiPriority w:val="99"/>
    <w:qFormat/>
    <w:pPr>
      <w:pBdr/>
      <w:spacing/>
      <w:ind/>
    </w:pPr>
  </w:style>
  <w:style w:type="character" w:styleId="1292" w:customStyle="1">
    <w:name w:val="WW8Num25z5"/>
    <w:uiPriority w:val="99"/>
    <w:qFormat/>
    <w:pPr>
      <w:pBdr/>
      <w:spacing/>
      <w:ind/>
    </w:pPr>
  </w:style>
  <w:style w:type="character" w:styleId="1293" w:customStyle="1">
    <w:name w:val="WW8Num23z5"/>
    <w:uiPriority w:val="99"/>
    <w:qFormat/>
    <w:pPr>
      <w:pBdr/>
      <w:spacing/>
      <w:ind/>
    </w:pPr>
  </w:style>
  <w:style w:type="character" w:styleId="1294" w:customStyle="1">
    <w:name w:val="description-text"/>
    <w:uiPriority w:val="99"/>
    <w:qFormat/>
    <w:pPr>
      <w:pBdr/>
      <w:spacing/>
      <w:ind/>
    </w:pPr>
  </w:style>
  <w:style w:type="character" w:styleId="1295" w:customStyle="1">
    <w:name w:val="Recuo de corpo de texto 2 Char22"/>
    <w:uiPriority w:val="99"/>
    <w:qFormat/>
    <w:pPr>
      <w:pBdr/>
      <w:spacing/>
      <w:ind/>
    </w:pPr>
    <w:rPr>
      <w:rFonts w:eastAsia="Times New Roman" w:cs="Mangal"/>
      <w:sz w:val="18"/>
      <w:szCs w:val="18"/>
      <w:lang w:bidi="hi-IN"/>
    </w:rPr>
  </w:style>
  <w:style w:type="character" w:styleId="1296" w:customStyle="1">
    <w:name w:val="Tíedtulo 8 Char"/>
    <w:uiPriority w:val="99"/>
    <w:qFormat/>
    <w:pPr>
      <w:pBdr/>
      <w:spacing/>
      <w:ind/>
    </w:pPr>
    <w:rPr>
      <w:rFonts w:eastAsia="Times New Roman" w:cs="Arial"/>
      <w:b/>
      <w:sz w:val="22"/>
      <w:szCs w:val="22"/>
    </w:rPr>
  </w:style>
  <w:style w:type="character" w:styleId="1297" w:customStyle="1">
    <w:name w:val="WW8Num23z8"/>
    <w:uiPriority w:val="99"/>
    <w:qFormat/>
    <w:pPr>
      <w:pBdr/>
      <w:spacing/>
      <w:ind/>
    </w:pPr>
  </w:style>
  <w:style w:type="character" w:styleId="1298" w:customStyle="1">
    <w:name w:val="_xbe"/>
    <w:uiPriority w:val="99"/>
    <w:qFormat/>
    <w:pPr>
      <w:pBdr/>
      <w:spacing/>
      <w:ind/>
    </w:pPr>
  </w:style>
  <w:style w:type="character" w:styleId="1299" w:customStyle="1">
    <w:name w:val="Cabeçe7alho Char"/>
    <w:uiPriority w:val="99"/>
    <w:qFormat/>
    <w:pPr>
      <w:pBdr/>
      <w:spacing/>
      <w:ind/>
    </w:pPr>
    <w:rPr>
      <w:rFonts w:eastAsia="Times New Roman"/>
      <w:lang w:val="en-US"/>
    </w:rPr>
  </w:style>
  <w:style w:type="character" w:styleId="1300" w:customStyle="1">
    <w:name w:val="WW8Num25z1"/>
    <w:uiPriority w:val="99"/>
    <w:qFormat/>
    <w:pPr>
      <w:pBdr/>
      <w:spacing/>
      <w:ind/>
    </w:pPr>
  </w:style>
  <w:style w:type="character" w:styleId="1301" w:customStyle="1">
    <w:name w:val="WW-Caracteres de numeraçe7ãe3o111111"/>
    <w:uiPriority w:val="99"/>
    <w:qFormat/>
    <w:pPr>
      <w:pBdr/>
      <w:spacing/>
      <w:ind/>
    </w:pPr>
  </w:style>
  <w:style w:type="character" w:styleId="1302" w:customStyle="1">
    <w:name w:val="Corpo de texto 3 Char23"/>
    <w:uiPriority w:val="99"/>
    <w:qFormat/>
    <w:pPr>
      <w:pBdr/>
      <w:spacing/>
      <w:ind/>
    </w:pPr>
    <w:rPr>
      <w:rFonts w:eastAsia="Times New Roman" w:cs="Mangal"/>
      <w:sz w:val="14"/>
      <w:szCs w:val="14"/>
      <w:lang w:bidi="hi-IN"/>
    </w:rPr>
  </w:style>
  <w:style w:type="character" w:styleId="1303" w:customStyle="1">
    <w:name w:val="Corpo de texto 3 Char22"/>
    <w:uiPriority w:val="99"/>
    <w:qFormat/>
    <w:pPr>
      <w:pBdr/>
      <w:spacing/>
      <w:ind/>
    </w:pPr>
    <w:rPr>
      <w:rFonts w:eastAsia="Times New Roman" w:cs="Mangal"/>
      <w:sz w:val="14"/>
      <w:szCs w:val="14"/>
      <w:lang w:bidi="hi-IN"/>
    </w:rPr>
  </w:style>
  <w:style w:type="character" w:styleId="1304" w:customStyle="1">
    <w:name w:val="Texto sem Formatação Char11"/>
    <w:uiPriority w:val="99"/>
    <w:qFormat/>
    <w:pPr>
      <w:pBdr/>
      <w:spacing/>
      <w:ind/>
    </w:pPr>
    <w:rPr>
      <w:rFonts w:ascii="Courier New" w:hAnsi="Courier New" w:cs="Courier New"/>
      <w:sz w:val="18"/>
      <w:szCs w:val="18"/>
      <w:lang w:bidi="hi-IN"/>
    </w:rPr>
  </w:style>
  <w:style w:type="character" w:styleId="1305" w:customStyle="1">
    <w:name w:val="Corpo de texto 2 Char22"/>
    <w:uiPriority w:val="99"/>
    <w:qFormat/>
    <w:pPr>
      <w:pBdr/>
      <w:spacing/>
      <w:ind/>
    </w:pPr>
    <w:rPr>
      <w:rFonts w:eastAsia="Times New Roman" w:cs="Mangal"/>
      <w:sz w:val="18"/>
      <w:szCs w:val="18"/>
      <w:lang w:bidi="hi-IN"/>
    </w:rPr>
  </w:style>
  <w:style w:type="character" w:styleId="1306" w:customStyle="1">
    <w:name w:val="Cabeçalho Char13"/>
    <w:uiPriority w:val="99"/>
    <w:qFormat/>
    <w:pPr>
      <w:pBdr/>
      <w:spacing/>
      <w:ind/>
    </w:pPr>
    <w:rPr>
      <w:rFonts w:eastAsia="Times New Roman" w:cs="Mangal"/>
      <w:sz w:val="18"/>
      <w:szCs w:val="18"/>
      <w:lang w:bidi="hi-IN"/>
    </w:rPr>
  </w:style>
  <w:style w:type="character" w:styleId="1307" w:customStyle="1">
    <w:name w:val="Cabeçalho Char11"/>
    <w:uiPriority w:val="99"/>
    <w:qFormat/>
    <w:pPr>
      <w:pBdr/>
      <w:spacing/>
      <w:ind/>
    </w:pPr>
    <w:rPr>
      <w:rFonts w:eastAsia="Times New Roman" w:cs="Mangal"/>
      <w:sz w:val="18"/>
      <w:szCs w:val="18"/>
      <w:lang w:bidi="hi-IN"/>
    </w:rPr>
  </w:style>
  <w:style w:type="character" w:styleId="1308" w:customStyle="1">
    <w:name w:val="Recuo de corpo de texto 3 Char23"/>
    <w:uiPriority w:val="99"/>
    <w:qFormat/>
    <w:pPr>
      <w:pBdr/>
      <w:spacing/>
      <w:ind/>
    </w:pPr>
    <w:rPr>
      <w:rFonts w:eastAsia="Times New Roman" w:cs="Mangal"/>
      <w:sz w:val="14"/>
      <w:szCs w:val="14"/>
      <w:lang w:bidi="hi-IN"/>
    </w:rPr>
  </w:style>
  <w:style w:type="character" w:styleId="1309" w:customStyle="1">
    <w:name w:val="Recuo de corpo de texto 3 Char21"/>
    <w:uiPriority w:val="99"/>
    <w:qFormat/>
    <w:pPr>
      <w:pBdr/>
      <w:spacing/>
      <w:ind/>
    </w:pPr>
    <w:rPr>
      <w:rFonts w:eastAsia="Times New Roman" w:cs="Mangal"/>
      <w:sz w:val="14"/>
      <w:szCs w:val="14"/>
      <w:lang w:bidi="hi-IN"/>
    </w:rPr>
  </w:style>
  <w:style w:type="character" w:styleId="1310" w:customStyle="1">
    <w:name w:val="Texto de balão Char11"/>
    <w:uiPriority w:val="99"/>
    <w:qFormat/>
    <w:pPr>
      <w:pBdr/>
      <w:spacing/>
      <w:ind/>
    </w:pPr>
    <w:rPr>
      <w:rFonts w:ascii="Segoe UI" w:hAnsi="Segoe UI" w:cs="Segoe UI"/>
      <w:sz w:val="16"/>
      <w:szCs w:val="16"/>
      <w:lang w:bidi="hi-IN"/>
    </w:rPr>
  </w:style>
  <w:style w:type="character" w:styleId="1311" w:customStyle="1">
    <w:name w:val="Texto de balão Char2"/>
    <w:uiPriority w:val="99"/>
    <w:qFormat/>
    <w:pPr>
      <w:pBdr/>
      <w:spacing/>
      <w:ind/>
    </w:pPr>
    <w:rPr>
      <w:rFonts w:ascii="Segoe UI" w:hAnsi="Segoe UI" w:eastAsia="Times New Roman" w:cs="Mangal"/>
      <w:sz w:val="18"/>
      <w:szCs w:val="16"/>
      <w:lang w:bidi="hi-IN"/>
    </w:rPr>
  </w:style>
  <w:style w:type="character" w:styleId="1312" w:customStyle="1">
    <w:name w:val="Texto de balão Char210"/>
    <w:uiPriority w:val="99"/>
    <w:qFormat/>
    <w:pPr>
      <w:pBdr/>
      <w:spacing/>
      <w:ind/>
    </w:pPr>
    <w:rPr>
      <w:rFonts w:ascii="Segoe UI" w:hAnsi="Segoe UI" w:cs="Mangal"/>
      <w:sz w:val="16"/>
      <w:szCs w:val="16"/>
      <w:lang w:bidi="hi-IN"/>
    </w:rPr>
  </w:style>
  <w:style w:type="character" w:styleId="1313" w:customStyle="1">
    <w:name w:val="Texto de balão Char29"/>
    <w:uiPriority w:val="99"/>
    <w:qFormat/>
    <w:pPr>
      <w:pBdr/>
      <w:spacing/>
      <w:ind/>
    </w:pPr>
    <w:rPr>
      <w:rFonts w:ascii="Segoe UI" w:hAnsi="Segoe UI" w:cs="Mangal"/>
      <w:sz w:val="16"/>
      <w:szCs w:val="16"/>
      <w:lang w:bidi="hi-IN"/>
    </w:rPr>
  </w:style>
  <w:style w:type="character" w:styleId="1314" w:customStyle="1">
    <w:name w:val="Texto de balão Char28"/>
    <w:uiPriority w:val="99"/>
    <w:qFormat/>
    <w:pPr>
      <w:pBdr/>
      <w:spacing/>
      <w:ind/>
    </w:pPr>
    <w:rPr>
      <w:rFonts w:ascii="Segoe UI" w:hAnsi="Segoe UI" w:cs="Mangal"/>
      <w:sz w:val="16"/>
      <w:szCs w:val="16"/>
      <w:lang w:bidi="hi-IN"/>
    </w:rPr>
  </w:style>
  <w:style w:type="character" w:styleId="1315" w:customStyle="1">
    <w:name w:val="Texto de balão Char27"/>
    <w:uiPriority w:val="99"/>
    <w:qFormat/>
    <w:pPr>
      <w:pBdr/>
      <w:spacing/>
      <w:ind/>
    </w:pPr>
    <w:rPr>
      <w:rFonts w:ascii="Segoe UI" w:hAnsi="Segoe UI" w:cs="Mangal"/>
      <w:sz w:val="16"/>
      <w:szCs w:val="16"/>
      <w:lang w:bidi="hi-IN"/>
    </w:rPr>
  </w:style>
  <w:style w:type="character" w:styleId="1316" w:customStyle="1">
    <w:name w:val="Texto de balão Char26"/>
    <w:uiPriority w:val="99"/>
    <w:qFormat/>
    <w:pPr>
      <w:pBdr/>
      <w:spacing/>
      <w:ind/>
    </w:pPr>
    <w:rPr>
      <w:rFonts w:ascii="Segoe UI" w:hAnsi="Segoe UI" w:cs="Mangal"/>
      <w:sz w:val="16"/>
      <w:szCs w:val="16"/>
      <w:lang w:bidi="hi-IN"/>
    </w:rPr>
  </w:style>
  <w:style w:type="character" w:styleId="1317" w:customStyle="1">
    <w:name w:val="Texto de balão Char25"/>
    <w:uiPriority w:val="99"/>
    <w:qFormat/>
    <w:pPr>
      <w:pBdr/>
      <w:spacing/>
      <w:ind/>
    </w:pPr>
    <w:rPr>
      <w:rFonts w:ascii="Segoe UI" w:hAnsi="Segoe UI" w:cs="Mangal"/>
      <w:sz w:val="16"/>
      <w:szCs w:val="16"/>
      <w:lang w:bidi="hi-IN"/>
    </w:rPr>
  </w:style>
  <w:style w:type="character" w:styleId="1318" w:customStyle="1">
    <w:name w:val="Texto de balão Char24"/>
    <w:uiPriority w:val="99"/>
    <w:qFormat/>
    <w:pPr>
      <w:pBdr/>
      <w:spacing/>
      <w:ind/>
    </w:pPr>
    <w:rPr>
      <w:rFonts w:ascii="Segoe UI" w:hAnsi="Segoe UI" w:cs="Mangal"/>
      <w:sz w:val="16"/>
      <w:szCs w:val="16"/>
      <w:lang w:bidi="hi-IN"/>
    </w:rPr>
  </w:style>
  <w:style w:type="character" w:styleId="1319" w:customStyle="1">
    <w:name w:val="Texto de balão Char23"/>
    <w:uiPriority w:val="99"/>
    <w:qFormat/>
    <w:pPr>
      <w:pBdr/>
      <w:spacing/>
      <w:ind/>
    </w:pPr>
    <w:rPr>
      <w:rFonts w:ascii="Segoe UI" w:hAnsi="Segoe UI" w:cs="Mangal"/>
      <w:sz w:val="16"/>
      <w:szCs w:val="16"/>
      <w:lang w:bidi="hi-IN"/>
    </w:rPr>
  </w:style>
  <w:style w:type="character" w:styleId="1320" w:customStyle="1">
    <w:name w:val="Texto de balão Char22"/>
    <w:uiPriority w:val="99"/>
    <w:qFormat/>
    <w:pPr>
      <w:pBdr/>
      <w:spacing/>
      <w:ind/>
    </w:pPr>
    <w:rPr>
      <w:rFonts w:ascii="Segoe UI" w:hAnsi="Segoe UI" w:cs="Mangal"/>
      <w:sz w:val="16"/>
      <w:szCs w:val="16"/>
      <w:lang w:bidi="hi-IN"/>
    </w:rPr>
  </w:style>
  <w:style w:type="character" w:styleId="1321" w:customStyle="1">
    <w:name w:val="Texto de balão Char21"/>
    <w:uiPriority w:val="99"/>
    <w:qFormat/>
    <w:pPr>
      <w:pBdr/>
      <w:spacing/>
      <w:ind/>
    </w:pPr>
    <w:rPr>
      <w:rFonts w:ascii="Segoe UI" w:hAnsi="Segoe UI" w:cs="Mangal"/>
      <w:sz w:val="16"/>
      <w:szCs w:val="16"/>
      <w:lang w:bidi="hi-IN"/>
    </w:rPr>
  </w:style>
  <w:style w:type="character" w:styleId="1322" w:customStyle="1">
    <w:name w:val="Recuo de corpo de texto 3 Char3"/>
    <w:uiPriority w:val="99"/>
    <w:qFormat/>
    <w:pPr>
      <w:pBdr/>
      <w:spacing/>
      <w:ind/>
    </w:pPr>
    <w:rPr>
      <w:rFonts w:eastAsia="Times New Roman" w:cs="Mangal"/>
      <w:sz w:val="16"/>
      <w:szCs w:val="14"/>
      <w:lang w:bidi="hi-IN"/>
    </w:rPr>
  </w:style>
  <w:style w:type="character" w:styleId="1323" w:customStyle="1">
    <w:name w:val="Recuo de corpo de texto 3 Char310"/>
    <w:uiPriority w:val="99"/>
    <w:qFormat/>
    <w:pPr>
      <w:pBdr/>
      <w:spacing/>
      <w:ind/>
    </w:pPr>
    <w:rPr>
      <w:rFonts w:eastAsia="Times New Roman" w:cs="Mangal"/>
      <w:sz w:val="14"/>
      <w:szCs w:val="14"/>
      <w:lang w:bidi="hi-IN"/>
    </w:rPr>
  </w:style>
  <w:style w:type="character" w:styleId="1324" w:customStyle="1">
    <w:name w:val="Recuo de corpo de texto 3 Char39"/>
    <w:uiPriority w:val="99"/>
    <w:qFormat/>
    <w:pPr>
      <w:pBdr/>
      <w:spacing/>
      <w:ind/>
    </w:pPr>
    <w:rPr>
      <w:rFonts w:eastAsia="Times New Roman" w:cs="Mangal"/>
      <w:sz w:val="14"/>
      <w:szCs w:val="14"/>
      <w:lang w:bidi="hi-IN"/>
    </w:rPr>
  </w:style>
  <w:style w:type="character" w:styleId="1325" w:customStyle="1">
    <w:name w:val="Recuo de corpo de texto 3 Char38"/>
    <w:uiPriority w:val="99"/>
    <w:qFormat/>
    <w:pPr>
      <w:pBdr/>
      <w:spacing/>
      <w:ind/>
    </w:pPr>
    <w:rPr>
      <w:rFonts w:eastAsia="Times New Roman" w:cs="Mangal"/>
      <w:sz w:val="14"/>
      <w:szCs w:val="14"/>
      <w:lang w:bidi="hi-IN"/>
    </w:rPr>
  </w:style>
  <w:style w:type="character" w:styleId="1326" w:customStyle="1">
    <w:name w:val="Recuo de corpo de texto 3 Char37"/>
    <w:uiPriority w:val="99"/>
    <w:qFormat/>
    <w:pPr>
      <w:pBdr/>
      <w:spacing/>
      <w:ind/>
    </w:pPr>
    <w:rPr>
      <w:rFonts w:eastAsia="Times New Roman" w:cs="Mangal"/>
      <w:sz w:val="14"/>
      <w:szCs w:val="14"/>
      <w:lang w:bidi="hi-IN"/>
    </w:rPr>
  </w:style>
  <w:style w:type="character" w:styleId="1327" w:customStyle="1">
    <w:name w:val="Recuo de corpo de texto 3 Char36"/>
    <w:uiPriority w:val="99"/>
    <w:qFormat/>
    <w:pPr>
      <w:pBdr/>
      <w:spacing/>
      <w:ind/>
    </w:pPr>
    <w:rPr>
      <w:rFonts w:eastAsia="Times New Roman" w:cs="Mangal"/>
      <w:sz w:val="14"/>
      <w:szCs w:val="14"/>
      <w:lang w:bidi="hi-IN"/>
    </w:rPr>
  </w:style>
  <w:style w:type="character" w:styleId="1328" w:customStyle="1">
    <w:name w:val="Recuo de corpo de texto 3 Char35"/>
    <w:uiPriority w:val="99"/>
    <w:qFormat/>
    <w:pPr>
      <w:pBdr/>
      <w:spacing/>
      <w:ind/>
    </w:pPr>
    <w:rPr>
      <w:rFonts w:eastAsia="Times New Roman" w:cs="Mangal"/>
      <w:sz w:val="14"/>
      <w:szCs w:val="14"/>
      <w:lang w:bidi="hi-IN"/>
    </w:rPr>
  </w:style>
  <w:style w:type="character" w:styleId="1329" w:customStyle="1">
    <w:name w:val="Recuo de corpo de texto 3 Char34"/>
    <w:uiPriority w:val="99"/>
    <w:qFormat/>
    <w:pPr>
      <w:pBdr/>
      <w:spacing/>
      <w:ind/>
    </w:pPr>
    <w:rPr>
      <w:rFonts w:eastAsia="Times New Roman" w:cs="Mangal"/>
      <w:sz w:val="14"/>
      <w:szCs w:val="14"/>
      <w:lang w:bidi="hi-IN"/>
    </w:rPr>
  </w:style>
  <w:style w:type="character" w:styleId="1330" w:customStyle="1">
    <w:name w:val="Recuo de corpo de texto 3 Char33"/>
    <w:uiPriority w:val="99"/>
    <w:qFormat/>
    <w:pPr>
      <w:pBdr/>
      <w:spacing/>
      <w:ind/>
    </w:pPr>
    <w:rPr>
      <w:rFonts w:eastAsia="Times New Roman" w:cs="Mangal"/>
      <w:sz w:val="14"/>
      <w:szCs w:val="14"/>
      <w:lang w:bidi="hi-IN"/>
    </w:rPr>
  </w:style>
  <w:style w:type="character" w:styleId="1331" w:customStyle="1">
    <w:name w:val="Recuo de corpo de texto 3 Char32"/>
    <w:uiPriority w:val="99"/>
    <w:qFormat/>
    <w:pPr>
      <w:pBdr/>
      <w:spacing/>
      <w:ind/>
    </w:pPr>
    <w:rPr>
      <w:rFonts w:eastAsia="Times New Roman" w:cs="Mangal"/>
      <w:sz w:val="14"/>
      <w:szCs w:val="14"/>
      <w:lang w:bidi="hi-IN"/>
    </w:rPr>
  </w:style>
  <w:style w:type="character" w:styleId="1332" w:customStyle="1">
    <w:name w:val="Recuo de corpo de texto 3 Char31"/>
    <w:uiPriority w:val="99"/>
    <w:qFormat/>
    <w:pPr>
      <w:pBdr/>
      <w:spacing/>
      <w:ind/>
    </w:pPr>
    <w:rPr>
      <w:rFonts w:eastAsia="Times New Roman" w:cs="Mangal"/>
      <w:sz w:val="14"/>
      <w:szCs w:val="14"/>
      <w:lang w:bidi="hi-IN"/>
    </w:rPr>
  </w:style>
  <w:style w:type="character" w:styleId="1333" w:customStyle="1">
    <w:name w:val="Texto de comentário Char2"/>
    <w:uiPriority w:val="99"/>
    <w:qFormat/>
    <w:pPr>
      <w:pBdr/>
      <w:spacing/>
      <w:ind/>
    </w:pPr>
    <w:rPr>
      <w:rFonts w:eastAsia="Times New Roman" w:cs="Mangal"/>
      <w:sz w:val="20"/>
      <w:szCs w:val="18"/>
      <w:lang w:bidi="hi-IN"/>
    </w:rPr>
  </w:style>
  <w:style w:type="character" w:styleId="1334" w:customStyle="1">
    <w:name w:val="Texto de comentário Char210"/>
    <w:uiPriority w:val="99"/>
    <w:qFormat/>
    <w:pPr>
      <w:pBdr/>
      <w:spacing/>
      <w:ind/>
    </w:pPr>
    <w:rPr>
      <w:rFonts w:eastAsia="Times New Roman" w:cs="Mangal"/>
      <w:sz w:val="18"/>
      <w:szCs w:val="18"/>
      <w:lang w:bidi="hi-IN"/>
    </w:rPr>
  </w:style>
  <w:style w:type="character" w:styleId="1335" w:customStyle="1">
    <w:name w:val="Texto de comentário Char29"/>
    <w:uiPriority w:val="99"/>
    <w:qFormat/>
    <w:pPr>
      <w:pBdr/>
      <w:spacing/>
      <w:ind/>
    </w:pPr>
    <w:rPr>
      <w:rFonts w:eastAsia="Times New Roman" w:cs="Mangal"/>
      <w:sz w:val="18"/>
      <w:szCs w:val="18"/>
      <w:lang w:bidi="hi-IN"/>
    </w:rPr>
  </w:style>
  <w:style w:type="character" w:styleId="1336" w:customStyle="1">
    <w:name w:val="Texto de comentário Char28"/>
    <w:uiPriority w:val="99"/>
    <w:qFormat/>
    <w:pPr>
      <w:pBdr/>
      <w:spacing/>
      <w:ind/>
    </w:pPr>
    <w:rPr>
      <w:rFonts w:eastAsia="Times New Roman" w:cs="Mangal"/>
      <w:sz w:val="18"/>
      <w:szCs w:val="18"/>
      <w:lang w:bidi="hi-IN"/>
    </w:rPr>
  </w:style>
  <w:style w:type="character" w:styleId="1337" w:customStyle="1">
    <w:name w:val="Texto de comentário Char27"/>
    <w:uiPriority w:val="99"/>
    <w:qFormat/>
    <w:pPr>
      <w:pBdr/>
      <w:spacing/>
      <w:ind/>
    </w:pPr>
    <w:rPr>
      <w:rFonts w:eastAsia="Times New Roman" w:cs="Mangal"/>
      <w:sz w:val="18"/>
      <w:szCs w:val="18"/>
      <w:lang w:bidi="hi-IN"/>
    </w:rPr>
  </w:style>
  <w:style w:type="character" w:styleId="1338" w:customStyle="1">
    <w:name w:val="Texto de comentário Char26"/>
    <w:uiPriority w:val="99"/>
    <w:qFormat/>
    <w:pPr>
      <w:pBdr/>
      <w:spacing/>
      <w:ind/>
    </w:pPr>
    <w:rPr>
      <w:rFonts w:eastAsia="Times New Roman" w:cs="Mangal"/>
      <w:sz w:val="18"/>
      <w:szCs w:val="18"/>
      <w:lang w:bidi="hi-IN"/>
    </w:rPr>
  </w:style>
  <w:style w:type="character" w:styleId="1339" w:customStyle="1">
    <w:name w:val="Texto de comentário Char25"/>
    <w:uiPriority w:val="99"/>
    <w:qFormat/>
    <w:pPr>
      <w:pBdr/>
      <w:spacing/>
      <w:ind/>
    </w:pPr>
    <w:rPr>
      <w:rFonts w:eastAsia="Times New Roman" w:cs="Mangal"/>
      <w:sz w:val="18"/>
      <w:szCs w:val="18"/>
      <w:lang w:bidi="hi-IN"/>
    </w:rPr>
  </w:style>
  <w:style w:type="character" w:styleId="1340" w:customStyle="1">
    <w:name w:val="Texto de comentário Char24"/>
    <w:uiPriority w:val="99"/>
    <w:qFormat/>
    <w:pPr>
      <w:pBdr/>
      <w:spacing/>
      <w:ind/>
    </w:pPr>
    <w:rPr>
      <w:rFonts w:eastAsia="Times New Roman" w:cs="Mangal"/>
      <w:sz w:val="18"/>
      <w:szCs w:val="18"/>
      <w:lang w:bidi="hi-IN"/>
    </w:rPr>
  </w:style>
  <w:style w:type="character" w:styleId="1341" w:customStyle="1">
    <w:name w:val="Texto de comentário Char23"/>
    <w:uiPriority w:val="99"/>
    <w:qFormat/>
    <w:pPr>
      <w:pBdr/>
      <w:spacing/>
      <w:ind/>
    </w:pPr>
    <w:rPr>
      <w:rFonts w:eastAsia="Times New Roman" w:cs="Mangal"/>
      <w:sz w:val="18"/>
      <w:szCs w:val="18"/>
      <w:lang w:bidi="hi-IN"/>
    </w:rPr>
  </w:style>
  <w:style w:type="character" w:styleId="1342" w:customStyle="1">
    <w:name w:val="Texto de comentário Char22"/>
    <w:uiPriority w:val="99"/>
    <w:qFormat/>
    <w:pPr>
      <w:pBdr/>
      <w:spacing/>
      <w:ind/>
    </w:pPr>
    <w:rPr>
      <w:rFonts w:eastAsia="Times New Roman" w:cs="Mangal"/>
      <w:sz w:val="18"/>
      <w:szCs w:val="18"/>
      <w:lang w:bidi="hi-IN"/>
    </w:rPr>
  </w:style>
  <w:style w:type="character" w:styleId="1343" w:customStyle="1">
    <w:name w:val="Texto de comentário Char21"/>
    <w:uiPriority w:val="99"/>
    <w:qFormat/>
    <w:pPr>
      <w:pBdr/>
      <w:spacing/>
      <w:ind/>
    </w:pPr>
    <w:rPr>
      <w:rFonts w:eastAsia="Times New Roman" w:cs="Mangal"/>
      <w:sz w:val="18"/>
      <w:szCs w:val="18"/>
      <w:lang w:bidi="hi-IN"/>
    </w:rPr>
  </w:style>
  <w:style w:type="character" w:styleId="1344" w:customStyle="1">
    <w:name w:val="Assunto do comentário Char2"/>
    <w:uiPriority w:val="99"/>
    <w:qFormat/>
    <w:pPr>
      <w:pBdr/>
      <w:spacing/>
      <w:ind/>
    </w:pPr>
    <w:rPr>
      <w:rFonts w:eastAsia="Times New Roman" w:cs="Mangal"/>
      <w:b/>
      <w:bCs/>
      <w:sz w:val="20"/>
      <w:szCs w:val="18"/>
      <w:lang w:bidi="hi-IN"/>
    </w:rPr>
  </w:style>
  <w:style w:type="character" w:styleId="1345" w:customStyle="1">
    <w:name w:val="Assunto do comentário Char210"/>
    <w:uiPriority w:val="99"/>
    <w:qFormat/>
    <w:pPr>
      <w:pBdr/>
      <w:spacing/>
      <w:ind/>
    </w:pPr>
    <w:rPr>
      <w:rFonts w:ascii="Ecofont_Spranq_eco_Sans" w:hAnsi="Ecofont_Spranq_eco_Sans" w:eastAsia="Times New Roman" w:cs="Mangal"/>
      <w:b/>
      <w:bCs/>
      <w:sz w:val="18"/>
      <w:szCs w:val="18"/>
      <w:lang w:bidi="hi-IN"/>
    </w:rPr>
  </w:style>
  <w:style w:type="character" w:styleId="1346" w:customStyle="1">
    <w:name w:val="Assunto do comentário Char29"/>
    <w:uiPriority w:val="99"/>
    <w:qFormat/>
    <w:pPr>
      <w:pBdr/>
      <w:spacing/>
      <w:ind/>
    </w:pPr>
    <w:rPr>
      <w:rFonts w:ascii="Ecofont_Spranq_eco_Sans" w:hAnsi="Ecofont_Spranq_eco_Sans" w:eastAsia="Times New Roman" w:cs="Mangal"/>
      <w:b/>
      <w:bCs/>
      <w:sz w:val="18"/>
      <w:szCs w:val="18"/>
      <w:lang w:bidi="hi-IN"/>
    </w:rPr>
  </w:style>
  <w:style w:type="character" w:styleId="1347" w:customStyle="1">
    <w:name w:val="Assunto do comentário Char28"/>
    <w:uiPriority w:val="99"/>
    <w:qFormat/>
    <w:pPr>
      <w:pBdr/>
      <w:spacing/>
      <w:ind/>
    </w:pPr>
    <w:rPr>
      <w:rFonts w:ascii="Ecofont_Spranq_eco_Sans" w:hAnsi="Ecofont_Spranq_eco_Sans" w:eastAsia="Times New Roman" w:cs="Mangal"/>
      <w:b/>
      <w:bCs/>
      <w:sz w:val="18"/>
      <w:szCs w:val="18"/>
      <w:lang w:bidi="hi-IN"/>
    </w:rPr>
  </w:style>
  <w:style w:type="character" w:styleId="1348" w:customStyle="1">
    <w:name w:val="Assunto do comentário Char27"/>
    <w:uiPriority w:val="99"/>
    <w:qFormat/>
    <w:pPr>
      <w:pBdr/>
      <w:spacing/>
      <w:ind/>
    </w:pPr>
    <w:rPr>
      <w:rFonts w:ascii="Ecofont_Spranq_eco_Sans" w:hAnsi="Ecofont_Spranq_eco_Sans" w:eastAsia="Times New Roman" w:cs="Mangal"/>
      <w:b/>
      <w:bCs/>
      <w:sz w:val="18"/>
      <w:szCs w:val="18"/>
      <w:lang w:bidi="hi-IN"/>
    </w:rPr>
  </w:style>
  <w:style w:type="character" w:styleId="1349" w:customStyle="1">
    <w:name w:val="Assunto do comentário Char26"/>
    <w:uiPriority w:val="99"/>
    <w:qFormat/>
    <w:pPr>
      <w:pBdr/>
      <w:spacing/>
      <w:ind/>
    </w:pPr>
    <w:rPr>
      <w:rFonts w:ascii="Ecofont_Spranq_eco_Sans" w:hAnsi="Ecofont_Spranq_eco_Sans" w:eastAsia="Times New Roman" w:cs="Mangal"/>
      <w:b/>
      <w:bCs/>
      <w:sz w:val="18"/>
      <w:szCs w:val="18"/>
      <w:lang w:bidi="hi-IN"/>
    </w:rPr>
  </w:style>
  <w:style w:type="character" w:styleId="1350" w:customStyle="1">
    <w:name w:val="Assunto do comentário Char25"/>
    <w:uiPriority w:val="99"/>
    <w:qFormat/>
    <w:pPr>
      <w:pBdr/>
      <w:spacing/>
      <w:ind/>
    </w:pPr>
    <w:rPr>
      <w:rFonts w:ascii="Ecofont_Spranq_eco_Sans" w:hAnsi="Ecofont_Spranq_eco_Sans" w:eastAsia="Times New Roman" w:cs="Mangal"/>
      <w:b/>
      <w:bCs/>
      <w:sz w:val="18"/>
      <w:szCs w:val="18"/>
      <w:lang w:bidi="hi-IN"/>
    </w:rPr>
  </w:style>
  <w:style w:type="character" w:styleId="1351" w:customStyle="1">
    <w:name w:val="Assunto do comentário Char24"/>
    <w:uiPriority w:val="99"/>
    <w:qFormat/>
    <w:pPr>
      <w:pBdr/>
      <w:spacing/>
      <w:ind/>
    </w:pPr>
    <w:rPr>
      <w:rFonts w:ascii="Ecofont_Spranq_eco_Sans" w:hAnsi="Ecofont_Spranq_eco_Sans" w:eastAsia="Times New Roman" w:cs="Mangal"/>
      <w:b/>
      <w:bCs/>
      <w:sz w:val="18"/>
      <w:szCs w:val="18"/>
      <w:lang w:bidi="hi-IN"/>
    </w:rPr>
  </w:style>
  <w:style w:type="character" w:styleId="1352" w:customStyle="1">
    <w:name w:val="Assunto do comentário Char23"/>
    <w:uiPriority w:val="99"/>
    <w:qFormat/>
    <w:pPr>
      <w:pBdr/>
      <w:spacing/>
      <w:ind/>
    </w:pPr>
    <w:rPr>
      <w:rFonts w:ascii="Ecofont_Spranq_eco_Sans" w:hAnsi="Ecofont_Spranq_eco_Sans" w:eastAsia="Times New Roman" w:cs="Mangal"/>
      <w:b/>
      <w:bCs/>
      <w:sz w:val="18"/>
      <w:szCs w:val="18"/>
      <w:lang w:bidi="hi-IN"/>
    </w:rPr>
  </w:style>
  <w:style w:type="character" w:styleId="1353" w:customStyle="1">
    <w:name w:val="Assunto do comentário Char22"/>
    <w:uiPriority w:val="99"/>
    <w:qFormat/>
    <w:pPr>
      <w:pBdr/>
      <w:spacing/>
      <w:ind/>
    </w:pPr>
    <w:rPr>
      <w:rFonts w:ascii="Ecofont_Spranq_eco_Sans" w:hAnsi="Ecofont_Spranq_eco_Sans" w:eastAsia="Times New Roman" w:cs="Mangal"/>
      <w:b/>
      <w:bCs/>
      <w:sz w:val="18"/>
      <w:szCs w:val="18"/>
      <w:lang w:bidi="hi-IN"/>
    </w:rPr>
  </w:style>
  <w:style w:type="character" w:styleId="1354" w:customStyle="1">
    <w:name w:val="Assunto do comentário Char21"/>
    <w:uiPriority w:val="99"/>
    <w:qFormat/>
    <w:pPr>
      <w:pBdr/>
      <w:spacing/>
      <w:ind/>
    </w:pPr>
    <w:rPr>
      <w:rFonts w:eastAsia="Times New Roman" w:cs="Mangal"/>
      <w:b/>
      <w:bCs/>
      <w:sz w:val="18"/>
      <w:szCs w:val="18"/>
      <w:lang w:bidi="hi-IN"/>
    </w:rPr>
  </w:style>
  <w:style w:type="character" w:styleId="1355" w:customStyle="1">
    <w:name w:val="Recuo de corpo de texto 2 Char3"/>
    <w:uiPriority w:val="99"/>
    <w:qFormat/>
    <w:pPr>
      <w:pBdr/>
      <w:spacing/>
      <w:ind/>
    </w:pPr>
    <w:rPr>
      <w:rFonts w:eastAsia="Times New Roman" w:cs="Mangal"/>
      <w:sz w:val="20"/>
      <w:szCs w:val="18"/>
      <w:lang w:bidi="hi-IN"/>
    </w:rPr>
  </w:style>
  <w:style w:type="character" w:styleId="1356" w:customStyle="1">
    <w:name w:val="Recuo de corpo de texto 2 Char310"/>
    <w:uiPriority w:val="99"/>
    <w:qFormat/>
    <w:pPr>
      <w:pBdr/>
      <w:spacing/>
      <w:ind/>
    </w:pPr>
    <w:rPr>
      <w:rFonts w:eastAsia="Times New Roman" w:cs="Mangal"/>
      <w:sz w:val="18"/>
      <w:szCs w:val="18"/>
      <w:lang w:bidi="hi-IN"/>
    </w:rPr>
  </w:style>
  <w:style w:type="character" w:styleId="1357" w:customStyle="1">
    <w:name w:val="Recuo de corpo de texto 2 Char39"/>
    <w:uiPriority w:val="99"/>
    <w:qFormat/>
    <w:pPr>
      <w:pBdr/>
      <w:spacing/>
      <w:ind/>
    </w:pPr>
    <w:rPr>
      <w:rFonts w:eastAsia="Times New Roman" w:cs="Mangal"/>
      <w:sz w:val="18"/>
      <w:szCs w:val="18"/>
      <w:lang w:bidi="hi-IN"/>
    </w:rPr>
  </w:style>
  <w:style w:type="character" w:styleId="1358" w:customStyle="1">
    <w:name w:val="Recuo de corpo de texto 2 Char38"/>
    <w:uiPriority w:val="99"/>
    <w:qFormat/>
    <w:pPr>
      <w:pBdr/>
      <w:spacing/>
      <w:ind/>
    </w:pPr>
    <w:rPr>
      <w:rFonts w:eastAsia="Times New Roman" w:cs="Mangal"/>
      <w:sz w:val="18"/>
      <w:szCs w:val="18"/>
      <w:lang w:bidi="hi-IN"/>
    </w:rPr>
  </w:style>
  <w:style w:type="character" w:styleId="1359" w:customStyle="1">
    <w:name w:val="Recuo de corpo de texto 2 Char37"/>
    <w:uiPriority w:val="99"/>
    <w:qFormat/>
    <w:pPr>
      <w:pBdr/>
      <w:spacing/>
      <w:ind/>
    </w:pPr>
    <w:rPr>
      <w:rFonts w:eastAsia="Times New Roman" w:cs="Mangal"/>
      <w:sz w:val="18"/>
      <w:szCs w:val="18"/>
      <w:lang w:bidi="hi-IN"/>
    </w:rPr>
  </w:style>
  <w:style w:type="character" w:styleId="1360" w:customStyle="1">
    <w:name w:val="Recuo de corpo de texto 2 Char36"/>
    <w:uiPriority w:val="99"/>
    <w:qFormat/>
    <w:pPr>
      <w:pBdr/>
      <w:spacing/>
      <w:ind/>
    </w:pPr>
    <w:rPr>
      <w:rFonts w:eastAsia="Times New Roman" w:cs="Mangal"/>
      <w:sz w:val="18"/>
      <w:szCs w:val="18"/>
      <w:lang w:bidi="hi-IN"/>
    </w:rPr>
  </w:style>
  <w:style w:type="character" w:styleId="1361" w:customStyle="1">
    <w:name w:val="Recuo de corpo de texto 2 Char35"/>
    <w:uiPriority w:val="99"/>
    <w:qFormat/>
    <w:pPr>
      <w:pBdr/>
      <w:spacing/>
      <w:ind/>
    </w:pPr>
    <w:rPr>
      <w:rFonts w:eastAsia="Times New Roman" w:cs="Mangal"/>
      <w:sz w:val="18"/>
      <w:szCs w:val="18"/>
      <w:lang w:bidi="hi-IN"/>
    </w:rPr>
  </w:style>
  <w:style w:type="character" w:styleId="1362" w:customStyle="1">
    <w:name w:val="Recuo de corpo de texto 2 Char34"/>
    <w:uiPriority w:val="99"/>
    <w:qFormat/>
    <w:pPr>
      <w:pBdr/>
      <w:spacing/>
      <w:ind/>
    </w:pPr>
    <w:rPr>
      <w:rFonts w:eastAsia="Times New Roman" w:cs="Mangal"/>
      <w:sz w:val="18"/>
      <w:szCs w:val="18"/>
      <w:lang w:bidi="hi-IN"/>
    </w:rPr>
  </w:style>
  <w:style w:type="character" w:styleId="1363" w:customStyle="1">
    <w:name w:val="Recuo de corpo de texto 2 Char33"/>
    <w:uiPriority w:val="99"/>
    <w:qFormat/>
    <w:pPr>
      <w:pBdr/>
      <w:spacing/>
      <w:ind/>
    </w:pPr>
    <w:rPr>
      <w:rFonts w:eastAsia="Times New Roman" w:cs="Mangal"/>
      <w:sz w:val="18"/>
      <w:szCs w:val="18"/>
      <w:lang w:bidi="hi-IN"/>
    </w:rPr>
  </w:style>
  <w:style w:type="character" w:styleId="1364" w:customStyle="1">
    <w:name w:val="Recuo de corpo de texto 2 Char32"/>
    <w:uiPriority w:val="99"/>
    <w:qFormat/>
    <w:pPr>
      <w:pBdr/>
      <w:spacing/>
      <w:ind/>
    </w:pPr>
    <w:rPr>
      <w:rFonts w:eastAsia="Times New Roman" w:cs="Mangal"/>
      <w:sz w:val="18"/>
      <w:szCs w:val="18"/>
      <w:lang w:bidi="hi-IN"/>
    </w:rPr>
  </w:style>
  <w:style w:type="character" w:styleId="1365" w:customStyle="1">
    <w:name w:val="Recuo de corpo de texto 2 Char31"/>
    <w:uiPriority w:val="99"/>
    <w:qFormat/>
    <w:pPr>
      <w:pBdr/>
      <w:spacing/>
      <w:ind/>
    </w:pPr>
    <w:rPr>
      <w:rFonts w:eastAsia="Times New Roman" w:cs="Mangal"/>
      <w:sz w:val="18"/>
      <w:szCs w:val="18"/>
      <w:lang w:bidi="hi-IN"/>
    </w:rPr>
  </w:style>
  <w:style w:type="character" w:styleId="1366" w:customStyle="1">
    <w:name w:val="Texto sem Formatação Char2"/>
    <w:uiPriority w:val="99"/>
    <w:qFormat/>
    <w:pPr>
      <w:pBdr/>
      <w:spacing/>
      <w:ind/>
    </w:pPr>
    <w:rPr>
      <w:rFonts w:ascii="Consolas" w:hAnsi="Consolas" w:eastAsia="Times New Roman" w:cs="Mangal"/>
      <w:sz w:val="21"/>
      <w:szCs w:val="19"/>
      <w:lang w:bidi="hi-IN"/>
    </w:rPr>
  </w:style>
  <w:style w:type="character" w:styleId="1367" w:customStyle="1">
    <w:name w:val="Texto sem Formatação Char210"/>
    <w:uiPriority w:val="99"/>
    <w:qFormat/>
    <w:pPr>
      <w:pBdr/>
      <w:spacing/>
      <w:ind/>
    </w:pPr>
    <w:rPr>
      <w:rFonts w:ascii="Courier New" w:hAnsi="Courier New" w:cs="Mangal"/>
      <w:sz w:val="18"/>
      <w:szCs w:val="18"/>
      <w:lang w:bidi="hi-IN"/>
    </w:rPr>
  </w:style>
  <w:style w:type="character" w:styleId="1368" w:customStyle="1">
    <w:name w:val="Texto sem Formatação Char29"/>
    <w:uiPriority w:val="99"/>
    <w:qFormat/>
    <w:pPr>
      <w:pBdr/>
      <w:spacing/>
      <w:ind/>
    </w:pPr>
    <w:rPr>
      <w:rFonts w:ascii="Courier New" w:hAnsi="Courier New" w:cs="Mangal"/>
      <w:sz w:val="18"/>
      <w:szCs w:val="18"/>
      <w:lang w:bidi="hi-IN"/>
    </w:rPr>
  </w:style>
  <w:style w:type="character" w:styleId="1369" w:customStyle="1">
    <w:name w:val="Texto sem Formatação Char28"/>
    <w:uiPriority w:val="99"/>
    <w:qFormat/>
    <w:pPr>
      <w:pBdr/>
      <w:spacing/>
      <w:ind/>
    </w:pPr>
    <w:rPr>
      <w:rFonts w:ascii="Courier New" w:hAnsi="Courier New" w:cs="Mangal"/>
      <w:sz w:val="18"/>
      <w:szCs w:val="18"/>
      <w:lang w:bidi="hi-IN"/>
    </w:rPr>
  </w:style>
  <w:style w:type="character" w:styleId="1370" w:customStyle="1">
    <w:name w:val="Texto sem Formatação Char27"/>
    <w:uiPriority w:val="99"/>
    <w:qFormat/>
    <w:pPr>
      <w:pBdr/>
      <w:spacing/>
      <w:ind/>
    </w:pPr>
    <w:rPr>
      <w:rFonts w:ascii="Courier New" w:hAnsi="Courier New" w:cs="Mangal"/>
      <w:sz w:val="18"/>
      <w:szCs w:val="18"/>
      <w:lang w:bidi="hi-IN"/>
    </w:rPr>
  </w:style>
  <w:style w:type="character" w:styleId="1371" w:customStyle="1">
    <w:name w:val="Texto sem Formatação Char26"/>
    <w:uiPriority w:val="99"/>
    <w:qFormat/>
    <w:pPr>
      <w:pBdr/>
      <w:spacing/>
      <w:ind/>
    </w:pPr>
    <w:rPr>
      <w:rFonts w:ascii="Courier New" w:hAnsi="Courier New" w:cs="Mangal"/>
      <w:sz w:val="18"/>
      <w:szCs w:val="18"/>
      <w:lang w:bidi="hi-IN"/>
    </w:rPr>
  </w:style>
  <w:style w:type="character" w:styleId="1372" w:customStyle="1">
    <w:name w:val="Texto sem Formatação Char25"/>
    <w:uiPriority w:val="99"/>
    <w:qFormat/>
    <w:pPr>
      <w:pBdr/>
      <w:spacing/>
      <w:ind/>
    </w:pPr>
    <w:rPr>
      <w:rFonts w:ascii="Courier New" w:hAnsi="Courier New" w:cs="Mangal"/>
      <w:sz w:val="18"/>
      <w:szCs w:val="18"/>
      <w:lang w:bidi="hi-IN"/>
    </w:rPr>
  </w:style>
  <w:style w:type="character" w:styleId="1373" w:customStyle="1">
    <w:name w:val="Texto sem Formatação Char24"/>
    <w:uiPriority w:val="99"/>
    <w:qFormat/>
    <w:pPr>
      <w:pBdr/>
      <w:spacing/>
      <w:ind/>
    </w:pPr>
    <w:rPr>
      <w:rFonts w:ascii="Courier New" w:hAnsi="Courier New" w:cs="Mangal"/>
      <w:sz w:val="18"/>
      <w:szCs w:val="18"/>
      <w:lang w:bidi="hi-IN"/>
    </w:rPr>
  </w:style>
  <w:style w:type="character" w:styleId="1374" w:customStyle="1">
    <w:name w:val="Texto sem Formatação Char23"/>
    <w:uiPriority w:val="99"/>
    <w:qFormat/>
    <w:pPr>
      <w:pBdr/>
      <w:spacing/>
      <w:ind/>
    </w:pPr>
    <w:rPr>
      <w:rFonts w:ascii="Courier New" w:hAnsi="Courier New" w:cs="Mangal"/>
      <w:sz w:val="18"/>
      <w:szCs w:val="18"/>
      <w:lang w:bidi="hi-IN"/>
    </w:rPr>
  </w:style>
  <w:style w:type="character" w:styleId="1375" w:customStyle="1">
    <w:name w:val="Texto sem Formatação Char22"/>
    <w:uiPriority w:val="99"/>
    <w:qFormat/>
    <w:pPr>
      <w:pBdr/>
      <w:spacing/>
      <w:ind/>
    </w:pPr>
    <w:rPr>
      <w:rFonts w:ascii="Courier New" w:hAnsi="Courier New" w:cs="Mangal"/>
      <w:sz w:val="18"/>
      <w:szCs w:val="18"/>
      <w:lang w:bidi="hi-IN"/>
    </w:rPr>
  </w:style>
  <w:style w:type="character" w:styleId="1376" w:customStyle="1">
    <w:name w:val="Texto sem Formatação Char21"/>
    <w:uiPriority w:val="99"/>
    <w:qFormat/>
    <w:pPr>
      <w:pBdr/>
      <w:spacing/>
      <w:ind/>
    </w:pPr>
    <w:rPr>
      <w:rFonts w:ascii="Courier New" w:hAnsi="Courier New" w:cs="Mangal"/>
      <w:sz w:val="18"/>
      <w:szCs w:val="18"/>
      <w:lang w:bidi="hi-IN"/>
    </w:rPr>
  </w:style>
  <w:style w:type="character" w:styleId="1377" w:customStyle="1">
    <w:name w:val="Corpo de texto 3 Char3"/>
    <w:uiPriority w:val="99"/>
    <w:qFormat/>
    <w:pPr>
      <w:pBdr/>
      <w:spacing/>
      <w:ind/>
    </w:pPr>
    <w:rPr>
      <w:rFonts w:eastAsia="Times New Roman" w:cs="Mangal"/>
      <w:sz w:val="16"/>
      <w:szCs w:val="14"/>
      <w:lang w:bidi="hi-IN"/>
    </w:rPr>
  </w:style>
  <w:style w:type="character" w:styleId="1378" w:customStyle="1">
    <w:name w:val="Corpo de texto 3 Char310"/>
    <w:uiPriority w:val="99"/>
    <w:qFormat/>
    <w:pPr>
      <w:pBdr/>
      <w:spacing/>
      <w:ind/>
    </w:pPr>
    <w:rPr>
      <w:rFonts w:eastAsia="Times New Roman" w:cs="Mangal"/>
      <w:sz w:val="14"/>
      <w:szCs w:val="14"/>
      <w:lang w:bidi="hi-IN"/>
    </w:rPr>
  </w:style>
  <w:style w:type="character" w:styleId="1379" w:customStyle="1">
    <w:name w:val="Corpo de texto 3 Char39"/>
    <w:uiPriority w:val="99"/>
    <w:qFormat/>
    <w:pPr>
      <w:pBdr/>
      <w:spacing/>
      <w:ind/>
    </w:pPr>
    <w:rPr>
      <w:rFonts w:eastAsia="Times New Roman" w:cs="Mangal"/>
      <w:sz w:val="14"/>
      <w:szCs w:val="14"/>
      <w:lang w:bidi="hi-IN"/>
    </w:rPr>
  </w:style>
  <w:style w:type="character" w:styleId="1380" w:customStyle="1">
    <w:name w:val="Corpo de texto 3 Char38"/>
    <w:uiPriority w:val="99"/>
    <w:qFormat/>
    <w:pPr>
      <w:pBdr/>
      <w:spacing/>
      <w:ind/>
    </w:pPr>
    <w:rPr>
      <w:rFonts w:eastAsia="Times New Roman" w:cs="Mangal"/>
      <w:sz w:val="14"/>
      <w:szCs w:val="14"/>
      <w:lang w:bidi="hi-IN"/>
    </w:rPr>
  </w:style>
  <w:style w:type="character" w:styleId="1381" w:customStyle="1">
    <w:name w:val="Corpo de texto 3 Char37"/>
    <w:uiPriority w:val="99"/>
    <w:qFormat/>
    <w:pPr>
      <w:pBdr/>
      <w:spacing/>
      <w:ind/>
    </w:pPr>
    <w:rPr>
      <w:rFonts w:eastAsia="Times New Roman" w:cs="Mangal"/>
      <w:sz w:val="14"/>
      <w:szCs w:val="14"/>
      <w:lang w:bidi="hi-IN"/>
    </w:rPr>
  </w:style>
  <w:style w:type="character" w:styleId="1382" w:customStyle="1">
    <w:name w:val="Corpo de texto 3 Char36"/>
    <w:uiPriority w:val="99"/>
    <w:qFormat/>
    <w:pPr>
      <w:pBdr/>
      <w:spacing/>
      <w:ind/>
    </w:pPr>
    <w:rPr>
      <w:rFonts w:eastAsia="Times New Roman" w:cs="Mangal"/>
      <w:sz w:val="14"/>
      <w:szCs w:val="14"/>
      <w:lang w:bidi="hi-IN"/>
    </w:rPr>
  </w:style>
  <w:style w:type="character" w:styleId="1383" w:customStyle="1">
    <w:name w:val="Corpo de texto 3 Char35"/>
    <w:uiPriority w:val="99"/>
    <w:qFormat/>
    <w:pPr>
      <w:pBdr/>
      <w:spacing/>
      <w:ind/>
    </w:pPr>
    <w:rPr>
      <w:rFonts w:eastAsia="Times New Roman" w:cs="Mangal"/>
      <w:sz w:val="14"/>
      <w:szCs w:val="14"/>
      <w:lang w:bidi="hi-IN"/>
    </w:rPr>
  </w:style>
  <w:style w:type="character" w:styleId="1384" w:customStyle="1">
    <w:name w:val="Corpo de texto 3 Char34"/>
    <w:uiPriority w:val="99"/>
    <w:qFormat/>
    <w:pPr>
      <w:pBdr/>
      <w:spacing/>
      <w:ind/>
    </w:pPr>
    <w:rPr>
      <w:rFonts w:eastAsia="Times New Roman" w:cs="Mangal"/>
      <w:sz w:val="14"/>
      <w:szCs w:val="14"/>
      <w:lang w:bidi="hi-IN"/>
    </w:rPr>
  </w:style>
  <w:style w:type="character" w:styleId="1385" w:customStyle="1">
    <w:name w:val="Corpo de texto 3 Char33"/>
    <w:uiPriority w:val="99"/>
    <w:qFormat/>
    <w:pPr>
      <w:pBdr/>
      <w:spacing/>
      <w:ind/>
    </w:pPr>
    <w:rPr>
      <w:rFonts w:eastAsia="Times New Roman" w:cs="Mangal"/>
      <w:sz w:val="14"/>
      <w:szCs w:val="14"/>
      <w:lang w:bidi="hi-IN"/>
    </w:rPr>
  </w:style>
  <w:style w:type="character" w:styleId="1386" w:customStyle="1">
    <w:name w:val="Corpo de texto 3 Char32"/>
    <w:uiPriority w:val="99"/>
    <w:qFormat/>
    <w:pPr>
      <w:pBdr/>
      <w:spacing/>
      <w:ind/>
    </w:pPr>
    <w:rPr>
      <w:rFonts w:eastAsia="Times New Roman" w:cs="Mangal"/>
      <w:sz w:val="14"/>
      <w:szCs w:val="14"/>
      <w:lang w:bidi="hi-IN"/>
    </w:rPr>
  </w:style>
  <w:style w:type="character" w:styleId="1387" w:customStyle="1">
    <w:name w:val="Corpo de texto 3 Char31"/>
    <w:uiPriority w:val="99"/>
    <w:qFormat/>
    <w:pPr>
      <w:pBdr/>
      <w:spacing/>
      <w:ind/>
    </w:pPr>
    <w:rPr>
      <w:rFonts w:eastAsia="Times New Roman" w:cs="Mangal"/>
      <w:sz w:val="14"/>
      <w:szCs w:val="14"/>
      <w:lang w:bidi="hi-IN"/>
    </w:rPr>
  </w:style>
  <w:style w:type="character" w:styleId="1388" w:customStyle="1">
    <w:name w:val="Corpo de texto 2 Char3"/>
    <w:uiPriority w:val="99"/>
    <w:qFormat/>
    <w:pPr>
      <w:pBdr/>
      <w:spacing/>
      <w:ind/>
    </w:pPr>
    <w:rPr>
      <w:rFonts w:eastAsia="Times New Roman" w:cs="Mangal"/>
      <w:sz w:val="20"/>
      <w:szCs w:val="18"/>
      <w:lang w:bidi="hi-IN"/>
    </w:rPr>
  </w:style>
  <w:style w:type="character" w:styleId="1389" w:customStyle="1">
    <w:name w:val="Corpo de texto 2 Char310"/>
    <w:uiPriority w:val="99"/>
    <w:qFormat/>
    <w:pPr>
      <w:pBdr/>
      <w:spacing/>
      <w:ind/>
    </w:pPr>
    <w:rPr>
      <w:rFonts w:eastAsia="Times New Roman" w:cs="Mangal"/>
      <w:sz w:val="18"/>
      <w:szCs w:val="18"/>
      <w:lang w:bidi="hi-IN"/>
    </w:rPr>
  </w:style>
  <w:style w:type="character" w:styleId="1390" w:customStyle="1">
    <w:name w:val="Corpo de texto 2 Char39"/>
    <w:uiPriority w:val="99"/>
    <w:qFormat/>
    <w:pPr>
      <w:pBdr/>
      <w:spacing/>
      <w:ind/>
    </w:pPr>
    <w:rPr>
      <w:rFonts w:eastAsia="Times New Roman" w:cs="Mangal"/>
      <w:sz w:val="18"/>
      <w:szCs w:val="18"/>
      <w:lang w:bidi="hi-IN"/>
    </w:rPr>
  </w:style>
  <w:style w:type="character" w:styleId="1391" w:customStyle="1">
    <w:name w:val="Corpo de texto 2 Char38"/>
    <w:uiPriority w:val="99"/>
    <w:qFormat/>
    <w:pPr>
      <w:pBdr/>
      <w:spacing/>
      <w:ind/>
    </w:pPr>
    <w:rPr>
      <w:rFonts w:eastAsia="Times New Roman" w:cs="Mangal"/>
      <w:sz w:val="18"/>
      <w:szCs w:val="18"/>
      <w:lang w:bidi="hi-IN"/>
    </w:rPr>
  </w:style>
  <w:style w:type="character" w:styleId="1392" w:customStyle="1">
    <w:name w:val="Corpo de texto 2 Char37"/>
    <w:uiPriority w:val="99"/>
    <w:qFormat/>
    <w:pPr>
      <w:pBdr/>
      <w:spacing/>
      <w:ind/>
    </w:pPr>
    <w:rPr>
      <w:rFonts w:eastAsia="Times New Roman" w:cs="Mangal"/>
      <w:sz w:val="18"/>
      <w:szCs w:val="18"/>
      <w:lang w:bidi="hi-IN"/>
    </w:rPr>
  </w:style>
  <w:style w:type="character" w:styleId="1393" w:customStyle="1">
    <w:name w:val="Corpo de texto 2 Char36"/>
    <w:uiPriority w:val="99"/>
    <w:qFormat/>
    <w:pPr>
      <w:pBdr/>
      <w:spacing/>
      <w:ind/>
    </w:pPr>
    <w:rPr>
      <w:rFonts w:eastAsia="Times New Roman" w:cs="Mangal"/>
      <w:sz w:val="18"/>
      <w:szCs w:val="18"/>
      <w:lang w:bidi="hi-IN"/>
    </w:rPr>
  </w:style>
  <w:style w:type="character" w:styleId="1394" w:customStyle="1">
    <w:name w:val="Corpo de texto 2 Char35"/>
    <w:uiPriority w:val="99"/>
    <w:qFormat/>
    <w:pPr>
      <w:pBdr/>
      <w:spacing/>
      <w:ind/>
    </w:pPr>
    <w:rPr>
      <w:rFonts w:eastAsia="Times New Roman" w:cs="Mangal"/>
      <w:sz w:val="18"/>
      <w:szCs w:val="18"/>
      <w:lang w:bidi="hi-IN"/>
    </w:rPr>
  </w:style>
  <w:style w:type="character" w:styleId="1395" w:customStyle="1">
    <w:name w:val="Corpo de texto 2 Char34"/>
    <w:uiPriority w:val="99"/>
    <w:qFormat/>
    <w:pPr>
      <w:pBdr/>
      <w:spacing/>
      <w:ind/>
    </w:pPr>
    <w:rPr>
      <w:rFonts w:eastAsia="Times New Roman" w:cs="Mangal"/>
      <w:sz w:val="18"/>
      <w:szCs w:val="18"/>
      <w:lang w:bidi="hi-IN"/>
    </w:rPr>
  </w:style>
  <w:style w:type="character" w:styleId="1396" w:customStyle="1">
    <w:name w:val="Corpo de texto 2 Char33"/>
    <w:uiPriority w:val="99"/>
    <w:qFormat/>
    <w:pPr>
      <w:pBdr/>
      <w:spacing/>
      <w:ind/>
    </w:pPr>
    <w:rPr>
      <w:rFonts w:eastAsia="Times New Roman" w:cs="Mangal"/>
      <w:sz w:val="18"/>
      <w:szCs w:val="18"/>
      <w:lang w:bidi="hi-IN"/>
    </w:rPr>
  </w:style>
  <w:style w:type="character" w:styleId="1397" w:customStyle="1">
    <w:name w:val="Corpo de texto 2 Char32"/>
    <w:uiPriority w:val="99"/>
    <w:qFormat/>
    <w:pPr>
      <w:pBdr/>
      <w:spacing/>
      <w:ind/>
    </w:pPr>
    <w:rPr>
      <w:rFonts w:eastAsia="Times New Roman" w:cs="Mangal"/>
      <w:sz w:val="18"/>
      <w:szCs w:val="18"/>
      <w:lang w:bidi="hi-IN"/>
    </w:rPr>
  </w:style>
  <w:style w:type="character" w:styleId="1398" w:customStyle="1">
    <w:name w:val="Corpo de texto 2 Char31"/>
    <w:uiPriority w:val="99"/>
    <w:qFormat/>
    <w:pPr>
      <w:pBdr/>
      <w:spacing/>
      <w:ind/>
    </w:pPr>
    <w:rPr>
      <w:rFonts w:eastAsia="Times New Roman" w:cs="Mangal"/>
      <w:sz w:val="18"/>
      <w:szCs w:val="18"/>
      <w:lang w:bidi="hi-IN"/>
    </w:rPr>
  </w:style>
  <w:style w:type="character" w:styleId="1399" w:customStyle="1">
    <w:name w:val="Cabeçalho Char2"/>
    <w:uiPriority w:val="99"/>
    <w:qFormat/>
    <w:pPr>
      <w:pBdr/>
      <w:spacing/>
      <w:ind/>
    </w:pPr>
    <w:rPr>
      <w:rFonts w:eastAsia="Times New Roman" w:cs="Mangal"/>
      <w:sz w:val="20"/>
      <w:szCs w:val="18"/>
      <w:lang w:bidi="hi-IN"/>
    </w:rPr>
  </w:style>
  <w:style w:type="character" w:styleId="1400" w:customStyle="1">
    <w:name w:val="Cabeçalho Char210"/>
    <w:uiPriority w:val="99"/>
    <w:qFormat/>
    <w:pPr>
      <w:pBdr/>
      <w:spacing/>
      <w:ind/>
    </w:pPr>
    <w:rPr>
      <w:rFonts w:eastAsia="Times New Roman" w:cs="Mangal"/>
      <w:sz w:val="18"/>
      <w:szCs w:val="18"/>
      <w:lang w:bidi="hi-IN"/>
    </w:rPr>
  </w:style>
  <w:style w:type="character" w:styleId="1401" w:customStyle="1">
    <w:name w:val="Cabeçalho Char29"/>
    <w:uiPriority w:val="99"/>
    <w:qFormat/>
    <w:pPr>
      <w:pBdr/>
      <w:spacing/>
      <w:ind/>
    </w:pPr>
    <w:rPr>
      <w:rFonts w:eastAsia="Times New Roman" w:cs="Mangal"/>
      <w:sz w:val="18"/>
      <w:szCs w:val="18"/>
      <w:lang w:bidi="hi-IN"/>
    </w:rPr>
  </w:style>
  <w:style w:type="character" w:styleId="1402" w:customStyle="1">
    <w:name w:val="Cabeçalho Char28"/>
    <w:uiPriority w:val="99"/>
    <w:qFormat/>
    <w:pPr>
      <w:pBdr/>
      <w:spacing/>
      <w:ind/>
    </w:pPr>
    <w:rPr>
      <w:rFonts w:eastAsia="Times New Roman" w:cs="Mangal"/>
      <w:sz w:val="18"/>
      <w:szCs w:val="18"/>
      <w:lang w:bidi="hi-IN"/>
    </w:rPr>
  </w:style>
  <w:style w:type="character" w:styleId="1403" w:customStyle="1">
    <w:name w:val="Cabeçalho Char27"/>
    <w:uiPriority w:val="99"/>
    <w:qFormat/>
    <w:pPr>
      <w:pBdr/>
      <w:spacing/>
      <w:ind/>
    </w:pPr>
    <w:rPr>
      <w:rFonts w:eastAsia="Times New Roman" w:cs="Mangal"/>
      <w:sz w:val="18"/>
      <w:szCs w:val="18"/>
      <w:lang w:bidi="hi-IN"/>
    </w:rPr>
  </w:style>
  <w:style w:type="character" w:styleId="1404" w:customStyle="1">
    <w:name w:val="Cabeçalho Char26"/>
    <w:uiPriority w:val="99"/>
    <w:qFormat/>
    <w:pPr>
      <w:pBdr/>
      <w:spacing/>
      <w:ind/>
    </w:pPr>
    <w:rPr>
      <w:rFonts w:eastAsia="Times New Roman" w:cs="Mangal"/>
      <w:sz w:val="18"/>
      <w:szCs w:val="18"/>
      <w:lang w:bidi="hi-IN"/>
    </w:rPr>
  </w:style>
  <w:style w:type="character" w:styleId="1405" w:customStyle="1">
    <w:name w:val="Cabeçalho Char25"/>
    <w:uiPriority w:val="99"/>
    <w:qFormat/>
    <w:pPr>
      <w:pBdr/>
      <w:spacing/>
      <w:ind/>
    </w:pPr>
    <w:rPr>
      <w:rFonts w:eastAsia="Times New Roman" w:cs="Mangal"/>
      <w:sz w:val="18"/>
      <w:szCs w:val="18"/>
      <w:lang w:bidi="hi-IN"/>
    </w:rPr>
  </w:style>
  <w:style w:type="character" w:styleId="1406" w:customStyle="1">
    <w:name w:val="Cabeçalho Char24"/>
    <w:uiPriority w:val="99"/>
    <w:qFormat/>
    <w:pPr>
      <w:pBdr/>
      <w:spacing/>
      <w:ind/>
    </w:pPr>
    <w:rPr>
      <w:rFonts w:eastAsia="Times New Roman" w:cs="Mangal"/>
      <w:sz w:val="18"/>
      <w:szCs w:val="18"/>
      <w:lang w:bidi="hi-IN"/>
    </w:rPr>
  </w:style>
  <w:style w:type="character" w:styleId="1407" w:customStyle="1">
    <w:name w:val="Cabeçalho Char23"/>
    <w:uiPriority w:val="99"/>
    <w:qFormat/>
    <w:pPr>
      <w:pBdr/>
      <w:spacing/>
      <w:ind/>
    </w:pPr>
    <w:rPr>
      <w:rFonts w:eastAsia="Times New Roman" w:cs="Mangal"/>
      <w:sz w:val="18"/>
      <w:szCs w:val="18"/>
      <w:lang w:bidi="hi-IN"/>
    </w:rPr>
  </w:style>
  <w:style w:type="character" w:styleId="1408" w:customStyle="1">
    <w:name w:val="Cabeçalho Char22"/>
    <w:uiPriority w:val="99"/>
    <w:qFormat/>
    <w:pPr>
      <w:pBdr/>
      <w:spacing/>
      <w:ind/>
    </w:pPr>
    <w:rPr>
      <w:rFonts w:eastAsia="Times New Roman" w:cs="Mangal"/>
      <w:sz w:val="18"/>
      <w:szCs w:val="18"/>
      <w:lang w:bidi="hi-IN"/>
    </w:rPr>
  </w:style>
  <w:style w:type="character" w:styleId="1409" w:customStyle="1">
    <w:name w:val="Cabeçalho Char21"/>
    <w:uiPriority w:val="99"/>
    <w:qFormat/>
    <w:pPr>
      <w:pBdr/>
      <w:spacing/>
      <w:ind/>
    </w:pPr>
    <w:rPr>
      <w:rFonts w:eastAsia="Times New Roman" w:cs="Mangal"/>
      <w:sz w:val="18"/>
      <w:szCs w:val="18"/>
      <w:lang w:bidi="hi-IN"/>
    </w:rPr>
  </w:style>
  <w:style w:type="character" w:styleId="1410" w:customStyle="1">
    <w:name w:val="Fonte parág. padrão11"/>
    <w:qFormat/>
    <w:pPr>
      <w:pBdr/>
      <w:spacing/>
      <w:ind/>
    </w:pPr>
  </w:style>
  <w:style w:type="character" w:styleId="1411" w:customStyle="1">
    <w:name w:val="Fonte parág. padrão6"/>
    <w:unhideWhenUsed/>
    <w:qFormat/>
    <w:pPr>
      <w:pBdr/>
      <w:spacing/>
      <w:ind/>
    </w:pPr>
  </w:style>
  <w:style w:type="character" w:styleId="1412" w:customStyle="1">
    <w:name w:val="uv3um"/>
    <w:qFormat/>
    <w:pPr>
      <w:pBdr/>
      <w:spacing/>
      <w:ind/>
    </w:pPr>
  </w:style>
  <w:style w:type="character" w:styleId="1413">
    <w:name w:val="annotation reference"/>
    <w:uiPriority w:val="99"/>
    <w:unhideWhenUsed/>
    <w:qFormat/>
    <w:pPr>
      <w:pBdr/>
      <w:spacing/>
      <w:ind/>
    </w:pPr>
    <w:rPr>
      <w:rFonts w:cs="Times New Roman"/>
      <w:sz w:val="16"/>
      <w:szCs w:val="16"/>
    </w:rPr>
  </w:style>
  <w:style w:type="character" w:styleId="1414" w:customStyle="1">
    <w:name w:val="Cabeçe7alho Char1"/>
    <w:uiPriority w:val="99"/>
    <w:unhideWhenUsed/>
    <w:qFormat/>
    <w:pPr>
      <w:pBdr/>
      <w:spacing/>
      <w:ind/>
    </w:pPr>
    <w:rPr>
      <w:rFonts w:eastAsia="Times New Roman"/>
    </w:rPr>
  </w:style>
  <w:style w:type="character" w:styleId="1415" w:customStyle="1">
    <w:name w:val="Texto de balão Char277"/>
    <w:uiPriority w:val="99"/>
    <w:semiHidden/>
    <w:qFormat/>
    <w:pPr>
      <w:pBdr/>
      <w:spacing/>
      <w:ind/>
    </w:pPr>
    <w:rPr>
      <w:rFonts w:ascii="Segoe UI" w:hAnsi="Segoe UI" w:cs="Mangal"/>
      <w:sz w:val="16"/>
      <w:szCs w:val="16"/>
      <w:lang w:bidi="hi-IN"/>
    </w:rPr>
  </w:style>
  <w:style w:type="character" w:styleId="1416" w:customStyle="1">
    <w:name w:val="Texto de balão Char276"/>
    <w:uiPriority w:val="99"/>
    <w:semiHidden/>
    <w:qFormat/>
    <w:pPr>
      <w:pBdr/>
      <w:spacing/>
      <w:ind/>
    </w:pPr>
    <w:rPr>
      <w:rFonts w:ascii="Segoe UI" w:hAnsi="Segoe UI" w:cs="Mangal"/>
      <w:sz w:val="16"/>
      <w:szCs w:val="16"/>
      <w:lang w:bidi="hi-IN"/>
    </w:rPr>
  </w:style>
  <w:style w:type="character" w:styleId="1417" w:customStyle="1">
    <w:name w:val="Texto de balão Char275"/>
    <w:uiPriority w:val="99"/>
    <w:semiHidden/>
    <w:qFormat/>
    <w:pPr>
      <w:pBdr/>
      <w:spacing/>
      <w:ind/>
    </w:pPr>
    <w:rPr>
      <w:rFonts w:ascii="Segoe UI" w:hAnsi="Segoe UI" w:cs="Mangal"/>
      <w:sz w:val="16"/>
      <w:szCs w:val="16"/>
      <w:lang w:bidi="hi-IN"/>
    </w:rPr>
  </w:style>
  <w:style w:type="character" w:styleId="1418" w:customStyle="1">
    <w:name w:val="Texto de balão Char274"/>
    <w:uiPriority w:val="99"/>
    <w:semiHidden/>
    <w:qFormat/>
    <w:pPr>
      <w:pBdr/>
      <w:spacing/>
      <w:ind/>
    </w:pPr>
    <w:rPr>
      <w:rFonts w:ascii="Segoe UI" w:hAnsi="Segoe UI" w:cs="Mangal"/>
      <w:sz w:val="16"/>
      <w:szCs w:val="16"/>
      <w:lang w:bidi="hi-IN"/>
    </w:rPr>
  </w:style>
  <w:style w:type="character" w:styleId="1419" w:customStyle="1">
    <w:name w:val="Texto de balão Char273"/>
    <w:uiPriority w:val="99"/>
    <w:semiHidden/>
    <w:qFormat/>
    <w:pPr>
      <w:pBdr/>
      <w:spacing/>
      <w:ind/>
    </w:pPr>
    <w:rPr>
      <w:rFonts w:ascii="Segoe UI" w:hAnsi="Segoe UI" w:cs="Mangal"/>
      <w:sz w:val="16"/>
      <w:szCs w:val="16"/>
      <w:lang w:bidi="hi-IN"/>
    </w:rPr>
  </w:style>
  <w:style w:type="character" w:styleId="1420" w:customStyle="1">
    <w:name w:val="Texto de balão Char272"/>
    <w:uiPriority w:val="99"/>
    <w:semiHidden/>
    <w:qFormat/>
    <w:pPr>
      <w:pBdr/>
      <w:spacing/>
      <w:ind/>
    </w:pPr>
    <w:rPr>
      <w:rFonts w:ascii="Segoe UI" w:hAnsi="Segoe UI" w:cs="Mangal"/>
      <w:sz w:val="16"/>
      <w:szCs w:val="16"/>
      <w:lang w:bidi="hi-IN"/>
    </w:rPr>
  </w:style>
  <w:style w:type="character" w:styleId="1421" w:customStyle="1">
    <w:name w:val="Texto de balão Char271"/>
    <w:uiPriority w:val="99"/>
    <w:semiHidden/>
    <w:qFormat/>
    <w:pPr>
      <w:pBdr/>
      <w:spacing/>
      <w:ind/>
    </w:pPr>
    <w:rPr>
      <w:rFonts w:ascii="Segoe UI" w:hAnsi="Segoe UI" w:cs="Mangal"/>
      <w:sz w:val="16"/>
      <w:szCs w:val="16"/>
      <w:lang w:bidi="hi-IN"/>
    </w:rPr>
  </w:style>
  <w:style w:type="character" w:styleId="1422" w:customStyle="1">
    <w:name w:val="Texto de balão Char270"/>
    <w:uiPriority w:val="99"/>
    <w:semiHidden/>
    <w:qFormat/>
    <w:pPr>
      <w:pBdr/>
      <w:spacing/>
      <w:ind/>
    </w:pPr>
    <w:rPr>
      <w:rFonts w:ascii="Segoe UI" w:hAnsi="Segoe UI" w:cs="Mangal"/>
      <w:sz w:val="16"/>
      <w:szCs w:val="16"/>
      <w:lang w:bidi="hi-IN"/>
    </w:rPr>
  </w:style>
  <w:style w:type="character" w:styleId="1423" w:customStyle="1">
    <w:name w:val="Texto de balão Char269"/>
    <w:uiPriority w:val="99"/>
    <w:semiHidden/>
    <w:qFormat/>
    <w:pPr>
      <w:pBdr/>
      <w:spacing/>
      <w:ind/>
    </w:pPr>
    <w:rPr>
      <w:rFonts w:ascii="Segoe UI" w:hAnsi="Segoe UI" w:cs="Mangal"/>
      <w:sz w:val="16"/>
      <w:szCs w:val="16"/>
      <w:lang w:bidi="hi-IN"/>
    </w:rPr>
  </w:style>
  <w:style w:type="character" w:styleId="1424" w:customStyle="1">
    <w:name w:val="Texto de balão Char268"/>
    <w:uiPriority w:val="99"/>
    <w:semiHidden/>
    <w:qFormat/>
    <w:pPr>
      <w:pBdr/>
      <w:spacing/>
      <w:ind/>
    </w:pPr>
    <w:rPr>
      <w:rFonts w:ascii="Segoe UI" w:hAnsi="Segoe UI" w:cs="Mangal"/>
      <w:sz w:val="16"/>
      <w:szCs w:val="16"/>
      <w:lang w:bidi="hi-IN"/>
    </w:rPr>
  </w:style>
  <w:style w:type="character" w:styleId="1425" w:customStyle="1">
    <w:name w:val="Texto de balão Char267"/>
    <w:uiPriority w:val="99"/>
    <w:semiHidden/>
    <w:qFormat/>
    <w:pPr>
      <w:pBdr/>
      <w:spacing/>
      <w:ind/>
    </w:pPr>
    <w:rPr>
      <w:rFonts w:ascii="Segoe UI" w:hAnsi="Segoe UI" w:cs="Mangal"/>
      <w:sz w:val="16"/>
      <w:szCs w:val="16"/>
      <w:lang w:bidi="hi-IN"/>
    </w:rPr>
  </w:style>
  <w:style w:type="character" w:styleId="1426" w:customStyle="1">
    <w:name w:val="Texto de balão Char266"/>
    <w:uiPriority w:val="99"/>
    <w:semiHidden/>
    <w:qFormat/>
    <w:pPr>
      <w:pBdr/>
      <w:spacing/>
      <w:ind/>
    </w:pPr>
    <w:rPr>
      <w:rFonts w:ascii="Segoe UI" w:hAnsi="Segoe UI" w:cs="Mangal"/>
      <w:sz w:val="16"/>
      <w:szCs w:val="16"/>
      <w:lang w:bidi="hi-IN"/>
    </w:rPr>
  </w:style>
  <w:style w:type="character" w:styleId="1427" w:customStyle="1">
    <w:name w:val="Texto de balão Char265"/>
    <w:uiPriority w:val="99"/>
    <w:semiHidden/>
    <w:qFormat/>
    <w:pPr>
      <w:pBdr/>
      <w:spacing/>
      <w:ind/>
    </w:pPr>
    <w:rPr>
      <w:rFonts w:ascii="Segoe UI" w:hAnsi="Segoe UI" w:cs="Mangal"/>
      <w:sz w:val="16"/>
      <w:szCs w:val="16"/>
      <w:lang w:bidi="hi-IN"/>
    </w:rPr>
  </w:style>
  <w:style w:type="character" w:styleId="1428" w:customStyle="1">
    <w:name w:val="Texto de balão Char264"/>
    <w:uiPriority w:val="99"/>
    <w:semiHidden/>
    <w:qFormat/>
    <w:pPr>
      <w:pBdr/>
      <w:spacing/>
      <w:ind/>
    </w:pPr>
    <w:rPr>
      <w:rFonts w:ascii="Segoe UI" w:hAnsi="Segoe UI" w:cs="Mangal"/>
      <w:sz w:val="16"/>
      <w:szCs w:val="16"/>
      <w:lang w:bidi="hi-IN"/>
    </w:rPr>
  </w:style>
  <w:style w:type="character" w:styleId="1429" w:customStyle="1">
    <w:name w:val="Texto de balão Char263"/>
    <w:uiPriority w:val="99"/>
    <w:semiHidden/>
    <w:qFormat/>
    <w:pPr>
      <w:pBdr/>
      <w:spacing/>
      <w:ind/>
    </w:pPr>
    <w:rPr>
      <w:rFonts w:ascii="Segoe UI" w:hAnsi="Segoe UI" w:cs="Mangal"/>
      <w:sz w:val="16"/>
      <w:szCs w:val="16"/>
      <w:lang w:bidi="hi-IN"/>
    </w:rPr>
  </w:style>
  <w:style w:type="character" w:styleId="1430" w:customStyle="1">
    <w:name w:val="Texto de balão Char262"/>
    <w:uiPriority w:val="99"/>
    <w:semiHidden/>
    <w:qFormat/>
    <w:pPr>
      <w:pBdr/>
      <w:spacing/>
      <w:ind/>
    </w:pPr>
    <w:rPr>
      <w:rFonts w:ascii="Segoe UI" w:hAnsi="Segoe UI" w:cs="Mangal"/>
      <w:sz w:val="16"/>
      <w:szCs w:val="16"/>
      <w:lang w:bidi="hi-IN"/>
    </w:rPr>
  </w:style>
  <w:style w:type="character" w:styleId="1431" w:customStyle="1">
    <w:name w:val="Texto de balão Char261"/>
    <w:uiPriority w:val="99"/>
    <w:semiHidden/>
    <w:qFormat/>
    <w:pPr>
      <w:pBdr/>
      <w:spacing/>
      <w:ind/>
    </w:pPr>
    <w:rPr>
      <w:rFonts w:ascii="Segoe UI" w:hAnsi="Segoe UI" w:cs="Mangal"/>
      <w:sz w:val="16"/>
      <w:szCs w:val="16"/>
      <w:lang w:bidi="hi-IN"/>
    </w:rPr>
  </w:style>
  <w:style w:type="character" w:styleId="1432" w:customStyle="1">
    <w:name w:val="Texto de balão Char260"/>
    <w:uiPriority w:val="99"/>
    <w:semiHidden/>
    <w:qFormat/>
    <w:pPr>
      <w:pBdr/>
      <w:spacing/>
      <w:ind/>
    </w:pPr>
    <w:rPr>
      <w:rFonts w:ascii="Segoe UI" w:hAnsi="Segoe UI" w:cs="Mangal"/>
      <w:sz w:val="16"/>
      <w:szCs w:val="16"/>
      <w:lang w:bidi="hi-IN"/>
    </w:rPr>
  </w:style>
  <w:style w:type="character" w:styleId="1433" w:customStyle="1">
    <w:name w:val="Texto de balão Char259"/>
    <w:uiPriority w:val="99"/>
    <w:semiHidden/>
    <w:qFormat/>
    <w:pPr>
      <w:pBdr/>
      <w:spacing/>
      <w:ind/>
    </w:pPr>
    <w:rPr>
      <w:rFonts w:ascii="Segoe UI" w:hAnsi="Segoe UI" w:cs="Mangal"/>
      <w:sz w:val="16"/>
      <w:szCs w:val="16"/>
      <w:lang w:bidi="hi-IN"/>
    </w:rPr>
  </w:style>
  <w:style w:type="character" w:styleId="1434" w:customStyle="1">
    <w:name w:val="Texto de balão Char258"/>
    <w:uiPriority w:val="99"/>
    <w:semiHidden/>
    <w:qFormat/>
    <w:pPr>
      <w:pBdr/>
      <w:spacing/>
      <w:ind/>
    </w:pPr>
    <w:rPr>
      <w:rFonts w:ascii="Segoe UI" w:hAnsi="Segoe UI" w:cs="Mangal"/>
      <w:sz w:val="16"/>
      <w:szCs w:val="16"/>
      <w:lang w:bidi="hi-IN"/>
    </w:rPr>
  </w:style>
  <w:style w:type="character" w:styleId="1435" w:customStyle="1">
    <w:name w:val="Texto de balão Char257"/>
    <w:uiPriority w:val="99"/>
    <w:semiHidden/>
    <w:qFormat/>
    <w:pPr>
      <w:pBdr/>
      <w:spacing/>
      <w:ind/>
    </w:pPr>
    <w:rPr>
      <w:rFonts w:ascii="Segoe UI" w:hAnsi="Segoe UI" w:cs="Mangal"/>
      <w:sz w:val="16"/>
      <w:szCs w:val="16"/>
      <w:lang w:bidi="hi-IN"/>
    </w:rPr>
  </w:style>
  <w:style w:type="character" w:styleId="1436" w:customStyle="1">
    <w:name w:val="Texto de balão Char256"/>
    <w:uiPriority w:val="99"/>
    <w:semiHidden/>
    <w:qFormat/>
    <w:pPr>
      <w:pBdr/>
      <w:spacing/>
      <w:ind/>
    </w:pPr>
    <w:rPr>
      <w:rFonts w:ascii="Segoe UI" w:hAnsi="Segoe UI" w:cs="Mangal"/>
      <w:sz w:val="16"/>
      <w:szCs w:val="16"/>
      <w:lang w:bidi="hi-IN"/>
    </w:rPr>
  </w:style>
  <w:style w:type="character" w:styleId="1437" w:customStyle="1">
    <w:name w:val="Texto de balão Char255"/>
    <w:uiPriority w:val="99"/>
    <w:semiHidden/>
    <w:qFormat/>
    <w:pPr>
      <w:pBdr/>
      <w:spacing/>
      <w:ind/>
    </w:pPr>
    <w:rPr>
      <w:rFonts w:ascii="Segoe UI" w:hAnsi="Segoe UI" w:cs="Mangal"/>
      <w:sz w:val="16"/>
      <w:szCs w:val="16"/>
      <w:lang w:bidi="hi-IN"/>
    </w:rPr>
  </w:style>
  <w:style w:type="character" w:styleId="1438" w:customStyle="1">
    <w:name w:val="Texto de balão Char254"/>
    <w:uiPriority w:val="99"/>
    <w:semiHidden/>
    <w:qFormat/>
    <w:pPr>
      <w:pBdr/>
      <w:spacing/>
      <w:ind/>
    </w:pPr>
    <w:rPr>
      <w:rFonts w:ascii="Segoe UI" w:hAnsi="Segoe UI" w:cs="Mangal"/>
      <w:sz w:val="16"/>
      <w:szCs w:val="16"/>
      <w:lang w:bidi="hi-IN"/>
    </w:rPr>
  </w:style>
  <w:style w:type="character" w:styleId="1439" w:customStyle="1">
    <w:name w:val="Texto de balão Char253"/>
    <w:uiPriority w:val="99"/>
    <w:semiHidden/>
    <w:qFormat/>
    <w:pPr>
      <w:pBdr/>
      <w:spacing/>
      <w:ind/>
    </w:pPr>
    <w:rPr>
      <w:rFonts w:ascii="Segoe UI" w:hAnsi="Segoe UI" w:cs="Mangal"/>
      <w:sz w:val="16"/>
      <w:szCs w:val="16"/>
      <w:lang w:bidi="hi-IN"/>
    </w:rPr>
  </w:style>
  <w:style w:type="character" w:styleId="1440" w:customStyle="1">
    <w:name w:val="Texto de balão Char252"/>
    <w:uiPriority w:val="99"/>
    <w:semiHidden/>
    <w:qFormat/>
    <w:pPr>
      <w:pBdr/>
      <w:spacing/>
      <w:ind/>
    </w:pPr>
    <w:rPr>
      <w:rFonts w:ascii="Segoe UI" w:hAnsi="Segoe UI" w:cs="Mangal"/>
      <w:sz w:val="16"/>
      <w:szCs w:val="16"/>
      <w:lang w:bidi="hi-IN"/>
    </w:rPr>
  </w:style>
  <w:style w:type="character" w:styleId="1441" w:customStyle="1">
    <w:name w:val="Texto de balão Char251"/>
    <w:uiPriority w:val="99"/>
    <w:semiHidden/>
    <w:qFormat/>
    <w:pPr>
      <w:pBdr/>
      <w:spacing/>
      <w:ind/>
    </w:pPr>
    <w:rPr>
      <w:rFonts w:ascii="Segoe UI" w:hAnsi="Segoe UI" w:cs="Mangal"/>
      <w:sz w:val="16"/>
      <w:szCs w:val="16"/>
      <w:lang w:bidi="hi-IN"/>
    </w:rPr>
  </w:style>
  <w:style w:type="character" w:styleId="1442" w:customStyle="1">
    <w:name w:val="Texto de balão Char250"/>
    <w:uiPriority w:val="99"/>
    <w:semiHidden/>
    <w:qFormat/>
    <w:pPr>
      <w:pBdr/>
      <w:spacing/>
      <w:ind/>
    </w:pPr>
    <w:rPr>
      <w:rFonts w:ascii="Segoe UI" w:hAnsi="Segoe UI" w:cs="Mangal"/>
      <w:sz w:val="16"/>
      <w:szCs w:val="16"/>
      <w:lang w:bidi="hi-IN"/>
    </w:rPr>
  </w:style>
  <w:style w:type="character" w:styleId="1443" w:customStyle="1">
    <w:name w:val="Texto de balão Char249"/>
    <w:uiPriority w:val="99"/>
    <w:semiHidden/>
    <w:qFormat/>
    <w:pPr>
      <w:pBdr/>
      <w:spacing/>
      <w:ind/>
    </w:pPr>
    <w:rPr>
      <w:rFonts w:ascii="Segoe UI" w:hAnsi="Segoe UI" w:cs="Mangal"/>
      <w:sz w:val="16"/>
      <w:szCs w:val="16"/>
      <w:lang w:bidi="hi-IN"/>
    </w:rPr>
  </w:style>
  <w:style w:type="character" w:styleId="1444" w:customStyle="1">
    <w:name w:val="Texto de balão Char248"/>
    <w:uiPriority w:val="99"/>
    <w:semiHidden/>
    <w:qFormat/>
    <w:pPr>
      <w:pBdr/>
      <w:spacing/>
      <w:ind/>
    </w:pPr>
    <w:rPr>
      <w:rFonts w:ascii="Segoe UI" w:hAnsi="Segoe UI" w:cs="Mangal"/>
      <w:sz w:val="16"/>
      <w:szCs w:val="16"/>
      <w:lang w:bidi="hi-IN"/>
    </w:rPr>
  </w:style>
  <w:style w:type="character" w:styleId="1445" w:customStyle="1">
    <w:name w:val="Texto de balão Char247"/>
    <w:uiPriority w:val="99"/>
    <w:semiHidden/>
    <w:qFormat/>
    <w:pPr>
      <w:pBdr/>
      <w:spacing/>
      <w:ind/>
    </w:pPr>
    <w:rPr>
      <w:rFonts w:ascii="Segoe UI" w:hAnsi="Segoe UI" w:cs="Mangal"/>
      <w:sz w:val="16"/>
      <w:szCs w:val="16"/>
      <w:lang w:bidi="hi-IN"/>
    </w:rPr>
  </w:style>
  <w:style w:type="character" w:styleId="1446" w:customStyle="1">
    <w:name w:val="Texto de balão Char246"/>
    <w:uiPriority w:val="99"/>
    <w:semiHidden/>
    <w:qFormat/>
    <w:pPr>
      <w:pBdr/>
      <w:spacing/>
      <w:ind/>
    </w:pPr>
    <w:rPr>
      <w:rFonts w:ascii="Segoe UI" w:hAnsi="Segoe UI" w:cs="Mangal"/>
      <w:sz w:val="16"/>
      <w:szCs w:val="16"/>
      <w:lang w:bidi="hi-IN"/>
    </w:rPr>
  </w:style>
  <w:style w:type="character" w:styleId="1447" w:customStyle="1">
    <w:name w:val="Texto de balão Char245"/>
    <w:uiPriority w:val="99"/>
    <w:semiHidden/>
    <w:qFormat/>
    <w:pPr>
      <w:pBdr/>
      <w:spacing/>
      <w:ind/>
    </w:pPr>
    <w:rPr>
      <w:rFonts w:ascii="Segoe UI" w:hAnsi="Segoe UI" w:cs="Mangal"/>
      <w:sz w:val="16"/>
      <w:szCs w:val="16"/>
      <w:lang w:bidi="hi-IN"/>
    </w:rPr>
  </w:style>
  <w:style w:type="character" w:styleId="1448" w:customStyle="1">
    <w:name w:val="Texto de balão Char244"/>
    <w:uiPriority w:val="99"/>
    <w:semiHidden/>
    <w:qFormat/>
    <w:pPr>
      <w:pBdr/>
      <w:spacing/>
      <w:ind/>
    </w:pPr>
    <w:rPr>
      <w:rFonts w:ascii="Segoe UI" w:hAnsi="Segoe UI" w:cs="Mangal"/>
      <w:sz w:val="16"/>
      <w:szCs w:val="16"/>
      <w:lang w:bidi="hi-IN"/>
    </w:rPr>
  </w:style>
  <w:style w:type="character" w:styleId="1449" w:customStyle="1">
    <w:name w:val="Texto de balão Char243"/>
    <w:uiPriority w:val="99"/>
    <w:semiHidden/>
    <w:qFormat/>
    <w:pPr>
      <w:pBdr/>
      <w:spacing/>
      <w:ind/>
    </w:pPr>
    <w:rPr>
      <w:rFonts w:ascii="Segoe UI" w:hAnsi="Segoe UI" w:cs="Mangal"/>
      <w:sz w:val="16"/>
      <w:szCs w:val="16"/>
      <w:lang w:bidi="hi-IN"/>
    </w:rPr>
  </w:style>
  <w:style w:type="character" w:styleId="1450" w:customStyle="1">
    <w:name w:val="Texto de balão Char242"/>
    <w:uiPriority w:val="99"/>
    <w:semiHidden/>
    <w:qFormat/>
    <w:pPr>
      <w:pBdr/>
      <w:spacing/>
      <w:ind/>
    </w:pPr>
    <w:rPr>
      <w:rFonts w:ascii="Segoe UI" w:hAnsi="Segoe UI" w:cs="Mangal"/>
      <w:sz w:val="16"/>
      <w:szCs w:val="16"/>
      <w:lang w:bidi="hi-IN"/>
    </w:rPr>
  </w:style>
  <w:style w:type="character" w:styleId="1451" w:customStyle="1">
    <w:name w:val="Texto de balão Char241"/>
    <w:uiPriority w:val="99"/>
    <w:semiHidden/>
    <w:qFormat/>
    <w:pPr>
      <w:pBdr/>
      <w:spacing/>
      <w:ind/>
    </w:pPr>
    <w:rPr>
      <w:rFonts w:ascii="Segoe UI" w:hAnsi="Segoe UI" w:cs="Mangal"/>
      <w:sz w:val="16"/>
      <w:szCs w:val="16"/>
      <w:lang w:bidi="hi-IN"/>
    </w:rPr>
  </w:style>
  <w:style w:type="character" w:styleId="1452" w:customStyle="1">
    <w:name w:val="Texto de balão Char240"/>
    <w:uiPriority w:val="99"/>
    <w:semiHidden/>
    <w:qFormat/>
    <w:pPr>
      <w:pBdr/>
      <w:spacing/>
      <w:ind/>
    </w:pPr>
    <w:rPr>
      <w:rFonts w:ascii="Segoe UI" w:hAnsi="Segoe UI" w:cs="Mangal"/>
      <w:sz w:val="16"/>
      <w:szCs w:val="16"/>
      <w:lang w:bidi="hi-IN"/>
    </w:rPr>
  </w:style>
  <w:style w:type="character" w:styleId="1453" w:customStyle="1">
    <w:name w:val="Texto de balão Char239"/>
    <w:uiPriority w:val="99"/>
    <w:semiHidden/>
    <w:qFormat/>
    <w:pPr>
      <w:pBdr/>
      <w:spacing/>
      <w:ind/>
    </w:pPr>
    <w:rPr>
      <w:rFonts w:ascii="Segoe UI" w:hAnsi="Segoe UI" w:cs="Mangal"/>
      <w:sz w:val="16"/>
      <w:szCs w:val="16"/>
      <w:lang w:bidi="hi-IN"/>
    </w:rPr>
  </w:style>
  <w:style w:type="character" w:styleId="1454" w:customStyle="1">
    <w:name w:val="Texto de balão Char238"/>
    <w:uiPriority w:val="99"/>
    <w:semiHidden/>
    <w:qFormat/>
    <w:pPr>
      <w:pBdr/>
      <w:spacing/>
      <w:ind/>
    </w:pPr>
    <w:rPr>
      <w:rFonts w:ascii="Segoe UI" w:hAnsi="Segoe UI" w:cs="Mangal"/>
      <w:sz w:val="16"/>
      <w:szCs w:val="16"/>
      <w:lang w:bidi="hi-IN"/>
    </w:rPr>
  </w:style>
  <w:style w:type="character" w:styleId="1455" w:customStyle="1">
    <w:name w:val="Texto de balão Char237"/>
    <w:uiPriority w:val="99"/>
    <w:semiHidden/>
    <w:qFormat/>
    <w:pPr>
      <w:pBdr/>
      <w:spacing/>
      <w:ind/>
    </w:pPr>
    <w:rPr>
      <w:rFonts w:ascii="Segoe UI" w:hAnsi="Segoe UI" w:cs="Mangal"/>
      <w:sz w:val="16"/>
      <w:szCs w:val="16"/>
      <w:lang w:bidi="hi-IN"/>
    </w:rPr>
  </w:style>
  <w:style w:type="character" w:styleId="1456" w:customStyle="1">
    <w:name w:val="Texto de balão Char236"/>
    <w:uiPriority w:val="99"/>
    <w:semiHidden/>
    <w:qFormat/>
    <w:pPr>
      <w:pBdr/>
      <w:spacing/>
      <w:ind/>
    </w:pPr>
    <w:rPr>
      <w:rFonts w:ascii="Segoe UI" w:hAnsi="Segoe UI" w:cs="Mangal"/>
      <w:sz w:val="16"/>
      <w:szCs w:val="16"/>
      <w:lang w:bidi="hi-IN"/>
    </w:rPr>
  </w:style>
  <w:style w:type="character" w:styleId="1457" w:customStyle="1">
    <w:name w:val="Texto de balão Char235"/>
    <w:uiPriority w:val="99"/>
    <w:semiHidden/>
    <w:qFormat/>
    <w:pPr>
      <w:pBdr/>
      <w:spacing/>
      <w:ind/>
    </w:pPr>
    <w:rPr>
      <w:rFonts w:ascii="Segoe UI" w:hAnsi="Segoe UI" w:cs="Mangal"/>
      <w:sz w:val="16"/>
      <w:szCs w:val="16"/>
      <w:lang w:bidi="hi-IN"/>
    </w:rPr>
  </w:style>
  <w:style w:type="character" w:styleId="1458" w:customStyle="1">
    <w:name w:val="Texto de balão Char234"/>
    <w:uiPriority w:val="99"/>
    <w:semiHidden/>
    <w:qFormat/>
    <w:pPr>
      <w:pBdr/>
      <w:spacing/>
      <w:ind/>
    </w:pPr>
    <w:rPr>
      <w:rFonts w:ascii="Segoe UI" w:hAnsi="Segoe UI" w:cs="Mangal"/>
      <w:sz w:val="16"/>
      <w:szCs w:val="16"/>
      <w:lang w:bidi="hi-IN"/>
    </w:rPr>
  </w:style>
  <w:style w:type="character" w:styleId="1459" w:customStyle="1">
    <w:name w:val="Texto de balão Char233"/>
    <w:uiPriority w:val="99"/>
    <w:semiHidden/>
    <w:qFormat/>
    <w:pPr>
      <w:pBdr/>
      <w:spacing/>
      <w:ind/>
    </w:pPr>
    <w:rPr>
      <w:rFonts w:ascii="Segoe UI" w:hAnsi="Segoe UI" w:cs="Mangal"/>
      <w:sz w:val="16"/>
      <w:szCs w:val="16"/>
      <w:lang w:bidi="hi-IN"/>
    </w:rPr>
  </w:style>
  <w:style w:type="character" w:styleId="1460" w:customStyle="1">
    <w:name w:val="Texto de balão Char232"/>
    <w:uiPriority w:val="99"/>
    <w:semiHidden/>
    <w:qFormat/>
    <w:pPr>
      <w:pBdr/>
      <w:spacing/>
      <w:ind/>
    </w:pPr>
    <w:rPr>
      <w:rFonts w:ascii="Segoe UI" w:hAnsi="Segoe UI" w:cs="Mangal"/>
      <w:sz w:val="16"/>
      <w:szCs w:val="16"/>
      <w:lang w:bidi="hi-IN"/>
    </w:rPr>
  </w:style>
  <w:style w:type="character" w:styleId="1461" w:customStyle="1">
    <w:name w:val="Texto de balão Char231"/>
    <w:uiPriority w:val="99"/>
    <w:semiHidden/>
    <w:qFormat/>
    <w:pPr>
      <w:pBdr/>
      <w:spacing/>
      <w:ind/>
    </w:pPr>
    <w:rPr>
      <w:rFonts w:ascii="Segoe UI" w:hAnsi="Segoe UI" w:cs="Mangal"/>
      <w:sz w:val="16"/>
      <w:szCs w:val="16"/>
      <w:lang w:bidi="hi-IN"/>
    </w:rPr>
  </w:style>
  <w:style w:type="character" w:styleId="1462" w:customStyle="1">
    <w:name w:val="Texto de balão Char230"/>
    <w:uiPriority w:val="99"/>
    <w:semiHidden/>
    <w:qFormat/>
    <w:pPr>
      <w:pBdr/>
      <w:spacing/>
      <w:ind/>
    </w:pPr>
    <w:rPr>
      <w:rFonts w:ascii="Segoe UI" w:hAnsi="Segoe UI" w:cs="Mangal"/>
      <w:sz w:val="16"/>
      <w:szCs w:val="16"/>
      <w:lang w:bidi="hi-IN"/>
    </w:rPr>
  </w:style>
  <w:style w:type="character" w:styleId="1463" w:customStyle="1">
    <w:name w:val="Texto de balão Char229"/>
    <w:uiPriority w:val="99"/>
    <w:semiHidden/>
    <w:qFormat/>
    <w:pPr>
      <w:pBdr/>
      <w:spacing/>
      <w:ind/>
    </w:pPr>
    <w:rPr>
      <w:rFonts w:ascii="Segoe UI" w:hAnsi="Segoe UI" w:cs="Mangal"/>
      <w:sz w:val="16"/>
      <w:szCs w:val="16"/>
      <w:lang w:bidi="hi-IN"/>
    </w:rPr>
  </w:style>
  <w:style w:type="character" w:styleId="1464" w:customStyle="1">
    <w:name w:val="Texto de balão Char228"/>
    <w:uiPriority w:val="99"/>
    <w:semiHidden/>
    <w:qFormat/>
    <w:pPr>
      <w:pBdr/>
      <w:spacing/>
      <w:ind/>
    </w:pPr>
    <w:rPr>
      <w:rFonts w:ascii="Segoe UI" w:hAnsi="Segoe UI" w:cs="Mangal"/>
      <w:sz w:val="16"/>
      <w:szCs w:val="16"/>
      <w:lang w:bidi="hi-IN"/>
    </w:rPr>
  </w:style>
  <w:style w:type="character" w:styleId="1465" w:customStyle="1">
    <w:name w:val="Texto de balão Char227"/>
    <w:uiPriority w:val="99"/>
    <w:semiHidden/>
    <w:qFormat/>
    <w:pPr>
      <w:pBdr/>
      <w:spacing/>
      <w:ind/>
    </w:pPr>
    <w:rPr>
      <w:rFonts w:ascii="Segoe UI" w:hAnsi="Segoe UI" w:cs="Mangal"/>
      <w:sz w:val="16"/>
      <w:szCs w:val="16"/>
      <w:lang w:bidi="hi-IN"/>
    </w:rPr>
  </w:style>
  <w:style w:type="character" w:styleId="1466" w:customStyle="1">
    <w:name w:val="Texto de balão Char226"/>
    <w:uiPriority w:val="99"/>
    <w:semiHidden/>
    <w:qFormat/>
    <w:pPr>
      <w:pBdr/>
      <w:spacing/>
      <w:ind/>
    </w:pPr>
    <w:rPr>
      <w:rFonts w:ascii="Segoe UI" w:hAnsi="Segoe UI" w:cs="Mangal"/>
      <w:sz w:val="16"/>
      <w:szCs w:val="16"/>
      <w:lang w:bidi="hi-IN"/>
    </w:rPr>
  </w:style>
  <w:style w:type="character" w:styleId="1467" w:customStyle="1">
    <w:name w:val="Texto de balão Char225"/>
    <w:uiPriority w:val="99"/>
    <w:semiHidden/>
    <w:qFormat/>
    <w:pPr>
      <w:pBdr/>
      <w:spacing/>
      <w:ind/>
    </w:pPr>
    <w:rPr>
      <w:rFonts w:ascii="Segoe UI" w:hAnsi="Segoe UI" w:cs="Mangal"/>
      <w:sz w:val="16"/>
      <w:szCs w:val="16"/>
      <w:lang w:bidi="hi-IN"/>
    </w:rPr>
  </w:style>
  <w:style w:type="character" w:styleId="1468" w:customStyle="1">
    <w:name w:val="Texto de balão Char224"/>
    <w:uiPriority w:val="99"/>
    <w:semiHidden/>
    <w:qFormat/>
    <w:pPr>
      <w:pBdr/>
      <w:spacing/>
      <w:ind/>
    </w:pPr>
    <w:rPr>
      <w:rFonts w:ascii="Segoe UI" w:hAnsi="Segoe UI" w:cs="Mangal"/>
      <w:sz w:val="16"/>
      <w:szCs w:val="16"/>
      <w:lang w:bidi="hi-IN"/>
    </w:rPr>
  </w:style>
  <w:style w:type="character" w:styleId="1469" w:customStyle="1">
    <w:name w:val="Texto de balão Char223"/>
    <w:uiPriority w:val="99"/>
    <w:semiHidden/>
    <w:qFormat/>
    <w:pPr>
      <w:pBdr/>
      <w:spacing/>
      <w:ind/>
    </w:pPr>
    <w:rPr>
      <w:rFonts w:ascii="Segoe UI" w:hAnsi="Segoe UI" w:cs="Mangal"/>
      <w:sz w:val="16"/>
      <w:szCs w:val="16"/>
      <w:lang w:bidi="hi-IN"/>
    </w:rPr>
  </w:style>
  <w:style w:type="character" w:styleId="1470" w:customStyle="1">
    <w:name w:val="Texto de balão Char222"/>
    <w:uiPriority w:val="99"/>
    <w:semiHidden/>
    <w:qFormat/>
    <w:pPr>
      <w:pBdr/>
      <w:spacing/>
      <w:ind/>
    </w:pPr>
    <w:rPr>
      <w:rFonts w:ascii="Segoe UI" w:hAnsi="Segoe UI" w:cs="Mangal"/>
      <w:sz w:val="16"/>
      <w:szCs w:val="16"/>
      <w:lang w:bidi="hi-IN"/>
    </w:rPr>
  </w:style>
  <w:style w:type="character" w:styleId="1471" w:customStyle="1">
    <w:name w:val="Texto de balão Char221"/>
    <w:uiPriority w:val="99"/>
    <w:semiHidden/>
    <w:qFormat/>
    <w:pPr>
      <w:pBdr/>
      <w:spacing/>
      <w:ind/>
    </w:pPr>
    <w:rPr>
      <w:rFonts w:ascii="Segoe UI" w:hAnsi="Segoe UI" w:cs="Mangal"/>
      <w:sz w:val="16"/>
      <w:szCs w:val="16"/>
      <w:lang w:bidi="hi-IN"/>
    </w:rPr>
  </w:style>
  <w:style w:type="character" w:styleId="1472" w:customStyle="1">
    <w:name w:val="Texto de balão Char220"/>
    <w:uiPriority w:val="99"/>
    <w:semiHidden/>
    <w:qFormat/>
    <w:pPr>
      <w:pBdr/>
      <w:spacing/>
      <w:ind/>
    </w:pPr>
    <w:rPr>
      <w:rFonts w:ascii="Segoe UI" w:hAnsi="Segoe UI" w:cs="Mangal"/>
      <w:sz w:val="16"/>
      <w:szCs w:val="16"/>
      <w:lang w:bidi="hi-IN"/>
    </w:rPr>
  </w:style>
  <w:style w:type="character" w:styleId="1473" w:customStyle="1">
    <w:name w:val="Texto de balão Char219"/>
    <w:uiPriority w:val="99"/>
    <w:semiHidden/>
    <w:qFormat/>
    <w:pPr>
      <w:pBdr/>
      <w:spacing/>
      <w:ind/>
    </w:pPr>
    <w:rPr>
      <w:rFonts w:ascii="Segoe UI" w:hAnsi="Segoe UI" w:cs="Mangal"/>
      <w:sz w:val="16"/>
      <w:szCs w:val="16"/>
      <w:lang w:bidi="hi-IN"/>
    </w:rPr>
  </w:style>
  <w:style w:type="character" w:styleId="1474" w:customStyle="1">
    <w:name w:val="Texto de balão Char218"/>
    <w:uiPriority w:val="99"/>
    <w:semiHidden/>
    <w:qFormat/>
    <w:pPr>
      <w:pBdr/>
      <w:spacing/>
      <w:ind/>
    </w:pPr>
    <w:rPr>
      <w:rFonts w:ascii="Segoe UI" w:hAnsi="Segoe UI" w:cs="Mangal"/>
      <w:sz w:val="16"/>
      <w:szCs w:val="16"/>
      <w:lang w:bidi="hi-IN"/>
    </w:rPr>
  </w:style>
  <w:style w:type="character" w:styleId="1475" w:customStyle="1">
    <w:name w:val="Texto de balão Char217"/>
    <w:uiPriority w:val="99"/>
    <w:semiHidden/>
    <w:qFormat/>
    <w:pPr>
      <w:pBdr/>
      <w:spacing/>
      <w:ind/>
    </w:pPr>
    <w:rPr>
      <w:rFonts w:ascii="Segoe UI" w:hAnsi="Segoe UI" w:cs="Mangal"/>
      <w:sz w:val="16"/>
      <w:szCs w:val="16"/>
      <w:lang w:bidi="hi-IN"/>
    </w:rPr>
  </w:style>
  <w:style w:type="character" w:styleId="1476" w:customStyle="1">
    <w:name w:val="Texto de balão Char216"/>
    <w:uiPriority w:val="99"/>
    <w:semiHidden/>
    <w:qFormat/>
    <w:pPr>
      <w:pBdr/>
      <w:spacing/>
      <w:ind/>
    </w:pPr>
    <w:rPr>
      <w:rFonts w:ascii="Segoe UI" w:hAnsi="Segoe UI" w:cs="Mangal"/>
      <w:sz w:val="16"/>
      <w:szCs w:val="16"/>
      <w:lang w:bidi="hi-IN"/>
    </w:rPr>
  </w:style>
  <w:style w:type="character" w:styleId="1477" w:customStyle="1">
    <w:name w:val="Texto de balão Char215"/>
    <w:uiPriority w:val="99"/>
    <w:semiHidden/>
    <w:qFormat/>
    <w:pPr>
      <w:pBdr/>
      <w:spacing/>
      <w:ind/>
    </w:pPr>
    <w:rPr>
      <w:rFonts w:ascii="Segoe UI" w:hAnsi="Segoe UI" w:cs="Mangal"/>
      <w:sz w:val="16"/>
      <w:szCs w:val="16"/>
      <w:lang w:bidi="hi-IN"/>
    </w:rPr>
  </w:style>
  <w:style w:type="character" w:styleId="1478" w:customStyle="1">
    <w:name w:val="Texto de balão Char214"/>
    <w:uiPriority w:val="99"/>
    <w:semiHidden/>
    <w:qFormat/>
    <w:pPr>
      <w:pBdr/>
      <w:spacing/>
      <w:ind/>
    </w:pPr>
    <w:rPr>
      <w:rFonts w:ascii="Segoe UI" w:hAnsi="Segoe UI" w:cs="Mangal"/>
      <w:sz w:val="16"/>
      <w:szCs w:val="16"/>
      <w:lang w:bidi="hi-IN"/>
    </w:rPr>
  </w:style>
  <w:style w:type="character" w:styleId="1479" w:customStyle="1">
    <w:name w:val="Texto de balão Char213"/>
    <w:uiPriority w:val="99"/>
    <w:semiHidden/>
    <w:qFormat/>
    <w:pPr>
      <w:pBdr/>
      <w:spacing/>
      <w:ind/>
    </w:pPr>
    <w:rPr>
      <w:rFonts w:ascii="Segoe UI" w:hAnsi="Segoe UI" w:cs="Mangal"/>
      <w:sz w:val="16"/>
      <w:szCs w:val="16"/>
      <w:lang w:bidi="hi-IN"/>
    </w:rPr>
  </w:style>
  <w:style w:type="character" w:styleId="1480" w:customStyle="1">
    <w:name w:val="Texto de balão Char212"/>
    <w:uiPriority w:val="99"/>
    <w:semiHidden/>
    <w:qFormat/>
    <w:pPr>
      <w:pBdr/>
      <w:spacing/>
      <w:ind/>
    </w:pPr>
    <w:rPr>
      <w:rFonts w:ascii="Segoe UI" w:hAnsi="Segoe UI" w:cs="Mangal"/>
      <w:sz w:val="16"/>
      <w:szCs w:val="16"/>
      <w:lang w:bidi="hi-IN"/>
    </w:rPr>
  </w:style>
  <w:style w:type="character" w:styleId="1481" w:customStyle="1">
    <w:name w:val="Texto de balão Char211"/>
    <w:uiPriority w:val="99"/>
    <w:semiHidden/>
    <w:qFormat/>
    <w:pPr>
      <w:pBdr/>
      <w:spacing/>
      <w:ind/>
    </w:pPr>
    <w:rPr>
      <w:rFonts w:ascii="Segoe UI" w:hAnsi="Segoe UI" w:cs="Mangal"/>
      <w:sz w:val="16"/>
      <w:szCs w:val="16"/>
      <w:lang w:bidi="hi-IN"/>
    </w:rPr>
  </w:style>
  <w:style w:type="character" w:styleId="1482" w:customStyle="1">
    <w:name w:val="Recuo de corpo de texto 3 Char377"/>
    <w:uiPriority w:val="99"/>
    <w:semiHidden/>
    <w:qFormat/>
    <w:pPr>
      <w:pBdr/>
      <w:spacing/>
      <w:ind/>
    </w:pPr>
    <w:rPr>
      <w:rFonts w:eastAsia="Times New Roman" w:cs="Mangal"/>
      <w:sz w:val="14"/>
      <w:szCs w:val="14"/>
      <w:lang w:bidi="hi-IN"/>
    </w:rPr>
  </w:style>
  <w:style w:type="character" w:styleId="1483" w:customStyle="1">
    <w:name w:val="Recuo de corpo de texto 3 Char376"/>
    <w:uiPriority w:val="99"/>
    <w:semiHidden/>
    <w:qFormat/>
    <w:pPr>
      <w:pBdr/>
      <w:spacing/>
      <w:ind/>
    </w:pPr>
    <w:rPr>
      <w:rFonts w:eastAsia="Times New Roman" w:cs="Mangal"/>
      <w:sz w:val="14"/>
      <w:szCs w:val="14"/>
      <w:lang w:bidi="hi-IN"/>
    </w:rPr>
  </w:style>
  <w:style w:type="character" w:styleId="1484" w:customStyle="1">
    <w:name w:val="Recuo de corpo de texto 3 Char375"/>
    <w:uiPriority w:val="99"/>
    <w:semiHidden/>
    <w:qFormat/>
    <w:pPr>
      <w:pBdr/>
      <w:spacing/>
      <w:ind/>
    </w:pPr>
    <w:rPr>
      <w:rFonts w:eastAsia="Times New Roman" w:cs="Mangal"/>
      <w:sz w:val="14"/>
      <w:szCs w:val="14"/>
      <w:lang w:bidi="hi-IN"/>
    </w:rPr>
  </w:style>
  <w:style w:type="character" w:styleId="1485" w:customStyle="1">
    <w:name w:val="Recuo de corpo de texto 3 Char374"/>
    <w:uiPriority w:val="99"/>
    <w:semiHidden/>
    <w:qFormat/>
    <w:pPr>
      <w:pBdr/>
      <w:spacing/>
      <w:ind/>
    </w:pPr>
    <w:rPr>
      <w:rFonts w:eastAsia="Times New Roman" w:cs="Mangal"/>
      <w:sz w:val="14"/>
      <w:szCs w:val="14"/>
      <w:lang w:bidi="hi-IN"/>
    </w:rPr>
  </w:style>
  <w:style w:type="character" w:styleId="1486" w:customStyle="1">
    <w:name w:val="Recuo de corpo de texto 3 Char373"/>
    <w:uiPriority w:val="99"/>
    <w:semiHidden/>
    <w:qFormat/>
    <w:pPr>
      <w:pBdr/>
      <w:spacing/>
      <w:ind/>
    </w:pPr>
    <w:rPr>
      <w:rFonts w:eastAsia="Times New Roman" w:cs="Mangal"/>
      <w:sz w:val="14"/>
      <w:szCs w:val="14"/>
      <w:lang w:bidi="hi-IN"/>
    </w:rPr>
  </w:style>
  <w:style w:type="character" w:styleId="1487" w:customStyle="1">
    <w:name w:val="Recuo de corpo de texto 3 Char372"/>
    <w:uiPriority w:val="99"/>
    <w:semiHidden/>
    <w:qFormat/>
    <w:pPr>
      <w:pBdr/>
      <w:spacing/>
      <w:ind/>
    </w:pPr>
    <w:rPr>
      <w:rFonts w:eastAsia="Times New Roman" w:cs="Mangal"/>
      <w:sz w:val="14"/>
      <w:szCs w:val="14"/>
      <w:lang w:bidi="hi-IN"/>
    </w:rPr>
  </w:style>
  <w:style w:type="character" w:styleId="1488" w:customStyle="1">
    <w:name w:val="Recuo de corpo de texto 3 Char371"/>
    <w:uiPriority w:val="99"/>
    <w:semiHidden/>
    <w:qFormat/>
    <w:pPr>
      <w:pBdr/>
      <w:spacing/>
      <w:ind/>
    </w:pPr>
    <w:rPr>
      <w:rFonts w:eastAsia="Times New Roman" w:cs="Mangal"/>
      <w:sz w:val="14"/>
      <w:szCs w:val="14"/>
      <w:lang w:bidi="hi-IN"/>
    </w:rPr>
  </w:style>
  <w:style w:type="character" w:styleId="1489" w:customStyle="1">
    <w:name w:val="Recuo de corpo de texto 3 Char370"/>
    <w:uiPriority w:val="99"/>
    <w:semiHidden/>
    <w:qFormat/>
    <w:pPr>
      <w:pBdr/>
      <w:spacing/>
      <w:ind/>
    </w:pPr>
    <w:rPr>
      <w:rFonts w:eastAsia="Times New Roman" w:cs="Mangal"/>
      <w:sz w:val="14"/>
      <w:szCs w:val="14"/>
      <w:lang w:bidi="hi-IN"/>
    </w:rPr>
  </w:style>
  <w:style w:type="character" w:styleId="1490" w:customStyle="1">
    <w:name w:val="Recuo de corpo de texto 3 Char369"/>
    <w:uiPriority w:val="99"/>
    <w:semiHidden/>
    <w:qFormat/>
    <w:pPr>
      <w:pBdr/>
      <w:spacing/>
      <w:ind/>
    </w:pPr>
    <w:rPr>
      <w:rFonts w:eastAsia="Times New Roman" w:cs="Mangal"/>
      <w:sz w:val="14"/>
      <w:szCs w:val="14"/>
      <w:lang w:bidi="hi-IN"/>
    </w:rPr>
  </w:style>
  <w:style w:type="character" w:styleId="1491" w:customStyle="1">
    <w:name w:val="Recuo de corpo de texto 3 Char368"/>
    <w:uiPriority w:val="99"/>
    <w:semiHidden/>
    <w:qFormat/>
    <w:pPr>
      <w:pBdr/>
      <w:spacing/>
      <w:ind/>
    </w:pPr>
    <w:rPr>
      <w:rFonts w:eastAsia="Times New Roman" w:cs="Mangal"/>
      <w:sz w:val="14"/>
      <w:szCs w:val="14"/>
      <w:lang w:bidi="hi-IN"/>
    </w:rPr>
  </w:style>
  <w:style w:type="character" w:styleId="1492" w:customStyle="1">
    <w:name w:val="Recuo de corpo de texto 3 Char367"/>
    <w:uiPriority w:val="99"/>
    <w:semiHidden/>
    <w:qFormat/>
    <w:pPr>
      <w:pBdr/>
      <w:spacing/>
      <w:ind/>
    </w:pPr>
    <w:rPr>
      <w:rFonts w:eastAsia="Times New Roman" w:cs="Mangal"/>
      <w:sz w:val="14"/>
      <w:szCs w:val="14"/>
      <w:lang w:bidi="hi-IN"/>
    </w:rPr>
  </w:style>
  <w:style w:type="character" w:styleId="1493" w:customStyle="1">
    <w:name w:val="Recuo de corpo de texto 3 Char366"/>
    <w:uiPriority w:val="99"/>
    <w:semiHidden/>
    <w:qFormat/>
    <w:pPr>
      <w:pBdr/>
      <w:spacing/>
      <w:ind/>
    </w:pPr>
    <w:rPr>
      <w:rFonts w:eastAsia="Times New Roman" w:cs="Mangal"/>
      <w:sz w:val="14"/>
      <w:szCs w:val="14"/>
      <w:lang w:bidi="hi-IN"/>
    </w:rPr>
  </w:style>
  <w:style w:type="character" w:styleId="1494" w:customStyle="1">
    <w:name w:val="Recuo de corpo de texto 3 Char365"/>
    <w:uiPriority w:val="99"/>
    <w:semiHidden/>
    <w:qFormat/>
    <w:pPr>
      <w:pBdr/>
      <w:spacing/>
      <w:ind/>
    </w:pPr>
    <w:rPr>
      <w:rFonts w:eastAsia="Times New Roman" w:cs="Mangal"/>
      <w:sz w:val="14"/>
      <w:szCs w:val="14"/>
      <w:lang w:bidi="hi-IN"/>
    </w:rPr>
  </w:style>
  <w:style w:type="character" w:styleId="1495" w:customStyle="1">
    <w:name w:val="Recuo de corpo de texto 3 Char364"/>
    <w:uiPriority w:val="99"/>
    <w:semiHidden/>
    <w:qFormat/>
    <w:pPr>
      <w:pBdr/>
      <w:spacing/>
      <w:ind/>
    </w:pPr>
    <w:rPr>
      <w:rFonts w:eastAsia="Times New Roman" w:cs="Mangal"/>
      <w:sz w:val="14"/>
      <w:szCs w:val="14"/>
      <w:lang w:bidi="hi-IN"/>
    </w:rPr>
  </w:style>
  <w:style w:type="character" w:styleId="1496" w:customStyle="1">
    <w:name w:val="Recuo de corpo de texto 3 Char363"/>
    <w:uiPriority w:val="99"/>
    <w:semiHidden/>
    <w:qFormat/>
    <w:pPr>
      <w:pBdr/>
      <w:spacing/>
      <w:ind/>
    </w:pPr>
    <w:rPr>
      <w:rFonts w:eastAsia="Times New Roman" w:cs="Mangal"/>
      <w:sz w:val="14"/>
      <w:szCs w:val="14"/>
      <w:lang w:bidi="hi-IN"/>
    </w:rPr>
  </w:style>
  <w:style w:type="character" w:styleId="1497" w:customStyle="1">
    <w:name w:val="Recuo de corpo de texto 3 Char362"/>
    <w:uiPriority w:val="99"/>
    <w:semiHidden/>
    <w:qFormat/>
    <w:pPr>
      <w:pBdr/>
      <w:spacing/>
      <w:ind/>
    </w:pPr>
    <w:rPr>
      <w:rFonts w:eastAsia="Times New Roman" w:cs="Mangal"/>
      <w:sz w:val="14"/>
      <w:szCs w:val="14"/>
      <w:lang w:bidi="hi-IN"/>
    </w:rPr>
  </w:style>
  <w:style w:type="character" w:styleId="1498" w:customStyle="1">
    <w:name w:val="Recuo de corpo de texto 3 Char361"/>
    <w:uiPriority w:val="99"/>
    <w:semiHidden/>
    <w:qFormat/>
    <w:pPr>
      <w:pBdr/>
      <w:spacing/>
      <w:ind/>
    </w:pPr>
    <w:rPr>
      <w:rFonts w:eastAsia="Times New Roman" w:cs="Mangal"/>
      <w:sz w:val="14"/>
      <w:szCs w:val="14"/>
      <w:lang w:bidi="hi-IN"/>
    </w:rPr>
  </w:style>
  <w:style w:type="character" w:styleId="1499" w:customStyle="1">
    <w:name w:val="Recuo de corpo de texto 3 Char360"/>
    <w:uiPriority w:val="99"/>
    <w:semiHidden/>
    <w:qFormat/>
    <w:pPr>
      <w:pBdr/>
      <w:spacing/>
      <w:ind/>
    </w:pPr>
    <w:rPr>
      <w:rFonts w:eastAsia="Times New Roman" w:cs="Mangal"/>
      <w:sz w:val="14"/>
      <w:szCs w:val="14"/>
      <w:lang w:bidi="hi-IN"/>
    </w:rPr>
  </w:style>
  <w:style w:type="character" w:styleId="1500" w:customStyle="1">
    <w:name w:val="Recuo de corpo de texto 3 Char359"/>
    <w:uiPriority w:val="99"/>
    <w:semiHidden/>
    <w:qFormat/>
    <w:pPr>
      <w:pBdr/>
      <w:spacing/>
      <w:ind/>
    </w:pPr>
    <w:rPr>
      <w:rFonts w:eastAsia="Times New Roman" w:cs="Mangal"/>
      <w:sz w:val="14"/>
      <w:szCs w:val="14"/>
      <w:lang w:bidi="hi-IN"/>
    </w:rPr>
  </w:style>
  <w:style w:type="character" w:styleId="1501" w:customStyle="1">
    <w:name w:val="Recuo de corpo de texto 3 Char358"/>
    <w:uiPriority w:val="99"/>
    <w:semiHidden/>
    <w:qFormat/>
    <w:pPr>
      <w:pBdr/>
      <w:spacing/>
      <w:ind/>
    </w:pPr>
    <w:rPr>
      <w:rFonts w:eastAsia="Times New Roman" w:cs="Mangal"/>
      <w:sz w:val="14"/>
      <w:szCs w:val="14"/>
      <w:lang w:bidi="hi-IN"/>
    </w:rPr>
  </w:style>
  <w:style w:type="character" w:styleId="1502" w:customStyle="1">
    <w:name w:val="Recuo de corpo de texto 3 Char357"/>
    <w:uiPriority w:val="99"/>
    <w:semiHidden/>
    <w:qFormat/>
    <w:pPr>
      <w:pBdr/>
      <w:spacing/>
      <w:ind/>
    </w:pPr>
    <w:rPr>
      <w:rFonts w:eastAsia="Times New Roman" w:cs="Mangal"/>
      <w:sz w:val="14"/>
      <w:szCs w:val="14"/>
      <w:lang w:bidi="hi-IN"/>
    </w:rPr>
  </w:style>
  <w:style w:type="character" w:styleId="1503" w:customStyle="1">
    <w:name w:val="Recuo de corpo de texto 3 Char356"/>
    <w:uiPriority w:val="99"/>
    <w:semiHidden/>
    <w:qFormat/>
    <w:pPr>
      <w:pBdr/>
      <w:spacing/>
      <w:ind/>
    </w:pPr>
    <w:rPr>
      <w:rFonts w:eastAsia="Times New Roman" w:cs="Mangal"/>
      <w:sz w:val="14"/>
      <w:szCs w:val="14"/>
      <w:lang w:bidi="hi-IN"/>
    </w:rPr>
  </w:style>
  <w:style w:type="character" w:styleId="1504" w:customStyle="1">
    <w:name w:val="Recuo de corpo de texto 3 Char355"/>
    <w:uiPriority w:val="99"/>
    <w:semiHidden/>
    <w:qFormat/>
    <w:pPr>
      <w:pBdr/>
      <w:spacing/>
      <w:ind/>
    </w:pPr>
    <w:rPr>
      <w:rFonts w:eastAsia="Times New Roman" w:cs="Mangal"/>
      <w:sz w:val="14"/>
      <w:szCs w:val="14"/>
      <w:lang w:bidi="hi-IN"/>
    </w:rPr>
  </w:style>
  <w:style w:type="character" w:styleId="1505" w:customStyle="1">
    <w:name w:val="Recuo de corpo de texto 3 Char354"/>
    <w:uiPriority w:val="99"/>
    <w:semiHidden/>
    <w:qFormat/>
    <w:pPr>
      <w:pBdr/>
      <w:spacing/>
      <w:ind/>
    </w:pPr>
    <w:rPr>
      <w:rFonts w:eastAsia="Times New Roman" w:cs="Mangal"/>
      <w:sz w:val="14"/>
      <w:szCs w:val="14"/>
      <w:lang w:bidi="hi-IN"/>
    </w:rPr>
  </w:style>
  <w:style w:type="character" w:styleId="1506" w:customStyle="1">
    <w:name w:val="Recuo de corpo de texto 3 Char353"/>
    <w:uiPriority w:val="99"/>
    <w:semiHidden/>
    <w:qFormat/>
    <w:pPr>
      <w:pBdr/>
      <w:spacing/>
      <w:ind/>
    </w:pPr>
    <w:rPr>
      <w:rFonts w:eastAsia="Times New Roman" w:cs="Mangal"/>
      <w:sz w:val="14"/>
      <w:szCs w:val="14"/>
      <w:lang w:bidi="hi-IN"/>
    </w:rPr>
  </w:style>
  <w:style w:type="character" w:styleId="1507" w:customStyle="1">
    <w:name w:val="Recuo de corpo de texto 3 Char352"/>
    <w:uiPriority w:val="99"/>
    <w:semiHidden/>
    <w:qFormat/>
    <w:pPr>
      <w:pBdr/>
      <w:spacing/>
      <w:ind/>
    </w:pPr>
    <w:rPr>
      <w:rFonts w:eastAsia="Times New Roman" w:cs="Mangal"/>
      <w:sz w:val="14"/>
      <w:szCs w:val="14"/>
      <w:lang w:bidi="hi-IN"/>
    </w:rPr>
  </w:style>
  <w:style w:type="character" w:styleId="1508" w:customStyle="1">
    <w:name w:val="Recuo de corpo de texto 3 Char351"/>
    <w:uiPriority w:val="99"/>
    <w:semiHidden/>
    <w:qFormat/>
    <w:pPr>
      <w:pBdr/>
      <w:spacing/>
      <w:ind/>
    </w:pPr>
    <w:rPr>
      <w:rFonts w:eastAsia="Times New Roman" w:cs="Mangal"/>
      <w:sz w:val="14"/>
      <w:szCs w:val="14"/>
      <w:lang w:bidi="hi-IN"/>
    </w:rPr>
  </w:style>
  <w:style w:type="character" w:styleId="1509" w:customStyle="1">
    <w:name w:val="Recuo de corpo de texto 3 Char350"/>
    <w:uiPriority w:val="99"/>
    <w:semiHidden/>
    <w:qFormat/>
    <w:pPr>
      <w:pBdr/>
      <w:spacing/>
      <w:ind/>
    </w:pPr>
    <w:rPr>
      <w:rFonts w:eastAsia="Times New Roman" w:cs="Mangal"/>
      <w:sz w:val="14"/>
      <w:szCs w:val="14"/>
      <w:lang w:bidi="hi-IN"/>
    </w:rPr>
  </w:style>
  <w:style w:type="character" w:styleId="1510" w:customStyle="1">
    <w:name w:val="Recuo de corpo de texto 3 Char349"/>
    <w:uiPriority w:val="99"/>
    <w:semiHidden/>
    <w:qFormat/>
    <w:pPr>
      <w:pBdr/>
      <w:spacing/>
      <w:ind/>
    </w:pPr>
    <w:rPr>
      <w:rFonts w:eastAsia="Times New Roman" w:cs="Mangal"/>
      <w:sz w:val="14"/>
      <w:szCs w:val="14"/>
      <w:lang w:bidi="hi-IN"/>
    </w:rPr>
  </w:style>
  <w:style w:type="character" w:styleId="1511" w:customStyle="1">
    <w:name w:val="Recuo de corpo de texto 3 Char348"/>
    <w:uiPriority w:val="99"/>
    <w:semiHidden/>
    <w:qFormat/>
    <w:pPr>
      <w:pBdr/>
      <w:spacing/>
      <w:ind/>
    </w:pPr>
    <w:rPr>
      <w:rFonts w:eastAsia="Times New Roman" w:cs="Mangal"/>
      <w:sz w:val="14"/>
      <w:szCs w:val="14"/>
      <w:lang w:bidi="hi-IN"/>
    </w:rPr>
  </w:style>
  <w:style w:type="character" w:styleId="1512" w:customStyle="1">
    <w:name w:val="Recuo de corpo de texto 3 Char347"/>
    <w:uiPriority w:val="99"/>
    <w:semiHidden/>
    <w:qFormat/>
    <w:pPr>
      <w:pBdr/>
      <w:spacing/>
      <w:ind/>
    </w:pPr>
    <w:rPr>
      <w:rFonts w:eastAsia="Times New Roman" w:cs="Mangal"/>
      <w:sz w:val="14"/>
      <w:szCs w:val="14"/>
      <w:lang w:bidi="hi-IN"/>
    </w:rPr>
  </w:style>
  <w:style w:type="character" w:styleId="1513" w:customStyle="1">
    <w:name w:val="Recuo de corpo de texto 3 Char346"/>
    <w:uiPriority w:val="99"/>
    <w:semiHidden/>
    <w:qFormat/>
    <w:pPr>
      <w:pBdr/>
      <w:spacing/>
      <w:ind/>
    </w:pPr>
    <w:rPr>
      <w:rFonts w:eastAsia="Times New Roman" w:cs="Mangal"/>
      <w:sz w:val="14"/>
      <w:szCs w:val="14"/>
      <w:lang w:bidi="hi-IN"/>
    </w:rPr>
  </w:style>
  <w:style w:type="character" w:styleId="1514" w:customStyle="1">
    <w:name w:val="Recuo de corpo de texto 3 Char345"/>
    <w:uiPriority w:val="99"/>
    <w:semiHidden/>
    <w:qFormat/>
    <w:pPr>
      <w:pBdr/>
      <w:spacing/>
      <w:ind/>
    </w:pPr>
    <w:rPr>
      <w:rFonts w:eastAsia="Times New Roman" w:cs="Mangal"/>
      <w:sz w:val="14"/>
      <w:szCs w:val="14"/>
      <w:lang w:bidi="hi-IN"/>
    </w:rPr>
  </w:style>
  <w:style w:type="character" w:styleId="1515" w:customStyle="1">
    <w:name w:val="Recuo de corpo de texto 3 Char344"/>
    <w:uiPriority w:val="99"/>
    <w:semiHidden/>
    <w:qFormat/>
    <w:pPr>
      <w:pBdr/>
      <w:spacing/>
      <w:ind/>
    </w:pPr>
    <w:rPr>
      <w:rFonts w:eastAsia="Times New Roman" w:cs="Mangal"/>
      <w:sz w:val="14"/>
      <w:szCs w:val="14"/>
      <w:lang w:bidi="hi-IN"/>
    </w:rPr>
  </w:style>
  <w:style w:type="character" w:styleId="1516" w:customStyle="1">
    <w:name w:val="Recuo de corpo de texto 3 Char343"/>
    <w:uiPriority w:val="99"/>
    <w:semiHidden/>
    <w:qFormat/>
    <w:pPr>
      <w:pBdr/>
      <w:spacing/>
      <w:ind/>
    </w:pPr>
    <w:rPr>
      <w:rFonts w:eastAsia="Times New Roman" w:cs="Mangal"/>
      <w:sz w:val="14"/>
      <w:szCs w:val="14"/>
      <w:lang w:bidi="hi-IN"/>
    </w:rPr>
  </w:style>
  <w:style w:type="character" w:styleId="1517" w:customStyle="1">
    <w:name w:val="Recuo de corpo de texto 3 Char342"/>
    <w:uiPriority w:val="99"/>
    <w:semiHidden/>
    <w:qFormat/>
    <w:pPr>
      <w:pBdr/>
      <w:spacing/>
      <w:ind/>
    </w:pPr>
    <w:rPr>
      <w:rFonts w:eastAsia="Times New Roman" w:cs="Mangal"/>
      <w:sz w:val="14"/>
      <w:szCs w:val="14"/>
      <w:lang w:bidi="hi-IN"/>
    </w:rPr>
  </w:style>
  <w:style w:type="character" w:styleId="1518" w:customStyle="1">
    <w:name w:val="Recuo de corpo de texto 3 Char341"/>
    <w:uiPriority w:val="99"/>
    <w:semiHidden/>
    <w:qFormat/>
    <w:pPr>
      <w:pBdr/>
      <w:spacing/>
      <w:ind/>
    </w:pPr>
    <w:rPr>
      <w:rFonts w:eastAsia="Times New Roman" w:cs="Mangal"/>
      <w:sz w:val="14"/>
      <w:szCs w:val="14"/>
      <w:lang w:bidi="hi-IN"/>
    </w:rPr>
  </w:style>
  <w:style w:type="character" w:styleId="1519" w:customStyle="1">
    <w:name w:val="Recuo de corpo de texto 3 Char340"/>
    <w:uiPriority w:val="99"/>
    <w:semiHidden/>
    <w:qFormat/>
    <w:pPr>
      <w:pBdr/>
      <w:spacing/>
      <w:ind/>
    </w:pPr>
    <w:rPr>
      <w:rFonts w:eastAsia="Times New Roman" w:cs="Mangal"/>
      <w:sz w:val="14"/>
      <w:szCs w:val="14"/>
      <w:lang w:bidi="hi-IN"/>
    </w:rPr>
  </w:style>
  <w:style w:type="character" w:styleId="1520" w:customStyle="1">
    <w:name w:val="Recuo de corpo de texto 3 Char339"/>
    <w:uiPriority w:val="99"/>
    <w:semiHidden/>
    <w:qFormat/>
    <w:pPr>
      <w:pBdr/>
      <w:spacing/>
      <w:ind/>
    </w:pPr>
    <w:rPr>
      <w:rFonts w:eastAsia="Times New Roman" w:cs="Mangal"/>
      <w:sz w:val="14"/>
      <w:szCs w:val="14"/>
      <w:lang w:bidi="hi-IN"/>
    </w:rPr>
  </w:style>
  <w:style w:type="character" w:styleId="1521" w:customStyle="1">
    <w:name w:val="Recuo de corpo de texto 3 Char338"/>
    <w:uiPriority w:val="99"/>
    <w:semiHidden/>
    <w:qFormat/>
    <w:pPr>
      <w:pBdr/>
      <w:spacing/>
      <w:ind/>
    </w:pPr>
    <w:rPr>
      <w:rFonts w:eastAsia="Times New Roman" w:cs="Mangal"/>
      <w:sz w:val="14"/>
      <w:szCs w:val="14"/>
      <w:lang w:bidi="hi-IN"/>
    </w:rPr>
  </w:style>
  <w:style w:type="character" w:styleId="1522" w:customStyle="1">
    <w:name w:val="Recuo de corpo de texto 3 Char337"/>
    <w:uiPriority w:val="99"/>
    <w:semiHidden/>
    <w:qFormat/>
    <w:pPr>
      <w:pBdr/>
      <w:spacing/>
      <w:ind/>
    </w:pPr>
    <w:rPr>
      <w:rFonts w:eastAsia="Times New Roman" w:cs="Mangal"/>
      <w:sz w:val="14"/>
      <w:szCs w:val="14"/>
      <w:lang w:bidi="hi-IN"/>
    </w:rPr>
  </w:style>
  <w:style w:type="character" w:styleId="1523" w:customStyle="1">
    <w:name w:val="Recuo de corpo de texto 3 Char336"/>
    <w:uiPriority w:val="99"/>
    <w:semiHidden/>
    <w:qFormat/>
    <w:pPr>
      <w:pBdr/>
      <w:spacing/>
      <w:ind/>
    </w:pPr>
    <w:rPr>
      <w:rFonts w:eastAsia="Times New Roman" w:cs="Mangal"/>
      <w:sz w:val="14"/>
      <w:szCs w:val="14"/>
      <w:lang w:bidi="hi-IN"/>
    </w:rPr>
  </w:style>
  <w:style w:type="character" w:styleId="1524" w:customStyle="1">
    <w:name w:val="Recuo de corpo de texto 3 Char335"/>
    <w:uiPriority w:val="99"/>
    <w:semiHidden/>
    <w:qFormat/>
    <w:pPr>
      <w:pBdr/>
      <w:spacing/>
      <w:ind/>
    </w:pPr>
    <w:rPr>
      <w:rFonts w:eastAsia="Times New Roman" w:cs="Mangal"/>
      <w:sz w:val="14"/>
      <w:szCs w:val="14"/>
      <w:lang w:bidi="hi-IN"/>
    </w:rPr>
  </w:style>
  <w:style w:type="character" w:styleId="1525" w:customStyle="1">
    <w:name w:val="Recuo de corpo de texto 3 Char334"/>
    <w:uiPriority w:val="99"/>
    <w:semiHidden/>
    <w:qFormat/>
    <w:pPr>
      <w:pBdr/>
      <w:spacing/>
      <w:ind/>
    </w:pPr>
    <w:rPr>
      <w:rFonts w:eastAsia="Times New Roman" w:cs="Mangal"/>
      <w:sz w:val="14"/>
      <w:szCs w:val="14"/>
      <w:lang w:bidi="hi-IN"/>
    </w:rPr>
  </w:style>
  <w:style w:type="character" w:styleId="1526" w:customStyle="1">
    <w:name w:val="Recuo de corpo de texto 3 Char333"/>
    <w:uiPriority w:val="99"/>
    <w:semiHidden/>
    <w:qFormat/>
    <w:pPr>
      <w:pBdr/>
      <w:spacing/>
      <w:ind/>
    </w:pPr>
    <w:rPr>
      <w:rFonts w:eastAsia="Times New Roman" w:cs="Mangal"/>
      <w:sz w:val="14"/>
      <w:szCs w:val="14"/>
      <w:lang w:bidi="hi-IN"/>
    </w:rPr>
  </w:style>
  <w:style w:type="character" w:styleId="1527" w:customStyle="1">
    <w:name w:val="Recuo de corpo de texto 3 Char332"/>
    <w:uiPriority w:val="99"/>
    <w:semiHidden/>
    <w:qFormat/>
    <w:pPr>
      <w:pBdr/>
      <w:spacing/>
      <w:ind/>
    </w:pPr>
    <w:rPr>
      <w:rFonts w:eastAsia="Times New Roman" w:cs="Mangal"/>
      <w:sz w:val="14"/>
      <w:szCs w:val="14"/>
      <w:lang w:bidi="hi-IN"/>
    </w:rPr>
  </w:style>
  <w:style w:type="character" w:styleId="1528" w:customStyle="1">
    <w:name w:val="Recuo de corpo de texto 3 Char331"/>
    <w:uiPriority w:val="99"/>
    <w:semiHidden/>
    <w:qFormat/>
    <w:pPr>
      <w:pBdr/>
      <w:spacing/>
      <w:ind/>
    </w:pPr>
    <w:rPr>
      <w:rFonts w:eastAsia="Times New Roman" w:cs="Mangal"/>
      <w:sz w:val="14"/>
      <w:szCs w:val="14"/>
      <w:lang w:bidi="hi-IN"/>
    </w:rPr>
  </w:style>
  <w:style w:type="character" w:styleId="1529" w:customStyle="1">
    <w:name w:val="Recuo de corpo de texto 3 Char330"/>
    <w:uiPriority w:val="99"/>
    <w:semiHidden/>
    <w:qFormat/>
    <w:pPr>
      <w:pBdr/>
      <w:spacing/>
      <w:ind/>
    </w:pPr>
    <w:rPr>
      <w:rFonts w:eastAsia="Times New Roman" w:cs="Mangal"/>
      <w:sz w:val="14"/>
      <w:szCs w:val="14"/>
      <w:lang w:bidi="hi-IN"/>
    </w:rPr>
  </w:style>
  <w:style w:type="character" w:styleId="1530" w:customStyle="1">
    <w:name w:val="Recuo de corpo de texto 3 Char329"/>
    <w:uiPriority w:val="99"/>
    <w:semiHidden/>
    <w:qFormat/>
    <w:pPr>
      <w:pBdr/>
      <w:spacing/>
      <w:ind/>
    </w:pPr>
    <w:rPr>
      <w:rFonts w:eastAsia="Times New Roman" w:cs="Mangal"/>
      <w:sz w:val="14"/>
      <w:szCs w:val="14"/>
      <w:lang w:bidi="hi-IN"/>
    </w:rPr>
  </w:style>
  <w:style w:type="character" w:styleId="1531" w:customStyle="1">
    <w:name w:val="Recuo de corpo de texto 3 Char328"/>
    <w:uiPriority w:val="99"/>
    <w:semiHidden/>
    <w:qFormat/>
    <w:pPr>
      <w:pBdr/>
      <w:spacing/>
      <w:ind/>
    </w:pPr>
    <w:rPr>
      <w:rFonts w:eastAsia="Times New Roman" w:cs="Mangal"/>
      <w:sz w:val="14"/>
      <w:szCs w:val="14"/>
      <w:lang w:bidi="hi-IN"/>
    </w:rPr>
  </w:style>
  <w:style w:type="character" w:styleId="1532" w:customStyle="1">
    <w:name w:val="Recuo de corpo de texto 3 Char327"/>
    <w:uiPriority w:val="99"/>
    <w:semiHidden/>
    <w:qFormat/>
    <w:pPr>
      <w:pBdr/>
      <w:spacing/>
      <w:ind/>
    </w:pPr>
    <w:rPr>
      <w:rFonts w:eastAsia="Times New Roman" w:cs="Mangal"/>
      <w:sz w:val="14"/>
      <w:szCs w:val="14"/>
      <w:lang w:bidi="hi-IN"/>
    </w:rPr>
  </w:style>
  <w:style w:type="character" w:styleId="1533" w:customStyle="1">
    <w:name w:val="Recuo de corpo de texto 3 Char326"/>
    <w:uiPriority w:val="99"/>
    <w:semiHidden/>
    <w:qFormat/>
    <w:pPr>
      <w:pBdr/>
      <w:spacing/>
      <w:ind/>
    </w:pPr>
    <w:rPr>
      <w:rFonts w:eastAsia="Times New Roman" w:cs="Mangal"/>
      <w:sz w:val="14"/>
      <w:szCs w:val="14"/>
      <w:lang w:bidi="hi-IN"/>
    </w:rPr>
  </w:style>
  <w:style w:type="character" w:styleId="1534" w:customStyle="1">
    <w:name w:val="Recuo de corpo de texto 3 Char325"/>
    <w:uiPriority w:val="99"/>
    <w:semiHidden/>
    <w:qFormat/>
    <w:pPr>
      <w:pBdr/>
      <w:spacing/>
      <w:ind/>
    </w:pPr>
    <w:rPr>
      <w:rFonts w:eastAsia="Times New Roman" w:cs="Mangal"/>
      <w:sz w:val="14"/>
      <w:szCs w:val="14"/>
      <w:lang w:bidi="hi-IN"/>
    </w:rPr>
  </w:style>
  <w:style w:type="character" w:styleId="1535" w:customStyle="1">
    <w:name w:val="Recuo de corpo de texto 3 Char324"/>
    <w:uiPriority w:val="99"/>
    <w:semiHidden/>
    <w:qFormat/>
    <w:pPr>
      <w:pBdr/>
      <w:spacing/>
      <w:ind/>
    </w:pPr>
    <w:rPr>
      <w:rFonts w:eastAsia="Times New Roman" w:cs="Mangal"/>
      <w:sz w:val="14"/>
      <w:szCs w:val="14"/>
      <w:lang w:bidi="hi-IN"/>
    </w:rPr>
  </w:style>
  <w:style w:type="character" w:styleId="1536" w:customStyle="1">
    <w:name w:val="Recuo de corpo de texto 3 Char323"/>
    <w:uiPriority w:val="99"/>
    <w:semiHidden/>
    <w:qFormat/>
    <w:pPr>
      <w:pBdr/>
      <w:spacing/>
      <w:ind/>
    </w:pPr>
    <w:rPr>
      <w:rFonts w:eastAsia="Times New Roman" w:cs="Mangal"/>
      <w:sz w:val="14"/>
      <w:szCs w:val="14"/>
      <w:lang w:bidi="hi-IN"/>
    </w:rPr>
  </w:style>
  <w:style w:type="character" w:styleId="1537" w:customStyle="1">
    <w:name w:val="Recuo de corpo de texto 3 Char322"/>
    <w:uiPriority w:val="99"/>
    <w:semiHidden/>
    <w:qFormat/>
    <w:pPr>
      <w:pBdr/>
      <w:spacing/>
      <w:ind/>
    </w:pPr>
    <w:rPr>
      <w:rFonts w:eastAsia="Times New Roman" w:cs="Mangal"/>
      <w:sz w:val="14"/>
      <w:szCs w:val="14"/>
      <w:lang w:bidi="hi-IN"/>
    </w:rPr>
  </w:style>
  <w:style w:type="character" w:styleId="1538" w:customStyle="1">
    <w:name w:val="Recuo de corpo de texto 3 Char321"/>
    <w:uiPriority w:val="99"/>
    <w:semiHidden/>
    <w:qFormat/>
    <w:pPr>
      <w:pBdr/>
      <w:spacing/>
      <w:ind/>
    </w:pPr>
    <w:rPr>
      <w:rFonts w:eastAsia="Times New Roman" w:cs="Mangal"/>
      <w:sz w:val="14"/>
      <w:szCs w:val="14"/>
      <w:lang w:bidi="hi-IN"/>
    </w:rPr>
  </w:style>
  <w:style w:type="character" w:styleId="1539" w:customStyle="1">
    <w:name w:val="Recuo de corpo de texto 3 Char320"/>
    <w:uiPriority w:val="99"/>
    <w:semiHidden/>
    <w:qFormat/>
    <w:pPr>
      <w:pBdr/>
      <w:spacing/>
      <w:ind/>
    </w:pPr>
    <w:rPr>
      <w:rFonts w:eastAsia="Times New Roman" w:cs="Mangal"/>
      <w:sz w:val="14"/>
      <w:szCs w:val="14"/>
      <w:lang w:bidi="hi-IN"/>
    </w:rPr>
  </w:style>
  <w:style w:type="character" w:styleId="1540" w:customStyle="1">
    <w:name w:val="Recuo de corpo de texto 3 Char319"/>
    <w:uiPriority w:val="99"/>
    <w:semiHidden/>
    <w:qFormat/>
    <w:pPr>
      <w:pBdr/>
      <w:spacing/>
      <w:ind/>
    </w:pPr>
    <w:rPr>
      <w:rFonts w:eastAsia="Times New Roman" w:cs="Mangal"/>
      <w:sz w:val="14"/>
      <w:szCs w:val="14"/>
      <w:lang w:bidi="hi-IN"/>
    </w:rPr>
  </w:style>
  <w:style w:type="character" w:styleId="1541" w:customStyle="1">
    <w:name w:val="Recuo de corpo de texto 3 Char318"/>
    <w:uiPriority w:val="99"/>
    <w:semiHidden/>
    <w:qFormat/>
    <w:pPr>
      <w:pBdr/>
      <w:spacing/>
      <w:ind/>
    </w:pPr>
    <w:rPr>
      <w:rFonts w:eastAsia="Times New Roman" w:cs="Mangal"/>
      <w:sz w:val="14"/>
      <w:szCs w:val="14"/>
      <w:lang w:bidi="hi-IN"/>
    </w:rPr>
  </w:style>
  <w:style w:type="character" w:styleId="1542" w:customStyle="1">
    <w:name w:val="Recuo de corpo de texto 3 Char317"/>
    <w:uiPriority w:val="99"/>
    <w:semiHidden/>
    <w:qFormat/>
    <w:pPr>
      <w:pBdr/>
      <w:spacing/>
      <w:ind/>
    </w:pPr>
    <w:rPr>
      <w:rFonts w:eastAsia="Times New Roman" w:cs="Mangal"/>
      <w:sz w:val="14"/>
      <w:szCs w:val="14"/>
      <w:lang w:bidi="hi-IN"/>
    </w:rPr>
  </w:style>
  <w:style w:type="character" w:styleId="1543" w:customStyle="1">
    <w:name w:val="Recuo de corpo de texto 3 Char316"/>
    <w:uiPriority w:val="99"/>
    <w:semiHidden/>
    <w:qFormat/>
    <w:pPr>
      <w:pBdr/>
      <w:spacing/>
      <w:ind/>
    </w:pPr>
    <w:rPr>
      <w:rFonts w:eastAsia="Times New Roman" w:cs="Mangal"/>
      <w:sz w:val="14"/>
      <w:szCs w:val="14"/>
      <w:lang w:bidi="hi-IN"/>
    </w:rPr>
  </w:style>
  <w:style w:type="character" w:styleId="1544" w:customStyle="1">
    <w:name w:val="Recuo de corpo de texto 3 Char315"/>
    <w:uiPriority w:val="99"/>
    <w:semiHidden/>
    <w:qFormat/>
    <w:pPr>
      <w:pBdr/>
      <w:spacing/>
      <w:ind/>
    </w:pPr>
    <w:rPr>
      <w:rFonts w:eastAsia="Times New Roman" w:cs="Mangal"/>
      <w:sz w:val="14"/>
      <w:szCs w:val="14"/>
      <w:lang w:bidi="hi-IN"/>
    </w:rPr>
  </w:style>
  <w:style w:type="character" w:styleId="1545" w:customStyle="1">
    <w:name w:val="Recuo de corpo de texto 3 Char314"/>
    <w:uiPriority w:val="99"/>
    <w:semiHidden/>
    <w:qFormat/>
    <w:pPr>
      <w:pBdr/>
      <w:spacing/>
      <w:ind/>
    </w:pPr>
    <w:rPr>
      <w:rFonts w:eastAsia="Times New Roman" w:cs="Mangal"/>
      <w:sz w:val="14"/>
      <w:szCs w:val="14"/>
      <w:lang w:bidi="hi-IN"/>
    </w:rPr>
  </w:style>
  <w:style w:type="character" w:styleId="1546" w:customStyle="1">
    <w:name w:val="Recuo de corpo de texto 3 Char313"/>
    <w:uiPriority w:val="99"/>
    <w:semiHidden/>
    <w:qFormat/>
    <w:pPr>
      <w:pBdr/>
      <w:spacing/>
      <w:ind/>
    </w:pPr>
    <w:rPr>
      <w:rFonts w:eastAsia="Times New Roman" w:cs="Mangal"/>
      <w:sz w:val="14"/>
      <w:szCs w:val="14"/>
      <w:lang w:bidi="hi-IN"/>
    </w:rPr>
  </w:style>
  <w:style w:type="character" w:styleId="1547" w:customStyle="1">
    <w:name w:val="Recuo de corpo de texto 3 Char312"/>
    <w:uiPriority w:val="99"/>
    <w:semiHidden/>
    <w:qFormat/>
    <w:pPr>
      <w:pBdr/>
      <w:spacing/>
      <w:ind/>
    </w:pPr>
    <w:rPr>
      <w:rFonts w:eastAsia="Times New Roman" w:cs="Mangal"/>
      <w:sz w:val="14"/>
      <w:szCs w:val="14"/>
      <w:lang w:bidi="hi-IN"/>
    </w:rPr>
  </w:style>
  <w:style w:type="character" w:styleId="1548" w:customStyle="1">
    <w:name w:val="Recuo de corpo de texto 3 Char311"/>
    <w:uiPriority w:val="99"/>
    <w:semiHidden/>
    <w:qFormat/>
    <w:pPr>
      <w:pBdr/>
      <w:spacing/>
      <w:ind/>
    </w:pPr>
    <w:rPr>
      <w:rFonts w:eastAsia="Times New Roman" w:cs="Mangal"/>
      <w:sz w:val="14"/>
      <w:szCs w:val="14"/>
      <w:lang w:bidi="hi-IN"/>
    </w:rPr>
  </w:style>
  <w:style w:type="character" w:styleId="1549" w:customStyle="1">
    <w:name w:val="Texto de comentário Char3"/>
    <w:uiPriority w:val="99"/>
    <w:semiHidden/>
    <w:qFormat/>
    <w:pPr>
      <w:pBdr/>
      <w:spacing/>
      <w:ind/>
    </w:pPr>
    <w:rPr>
      <w:lang w:eastAsia="zh-CN"/>
    </w:rPr>
  </w:style>
  <w:style w:type="character" w:styleId="1550" w:customStyle="1">
    <w:name w:val="Texto de comentário Char277"/>
    <w:uiPriority w:val="99"/>
    <w:semiHidden/>
    <w:qFormat/>
    <w:pPr>
      <w:pBdr/>
      <w:spacing/>
      <w:ind/>
    </w:pPr>
    <w:rPr>
      <w:rFonts w:eastAsia="Times New Roman" w:cs="Mangal"/>
      <w:sz w:val="18"/>
      <w:szCs w:val="18"/>
      <w:lang w:bidi="hi-IN"/>
    </w:rPr>
  </w:style>
  <w:style w:type="character" w:styleId="1551" w:customStyle="1">
    <w:name w:val="Texto de comentário Char276"/>
    <w:uiPriority w:val="99"/>
    <w:semiHidden/>
    <w:qFormat/>
    <w:pPr>
      <w:pBdr/>
      <w:spacing/>
      <w:ind/>
    </w:pPr>
    <w:rPr>
      <w:rFonts w:eastAsia="Times New Roman" w:cs="Mangal"/>
      <w:sz w:val="18"/>
      <w:szCs w:val="18"/>
      <w:lang w:bidi="hi-IN"/>
    </w:rPr>
  </w:style>
  <w:style w:type="character" w:styleId="1552" w:customStyle="1">
    <w:name w:val="Texto de comentário Char275"/>
    <w:uiPriority w:val="99"/>
    <w:semiHidden/>
    <w:qFormat/>
    <w:pPr>
      <w:pBdr/>
      <w:spacing/>
      <w:ind/>
    </w:pPr>
    <w:rPr>
      <w:rFonts w:eastAsia="Times New Roman" w:cs="Mangal"/>
      <w:sz w:val="18"/>
      <w:szCs w:val="18"/>
      <w:lang w:bidi="hi-IN"/>
    </w:rPr>
  </w:style>
  <w:style w:type="character" w:styleId="1553" w:customStyle="1">
    <w:name w:val="Texto de comentário Char274"/>
    <w:uiPriority w:val="99"/>
    <w:semiHidden/>
    <w:qFormat/>
    <w:pPr>
      <w:pBdr/>
      <w:spacing/>
      <w:ind/>
    </w:pPr>
    <w:rPr>
      <w:rFonts w:eastAsia="Times New Roman" w:cs="Mangal"/>
      <w:sz w:val="18"/>
      <w:szCs w:val="18"/>
      <w:lang w:bidi="hi-IN"/>
    </w:rPr>
  </w:style>
  <w:style w:type="character" w:styleId="1554" w:customStyle="1">
    <w:name w:val="Texto de comentário Char273"/>
    <w:uiPriority w:val="99"/>
    <w:semiHidden/>
    <w:qFormat/>
    <w:pPr>
      <w:pBdr/>
      <w:spacing/>
      <w:ind/>
    </w:pPr>
    <w:rPr>
      <w:rFonts w:eastAsia="Times New Roman" w:cs="Mangal"/>
      <w:sz w:val="18"/>
      <w:szCs w:val="18"/>
      <w:lang w:bidi="hi-IN"/>
    </w:rPr>
  </w:style>
  <w:style w:type="character" w:styleId="1555" w:customStyle="1">
    <w:name w:val="Texto de comentário Char272"/>
    <w:uiPriority w:val="99"/>
    <w:semiHidden/>
    <w:qFormat/>
    <w:pPr>
      <w:pBdr/>
      <w:spacing/>
      <w:ind/>
    </w:pPr>
    <w:rPr>
      <w:rFonts w:eastAsia="Times New Roman" w:cs="Mangal"/>
      <w:sz w:val="18"/>
      <w:szCs w:val="18"/>
      <w:lang w:bidi="hi-IN"/>
    </w:rPr>
  </w:style>
  <w:style w:type="character" w:styleId="1556" w:customStyle="1">
    <w:name w:val="Texto de comentário Char271"/>
    <w:uiPriority w:val="99"/>
    <w:semiHidden/>
    <w:qFormat/>
    <w:pPr>
      <w:pBdr/>
      <w:spacing/>
      <w:ind/>
    </w:pPr>
    <w:rPr>
      <w:rFonts w:eastAsia="Times New Roman" w:cs="Mangal"/>
      <w:sz w:val="18"/>
      <w:szCs w:val="18"/>
      <w:lang w:bidi="hi-IN"/>
    </w:rPr>
  </w:style>
  <w:style w:type="character" w:styleId="1557" w:customStyle="1">
    <w:name w:val="Texto de comentário Char270"/>
    <w:uiPriority w:val="99"/>
    <w:semiHidden/>
    <w:qFormat/>
    <w:pPr>
      <w:pBdr/>
      <w:spacing/>
      <w:ind/>
    </w:pPr>
    <w:rPr>
      <w:rFonts w:eastAsia="Times New Roman" w:cs="Mangal"/>
      <w:sz w:val="18"/>
      <w:szCs w:val="18"/>
      <w:lang w:bidi="hi-IN"/>
    </w:rPr>
  </w:style>
  <w:style w:type="character" w:styleId="1558" w:customStyle="1">
    <w:name w:val="Texto de comentário Char269"/>
    <w:uiPriority w:val="99"/>
    <w:semiHidden/>
    <w:qFormat/>
    <w:pPr>
      <w:pBdr/>
      <w:spacing/>
      <w:ind/>
    </w:pPr>
    <w:rPr>
      <w:rFonts w:eastAsia="Times New Roman" w:cs="Mangal"/>
      <w:sz w:val="18"/>
      <w:szCs w:val="18"/>
      <w:lang w:bidi="hi-IN"/>
    </w:rPr>
  </w:style>
  <w:style w:type="character" w:styleId="1559" w:customStyle="1">
    <w:name w:val="Texto de comentário Char268"/>
    <w:uiPriority w:val="99"/>
    <w:semiHidden/>
    <w:qFormat/>
    <w:pPr>
      <w:pBdr/>
      <w:spacing/>
      <w:ind/>
    </w:pPr>
    <w:rPr>
      <w:rFonts w:eastAsia="Times New Roman" w:cs="Mangal"/>
      <w:sz w:val="18"/>
      <w:szCs w:val="18"/>
      <w:lang w:bidi="hi-IN"/>
    </w:rPr>
  </w:style>
  <w:style w:type="character" w:styleId="1560" w:customStyle="1">
    <w:name w:val="Texto de comentário Char267"/>
    <w:uiPriority w:val="99"/>
    <w:semiHidden/>
    <w:qFormat/>
    <w:pPr>
      <w:pBdr/>
      <w:spacing/>
      <w:ind/>
    </w:pPr>
    <w:rPr>
      <w:rFonts w:eastAsia="Times New Roman" w:cs="Mangal"/>
      <w:sz w:val="18"/>
      <w:szCs w:val="18"/>
      <w:lang w:bidi="hi-IN"/>
    </w:rPr>
  </w:style>
  <w:style w:type="character" w:styleId="1561" w:customStyle="1">
    <w:name w:val="Texto de comentário Char266"/>
    <w:uiPriority w:val="99"/>
    <w:semiHidden/>
    <w:qFormat/>
    <w:pPr>
      <w:pBdr/>
      <w:spacing/>
      <w:ind/>
    </w:pPr>
    <w:rPr>
      <w:rFonts w:eastAsia="Times New Roman" w:cs="Mangal"/>
      <w:sz w:val="18"/>
      <w:szCs w:val="18"/>
      <w:lang w:bidi="hi-IN"/>
    </w:rPr>
  </w:style>
  <w:style w:type="character" w:styleId="1562" w:customStyle="1">
    <w:name w:val="Texto de comentário Char265"/>
    <w:uiPriority w:val="99"/>
    <w:semiHidden/>
    <w:qFormat/>
    <w:pPr>
      <w:pBdr/>
      <w:spacing/>
      <w:ind/>
    </w:pPr>
    <w:rPr>
      <w:rFonts w:eastAsia="Times New Roman" w:cs="Mangal"/>
      <w:sz w:val="18"/>
      <w:szCs w:val="18"/>
      <w:lang w:bidi="hi-IN"/>
    </w:rPr>
  </w:style>
  <w:style w:type="character" w:styleId="1563" w:customStyle="1">
    <w:name w:val="Texto de comentário Char264"/>
    <w:uiPriority w:val="99"/>
    <w:semiHidden/>
    <w:qFormat/>
    <w:pPr>
      <w:pBdr/>
      <w:spacing/>
      <w:ind/>
    </w:pPr>
    <w:rPr>
      <w:rFonts w:eastAsia="Times New Roman" w:cs="Mangal"/>
      <w:sz w:val="18"/>
      <w:szCs w:val="18"/>
      <w:lang w:bidi="hi-IN"/>
    </w:rPr>
  </w:style>
  <w:style w:type="character" w:styleId="1564" w:customStyle="1">
    <w:name w:val="Texto de comentário Char263"/>
    <w:uiPriority w:val="99"/>
    <w:semiHidden/>
    <w:qFormat/>
    <w:pPr>
      <w:pBdr/>
      <w:spacing/>
      <w:ind/>
    </w:pPr>
    <w:rPr>
      <w:rFonts w:eastAsia="Times New Roman" w:cs="Mangal"/>
      <w:sz w:val="18"/>
      <w:szCs w:val="18"/>
      <w:lang w:bidi="hi-IN"/>
    </w:rPr>
  </w:style>
  <w:style w:type="character" w:styleId="1565" w:customStyle="1">
    <w:name w:val="Texto de comentário Char262"/>
    <w:uiPriority w:val="99"/>
    <w:semiHidden/>
    <w:qFormat/>
    <w:pPr>
      <w:pBdr/>
      <w:spacing/>
      <w:ind/>
    </w:pPr>
    <w:rPr>
      <w:rFonts w:eastAsia="Times New Roman" w:cs="Mangal"/>
      <w:sz w:val="18"/>
      <w:szCs w:val="18"/>
      <w:lang w:bidi="hi-IN"/>
    </w:rPr>
  </w:style>
  <w:style w:type="character" w:styleId="1566" w:customStyle="1">
    <w:name w:val="Texto de comentário Char261"/>
    <w:uiPriority w:val="99"/>
    <w:semiHidden/>
    <w:qFormat/>
    <w:pPr>
      <w:pBdr/>
      <w:spacing/>
      <w:ind/>
    </w:pPr>
    <w:rPr>
      <w:rFonts w:eastAsia="Times New Roman" w:cs="Mangal"/>
      <w:sz w:val="18"/>
      <w:szCs w:val="18"/>
      <w:lang w:bidi="hi-IN"/>
    </w:rPr>
  </w:style>
  <w:style w:type="character" w:styleId="1567" w:customStyle="1">
    <w:name w:val="Texto de comentário Char260"/>
    <w:uiPriority w:val="99"/>
    <w:semiHidden/>
    <w:qFormat/>
    <w:pPr>
      <w:pBdr/>
      <w:spacing/>
      <w:ind/>
    </w:pPr>
    <w:rPr>
      <w:rFonts w:eastAsia="Times New Roman" w:cs="Mangal"/>
      <w:sz w:val="18"/>
      <w:szCs w:val="18"/>
      <w:lang w:bidi="hi-IN"/>
    </w:rPr>
  </w:style>
  <w:style w:type="character" w:styleId="1568" w:customStyle="1">
    <w:name w:val="Texto de comentário Char259"/>
    <w:uiPriority w:val="99"/>
    <w:semiHidden/>
    <w:qFormat/>
    <w:pPr>
      <w:pBdr/>
      <w:spacing/>
      <w:ind/>
    </w:pPr>
    <w:rPr>
      <w:rFonts w:eastAsia="Times New Roman" w:cs="Mangal"/>
      <w:sz w:val="18"/>
      <w:szCs w:val="18"/>
      <w:lang w:bidi="hi-IN"/>
    </w:rPr>
  </w:style>
  <w:style w:type="character" w:styleId="1569" w:customStyle="1">
    <w:name w:val="Texto de comentário Char258"/>
    <w:uiPriority w:val="99"/>
    <w:semiHidden/>
    <w:qFormat/>
    <w:pPr>
      <w:pBdr/>
      <w:spacing/>
      <w:ind/>
    </w:pPr>
    <w:rPr>
      <w:rFonts w:eastAsia="Times New Roman" w:cs="Mangal"/>
      <w:sz w:val="18"/>
      <w:szCs w:val="18"/>
      <w:lang w:bidi="hi-IN"/>
    </w:rPr>
  </w:style>
  <w:style w:type="character" w:styleId="1570" w:customStyle="1">
    <w:name w:val="Texto de comentário Char257"/>
    <w:uiPriority w:val="99"/>
    <w:semiHidden/>
    <w:qFormat/>
    <w:pPr>
      <w:pBdr/>
      <w:spacing/>
      <w:ind/>
    </w:pPr>
    <w:rPr>
      <w:rFonts w:eastAsia="Times New Roman" w:cs="Mangal"/>
      <w:sz w:val="18"/>
      <w:szCs w:val="18"/>
      <w:lang w:bidi="hi-IN"/>
    </w:rPr>
  </w:style>
  <w:style w:type="character" w:styleId="1571" w:customStyle="1">
    <w:name w:val="Texto de comentário Char256"/>
    <w:uiPriority w:val="99"/>
    <w:semiHidden/>
    <w:qFormat/>
    <w:pPr>
      <w:pBdr/>
      <w:spacing/>
      <w:ind/>
    </w:pPr>
    <w:rPr>
      <w:rFonts w:eastAsia="Times New Roman" w:cs="Mangal"/>
      <w:sz w:val="18"/>
      <w:szCs w:val="18"/>
      <w:lang w:bidi="hi-IN"/>
    </w:rPr>
  </w:style>
  <w:style w:type="character" w:styleId="1572" w:customStyle="1">
    <w:name w:val="Texto de comentário Char255"/>
    <w:uiPriority w:val="99"/>
    <w:semiHidden/>
    <w:qFormat/>
    <w:pPr>
      <w:pBdr/>
      <w:spacing/>
      <w:ind/>
    </w:pPr>
    <w:rPr>
      <w:rFonts w:eastAsia="Times New Roman" w:cs="Mangal"/>
      <w:sz w:val="18"/>
      <w:szCs w:val="18"/>
      <w:lang w:bidi="hi-IN"/>
    </w:rPr>
  </w:style>
  <w:style w:type="character" w:styleId="1573" w:customStyle="1">
    <w:name w:val="Texto de comentário Char254"/>
    <w:uiPriority w:val="99"/>
    <w:semiHidden/>
    <w:qFormat/>
    <w:pPr>
      <w:pBdr/>
      <w:spacing/>
      <w:ind/>
    </w:pPr>
    <w:rPr>
      <w:rFonts w:eastAsia="Times New Roman" w:cs="Mangal"/>
      <w:sz w:val="18"/>
      <w:szCs w:val="18"/>
      <w:lang w:bidi="hi-IN"/>
    </w:rPr>
  </w:style>
  <w:style w:type="character" w:styleId="1574" w:customStyle="1">
    <w:name w:val="Texto de comentário Char253"/>
    <w:uiPriority w:val="99"/>
    <w:semiHidden/>
    <w:qFormat/>
    <w:pPr>
      <w:pBdr/>
      <w:spacing/>
      <w:ind/>
    </w:pPr>
    <w:rPr>
      <w:rFonts w:eastAsia="Times New Roman" w:cs="Mangal"/>
      <w:sz w:val="18"/>
      <w:szCs w:val="18"/>
      <w:lang w:bidi="hi-IN"/>
    </w:rPr>
  </w:style>
  <w:style w:type="character" w:styleId="1575" w:customStyle="1">
    <w:name w:val="Texto de comentário Char252"/>
    <w:uiPriority w:val="99"/>
    <w:semiHidden/>
    <w:qFormat/>
    <w:pPr>
      <w:pBdr/>
      <w:spacing/>
      <w:ind/>
    </w:pPr>
    <w:rPr>
      <w:rFonts w:eastAsia="Times New Roman" w:cs="Mangal"/>
      <w:sz w:val="18"/>
      <w:szCs w:val="18"/>
      <w:lang w:bidi="hi-IN"/>
    </w:rPr>
  </w:style>
  <w:style w:type="character" w:styleId="1576" w:customStyle="1">
    <w:name w:val="Texto de comentário Char251"/>
    <w:uiPriority w:val="99"/>
    <w:semiHidden/>
    <w:qFormat/>
    <w:pPr>
      <w:pBdr/>
      <w:spacing/>
      <w:ind/>
    </w:pPr>
    <w:rPr>
      <w:rFonts w:eastAsia="Times New Roman" w:cs="Mangal"/>
      <w:sz w:val="18"/>
      <w:szCs w:val="18"/>
      <w:lang w:bidi="hi-IN"/>
    </w:rPr>
  </w:style>
  <w:style w:type="character" w:styleId="1577" w:customStyle="1">
    <w:name w:val="Texto de comentário Char250"/>
    <w:uiPriority w:val="99"/>
    <w:semiHidden/>
    <w:qFormat/>
    <w:pPr>
      <w:pBdr/>
      <w:spacing/>
      <w:ind/>
    </w:pPr>
    <w:rPr>
      <w:rFonts w:eastAsia="Times New Roman" w:cs="Mangal"/>
      <w:sz w:val="18"/>
      <w:szCs w:val="18"/>
      <w:lang w:bidi="hi-IN"/>
    </w:rPr>
  </w:style>
  <w:style w:type="character" w:styleId="1578" w:customStyle="1">
    <w:name w:val="Texto de comentário Char249"/>
    <w:uiPriority w:val="99"/>
    <w:semiHidden/>
    <w:qFormat/>
    <w:pPr>
      <w:pBdr/>
      <w:spacing/>
      <w:ind/>
    </w:pPr>
    <w:rPr>
      <w:rFonts w:eastAsia="Times New Roman" w:cs="Mangal"/>
      <w:sz w:val="18"/>
      <w:szCs w:val="18"/>
      <w:lang w:bidi="hi-IN"/>
    </w:rPr>
  </w:style>
  <w:style w:type="character" w:styleId="1579" w:customStyle="1">
    <w:name w:val="Texto de comentário Char248"/>
    <w:uiPriority w:val="99"/>
    <w:semiHidden/>
    <w:qFormat/>
    <w:pPr>
      <w:pBdr/>
      <w:spacing/>
      <w:ind/>
    </w:pPr>
    <w:rPr>
      <w:rFonts w:eastAsia="Times New Roman" w:cs="Mangal"/>
      <w:sz w:val="18"/>
      <w:szCs w:val="18"/>
      <w:lang w:bidi="hi-IN"/>
    </w:rPr>
  </w:style>
  <w:style w:type="character" w:styleId="1580" w:customStyle="1">
    <w:name w:val="Texto de comentário Char247"/>
    <w:uiPriority w:val="99"/>
    <w:semiHidden/>
    <w:qFormat/>
    <w:pPr>
      <w:pBdr/>
      <w:spacing/>
      <w:ind/>
    </w:pPr>
    <w:rPr>
      <w:rFonts w:eastAsia="Times New Roman" w:cs="Mangal"/>
      <w:sz w:val="18"/>
      <w:szCs w:val="18"/>
      <w:lang w:bidi="hi-IN"/>
    </w:rPr>
  </w:style>
  <w:style w:type="character" w:styleId="1581" w:customStyle="1">
    <w:name w:val="Texto de comentário Char246"/>
    <w:uiPriority w:val="99"/>
    <w:semiHidden/>
    <w:qFormat/>
    <w:pPr>
      <w:pBdr/>
      <w:spacing/>
      <w:ind/>
    </w:pPr>
    <w:rPr>
      <w:rFonts w:eastAsia="Times New Roman" w:cs="Mangal"/>
      <w:sz w:val="18"/>
      <w:szCs w:val="18"/>
      <w:lang w:bidi="hi-IN"/>
    </w:rPr>
  </w:style>
  <w:style w:type="character" w:styleId="1582" w:customStyle="1">
    <w:name w:val="Texto de comentário Char245"/>
    <w:uiPriority w:val="99"/>
    <w:semiHidden/>
    <w:qFormat/>
    <w:pPr>
      <w:pBdr/>
      <w:spacing/>
      <w:ind/>
    </w:pPr>
    <w:rPr>
      <w:rFonts w:eastAsia="Times New Roman" w:cs="Mangal"/>
      <w:sz w:val="18"/>
      <w:szCs w:val="18"/>
      <w:lang w:bidi="hi-IN"/>
    </w:rPr>
  </w:style>
  <w:style w:type="character" w:styleId="1583" w:customStyle="1">
    <w:name w:val="Texto de comentário Char244"/>
    <w:uiPriority w:val="99"/>
    <w:semiHidden/>
    <w:qFormat/>
    <w:pPr>
      <w:pBdr/>
      <w:spacing/>
      <w:ind/>
    </w:pPr>
    <w:rPr>
      <w:rFonts w:eastAsia="Times New Roman" w:cs="Mangal"/>
      <w:sz w:val="18"/>
      <w:szCs w:val="18"/>
      <w:lang w:bidi="hi-IN"/>
    </w:rPr>
  </w:style>
  <w:style w:type="character" w:styleId="1584" w:customStyle="1">
    <w:name w:val="Texto de comentário Char243"/>
    <w:uiPriority w:val="99"/>
    <w:semiHidden/>
    <w:qFormat/>
    <w:pPr>
      <w:pBdr/>
      <w:spacing/>
      <w:ind/>
    </w:pPr>
    <w:rPr>
      <w:rFonts w:eastAsia="Times New Roman" w:cs="Mangal"/>
      <w:sz w:val="18"/>
      <w:szCs w:val="18"/>
      <w:lang w:bidi="hi-IN"/>
    </w:rPr>
  </w:style>
  <w:style w:type="character" w:styleId="1585" w:customStyle="1">
    <w:name w:val="Texto de comentário Char242"/>
    <w:uiPriority w:val="99"/>
    <w:semiHidden/>
    <w:qFormat/>
    <w:pPr>
      <w:pBdr/>
      <w:spacing/>
      <w:ind/>
    </w:pPr>
    <w:rPr>
      <w:rFonts w:eastAsia="Times New Roman" w:cs="Mangal"/>
      <w:sz w:val="18"/>
      <w:szCs w:val="18"/>
      <w:lang w:bidi="hi-IN"/>
    </w:rPr>
  </w:style>
  <w:style w:type="character" w:styleId="1586" w:customStyle="1">
    <w:name w:val="Texto de comentário Char241"/>
    <w:uiPriority w:val="99"/>
    <w:semiHidden/>
    <w:qFormat/>
    <w:pPr>
      <w:pBdr/>
      <w:spacing/>
      <w:ind/>
    </w:pPr>
    <w:rPr>
      <w:rFonts w:eastAsia="Times New Roman" w:cs="Mangal"/>
      <w:sz w:val="18"/>
      <w:szCs w:val="18"/>
      <w:lang w:bidi="hi-IN"/>
    </w:rPr>
  </w:style>
  <w:style w:type="character" w:styleId="1587" w:customStyle="1">
    <w:name w:val="Texto de comentário Char240"/>
    <w:uiPriority w:val="99"/>
    <w:semiHidden/>
    <w:qFormat/>
    <w:pPr>
      <w:pBdr/>
      <w:spacing/>
      <w:ind/>
    </w:pPr>
    <w:rPr>
      <w:rFonts w:eastAsia="Times New Roman" w:cs="Mangal"/>
      <w:sz w:val="18"/>
      <w:szCs w:val="18"/>
      <w:lang w:bidi="hi-IN"/>
    </w:rPr>
  </w:style>
  <w:style w:type="character" w:styleId="1588" w:customStyle="1">
    <w:name w:val="Texto de comentário Char239"/>
    <w:uiPriority w:val="99"/>
    <w:semiHidden/>
    <w:qFormat/>
    <w:pPr>
      <w:pBdr/>
      <w:spacing/>
      <w:ind/>
    </w:pPr>
    <w:rPr>
      <w:rFonts w:eastAsia="Times New Roman" w:cs="Mangal"/>
      <w:sz w:val="18"/>
      <w:szCs w:val="18"/>
      <w:lang w:bidi="hi-IN"/>
    </w:rPr>
  </w:style>
  <w:style w:type="character" w:styleId="1589" w:customStyle="1">
    <w:name w:val="Texto de comentário Char238"/>
    <w:uiPriority w:val="99"/>
    <w:semiHidden/>
    <w:qFormat/>
    <w:pPr>
      <w:pBdr/>
      <w:spacing/>
      <w:ind/>
    </w:pPr>
    <w:rPr>
      <w:rFonts w:eastAsia="Times New Roman" w:cs="Mangal"/>
      <w:sz w:val="18"/>
      <w:szCs w:val="18"/>
      <w:lang w:bidi="hi-IN"/>
    </w:rPr>
  </w:style>
  <w:style w:type="character" w:styleId="1590" w:customStyle="1">
    <w:name w:val="Texto de comentário Char237"/>
    <w:uiPriority w:val="99"/>
    <w:semiHidden/>
    <w:qFormat/>
    <w:pPr>
      <w:pBdr/>
      <w:spacing/>
      <w:ind/>
    </w:pPr>
    <w:rPr>
      <w:rFonts w:eastAsia="Times New Roman" w:cs="Mangal"/>
      <w:sz w:val="18"/>
      <w:szCs w:val="18"/>
      <w:lang w:bidi="hi-IN"/>
    </w:rPr>
  </w:style>
  <w:style w:type="character" w:styleId="1591" w:customStyle="1">
    <w:name w:val="Texto de comentário Char236"/>
    <w:uiPriority w:val="99"/>
    <w:semiHidden/>
    <w:qFormat/>
    <w:pPr>
      <w:pBdr/>
      <w:spacing/>
      <w:ind/>
    </w:pPr>
    <w:rPr>
      <w:rFonts w:eastAsia="Times New Roman" w:cs="Mangal"/>
      <w:sz w:val="18"/>
      <w:szCs w:val="18"/>
      <w:lang w:bidi="hi-IN"/>
    </w:rPr>
  </w:style>
  <w:style w:type="character" w:styleId="1592" w:customStyle="1">
    <w:name w:val="Texto de comentário Char235"/>
    <w:uiPriority w:val="99"/>
    <w:semiHidden/>
    <w:qFormat/>
    <w:pPr>
      <w:pBdr/>
      <w:spacing/>
      <w:ind/>
    </w:pPr>
    <w:rPr>
      <w:rFonts w:eastAsia="Times New Roman" w:cs="Mangal"/>
      <w:sz w:val="18"/>
      <w:szCs w:val="18"/>
      <w:lang w:bidi="hi-IN"/>
    </w:rPr>
  </w:style>
  <w:style w:type="character" w:styleId="1593" w:customStyle="1">
    <w:name w:val="Texto de comentário Char234"/>
    <w:uiPriority w:val="99"/>
    <w:semiHidden/>
    <w:qFormat/>
    <w:pPr>
      <w:pBdr/>
      <w:spacing/>
      <w:ind/>
    </w:pPr>
    <w:rPr>
      <w:rFonts w:eastAsia="Times New Roman" w:cs="Mangal"/>
      <w:sz w:val="18"/>
      <w:szCs w:val="18"/>
      <w:lang w:bidi="hi-IN"/>
    </w:rPr>
  </w:style>
  <w:style w:type="character" w:styleId="1594" w:customStyle="1">
    <w:name w:val="Texto de comentário Char233"/>
    <w:uiPriority w:val="99"/>
    <w:semiHidden/>
    <w:qFormat/>
    <w:pPr>
      <w:pBdr/>
      <w:spacing/>
      <w:ind/>
    </w:pPr>
    <w:rPr>
      <w:rFonts w:eastAsia="Times New Roman" w:cs="Mangal"/>
      <w:sz w:val="18"/>
      <w:szCs w:val="18"/>
      <w:lang w:bidi="hi-IN"/>
    </w:rPr>
  </w:style>
  <w:style w:type="character" w:styleId="1595" w:customStyle="1">
    <w:name w:val="Texto de comentário Char232"/>
    <w:uiPriority w:val="99"/>
    <w:semiHidden/>
    <w:qFormat/>
    <w:pPr>
      <w:pBdr/>
      <w:spacing/>
      <w:ind/>
    </w:pPr>
    <w:rPr>
      <w:rFonts w:eastAsia="Times New Roman" w:cs="Mangal"/>
      <w:sz w:val="18"/>
      <w:szCs w:val="18"/>
      <w:lang w:bidi="hi-IN"/>
    </w:rPr>
  </w:style>
  <w:style w:type="character" w:styleId="1596" w:customStyle="1">
    <w:name w:val="Texto de comentário Char231"/>
    <w:uiPriority w:val="99"/>
    <w:semiHidden/>
    <w:qFormat/>
    <w:pPr>
      <w:pBdr/>
      <w:spacing/>
      <w:ind/>
    </w:pPr>
    <w:rPr>
      <w:rFonts w:eastAsia="Times New Roman" w:cs="Mangal"/>
      <w:sz w:val="18"/>
      <w:szCs w:val="18"/>
      <w:lang w:bidi="hi-IN"/>
    </w:rPr>
  </w:style>
  <w:style w:type="character" w:styleId="1597" w:customStyle="1">
    <w:name w:val="Texto de comentário Char230"/>
    <w:uiPriority w:val="99"/>
    <w:semiHidden/>
    <w:qFormat/>
    <w:pPr>
      <w:pBdr/>
      <w:spacing/>
      <w:ind/>
    </w:pPr>
    <w:rPr>
      <w:rFonts w:eastAsia="Times New Roman" w:cs="Mangal"/>
      <w:sz w:val="18"/>
      <w:szCs w:val="18"/>
      <w:lang w:bidi="hi-IN"/>
    </w:rPr>
  </w:style>
  <w:style w:type="character" w:styleId="1598" w:customStyle="1">
    <w:name w:val="Texto de comentário Char229"/>
    <w:uiPriority w:val="99"/>
    <w:semiHidden/>
    <w:qFormat/>
    <w:pPr>
      <w:pBdr/>
      <w:spacing/>
      <w:ind/>
    </w:pPr>
    <w:rPr>
      <w:rFonts w:eastAsia="Times New Roman" w:cs="Mangal"/>
      <w:sz w:val="18"/>
      <w:szCs w:val="18"/>
      <w:lang w:bidi="hi-IN"/>
    </w:rPr>
  </w:style>
  <w:style w:type="character" w:styleId="1599" w:customStyle="1">
    <w:name w:val="Texto de comentário Char228"/>
    <w:uiPriority w:val="99"/>
    <w:semiHidden/>
    <w:qFormat/>
    <w:pPr>
      <w:pBdr/>
      <w:spacing/>
      <w:ind/>
    </w:pPr>
    <w:rPr>
      <w:rFonts w:eastAsia="Times New Roman" w:cs="Mangal"/>
      <w:sz w:val="18"/>
      <w:szCs w:val="18"/>
      <w:lang w:bidi="hi-IN"/>
    </w:rPr>
  </w:style>
  <w:style w:type="character" w:styleId="1600" w:customStyle="1">
    <w:name w:val="Texto de comentário Char227"/>
    <w:uiPriority w:val="99"/>
    <w:semiHidden/>
    <w:qFormat/>
    <w:pPr>
      <w:pBdr/>
      <w:spacing/>
      <w:ind/>
    </w:pPr>
    <w:rPr>
      <w:rFonts w:eastAsia="Times New Roman" w:cs="Mangal"/>
      <w:sz w:val="18"/>
      <w:szCs w:val="18"/>
      <w:lang w:bidi="hi-IN"/>
    </w:rPr>
  </w:style>
  <w:style w:type="character" w:styleId="1601" w:customStyle="1">
    <w:name w:val="Texto de comentário Char226"/>
    <w:uiPriority w:val="99"/>
    <w:semiHidden/>
    <w:qFormat/>
    <w:pPr>
      <w:pBdr/>
      <w:spacing/>
      <w:ind/>
    </w:pPr>
    <w:rPr>
      <w:rFonts w:eastAsia="Times New Roman" w:cs="Mangal"/>
      <w:sz w:val="18"/>
      <w:szCs w:val="18"/>
      <w:lang w:bidi="hi-IN"/>
    </w:rPr>
  </w:style>
  <w:style w:type="character" w:styleId="1602" w:customStyle="1">
    <w:name w:val="Texto de comentário Char225"/>
    <w:uiPriority w:val="99"/>
    <w:semiHidden/>
    <w:qFormat/>
    <w:pPr>
      <w:pBdr/>
      <w:spacing/>
      <w:ind/>
    </w:pPr>
    <w:rPr>
      <w:rFonts w:eastAsia="Times New Roman" w:cs="Mangal"/>
      <w:sz w:val="18"/>
      <w:szCs w:val="18"/>
      <w:lang w:bidi="hi-IN"/>
    </w:rPr>
  </w:style>
  <w:style w:type="character" w:styleId="1603" w:customStyle="1">
    <w:name w:val="Texto de comentário Char224"/>
    <w:uiPriority w:val="99"/>
    <w:semiHidden/>
    <w:qFormat/>
    <w:pPr>
      <w:pBdr/>
      <w:spacing/>
      <w:ind/>
    </w:pPr>
    <w:rPr>
      <w:rFonts w:eastAsia="Times New Roman" w:cs="Mangal"/>
      <w:sz w:val="18"/>
      <w:szCs w:val="18"/>
      <w:lang w:bidi="hi-IN"/>
    </w:rPr>
  </w:style>
  <w:style w:type="character" w:styleId="1604" w:customStyle="1">
    <w:name w:val="Texto de comentário Char223"/>
    <w:uiPriority w:val="99"/>
    <w:semiHidden/>
    <w:qFormat/>
    <w:pPr>
      <w:pBdr/>
      <w:spacing/>
      <w:ind/>
    </w:pPr>
    <w:rPr>
      <w:rFonts w:eastAsia="Times New Roman" w:cs="Mangal"/>
      <w:sz w:val="18"/>
      <w:szCs w:val="18"/>
      <w:lang w:bidi="hi-IN"/>
    </w:rPr>
  </w:style>
  <w:style w:type="character" w:styleId="1605" w:customStyle="1">
    <w:name w:val="Texto de comentário Char222"/>
    <w:uiPriority w:val="99"/>
    <w:semiHidden/>
    <w:qFormat/>
    <w:pPr>
      <w:pBdr/>
      <w:spacing/>
      <w:ind/>
    </w:pPr>
    <w:rPr>
      <w:rFonts w:eastAsia="Times New Roman" w:cs="Mangal"/>
      <w:sz w:val="18"/>
      <w:szCs w:val="18"/>
      <w:lang w:bidi="hi-IN"/>
    </w:rPr>
  </w:style>
  <w:style w:type="character" w:styleId="1606" w:customStyle="1">
    <w:name w:val="Texto de comentário Char221"/>
    <w:uiPriority w:val="99"/>
    <w:semiHidden/>
    <w:qFormat/>
    <w:pPr>
      <w:pBdr/>
      <w:spacing/>
      <w:ind/>
    </w:pPr>
    <w:rPr>
      <w:rFonts w:eastAsia="Times New Roman" w:cs="Mangal"/>
      <w:sz w:val="18"/>
      <w:szCs w:val="18"/>
      <w:lang w:bidi="hi-IN"/>
    </w:rPr>
  </w:style>
  <w:style w:type="character" w:styleId="1607" w:customStyle="1">
    <w:name w:val="Texto de comentário Char220"/>
    <w:uiPriority w:val="99"/>
    <w:semiHidden/>
    <w:qFormat/>
    <w:pPr>
      <w:pBdr/>
      <w:spacing/>
      <w:ind/>
    </w:pPr>
    <w:rPr>
      <w:rFonts w:eastAsia="Times New Roman" w:cs="Mangal"/>
      <w:sz w:val="18"/>
      <w:szCs w:val="18"/>
      <w:lang w:bidi="hi-IN"/>
    </w:rPr>
  </w:style>
  <w:style w:type="character" w:styleId="1608" w:customStyle="1">
    <w:name w:val="Texto de comentário Char219"/>
    <w:uiPriority w:val="99"/>
    <w:semiHidden/>
    <w:qFormat/>
    <w:pPr>
      <w:pBdr/>
      <w:spacing/>
      <w:ind/>
    </w:pPr>
    <w:rPr>
      <w:rFonts w:eastAsia="Times New Roman" w:cs="Mangal"/>
      <w:sz w:val="18"/>
      <w:szCs w:val="18"/>
      <w:lang w:bidi="hi-IN"/>
    </w:rPr>
  </w:style>
  <w:style w:type="character" w:styleId="1609" w:customStyle="1">
    <w:name w:val="Texto de comentário Char218"/>
    <w:uiPriority w:val="99"/>
    <w:semiHidden/>
    <w:qFormat/>
    <w:pPr>
      <w:pBdr/>
      <w:spacing/>
      <w:ind/>
    </w:pPr>
    <w:rPr>
      <w:rFonts w:eastAsia="Times New Roman" w:cs="Mangal"/>
      <w:sz w:val="18"/>
      <w:szCs w:val="18"/>
      <w:lang w:bidi="hi-IN"/>
    </w:rPr>
  </w:style>
  <w:style w:type="character" w:styleId="1610" w:customStyle="1">
    <w:name w:val="Texto de comentário Char217"/>
    <w:uiPriority w:val="99"/>
    <w:semiHidden/>
    <w:qFormat/>
    <w:pPr>
      <w:pBdr/>
      <w:spacing/>
      <w:ind/>
    </w:pPr>
    <w:rPr>
      <w:rFonts w:eastAsia="Times New Roman" w:cs="Mangal"/>
      <w:sz w:val="18"/>
      <w:szCs w:val="18"/>
      <w:lang w:bidi="hi-IN"/>
    </w:rPr>
  </w:style>
  <w:style w:type="character" w:styleId="1611" w:customStyle="1">
    <w:name w:val="Texto de comentário Char216"/>
    <w:uiPriority w:val="99"/>
    <w:semiHidden/>
    <w:qFormat/>
    <w:pPr>
      <w:pBdr/>
      <w:spacing/>
      <w:ind/>
    </w:pPr>
    <w:rPr>
      <w:rFonts w:eastAsia="Times New Roman" w:cs="Mangal"/>
      <w:sz w:val="18"/>
      <w:szCs w:val="18"/>
      <w:lang w:bidi="hi-IN"/>
    </w:rPr>
  </w:style>
  <w:style w:type="character" w:styleId="1612" w:customStyle="1">
    <w:name w:val="Texto de comentário Char215"/>
    <w:uiPriority w:val="99"/>
    <w:semiHidden/>
    <w:qFormat/>
    <w:pPr>
      <w:pBdr/>
      <w:spacing/>
      <w:ind/>
    </w:pPr>
    <w:rPr>
      <w:rFonts w:eastAsia="Times New Roman" w:cs="Mangal"/>
      <w:sz w:val="18"/>
      <w:szCs w:val="18"/>
      <w:lang w:bidi="hi-IN"/>
    </w:rPr>
  </w:style>
  <w:style w:type="character" w:styleId="1613" w:customStyle="1">
    <w:name w:val="Texto de comentário Char214"/>
    <w:uiPriority w:val="99"/>
    <w:semiHidden/>
    <w:qFormat/>
    <w:pPr>
      <w:pBdr/>
      <w:spacing/>
      <w:ind/>
    </w:pPr>
    <w:rPr>
      <w:rFonts w:eastAsia="Times New Roman" w:cs="Mangal"/>
      <w:sz w:val="18"/>
      <w:szCs w:val="18"/>
      <w:lang w:bidi="hi-IN"/>
    </w:rPr>
  </w:style>
  <w:style w:type="character" w:styleId="1614" w:customStyle="1">
    <w:name w:val="Texto de comentário Char213"/>
    <w:uiPriority w:val="99"/>
    <w:semiHidden/>
    <w:qFormat/>
    <w:pPr>
      <w:pBdr/>
      <w:spacing/>
      <w:ind/>
    </w:pPr>
    <w:rPr>
      <w:rFonts w:eastAsia="Times New Roman" w:cs="Mangal"/>
      <w:sz w:val="18"/>
      <w:szCs w:val="18"/>
      <w:lang w:bidi="hi-IN"/>
    </w:rPr>
  </w:style>
  <w:style w:type="character" w:styleId="1615" w:customStyle="1">
    <w:name w:val="Texto de comentário Char212"/>
    <w:uiPriority w:val="99"/>
    <w:semiHidden/>
    <w:qFormat/>
    <w:pPr>
      <w:pBdr/>
      <w:spacing/>
      <w:ind/>
    </w:pPr>
    <w:rPr>
      <w:rFonts w:eastAsia="Times New Roman" w:cs="Mangal"/>
      <w:sz w:val="18"/>
      <w:szCs w:val="18"/>
      <w:lang w:bidi="hi-IN"/>
    </w:rPr>
  </w:style>
  <w:style w:type="character" w:styleId="1616" w:customStyle="1">
    <w:name w:val="Texto de comentário Char211"/>
    <w:uiPriority w:val="99"/>
    <w:semiHidden/>
    <w:qFormat/>
    <w:pPr>
      <w:pBdr/>
      <w:spacing/>
      <w:ind/>
    </w:pPr>
    <w:rPr>
      <w:rFonts w:eastAsia="Times New Roman" w:cs="Mangal"/>
      <w:sz w:val="18"/>
      <w:szCs w:val="18"/>
      <w:lang w:bidi="hi-IN"/>
    </w:rPr>
  </w:style>
  <w:style w:type="character" w:styleId="1617" w:customStyle="1">
    <w:name w:val="Assunto do comentário Char277"/>
    <w:uiPriority w:val="99"/>
    <w:semiHidden/>
    <w:qFormat/>
    <w:pPr>
      <w:pBdr/>
      <w:spacing/>
      <w:ind/>
    </w:pPr>
    <w:rPr>
      <w:rFonts w:ascii="Ecofont_Spranq_eco_Sans" w:hAnsi="Ecofont_Spranq_eco_Sans" w:eastAsia="Times New Roman" w:cs="Mangal"/>
      <w:b/>
      <w:bCs/>
      <w:sz w:val="18"/>
      <w:szCs w:val="18"/>
      <w:lang w:bidi="hi-IN"/>
    </w:rPr>
  </w:style>
  <w:style w:type="character" w:styleId="1618" w:customStyle="1">
    <w:name w:val="Assunto do comentário Char276"/>
    <w:uiPriority w:val="99"/>
    <w:semiHidden/>
    <w:qFormat/>
    <w:pPr>
      <w:pBdr/>
      <w:spacing/>
      <w:ind/>
    </w:pPr>
    <w:rPr>
      <w:rFonts w:ascii="Ecofont_Spranq_eco_Sans" w:hAnsi="Ecofont_Spranq_eco_Sans" w:eastAsia="Times New Roman" w:cs="Mangal"/>
      <w:b/>
      <w:bCs/>
      <w:sz w:val="18"/>
      <w:szCs w:val="18"/>
      <w:lang w:bidi="hi-IN"/>
    </w:rPr>
  </w:style>
  <w:style w:type="character" w:styleId="1619" w:customStyle="1">
    <w:name w:val="Assunto do comentário Char275"/>
    <w:uiPriority w:val="99"/>
    <w:semiHidden/>
    <w:qFormat/>
    <w:pPr>
      <w:pBdr/>
      <w:spacing/>
      <w:ind/>
    </w:pPr>
    <w:rPr>
      <w:rFonts w:ascii="Ecofont_Spranq_eco_Sans" w:hAnsi="Ecofont_Spranq_eco_Sans" w:eastAsia="Times New Roman" w:cs="Mangal"/>
      <w:b/>
      <w:bCs/>
      <w:sz w:val="18"/>
      <w:szCs w:val="18"/>
      <w:lang w:bidi="hi-IN"/>
    </w:rPr>
  </w:style>
  <w:style w:type="character" w:styleId="1620" w:customStyle="1">
    <w:name w:val="Assunto do comentário Char274"/>
    <w:uiPriority w:val="99"/>
    <w:semiHidden/>
    <w:qFormat/>
    <w:pPr>
      <w:pBdr/>
      <w:spacing/>
      <w:ind/>
    </w:pPr>
    <w:rPr>
      <w:rFonts w:ascii="Ecofont_Spranq_eco_Sans" w:hAnsi="Ecofont_Spranq_eco_Sans" w:eastAsia="Times New Roman" w:cs="Mangal"/>
      <w:b/>
      <w:bCs/>
      <w:sz w:val="18"/>
      <w:szCs w:val="18"/>
      <w:lang w:bidi="hi-IN"/>
    </w:rPr>
  </w:style>
  <w:style w:type="character" w:styleId="1621" w:customStyle="1">
    <w:name w:val="Assunto do comentário Char273"/>
    <w:uiPriority w:val="99"/>
    <w:semiHidden/>
    <w:qFormat/>
    <w:pPr>
      <w:pBdr/>
      <w:spacing/>
      <w:ind/>
    </w:pPr>
    <w:rPr>
      <w:rFonts w:ascii="Ecofont_Spranq_eco_Sans" w:hAnsi="Ecofont_Spranq_eco_Sans" w:eastAsia="Times New Roman" w:cs="Mangal"/>
      <w:b/>
      <w:bCs/>
      <w:sz w:val="18"/>
      <w:szCs w:val="18"/>
      <w:lang w:bidi="hi-IN"/>
    </w:rPr>
  </w:style>
  <w:style w:type="character" w:styleId="1622" w:customStyle="1">
    <w:name w:val="Assunto do comentário Char272"/>
    <w:uiPriority w:val="99"/>
    <w:semiHidden/>
    <w:qFormat/>
    <w:pPr>
      <w:pBdr/>
      <w:spacing/>
      <w:ind/>
    </w:pPr>
    <w:rPr>
      <w:rFonts w:ascii="Ecofont_Spranq_eco_Sans" w:hAnsi="Ecofont_Spranq_eco_Sans" w:eastAsia="Times New Roman" w:cs="Mangal"/>
      <w:b/>
      <w:bCs/>
      <w:sz w:val="18"/>
      <w:szCs w:val="18"/>
      <w:lang w:bidi="hi-IN"/>
    </w:rPr>
  </w:style>
  <w:style w:type="character" w:styleId="1623" w:customStyle="1">
    <w:name w:val="Assunto do comentário Char271"/>
    <w:uiPriority w:val="99"/>
    <w:semiHidden/>
    <w:qFormat/>
    <w:pPr>
      <w:pBdr/>
      <w:spacing/>
      <w:ind/>
    </w:pPr>
    <w:rPr>
      <w:rFonts w:ascii="Ecofont_Spranq_eco_Sans" w:hAnsi="Ecofont_Spranq_eco_Sans" w:eastAsia="Times New Roman" w:cs="Mangal"/>
      <w:b/>
      <w:bCs/>
      <w:sz w:val="18"/>
      <w:szCs w:val="18"/>
      <w:lang w:bidi="hi-IN"/>
    </w:rPr>
  </w:style>
  <w:style w:type="character" w:styleId="1624" w:customStyle="1">
    <w:name w:val="Assunto do comentário Char270"/>
    <w:uiPriority w:val="99"/>
    <w:semiHidden/>
    <w:qFormat/>
    <w:pPr>
      <w:pBdr/>
      <w:spacing/>
      <w:ind/>
    </w:pPr>
    <w:rPr>
      <w:rFonts w:ascii="Ecofont_Spranq_eco_Sans" w:hAnsi="Ecofont_Spranq_eco_Sans" w:eastAsia="Times New Roman" w:cs="Mangal"/>
      <w:b/>
      <w:bCs/>
      <w:sz w:val="18"/>
      <w:szCs w:val="18"/>
      <w:lang w:bidi="hi-IN"/>
    </w:rPr>
  </w:style>
  <w:style w:type="character" w:styleId="1625" w:customStyle="1">
    <w:name w:val="Assunto do comentário Char269"/>
    <w:uiPriority w:val="99"/>
    <w:semiHidden/>
    <w:qFormat/>
    <w:pPr>
      <w:pBdr/>
      <w:spacing/>
      <w:ind/>
    </w:pPr>
    <w:rPr>
      <w:rFonts w:ascii="Ecofont_Spranq_eco_Sans" w:hAnsi="Ecofont_Spranq_eco_Sans" w:eastAsia="Times New Roman" w:cs="Mangal"/>
      <w:b/>
      <w:bCs/>
      <w:sz w:val="18"/>
      <w:szCs w:val="18"/>
      <w:lang w:bidi="hi-IN"/>
    </w:rPr>
  </w:style>
  <w:style w:type="character" w:styleId="1626" w:customStyle="1">
    <w:name w:val="Assunto do comentário Char268"/>
    <w:uiPriority w:val="99"/>
    <w:semiHidden/>
    <w:qFormat/>
    <w:pPr>
      <w:pBdr/>
      <w:spacing/>
      <w:ind/>
    </w:pPr>
    <w:rPr>
      <w:rFonts w:ascii="Ecofont_Spranq_eco_Sans" w:hAnsi="Ecofont_Spranq_eco_Sans" w:eastAsia="Times New Roman" w:cs="Mangal"/>
      <w:b/>
      <w:bCs/>
      <w:sz w:val="18"/>
      <w:szCs w:val="18"/>
      <w:lang w:bidi="hi-IN"/>
    </w:rPr>
  </w:style>
  <w:style w:type="character" w:styleId="1627" w:customStyle="1">
    <w:name w:val="Assunto do comentário Char267"/>
    <w:uiPriority w:val="99"/>
    <w:semiHidden/>
    <w:qFormat/>
    <w:pPr>
      <w:pBdr/>
      <w:spacing/>
      <w:ind/>
    </w:pPr>
    <w:rPr>
      <w:rFonts w:ascii="Ecofont_Spranq_eco_Sans" w:hAnsi="Ecofont_Spranq_eco_Sans" w:eastAsia="Times New Roman" w:cs="Mangal"/>
      <w:b/>
      <w:bCs/>
      <w:sz w:val="18"/>
      <w:szCs w:val="18"/>
      <w:lang w:bidi="hi-IN"/>
    </w:rPr>
  </w:style>
  <w:style w:type="character" w:styleId="1628" w:customStyle="1">
    <w:name w:val="Assunto do comentário Char266"/>
    <w:uiPriority w:val="99"/>
    <w:semiHidden/>
    <w:qFormat/>
    <w:pPr>
      <w:pBdr/>
      <w:spacing/>
      <w:ind/>
    </w:pPr>
    <w:rPr>
      <w:rFonts w:ascii="Ecofont_Spranq_eco_Sans" w:hAnsi="Ecofont_Spranq_eco_Sans" w:eastAsia="Times New Roman" w:cs="Mangal"/>
      <w:b/>
      <w:bCs/>
      <w:sz w:val="18"/>
      <w:szCs w:val="18"/>
      <w:lang w:bidi="hi-IN"/>
    </w:rPr>
  </w:style>
  <w:style w:type="character" w:styleId="1629" w:customStyle="1">
    <w:name w:val="Assunto do comentário Char265"/>
    <w:uiPriority w:val="99"/>
    <w:semiHidden/>
    <w:qFormat/>
    <w:pPr>
      <w:pBdr/>
      <w:spacing/>
      <w:ind/>
    </w:pPr>
    <w:rPr>
      <w:rFonts w:ascii="Ecofont_Spranq_eco_Sans" w:hAnsi="Ecofont_Spranq_eco_Sans" w:eastAsia="Times New Roman" w:cs="Mangal"/>
      <w:b/>
      <w:bCs/>
      <w:sz w:val="18"/>
      <w:szCs w:val="18"/>
      <w:lang w:bidi="hi-IN"/>
    </w:rPr>
  </w:style>
  <w:style w:type="character" w:styleId="1630" w:customStyle="1">
    <w:name w:val="Assunto do comentário Char264"/>
    <w:uiPriority w:val="99"/>
    <w:semiHidden/>
    <w:qFormat/>
    <w:pPr>
      <w:pBdr/>
      <w:spacing/>
      <w:ind/>
    </w:pPr>
    <w:rPr>
      <w:rFonts w:ascii="Ecofont_Spranq_eco_Sans" w:hAnsi="Ecofont_Spranq_eco_Sans" w:eastAsia="Times New Roman" w:cs="Mangal"/>
      <w:b/>
      <w:bCs/>
      <w:sz w:val="18"/>
      <w:szCs w:val="18"/>
      <w:lang w:bidi="hi-IN"/>
    </w:rPr>
  </w:style>
  <w:style w:type="character" w:styleId="1631" w:customStyle="1">
    <w:name w:val="Assunto do comentário Char263"/>
    <w:uiPriority w:val="99"/>
    <w:semiHidden/>
    <w:qFormat/>
    <w:pPr>
      <w:pBdr/>
      <w:spacing/>
      <w:ind/>
    </w:pPr>
    <w:rPr>
      <w:rFonts w:ascii="Ecofont_Spranq_eco_Sans" w:hAnsi="Ecofont_Spranq_eco_Sans" w:eastAsia="Times New Roman" w:cs="Mangal"/>
      <w:b/>
      <w:bCs/>
      <w:sz w:val="18"/>
      <w:szCs w:val="18"/>
      <w:lang w:bidi="hi-IN"/>
    </w:rPr>
  </w:style>
  <w:style w:type="character" w:styleId="1632" w:customStyle="1">
    <w:name w:val="Assunto do comentário Char262"/>
    <w:uiPriority w:val="99"/>
    <w:semiHidden/>
    <w:qFormat/>
    <w:pPr>
      <w:pBdr/>
      <w:spacing/>
      <w:ind/>
    </w:pPr>
    <w:rPr>
      <w:rFonts w:ascii="Ecofont_Spranq_eco_Sans" w:hAnsi="Ecofont_Spranq_eco_Sans" w:eastAsia="Times New Roman" w:cs="Mangal"/>
      <w:b/>
      <w:bCs/>
      <w:sz w:val="18"/>
      <w:szCs w:val="18"/>
      <w:lang w:bidi="hi-IN"/>
    </w:rPr>
  </w:style>
  <w:style w:type="character" w:styleId="1633" w:customStyle="1">
    <w:name w:val="Assunto do comentário Char261"/>
    <w:uiPriority w:val="99"/>
    <w:semiHidden/>
    <w:qFormat/>
    <w:pPr>
      <w:pBdr/>
      <w:spacing/>
      <w:ind/>
    </w:pPr>
    <w:rPr>
      <w:rFonts w:ascii="Ecofont_Spranq_eco_Sans" w:hAnsi="Ecofont_Spranq_eco_Sans" w:eastAsia="Times New Roman" w:cs="Mangal"/>
      <w:b/>
      <w:bCs/>
      <w:sz w:val="18"/>
      <w:szCs w:val="18"/>
      <w:lang w:bidi="hi-IN"/>
    </w:rPr>
  </w:style>
  <w:style w:type="character" w:styleId="1634" w:customStyle="1">
    <w:name w:val="Assunto do comentário Char260"/>
    <w:uiPriority w:val="99"/>
    <w:semiHidden/>
    <w:qFormat/>
    <w:pPr>
      <w:pBdr/>
      <w:spacing/>
      <w:ind/>
    </w:pPr>
    <w:rPr>
      <w:rFonts w:ascii="Ecofont_Spranq_eco_Sans" w:hAnsi="Ecofont_Spranq_eco_Sans" w:eastAsia="Times New Roman" w:cs="Mangal"/>
      <w:b/>
      <w:bCs/>
      <w:sz w:val="18"/>
      <w:szCs w:val="18"/>
      <w:lang w:bidi="hi-IN"/>
    </w:rPr>
  </w:style>
  <w:style w:type="character" w:styleId="1635" w:customStyle="1">
    <w:name w:val="Assunto do comentário Char259"/>
    <w:uiPriority w:val="99"/>
    <w:semiHidden/>
    <w:qFormat/>
    <w:pPr>
      <w:pBdr/>
      <w:spacing/>
      <w:ind/>
    </w:pPr>
    <w:rPr>
      <w:rFonts w:ascii="Ecofont_Spranq_eco_Sans" w:hAnsi="Ecofont_Spranq_eco_Sans" w:eastAsia="Times New Roman" w:cs="Mangal"/>
      <w:b/>
      <w:bCs/>
      <w:sz w:val="18"/>
      <w:szCs w:val="18"/>
      <w:lang w:bidi="hi-IN"/>
    </w:rPr>
  </w:style>
  <w:style w:type="character" w:styleId="1636" w:customStyle="1">
    <w:name w:val="Assunto do comentário Char258"/>
    <w:uiPriority w:val="99"/>
    <w:semiHidden/>
    <w:qFormat/>
    <w:pPr>
      <w:pBdr/>
      <w:spacing/>
      <w:ind/>
    </w:pPr>
    <w:rPr>
      <w:rFonts w:ascii="Ecofont_Spranq_eco_Sans" w:hAnsi="Ecofont_Spranq_eco_Sans" w:eastAsia="Times New Roman" w:cs="Mangal"/>
      <w:b/>
      <w:bCs/>
      <w:sz w:val="18"/>
      <w:szCs w:val="18"/>
      <w:lang w:bidi="hi-IN"/>
    </w:rPr>
  </w:style>
  <w:style w:type="character" w:styleId="1637" w:customStyle="1">
    <w:name w:val="Assunto do comentário Char257"/>
    <w:uiPriority w:val="99"/>
    <w:semiHidden/>
    <w:qFormat/>
    <w:pPr>
      <w:pBdr/>
      <w:spacing/>
      <w:ind/>
    </w:pPr>
    <w:rPr>
      <w:rFonts w:ascii="Ecofont_Spranq_eco_Sans" w:hAnsi="Ecofont_Spranq_eco_Sans" w:eastAsia="Times New Roman" w:cs="Mangal"/>
      <w:b/>
      <w:bCs/>
      <w:sz w:val="18"/>
      <w:szCs w:val="18"/>
      <w:lang w:bidi="hi-IN"/>
    </w:rPr>
  </w:style>
  <w:style w:type="character" w:styleId="1638" w:customStyle="1">
    <w:name w:val="Assunto do comentário Char256"/>
    <w:uiPriority w:val="99"/>
    <w:semiHidden/>
    <w:qFormat/>
    <w:pPr>
      <w:pBdr/>
      <w:spacing/>
      <w:ind/>
    </w:pPr>
    <w:rPr>
      <w:rFonts w:ascii="Ecofont_Spranq_eco_Sans" w:hAnsi="Ecofont_Spranq_eco_Sans" w:eastAsia="Times New Roman" w:cs="Mangal"/>
      <w:b/>
      <w:bCs/>
      <w:sz w:val="18"/>
      <w:szCs w:val="18"/>
      <w:lang w:bidi="hi-IN"/>
    </w:rPr>
  </w:style>
  <w:style w:type="character" w:styleId="1639" w:customStyle="1">
    <w:name w:val="Assunto do comentário Char255"/>
    <w:uiPriority w:val="99"/>
    <w:semiHidden/>
    <w:qFormat/>
    <w:pPr>
      <w:pBdr/>
      <w:spacing/>
      <w:ind/>
    </w:pPr>
    <w:rPr>
      <w:rFonts w:ascii="Ecofont_Spranq_eco_Sans" w:hAnsi="Ecofont_Spranq_eco_Sans" w:eastAsia="Times New Roman" w:cs="Mangal"/>
      <w:b/>
      <w:bCs/>
      <w:sz w:val="18"/>
      <w:szCs w:val="18"/>
      <w:lang w:bidi="hi-IN"/>
    </w:rPr>
  </w:style>
  <w:style w:type="character" w:styleId="1640" w:customStyle="1">
    <w:name w:val="Assunto do comentário Char254"/>
    <w:uiPriority w:val="99"/>
    <w:semiHidden/>
    <w:qFormat/>
    <w:pPr>
      <w:pBdr/>
      <w:spacing/>
      <w:ind/>
    </w:pPr>
    <w:rPr>
      <w:rFonts w:ascii="Ecofont_Spranq_eco_Sans" w:hAnsi="Ecofont_Spranq_eco_Sans" w:eastAsia="Times New Roman" w:cs="Mangal"/>
      <w:b/>
      <w:bCs/>
      <w:sz w:val="18"/>
      <w:szCs w:val="18"/>
      <w:lang w:bidi="hi-IN"/>
    </w:rPr>
  </w:style>
  <w:style w:type="character" w:styleId="1641" w:customStyle="1">
    <w:name w:val="Assunto do comentário Char253"/>
    <w:uiPriority w:val="99"/>
    <w:semiHidden/>
    <w:qFormat/>
    <w:pPr>
      <w:pBdr/>
      <w:spacing/>
      <w:ind/>
    </w:pPr>
    <w:rPr>
      <w:rFonts w:ascii="Ecofont_Spranq_eco_Sans" w:hAnsi="Ecofont_Spranq_eco_Sans" w:eastAsia="Times New Roman" w:cs="Mangal"/>
      <w:b/>
      <w:bCs/>
      <w:sz w:val="18"/>
      <w:szCs w:val="18"/>
      <w:lang w:bidi="hi-IN"/>
    </w:rPr>
  </w:style>
  <w:style w:type="character" w:styleId="1642" w:customStyle="1">
    <w:name w:val="Assunto do comentário Char252"/>
    <w:uiPriority w:val="99"/>
    <w:semiHidden/>
    <w:qFormat/>
    <w:pPr>
      <w:pBdr/>
      <w:spacing/>
      <w:ind/>
    </w:pPr>
    <w:rPr>
      <w:rFonts w:ascii="Ecofont_Spranq_eco_Sans" w:hAnsi="Ecofont_Spranq_eco_Sans" w:eastAsia="Times New Roman" w:cs="Mangal"/>
      <w:b/>
      <w:bCs/>
      <w:sz w:val="18"/>
      <w:szCs w:val="18"/>
      <w:lang w:bidi="hi-IN"/>
    </w:rPr>
  </w:style>
  <w:style w:type="character" w:styleId="1643" w:customStyle="1">
    <w:name w:val="Assunto do comentário Char251"/>
    <w:uiPriority w:val="99"/>
    <w:semiHidden/>
    <w:qFormat/>
    <w:pPr>
      <w:pBdr/>
      <w:spacing/>
      <w:ind/>
    </w:pPr>
    <w:rPr>
      <w:rFonts w:ascii="Ecofont_Spranq_eco_Sans" w:hAnsi="Ecofont_Spranq_eco_Sans" w:eastAsia="Times New Roman" w:cs="Mangal"/>
      <w:b/>
      <w:bCs/>
      <w:sz w:val="18"/>
      <w:szCs w:val="18"/>
      <w:lang w:bidi="hi-IN"/>
    </w:rPr>
  </w:style>
  <w:style w:type="character" w:styleId="1644" w:customStyle="1">
    <w:name w:val="Assunto do comentário Char250"/>
    <w:uiPriority w:val="99"/>
    <w:semiHidden/>
    <w:qFormat/>
    <w:pPr>
      <w:pBdr/>
      <w:spacing/>
      <w:ind/>
    </w:pPr>
    <w:rPr>
      <w:rFonts w:ascii="Ecofont_Spranq_eco_Sans" w:hAnsi="Ecofont_Spranq_eco_Sans" w:eastAsia="Times New Roman" w:cs="Mangal"/>
      <w:b/>
      <w:bCs/>
      <w:sz w:val="18"/>
      <w:szCs w:val="18"/>
      <w:lang w:bidi="hi-IN"/>
    </w:rPr>
  </w:style>
  <w:style w:type="character" w:styleId="1645" w:customStyle="1">
    <w:name w:val="Assunto do comentário Char249"/>
    <w:uiPriority w:val="99"/>
    <w:semiHidden/>
    <w:qFormat/>
    <w:pPr>
      <w:pBdr/>
      <w:spacing/>
      <w:ind/>
    </w:pPr>
    <w:rPr>
      <w:rFonts w:ascii="Ecofont_Spranq_eco_Sans" w:hAnsi="Ecofont_Spranq_eco_Sans" w:eastAsia="Times New Roman" w:cs="Mangal"/>
      <w:b/>
      <w:bCs/>
      <w:sz w:val="18"/>
      <w:szCs w:val="18"/>
      <w:lang w:bidi="hi-IN"/>
    </w:rPr>
  </w:style>
  <w:style w:type="character" w:styleId="1646" w:customStyle="1">
    <w:name w:val="Assunto do comentário Char248"/>
    <w:uiPriority w:val="99"/>
    <w:semiHidden/>
    <w:qFormat/>
    <w:pPr>
      <w:pBdr/>
      <w:spacing/>
      <w:ind/>
    </w:pPr>
    <w:rPr>
      <w:rFonts w:ascii="Ecofont_Spranq_eco_Sans" w:hAnsi="Ecofont_Spranq_eco_Sans" w:eastAsia="Times New Roman" w:cs="Mangal"/>
      <w:b/>
      <w:bCs/>
      <w:sz w:val="18"/>
      <w:szCs w:val="18"/>
      <w:lang w:bidi="hi-IN"/>
    </w:rPr>
  </w:style>
  <w:style w:type="character" w:styleId="1647" w:customStyle="1">
    <w:name w:val="Assunto do comentário Char247"/>
    <w:uiPriority w:val="99"/>
    <w:semiHidden/>
    <w:qFormat/>
    <w:pPr>
      <w:pBdr/>
      <w:spacing/>
      <w:ind/>
    </w:pPr>
    <w:rPr>
      <w:rFonts w:ascii="Ecofont_Spranq_eco_Sans" w:hAnsi="Ecofont_Spranq_eco_Sans" w:eastAsia="Times New Roman" w:cs="Mangal"/>
      <w:b/>
      <w:bCs/>
      <w:sz w:val="18"/>
      <w:szCs w:val="18"/>
      <w:lang w:bidi="hi-IN"/>
    </w:rPr>
  </w:style>
  <w:style w:type="character" w:styleId="1648" w:customStyle="1">
    <w:name w:val="Assunto do comentário Char246"/>
    <w:uiPriority w:val="99"/>
    <w:semiHidden/>
    <w:qFormat/>
    <w:pPr>
      <w:pBdr/>
      <w:spacing/>
      <w:ind/>
    </w:pPr>
    <w:rPr>
      <w:rFonts w:ascii="Ecofont_Spranq_eco_Sans" w:hAnsi="Ecofont_Spranq_eco_Sans" w:eastAsia="Times New Roman" w:cs="Mangal"/>
      <w:b/>
      <w:bCs/>
      <w:sz w:val="18"/>
      <w:szCs w:val="18"/>
      <w:lang w:bidi="hi-IN"/>
    </w:rPr>
  </w:style>
  <w:style w:type="character" w:styleId="1649" w:customStyle="1">
    <w:name w:val="Assunto do comentário Char245"/>
    <w:uiPriority w:val="99"/>
    <w:semiHidden/>
    <w:qFormat/>
    <w:pPr>
      <w:pBdr/>
      <w:spacing/>
      <w:ind/>
    </w:pPr>
    <w:rPr>
      <w:rFonts w:ascii="Ecofont_Spranq_eco_Sans" w:hAnsi="Ecofont_Spranq_eco_Sans" w:eastAsia="Times New Roman" w:cs="Mangal"/>
      <w:b/>
      <w:bCs/>
      <w:sz w:val="18"/>
      <w:szCs w:val="18"/>
      <w:lang w:bidi="hi-IN"/>
    </w:rPr>
  </w:style>
  <w:style w:type="character" w:styleId="1650" w:customStyle="1">
    <w:name w:val="Assunto do comentário Char244"/>
    <w:uiPriority w:val="99"/>
    <w:semiHidden/>
    <w:qFormat/>
    <w:pPr>
      <w:pBdr/>
      <w:spacing/>
      <w:ind/>
    </w:pPr>
    <w:rPr>
      <w:rFonts w:ascii="Ecofont_Spranq_eco_Sans" w:hAnsi="Ecofont_Spranq_eco_Sans" w:eastAsia="Times New Roman" w:cs="Mangal"/>
      <w:b/>
      <w:bCs/>
      <w:sz w:val="18"/>
      <w:szCs w:val="18"/>
      <w:lang w:bidi="hi-IN"/>
    </w:rPr>
  </w:style>
  <w:style w:type="character" w:styleId="1651" w:customStyle="1">
    <w:name w:val="Assunto do comentário Char243"/>
    <w:uiPriority w:val="99"/>
    <w:semiHidden/>
    <w:qFormat/>
    <w:pPr>
      <w:pBdr/>
      <w:spacing/>
      <w:ind/>
    </w:pPr>
    <w:rPr>
      <w:rFonts w:ascii="Ecofont_Spranq_eco_Sans" w:hAnsi="Ecofont_Spranq_eco_Sans" w:eastAsia="Times New Roman" w:cs="Mangal"/>
      <w:b/>
      <w:bCs/>
      <w:sz w:val="18"/>
      <w:szCs w:val="18"/>
      <w:lang w:bidi="hi-IN"/>
    </w:rPr>
  </w:style>
  <w:style w:type="character" w:styleId="1652" w:customStyle="1">
    <w:name w:val="Assunto do comentário Char242"/>
    <w:uiPriority w:val="99"/>
    <w:semiHidden/>
    <w:qFormat/>
    <w:pPr>
      <w:pBdr/>
      <w:spacing/>
      <w:ind/>
    </w:pPr>
    <w:rPr>
      <w:rFonts w:ascii="Ecofont_Spranq_eco_Sans" w:hAnsi="Ecofont_Spranq_eco_Sans" w:eastAsia="Times New Roman" w:cs="Mangal"/>
      <w:b/>
      <w:bCs/>
      <w:sz w:val="18"/>
      <w:szCs w:val="18"/>
      <w:lang w:bidi="hi-IN"/>
    </w:rPr>
  </w:style>
  <w:style w:type="character" w:styleId="1653" w:customStyle="1">
    <w:name w:val="Assunto do comentário Char241"/>
    <w:uiPriority w:val="99"/>
    <w:semiHidden/>
    <w:qFormat/>
    <w:pPr>
      <w:pBdr/>
      <w:spacing/>
      <w:ind/>
    </w:pPr>
    <w:rPr>
      <w:rFonts w:ascii="Ecofont_Spranq_eco_Sans" w:hAnsi="Ecofont_Spranq_eco_Sans" w:eastAsia="Times New Roman" w:cs="Mangal"/>
      <w:b/>
      <w:bCs/>
      <w:sz w:val="18"/>
      <w:szCs w:val="18"/>
      <w:lang w:bidi="hi-IN"/>
    </w:rPr>
  </w:style>
  <w:style w:type="character" w:styleId="1654" w:customStyle="1">
    <w:name w:val="Assunto do comentário Char240"/>
    <w:uiPriority w:val="99"/>
    <w:semiHidden/>
    <w:qFormat/>
    <w:pPr>
      <w:pBdr/>
      <w:spacing/>
      <w:ind/>
    </w:pPr>
    <w:rPr>
      <w:rFonts w:ascii="Ecofont_Spranq_eco_Sans" w:hAnsi="Ecofont_Spranq_eco_Sans" w:eastAsia="Times New Roman" w:cs="Mangal"/>
      <w:b/>
      <w:bCs/>
      <w:sz w:val="18"/>
      <w:szCs w:val="18"/>
      <w:lang w:bidi="hi-IN"/>
    </w:rPr>
  </w:style>
  <w:style w:type="character" w:styleId="1655" w:customStyle="1">
    <w:name w:val="Assunto do comentário Char239"/>
    <w:uiPriority w:val="99"/>
    <w:semiHidden/>
    <w:qFormat/>
    <w:pPr>
      <w:pBdr/>
      <w:spacing/>
      <w:ind/>
    </w:pPr>
    <w:rPr>
      <w:rFonts w:ascii="Ecofont_Spranq_eco_Sans" w:hAnsi="Ecofont_Spranq_eco_Sans" w:eastAsia="Times New Roman" w:cs="Mangal"/>
      <w:b/>
      <w:bCs/>
      <w:sz w:val="18"/>
      <w:szCs w:val="18"/>
      <w:lang w:bidi="hi-IN"/>
    </w:rPr>
  </w:style>
  <w:style w:type="character" w:styleId="1656" w:customStyle="1">
    <w:name w:val="Assunto do comentário Char238"/>
    <w:uiPriority w:val="99"/>
    <w:semiHidden/>
    <w:qFormat/>
    <w:pPr>
      <w:pBdr/>
      <w:spacing/>
      <w:ind/>
    </w:pPr>
    <w:rPr>
      <w:rFonts w:ascii="Ecofont_Spranq_eco_Sans" w:hAnsi="Ecofont_Spranq_eco_Sans" w:eastAsia="Times New Roman" w:cs="Mangal"/>
      <w:b/>
      <w:bCs/>
      <w:sz w:val="18"/>
      <w:szCs w:val="18"/>
      <w:lang w:bidi="hi-IN"/>
    </w:rPr>
  </w:style>
  <w:style w:type="character" w:styleId="1657" w:customStyle="1">
    <w:name w:val="Assunto do comentário Char237"/>
    <w:uiPriority w:val="99"/>
    <w:semiHidden/>
    <w:qFormat/>
    <w:pPr>
      <w:pBdr/>
      <w:spacing/>
      <w:ind/>
    </w:pPr>
    <w:rPr>
      <w:rFonts w:ascii="Ecofont_Spranq_eco_Sans" w:hAnsi="Ecofont_Spranq_eco_Sans" w:eastAsia="Times New Roman" w:cs="Mangal"/>
      <w:b/>
      <w:bCs/>
      <w:sz w:val="18"/>
      <w:szCs w:val="18"/>
      <w:lang w:bidi="hi-IN"/>
    </w:rPr>
  </w:style>
  <w:style w:type="character" w:styleId="1658" w:customStyle="1">
    <w:name w:val="Assunto do comentário Char236"/>
    <w:uiPriority w:val="99"/>
    <w:semiHidden/>
    <w:qFormat/>
    <w:pPr>
      <w:pBdr/>
      <w:spacing/>
      <w:ind/>
    </w:pPr>
    <w:rPr>
      <w:rFonts w:ascii="Ecofont_Spranq_eco_Sans" w:hAnsi="Ecofont_Spranq_eco_Sans" w:eastAsia="Times New Roman" w:cs="Mangal"/>
      <w:b/>
      <w:bCs/>
      <w:sz w:val="18"/>
      <w:szCs w:val="18"/>
      <w:lang w:bidi="hi-IN"/>
    </w:rPr>
  </w:style>
  <w:style w:type="character" w:styleId="1659" w:customStyle="1">
    <w:name w:val="Assunto do comentário Char235"/>
    <w:uiPriority w:val="99"/>
    <w:semiHidden/>
    <w:qFormat/>
    <w:pPr>
      <w:pBdr/>
      <w:spacing/>
      <w:ind/>
    </w:pPr>
    <w:rPr>
      <w:rFonts w:ascii="Ecofont_Spranq_eco_Sans" w:hAnsi="Ecofont_Spranq_eco_Sans" w:eastAsia="Times New Roman" w:cs="Mangal"/>
      <w:b/>
      <w:bCs/>
      <w:sz w:val="18"/>
      <w:szCs w:val="18"/>
      <w:lang w:bidi="hi-IN"/>
    </w:rPr>
  </w:style>
  <w:style w:type="character" w:styleId="1660" w:customStyle="1">
    <w:name w:val="Assunto do comentário Char234"/>
    <w:uiPriority w:val="99"/>
    <w:semiHidden/>
    <w:qFormat/>
    <w:pPr>
      <w:pBdr/>
      <w:spacing/>
      <w:ind/>
    </w:pPr>
    <w:rPr>
      <w:rFonts w:ascii="Ecofont_Spranq_eco_Sans" w:hAnsi="Ecofont_Spranq_eco_Sans" w:eastAsia="Times New Roman" w:cs="Mangal"/>
      <w:b/>
      <w:bCs/>
      <w:sz w:val="18"/>
      <w:szCs w:val="18"/>
      <w:lang w:bidi="hi-IN"/>
    </w:rPr>
  </w:style>
  <w:style w:type="character" w:styleId="1661" w:customStyle="1">
    <w:name w:val="Assunto do comentário Char233"/>
    <w:uiPriority w:val="99"/>
    <w:semiHidden/>
    <w:qFormat/>
    <w:pPr>
      <w:pBdr/>
      <w:spacing/>
      <w:ind/>
    </w:pPr>
    <w:rPr>
      <w:rFonts w:ascii="Ecofont_Spranq_eco_Sans" w:hAnsi="Ecofont_Spranq_eco_Sans" w:eastAsia="Times New Roman" w:cs="Mangal"/>
      <w:b/>
      <w:bCs/>
      <w:sz w:val="18"/>
      <w:szCs w:val="18"/>
      <w:lang w:bidi="hi-IN"/>
    </w:rPr>
  </w:style>
  <w:style w:type="character" w:styleId="1662" w:customStyle="1">
    <w:name w:val="Assunto do comentário Char232"/>
    <w:uiPriority w:val="99"/>
    <w:semiHidden/>
    <w:qFormat/>
    <w:pPr>
      <w:pBdr/>
      <w:spacing/>
      <w:ind/>
    </w:pPr>
    <w:rPr>
      <w:rFonts w:ascii="Ecofont_Spranq_eco_Sans" w:hAnsi="Ecofont_Spranq_eco_Sans" w:eastAsia="Times New Roman" w:cs="Mangal"/>
      <w:b/>
      <w:bCs/>
      <w:sz w:val="18"/>
      <w:szCs w:val="18"/>
      <w:lang w:bidi="hi-IN"/>
    </w:rPr>
  </w:style>
  <w:style w:type="character" w:styleId="1663" w:customStyle="1">
    <w:name w:val="Assunto do comentário Char231"/>
    <w:uiPriority w:val="99"/>
    <w:semiHidden/>
    <w:qFormat/>
    <w:pPr>
      <w:pBdr/>
      <w:spacing/>
      <w:ind/>
    </w:pPr>
    <w:rPr>
      <w:rFonts w:ascii="Ecofont_Spranq_eco_Sans" w:hAnsi="Ecofont_Spranq_eco_Sans" w:eastAsia="Times New Roman" w:cs="Mangal"/>
      <w:b/>
      <w:bCs/>
      <w:sz w:val="18"/>
      <w:szCs w:val="18"/>
      <w:lang w:bidi="hi-IN"/>
    </w:rPr>
  </w:style>
  <w:style w:type="character" w:styleId="1664" w:customStyle="1">
    <w:name w:val="Assunto do comentário Char230"/>
    <w:uiPriority w:val="99"/>
    <w:semiHidden/>
    <w:qFormat/>
    <w:pPr>
      <w:pBdr/>
      <w:spacing/>
      <w:ind/>
    </w:pPr>
    <w:rPr>
      <w:rFonts w:ascii="Ecofont_Spranq_eco_Sans" w:hAnsi="Ecofont_Spranq_eco_Sans" w:eastAsia="Times New Roman" w:cs="Mangal"/>
      <w:b/>
      <w:bCs/>
      <w:sz w:val="18"/>
      <w:szCs w:val="18"/>
      <w:lang w:bidi="hi-IN"/>
    </w:rPr>
  </w:style>
  <w:style w:type="character" w:styleId="1665" w:customStyle="1">
    <w:name w:val="Assunto do comentário Char229"/>
    <w:uiPriority w:val="99"/>
    <w:semiHidden/>
    <w:qFormat/>
    <w:pPr>
      <w:pBdr/>
      <w:spacing/>
      <w:ind/>
    </w:pPr>
    <w:rPr>
      <w:rFonts w:ascii="Ecofont_Spranq_eco_Sans" w:hAnsi="Ecofont_Spranq_eco_Sans" w:eastAsia="Times New Roman" w:cs="Mangal"/>
      <w:b/>
      <w:bCs/>
      <w:sz w:val="18"/>
      <w:szCs w:val="18"/>
      <w:lang w:bidi="hi-IN"/>
    </w:rPr>
  </w:style>
  <w:style w:type="character" w:styleId="1666" w:customStyle="1">
    <w:name w:val="Assunto do comentário Char228"/>
    <w:uiPriority w:val="99"/>
    <w:semiHidden/>
    <w:qFormat/>
    <w:pPr>
      <w:pBdr/>
      <w:spacing/>
      <w:ind/>
    </w:pPr>
    <w:rPr>
      <w:rFonts w:ascii="Ecofont_Spranq_eco_Sans" w:hAnsi="Ecofont_Spranq_eco_Sans" w:eastAsia="Times New Roman" w:cs="Mangal"/>
      <w:b/>
      <w:bCs/>
      <w:sz w:val="18"/>
      <w:szCs w:val="18"/>
      <w:lang w:bidi="hi-IN"/>
    </w:rPr>
  </w:style>
  <w:style w:type="character" w:styleId="1667" w:customStyle="1">
    <w:name w:val="Assunto do comentário Char227"/>
    <w:uiPriority w:val="99"/>
    <w:semiHidden/>
    <w:qFormat/>
    <w:pPr>
      <w:pBdr/>
      <w:spacing/>
      <w:ind/>
    </w:pPr>
    <w:rPr>
      <w:rFonts w:ascii="Ecofont_Spranq_eco_Sans" w:hAnsi="Ecofont_Spranq_eco_Sans" w:eastAsia="Times New Roman" w:cs="Mangal"/>
      <w:b/>
      <w:bCs/>
      <w:sz w:val="18"/>
      <w:szCs w:val="18"/>
      <w:lang w:bidi="hi-IN"/>
    </w:rPr>
  </w:style>
  <w:style w:type="character" w:styleId="1668" w:customStyle="1">
    <w:name w:val="Assunto do comentário Char226"/>
    <w:uiPriority w:val="99"/>
    <w:semiHidden/>
    <w:qFormat/>
    <w:pPr>
      <w:pBdr/>
      <w:spacing/>
      <w:ind/>
    </w:pPr>
    <w:rPr>
      <w:rFonts w:ascii="Ecofont_Spranq_eco_Sans" w:hAnsi="Ecofont_Spranq_eco_Sans" w:eastAsia="Times New Roman" w:cs="Mangal"/>
      <w:b/>
      <w:bCs/>
      <w:sz w:val="18"/>
      <w:szCs w:val="18"/>
      <w:lang w:bidi="hi-IN"/>
    </w:rPr>
  </w:style>
  <w:style w:type="character" w:styleId="1669" w:customStyle="1">
    <w:name w:val="Assunto do comentário Char225"/>
    <w:uiPriority w:val="99"/>
    <w:semiHidden/>
    <w:qFormat/>
    <w:pPr>
      <w:pBdr/>
      <w:spacing/>
      <w:ind/>
    </w:pPr>
    <w:rPr>
      <w:rFonts w:ascii="Ecofont_Spranq_eco_Sans" w:hAnsi="Ecofont_Spranq_eco_Sans" w:eastAsia="Times New Roman" w:cs="Mangal"/>
      <w:b/>
      <w:bCs/>
      <w:sz w:val="18"/>
      <w:szCs w:val="18"/>
      <w:lang w:bidi="hi-IN"/>
    </w:rPr>
  </w:style>
  <w:style w:type="character" w:styleId="1670" w:customStyle="1">
    <w:name w:val="Assunto do comentário Char224"/>
    <w:uiPriority w:val="99"/>
    <w:semiHidden/>
    <w:qFormat/>
    <w:pPr>
      <w:pBdr/>
      <w:spacing/>
      <w:ind/>
    </w:pPr>
    <w:rPr>
      <w:rFonts w:ascii="Ecofont_Spranq_eco_Sans" w:hAnsi="Ecofont_Spranq_eco_Sans" w:eastAsia="Times New Roman" w:cs="Mangal"/>
      <w:b/>
      <w:bCs/>
      <w:sz w:val="18"/>
      <w:szCs w:val="18"/>
      <w:lang w:bidi="hi-IN"/>
    </w:rPr>
  </w:style>
  <w:style w:type="character" w:styleId="1671" w:customStyle="1">
    <w:name w:val="Assunto do comentário Char223"/>
    <w:uiPriority w:val="99"/>
    <w:semiHidden/>
    <w:qFormat/>
    <w:pPr>
      <w:pBdr/>
      <w:spacing/>
      <w:ind/>
    </w:pPr>
    <w:rPr>
      <w:rFonts w:ascii="Ecofont_Spranq_eco_Sans" w:hAnsi="Ecofont_Spranq_eco_Sans" w:eastAsia="Times New Roman" w:cs="Mangal"/>
      <w:b/>
      <w:bCs/>
      <w:sz w:val="18"/>
      <w:szCs w:val="18"/>
      <w:lang w:bidi="hi-IN"/>
    </w:rPr>
  </w:style>
  <w:style w:type="character" w:styleId="1672" w:customStyle="1">
    <w:name w:val="Assunto do comentário Char222"/>
    <w:uiPriority w:val="99"/>
    <w:semiHidden/>
    <w:qFormat/>
    <w:pPr>
      <w:pBdr/>
      <w:spacing/>
      <w:ind/>
    </w:pPr>
    <w:rPr>
      <w:rFonts w:ascii="Ecofont_Spranq_eco_Sans" w:hAnsi="Ecofont_Spranq_eco_Sans" w:eastAsia="Times New Roman" w:cs="Mangal"/>
      <w:b/>
      <w:bCs/>
      <w:sz w:val="18"/>
      <w:szCs w:val="18"/>
      <w:lang w:bidi="hi-IN"/>
    </w:rPr>
  </w:style>
  <w:style w:type="character" w:styleId="1673" w:customStyle="1">
    <w:name w:val="Assunto do comentário Char221"/>
    <w:uiPriority w:val="99"/>
    <w:semiHidden/>
    <w:qFormat/>
    <w:pPr>
      <w:pBdr/>
      <w:spacing/>
      <w:ind/>
    </w:pPr>
    <w:rPr>
      <w:rFonts w:ascii="Ecofont_Spranq_eco_Sans" w:hAnsi="Ecofont_Spranq_eco_Sans" w:eastAsia="Times New Roman" w:cs="Mangal"/>
      <w:b/>
      <w:bCs/>
      <w:sz w:val="18"/>
      <w:szCs w:val="18"/>
      <w:lang w:bidi="hi-IN"/>
    </w:rPr>
  </w:style>
  <w:style w:type="character" w:styleId="1674" w:customStyle="1">
    <w:name w:val="Assunto do comentário Char220"/>
    <w:uiPriority w:val="99"/>
    <w:semiHidden/>
    <w:qFormat/>
    <w:pPr>
      <w:pBdr/>
      <w:spacing/>
      <w:ind/>
    </w:pPr>
    <w:rPr>
      <w:rFonts w:ascii="Ecofont_Spranq_eco_Sans" w:hAnsi="Ecofont_Spranq_eco_Sans" w:eastAsia="Times New Roman" w:cs="Mangal"/>
      <w:b/>
      <w:bCs/>
      <w:sz w:val="18"/>
      <w:szCs w:val="18"/>
      <w:lang w:bidi="hi-IN"/>
    </w:rPr>
  </w:style>
  <w:style w:type="character" w:styleId="1675" w:customStyle="1">
    <w:name w:val="Assunto do comentário Char219"/>
    <w:uiPriority w:val="99"/>
    <w:semiHidden/>
    <w:qFormat/>
    <w:pPr>
      <w:pBdr/>
      <w:spacing/>
      <w:ind/>
    </w:pPr>
    <w:rPr>
      <w:rFonts w:ascii="Ecofont_Spranq_eco_Sans" w:hAnsi="Ecofont_Spranq_eco_Sans" w:eastAsia="Times New Roman" w:cs="Mangal"/>
      <w:b/>
      <w:bCs/>
      <w:sz w:val="18"/>
      <w:szCs w:val="18"/>
      <w:lang w:bidi="hi-IN"/>
    </w:rPr>
  </w:style>
  <w:style w:type="character" w:styleId="1676" w:customStyle="1">
    <w:name w:val="Assunto do comentário Char218"/>
    <w:uiPriority w:val="99"/>
    <w:semiHidden/>
    <w:qFormat/>
    <w:pPr>
      <w:pBdr/>
      <w:spacing/>
      <w:ind/>
    </w:pPr>
    <w:rPr>
      <w:rFonts w:ascii="Ecofont_Spranq_eco_Sans" w:hAnsi="Ecofont_Spranq_eco_Sans" w:eastAsia="Times New Roman" w:cs="Mangal"/>
      <w:b/>
      <w:bCs/>
      <w:sz w:val="18"/>
      <w:szCs w:val="18"/>
      <w:lang w:bidi="hi-IN"/>
    </w:rPr>
  </w:style>
  <w:style w:type="character" w:styleId="1677" w:customStyle="1">
    <w:name w:val="Assunto do comentário Char217"/>
    <w:uiPriority w:val="99"/>
    <w:semiHidden/>
    <w:qFormat/>
    <w:pPr>
      <w:pBdr/>
      <w:spacing/>
      <w:ind/>
    </w:pPr>
    <w:rPr>
      <w:rFonts w:ascii="Ecofont_Spranq_eco_Sans" w:hAnsi="Ecofont_Spranq_eco_Sans" w:eastAsia="Times New Roman" w:cs="Mangal"/>
      <w:b/>
      <w:bCs/>
      <w:sz w:val="18"/>
      <w:szCs w:val="18"/>
      <w:lang w:bidi="hi-IN"/>
    </w:rPr>
  </w:style>
  <w:style w:type="character" w:styleId="1678" w:customStyle="1">
    <w:name w:val="Assunto do comentário Char216"/>
    <w:uiPriority w:val="99"/>
    <w:semiHidden/>
    <w:qFormat/>
    <w:pPr>
      <w:pBdr/>
      <w:spacing/>
      <w:ind/>
    </w:pPr>
    <w:rPr>
      <w:rFonts w:ascii="Ecofont_Spranq_eco_Sans" w:hAnsi="Ecofont_Spranq_eco_Sans" w:eastAsia="Times New Roman" w:cs="Mangal"/>
      <w:b/>
      <w:bCs/>
      <w:sz w:val="18"/>
      <w:szCs w:val="18"/>
      <w:lang w:bidi="hi-IN"/>
    </w:rPr>
  </w:style>
  <w:style w:type="character" w:styleId="1679" w:customStyle="1">
    <w:name w:val="Assunto do comentário Char215"/>
    <w:uiPriority w:val="99"/>
    <w:semiHidden/>
    <w:qFormat/>
    <w:pPr>
      <w:pBdr/>
      <w:spacing/>
      <w:ind/>
    </w:pPr>
    <w:rPr>
      <w:rFonts w:ascii="Ecofont_Spranq_eco_Sans" w:hAnsi="Ecofont_Spranq_eco_Sans" w:eastAsia="Times New Roman" w:cs="Mangal"/>
      <w:b/>
      <w:bCs/>
      <w:sz w:val="18"/>
      <w:szCs w:val="18"/>
      <w:lang w:bidi="hi-IN"/>
    </w:rPr>
  </w:style>
  <w:style w:type="character" w:styleId="1680" w:customStyle="1">
    <w:name w:val="Assunto do comentário Char214"/>
    <w:uiPriority w:val="99"/>
    <w:semiHidden/>
    <w:qFormat/>
    <w:pPr>
      <w:pBdr/>
      <w:spacing/>
      <w:ind/>
    </w:pPr>
    <w:rPr>
      <w:rFonts w:ascii="Ecofont_Spranq_eco_Sans" w:hAnsi="Ecofont_Spranq_eco_Sans" w:eastAsia="Times New Roman" w:cs="Mangal"/>
      <w:b/>
      <w:bCs/>
      <w:sz w:val="18"/>
      <w:szCs w:val="18"/>
      <w:lang w:bidi="hi-IN"/>
    </w:rPr>
  </w:style>
  <w:style w:type="character" w:styleId="1681" w:customStyle="1">
    <w:name w:val="Assunto do comentário Char213"/>
    <w:uiPriority w:val="99"/>
    <w:semiHidden/>
    <w:qFormat/>
    <w:pPr>
      <w:pBdr/>
      <w:spacing/>
      <w:ind/>
    </w:pPr>
    <w:rPr>
      <w:rFonts w:ascii="Ecofont_Spranq_eco_Sans" w:hAnsi="Ecofont_Spranq_eco_Sans" w:eastAsia="Times New Roman" w:cs="Mangal"/>
      <w:b/>
      <w:bCs/>
      <w:sz w:val="18"/>
      <w:szCs w:val="18"/>
      <w:lang w:bidi="hi-IN"/>
    </w:rPr>
  </w:style>
  <w:style w:type="character" w:styleId="1682" w:customStyle="1">
    <w:name w:val="Assunto do comentário Char212"/>
    <w:uiPriority w:val="99"/>
    <w:semiHidden/>
    <w:qFormat/>
    <w:pPr>
      <w:pBdr/>
      <w:spacing/>
      <w:ind/>
    </w:pPr>
    <w:rPr>
      <w:rFonts w:ascii="Ecofont_Spranq_eco_Sans" w:hAnsi="Ecofont_Spranq_eco_Sans" w:eastAsia="Times New Roman" w:cs="Mangal"/>
      <w:b/>
      <w:bCs/>
      <w:sz w:val="18"/>
      <w:szCs w:val="18"/>
      <w:lang w:bidi="hi-IN"/>
    </w:rPr>
  </w:style>
  <w:style w:type="character" w:styleId="1683" w:customStyle="1">
    <w:name w:val="Assunto do comentário Char211"/>
    <w:uiPriority w:val="99"/>
    <w:semiHidden/>
    <w:qFormat/>
    <w:pPr>
      <w:pBdr/>
      <w:spacing/>
      <w:ind/>
    </w:pPr>
    <w:rPr>
      <w:rFonts w:ascii="Ecofont_Spranq_eco_Sans" w:hAnsi="Ecofont_Spranq_eco_Sans" w:eastAsia="Times New Roman" w:cs="Mangal"/>
      <w:b/>
      <w:bCs/>
      <w:sz w:val="18"/>
      <w:szCs w:val="18"/>
      <w:lang w:bidi="hi-IN"/>
    </w:rPr>
  </w:style>
  <w:style w:type="character" w:styleId="1684" w:customStyle="1">
    <w:name w:val="Recuo de corpo de texto 2 Char4"/>
    <w:uiPriority w:val="99"/>
    <w:semiHidden/>
    <w:qFormat/>
    <w:pPr>
      <w:pBdr/>
      <w:spacing/>
      <w:ind/>
    </w:pPr>
    <w:rPr>
      <w:lang w:eastAsia="zh-CN"/>
    </w:rPr>
  </w:style>
  <w:style w:type="character" w:styleId="1685" w:customStyle="1">
    <w:name w:val="Recuo de corpo de texto 2 Char377"/>
    <w:uiPriority w:val="99"/>
    <w:semiHidden/>
    <w:qFormat/>
    <w:pPr>
      <w:pBdr/>
      <w:spacing/>
      <w:ind/>
    </w:pPr>
    <w:rPr>
      <w:rFonts w:eastAsia="Times New Roman" w:cs="Mangal"/>
      <w:sz w:val="18"/>
      <w:szCs w:val="18"/>
      <w:lang w:bidi="hi-IN"/>
    </w:rPr>
  </w:style>
  <w:style w:type="character" w:styleId="1686" w:customStyle="1">
    <w:name w:val="Recuo de corpo de texto 2 Char376"/>
    <w:uiPriority w:val="99"/>
    <w:semiHidden/>
    <w:qFormat/>
    <w:pPr>
      <w:pBdr/>
      <w:spacing/>
      <w:ind/>
    </w:pPr>
    <w:rPr>
      <w:rFonts w:eastAsia="Times New Roman" w:cs="Mangal"/>
      <w:sz w:val="18"/>
      <w:szCs w:val="18"/>
      <w:lang w:bidi="hi-IN"/>
    </w:rPr>
  </w:style>
  <w:style w:type="character" w:styleId="1687" w:customStyle="1">
    <w:name w:val="Recuo de corpo de texto 2 Char375"/>
    <w:uiPriority w:val="99"/>
    <w:semiHidden/>
    <w:qFormat/>
    <w:pPr>
      <w:pBdr/>
      <w:spacing/>
      <w:ind/>
    </w:pPr>
    <w:rPr>
      <w:rFonts w:eastAsia="Times New Roman" w:cs="Mangal"/>
      <w:sz w:val="18"/>
      <w:szCs w:val="18"/>
      <w:lang w:bidi="hi-IN"/>
    </w:rPr>
  </w:style>
  <w:style w:type="character" w:styleId="1688" w:customStyle="1">
    <w:name w:val="Recuo de corpo de texto 2 Char374"/>
    <w:uiPriority w:val="99"/>
    <w:semiHidden/>
    <w:qFormat/>
    <w:pPr>
      <w:pBdr/>
      <w:spacing/>
      <w:ind/>
    </w:pPr>
    <w:rPr>
      <w:rFonts w:eastAsia="Times New Roman" w:cs="Mangal"/>
      <w:sz w:val="18"/>
      <w:szCs w:val="18"/>
      <w:lang w:bidi="hi-IN"/>
    </w:rPr>
  </w:style>
  <w:style w:type="character" w:styleId="1689" w:customStyle="1">
    <w:name w:val="Recuo de corpo de texto 2 Char373"/>
    <w:uiPriority w:val="99"/>
    <w:semiHidden/>
    <w:qFormat/>
    <w:pPr>
      <w:pBdr/>
      <w:spacing/>
      <w:ind/>
    </w:pPr>
    <w:rPr>
      <w:rFonts w:eastAsia="Times New Roman" w:cs="Mangal"/>
      <w:sz w:val="18"/>
      <w:szCs w:val="18"/>
      <w:lang w:bidi="hi-IN"/>
    </w:rPr>
  </w:style>
  <w:style w:type="character" w:styleId="1690" w:customStyle="1">
    <w:name w:val="Recuo de corpo de texto 2 Char372"/>
    <w:uiPriority w:val="99"/>
    <w:semiHidden/>
    <w:qFormat/>
    <w:pPr>
      <w:pBdr/>
      <w:spacing/>
      <w:ind/>
    </w:pPr>
    <w:rPr>
      <w:rFonts w:eastAsia="Times New Roman" w:cs="Mangal"/>
      <w:sz w:val="18"/>
      <w:szCs w:val="18"/>
      <w:lang w:bidi="hi-IN"/>
    </w:rPr>
  </w:style>
  <w:style w:type="character" w:styleId="1691" w:customStyle="1">
    <w:name w:val="Recuo de corpo de texto 2 Char371"/>
    <w:uiPriority w:val="99"/>
    <w:semiHidden/>
    <w:qFormat/>
    <w:pPr>
      <w:pBdr/>
      <w:spacing/>
      <w:ind/>
    </w:pPr>
    <w:rPr>
      <w:rFonts w:eastAsia="Times New Roman" w:cs="Mangal"/>
      <w:sz w:val="18"/>
      <w:szCs w:val="18"/>
      <w:lang w:bidi="hi-IN"/>
    </w:rPr>
  </w:style>
  <w:style w:type="character" w:styleId="1692" w:customStyle="1">
    <w:name w:val="Recuo de corpo de texto 2 Char370"/>
    <w:uiPriority w:val="99"/>
    <w:semiHidden/>
    <w:qFormat/>
    <w:pPr>
      <w:pBdr/>
      <w:spacing/>
      <w:ind/>
    </w:pPr>
    <w:rPr>
      <w:rFonts w:eastAsia="Times New Roman" w:cs="Mangal"/>
      <w:sz w:val="18"/>
      <w:szCs w:val="18"/>
      <w:lang w:bidi="hi-IN"/>
    </w:rPr>
  </w:style>
  <w:style w:type="character" w:styleId="1693" w:customStyle="1">
    <w:name w:val="Recuo de corpo de texto 2 Char369"/>
    <w:uiPriority w:val="99"/>
    <w:semiHidden/>
    <w:qFormat/>
    <w:pPr>
      <w:pBdr/>
      <w:spacing/>
      <w:ind/>
    </w:pPr>
    <w:rPr>
      <w:rFonts w:eastAsia="Times New Roman" w:cs="Mangal"/>
      <w:sz w:val="18"/>
      <w:szCs w:val="18"/>
      <w:lang w:bidi="hi-IN"/>
    </w:rPr>
  </w:style>
  <w:style w:type="character" w:styleId="1694" w:customStyle="1">
    <w:name w:val="Recuo de corpo de texto 2 Char368"/>
    <w:uiPriority w:val="99"/>
    <w:semiHidden/>
    <w:qFormat/>
    <w:pPr>
      <w:pBdr/>
      <w:spacing/>
      <w:ind/>
    </w:pPr>
    <w:rPr>
      <w:rFonts w:eastAsia="Times New Roman" w:cs="Mangal"/>
      <w:sz w:val="18"/>
      <w:szCs w:val="18"/>
      <w:lang w:bidi="hi-IN"/>
    </w:rPr>
  </w:style>
  <w:style w:type="character" w:styleId="1695" w:customStyle="1">
    <w:name w:val="Recuo de corpo de texto 2 Char367"/>
    <w:uiPriority w:val="99"/>
    <w:semiHidden/>
    <w:qFormat/>
    <w:pPr>
      <w:pBdr/>
      <w:spacing/>
      <w:ind/>
    </w:pPr>
    <w:rPr>
      <w:rFonts w:eastAsia="Times New Roman" w:cs="Mangal"/>
      <w:sz w:val="18"/>
      <w:szCs w:val="18"/>
      <w:lang w:bidi="hi-IN"/>
    </w:rPr>
  </w:style>
  <w:style w:type="character" w:styleId="1696" w:customStyle="1">
    <w:name w:val="Recuo de corpo de texto 2 Char366"/>
    <w:uiPriority w:val="99"/>
    <w:semiHidden/>
    <w:qFormat/>
    <w:pPr>
      <w:pBdr/>
      <w:spacing/>
      <w:ind/>
    </w:pPr>
    <w:rPr>
      <w:rFonts w:eastAsia="Times New Roman" w:cs="Mangal"/>
      <w:sz w:val="18"/>
      <w:szCs w:val="18"/>
      <w:lang w:bidi="hi-IN"/>
    </w:rPr>
  </w:style>
  <w:style w:type="character" w:styleId="1697" w:customStyle="1">
    <w:name w:val="Recuo de corpo de texto 2 Char365"/>
    <w:uiPriority w:val="99"/>
    <w:semiHidden/>
    <w:qFormat/>
    <w:pPr>
      <w:pBdr/>
      <w:spacing/>
      <w:ind/>
    </w:pPr>
    <w:rPr>
      <w:rFonts w:eastAsia="Times New Roman" w:cs="Mangal"/>
      <w:sz w:val="18"/>
      <w:szCs w:val="18"/>
      <w:lang w:bidi="hi-IN"/>
    </w:rPr>
  </w:style>
  <w:style w:type="character" w:styleId="1698" w:customStyle="1">
    <w:name w:val="Recuo de corpo de texto 2 Char364"/>
    <w:uiPriority w:val="99"/>
    <w:semiHidden/>
    <w:qFormat/>
    <w:pPr>
      <w:pBdr/>
      <w:spacing/>
      <w:ind/>
    </w:pPr>
    <w:rPr>
      <w:rFonts w:eastAsia="Times New Roman" w:cs="Mangal"/>
      <w:sz w:val="18"/>
      <w:szCs w:val="18"/>
      <w:lang w:bidi="hi-IN"/>
    </w:rPr>
  </w:style>
  <w:style w:type="character" w:styleId="1699" w:customStyle="1">
    <w:name w:val="Recuo de corpo de texto 2 Char363"/>
    <w:uiPriority w:val="99"/>
    <w:semiHidden/>
    <w:qFormat/>
    <w:pPr>
      <w:pBdr/>
      <w:spacing/>
      <w:ind/>
    </w:pPr>
    <w:rPr>
      <w:rFonts w:eastAsia="Times New Roman" w:cs="Mangal"/>
      <w:sz w:val="18"/>
      <w:szCs w:val="18"/>
      <w:lang w:bidi="hi-IN"/>
    </w:rPr>
  </w:style>
  <w:style w:type="character" w:styleId="1700" w:customStyle="1">
    <w:name w:val="Recuo de corpo de texto 2 Char362"/>
    <w:uiPriority w:val="99"/>
    <w:semiHidden/>
    <w:qFormat/>
    <w:pPr>
      <w:pBdr/>
      <w:spacing/>
      <w:ind/>
    </w:pPr>
    <w:rPr>
      <w:rFonts w:eastAsia="Times New Roman" w:cs="Mangal"/>
      <w:sz w:val="18"/>
      <w:szCs w:val="18"/>
      <w:lang w:bidi="hi-IN"/>
    </w:rPr>
  </w:style>
  <w:style w:type="character" w:styleId="1701" w:customStyle="1">
    <w:name w:val="Recuo de corpo de texto 2 Char361"/>
    <w:uiPriority w:val="99"/>
    <w:semiHidden/>
    <w:qFormat/>
    <w:pPr>
      <w:pBdr/>
      <w:spacing/>
      <w:ind/>
    </w:pPr>
    <w:rPr>
      <w:rFonts w:eastAsia="Times New Roman" w:cs="Mangal"/>
      <w:sz w:val="18"/>
      <w:szCs w:val="18"/>
      <w:lang w:bidi="hi-IN"/>
    </w:rPr>
  </w:style>
  <w:style w:type="character" w:styleId="1702" w:customStyle="1">
    <w:name w:val="Recuo de corpo de texto 2 Char360"/>
    <w:uiPriority w:val="99"/>
    <w:semiHidden/>
    <w:qFormat/>
    <w:pPr>
      <w:pBdr/>
      <w:spacing/>
      <w:ind/>
    </w:pPr>
    <w:rPr>
      <w:rFonts w:eastAsia="Times New Roman" w:cs="Mangal"/>
      <w:sz w:val="18"/>
      <w:szCs w:val="18"/>
      <w:lang w:bidi="hi-IN"/>
    </w:rPr>
  </w:style>
  <w:style w:type="character" w:styleId="1703" w:customStyle="1">
    <w:name w:val="Recuo de corpo de texto 2 Char359"/>
    <w:uiPriority w:val="99"/>
    <w:semiHidden/>
    <w:qFormat/>
    <w:pPr>
      <w:pBdr/>
      <w:spacing/>
      <w:ind/>
    </w:pPr>
    <w:rPr>
      <w:rFonts w:eastAsia="Times New Roman" w:cs="Mangal"/>
      <w:sz w:val="18"/>
      <w:szCs w:val="18"/>
      <w:lang w:bidi="hi-IN"/>
    </w:rPr>
  </w:style>
  <w:style w:type="character" w:styleId="1704" w:customStyle="1">
    <w:name w:val="Recuo de corpo de texto 2 Char358"/>
    <w:uiPriority w:val="99"/>
    <w:semiHidden/>
    <w:qFormat/>
    <w:pPr>
      <w:pBdr/>
      <w:spacing/>
      <w:ind/>
    </w:pPr>
    <w:rPr>
      <w:rFonts w:eastAsia="Times New Roman" w:cs="Mangal"/>
      <w:sz w:val="18"/>
      <w:szCs w:val="18"/>
      <w:lang w:bidi="hi-IN"/>
    </w:rPr>
  </w:style>
  <w:style w:type="character" w:styleId="1705" w:customStyle="1">
    <w:name w:val="Recuo de corpo de texto 2 Char357"/>
    <w:uiPriority w:val="99"/>
    <w:semiHidden/>
    <w:qFormat/>
    <w:pPr>
      <w:pBdr/>
      <w:spacing/>
      <w:ind/>
    </w:pPr>
    <w:rPr>
      <w:rFonts w:eastAsia="Times New Roman" w:cs="Mangal"/>
      <w:sz w:val="18"/>
      <w:szCs w:val="18"/>
      <w:lang w:bidi="hi-IN"/>
    </w:rPr>
  </w:style>
  <w:style w:type="character" w:styleId="1706" w:customStyle="1">
    <w:name w:val="Recuo de corpo de texto 2 Char356"/>
    <w:uiPriority w:val="99"/>
    <w:semiHidden/>
    <w:qFormat/>
    <w:pPr>
      <w:pBdr/>
      <w:spacing/>
      <w:ind/>
    </w:pPr>
    <w:rPr>
      <w:rFonts w:eastAsia="Times New Roman" w:cs="Mangal"/>
      <w:sz w:val="18"/>
      <w:szCs w:val="18"/>
      <w:lang w:bidi="hi-IN"/>
    </w:rPr>
  </w:style>
  <w:style w:type="character" w:styleId="1707" w:customStyle="1">
    <w:name w:val="Recuo de corpo de texto 2 Char355"/>
    <w:uiPriority w:val="99"/>
    <w:semiHidden/>
    <w:qFormat/>
    <w:pPr>
      <w:pBdr/>
      <w:spacing/>
      <w:ind/>
    </w:pPr>
    <w:rPr>
      <w:rFonts w:eastAsia="Times New Roman" w:cs="Mangal"/>
      <w:sz w:val="18"/>
      <w:szCs w:val="18"/>
      <w:lang w:bidi="hi-IN"/>
    </w:rPr>
  </w:style>
  <w:style w:type="character" w:styleId="1708" w:customStyle="1">
    <w:name w:val="Recuo de corpo de texto 2 Char354"/>
    <w:uiPriority w:val="99"/>
    <w:semiHidden/>
    <w:qFormat/>
    <w:pPr>
      <w:pBdr/>
      <w:spacing/>
      <w:ind/>
    </w:pPr>
    <w:rPr>
      <w:rFonts w:eastAsia="Times New Roman" w:cs="Mangal"/>
      <w:sz w:val="18"/>
      <w:szCs w:val="18"/>
      <w:lang w:bidi="hi-IN"/>
    </w:rPr>
  </w:style>
  <w:style w:type="character" w:styleId="1709" w:customStyle="1">
    <w:name w:val="Recuo de corpo de texto 2 Char353"/>
    <w:uiPriority w:val="99"/>
    <w:semiHidden/>
    <w:qFormat/>
    <w:pPr>
      <w:pBdr/>
      <w:spacing/>
      <w:ind/>
    </w:pPr>
    <w:rPr>
      <w:rFonts w:eastAsia="Times New Roman" w:cs="Mangal"/>
      <w:sz w:val="18"/>
      <w:szCs w:val="18"/>
      <w:lang w:bidi="hi-IN"/>
    </w:rPr>
  </w:style>
  <w:style w:type="character" w:styleId="1710" w:customStyle="1">
    <w:name w:val="Recuo de corpo de texto 2 Char352"/>
    <w:uiPriority w:val="99"/>
    <w:semiHidden/>
    <w:qFormat/>
    <w:pPr>
      <w:pBdr/>
      <w:spacing/>
      <w:ind/>
    </w:pPr>
    <w:rPr>
      <w:rFonts w:eastAsia="Times New Roman" w:cs="Mangal"/>
      <w:sz w:val="18"/>
      <w:szCs w:val="18"/>
      <w:lang w:bidi="hi-IN"/>
    </w:rPr>
  </w:style>
  <w:style w:type="character" w:styleId="1711" w:customStyle="1">
    <w:name w:val="Recuo de corpo de texto 2 Char351"/>
    <w:uiPriority w:val="99"/>
    <w:semiHidden/>
    <w:qFormat/>
    <w:pPr>
      <w:pBdr/>
      <w:spacing/>
      <w:ind/>
    </w:pPr>
    <w:rPr>
      <w:rFonts w:eastAsia="Times New Roman" w:cs="Mangal"/>
      <w:sz w:val="18"/>
      <w:szCs w:val="18"/>
      <w:lang w:bidi="hi-IN"/>
    </w:rPr>
  </w:style>
  <w:style w:type="character" w:styleId="1712" w:customStyle="1">
    <w:name w:val="Recuo de corpo de texto 2 Char350"/>
    <w:uiPriority w:val="99"/>
    <w:semiHidden/>
    <w:qFormat/>
    <w:pPr>
      <w:pBdr/>
      <w:spacing/>
      <w:ind/>
    </w:pPr>
    <w:rPr>
      <w:rFonts w:eastAsia="Times New Roman" w:cs="Mangal"/>
      <w:sz w:val="18"/>
      <w:szCs w:val="18"/>
      <w:lang w:bidi="hi-IN"/>
    </w:rPr>
  </w:style>
  <w:style w:type="character" w:styleId="1713" w:customStyle="1">
    <w:name w:val="Recuo de corpo de texto 2 Char349"/>
    <w:uiPriority w:val="99"/>
    <w:semiHidden/>
    <w:qFormat/>
    <w:pPr>
      <w:pBdr/>
      <w:spacing/>
      <w:ind/>
    </w:pPr>
    <w:rPr>
      <w:rFonts w:eastAsia="Times New Roman" w:cs="Mangal"/>
      <w:sz w:val="18"/>
      <w:szCs w:val="18"/>
      <w:lang w:bidi="hi-IN"/>
    </w:rPr>
  </w:style>
  <w:style w:type="character" w:styleId="1714" w:customStyle="1">
    <w:name w:val="Recuo de corpo de texto 2 Char348"/>
    <w:uiPriority w:val="99"/>
    <w:semiHidden/>
    <w:qFormat/>
    <w:pPr>
      <w:pBdr/>
      <w:spacing/>
      <w:ind/>
    </w:pPr>
    <w:rPr>
      <w:rFonts w:eastAsia="Times New Roman" w:cs="Mangal"/>
      <w:sz w:val="18"/>
      <w:szCs w:val="18"/>
      <w:lang w:bidi="hi-IN"/>
    </w:rPr>
  </w:style>
  <w:style w:type="character" w:styleId="1715" w:customStyle="1">
    <w:name w:val="Recuo de corpo de texto 2 Char347"/>
    <w:uiPriority w:val="99"/>
    <w:semiHidden/>
    <w:qFormat/>
    <w:pPr>
      <w:pBdr/>
      <w:spacing/>
      <w:ind/>
    </w:pPr>
    <w:rPr>
      <w:rFonts w:eastAsia="Times New Roman" w:cs="Mangal"/>
      <w:sz w:val="18"/>
      <w:szCs w:val="18"/>
      <w:lang w:bidi="hi-IN"/>
    </w:rPr>
  </w:style>
  <w:style w:type="character" w:styleId="1716" w:customStyle="1">
    <w:name w:val="Recuo de corpo de texto 2 Char346"/>
    <w:uiPriority w:val="99"/>
    <w:semiHidden/>
    <w:qFormat/>
    <w:pPr>
      <w:pBdr/>
      <w:spacing/>
      <w:ind/>
    </w:pPr>
    <w:rPr>
      <w:rFonts w:eastAsia="Times New Roman" w:cs="Mangal"/>
      <w:sz w:val="18"/>
      <w:szCs w:val="18"/>
      <w:lang w:bidi="hi-IN"/>
    </w:rPr>
  </w:style>
  <w:style w:type="character" w:styleId="1717" w:customStyle="1">
    <w:name w:val="Recuo de corpo de texto 2 Char345"/>
    <w:uiPriority w:val="99"/>
    <w:semiHidden/>
    <w:qFormat/>
    <w:pPr>
      <w:pBdr/>
      <w:spacing/>
      <w:ind/>
    </w:pPr>
    <w:rPr>
      <w:rFonts w:eastAsia="Times New Roman" w:cs="Mangal"/>
      <w:sz w:val="18"/>
      <w:szCs w:val="18"/>
      <w:lang w:bidi="hi-IN"/>
    </w:rPr>
  </w:style>
  <w:style w:type="character" w:styleId="1718" w:customStyle="1">
    <w:name w:val="Recuo de corpo de texto 2 Char344"/>
    <w:uiPriority w:val="99"/>
    <w:semiHidden/>
    <w:qFormat/>
    <w:pPr>
      <w:pBdr/>
      <w:spacing/>
      <w:ind/>
    </w:pPr>
    <w:rPr>
      <w:rFonts w:eastAsia="Times New Roman" w:cs="Mangal"/>
      <w:sz w:val="18"/>
      <w:szCs w:val="18"/>
      <w:lang w:bidi="hi-IN"/>
    </w:rPr>
  </w:style>
  <w:style w:type="character" w:styleId="1719" w:customStyle="1">
    <w:name w:val="Recuo de corpo de texto 2 Char343"/>
    <w:uiPriority w:val="99"/>
    <w:semiHidden/>
    <w:qFormat/>
    <w:pPr>
      <w:pBdr/>
      <w:spacing/>
      <w:ind/>
    </w:pPr>
    <w:rPr>
      <w:rFonts w:eastAsia="Times New Roman" w:cs="Mangal"/>
      <w:sz w:val="18"/>
      <w:szCs w:val="18"/>
      <w:lang w:bidi="hi-IN"/>
    </w:rPr>
  </w:style>
  <w:style w:type="character" w:styleId="1720" w:customStyle="1">
    <w:name w:val="Recuo de corpo de texto 2 Char342"/>
    <w:uiPriority w:val="99"/>
    <w:semiHidden/>
    <w:qFormat/>
    <w:pPr>
      <w:pBdr/>
      <w:spacing/>
      <w:ind/>
    </w:pPr>
    <w:rPr>
      <w:rFonts w:eastAsia="Times New Roman" w:cs="Mangal"/>
      <w:sz w:val="18"/>
      <w:szCs w:val="18"/>
      <w:lang w:bidi="hi-IN"/>
    </w:rPr>
  </w:style>
  <w:style w:type="character" w:styleId="1721" w:customStyle="1">
    <w:name w:val="Recuo de corpo de texto 2 Char341"/>
    <w:uiPriority w:val="99"/>
    <w:semiHidden/>
    <w:qFormat/>
    <w:pPr>
      <w:pBdr/>
      <w:spacing/>
      <w:ind/>
    </w:pPr>
    <w:rPr>
      <w:rFonts w:eastAsia="Times New Roman" w:cs="Mangal"/>
      <w:sz w:val="18"/>
      <w:szCs w:val="18"/>
      <w:lang w:bidi="hi-IN"/>
    </w:rPr>
  </w:style>
  <w:style w:type="character" w:styleId="1722" w:customStyle="1">
    <w:name w:val="Recuo de corpo de texto 2 Char340"/>
    <w:uiPriority w:val="99"/>
    <w:semiHidden/>
    <w:qFormat/>
    <w:pPr>
      <w:pBdr/>
      <w:spacing/>
      <w:ind/>
    </w:pPr>
    <w:rPr>
      <w:rFonts w:eastAsia="Times New Roman" w:cs="Mangal"/>
      <w:sz w:val="18"/>
      <w:szCs w:val="18"/>
      <w:lang w:bidi="hi-IN"/>
    </w:rPr>
  </w:style>
  <w:style w:type="character" w:styleId="1723" w:customStyle="1">
    <w:name w:val="Recuo de corpo de texto 2 Char339"/>
    <w:uiPriority w:val="99"/>
    <w:semiHidden/>
    <w:qFormat/>
    <w:pPr>
      <w:pBdr/>
      <w:spacing/>
      <w:ind/>
    </w:pPr>
    <w:rPr>
      <w:rFonts w:eastAsia="Times New Roman" w:cs="Mangal"/>
      <w:sz w:val="18"/>
      <w:szCs w:val="18"/>
      <w:lang w:bidi="hi-IN"/>
    </w:rPr>
  </w:style>
  <w:style w:type="character" w:styleId="1724" w:customStyle="1">
    <w:name w:val="Recuo de corpo de texto 2 Char338"/>
    <w:uiPriority w:val="99"/>
    <w:semiHidden/>
    <w:qFormat/>
    <w:pPr>
      <w:pBdr/>
      <w:spacing/>
      <w:ind/>
    </w:pPr>
    <w:rPr>
      <w:rFonts w:eastAsia="Times New Roman" w:cs="Mangal"/>
      <w:sz w:val="18"/>
      <w:szCs w:val="18"/>
      <w:lang w:bidi="hi-IN"/>
    </w:rPr>
  </w:style>
  <w:style w:type="character" w:styleId="1725" w:customStyle="1">
    <w:name w:val="Recuo de corpo de texto 2 Char337"/>
    <w:uiPriority w:val="99"/>
    <w:semiHidden/>
    <w:qFormat/>
    <w:pPr>
      <w:pBdr/>
      <w:spacing/>
      <w:ind/>
    </w:pPr>
    <w:rPr>
      <w:rFonts w:eastAsia="Times New Roman" w:cs="Mangal"/>
      <w:sz w:val="18"/>
      <w:szCs w:val="18"/>
      <w:lang w:bidi="hi-IN"/>
    </w:rPr>
  </w:style>
  <w:style w:type="character" w:styleId="1726" w:customStyle="1">
    <w:name w:val="Recuo de corpo de texto 2 Char336"/>
    <w:uiPriority w:val="99"/>
    <w:semiHidden/>
    <w:qFormat/>
    <w:pPr>
      <w:pBdr/>
      <w:spacing/>
      <w:ind/>
    </w:pPr>
    <w:rPr>
      <w:rFonts w:eastAsia="Times New Roman" w:cs="Mangal"/>
      <w:sz w:val="18"/>
      <w:szCs w:val="18"/>
      <w:lang w:bidi="hi-IN"/>
    </w:rPr>
  </w:style>
  <w:style w:type="character" w:styleId="1727" w:customStyle="1">
    <w:name w:val="Recuo de corpo de texto 2 Char335"/>
    <w:uiPriority w:val="99"/>
    <w:semiHidden/>
    <w:qFormat/>
    <w:pPr>
      <w:pBdr/>
      <w:spacing/>
      <w:ind/>
    </w:pPr>
    <w:rPr>
      <w:rFonts w:eastAsia="Times New Roman" w:cs="Mangal"/>
      <w:sz w:val="18"/>
      <w:szCs w:val="18"/>
      <w:lang w:bidi="hi-IN"/>
    </w:rPr>
  </w:style>
  <w:style w:type="character" w:styleId="1728" w:customStyle="1">
    <w:name w:val="Recuo de corpo de texto 2 Char334"/>
    <w:uiPriority w:val="99"/>
    <w:semiHidden/>
    <w:qFormat/>
    <w:pPr>
      <w:pBdr/>
      <w:spacing/>
      <w:ind/>
    </w:pPr>
    <w:rPr>
      <w:rFonts w:eastAsia="Times New Roman" w:cs="Mangal"/>
      <w:sz w:val="18"/>
      <w:szCs w:val="18"/>
      <w:lang w:bidi="hi-IN"/>
    </w:rPr>
  </w:style>
  <w:style w:type="character" w:styleId="1729" w:customStyle="1">
    <w:name w:val="Recuo de corpo de texto 2 Char333"/>
    <w:uiPriority w:val="99"/>
    <w:semiHidden/>
    <w:qFormat/>
    <w:pPr>
      <w:pBdr/>
      <w:spacing/>
      <w:ind/>
    </w:pPr>
    <w:rPr>
      <w:rFonts w:eastAsia="Times New Roman" w:cs="Mangal"/>
      <w:sz w:val="18"/>
      <w:szCs w:val="18"/>
      <w:lang w:bidi="hi-IN"/>
    </w:rPr>
  </w:style>
  <w:style w:type="character" w:styleId="1730" w:customStyle="1">
    <w:name w:val="Recuo de corpo de texto 2 Char332"/>
    <w:uiPriority w:val="99"/>
    <w:semiHidden/>
    <w:qFormat/>
    <w:pPr>
      <w:pBdr/>
      <w:spacing/>
      <w:ind/>
    </w:pPr>
    <w:rPr>
      <w:rFonts w:eastAsia="Times New Roman" w:cs="Mangal"/>
      <w:sz w:val="18"/>
      <w:szCs w:val="18"/>
      <w:lang w:bidi="hi-IN"/>
    </w:rPr>
  </w:style>
  <w:style w:type="character" w:styleId="1731" w:customStyle="1">
    <w:name w:val="Recuo de corpo de texto 2 Char331"/>
    <w:uiPriority w:val="99"/>
    <w:semiHidden/>
    <w:qFormat/>
    <w:pPr>
      <w:pBdr/>
      <w:spacing/>
      <w:ind/>
    </w:pPr>
    <w:rPr>
      <w:rFonts w:eastAsia="Times New Roman" w:cs="Mangal"/>
      <w:sz w:val="18"/>
      <w:szCs w:val="18"/>
      <w:lang w:bidi="hi-IN"/>
    </w:rPr>
  </w:style>
  <w:style w:type="character" w:styleId="1732" w:customStyle="1">
    <w:name w:val="Recuo de corpo de texto 2 Char330"/>
    <w:uiPriority w:val="99"/>
    <w:semiHidden/>
    <w:qFormat/>
    <w:pPr>
      <w:pBdr/>
      <w:spacing/>
      <w:ind/>
    </w:pPr>
    <w:rPr>
      <w:rFonts w:eastAsia="Times New Roman" w:cs="Mangal"/>
      <w:sz w:val="18"/>
      <w:szCs w:val="18"/>
      <w:lang w:bidi="hi-IN"/>
    </w:rPr>
  </w:style>
  <w:style w:type="character" w:styleId="1733" w:customStyle="1">
    <w:name w:val="Recuo de corpo de texto 2 Char329"/>
    <w:uiPriority w:val="99"/>
    <w:semiHidden/>
    <w:qFormat/>
    <w:pPr>
      <w:pBdr/>
      <w:spacing/>
      <w:ind/>
    </w:pPr>
    <w:rPr>
      <w:rFonts w:eastAsia="Times New Roman" w:cs="Mangal"/>
      <w:sz w:val="18"/>
      <w:szCs w:val="18"/>
      <w:lang w:bidi="hi-IN"/>
    </w:rPr>
  </w:style>
  <w:style w:type="character" w:styleId="1734" w:customStyle="1">
    <w:name w:val="Recuo de corpo de texto 2 Char328"/>
    <w:uiPriority w:val="99"/>
    <w:semiHidden/>
    <w:qFormat/>
    <w:pPr>
      <w:pBdr/>
      <w:spacing/>
      <w:ind/>
    </w:pPr>
    <w:rPr>
      <w:rFonts w:eastAsia="Times New Roman" w:cs="Mangal"/>
      <w:sz w:val="18"/>
      <w:szCs w:val="18"/>
      <w:lang w:bidi="hi-IN"/>
    </w:rPr>
  </w:style>
  <w:style w:type="character" w:styleId="1735" w:customStyle="1">
    <w:name w:val="Recuo de corpo de texto 2 Char327"/>
    <w:uiPriority w:val="99"/>
    <w:semiHidden/>
    <w:qFormat/>
    <w:pPr>
      <w:pBdr/>
      <w:spacing/>
      <w:ind/>
    </w:pPr>
    <w:rPr>
      <w:rFonts w:eastAsia="Times New Roman" w:cs="Mangal"/>
      <w:sz w:val="18"/>
      <w:szCs w:val="18"/>
      <w:lang w:bidi="hi-IN"/>
    </w:rPr>
  </w:style>
  <w:style w:type="character" w:styleId="1736" w:customStyle="1">
    <w:name w:val="Recuo de corpo de texto 2 Char326"/>
    <w:uiPriority w:val="99"/>
    <w:semiHidden/>
    <w:qFormat/>
    <w:pPr>
      <w:pBdr/>
      <w:spacing/>
      <w:ind/>
    </w:pPr>
    <w:rPr>
      <w:rFonts w:eastAsia="Times New Roman" w:cs="Mangal"/>
      <w:sz w:val="18"/>
      <w:szCs w:val="18"/>
      <w:lang w:bidi="hi-IN"/>
    </w:rPr>
  </w:style>
  <w:style w:type="character" w:styleId="1737" w:customStyle="1">
    <w:name w:val="Recuo de corpo de texto 2 Char325"/>
    <w:uiPriority w:val="99"/>
    <w:semiHidden/>
    <w:qFormat/>
    <w:pPr>
      <w:pBdr/>
      <w:spacing/>
      <w:ind/>
    </w:pPr>
    <w:rPr>
      <w:rFonts w:eastAsia="Times New Roman" w:cs="Mangal"/>
      <w:sz w:val="18"/>
      <w:szCs w:val="18"/>
      <w:lang w:bidi="hi-IN"/>
    </w:rPr>
  </w:style>
  <w:style w:type="character" w:styleId="1738" w:customStyle="1">
    <w:name w:val="Recuo de corpo de texto 2 Char324"/>
    <w:uiPriority w:val="99"/>
    <w:semiHidden/>
    <w:qFormat/>
    <w:pPr>
      <w:pBdr/>
      <w:spacing/>
      <w:ind/>
    </w:pPr>
    <w:rPr>
      <w:rFonts w:eastAsia="Times New Roman" w:cs="Mangal"/>
      <w:sz w:val="18"/>
      <w:szCs w:val="18"/>
      <w:lang w:bidi="hi-IN"/>
    </w:rPr>
  </w:style>
  <w:style w:type="character" w:styleId="1739" w:customStyle="1">
    <w:name w:val="Recuo de corpo de texto 2 Char323"/>
    <w:uiPriority w:val="99"/>
    <w:semiHidden/>
    <w:qFormat/>
    <w:pPr>
      <w:pBdr/>
      <w:spacing/>
      <w:ind/>
    </w:pPr>
    <w:rPr>
      <w:rFonts w:eastAsia="Times New Roman" w:cs="Mangal"/>
      <w:sz w:val="18"/>
      <w:szCs w:val="18"/>
      <w:lang w:bidi="hi-IN"/>
    </w:rPr>
  </w:style>
  <w:style w:type="character" w:styleId="1740" w:customStyle="1">
    <w:name w:val="Recuo de corpo de texto 2 Char322"/>
    <w:uiPriority w:val="99"/>
    <w:semiHidden/>
    <w:qFormat/>
    <w:pPr>
      <w:pBdr/>
      <w:spacing/>
      <w:ind/>
    </w:pPr>
    <w:rPr>
      <w:rFonts w:eastAsia="Times New Roman" w:cs="Mangal"/>
      <w:sz w:val="18"/>
      <w:szCs w:val="18"/>
      <w:lang w:bidi="hi-IN"/>
    </w:rPr>
  </w:style>
  <w:style w:type="character" w:styleId="1741" w:customStyle="1">
    <w:name w:val="Recuo de corpo de texto 2 Char321"/>
    <w:uiPriority w:val="99"/>
    <w:semiHidden/>
    <w:qFormat/>
    <w:pPr>
      <w:pBdr/>
      <w:spacing/>
      <w:ind/>
    </w:pPr>
    <w:rPr>
      <w:rFonts w:eastAsia="Times New Roman" w:cs="Mangal"/>
      <w:sz w:val="18"/>
      <w:szCs w:val="18"/>
      <w:lang w:bidi="hi-IN"/>
    </w:rPr>
  </w:style>
  <w:style w:type="character" w:styleId="1742" w:customStyle="1">
    <w:name w:val="Recuo de corpo de texto 2 Char320"/>
    <w:uiPriority w:val="99"/>
    <w:semiHidden/>
    <w:qFormat/>
    <w:pPr>
      <w:pBdr/>
      <w:spacing/>
      <w:ind/>
    </w:pPr>
    <w:rPr>
      <w:rFonts w:eastAsia="Times New Roman" w:cs="Mangal"/>
      <w:sz w:val="18"/>
      <w:szCs w:val="18"/>
      <w:lang w:bidi="hi-IN"/>
    </w:rPr>
  </w:style>
  <w:style w:type="character" w:styleId="1743" w:customStyle="1">
    <w:name w:val="Recuo de corpo de texto 2 Char319"/>
    <w:uiPriority w:val="99"/>
    <w:semiHidden/>
    <w:qFormat/>
    <w:pPr>
      <w:pBdr/>
      <w:spacing/>
      <w:ind/>
    </w:pPr>
    <w:rPr>
      <w:rFonts w:eastAsia="Times New Roman" w:cs="Mangal"/>
      <w:sz w:val="18"/>
      <w:szCs w:val="18"/>
      <w:lang w:bidi="hi-IN"/>
    </w:rPr>
  </w:style>
  <w:style w:type="character" w:styleId="1744" w:customStyle="1">
    <w:name w:val="Recuo de corpo de texto 2 Char318"/>
    <w:uiPriority w:val="99"/>
    <w:semiHidden/>
    <w:qFormat/>
    <w:pPr>
      <w:pBdr/>
      <w:spacing/>
      <w:ind/>
    </w:pPr>
    <w:rPr>
      <w:rFonts w:eastAsia="Times New Roman" w:cs="Mangal"/>
      <w:sz w:val="18"/>
      <w:szCs w:val="18"/>
      <w:lang w:bidi="hi-IN"/>
    </w:rPr>
  </w:style>
  <w:style w:type="character" w:styleId="1745" w:customStyle="1">
    <w:name w:val="Recuo de corpo de texto 2 Char317"/>
    <w:uiPriority w:val="99"/>
    <w:semiHidden/>
    <w:qFormat/>
    <w:pPr>
      <w:pBdr/>
      <w:spacing/>
      <w:ind/>
    </w:pPr>
    <w:rPr>
      <w:rFonts w:eastAsia="Times New Roman" w:cs="Mangal"/>
      <w:sz w:val="18"/>
      <w:szCs w:val="18"/>
      <w:lang w:bidi="hi-IN"/>
    </w:rPr>
  </w:style>
  <w:style w:type="character" w:styleId="1746" w:customStyle="1">
    <w:name w:val="Recuo de corpo de texto 2 Char316"/>
    <w:uiPriority w:val="99"/>
    <w:semiHidden/>
    <w:qFormat/>
    <w:pPr>
      <w:pBdr/>
      <w:spacing/>
      <w:ind/>
    </w:pPr>
    <w:rPr>
      <w:rFonts w:eastAsia="Times New Roman" w:cs="Mangal"/>
      <w:sz w:val="18"/>
      <w:szCs w:val="18"/>
      <w:lang w:bidi="hi-IN"/>
    </w:rPr>
  </w:style>
  <w:style w:type="character" w:styleId="1747" w:customStyle="1">
    <w:name w:val="Recuo de corpo de texto 2 Char315"/>
    <w:uiPriority w:val="99"/>
    <w:semiHidden/>
    <w:qFormat/>
    <w:pPr>
      <w:pBdr/>
      <w:spacing/>
      <w:ind/>
    </w:pPr>
    <w:rPr>
      <w:rFonts w:eastAsia="Times New Roman" w:cs="Mangal"/>
      <w:sz w:val="18"/>
      <w:szCs w:val="18"/>
      <w:lang w:bidi="hi-IN"/>
    </w:rPr>
  </w:style>
  <w:style w:type="character" w:styleId="1748" w:customStyle="1">
    <w:name w:val="Recuo de corpo de texto 2 Char314"/>
    <w:uiPriority w:val="99"/>
    <w:semiHidden/>
    <w:qFormat/>
    <w:pPr>
      <w:pBdr/>
      <w:spacing/>
      <w:ind/>
    </w:pPr>
    <w:rPr>
      <w:rFonts w:eastAsia="Times New Roman" w:cs="Mangal"/>
      <w:sz w:val="18"/>
      <w:szCs w:val="18"/>
      <w:lang w:bidi="hi-IN"/>
    </w:rPr>
  </w:style>
  <w:style w:type="character" w:styleId="1749" w:customStyle="1">
    <w:name w:val="Recuo de corpo de texto 2 Char313"/>
    <w:uiPriority w:val="99"/>
    <w:semiHidden/>
    <w:qFormat/>
    <w:pPr>
      <w:pBdr/>
      <w:spacing/>
      <w:ind/>
    </w:pPr>
    <w:rPr>
      <w:rFonts w:eastAsia="Times New Roman" w:cs="Mangal"/>
      <w:sz w:val="18"/>
      <w:szCs w:val="18"/>
      <w:lang w:bidi="hi-IN"/>
    </w:rPr>
  </w:style>
  <w:style w:type="character" w:styleId="1750" w:customStyle="1">
    <w:name w:val="Recuo de corpo de texto 2 Char312"/>
    <w:uiPriority w:val="99"/>
    <w:semiHidden/>
    <w:qFormat/>
    <w:pPr>
      <w:pBdr/>
      <w:spacing/>
      <w:ind/>
    </w:pPr>
    <w:rPr>
      <w:rFonts w:eastAsia="Times New Roman" w:cs="Mangal"/>
      <w:sz w:val="18"/>
      <w:szCs w:val="18"/>
      <w:lang w:bidi="hi-IN"/>
    </w:rPr>
  </w:style>
  <w:style w:type="character" w:styleId="1751" w:customStyle="1">
    <w:name w:val="Recuo de corpo de texto 2 Char311"/>
    <w:uiPriority w:val="99"/>
    <w:semiHidden/>
    <w:qFormat/>
    <w:pPr>
      <w:pBdr/>
      <w:spacing/>
      <w:ind/>
    </w:pPr>
    <w:rPr>
      <w:rFonts w:eastAsia="Times New Roman" w:cs="Mangal"/>
      <w:sz w:val="18"/>
      <w:szCs w:val="18"/>
      <w:lang w:bidi="hi-IN"/>
    </w:rPr>
  </w:style>
  <w:style w:type="character" w:styleId="1752" w:customStyle="1">
    <w:name w:val="Texto sem Formatação Char3"/>
    <w:uiPriority w:val="99"/>
    <w:semiHidden/>
    <w:qFormat/>
    <w:pPr>
      <w:pBdr/>
      <w:spacing/>
      <w:ind/>
    </w:pPr>
    <w:rPr>
      <w:rFonts w:ascii="Courier New" w:hAnsi="Courier New" w:cs="Courier New"/>
      <w:lang w:eastAsia="zh-CN"/>
    </w:rPr>
  </w:style>
  <w:style w:type="character" w:styleId="1753" w:customStyle="1">
    <w:name w:val="Texto sem Formatação Char277"/>
    <w:uiPriority w:val="99"/>
    <w:semiHidden/>
    <w:qFormat/>
    <w:pPr>
      <w:pBdr/>
      <w:spacing/>
      <w:ind/>
    </w:pPr>
    <w:rPr>
      <w:rFonts w:ascii="Courier New" w:hAnsi="Courier New" w:cs="Mangal"/>
      <w:sz w:val="18"/>
      <w:szCs w:val="18"/>
      <w:lang w:bidi="hi-IN"/>
    </w:rPr>
  </w:style>
  <w:style w:type="character" w:styleId="1754" w:customStyle="1">
    <w:name w:val="Texto sem Formatação Char276"/>
    <w:uiPriority w:val="99"/>
    <w:semiHidden/>
    <w:qFormat/>
    <w:pPr>
      <w:pBdr/>
      <w:spacing/>
      <w:ind/>
    </w:pPr>
    <w:rPr>
      <w:rFonts w:ascii="Courier New" w:hAnsi="Courier New" w:cs="Mangal"/>
      <w:sz w:val="18"/>
      <w:szCs w:val="18"/>
      <w:lang w:bidi="hi-IN"/>
    </w:rPr>
  </w:style>
  <w:style w:type="character" w:styleId="1755" w:customStyle="1">
    <w:name w:val="Texto sem Formatação Char275"/>
    <w:uiPriority w:val="99"/>
    <w:semiHidden/>
    <w:qFormat/>
    <w:pPr>
      <w:pBdr/>
      <w:spacing/>
      <w:ind/>
    </w:pPr>
    <w:rPr>
      <w:rFonts w:ascii="Courier New" w:hAnsi="Courier New" w:cs="Mangal"/>
      <w:sz w:val="18"/>
      <w:szCs w:val="18"/>
      <w:lang w:bidi="hi-IN"/>
    </w:rPr>
  </w:style>
  <w:style w:type="character" w:styleId="1756" w:customStyle="1">
    <w:name w:val="Texto sem Formatação Char274"/>
    <w:uiPriority w:val="99"/>
    <w:semiHidden/>
    <w:qFormat/>
    <w:pPr>
      <w:pBdr/>
      <w:spacing/>
      <w:ind/>
    </w:pPr>
    <w:rPr>
      <w:rFonts w:ascii="Courier New" w:hAnsi="Courier New" w:cs="Mangal"/>
      <w:sz w:val="18"/>
      <w:szCs w:val="18"/>
      <w:lang w:bidi="hi-IN"/>
    </w:rPr>
  </w:style>
  <w:style w:type="character" w:styleId="1757" w:customStyle="1">
    <w:name w:val="Texto sem Formatação Char273"/>
    <w:uiPriority w:val="99"/>
    <w:semiHidden/>
    <w:qFormat/>
    <w:pPr>
      <w:pBdr/>
      <w:spacing/>
      <w:ind/>
    </w:pPr>
    <w:rPr>
      <w:rFonts w:ascii="Courier New" w:hAnsi="Courier New" w:cs="Mangal"/>
      <w:sz w:val="18"/>
      <w:szCs w:val="18"/>
      <w:lang w:bidi="hi-IN"/>
    </w:rPr>
  </w:style>
  <w:style w:type="character" w:styleId="1758" w:customStyle="1">
    <w:name w:val="Texto sem Formatação Char272"/>
    <w:uiPriority w:val="99"/>
    <w:semiHidden/>
    <w:qFormat/>
    <w:pPr>
      <w:pBdr/>
      <w:spacing/>
      <w:ind/>
    </w:pPr>
    <w:rPr>
      <w:rFonts w:ascii="Courier New" w:hAnsi="Courier New" w:cs="Mangal"/>
      <w:sz w:val="18"/>
      <w:szCs w:val="18"/>
      <w:lang w:bidi="hi-IN"/>
    </w:rPr>
  </w:style>
  <w:style w:type="character" w:styleId="1759" w:customStyle="1">
    <w:name w:val="Texto sem Formatação Char271"/>
    <w:uiPriority w:val="99"/>
    <w:semiHidden/>
    <w:qFormat/>
    <w:pPr>
      <w:pBdr/>
      <w:spacing/>
      <w:ind/>
    </w:pPr>
    <w:rPr>
      <w:rFonts w:ascii="Courier New" w:hAnsi="Courier New" w:cs="Mangal"/>
      <w:sz w:val="18"/>
      <w:szCs w:val="18"/>
      <w:lang w:bidi="hi-IN"/>
    </w:rPr>
  </w:style>
  <w:style w:type="character" w:styleId="1760" w:customStyle="1">
    <w:name w:val="Texto sem Formatação Char270"/>
    <w:uiPriority w:val="99"/>
    <w:semiHidden/>
    <w:qFormat/>
    <w:pPr>
      <w:pBdr/>
      <w:spacing/>
      <w:ind/>
    </w:pPr>
    <w:rPr>
      <w:rFonts w:ascii="Courier New" w:hAnsi="Courier New" w:cs="Mangal"/>
      <w:sz w:val="18"/>
      <w:szCs w:val="18"/>
      <w:lang w:bidi="hi-IN"/>
    </w:rPr>
  </w:style>
  <w:style w:type="character" w:styleId="1761" w:customStyle="1">
    <w:name w:val="Texto sem Formatação Char269"/>
    <w:uiPriority w:val="99"/>
    <w:semiHidden/>
    <w:qFormat/>
    <w:pPr>
      <w:pBdr/>
      <w:spacing/>
      <w:ind/>
    </w:pPr>
    <w:rPr>
      <w:rFonts w:ascii="Courier New" w:hAnsi="Courier New" w:cs="Mangal"/>
      <w:sz w:val="18"/>
      <w:szCs w:val="18"/>
      <w:lang w:bidi="hi-IN"/>
    </w:rPr>
  </w:style>
  <w:style w:type="character" w:styleId="1762" w:customStyle="1">
    <w:name w:val="Texto sem Formatação Char268"/>
    <w:uiPriority w:val="99"/>
    <w:semiHidden/>
    <w:qFormat/>
    <w:pPr>
      <w:pBdr/>
      <w:spacing/>
      <w:ind/>
    </w:pPr>
    <w:rPr>
      <w:rFonts w:ascii="Courier New" w:hAnsi="Courier New" w:cs="Mangal"/>
      <w:sz w:val="18"/>
      <w:szCs w:val="18"/>
      <w:lang w:bidi="hi-IN"/>
    </w:rPr>
  </w:style>
  <w:style w:type="character" w:styleId="1763" w:customStyle="1">
    <w:name w:val="Texto sem Formatação Char267"/>
    <w:uiPriority w:val="99"/>
    <w:semiHidden/>
    <w:qFormat/>
    <w:pPr>
      <w:pBdr/>
      <w:spacing/>
      <w:ind/>
    </w:pPr>
    <w:rPr>
      <w:rFonts w:ascii="Courier New" w:hAnsi="Courier New" w:cs="Mangal"/>
      <w:sz w:val="18"/>
      <w:szCs w:val="18"/>
      <w:lang w:bidi="hi-IN"/>
    </w:rPr>
  </w:style>
  <w:style w:type="character" w:styleId="1764" w:customStyle="1">
    <w:name w:val="Texto sem Formatação Char266"/>
    <w:uiPriority w:val="99"/>
    <w:semiHidden/>
    <w:qFormat/>
    <w:pPr>
      <w:pBdr/>
      <w:spacing/>
      <w:ind/>
    </w:pPr>
    <w:rPr>
      <w:rFonts w:ascii="Courier New" w:hAnsi="Courier New" w:cs="Mangal"/>
      <w:sz w:val="18"/>
      <w:szCs w:val="18"/>
      <w:lang w:bidi="hi-IN"/>
    </w:rPr>
  </w:style>
  <w:style w:type="character" w:styleId="1765" w:customStyle="1">
    <w:name w:val="Texto sem Formatação Char265"/>
    <w:uiPriority w:val="99"/>
    <w:semiHidden/>
    <w:qFormat/>
    <w:pPr>
      <w:pBdr/>
      <w:spacing/>
      <w:ind/>
    </w:pPr>
    <w:rPr>
      <w:rFonts w:ascii="Courier New" w:hAnsi="Courier New" w:cs="Mangal"/>
      <w:sz w:val="18"/>
      <w:szCs w:val="18"/>
      <w:lang w:bidi="hi-IN"/>
    </w:rPr>
  </w:style>
  <w:style w:type="character" w:styleId="1766" w:customStyle="1">
    <w:name w:val="Texto sem Formatação Char264"/>
    <w:uiPriority w:val="99"/>
    <w:semiHidden/>
    <w:qFormat/>
    <w:pPr>
      <w:pBdr/>
      <w:spacing/>
      <w:ind/>
    </w:pPr>
    <w:rPr>
      <w:rFonts w:ascii="Courier New" w:hAnsi="Courier New" w:cs="Mangal"/>
      <w:sz w:val="18"/>
      <w:szCs w:val="18"/>
      <w:lang w:bidi="hi-IN"/>
    </w:rPr>
  </w:style>
  <w:style w:type="character" w:styleId="1767" w:customStyle="1">
    <w:name w:val="Texto sem Formatação Char263"/>
    <w:uiPriority w:val="99"/>
    <w:semiHidden/>
    <w:qFormat/>
    <w:pPr>
      <w:pBdr/>
      <w:spacing/>
      <w:ind/>
    </w:pPr>
    <w:rPr>
      <w:rFonts w:ascii="Courier New" w:hAnsi="Courier New" w:cs="Mangal"/>
      <w:sz w:val="18"/>
      <w:szCs w:val="18"/>
      <w:lang w:bidi="hi-IN"/>
    </w:rPr>
  </w:style>
  <w:style w:type="character" w:styleId="1768" w:customStyle="1">
    <w:name w:val="Texto sem Formatação Char262"/>
    <w:uiPriority w:val="99"/>
    <w:semiHidden/>
    <w:qFormat/>
    <w:pPr>
      <w:pBdr/>
      <w:spacing/>
      <w:ind/>
    </w:pPr>
    <w:rPr>
      <w:rFonts w:ascii="Courier New" w:hAnsi="Courier New" w:cs="Mangal"/>
      <w:sz w:val="18"/>
      <w:szCs w:val="18"/>
      <w:lang w:bidi="hi-IN"/>
    </w:rPr>
  </w:style>
  <w:style w:type="character" w:styleId="1769" w:customStyle="1">
    <w:name w:val="Texto sem Formatação Char261"/>
    <w:uiPriority w:val="99"/>
    <w:semiHidden/>
    <w:qFormat/>
    <w:pPr>
      <w:pBdr/>
      <w:spacing/>
      <w:ind/>
    </w:pPr>
    <w:rPr>
      <w:rFonts w:ascii="Courier New" w:hAnsi="Courier New" w:cs="Mangal"/>
      <w:sz w:val="18"/>
      <w:szCs w:val="18"/>
      <w:lang w:bidi="hi-IN"/>
    </w:rPr>
  </w:style>
  <w:style w:type="character" w:styleId="1770" w:customStyle="1">
    <w:name w:val="Texto sem Formatação Char260"/>
    <w:uiPriority w:val="99"/>
    <w:semiHidden/>
    <w:qFormat/>
    <w:pPr>
      <w:pBdr/>
      <w:spacing/>
      <w:ind/>
    </w:pPr>
    <w:rPr>
      <w:rFonts w:ascii="Courier New" w:hAnsi="Courier New" w:cs="Mangal"/>
      <w:sz w:val="18"/>
      <w:szCs w:val="18"/>
      <w:lang w:bidi="hi-IN"/>
    </w:rPr>
  </w:style>
  <w:style w:type="character" w:styleId="1771" w:customStyle="1">
    <w:name w:val="Texto sem Formatação Char259"/>
    <w:uiPriority w:val="99"/>
    <w:semiHidden/>
    <w:qFormat/>
    <w:pPr>
      <w:pBdr/>
      <w:spacing/>
      <w:ind/>
    </w:pPr>
    <w:rPr>
      <w:rFonts w:ascii="Courier New" w:hAnsi="Courier New" w:cs="Mangal"/>
      <w:sz w:val="18"/>
      <w:szCs w:val="18"/>
      <w:lang w:bidi="hi-IN"/>
    </w:rPr>
  </w:style>
  <w:style w:type="character" w:styleId="1772" w:customStyle="1">
    <w:name w:val="Texto sem Formatação Char258"/>
    <w:uiPriority w:val="99"/>
    <w:semiHidden/>
    <w:qFormat/>
    <w:pPr>
      <w:pBdr/>
      <w:spacing/>
      <w:ind/>
    </w:pPr>
    <w:rPr>
      <w:rFonts w:ascii="Courier New" w:hAnsi="Courier New" w:cs="Mangal"/>
      <w:sz w:val="18"/>
      <w:szCs w:val="18"/>
      <w:lang w:bidi="hi-IN"/>
    </w:rPr>
  </w:style>
  <w:style w:type="character" w:styleId="1773" w:customStyle="1">
    <w:name w:val="Texto sem Formatação Char257"/>
    <w:uiPriority w:val="99"/>
    <w:semiHidden/>
    <w:qFormat/>
    <w:pPr>
      <w:pBdr/>
      <w:spacing/>
      <w:ind/>
    </w:pPr>
    <w:rPr>
      <w:rFonts w:ascii="Courier New" w:hAnsi="Courier New" w:cs="Mangal"/>
      <w:sz w:val="18"/>
      <w:szCs w:val="18"/>
      <w:lang w:bidi="hi-IN"/>
    </w:rPr>
  </w:style>
  <w:style w:type="character" w:styleId="1774" w:customStyle="1">
    <w:name w:val="Texto sem Formatação Char256"/>
    <w:uiPriority w:val="99"/>
    <w:semiHidden/>
    <w:qFormat/>
    <w:pPr>
      <w:pBdr/>
      <w:spacing/>
      <w:ind/>
    </w:pPr>
    <w:rPr>
      <w:rFonts w:ascii="Courier New" w:hAnsi="Courier New" w:cs="Mangal"/>
      <w:sz w:val="18"/>
      <w:szCs w:val="18"/>
      <w:lang w:bidi="hi-IN"/>
    </w:rPr>
  </w:style>
  <w:style w:type="character" w:styleId="1775" w:customStyle="1">
    <w:name w:val="Texto sem Formatação Char255"/>
    <w:uiPriority w:val="99"/>
    <w:semiHidden/>
    <w:qFormat/>
    <w:pPr>
      <w:pBdr/>
      <w:spacing/>
      <w:ind/>
    </w:pPr>
    <w:rPr>
      <w:rFonts w:ascii="Courier New" w:hAnsi="Courier New" w:cs="Mangal"/>
      <w:sz w:val="18"/>
      <w:szCs w:val="18"/>
      <w:lang w:bidi="hi-IN"/>
    </w:rPr>
  </w:style>
  <w:style w:type="character" w:styleId="1776" w:customStyle="1">
    <w:name w:val="Texto sem Formatação Char254"/>
    <w:uiPriority w:val="99"/>
    <w:semiHidden/>
    <w:qFormat/>
    <w:pPr>
      <w:pBdr/>
      <w:spacing/>
      <w:ind/>
    </w:pPr>
    <w:rPr>
      <w:rFonts w:ascii="Courier New" w:hAnsi="Courier New" w:cs="Mangal"/>
      <w:sz w:val="18"/>
      <w:szCs w:val="18"/>
      <w:lang w:bidi="hi-IN"/>
    </w:rPr>
  </w:style>
  <w:style w:type="character" w:styleId="1777" w:customStyle="1">
    <w:name w:val="Texto sem Formatação Char253"/>
    <w:uiPriority w:val="99"/>
    <w:semiHidden/>
    <w:qFormat/>
    <w:pPr>
      <w:pBdr/>
      <w:spacing/>
      <w:ind/>
    </w:pPr>
    <w:rPr>
      <w:rFonts w:ascii="Courier New" w:hAnsi="Courier New" w:cs="Mangal"/>
      <w:sz w:val="18"/>
      <w:szCs w:val="18"/>
      <w:lang w:bidi="hi-IN"/>
    </w:rPr>
  </w:style>
  <w:style w:type="character" w:styleId="1778" w:customStyle="1">
    <w:name w:val="Texto sem Formatação Char252"/>
    <w:uiPriority w:val="99"/>
    <w:semiHidden/>
    <w:qFormat/>
    <w:pPr>
      <w:pBdr/>
      <w:spacing/>
      <w:ind/>
    </w:pPr>
    <w:rPr>
      <w:rFonts w:ascii="Courier New" w:hAnsi="Courier New" w:cs="Mangal"/>
      <w:sz w:val="18"/>
      <w:szCs w:val="18"/>
      <w:lang w:bidi="hi-IN"/>
    </w:rPr>
  </w:style>
  <w:style w:type="character" w:styleId="1779" w:customStyle="1">
    <w:name w:val="Texto sem Formatação Char251"/>
    <w:uiPriority w:val="99"/>
    <w:semiHidden/>
    <w:qFormat/>
    <w:pPr>
      <w:pBdr/>
      <w:spacing/>
      <w:ind/>
    </w:pPr>
    <w:rPr>
      <w:rFonts w:ascii="Courier New" w:hAnsi="Courier New" w:cs="Mangal"/>
      <w:sz w:val="18"/>
      <w:szCs w:val="18"/>
      <w:lang w:bidi="hi-IN"/>
    </w:rPr>
  </w:style>
  <w:style w:type="character" w:styleId="1780" w:customStyle="1">
    <w:name w:val="Texto sem Formatação Char250"/>
    <w:uiPriority w:val="99"/>
    <w:semiHidden/>
    <w:qFormat/>
    <w:pPr>
      <w:pBdr/>
      <w:spacing/>
      <w:ind/>
    </w:pPr>
    <w:rPr>
      <w:rFonts w:ascii="Courier New" w:hAnsi="Courier New" w:cs="Mangal"/>
      <w:sz w:val="18"/>
      <w:szCs w:val="18"/>
      <w:lang w:bidi="hi-IN"/>
    </w:rPr>
  </w:style>
  <w:style w:type="character" w:styleId="1781" w:customStyle="1">
    <w:name w:val="Texto sem Formatação Char249"/>
    <w:uiPriority w:val="99"/>
    <w:semiHidden/>
    <w:qFormat/>
    <w:pPr>
      <w:pBdr/>
      <w:spacing/>
      <w:ind/>
    </w:pPr>
    <w:rPr>
      <w:rFonts w:ascii="Courier New" w:hAnsi="Courier New" w:cs="Mangal"/>
      <w:sz w:val="18"/>
      <w:szCs w:val="18"/>
      <w:lang w:bidi="hi-IN"/>
    </w:rPr>
  </w:style>
  <w:style w:type="character" w:styleId="1782" w:customStyle="1">
    <w:name w:val="Texto sem Formatação Char248"/>
    <w:uiPriority w:val="99"/>
    <w:semiHidden/>
    <w:qFormat/>
    <w:pPr>
      <w:pBdr/>
      <w:spacing/>
      <w:ind/>
    </w:pPr>
    <w:rPr>
      <w:rFonts w:ascii="Courier New" w:hAnsi="Courier New" w:cs="Mangal"/>
      <w:sz w:val="18"/>
      <w:szCs w:val="18"/>
      <w:lang w:bidi="hi-IN"/>
    </w:rPr>
  </w:style>
  <w:style w:type="character" w:styleId="1783" w:customStyle="1">
    <w:name w:val="Texto sem Formatação Char247"/>
    <w:uiPriority w:val="99"/>
    <w:semiHidden/>
    <w:qFormat/>
    <w:pPr>
      <w:pBdr/>
      <w:spacing/>
      <w:ind/>
    </w:pPr>
    <w:rPr>
      <w:rFonts w:ascii="Courier New" w:hAnsi="Courier New" w:cs="Mangal"/>
      <w:sz w:val="18"/>
      <w:szCs w:val="18"/>
      <w:lang w:bidi="hi-IN"/>
    </w:rPr>
  </w:style>
  <w:style w:type="character" w:styleId="1784" w:customStyle="1">
    <w:name w:val="Texto sem Formatação Char246"/>
    <w:uiPriority w:val="99"/>
    <w:semiHidden/>
    <w:qFormat/>
    <w:pPr>
      <w:pBdr/>
      <w:spacing/>
      <w:ind/>
    </w:pPr>
    <w:rPr>
      <w:rFonts w:ascii="Courier New" w:hAnsi="Courier New" w:cs="Mangal"/>
      <w:sz w:val="18"/>
      <w:szCs w:val="18"/>
      <w:lang w:bidi="hi-IN"/>
    </w:rPr>
  </w:style>
  <w:style w:type="character" w:styleId="1785" w:customStyle="1">
    <w:name w:val="Texto sem Formatação Char245"/>
    <w:uiPriority w:val="99"/>
    <w:semiHidden/>
    <w:qFormat/>
    <w:pPr>
      <w:pBdr/>
      <w:spacing/>
      <w:ind/>
    </w:pPr>
    <w:rPr>
      <w:rFonts w:ascii="Courier New" w:hAnsi="Courier New" w:cs="Mangal"/>
      <w:sz w:val="18"/>
      <w:szCs w:val="18"/>
      <w:lang w:bidi="hi-IN"/>
    </w:rPr>
  </w:style>
  <w:style w:type="character" w:styleId="1786" w:customStyle="1">
    <w:name w:val="Texto sem Formatação Char244"/>
    <w:uiPriority w:val="99"/>
    <w:semiHidden/>
    <w:qFormat/>
    <w:pPr>
      <w:pBdr/>
      <w:spacing/>
      <w:ind/>
    </w:pPr>
    <w:rPr>
      <w:rFonts w:ascii="Courier New" w:hAnsi="Courier New" w:cs="Mangal"/>
      <w:sz w:val="18"/>
      <w:szCs w:val="18"/>
      <w:lang w:bidi="hi-IN"/>
    </w:rPr>
  </w:style>
  <w:style w:type="character" w:styleId="1787" w:customStyle="1">
    <w:name w:val="Texto sem Formatação Char243"/>
    <w:uiPriority w:val="99"/>
    <w:semiHidden/>
    <w:qFormat/>
    <w:pPr>
      <w:pBdr/>
      <w:spacing/>
      <w:ind/>
    </w:pPr>
    <w:rPr>
      <w:rFonts w:ascii="Courier New" w:hAnsi="Courier New" w:cs="Mangal"/>
      <w:sz w:val="18"/>
      <w:szCs w:val="18"/>
      <w:lang w:bidi="hi-IN"/>
    </w:rPr>
  </w:style>
  <w:style w:type="character" w:styleId="1788" w:customStyle="1">
    <w:name w:val="Texto sem Formatação Char242"/>
    <w:uiPriority w:val="99"/>
    <w:semiHidden/>
    <w:qFormat/>
    <w:pPr>
      <w:pBdr/>
      <w:spacing/>
      <w:ind/>
    </w:pPr>
    <w:rPr>
      <w:rFonts w:ascii="Courier New" w:hAnsi="Courier New" w:cs="Mangal"/>
      <w:sz w:val="18"/>
      <w:szCs w:val="18"/>
      <w:lang w:bidi="hi-IN"/>
    </w:rPr>
  </w:style>
  <w:style w:type="character" w:styleId="1789" w:customStyle="1">
    <w:name w:val="Texto sem Formatação Char241"/>
    <w:uiPriority w:val="99"/>
    <w:semiHidden/>
    <w:qFormat/>
    <w:pPr>
      <w:pBdr/>
      <w:spacing/>
      <w:ind/>
    </w:pPr>
    <w:rPr>
      <w:rFonts w:ascii="Courier New" w:hAnsi="Courier New" w:cs="Mangal"/>
      <w:sz w:val="18"/>
      <w:szCs w:val="18"/>
      <w:lang w:bidi="hi-IN"/>
    </w:rPr>
  </w:style>
  <w:style w:type="character" w:styleId="1790" w:customStyle="1">
    <w:name w:val="Texto sem Formatação Char240"/>
    <w:uiPriority w:val="99"/>
    <w:semiHidden/>
    <w:qFormat/>
    <w:pPr>
      <w:pBdr/>
      <w:spacing/>
      <w:ind/>
    </w:pPr>
    <w:rPr>
      <w:rFonts w:ascii="Courier New" w:hAnsi="Courier New" w:cs="Mangal"/>
      <w:sz w:val="18"/>
      <w:szCs w:val="18"/>
      <w:lang w:bidi="hi-IN"/>
    </w:rPr>
  </w:style>
  <w:style w:type="character" w:styleId="1791" w:customStyle="1">
    <w:name w:val="Texto sem Formatação Char239"/>
    <w:uiPriority w:val="99"/>
    <w:semiHidden/>
    <w:qFormat/>
    <w:pPr>
      <w:pBdr/>
      <w:spacing/>
      <w:ind/>
    </w:pPr>
    <w:rPr>
      <w:rFonts w:ascii="Courier New" w:hAnsi="Courier New" w:cs="Mangal"/>
      <w:sz w:val="18"/>
      <w:szCs w:val="18"/>
      <w:lang w:bidi="hi-IN"/>
    </w:rPr>
  </w:style>
  <w:style w:type="character" w:styleId="1792" w:customStyle="1">
    <w:name w:val="Texto sem Formatação Char238"/>
    <w:uiPriority w:val="99"/>
    <w:semiHidden/>
    <w:qFormat/>
    <w:pPr>
      <w:pBdr/>
      <w:spacing/>
      <w:ind/>
    </w:pPr>
    <w:rPr>
      <w:rFonts w:ascii="Courier New" w:hAnsi="Courier New" w:cs="Mangal"/>
      <w:sz w:val="18"/>
      <w:szCs w:val="18"/>
      <w:lang w:bidi="hi-IN"/>
    </w:rPr>
  </w:style>
  <w:style w:type="character" w:styleId="1793" w:customStyle="1">
    <w:name w:val="Texto sem Formatação Char237"/>
    <w:uiPriority w:val="99"/>
    <w:semiHidden/>
    <w:qFormat/>
    <w:pPr>
      <w:pBdr/>
      <w:spacing/>
      <w:ind/>
    </w:pPr>
    <w:rPr>
      <w:rFonts w:ascii="Courier New" w:hAnsi="Courier New" w:cs="Mangal"/>
      <w:sz w:val="18"/>
      <w:szCs w:val="18"/>
      <w:lang w:bidi="hi-IN"/>
    </w:rPr>
  </w:style>
  <w:style w:type="character" w:styleId="1794" w:customStyle="1">
    <w:name w:val="Texto sem Formatação Char236"/>
    <w:uiPriority w:val="99"/>
    <w:semiHidden/>
    <w:qFormat/>
    <w:pPr>
      <w:pBdr/>
      <w:spacing/>
      <w:ind/>
    </w:pPr>
    <w:rPr>
      <w:rFonts w:ascii="Courier New" w:hAnsi="Courier New" w:cs="Mangal"/>
      <w:sz w:val="18"/>
      <w:szCs w:val="18"/>
      <w:lang w:bidi="hi-IN"/>
    </w:rPr>
  </w:style>
  <w:style w:type="character" w:styleId="1795" w:customStyle="1">
    <w:name w:val="Texto sem Formatação Char235"/>
    <w:uiPriority w:val="99"/>
    <w:semiHidden/>
    <w:qFormat/>
    <w:pPr>
      <w:pBdr/>
      <w:spacing/>
      <w:ind/>
    </w:pPr>
    <w:rPr>
      <w:rFonts w:ascii="Courier New" w:hAnsi="Courier New" w:cs="Mangal"/>
      <w:sz w:val="18"/>
      <w:szCs w:val="18"/>
      <w:lang w:bidi="hi-IN"/>
    </w:rPr>
  </w:style>
  <w:style w:type="character" w:styleId="1796" w:customStyle="1">
    <w:name w:val="Texto sem Formatação Char234"/>
    <w:uiPriority w:val="99"/>
    <w:semiHidden/>
    <w:qFormat/>
    <w:pPr>
      <w:pBdr/>
      <w:spacing/>
      <w:ind/>
    </w:pPr>
    <w:rPr>
      <w:rFonts w:ascii="Courier New" w:hAnsi="Courier New" w:cs="Mangal"/>
      <w:sz w:val="18"/>
      <w:szCs w:val="18"/>
      <w:lang w:bidi="hi-IN"/>
    </w:rPr>
  </w:style>
  <w:style w:type="character" w:styleId="1797" w:customStyle="1">
    <w:name w:val="Texto sem Formatação Char233"/>
    <w:uiPriority w:val="99"/>
    <w:semiHidden/>
    <w:qFormat/>
    <w:pPr>
      <w:pBdr/>
      <w:spacing/>
      <w:ind/>
    </w:pPr>
    <w:rPr>
      <w:rFonts w:ascii="Courier New" w:hAnsi="Courier New" w:cs="Mangal"/>
      <w:sz w:val="18"/>
      <w:szCs w:val="18"/>
      <w:lang w:bidi="hi-IN"/>
    </w:rPr>
  </w:style>
  <w:style w:type="character" w:styleId="1798" w:customStyle="1">
    <w:name w:val="Texto sem Formatação Char232"/>
    <w:uiPriority w:val="99"/>
    <w:semiHidden/>
    <w:qFormat/>
    <w:pPr>
      <w:pBdr/>
      <w:spacing/>
      <w:ind/>
    </w:pPr>
    <w:rPr>
      <w:rFonts w:ascii="Courier New" w:hAnsi="Courier New" w:cs="Mangal"/>
      <w:sz w:val="18"/>
      <w:szCs w:val="18"/>
      <w:lang w:bidi="hi-IN"/>
    </w:rPr>
  </w:style>
  <w:style w:type="character" w:styleId="1799" w:customStyle="1">
    <w:name w:val="Texto sem Formatação Char231"/>
    <w:uiPriority w:val="99"/>
    <w:semiHidden/>
    <w:qFormat/>
    <w:pPr>
      <w:pBdr/>
      <w:spacing/>
      <w:ind/>
    </w:pPr>
    <w:rPr>
      <w:rFonts w:ascii="Courier New" w:hAnsi="Courier New" w:cs="Mangal"/>
      <w:sz w:val="18"/>
      <w:szCs w:val="18"/>
      <w:lang w:bidi="hi-IN"/>
    </w:rPr>
  </w:style>
  <w:style w:type="character" w:styleId="1800" w:customStyle="1">
    <w:name w:val="Texto sem Formatação Char230"/>
    <w:uiPriority w:val="99"/>
    <w:semiHidden/>
    <w:qFormat/>
    <w:pPr>
      <w:pBdr/>
      <w:spacing/>
      <w:ind/>
    </w:pPr>
    <w:rPr>
      <w:rFonts w:ascii="Courier New" w:hAnsi="Courier New" w:cs="Mangal"/>
      <w:sz w:val="18"/>
      <w:szCs w:val="18"/>
      <w:lang w:bidi="hi-IN"/>
    </w:rPr>
  </w:style>
  <w:style w:type="character" w:styleId="1801" w:customStyle="1">
    <w:name w:val="Texto sem Formatação Char229"/>
    <w:uiPriority w:val="99"/>
    <w:semiHidden/>
    <w:qFormat/>
    <w:pPr>
      <w:pBdr/>
      <w:spacing/>
      <w:ind/>
    </w:pPr>
    <w:rPr>
      <w:rFonts w:ascii="Courier New" w:hAnsi="Courier New" w:cs="Mangal"/>
      <w:sz w:val="18"/>
      <w:szCs w:val="18"/>
      <w:lang w:bidi="hi-IN"/>
    </w:rPr>
  </w:style>
  <w:style w:type="character" w:styleId="1802" w:customStyle="1">
    <w:name w:val="Texto sem Formatação Char228"/>
    <w:uiPriority w:val="99"/>
    <w:semiHidden/>
    <w:qFormat/>
    <w:pPr>
      <w:pBdr/>
      <w:spacing/>
      <w:ind/>
    </w:pPr>
    <w:rPr>
      <w:rFonts w:ascii="Courier New" w:hAnsi="Courier New" w:cs="Mangal"/>
      <w:sz w:val="18"/>
      <w:szCs w:val="18"/>
      <w:lang w:bidi="hi-IN"/>
    </w:rPr>
  </w:style>
  <w:style w:type="character" w:styleId="1803" w:customStyle="1">
    <w:name w:val="Texto sem Formatação Char227"/>
    <w:uiPriority w:val="99"/>
    <w:semiHidden/>
    <w:qFormat/>
    <w:pPr>
      <w:pBdr/>
      <w:spacing/>
      <w:ind/>
    </w:pPr>
    <w:rPr>
      <w:rFonts w:ascii="Courier New" w:hAnsi="Courier New" w:cs="Mangal"/>
      <w:sz w:val="18"/>
      <w:szCs w:val="18"/>
      <w:lang w:bidi="hi-IN"/>
    </w:rPr>
  </w:style>
  <w:style w:type="character" w:styleId="1804" w:customStyle="1">
    <w:name w:val="Texto sem Formatação Char226"/>
    <w:uiPriority w:val="99"/>
    <w:semiHidden/>
    <w:qFormat/>
    <w:pPr>
      <w:pBdr/>
      <w:spacing/>
      <w:ind/>
    </w:pPr>
    <w:rPr>
      <w:rFonts w:ascii="Courier New" w:hAnsi="Courier New" w:cs="Mangal"/>
      <w:sz w:val="18"/>
      <w:szCs w:val="18"/>
      <w:lang w:bidi="hi-IN"/>
    </w:rPr>
  </w:style>
  <w:style w:type="character" w:styleId="1805" w:customStyle="1">
    <w:name w:val="Texto sem Formatação Char225"/>
    <w:uiPriority w:val="99"/>
    <w:semiHidden/>
    <w:qFormat/>
    <w:pPr>
      <w:pBdr/>
      <w:spacing/>
      <w:ind/>
    </w:pPr>
    <w:rPr>
      <w:rFonts w:ascii="Courier New" w:hAnsi="Courier New" w:cs="Mangal"/>
      <w:sz w:val="18"/>
      <w:szCs w:val="18"/>
      <w:lang w:bidi="hi-IN"/>
    </w:rPr>
  </w:style>
  <w:style w:type="character" w:styleId="1806" w:customStyle="1">
    <w:name w:val="Texto sem Formatação Char224"/>
    <w:uiPriority w:val="99"/>
    <w:semiHidden/>
    <w:qFormat/>
    <w:pPr>
      <w:pBdr/>
      <w:spacing/>
      <w:ind/>
    </w:pPr>
    <w:rPr>
      <w:rFonts w:ascii="Courier New" w:hAnsi="Courier New" w:cs="Mangal"/>
      <w:sz w:val="18"/>
      <w:szCs w:val="18"/>
      <w:lang w:bidi="hi-IN"/>
    </w:rPr>
  </w:style>
  <w:style w:type="character" w:styleId="1807" w:customStyle="1">
    <w:name w:val="Texto sem Formatação Char223"/>
    <w:uiPriority w:val="99"/>
    <w:semiHidden/>
    <w:qFormat/>
    <w:pPr>
      <w:pBdr/>
      <w:spacing/>
      <w:ind/>
    </w:pPr>
    <w:rPr>
      <w:rFonts w:ascii="Courier New" w:hAnsi="Courier New" w:cs="Mangal"/>
      <w:sz w:val="18"/>
      <w:szCs w:val="18"/>
      <w:lang w:bidi="hi-IN"/>
    </w:rPr>
  </w:style>
  <w:style w:type="character" w:styleId="1808" w:customStyle="1">
    <w:name w:val="Texto sem Formatação Char222"/>
    <w:uiPriority w:val="99"/>
    <w:semiHidden/>
    <w:qFormat/>
    <w:pPr>
      <w:pBdr/>
      <w:spacing/>
      <w:ind/>
    </w:pPr>
    <w:rPr>
      <w:rFonts w:ascii="Courier New" w:hAnsi="Courier New" w:cs="Mangal"/>
      <w:sz w:val="18"/>
      <w:szCs w:val="18"/>
      <w:lang w:bidi="hi-IN"/>
    </w:rPr>
  </w:style>
  <w:style w:type="character" w:styleId="1809" w:customStyle="1">
    <w:name w:val="Texto sem Formatação Char221"/>
    <w:uiPriority w:val="99"/>
    <w:semiHidden/>
    <w:qFormat/>
    <w:pPr>
      <w:pBdr/>
      <w:spacing/>
      <w:ind/>
    </w:pPr>
    <w:rPr>
      <w:rFonts w:ascii="Courier New" w:hAnsi="Courier New" w:cs="Mangal"/>
      <w:sz w:val="18"/>
      <w:szCs w:val="18"/>
      <w:lang w:bidi="hi-IN"/>
    </w:rPr>
  </w:style>
  <w:style w:type="character" w:styleId="1810" w:customStyle="1">
    <w:name w:val="Texto sem Formatação Char220"/>
    <w:uiPriority w:val="99"/>
    <w:semiHidden/>
    <w:qFormat/>
    <w:pPr>
      <w:pBdr/>
      <w:spacing/>
      <w:ind/>
    </w:pPr>
    <w:rPr>
      <w:rFonts w:ascii="Courier New" w:hAnsi="Courier New" w:cs="Mangal"/>
      <w:sz w:val="18"/>
      <w:szCs w:val="18"/>
      <w:lang w:bidi="hi-IN"/>
    </w:rPr>
  </w:style>
  <w:style w:type="character" w:styleId="1811" w:customStyle="1">
    <w:name w:val="Texto sem Formatação Char219"/>
    <w:uiPriority w:val="99"/>
    <w:semiHidden/>
    <w:qFormat/>
    <w:pPr>
      <w:pBdr/>
      <w:spacing/>
      <w:ind/>
    </w:pPr>
    <w:rPr>
      <w:rFonts w:ascii="Courier New" w:hAnsi="Courier New" w:cs="Mangal"/>
      <w:sz w:val="18"/>
      <w:szCs w:val="18"/>
      <w:lang w:bidi="hi-IN"/>
    </w:rPr>
  </w:style>
  <w:style w:type="character" w:styleId="1812" w:customStyle="1">
    <w:name w:val="Texto sem Formatação Char218"/>
    <w:uiPriority w:val="99"/>
    <w:semiHidden/>
    <w:qFormat/>
    <w:pPr>
      <w:pBdr/>
      <w:spacing/>
      <w:ind/>
    </w:pPr>
    <w:rPr>
      <w:rFonts w:ascii="Courier New" w:hAnsi="Courier New" w:cs="Mangal"/>
      <w:sz w:val="18"/>
      <w:szCs w:val="18"/>
      <w:lang w:bidi="hi-IN"/>
    </w:rPr>
  </w:style>
  <w:style w:type="character" w:styleId="1813" w:customStyle="1">
    <w:name w:val="Texto sem Formatação Char217"/>
    <w:uiPriority w:val="99"/>
    <w:semiHidden/>
    <w:qFormat/>
    <w:pPr>
      <w:pBdr/>
      <w:spacing/>
      <w:ind/>
    </w:pPr>
    <w:rPr>
      <w:rFonts w:ascii="Courier New" w:hAnsi="Courier New" w:cs="Mangal"/>
      <w:sz w:val="18"/>
      <w:szCs w:val="18"/>
      <w:lang w:bidi="hi-IN"/>
    </w:rPr>
  </w:style>
  <w:style w:type="character" w:styleId="1814" w:customStyle="1">
    <w:name w:val="Texto sem Formatação Char216"/>
    <w:uiPriority w:val="99"/>
    <w:semiHidden/>
    <w:qFormat/>
    <w:pPr>
      <w:pBdr/>
      <w:spacing/>
      <w:ind/>
    </w:pPr>
    <w:rPr>
      <w:rFonts w:ascii="Courier New" w:hAnsi="Courier New" w:cs="Mangal"/>
      <w:sz w:val="18"/>
      <w:szCs w:val="18"/>
      <w:lang w:bidi="hi-IN"/>
    </w:rPr>
  </w:style>
  <w:style w:type="character" w:styleId="1815" w:customStyle="1">
    <w:name w:val="Texto sem Formatação Char215"/>
    <w:uiPriority w:val="99"/>
    <w:semiHidden/>
    <w:qFormat/>
    <w:pPr>
      <w:pBdr/>
      <w:spacing/>
      <w:ind/>
    </w:pPr>
    <w:rPr>
      <w:rFonts w:ascii="Courier New" w:hAnsi="Courier New" w:cs="Mangal"/>
      <w:sz w:val="18"/>
      <w:szCs w:val="18"/>
      <w:lang w:bidi="hi-IN"/>
    </w:rPr>
  </w:style>
  <w:style w:type="character" w:styleId="1816" w:customStyle="1">
    <w:name w:val="Texto sem Formatação Char214"/>
    <w:uiPriority w:val="99"/>
    <w:semiHidden/>
    <w:qFormat/>
    <w:pPr>
      <w:pBdr/>
      <w:spacing/>
      <w:ind/>
    </w:pPr>
    <w:rPr>
      <w:rFonts w:ascii="Courier New" w:hAnsi="Courier New" w:cs="Mangal"/>
      <w:sz w:val="18"/>
      <w:szCs w:val="18"/>
      <w:lang w:bidi="hi-IN"/>
    </w:rPr>
  </w:style>
  <w:style w:type="character" w:styleId="1817" w:customStyle="1">
    <w:name w:val="Texto sem Formatação Char213"/>
    <w:uiPriority w:val="99"/>
    <w:semiHidden/>
    <w:qFormat/>
    <w:pPr>
      <w:pBdr/>
      <w:spacing/>
      <w:ind/>
    </w:pPr>
    <w:rPr>
      <w:rFonts w:ascii="Courier New" w:hAnsi="Courier New" w:cs="Mangal"/>
      <w:sz w:val="18"/>
      <w:szCs w:val="18"/>
      <w:lang w:bidi="hi-IN"/>
    </w:rPr>
  </w:style>
  <w:style w:type="character" w:styleId="1818" w:customStyle="1">
    <w:name w:val="Texto sem Formatação Char212"/>
    <w:uiPriority w:val="99"/>
    <w:semiHidden/>
    <w:qFormat/>
    <w:pPr>
      <w:pBdr/>
      <w:spacing/>
      <w:ind/>
    </w:pPr>
    <w:rPr>
      <w:rFonts w:ascii="Courier New" w:hAnsi="Courier New" w:cs="Mangal"/>
      <w:sz w:val="18"/>
      <w:szCs w:val="18"/>
      <w:lang w:bidi="hi-IN"/>
    </w:rPr>
  </w:style>
  <w:style w:type="character" w:styleId="1819" w:customStyle="1">
    <w:name w:val="Texto sem Formatação Char211"/>
    <w:uiPriority w:val="99"/>
    <w:semiHidden/>
    <w:qFormat/>
    <w:pPr>
      <w:pBdr/>
      <w:spacing/>
      <w:ind/>
    </w:pPr>
    <w:rPr>
      <w:rFonts w:ascii="Courier New" w:hAnsi="Courier New" w:cs="Mangal"/>
      <w:sz w:val="18"/>
      <w:szCs w:val="18"/>
      <w:lang w:bidi="hi-IN"/>
    </w:rPr>
  </w:style>
  <w:style w:type="character" w:styleId="1820" w:customStyle="1">
    <w:name w:val="Corpo de texto 3 Char4"/>
    <w:uiPriority w:val="99"/>
    <w:semiHidden/>
    <w:qFormat/>
    <w:pPr>
      <w:pBdr/>
      <w:spacing/>
      <w:ind/>
    </w:pPr>
    <w:rPr>
      <w:sz w:val="16"/>
      <w:szCs w:val="16"/>
      <w:lang w:eastAsia="zh-CN"/>
    </w:rPr>
  </w:style>
  <w:style w:type="character" w:styleId="1821" w:customStyle="1">
    <w:name w:val="Corpo de texto 3 Char377"/>
    <w:uiPriority w:val="99"/>
    <w:semiHidden/>
    <w:qFormat/>
    <w:pPr>
      <w:pBdr/>
      <w:spacing/>
      <w:ind/>
    </w:pPr>
    <w:rPr>
      <w:rFonts w:eastAsia="Times New Roman" w:cs="Mangal"/>
      <w:sz w:val="14"/>
      <w:szCs w:val="14"/>
      <w:lang w:bidi="hi-IN"/>
    </w:rPr>
  </w:style>
  <w:style w:type="character" w:styleId="1822" w:customStyle="1">
    <w:name w:val="Corpo de texto 3 Char376"/>
    <w:uiPriority w:val="99"/>
    <w:semiHidden/>
    <w:qFormat/>
    <w:pPr>
      <w:pBdr/>
      <w:spacing/>
      <w:ind/>
    </w:pPr>
    <w:rPr>
      <w:rFonts w:eastAsia="Times New Roman" w:cs="Mangal"/>
      <w:sz w:val="14"/>
      <w:szCs w:val="14"/>
      <w:lang w:bidi="hi-IN"/>
    </w:rPr>
  </w:style>
  <w:style w:type="character" w:styleId="1823" w:customStyle="1">
    <w:name w:val="Corpo de texto 3 Char375"/>
    <w:uiPriority w:val="99"/>
    <w:semiHidden/>
    <w:qFormat/>
    <w:pPr>
      <w:pBdr/>
      <w:spacing/>
      <w:ind/>
    </w:pPr>
    <w:rPr>
      <w:rFonts w:eastAsia="Times New Roman" w:cs="Mangal"/>
      <w:sz w:val="14"/>
      <w:szCs w:val="14"/>
      <w:lang w:bidi="hi-IN"/>
    </w:rPr>
  </w:style>
  <w:style w:type="character" w:styleId="1824" w:customStyle="1">
    <w:name w:val="Corpo de texto 3 Char374"/>
    <w:uiPriority w:val="99"/>
    <w:semiHidden/>
    <w:qFormat/>
    <w:pPr>
      <w:pBdr/>
      <w:spacing/>
      <w:ind/>
    </w:pPr>
    <w:rPr>
      <w:rFonts w:eastAsia="Times New Roman" w:cs="Mangal"/>
      <w:sz w:val="14"/>
      <w:szCs w:val="14"/>
      <w:lang w:bidi="hi-IN"/>
    </w:rPr>
  </w:style>
  <w:style w:type="character" w:styleId="1825" w:customStyle="1">
    <w:name w:val="Corpo de texto 3 Char373"/>
    <w:uiPriority w:val="99"/>
    <w:semiHidden/>
    <w:qFormat/>
    <w:pPr>
      <w:pBdr/>
      <w:spacing/>
      <w:ind/>
    </w:pPr>
    <w:rPr>
      <w:rFonts w:eastAsia="Times New Roman" w:cs="Mangal"/>
      <w:sz w:val="14"/>
      <w:szCs w:val="14"/>
      <w:lang w:bidi="hi-IN"/>
    </w:rPr>
  </w:style>
  <w:style w:type="character" w:styleId="1826" w:customStyle="1">
    <w:name w:val="Corpo de texto 3 Char372"/>
    <w:uiPriority w:val="99"/>
    <w:semiHidden/>
    <w:qFormat/>
    <w:pPr>
      <w:pBdr/>
      <w:spacing/>
      <w:ind/>
    </w:pPr>
    <w:rPr>
      <w:rFonts w:eastAsia="Times New Roman" w:cs="Mangal"/>
      <w:sz w:val="14"/>
      <w:szCs w:val="14"/>
      <w:lang w:bidi="hi-IN"/>
    </w:rPr>
  </w:style>
  <w:style w:type="character" w:styleId="1827" w:customStyle="1">
    <w:name w:val="Corpo de texto 3 Char371"/>
    <w:uiPriority w:val="99"/>
    <w:semiHidden/>
    <w:qFormat/>
    <w:pPr>
      <w:pBdr/>
      <w:spacing/>
      <w:ind/>
    </w:pPr>
    <w:rPr>
      <w:rFonts w:eastAsia="Times New Roman" w:cs="Mangal"/>
      <w:sz w:val="14"/>
      <w:szCs w:val="14"/>
      <w:lang w:bidi="hi-IN"/>
    </w:rPr>
  </w:style>
  <w:style w:type="character" w:styleId="1828" w:customStyle="1">
    <w:name w:val="Corpo de texto 3 Char370"/>
    <w:uiPriority w:val="99"/>
    <w:semiHidden/>
    <w:qFormat/>
    <w:pPr>
      <w:pBdr/>
      <w:spacing/>
      <w:ind/>
    </w:pPr>
    <w:rPr>
      <w:rFonts w:eastAsia="Times New Roman" w:cs="Mangal"/>
      <w:sz w:val="14"/>
      <w:szCs w:val="14"/>
      <w:lang w:bidi="hi-IN"/>
    </w:rPr>
  </w:style>
  <w:style w:type="character" w:styleId="1829" w:customStyle="1">
    <w:name w:val="Corpo de texto 3 Char369"/>
    <w:uiPriority w:val="99"/>
    <w:semiHidden/>
    <w:qFormat/>
    <w:pPr>
      <w:pBdr/>
      <w:spacing/>
      <w:ind/>
    </w:pPr>
    <w:rPr>
      <w:rFonts w:eastAsia="Times New Roman" w:cs="Mangal"/>
      <w:sz w:val="14"/>
      <w:szCs w:val="14"/>
      <w:lang w:bidi="hi-IN"/>
    </w:rPr>
  </w:style>
  <w:style w:type="character" w:styleId="1830" w:customStyle="1">
    <w:name w:val="Corpo de texto 3 Char368"/>
    <w:uiPriority w:val="99"/>
    <w:semiHidden/>
    <w:qFormat/>
    <w:pPr>
      <w:pBdr/>
      <w:spacing/>
      <w:ind/>
    </w:pPr>
    <w:rPr>
      <w:rFonts w:eastAsia="Times New Roman" w:cs="Mangal"/>
      <w:sz w:val="14"/>
      <w:szCs w:val="14"/>
      <w:lang w:bidi="hi-IN"/>
    </w:rPr>
  </w:style>
  <w:style w:type="character" w:styleId="1831" w:customStyle="1">
    <w:name w:val="Corpo de texto 3 Char367"/>
    <w:uiPriority w:val="99"/>
    <w:semiHidden/>
    <w:qFormat/>
    <w:pPr>
      <w:pBdr/>
      <w:spacing/>
      <w:ind/>
    </w:pPr>
    <w:rPr>
      <w:rFonts w:eastAsia="Times New Roman" w:cs="Mangal"/>
      <w:sz w:val="14"/>
      <w:szCs w:val="14"/>
      <w:lang w:bidi="hi-IN"/>
    </w:rPr>
  </w:style>
  <w:style w:type="character" w:styleId="1832" w:customStyle="1">
    <w:name w:val="Corpo de texto 3 Char366"/>
    <w:uiPriority w:val="99"/>
    <w:semiHidden/>
    <w:qFormat/>
    <w:pPr>
      <w:pBdr/>
      <w:spacing/>
      <w:ind/>
    </w:pPr>
    <w:rPr>
      <w:rFonts w:eastAsia="Times New Roman" w:cs="Mangal"/>
      <w:sz w:val="14"/>
      <w:szCs w:val="14"/>
      <w:lang w:bidi="hi-IN"/>
    </w:rPr>
  </w:style>
  <w:style w:type="character" w:styleId="1833" w:customStyle="1">
    <w:name w:val="Corpo de texto 3 Char365"/>
    <w:uiPriority w:val="99"/>
    <w:semiHidden/>
    <w:qFormat/>
    <w:pPr>
      <w:pBdr/>
      <w:spacing/>
      <w:ind/>
    </w:pPr>
    <w:rPr>
      <w:rFonts w:eastAsia="Times New Roman" w:cs="Mangal"/>
      <w:sz w:val="14"/>
      <w:szCs w:val="14"/>
      <w:lang w:bidi="hi-IN"/>
    </w:rPr>
  </w:style>
  <w:style w:type="character" w:styleId="1834" w:customStyle="1">
    <w:name w:val="Corpo de texto 3 Char364"/>
    <w:uiPriority w:val="99"/>
    <w:semiHidden/>
    <w:qFormat/>
    <w:pPr>
      <w:pBdr/>
      <w:spacing/>
      <w:ind/>
    </w:pPr>
    <w:rPr>
      <w:rFonts w:eastAsia="Times New Roman" w:cs="Mangal"/>
      <w:sz w:val="14"/>
      <w:szCs w:val="14"/>
      <w:lang w:bidi="hi-IN"/>
    </w:rPr>
  </w:style>
  <w:style w:type="character" w:styleId="1835" w:customStyle="1">
    <w:name w:val="Corpo de texto 3 Char363"/>
    <w:uiPriority w:val="99"/>
    <w:semiHidden/>
    <w:qFormat/>
    <w:pPr>
      <w:pBdr/>
      <w:spacing/>
      <w:ind/>
    </w:pPr>
    <w:rPr>
      <w:rFonts w:eastAsia="Times New Roman" w:cs="Mangal"/>
      <w:sz w:val="14"/>
      <w:szCs w:val="14"/>
      <w:lang w:bidi="hi-IN"/>
    </w:rPr>
  </w:style>
  <w:style w:type="character" w:styleId="1836" w:customStyle="1">
    <w:name w:val="Corpo de texto 3 Char362"/>
    <w:uiPriority w:val="99"/>
    <w:semiHidden/>
    <w:qFormat/>
    <w:pPr>
      <w:pBdr/>
      <w:spacing/>
      <w:ind/>
    </w:pPr>
    <w:rPr>
      <w:rFonts w:eastAsia="Times New Roman" w:cs="Mangal"/>
      <w:sz w:val="14"/>
      <w:szCs w:val="14"/>
      <w:lang w:bidi="hi-IN"/>
    </w:rPr>
  </w:style>
  <w:style w:type="character" w:styleId="1837" w:customStyle="1">
    <w:name w:val="Corpo de texto 3 Char361"/>
    <w:uiPriority w:val="99"/>
    <w:semiHidden/>
    <w:qFormat/>
    <w:pPr>
      <w:pBdr/>
      <w:spacing/>
      <w:ind/>
    </w:pPr>
    <w:rPr>
      <w:rFonts w:eastAsia="Times New Roman" w:cs="Mangal"/>
      <w:sz w:val="14"/>
      <w:szCs w:val="14"/>
      <w:lang w:bidi="hi-IN"/>
    </w:rPr>
  </w:style>
  <w:style w:type="character" w:styleId="1838" w:customStyle="1">
    <w:name w:val="Corpo de texto 3 Char360"/>
    <w:uiPriority w:val="99"/>
    <w:semiHidden/>
    <w:qFormat/>
    <w:pPr>
      <w:pBdr/>
      <w:spacing/>
      <w:ind/>
    </w:pPr>
    <w:rPr>
      <w:rFonts w:eastAsia="Times New Roman" w:cs="Mangal"/>
      <w:sz w:val="14"/>
      <w:szCs w:val="14"/>
      <w:lang w:bidi="hi-IN"/>
    </w:rPr>
  </w:style>
  <w:style w:type="character" w:styleId="1839" w:customStyle="1">
    <w:name w:val="Corpo de texto 3 Char359"/>
    <w:uiPriority w:val="99"/>
    <w:semiHidden/>
    <w:qFormat/>
    <w:pPr>
      <w:pBdr/>
      <w:spacing/>
      <w:ind/>
    </w:pPr>
    <w:rPr>
      <w:rFonts w:eastAsia="Times New Roman" w:cs="Mangal"/>
      <w:sz w:val="14"/>
      <w:szCs w:val="14"/>
      <w:lang w:bidi="hi-IN"/>
    </w:rPr>
  </w:style>
  <w:style w:type="character" w:styleId="1840" w:customStyle="1">
    <w:name w:val="Corpo de texto 3 Char358"/>
    <w:uiPriority w:val="99"/>
    <w:semiHidden/>
    <w:qFormat/>
    <w:pPr>
      <w:pBdr/>
      <w:spacing/>
      <w:ind/>
    </w:pPr>
    <w:rPr>
      <w:rFonts w:eastAsia="Times New Roman" w:cs="Mangal"/>
      <w:sz w:val="14"/>
      <w:szCs w:val="14"/>
      <w:lang w:bidi="hi-IN"/>
    </w:rPr>
  </w:style>
  <w:style w:type="character" w:styleId="1841" w:customStyle="1">
    <w:name w:val="Corpo de texto 3 Char357"/>
    <w:uiPriority w:val="99"/>
    <w:semiHidden/>
    <w:qFormat/>
    <w:pPr>
      <w:pBdr/>
      <w:spacing/>
      <w:ind/>
    </w:pPr>
    <w:rPr>
      <w:rFonts w:eastAsia="Times New Roman" w:cs="Mangal"/>
      <w:sz w:val="14"/>
      <w:szCs w:val="14"/>
      <w:lang w:bidi="hi-IN"/>
    </w:rPr>
  </w:style>
  <w:style w:type="character" w:styleId="1842" w:customStyle="1">
    <w:name w:val="Corpo de texto 3 Char356"/>
    <w:uiPriority w:val="99"/>
    <w:semiHidden/>
    <w:qFormat/>
    <w:pPr>
      <w:pBdr/>
      <w:spacing/>
      <w:ind/>
    </w:pPr>
    <w:rPr>
      <w:rFonts w:eastAsia="Times New Roman" w:cs="Mangal"/>
      <w:sz w:val="14"/>
      <w:szCs w:val="14"/>
      <w:lang w:bidi="hi-IN"/>
    </w:rPr>
  </w:style>
  <w:style w:type="character" w:styleId="1843" w:customStyle="1">
    <w:name w:val="Corpo de texto 3 Char355"/>
    <w:uiPriority w:val="99"/>
    <w:semiHidden/>
    <w:qFormat/>
    <w:pPr>
      <w:pBdr/>
      <w:spacing/>
      <w:ind/>
    </w:pPr>
    <w:rPr>
      <w:rFonts w:eastAsia="Times New Roman" w:cs="Mangal"/>
      <w:sz w:val="14"/>
      <w:szCs w:val="14"/>
      <w:lang w:bidi="hi-IN"/>
    </w:rPr>
  </w:style>
  <w:style w:type="character" w:styleId="1844" w:customStyle="1">
    <w:name w:val="Corpo de texto 3 Char354"/>
    <w:uiPriority w:val="99"/>
    <w:semiHidden/>
    <w:qFormat/>
    <w:pPr>
      <w:pBdr/>
      <w:spacing/>
      <w:ind/>
    </w:pPr>
    <w:rPr>
      <w:rFonts w:eastAsia="Times New Roman" w:cs="Mangal"/>
      <w:sz w:val="14"/>
      <w:szCs w:val="14"/>
      <w:lang w:bidi="hi-IN"/>
    </w:rPr>
  </w:style>
  <w:style w:type="character" w:styleId="1845" w:customStyle="1">
    <w:name w:val="Corpo de texto 3 Char353"/>
    <w:uiPriority w:val="99"/>
    <w:semiHidden/>
    <w:qFormat/>
    <w:pPr>
      <w:pBdr/>
      <w:spacing/>
      <w:ind/>
    </w:pPr>
    <w:rPr>
      <w:rFonts w:eastAsia="Times New Roman" w:cs="Mangal"/>
      <w:sz w:val="14"/>
      <w:szCs w:val="14"/>
      <w:lang w:bidi="hi-IN"/>
    </w:rPr>
  </w:style>
  <w:style w:type="character" w:styleId="1846" w:customStyle="1">
    <w:name w:val="Corpo de texto 3 Char352"/>
    <w:uiPriority w:val="99"/>
    <w:semiHidden/>
    <w:qFormat/>
    <w:pPr>
      <w:pBdr/>
      <w:spacing/>
      <w:ind/>
    </w:pPr>
    <w:rPr>
      <w:rFonts w:eastAsia="Times New Roman" w:cs="Mangal"/>
      <w:sz w:val="14"/>
      <w:szCs w:val="14"/>
      <w:lang w:bidi="hi-IN"/>
    </w:rPr>
  </w:style>
  <w:style w:type="character" w:styleId="1847" w:customStyle="1">
    <w:name w:val="Corpo de texto 3 Char351"/>
    <w:uiPriority w:val="99"/>
    <w:semiHidden/>
    <w:qFormat/>
    <w:pPr>
      <w:pBdr/>
      <w:spacing/>
      <w:ind/>
    </w:pPr>
    <w:rPr>
      <w:rFonts w:eastAsia="Times New Roman" w:cs="Mangal"/>
      <w:sz w:val="14"/>
      <w:szCs w:val="14"/>
      <w:lang w:bidi="hi-IN"/>
    </w:rPr>
  </w:style>
  <w:style w:type="character" w:styleId="1848" w:customStyle="1">
    <w:name w:val="Corpo de texto 3 Char350"/>
    <w:uiPriority w:val="99"/>
    <w:semiHidden/>
    <w:qFormat/>
    <w:pPr>
      <w:pBdr/>
      <w:spacing/>
      <w:ind/>
    </w:pPr>
    <w:rPr>
      <w:rFonts w:eastAsia="Times New Roman" w:cs="Mangal"/>
      <w:sz w:val="14"/>
      <w:szCs w:val="14"/>
      <w:lang w:bidi="hi-IN"/>
    </w:rPr>
  </w:style>
  <w:style w:type="character" w:styleId="1849" w:customStyle="1">
    <w:name w:val="Corpo de texto 3 Char349"/>
    <w:uiPriority w:val="99"/>
    <w:semiHidden/>
    <w:qFormat/>
    <w:pPr>
      <w:pBdr/>
      <w:spacing/>
      <w:ind/>
    </w:pPr>
    <w:rPr>
      <w:rFonts w:eastAsia="Times New Roman" w:cs="Mangal"/>
      <w:sz w:val="14"/>
      <w:szCs w:val="14"/>
      <w:lang w:bidi="hi-IN"/>
    </w:rPr>
  </w:style>
  <w:style w:type="character" w:styleId="1850" w:customStyle="1">
    <w:name w:val="Corpo de texto 3 Char348"/>
    <w:uiPriority w:val="99"/>
    <w:semiHidden/>
    <w:qFormat/>
    <w:pPr>
      <w:pBdr/>
      <w:spacing/>
      <w:ind/>
    </w:pPr>
    <w:rPr>
      <w:rFonts w:eastAsia="Times New Roman" w:cs="Mangal"/>
      <w:sz w:val="14"/>
      <w:szCs w:val="14"/>
      <w:lang w:bidi="hi-IN"/>
    </w:rPr>
  </w:style>
  <w:style w:type="character" w:styleId="1851" w:customStyle="1">
    <w:name w:val="Corpo de texto 3 Char347"/>
    <w:uiPriority w:val="99"/>
    <w:semiHidden/>
    <w:qFormat/>
    <w:pPr>
      <w:pBdr/>
      <w:spacing/>
      <w:ind/>
    </w:pPr>
    <w:rPr>
      <w:rFonts w:eastAsia="Times New Roman" w:cs="Mangal"/>
      <w:sz w:val="14"/>
      <w:szCs w:val="14"/>
      <w:lang w:bidi="hi-IN"/>
    </w:rPr>
  </w:style>
  <w:style w:type="character" w:styleId="1852" w:customStyle="1">
    <w:name w:val="Corpo de texto 3 Char346"/>
    <w:uiPriority w:val="99"/>
    <w:semiHidden/>
    <w:qFormat/>
    <w:pPr>
      <w:pBdr/>
      <w:spacing/>
      <w:ind/>
    </w:pPr>
    <w:rPr>
      <w:rFonts w:eastAsia="Times New Roman" w:cs="Mangal"/>
      <w:sz w:val="14"/>
      <w:szCs w:val="14"/>
      <w:lang w:bidi="hi-IN"/>
    </w:rPr>
  </w:style>
  <w:style w:type="character" w:styleId="1853" w:customStyle="1">
    <w:name w:val="Corpo de texto 3 Char345"/>
    <w:uiPriority w:val="99"/>
    <w:semiHidden/>
    <w:qFormat/>
    <w:pPr>
      <w:pBdr/>
      <w:spacing/>
      <w:ind/>
    </w:pPr>
    <w:rPr>
      <w:rFonts w:eastAsia="Times New Roman" w:cs="Mangal"/>
      <w:sz w:val="14"/>
      <w:szCs w:val="14"/>
      <w:lang w:bidi="hi-IN"/>
    </w:rPr>
  </w:style>
  <w:style w:type="character" w:styleId="1854" w:customStyle="1">
    <w:name w:val="Corpo de texto 3 Char344"/>
    <w:uiPriority w:val="99"/>
    <w:semiHidden/>
    <w:qFormat/>
    <w:pPr>
      <w:pBdr/>
      <w:spacing/>
      <w:ind/>
    </w:pPr>
    <w:rPr>
      <w:rFonts w:eastAsia="Times New Roman" w:cs="Mangal"/>
      <w:sz w:val="14"/>
      <w:szCs w:val="14"/>
      <w:lang w:bidi="hi-IN"/>
    </w:rPr>
  </w:style>
  <w:style w:type="character" w:styleId="1855" w:customStyle="1">
    <w:name w:val="Corpo de texto 3 Char343"/>
    <w:uiPriority w:val="99"/>
    <w:semiHidden/>
    <w:qFormat/>
    <w:pPr>
      <w:pBdr/>
      <w:spacing/>
      <w:ind/>
    </w:pPr>
    <w:rPr>
      <w:rFonts w:eastAsia="Times New Roman" w:cs="Mangal"/>
      <w:sz w:val="14"/>
      <w:szCs w:val="14"/>
      <w:lang w:bidi="hi-IN"/>
    </w:rPr>
  </w:style>
  <w:style w:type="character" w:styleId="1856" w:customStyle="1">
    <w:name w:val="Corpo de texto 3 Char342"/>
    <w:uiPriority w:val="99"/>
    <w:semiHidden/>
    <w:qFormat/>
    <w:pPr>
      <w:pBdr/>
      <w:spacing/>
      <w:ind/>
    </w:pPr>
    <w:rPr>
      <w:rFonts w:eastAsia="Times New Roman" w:cs="Mangal"/>
      <w:sz w:val="14"/>
      <w:szCs w:val="14"/>
      <w:lang w:bidi="hi-IN"/>
    </w:rPr>
  </w:style>
  <w:style w:type="character" w:styleId="1857" w:customStyle="1">
    <w:name w:val="Corpo de texto 3 Char341"/>
    <w:uiPriority w:val="99"/>
    <w:semiHidden/>
    <w:qFormat/>
    <w:pPr>
      <w:pBdr/>
      <w:spacing/>
      <w:ind/>
    </w:pPr>
    <w:rPr>
      <w:rFonts w:eastAsia="Times New Roman" w:cs="Mangal"/>
      <w:sz w:val="14"/>
      <w:szCs w:val="14"/>
      <w:lang w:bidi="hi-IN"/>
    </w:rPr>
  </w:style>
  <w:style w:type="character" w:styleId="1858" w:customStyle="1">
    <w:name w:val="Corpo de texto 3 Char340"/>
    <w:uiPriority w:val="99"/>
    <w:semiHidden/>
    <w:qFormat/>
    <w:pPr>
      <w:pBdr/>
      <w:spacing/>
      <w:ind/>
    </w:pPr>
    <w:rPr>
      <w:rFonts w:eastAsia="Times New Roman" w:cs="Mangal"/>
      <w:sz w:val="14"/>
      <w:szCs w:val="14"/>
      <w:lang w:bidi="hi-IN"/>
    </w:rPr>
  </w:style>
  <w:style w:type="character" w:styleId="1859" w:customStyle="1">
    <w:name w:val="Corpo de texto 3 Char339"/>
    <w:uiPriority w:val="99"/>
    <w:semiHidden/>
    <w:qFormat/>
    <w:pPr>
      <w:pBdr/>
      <w:spacing/>
      <w:ind/>
    </w:pPr>
    <w:rPr>
      <w:rFonts w:eastAsia="Times New Roman" w:cs="Mangal"/>
      <w:sz w:val="14"/>
      <w:szCs w:val="14"/>
      <w:lang w:bidi="hi-IN"/>
    </w:rPr>
  </w:style>
  <w:style w:type="character" w:styleId="1860" w:customStyle="1">
    <w:name w:val="Corpo de texto 3 Char338"/>
    <w:uiPriority w:val="99"/>
    <w:semiHidden/>
    <w:qFormat/>
    <w:pPr>
      <w:pBdr/>
      <w:spacing/>
      <w:ind/>
    </w:pPr>
    <w:rPr>
      <w:rFonts w:eastAsia="Times New Roman" w:cs="Mangal"/>
      <w:sz w:val="14"/>
      <w:szCs w:val="14"/>
      <w:lang w:bidi="hi-IN"/>
    </w:rPr>
  </w:style>
  <w:style w:type="character" w:styleId="1861" w:customStyle="1">
    <w:name w:val="Corpo de texto 3 Char337"/>
    <w:uiPriority w:val="99"/>
    <w:semiHidden/>
    <w:qFormat/>
    <w:pPr>
      <w:pBdr/>
      <w:spacing/>
      <w:ind/>
    </w:pPr>
    <w:rPr>
      <w:rFonts w:eastAsia="Times New Roman" w:cs="Mangal"/>
      <w:sz w:val="14"/>
      <w:szCs w:val="14"/>
      <w:lang w:bidi="hi-IN"/>
    </w:rPr>
  </w:style>
  <w:style w:type="character" w:styleId="1862" w:customStyle="1">
    <w:name w:val="Corpo de texto 3 Char336"/>
    <w:uiPriority w:val="99"/>
    <w:semiHidden/>
    <w:qFormat/>
    <w:pPr>
      <w:pBdr/>
      <w:spacing/>
      <w:ind/>
    </w:pPr>
    <w:rPr>
      <w:rFonts w:eastAsia="Times New Roman" w:cs="Mangal"/>
      <w:sz w:val="14"/>
      <w:szCs w:val="14"/>
      <w:lang w:bidi="hi-IN"/>
    </w:rPr>
  </w:style>
  <w:style w:type="character" w:styleId="1863" w:customStyle="1">
    <w:name w:val="Corpo de texto 3 Char335"/>
    <w:uiPriority w:val="99"/>
    <w:semiHidden/>
    <w:qFormat/>
    <w:pPr>
      <w:pBdr/>
      <w:spacing/>
      <w:ind/>
    </w:pPr>
    <w:rPr>
      <w:rFonts w:eastAsia="Times New Roman" w:cs="Mangal"/>
      <w:sz w:val="14"/>
      <w:szCs w:val="14"/>
      <w:lang w:bidi="hi-IN"/>
    </w:rPr>
  </w:style>
  <w:style w:type="character" w:styleId="1864" w:customStyle="1">
    <w:name w:val="Corpo de texto 3 Char334"/>
    <w:uiPriority w:val="99"/>
    <w:semiHidden/>
    <w:qFormat/>
    <w:pPr>
      <w:pBdr/>
      <w:spacing/>
      <w:ind/>
    </w:pPr>
    <w:rPr>
      <w:rFonts w:eastAsia="Times New Roman" w:cs="Mangal"/>
      <w:sz w:val="14"/>
      <w:szCs w:val="14"/>
      <w:lang w:bidi="hi-IN"/>
    </w:rPr>
  </w:style>
  <w:style w:type="character" w:styleId="1865" w:customStyle="1">
    <w:name w:val="Corpo de texto 3 Char333"/>
    <w:uiPriority w:val="99"/>
    <w:semiHidden/>
    <w:qFormat/>
    <w:pPr>
      <w:pBdr/>
      <w:spacing/>
      <w:ind/>
    </w:pPr>
    <w:rPr>
      <w:rFonts w:eastAsia="Times New Roman" w:cs="Mangal"/>
      <w:sz w:val="14"/>
      <w:szCs w:val="14"/>
      <w:lang w:bidi="hi-IN"/>
    </w:rPr>
  </w:style>
  <w:style w:type="character" w:styleId="1866" w:customStyle="1">
    <w:name w:val="Corpo de texto 3 Char332"/>
    <w:uiPriority w:val="99"/>
    <w:semiHidden/>
    <w:qFormat/>
    <w:pPr>
      <w:pBdr/>
      <w:spacing/>
      <w:ind/>
    </w:pPr>
    <w:rPr>
      <w:rFonts w:eastAsia="Times New Roman" w:cs="Mangal"/>
      <w:sz w:val="14"/>
      <w:szCs w:val="14"/>
      <w:lang w:bidi="hi-IN"/>
    </w:rPr>
  </w:style>
  <w:style w:type="character" w:styleId="1867" w:customStyle="1">
    <w:name w:val="Corpo de texto 3 Char331"/>
    <w:uiPriority w:val="99"/>
    <w:semiHidden/>
    <w:qFormat/>
    <w:pPr>
      <w:pBdr/>
      <w:spacing/>
      <w:ind/>
    </w:pPr>
    <w:rPr>
      <w:rFonts w:eastAsia="Times New Roman" w:cs="Mangal"/>
      <w:sz w:val="14"/>
      <w:szCs w:val="14"/>
      <w:lang w:bidi="hi-IN"/>
    </w:rPr>
  </w:style>
  <w:style w:type="character" w:styleId="1868" w:customStyle="1">
    <w:name w:val="Corpo de texto 3 Char330"/>
    <w:uiPriority w:val="99"/>
    <w:semiHidden/>
    <w:qFormat/>
    <w:pPr>
      <w:pBdr/>
      <w:spacing/>
      <w:ind/>
    </w:pPr>
    <w:rPr>
      <w:rFonts w:eastAsia="Times New Roman" w:cs="Mangal"/>
      <w:sz w:val="14"/>
      <w:szCs w:val="14"/>
      <w:lang w:bidi="hi-IN"/>
    </w:rPr>
  </w:style>
  <w:style w:type="character" w:styleId="1869" w:customStyle="1">
    <w:name w:val="Corpo de texto 3 Char329"/>
    <w:uiPriority w:val="99"/>
    <w:semiHidden/>
    <w:qFormat/>
    <w:pPr>
      <w:pBdr/>
      <w:spacing/>
      <w:ind/>
    </w:pPr>
    <w:rPr>
      <w:rFonts w:eastAsia="Times New Roman" w:cs="Mangal"/>
      <w:sz w:val="14"/>
      <w:szCs w:val="14"/>
      <w:lang w:bidi="hi-IN"/>
    </w:rPr>
  </w:style>
  <w:style w:type="character" w:styleId="1870" w:customStyle="1">
    <w:name w:val="Corpo de texto 3 Char328"/>
    <w:uiPriority w:val="99"/>
    <w:semiHidden/>
    <w:qFormat/>
    <w:pPr>
      <w:pBdr/>
      <w:spacing/>
      <w:ind/>
    </w:pPr>
    <w:rPr>
      <w:rFonts w:eastAsia="Times New Roman" w:cs="Mangal"/>
      <w:sz w:val="14"/>
      <w:szCs w:val="14"/>
      <w:lang w:bidi="hi-IN"/>
    </w:rPr>
  </w:style>
  <w:style w:type="character" w:styleId="1871" w:customStyle="1">
    <w:name w:val="Corpo de texto 3 Char327"/>
    <w:uiPriority w:val="99"/>
    <w:semiHidden/>
    <w:qFormat/>
    <w:pPr>
      <w:pBdr/>
      <w:spacing/>
      <w:ind/>
    </w:pPr>
    <w:rPr>
      <w:rFonts w:eastAsia="Times New Roman" w:cs="Mangal"/>
      <w:sz w:val="14"/>
      <w:szCs w:val="14"/>
      <w:lang w:bidi="hi-IN"/>
    </w:rPr>
  </w:style>
  <w:style w:type="character" w:styleId="1872" w:customStyle="1">
    <w:name w:val="Corpo de texto 3 Char326"/>
    <w:uiPriority w:val="99"/>
    <w:semiHidden/>
    <w:qFormat/>
    <w:pPr>
      <w:pBdr/>
      <w:spacing/>
      <w:ind/>
    </w:pPr>
    <w:rPr>
      <w:rFonts w:eastAsia="Times New Roman" w:cs="Mangal"/>
      <w:sz w:val="14"/>
      <w:szCs w:val="14"/>
      <w:lang w:bidi="hi-IN"/>
    </w:rPr>
  </w:style>
  <w:style w:type="character" w:styleId="1873" w:customStyle="1">
    <w:name w:val="Corpo de texto 3 Char325"/>
    <w:uiPriority w:val="99"/>
    <w:semiHidden/>
    <w:qFormat/>
    <w:pPr>
      <w:pBdr/>
      <w:spacing/>
      <w:ind/>
    </w:pPr>
    <w:rPr>
      <w:rFonts w:eastAsia="Times New Roman" w:cs="Mangal"/>
      <w:sz w:val="14"/>
      <w:szCs w:val="14"/>
      <w:lang w:bidi="hi-IN"/>
    </w:rPr>
  </w:style>
  <w:style w:type="character" w:styleId="1874" w:customStyle="1">
    <w:name w:val="Corpo de texto 3 Char324"/>
    <w:uiPriority w:val="99"/>
    <w:semiHidden/>
    <w:qFormat/>
    <w:pPr>
      <w:pBdr/>
      <w:spacing/>
      <w:ind/>
    </w:pPr>
    <w:rPr>
      <w:rFonts w:eastAsia="Times New Roman" w:cs="Mangal"/>
      <w:sz w:val="14"/>
      <w:szCs w:val="14"/>
      <w:lang w:bidi="hi-IN"/>
    </w:rPr>
  </w:style>
  <w:style w:type="character" w:styleId="1875" w:customStyle="1">
    <w:name w:val="Corpo de texto 3 Char323"/>
    <w:uiPriority w:val="99"/>
    <w:semiHidden/>
    <w:qFormat/>
    <w:pPr>
      <w:pBdr/>
      <w:spacing/>
      <w:ind/>
    </w:pPr>
    <w:rPr>
      <w:rFonts w:eastAsia="Times New Roman" w:cs="Mangal"/>
      <w:sz w:val="14"/>
      <w:szCs w:val="14"/>
      <w:lang w:bidi="hi-IN"/>
    </w:rPr>
  </w:style>
  <w:style w:type="character" w:styleId="1876" w:customStyle="1">
    <w:name w:val="Corpo de texto 3 Char322"/>
    <w:uiPriority w:val="99"/>
    <w:semiHidden/>
    <w:qFormat/>
    <w:pPr>
      <w:pBdr/>
      <w:spacing/>
      <w:ind/>
    </w:pPr>
    <w:rPr>
      <w:rFonts w:eastAsia="Times New Roman" w:cs="Mangal"/>
      <w:sz w:val="14"/>
      <w:szCs w:val="14"/>
      <w:lang w:bidi="hi-IN"/>
    </w:rPr>
  </w:style>
  <w:style w:type="character" w:styleId="1877" w:customStyle="1">
    <w:name w:val="Corpo de texto 3 Char321"/>
    <w:uiPriority w:val="99"/>
    <w:semiHidden/>
    <w:qFormat/>
    <w:pPr>
      <w:pBdr/>
      <w:spacing/>
      <w:ind/>
    </w:pPr>
    <w:rPr>
      <w:rFonts w:eastAsia="Times New Roman" w:cs="Mangal"/>
      <w:sz w:val="14"/>
      <w:szCs w:val="14"/>
      <w:lang w:bidi="hi-IN"/>
    </w:rPr>
  </w:style>
  <w:style w:type="character" w:styleId="1878" w:customStyle="1">
    <w:name w:val="Corpo de texto 3 Char320"/>
    <w:uiPriority w:val="99"/>
    <w:semiHidden/>
    <w:qFormat/>
    <w:pPr>
      <w:pBdr/>
      <w:spacing/>
      <w:ind/>
    </w:pPr>
    <w:rPr>
      <w:rFonts w:eastAsia="Times New Roman" w:cs="Mangal"/>
      <w:sz w:val="14"/>
      <w:szCs w:val="14"/>
      <w:lang w:bidi="hi-IN"/>
    </w:rPr>
  </w:style>
  <w:style w:type="character" w:styleId="1879" w:customStyle="1">
    <w:name w:val="Corpo de texto 3 Char319"/>
    <w:uiPriority w:val="99"/>
    <w:semiHidden/>
    <w:qFormat/>
    <w:pPr>
      <w:pBdr/>
      <w:spacing/>
      <w:ind/>
    </w:pPr>
    <w:rPr>
      <w:rFonts w:eastAsia="Times New Roman" w:cs="Mangal"/>
      <w:sz w:val="14"/>
      <w:szCs w:val="14"/>
      <w:lang w:bidi="hi-IN"/>
    </w:rPr>
  </w:style>
  <w:style w:type="character" w:styleId="1880" w:customStyle="1">
    <w:name w:val="Corpo de texto 3 Char318"/>
    <w:uiPriority w:val="99"/>
    <w:semiHidden/>
    <w:qFormat/>
    <w:pPr>
      <w:pBdr/>
      <w:spacing/>
      <w:ind/>
    </w:pPr>
    <w:rPr>
      <w:rFonts w:eastAsia="Times New Roman" w:cs="Mangal"/>
      <w:sz w:val="14"/>
      <w:szCs w:val="14"/>
      <w:lang w:bidi="hi-IN"/>
    </w:rPr>
  </w:style>
  <w:style w:type="character" w:styleId="1881" w:customStyle="1">
    <w:name w:val="Corpo de texto 3 Char317"/>
    <w:uiPriority w:val="99"/>
    <w:semiHidden/>
    <w:qFormat/>
    <w:pPr>
      <w:pBdr/>
      <w:spacing/>
      <w:ind/>
    </w:pPr>
    <w:rPr>
      <w:rFonts w:eastAsia="Times New Roman" w:cs="Mangal"/>
      <w:sz w:val="14"/>
      <w:szCs w:val="14"/>
      <w:lang w:bidi="hi-IN"/>
    </w:rPr>
  </w:style>
  <w:style w:type="character" w:styleId="1882" w:customStyle="1">
    <w:name w:val="Corpo de texto 3 Char316"/>
    <w:uiPriority w:val="99"/>
    <w:semiHidden/>
    <w:qFormat/>
    <w:pPr>
      <w:pBdr/>
      <w:spacing/>
      <w:ind/>
    </w:pPr>
    <w:rPr>
      <w:rFonts w:eastAsia="Times New Roman" w:cs="Mangal"/>
      <w:sz w:val="14"/>
      <w:szCs w:val="14"/>
      <w:lang w:bidi="hi-IN"/>
    </w:rPr>
  </w:style>
  <w:style w:type="character" w:styleId="1883" w:customStyle="1">
    <w:name w:val="Corpo de texto 3 Char315"/>
    <w:uiPriority w:val="99"/>
    <w:semiHidden/>
    <w:qFormat/>
    <w:pPr>
      <w:pBdr/>
      <w:spacing/>
      <w:ind/>
    </w:pPr>
    <w:rPr>
      <w:rFonts w:eastAsia="Times New Roman" w:cs="Mangal"/>
      <w:sz w:val="14"/>
      <w:szCs w:val="14"/>
      <w:lang w:bidi="hi-IN"/>
    </w:rPr>
  </w:style>
  <w:style w:type="character" w:styleId="1884" w:customStyle="1">
    <w:name w:val="Corpo de texto 3 Char314"/>
    <w:uiPriority w:val="99"/>
    <w:semiHidden/>
    <w:qFormat/>
    <w:pPr>
      <w:pBdr/>
      <w:spacing/>
      <w:ind/>
    </w:pPr>
    <w:rPr>
      <w:rFonts w:eastAsia="Times New Roman" w:cs="Mangal"/>
      <w:sz w:val="14"/>
      <w:szCs w:val="14"/>
      <w:lang w:bidi="hi-IN"/>
    </w:rPr>
  </w:style>
  <w:style w:type="character" w:styleId="1885" w:customStyle="1">
    <w:name w:val="Corpo de texto 3 Char313"/>
    <w:uiPriority w:val="99"/>
    <w:semiHidden/>
    <w:qFormat/>
    <w:pPr>
      <w:pBdr/>
      <w:spacing/>
      <w:ind/>
    </w:pPr>
    <w:rPr>
      <w:rFonts w:eastAsia="Times New Roman" w:cs="Mangal"/>
      <w:sz w:val="14"/>
      <w:szCs w:val="14"/>
      <w:lang w:bidi="hi-IN"/>
    </w:rPr>
  </w:style>
  <w:style w:type="character" w:styleId="1886" w:customStyle="1">
    <w:name w:val="Corpo de texto 3 Char312"/>
    <w:uiPriority w:val="99"/>
    <w:semiHidden/>
    <w:qFormat/>
    <w:pPr>
      <w:pBdr/>
      <w:spacing/>
      <w:ind/>
    </w:pPr>
    <w:rPr>
      <w:rFonts w:eastAsia="Times New Roman" w:cs="Mangal"/>
      <w:sz w:val="14"/>
      <w:szCs w:val="14"/>
      <w:lang w:bidi="hi-IN"/>
    </w:rPr>
  </w:style>
  <w:style w:type="character" w:styleId="1887" w:customStyle="1">
    <w:name w:val="Corpo de texto 3 Char311"/>
    <w:uiPriority w:val="99"/>
    <w:semiHidden/>
    <w:qFormat/>
    <w:pPr>
      <w:pBdr/>
      <w:spacing/>
      <w:ind/>
    </w:pPr>
    <w:rPr>
      <w:rFonts w:eastAsia="Times New Roman" w:cs="Mangal"/>
      <w:sz w:val="14"/>
      <w:szCs w:val="14"/>
      <w:lang w:bidi="hi-IN"/>
    </w:rPr>
  </w:style>
  <w:style w:type="character" w:styleId="1888" w:customStyle="1">
    <w:name w:val="Corpo de texto 2 Char4"/>
    <w:uiPriority w:val="99"/>
    <w:semiHidden/>
    <w:qFormat/>
    <w:pPr>
      <w:pBdr/>
      <w:spacing/>
      <w:ind/>
    </w:pPr>
    <w:rPr>
      <w:lang w:eastAsia="zh-CN"/>
    </w:rPr>
  </w:style>
  <w:style w:type="character" w:styleId="1889" w:customStyle="1">
    <w:name w:val="Corpo de texto 2 Char377"/>
    <w:uiPriority w:val="99"/>
    <w:semiHidden/>
    <w:qFormat/>
    <w:pPr>
      <w:pBdr/>
      <w:spacing/>
      <w:ind/>
    </w:pPr>
    <w:rPr>
      <w:rFonts w:eastAsia="Times New Roman" w:cs="Mangal"/>
      <w:sz w:val="18"/>
      <w:szCs w:val="18"/>
      <w:lang w:bidi="hi-IN"/>
    </w:rPr>
  </w:style>
  <w:style w:type="character" w:styleId="1890" w:customStyle="1">
    <w:name w:val="Corpo de texto 2 Char376"/>
    <w:uiPriority w:val="99"/>
    <w:semiHidden/>
    <w:qFormat/>
    <w:pPr>
      <w:pBdr/>
      <w:spacing/>
      <w:ind/>
    </w:pPr>
    <w:rPr>
      <w:rFonts w:eastAsia="Times New Roman" w:cs="Mangal"/>
      <w:sz w:val="18"/>
      <w:szCs w:val="18"/>
      <w:lang w:bidi="hi-IN"/>
    </w:rPr>
  </w:style>
  <w:style w:type="character" w:styleId="1891" w:customStyle="1">
    <w:name w:val="Corpo de texto 2 Char375"/>
    <w:uiPriority w:val="99"/>
    <w:semiHidden/>
    <w:qFormat/>
    <w:pPr>
      <w:pBdr/>
      <w:spacing/>
      <w:ind/>
    </w:pPr>
    <w:rPr>
      <w:rFonts w:eastAsia="Times New Roman" w:cs="Mangal"/>
      <w:sz w:val="18"/>
      <w:szCs w:val="18"/>
      <w:lang w:bidi="hi-IN"/>
    </w:rPr>
  </w:style>
  <w:style w:type="character" w:styleId="1892" w:customStyle="1">
    <w:name w:val="Corpo de texto 2 Char374"/>
    <w:uiPriority w:val="99"/>
    <w:semiHidden/>
    <w:qFormat/>
    <w:pPr>
      <w:pBdr/>
      <w:spacing/>
      <w:ind/>
    </w:pPr>
    <w:rPr>
      <w:rFonts w:eastAsia="Times New Roman" w:cs="Mangal"/>
      <w:sz w:val="18"/>
      <w:szCs w:val="18"/>
      <w:lang w:bidi="hi-IN"/>
    </w:rPr>
  </w:style>
  <w:style w:type="character" w:styleId="1893" w:customStyle="1">
    <w:name w:val="Corpo de texto 2 Char373"/>
    <w:uiPriority w:val="99"/>
    <w:semiHidden/>
    <w:qFormat/>
    <w:pPr>
      <w:pBdr/>
      <w:spacing/>
      <w:ind/>
    </w:pPr>
    <w:rPr>
      <w:rFonts w:eastAsia="Times New Roman" w:cs="Mangal"/>
      <w:sz w:val="18"/>
      <w:szCs w:val="18"/>
      <w:lang w:bidi="hi-IN"/>
    </w:rPr>
  </w:style>
  <w:style w:type="character" w:styleId="1894" w:customStyle="1">
    <w:name w:val="Corpo de texto 2 Char372"/>
    <w:uiPriority w:val="99"/>
    <w:semiHidden/>
    <w:qFormat/>
    <w:pPr>
      <w:pBdr/>
      <w:spacing/>
      <w:ind/>
    </w:pPr>
    <w:rPr>
      <w:rFonts w:eastAsia="Times New Roman" w:cs="Mangal"/>
      <w:sz w:val="18"/>
      <w:szCs w:val="18"/>
      <w:lang w:bidi="hi-IN"/>
    </w:rPr>
  </w:style>
  <w:style w:type="character" w:styleId="1895" w:customStyle="1">
    <w:name w:val="Corpo de texto 2 Char371"/>
    <w:uiPriority w:val="99"/>
    <w:semiHidden/>
    <w:qFormat/>
    <w:pPr>
      <w:pBdr/>
      <w:spacing/>
      <w:ind/>
    </w:pPr>
    <w:rPr>
      <w:rFonts w:eastAsia="Times New Roman" w:cs="Mangal"/>
      <w:sz w:val="18"/>
      <w:szCs w:val="18"/>
      <w:lang w:bidi="hi-IN"/>
    </w:rPr>
  </w:style>
  <w:style w:type="character" w:styleId="1896" w:customStyle="1">
    <w:name w:val="Corpo de texto 2 Char370"/>
    <w:uiPriority w:val="99"/>
    <w:semiHidden/>
    <w:qFormat/>
    <w:pPr>
      <w:pBdr/>
      <w:spacing/>
      <w:ind/>
    </w:pPr>
    <w:rPr>
      <w:rFonts w:eastAsia="Times New Roman" w:cs="Mangal"/>
      <w:sz w:val="18"/>
      <w:szCs w:val="18"/>
      <w:lang w:bidi="hi-IN"/>
    </w:rPr>
  </w:style>
  <w:style w:type="character" w:styleId="1897" w:customStyle="1">
    <w:name w:val="Corpo de texto 2 Char369"/>
    <w:uiPriority w:val="99"/>
    <w:semiHidden/>
    <w:qFormat/>
    <w:pPr>
      <w:pBdr/>
      <w:spacing/>
      <w:ind/>
    </w:pPr>
    <w:rPr>
      <w:rFonts w:eastAsia="Times New Roman" w:cs="Mangal"/>
      <w:sz w:val="18"/>
      <w:szCs w:val="18"/>
      <w:lang w:bidi="hi-IN"/>
    </w:rPr>
  </w:style>
  <w:style w:type="character" w:styleId="1898" w:customStyle="1">
    <w:name w:val="Corpo de texto 2 Char368"/>
    <w:uiPriority w:val="99"/>
    <w:semiHidden/>
    <w:qFormat/>
    <w:pPr>
      <w:pBdr/>
      <w:spacing/>
      <w:ind/>
    </w:pPr>
    <w:rPr>
      <w:rFonts w:eastAsia="Times New Roman" w:cs="Mangal"/>
      <w:sz w:val="18"/>
      <w:szCs w:val="18"/>
      <w:lang w:bidi="hi-IN"/>
    </w:rPr>
  </w:style>
  <w:style w:type="character" w:styleId="1899" w:customStyle="1">
    <w:name w:val="Corpo de texto 2 Char367"/>
    <w:uiPriority w:val="99"/>
    <w:semiHidden/>
    <w:qFormat/>
    <w:pPr>
      <w:pBdr/>
      <w:spacing/>
      <w:ind/>
    </w:pPr>
    <w:rPr>
      <w:rFonts w:eastAsia="Times New Roman" w:cs="Mangal"/>
      <w:sz w:val="18"/>
      <w:szCs w:val="18"/>
      <w:lang w:bidi="hi-IN"/>
    </w:rPr>
  </w:style>
  <w:style w:type="character" w:styleId="1900" w:customStyle="1">
    <w:name w:val="Corpo de texto 2 Char366"/>
    <w:uiPriority w:val="99"/>
    <w:semiHidden/>
    <w:qFormat/>
    <w:pPr>
      <w:pBdr/>
      <w:spacing/>
      <w:ind/>
    </w:pPr>
    <w:rPr>
      <w:rFonts w:eastAsia="Times New Roman" w:cs="Mangal"/>
      <w:sz w:val="18"/>
      <w:szCs w:val="18"/>
      <w:lang w:bidi="hi-IN"/>
    </w:rPr>
  </w:style>
  <w:style w:type="character" w:styleId="1901" w:customStyle="1">
    <w:name w:val="Corpo de texto 2 Char365"/>
    <w:uiPriority w:val="99"/>
    <w:semiHidden/>
    <w:qFormat/>
    <w:pPr>
      <w:pBdr/>
      <w:spacing/>
      <w:ind/>
    </w:pPr>
    <w:rPr>
      <w:rFonts w:eastAsia="Times New Roman" w:cs="Mangal"/>
      <w:sz w:val="18"/>
      <w:szCs w:val="18"/>
      <w:lang w:bidi="hi-IN"/>
    </w:rPr>
  </w:style>
  <w:style w:type="character" w:styleId="1902" w:customStyle="1">
    <w:name w:val="Corpo de texto 2 Char364"/>
    <w:uiPriority w:val="99"/>
    <w:semiHidden/>
    <w:qFormat/>
    <w:pPr>
      <w:pBdr/>
      <w:spacing/>
      <w:ind/>
    </w:pPr>
    <w:rPr>
      <w:rFonts w:eastAsia="Times New Roman" w:cs="Mangal"/>
      <w:sz w:val="18"/>
      <w:szCs w:val="18"/>
      <w:lang w:bidi="hi-IN"/>
    </w:rPr>
  </w:style>
  <w:style w:type="character" w:styleId="1903" w:customStyle="1">
    <w:name w:val="Corpo de texto 2 Char363"/>
    <w:uiPriority w:val="99"/>
    <w:semiHidden/>
    <w:qFormat/>
    <w:pPr>
      <w:pBdr/>
      <w:spacing/>
      <w:ind/>
    </w:pPr>
    <w:rPr>
      <w:rFonts w:eastAsia="Times New Roman" w:cs="Mangal"/>
      <w:sz w:val="18"/>
      <w:szCs w:val="18"/>
      <w:lang w:bidi="hi-IN"/>
    </w:rPr>
  </w:style>
  <w:style w:type="character" w:styleId="1904" w:customStyle="1">
    <w:name w:val="Corpo de texto 2 Char362"/>
    <w:uiPriority w:val="99"/>
    <w:semiHidden/>
    <w:qFormat/>
    <w:pPr>
      <w:pBdr/>
      <w:spacing/>
      <w:ind/>
    </w:pPr>
    <w:rPr>
      <w:rFonts w:eastAsia="Times New Roman" w:cs="Mangal"/>
      <w:sz w:val="18"/>
      <w:szCs w:val="18"/>
      <w:lang w:bidi="hi-IN"/>
    </w:rPr>
  </w:style>
  <w:style w:type="character" w:styleId="1905" w:customStyle="1">
    <w:name w:val="Corpo de texto 2 Char361"/>
    <w:uiPriority w:val="99"/>
    <w:semiHidden/>
    <w:qFormat/>
    <w:pPr>
      <w:pBdr/>
      <w:spacing/>
      <w:ind/>
    </w:pPr>
    <w:rPr>
      <w:rFonts w:eastAsia="Times New Roman" w:cs="Mangal"/>
      <w:sz w:val="18"/>
      <w:szCs w:val="18"/>
      <w:lang w:bidi="hi-IN"/>
    </w:rPr>
  </w:style>
  <w:style w:type="character" w:styleId="1906" w:customStyle="1">
    <w:name w:val="Corpo de texto 2 Char360"/>
    <w:uiPriority w:val="99"/>
    <w:semiHidden/>
    <w:qFormat/>
    <w:pPr>
      <w:pBdr/>
      <w:spacing/>
      <w:ind/>
    </w:pPr>
    <w:rPr>
      <w:rFonts w:eastAsia="Times New Roman" w:cs="Mangal"/>
      <w:sz w:val="18"/>
      <w:szCs w:val="18"/>
      <w:lang w:bidi="hi-IN"/>
    </w:rPr>
  </w:style>
  <w:style w:type="character" w:styleId="1907" w:customStyle="1">
    <w:name w:val="Corpo de texto 2 Char359"/>
    <w:uiPriority w:val="99"/>
    <w:semiHidden/>
    <w:qFormat/>
    <w:pPr>
      <w:pBdr/>
      <w:spacing/>
      <w:ind/>
    </w:pPr>
    <w:rPr>
      <w:rFonts w:eastAsia="Times New Roman" w:cs="Mangal"/>
      <w:sz w:val="18"/>
      <w:szCs w:val="18"/>
      <w:lang w:bidi="hi-IN"/>
    </w:rPr>
  </w:style>
  <w:style w:type="character" w:styleId="1908" w:customStyle="1">
    <w:name w:val="Corpo de texto 2 Char358"/>
    <w:uiPriority w:val="99"/>
    <w:semiHidden/>
    <w:qFormat/>
    <w:pPr>
      <w:pBdr/>
      <w:spacing/>
      <w:ind/>
    </w:pPr>
    <w:rPr>
      <w:rFonts w:eastAsia="Times New Roman" w:cs="Mangal"/>
      <w:sz w:val="18"/>
      <w:szCs w:val="18"/>
      <w:lang w:bidi="hi-IN"/>
    </w:rPr>
  </w:style>
  <w:style w:type="character" w:styleId="1909" w:customStyle="1">
    <w:name w:val="Corpo de texto 2 Char357"/>
    <w:uiPriority w:val="99"/>
    <w:semiHidden/>
    <w:qFormat/>
    <w:pPr>
      <w:pBdr/>
      <w:spacing/>
      <w:ind/>
    </w:pPr>
    <w:rPr>
      <w:rFonts w:eastAsia="Times New Roman" w:cs="Mangal"/>
      <w:sz w:val="18"/>
      <w:szCs w:val="18"/>
      <w:lang w:bidi="hi-IN"/>
    </w:rPr>
  </w:style>
  <w:style w:type="character" w:styleId="1910" w:customStyle="1">
    <w:name w:val="Corpo de texto 2 Char356"/>
    <w:uiPriority w:val="99"/>
    <w:semiHidden/>
    <w:qFormat/>
    <w:pPr>
      <w:pBdr/>
      <w:spacing/>
      <w:ind/>
    </w:pPr>
    <w:rPr>
      <w:rFonts w:eastAsia="Times New Roman" w:cs="Mangal"/>
      <w:sz w:val="18"/>
      <w:szCs w:val="18"/>
      <w:lang w:bidi="hi-IN"/>
    </w:rPr>
  </w:style>
  <w:style w:type="character" w:styleId="1911" w:customStyle="1">
    <w:name w:val="Corpo de texto 2 Char355"/>
    <w:uiPriority w:val="99"/>
    <w:semiHidden/>
    <w:qFormat/>
    <w:pPr>
      <w:pBdr/>
      <w:spacing/>
      <w:ind/>
    </w:pPr>
    <w:rPr>
      <w:rFonts w:eastAsia="Times New Roman" w:cs="Mangal"/>
      <w:sz w:val="18"/>
      <w:szCs w:val="18"/>
      <w:lang w:bidi="hi-IN"/>
    </w:rPr>
  </w:style>
  <w:style w:type="character" w:styleId="1912" w:customStyle="1">
    <w:name w:val="Corpo de texto 2 Char354"/>
    <w:uiPriority w:val="99"/>
    <w:semiHidden/>
    <w:qFormat/>
    <w:pPr>
      <w:pBdr/>
      <w:spacing/>
      <w:ind/>
    </w:pPr>
    <w:rPr>
      <w:rFonts w:eastAsia="Times New Roman" w:cs="Mangal"/>
      <w:sz w:val="18"/>
      <w:szCs w:val="18"/>
      <w:lang w:bidi="hi-IN"/>
    </w:rPr>
  </w:style>
  <w:style w:type="character" w:styleId="1913" w:customStyle="1">
    <w:name w:val="Corpo de texto 2 Char353"/>
    <w:uiPriority w:val="99"/>
    <w:semiHidden/>
    <w:qFormat/>
    <w:pPr>
      <w:pBdr/>
      <w:spacing/>
      <w:ind/>
    </w:pPr>
    <w:rPr>
      <w:rFonts w:eastAsia="Times New Roman" w:cs="Mangal"/>
      <w:sz w:val="18"/>
      <w:szCs w:val="18"/>
      <w:lang w:bidi="hi-IN"/>
    </w:rPr>
  </w:style>
  <w:style w:type="character" w:styleId="1914" w:customStyle="1">
    <w:name w:val="Corpo de texto 2 Char352"/>
    <w:uiPriority w:val="99"/>
    <w:semiHidden/>
    <w:qFormat/>
    <w:pPr>
      <w:pBdr/>
      <w:spacing/>
      <w:ind/>
    </w:pPr>
    <w:rPr>
      <w:rFonts w:eastAsia="Times New Roman" w:cs="Mangal"/>
      <w:sz w:val="18"/>
      <w:szCs w:val="18"/>
      <w:lang w:bidi="hi-IN"/>
    </w:rPr>
  </w:style>
  <w:style w:type="character" w:styleId="1915" w:customStyle="1">
    <w:name w:val="Corpo de texto 2 Char351"/>
    <w:uiPriority w:val="99"/>
    <w:semiHidden/>
    <w:qFormat/>
    <w:pPr>
      <w:pBdr/>
      <w:spacing/>
      <w:ind/>
    </w:pPr>
    <w:rPr>
      <w:rFonts w:eastAsia="Times New Roman" w:cs="Mangal"/>
      <w:sz w:val="18"/>
      <w:szCs w:val="18"/>
      <w:lang w:bidi="hi-IN"/>
    </w:rPr>
  </w:style>
  <w:style w:type="character" w:styleId="1916" w:customStyle="1">
    <w:name w:val="Corpo de texto 2 Char350"/>
    <w:uiPriority w:val="99"/>
    <w:semiHidden/>
    <w:qFormat/>
    <w:pPr>
      <w:pBdr/>
      <w:spacing/>
      <w:ind/>
    </w:pPr>
    <w:rPr>
      <w:rFonts w:eastAsia="Times New Roman" w:cs="Mangal"/>
      <w:sz w:val="18"/>
      <w:szCs w:val="18"/>
      <w:lang w:bidi="hi-IN"/>
    </w:rPr>
  </w:style>
  <w:style w:type="character" w:styleId="1917" w:customStyle="1">
    <w:name w:val="Corpo de texto 2 Char349"/>
    <w:uiPriority w:val="99"/>
    <w:semiHidden/>
    <w:qFormat/>
    <w:pPr>
      <w:pBdr/>
      <w:spacing/>
      <w:ind/>
    </w:pPr>
    <w:rPr>
      <w:rFonts w:eastAsia="Times New Roman" w:cs="Mangal"/>
      <w:sz w:val="18"/>
      <w:szCs w:val="18"/>
      <w:lang w:bidi="hi-IN"/>
    </w:rPr>
  </w:style>
  <w:style w:type="character" w:styleId="1918" w:customStyle="1">
    <w:name w:val="Corpo de texto 2 Char348"/>
    <w:uiPriority w:val="99"/>
    <w:semiHidden/>
    <w:qFormat/>
    <w:pPr>
      <w:pBdr/>
      <w:spacing/>
      <w:ind/>
    </w:pPr>
    <w:rPr>
      <w:rFonts w:eastAsia="Times New Roman" w:cs="Mangal"/>
      <w:sz w:val="18"/>
      <w:szCs w:val="18"/>
      <w:lang w:bidi="hi-IN"/>
    </w:rPr>
  </w:style>
  <w:style w:type="character" w:styleId="1919" w:customStyle="1">
    <w:name w:val="Corpo de texto 2 Char347"/>
    <w:uiPriority w:val="99"/>
    <w:semiHidden/>
    <w:qFormat/>
    <w:pPr>
      <w:pBdr/>
      <w:spacing/>
      <w:ind/>
    </w:pPr>
    <w:rPr>
      <w:rFonts w:eastAsia="Times New Roman" w:cs="Mangal"/>
      <w:sz w:val="18"/>
      <w:szCs w:val="18"/>
      <w:lang w:bidi="hi-IN"/>
    </w:rPr>
  </w:style>
  <w:style w:type="character" w:styleId="1920" w:customStyle="1">
    <w:name w:val="Corpo de texto 2 Char346"/>
    <w:uiPriority w:val="99"/>
    <w:semiHidden/>
    <w:qFormat/>
    <w:pPr>
      <w:pBdr/>
      <w:spacing/>
      <w:ind/>
    </w:pPr>
    <w:rPr>
      <w:rFonts w:eastAsia="Times New Roman" w:cs="Mangal"/>
      <w:sz w:val="18"/>
      <w:szCs w:val="18"/>
      <w:lang w:bidi="hi-IN"/>
    </w:rPr>
  </w:style>
  <w:style w:type="character" w:styleId="1921" w:customStyle="1">
    <w:name w:val="Corpo de texto 2 Char345"/>
    <w:uiPriority w:val="99"/>
    <w:semiHidden/>
    <w:qFormat/>
    <w:pPr>
      <w:pBdr/>
      <w:spacing/>
      <w:ind/>
    </w:pPr>
    <w:rPr>
      <w:rFonts w:eastAsia="Times New Roman" w:cs="Mangal"/>
      <w:sz w:val="18"/>
      <w:szCs w:val="18"/>
      <w:lang w:bidi="hi-IN"/>
    </w:rPr>
  </w:style>
  <w:style w:type="character" w:styleId="1922" w:customStyle="1">
    <w:name w:val="Corpo de texto 2 Char344"/>
    <w:uiPriority w:val="99"/>
    <w:semiHidden/>
    <w:qFormat/>
    <w:pPr>
      <w:pBdr/>
      <w:spacing/>
      <w:ind/>
    </w:pPr>
    <w:rPr>
      <w:rFonts w:eastAsia="Times New Roman" w:cs="Mangal"/>
      <w:sz w:val="18"/>
      <w:szCs w:val="18"/>
      <w:lang w:bidi="hi-IN"/>
    </w:rPr>
  </w:style>
  <w:style w:type="character" w:styleId="1923" w:customStyle="1">
    <w:name w:val="Corpo de texto 2 Char343"/>
    <w:uiPriority w:val="99"/>
    <w:semiHidden/>
    <w:qFormat/>
    <w:pPr>
      <w:pBdr/>
      <w:spacing/>
      <w:ind/>
    </w:pPr>
    <w:rPr>
      <w:rFonts w:eastAsia="Times New Roman" w:cs="Mangal"/>
      <w:sz w:val="18"/>
      <w:szCs w:val="18"/>
      <w:lang w:bidi="hi-IN"/>
    </w:rPr>
  </w:style>
  <w:style w:type="character" w:styleId="1924" w:customStyle="1">
    <w:name w:val="Corpo de texto 2 Char342"/>
    <w:uiPriority w:val="99"/>
    <w:semiHidden/>
    <w:qFormat/>
    <w:pPr>
      <w:pBdr/>
      <w:spacing/>
      <w:ind/>
    </w:pPr>
    <w:rPr>
      <w:rFonts w:eastAsia="Times New Roman" w:cs="Mangal"/>
      <w:sz w:val="18"/>
      <w:szCs w:val="18"/>
      <w:lang w:bidi="hi-IN"/>
    </w:rPr>
  </w:style>
  <w:style w:type="character" w:styleId="1925" w:customStyle="1">
    <w:name w:val="Corpo de texto 2 Char341"/>
    <w:uiPriority w:val="99"/>
    <w:semiHidden/>
    <w:qFormat/>
    <w:pPr>
      <w:pBdr/>
      <w:spacing/>
      <w:ind/>
    </w:pPr>
    <w:rPr>
      <w:rFonts w:eastAsia="Times New Roman" w:cs="Mangal"/>
      <w:sz w:val="18"/>
      <w:szCs w:val="18"/>
      <w:lang w:bidi="hi-IN"/>
    </w:rPr>
  </w:style>
  <w:style w:type="character" w:styleId="1926" w:customStyle="1">
    <w:name w:val="Corpo de texto 2 Char340"/>
    <w:uiPriority w:val="99"/>
    <w:semiHidden/>
    <w:qFormat/>
    <w:pPr>
      <w:pBdr/>
      <w:spacing/>
      <w:ind/>
    </w:pPr>
    <w:rPr>
      <w:rFonts w:eastAsia="Times New Roman" w:cs="Mangal"/>
      <w:sz w:val="18"/>
      <w:szCs w:val="18"/>
      <w:lang w:bidi="hi-IN"/>
    </w:rPr>
  </w:style>
  <w:style w:type="character" w:styleId="1927" w:customStyle="1">
    <w:name w:val="Corpo de texto 2 Char339"/>
    <w:uiPriority w:val="99"/>
    <w:semiHidden/>
    <w:qFormat/>
    <w:pPr>
      <w:pBdr/>
      <w:spacing/>
      <w:ind/>
    </w:pPr>
    <w:rPr>
      <w:rFonts w:eastAsia="Times New Roman" w:cs="Mangal"/>
      <w:sz w:val="18"/>
      <w:szCs w:val="18"/>
      <w:lang w:bidi="hi-IN"/>
    </w:rPr>
  </w:style>
  <w:style w:type="character" w:styleId="1928" w:customStyle="1">
    <w:name w:val="Corpo de texto 2 Char338"/>
    <w:uiPriority w:val="99"/>
    <w:semiHidden/>
    <w:qFormat/>
    <w:pPr>
      <w:pBdr/>
      <w:spacing/>
      <w:ind/>
    </w:pPr>
    <w:rPr>
      <w:rFonts w:eastAsia="Times New Roman" w:cs="Mangal"/>
      <w:sz w:val="18"/>
      <w:szCs w:val="18"/>
      <w:lang w:bidi="hi-IN"/>
    </w:rPr>
  </w:style>
  <w:style w:type="character" w:styleId="1929" w:customStyle="1">
    <w:name w:val="Corpo de texto 2 Char337"/>
    <w:uiPriority w:val="99"/>
    <w:semiHidden/>
    <w:qFormat/>
    <w:pPr>
      <w:pBdr/>
      <w:spacing/>
      <w:ind/>
    </w:pPr>
    <w:rPr>
      <w:rFonts w:eastAsia="Times New Roman" w:cs="Mangal"/>
      <w:sz w:val="18"/>
      <w:szCs w:val="18"/>
      <w:lang w:bidi="hi-IN"/>
    </w:rPr>
  </w:style>
  <w:style w:type="character" w:styleId="1930" w:customStyle="1">
    <w:name w:val="Corpo de texto 2 Char336"/>
    <w:uiPriority w:val="99"/>
    <w:semiHidden/>
    <w:qFormat/>
    <w:pPr>
      <w:pBdr/>
      <w:spacing/>
      <w:ind/>
    </w:pPr>
    <w:rPr>
      <w:rFonts w:eastAsia="Times New Roman" w:cs="Mangal"/>
      <w:sz w:val="18"/>
      <w:szCs w:val="18"/>
      <w:lang w:bidi="hi-IN"/>
    </w:rPr>
  </w:style>
  <w:style w:type="character" w:styleId="1931" w:customStyle="1">
    <w:name w:val="Corpo de texto 2 Char335"/>
    <w:uiPriority w:val="99"/>
    <w:semiHidden/>
    <w:qFormat/>
    <w:pPr>
      <w:pBdr/>
      <w:spacing/>
      <w:ind/>
    </w:pPr>
    <w:rPr>
      <w:rFonts w:eastAsia="Times New Roman" w:cs="Mangal"/>
      <w:sz w:val="18"/>
      <w:szCs w:val="18"/>
      <w:lang w:bidi="hi-IN"/>
    </w:rPr>
  </w:style>
  <w:style w:type="character" w:styleId="1932" w:customStyle="1">
    <w:name w:val="Corpo de texto 2 Char334"/>
    <w:uiPriority w:val="99"/>
    <w:semiHidden/>
    <w:qFormat/>
    <w:pPr>
      <w:pBdr/>
      <w:spacing/>
      <w:ind/>
    </w:pPr>
    <w:rPr>
      <w:rFonts w:eastAsia="Times New Roman" w:cs="Mangal"/>
      <w:sz w:val="18"/>
      <w:szCs w:val="18"/>
      <w:lang w:bidi="hi-IN"/>
    </w:rPr>
  </w:style>
  <w:style w:type="character" w:styleId="1933" w:customStyle="1">
    <w:name w:val="Corpo de texto 2 Char333"/>
    <w:uiPriority w:val="99"/>
    <w:semiHidden/>
    <w:qFormat/>
    <w:pPr>
      <w:pBdr/>
      <w:spacing/>
      <w:ind/>
    </w:pPr>
    <w:rPr>
      <w:rFonts w:eastAsia="Times New Roman" w:cs="Mangal"/>
      <w:sz w:val="18"/>
      <w:szCs w:val="18"/>
      <w:lang w:bidi="hi-IN"/>
    </w:rPr>
  </w:style>
  <w:style w:type="character" w:styleId="1934" w:customStyle="1">
    <w:name w:val="Corpo de texto 2 Char332"/>
    <w:uiPriority w:val="99"/>
    <w:semiHidden/>
    <w:qFormat/>
    <w:pPr>
      <w:pBdr/>
      <w:spacing/>
      <w:ind/>
    </w:pPr>
    <w:rPr>
      <w:rFonts w:eastAsia="Times New Roman" w:cs="Mangal"/>
      <w:sz w:val="18"/>
      <w:szCs w:val="18"/>
      <w:lang w:bidi="hi-IN"/>
    </w:rPr>
  </w:style>
  <w:style w:type="character" w:styleId="1935" w:customStyle="1">
    <w:name w:val="Corpo de texto 2 Char331"/>
    <w:uiPriority w:val="99"/>
    <w:semiHidden/>
    <w:qFormat/>
    <w:pPr>
      <w:pBdr/>
      <w:spacing/>
      <w:ind/>
    </w:pPr>
    <w:rPr>
      <w:rFonts w:eastAsia="Times New Roman" w:cs="Mangal"/>
      <w:sz w:val="18"/>
      <w:szCs w:val="18"/>
      <w:lang w:bidi="hi-IN"/>
    </w:rPr>
  </w:style>
  <w:style w:type="character" w:styleId="1936" w:customStyle="1">
    <w:name w:val="Corpo de texto 2 Char330"/>
    <w:uiPriority w:val="99"/>
    <w:semiHidden/>
    <w:qFormat/>
    <w:pPr>
      <w:pBdr/>
      <w:spacing/>
      <w:ind/>
    </w:pPr>
    <w:rPr>
      <w:rFonts w:eastAsia="Times New Roman" w:cs="Mangal"/>
      <w:sz w:val="18"/>
      <w:szCs w:val="18"/>
      <w:lang w:bidi="hi-IN"/>
    </w:rPr>
  </w:style>
  <w:style w:type="character" w:styleId="1937" w:customStyle="1">
    <w:name w:val="Corpo de texto 2 Char329"/>
    <w:uiPriority w:val="99"/>
    <w:semiHidden/>
    <w:qFormat/>
    <w:pPr>
      <w:pBdr/>
      <w:spacing/>
      <w:ind/>
    </w:pPr>
    <w:rPr>
      <w:rFonts w:eastAsia="Times New Roman" w:cs="Mangal"/>
      <w:sz w:val="18"/>
      <w:szCs w:val="18"/>
      <w:lang w:bidi="hi-IN"/>
    </w:rPr>
  </w:style>
  <w:style w:type="character" w:styleId="1938" w:customStyle="1">
    <w:name w:val="Corpo de texto 2 Char328"/>
    <w:uiPriority w:val="99"/>
    <w:semiHidden/>
    <w:qFormat/>
    <w:pPr>
      <w:pBdr/>
      <w:spacing/>
      <w:ind/>
    </w:pPr>
    <w:rPr>
      <w:rFonts w:eastAsia="Times New Roman" w:cs="Mangal"/>
      <w:sz w:val="18"/>
      <w:szCs w:val="18"/>
      <w:lang w:bidi="hi-IN"/>
    </w:rPr>
  </w:style>
  <w:style w:type="character" w:styleId="1939" w:customStyle="1">
    <w:name w:val="Corpo de texto 2 Char327"/>
    <w:uiPriority w:val="99"/>
    <w:semiHidden/>
    <w:qFormat/>
    <w:pPr>
      <w:pBdr/>
      <w:spacing/>
      <w:ind/>
    </w:pPr>
    <w:rPr>
      <w:rFonts w:eastAsia="Times New Roman" w:cs="Mangal"/>
      <w:sz w:val="18"/>
      <w:szCs w:val="18"/>
      <w:lang w:bidi="hi-IN"/>
    </w:rPr>
  </w:style>
  <w:style w:type="character" w:styleId="1940" w:customStyle="1">
    <w:name w:val="Corpo de texto 2 Char326"/>
    <w:uiPriority w:val="99"/>
    <w:semiHidden/>
    <w:qFormat/>
    <w:pPr>
      <w:pBdr/>
      <w:spacing/>
      <w:ind/>
    </w:pPr>
    <w:rPr>
      <w:rFonts w:eastAsia="Times New Roman" w:cs="Mangal"/>
      <w:sz w:val="18"/>
      <w:szCs w:val="18"/>
      <w:lang w:bidi="hi-IN"/>
    </w:rPr>
  </w:style>
  <w:style w:type="character" w:styleId="1941" w:customStyle="1">
    <w:name w:val="Corpo de texto 2 Char325"/>
    <w:uiPriority w:val="99"/>
    <w:semiHidden/>
    <w:qFormat/>
    <w:pPr>
      <w:pBdr/>
      <w:spacing/>
      <w:ind/>
    </w:pPr>
    <w:rPr>
      <w:rFonts w:eastAsia="Times New Roman" w:cs="Mangal"/>
      <w:sz w:val="18"/>
      <w:szCs w:val="18"/>
      <w:lang w:bidi="hi-IN"/>
    </w:rPr>
  </w:style>
  <w:style w:type="character" w:styleId="1942" w:customStyle="1">
    <w:name w:val="Corpo de texto 2 Char324"/>
    <w:uiPriority w:val="99"/>
    <w:semiHidden/>
    <w:qFormat/>
    <w:pPr>
      <w:pBdr/>
      <w:spacing/>
      <w:ind/>
    </w:pPr>
    <w:rPr>
      <w:rFonts w:eastAsia="Times New Roman" w:cs="Mangal"/>
      <w:sz w:val="18"/>
      <w:szCs w:val="18"/>
      <w:lang w:bidi="hi-IN"/>
    </w:rPr>
  </w:style>
  <w:style w:type="character" w:styleId="1943" w:customStyle="1">
    <w:name w:val="Corpo de texto 2 Char323"/>
    <w:uiPriority w:val="99"/>
    <w:semiHidden/>
    <w:qFormat/>
    <w:pPr>
      <w:pBdr/>
      <w:spacing/>
      <w:ind/>
    </w:pPr>
    <w:rPr>
      <w:rFonts w:eastAsia="Times New Roman" w:cs="Mangal"/>
      <w:sz w:val="18"/>
      <w:szCs w:val="18"/>
      <w:lang w:bidi="hi-IN"/>
    </w:rPr>
  </w:style>
  <w:style w:type="character" w:styleId="1944" w:customStyle="1">
    <w:name w:val="Corpo de texto 2 Char322"/>
    <w:uiPriority w:val="99"/>
    <w:semiHidden/>
    <w:qFormat/>
    <w:pPr>
      <w:pBdr/>
      <w:spacing/>
      <w:ind/>
    </w:pPr>
    <w:rPr>
      <w:rFonts w:eastAsia="Times New Roman" w:cs="Mangal"/>
      <w:sz w:val="18"/>
      <w:szCs w:val="18"/>
      <w:lang w:bidi="hi-IN"/>
    </w:rPr>
  </w:style>
  <w:style w:type="character" w:styleId="1945" w:customStyle="1">
    <w:name w:val="Corpo de texto 2 Char321"/>
    <w:uiPriority w:val="99"/>
    <w:semiHidden/>
    <w:qFormat/>
    <w:pPr>
      <w:pBdr/>
      <w:spacing/>
      <w:ind/>
    </w:pPr>
    <w:rPr>
      <w:rFonts w:eastAsia="Times New Roman" w:cs="Mangal"/>
      <w:sz w:val="18"/>
      <w:szCs w:val="18"/>
      <w:lang w:bidi="hi-IN"/>
    </w:rPr>
  </w:style>
  <w:style w:type="character" w:styleId="1946" w:customStyle="1">
    <w:name w:val="Corpo de texto 2 Char320"/>
    <w:uiPriority w:val="99"/>
    <w:semiHidden/>
    <w:qFormat/>
    <w:pPr>
      <w:pBdr/>
      <w:spacing/>
      <w:ind/>
    </w:pPr>
    <w:rPr>
      <w:rFonts w:eastAsia="Times New Roman" w:cs="Mangal"/>
      <w:sz w:val="18"/>
      <w:szCs w:val="18"/>
      <w:lang w:bidi="hi-IN"/>
    </w:rPr>
  </w:style>
  <w:style w:type="character" w:styleId="1947" w:customStyle="1">
    <w:name w:val="Corpo de texto 2 Char319"/>
    <w:uiPriority w:val="99"/>
    <w:semiHidden/>
    <w:qFormat/>
    <w:pPr>
      <w:pBdr/>
      <w:spacing/>
      <w:ind/>
    </w:pPr>
    <w:rPr>
      <w:rFonts w:eastAsia="Times New Roman" w:cs="Mangal"/>
      <w:sz w:val="18"/>
      <w:szCs w:val="18"/>
      <w:lang w:bidi="hi-IN"/>
    </w:rPr>
  </w:style>
  <w:style w:type="character" w:styleId="1948" w:customStyle="1">
    <w:name w:val="Corpo de texto 2 Char318"/>
    <w:uiPriority w:val="99"/>
    <w:semiHidden/>
    <w:qFormat/>
    <w:pPr>
      <w:pBdr/>
      <w:spacing/>
      <w:ind/>
    </w:pPr>
    <w:rPr>
      <w:rFonts w:eastAsia="Times New Roman" w:cs="Mangal"/>
      <w:sz w:val="18"/>
      <w:szCs w:val="18"/>
      <w:lang w:bidi="hi-IN"/>
    </w:rPr>
  </w:style>
  <w:style w:type="character" w:styleId="1949" w:customStyle="1">
    <w:name w:val="Corpo de texto 2 Char317"/>
    <w:uiPriority w:val="99"/>
    <w:semiHidden/>
    <w:qFormat/>
    <w:pPr>
      <w:pBdr/>
      <w:spacing/>
      <w:ind/>
    </w:pPr>
    <w:rPr>
      <w:rFonts w:eastAsia="Times New Roman" w:cs="Mangal"/>
      <w:sz w:val="18"/>
      <w:szCs w:val="18"/>
      <w:lang w:bidi="hi-IN"/>
    </w:rPr>
  </w:style>
  <w:style w:type="character" w:styleId="1950" w:customStyle="1">
    <w:name w:val="Corpo de texto 2 Char316"/>
    <w:uiPriority w:val="99"/>
    <w:semiHidden/>
    <w:qFormat/>
    <w:pPr>
      <w:pBdr/>
      <w:spacing/>
      <w:ind/>
    </w:pPr>
    <w:rPr>
      <w:rFonts w:eastAsia="Times New Roman" w:cs="Mangal"/>
      <w:sz w:val="18"/>
      <w:szCs w:val="18"/>
      <w:lang w:bidi="hi-IN"/>
    </w:rPr>
  </w:style>
  <w:style w:type="character" w:styleId="1951" w:customStyle="1">
    <w:name w:val="Corpo de texto 2 Char315"/>
    <w:uiPriority w:val="99"/>
    <w:semiHidden/>
    <w:qFormat/>
    <w:pPr>
      <w:pBdr/>
      <w:spacing/>
      <w:ind/>
    </w:pPr>
    <w:rPr>
      <w:rFonts w:eastAsia="Times New Roman" w:cs="Mangal"/>
      <w:sz w:val="18"/>
      <w:szCs w:val="18"/>
      <w:lang w:bidi="hi-IN"/>
    </w:rPr>
  </w:style>
  <w:style w:type="character" w:styleId="1952" w:customStyle="1">
    <w:name w:val="Corpo de texto 2 Char314"/>
    <w:uiPriority w:val="99"/>
    <w:semiHidden/>
    <w:qFormat/>
    <w:pPr>
      <w:pBdr/>
      <w:spacing/>
      <w:ind/>
    </w:pPr>
    <w:rPr>
      <w:rFonts w:eastAsia="Times New Roman" w:cs="Mangal"/>
      <w:sz w:val="18"/>
      <w:szCs w:val="18"/>
      <w:lang w:bidi="hi-IN"/>
    </w:rPr>
  </w:style>
  <w:style w:type="character" w:styleId="1953" w:customStyle="1">
    <w:name w:val="Corpo de texto 2 Char313"/>
    <w:uiPriority w:val="99"/>
    <w:semiHidden/>
    <w:qFormat/>
    <w:pPr>
      <w:pBdr/>
      <w:spacing/>
      <w:ind/>
    </w:pPr>
    <w:rPr>
      <w:rFonts w:eastAsia="Times New Roman" w:cs="Mangal"/>
      <w:sz w:val="18"/>
      <w:szCs w:val="18"/>
      <w:lang w:bidi="hi-IN"/>
    </w:rPr>
  </w:style>
  <w:style w:type="character" w:styleId="1954" w:customStyle="1">
    <w:name w:val="Corpo de texto 2 Char312"/>
    <w:uiPriority w:val="99"/>
    <w:semiHidden/>
    <w:qFormat/>
    <w:pPr>
      <w:pBdr/>
      <w:spacing/>
      <w:ind/>
    </w:pPr>
    <w:rPr>
      <w:rFonts w:eastAsia="Times New Roman" w:cs="Mangal"/>
      <w:sz w:val="18"/>
      <w:szCs w:val="18"/>
      <w:lang w:bidi="hi-IN"/>
    </w:rPr>
  </w:style>
  <w:style w:type="character" w:styleId="1955" w:customStyle="1">
    <w:name w:val="Corpo de texto 2 Char311"/>
    <w:uiPriority w:val="99"/>
    <w:semiHidden/>
    <w:qFormat/>
    <w:pPr>
      <w:pBdr/>
      <w:spacing/>
      <w:ind/>
    </w:pPr>
    <w:rPr>
      <w:rFonts w:eastAsia="Times New Roman" w:cs="Mangal"/>
      <w:sz w:val="18"/>
      <w:szCs w:val="18"/>
      <w:lang w:bidi="hi-IN"/>
    </w:rPr>
  </w:style>
  <w:style w:type="character" w:styleId="1956" w:customStyle="1">
    <w:name w:val="Cabeçalho Char277"/>
    <w:uiPriority w:val="99"/>
    <w:semiHidden/>
    <w:qFormat/>
    <w:pPr>
      <w:pBdr/>
      <w:spacing/>
      <w:ind/>
    </w:pPr>
    <w:rPr>
      <w:rFonts w:eastAsia="Times New Roman" w:cs="Mangal"/>
      <w:sz w:val="18"/>
      <w:szCs w:val="18"/>
      <w:lang w:bidi="hi-IN"/>
    </w:rPr>
  </w:style>
  <w:style w:type="character" w:styleId="1957" w:customStyle="1">
    <w:name w:val="Cabeçalho Char276"/>
    <w:uiPriority w:val="99"/>
    <w:semiHidden/>
    <w:qFormat/>
    <w:pPr>
      <w:pBdr/>
      <w:spacing/>
      <w:ind/>
    </w:pPr>
    <w:rPr>
      <w:rFonts w:eastAsia="Times New Roman" w:cs="Mangal"/>
      <w:sz w:val="18"/>
      <w:szCs w:val="18"/>
      <w:lang w:bidi="hi-IN"/>
    </w:rPr>
  </w:style>
  <w:style w:type="character" w:styleId="1958" w:customStyle="1">
    <w:name w:val="Cabeçalho Char275"/>
    <w:uiPriority w:val="99"/>
    <w:semiHidden/>
    <w:qFormat/>
    <w:pPr>
      <w:pBdr/>
      <w:spacing/>
      <w:ind/>
    </w:pPr>
    <w:rPr>
      <w:rFonts w:eastAsia="Times New Roman" w:cs="Mangal"/>
      <w:sz w:val="18"/>
      <w:szCs w:val="18"/>
      <w:lang w:bidi="hi-IN"/>
    </w:rPr>
  </w:style>
  <w:style w:type="character" w:styleId="1959" w:customStyle="1">
    <w:name w:val="Cabeçalho Char274"/>
    <w:uiPriority w:val="99"/>
    <w:semiHidden/>
    <w:qFormat/>
    <w:pPr>
      <w:pBdr/>
      <w:spacing/>
      <w:ind/>
    </w:pPr>
    <w:rPr>
      <w:rFonts w:eastAsia="Times New Roman" w:cs="Mangal"/>
      <w:sz w:val="18"/>
      <w:szCs w:val="18"/>
      <w:lang w:bidi="hi-IN"/>
    </w:rPr>
  </w:style>
  <w:style w:type="character" w:styleId="1960" w:customStyle="1">
    <w:name w:val="Cabeçalho Char273"/>
    <w:uiPriority w:val="99"/>
    <w:semiHidden/>
    <w:qFormat/>
    <w:pPr>
      <w:pBdr/>
      <w:spacing/>
      <w:ind/>
    </w:pPr>
    <w:rPr>
      <w:rFonts w:eastAsia="Times New Roman" w:cs="Mangal"/>
      <w:sz w:val="18"/>
      <w:szCs w:val="18"/>
      <w:lang w:bidi="hi-IN"/>
    </w:rPr>
  </w:style>
  <w:style w:type="character" w:styleId="1961" w:customStyle="1">
    <w:name w:val="Cabeçalho Char272"/>
    <w:uiPriority w:val="99"/>
    <w:semiHidden/>
    <w:qFormat/>
    <w:pPr>
      <w:pBdr/>
      <w:spacing/>
      <w:ind/>
    </w:pPr>
    <w:rPr>
      <w:rFonts w:eastAsia="Times New Roman" w:cs="Mangal"/>
      <w:sz w:val="18"/>
      <w:szCs w:val="18"/>
      <w:lang w:bidi="hi-IN"/>
    </w:rPr>
  </w:style>
  <w:style w:type="character" w:styleId="1962" w:customStyle="1">
    <w:name w:val="Cabeçalho Char271"/>
    <w:uiPriority w:val="99"/>
    <w:semiHidden/>
    <w:qFormat/>
    <w:pPr>
      <w:pBdr/>
      <w:spacing/>
      <w:ind/>
    </w:pPr>
    <w:rPr>
      <w:rFonts w:eastAsia="Times New Roman" w:cs="Mangal"/>
      <w:sz w:val="18"/>
      <w:szCs w:val="18"/>
      <w:lang w:bidi="hi-IN"/>
    </w:rPr>
  </w:style>
  <w:style w:type="character" w:styleId="1963" w:customStyle="1">
    <w:name w:val="Cabeçalho Char270"/>
    <w:uiPriority w:val="99"/>
    <w:semiHidden/>
    <w:qFormat/>
    <w:pPr>
      <w:pBdr/>
      <w:spacing/>
      <w:ind/>
    </w:pPr>
    <w:rPr>
      <w:rFonts w:eastAsia="Times New Roman" w:cs="Mangal"/>
      <w:sz w:val="18"/>
      <w:szCs w:val="18"/>
      <w:lang w:bidi="hi-IN"/>
    </w:rPr>
  </w:style>
  <w:style w:type="character" w:styleId="1964" w:customStyle="1">
    <w:name w:val="Cabeçalho Char269"/>
    <w:uiPriority w:val="99"/>
    <w:semiHidden/>
    <w:qFormat/>
    <w:pPr>
      <w:pBdr/>
      <w:spacing/>
      <w:ind/>
    </w:pPr>
    <w:rPr>
      <w:rFonts w:eastAsia="Times New Roman" w:cs="Mangal"/>
      <w:sz w:val="18"/>
      <w:szCs w:val="18"/>
      <w:lang w:bidi="hi-IN"/>
    </w:rPr>
  </w:style>
  <w:style w:type="character" w:styleId="1965" w:customStyle="1">
    <w:name w:val="Cabeçalho Char268"/>
    <w:uiPriority w:val="99"/>
    <w:semiHidden/>
    <w:qFormat/>
    <w:pPr>
      <w:pBdr/>
      <w:spacing/>
      <w:ind/>
    </w:pPr>
    <w:rPr>
      <w:rFonts w:eastAsia="Times New Roman" w:cs="Mangal"/>
      <w:sz w:val="18"/>
      <w:szCs w:val="18"/>
      <w:lang w:bidi="hi-IN"/>
    </w:rPr>
  </w:style>
  <w:style w:type="character" w:styleId="1966" w:customStyle="1">
    <w:name w:val="Cabeçalho Char267"/>
    <w:uiPriority w:val="99"/>
    <w:semiHidden/>
    <w:qFormat/>
    <w:pPr>
      <w:pBdr/>
      <w:spacing/>
      <w:ind/>
    </w:pPr>
    <w:rPr>
      <w:rFonts w:eastAsia="Times New Roman" w:cs="Mangal"/>
      <w:sz w:val="18"/>
      <w:szCs w:val="18"/>
      <w:lang w:bidi="hi-IN"/>
    </w:rPr>
  </w:style>
  <w:style w:type="character" w:styleId="1967" w:customStyle="1">
    <w:name w:val="Cabeçalho Char266"/>
    <w:uiPriority w:val="99"/>
    <w:semiHidden/>
    <w:qFormat/>
    <w:pPr>
      <w:pBdr/>
      <w:spacing/>
      <w:ind/>
    </w:pPr>
    <w:rPr>
      <w:rFonts w:eastAsia="Times New Roman" w:cs="Mangal"/>
      <w:sz w:val="18"/>
      <w:szCs w:val="18"/>
      <w:lang w:bidi="hi-IN"/>
    </w:rPr>
  </w:style>
  <w:style w:type="character" w:styleId="1968" w:customStyle="1">
    <w:name w:val="Cabeçalho Char265"/>
    <w:uiPriority w:val="99"/>
    <w:semiHidden/>
    <w:qFormat/>
    <w:pPr>
      <w:pBdr/>
      <w:spacing/>
      <w:ind/>
    </w:pPr>
    <w:rPr>
      <w:rFonts w:eastAsia="Times New Roman" w:cs="Mangal"/>
      <w:sz w:val="18"/>
      <w:szCs w:val="18"/>
      <w:lang w:bidi="hi-IN"/>
    </w:rPr>
  </w:style>
  <w:style w:type="character" w:styleId="1969" w:customStyle="1">
    <w:name w:val="Cabeçalho Char264"/>
    <w:uiPriority w:val="99"/>
    <w:semiHidden/>
    <w:qFormat/>
    <w:pPr>
      <w:pBdr/>
      <w:spacing/>
      <w:ind/>
    </w:pPr>
    <w:rPr>
      <w:rFonts w:eastAsia="Times New Roman" w:cs="Mangal"/>
      <w:sz w:val="18"/>
      <w:szCs w:val="18"/>
      <w:lang w:bidi="hi-IN"/>
    </w:rPr>
  </w:style>
  <w:style w:type="character" w:styleId="1970" w:customStyle="1">
    <w:name w:val="Cabeçalho Char263"/>
    <w:uiPriority w:val="99"/>
    <w:semiHidden/>
    <w:qFormat/>
    <w:pPr>
      <w:pBdr/>
      <w:spacing/>
      <w:ind/>
    </w:pPr>
    <w:rPr>
      <w:rFonts w:eastAsia="Times New Roman" w:cs="Mangal"/>
      <w:sz w:val="18"/>
      <w:szCs w:val="18"/>
      <w:lang w:bidi="hi-IN"/>
    </w:rPr>
  </w:style>
  <w:style w:type="character" w:styleId="1971" w:customStyle="1">
    <w:name w:val="Cabeçalho Char262"/>
    <w:uiPriority w:val="99"/>
    <w:semiHidden/>
    <w:qFormat/>
    <w:pPr>
      <w:pBdr/>
      <w:spacing/>
      <w:ind/>
    </w:pPr>
    <w:rPr>
      <w:rFonts w:eastAsia="Times New Roman" w:cs="Mangal"/>
      <w:sz w:val="18"/>
      <w:szCs w:val="18"/>
      <w:lang w:bidi="hi-IN"/>
    </w:rPr>
  </w:style>
  <w:style w:type="character" w:styleId="1972" w:customStyle="1">
    <w:name w:val="Cabeçalho Char261"/>
    <w:uiPriority w:val="99"/>
    <w:semiHidden/>
    <w:qFormat/>
    <w:pPr>
      <w:pBdr/>
      <w:spacing/>
      <w:ind/>
    </w:pPr>
    <w:rPr>
      <w:rFonts w:eastAsia="Times New Roman" w:cs="Mangal"/>
      <w:sz w:val="18"/>
      <w:szCs w:val="18"/>
      <w:lang w:bidi="hi-IN"/>
    </w:rPr>
  </w:style>
  <w:style w:type="character" w:styleId="1973" w:customStyle="1">
    <w:name w:val="Cabeçalho Char260"/>
    <w:uiPriority w:val="99"/>
    <w:semiHidden/>
    <w:qFormat/>
    <w:pPr>
      <w:pBdr/>
      <w:spacing/>
      <w:ind/>
    </w:pPr>
    <w:rPr>
      <w:rFonts w:eastAsia="Times New Roman" w:cs="Mangal"/>
      <w:sz w:val="18"/>
      <w:szCs w:val="18"/>
      <w:lang w:bidi="hi-IN"/>
    </w:rPr>
  </w:style>
  <w:style w:type="character" w:styleId="1974" w:customStyle="1">
    <w:name w:val="Cabeçalho Char259"/>
    <w:uiPriority w:val="99"/>
    <w:semiHidden/>
    <w:qFormat/>
    <w:pPr>
      <w:pBdr/>
      <w:spacing/>
      <w:ind/>
    </w:pPr>
    <w:rPr>
      <w:rFonts w:eastAsia="Times New Roman" w:cs="Mangal"/>
      <w:sz w:val="18"/>
      <w:szCs w:val="18"/>
      <w:lang w:bidi="hi-IN"/>
    </w:rPr>
  </w:style>
  <w:style w:type="character" w:styleId="1975" w:customStyle="1">
    <w:name w:val="Cabeçalho Char258"/>
    <w:uiPriority w:val="99"/>
    <w:semiHidden/>
    <w:qFormat/>
    <w:pPr>
      <w:pBdr/>
      <w:spacing/>
      <w:ind/>
    </w:pPr>
    <w:rPr>
      <w:rFonts w:eastAsia="Times New Roman" w:cs="Mangal"/>
      <w:sz w:val="18"/>
      <w:szCs w:val="18"/>
      <w:lang w:bidi="hi-IN"/>
    </w:rPr>
  </w:style>
  <w:style w:type="character" w:styleId="1976" w:customStyle="1">
    <w:name w:val="Cabeçalho Char257"/>
    <w:uiPriority w:val="99"/>
    <w:semiHidden/>
    <w:qFormat/>
    <w:pPr>
      <w:pBdr/>
      <w:spacing/>
      <w:ind/>
    </w:pPr>
    <w:rPr>
      <w:rFonts w:eastAsia="Times New Roman" w:cs="Mangal"/>
      <w:sz w:val="18"/>
      <w:szCs w:val="18"/>
      <w:lang w:bidi="hi-IN"/>
    </w:rPr>
  </w:style>
  <w:style w:type="character" w:styleId="1977" w:customStyle="1">
    <w:name w:val="Cabeçalho Char256"/>
    <w:uiPriority w:val="99"/>
    <w:semiHidden/>
    <w:qFormat/>
    <w:pPr>
      <w:pBdr/>
      <w:spacing/>
      <w:ind/>
    </w:pPr>
    <w:rPr>
      <w:rFonts w:eastAsia="Times New Roman" w:cs="Mangal"/>
      <w:sz w:val="18"/>
      <w:szCs w:val="18"/>
      <w:lang w:bidi="hi-IN"/>
    </w:rPr>
  </w:style>
  <w:style w:type="character" w:styleId="1978" w:customStyle="1">
    <w:name w:val="Cabeçalho Char255"/>
    <w:uiPriority w:val="99"/>
    <w:semiHidden/>
    <w:qFormat/>
    <w:pPr>
      <w:pBdr/>
      <w:spacing/>
      <w:ind/>
    </w:pPr>
    <w:rPr>
      <w:rFonts w:eastAsia="Times New Roman" w:cs="Mangal"/>
      <w:sz w:val="18"/>
      <w:szCs w:val="18"/>
      <w:lang w:bidi="hi-IN"/>
    </w:rPr>
  </w:style>
  <w:style w:type="character" w:styleId="1979" w:customStyle="1">
    <w:name w:val="Cabeçalho Char254"/>
    <w:uiPriority w:val="99"/>
    <w:semiHidden/>
    <w:qFormat/>
    <w:pPr>
      <w:pBdr/>
      <w:spacing/>
      <w:ind/>
    </w:pPr>
    <w:rPr>
      <w:rFonts w:eastAsia="Times New Roman" w:cs="Mangal"/>
      <w:sz w:val="18"/>
      <w:szCs w:val="18"/>
      <w:lang w:bidi="hi-IN"/>
    </w:rPr>
  </w:style>
  <w:style w:type="character" w:styleId="1980" w:customStyle="1">
    <w:name w:val="Cabeçalho Char253"/>
    <w:uiPriority w:val="99"/>
    <w:semiHidden/>
    <w:qFormat/>
    <w:pPr>
      <w:pBdr/>
      <w:spacing/>
      <w:ind/>
    </w:pPr>
    <w:rPr>
      <w:rFonts w:eastAsia="Times New Roman" w:cs="Mangal"/>
      <w:sz w:val="18"/>
      <w:szCs w:val="18"/>
      <w:lang w:bidi="hi-IN"/>
    </w:rPr>
  </w:style>
  <w:style w:type="character" w:styleId="1981" w:customStyle="1">
    <w:name w:val="Cabeçalho Char252"/>
    <w:uiPriority w:val="99"/>
    <w:semiHidden/>
    <w:qFormat/>
    <w:pPr>
      <w:pBdr/>
      <w:spacing/>
      <w:ind/>
    </w:pPr>
    <w:rPr>
      <w:rFonts w:eastAsia="Times New Roman" w:cs="Mangal"/>
      <w:sz w:val="18"/>
      <w:szCs w:val="18"/>
      <w:lang w:bidi="hi-IN"/>
    </w:rPr>
  </w:style>
  <w:style w:type="character" w:styleId="1982" w:customStyle="1">
    <w:name w:val="Cabeçalho Char251"/>
    <w:uiPriority w:val="99"/>
    <w:semiHidden/>
    <w:qFormat/>
    <w:pPr>
      <w:pBdr/>
      <w:spacing/>
      <w:ind/>
    </w:pPr>
    <w:rPr>
      <w:rFonts w:eastAsia="Times New Roman" w:cs="Mangal"/>
      <w:sz w:val="18"/>
      <w:szCs w:val="18"/>
      <w:lang w:bidi="hi-IN"/>
    </w:rPr>
  </w:style>
  <w:style w:type="character" w:styleId="1983" w:customStyle="1">
    <w:name w:val="Cabeçalho Char250"/>
    <w:uiPriority w:val="99"/>
    <w:semiHidden/>
    <w:qFormat/>
    <w:pPr>
      <w:pBdr/>
      <w:spacing/>
      <w:ind/>
    </w:pPr>
    <w:rPr>
      <w:rFonts w:eastAsia="Times New Roman" w:cs="Mangal"/>
      <w:sz w:val="18"/>
      <w:szCs w:val="18"/>
      <w:lang w:bidi="hi-IN"/>
    </w:rPr>
  </w:style>
  <w:style w:type="character" w:styleId="1984" w:customStyle="1">
    <w:name w:val="Cabeçalho Char249"/>
    <w:uiPriority w:val="99"/>
    <w:semiHidden/>
    <w:qFormat/>
    <w:pPr>
      <w:pBdr/>
      <w:spacing/>
      <w:ind/>
    </w:pPr>
    <w:rPr>
      <w:rFonts w:eastAsia="Times New Roman" w:cs="Mangal"/>
      <w:sz w:val="18"/>
      <w:szCs w:val="18"/>
      <w:lang w:bidi="hi-IN"/>
    </w:rPr>
  </w:style>
  <w:style w:type="character" w:styleId="1985" w:customStyle="1">
    <w:name w:val="Cabeçalho Char248"/>
    <w:uiPriority w:val="99"/>
    <w:semiHidden/>
    <w:qFormat/>
    <w:pPr>
      <w:pBdr/>
      <w:spacing/>
      <w:ind/>
    </w:pPr>
    <w:rPr>
      <w:rFonts w:eastAsia="Times New Roman" w:cs="Mangal"/>
      <w:sz w:val="18"/>
      <w:szCs w:val="18"/>
      <w:lang w:bidi="hi-IN"/>
    </w:rPr>
  </w:style>
  <w:style w:type="character" w:styleId="1986" w:customStyle="1">
    <w:name w:val="Cabeçalho Char247"/>
    <w:uiPriority w:val="99"/>
    <w:semiHidden/>
    <w:qFormat/>
    <w:pPr>
      <w:pBdr/>
      <w:spacing/>
      <w:ind/>
    </w:pPr>
    <w:rPr>
      <w:rFonts w:eastAsia="Times New Roman" w:cs="Mangal"/>
      <w:sz w:val="18"/>
      <w:szCs w:val="18"/>
      <w:lang w:bidi="hi-IN"/>
    </w:rPr>
  </w:style>
  <w:style w:type="character" w:styleId="1987" w:customStyle="1">
    <w:name w:val="Cabeçalho Char246"/>
    <w:uiPriority w:val="99"/>
    <w:semiHidden/>
    <w:qFormat/>
    <w:pPr>
      <w:pBdr/>
      <w:spacing/>
      <w:ind/>
    </w:pPr>
    <w:rPr>
      <w:rFonts w:eastAsia="Times New Roman" w:cs="Mangal"/>
      <w:sz w:val="18"/>
      <w:szCs w:val="18"/>
      <w:lang w:bidi="hi-IN"/>
    </w:rPr>
  </w:style>
  <w:style w:type="character" w:styleId="1988" w:customStyle="1">
    <w:name w:val="Cabeçalho Char245"/>
    <w:uiPriority w:val="99"/>
    <w:semiHidden/>
    <w:qFormat/>
    <w:pPr>
      <w:pBdr/>
      <w:spacing/>
      <w:ind/>
    </w:pPr>
    <w:rPr>
      <w:rFonts w:eastAsia="Times New Roman" w:cs="Mangal"/>
      <w:sz w:val="18"/>
      <w:szCs w:val="18"/>
      <w:lang w:bidi="hi-IN"/>
    </w:rPr>
  </w:style>
  <w:style w:type="character" w:styleId="1989" w:customStyle="1">
    <w:name w:val="Cabeçalho Char244"/>
    <w:uiPriority w:val="99"/>
    <w:semiHidden/>
    <w:qFormat/>
    <w:pPr>
      <w:pBdr/>
      <w:spacing/>
      <w:ind/>
    </w:pPr>
    <w:rPr>
      <w:rFonts w:eastAsia="Times New Roman" w:cs="Mangal"/>
      <w:sz w:val="18"/>
      <w:szCs w:val="18"/>
      <w:lang w:bidi="hi-IN"/>
    </w:rPr>
  </w:style>
  <w:style w:type="character" w:styleId="1990" w:customStyle="1">
    <w:name w:val="Cabeçalho Char243"/>
    <w:uiPriority w:val="99"/>
    <w:semiHidden/>
    <w:qFormat/>
    <w:pPr>
      <w:pBdr/>
      <w:spacing/>
      <w:ind/>
    </w:pPr>
    <w:rPr>
      <w:rFonts w:eastAsia="Times New Roman" w:cs="Mangal"/>
      <w:sz w:val="18"/>
      <w:szCs w:val="18"/>
      <w:lang w:bidi="hi-IN"/>
    </w:rPr>
  </w:style>
  <w:style w:type="character" w:styleId="1991" w:customStyle="1">
    <w:name w:val="Cabeçalho Char242"/>
    <w:uiPriority w:val="99"/>
    <w:semiHidden/>
    <w:qFormat/>
    <w:pPr>
      <w:pBdr/>
      <w:spacing/>
      <w:ind/>
    </w:pPr>
    <w:rPr>
      <w:rFonts w:eastAsia="Times New Roman" w:cs="Mangal"/>
      <w:sz w:val="18"/>
      <w:szCs w:val="18"/>
      <w:lang w:bidi="hi-IN"/>
    </w:rPr>
  </w:style>
  <w:style w:type="character" w:styleId="1992" w:customStyle="1">
    <w:name w:val="Cabeçalho Char241"/>
    <w:uiPriority w:val="99"/>
    <w:semiHidden/>
    <w:qFormat/>
    <w:pPr>
      <w:pBdr/>
      <w:spacing/>
      <w:ind/>
    </w:pPr>
    <w:rPr>
      <w:rFonts w:eastAsia="Times New Roman" w:cs="Mangal"/>
      <w:sz w:val="18"/>
      <w:szCs w:val="18"/>
      <w:lang w:bidi="hi-IN"/>
    </w:rPr>
  </w:style>
  <w:style w:type="character" w:styleId="1993" w:customStyle="1">
    <w:name w:val="Cabeçalho Char240"/>
    <w:uiPriority w:val="99"/>
    <w:semiHidden/>
    <w:qFormat/>
    <w:pPr>
      <w:pBdr/>
      <w:spacing/>
      <w:ind/>
    </w:pPr>
    <w:rPr>
      <w:rFonts w:eastAsia="Times New Roman" w:cs="Mangal"/>
      <w:sz w:val="18"/>
      <w:szCs w:val="18"/>
      <w:lang w:bidi="hi-IN"/>
    </w:rPr>
  </w:style>
  <w:style w:type="character" w:styleId="1994" w:customStyle="1">
    <w:name w:val="Cabeçalho Char239"/>
    <w:uiPriority w:val="99"/>
    <w:semiHidden/>
    <w:qFormat/>
    <w:pPr>
      <w:pBdr/>
      <w:spacing/>
      <w:ind/>
    </w:pPr>
    <w:rPr>
      <w:rFonts w:eastAsia="Times New Roman" w:cs="Mangal"/>
      <w:sz w:val="18"/>
      <w:szCs w:val="18"/>
      <w:lang w:bidi="hi-IN"/>
    </w:rPr>
  </w:style>
  <w:style w:type="character" w:styleId="1995" w:customStyle="1">
    <w:name w:val="Cabeçalho Char238"/>
    <w:uiPriority w:val="99"/>
    <w:semiHidden/>
    <w:qFormat/>
    <w:pPr>
      <w:pBdr/>
      <w:spacing/>
      <w:ind/>
    </w:pPr>
    <w:rPr>
      <w:rFonts w:eastAsia="Times New Roman" w:cs="Mangal"/>
      <w:sz w:val="18"/>
      <w:szCs w:val="18"/>
      <w:lang w:bidi="hi-IN"/>
    </w:rPr>
  </w:style>
  <w:style w:type="character" w:styleId="1996" w:customStyle="1">
    <w:name w:val="Cabeçalho Char237"/>
    <w:uiPriority w:val="99"/>
    <w:semiHidden/>
    <w:qFormat/>
    <w:pPr>
      <w:pBdr/>
      <w:spacing/>
      <w:ind/>
    </w:pPr>
    <w:rPr>
      <w:rFonts w:eastAsia="Times New Roman" w:cs="Mangal"/>
      <w:sz w:val="18"/>
      <w:szCs w:val="18"/>
      <w:lang w:bidi="hi-IN"/>
    </w:rPr>
  </w:style>
  <w:style w:type="character" w:styleId="1997" w:customStyle="1">
    <w:name w:val="Cabeçalho Char236"/>
    <w:uiPriority w:val="99"/>
    <w:semiHidden/>
    <w:qFormat/>
    <w:pPr>
      <w:pBdr/>
      <w:spacing/>
      <w:ind/>
    </w:pPr>
    <w:rPr>
      <w:rFonts w:eastAsia="Times New Roman" w:cs="Mangal"/>
      <w:sz w:val="18"/>
      <w:szCs w:val="18"/>
      <w:lang w:bidi="hi-IN"/>
    </w:rPr>
  </w:style>
  <w:style w:type="character" w:styleId="1998" w:customStyle="1">
    <w:name w:val="Cabeçalho Char235"/>
    <w:uiPriority w:val="99"/>
    <w:semiHidden/>
    <w:qFormat/>
    <w:pPr>
      <w:pBdr/>
      <w:spacing/>
      <w:ind/>
    </w:pPr>
    <w:rPr>
      <w:rFonts w:eastAsia="Times New Roman" w:cs="Mangal"/>
      <w:sz w:val="18"/>
      <w:szCs w:val="18"/>
      <w:lang w:bidi="hi-IN"/>
    </w:rPr>
  </w:style>
  <w:style w:type="character" w:styleId="1999" w:customStyle="1">
    <w:name w:val="Cabeçalho Char234"/>
    <w:uiPriority w:val="99"/>
    <w:semiHidden/>
    <w:qFormat/>
    <w:pPr>
      <w:pBdr/>
      <w:spacing/>
      <w:ind/>
    </w:pPr>
    <w:rPr>
      <w:rFonts w:eastAsia="Times New Roman" w:cs="Mangal"/>
      <w:sz w:val="18"/>
      <w:szCs w:val="18"/>
      <w:lang w:bidi="hi-IN"/>
    </w:rPr>
  </w:style>
  <w:style w:type="character" w:styleId="2000" w:customStyle="1">
    <w:name w:val="Cabeçalho Char233"/>
    <w:uiPriority w:val="99"/>
    <w:semiHidden/>
    <w:qFormat/>
    <w:pPr>
      <w:pBdr/>
      <w:spacing/>
      <w:ind/>
    </w:pPr>
    <w:rPr>
      <w:rFonts w:eastAsia="Times New Roman" w:cs="Mangal"/>
      <w:sz w:val="18"/>
      <w:szCs w:val="18"/>
      <w:lang w:bidi="hi-IN"/>
    </w:rPr>
  </w:style>
  <w:style w:type="character" w:styleId="2001" w:customStyle="1">
    <w:name w:val="Cabeçalho Char232"/>
    <w:uiPriority w:val="99"/>
    <w:semiHidden/>
    <w:qFormat/>
    <w:pPr>
      <w:pBdr/>
      <w:spacing/>
      <w:ind/>
    </w:pPr>
    <w:rPr>
      <w:rFonts w:eastAsia="Times New Roman" w:cs="Mangal"/>
      <w:sz w:val="18"/>
      <w:szCs w:val="18"/>
      <w:lang w:bidi="hi-IN"/>
    </w:rPr>
  </w:style>
  <w:style w:type="character" w:styleId="2002" w:customStyle="1">
    <w:name w:val="Cabeçalho Char231"/>
    <w:uiPriority w:val="99"/>
    <w:semiHidden/>
    <w:qFormat/>
    <w:pPr>
      <w:pBdr/>
      <w:spacing/>
      <w:ind/>
    </w:pPr>
    <w:rPr>
      <w:rFonts w:eastAsia="Times New Roman" w:cs="Mangal"/>
      <w:sz w:val="18"/>
      <w:szCs w:val="18"/>
      <w:lang w:bidi="hi-IN"/>
    </w:rPr>
  </w:style>
  <w:style w:type="character" w:styleId="2003" w:customStyle="1">
    <w:name w:val="Cabeçalho Char230"/>
    <w:uiPriority w:val="99"/>
    <w:semiHidden/>
    <w:qFormat/>
    <w:pPr>
      <w:pBdr/>
      <w:spacing/>
      <w:ind/>
    </w:pPr>
    <w:rPr>
      <w:rFonts w:eastAsia="Times New Roman" w:cs="Mangal"/>
      <w:sz w:val="18"/>
      <w:szCs w:val="18"/>
      <w:lang w:bidi="hi-IN"/>
    </w:rPr>
  </w:style>
  <w:style w:type="character" w:styleId="2004" w:customStyle="1">
    <w:name w:val="Cabeçalho Char229"/>
    <w:uiPriority w:val="99"/>
    <w:semiHidden/>
    <w:qFormat/>
    <w:pPr>
      <w:pBdr/>
      <w:spacing/>
      <w:ind/>
    </w:pPr>
    <w:rPr>
      <w:rFonts w:eastAsia="Times New Roman" w:cs="Mangal"/>
      <w:sz w:val="18"/>
      <w:szCs w:val="18"/>
      <w:lang w:bidi="hi-IN"/>
    </w:rPr>
  </w:style>
  <w:style w:type="character" w:styleId="2005" w:customStyle="1">
    <w:name w:val="Cabeçalho Char228"/>
    <w:uiPriority w:val="99"/>
    <w:semiHidden/>
    <w:qFormat/>
    <w:pPr>
      <w:pBdr/>
      <w:spacing/>
      <w:ind/>
    </w:pPr>
    <w:rPr>
      <w:rFonts w:eastAsia="Times New Roman" w:cs="Mangal"/>
      <w:sz w:val="18"/>
      <w:szCs w:val="18"/>
      <w:lang w:bidi="hi-IN"/>
    </w:rPr>
  </w:style>
  <w:style w:type="character" w:styleId="2006" w:customStyle="1">
    <w:name w:val="Cabeçalho Char227"/>
    <w:uiPriority w:val="99"/>
    <w:semiHidden/>
    <w:qFormat/>
    <w:pPr>
      <w:pBdr/>
      <w:spacing/>
      <w:ind/>
    </w:pPr>
    <w:rPr>
      <w:rFonts w:eastAsia="Times New Roman" w:cs="Mangal"/>
      <w:sz w:val="18"/>
      <w:szCs w:val="18"/>
      <w:lang w:bidi="hi-IN"/>
    </w:rPr>
  </w:style>
  <w:style w:type="character" w:styleId="2007" w:customStyle="1">
    <w:name w:val="Cabeçalho Char226"/>
    <w:uiPriority w:val="99"/>
    <w:semiHidden/>
    <w:qFormat/>
    <w:pPr>
      <w:pBdr/>
      <w:spacing/>
      <w:ind/>
    </w:pPr>
    <w:rPr>
      <w:rFonts w:eastAsia="Times New Roman" w:cs="Mangal"/>
      <w:sz w:val="18"/>
      <w:szCs w:val="18"/>
      <w:lang w:bidi="hi-IN"/>
    </w:rPr>
  </w:style>
  <w:style w:type="character" w:styleId="2008" w:customStyle="1">
    <w:name w:val="Cabeçalho Char225"/>
    <w:uiPriority w:val="99"/>
    <w:semiHidden/>
    <w:qFormat/>
    <w:pPr>
      <w:pBdr/>
      <w:spacing/>
      <w:ind/>
    </w:pPr>
    <w:rPr>
      <w:rFonts w:eastAsia="Times New Roman" w:cs="Mangal"/>
      <w:sz w:val="18"/>
      <w:szCs w:val="18"/>
      <w:lang w:bidi="hi-IN"/>
    </w:rPr>
  </w:style>
  <w:style w:type="character" w:styleId="2009" w:customStyle="1">
    <w:name w:val="Cabeçalho Char224"/>
    <w:uiPriority w:val="99"/>
    <w:semiHidden/>
    <w:qFormat/>
    <w:pPr>
      <w:pBdr/>
      <w:spacing/>
      <w:ind/>
    </w:pPr>
    <w:rPr>
      <w:rFonts w:eastAsia="Times New Roman" w:cs="Mangal"/>
      <w:sz w:val="18"/>
      <w:szCs w:val="18"/>
      <w:lang w:bidi="hi-IN"/>
    </w:rPr>
  </w:style>
  <w:style w:type="character" w:styleId="2010" w:customStyle="1">
    <w:name w:val="Cabeçalho Char223"/>
    <w:uiPriority w:val="99"/>
    <w:semiHidden/>
    <w:qFormat/>
    <w:pPr>
      <w:pBdr/>
      <w:spacing/>
      <w:ind/>
    </w:pPr>
    <w:rPr>
      <w:rFonts w:eastAsia="Times New Roman" w:cs="Mangal"/>
      <w:sz w:val="18"/>
      <w:szCs w:val="18"/>
      <w:lang w:bidi="hi-IN"/>
    </w:rPr>
  </w:style>
  <w:style w:type="character" w:styleId="2011" w:customStyle="1">
    <w:name w:val="Cabeçalho Char222"/>
    <w:uiPriority w:val="99"/>
    <w:semiHidden/>
    <w:qFormat/>
    <w:pPr>
      <w:pBdr/>
      <w:spacing/>
      <w:ind/>
    </w:pPr>
    <w:rPr>
      <w:rFonts w:eastAsia="Times New Roman" w:cs="Mangal"/>
      <w:sz w:val="18"/>
      <w:szCs w:val="18"/>
      <w:lang w:bidi="hi-IN"/>
    </w:rPr>
  </w:style>
  <w:style w:type="character" w:styleId="2012" w:customStyle="1">
    <w:name w:val="Cabeçalho Char221"/>
    <w:uiPriority w:val="99"/>
    <w:semiHidden/>
    <w:qFormat/>
    <w:pPr>
      <w:pBdr/>
      <w:spacing/>
      <w:ind/>
    </w:pPr>
    <w:rPr>
      <w:rFonts w:eastAsia="Times New Roman" w:cs="Mangal"/>
      <w:sz w:val="18"/>
      <w:szCs w:val="18"/>
      <w:lang w:bidi="hi-IN"/>
    </w:rPr>
  </w:style>
  <w:style w:type="character" w:styleId="2013" w:customStyle="1">
    <w:name w:val="Cabeçalho Char220"/>
    <w:uiPriority w:val="99"/>
    <w:semiHidden/>
    <w:qFormat/>
    <w:pPr>
      <w:pBdr/>
      <w:spacing/>
      <w:ind/>
    </w:pPr>
    <w:rPr>
      <w:rFonts w:eastAsia="Times New Roman" w:cs="Mangal"/>
      <w:sz w:val="18"/>
      <w:szCs w:val="18"/>
      <w:lang w:bidi="hi-IN"/>
    </w:rPr>
  </w:style>
  <w:style w:type="character" w:styleId="2014" w:customStyle="1">
    <w:name w:val="Cabeçalho Char219"/>
    <w:uiPriority w:val="99"/>
    <w:semiHidden/>
    <w:qFormat/>
    <w:pPr>
      <w:pBdr/>
      <w:spacing/>
      <w:ind/>
    </w:pPr>
    <w:rPr>
      <w:rFonts w:eastAsia="Times New Roman" w:cs="Mangal"/>
      <w:sz w:val="18"/>
      <w:szCs w:val="18"/>
      <w:lang w:bidi="hi-IN"/>
    </w:rPr>
  </w:style>
  <w:style w:type="character" w:styleId="2015" w:customStyle="1">
    <w:name w:val="Cabeçalho Char218"/>
    <w:uiPriority w:val="99"/>
    <w:semiHidden/>
    <w:qFormat/>
    <w:pPr>
      <w:pBdr/>
      <w:spacing/>
      <w:ind/>
    </w:pPr>
    <w:rPr>
      <w:rFonts w:eastAsia="Times New Roman" w:cs="Mangal"/>
      <w:sz w:val="18"/>
      <w:szCs w:val="18"/>
      <w:lang w:bidi="hi-IN"/>
    </w:rPr>
  </w:style>
  <w:style w:type="character" w:styleId="2016" w:customStyle="1">
    <w:name w:val="Cabeçalho Char217"/>
    <w:uiPriority w:val="99"/>
    <w:semiHidden/>
    <w:qFormat/>
    <w:pPr>
      <w:pBdr/>
      <w:spacing/>
      <w:ind/>
    </w:pPr>
    <w:rPr>
      <w:rFonts w:eastAsia="Times New Roman" w:cs="Mangal"/>
      <w:sz w:val="18"/>
      <w:szCs w:val="18"/>
      <w:lang w:bidi="hi-IN"/>
    </w:rPr>
  </w:style>
  <w:style w:type="character" w:styleId="2017" w:customStyle="1">
    <w:name w:val="Cabeçalho Char216"/>
    <w:uiPriority w:val="99"/>
    <w:semiHidden/>
    <w:qFormat/>
    <w:pPr>
      <w:pBdr/>
      <w:spacing/>
      <w:ind/>
    </w:pPr>
    <w:rPr>
      <w:rFonts w:eastAsia="Times New Roman" w:cs="Mangal"/>
      <w:sz w:val="18"/>
      <w:szCs w:val="18"/>
      <w:lang w:bidi="hi-IN"/>
    </w:rPr>
  </w:style>
  <w:style w:type="character" w:styleId="2018" w:customStyle="1">
    <w:name w:val="Cabeçalho Char215"/>
    <w:uiPriority w:val="99"/>
    <w:semiHidden/>
    <w:qFormat/>
    <w:pPr>
      <w:pBdr/>
      <w:spacing/>
      <w:ind/>
    </w:pPr>
    <w:rPr>
      <w:rFonts w:eastAsia="Times New Roman" w:cs="Mangal"/>
      <w:sz w:val="18"/>
      <w:szCs w:val="18"/>
      <w:lang w:bidi="hi-IN"/>
    </w:rPr>
  </w:style>
  <w:style w:type="character" w:styleId="2019" w:customStyle="1">
    <w:name w:val="Cabeçalho Char214"/>
    <w:uiPriority w:val="99"/>
    <w:semiHidden/>
    <w:qFormat/>
    <w:pPr>
      <w:pBdr/>
      <w:spacing/>
      <w:ind/>
    </w:pPr>
    <w:rPr>
      <w:rFonts w:eastAsia="Times New Roman" w:cs="Mangal"/>
      <w:sz w:val="18"/>
      <w:szCs w:val="18"/>
      <w:lang w:bidi="hi-IN"/>
    </w:rPr>
  </w:style>
  <w:style w:type="character" w:styleId="2020" w:customStyle="1">
    <w:name w:val="Cabeçalho Char213"/>
    <w:uiPriority w:val="99"/>
    <w:semiHidden/>
    <w:qFormat/>
    <w:pPr>
      <w:pBdr/>
      <w:spacing/>
      <w:ind/>
    </w:pPr>
    <w:rPr>
      <w:rFonts w:eastAsia="Times New Roman" w:cs="Mangal"/>
      <w:sz w:val="18"/>
      <w:szCs w:val="18"/>
      <w:lang w:bidi="hi-IN"/>
    </w:rPr>
  </w:style>
  <w:style w:type="character" w:styleId="2021" w:customStyle="1">
    <w:name w:val="Cabeçalho Char212"/>
    <w:uiPriority w:val="99"/>
    <w:semiHidden/>
    <w:qFormat/>
    <w:pPr>
      <w:pBdr/>
      <w:spacing/>
      <w:ind/>
    </w:pPr>
    <w:rPr>
      <w:rFonts w:eastAsia="Times New Roman" w:cs="Mangal"/>
      <w:sz w:val="18"/>
      <w:szCs w:val="18"/>
      <w:lang w:bidi="hi-IN"/>
    </w:rPr>
  </w:style>
  <w:style w:type="character" w:styleId="2022" w:customStyle="1">
    <w:name w:val="Cabeçalho Char211"/>
    <w:uiPriority w:val="99"/>
    <w:semiHidden/>
    <w:qFormat/>
    <w:pPr>
      <w:pBdr/>
      <w:spacing/>
      <w:ind/>
    </w:pPr>
    <w:rPr>
      <w:rFonts w:eastAsia="Times New Roman" w:cs="Mangal"/>
      <w:sz w:val="18"/>
      <w:szCs w:val="18"/>
      <w:lang w:bidi="hi-IN"/>
    </w:rPr>
  </w:style>
  <w:style w:type="character" w:styleId="2023" w:customStyle="1">
    <w:name w:val="fontstyle01"/>
    <w:qFormat/>
    <w:pPr>
      <w:pBdr/>
      <w:spacing/>
      <w:ind/>
    </w:pPr>
    <w:rPr>
      <w:rFonts w:ascii="Arial" w:hAnsi="Arial"/>
      <w:color w:val="000000"/>
      <w:sz w:val="20"/>
    </w:rPr>
  </w:style>
  <w:style w:type="character" w:styleId="2024" w:customStyle="1">
    <w:name w:val="fontstyle21"/>
    <w:qFormat/>
    <w:pPr>
      <w:pBdr/>
      <w:spacing/>
      <w:ind/>
    </w:pPr>
    <w:rPr>
      <w:rFonts w:ascii="TimesNewRoman" w:hAnsi="TimesNewRoman"/>
      <w:b/>
      <w:color w:val="000000"/>
      <w:sz w:val="20"/>
    </w:rPr>
  </w:style>
  <w:style w:type="character" w:styleId="2025" w:customStyle="1">
    <w:name w:val="Endereço HTML Char"/>
    <w:link w:val="2328"/>
    <w:uiPriority w:val="99"/>
    <w:qFormat/>
    <w:pPr>
      <w:pBdr/>
      <w:spacing/>
      <w:ind/>
    </w:pPr>
    <w:rPr>
      <w:rFonts w:eastAsia="SimSun"/>
      <w:i/>
      <w:iCs/>
      <w:sz w:val="24"/>
      <w:szCs w:val="24"/>
    </w:rPr>
  </w:style>
  <w:style w:type="character" w:styleId="2026" w:customStyle="1">
    <w:name w:val="Nível 1-Sem Num Preto Char"/>
    <w:link w:val="2330"/>
    <w:qFormat/>
    <w:pPr>
      <w:pBdr/>
      <w:spacing/>
      <w:ind/>
    </w:pPr>
    <w:rPr>
      <w:rFonts w:ascii="Arial" w:hAnsi="Arial" w:eastAsia="SimSun" w:cs="Arial"/>
      <w:b/>
      <w:bCs/>
      <w:lang w:eastAsia="zh-CN" w:bidi="hi-IN"/>
    </w:rPr>
  </w:style>
  <w:style w:type="character" w:styleId="2027" w:customStyle="1">
    <w:name w:val="Menção Pendente1"/>
    <w:uiPriority w:val="99"/>
    <w:semiHidden/>
    <w:unhideWhenUsed/>
    <w:qFormat/>
    <w:pPr>
      <w:pBdr/>
      <w:spacing/>
      <w:ind/>
    </w:pPr>
    <w:rPr>
      <w:color w:val="605e5c"/>
      <w:shd w:val="clear" w:color="auto" w:fill="e1dfdd"/>
    </w:rPr>
  </w:style>
  <w:style w:type="character" w:styleId="2028" w:customStyle="1">
    <w:name w:val="font61"/>
    <w:qFormat/>
    <w:pPr>
      <w:pBdr/>
      <w:spacing/>
      <w:ind/>
    </w:pPr>
    <w:rPr>
      <w:rFonts w:ascii="Times New Roman" w:hAnsi="Times New Roman" w:cs="Times New Roman"/>
      <w:color w:val="000000"/>
      <w:u w:val="none"/>
    </w:rPr>
  </w:style>
  <w:style w:type="character" w:styleId="2029" w:customStyle="1">
    <w:name w:val="font21"/>
    <w:qFormat/>
    <w:pPr>
      <w:pBdr/>
      <w:spacing/>
      <w:ind/>
    </w:pPr>
    <w:rPr>
      <w:rFonts w:ascii="Times New Roman" w:hAnsi="Times New Roman" w:cs="Times New Roman"/>
      <w:color w:val="000000"/>
      <w:u w:val="none"/>
    </w:rPr>
  </w:style>
  <w:style w:type="paragraph" w:styleId="2030" w:customStyle="1">
    <w:name w:val="Título"/>
    <w:basedOn w:val="2059"/>
    <w:next w:val="2060"/>
    <w:qFormat/>
    <w:pPr>
      <w:keepNext w:val="true"/>
      <w:pBdr/>
      <w:spacing w:after="120" w:before="240"/>
      <w:ind/>
    </w:pPr>
    <w:rPr>
      <w:rFonts w:ascii="Liberation Sans" w:hAnsi="Liberation Sans" w:eastAsia="Microsoft YaHei" w:cs="Liberation Sans"/>
      <w:sz w:val="28"/>
      <w:szCs w:val="28"/>
    </w:rPr>
  </w:style>
  <w:style w:type="paragraph" w:styleId="2031">
    <w:name w:val="Body Text"/>
    <w:basedOn w:val="887"/>
    <w:uiPriority w:val="99"/>
    <w:qFormat/>
    <w:pPr>
      <w:pBdr/>
      <w:spacing w:after="120" w:before="0"/>
      <w:ind/>
    </w:pPr>
  </w:style>
  <w:style w:type="paragraph" w:styleId="2032">
    <w:name w:val="List"/>
    <w:basedOn w:val="2060"/>
    <w:uiPriority w:val="99"/>
    <w:pPr>
      <w:pBdr/>
      <w:spacing/>
      <w:ind/>
    </w:pPr>
  </w:style>
  <w:style w:type="paragraph" w:styleId="2033">
    <w:name w:val="Caption"/>
    <w:basedOn w:val="887"/>
    <w:next w:val="887"/>
    <w:uiPriority w:val="99"/>
    <w:qFormat/>
    <w:pPr>
      <w:pBdr/>
      <w:spacing w:after="200" w:before="0"/>
      <w:ind/>
    </w:pPr>
    <w:rPr>
      <w:rFonts w:ascii="Liberation Serif" w:hAnsi="Liberation Serif" w:eastAsia="NSimSun" w:cs="Mangal"/>
      <w:i/>
      <w:iCs/>
      <w:color w:val="44546a"/>
      <w:sz w:val="18"/>
      <w:szCs w:val="16"/>
      <w:lang w:bidi="hi-IN"/>
    </w:rPr>
  </w:style>
  <w:style w:type="paragraph" w:styleId="2034" w:customStyle="1">
    <w:name w:val="Índice"/>
    <w:basedOn w:val="2059"/>
    <w:qFormat/>
    <w:pPr>
      <w:suppressLineNumbers w:val="true"/>
      <w:pBdr/>
      <w:spacing/>
      <w:ind/>
    </w:pPr>
  </w:style>
  <w:style w:type="paragraph" w:styleId="2035">
    <w:name w:val="Title"/>
    <w:basedOn w:val="887"/>
    <w:next w:val="887"/>
    <w:link w:val="924"/>
    <w:uiPriority w:val="10"/>
    <w:qFormat/>
    <w:pPr>
      <w:pBdr/>
      <w:spacing w:after="80" w:before="0"/>
      <w:ind/>
      <w:contextualSpacing w:val="true"/>
    </w:pPr>
    <w:rPr>
      <w:rFonts w:ascii="Arial" w:hAnsi="Arial" w:eastAsia="Arial" w:cs="Arial"/>
      <w:spacing w:val="-10"/>
      <w:sz w:val="56"/>
      <w:szCs w:val="56"/>
    </w:rPr>
  </w:style>
  <w:style w:type="paragraph" w:styleId="2036">
    <w:name w:val="Subtitle"/>
    <w:basedOn w:val="887"/>
    <w:next w:val="887"/>
    <w:link w:val="925"/>
    <w:uiPriority w:val="11"/>
    <w:qFormat/>
    <w:pPr>
      <w:pBdr/>
      <w:spacing/>
      <w:ind/>
    </w:pPr>
    <w:rPr>
      <w:color w:val="595959"/>
      <w:spacing w:val="15"/>
      <w:sz w:val="28"/>
      <w:szCs w:val="28"/>
    </w:rPr>
  </w:style>
  <w:style w:type="paragraph" w:styleId="2037">
    <w:name w:val="Quote"/>
    <w:basedOn w:val="887"/>
    <w:next w:val="887"/>
    <w:link w:val="926"/>
    <w:qFormat/>
    <w:pPr>
      <w:pBdr/>
      <w:spacing w:after="160" w:before="200"/>
      <w:ind w:right="864" w:left="864"/>
      <w:jc w:val="center"/>
    </w:pPr>
    <w:rPr>
      <w:i/>
      <w:iCs/>
      <w:color w:val="404040"/>
    </w:rPr>
  </w:style>
  <w:style w:type="paragraph" w:styleId="2038">
    <w:name w:val="List Paragraph"/>
    <w:basedOn w:val="887"/>
    <w:uiPriority w:val="34"/>
    <w:qFormat/>
    <w:pPr>
      <w:pBdr/>
      <w:spacing w:after="0" w:before="0"/>
      <w:ind w:left="720"/>
      <w:contextualSpacing w:val="true"/>
    </w:pPr>
    <w:rPr>
      <w:rFonts w:ascii="Ecofont_Spranq_eco_Sans" w:hAnsi="Ecofont_Spranq_eco_Sans" w:cs="Tahoma"/>
      <w:sz w:val="24"/>
      <w:szCs w:val="24"/>
    </w:rPr>
  </w:style>
  <w:style w:type="paragraph" w:styleId="2039">
    <w:name w:val="Intense Quote"/>
    <w:basedOn w:val="887"/>
    <w:next w:val="887"/>
    <w:link w:val="928"/>
    <w:uiPriority w:val="30"/>
    <w:qFormat/>
    <w:pPr>
      <w:pBdr>
        <w:top w:val="single" w:color="365f91" w:sz="4" w:space="10"/>
        <w:bottom w:val="single" w:color="365f91" w:sz="4" w:space="10"/>
      </w:pBdr>
      <w:spacing w:after="360" w:before="360"/>
      <w:ind w:right="864" w:left="864"/>
      <w:jc w:val="center"/>
    </w:pPr>
    <w:rPr>
      <w:i/>
      <w:iCs/>
      <w:color w:val="365f91"/>
    </w:rPr>
  </w:style>
  <w:style w:type="paragraph" w:styleId="2040">
    <w:name w:val="No Spacing"/>
    <w:basedOn w:val="887"/>
    <w:uiPriority w:val="1"/>
    <w:qFormat/>
    <w:pPr>
      <w:pBdr/>
      <w:spacing/>
      <w:ind/>
    </w:pPr>
    <w:rPr>
      <w:rFonts w:ascii="Calibri" w:hAnsi="Calibri" w:eastAsia="SimSun" w:cs="Calibri"/>
      <w:sz w:val="22"/>
      <w:szCs w:val="22"/>
    </w:rPr>
  </w:style>
  <w:style w:type="paragraph" w:styleId="2041" w:customStyle="1">
    <w:name w:val="Cabeçalho e Rodapé"/>
    <w:basedOn w:val="2059"/>
    <w:qFormat/>
    <w:pPr>
      <w:suppressLineNumbers w:val="true"/>
      <w:pBdr/>
      <w:tabs>
        <w:tab w:val="clear" w:leader="none" w:pos="708"/>
        <w:tab w:val="center" w:leader="none" w:pos="4819"/>
        <w:tab w:val="right" w:leader="none" w:pos="9638"/>
      </w:tabs>
      <w:spacing/>
      <w:ind/>
    </w:pPr>
  </w:style>
  <w:style w:type="paragraph" w:styleId="2042">
    <w:name w:val="Header"/>
    <w:basedOn w:val="887"/>
    <w:link w:val="935"/>
    <w:uiPriority w:val="99"/>
    <w:pPr>
      <w:widowControl w:val="false"/>
      <w:pBdr/>
      <w:tabs>
        <w:tab w:val="clear" w:leader="none" w:pos="708"/>
        <w:tab w:val="center" w:leader="none" w:pos="4419"/>
        <w:tab w:val="right" w:leader="none" w:pos="8838"/>
      </w:tabs>
      <w:spacing/>
      <w:ind/>
    </w:pPr>
    <w:rPr>
      <w:lang w:val="en-US"/>
    </w:rPr>
  </w:style>
  <w:style w:type="paragraph" w:styleId="2043">
    <w:name w:val="Footer"/>
    <w:basedOn w:val="887"/>
    <w:link w:val="936"/>
    <w:uiPriority w:val="99"/>
    <w:qFormat/>
    <w:pPr>
      <w:widowControl w:val="false"/>
      <w:pBdr/>
      <w:tabs>
        <w:tab w:val="clear" w:leader="none" w:pos="708"/>
        <w:tab w:val="center" w:leader="none" w:pos="4419"/>
        <w:tab w:val="right" w:leader="none" w:pos="8838"/>
      </w:tabs>
      <w:spacing/>
      <w:ind/>
    </w:pPr>
    <w:rPr>
      <w:lang w:val="en-US"/>
    </w:rPr>
  </w:style>
  <w:style w:type="paragraph" w:styleId="2044">
    <w:name w:val="footnote text"/>
    <w:basedOn w:val="887"/>
    <w:link w:val="937"/>
    <w:pPr>
      <w:pBdr/>
      <w:spacing/>
      <w:ind/>
    </w:pPr>
    <w:rPr>
      <w:rFonts w:eastAsia="SimSun"/>
    </w:rPr>
  </w:style>
  <w:style w:type="paragraph" w:styleId="2045" w:customStyle="1">
    <w:name w:val="endnote text"/>
    <w:basedOn w:val="887"/>
    <w:link w:val="940"/>
    <w:uiPriority w:val="99"/>
    <w:unhideWhenUsed/>
    <w:pPr>
      <w:pBdr/>
      <w:spacing/>
      <w:ind/>
    </w:pPr>
    <w:rPr>
      <w:lang w:eastAsia="pt-BR"/>
    </w:rPr>
  </w:style>
  <w:style w:type="paragraph" w:styleId="2046">
    <w:name w:val="toc 1"/>
    <w:basedOn w:val="887"/>
    <w:next w:val="887"/>
    <w:uiPriority w:val="39"/>
    <w:unhideWhenUsed/>
    <w:pPr>
      <w:pBdr/>
      <w:spacing w:after="100" w:before="0"/>
      <w:ind/>
    </w:pPr>
  </w:style>
  <w:style w:type="paragraph" w:styleId="2047">
    <w:name w:val="toc 2"/>
    <w:basedOn w:val="887"/>
    <w:next w:val="887"/>
    <w:uiPriority w:val="39"/>
    <w:unhideWhenUsed/>
    <w:pPr>
      <w:pBdr/>
      <w:spacing w:after="100" w:before="0"/>
      <w:ind w:left="220"/>
    </w:pPr>
  </w:style>
  <w:style w:type="paragraph" w:styleId="2048">
    <w:name w:val="toc 3"/>
    <w:basedOn w:val="887"/>
    <w:next w:val="887"/>
    <w:uiPriority w:val="39"/>
    <w:unhideWhenUsed/>
    <w:pPr>
      <w:pBdr/>
      <w:spacing w:after="100" w:before="0"/>
      <w:ind w:left="440"/>
    </w:pPr>
  </w:style>
  <w:style w:type="paragraph" w:styleId="2049">
    <w:name w:val="toc 4"/>
    <w:basedOn w:val="887"/>
    <w:next w:val="887"/>
    <w:uiPriority w:val="39"/>
    <w:unhideWhenUsed/>
    <w:pPr>
      <w:pBdr/>
      <w:spacing w:after="100" w:before="0"/>
      <w:ind w:left="660"/>
    </w:pPr>
  </w:style>
  <w:style w:type="paragraph" w:styleId="2050">
    <w:name w:val="toc 5"/>
    <w:basedOn w:val="887"/>
    <w:next w:val="887"/>
    <w:uiPriority w:val="39"/>
    <w:unhideWhenUsed/>
    <w:pPr>
      <w:pBdr/>
      <w:spacing w:after="100" w:before="0"/>
      <w:ind w:left="880"/>
    </w:pPr>
  </w:style>
  <w:style w:type="paragraph" w:styleId="2051">
    <w:name w:val="toc 6"/>
    <w:basedOn w:val="887"/>
    <w:next w:val="887"/>
    <w:uiPriority w:val="39"/>
    <w:unhideWhenUsed/>
    <w:pPr>
      <w:pBdr/>
      <w:spacing w:after="100" w:before="0"/>
      <w:ind w:left="1100"/>
    </w:pPr>
  </w:style>
  <w:style w:type="paragraph" w:styleId="2052">
    <w:name w:val="toc 7"/>
    <w:basedOn w:val="887"/>
    <w:next w:val="887"/>
    <w:uiPriority w:val="39"/>
    <w:unhideWhenUsed/>
    <w:pPr>
      <w:pBdr/>
      <w:spacing w:after="100" w:before="0"/>
      <w:ind w:left="1320"/>
    </w:pPr>
  </w:style>
  <w:style w:type="paragraph" w:styleId="2053">
    <w:name w:val="toc 8"/>
    <w:basedOn w:val="887"/>
    <w:next w:val="887"/>
    <w:uiPriority w:val="39"/>
    <w:unhideWhenUsed/>
    <w:pPr>
      <w:pBdr/>
      <w:spacing w:after="100" w:before="0"/>
      <w:ind w:left="1540"/>
    </w:pPr>
  </w:style>
  <w:style w:type="paragraph" w:styleId="2054">
    <w:name w:val="toc 9"/>
    <w:basedOn w:val="887"/>
    <w:next w:val="887"/>
    <w:uiPriority w:val="39"/>
    <w:unhideWhenUsed/>
    <w:pPr>
      <w:pBdr/>
      <w:spacing w:after="100" w:before="0"/>
      <w:ind w:left="1760"/>
    </w:pPr>
  </w:style>
  <w:style w:type="paragraph" w:styleId="2055">
    <w:name w:val="Index Heading"/>
    <w:basedOn w:val="2030"/>
    <w:pPr>
      <w:pBdr/>
      <w:spacing/>
      <w:ind/>
    </w:pPr>
  </w:style>
  <w:style w:type="paragraph" w:styleId="2056">
    <w:name w:val="TOC Heading"/>
    <w:basedOn w:val="888"/>
    <w:next w:val="887"/>
    <w:qFormat/>
    <w:pPr>
      <w:keepLines w:val="true"/>
      <w:numPr>
        <w:ilvl w:val="0"/>
        <w:numId w:val="0"/>
      </w:numPr>
      <w:pBdr/>
      <w:spacing w:after="0" w:before="240" w:line="252" w:lineRule="auto"/>
      <w:ind/>
      <w:outlineLvl w:val="9"/>
    </w:pPr>
    <w:rPr>
      <w:rFonts w:ascii="Calibri" w:hAnsi="Calibri" w:eastAsia="MS Gothic" w:cs="Times New Roman"/>
      <w:b w:val="0"/>
      <w:bCs w:val="0"/>
      <w:color w:val="365f91"/>
      <w:lang w:val="pt-BR"/>
    </w:rPr>
  </w:style>
  <w:style w:type="paragraph" w:styleId="2057">
    <w:name w:val="table of figures"/>
    <w:basedOn w:val="887"/>
    <w:next w:val="887"/>
    <w:uiPriority w:val="99"/>
    <w:unhideWhenUsed/>
    <w:pPr>
      <w:pBdr/>
      <w:spacing/>
      <w:ind/>
    </w:pPr>
  </w:style>
  <w:style w:type="paragraph" w:styleId="2058" w:customStyle="1">
    <w:name w:val="Título2"/>
    <w:basedOn w:val="887"/>
    <w:next w:val="2031"/>
    <w:qFormat/>
    <w:pPr>
      <w:keepNext w:val="true"/>
      <w:pBdr/>
      <w:spacing w:after="120" w:before="240"/>
      <w:ind/>
    </w:pPr>
    <w:rPr>
      <w:rFonts w:ascii="Liberation Sans" w:hAnsi="Liberation Sans" w:eastAsia="Microsoft YaHei" w:cs="Arial"/>
      <w:sz w:val="28"/>
      <w:szCs w:val="28"/>
    </w:rPr>
  </w:style>
  <w:style w:type="paragraph" w:styleId="2059" w:customStyle="1">
    <w:name w:val="Standard"/>
    <w:qFormat/>
    <w:pPr>
      <w:widowControl w:val="true"/>
      <w:pBdr/>
      <w:bidi w:val="false"/>
      <w:spacing w:after="0" w:before="0"/>
      <w:ind/>
      <w:jc w:val="left"/>
    </w:pPr>
    <w:rPr>
      <w:rFonts w:ascii="Liberation Serif" w:hAnsi="Liberation Serif" w:eastAsia="NSimSun" w:cs="Arial"/>
      <w:color w:val="auto"/>
      <w:sz w:val="24"/>
      <w:szCs w:val="24"/>
      <w:lang w:val="pt-BR" w:eastAsia="zh-CN" w:bidi="hi-IN"/>
    </w:rPr>
  </w:style>
  <w:style w:type="paragraph" w:styleId="2060" w:customStyle="1">
    <w:name w:val="Text body"/>
    <w:basedOn w:val="2059"/>
    <w:qFormat/>
    <w:pPr>
      <w:pBdr/>
      <w:spacing w:after="140" w:before="0" w:line="276" w:lineRule="auto"/>
      <w:ind/>
    </w:pPr>
  </w:style>
  <w:style w:type="paragraph" w:styleId="2061">
    <w:name w:val="Normal (Web)"/>
    <w:basedOn w:val="887"/>
    <w:uiPriority w:val="99"/>
    <w:qFormat/>
    <w:pPr>
      <w:pBdr/>
      <w:spacing w:after="280" w:before="280"/>
      <w:ind/>
    </w:pPr>
    <w:rPr>
      <w:sz w:val="24"/>
      <w:szCs w:val="24"/>
    </w:rPr>
  </w:style>
  <w:style w:type="paragraph" w:styleId="2062" w:customStyle="1">
    <w:name w:val="Texto de comentário1"/>
    <w:basedOn w:val="887"/>
    <w:qFormat/>
    <w:pPr>
      <w:pBdr/>
      <w:spacing/>
      <w:ind/>
    </w:pPr>
    <w:rPr>
      <w:rFonts w:ascii="Ecofont_Spranq_eco_Sans" w:hAnsi="Ecofont_Spranq_eco_Sans" w:eastAsia="MS Mincho" w:cs="Tahoma"/>
    </w:rPr>
  </w:style>
  <w:style w:type="paragraph" w:styleId="2063">
    <w:name w:val="annotation subject"/>
    <w:basedOn w:val="2062"/>
    <w:next w:val="2062"/>
    <w:uiPriority w:val="99"/>
    <w:qFormat/>
    <w:pPr>
      <w:pBdr/>
      <w:spacing/>
      <w:ind/>
    </w:pPr>
    <w:rPr>
      <w:rFonts w:ascii="Times New Roman" w:hAnsi="Times New Roman" w:eastAsia="Times New Roman" w:cs="Times New Roman"/>
      <w:b/>
      <w:bCs/>
    </w:rPr>
  </w:style>
  <w:style w:type="paragraph" w:styleId="2064">
    <w:name w:val="Balloon Text"/>
    <w:basedOn w:val="887"/>
    <w:uiPriority w:val="99"/>
    <w:qFormat/>
    <w:pPr>
      <w:pBdr/>
      <w:spacing/>
      <w:ind/>
    </w:pPr>
    <w:rPr>
      <w:rFonts w:ascii="Tahoma" w:hAnsi="Tahoma" w:cs="Tahoma"/>
      <w:sz w:val="16"/>
      <w:szCs w:val="16"/>
    </w:rPr>
  </w:style>
  <w:style w:type="paragraph" w:styleId="2065">
    <w:name w:val="Body Text Indent"/>
    <w:basedOn w:val="887"/>
    <w:pPr>
      <w:pBdr/>
      <w:spacing w:after="120" w:before="0"/>
      <w:ind w:left="283"/>
    </w:pPr>
    <w:rPr>
      <w:sz w:val="24"/>
      <w:szCs w:val="24"/>
      <w:lang w:val="en-US"/>
    </w:rPr>
  </w:style>
  <w:style w:type="paragraph" w:styleId="2066" w:customStyle="1">
    <w:name w:val="Título1"/>
    <w:basedOn w:val="887"/>
    <w:next w:val="2031"/>
    <w:qFormat/>
    <w:pPr>
      <w:keepNext w:val="true"/>
      <w:pBdr/>
      <w:spacing w:after="120" w:before="240"/>
      <w:ind/>
    </w:pPr>
    <w:rPr>
      <w:rFonts w:ascii="Liberation Sans" w:hAnsi="Liberation Sans" w:eastAsia="Microsoft YaHei" w:cs="Arial"/>
      <w:sz w:val="28"/>
      <w:szCs w:val="28"/>
    </w:rPr>
  </w:style>
  <w:style w:type="paragraph" w:styleId="2067" w:customStyle="1">
    <w:name w:val="Corpo de texto 31"/>
    <w:basedOn w:val="887"/>
    <w:uiPriority w:val="99"/>
    <w:qFormat/>
    <w:pPr>
      <w:widowControl w:val="false"/>
      <w:pBdr/>
      <w:spacing w:after="120" w:before="0"/>
      <w:ind/>
    </w:pPr>
    <w:rPr>
      <w:sz w:val="16"/>
      <w:szCs w:val="16"/>
      <w:lang w:val="en-US"/>
    </w:rPr>
  </w:style>
  <w:style w:type="paragraph" w:styleId="2068" w:customStyle="1">
    <w:name w:val="Recuo de corpo de texto 21"/>
    <w:basedOn w:val="887"/>
    <w:uiPriority w:val="99"/>
    <w:qFormat/>
    <w:pPr>
      <w:pBdr/>
      <w:spacing/>
      <w:ind w:hanging="567" w:left="993"/>
      <w:jc w:val="both"/>
    </w:pPr>
    <w:rPr>
      <w:rFonts w:ascii="Arial" w:hAnsi="Arial" w:cs="Arial"/>
      <w:sz w:val="24"/>
      <w:lang w:val="en-US"/>
    </w:rPr>
  </w:style>
  <w:style w:type="paragraph" w:styleId="2069" w:customStyle="1">
    <w:name w:val="PADRAO"/>
    <w:uiPriority w:val="99"/>
    <w:qFormat/>
    <w:pPr>
      <w:widowControl w:val="true"/>
      <w:pBdr/>
      <w:bidi w:val="false"/>
      <w:spacing w:after="0" w:before="0"/>
      <w:ind/>
      <w:jc w:val="both"/>
    </w:pPr>
    <w:rPr>
      <w:rFonts w:ascii="Times New Roman" w:hAnsi="Times New Roman" w:eastAsia="NSimSun" w:cs="Arial"/>
      <w:color w:val="000000"/>
      <w:sz w:val="24"/>
      <w:szCs w:val="20"/>
      <w:lang w:val="pt-BR" w:eastAsia="zh-CN" w:bidi="ar-SA"/>
    </w:rPr>
  </w:style>
  <w:style w:type="paragraph" w:styleId="2070">
    <w:name w:val="Body Text Indent 3"/>
    <w:basedOn w:val="887"/>
    <w:uiPriority w:val="99"/>
    <w:qFormat/>
    <w:pPr>
      <w:widowControl w:val="false"/>
      <w:pBdr/>
      <w:spacing/>
      <w:ind w:left="1418"/>
      <w:jc w:val="both"/>
    </w:pPr>
    <w:rPr>
      <w:rFonts w:ascii="Arial" w:hAnsi="Arial" w:cs="Arial"/>
      <w:sz w:val="24"/>
      <w:lang w:val="en-US"/>
    </w:rPr>
  </w:style>
  <w:style w:type="paragraph" w:styleId="2071" w:customStyle="1">
    <w:name w:val="Recuo de corpo de texto 31"/>
    <w:basedOn w:val="887"/>
    <w:uiPriority w:val="99"/>
    <w:qFormat/>
    <w:pPr>
      <w:pBdr/>
      <w:spacing/>
      <w:ind w:hanging="567" w:left="567"/>
      <w:jc w:val="both"/>
    </w:pPr>
    <w:rPr>
      <w:rFonts w:ascii="Arial" w:hAnsi="Arial" w:cs="Arial"/>
      <w:sz w:val="24"/>
      <w:lang w:val="en-US"/>
    </w:rPr>
  </w:style>
  <w:style w:type="paragraph" w:styleId="2072" w:customStyle="1">
    <w:name w:val="Recuo de corpo de texto 22"/>
    <w:basedOn w:val="887"/>
    <w:qFormat/>
    <w:pPr>
      <w:pBdr/>
      <w:spacing w:after="120" w:before="0" w:line="480" w:lineRule="auto"/>
      <w:ind w:left="283"/>
    </w:pPr>
  </w:style>
  <w:style w:type="paragraph" w:styleId="2073" w:customStyle="1">
    <w:name w:val="_A010165"/>
    <w:uiPriority w:val="99"/>
    <w:qFormat/>
    <w:pPr>
      <w:widowControl w:val="true"/>
      <w:pBdr/>
      <w:tabs>
        <w:tab w:val="left" w:leader="none" w:pos="584"/>
        <w:tab w:val="clear" w:leader="none" w:pos="708"/>
        <w:tab w:val="left" w:leader="none" w:pos="6560"/>
        <w:tab w:val="left" w:leader="none" w:pos="7133"/>
      </w:tabs>
      <w:bidi w:val="false"/>
      <w:spacing w:after="0" w:before="0"/>
      <w:ind/>
      <w:jc w:val="both"/>
    </w:pPr>
    <w:rPr>
      <w:rFonts w:ascii="Arial" w:hAnsi="Arial" w:eastAsia="NSimSun" w:cs="Arial"/>
      <w:color w:val="000000"/>
      <w:sz w:val="22"/>
      <w:szCs w:val="20"/>
      <w:lang w:val="pt-BR" w:eastAsia="zh-CN" w:bidi="ar-SA"/>
    </w:rPr>
  </w:style>
  <w:style w:type="paragraph" w:styleId="2074" w:customStyle="1">
    <w:name w:val="Corpo de texto 21"/>
    <w:basedOn w:val="887"/>
    <w:uiPriority w:val="99"/>
    <w:qFormat/>
    <w:pPr>
      <w:pBdr/>
      <w:spacing w:after="120" w:before="0" w:line="480" w:lineRule="auto"/>
      <w:ind/>
    </w:pPr>
  </w:style>
  <w:style w:type="paragraph" w:styleId="2075" w:customStyle="1">
    <w:name w:val="Default"/>
    <w:qFormat/>
    <w:pPr>
      <w:widowControl w:val="true"/>
      <w:pBdr/>
      <w:bidi w:val="false"/>
      <w:spacing w:after="0" w:before="0"/>
      <w:ind/>
      <w:jc w:val="left"/>
    </w:pPr>
    <w:rPr>
      <w:rFonts w:ascii="Arial" w:hAnsi="Arial" w:eastAsia="SimSun" w:cs="Arial"/>
      <w:color w:val="000000"/>
      <w:sz w:val="24"/>
      <w:szCs w:val="24"/>
      <w:lang w:val="pt-BR" w:eastAsia="zh-CN" w:bidi="ar-SA"/>
    </w:rPr>
  </w:style>
  <w:style w:type="paragraph" w:styleId="2076" w:customStyle="1">
    <w:name w:val="Texto sem Formatação1"/>
    <w:basedOn w:val="887"/>
    <w:qFormat/>
    <w:pPr>
      <w:pBdr/>
      <w:spacing/>
      <w:ind/>
    </w:pPr>
    <w:rPr>
      <w:rFonts w:ascii="Courier New" w:hAnsi="Courier New" w:cs="Courier New"/>
    </w:rPr>
  </w:style>
  <w:style w:type="paragraph" w:styleId="2077" w:customStyle="1">
    <w:name w:val="tcu_-_rel/voto_-_demais_§§"/>
    <w:basedOn w:val="887"/>
    <w:qFormat/>
    <w:pPr>
      <w:pBdr/>
      <w:spacing w:after="280" w:before="280"/>
      <w:ind/>
    </w:pPr>
    <w:rPr>
      <w:rFonts w:eastAsia="SimSun"/>
      <w:sz w:val="24"/>
      <w:szCs w:val="24"/>
    </w:rPr>
  </w:style>
  <w:style w:type="paragraph" w:styleId="2078" w:customStyle="1">
    <w:name w:val="citação 2"/>
    <w:basedOn w:val="2037"/>
    <w:qFormat/>
    <w:pPr>
      <w:pBdr>
        <w:top w:val="single" w:color="1f497d" w:sz="4" w:space="1"/>
        <w:left w:val="single" w:color="1f497d" w:sz="4" w:space="4"/>
        <w:bottom w:val="single" w:color="1f497d" w:sz="4" w:space="1"/>
        <w:right w:val="single" w:color="1f497d" w:sz="4" w:space="4"/>
      </w:pBdr>
      <w:shd w:val="clear" w:color="auto" w:fill="ffffcc"/>
      <w:spacing w:after="0" w:before="120"/>
      <w:ind w:right="0" w:left="0"/>
      <w:jc w:val="both"/>
    </w:pPr>
    <w:rPr>
      <w:rFonts w:ascii="Arial" w:hAnsi="Arial" w:eastAsia="Calibri" w:cs="Tahoma"/>
      <w:color w:val="000000"/>
    </w:rPr>
  </w:style>
  <w:style w:type="paragraph" w:styleId="2079" w:customStyle="1">
    <w:name w:val="Nivel 01"/>
    <w:basedOn w:val="888"/>
    <w:next w:val="887"/>
    <w:qFormat/>
    <w:pPr>
      <w:keepLines w:val="true"/>
      <w:numPr>
        <w:ilvl w:val="0"/>
        <w:numId w:val="3"/>
      </w:numPr>
      <w:pBdr/>
      <w:tabs>
        <w:tab w:val="left" w:leader="none" w:pos="0"/>
        <w:tab w:val="left" w:leader="none" w:pos="567"/>
      </w:tabs>
      <w:spacing w:after="0" w:before="240"/>
      <w:ind w:firstLine="0" w:left="720"/>
      <w:jc w:val="both"/>
      <w:outlineLvl w:val="9"/>
    </w:pPr>
    <w:rPr>
      <w:rFonts w:ascii="Ecofont_Spranq_eco_Sans" w:hAnsi="Ecofont_Spranq_eco_Sans" w:eastAsia="MS Gothic" w:cs="Times New Roman"/>
      <w:color w:val="000000"/>
      <w:sz w:val="20"/>
      <w:szCs w:val="20"/>
      <w:lang w:val="pt-BR"/>
    </w:rPr>
  </w:style>
  <w:style w:type="paragraph" w:styleId="2080" w:customStyle="1">
    <w:name w:val="Nivel 2"/>
    <w:basedOn w:val="887"/>
    <w:qFormat/>
    <w:pPr>
      <w:pBdr/>
      <w:spacing w:after="120" w:before="120" w:line="276" w:lineRule="auto"/>
      <w:ind/>
      <w:jc w:val="both"/>
    </w:pPr>
    <w:rPr>
      <w:rFonts w:ascii="Arial" w:hAnsi="Arial" w:eastAsia="MS Mincho" w:cs="Arial"/>
      <w:color w:val="000000"/>
    </w:rPr>
  </w:style>
  <w:style w:type="paragraph" w:styleId="2081" w:customStyle="1">
    <w:name w:val="Nivel 3"/>
    <w:basedOn w:val="887"/>
    <w:qFormat/>
    <w:pPr>
      <w:pBdr/>
      <w:spacing w:after="120" w:before="120" w:line="276" w:lineRule="auto"/>
      <w:ind w:left="284"/>
      <w:jc w:val="both"/>
    </w:pPr>
    <w:rPr>
      <w:rFonts w:ascii="Arial" w:hAnsi="Arial" w:eastAsia="MS Mincho" w:cs="Arial"/>
      <w:color w:val="000000"/>
    </w:rPr>
  </w:style>
  <w:style w:type="paragraph" w:styleId="2082" w:customStyle="1">
    <w:name w:val="Nivel 4"/>
    <w:basedOn w:val="2081"/>
    <w:qFormat/>
    <w:pPr>
      <w:pBdr/>
      <w:spacing/>
      <w:ind w:left="567"/>
    </w:pPr>
  </w:style>
  <w:style w:type="paragraph" w:styleId="2083" w:customStyle="1">
    <w:name w:val="Nivel 5"/>
    <w:basedOn w:val="2082"/>
    <w:qFormat/>
    <w:pPr>
      <w:pBdr/>
      <w:spacing/>
      <w:ind w:left="851"/>
    </w:pPr>
  </w:style>
  <w:style w:type="paragraph" w:styleId="2084" w:customStyle="1">
    <w:name w:val="Nível 2 -Red"/>
    <w:basedOn w:val="2080"/>
    <w:qFormat/>
    <w:pPr>
      <w:pBdr/>
      <w:spacing/>
      <w:ind/>
    </w:pPr>
    <w:rPr>
      <w:i/>
      <w:iCs/>
      <w:color w:val="ff0000"/>
    </w:rPr>
  </w:style>
  <w:style w:type="paragraph" w:styleId="2085" w:customStyle="1">
    <w:name w:val="Nível 3-R"/>
    <w:basedOn w:val="2081"/>
    <w:qFormat/>
    <w:pPr>
      <w:pBdr/>
      <w:spacing/>
      <w:ind/>
    </w:pPr>
    <w:rPr>
      <w:i/>
      <w:iCs/>
      <w:color w:val="ff0000"/>
    </w:rPr>
  </w:style>
  <w:style w:type="paragraph" w:styleId="2086" w:customStyle="1">
    <w:name w:val="Recuo de corpo de texto 32"/>
    <w:basedOn w:val="887"/>
    <w:uiPriority w:val="99"/>
    <w:qFormat/>
    <w:pPr>
      <w:widowControl w:val="false"/>
      <w:pBdr/>
      <w:spacing/>
      <w:ind w:left="1418"/>
      <w:jc w:val="both"/>
    </w:pPr>
    <w:rPr>
      <w:rFonts w:ascii="Arial" w:hAnsi="Arial" w:eastAsia="SimSun" w:cs="Arial"/>
      <w:sz w:val="24"/>
      <w:lang w:val="en-US"/>
    </w:rPr>
  </w:style>
  <w:style w:type="paragraph" w:styleId="2087" w:customStyle="1">
    <w:name w:val="Conteúdo da tabela"/>
    <w:basedOn w:val="887"/>
    <w:qFormat/>
    <w:pPr>
      <w:widowControl w:val="false"/>
      <w:suppressLineNumbers w:val="true"/>
      <w:pBdr/>
      <w:spacing/>
      <w:ind/>
    </w:pPr>
  </w:style>
  <w:style w:type="paragraph" w:styleId="2088" w:customStyle="1">
    <w:name w:val="Standard1"/>
    <w:qFormat/>
    <w:pPr>
      <w:widowControl w:val="true"/>
      <w:pBdr/>
      <w:bidi w:val="false"/>
      <w:spacing w:after="0" w:before="0"/>
      <w:ind/>
      <w:jc w:val="left"/>
    </w:pPr>
    <w:rPr>
      <w:rFonts w:ascii="Liberation Serif" w:hAnsi="Liberation Serif" w:eastAsia="SimSun" w:cs="Liberation Serif"/>
      <w:color w:val="auto"/>
      <w:sz w:val="24"/>
      <w:szCs w:val="24"/>
      <w:lang w:val="pt-BR" w:eastAsia="zh-CN" w:bidi="hi-IN"/>
    </w:rPr>
  </w:style>
  <w:style w:type="paragraph" w:styleId="2089" w:customStyle="1">
    <w:name w:val="Table Paragraph"/>
    <w:basedOn w:val="2059"/>
    <w:uiPriority w:val="99"/>
    <w:qFormat/>
    <w:pPr>
      <w:pBdr/>
      <w:spacing/>
      <w:ind/>
    </w:pPr>
    <w:rPr>
      <w:rFonts w:ascii="Times New Roman" w:hAnsi="Times New Roman" w:eastAsia="SimSun" w:cs="Times New Roman"/>
      <w:lang w:val="pt-PT" w:bidi="ar-SA"/>
    </w:rPr>
  </w:style>
  <w:style w:type="paragraph" w:styleId="2090" w:customStyle="1">
    <w:name w:val="Título e Conteúdo~LT~Gliederung 1"/>
    <w:qFormat/>
    <w:pPr>
      <w:widowControl w:val="true"/>
      <w:pBdr/>
      <w:bidi w:val="false"/>
      <w:spacing w:after="0" w:before="283" w:line="216" w:lineRule="auto"/>
      <w:ind/>
      <w:jc w:val="left"/>
    </w:pPr>
    <w:rPr>
      <w:rFonts w:ascii="Arial" w:hAnsi="Arial" w:eastAsia="Tahoma" w:cs="Noto Sans"/>
      <w:color w:val="000000"/>
      <w:sz w:val="56"/>
      <w:szCs w:val="24"/>
      <w:lang w:val="pt-BR" w:eastAsia="zh-CN" w:bidi="hi-IN"/>
    </w:rPr>
  </w:style>
  <w:style w:type="paragraph" w:styleId="2091" w:customStyle="1">
    <w:name w:val="Título e Conteúdo~LT~Titel"/>
    <w:qFormat/>
    <w:pPr>
      <w:widowControl w:val="true"/>
      <w:pBdr/>
      <w:bidi w:val="false"/>
      <w:spacing w:after="0" w:before="0" w:line="200" w:lineRule="atLeast"/>
      <w:ind/>
      <w:jc w:val="left"/>
    </w:pPr>
    <w:rPr>
      <w:rFonts w:ascii="Arial" w:hAnsi="Arial" w:eastAsia="Tahoma" w:cs="Noto Sans"/>
      <w:color w:val="000000"/>
      <w:sz w:val="36"/>
      <w:szCs w:val="24"/>
      <w:lang w:val="pt-BR" w:eastAsia="zh-CN" w:bidi="hi-IN"/>
    </w:rPr>
  </w:style>
  <w:style w:type="paragraph" w:styleId="2092" w:customStyle="1">
    <w:name w:val="LO-normal"/>
    <w:qFormat/>
    <w:pPr>
      <w:widowControl w:val="true"/>
      <w:pBdr/>
      <w:bidi w:val="false"/>
      <w:spacing w:after="160" w:before="0" w:line="252" w:lineRule="auto"/>
      <w:ind/>
      <w:jc w:val="left"/>
    </w:pPr>
    <w:rPr>
      <w:rFonts w:ascii="Calibri" w:hAnsi="Calibri" w:eastAsia="NSimSun" w:cs="Arial"/>
      <w:color w:val="auto"/>
      <w:sz w:val="22"/>
      <w:szCs w:val="22"/>
      <w:lang w:val="pt-BR" w:eastAsia="zh-CN" w:bidi="ar-SA"/>
    </w:rPr>
  </w:style>
  <w:style w:type="paragraph" w:styleId="2093" w:customStyle="1">
    <w:name w:val="Título de tabela"/>
    <w:basedOn w:val="2087"/>
    <w:qFormat/>
    <w:pPr>
      <w:pBdr/>
      <w:spacing/>
      <w:ind/>
      <w:jc w:val="center"/>
    </w:pPr>
    <w:rPr>
      <w:b/>
      <w:bCs/>
    </w:rPr>
  </w:style>
  <w:style w:type="paragraph" w:styleId="2094" w:customStyle="1">
    <w:name w:val="Estilo padrão de desenho"/>
    <w:qFormat/>
    <w:pPr>
      <w:widowControl w:val="true"/>
      <w:pBdr/>
      <w:bidi w:val="false"/>
      <w:spacing w:after="0" w:before="0" w:line="200" w:lineRule="atLeast"/>
      <w:ind/>
      <w:jc w:val="left"/>
    </w:pPr>
    <w:rPr>
      <w:rFonts w:ascii="Arial" w:hAnsi="Arial" w:eastAsia="Tahoma" w:cs="Noto Sans"/>
      <w:color w:val="auto"/>
      <w:sz w:val="36"/>
      <w:szCs w:val="24"/>
      <w:lang w:val="pt-BR" w:eastAsia="zh-CN" w:bidi="hi-IN"/>
    </w:rPr>
  </w:style>
  <w:style w:type="paragraph" w:styleId="2095" w:customStyle="1">
    <w:name w:val="Objeto sem preenchimento"/>
    <w:basedOn w:val="2094"/>
    <w:qFormat/>
    <w:pPr>
      <w:pBdr/>
      <w:spacing/>
      <w:ind/>
    </w:pPr>
    <w:rPr>
      <w:rFonts w:eastAsia="Arial" w:cs="Arial"/>
    </w:rPr>
  </w:style>
  <w:style w:type="paragraph" w:styleId="2096" w:customStyle="1">
    <w:name w:val="Objeto sem preenchimento nem linha"/>
    <w:basedOn w:val="2094"/>
    <w:qFormat/>
    <w:pPr>
      <w:pBdr/>
      <w:spacing/>
      <w:ind/>
    </w:pPr>
    <w:rPr>
      <w:rFonts w:eastAsia="Arial" w:cs="Arial"/>
    </w:rPr>
  </w:style>
  <w:style w:type="paragraph" w:styleId="2097" w:customStyle="1">
    <w:name w:val="Texto"/>
    <w:basedOn w:val="2033"/>
    <w:uiPriority w:val="99"/>
    <w:qFormat/>
    <w:pPr>
      <w:pBdr/>
      <w:tabs>
        <w:tab w:val="left" w:leader="none" w:pos="648"/>
        <w:tab w:val="clear" w:leader="none" w:pos="708"/>
      </w:tabs>
      <w:spacing w:after="120" w:before="120"/>
      <w:ind w:firstLine="709" w:left="360"/>
      <w:jc w:val="both"/>
    </w:pPr>
    <w:rPr>
      <w:rFonts w:ascii="Times New Roman" w:hAnsi="Times New Roman" w:eastAsia="Times New Roman" w:cs="Times New Roman"/>
      <w:iCs w:val="0"/>
      <w:color w:val="000000"/>
      <w:sz w:val="24"/>
      <w:szCs w:val="24"/>
      <w:lang w:bidi="ar-SA"/>
    </w:rPr>
  </w:style>
  <w:style w:type="paragraph" w:styleId="2098" w:customStyle="1">
    <w:name w:val="A0"/>
    <w:basedOn w:val="2097"/>
    <w:qFormat/>
    <w:pPr>
      <w:pBdr/>
      <w:spacing/>
      <w:ind/>
    </w:pPr>
    <w:rPr>
      <w:rFonts w:ascii="Noto Sans" w:hAnsi="Noto Sans" w:eastAsia="Noto Sans" w:cs="Noto Sans"/>
      <w:sz w:val="95"/>
    </w:rPr>
  </w:style>
  <w:style w:type="paragraph" w:styleId="2099" w:customStyle="1">
    <w:name w:val="Título do documento A0"/>
    <w:basedOn w:val="2098"/>
    <w:qFormat/>
    <w:pPr>
      <w:pBdr/>
      <w:spacing/>
      <w:ind/>
    </w:pPr>
    <w:rPr>
      <w:sz w:val="191"/>
    </w:rPr>
  </w:style>
  <w:style w:type="paragraph" w:styleId="2100" w:customStyle="1">
    <w:name w:val="Título A0"/>
    <w:basedOn w:val="2098"/>
    <w:qFormat/>
    <w:pPr>
      <w:pBdr/>
      <w:spacing/>
      <w:ind/>
    </w:pPr>
    <w:rPr>
      <w:sz w:val="143"/>
    </w:rPr>
  </w:style>
  <w:style w:type="paragraph" w:styleId="2101" w:customStyle="1">
    <w:name w:val="Texto A0"/>
    <w:basedOn w:val="2098"/>
    <w:qFormat/>
    <w:pPr>
      <w:pBdr/>
      <w:spacing/>
      <w:ind/>
    </w:pPr>
  </w:style>
  <w:style w:type="paragraph" w:styleId="2102" w:customStyle="1">
    <w:name w:val="Figura"/>
    <w:basedOn w:val="2033"/>
    <w:qFormat/>
    <w:pPr>
      <w:suppressLineNumbers w:val="true"/>
      <w:pBdr/>
      <w:spacing w:after="120" w:before="120"/>
      <w:ind/>
    </w:pPr>
    <w:rPr>
      <w:rFonts w:cs="Arial"/>
      <w:color w:val="000000"/>
      <w:sz w:val="24"/>
      <w:szCs w:val="24"/>
    </w:rPr>
  </w:style>
  <w:style w:type="paragraph" w:styleId="2103" w:customStyle="1">
    <w:name w:val="Linhas"/>
    <w:basedOn w:val="2102"/>
    <w:qFormat/>
    <w:pPr>
      <w:pBdr/>
      <w:spacing/>
      <w:ind/>
    </w:pPr>
    <w:rPr>
      <w:rFonts w:ascii="Liberation Sans" w:hAnsi="Liberation Sans" w:eastAsia="Liberation Sans" w:cs="Liberation Sans"/>
      <w:sz w:val="36"/>
    </w:rPr>
  </w:style>
  <w:style w:type="paragraph" w:styleId="2104" w:customStyle="1">
    <w:name w:val="Linhas com setas"/>
    <w:basedOn w:val="2103"/>
    <w:qFormat/>
    <w:pPr>
      <w:pBdr/>
      <w:spacing/>
      <w:ind/>
    </w:pPr>
  </w:style>
  <w:style w:type="paragraph" w:styleId="2105" w:customStyle="1">
    <w:name w:val="Linhas tracejadas"/>
    <w:basedOn w:val="2103"/>
    <w:qFormat/>
    <w:pPr>
      <w:pBdr/>
      <w:spacing/>
      <w:ind/>
    </w:pPr>
  </w:style>
  <w:style w:type="paragraph" w:styleId="2106" w:customStyle="1">
    <w:name w:val="Slide de Título~LT~Gliederung 1"/>
    <w:qFormat/>
    <w:pPr>
      <w:widowControl w:val="true"/>
      <w:pBdr/>
      <w:bidi w:val="false"/>
      <w:spacing w:after="0" w:before="283" w:line="216" w:lineRule="auto"/>
      <w:ind/>
      <w:jc w:val="left"/>
    </w:pPr>
    <w:rPr>
      <w:rFonts w:ascii="Arial" w:hAnsi="Arial" w:eastAsia="Tahoma" w:cs="Noto Sans"/>
      <w:color w:val="000000"/>
      <w:sz w:val="56"/>
      <w:szCs w:val="24"/>
      <w:lang w:val="pt-BR" w:eastAsia="zh-CN" w:bidi="hi-IN"/>
    </w:rPr>
  </w:style>
  <w:style w:type="paragraph" w:styleId="2107" w:customStyle="1">
    <w:name w:val="Slide de Título~LT~Gliederung 2"/>
    <w:basedOn w:val="2106"/>
    <w:qFormat/>
    <w:pPr>
      <w:pBdr/>
      <w:spacing w:after="0" w:before="227"/>
      <w:ind/>
    </w:pPr>
    <w:rPr>
      <w:rFonts w:eastAsia="Arial" w:cs="Arial"/>
      <w:sz w:val="40"/>
    </w:rPr>
  </w:style>
  <w:style w:type="paragraph" w:styleId="2108" w:customStyle="1">
    <w:name w:val="Slide de Título~LT~Gliederung 3"/>
    <w:basedOn w:val="2107"/>
    <w:qFormat/>
    <w:pPr>
      <w:pBdr/>
      <w:spacing w:after="0" w:before="170"/>
      <w:ind/>
    </w:pPr>
    <w:rPr>
      <w:sz w:val="36"/>
    </w:rPr>
  </w:style>
  <w:style w:type="paragraph" w:styleId="2109" w:customStyle="1">
    <w:name w:val="Slide de Título~LT~Gliederung 4"/>
    <w:basedOn w:val="2108"/>
    <w:qFormat/>
    <w:pPr>
      <w:pBdr/>
      <w:spacing w:after="0" w:before="113"/>
      <w:ind/>
    </w:pPr>
  </w:style>
  <w:style w:type="paragraph" w:styleId="2110" w:customStyle="1">
    <w:name w:val="Slide de Título~LT~Gliederung 5"/>
    <w:basedOn w:val="2109"/>
    <w:qFormat/>
    <w:pPr>
      <w:pBdr/>
      <w:spacing w:after="0" w:before="57"/>
      <w:ind/>
    </w:pPr>
    <w:rPr>
      <w:sz w:val="40"/>
    </w:rPr>
  </w:style>
  <w:style w:type="paragraph" w:styleId="2111" w:customStyle="1">
    <w:name w:val="Slide de Título~LT~Gliederung 6"/>
    <w:basedOn w:val="2110"/>
    <w:qFormat/>
    <w:pPr>
      <w:pBdr/>
      <w:spacing/>
      <w:ind/>
    </w:pPr>
  </w:style>
  <w:style w:type="paragraph" w:styleId="2112" w:customStyle="1">
    <w:name w:val="Slide de Título~LT~Gliederung 7"/>
    <w:basedOn w:val="2111"/>
    <w:qFormat/>
    <w:pPr>
      <w:pBdr/>
      <w:spacing/>
      <w:ind/>
    </w:pPr>
  </w:style>
  <w:style w:type="paragraph" w:styleId="2113" w:customStyle="1">
    <w:name w:val="Slide de Título~LT~Gliederung 8"/>
    <w:basedOn w:val="2112"/>
    <w:qFormat/>
    <w:pPr>
      <w:pBdr/>
      <w:spacing/>
      <w:ind/>
    </w:pPr>
  </w:style>
  <w:style w:type="paragraph" w:styleId="2114" w:customStyle="1">
    <w:name w:val="Slide de Título~LT~Gliederung 9"/>
    <w:basedOn w:val="2113"/>
    <w:qFormat/>
    <w:pPr>
      <w:pBdr/>
      <w:spacing/>
      <w:ind/>
    </w:pPr>
  </w:style>
  <w:style w:type="paragraph" w:styleId="2115" w:customStyle="1">
    <w:name w:val="Slide de Título~LT~Titel"/>
    <w:qFormat/>
    <w:pPr>
      <w:widowControl w:val="true"/>
      <w:pBdr/>
      <w:bidi w:val="false"/>
      <w:spacing w:after="0" w:before="0" w:line="200" w:lineRule="atLeast"/>
      <w:ind/>
      <w:jc w:val="left"/>
    </w:pPr>
    <w:rPr>
      <w:rFonts w:ascii="Arial" w:hAnsi="Arial" w:eastAsia="Tahoma" w:cs="Noto Sans"/>
      <w:color w:val="000000"/>
      <w:sz w:val="36"/>
      <w:szCs w:val="24"/>
      <w:lang w:val="pt-BR" w:eastAsia="zh-CN" w:bidi="hi-IN"/>
    </w:rPr>
  </w:style>
  <w:style w:type="paragraph" w:styleId="2116" w:customStyle="1">
    <w:name w:val="Slide de Título~LT~Untertitel"/>
    <w:qFormat/>
    <w:pPr>
      <w:widowControl w:val="true"/>
      <w:pBdr/>
      <w:bidi w:val="false"/>
      <w:spacing w:after="0" w:before="0"/>
      <w:ind/>
      <w:jc w:val="center"/>
    </w:pPr>
    <w:rPr>
      <w:rFonts w:ascii="Arial" w:hAnsi="Arial" w:eastAsia="Tahoma" w:cs="Noto Sans"/>
      <w:color w:val="auto"/>
      <w:sz w:val="64"/>
      <w:szCs w:val="24"/>
      <w:lang w:val="pt-BR" w:eastAsia="zh-CN" w:bidi="hi-IN"/>
    </w:rPr>
  </w:style>
  <w:style w:type="paragraph" w:styleId="2117" w:customStyle="1">
    <w:name w:val="Slide de Título~LT~Notizen"/>
    <w:qFormat/>
    <w:pPr>
      <w:widowControl w:val="true"/>
      <w:pBdr/>
      <w:bidi w:val="false"/>
      <w:spacing w:after="0" w:before="0"/>
      <w:ind w:hanging="340" w:left="340"/>
      <w:jc w:val="left"/>
    </w:pPr>
    <w:rPr>
      <w:rFonts w:ascii="Arial" w:hAnsi="Arial" w:eastAsia="Tahoma" w:cs="Noto Sans"/>
      <w:color w:val="auto"/>
      <w:sz w:val="40"/>
      <w:szCs w:val="24"/>
      <w:lang w:val="pt-BR" w:eastAsia="zh-CN" w:bidi="hi-IN"/>
    </w:rPr>
  </w:style>
  <w:style w:type="paragraph" w:styleId="2118" w:customStyle="1">
    <w:name w:val="Slide de Título~LT~Hintergrundobjekte"/>
    <w:qFormat/>
    <w:pPr>
      <w:widowControl w:val="true"/>
      <w:pBdr/>
      <w:bidi w:val="false"/>
      <w:spacing w:after="0" w:before="0"/>
      <w:ind/>
      <w:jc w:val="left"/>
    </w:pPr>
    <w:rPr>
      <w:rFonts w:ascii="Liberation Serif" w:hAnsi="Liberation Serif" w:eastAsia="Tahoma" w:cs="Noto Sans"/>
      <w:color w:val="auto"/>
      <w:sz w:val="24"/>
      <w:szCs w:val="24"/>
      <w:lang w:val="pt-BR" w:eastAsia="zh-CN" w:bidi="hi-IN"/>
    </w:rPr>
  </w:style>
  <w:style w:type="paragraph" w:styleId="2119" w:customStyle="1">
    <w:name w:val="Slide de Título~LT~Hintergrund"/>
    <w:qFormat/>
    <w:pPr>
      <w:widowControl w:val="true"/>
      <w:pBdr/>
      <w:bidi w:val="false"/>
      <w:spacing w:after="0" w:before="0"/>
      <w:ind/>
      <w:jc w:val="left"/>
    </w:pPr>
    <w:rPr>
      <w:rFonts w:ascii="Liberation Serif" w:hAnsi="Liberation Serif" w:eastAsia="Tahoma" w:cs="Noto Sans"/>
      <w:color w:val="auto"/>
      <w:sz w:val="24"/>
      <w:szCs w:val="24"/>
      <w:lang w:val="pt-BR" w:eastAsia="zh-CN" w:bidi="hi-IN"/>
    </w:rPr>
  </w:style>
  <w:style w:type="paragraph" w:styleId="2120" w:customStyle="1">
    <w:name w:val="default1"/>
    <w:qFormat/>
    <w:pPr>
      <w:widowControl w:val="true"/>
      <w:pBdr/>
      <w:bidi w:val="false"/>
      <w:spacing w:after="0" w:before="0" w:line="200" w:lineRule="atLeast"/>
      <w:ind/>
      <w:jc w:val="left"/>
    </w:pPr>
    <w:rPr>
      <w:rFonts w:ascii="Arial" w:hAnsi="Arial" w:eastAsia="Tahoma" w:cs="Noto Sans"/>
      <w:color w:val="auto"/>
      <w:sz w:val="36"/>
      <w:szCs w:val="24"/>
      <w:lang w:val="pt-BR" w:eastAsia="zh-CN" w:bidi="hi-IN"/>
    </w:rPr>
  </w:style>
  <w:style w:type="paragraph" w:styleId="2121" w:customStyle="1">
    <w:name w:val="gray1"/>
    <w:basedOn w:val="2120"/>
    <w:qFormat/>
    <w:pPr>
      <w:pBdr/>
      <w:spacing/>
      <w:ind/>
    </w:pPr>
    <w:rPr>
      <w:rFonts w:eastAsia="Arial" w:cs="Arial"/>
    </w:rPr>
  </w:style>
  <w:style w:type="paragraph" w:styleId="2122" w:customStyle="1">
    <w:name w:val="gray2"/>
    <w:basedOn w:val="2120"/>
    <w:qFormat/>
    <w:pPr>
      <w:pBdr/>
      <w:spacing/>
      <w:ind/>
    </w:pPr>
    <w:rPr>
      <w:rFonts w:eastAsia="Arial" w:cs="Arial"/>
    </w:rPr>
  </w:style>
  <w:style w:type="paragraph" w:styleId="2123" w:customStyle="1">
    <w:name w:val="gray3"/>
    <w:basedOn w:val="2120"/>
    <w:qFormat/>
    <w:pPr>
      <w:pBdr/>
      <w:spacing/>
      <w:ind/>
    </w:pPr>
    <w:rPr>
      <w:rFonts w:eastAsia="Arial" w:cs="Arial"/>
    </w:rPr>
  </w:style>
  <w:style w:type="paragraph" w:styleId="2124" w:customStyle="1">
    <w:name w:val="bw1"/>
    <w:basedOn w:val="2120"/>
    <w:qFormat/>
    <w:pPr>
      <w:pBdr/>
      <w:spacing/>
      <w:ind/>
    </w:pPr>
    <w:rPr>
      <w:rFonts w:eastAsia="Arial" w:cs="Arial"/>
    </w:rPr>
  </w:style>
  <w:style w:type="paragraph" w:styleId="2125" w:customStyle="1">
    <w:name w:val="bw2"/>
    <w:basedOn w:val="2120"/>
    <w:qFormat/>
    <w:pPr>
      <w:pBdr/>
      <w:spacing/>
      <w:ind/>
    </w:pPr>
    <w:rPr>
      <w:rFonts w:eastAsia="Arial" w:cs="Arial"/>
    </w:rPr>
  </w:style>
  <w:style w:type="paragraph" w:styleId="2126" w:customStyle="1">
    <w:name w:val="bw3"/>
    <w:basedOn w:val="2120"/>
    <w:qFormat/>
    <w:pPr>
      <w:pBdr/>
      <w:spacing/>
      <w:ind/>
    </w:pPr>
    <w:rPr>
      <w:rFonts w:eastAsia="Arial" w:cs="Arial"/>
    </w:rPr>
  </w:style>
  <w:style w:type="paragraph" w:styleId="2127" w:customStyle="1">
    <w:name w:val="orange1"/>
    <w:basedOn w:val="2120"/>
    <w:qFormat/>
    <w:pPr>
      <w:pBdr/>
      <w:spacing/>
      <w:ind/>
    </w:pPr>
    <w:rPr>
      <w:rFonts w:eastAsia="Arial" w:cs="Arial"/>
    </w:rPr>
  </w:style>
  <w:style w:type="paragraph" w:styleId="2128" w:customStyle="1">
    <w:name w:val="orange2"/>
    <w:basedOn w:val="2120"/>
    <w:qFormat/>
    <w:pPr>
      <w:pBdr/>
      <w:spacing/>
      <w:ind/>
    </w:pPr>
    <w:rPr>
      <w:rFonts w:eastAsia="Arial" w:cs="Arial"/>
    </w:rPr>
  </w:style>
  <w:style w:type="paragraph" w:styleId="2129" w:customStyle="1">
    <w:name w:val="orange3"/>
    <w:basedOn w:val="2120"/>
    <w:qFormat/>
    <w:pPr>
      <w:pBdr/>
      <w:spacing/>
      <w:ind/>
    </w:pPr>
    <w:rPr>
      <w:rFonts w:eastAsia="Arial" w:cs="Arial"/>
    </w:rPr>
  </w:style>
  <w:style w:type="paragraph" w:styleId="2130" w:customStyle="1">
    <w:name w:val="turquoise1"/>
    <w:basedOn w:val="2120"/>
    <w:qFormat/>
    <w:pPr>
      <w:pBdr/>
      <w:spacing/>
      <w:ind/>
    </w:pPr>
    <w:rPr>
      <w:rFonts w:eastAsia="Arial" w:cs="Arial"/>
    </w:rPr>
  </w:style>
  <w:style w:type="paragraph" w:styleId="2131" w:customStyle="1">
    <w:name w:val="turquoise2"/>
    <w:basedOn w:val="2120"/>
    <w:qFormat/>
    <w:pPr>
      <w:pBdr/>
      <w:spacing/>
      <w:ind/>
    </w:pPr>
    <w:rPr>
      <w:rFonts w:eastAsia="Arial" w:cs="Arial"/>
    </w:rPr>
  </w:style>
  <w:style w:type="paragraph" w:styleId="2132" w:customStyle="1">
    <w:name w:val="turquoise3"/>
    <w:basedOn w:val="2120"/>
    <w:qFormat/>
    <w:pPr>
      <w:pBdr/>
      <w:spacing/>
      <w:ind/>
    </w:pPr>
    <w:rPr>
      <w:rFonts w:eastAsia="Arial" w:cs="Arial"/>
    </w:rPr>
  </w:style>
  <w:style w:type="paragraph" w:styleId="2133" w:customStyle="1">
    <w:name w:val="blue1"/>
    <w:basedOn w:val="2120"/>
    <w:qFormat/>
    <w:pPr>
      <w:pBdr/>
      <w:spacing/>
      <w:ind/>
    </w:pPr>
    <w:rPr>
      <w:rFonts w:eastAsia="Arial" w:cs="Arial"/>
    </w:rPr>
  </w:style>
  <w:style w:type="paragraph" w:styleId="2134" w:customStyle="1">
    <w:name w:val="blue2"/>
    <w:basedOn w:val="2120"/>
    <w:qFormat/>
    <w:pPr>
      <w:pBdr/>
      <w:spacing/>
      <w:ind/>
    </w:pPr>
    <w:rPr>
      <w:rFonts w:eastAsia="Arial" w:cs="Arial"/>
    </w:rPr>
  </w:style>
  <w:style w:type="paragraph" w:styleId="2135" w:customStyle="1">
    <w:name w:val="blue3"/>
    <w:basedOn w:val="2120"/>
    <w:qFormat/>
    <w:pPr>
      <w:pBdr/>
      <w:spacing/>
      <w:ind/>
    </w:pPr>
    <w:rPr>
      <w:rFonts w:eastAsia="Arial" w:cs="Arial"/>
    </w:rPr>
  </w:style>
  <w:style w:type="paragraph" w:styleId="2136" w:customStyle="1">
    <w:name w:val="sun1"/>
    <w:basedOn w:val="2120"/>
    <w:qFormat/>
    <w:pPr>
      <w:pBdr/>
      <w:spacing/>
      <w:ind/>
    </w:pPr>
    <w:rPr>
      <w:rFonts w:eastAsia="Arial" w:cs="Arial"/>
    </w:rPr>
  </w:style>
  <w:style w:type="paragraph" w:styleId="2137" w:customStyle="1">
    <w:name w:val="sun2"/>
    <w:basedOn w:val="2120"/>
    <w:qFormat/>
    <w:pPr>
      <w:pBdr/>
      <w:spacing/>
      <w:ind/>
    </w:pPr>
    <w:rPr>
      <w:rFonts w:eastAsia="Arial" w:cs="Arial"/>
    </w:rPr>
  </w:style>
  <w:style w:type="paragraph" w:styleId="2138" w:customStyle="1">
    <w:name w:val="sun3"/>
    <w:basedOn w:val="2120"/>
    <w:qFormat/>
    <w:pPr>
      <w:pBdr/>
      <w:spacing/>
      <w:ind/>
    </w:pPr>
    <w:rPr>
      <w:rFonts w:eastAsia="Arial" w:cs="Arial"/>
    </w:rPr>
  </w:style>
  <w:style w:type="paragraph" w:styleId="2139" w:customStyle="1">
    <w:name w:val="earth1"/>
    <w:basedOn w:val="2120"/>
    <w:qFormat/>
    <w:pPr>
      <w:pBdr/>
      <w:spacing/>
      <w:ind/>
    </w:pPr>
    <w:rPr>
      <w:rFonts w:eastAsia="Arial" w:cs="Arial"/>
    </w:rPr>
  </w:style>
  <w:style w:type="paragraph" w:styleId="2140" w:customStyle="1">
    <w:name w:val="earth2"/>
    <w:basedOn w:val="2120"/>
    <w:qFormat/>
    <w:pPr>
      <w:pBdr/>
      <w:spacing/>
      <w:ind/>
    </w:pPr>
    <w:rPr>
      <w:rFonts w:eastAsia="Arial" w:cs="Arial"/>
    </w:rPr>
  </w:style>
  <w:style w:type="paragraph" w:styleId="2141" w:customStyle="1">
    <w:name w:val="earth3"/>
    <w:basedOn w:val="2120"/>
    <w:qFormat/>
    <w:pPr>
      <w:pBdr/>
      <w:spacing/>
      <w:ind/>
    </w:pPr>
    <w:rPr>
      <w:rFonts w:eastAsia="Arial" w:cs="Arial"/>
    </w:rPr>
  </w:style>
  <w:style w:type="paragraph" w:styleId="2142" w:customStyle="1">
    <w:name w:val="green1"/>
    <w:basedOn w:val="2120"/>
    <w:qFormat/>
    <w:pPr>
      <w:pBdr/>
      <w:spacing/>
      <w:ind/>
    </w:pPr>
    <w:rPr>
      <w:rFonts w:eastAsia="Arial" w:cs="Arial"/>
    </w:rPr>
  </w:style>
  <w:style w:type="paragraph" w:styleId="2143" w:customStyle="1">
    <w:name w:val="green2"/>
    <w:basedOn w:val="2120"/>
    <w:qFormat/>
    <w:pPr>
      <w:pBdr/>
      <w:spacing/>
      <w:ind/>
    </w:pPr>
    <w:rPr>
      <w:rFonts w:eastAsia="Arial" w:cs="Arial"/>
    </w:rPr>
  </w:style>
  <w:style w:type="paragraph" w:styleId="2144" w:customStyle="1">
    <w:name w:val="green3"/>
    <w:basedOn w:val="2120"/>
    <w:qFormat/>
    <w:pPr>
      <w:pBdr/>
      <w:spacing/>
      <w:ind/>
    </w:pPr>
    <w:rPr>
      <w:rFonts w:eastAsia="Arial" w:cs="Arial"/>
    </w:rPr>
  </w:style>
  <w:style w:type="paragraph" w:styleId="2145" w:customStyle="1">
    <w:name w:val="seetang1"/>
    <w:basedOn w:val="2120"/>
    <w:qFormat/>
    <w:pPr>
      <w:pBdr/>
      <w:spacing/>
      <w:ind/>
    </w:pPr>
    <w:rPr>
      <w:rFonts w:eastAsia="Arial" w:cs="Arial"/>
    </w:rPr>
  </w:style>
  <w:style w:type="paragraph" w:styleId="2146" w:customStyle="1">
    <w:name w:val="seetang2"/>
    <w:basedOn w:val="2120"/>
    <w:qFormat/>
    <w:pPr>
      <w:pBdr/>
      <w:spacing/>
      <w:ind/>
    </w:pPr>
    <w:rPr>
      <w:rFonts w:eastAsia="Arial" w:cs="Arial"/>
    </w:rPr>
  </w:style>
  <w:style w:type="paragraph" w:styleId="2147" w:customStyle="1">
    <w:name w:val="seetang3"/>
    <w:basedOn w:val="2120"/>
    <w:qFormat/>
    <w:pPr>
      <w:pBdr/>
      <w:spacing/>
      <w:ind/>
    </w:pPr>
    <w:rPr>
      <w:rFonts w:eastAsia="Arial" w:cs="Arial"/>
    </w:rPr>
  </w:style>
  <w:style w:type="paragraph" w:styleId="2148" w:customStyle="1">
    <w:name w:val="lightblue1"/>
    <w:basedOn w:val="2120"/>
    <w:qFormat/>
    <w:pPr>
      <w:pBdr/>
      <w:spacing/>
      <w:ind/>
    </w:pPr>
    <w:rPr>
      <w:rFonts w:eastAsia="Arial" w:cs="Arial"/>
    </w:rPr>
  </w:style>
  <w:style w:type="paragraph" w:styleId="2149" w:customStyle="1">
    <w:name w:val="lightblue2"/>
    <w:basedOn w:val="2120"/>
    <w:qFormat/>
    <w:pPr>
      <w:pBdr/>
      <w:spacing/>
      <w:ind/>
    </w:pPr>
    <w:rPr>
      <w:rFonts w:eastAsia="Arial" w:cs="Arial"/>
    </w:rPr>
  </w:style>
  <w:style w:type="paragraph" w:styleId="2150" w:customStyle="1">
    <w:name w:val="lightblue3"/>
    <w:basedOn w:val="2120"/>
    <w:qFormat/>
    <w:pPr>
      <w:pBdr/>
      <w:spacing/>
      <w:ind/>
    </w:pPr>
    <w:rPr>
      <w:rFonts w:eastAsia="Arial" w:cs="Arial"/>
    </w:rPr>
  </w:style>
  <w:style w:type="paragraph" w:styleId="2151" w:customStyle="1">
    <w:name w:val="yellow1"/>
    <w:basedOn w:val="2120"/>
    <w:qFormat/>
    <w:pPr>
      <w:pBdr/>
      <w:spacing/>
      <w:ind/>
    </w:pPr>
    <w:rPr>
      <w:rFonts w:eastAsia="Arial" w:cs="Arial"/>
    </w:rPr>
  </w:style>
  <w:style w:type="paragraph" w:styleId="2152" w:customStyle="1">
    <w:name w:val="yellow2"/>
    <w:basedOn w:val="2120"/>
    <w:qFormat/>
    <w:pPr>
      <w:pBdr/>
      <w:spacing/>
      <w:ind/>
    </w:pPr>
    <w:rPr>
      <w:rFonts w:eastAsia="Arial" w:cs="Arial"/>
    </w:rPr>
  </w:style>
  <w:style w:type="paragraph" w:styleId="2153" w:customStyle="1">
    <w:name w:val="yellow3"/>
    <w:basedOn w:val="2120"/>
    <w:qFormat/>
    <w:pPr>
      <w:pBdr/>
      <w:spacing/>
      <w:ind/>
    </w:pPr>
    <w:rPr>
      <w:rFonts w:eastAsia="Arial" w:cs="Arial"/>
    </w:rPr>
  </w:style>
  <w:style w:type="paragraph" w:styleId="2154" w:customStyle="1">
    <w:name w:val="Objetos do plano de fundo"/>
    <w:qFormat/>
    <w:pPr>
      <w:widowControl w:val="true"/>
      <w:pBdr/>
      <w:bidi w:val="false"/>
      <w:spacing w:after="0" w:before="0"/>
      <w:ind/>
      <w:jc w:val="left"/>
    </w:pPr>
    <w:rPr>
      <w:rFonts w:ascii="Liberation Serif" w:hAnsi="Liberation Serif" w:eastAsia="Tahoma" w:cs="Noto Sans"/>
      <w:color w:val="auto"/>
      <w:sz w:val="24"/>
      <w:szCs w:val="24"/>
      <w:lang w:val="pt-BR" w:eastAsia="zh-CN" w:bidi="hi-IN"/>
    </w:rPr>
  </w:style>
  <w:style w:type="paragraph" w:styleId="2155" w:customStyle="1">
    <w:name w:val="Plano de fundo"/>
    <w:qFormat/>
    <w:pPr>
      <w:widowControl w:val="true"/>
      <w:pBdr/>
      <w:bidi w:val="false"/>
      <w:spacing w:after="0" w:before="0"/>
      <w:ind/>
      <w:jc w:val="left"/>
    </w:pPr>
    <w:rPr>
      <w:rFonts w:ascii="Liberation Serif" w:hAnsi="Liberation Serif" w:eastAsia="Tahoma" w:cs="Noto Sans"/>
      <w:color w:val="auto"/>
      <w:sz w:val="24"/>
      <w:szCs w:val="24"/>
      <w:lang w:val="pt-BR" w:eastAsia="zh-CN" w:bidi="hi-IN"/>
    </w:rPr>
  </w:style>
  <w:style w:type="paragraph" w:styleId="2156" w:customStyle="1">
    <w:name w:val="Notas"/>
    <w:qFormat/>
    <w:pPr>
      <w:widowControl w:val="true"/>
      <w:pBdr/>
      <w:bidi w:val="false"/>
      <w:spacing w:after="0" w:before="0"/>
      <w:ind w:hanging="340" w:left="340"/>
      <w:jc w:val="left"/>
    </w:pPr>
    <w:rPr>
      <w:rFonts w:ascii="Arial" w:hAnsi="Arial" w:eastAsia="Tahoma" w:cs="Noto Sans"/>
      <w:color w:val="auto"/>
      <w:sz w:val="40"/>
      <w:szCs w:val="24"/>
      <w:lang w:val="pt-BR" w:eastAsia="zh-CN" w:bidi="hi-IN"/>
    </w:rPr>
  </w:style>
  <w:style w:type="paragraph" w:styleId="2157" w:customStyle="1">
    <w:name w:val="Estrutura de tópicos 1"/>
    <w:qFormat/>
    <w:pPr>
      <w:widowControl w:val="true"/>
      <w:pBdr/>
      <w:bidi w:val="false"/>
      <w:spacing w:after="0" w:before="283" w:line="216" w:lineRule="auto"/>
      <w:ind/>
      <w:jc w:val="left"/>
    </w:pPr>
    <w:rPr>
      <w:rFonts w:ascii="Arial" w:hAnsi="Arial" w:eastAsia="Tahoma" w:cs="Noto Sans"/>
      <w:color w:val="000000"/>
      <w:sz w:val="56"/>
      <w:szCs w:val="24"/>
      <w:lang w:val="pt-BR" w:eastAsia="zh-CN" w:bidi="hi-IN"/>
    </w:rPr>
  </w:style>
  <w:style w:type="paragraph" w:styleId="2158" w:customStyle="1">
    <w:name w:val="Estrutura de tópicos 2"/>
    <w:basedOn w:val="2157"/>
    <w:qFormat/>
    <w:pPr>
      <w:pBdr/>
      <w:spacing w:after="0" w:before="227"/>
      <w:ind/>
    </w:pPr>
    <w:rPr>
      <w:rFonts w:eastAsia="Arial" w:cs="Arial"/>
      <w:sz w:val="40"/>
    </w:rPr>
  </w:style>
  <w:style w:type="paragraph" w:styleId="2159" w:customStyle="1">
    <w:name w:val="Estrutura de tópicos 3"/>
    <w:basedOn w:val="2158"/>
    <w:qFormat/>
    <w:pPr>
      <w:pBdr/>
      <w:spacing w:after="0" w:before="170"/>
      <w:ind/>
    </w:pPr>
    <w:rPr>
      <w:sz w:val="36"/>
    </w:rPr>
  </w:style>
  <w:style w:type="paragraph" w:styleId="2160" w:customStyle="1">
    <w:name w:val="Estrutura de tópicos 4"/>
    <w:basedOn w:val="2159"/>
    <w:qFormat/>
    <w:pPr>
      <w:pBdr/>
      <w:spacing w:after="0" w:before="113"/>
      <w:ind/>
    </w:pPr>
  </w:style>
  <w:style w:type="paragraph" w:styleId="2161" w:customStyle="1">
    <w:name w:val="Estrutura de tópicos 5"/>
    <w:basedOn w:val="2160"/>
    <w:qFormat/>
    <w:pPr>
      <w:pBdr/>
      <w:spacing w:after="0" w:before="57"/>
      <w:ind/>
    </w:pPr>
    <w:rPr>
      <w:sz w:val="40"/>
    </w:rPr>
  </w:style>
  <w:style w:type="paragraph" w:styleId="2162" w:customStyle="1">
    <w:name w:val="Estrutura de tópicos 6"/>
    <w:basedOn w:val="2161"/>
    <w:qFormat/>
    <w:pPr>
      <w:pBdr/>
      <w:spacing/>
      <w:ind/>
    </w:pPr>
  </w:style>
  <w:style w:type="paragraph" w:styleId="2163" w:customStyle="1">
    <w:name w:val="Estrutura de tópicos 7"/>
    <w:basedOn w:val="2162"/>
    <w:qFormat/>
    <w:pPr>
      <w:pBdr/>
      <w:spacing/>
      <w:ind/>
    </w:pPr>
  </w:style>
  <w:style w:type="paragraph" w:styleId="2164" w:customStyle="1">
    <w:name w:val="Estrutura de tópicos 8"/>
    <w:basedOn w:val="2163"/>
    <w:qFormat/>
    <w:pPr>
      <w:pBdr/>
      <w:spacing/>
      <w:ind/>
    </w:pPr>
  </w:style>
  <w:style w:type="paragraph" w:styleId="2165" w:customStyle="1">
    <w:name w:val="Estrutura de tópicos 9"/>
    <w:basedOn w:val="2164"/>
    <w:qFormat/>
    <w:pPr>
      <w:pBdr/>
      <w:spacing/>
      <w:ind/>
    </w:pPr>
  </w:style>
  <w:style w:type="paragraph" w:styleId="2166" w:customStyle="1">
    <w:name w:val="Título e Conteúdo~LT~Gliederung 2"/>
    <w:basedOn w:val="2090"/>
    <w:qFormat/>
    <w:pPr>
      <w:pBdr/>
      <w:spacing w:after="0" w:before="227"/>
      <w:ind/>
    </w:pPr>
    <w:rPr>
      <w:rFonts w:eastAsia="Arial" w:cs="Arial"/>
      <w:sz w:val="40"/>
    </w:rPr>
  </w:style>
  <w:style w:type="paragraph" w:styleId="2167" w:customStyle="1">
    <w:name w:val="Título e Conteúdo~LT~Gliederung 3"/>
    <w:basedOn w:val="2166"/>
    <w:qFormat/>
    <w:pPr>
      <w:pBdr/>
      <w:spacing w:after="0" w:before="170"/>
      <w:ind/>
    </w:pPr>
    <w:rPr>
      <w:sz w:val="36"/>
    </w:rPr>
  </w:style>
  <w:style w:type="paragraph" w:styleId="2168" w:customStyle="1">
    <w:name w:val="Título e Conteúdo~LT~Gliederung 4"/>
    <w:basedOn w:val="2167"/>
    <w:qFormat/>
    <w:pPr>
      <w:pBdr/>
      <w:spacing w:after="0" w:before="113"/>
      <w:ind/>
    </w:pPr>
  </w:style>
  <w:style w:type="paragraph" w:styleId="2169" w:customStyle="1">
    <w:name w:val="Título e Conteúdo~LT~Gliederung 5"/>
    <w:basedOn w:val="2168"/>
    <w:qFormat/>
    <w:pPr>
      <w:pBdr/>
      <w:spacing w:after="0" w:before="57"/>
      <w:ind/>
    </w:pPr>
    <w:rPr>
      <w:sz w:val="40"/>
    </w:rPr>
  </w:style>
  <w:style w:type="paragraph" w:styleId="2170" w:customStyle="1">
    <w:name w:val="Título e Conteúdo~LT~Gliederung 6"/>
    <w:basedOn w:val="2169"/>
    <w:qFormat/>
    <w:pPr>
      <w:pBdr/>
      <w:spacing/>
      <w:ind/>
    </w:pPr>
  </w:style>
  <w:style w:type="paragraph" w:styleId="2171" w:customStyle="1">
    <w:name w:val="Título e Conteúdo~LT~Gliederung 7"/>
    <w:basedOn w:val="2170"/>
    <w:qFormat/>
    <w:pPr>
      <w:pBdr/>
      <w:spacing/>
      <w:ind/>
    </w:pPr>
  </w:style>
  <w:style w:type="paragraph" w:styleId="2172" w:customStyle="1">
    <w:name w:val="Título e Conteúdo~LT~Gliederung 8"/>
    <w:basedOn w:val="2171"/>
    <w:qFormat/>
    <w:pPr>
      <w:pBdr/>
      <w:spacing/>
      <w:ind/>
    </w:pPr>
  </w:style>
  <w:style w:type="paragraph" w:styleId="2173" w:customStyle="1">
    <w:name w:val="Título e Conteúdo~LT~Gliederung 9"/>
    <w:basedOn w:val="2172"/>
    <w:qFormat/>
    <w:pPr>
      <w:pBdr/>
      <w:spacing/>
      <w:ind/>
    </w:pPr>
  </w:style>
  <w:style w:type="paragraph" w:styleId="2174" w:customStyle="1">
    <w:name w:val="Título e Conteúdo~LT~Untertitel"/>
    <w:qFormat/>
    <w:pPr>
      <w:widowControl w:val="true"/>
      <w:pBdr/>
      <w:bidi w:val="false"/>
      <w:spacing w:after="0" w:before="0"/>
      <w:ind/>
      <w:jc w:val="center"/>
    </w:pPr>
    <w:rPr>
      <w:rFonts w:ascii="Arial" w:hAnsi="Arial" w:eastAsia="Tahoma" w:cs="Noto Sans"/>
      <w:color w:val="auto"/>
      <w:sz w:val="64"/>
      <w:szCs w:val="24"/>
      <w:lang w:val="pt-BR" w:eastAsia="zh-CN" w:bidi="hi-IN"/>
    </w:rPr>
  </w:style>
  <w:style w:type="paragraph" w:styleId="2175" w:customStyle="1">
    <w:name w:val="Título e Conteúdo~LT~Notizen"/>
    <w:qFormat/>
    <w:pPr>
      <w:widowControl w:val="true"/>
      <w:pBdr/>
      <w:bidi w:val="false"/>
      <w:spacing w:after="0" w:before="0"/>
      <w:ind w:hanging="340" w:left="340"/>
      <w:jc w:val="left"/>
    </w:pPr>
    <w:rPr>
      <w:rFonts w:ascii="Arial" w:hAnsi="Arial" w:eastAsia="Tahoma" w:cs="Noto Sans"/>
      <w:color w:val="auto"/>
      <w:sz w:val="40"/>
      <w:szCs w:val="24"/>
      <w:lang w:val="pt-BR" w:eastAsia="zh-CN" w:bidi="hi-IN"/>
    </w:rPr>
  </w:style>
  <w:style w:type="paragraph" w:styleId="2176" w:customStyle="1">
    <w:name w:val="Título e Conteúdo~LT~Hintergrundobjekte"/>
    <w:qFormat/>
    <w:pPr>
      <w:widowControl w:val="true"/>
      <w:pBdr/>
      <w:bidi w:val="false"/>
      <w:spacing w:after="0" w:before="0"/>
      <w:ind/>
      <w:jc w:val="left"/>
    </w:pPr>
    <w:rPr>
      <w:rFonts w:ascii="Liberation Serif" w:hAnsi="Liberation Serif" w:eastAsia="Tahoma" w:cs="Noto Sans"/>
      <w:color w:val="auto"/>
      <w:sz w:val="24"/>
      <w:szCs w:val="24"/>
      <w:lang w:val="pt-BR" w:eastAsia="zh-CN" w:bidi="hi-IN"/>
    </w:rPr>
  </w:style>
  <w:style w:type="paragraph" w:styleId="2177" w:customStyle="1">
    <w:name w:val="Título e Conteúdo~LT~Hintergrund"/>
    <w:qFormat/>
    <w:pPr>
      <w:widowControl w:val="true"/>
      <w:pBdr/>
      <w:bidi w:val="false"/>
      <w:spacing w:after="0" w:before="0"/>
      <w:ind/>
      <w:jc w:val="left"/>
    </w:pPr>
    <w:rPr>
      <w:rFonts w:ascii="Liberation Serif" w:hAnsi="Liberation Serif" w:eastAsia="Tahoma" w:cs="Noto Sans"/>
      <w:color w:val="auto"/>
      <w:sz w:val="24"/>
      <w:szCs w:val="24"/>
      <w:lang w:val="pt-BR" w:eastAsia="zh-CN" w:bidi="hi-IN"/>
    </w:rPr>
  </w:style>
  <w:style w:type="paragraph" w:styleId="2178" w:customStyle="1">
    <w:name w:val="bg-none"/>
    <w:basedOn w:val="2120"/>
    <w:qFormat/>
    <w:pPr>
      <w:pBdr/>
      <w:spacing/>
      <w:ind/>
    </w:pPr>
    <w:rPr>
      <w:rFonts w:eastAsia="Arial" w:cs="Arial"/>
    </w:rPr>
  </w:style>
  <w:style w:type="paragraph" w:styleId="2179" w:customStyle="1">
    <w:name w:val="gray"/>
    <w:basedOn w:val="2120"/>
    <w:qFormat/>
    <w:pPr>
      <w:pBdr/>
      <w:spacing/>
      <w:ind/>
    </w:pPr>
    <w:rPr>
      <w:rFonts w:eastAsia="Arial" w:cs="Arial"/>
    </w:rPr>
  </w:style>
  <w:style w:type="paragraph" w:styleId="2180" w:customStyle="1">
    <w:name w:val="dark-gray"/>
    <w:basedOn w:val="2120"/>
    <w:qFormat/>
    <w:pPr>
      <w:pBdr/>
      <w:spacing/>
      <w:ind/>
    </w:pPr>
    <w:rPr>
      <w:rFonts w:eastAsia="Arial" w:cs="Arial"/>
    </w:rPr>
  </w:style>
  <w:style w:type="paragraph" w:styleId="2181" w:customStyle="1">
    <w:name w:val="black"/>
    <w:basedOn w:val="2120"/>
    <w:qFormat/>
    <w:pPr>
      <w:pBdr/>
      <w:spacing/>
      <w:ind/>
    </w:pPr>
    <w:rPr>
      <w:rFonts w:eastAsia="Arial" w:cs="Arial"/>
      <w:color w:val="ffffff"/>
    </w:rPr>
  </w:style>
  <w:style w:type="paragraph" w:styleId="2182" w:customStyle="1">
    <w:name w:val="black-with-border"/>
    <w:basedOn w:val="2120"/>
    <w:qFormat/>
    <w:pPr>
      <w:pBdr/>
      <w:spacing/>
      <w:ind/>
    </w:pPr>
    <w:rPr>
      <w:rFonts w:eastAsia="Arial" w:cs="Arial"/>
      <w:color w:val="ffffff"/>
    </w:rPr>
  </w:style>
  <w:style w:type="paragraph" w:styleId="2183" w:customStyle="1">
    <w:name w:val="gray-with-border"/>
    <w:basedOn w:val="2120"/>
    <w:qFormat/>
    <w:pPr>
      <w:pBdr/>
      <w:spacing/>
      <w:ind/>
    </w:pPr>
    <w:rPr>
      <w:rFonts w:eastAsia="Arial" w:cs="Arial"/>
    </w:rPr>
  </w:style>
  <w:style w:type="paragraph" w:styleId="2184" w:customStyle="1">
    <w:name w:val="white"/>
    <w:basedOn w:val="2120"/>
    <w:qFormat/>
    <w:pPr>
      <w:pBdr/>
      <w:spacing/>
      <w:ind/>
    </w:pPr>
    <w:rPr>
      <w:rFonts w:eastAsia="Arial" w:cs="Arial"/>
    </w:rPr>
  </w:style>
  <w:style w:type="paragraph" w:styleId="2185" w:customStyle="1">
    <w:name w:val="white-with-border"/>
    <w:basedOn w:val="2120"/>
    <w:qFormat/>
    <w:pPr>
      <w:pBdr/>
      <w:spacing/>
      <w:ind/>
    </w:pPr>
    <w:rPr>
      <w:rFonts w:eastAsia="Arial" w:cs="Arial"/>
    </w:rPr>
  </w:style>
  <w:style w:type="paragraph" w:styleId="2186" w:customStyle="1">
    <w:name w:val="blue-title"/>
    <w:basedOn w:val="2120"/>
    <w:qFormat/>
    <w:pPr>
      <w:pBdr/>
      <w:spacing/>
      <w:ind/>
    </w:pPr>
    <w:rPr>
      <w:rFonts w:eastAsia="Arial" w:cs="Arial"/>
      <w:color w:val="ffffff"/>
    </w:rPr>
  </w:style>
  <w:style w:type="paragraph" w:styleId="2187" w:customStyle="1">
    <w:name w:val="blue-title-with-border"/>
    <w:basedOn w:val="2120"/>
    <w:qFormat/>
    <w:pPr>
      <w:pBdr/>
      <w:spacing/>
      <w:ind/>
    </w:pPr>
    <w:rPr>
      <w:rFonts w:eastAsia="Arial" w:cs="Arial"/>
      <w:color w:val="ffffff"/>
    </w:rPr>
  </w:style>
  <w:style w:type="paragraph" w:styleId="2188" w:customStyle="1">
    <w:name w:val="blue-banded"/>
    <w:basedOn w:val="2120"/>
    <w:qFormat/>
    <w:pPr>
      <w:pBdr/>
      <w:spacing/>
      <w:ind/>
    </w:pPr>
    <w:rPr>
      <w:rFonts w:eastAsia="Arial" w:cs="Arial"/>
    </w:rPr>
  </w:style>
  <w:style w:type="paragraph" w:styleId="2189" w:customStyle="1">
    <w:name w:val="blue-normal"/>
    <w:basedOn w:val="2120"/>
    <w:qFormat/>
    <w:pPr>
      <w:pBdr/>
      <w:spacing/>
      <w:ind/>
    </w:pPr>
    <w:rPr>
      <w:rFonts w:eastAsia="Arial" w:cs="Arial"/>
    </w:rPr>
  </w:style>
  <w:style w:type="paragraph" w:styleId="2190" w:customStyle="1">
    <w:name w:val="orange-title"/>
    <w:basedOn w:val="2120"/>
    <w:qFormat/>
    <w:pPr>
      <w:pBdr/>
      <w:spacing/>
      <w:ind/>
    </w:pPr>
    <w:rPr>
      <w:rFonts w:eastAsia="Arial" w:cs="Arial"/>
      <w:color w:val="ffffff"/>
    </w:rPr>
  </w:style>
  <w:style w:type="paragraph" w:styleId="2191" w:customStyle="1">
    <w:name w:val="orange-title-with-border"/>
    <w:basedOn w:val="2120"/>
    <w:qFormat/>
    <w:pPr>
      <w:pBdr/>
      <w:spacing/>
      <w:ind/>
    </w:pPr>
    <w:rPr>
      <w:rFonts w:eastAsia="Arial" w:cs="Arial"/>
      <w:color w:val="ffffff"/>
    </w:rPr>
  </w:style>
  <w:style w:type="paragraph" w:styleId="2192" w:customStyle="1">
    <w:name w:val="orange-banded"/>
    <w:basedOn w:val="2120"/>
    <w:qFormat/>
    <w:pPr>
      <w:pBdr/>
      <w:spacing/>
      <w:ind/>
    </w:pPr>
    <w:rPr>
      <w:rFonts w:eastAsia="Arial" w:cs="Arial"/>
    </w:rPr>
  </w:style>
  <w:style w:type="paragraph" w:styleId="2193" w:customStyle="1">
    <w:name w:val="orange-normal"/>
    <w:basedOn w:val="2120"/>
    <w:qFormat/>
    <w:pPr>
      <w:pBdr/>
      <w:spacing/>
      <w:ind/>
    </w:pPr>
    <w:rPr>
      <w:rFonts w:eastAsia="Arial" w:cs="Arial"/>
    </w:rPr>
  </w:style>
  <w:style w:type="paragraph" w:styleId="2194" w:customStyle="1">
    <w:name w:val="teal-title"/>
    <w:basedOn w:val="2120"/>
    <w:qFormat/>
    <w:pPr>
      <w:pBdr/>
      <w:spacing/>
      <w:ind/>
    </w:pPr>
    <w:rPr>
      <w:rFonts w:eastAsia="Arial" w:cs="Arial"/>
      <w:color w:val="ffffff"/>
    </w:rPr>
  </w:style>
  <w:style w:type="paragraph" w:styleId="2195" w:customStyle="1">
    <w:name w:val="teal-title-with-border"/>
    <w:basedOn w:val="2120"/>
    <w:qFormat/>
    <w:pPr>
      <w:pBdr/>
      <w:spacing/>
      <w:ind/>
    </w:pPr>
    <w:rPr>
      <w:rFonts w:eastAsia="Arial" w:cs="Arial"/>
      <w:color w:val="ffffff"/>
    </w:rPr>
  </w:style>
  <w:style w:type="paragraph" w:styleId="2196" w:customStyle="1">
    <w:name w:val="teal-banded"/>
    <w:basedOn w:val="2120"/>
    <w:qFormat/>
    <w:pPr>
      <w:pBdr/>
      <w:spacing/>
      <w:ind/>
    </w:pPr>
    <w:rPr>
      <w:rFonts w:eastAsia="Arial" w:cs="Arial"/>
    </w:rPr>
  </w:style>
  <w:style w:type="paragraph" w:styleId="2197" w:customStyle="1">
    <w:name w:val="teal-normal"/>
    <w:basedOn w:val="2120"/>
    <w:qFormat/>
    <w:pPr>
      <w:pBdr/>
      <w:spacing/>
      <w:ind/>
    </w:pPr>
    <w:rPr>
      <w:rFonts w:eastAsia="Arial" w:cs="Arial"/>
    </w:rPr>
  </w:style>
  <w:style w:type="paragraph" w:styleId="2198" w:customStyle="1">
    <w:name w:val="magenta-title"/>
    <w:basedOn w:val="2120"/>
    <w:qFormat/>
    <w:pPr>
      <w:pBdr/>
      <w:spacing/>
      <w:ind/>
    </w:pPr>
    <w:rPr>
      <w:rFonts w:eastAsia="Arial" w:cs="Arial"/>
      <w:color w:val="ffffff"/>
    </w:rPr>
  </w:style>
  <w:style w:type="paragraph" w:styleId="2199" w:customStyle="1">
    <w:name w:val="magenta-title-with-border"/>
    <w:basedOn w:val="2120"/>
    <w:qFormat/>
    <w:pPr>
      <w:pBdr/>
      <w:spacing/>
      <w:ind/>
    </w:pPr>
    <w:rPr>
      <w:rFonts w:eastAsia="Arial" w:cs="Arial"/>
      <w:color w:val="ffffff"/>
    </w:rPr>
  </w:style>
  <w:style w:type="paragraph" w:styleId="2200" w:customStyle="1">
    <w:name w:val="magenta-banded"/>
    <w:basedOn w:val="2120"/>
    <w:qFormat/>
    <w:pPr>
      <w:pBdr/>
      <w:spacing/>
      <w:ind/>
    </w:pPr>
    <w:rPr>
      <w:rFonts w:eastAsia="Arial" w:cs="Arial"/>
    </w:rPr>
  </w:style>
  <w:style w:type="paragraph" w:styleId="2201" w:customStyle="1">
    <w:name w:val="magenta-normal"/>
    <w:basedOn w:val="2120"/>
    <w:qFormat/>
    <w:pPr>
      <w:pBdr/>
      <w:spacing/>
      <w:ind/>
    </w:pPr>
    <w:rPr>
      <w:rFonts w:eastAsia="Arial" w:cs="Arial"/>
    </w:rPr>
  </w:style>
  <w:style w:type="paragraph" w:styleId="2202" w:customStyle="1">
    <w:name w:val="Tópicos 1"/>
    <w:qFormat/>
    <w:pPr>
      <w:widowControl w:val="true"/>
      <w:pBdr/>
      <w:bidi w:val="false"/>
      <w:spacing w:after="0" w:before="283" w:line="216" w:lineRule="auto"/>
      <w:ind/>
      <w:jc w:val="left"/>
    </w:pPr>
    <w:rPr>
      <w:rFonts w:ascii="Arial" w:hAnsi="Arial" w:eastAsia="Tahoma" w:cs="Liberation Sans"/>
      <w:color w:val="000000"/>
      <w:sz w:val="56"/>
      <w:szCs w:val="24"/>
      <w:lang w:val="pt-BR" w:eastAsia="zh-CN" w:bidi="hi-IN"/>
    </w:rPr>
  </w:style>
  <w:style w:type="paragraph" w:styleId="2203" w:customStyle="1">
    <w:name w:val="Tópicos 2"/>
    <w:basedOn w:val="2202"/>
    <w:qFormat/>
    <w:pPr>
      <w:pBdr/>
      <w:spacing w:after="0" w:before="227"/>
      <w:ind/>
    </w:pPr>
    <w:rPr>
      <w:rFonts w:eastAsia="Arial" w:cs="Arial"/>
      <w:sz w:val="40"/>
    </w:rPr>
  </w:style>
  <w:style w:type="paragraph" w:styleId="2204" w:customStyle="1">
    <w:name w:val="Tópicos 3"/>
    <w:basedOn w:val="2203"/>
    <w:qFormat/>
    <w:pPr>
      <w:pBdr/>
      <w:spacing w:after="0" w:before="170"/>
      <w:ind/>
    </w:pPr>
    <w:rPr>
      <w:sz w:val="36"/>
    </w:rPr>
  </w:style>
  <w:style w:type="paragraph" w:styleId="2205" w:customStyle="1">
    <w:name w:val="Tópicos 4"/>
    <w:basedOn w:val="2204"/>
    <w:qFormat/>
    <w:pPr>
      <w:pBdr/>
      <w:spacing w:after="0" w:before="113"/>
      <w:ind/>
    </w:pPr>
  </w:style>
  <w:style w:type="paragraph" w:styleId="2206" w:customStyle="1">
    <w:name w:val="Tópicos 5"/>
    <w:basedOn w:val="2205"/>
    <w:qFormat/>
    <w:pPr>
      <w:pBdr/>
      <w:spacing w:after="0" w:before="57"/>
      <w:ind/>
    </w:pPr>
    <w:rPr>
      <w:sz w:val="40"/>
    </w:rPr>
  </w:style>
  <w:style w:type="paragraph" w:styleId="2207" w:customStyle="1">
    <w:name w:val="Tópicos 6"/>
    <w:basedOn w:val="2206"/>
    <w:qFormat/>
    <w:pPr>
      <w:pBdr/>
      <w:spacing/>
      <w:ind/>
    </w:pPr>
  </w:style>
  <w:style w:type="paragraph" w:styleId="2208" w:customStyle="1">
    <w:name w:val="Tópicos 7"/>
    <w:basedOn w:val="2207"/>
    <w:qFormat/>
    <w:pPr>
      <w:pBdr/>
      <w:spacing/>
      <w:ind/>
    </w:pPr>
  </w:style>
  <w:style w:type="paragraph" w:styleId="2209" w:customStyle="1">
    <w:name w:val="Tópicos 8"/>
    <w:basedOn w:val="2208"/>
    <w:qFormat/>
    <w:pPr>
      <w:pBdr/>
      <w:spacing/>
      <w:ind/>
    </w:pPr>
  </w:style>
  <w:style w:type="paragraph" w:styleId="2210" w:customStyle="1">
    <w:name w:val="Tópicos 9"/>
    <w:basedOn w:val="2209"/>
    <w:qFormat/>
    <w:pPr>
      <w:pBdr/>
      <w:spacing/>
      <w:ind/>
    </w:pPr>
  </w:style>
  <w:style w:type="paragraph" w:styleId="2211" w:customStyle="1">
    <w:name w:val="Formas"/>
    <w:basedOn w:val="2102"/>
    <w:qFormat/>
    <w:pPr>
      <w:pBdr/>
      <w:spacing/>
      <w:ind/>
    </w:pPr>
    <w:rPr>
      <w:rFonts w:ascii="Liberation Sans" w:hAnsi="Liberation Sans" w:eastAsia="Liberation Sans" w:cs="Liberation Sans"/>
      <w:b/>
      <w:sz w:val="28"/>
    </w:rPr>
  </w:style>
  <w:style w:type="paragraph" w:styleId="2212" w:customStyle="1">
    <w:name w:val="Contorno"/>
    <w:basedOn w:val="2211"/>
    <w:qFormat/>
    <w:pPr>
      <w:pBdr/>
      <w:spacing/>
      <w:ind/>
    </w:pPr>
  </w:style>
  <w:style w:type="paragraph" w:styleId="2213" w:customStyle="1">
    <w:name w:val="Contorno amarelo"/>
    <w:basedOn w:val="2212"/>
    <w:qFormat/>
    <w:pPr>
      <w:pBdr/>
      <w:spacing/>
      <w:ind/>
    </w:pPr>
    <w:rPr>
      <w:color w:val="b47804"/>
    </w:rPr>
  </w:style>
  <w:style w:type="paragraph" w:styleId="2214" w:customStyle="1">
    <w:name w:val="Contorno vermelho"/>
    <w:basedOn w:val="2212"/>
    <w:qFormat/>
    <w:pPr>
      <w:pBdr/>
      <w:spacing/>
      <w:ind/>
    </w:pPr>
    <w:rPr>
      <w:color w:val="c9211e"/>
    </w:rPr>
  </w:style>
  <w:style w:type="paragraph" w:styleId="2215" w:customStyle="1">
    <w:name w:val="Contorno verde"/>
    <w:basedOn w:val="2212"/>
    <w:qFormat/>
    <w:pPr>
      <w:pBdr/>
      <w:spacing/>
      <w:ind/>
    </w:pPr>
    <w:rPr>
      <w:color w:val="127622"/>
    </w:rPr>
  </w:style>
  <w:style w:type="paragraph" w:styleId="2216" w:customStyle="1">
    <w:name w:val="Contorno azul"/>
    <w:basedOn w:val="2212"/>
    <w:qFormat/>
    <w:pPr>
      <w:pBdr/>
      <w:spacing/>
      <w:ind/>
    </w:pPr>
    <w:rPr>
      <w:color w:val="355269"/>
    </w:rPr>
  </w:style>
  <w:style w:type="paragraph" w:styleId="2217" w:customStyle="1">
    <w:name w:val="Preenchido"/>
    <w:basedOn w:val="2211"/>
    <w:qFormat/>
    <w:pPr>
      <w:pBdr/>
      <w:spacing/>
      <w:ind/>
    </w:pPr>
  </w:style>
  <w:style w:type="paragraph" w:styleId="2218" w:customStyle="1">
    <w:name w:val="Preenchido amarelo"/>
    <w:basedOn w:val="2217"/>
    <w:qFormat/>
    <w:pPr>
      <w:pBdr/>
      <w:spacing/>
      <w:ind/>
    </w:pPr>
    <w:rPr>
      <w:color w:val="ffffff"/>
    </w:rPr>
  </w:style>
  <w:style w:type="paragraph" w:styleId="2219" w:customStyle="1">
    <w:name w:val="Preenchido vermelho"/>
    <w:basedOn w:val="2217"/>
    <w:qFormat/>
    <w:pPr>
      <w:pBdr/>
      <w:spacing/>
      <w:ind/>
    </w:pPr>
    <w:rPr>
      <w:color w:val="ffffff"/>
    </w:rPr>
  </w:style>
  <w:style w:type="paragraph" w:styleId="2220" w:customStyle="1">
    <w:name w:val="Preenchido verde"/>
    <w:basedOn w:val="2217"/>
    <w:qFormat/>
    <w:pPr>
      <w:pBdr/>
      <w:spacing/>
      <w:ind/>
    </w:pPr>
    <w:rPr>
      <w:color w:val="ffffff"/>
    </w:rPr>
  </w:style>
  <w:style w:type="paragraph" w:styleId="2221" w:customStyle="1">
    <w:name w:val="Preenchido azul"/>
    <w:basedOn w:val="2217"/>
    <w:qFormat/>
    <w:pPr>
      <w:pBdr/>
      <w:spacing/>
      <w:ind/>
    </w:pPr>
    <w:rPr>
      <w:color w:val="ffffff"/>
    </w:rPr>
  </w:style>
  <w:style w:type="paragraph" w:styleId="2222" w:customStyle="1">
    <w:name w:val="A4"/>
    <w:basedOn w:val="2097"/>
    <w:qFormat/>
    <w:pPr>
      <w:pBdr/>
      <w:spacing/>
      <w:ind/>
    </w:pPr>
    <w:rPr>
      <w:rFonts w:ascii="Noto Sans" w:hAnsi="Noto Sans" w:eastAsia="Noto Sans" w:cs="Noto Sans"/>
      <w:sz w:val="36"/>
    </w:rPr>
  </w:style>
  <w:style w:type="paragraph" w:styleId="2223" w:customStyle="1">
    <w:name w:val="Texto A4"/>
    <w:basedOn w:val="2222"/>
    <w:qFormat/>
    <w:pPr>
      <w:pBdr/>
      <w:spacing/>
      <w:ind/>
    </w:pPr>
  </w:style>
  <w:style w:type="paragraph" w:styleId="2224" w:customStyle="1">
    <w:name w:val="Título A4"/>
    <w:basedOn w:val="2222"/>
    <w:qFormat/>
    <w:pPr>
      <w:pBdr/>
      <w:spacing/>
      <w:ind/>
    </w:pPr>
    <w:rPr>
      <w:sz w:val="48"/>
    </w:rPr>
  </w:style>
  <w:style w:type="paragraph" w:styleId="2225" w:customStyle="1">
    <w:name w:val="Título do documento A4"/>
    <w:basedOn w:val="2222"/>
    <w:qFormat/>
    <w:pPr>
      <w:pBdr/>
      <w:spacing/>
      <w:ind/>
    </w:pPr>
    <w:rPr>
      <w:sz w:val="87"/>
    </w:rPr>
  </w:style>
  <w:style w:type="paragraph" w:styleId="2226" w:customStyle="1">
    <w:name w:val="Corpo de texto 32"/>
    <w:basedOn w:val="887"/>
    <w:qFormat/>
    <w:pPr>
      <w:widowControl w:val="false"/>
      <w:pBdr/>
      <w:spacing w:after="120" w:before="0"/>
      <w:ind/>
    </w:pPr>
    <w:rPr>
      <w:sz w:val="16"/>
      <w:szCs w:val="16"/>
      <w:lang w:val="en-US"/>
    </w:rPr>
  </w:style>
  <w:style w:type="paragraph" w:styleId="2227" w:customStyle="1">
    <w:name w:val="Recuo de corpo de texto 35"/>
    <w:basedOn w:val="887"/>
    <w:qFormat/>
    <w:pPr>
      <w:widowControl w:val="false"/>
      <w:pBdr/>
      <w:spacing/>
      <w:ind w:left="1418"/>
      <w:jc w:val="both"/>
    </w:pPr>
    <w:rPr>
      <w:rFonts w:ascii="Arial" w:hAnsi="Arial" w:cs="Arial"/>
      <w:sz w:val="24"/>
      <w:lang w:val="en-US"/>
    </w:rPr>
  </w:style>
  <w:style w:type="paragraph" w:styleId="2228" w:customStyle="1">
    <w:name w:val="Recuo de corpo de texto 23"/>
    <w:basedOn w:val="887"/>
    <w:qFormat/>
    <w:pPr>
      <w:pBdr/>
      <w:spacing w:after="120" w:before="0" w:line="480" w:lineRule="auto"/>
      <w:ind w:left="283"/>
    </w:pPr>
  </w:style>
  <w:style w:type="paragraph" w:styleId="2229" w:customStyle="1">
    <w:name w:val="Corpo de texto 25"/>
    <w:basedOn w:val="887"/>
    <w:qFormat/>
    <w:pPr>
      <w:pBdr/>
      <w:spacing w:after="120" w:before="0" w:line="480" w:lineRule="auto"/>
      <w:ind/>
    </w:pPr>
  </w:style>
  <w:style w:type="paragraph" w:styleId="2230" w:customStyle="1">
    <w:name w:val="Texto sem Formatação2"/>
    <w:basedOn w:val="887"/>
    <w:qFormat/>
    <w:pPr>
      <w:pBdr/>
      <w:spacing/>
      <w:ind/>
    </w:pPr>
    <w:rPr>
      <w:rFonts w:ascii="Courier New" w:hAnsi="Courier New" w:cs="Courier New"/>
    </w:rPr>
  </w:style>
  <w:style w:type="paragraph" w:styleId="2231" w:customStyle="1">
    <w:name w:val="Texto de comentário2"/>
    <w:basedOn w:val="887"/>
    <w:qFormat/>
    <w:pPr>
      <w:pBdr/>
      <w:spacing/>
      <w:ind/>
    </w:pPr>
    <w:rPr>
      <w:rFonts w:ascii="Ecofont_Spranq_eco_Sans" w:hAnsi="Ecofont_Spranq_eco_Sans" w:eastAsia="MS Mincho" w:cs="Tahoma"/>
    </w:rPr>
  </w:style>
  <w:style w:type="paragraph" w:styleId="2232" w:customStyle="1">
    <w:name w:val="Conteúdo do quadro"/>
    <w:basedOn w:val="887"/>
    <w:qFormat/>
    <w:pPr>
      <w:pBdr/>
      <w:spacing/>
      <w:ind/>
    </w:pPr>
    <w:rPr>
      <w:rFonts w:eastAsia="SimSun"/>
    </w:rPr>
  </w:style>
  <w:style w:type="paragraph" w:styleId="2233" w:customStyle="1">
    <w:name w:val="Nivel1"/>
    <w:basedOn w:val="888"/>
    <w:next w:val="887"/>
    <w:qFormat/>
    <w:pPr>
      <w:keepLines w:val="true"/>
      <w:numPr>
        <w:ilvl w:val="0"/>
        <w:numId w:val="0"/>
      </w:numPr>
      <w:pBdr/>
      <w:spacing w:after="120" w:before="480" w:line="276" w:lineRule="auto"/>
      <w:ind/>
      <w:jc w:val="both"/>
      <w:outlineLvl w:val="9"/>
    </w:pPr>
    <w:rPr>
      <w:rFonts w:eastAsia="SimSun"/>
      <w:bCs w:val="0"/>
      <w:color w:val="000000"/>
      <w:sz w:val="20"/>
      <w:szCs w:val="20"/>
      <w:lang w:val="pt-BR"/>
    </w:rPr>
  </w:style>
  <w:style w:type="paragraph" w:styleId="2234" w:customStyle="1">
    <w:name w:val="Parágrafo da Lista1"/>
    <w:basedOn w:val="887"/>
    <w:qFormat/>
    <w:pPr>
      <w:pBdr/>
      <w:spacing/>
      <w:ind w:left="720"/>
    </w:pPr>
    <w:rPr>
      <w:rFonts w:ascii="Ecofont_Spranq_eco_Sans" w:hAnsi="Ecofont_Spranq_eco_Sans" w:eastAsia="SimSun" w:cs="Ecofont_Spranq_eco_Sans"/>
      <w:sz w:val="24"/>
      <w:szCs w:val="24"/>
    </w:rPr>
  </w:style>
  <w:style w:type="paragraph" w:styleId="2235" w:customStyle="1">
    <w:name w:val="TEXTO1"/>
    <w:basedOn w:val="887"/>
    <w:uiPriority w:val="99"/>
    <w:qFormat/>
    <w:pPr>
      <w:pBdr/>
      <w:spacing w:after="120" w:before="0"/>
      <w:ind/>
      <w:jc w:val="both"/>
    </w:pPr>
    <w:rPr>
      <w:rFonts w:ascii="Arial" w:hAnsi="Arial" w:eastAsia="SimSun" w:cs="Arial"/>
      <w:sz w:val="22"/>
      <w:szCs w:val="22"/>
    </w:rPr>
  </w:style>
  <w:style w:type="paragraph" w:styleId="2236" w:customStyle="1">
    <w:name w:val="Título 1.1"/>
    <w:basedOn w:val="887"/>
    <w:qFormat/>
    <w:pPr>
      <w:widowControl w:val="false"/>
      <w:numPr>
        <w:ilvl w:val="0"/>
        <w:numId w:val="6"/>
      </w:numPr>
      <w:pBdr/>
      <w:spacing w:after="120" w:before="0" w:line="276" w:lineRule="auto"/>
      <w:ind/>
      <w:jc w:val="both"/>
    </w:pPr>
    <w:rPr>
      <w:rFonts w:ascii="Arial" w:hAnsi="Arial" w:eastAsia="SimSun" w:cs="Arial"/>
      <w:szCs w:val="22"/>
    </w:rPr>
  </w:style>
  <w:style w:type="paragraph" w:styleId="2237" w:customStyle="1">
    <w:name w:val="trending-content_header"/>
    <w:basedOn w:val="887"/>
    <w:qFormat/>
    <w:pPr>
      <w:pBdr/>
      <w:spacing w:after="280" w:before="280"/>
      <w:ind/>
    </w:pPr>
    <w:rPr>
      <w:rFonts w:eastAsia="SimSun"/>
      <w:sz w:val="24"/>
      <w:szCs w:val="24"/>
    </w:rPr>
  </w:style>
  <w:style w:type="paragraph" w:styleId="2238">
    <w:name w:val="HTML Top of Form"/>
    <w:basedOn w:val="887"/>
    <w:next w:val="887"/>
    <w:qFormat/>
    <w:pPr>
      <w:pBdr>
        <w:bottom w:val="single" w:color="000000" w:sz="6" w:space="1"/>
      </w:pBdr>
      <w:spacing/>
      <w:ind/>
      <w:jc w:val="center"/>
    </w:pPr>
    <w:rPr>
      <w:rFonts w:ascii="Arial" w:hAnsi="Arial" w:cs="Arial"/>
      <w:vanish/>
      <w:sz w:val="16"/>
    </w:rPr>
  </w:style>
  <w:style w:type="paragraph" w:styleId="2239">
    <w:name w:val="HTML Bottom of Form"/>
    <w:basedOn w:val="887"/>
    <w:next w:val="887"/>
    <w:qFormat/>
    <w:pPr>
      <w:pBdr>
        <w:top w:val="single" w:color="000000" w:sz="6" w:space="1"/>
      </w:pBdr>
      <w:spacing/>
      <w:ind/>
      <w:jc w:val="center"/>
    </w:pPr>
    <w:rPr>
      <w:rFonts w:ascii="Arial" w:hAnsi="Arial" w:cs="Arial"/>
      <w:vanish/>
      <w:sz w:val="16"/>
    </w:rPr>
  </w:style>
  <w:style w:type="paragraph" w:styleId="2240" w:customStyle="1">
    <w:name w:val="subtitle__onlight"/>
    <w:basedOn w:val="887"/>
    <w:qFormat/>
    <w:pPr>
      <w:pBdr/>
      <w:spacing w:after="280" w:before="280"/>
      <w:ind/>
    </w:pPr>
    <w:rPr>
      <w:rFonts w:eastAsia="SimSun"/>
      <w:sz w:val="24"/>
      <w:szCs w:val="24"/>
    </w:rPr>
  </w:style>
  <w:style w:type="paragraph" w:styleId="2241" w:customStyle="1">
    <w:name w:val="Nivel_01_Titulo"/>
    <w:basedOn w:val="888"/>
    <w:next w:val="887"/>
    <w:qFormat/>
    <w:pPr>
      <w:keepLines w:val="true"/>
      <w:numPr>
        <w:ilvl w:val="0"/>
        <w:numId w:val="5"/>
      </w:numPr>
      <w:pBdr/>
      <w:tabs>
        <w:tab w:val="left" w:leader="none" w:pos="0"/>
        <w:tab w:val="left" w:leader="none" w:pos="567"/>
      </w:tabs>
      <w:spacing w:after="0" w:before="240"/>
      <w:ind/>
      <w:jc w:val="both"/>
      <w:outlineLvl w:val="9"/>
    </w:pPr>
    <w:rPr>
      <w:rFonts w:cs="Times New Roman"/>
      <w:bCs w:val="0"/>
      <w:color w:val="2e74b5"/>
      <w:sz w:val="20"/>
      <w:szCs w:val="20"/>
    </w:rPr>
  </w:style>
  <w:style w:type="paragraph" w:styleId="2242" w:customStyle="1">
    <w:name w:val="paragraph"/>
    <w:basedOn w:val="887"/>
    <w:uiPriority w:val="99"/>
    <w:qFormat/>
    <w:pPr>
      <w:pBdr/>
      <w:spacing w:after="280" w:before="280"/>
      <w:ind/>
    </w:pPr>
    <w:rPr>
      <w:rFonts w:cs="Liberation Serif"/>
      <w:sz w:val="24"/>
      <w:szCs w:val="24"/>
    </w:rPr>
  </w:style>
  <w:style w:type="paragraph" w:styleId="2243" w:customStyle="1">
    <w:name w:val="x_msoheading8"/>
    <w:basedOn w:val="887"/>
    <w:uiPriority w:val="99"/>
    <w:qFormat/>
    <w:pPr>
      <w:pBdr/>
      <w:spacing w:after="280" w:before="280"/>
      <w:ind/>
    </w:pPr>
    <w:rPr>
      <w:rFonts w:cs="Liberation Serif"/>
      <w:sz w:val="24"/>
      <w:szCs w:val="24"/>
    </w:rPr>
  </w:style>
  <w:style w:type="paragraph" w:styleId="2244" w:customStyle="1">
    <w:name w:val="Texto padrãe3o"/>
    <w:basedOn w:val="887"/>
    <w:uiPriority w:val="99"/>
    <w:qFormat/>
    <w:pPr>
      <w:pBdr/>
      <w:spacing/>
      <w:ind/>
    </w:pPr>
    <w:rPr>
      <w:rFonts w:cs="Liberation Serif"/>
      <w:color w:val="000000"/>
      <w:sz w:val="24"/>
      <w:szCs w:val="24"/>
    </w:rPr>
  </w:style>
  <w:style w:type="paragraph" w:styleId="2245" w:customStyle="1">
    <w:name w:val="Tíedtulo 8"/>
    <w:basedOn w:val="887"/>
    <w:uiPriority w:val="99"/>
    <w:qFormat/>
    <w:pPr>
      <w:keepNext w:val="true"/>
      <w:widowControl w:val="false"/>
      <w:pBdr/>
      <w:spacing/>
      <w:ind w:left="1276"/>
      <w:jc w:val="both"/>
    </w:pPr>
    <w:rPr>
      <w:rFonts w:cs="Arial"/>
      <w:b/>
      <w:sz w:val="22"/>
      <w:szCs w:val="22"/>
    </w:rPr>
  </w:style>
  <w:style w:type="paragraph" w:styleId="2246" w:customStyle="1">
    <w:name w:val="Texto de balãe3o"/>
    <w:basedOn w:val="887"/>
    <w:uiPriority w:val="99"/>
    <w:qFormat/>
    <w:pPr>
      <w:pBdr/>
      <w:spacing/>
      <w:ind/>
    </w:pPr>
    <w:rPr>
      <w:rFonts w:cs="Tahoma"/>
      <w:sz w:val="16"/>
      <w:szCs w:val="16"/>
    </w:rPr>
  </w:style>
  <w:style w:type="paragraph" w:styleId="2247" w:customStyle="1">
    <w:name w:val="Texto em bloco1"/>
    <w:basedOn w:val="887"/>
    <w:qFormat/>
    <w:pPr>
      <w:widowControl w:val="false"/>
      <w:pBdr/>
      <w:spacing w:line="360" w:lineRule="auto"/>
      <w:ind w:right="-1" w:hanging="284" w:left="2835"/>
    </w:pPr>
    <w:rPr>
      <w:rFonts w:cs="Arial"/>
      <w:sz w:val="22"/>
      <w:szCs w:val="22"/>
    </w:rPr>
  </w:style>
  <w:style w:type="paragraph" w:styleId="2248" w:customStyle="1">
    <w:name w:val="Corpo de texto 22"/>
    <w:basedOn w:val="887"/>
    <w:uiPriority w:val="99"/>
    <w:qFormat/>
    <w:pPr>
      <w:pBdr/>
      <w:spacing w:after="240" w:before="0"/>
      <w:ind/>
      <w:jc w:val="center"/>
    </w:pPr>
    <w:rPr>
      <w:rFonts w:cs="Liberation Serif"/>
      <w:b/>
    </w:rPr>
  </w:style>
  <w:style w:type="paragraph" w:styleId="2249" w:customStyle="1">
    <w:name w:val="Texto sem Formataçe7ãe3o"/>
    <w:basedOn w:val="887"/>
    <w:uiPriority w:val="99"/>
    <w:qFormat/>
    <w:pPr>
      <w:pBdr/>
      <w:spacing/>
      <w:ind/>
    </w:pPr>
    <w:rPr>
      <w:rFonts w:cs="Courier New"/>
    </w:rPr>
  </w:style>
  <w:style w:type="paragraph" w:styleId="2250" w:customStyle="1">
    <w:name w:val="Tíedtulo 9"/>
    <w:basedOn w:val="887"/>
    <w:uiPriority w:val="99"/>
    <w:qFormat/>
    <w:pPr>
      <w:keepNext w:val="true"/>
      <w:pBdr/>
      <w:shd w:val="clear" w:color="auto" w:fill="ffffff"/>
      <w:tabs>
        <w:tab w:val="left" w:leader="none" w:pos="390"/>
        <w:tab w:val="clear" w:leader="none" w:pos="708"/>
      </w:tabs>
      <w:spacing/>
      <w:ind w:hanging="390" w:left="390"/>
      <w:jc w:val="both"/>
    </w:pPr>
    <w:rPr>
      <w:rFonts w:cs="Ottawa"/>
      <w:b/>
      <w:sz w:val="22"/>
      <w:szCs w:val="22"/>
    </w:rPr>
  </w:style>
  <w:style w:type="paragraph" w:styleId="2251" w:customStyle="1">
    <w:name w:val="contrato"/>
    <w:basedOn w:val="887"/>
    <w:uiPriority w:val="99"/>
    <w:qFormat/>
    <w:pPr>
      <w:pBdr/>
      <w:spacing/>
      <w:ind/>
      <w:jc w:val="both"/>
    </w:pPr>
    <w:rPr>
      <w:rFonts w:cs="Arial"/>
      <w:sz w:val="22"/>
      <w:szCs w:val="22"/>
      <w:lang w:val="pt-PT"/>
    </w:rPr>
  </w:style>
  <w:style w:type="paragraph" w:styleId="2252" w:customStyle="1">
    <w:name w:val="WW-Corpo do texto"/>
    <w:basedOn w:val="887"/>
    <w:qFormat/>
    <w:pPr>
      <w:pBdr/>
      <w:spacing w:after="120" w:before="0"/>
      <w:ind/>
    </w:pPr>
    <w:rPr>
      <w:rFonts w:cs="Liberation Serif"/>
    </w:rPr>
  </w:style>
  <w:style w:type="paragraph" w:styleId="2253" w:customStyle="1">
    <w:name w:val="Conteúfado de tabela"/>
    <w:basedOn w:val="2252"/>
    <w:uiPriority w:val="99"/>
    <w:qFormat/>
    <w:pPr>
      <w:widowControl w:val="false"/>
      <w:pBdr/>
      <w:spacing/>
      <w:ind/>
    </w:pPr>
  </w:style>
  <w:style w:type="paragraph" w:styleId="2254">
    <w:name w:val="List Bullet 4"/>
    <w:basedOn w:val="887"/>
    <w:pPr>
      <w:pBdr/>
      <w:spacing/>
      <w:ind w:hanging="283" w:left="1132"/>
    </w:pPr>
    <w:rPr>
      <w:rFonts w:cs="Liberation Serif"/>
    </w:rPr>
  </w:style>
  <w:style w:type="paragraph" w:styleId="2255" w:customStyle="1">
    <w:name w:val="P"/>
    <w:basedOn w:val="887"/>
    <w:uiPriority w:val="99"/>
    <w:qFormat/>
    <w:pPr>
      <w:pBdr/>
      <w:spacing/>
      <w:ind/>
      <w:jc w:val="both"/>
    </w:pPr>
    <w:rPr>
      <w:rFonts w:cs="Liberation Serif"/>
      <w:b/>
      <w:sz w:val="24"/>
      <w:szCs w:val="24"/>
    </w:rPr>
  </w:style>
  <w:style w:type="paragraph" w:styleId="2256" w:customStyle="1">
    <w:name w:val="Texto de comentáe1rio"/>
    <w:basedOn w:val="887"/>
    <w:uiPriority w:val="99"/>
    <w:qFormat/>
    <w:pPr>
      <w:pBdr/>
      <w:spacing/>
      <w:ind/>
    </w:pPr>
    <w:rPr>
      <w:rFonts w:cs="Liberation Serif"/>
    </w:rPr>
  </w:style>
  <w:style w:type="paragraph" w:styleId="2257" w:customStyle="1">
    <w:name w:val="TITULO 2"/>
    <w:basedOn w:val="887"/>
    <w:uiPriority w:val="99"/>
    <w:qFormat/>
    <w:pPr>
      <w:pBdr/>
      <w:tabs>
        <w:tab w:val="clear" w:leader="none" w:pos="708"/>
        <w:tab w:val="left" w:leader="none" w:pos="851"/>
      </w:tabs>
      <w:spacing w:after="120" w:before="0"/>
      <w:ind w:hanging="851" w:left="851"/>
    </w:pPr>
    <w:rPr>
      <w:rFonts w:cs="Arial"/>
      <w:b/>
      <w:smallCaps/>
      <w:color w:val="002060"/>
      <w:sz w:val="22"/>
      <w:szCs w:val="22"/>
    </w:rPr>
  </w:style>
  <w:style w:type="paragraph" w:styleId="2258">
    <w:name w:val="List Bullet 3"/>
    <w:basedOn w:val="887"/>
    <w:pPr>
      <w:pBdr/>
      <w:spacing/>
      <w:ind w:hanging="283" w:left="849"/>
    </w:pPr>
    <w:rPr>
      <w:rFonts w:cs="Liberation Serif"/>
    </w:rPr>
  </w:style>
  <w:style w:type="paragraph" w:styleId="2259">
    <w:name w:val="List Bullet 2"/>
    <w:basedOn w:val="887"/>
    <w:pPr>
      <w:pBdr/>
      <w:spacing/>
      <w:ind/>
    </w:pPr>
    <w:rPr>
      <w:rFonts w:cs="Liberation Serif"/>
      <w:sz w:val="24"/>
      <w:szCs w:val="24"/>
    </w:rPr>
  </w:style>
  <w:style w:type="paragraph" w:styleId="2260" w:customStyle="1">
    <w:name w:val="Tíedtulo 3"/>
    <w:basedOn w:val="887"/>
    <w:uiPriority w:val="99"/>
    <w:qFormat/>
    <w:pPr>
      <w:keepNext w:val="true"/>
      <w:pBdr/>
      <w:spacing w:after="60" w:before="240"/>
      <w:ind/>
    </w:pPr>
    <w:rPr>
      <w:rFonts w:cs="Arial"/>
      <w:b/>
      <w:sz w:val="26"/>
      <w:szCs w:val="26"/>
    </w:rPr>
  </w:style>
  <w:style w:type="paragraph" w:styleId="2261" w:customStyle="1">
    <w:name w:val="x_msoheader"/>
    <w:basedOn w:val="887"/>
    <w:uiPriority w:val="99"/>
    <w:qFormat/>
    <w:pPr>
      <w:pBdr/>
      <w:spacing w:after="280" w:before="280"/>
      <w:ind/>
    </w:pPr>
    <w:rPr>
      <w:rFonts w:cs="Liberation Serif"/>
      <w:sz w:val="24"/>
      <w:szCs w:val="24"/>
    </w:rPr>
  </w:style>
  <w:style w:type="paragraph" w:styleId="2262" w:customStyle="1">
    <w:name w:val="Nornal"/>
    <w:uiPriority w:val="99"/>
    <w:qFormat/>
    <w:pPr>
      <w:widowControl w:val="true"/>
      <w:pBdr/>
      <w:bidi w:val="false"/>
      <w:spacing w:after="0" w:before="0"/>
      <w:ind/>
      <w:jc w:val="left"/>
    </w:pPr>
    <w:rPr>
      <w:rFonts w:ascii="Times New Roman" w:hAnsi="Times New Roman" w:eastAsia="NSimSun" w:cs="Liberation Serif"/>
      <w:color w:val="auto"/>
      <w:sz w:val="20"/>
      <w:szCs w:val="20"/>
      <w:lang w:val="pt-BR" w:eastAsia="zh-CN" w:bidi="hi-IN"/>
    </w:rPr>
  </w:style>
  <w:style w:type="paragraph" w:styleId="2263" w:customStyle="1">
    <w:name w:val="Cabeçe7alho e Rodapée9"/>
    <w:basedOn w:val="887"/>
    <w:uiPriority w:val="99"/>
    <w:qFormat/>
    <w:pPr>
      <w:pBdr/>
      <w:spacing/>
      <w:ind/>
    </w:pPr>
    <w:rPr>
      <w:rFonts w:cs="Liberation Serif"/>
    </w:rPr>
  </w:style>
  <w:style w:type="paragraph" w:styleId="2264" w:customStyle="1">
    <w:name w:val="Cabeçe7alho"/>
    <w:basedOn w:val="2263"/>
    <w:uiPriority w:val="99"/>
    <w:qFormat/>
    <w:pPr>
      <w:pBdr/>
      <w:spacing/>
      <w:ind/>
    </w:pPr>
  </w:style>
  <w:style w:type="paragraph" w:styleId="2265" w:customStyle="1">
    <w:name w:val="x_msobodytext"/>
    <w:basedOn w:val="887"/>
    <w:uiPriority w:val="99"/>
    <w:qFormat/>
    <w:pPr>
      <w:pBdr/>
      <w:spacing w:after="280" w:before="280"/>
      <w:ind/>
    </w:pPr>
    <w:rPr>
      <w:rFonts w:cs="Liberation Serif"/>
      <w:sz w:val="24"/>
      <w:szCs w:val="24"/>
    </w:rPr>
  </w:style>
  <w:style w:type="paragraph" w:styleId="2266" w:customStyle="1">
    <w:name w:val="Conteúfado do quadro"/>
    <w:basedOn w:val="887"/>
    <w:uiPriority w:val="99"/>
    <w:qFormat/>
    <w:pPr>
      <w:pBdr/>
      <w:spacing/>
      <w:ind/>
    </w:pPr>
    <w:rPr>
      <w:rFonts w:cs="Liberation Serif"/>
    </w:rPr>
  </w:style>
  <w:style w:type="paragraph" w:styleId="2267" w:customStyle="1">
    <w:name w:val="x_msonormal"/>
    <w:basedOn w:val="887"/>
    <w:uiPriority w:val="99"/>
    <w:qFormat/>
    <w:pPr>
      <w:pBdr/>
      <w:spacing w:after="280" w:before="280"/>
      <w:ind/>
    </w:pPr>
    <w:rPr>
      <w:rFonts w:cs="Liberation Serif"/>
      <w:sz w:val="24"/>
      <w:szCs w:val="24"/>
    </w:rPr>
  </w:style>
  <w:style w:type="paragraph" w:styleId="2268" w:customStyle="1">
    <w:name w:val="Tíedtulo 2"/>
    <w:basedOn w:val="887"/>
    <w:uiPriority w:val="99"/>
    <w:qFormat/>
    <w:pPr>
      <w:keepNext w:val="true"/>
      <w:widowControl w:val="false"/>
      <w:pBdr/>
      <w:tabs>
        <w:tab w:val="clear" w:leader="none" w:pos="708"/>
        <w:tab w:val="left" w:leader="none" w:pos="857"/>
        <w:tab w:val="left" w:leader="none" w:pos="2714"/>
        <w:tab w:val="left" w:leader="none" w:pos="6592"/>
        <w:tab w:val="left" w:leader="none" w:pos="8576"/>
        <w:tab w:val="left" w:leader="none" w:pos="10419"/>
      </w:tabs>
      <w:spacing/>
      <w:ind/>
      <w:jc w:val="center"/>
    </w:pPr>
    <w:rPr>
      <w:rFonts w:cs="Arial"/>
      <w:b/>
      <w:color w:val="000000"/>
      <w:sz w:val="22"/>
      <w:szCs w:val="22"/>
    </w:rPr>
  </w:style>
  <w:style w:type="paragraph" w:styleId="2269" w:customStyle="1">
    <w:name w:val="estilo2"/>
    <w:basedOn w:val="887"/>
    <w:uiPriority w:val="99"/>
    <w:qFormat/>
    <w:pPr>
      <w:pBdr/>
      <w:spacing w:after="280" w:before="280"/>
      <w:ind/>
    </w:pPr>
    <w:rPr>
      <w:rFonts w:cs="Liberation Serif"/>
      <w:sz w:val="24"/>
      <w:szCs w:val="24"/>
    </w:rPr>
  </w:style>
  <w:style w:type="paragraph" w:styleId="2270" w:customStyle="1">
    <w:name w:val="Document Map"/>
    <w:uiPriority w:val="99"/>
    <w:qFormat/>
    <w:pPr>
      <w:widowControl w:val="true"/>
      <w:pBdr/>
      <w:bidi w:val="false"/>
      <w:spacing w:after="0" w:before="0"/>
      <w:ind/>
      <w:jc w:val="left"/>
    </w:pPr>
    <w:rPr>
      <w:rFonts w:ascii="Times New Roman" w:hAnsi="Times New Roman" w:eastAsia="NSimSun" w:cs="Liberation Serif"/>
      <w:color w:val="auto"/>
      <w:sz w:val="20"/>
      <w:szCs w:val="20"/>
      <w:lang w:val="pt-BR" w:eastAsia="zh-CN" w:bidi="hi-IN"/>
    </w:rPr>
  </w:style>
  <w:style w:type="paragraph" w:styleId="2271" w:customStyle="1">
    <w:name w:val="P30"/>
    <w:basedOn w:val="887"/>
    <w:uiPriority w:val="99"/>
    <w:qFormat/>
    <w:pPr>
      <w:pBdr/>
      <w:spacing/>
      <w:ind/>
      <w:jc w:val="both"/>
    </w:pPr>
    <w:rPr>
      <w:rFonts w:cs="Liberation Serif"/>
      <w:b/>
      <w:sz w:val="24"/>
      <w:szCs w:val="24"/>
    </w:rPr>
  </w:style>
  <w:style w:type="paragraph" w:styleId="2272" w:customStyle="1">
    <w:name w:val="xl22"/>
    <w:basedOn w:val="887"/>
    <w:uiPriority w:val="99"/>
    <w:qFormat/>
    <w:pPr>
      <w:pBdr/>
      <w:spacing w:after="280" w:before="280"/>
      <w:ind/>
    </w:pPr>
    <w:rPr>
      <w:rFonts w:cs="Arial"/>
      <w:sz w:val="24"/>
      <w:szCs w:val="24"/>
    </w:rPr>
  </w:style>
  <w:style w:type="paragraph" w:styleId="2273" w:customStyle="1">
    <w:name w:val="Body Text 22"/>
    <w:basedOn w:val="887"/>
    <w:uiPriority w:val="99"/>
    <w:qFormat/>
    <w:pPr>
      <w:pBdr/>
      <w:spacing/>
      <w:ind w:hanging="1134"/>
      <w:jc w:val="both"/>
    </w:pPr>
    <w:rPr>
      <w:rFonts w:cs="Arial"/>
    </w:rPr>
  </w:style>
  <w:style w:type="paragraph" w:styleId="2274" w:customStyle="1">
    <w:name w:val="Tíedtulo de tabela"/>
    <w:basedOn w:val="2253"/>
    <w:uiPriority w:val="99"/>
    <w:qFormat/>
    <w:pPr>
      <w:pBdr/>
      <w:spacing/>
      <w:ind/>
      <w:jc w:val="center"/>
    </w:pPr>
    <w:rPr>
      <w:b/>
      <w:i/>
    </w:rPr>
  </w:style>
  <w:style w:type="paragraph" w:styleId="2275" w:customStyle="1">
    <w:name w:val="Nota de rodapée9"/>
    <w:basedOn w:val="887"/>
    <w:uiPriority w:val="99"/>
    <w:qFormat/>
    <w:pPr>
      <w:pBdr/>
      <w:spacing/>
      <w:ind/>
    </w:pPr>
    <w:rPr>
      <w:rFonts w:cs="Liberation Serif"/>
    </w:rPr>
  </w:style>
  <w:style w:type="paragraph" w:styleId="2276" w:customStyle="1">
    <w:name w:val="WW-Corpo do texto recuado"/>
    <w:basedOn w:val="887"/>
    <w:qFormat/>
    <w:pPr>
      <w:pBdr/>
      <w:spacing w:after="120" w:before="0"/>
      <w:ind w:left="283"/>
    </w:pPr>
    <w:rPr>
      <w:rFonts w:cs="Liberation Serif"/>
      <w:sz w:val="24"/>
      <w:szCs w:val="24"/>
      <w:lang w:val="en-US"/>
    </w:rPr>
  </w:style>
  <w:style w:type="paragraph" w:styleId="2277">
    <w:name w:val="Revision"/>
    <w:uiPriority w:val="99"/>
    <w:qFormat/>
    <w:pPr>
      <w:widowControl w:val="true"/>
      <w:pBdr/>
      <w:bidi w:val="false"/>
      <w:spacing w:after="0" w:before="0"/>
      <w:ind/>
      <w:jc w:val="left"/>
    </w:pPr>
    <w:rPr>
      <w:rFonts w:ascii="Times New Roman" w:hAnsi="Times New Roman" w:eastAsia="NSimSun" w:cs="Calibri"/>
      <w:color w:val="auto"/>
      <w:sz w:val="22"/>
      <w:szCs w:val="22"/>
      <w:lang w:val="pt-BR" w:eastAsia="zh-CN" w:bidi="hi-IN"/>
    </w:rPr>
  </w:style>
  <w:style w:type="paragraph" w:styleId="2278" w:customStyle="1">
    <w:name w:val="Tíedtulo 4"/>
    <w:basedOn w:val="887"/>
    <w:uiPriority w:val="99"/>
    <w:qFormat/>
    <w:pPr>
      <w:keepNext w:val="true"/>
      <w:pBdr/>
      <w:spacing w:after="60" w:before="240"/>
      <w:ind/>
    </w:pPr>
    <w:rPr>
      <w:rFonts w:cs="Liberation Serif"/>
      <w:b/>
      <w:sz w:val="28"/>
      <w:szCs w:val="28"/>
    </w:rPr>
  </w:style>
  <w:style w:type="paragraph" w:styleId="2279" w:customStyle="1">
    <w:name w:val="Tíedtulo 1"/>
    <w:basedOn w:val="887"/>
    <w:uiPriority w:val="99"/>
    <w:qFormat/>
    <w:pPr>
      <w:keepNext w:val="true"/>
      <w:pBdr/>
      <w:spacing w:after="60" w:before="240"/>
      <w:ind/>
    </w:pPr>
    <w:rPr>
      <w:rFonts w:cs="Arial"/>
      <w:b/>
      <w:sz w:val="32"/>
      <w:szCs w:val="32"/>
      <w:lang w:val="en-US"/>
    </w:rPr>
  </w:style>
  <w:style w:type="paragraph" w:styleId="2280" w:customStyle="1">
    <w:name w:val="x_msoheading9"/>
    <w:basedOn w:val="887"/>
    <w:uiPriority w:val="99"/>
    <w:qFormat/>
    <w:pPr>
      <w:pBdr/>
      <w:spacing w:after="280" w:before="280"/>
      <w:ind/>
    </w:pPr>
    <w:rPr>
      <w:rFonts w:cs="Liberation Serif"/>
      <w:sz w:val="24"/>
      <w:szCs w:val="24"/>
    </w:rPr>
  </w:style>
  <w:style w:type="paragraph" w:styleId="2281" w:customStyle="1">
    <w:name w:val="Tíedtulo 6"/>
    <w:basedOn w:val="887"/>
    <w:uiPriority w:val="99"/>
    <w:qFormat/>
    <w:pPr>
      <w:keepNext w:val="true"/>
      <w:widowControl w:val="false"/>
      <w:pBdr/>
      <w:spacing/>
      <w:ind/>
      <w:jc w:val="center"/>
    </w:pPr>
    <w:rPr>
      <w:rFonts w:cs="Arial"/>
      <w:b/>
      <w:sz w:val="22"/>
      <w:szCs w:val="22"/>
    </w:rPr>
  </w:style>
  <w:style w:type="paragraph" w:styleId="2282" w:customStyle="1">
    <w:name w:val="Sub-Tíedtulo_Ícdtem"/>
    <w:basedOn w:val="887"/>
    <w:uiPriority w:val="99"/>
    <w:qFormat/>
    <w:pPr>
      <w:keepNext w:val="true"/>
      <w:keepLines w:val="true"/>
      <w:pBdr/>
      <w:spacing w:after="0" w:before="120"/>
      <w:ind/>
      <w:jc w:val="both"/>
    </w:pPr>
    <w:rPr>
      <w:rFonts w:cs="Courier New"/>
      <w:b/>
      <w:i/>
    </w:rPr>
  </w:style>
  <w:style w:type="paragraph" w:styleId="2283" w:customStyle="1">
    <w:name w:val="Tíedtulo 7"/>
    <w:basedOn w:val="887"/>
    <w:uiPriority w:val="99"/>
    <w:qFormat/>
    <w:pPr>
      <w:keepNext w:val="true"/>
      <w:widowControl w:val="false"/>
      <w:pBdr/>
      <w:spacing/>
      <w:ind w:left="360"/>
      <w:jc w:val="both"/>
    </w:pPr>
    <w:rPr>
      <w:rFonts w:cs="Arial"/>
      <w:b/>
      <w:sz w:val="22"/>
      <w:szCs w:val="22"/>
    </w:rPr>
  </w:style>
  <w:style w:type="paragraph" w:styleId="2284" w:customStyle="1">
    <w:name w:val="Body Text 31"/>
    <w:basedOn w:val="887"/>
    <w:uiPriority w:val="99"/>
    <w:qFormat/>
    <w:pPr>
      <w:pBdr/>
      <w:spacing/>
      <w:ind/>
      <w:jc w:val="both"/>
    </w:pPr>
    <w:rPr>
      <w:rFonts w:cs="Liberation Serif"/>
      <w:sz w:val="24"/>
      <w:szCs w:val="24"/>
    </w:rPr>
  </w:style>
  <w:style w:type="paragraph" w:styleId="2285" w:customStyle="1">
    <w:name w:val="N21"/>
    <w:basedOn w:val="887"/>
    <w:uiPriority w:val="99"/>
    <w:qFormat/>
    <w:pPr>
      <w:pBdr/>
      <w:spacing w:after="0" w:before="60"/>
      <w:ind w:hanging="425" w:left="2268"/>
      <w:jc w:val="both"/>
    </w:pPr>
    <w:rPr>
      <w:rFonts w:cs="Arial"/>
    </w:rPr>
  </w:style>
  <w:style w:type="paragraph" w:styleId="2286" w:customStyle="1">
    <w:name w:val="Ícdndice"/>
    <w:basedOn w:val="887"/>
    <w:uiPriority w:val="99"/>
    <w:qFormat/>
    <w:pPr>
      <w:pBdr/>
      <w:spacing/>
      <w:ind/>
    </w:pPr>
    <w:rPr>
      <w:rFonts w:cs="Liberation Serif"/>
    </w:rPr>
  </w:style>
  <w:style w:type="paragraph" w:styleId="2287" w:customStyle="1">
    <w:name w:val="Paráe1grafo da Lista"/>
    <w:basedOn w:val="887"/>
    <w:uiPriority w:val="99"/>
    <w:qFormat/>
    <w:pPr>
      <w:pBdr/>
      <w:spacing/>
      <w:ind w:left="720"/>
    </w:pPr>
    <w:rPr>
      <w:rFonts w:cs="Liberation Serif"/>
    </w:rPr>
  </w:style>
  <w:style w:type="paragraph" w:styleId="2288" w:customStyle="1">
    <w:name w:val="Estilo21"/>
    <w:basedOn w:val="887"/>
    <w:uiPriority w:val="99"/>
    <w:qFormat/>
    <w:pPr>
      <w:pBdr/>
      <w:spacing/>
      <w:ind w:hanging="284" w:left="2694"/>
      <w:jc w:val="both"/>
    </w:pPr>
    <w:rPr>
      <w:rFonts w:cs="Liberation Serif"/>
      <w:sz w:val="24"/>
      <w:szCs w:val="24"/>
    </w:rPr>
  </w:style>
  <w:style w:type="paragraph" w:styleId="2289" w:customStyle="1">
    <w:name w:val="Subtíedtulo"/>
    <w:basedOn w:val="887"/>
    <w:uiPriority w:val="99"/>
    <w:qFormat/>
    <w:pPr>
      <w:pBdr/>
      <w:spacing w:after="60" w:before="120" w:line="276" w:lineRule="auto"/>
      <w:ind/>
    </w:pPr>
    <w:rPr>
      <w:rFonts w:cs="Calibri"/>
      <w:b/>
      <w:sz w:val="22"/>
      <w:szCs w:val="22"/>
    </w:rPr>
  </w:style>
  <w:style w:type="paragraph" w:styleId="2290" w:customStyle="1">
    <w:name w:val="Body Text Indent 31"/>
    <w:basedOn w:val="887"/>
    <w:uiPriority w:val="99"/>
    <w:qFormat/>
    <w:pPr>
      <w:pBdr/>
      <w:spacing/>
      <w:ind w:hanging="1134" w:left="1134"/>
      <w:jc w:val="both"/>
    </w:pPr>
    <w:rPr>
      <w:rFonts w:cs="Arial"/>
      <w:sz w:val="22"/>
      <w:szCs w:val="22"/>
    </w:rPr>
  </w:style>
  <w:style w:type="paragraph" w:styleId="2291" w:customStyle="1">
    <w:name w:val="Conteúfado da tabela"/>
    <w:basedOn w:val="2252"/>
    <w:uiPriority w:val="99"/>
    <w:qFormat/>
    <w:pPr>
      <w:widowControl w:val="false"/>
      <w:pBdr/>
      <w:spacing/>
      <w:ind/>
    </w:pPr>
  </w:style>
  <w:style w:type="paragraph" w:styleId="2292" w:customStyle="1">
    <w:name w:val="Tíedtulo"/>
    <w:basedOn w:val="887"/>
    <w:next w:val="2252"/>
    <w:uiPriority w:val="99"/>
    <w:qFormat/>
    <w:pPr>
      <w:keepNext w:val="true"/>
      <w:pBdr/>
      <w:spacing w:after="120" w:before="240"/>
      <w:ind/>
    </w:pPr>
    <w:rPr>
      <w:rFonts w:cs="Liberation Sans"/>
      <w:sz w:val="28"/>
      <w:szCs w:val="28"/>
    </w:rPr>
  </w:style>
  <w:style w:type="paragraph" w:styleId="2293" w:customStyle="1">
    <w:name w:val="Rodapée9"/>
    <w:basedOn w:val="887"/>
    <w:uiPriority w:val="99"/>
    <w:qFormat/>
    <w:pPr>
      <w:widowControl w:val="false"/>
      <w:pBdr/>
      <w:tabs>
        <w:tab w:val="clear" w:leader="none" w:pos="708"/>
        <w:tab w:val="center" w:leader="none" w:pos="4419"/>
        <w:tab w:val="right" w:leader="none" w:pos="8838"/>
      </w:tabs>
      <w:spacing/>
      <w:ind/>
    </w:pPr>
    <w:rPr>
      <w:rFonts w:cs="Liberation Serif"/>
      <w:lang w:val="en-US"/>
    </w:rPr>
  </w:style>
  <w:style w:type="paragraph" w:styleId="2294" w:customStyle="1">
    <w:name w:val="Tíedtulo 5"/>
    <w:basedOn w:val="887"/>
    <w:uiPriority w:val="99"/>
    <w:qFormat/>
    <w:pPr>
      <w:pBdr/>
      <w:spacing w:after="60" w:before="240"/>
      <w:ind/>
    </w:pPr>
    <w:rPr>
      <w:rFonts w:cs="Liberation Serif"/>
      <w:b/>
      <w:i/>
      <w:sz w:val="26"/>
      <w:szCs w:val="26"/>
    </w:rPr>
  </w:style>
  <w:style w:type="paragraph" w:styleId="2295" w:customStyle="1">
    <w:name w:val="04partenormativa"/>
    <w:basedOn w:val="887"/>
    <w:uiPriority w:val="99"/>
    <w:qFormat/>
    <w:pPr>
      <w:pBdr/>
      <w:spacing w:after="280" w:before="280"/>
      <w:ind/>
    </w:pPr>
    <w:rPr>
      <w:rFonts w:cs="Liberation Serif"/>
      <w:sz w:val="24"/>
      <w:szCs w:val="24"/>
    </w:rPr>
  </w:style>
  <w:style w:type="paragraph" w:styleId="2296" w:customStyle="1">
    <w:name w:val="S1-Header1"/>
    <w:basedOn w:val="887"/>
    <w:uiPriority w:val="99"/>
    <w:qFormat/>
    <w:pPr>
      <w:pBdr/>
      <w:tabs>
        <w:tab w:val="clear" w:leader="none" w:pos="708"/>
        <w:tab w:val="left" w:leader="none" w:pos="720"/>
      </w:tabs>
      <w:spacing w:after="240" w:before="240"/>
      <w:ind w:hanging="360" w:left="720"/>
      <w:jc w:val="center"/>
    </w:pPr>
    <w:rPr>
      <w:rFonts w:cs="Liberation Serif"/>
      <w:b/>
      <w:sz w:val="28"/>
      <w:szCs w:val="28"/>
    </w:rPr>
  </w:style>
  <w:style w:type="paragraph" w:styleId="2297" w:customStyle="1">
    <w:name w:val="TITULO 3"/>
    <w:basedOn w:val="887"/>
    <w:uiPriority w:val="99"/>
    <w:qFormat/>
    <w:pPr>
      <w:pBdr/>
      <w:tabs>
        <w:tab w:val="clear" w:leader="none" w:pos="708"/>
        <w:tab w:val="left" w:leader="none" w:pos="851"/>
      </w:tabs>
      <w:spacing w:after="120" w:before="0"/>
      <w:ind w:hanging="851" w:left="851"/>
      <w:jc w:val="both"/>
    </w:pPr>
    <w:rPr>
      <w:rFonts w:cs="Arial"/>
      <w:b/>
      <w:color w:val="002060"/>
      <w:sz w:val="22"/>
      <w:szCs w:val="22"/>
    </w:rPr>
  </w:style>
  <w:style w:type="paragraph" w:styleId="2298" w:customStyle="1">
    <w:name w:val="Tíedtulo da tabela"/>
    <w:basedOn w:val="2291"/>
    <w:uiPriority w:val="99"/>
    <w:qFormat/>
    <w:pPr>
      <w:pBdr/>
      <w:spacing/>
      <w:ind/>
      <w:jc w:val="center"/>
    </w:pPr>
    <w:rPr>
      <w:b/>
      <w:i/>
    </w:rPr>
  </w:style>
  <w:style w:type="paragraph" w:styleId="2299" w:customStyle="1">
    <w:name w:val="Body Text 21"/>
    <w:basedOn w:val="887"/>
    <w:uiPriority w:val="99"/>
    <w:qFormat/>
    <w:pPr>
      <w:pBdr/>
      <w:tabs>
        <w:tab w:val="left" w:leader="none" w:pos="426"/>
        <w:tab w:val="clear" w:leader="none" w:pos="708"/>
        <w:tab w:val="left" w:leader="none" w:pos="1134"/>
      </w:tabs>
      <w:spacing w:after="0" w:before="120"/>
      <w:ind/>
      <w:jc w:val="both"/>
    </w:pPr>
    <w:rPr>
      <w:rFonts w:cs="Arial"/>
      <w:sz w:val="24"/>
      <w:szCs w:val="24"/>
    </w:rPr>
  </w:style>
  <w:style w:type="paragraph" w:styleId="2300" w:customStyle="1">
    <w:name w:val="reservado3"/>
    <w:basedOn w:val="887"/>
    <w:uiPriority w:val="99"/>
    <w:qFormat/>
    <w:pPr>
      <w:widowControl w:val="false"/>
      <w:pBdr/>
      <w:tabs>
        <w:tab w:val="left" w:leader="none" w:pos="0"/>
        <w:tab w:val="left" w:leader="none" w:pos="566"/>
        <w:tab w:val="clear" w:leader="none" w:pos="708"/>
        <w:tab w:val="left" w:leader="none" w:pos="1133"/>
        <w:tab w:val="left" w:leader="none" w:pos="1699"/>
        <w:tab w:val="left" w:leader="none" w:pos="2266"/>
        <w:tab w:val="left" w:leader="none" w:pos="2832"/>
        <w:tab w:val="left" w:leader="none" w:pos="3398"/>
        <w:tab w:val="left" w:leader="none" w:pos="3965"/>
        <w:tab w:val="left" w:leader="none" w:pos="4531"/>
        <w:tab w:val="left" w:leader="none" w:pos="5098"/>
        <w:tab w:val="left" w:leader="none" w:pos="5664"/>
        <w:tab w:val="left" w:leader="none" w:pos="6230"/>
        <w:tab w:val="left" w:leader="none" w:pos="6797"/>
        <w:tab w:val="left" w:leader="none" w:pos="7363"/>
        <w:tab w:val="left" w:leader="none" w:pos="7930"/>
        <w:tab w:val="left" w:leader="none" w:pos="8496"/>
        <w:tab w:val="left" w:leader="none" w:pos="9000"/>
        <w:tab w:val="left" w:leader="none" w:pos="9062"/>
        <w:tab w:val="right" w:leader="none" w:pos="9360"/>
        <w:tab w:val="left" w:leader="none" w:pos="9629"/>
        <w:tab w:val="left" w:leader="none" w:pos="10195"/>
        <w:tab w:val="left" w:leader="none" w:pos="10762"/>
      </w:tabs>
      <w:spacing/>
      <w:ind/>
      <w:jc w:val="both"/>
    </w:pPr>
    <w:rPr>
      <w:rFonts w:cs="Arial"/>
      <w:spacing w:val="-3"/>
      <w:sz w:val="24"/>
      <w:szCs w:val="24"/>
    </w:rPr>
  </w:style>
  <w:style w:type="paragraph" w:styleId="2301" w:customStyle="1">
    <w:name w:val="Tíedtulo do documento"/>
    <w:basedOn w:val="887"/>
    <w:uiPriority w:val="99"/>
    <w:qFormat/>
    <w:pPr>
      <w:pBdr/>
      <w:spacing w:after="120" w:before="0" w:line="360" w:lineRule="auto"/>
      <w:ind/>
      <w:jc w:val="center"/>
    </w:pPr>
    <w:rPr>
      <w:rFonts w:cs="Arial"/>
      <w:b/>
      <w:sz w:val="32"/>
      <w:szCs w:val="32"/>
    </w:rPr>
  </w:style>
  <w:style w:type="paragraph" w:styleId="2302" w:customStyle="1">
    <w:name w:val="Blockquote"/>
    <w:basedOn w:val="887"/>
    <w:uiPriority w:val="99"/>
    <w:qFormat/>
    <w:pPr>
      <w:pBdr/>
      <w:spacing w:after="100" w:before="100"/>
      <w:ind w:right="360" w:left="360"/>
    </w:pPr>
    <w:rPr>
      <w:rFonts w:cs="Liberation Serif"/>
      <w:sz w:val="24"/>
      <w:szCs w:val="24"/>
    </w:rPr>
  </w:style>
  <w:style w:type="paragraph" w:styleId="2303" w:customStyle="1">
    <w:name w:val="Corpo de texto 211"/>
    <w:basedOn w:val="887"/>
    <w:uiPriority w:val="99"/>
    <w:qFormat/>
    <w:pPr>
      <w:pBdr/>
      <w:spacing/>
      <w:ind w:hanging="1134"/>
      <w:jc w:val="both"/>
    </w:pPr>
    <w:rPr>
      <w:rFonts w:cs="Arial"/>
    </w:rPr>
  </w:style>
  <w:style w:type="paragraph" w:styleId="2304" w:customStyle="1">
    <w:name w:val="Subtitle 2"/>
    <w:basedOn w:val="2293"/>
    <w:uiPriority w:val="99"/>
    <w:qFormat/>
    <w:pPr>
      <w:pBdr/>
      <w:tabs>
        <w:tab w:val="clear" w:leader="none" w:pos="4419"/>
        <w:tab w:val="center" w:leader="none" w:pos="4752"/>
        <w:tab w:val="clear" w:leader="none" w:pos="8838"/>
        <w:tab w:val="right" w:leader="none" w:pos="9778"/>
      </w:tabs>
      <w:spacing w:after="240" w:before="240"/>
      <w:ind/>
      <w:jc w:val="center"/>
    </w:pPr>
    <w:rPr>
      <w:b/>
      <w:sz w:val="32"/>
      <w:szCs w:val="32"/>
    </w:rPr>
  </w:style>
  <w:style w:type="paragraph" w:styleId="2305" w:customStyle="1">
    <w:name w:val="Normal(i)"/>
    <w:basedOn w:val="887"/>
    <w:uiPriority w:val="99"/>
    <w:qFormat/>
    <w:pPr>
      <w:keepLines w:val="true"/>
      <w:pBdr/>
      <w:tabs>
        <w:tab w:val="clear" w:leader="none" w:pos="708"/>
        <w:tab w:val="left" w:leader="none" w:pos="1843"/>
      </w:tabs>
      <w:spacing w:after="120" w:before="0"/>
      <w:ind/>
      <w:jc w:val="both"/>
    </w:pPr>
    <w:rPr>
      <w:rFonts w:cs="Liberation Serif"/>
      <w:sz w:val="24"/>
      <w:szCs w:val="24"/>
      <w:lang w:val="en-GB"/>
    </w:rPr>
  </w:style>
  <w:style w:type="paragraph" w:styleId="2306" w:customStyle="1">
    <w:name w:val="Tíedtulo letra"/>
    <w:basedOn w:val="887"/>
    <w:uiPriority w:val="99"/>
    <w:qFormat/>
    <w:pPr>
      <w:pBdr/>
      <w:tabs>
        <w:tab w:val="left" w:leader="none" w:pos="360"/>
        <w:tab w:val="clear" w:leader="none" w:pos="708"/>
      </w:tabs>
      <w:spacing w:after="0" w:before="240"/>
      <w:ind w:hanging="283" w:left="283"/>
      <w:jc w:val="both"/>
    </w:pPr>
    <w:rPr>
      <w:rFonts w:cs="Arial"/>
      <w:sz w:val="24"/>
      <w:szCs w:val="24"/>
    </w:rPr>
  </w:style>
  <w:style w:type="paragraph" w:styleId="2307" w:customStyle="1">
    <w:name w:val="Assunto do comentáe1rio"/>
    <w:uiPriority w:val="99"/>
    <w:qFormat/>
    <w:pPr>
      <w:widowControl w:val="false"/>
      <w:pBdr/>
      <w:bidi w:val="false"/>
      <w:spacing w:after="0" w:before="0"/>
      <w:ind/>
      <w:jc w:val="left"/>
    </w:pPr>
    <w:rPr>
      <w:rFonts w:ascii="Times New Roman" w:hAnsi="Times New Roman" w:eastAsia="NSimSun" w:cs="Liberation Serif"/>
      <w:b/>
      <w:color w:val="auto"/>
      <w:sz w:val="20"/>
      <w:szCs w:val="20"/>
      <w:lang w:val="pt-BR" w:eastAsia="zh-CN" w:bidi="hi-IN"/>
    </w:rPr>
  </w:style>
  <w:style w:type="paragraph" w:styleId="2308" w:customStyle="1">
    <w:name w:val="Corpo de texto 23"/>
    <w:basedOn w:val="887"/>
    <w:uiPriority w:val="99"/>
    <w:qFormat/>
    <w:pPr>
      <w:pBdr/>
      <w:spacing/>
      <w:ind w:hanging="1134"/>
      <w:jc w:val="both"/>
    </w:pPr>
    <w:rPr>
      <w:rFonts w:cs="Arial"/>
    </w:rPr>
  </w:style>
  <w:style w:type="paragraph" w:styleId="2309" w:customStyle="1">
    <w:name w:val="Corpo de texto 24"/>
    <w:basedOn w:val="887"/>
    <w:uiPriority w:val="99"/>
    <w:qFormat/>
    <w:pPr>
      <w:pBdr/>
      <w:spacing/>
      <w:ind w:hanging="1134"/>
      <w:jc w:val="both"/>
    </w:pPr>
    <w:rPr>
      <w:rFonts w:cs="Arial"/>
    </w:rPr>
  </w:style>
  <w:style w:type="paragraph" w:styleId="2310" w:customStyle="1">
    <w:name w:val="Recuo de corpo de texto 33"/>
    <w:basedOn w:val="887"/>
    <w:uiPriority w:val="99"/>
    <w:qFormat/>
    <w:pPr>
      <w:pBdr/>
      <w:spacing/>
      <w:ind w:hanging="1134" w:left="1134"/>
      <w:jc w:val="both"/>
    </w:pPr>
    <w:rPr>
      <w:rFonts w:cs="Arial"/>
      <w:sz w:val="22"/>
      <w:szCs w:val="22"/>
    </w:rPr>
  </w:style>
  <w:style w:type="paragraph" w:styleId="2311" w:customStyle="1">
    <w:name w:val="SUB-TITULO 6"/>
    <w:basedOn w:val="887"/>
    <w:uiPriority w:val="99"/>
    <w:qFormat/>
    <w:pPr>
      <w:pBdr/>
      <w:tabs>
        <w:tab w:val="left" w:leader="none" w:pos="340"/>
        <w:tab w:val="clear" w:leader="none" w:pos="708"/>
      </w:tabs>
      <w:spacing w:after="120" w:before="0"/>
      <w:ind w:hanging="360" w:left="644"/>
      <w:jc w:val="both"/>
    </w:pPr>
    <w:rPr>
      <w:rFonts w:cs="Arial"/>
      <w:b/>
      <w:i/>
      <w:color w:val="002060"/>
      <w:sz w:val="22"/>
      <w:szCs w:val="22"/>
    </w:rPr>
  </w:style>
  <w:style w:type="paragraph" w:styleId="2312" w:customStyle="1">
    <w:name w:val="Revisãe3o"/>
    <w:uiPriority w:val="99"/>
    <w:qFormat/>
    <w:pPr>
      <w:widowControl w:val="true"/>
      <w:pBdr/>
      <w:bidi w:val="false"/>
      <w:spacing w:after="0" w:before="0"/>
      <w:ind/>
      <w:jc w:val="left"/>
    </w:pPr>
    <w:rPr>
      <w:rFonts w:ascii="Times New Roman" w:hAnsi="Times New Roman" w:eastAsia="NSimSun" w:cs="Calibri"/>
      <w:color w:val="auto"/>
      <w:sz w:val="22"/>
      <w:szCs w:val="22"/>
      <w:lang w:val="pt-BR" w:eastAsia="zh-CN" w:bidi="hi-IN"/>
    </w:rPr>
  </w:style>
  <w:style w:type="paragraph" w:styleId="2313" w:customStyle="1">
    <w:name w:val="Sem Espaçe7amento"/>
    <w:uiPriority w:val="99"/>
    <w:qFormat/>
    <w:pPr>
      <w:widowControl w:val="true"/>
      <w:pBdr/>
      <w:bidi w:val="false"/>
      <w:spacing w:after="0" w:before="0"/>
      <w:ind/>
      <w:jc w:val="left"/>
    </w:pPr>
    <w:rPr>
      <w:rFonts w:ascii="Times New Roman" w:hAnsi="Times New Roman" w:eastAsia="NSimSun" w:cs="Calibri"/>
      <w:color w:val="auto"/>
      <w:sz w:val="22"/>
      <w:szCs w:val="22"/>
      <w:lang w:val="pt-BR" w:eastAsia="zh-CN" w:bidi="hi-IN"/>
    </w:rPr>
  </w:style>
  <w:style w:type="paragraph" w:styleId="2314" w:customStyle="1">
    <w:name w:val="LO-normal1"/>
    <w:qFormat/>
    <w:pPr>
      <w:widowControl w:val="true"/>
      <w:pBdr/>
      <w:bidi w:val="false"/>
      <w:spacing w:after="0" w:before="0"/>
      <w:ind/>
      <w:jc w:val="left"/>
    </w:pPr>
    <w:rPr>
      <w:rFonts w:ascii="Liberation Serif" w:hAnsi="Liberation Serif" w:eastAsia="SimSun" w:cs="Liberation Serif"/>
      <w:color w:val="auto"/>
      <w:sz w:val="24"/>
      <w:szCs w:val="24"/>
      <w:lang w:val="pt-BR" w:eastAsia="zh-CN" w:bidi="hi-IN"/>
    </w:rPr>
  </w:style>
  <w:style w:type="paragraph" w:styleId="2315" w:customStyle="1">
    <w:name w:val="Recuo de corpo de texto 34"/>
    <w:basedOn w:val="887"/>
    <w:qFormat/>
    <w:pPr>
      <w:widowControl w:val="false"/>
      <w:pBdr/>
      <w:spacing/>
      <w:ind w:left="1418"/>
      <w:jc w:val="both"/>
    </w:pPr>
    <w:rPr>
      <w:rFonts w:ascii="Arial" w:hAnsi="Arial" w:cs="Arial"/>
      <w:sz w:val="24"/>
      <w:lang w:val="en-US"/>
    </w:rPr>
  </w:style>
  <w:style w:type="paragraph" w:styleId="2316">
    <w:name w:val="Block Text"/>
    <w:basedOn w:val="887"/>
    <w:uiPriority w:val="99"/>
    <w:unhideWhenUsed/>
    <w:qFormat/>
    <w:pPr>
      <w:widowControl w:val="false"/>
      <w:pBdr/>
      <w:spacing w:line="360" w:lineRule="auto"/>
      <w:ind w:right="-1" w:hanging="284" w:left="2835"/>
    </w:pPr>
    <w:rPr>
      <w:rFonts w:cs="Arial"/>
      <w:sz w:val="22"/>
      <w:szCs w:val="22"/>
      <w:lang w:eastAsia="pt-BR"/>
    </w:rPr>
  </w:style>
  <w:style w:type="paragraph" w:styleId="2317" w:customStyle="1">
    <w:name w:val="Estilo1"/>
    <w:basedOn w:val="887"/>
    <w:uiPriority w:val="99"/>
    <w:unhideWhenUsed/>
    <w:qFormat/>
    <w:pPr>
      <w:pBdr/>
      <w:tabs>
        <w:tab w:val="clear" w:leader="none" w:pos="708"/>
        <w:tab w:val="left" w:leader="none" w:pos="2268"/>
      </w:tabs>
      <w:spacing/>
      <w:ind w:hanging="992" w:left="2410"/>
      <w:jc w:val="both"/>
    </w:pPr>
    <w:rPr>
      <w:sz w:val="24"/>
      <w:szCs w:val="24"/>
      <w:lang w:eastAsia="pt-BR"/>
    </w:rPr>
  </w:style>
  <w:style w:type="paragraph" w:styleId="2318">
    <w:name w:val="annotation text"/>
    <w:basedOn w:val="887"/>
    <w:link w:val="1020"/>
    <w:uiPriority w:val="99"/>
    <w:unhideWhenUsed/>
    <w:qFormat/>
    <w:pPr>
      <w:widowControl w:val="false"/>
      <w:pBdr/>
      <w:spacing/>
      <w:ind/>
    </w:pPr>
    <w:rPr>
      <w:rFonts w:ascii="Ecofont_Spranq_eco_Sans" w:hAnsi="Ecofont_Spranq_eco_Sans" w:eastAsia="MS Mincho" w:cs="Tahoma"/>
      <w:lang w:eastAsia="pt-BR"/>
    </w:rPr>
  </w:style>
  <w:style w:type="paragraph" w:styleId="2319">
    <w:name w:val="Body Text Indent 2"/>
    <w:basedOn w:val="887"/>
    <w:link w:val="1089"/>
    <w:uiPriority w:val="99"/>
    <w:unhideWhenUsed/>
    <w:qFormat/>
    <w:pPr>
      <w:pBdr/>
      <w:spacing/>
      <w:ind w:firstLine="2183"/>
      <w:jc w:val="both"/>
    </w:pPr>
  </w:style>
  <w:style w:type="paragraph" w:styleId="2320">
    <w:name w:val="List 4"/>
    <w:basedOn w:val="887"/>
    <w:uiPriority w:val="99"/>
    <w:unhideWhenUsed/>
    <w:qFormat/>
    <w:pPr>
      <w:pBdr/>
      <w:spacing/>
      <w:ind w:hanging="283" w:left="1132"/>
    </w:pPr>
    <w:rPr>
      <w:lang w:eastAsia="pt-BR"/>
    </w:rPr>
  </w:style>
  <w:style w:type="paragraph" w:styleId="2321">
    <w:name w:val="Plain Text"/>
    <w:basedOn w:val="887"/>
    <w:link w:val="1009"/>
    <w:uiPriority w:val="99"/>
    <w:unhideWhenUsed/>
    <w:qFormat/>
    <w:pPr>
      <w:pBdr/>
      <w:spacing/>
      <w:ind/>
    </w:pPr>
    <w:rPr>
      <w:rFonts w:ascii="Courier New" w:hAnsi="Courier New" w:cs="Courier New"/>
      <w:lang w:eastAsia="pt-BR"/>
    </w:rPr>
  </w:style>
  <w:style w:type="paragraph" w:styleId="2322">
    <w:name w:val="Body Text 3"/>
    <w:basedOn w:val="887"/>
    <w:link w:val="1087"/>
    <w:uiPriority w:val="99"/>
    <w:unhideWhenUsed/>
    <w:qFormat/>
    <w:pPr>
      <w:pBdr/>
      <w:spacing/>
      <w:ind/>
      <w:jc w:val="both"/>
    </w:pPr>
    <w:rPr>
      <w:sz w:val="16"/>
      <w:szCs w:val="16"/>
    </w:rPr>
  </w:style>
  <w:style w:type="paragraph" w:styleId="2323">
    <w:name w:val="Body Text 2"/>
    <w:basedOn w:val="887"/>
    <w:link w:val="1090"/>
    <w:uiPriority w:val="99"/>
    <w:unhideWhenUsed/>
    <w:qFormat/>
    <w:pPr>
      <w:pBdr/>
      <w:spacing w:after="100" w:before="100"/>
      <w:ind/>
      <w:jc w:val="both"/>
    </w:pPr>
  </w:style>
  <w:style w:type="paragraph" w:styleId="2324" w:customStyle="1">
    <w:name w:val="Corpo do texto"/>
    <w:basedOn w:val="887"/>
    <w:uiPriority w:val="99"/>
    <w:unhideWhenUsed/>
    <w:qFormat/>
    <w:pPr>
      <w:pBdr/>
      <w:spacing w:after="120" w:before="0"/>
      <w:ind/>
    </w:pPr>
    <w:rPr>
      <w:lang w:eastAsia="pt-BR"/>
    </w:rPr>
  </w:style>
  <w:style w:type="paragraph" w:styleId="2325">
    <w:name w:val="List 3"/>
    <w:basedOn w:val="887"/>
    <w:uiPriority w:val="99"/>
    <w:unhideWhenUsed/>
    <w:qFormat/>
    <w:pPr>
      <w:pBdr/>
      <w:spacing/>
      <w:ind w:hanging="283" w:left="849"/>
    </w:pPr>
    <w:rPr>
      <w:lang w:eastAsia="pt-BR"/>
    </w:rPr>
  </w:style>
  <w:style w:type="paragraph" w:styleId="2326">
    <w:name w:val="List 2"/>
    <w:basedOn w:val="887"/>
    <w:uiPriority w:val="99"/>
    <w:unhideWhenUsed/>
    <w:qFormat/>
    <w:pPr>
      <w:pBdr/>
      <w:spacing/>
      <w:ind/>
    </w:pPr>
    <w:rPr>
      <w:sz w:val="24"/>
      <w:szCs w:val="24"/>
      <w:lang w:eastAsia="pt-BR"/>
    </w:rPr>
  </w:style>
  <w:style w:type="paragraph" w:styleId="2327" w:customStyle="1">
    <w:name w:val="Corpo do texto recuado"/>
    <w:basedOn w:val="887"/>
    <w:uiPriority w:val="99"/>
    <w:unhideWhenUsed/>
    <w:qFormat/>
    <w:pPr>
      <w:pBdr/>
      <w:spacing w:after="120" w:before="0"/>
      <w:ind w:left="283"/>
    </w:pPr>
    <w:rPr>
      <w:sz w:val="24"/>
      <w:szCs w:val="24"/>
      <w:lang w:val="en-US" w:eastAsia="pt-BR"/>
    </w:rPr>
  </w:style>
  <w:style w:type="paragraph" w:styleId="2328">
    <w:name w:val="HTML Address"/>
    <w:basedOn w:val="887"/>
    <w:link w:val="2025"/>
    <w:uiPriority w:val="99"/>
    <w:unhideWhenUsed/>
    <w:qFormat/>
    <w:pPr>
      <w:pBdr/>
      <w:spacing/>
      <w:ind/>
    </w:pPr>
    <w:rPr>
      <w:rFonts w:eastAsia="SimSun"/>
      <w:i/>
      <w:iCs/>
      <w:sz w:val="24"/>
      <w:szCs w:val="24"/>
      <w:lang w:eastAsia="pt-BR"/>
    </w:rPr>
  </w:style>
  <w:style w:type="paragraph" w:styleId="2329" w:customStyle="1">
    <w:name w:val="western"/>
    <w:basedOn w:val="887"/>
    <w:qFormat/>
    <w:pPr>
      <w:pBdr/>
      <w:spacing w:afterAutospacing="1" w:beforeAutospacing="1"/>
      <w:ind/>
    </w:pPr>
    <w:rPr>
      <w:rFonts w:ascii="Arial" w:hAnsi="Arial" w:eastAsia="SimSun" w:cs="Arial"/>
      <w:lang w:eastAsia="pt-BR"/>
    </w:rPr>
  </w:style>
  <w:style w:type="paragraph" w:styleId="2330" w:customStyle="1">
    <w:name w:val="Nível 1-Sem Num Preto"/>
    <w:basedOn w:val="887"/>
    <w:link w:val="2026"/>
    <w:qFormat/>
    <w:pPr>
      <w:keepNext w:val="true"/>
      <w:keepLines w:val="true"/>
      <w:pBdr/>
      <w:tabs>
        <w:tab w:val="left" w:leader="none" w:pos="567"/>
        <w:tab w:val="clear" w:leader="none" w:pos="708"/>
      </w:tabs>
      <w:spacing w:after="120" w:before="240" w:line="276" w:lineRule="auto"/>
      <w:ind/>
      <w:jc w:val="both"/>
      <w:outlineLvl w:val="1"/>
    </w:pPr>
    <w:rPr>
      <w:rFonts w:ascii="Arial" w:hAnsi="Arial" w:eastAsia="SimSun" w:cs="Arial"/>
      <w:b/>
      <w:bCs/>
      <w:lang w:bidi="hi-IN"/>
    </w:rPr>
  </w:style>
  <w:style w:type="paragraph" w:styleId="2331" w:customStyle="1">
    <w:name w:val="header;hd;he"/>
    <w:qFormat/>
    <w:pPr>
      <w:widowControl w:val="true"/>
      <w:pBdr/>
      <w:tabs>
        <w:tab w:val="clear" w:leader="none" w:pos="708"/>
        <w:tab w:val="center" w:leader="none" w:pos="4419"/>
        <w:tab w:val="right" w:leader="none" w:pos="8838"/>
      </w:tabs>
      <w:bidi w:val="false"/>
      <w:spacing w:after="0" w:before="0"/>
      <w:ind/>
      <w:jc w:val="left"/>
    </w:pPr>
    <w:rPr>
      <w:rFonts w:ascii="SimSun" w:hAnsi="SimSun" w:eastAsia="SimSun" w:cs="SimSun"/>
      <w:color w:val="auto"/>
      <w:sz w:val="20"/>
      <w:szCs w:val="20"/>
      <w:lang w:val="pt-BR" w:eastAsia="zh-CN" w:bidi="ar-SA"/>
    </w:rPr>
  </w:style>
  <w:style w:type="paragraph" w:styleId="2332" w:customStyle="1">
    <w:name w:val="Normal (Web)1"/>
    <w:uiPriority w:val="7"/>
    <w:qFormat/>
    <w:pPr>
      <w:widowControl w:val="true"/>
      <w:pBdr/>
      <w:bidi w:val="false"/>
      <w:spacing w:after="280" w:before="280"/>
      <w:ind/>
      <w:jc w:val="left"/>
    </w:pPr>
    <w:rPr>
      <w:rFonts w:ascii="Times New Roman" w:hAnsi="Times New Roman" w:eastAsia="SimSun" w:cs="Arial"/>
      <w:color w:val="000000"/>
      <w:sz w:val="20"/>
      <w:szCs w:val="24"/>
      <w:lang w:val="en-US" w:eastAsia="zh-CN" w:bidi="ar-SA"/>
    </w:rPr>
  </w:style>
  <w:style w:type="paragraph" w:styleId="2333" w:customStyle="1">
    <w:name w:val="Parágrafo_Parecer"/>
    <w:qFormat/>
    <w:pPr>
      <w:widowControl w:val="true"/>
      <w:pBdr/>
      <w:tabs>
        <w:tab w:val="left" w:leader="none" w:pos="-1559"/>
        <w:tab w:val="clear" w:leader="none" w:pos="708"/>
        <w:tab w:val="left" w:leader="none" w:pos="1418"/>
      </w:tabs>
      <w:bidi w:val="false"/>
      <w:spacing w:after="0" w:before="0"/>
      <w:ind/>
      <w:jc w:val="left"/>
    </w:pPr>
    <w:rPr>
      <w:rFonts w:ascii="Times New Roman" w:hAnsi="Times New Roman" w:eastAsia="Verdana" w:cs="Verdana"/>
      <w:color w:val="auto"/>
      <w:sz w:val="24"/>
      <w:szCs w:val="20"/>
      <w:lang w:val="pt-BR" w:eastAsia="ar-SA" w:bidi="hi-IN"/>
    </w:rPr>
  </w:style>
  <w:style w:type="numbering" w:styleId="2334" w:default="1">
    <w:name w:val="No List"/>
    <w:uiPriority w:val="99"/>
    <w:semiHidden/>
    <w:unhideWhenUsed/>
    <w:qFormat/>
    <w:pPr>
      <w:pBdr/>
      <w:spacing/>
      <w:ind/>
    </w:pPr>
  </w:style>
  <w:style w:type="table" w:styleId="2335" w:default="1">
    <w:name w:val="Normal Table"/>
    <w:uiPriority w:val="99"/>
    <w:semiHidden/>
    <w:unhideWhenUsed/>
    <w:pPr>
      <w:pBdr/>
      <w:spacing/>
      <w:ind/>
    </w:pPr>
    <w:tblPr>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36">
    <w:name w:val="Table Grid"/>
    <w:basedOn w:val="2335"/>
    <w:uiPriority w:val="59"/>
    <w:qFormat/>
    <w:pPr>
      <w:pBdr/>
      <w:spacing/>
      <w:ind/>
    </w:pPr>
    <w:tblPr>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37" w:customStyle="1">
    <w:name w:val="Table Grid Light"/>
    <w:basedOn w:val="2335"/>
    <w:uiPriority w:val="59"/>
    <w:pPr>
      <w:pBdr/>
      <w:spacing/>
      <w:ind/>
    </w:pPr>
    <w:tblPr>
      <w:tblCellMar>
        <w:left w:w="108" w:type="dxa"/>
        <w:top w:w="0" w:type="dxa"/>
        <w:right w:w="108" w:type="dxa"/>
        <w:bottom w:w="0" w:type="dxa"/>
      </w:tblCellMa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38">
    <w:name w:val="Plain Table 1"/>
    <w:basedOn w:val="2335"/>
    <w:uiPriority w:val="59"/>
    <w:pPr>
      <w:pBdr/>
      <w:spacing/>
      <w:ind/>
    </w:pPr>
    <w:tblPr>
      <w:tblCellMar>
        <w:left w:w="108" w:type="dxa"/>
        <w:top w:w="0" w:type="dxa"/>
        <w:right w:w="108" w:type="dxa"/>
        <w:bottom w:w="0" w:type="dxa"/>
      </w:tblCellMa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cPr>
      <w:tcBorders/>
    </w:tcPr>
    <w:tblStylePr w:type="band1Horz">
      <w:pPr>
        <w:pBdr/>
        <w:spacing/>
        <w:ind/>
      </w:pPr>
      <w:tblPr>
        <w:tblBorders/>
      </w:tblPr>
      <w:tcPr>
        <w:shd w:val="clear" w:color="f2f2f2" w:fill="f2f2f2"/>
        <w:tcBorders/>
      </w:tcPr>
    </w:tblStylePr>
    <w:tblStylePr w:type="band1Vert">
      <w:pPr>
        <w:pBdr/>
        <w:spacing/>
        <w:ind/>
      </w:pPr>
      <w:tblPr>
        <w:tblBorders/>
      </w:tblPr>
      <w:tcPr>
        <w:shd w:val="clear" w:color="f2f2f2" w:fill="f2f2f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39">
    <w:name w:val="Plain Table 2"/>
    <w:basedOn w:val="2335"/>
    <w:uiPriority w:val="59"/>
    <w:pPr>
      <w:pBdr/>
      <w:spacing/>
      <w:ind/>
    </w:pPr>
    <w:tblPr>
      <w:tblCellMar>
        <w:left w:w="108" w:type="dxa"/>
        <w:top w:w="0" w:type="dxa"/>
        <w:right w:w="108" w:type="dxa"/>
        <w:bottom w:w="0" w:type="dxa"/>
      </w:tblCellMar>
      <w:tblBorders>
        <w:top w:val="single" w:color="000000" w:sz="4" w:space="0"/>
        <w:left w:val="none" w:color="000000" w:sz="4" w:space="0"/>
        <w:bottom w:val="single" w:color="000000" w:sz="4" w:space="0"/>
        <w:right w:val="none" w:color="000000" w:sz="4" w:space="0"/>
      </w:tblBorders>
    </w:tblPr>
    <w:tcPr>
      <w:tcBorders/>
    </w:tcPr>
    <w:tblStylePr w:type="band1Horz">
      <w:pPr>
        <w:pBdr/>
        <w:spacing/>
        <w:ind/>
      </w:pPr>
      <w:tblPr>
        <w:tblBorders/>
      </w:tblPr>
      <w:tcPr>
        <w:tcBorders>
          <w:top w:val="single" w:color="000000" w:sz="4" w:space="0"/>
          <w:bottom w:val="single" w:color="000000" w:sz="4" w:space="0"/>
        </w:tcBorders>
      </w:tcPr>
    </w:tblStylePr>
    <w:tblStylePr w:type="band1Vert">
      <w:pPr>
        <w:pBdr/>
        <w:spacing/>
        <w:ind/>
      </w:pPr>
      <w:tblPr>
        <w:tblBorders/>
      </w:tblPr>
      <w:tcPr>
        <w:tcBorders>
          <w:left w:val="single" w:color="000000" w:sz="4" w:space="0"/>
          <w:right w:val="single" w:color="000000"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sz="4" w:space="0"/>
          <w:right w:val="single" w:color="000000" w:sz="4" w:space="0"/>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000000" w:sz="4" w:space="0"/>
          <w:bottom w:val="singl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40">
    <w:name w:val="Plain Table 3"/>
    <w:basedOn w:val="2335"/>
    <w:uiPriority w:val="99"/>
    <w:pPr>
      <w:pBdr/>
      <w:spacing/>
      <w:ind/>
    </w:pPr>
    <w:tblPr>
      <w:tblStyleRowBandSize w:val="1"/>
      <w:tblStyleColBandSize w:val="1"/>
      <w:tblCellMar>
        <w:left w:w="108" w:type="dxa"/>
        <w:top w:w="0" w:type="dxa"/>
        <w:right w:w="108" w:type="dxa"/>
        <w:bottom w:w="0" w:type="dxa"/>
      </w:tblCellMar>
      <w:tblBorders/>
    </w:tblPr>
    <w:tcPr>
      <w:tcBorders/>
    </w:tcPr>
    <w:tblStylePr w:type="band1Horz">
      <w:rPr>
        <w:sz w:val="22"/>
      </w:rPr>
      <w:pPr>
        <w:pBdr/>
        <w:spacing/>
        <w:ind/>
      </w:pPr>
      <w:tblPr>
        <w:tblBorders/>
      </w:tblPr>
      <w:tcPr>
        <w:shd w:val="clear" w:color="f2f2f2" w:fill="f2f2f2"/>
        <w:tcBorders/>
      </w:tcPr>
    </w:tblStylePr>
    <w:tblStylePr w:type="band1Vert">
      <w:rPr>
        <w:sz w:val="22"/>
      </w:rPr>
      <w:pPr>
        <w:pBdr/>
        <w:spacing/>
        <w:ind/>
      </w:pPr>
      <w:tblPr>
        <w:tblBorders/>
      </w:tblPr>
      <w:tcPr>
        <w:shd w:val="clear" w:color="f2f2f2" w:fill="f2f2f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rPr>
      <w:pPr>
        <w:pBdr/>
        <w:spacing/>
        <w:ind/>
      </w:pPr>
      <w:tblPr>
        <w:tblBorders/>
      </w:tblPr>
      <w:tcPr>
        <w:tcBorders/>
      </w:tcPr>
    </w:tblStylePr>
    <w:tblStylePr w:type="lastRow">
      <w:rPr>
        <w:b/>
        <w:caps/>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41">
    <w:name w:val="Plain Table 4"/>
    <w:basedOn w:val="2335"/>
    <w:uiPriority w:val="99"/>
    <w:pPr>
      <w:pBdr/>
      <w:spacing/>
      <w:ind/>
    </w:pPr>
    <w:tblPr>
      <w:tblStyleRowBandSize w:val="1"/>
      <w:tblStyleColBandSize w:val="1"/>
      <w:tblCellMar>
        <w:left w:w="108" w:type="dxa"/>
        <w:top w:w="0" w:type="dxa"/>
        <w:right w:w="108" w:type="dxa"/>
        <w:bottom w:w="0" w:type="dxa"/>
      </w:tblCellMar>
      <w:tblBorders/>
    </w:tblPr>
    <w:tcPr>
      <w:tcBorders/>
    </w:tcPr>
    <w:tblStylePr w:type="band1Horz">
      <w:rPr>
        <w:sz w:val="22"/>
      </w:rPr>
      <w:pPr>
        <w:pBdr/>
        <w:spacing/>
        <w:ind/>
      </w:pPr>
      <w:tblPr>
        <w:tblBorders/>
      </w:tblPr>
      <w:tcPr>
        <w:shd w:val="clear" w:color="f2f2f2" w:fill="f2f2f2"/>
        <w:tcBorders/>
      </w:tcPr>
    </w:tblStylePr>
    <w:tblStylePr w:type="band1Vert">
      <w:rPr>
        <w:sz w:val="22"/>
      </w:rPr>
      <w:pPr>
        <w:pBdr/>
        <w:spacing/>
        <w:ind/>
      </w:pPr>
      <w:tblPr>
        <w:tblBorders/>
      </w:tblPr>
      <w:tcPr>
        <w:shd w:val="clear" w:color="f2f2f2" w:fill="f2f2f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42">
    <w:name w:val="Plain Table 5"/>
    <w:basedOn w:val="2335"/>
    <w:uiPriority w:val="99"/>
    <w:pPr>
      <w:pBdr/>
      <w:spacing/>
      <w:ind/>
    </w:pPr>
    <w:tblPr>
      <w:tblStyleRowBandSize w:val="1"/>
      <w:tblStyleColBandSize w:val="1"/>
      <w:tblCellMar>
        <w:left w:w="108" w:type="dxa"/>
        <w:top w:w="0" w:type="dxa"/>
        <w:right w:w="108" w:type="dxa"/>
        <w:bottom w:w="0" w:type="dxa"/>
      </w:tblCellMar>
      <w:tblBorders/>
    </w:tblPr>
    <w:tcPr>
      <w:tcBorders/>
    </w:tcPr>
    <w:tblStylePr w:type="band1Horz">
      <w:rPr>
        <w:sz w:val="22"/>
      </w:rPr>
      <w:pPr>
        <w:pBdr/>
        <w:spacing/>
        <w:ind/>
      </w:pPr>
      <w:tblPr>
        <w:tblBorders/>
      </w:tblPr>
      <w:tcPr>
        <w:shd w:val="clear" w:color="f2f2f2" w:fill="f2f2f2"/>
        <w:tcBorders/>
      </w:tcPr>
    </w:tblStylePr>
    <w:tblStylePr w:type="band1Vert">
      <w:rPr>
        <w:sz w:val="22"/>
      </w:rPr>
      <w:pPr>
        <w:pBdr/>
        <w:spacing/>
        <w:ind/>
      </w:pPr>
      <w:tblPr>
        <w:tblBorders/>
      </w:tblPr>
      <w:tcPr>
        <w:shd w:val="clear" w:color="f2f2f2" w:fill="f2f2f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fill="auto"/>
        <w:tcBorders>
          <w:right w:val="single" w:color="404040" w:sz="4" w:space="0"/>
        </w:tcBorders>
      </w:tcPr>
    </w:tblStylePr>
    <w:tblStylePr w:type="firstRow">
      <w:rPr>
        <w:i/>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rPr>
      <w:pPr>
        <w:pBdr/>
        <w:spacing/>
        <w:ind/>
      </w:pPr>
      <w:tblPr>
        <w:tblBorders/>
      </w:tblPr>
      <w:tcPr>
        <w:shd w:val="clear" w:color="ffffff" w:fill="auto"/>
        <w:tcBorders>
          <w:left w:val="single" w:color="404040" w:sz="4" w:space="0"/>
        </w:tcBorders>
      </w:tcPr>
    </w:tblStylePr>
    <w:tblStylePr w:type="lastRow">
      <w:rPr>
        <w:i/>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43">
    <w:name w:val="Grid Table 1 Light"/>
    <w:basedOn w:val="2335"/>
    <w:uiPriority w:val="99"/>
    <w:pPr>
      <w:pBdr/>
      <w:spacing/>
      <w:ind/>
    </w:pPr>
    <w:tblPr>
      <w:tblStyleRowBandSize w:val="1"/>
      <w:tblStyleColBandSize w:val="1"/>
      <w:tblCellMar>
        <w:left w:w="108" w:type="dxa"/>
        <w:top w:w="0" w:type="dxa"/>
        <w:right w:w="108" w:type="dxa"/>
        <w:bottom w:w="0" w:type="dxa"/>
      </w:tblCellMa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cPr>
      <w:tcBorders/>
    </w:tcPr>
    <w:tblStylePr w:type="band1Horz">
      <w:rPr>
        <w:sz w:val="22"/>
      </w:rPr>
      <w:pPr>
        <w:pBdr/>
        <w:spacing/>
        <w:ind/>
      </w:pPr>
      <w:tblPr>
        <w:tblBorders/>
      </w:tblPr>
      <w:tcPr>
        <w:tcBorders>
          <w:top w:val="single" w:color="989898" w:sz="4" w:space="0"/>
          <w:left w:val="single" w:color="989898" w:sz="4" w:space="0"/>
          <w:bottom w:val="single" w:color="989898" w:sz="4" w:space="0"/>
          <w:right w:val="single" w:color="989898"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6a6a6a"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44" w:customStyle="1">
    <w:name w:val="Grid Table 1 Light - Accent 1"/>
    <w:basedOn w:val="2335"/>
    <w:uiPriority w:val="99"/>
    <w:pPr>
      <w:pBdr/>
      <w:spacing/>
      <w:ind/>
    </w:pPr>
    <w:tblPr>
      <w:tblStyleRowBandSize w:val="1"/>
      <w:tblStyleColBandSize w:val="1"/>
      <w:tblCellMar>
        <w:left w:w="108" w:type="dxa"/>
        <w:top w:w="0" w:type="dxa"/>
        <w:right w:w="108" w:type="dxa"/>
        <w:bottom w:w="0" w:type="dxa"/>
      </w:tblCellMa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cPr>
      <w:tcBorders/>
    </w:tcPr>
    <w:tblStylePr w:type="band1Horz">
      <w:rPr>
        <w:sz w:val="22"/>
      </w:rPr>
      <w:pPr>
        <w:pBdr/>
        <w:spacing/>
        <w:ind/>
      </w:pPr>
      <w:tblPr>
        <w:tblBorders/>
      </w:tblPr>
      <w:tcPr>
        <w:tcBorders>
          <w:top w:val="single" w:color="b7cbe4" w:sz="4" w:space="0"/>
          <w:left w:val="single" w:color="b7cbe4" w:sz="4" w:space="0"/>
          <w:bottom w:val="single" w:color="b7cbe4" w:sz="4" w:space="0"/>
          <w:right w:val="single" w:color="b7cbe4"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97b4d8"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45" w:customStyle="1">
    <w:name w:val="Grid Table 1 Light - Accent 2"/>
    <w:basedOn w:val="2335"/>
    <w:uiPriority w:val="99"/>
    <w:pPr>
      <w:pBdr/>
      <w:spacing/>
      <w:ind/>
    </w:pPr>
    <w:tblPr>
      <w:tblStyleRowBandSize w:val="1"/>
      <w:tblStyleColBandSize w:val="1"/>
      <w:tblCellMar>
        <w:left w:w="108" w:type="dxa"/>
        <w:top w:w="0" w:type="dxa"/>
        <w:right w:w="108" w:type="dxa"/>
        <w:bottom w:w="0" w:type="dxa"/>
      </w:tblCellMa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cPr>
      <w:tcBorders/>
    </w:tcPr>
    <w:tblStylePr w:type="band1Horz">
      <w:rPr>
        <w:sz w:val="22"/>
      </w:rPr>
      <w:pPr>
        <w:pBdr/>
        <w:spacing/>
        <w:ind/>
      </w:pPr>
      <w:tblPr>
        <w:tblBorders/>
      </w:tblPr>
      <w:tcPr>
        <w:tcBorders>
          <w:top w:val="single" w:color="e5b7b6" w:sz="4" w:space="0"/>
          <w:left w:val="single" w:color="e5b7b6" w:sz="4" w:space="0"/>
          <w:bottom w:val="single" w:color="e5b7b6" w:sz="4" w:space="0"/>
          <w:right w:val="single" w:color="e5b7b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da9896"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46" w:customStyle="1">
    <w:name w:val="Grid Table 1 Light - Accent 3"/>
    <w:basedOn w:val="2335"/>
    <w:uiPriority w:val="99"/>
    <w:pPr>
      <w:pBdr/>
      <w:spacing/>
      <w:ind/>
    </w:pPr>
    <w:tblPr>
      <w:tblStyleRowBandSize w:val="1"/>
      <w:tblStyleColBandSize w:val="1"/>
      <w:tblCellMar>
        <w:left w:w="108" w:type="dxa"/>
        <w:top w:w="0" w:type="dxa"/>
        <w:right w:w="108" w:type="dxa"/>
        <w:bottom w:w="0" w:type="dxa"/>
      </w:tblCellMa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cPr>
      <w:tcBorders/>
    </w:tcPr>
    <w:tblStylePr w:type="band1Horz">
      <w:rPr>
        <w:sz w:val="22"/>
      </w:rPr>
      <w:pPr>
        <w:pBdr/>
        <w:spacing/>
        <w:ind/>
      </w:pPr>
      <w:tblPr>
        <w:tblBorders/>
      </w:tblPr>
      <w:tcPr>
        <w:tcBorders>
          <w:top w:val="single" w:color="d6e3bb" w:sz="4" w:space="0"/>
          <w:left w:val="single" w:color="d6e3bb" w:sz="4" w:space="0"/>
          <w:bottom w:val="single" w:color="d6e3bb" w:sz="4" w:space="0"/>
          <w:right w:val="single" w:color="d6e3bb"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c4d79d"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47" w:customStyle="1">
    <w:name w:val="Grid Table 1 Light - Accent 4"/>
    <w:basedOn w:val="2335"/>
    <w:uiPriority w:val="99"/>
    <w:pPr>
      <w:pBdr/>
      <w:spacing/>
      <w:ind/>
    </w:pPr>
    <w:tblPr>
      <w:tblStyleRowBandSize w:val="1"/>
      <w:tblStyleColBandSize w:val="1"/>
      <w:tblCellMar>
        <w:left w:w="108" w:type="dxa"/>
        <w:top w:w="0" w:type="dxa"/>
        <w:right w:w="108" w:type="dxa"/>
        <w:bottom w:w="0" w:type="dxa"/>
      </w:tblCellMa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cPr>
      <w:tcBorders/>
    </w:tcPr>
    <w:tblStylePr w:type="band1Horz">
      <w:rPr>
        <w:sz w:val="22"/>
      </w:rPr>
      <w:pPr>
        <w:pBdr/>
        <w:spacing/>
        <w:ind/>
      </w:pPr>
      <w:tblPr>
        <w:tblBorders/>
      </w:tblPr>
      <w:tcPr>
        <w:tcBorders>
          <w:top w:val="single" w:color="cbc0d9" w:sz="4" w:space="0"/>
          <w:left w:val="single" w:color="cbc0d9" w:sz="4" w:space="0"/>
          <w:bottom w:val="single" w:color="cbc0d9" w:sz="4" w:space="0"/>
          <w:right w:val="single" w:color="cbc0d9"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b4a4c8"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48" w:customStyle="1">
    <w:name w:val="Grid Table 1 Light - Accent 5"/>
    <w:basedOn w:val="2335"/>
    <w:uiPriority w:val="99"/>
    <w:pPr>
      <w:pBdr/>
      <w:spacing/>
      <w:ind/>
    </w:pPr>
    <w:tblPr>
      <w:tblStyleRowBandSize w:val="1"/>
      <w:tblStyleColBandSize w:val="1"/>
      <w:tblCellMar>
        <w:left w:w="108" w:type="dxa"/>
        <w:top w:w="0" w:type="dxa"/>
        <w:right w:w="108" w:type="dxa"/>
        <w:bottom w:w="0" w:type="dxa"/>
      </w:tblCellMa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cPr>
      <w:tcBorders/>
    </w:tcPr>
    <w:tblStylePr w:type="band1Horz">
      <w:rPr>
        <w:sz w:val="22"/>
      </w:rPr>
      <w:pPr>
        <w:pBdr/>
        <w:spacing/>
        <w:ind/>
      </w:pPr>
      <w:tblPr>
        <w:tblBorders/>
      </w:tblPr>
      <w:tcPr>
        <w:tcBorders>
          <w:top w:val="single" w:color="b6dde8" w:sz="4" w:space="0"/>
          <w:left w:val="single" w:color="b6dde8" w:sz="4" w:space="0"/>
          <w:bottom w:val="single" w:color="b6dde8" w:sz="4" w:space="0"/>
          <w:right w:val="single" w:color="b6dde8"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95cedd"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49" w:customStyle="1">
    <w:name w:val="Grid Table 1 Light - Accent 6"/>
    <w:basedOn w:val="2335"/>
    <w:uiPriority w:val="99"/>
    <w:pPr>
      <w:pBdr/>
      <w:spacing/>
      <w:ind/>
    </w:pPr>
    <w:tblPr>
      <w:tblStyleRowBandSize w:val="1"/>
      <w:tblStyleColBandSize w:val="1"/>
      <w:tblCellMar>
        <w:left w:w="108" w:type="dxa"/>
        <w:top w:w="0" w:type="dxa"/>
        <w:right w:w="108" w:type="dxa"/>
        <w:bottom w:w="0" w:type="dxa"/>
      </w:tblCellMa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cPr>
      <w:tcBorders/>
    </w:tcPr>
    <w:tblStylePr w:type="band1Horz">
      <w:rPr>
        <w:sz w:val="22"/>
      </w:rPr>
      <w:pPr>
        <w:pBdr/>
        <w:spacing/>
        <w:ind/>
      </w:pPr>
      <w:tblPr>
        <w:tblBorders/>
      </w:tblPr>
      <w:tcPr>
        <w:tcBorders>
          <w:top w:val="single" w:color="fbd4b4" w:sz="4" w:space="0"/>
          <w:left w:val="single" w:color="fbd4b4" w:sz="4" w:space="0"/>
          <w:bottom w:val="single" w:color="fbd4b4" w:sz="4" w:space="0"/>
          <w:right w:val="single" w:color="fbd4b4"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fac192"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50">
    <w:name w:val="Grid Table 2"/>
    <w:basedOn w:val="2335"/>
    <w:uiPriority w:val="99"/>
    <w:pPr>
      <w:pBdr/>
      <w:spacing/>
      <w:ind/>
    </w:pPr>
    <w:tblPr>
      <w:tblStyleRowBandSize w:val="1"/>
      <w:tblStyleColBandSize w:val="1"/>
      <w:tblCellMar>
        <w:left w:w="108" w:type="dxa"/>
        <w:top w:w="0" w:type="dxa"/>
        <w:right w:w="108" w:type="dxa"/>
        <w:bottom w:w="0" w:type="dxa"/>
      </w:tblCellMar>
      <w:tblBorders>
        <w:bottom w:val="single" w:color="6a6a6a" w:sz="4" w:space="0"/>
        <w:insideH w:val="single" w:color="6a6a6a" w:sz="4" w:space="0"/>
        <w:insideV w:val="single" w:color="6a6a6a" w:sz="4" w:space="0"/>
      </w:tblBorders>
    </w:tblPr>
    <w:tcPr>
      <w:tcBorders/>
    </w:tcPr>
    <w:tblStylePr w:type="band1Horz">
      <w:rPr>
        <w:sz w:val="22"/>
      </w:rPr>
      <w:pPr>
        <w:pBdr/>
        <w:spacing/>
        <w:ind/>
      </w:pPr>
      <w:tblPr>
        <w:tblBorders/>
      </w:tblPr>
      <w:tcPr>
        <w:shd w:val="clear" w:color="cbcbcb" w:fill="cbcbcb"/>
        <w:tcBorders/>
      </w:tcPr>
    </w:tblStylePr>
    <w:tblStylePr w:type="band1Vert">
      <w:rPr>
        <w:sz w:val="22"/>
      </w:rPr>
      <w:pPr>
        <w:pBdr/>
        <w:spacing/>
        <w:ind/>
      </w:pPr>
      <w:tblPr>
        <w:tblBorders/>
      </w:tblPr>
      <w:tcPr>
        <w:shd w:val="clear" w:color="cbcbcb" w:fill="cbcbcb"/>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shd w:val="clear" w:color="ffffff" w:fill="auto"/>
        <w:tcBorders>
          <w:top w:val="single" w:color="6a6a6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51" w:customStyle="1">
    <w:name w:val="Grid Table 2 - Accent 1"/>
    <w:basedOn w:val="2335"/>
    <w:uiPriority w:val="99"/>
    <w:pPr>
      <w:pBdr/>
      <w:spacing/>
      <w:ind/>
    </w:pPr>
    <w:tblPr>
      <w:tblStyleRowBandSize w:val="1"/>
      <w:tblStyleColBandSize w:val="1"/>
      <w:tblCellMar>
        <w:left w:w="108" w:type="dxa"/>
        <w:top w:w="0" w:type="dxa"/>
        <w:right w:w="108" w:type="dxa"/>
        <w:bottom w:w="0" w:type="dxa"/>
      </w:tblCellMar>
      <w:tblBorders>
        <w:bottom w:val="single" w:color="5d8ac2" w:sz="4" w:space="0"/>
        <w:insideH w:val="single" w:color="5d8ac2" w:sz="4" w:space="0"/>
        <w:insideV w:val="single" w:color="5d8ac2" w:sz="4" w:space="0"/>
      </w:tblBorders>
    </w:tblPr>
    <w:tcPr>
      <w:tcBorders/>
    </w:tcPr>
    <w:tblStylePr w:type="band1Horz">
      <w:rPr>
        <w:sz w:val="22"/>
      </w:rPr>
      <w:pPr>
        <w:pBdr/>
        <w:spacing/>
        <w:ind/>
      </w:pPr>
      <w:tblPr>
        <w:tblBorders/>
      </w:tblPr>
      <w:tcPr>
        <w:shd w:val="clear" w:color="dae5f1" w:fill="dae5f1"/>
        <w:tcBorders/>
      </w:tcPr>
    </w:tblStylePr>
    <w:tblStylePr w:type="band1Vert">
      <w:rPr>
        <w:sz w:val="22"/>
      </w:rPr>
      <w:pPr>
        <w:pBdr/>
        <w:spacing/>
        <w:ind/>
      </w:pPr>
      <w:tblPr>
        <w:tblBorders/>
      </w:tblPr>
      <w:tcPr>
        <w:shd w:val="clear" w:color="dae5f1" w:fill="dae5f1"/>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shd w:val="clear" w:color="ffffff" w:fill="auto"/>
        <w:tcBorders>
          <w:top w:val="single" w:color="5d8ac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52" w:customStyle="1">
    <w:name w:val="Grid Table 2 - Accent 2"/>
    <w:basedOn w:val="2335"/>
    <w:uiPriority w:val="99"/>
    <w:pPr>
      <w:pBdr/>
      <w:spacing/>
      <w:ind/>
    </w:pPr>
    <w:tblPr>
      <w:tblStyleRowBandSize w:val="1"/>
      <w:tblStyleColBandSize w:val="1"/>
      <w:tblCellMar>
        <w:left w:w="108" w:type="dxa"/>
        <w:top w:w="0" w:type="dxa"/>
        <w:right w:w="108" w:type="dxa"/>
        <w:bottom w:w="0" w:type="dxa"/>
      </w:tblCellMar>
      <w:tblBorders>
        <w:bottom w:val="single" w:color="d99695" w:sz="4" w:space="0"/>
        <w:insideH w:val="single" w:color="d99695" w:sz="4" w:space="0"/>
        <w:insideV w:val="single" w:color="d99695" w:sz="4" w:space="0"/>
      </w:tblBorders>
    </w:tblPr>
    <w:tcPr>
      <w:tcBorders/>
    </w:tcPr>
    <w:tblStylePr w:type="band1Horz">
      <w:rPr>
        <w:sz w:val="22"/>
      </w:rPr>
      <w:pPr>
        <w:pBdr/>
        <w:spacing/>
        <w:ind/>
      </w:pPr>
      <w:tblPr>
        <w:tblBorders/>
      </w:tblPr>
      <w:tcPr>
        <w:shd w:val="clear" w:color="f2dcdc" w:fill="f2dcdc"/>
        <w:tcBorders/>
      </w:tcPr>
    </w:tblStylePr>
    <w:tblStylePr w:type="band1Vert">
      <w:rPr>
        <w:sz w:val="22"/>
      </w:rPr>
      <w:pPr>
        <w:pBdr/>
        <w:spacing/>
        <w:ind/>
      </w:pPr>
      <w:tblPr>
        <w:tblBorders/>
      </w:tblPr>
      <w:tcPr>
        <w:shd w:val="clear" w:color="f2dcdc" w:fill="f2dcd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shd w:val="clear" w:color="ffffff" w:fill="auto"/>
        <w:tcBorders>
          <w:top w:val="single" w:color="d996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53" w:customStyle="1">
    <w:name w:val="Grid Table 2 - Accent 3"/>
    <w:basedOn w:val="2335"/>
    <w:uiPriority w:val="99"/>
    <w:pPr>
      <w:pBdr/>
      <w:spacing/>
      <w:ind/>
    </w:pPr>
    <w:tblPr>
      <w:tblStyleRowBandSize w:val="1"/>
      <w:tblStyleColBandSize w:val="1"/>
      <w:tblCellMar>
        <w:left w:w="108" w:type="dxa"/>
        <w:top w:w="0" w:type="dxa"/>
        <w:right w:w="108" w:type="dxa"/>
        <w:bottom w:w="0" w:type="dxa"/>
      </w:tblCellMar>
      <w:tblBorders>
        <w:bottom w:val="single" w:color="9abb59" w:sz="4" w:space="0"/>
        <w:insideH w:val="single" w:color="9abb59" w:sz="4" w:space="0"/>
        <w:insideV w:val="single" w:color="9abb59" w:sz="4" w:space="0"/>
      </w:tblBorders>
    </w:tblPr>
    <w:tcPr>
      <w:tcBorders/>
    </w:tcPr>
    <w:tblStylePr w:type="band1Horz">
      <w:rPr>
        <w:sz w:val="22"/>
      </w:rPr>
      <w:pPr>
        <w:pBdr/>
        <w:spacing/>
        <w:ind/>
      </w:pPr>
      <w:tblPr>
        <w:tblBorders/>
      </w:tblPr>
      <w:tcPr>
        <w:shd w:val="clear" w:color="eaf1dc" w:fill="eaf1dc"/>
        <w:tcBorders/>
      </w:tcPr>
    </w:tblStylePr>
    <w:tblStylePr w:type="band1Vert">
      <w:rPr>
        <w:sz w:val="22"/>
      </w:rPr>
      <w:pPr>
        <w:pBdr/>
        <w:spacing/>
        <w:ind/>
      </w:pPr>
      <w:tblPr>
        <w:tblBorders/>
      </w:tblPr>
      <w:tcPr>
        <w:shd w:val="clear" w:color="eaf1dc" w:fill="eaf1d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shd w:val="clear" w:color="ffffff" w:fill="auto"/>
        <w:tcBorders>
          <w:top w:val="single" w:color="9abb59"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54" w:customStyle="1">
    <w:name w:val="Grid Table 2 - Accent 4"/>
    <w:basedOn w:val="2335"/>
    <w:uiPriority w:val="99"/>
    <w:pPr>
      <w:pBdr/>
      <w:spacing/>
      <w:ind/>
    </w:pPr>
    <w:tblPr>
      <w:tblStyleRowBandSize w:val="1"/>
      <w:tblStyleColBandSize w:val="1"/>
      <w:tblCellMar>
        <w:left w:w="108" w:type="dxa"/>
        <w:top w:w="0" w:type="dxa"/>
        <w:right w:w="108" w:type="dxa"/>
        <w:bottom w:w="0" w:type="dxa"/>
      </w:tblCellMar>
      <w:tblBorders>
        <w:bottom w:val="single" w:color="b2a1c6" w:sz="4" w:space="0"/>
        <w:insideH w:val="single" w:color="b2a1c6" w:sz="4" w:space="0"/>
        <w:insideV w:val="single" w:color="b2a1c6" w:sz="4" w:space="0"/>
      </w:tblBorders>
    </w:tblPr>
    <w:tcPr>
      <w:tcBorders/>
    </w:tcPr>
    <w:tblStylePr w:type="band1Horz">
      <w:rPr>
        <w:sz w:val="22"/>
      </w:rPr>
      <w:pPr>
        <w:pBdr/>
        <w:spacing/>
        <w:ind/>
      </w:pPr>
      <w:tblPr>
        <w:tblBorders/>
      </w:tblPr>
      <w:tcPr>
        <w:shd w:val="clear" w:color="e5dfec" w:fill="e5dfec"/>
        <w:tcBorders/>
      </w:tcPr>
    </w:tblStylePr>
    <w:tblStylePr w:type="band1Vert">
      <w:rPr>
        <w:sz w:val="22"/>
      </w:rPr>
      <w:pPr>
        <w:pBdr/>
        <w:spacing/>
        <w:ind/>
      </w:pPr>
      <w:tblPr>
        <w:tblBorders/>
      </w:tblPr>
      <w:tcPr>
        <w:shd w:val="clear" w:color="e5dfec" w:fill="e5dfe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shd w:val="clear" w:color="ffffff" w:fill="auto"/>
        <w:tcBorders>
          <w:top w:val="single" w:color="b2a1c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55" w:customStyle="1">
    <w:name w:val="Grid Table 2 - Accent 5"/>
    <w:basedOn w:val="2335"/>
    <w:uiPriority w:val="99"/>
    <w:pPr>
      <w:pBdr/>
      <w:spacing/>
      <w:ind/>
    </w:pPr>
    <w:tblPr>
      <w:tblStyleRowBandSize w:val="1"/>
      <w:tblStyleColBandSize w:val="1"/>
      <w:tblCellMar>
        <w:left w:w="108" w:type="dxa"/>
        <w:top w:w="0" w:type="dxa"/>
        <w:right w:w="108" w:type="dxa"/>
        <w:bottom w:w="0" w:type="dxa"/>
      </w:tblCellMar>
      <w:tblBorders>
        <w:bottom w:val="single" w:color="4bacc6" w:sz="4" w:space="0"/>
        <w:insideH w:val="single" w:color="4bacc6" w:sz="4" w:space="0"/>
        <w:insideV w:val="single" w:color="4bacc6" w:sz="4" w:space="0"/>
      </w:tblBorders>
    </w:tblPr>
    <w:tcPr>
      <w:tcBorders/>
    </w:tcPr>
    <w:tblStylePr w:type="band1Horz">
      <w:rPr>
        <w:sz w:val="22"/>
      </w:rPr>
      <w:pPr>
        <w:pBdr/>
        <w:spacing/>
        <w:ind/>
      </w:pPr>
      <w:tblPr>
        <w:tblBorders/>
      </w:tblPr>
      <w:tcPr>
        <w:shd w:val="clear" w:color="daeef3" w:fill="daeef3"/>
        <w:tcBorders/>
      </w:tcPr>
    </w:tblStylePr>
    <w:tblStylePr w:type="band1Vert">
      <w:rPr>
        <w:sz w:val="22"/>
      </w:rPr>
      <w:pPr>
        <w:pBdr/>
        <w:spacing/>
        <w:ind/>
      </w:pPr>
      <w:tblPr>
        <w:tblBorders/>
      </w:tblPr>
      <w:tcPr>
        <w:shd w:val="clear" w:color="daeef3" w:fill="daeef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shd w:val="clear" w:color="ffffff" w:fill="auto"/>
        <w:tcBorders>
          <w:top w:val="single" w:color="4bacc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56" w:customStyle="1">
    <w:name w:val="Grid Table 2 - Accent 6"/>
    <w:basedOn w:val="2335"/>
    <w:uiPriority w:val="99"/>
    <w:pPr>
      <w:pBdr/>
      <w:spacing/>
      <w:ind/>
    </w:pPr>
    <w:tblPr>
      <w:tblStyleRowBandSize w:val="1"/>
      <w:tblStyleColBandSize w:val="1"/>
      <w:tblCellMar>
        <w:left w:w="108" w:type="dxa"/>
        <w:top w:w="0" w:type="dxa"/>
        <w:right w:w="108" w:type="dxa"/>
        <w:bottom w:w="0" w:type="dxa"/>
      </w:tblCellMar>
      <w:tblBorders>
        <w:bottom w:val="single" w:color="f79646" w:sz="4" w:space="0"/>
        <w:insideH w:val="single" w:color="f79646" w:sz="4" w:space="0"/>
        <w:insideV w:val="single" w:color="f79646" w:sz="4" w:space="0"/>
      </w:tblBorders>
    </w:tblPr>
    <w:tcPr>
      <w:tcBorders/>
    </w:tcPr>
    <w:tblStylePr w:type="band1Horz">
      <w:rPr>
        <w:sz w:val="22"/>
      </w:rPr>
      <w:pPr>
        <w:pBdr/>
        <w:spacing/>
        <w:ind/>
      </w:pPr>
      <w:tblPr>
        <w:tblBorders/>
      </w:tblPr>
      <w:tcPr>
        <w:shd w:val="clear" w:color="fde9d8" w:fill="fde9d8"/>
        <w:tcBorders/>
      </w:tcPr>
    </w:tblStylePr>
    <w:tblStylePr w:type="band1Vert">
      <w:rPr>
        <w:sz w:val="22"/>
      </w:rPr>
      <w:pPr>
        <w:pBdr/>
        <w:spacing/>
        <w:ind/>
      </w:pPr>
      <w:tblPr>
        <w:tblBorders/>
      </w:tblPr>
      <w:tcPr>
        <w:shd w:val="clear" w:color="fde9d8" w:fill="fde9d8"/>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shd w:val="clear" w:color="ffffff" w:fill="auto"/>
        <w:tcBorders>
          <w:top w:val="single" w:color="f7964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57">
    <w:name w:val="Grid Table 3"/>
    <w:basedOn w:val="2335"/>
    <w:uiPriority w:val="99"/>
    <w:pPr>
      <w:pBdr/>
      <w:spacing/>
      <w:ind/>
    </w:pPr>
    <w:tblPr>
      <w:tblStyleRowBandSize w:val="1"/>
      <w:tblStyleColBandSize w:val="1"/>
      <w:tblCellMar>
        <w:left w:w="108" w:type="dxa"/>
        <w:top w:w="0" w:type="dxa"/>
        <w:right w:w="108" w:type="dxa"/>
        <w:bottom w:w="0" w:type="dxa"/>
      </w:tblCellMar>
      <w:tblBorders>
        <w:bottom w:val="single" w:color="6a6a6a" w:sz="4" w:space="0"/>
        <w:insideH w:val="single" w:color="6a6a6a" w:sz="4" w:space="0"/>
        <w:insideV w:val="single" w:color="6a6a6a" w:sz="4" w:space="0"/>
      </w:tblBorders>
    </w:tblPr>
    <w:tcPr>
      <w:tcBorders/>
    </w:tcPr>
    <w:tblStylePr w:type="band1Horz">
      <w:rPr>
        <w:sz w:val="22"/>
      </w:rPr>
      <w:pPr>
        <w:pBdr/>
        <w:spacing/>
        <w:ind/>
      </w:pPr>
      <w:tblPr>
        <w:tblBorders/>
      </w:tblPr>
      <w:tcPr>
        <w:shd w:val="clear" w:color="cbcbcb" w:fill="cbcbcb"/>
        <w:tcBorders/>
      </w:tcPr>
    </w:tblStylePr>
    <w:tblStylePr w:type="band1Vert">
      <w:rPr>
        <w:sz w:val="22"/>
      </w:rPr>
      <w:pPr>
        <w:pBdr/>
        <w:spacing/>
        <w:ind/>
      </w:pPr>
      <w:tblPr>
        <w:tblBorders/>
      </w:tblPr>
      <w:tcPr>
        <w:shd w:val="clear" w:color="cbcbcb" w:fill="cbcbcb"/>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58" w:customStyle="1">
    <w:name w:val="Grid Table 3 - Accent 1"/>
    <w:basedOn w:val="2335"/>
    <w:uiPriority w:val="99"/>
    <w:pPr>
      <w:pBdr/>
      <w:spacing/>
      <w:ind/>
    </w:pPr>
    <w:tblPr>
      <w:tblStyleRowBandSize w:val="1"/>
      <w:tblStyleColBandSize w:val="1"/>
      <w:tblCellMar>
        <w:left w:w="108" w:type="dxa"/>
        <w:top w:w="0" w:type="dxa"/>
        <w:right w:w="108" w:type="dxa"/>
        <w:bottom w:w="0" w:type="dxa"/>
      </w:tblCellMar>
      <w:tblBorders>
        <w:bottom w:val="single" w:color="5d8ac2" w:sz="4" w:space="0"/>
        <w:insideH w:val="single" w:color="5d8ac2" w:sz="4" w:space="0"/>
        <w:insideV w:val="single" w:color="5d8ac2" w:sz="4" w:space="0"/>
      </w:tblBorders>
    </w:tblPr>
    <w:tcPr>
      <w:tcBorders/>
    </w:tcPr>
    <w:tblStylePr w:type="band1Horz">
      <w:rPr>
        <w:sz w:val="22"/>
      </w:rPr>
      <w:pPr>
        <w:pBdr/>
        <w:spacing/>
        <w:ind/>
      </w:pPr>
      <w:tblPr>
        <w:tblBorders/>
      </w:tblPr>
      <w:tcPr>
        <w:shd w:val="clear" w:color="dae5f1" w:fill="dae5f1"/>
        <w:tcBorders/>
      </w:tcPr>
    </w:tblStylePr>
    <w:tblStylePr w:type="band1Vert">
      <w:rPr>
        <w:sz w:val="22"/>
      </w:rPr>
      <w:pPr>
        <w:pBdr/>
        <w:spacing/>
        <w:ind/>
      </w:pPr>
      <w:tblPr>
        <w:tblBorders/>
      </w:tblPr>
      <w:tcPr>
        <w:shd w:val="clear" w:color="dae5f1" w:fill="dae5f1"/>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59" w:customStyle="1">
    <w:name w:val="Grid Table 3 - Accent 2"/>
    <w:basedOn w:val="2335"/>
    <w:uiPriority w:val="99"/>
    <w:pPr>
      <w:pBdr/>
      <w:spacing/>
      <w:ind/>
    </w:pPr>
    <w:tblPr>
      <w:tblStyleRowBandSize w:val="1"/>
      <w:tblStyleColBandSize w:val="1"/>
      <w:tblCellMar>
        <w:left w:w="108" w:type="dxa"/>
        <w:top w:w="0" w:type="dxa"/>
        <w:right w:w="108" w:type="dxa"/>
        <w:bottom w:w="0" w:type="dxa"/>
      </w:tblCellMar>
      <w:tblBorders>
        <w:bottom w:val="single" w:color="d99695" w:sz="4" w:space="0"/>
        <w:insideH w:val="single" w:color="d99695" w:sz="4" w:space="0"/>
        <w:insideV w:val="single" w:color="d99695" w:sz="4" w:space="0"/>
      </w:tblBorders>
    </w:tblPr>
    <w:tcPr>
      <w:tcBorders/>
    </w:tcPr>
    <w:tblStylePr w:type="band1Horz">
      <w:rPr>
        <w:sz w:val="22"/>
      </w:rPr>
      <w:pPr>
        <w:pBdr/>
        <w:spacing/>
        <w:ind/>
      </w:pPr>
      <w:tblPr>
        <w:tblBorders/>
      </w:tblPr>
      <w:tcPr>
        <w:shd w:val="clear" w:color="f2dcdc" w:fill="f2dcdc"/>
        <w:tcBorders/>
      </w:tcPr>
    </w:tblStylePr>
    <w:tblStylePr w:type="band1Vert">
      <w:rPr>
        <w:sz w:val="22"/>
      </w:rPr>
      <w:pPr>
        <w:pBdr/>
        <w:spacing/>
        <w:ind/>
      </w:pPr>
      <w:tblPr>
        <w:tblBorders/>
      </w:tblPr>
      <w:tcPr>
        <w:shd w:val="clear" w:color="f2dcdc" w:fill="f2dcd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60" w:customStyle="1">
    <w:name w:val="Grid Table 3 - Accent 3"/>
    <w:basedOn w:val="2335"/>
    <w:uiPriority w:val="99"/>
    <w:pPr>
      <w:pBdr/>
      <w:spacing/>
      <w:ind/>
    </w:pPr>
    <w:tblPr>
      <w:tblStyleRowBandSize w:val="1"/>
      <w:tblStyleColBandSize w:val="1"/>
      <w:tblCellMar>
        <w:left w:w="108" w:type="dxa"/>
        <w:top w:w="0" w:type="dxa"/>
        <w:right w:w="108" w:type="dxa"/>
        <w:bottom w:w="0" w:type="dxa"/>
      </w:tblCellMar>
      <w:tblBorders>
        <w:bottom w:val="single" w:color="9abb59" w:sz="4" w:space="0"/>
        <w:insideH w:val="single" w:color="9abb59" w:sz="4" w:space="0"/>
        <w:insideV w:val="single" w:color="9abb59" w:sz="4" w:space="0"/>
      </w:tblBorders>
    </w:tblPr>
    <w:tcPr>
      <w:tcBorders/>
    </w:tcPr>
    <w:tblStylePr w:type="band1Horz">
      <w:rPr>
        <w:sz w:val="22"/>
      </w:rPr>
      <w:pPr>
        <w:pBdr/>
        <w:spacing/>
        <w:ind/>
      </w:pPr>
      <w:tblPr>
        <w:tblBorders/>
      </w:tblPr>
      <w:tcPr>
        <w:shd w:val="clear" w:color="eaf1dc" w:fill="eaf1dc"/>
        <w:tcBorders/>
      </w:tcPr>
    </w:tblStylePr>
    <w:tblStylePr w:type="band1Vert">
      <w:rPr>
        <w:sz w:val="22"/>
      </w:rPr>
      <w:pPr>
        <w:pBdr/>
        <w:spacing/>
        <w:ind/>
      </w:pPr>
      <w:tblPr>
        <w:tblBorders/>
      </w:tblPr>
      <w:tcPr>
        <w:shd w:val="clear" w:color="eaf1dc" w:fill="eaf1d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61" w:customStyle="1">
    <w:name w:val="Grid Table 3 - Accent 4"/>
    <w:basedOn w:val="2335"/>
    <w:uiPriority w:val="99"/>
    <w:pPr>
      <w:pBdr/>
      <w:spacing/>
      <w:ind/>
    </w:pPr>
    <w:tblPr>
      <w:tblStyleRowBandSize w:val="1"/>
      <w:tblStyleColBandSize w:val="1"/>
      <w:tblCellMar>
        <w:left w:w="108" w:type="dxa"/>
        <w:top w:w="0" w:type="dxa"/>
        <w:right w:w="108" w:type="dxa"/>
        <w:bottom w:w="0" w:type="dxa"/>
      </w:tblCellMar>
      <w:tblBorders>
        <w:bottom w:val="single" w:color="b2a1c6" w:sz="4" w:space="0"/>
        <w:insideH w:val="single" w:color="b2a1c6" w:sz="4" w:space="0"/>
        <w:insideV w:val="single" w:color="b2a1c6" w:sz="4" w:space="0"/>
      </w:tblBorders>
    </w:tblPr>
    <w:tcPr>
      <w:tcBorders/>
    </w:tcPr>
    <w:tblStylePr w:type="band1Horz">
      <w:rPr>
        <w:sz w:val="22"/>
      </w:rPr>
      <w:pPr>
        <w:pBdr/>
        <w:spacing/>
        <w:ind/>
      </w:pPr>
      <w:tblPr>
        <w:tblBorders/>
      </w:tblPr>
      <w:tcPr>
        <w:shd w:val="clear" w:color="e5dfec" w:fill="e5dfec"/>
        <w:tcBorders/>
      </w:tcPr>
    </w:tblStylePr>
    <w:tblStylePr w:type="band1Vert">
      <w:rPr>
        <w:sz w:val="22"/>
      </w:rPr>
      <w:pPr>
        <w:pBdr/>
        <w:spacing/>
        <w:ind/>
      </w:pPr>
      <w:tblPr>
        <w:tblBorders/>
      </w:tblPr>
      <w:tcPr>
        <w:shd w:val="clear" w:color="e5dfec" w:fill="e5dfe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62" w:customStyle="1">
    <w:name w:val="Grid Table 3 - Accent 5"/>
    <w:basedOn w:val="2335"/>
    <w:uiPriority w:val="99"/>
    <w:pPr>
      <w:pBdr/>
      <w:spacing/>
      <w:ind/>
    </w:pPr>
    <w:tblPr>
      <w:tblStyleRowBandSize w:val="1"/>
      <w:tblStyleColBandSize w:val="1"/>
      <w:tblCellMar>
        <w:left w:w="108" w:type="dxa"/>
        <w:top w:w="0" w:type="dxa"/>
        <w:right w:w="108" w:type="dxa"/>
        <w:bottom w:w="0" w:type="dxa"/>
      </w:tblCellMar>
      <w:tblBorders>
        <w:bottom w:val="single" w:color="4bacc6" w:sz="4" w:space="0"/>
        <w:insideH w:val="single" w:color="4bacc6" w:sz="4" w:space="0"/>
        <w:insideV w:val="single" w:color="4bacc6" w:sz="4" w:space="0"/>
      </w:tblBorders>
    </w:tblPr>
    <w:tcPr>
      <w:tcBorders/>
    </w:tcPr>
    <w:tblStylePr w:type="band1Horz">
      <w:rPr>
        <w:sz w:val="22"/>
      </w:rPr>
      <w:pPr>
        <w:pBdr/>
        <w:spacing/>
        <w:ind/>
      </w:pPr>
      <w:tblPr>
        <w:tblBorders/>
      </w:tblPr>
      <w:tcPr>
        <w:shd w:val="clear" w:color="daeef3" w:fill="daeef3"/>
        <w:tcBorders/>
      </w:tcPr>
    </w:tblStylePr>
    <w:tblStylePr w:type="band1Vert">
      <w:rPr>
        <w:sz w:val="22"/>
      </w:rPr>
      <w:pPr>
        <w:pBdr/>
        <w:spacing/>
        <w:ind/>
      </w:pPr>
      <w:tblPr>
        <w:tblBorders/>
      </w:tblPr>
      <w:tcPr>
        <w:shd w:val="clear" w:color="daeef3" w:fill="daeef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63" w:customStyle="1">
    <w:name w:val="Grid Table 3 - Accent 6"/>
    <w:basedOn w:val="2335"/>
    <w:uiPriority w:val="99"/>
    <w:pPr>
      <w:pBdr/>
      <w:spacing/>
      <w:ind/>
    </w:pPr>
    <w:tblPr>
      <w:tblStyleRowBandSize w:val="1"/>
      <w:tblStyleColBandSize w:val="1"/>
      <w:tblCellMar>
        <w:left w:w="108" w:type="dxa"/>
        <w:top w:w="0" w:type="dxa"/>
        <w:right w:w="108" w:type="dxa"/>
        <w:bottom w:w="0" w:type="dxa"/>
      </w:tblCellMar>
      <w:tblBorders>
        <w:bottom w:val="single" w:color="f79646" w:sz="4" w:space="0"/>
        <w:insideH w:val="single" w:color="f79646" w:sz="4" w:space="0"/>
        <w:insideV w:val="single" w:color="f79646" w:sz="4" w:space="0"/>
      </w:tblBorders>
    </w:tblPr>
    <w:tcPr>
      <w:tcBorders/>
    </w:tcPr>
    <w:tblStylePr w:type="band1Horz">
      <w:rPr>
        <w:sz w:val="22"/>
      </w:rPr>
      <w:pPr>
        <w:pBdr/>
        <w:spacing/>
        <w:ind/>
      </w:pPr>
      <w:tblPr>
        <w:tblBorders/>
      </w:tblPr>
      <w:tcPr>
        <w:shd w:val="clear" w:color="fde9d8" w:fill="fde9d8"/>
        <w:tcBorders/>
      </w:tcPr>
    </w:tblStylePr>
    <w:tblStylePr w:type="band1Vert">
      <w:rPr>
        <w:sz w:val="22"/>
      </w:rPr>
      <w:pPr>
        <w:pBdr/>
        <w:spacing/>
        <w:ind/>
      </w:pPr>
      <w:tblPr>
        <w:tblBorders/>
      </w:tblPr>
      <w:tcPr>
        <w:shd w:val="clear" w:color="fde9d8" w:fill="fde9d8"/>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64">
    <w:name w:val="Grid Table 4"/>
    <w:basedOn w:val="2335"/>
    <w:uiPriority w:val="59"/>
    <w:pPr>
      <w:pBdr/>
      <w:spacing/>
      <w:ind/>
    </w:pPr>
    <w:tblPr>
      <w:tblStyleRowBandSize w:val="1"/>
      <w:tblStyleColBandSize w:val="1"/>
      <w:tblCellMar>
        <w:left w:w="108" w:type="dxa"/>
        <w:top w:w="0" w:type="dxa"/>
        <w:right w:w="108" w:type="dxa"/>
        <w:bottom w:w="0" w:type="dxa"/>
      </w:tblCellMa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cPr>
      <w:tcBorders/>
    </w:tcPr>
    <w:tblStylePr w:type="band1Horz">
      <w:rPr>
        <w:sz w:val="22"/>
      </w:rPr>
      <w:pPr>
        <w:pBdr/>
        <w:spacing/>
        <w:ind/>
      </w:pPr>
      <w:tblPr>
        <w:tblBorders/>
      </w:tblPr>
      <w:tcPr>
        <w:shd w:val="clear" w:color="cbcbcb" w:fill="cbcbcb"/>
        <w:tcBorders/>
      </w:tcPr>
    </w:tblStylePr>
    <w:tblStylePr w:type="band1Vert">
      <w:rPr>
        <w:sz w:val="22"/>
      </w:rPr>
      <w:pPr>
        <w:pBdr/>
        <w:spacing/>
        <w:ind/>
      </w:pPr>
      <w:tblPr>
        <w:tblBorders/>
      </w:tblPr>
      <w:tcPr>
        <w:shd w:val="clear" w:color="cbcbcb" w:fill="cbcbcb"/>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65" w:customStyle="1">
    <w:name w:val="Grid Table 4 - Accent 1"/>
    <w:basedOn w:val="2335"/>
    <w:uiPriority w:val="59"/>
    <w:pPr>
      <w:pBdr/>
      <w:spacing/>
      <w:ind/>
    </w:pPr>
    <w:tblPr>
      <w:tblStyleRowBandSize w:val="1"/>
      <w:tblStyleColBandSize w:val="1"/>
      <w:tblCellMar>
        <w:left w:w="108" w:type="dxa"/>
        <w:top w:w="0" w:type="dxa"/>
        <w:right w:w="108" w:type="dxa"/>
        <w:bottom w:w="0" w:type="dxa"/>
      </w:tblCellMa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cPr>
      <w:tcBorders/>
    </w:tcPr>
    <w:tblStylePr w:type="band1Horz">
      <w:rPr>
        <w:sz w:val="22"/>
      </w:rPr>
      <w:pPr>
        <w:pBdr/>
        <w:spacing/>
        <w:ind/>
      </w:pPr>
      <w:tblPr>
        <w:tblBorders/>
      </w:tblPr>
      <w:tcPr>
        <w:shd w:val="clear" w:color="dce6f2" w:fill="dce6f2"/>
        <w:tcBorders/>
      </w:tcPr>
    </w:tblStylePr>
    <w:tblStylePr w:type="band1Vert">
      <w:rPr>
        <w:sz w:val="22"/>
      </w:rPr>
      <w:pPr>
        <w:pBdr/>
        <w:spacing/>
        <w:ind/>
      </w:pPr>
      <w:tblPr>
        <w:tblBorders/>
      </w:tblPr>
      <w:tcPr>
        <w:shd w:val="clear" w:color="dce6f2" w:fill="dce6f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5d8ac2"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66" w:customStyle="1">
    <w:name w:val="Grid Table 4 - Accent 2"/>
    <w:basedOn w:val="2335"/>
    <w:uiPriority w:val="59"/>
    <w:pPr>
      <w:pBdr/>
      <w:spacing/>
      <w:ind/>
    </w:pPr>
    <w:tblPr>
      <w:tblStyleRowBandSize w:val="1"/>
      <w:tblStyleColBandSize w:val="1"/>
      <w:tblCellMar>
        <w:left w:w="108" w:type="dxa"/>
        <w:top w:w="0" w:type="dxa"/>
        <w:right w:w="108" w:type="dxa"/>
        <w:bottom w:w="0" w:type="dxa"/>
      </w:tblCellMa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cPr>
      <w:tcBorders/>
    </w:tcPr>
    <w:tblStylePr w:type="band1Horz">
      <w:rPr>
        <w:sz w:val="22"/>
      </w:rPr>
      <w:pPr>
        <w:pBdr/>
        <w:spacing/>
        <w:ind/>
      </w:pPr>
      <w:tblPr>
        <w:tblBorders/>
      </w:tblPr>
      <w:tcPr>
        <w:shd w:val="clear" w:color="f2dcdc" w:fill="f2dcdc"/>
        <w:tcBorders/>
      </w:tcPr>
    </w:tblStylePr>
    <w:tblStylePr w:type="band1Vert">
      <w:rPr>
        <w:sz w:val="22"/>
      </w:rPr>
      <w:pPr>
        <w:pBdr/>
        <w:spacing/>
        <w:ind/>
      </w:pPr>
      <w:tblPr>
        <w:tblBorders/>
      </w:tblPr>
      <w:tcPr>
        <w:shd w:val="clear" w:color="f2dcdc" w:fill="f2dcd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d9969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67" w:customStyle="1">
    <w:name w:val="Grid Table 4 - Accent 3"/>
    <w:basedOn w:val="2335"/>
    <w:uiPriority w:val="59"/>
    <w:pPr>
      <w:pBdr/>
      <w:spacing/>
      <w:ind/>
    </w:pPr>
    <w:tblPr>
      <w:tblStyleRowBandSize w:val="1"/>
      <w:tblStyleColBandSize w:val="1"/>
      <w:tblCellMar>
        <w:left w:w="108" w:type="dxa"/>
        <w:top w:w="0" w:type="dxa"/>
        <w:right w:w="108" w:type="dxa"/>
        <w:bottom w:w="0" w:type="dxa"/>
      </w:tblCellMa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cPr>
      <w:tcBorders/>
    </w:tcPr>
    <w:tblStylePr w:type="band1Horz">
      <w:rPr>
        <w:sz w:val="22"/>
      </w:rPr>
      <w:pPr>
        <w:pBdr/>
        <w:spacing/>
        <w:ind/>
      </w:pPr>
      <w:tblPr>
        <w:tblBorders/>
      </w:tblPr>
      <w:tcPr>
        <w:shd w:val="clear" w:color="eaf1dc" w:fill="eaf1dc"/>
        <w:tcBorders/>
      </w:tcPr>
    </w:tblStylePr>
    <w:tblStylePr w:type="band1Vert">
      <w:rPr>
        <w:sz w:val="22"/>
      </w:rPr>
      <w:pPr>
        <w:pBdr/>
        <w:spacing/>
        <w:ind/>
      </w:pPr>
      <w:tblPr>
        <w:tblBorders/>
      </w:tblPr>
      <w:tcPr>
        <w:shd w:val="clear" w:color="eaf1dc" w:fill="eaf1d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9abb5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68" w:customStyle="1">
    <w:name w:val="Grid Table 4 - Accent 4"/>
    <w:basedOn w:val="2335"/>
    <w:uiPriority w:val="59"/>
    <w:pPr>
      <w:pBdr/>
      <w:spacing/>
      <w:ind/>
    </w:pPr>
    <w:tblPr>
      <w:tblStyleRowBandSize w:val="1"/>
      <w:tblStyleColBandSize w:val="1"/>
      <w:tblCellMar>
        <w:left w:w="108" w:type="dxa"/>
        <w:top w:w="0" w:type="dxa"/>
        <w:right w:w="108" w:type="dxa"/>
        <w:bottom w:w="0" w:type="dxa"/>
      </w:tblCellMa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cPr>
      <w:tcBorders/>
    </w:tcPr>
    <w:tblStylePr w:type="band1Horz">
      <w:rPr>
        <w:sz w:val="22"/>
      </w:rPr>
      <w:pPr>
        <w:pBdr/>
        <w:spacing/>
        <w:ind/>
      </w:pPr>
      <w:tblPr>
        <w:tblBorders/>
      </w:tblPr>
      <w:tcPr>
        <w:shd w:val="clear" w:color="e5dfec" w:fill="e5dfec"/>
        <w:tcBorders/>
      </w:tcPr>
    </w:tblStylePr>
    <w:tblStylePr w:type="band1Vert">
      <w:rPr>
        <w:sz w:val="22"/>
      </w:rPr>
      <w:pPr>
        <w:pBdr/>
        <w:spacing/>
        <w:ind/>
      </w:pPr>
      <w:tblPr>
        <w:tblBorders/>
      </w:tblPr>
      <w:tcPr>
        <w:shd w:val="clear" w:color="e5dfec" w:fill="e5dfe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b2a1c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69" w:customStyle="1">
    <w:name w:val="Grid Table 4 - Accent 5"/>
    <w:basedOn w:val="2335"/>
    <w:uiPriority w:val="59"/>
    <w:pPr>
      <w:pBdr/>
      <w:spacing/>
      <w:ind/>
    </w:pPr>
    <w:tblPr>
      <w:tblStyleRowBandSize w:val="1"/>
      <w:tblStyleColBandSize w:val="1"/>
      <w:tblCellMar>
        <w:left w:w="108" w:type="dxa"/>
        <w:top w:w="0" w:type="dxa"/>
        <w:right w:w="108" w:type="dxa"/>
        <w:bottom w:w="0" w:type="dxa"/>
      </w:tblCellMa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cPr>
      <w:tcBorders/>
    </w:tcPr>
    <w:tblStylePr w:type="band1Horz">
      <w:rPr>
        <w:sz w:val="22"/>
      </w:rPr>
      <w:pPr>
        <w:pBdr/>
        <w:spacing/>
        <w:ind/>
      </w:pPr>
      <w:tblPr>
        <w:tblBorders/>
      </w:tblPr>
      <w:tcPr>
        <w:shd w:val="clear" w:color="daeef3" w:fill="daeef3"/>
        <w:tcBorders/>
      </w:tcPr>
    </w:tblStylePr>
    <w:tblStylePr w:type="band1Vert">
      <w:rPr>
        <w:sz w:val="22"/>
      </w:rPr>
      <w:pPr>
        <w:pBdr/>
        <w:spacing/>
        <w:ind/>
      </w:pPr>
      <w:tblPr>
        <w:tblBorders/>
      </w:tblPr>
      <w:tcPr>
        <w:shd w:val="clear" w:color="daeef3" w:fill="daeef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4bacc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70" w:customStyle="1">
    <w:name w:val="Grid Table 4 - Accent 6"/>
    <w:basedOn w:val="2335"/>
    <w:uiPriority w:val="59"/>
    <w:pPr>
      <w:pBdr/>
      <w:spacing/>
      <w:ind/>
    </w:pPr>
    <w:tblPr>
      <w:tblStyleRowBandSize w:val="1"/>
      <w:tblStyleColBandSize w:val="1"/>
      <w:tblCellMar>
        <w:left w:w="108" w:type="dxa"/>
        <w:top w:w="0" w:type="dxa"/>
        <w:right w:w="108" w:type="dxa"/>
        <w:bottom w:w="0" w:type="dxa"/>
      </w:tblCellMa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cPr>
      <w:tcBorders/>
    </w:tcPr>
    <w:tblStylePr w:type="band1Horz">
      <w:rPr>
        <w:sz w:val="22"/>
      </w:rPr>
      <w:pPr>
        <w:pBdr/>
        <w:spacing/>
        <w:ind/>
      </w:pPr>
      <w:tblPr>
        <w:tblBorders/>
      </w:tblPr>
      <w:tcPr>
        <w:shd w:val="clear" w:color="fde9d8" w:fill="fde9d8"/>
        <w:tcBorders/>
      </w:tcPr>
    </w:tblStylePr>
    <w:tblStylePr w:type="band1Vert">
      <w:rPr>
        <w:sz w:val="22"/>
      </w:rPr>
      <w:pPr>
        <w:pBdr/>
        <w:spacing/>
        <w:ind/>
      </w:pPr>
      <w:tblPr>
        <w:tblBorders/>
      </w:tblPr>
      <w:tcPr>
        <w:shd w:val="clear" w:color="fde9d8" w:fill="fde9d8"/>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f7964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71">
    <w:name w:val="Grid Table 5 Dark"/>
    <w:basedOn w:val="2335"/>
    <w:uiPriority w:val="99"/>
    <w:pPr>
      <w:pBdr/>
      <w:spacing/>
      <w:ind/>
    </w:pPr>
    <w:tblPr>
      <w:tblStyleRowBandSize w:val="1"/>
      <w:tblStyleColBandSize w:val="1"/>
      <w:tblCellMar>
        <w:left w:w="108" w:type="dxa"/>
        <w:top w:w="0" w:type="dxa"/>
        <w:right w:w="108" w:type="dxa"/>
        <w:bottom w:w="0" w:type="dxa"/>
      </w:tblCellMa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tcBorders/>
    </w:tcPr>
    <w:tblStylePr w:type="band1Horz">
      <w:pPr>
        <w:pBdr/>
        <w:spacing/>
        <w:ind/>
      </w:pPr>
      <w:tblPr>
        <w:tblBorders/>
      </w:tblPr>
      <w:tcPr>
        <w:shd w:val="clear" w:color="8a8a8a" w:fill="8a8a8a"/>
        <w:tcBorders/>
      </w:tcPr>
    </w:tblStylePr>
    <w:tblStylePr w:type="band1Vert">
      <w:pPr>
        <w:pBdr/>
        <w:spacing/>
        <w:ind/>
      </w:pPr>
      <w:tblPr>
        <w:tblBorders/>
      </w:tblPr>
      <w:tcPr>
        <w:shd w:val="clear" w:color="8a8a8a" w:fill="8a8a8a"/>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shd w:val="clear" w:color="000000" w:fill="000000"/>
        <w:tcBorders/>
      </w:tcPr>
    </w:tblStylePr>
    <w:tblStylePr w:type="firstRow">
      <w:rPr>
        <w:b/>
        <w:sz w:val="22"/>
      </w:rPr>
      <w:pPr>
        <w:pBdr/>
        <w:spacing/>
        <w:ind/>
      </w:pPr>
      <w:tblPr>
        <w:tblBorders/>
      </w:tblPr>
      <w:tcPr>
        <w:shd w:val="clear" w:color="000000" w:fill="000000"/>
        <w:tcBorders/>
      </w:tcPr>
    </w:tblStylePr>
    <w:tblStylePr w:type="lastCol">
      <w:rPr>
        <w:b/>
        <w:sz w:val="22"/>
      </w:rPr>
      <w:pPr>
        <w:pBdr/>
        <w:spacing/>
        <w:ind/>
      </w:pPr>
      <w:tblPr>
        <w:tblBorders/>
      </w:tblPr>
      <w:tcPr>
        <w:shd w:val="clear" w:color="000000" w:fill="000000"/>
        <w:tcBorders/>
      </w:tcPr>
    </w:tblStylePr>
    <w:tblStylePr w:type="lastRow">
      <w:rPr>
        <w:b/>
        <w:sz w:val="22"/>
      </w:rPr>
      <w:pPr>
        <w:pBdr/>
        <w:spacing/>
        <w:ind/>
      </w:pPr>
      <w:tblPr>
        <w:tblBorders/>
      </w:tblPr>
      <w:tcPr>
        <w:shd w:val="clear" w:color="000000" w:fill="000000"/>
        <w:tcBorders>
          <w:top w:val="single" w:color="fffff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72" w:customStyle="1">
    <w:name w:val="Grid Table 5 Dark- Accent 1"/>
    <w:basedOn w:val="2335"/>
    <w:uiPriority w:val="99"/>
    <w:pPr>
      <w:pBdr/>
      <w:spacing/>
      <w:ind/>
    </w:pPr>
    <w:tblPr>
      <w:tblStyleRowBandSize w:val="1"/>
      <w:tblStyleColBandSize w:val="1"/>
      <w:tblCellMar>
        <w:left w:w="108" w:type="dxa"/>
        <w:top w:w="0" w:type="dxa"/>
        <w:right w:w="108" w:type="dxa"/>
        <w:bottom w:w="0" w:type="dxa"/>
      </w:tblCellMa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tcBorders/>
    </w:tcPr>
    <w:tblStylePr w:type="band1Horz">
      <w:pPr>
        <w:pBdr/>
        <w:spacing/>
        <w:ind/>
      </w:pPr>
      <w:tblPr>
        <w:tblBorders/>
      </w:tblPr>
      <w:tcPr>
        <w:shd w:val="clear" w:color="aec4e0" w:fill="aec4e0"/>
        <w:tcBorders/>
      </w:tcPr>
    </w:tblStylePr>
    <w:tblStylePr w:type="band1Vert">
      <w:pPr>
        <w:pBdr/>
        <w:spacing/>
        <w:ind/>
      </w:pPr>
      <w:tblPr>
        <w:tblBorders/>
      </w:tblPr>
      <w:tcPr>
        <w:shd w:val="clear" w:color="aec4e0" w:fill="aec4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shd w:val="clear" w:color="4f81bd" w:fill="4f81bd"/>
        <w:tcBorders/>
      </w:tcPr>
    </w:tblStylePr>
    <w:tblStylePr w:type="firstRow">
      <w:rPr>
        <w:b/>
        <w:sz w:val="22"/>
      </w:rPr>
      <w:pPr>
        <w:pBdr/>
        <w:spacing/>
        <w:ind/>
      </w:pPr>
      <w:tblPr>
        <w:tblBorders/>
      </w:tblPr>
      <w:tcPr>
        <w:shd w:val="clear" w:color="4f81bd" w:fill="4f81bd"/>
        <w:tcBorders/>
      </w:tcPr>
    </w:tblStylePr>
    <w:tblStylePr w:type="lastCol">
      <w:rPr>
        <w:b/>
        <w:sz w:val="22"/>
      </w:rPr>
      <w:pPr>
        <w:pBdr/>
        <w:spacing/>
        <w:ind/>
      </w:pPr>
      <w:tblPr>
        <w:tblBorders/>
      </w:tblPr>
      <w:tcPr>
        <w:shd w:val="clear" w:color="4f81bd" w:fill="4f81bd"/>
        <w:tcBorders/>
      </w:tcPr>
    </w:tblStylePr>
    <w:tblStylePr w:type="lastRow">
      <w:rPr>
        <w:b/>
        <w:sz w:val="22"/>
      </w:rPr>
      <w:pPr>
        <w:pBdr/>
        <w:spacing/>
        <w:ind/>
      </w:pPr>
      <w:tblPr>
        <w:tblBorders/>
      </w:tblPr>
      <w:tcPr>
        <w:shd w:val="clear" w:color="4f81bd" w:fill="4f81bd"/>
        <w:tcBorders>
          <w:top w:val="single" w:color="fffff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73" w:customStyle="1">
    <w:name w:val="Grid Table 5 Dark - Accent 2"/>
    <w:basedOn w:val="2335"/>
    <w:uiPriority w:val="99"/>
    <w:pPr>
      <w:pBdr/>
      <w:spacing/>
      <w:ind/>
    </w:pPr>
    <w:tblPr>
      <w:tblStyleRowBandSize w:val="1"/>
      <w:tblStyleColBandSize w:val="1"/>
      <w:tblCellMar>
        <w:left w:w="108" w:type="dxa"/>
        <w:top w:w="0" w:type="dxa"/>
        <w:right w:w="108" w:type="dxa"/>
        <w:bottom w:w="0" w:type="dxa"/>
      </w:tblCellMa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tcBorders/>
    </w:tcPr>
    <w:tblStylePr w:type="band1Horz">
      <w:pPr>
        <w:pBdr/>
        <w:spacing/>
        <w:ind/>
      </w:pPr>
      <w:tblPr>
        <w:tblBorders/>
      </w:tblPr>
      <w:tcPr>
        <w:shd w:val="clear" w:color="e2aead" w:fill="e2aead"/>
        <w:tcBorders/>
      </w:tcPr>
    </w:tblStylePr>
    <w:tblStylePr w:type="band1Vert">
      <w:pPr>
        <w:pBdr/>
        <w:spacing/>
        <w:ind/>
      </w:pPr>
      <w:tblPr>
        <w:tblBorders/>
      </w:tblPr>
      <w:tcPr>
        <w:shd w:val="clear" w:color="e2aead" w:fill="e2aea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shd w:val="clear" w:color="c0504d" w:fill="c0504d"/>
        <w:tcBorders/>
      </w:tcPr>
    </w:tblStylePr>
    <w:tblStylePr w:type="firstRow">
      <w:rPr>
        <w:b/>
        <w:sz w:val="22"/>
      </w:rPr>
      <w:pPr>
        <w:pBdr/>
        <w:spacing/>
        <w:ind/>
      </w:pPr>
      <w:tblPr>
        <w:tblBorders/>
      </w:tblPr>
      <w:tcPr>
        <w:shd w:val="clear" w:color="c0504d" w:fill="c0504d"/>
        <w:tcBorders/>
      </w:tcPr>
    </w:tblStylePr>
    <w:tblStylePr w:type="lastCol">
      <w:rPr>
        <w:b/>
        <w:sz w:val="22"/>
      </w:rPr>
      <w:pPr>
        <w:pBdr/>
        <w:spacing/>
        <w:ind/>
      </w:pPr>
      <w:tblPr>
        <w:tblBorders/>
      </w:tblPr>
      <w:tcPr>
        <w:shd w:val="clear" w:color="c0504d" w:fill="c0504d"/>
        <w:tcBorders/>
      </w:tcPr>
    </w:tblStylePr>
    <w:tblStylePr w:type="lastRow">
      <w:rPr>
        <w:b/>
        <w:sz w:val="22"/>
      </w:rPr>
      <w:pPr>
        <w:pBdr/>
        <w:spacing/>
        <w:ind/>
      </w:pPr>
      <w:tblPr>
        <w:tblBorders/>
      </w:tblPr>
      <w:tcPr>
        <w:shd w:val="clear" w:color="c0504d" w:fill="c0504d"/>
        <w:tcBorders>
          <w:top w:val="single" w:color="fffff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74" w:customStyle="1">
    <w:name w:val="Grid Table 5 Dark - Accent 3"/>
    <w:basedOn w:val="2335"/>
    <w:uiPriority w:val="99"/>
    <w:pPr>
      <w:pBdr/>
      <w:spacing/>
      <w:ind/>
    </w:pPr>
    <w:tblPr>
      <w:tblStyleRowBandSize w:val="1"/>
      <w:tblStyleColBandSize w:val="1"/>
      <w:tblCellMar>
        <w:left w:w="108" w:type="dxa"/>
        <w:top w:w="0" w:type="dxa"/>
        <w:right w:w="108" w:type="dxa"/>
        <w:bottom w:w="0" w:type="dxa"/>
      </w:tblCellMa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tcBorders/>
    </w:tcPr>
    <w:tblStylePr w:type="band1Horz">
      <w:pPr>
        <w:pBdr/>
        <w:spacing/>
        <w:ind/>
      </w:pPr>
      <w:tblPr>
        <w:tblBorders/>
      </w:tblPr>
      <w:tcPr>
        <w:shd w:val="clear" w:color="d0dfb2" w:fill="d0dfb2"/>
        <w:tcBorders/>
      </w:tcPr>
    </w:tblStylePr>
    <w:tblStylePr w:type="band1Vert">
      <w:pPr>
        <w:pBdr/>
        <w:spacing/>
        <w:ind/>
      </w:pPr>
      <w:tblPr>
        <w:tblBorders/>
      </w:tblPr>
      <w:tcPr>
        <w:shd w:val="clear" w:color="d0dfb2" w:fill="d0dfb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shd w:val="clear" w:color="9bbb59" w:fill="9bbb59"/>
        <w:tcBorders/>
      </w:tcPr>
    </w:tblStylePr>
    <w:tblStylePr w:type="firstRow">
      <w:rPr>
        <w:b/>
        <w:sz w:val="22"/>
      </w:rPr>
      <w:pPr>
        <w:pBdr/>
        <w:spacing/>
        <w:ind/>
      </w:pPr>
      <w:tblPr>
        <w:tblBorders/>
      </w:tblPr>
      <w:tcPr>
        <w:shd w:val="clear" w:color="9bbb59" w:fill="9bbb59"/>
        <w:tcBorders/>
      </w:tcPr>
    </w:tblStylePr>
    <w:tblStylePr w:type="lastCol">
      <w:rPr>
        <w:b/>
        <w:sz w:val="22"/>
      </w:rPr>
      <w:pPr>
        <w:pBdr/>
        <w:spacing/>
        <w:ind/>
      </w:pPr>
      <w:tblPr>
        <w:tblBorders/>
      </w:tblPr>
      <w:tcPr>
        <w:shd w:val="clear" w:color="9bbb59" w:fill="9bbb59"/>
        <w:tcBorders/>
      </w:tcPr>
    </w:tblStylePr>
    <w:tblStylePr w:type="lastRow">
      <w:rPr>
        <w:b/>
        <w:sz w:val="22"/>
      </w:rPr>
      <w:pPr>
        <w:pBdr/>
        <w:spacing/>
        <w:ind/>
      </w:pPr>
      <w:tblPr>
        <w:tblBorders/>
      </w:tblPr>
      <w:tcPr>
        <w:shd w:val="clear" w:color="9bbb59" w:fill="9bbb59"/>
        <w:tcBorders>
          <w:top w:val="single" w:color="fffff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75" w:customStyle="1">
    <w:name w:val="Grid Table 5 Dark- Accent 4"/>
    <w:basedOn w:val="2335"/>
    <w:uiPriority w:val="99"/>
    <w:pPr>
      <w:pBdr/>
      <w:spacing/>
      <w:ind/>
    </w:pPr>
    <w:tblPr>
      <w:tblStyleRowBandSize w:val="1"/>
      <w:tblStyleColBandSize w:val="1"/>
      <w:tblCellMar>
        <w:left w:w="108" w:type="dxa"/>
        <w:top w:w="0" w:type="dxa"/>
        <w:right w:w="108" w:type="dxa"/>
        <w:bottom w:w="0" w:type="dxa"/>
      </w:tblCellMa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tcBorders/>
    </w:tcPr>
    <w:tblStylePr w:type="band1Horz">
      <w:pPr>
        <w:pBdr/>
        <w:spacing/>
        <w:ind/>
      </w:pPr>
      <w:tblPr>
        <w:tblBorders/>
      </w:tblPr>
      <w:tcPr>
        <w:shd w:val="clear" w:color="c4b7d4" w:fill="c4b7d4"/>
        <w:tcBorders/>
      </w:tcPr>
    </w:tblStylePr>
    <w:tblStylePr w:type="band1Vert">
      <w:pPr>
        <w:pBdr/>
        <w:spacing/>
        <w:ind/>
      </w:pPr>
      <w:tblPr>
        <w:tblBorders/>
      </w:tblPr>
      <w:tcPr>
        <w:shd w:val="clear" w:color="c4b7d4" w:fill="c4b7d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shd w:val="clear" w:color="8064a2" w:fill="8064a2"/>
        <w:tcBorders/>
      </w:tcPr>
    </w:tblStylePr>
    <w:tblStylePr w:type="firstRow">
      <w:rPr>
        <w:b/>
        <w:sz w:val="22"/>
      </w:rPr>
      <w:pPr>
        <w:pBdr/>
        <w:spacing/>
        <w:ind/>
      </w:pPr>
      <w:tblPr>
        <w:tblBorders/>
      </w:tblPr>
      <w:tcPr>
        <w:shd w:val="clear" w:color="8064a2" w:fill="8064a2"/>
        <w:tcBorders/>
      </w:tcPr>
    </w:tblStylePr>
    <w:tblStylePr w:type="lastCol">
      <w:rPr>
        <w:b/>
        <w:sz w:val="22"/>
      </w:rPr>
      <w:pPr>
        <w:pBdr/>
        <w:spacing/>
        <w:ind/>
      </w:pPr>
      <w:tblPr>
        <w:tblBorders/>
      </w:tblPr>
      <w:tcPr>
        <w:shd w:val="clear" w:color="8064a2" w:fill="8064a2"/>
        <w:tcBorders/>
      </w:tcPr>
    </w:tblStylePr>
    <w:tblStylePr w:type="lastRow">
      <w:rPr>
        <w:b/>
        <w:sz w:val="22"/>
      </w:rPr>
      <w:pPr>
        <w:pBdr/>
        <w:spacing/>
        <w:ind/>
      </w:pPr>
      <w:tblPr>
        <w:tblBorders/>
      </w:tblPr>
      <w:tcPr>
        <w:shd w:val="clear" w:color="8064a2" w:fill="8064a2"/>
        <w:tcBorders>
          <w:top w:val="single" w:color="fffff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76" w:customStyle="1">
    <w:name w:val="Grid Table 5 Dark - Accent 5"/>
    <w:basedOn w:val="2335"/>
    <w:uiPriority w:val="99"/>
    <w:pPr>
      <w:pBdr/>
      <w:spacing/>
      <w:ind/>
    </w:pPr>
    <w:tblPr>
      <w:tblStyleRowBandSize w:val="1"/>
      <w:tblStyleColBandSize w:val="1"/>
      <w:tblCellMar>
        <w:left w:w="108" w:type="dxa"/>
        <w:top w:w="0" w:type="dxa"/>
        <w:right w:w="108" w:type="dxa"/>
        <w:bottom w:w="0" w:type="dxa"/>
      </w:tblCellMa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tcBorders/>
    </w:tcPr>
    <w:tblStylePr w:type="band1Horz">
      <w:pPr>
        <w:pBdr/>
        <w:spacing/>
        <w:ind/>
      </w:pPr>
      <w:tblPr>
        <w:tblBorders/>
      </w:tblPr>
      <w:tcPr>
        <w:shd w:val="clear" w:color="acd8e4" w:fill="acd8e4"/>
        <w:tcBorders/>
      </w:tcPr>
    </w:tblStylePr>
    <w:tblStylePr w:type="band1Vert">
      <w:pPr>
        <w:pBdr/>
        <w:spacing/>
        <w:ind/>
      </w:pPr>
      <w:tblPr>
        <w:tblBorders/>
      </w:tblPr>
      <w:tcPr>
        <w:shd w:val="clear" w:color="acd8e4" w:fill="acd8e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shd w:val="clear" w:color="4bacc6" w:fill="4bacc6"/>
        <w:tcBorders/>
      </w:tcPr>
    </w:tblStylePr>
    <w:tblStylePr w:type="firstRow">
      <w:rPr>
        <w:b/>
        <w:sz w:val="22"/>
      </w:rPr>
      <w:pPr>
        <w:pBdr/>
        <w:spacing/>
        <w:ind/>
      </w:pPr>
      <w:tblPr>
        <w:tblBorders/>
      </w:tblPr>
      <w:tcPr>
        <w:shd w:val="clear" w:color="4bacc6" w:fill="4bacc6"/>
        <w:tcBorders/>
      </w:tcPr>
    </w:tblStylePr>
    <w:tblStylePr w:type="lastCol">
      <w:rPr>
        <w:b/>
        <w:sz w:val="22"/>
      </w:rPr>
      <w:pPr>
        <w:pBdr/>
        <w:spacing/>
        <w:ind/>
      </w:pPr>
      <w:tblPr>
        <w:tblBorders/>
      </w:tblPr>
      <w:tcPr>
        <w:shd w:val="clear" w:color="4bacc6" w:fill="4bacc6"/>
        <w:tcBorders/>
      </w:tcPr>
    </w:tblStylePr>
    <w:tblStylePr w:type="lastRow">
      <w:rPr>
        <w:b/>
        <w:sz w:val="22"/>
      </w:rPr>
      <w:pPr>
        <w:pBdr/>
        <w:spacing/>
        <w:ind/>
      </w:pPr>
      <w:tblPr>
        <w:tblBorders/>
      </w:tblPr>
      <w:tcPr>
        <w:shd w:val="clear" w:color="4bacc6" w:fill="4bacc6"/>
        <w:tcBorders>
          <w:top w:val="single" w:color="fffff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77" w:customStyle="1">
    <w:name w:val="Grid Table 5 Dark - Accent 6"/>
    <w:basedOn w:val="2335"/>
    <w:uiPriority w:val="99"/>
    <w:pPr>
      <w:pBdr/>
      <w:spacing/>
      <w:ind/>
    </w:pPr>
    <w:tblPr>
      <w:tblStyleRowBandSize w:val="1"/>
      <w:tblStyleColBandSize w:val="1"/>
      <w:tblCellMar>
        <w:left w:w="108" w:type="dxa"/>
        <w:top w:w="0" w:type="dxa"/>
        <w:right w:w="108" w:type="dxa"/>
        <w:bottom w:w="0" w:type="dxa"/>
      </w:tblCellMa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tcBorders/>
    </w:tcPr>
    <w:tblStylePr w:type="band1Horz">
      <w:pPr>
        <w:pBdr/>
        <w:spacing/>
        <w:ind/>
      </w:pPr>
      <w:tblPr>
        <w:tblBorders/>
      </w:tblPr>
      <w:tcPr>
        <w:shd w:val="clear" w:color="fbceaa" w:fill="fbceaa"/>
        <w:tcBorders/>
      </w:tcPr>
    </w:tblStylePr>
    <w:tblStylePr w:type="band1Vert">
      <w:pPr>
        <w:pBdr/>
        <w:spacing/>
        <w:ind/>
      </w:pPr>
      <w:tblPr>
        <w:tblBorders/>
      </w:tblPr>
      <w:tcPr>
        <w:shd w:val="clear" w:color="fbceaa" w:fill="fbceaa"/>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shd w:val="clear" w:color="f79646" w:fill="f79646"/>
        <w:tcBorders/>
      </w:tcPr>
    </w:tblStylePr>
    <w:tblStylePr w:type="firstRow">
      <w:rPr>
        <w:b/>
        <w:sz w:val="22"/>
      </w:rPr>
      <w:pPr>
        <w:pBdr/>
        <w:spacing/>
        <w:ind/>
      </w:pPr>
      <w:tblPr>
        <w:tblBorders/>
      </w:tblPr>
      <w:tcPr>
        <w:shd w:val="clear" w:color="f79646" w:fill="f79646"/>
        <w:tcBorders/>
      </w:tcPr>
    </w:tblStylePr>
    <w:tblStylePr w:type="lastCol">
      <w:rPr>
        <w:b/>
        <w:sz w:val="22"/>
      </w:rPr>
      <w:pPr>
        <w:pBdr/>
        <w:spacing/>
        <w:ind/>
      </w:pPr>
      <w:tblPr>
        <w:tblBorders/>
      </w:tblPr>
      <w:tcPr>
        <w:shd w:val="clear" w:color="f79646" w:fill="f79646"/>
        <w:tcBorders/>
      </w:tcPr>
    </w:tblStylePr>
    <w:tblStylePr w:type="lastRow">
      <w:rPr>
        <w:b/>
        <w:sz w:val="22"/>
      </w:rPr>
      <w:pPr>
        <w:pBdr/>
        <w:spacing/>
        <w:ind/>
      </w:pPr>
      <w:tblPr>
        <w:tblBorders/>
      </w:tblPr>
      <w:tcPr>
        <w:shd w:val="clear" w:color="f79646" w:fill="f79646"/>
        <w:tcBorders>
          <w:top w:val="single" w:color="fffff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78">
    <w:name w:val="Grid Table 6 Colorful"/>
    <w:basedOn w:val="2335"/>
    <w:uiPriority w:val="99"/>
    <w:pPr>
      <w:pBdr/>
      <w:spacing/>
      <w:ind/>
    </w:pPr>
    <w:tblPr>
      <w:tblStyleRowBandSize w:val="1"/>
      <w:tblStyleColBandSize w:val="1"/>
      <w:tblCellMar>
        <w:left w:w="108" w:type="dxa"/>
        <w:top w:w="0" w:type="dxa"/>
        <w:right w:w="108" w:type="dxa"/>
        <w:bottom w:w="0" w:type="dxa"/>
      </w:tblCellMa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cPr>
      <w:tcBorders/>
    </w:tcPr>
    <w:tblStylePr w:type="band1Horz">
      <w:rPr>
        <w:sz w:val="22"/>
      </w:rPr>
      <w:pPr>
        <w:pBdr/>
        <w:spacing/>
        <w:ind/>
      </w:pPr>
      <w:tblPr>
        <w:tblBorders/>
      </w:tblPr>
      <w:tcPr>
        <w:shd w:val="clear" w:color="cbcbcb" w:fill="cbcbcb"/>
        <w:tcBorders/>
      </w:tcPr>
    </w:tblStylePr>
    <w:tblStylePr w:type="band1Vert">
      <w:pPr>
        <w:pBdr/>
        <w:spacing/>
        <w:ind/>
      </w:pPr>
      <w:tblPr>
        <w:tblBorders/>
      </w:tblPr>
      <w:tcPr>
        <w:shd w:val="clear" w:color="cbcbcb" w:fill="cbcbcb"/>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7f7f7f"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79" w:customStyle="1">
    <w:name w:val="Grid Table 6 Colorful - Accent 1"/>
    <w:basedOn w:val="2335"/>
    <w:uiPriority w:val="99"/>
    <w:pPr>
      <w:pBdr/>
      <w:spacing/>
      <w:ind/>
    </w:pPr>
    <w:tblPr>
      <w:tblStyleRowBandSize w:val="1"/>
      <w:tblStyleColBandSize w:val="1"/>
      <w:tblCellMar>
        <w:left w:w="108" w:type="dxa"/>
        <w:top w:w="0" w:type="dxa"/>
        <w:right w:w="108" w:type="dxa"/>
        <w:bottom w:w="0" w:type="dxa"/>
      </w:tblCellMa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cPr>
      <w:tcBorders/>
    </w:tcPr>
    <w:tblStylePr w:type="band1Horz">
      <w:rPr>
        <w:sz w:val="22"/>
      </w:rPr>
      <w:pPr>
        <w:pBdr/>
        <w:spacing/>
        <w:ind/>
      </w:pPr>
      <w:tblPr>
        <w:tblBorders/>
      </w:tblPr>
      <w:tcPr>
        <w:shd w:val="clear" w:color="dae5f1" w:fill="dae5f1"/>
        <w:tcBorders/>
      </w:tcPr>
    </w:tblStylePr>
    <w:tblStylePr w:type="band1Vert">
      <w:pPr>
        <w:pBdr/>
        <w:spacing/>
        <w:ind/>
      </w:pPr>
      <w:tblPr>
        <w:tblBorders/>
      </w:tblPr>
      <w:tcPr>
        <w:shd w:val="clear" w:color="dae5f1" w:fill="dae5f1"/>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a6bfdd"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80" w:customStyle="1">
    <w:name w:val="Grid Table 6 Colorful - Accent 2"/>
    <w:basedOn w:val="2335"/>
    <w:uiPriority w:val="99"/>
    <w:pPr>
      <w:pBdr/>
      <w:spacing/>
      <w:ind/>
    </w:pPr>
    <w:tblPr>
      <w:tblStyleRowBandSize w:val="1"/>
      <w:tblStyleColBandSize w:val="1"/>
      <w:tblCellMar>
        <w:left w:w="108" w:type="dxa"/>
        <w:top w:w="0" w:type="dxa"/>
        <w:right w:w="108" w:type="dxa"/>
        <w:bottom w:w="0" w:type="dxa"/>
      </w:tblCellMa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cPr>
      <w:tcBorders/>
    </w:tcPr>
    <w:tblStylePr w:type="band1Horz">
      <w:rPr>
        <w:sz w:val="22"/>
      </w:rPr>
      <w:pPr>
        <w:pBdr/>
        <w:spacing/>
        <w:ind/>
      </w:pPr>
      <w:tblPr>
        <w:tblBorders/>
      </w:tblPr>
      <w:tcPr>
        <w:shd w:val="clear" w:color="f2dcdc" w:fill="f2dcdc"/>
        <w:tcBorders/>
      </w:tcPr>
    </w:tblStylePr>
    <w:tblStylePr w:type="band1Vert">
      <w:pPr>
        <w:pBdr/>
        <w:spacing/>
        <w:ind/>
      </w:pPr>
      <w:tblPr>
        <w:tblBorders/>
      </w:tblPr>
      <w:tcPr>
        <w:shd w:val="clear" w:color="f2dcdc" w:fill="f2dcdc"/>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d99695"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81" w:customStyle="1">
    <w:name w:val="Grid Table 6 Colorful - Accent 3"/>
    <w:basedOn w:val="2335"/>
    <w:uiPriority w:val="99"/>
    <w:pPr>
      <w:pBdr/>
      <w:spacing/>
      <w:ind/>
    </w:pPr>
    <w:tblPr>
      <w:tblStyleRowBandSize w:val="1"/>
      <w:tblStyleColBandSize w:val="1"/>
      <w:tblCellMar>
        <w:left w:w="108" w:type="dxa"/>
        <w:top w:w="0" w:type="dxa"/>
        <w:right w:w="108" w:type="dxa"/>
        <w:bottom w:w="0" w:type="dxa"/>
      </w:tblCellMa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cPr>
      <w:tcBorders/>
    </w:tcPr>
    <w:tblStylePr w:type="band1Horz">
      <w:rPr>
        <w:sz w:val="22"/>
      </w:rPr>
      <w:pPr>
        <w:pBdr/>
        <w:spacing/>
        <w:ind/>
      </w:pPr>
      <w:tblPr>
        <w:tblBorders/>
      </w:tblPr>
      <w:tcPr>
        <w:shd w:val="clear" w:color="eaf1dc" w:fill="eaf1dc"/>
        <w:tcBorders/>
      </w:tcPr>
    </w:tblStylePr>
    <w:tblStylePr w:type="band1Vert">
      <w:pPr>
        <w:pBdr/>
        <w:spacing/>
        <w:ind/>
      </w:pPr>
      <w:tblPr>
        <w:tblBorders/>
      </w:tblPr>
      <w:tcPr>
        <w:shd w:val="clear" w:color="eaf1dc" w:fill="eaf1dc"/>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9abb59"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82" w:customStyle="1">
    <w:name w:val="Grid Table 6 Colorful - Accent 4"/>
    <w:basedOn w:val="2335"/>
    <w:uiPriority w:val="99"/>
    <w:pPr>
      <w:pBdr/>
      <w:spacing/>
      <w:ind/>
    </w:pPr>
    <w:tblPr>
      <w:tblStyleRowBandSize w:val="1"/>
      <w:tblStyleColBandSize w:val="1"/>
      <w:tblCellMar>
        <w:left w:w="108" w:type="dxa"/>
        <w:top w:w="0" w:type="dxa"/>
        <w:right w:w="108" w:type="dxa"/>
        <w:bottom w:w="0" w:type="dxa"/>
      </w:tblCellMa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cPr>
      <w:tcBorders/>
    </w:tcPr>
    <w:tblStylePr w:type="band1Horz">
      <w:rPr>
        <w:sz w:val="22"/>
      </w:rPr>
      <w:pPr>
        <w:pBdr/>
        <w:spacing/>
        <w:ind/>
      </w:pPr>
      <w:tblPr>
        <w:tblBorders/>
      </w:tblPr>
      <w:tcPr>
        <w:shd w:val="clear" w:color="e5dfec" w:fill="e5dfec"/>
        <w:tcBorders/>
      </w:tcPr>
    </w:tblStylePr>
    <w:tblStylePr w:type="band1Vert">
      <w:pPr>
        <w:pBdr/>
        <w:spacing/>
        <w:ind/>
      </w:pPr>
      <w:tblPr>
        <w:tblBorders/>
      </w:tblPr>
      <w:tcPr>
        <w:shd w:val="clear" w:color="e5dfec" w:fill="e5dfec"/>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b2a1c6"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83" w:customStyle="1">
    <w:name w:val="Grid Table 6 Colorful - Accent 5"/>
    <w:basedOn w:val="2335"/>
    <w:uiPriority w:val="99"/>
    <w:pPr>
      <w:pBdr/>
      <w:spacing/>
      <w:ind/>
    </w:pPr>
    <w:tblPr>
      <w:tblStyleRowBandSize w:val="1"/>
      <w:tblStyleColBandSize w:val="1"/>
      <w:tblCellMar>
        <w:left w:w="108" w:type="dxa"/>
        <w:top w:w="0" w:type="dxa"/>
        <w:right w:w="108" w:type="dxa"/>
        <w:bottom w:w="0" w:type="dxa"/>
      </w:tblCellMa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cPr>
      <w:tcBorders/>
    </w:tcPr>
    <w:tblStylePr w:type="band1Horz">
      <w:rPr>
        <w:sz w:val="22"/>
      </w:rPr>
      <w:pPr>
        <w:pBdr/>
        <w:spacing/>
        <w:ind/>
      </w:pPr>
      <w:tblPr>
        <w:tblBorders/>
      </w:tblPr>
      <w:tcPr>
        <w:shd w:val="clear" w:color="daeef3" w:fill="daeef3"/>
        <w:tcBorders/>
      </w:tcPr>
    </w:tblStylePr>
    <w:tblStylePr w:type="band1Vert">
      <w:pPr>
        <w:pBdr/>
        <w:spacing/>
        <w:ind/>
      </w:pPr>
      <w:tblPr>
        <w:tblBorders/>
      </w:tblPr>
      <w:tcPr>
        <w:shd w:val="clear" w:color="daeef3" w:fill="daeef3"/>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4bacc6"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84" w:customStyle="1">
    <w:name w:val="Grid Table 6 Colorful - Accent 6"/>
    <w:basedOn w:val="2335"/>
    <w:uiPriority w:val="99"/>
    <w:pPr>
      <w:pBdr/>
      <w:spacing/>
      <w:ind/>
    </w:pPr>
    <w:tblPr>
      <w:tblStyleRowBandSize w:val="1"/>
      <w:tblStyleColBandSize w:val="1"/>
      <w:tblCellMar>
        <w:left w:w="108" w:type="dxa"/>
        <w:top w:w="0" w:type="dxa"/>
        <w:right w:w="108" w:type="dxa"/>
        <w:bottom w:w="0" w:type="dxa"/>
      </w:tblCellMa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cPr>
      <w:tcBorders/>
    </w:tcPr>
    <w:tblStylePr w:type="band1Horz">
      <w:rPr>
        <w:sz w:val="22"/>
      </w:rPr>
      <w:pPr>
        <w:pBdr/>
        <w:spacing/>
        <w:ind/>
      </w:pPr>
      <w:tblPr>
        <w:tblBorders/>
      </w:tblPr>
      <w:tcPr>
        <w:shd w:val="clear" w:color="fde9d8" w:fill="fde9d8"/>
        <w:tcBorders/>
      </w:tcPr>
    </w:tblStylePr>
    <w:tblStylePr w:type="band1Vert">
      <w:pPr>
        <w:pBdr/>
        <w:spacing/>
        <w:ind/>
      </w:pPr>
      <w:tblPr>
        <w:tblBorders/>
      </w:tblPr>
      <w:tcPr>
        <w:shd w:val="clear" w:color="fde9d8" w:fill="fde9d8"/>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f79646" w:sz="12"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85">
    <w:name w:val="Grid Table 7 Colorful"/>
    <w:basedOn w:val="2335"/>
    <w:uiPriority w:val="99"/>
    <w:pPr>
      <w:pBdr/>
      <w:spacing/>
      <w:ind/>
    </w:pPr>
    <w:tblPr>
      <w:tblStyleRowBandSize w:val="1"/>
      <w:tblStyleColBandSize w:val="1"/>
      <w:tblCellMar>
        <w:left w:w="108" w:type="dxa"/>
        <w:top w:w="0" w:type="dxa"/>
        <w:right w:w="108" w:type="dxa"/>
        <w:bottom w:w="0" w:type="dxa"/>
      </w:tblCellMar>
      <w:tblBorders>
        <w:bottom w:val="single" w:color="7f7f7f" w:sz="4" w:space="0"/>
        <w:right w:val="single" w:color="7f7f7f" w:sz="4" w:space="0"/>
        <w:insideH w:val="single" w:color="7f7f7f" w:sz="4" w:space="0"/>
        <w:insideV w:val="single" w:color="7f7f7f" w:sz="4" w:space="0"/>
      </w:tblBorders>
    </w:tblPr>
    <w:tcPr>
      <w:tcBorders/>
    </w:tcPr>
    <w:tblStylePr w:type="band1Horz">
      <w:rPr>
        <w:sz w:val="22"/>
      </w:rPr>
      <w:pPr>
        <w:pBdr/>
        <w:spacing/>
        <w:ind/>
      </w:pPr>
      <w:tblPr>
        <w:tblBorders/>
      </w:tblPr>
      <w:tcPr>
        <w:shd w:val="clear" w:color="f2f2f2" w:fill="f2f2f2"/>
        <w:tcBorders/>
      </w:tcPr>
    </w:tblStylePr>
    <w:tblStylePr w:type="band1Vert">
      <w:pPr>
        <w:pBdr/>
        <w:spacing/>
        <w:ind/>
      </w:pPr>
      <w:tblPr>
        <w:tblBorders/>
      </w:tblPr>
      <w:tcPr>
        <w:shd w:val="clear" w:color="f2f2f2" w:fill="f2f2f2"/>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i/>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7f7f7f" w:sz="4" w:space="0"/>
        </w:tcBorders>
      </w:tcPr>
    </w:tblStylePr>
    <w:tblStylePr w:type="firstRow">
      <w:rPr>
        <w:b/>
        <w:sz w:val="22"/>
      </w:rPr>
      <w:pPr>
        <w:pBdr/>
        <w:spacing/>
        <w:ind/>
      </w:pPr>
      <w:tblPr>
        <w:tblBorders/>
      </w:tblPr>
      <w:tcPr>
        <w:shd w:val="clear" w:color="ffffff" w:fill="ffffff"/>
        <w:tcBorders>
          <w:top w:val="none" w:color="000000" w:sz="0" w:space="0"/>
          <w:left w:val="none" w:color="000000" w:sz="0" w:space="0"/>
          <w:bottom w:val="single" w:color="7f7f7f" w:sz="4" w:space="0"/>
          <w:right w:val="none" w:color="000000" w:sz="0" w:space="0"/>
        </w:tcBorders>
      </w:tcPr>
    </w:tblStylePr>
    <w:tblStylePr w:type="lastCol">
      <w:rPr>
        <w:i/>
        <w:sz w:val="22"/>
      </w:rPr>
      <w:pPr>
        <w:pBdr/>
        <w:spacing/>
        <w:ind/>
      </w:pPr>
      <w:tblPr>
        <w:tblBorders/>
      </w:tblPr>
      <w:tcPr>
        <w:shd w:val="clear" w:color="ffffff" w:fill="auto"/>
        <w:tcBorders>
          <w:top w:val="none" w:color="000000" w:sz="0" w:space="0"/>
          <w:left w:val="single" w:color="7f7f7f" w:sz="4" w:space="0"/>
          <w:bottom w:val="none" w:color="000000" w:sz="0" w:space="0"/>
          <w:right w:val="none" w:color="000000" w:sz="0" w:space="0"/>
        </w:tcBorders>
      </w:tcPr>
    </w:tblStylePr>
    <w:tblStylePr w:type="lastRow">
      <w:rPr>
        <w:b/>
        <w:sz w:val="22"/>
      </w:rPr>
      <w:pPr>
        <w:pBdr/>
        <w:spacing/>
        <w:ind/>
      </w:pPr>
      <w:tblPr>
        <w:tblBorders/>
      </w:tblPr>
      <w:tcPr>
        <w:shd w:val="clear" w:color="ffffff" w:fill="ffffff"/>
        <w:tcBorders>
          <w:top w:val="single" w:color="7f7f7f"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86" w:customStyle="1">
    <w:name w:val="Grid Table 7 Colorful - Accent 1"/>
    <w:basedOn w:val="2335"/>
    <w:uiPriority w:val="99"/>
    <w:pPr>
      <w:pBdr/>
      <w:spacing/>
      <w:ind/>
    </w:pPr>
    <w:tblPr>
      <w:tblStyleRowBandSize w:val="1"/>
      <w:tblStyleColBandSize w:val="1"/>
      <w:tblCellMar>
        <w:left w:w="108" w:type="dxa"/>
        <w:top w:w="0" w:type="dxa"/>
        <w:right w:w="108" w:type="dxa"/>
        <w:bottom w:w="0" w:type="dxa"/>
      </w:tblCellMar>
      <w:tblBorders>
        <w:bottom w:val="single" w:color="a6bfdd" w:sz="4" w:space="0"/>
        <w:right w:val="single" w:color="a6bfdd" w:sz="4" w:space="0"/>
        <w:insideH w:val="single" w:color="a6bfdd" w:sz="4" w:space="0"/>
        <w:insideV w:val="single" w:color="a6bfdd" w:sz="4" w:space="0"/>
      </w:tblBorders>
    </w:tblPr>
    <w:tcPr>
      <w:tcBorders/>
    </w:tcPr>
    <w:tblStylePr w:type="band1Horz">
      <w:rPr>
        <w:sz w:val="22"/>
      </w:rPr>
      <w:pPr>
        <w:pBdr/>
        <w:spacing/>
        <w:ind/>
      </w:pPr>
      <w:tblPr>
        <w:tblBorders/>
      </w:tblPr>
      <w:tcPr>
        <w:shd w:val="clear" w:color="dae5f1" w:fill="dae5f1"/>
        <w:tcBorders/>
      </w:tcPr>
    </w:tblStylePr>
    <w:tblStylePr w:type="band1Vert">
      <w:pPr>
        <w:pBdr/>
        <w:spacing/>
        <w:ind/>
      </w:pPr>
      <w:tblPr>
        <w:tblBorders/>
      </w:tblPr>
      <w:tcPr>
        <w:shd w:val="clear" w:color="dae5f1" w:fill="dae5f1"/>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i/>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a6bfdd" w:sz="4" w:space="0"/>
        </w:tcBorders>
      </w:tcPr>
    </w:tblStylePr>
    <w:tblStylePr w:type="firstRow">
      <w:rPr>
        <w:b/>
        <w:sz w:val="22"/>
      </w:rPr>
      <w:pPr>
        <w:pBdr/>
        <w:spacing/>
        <w:ind/>
      </w:pPr>
      <w:tblPr>
        <w:tblBorders/>
      </w:tblPr>
      <w:tcPr>
        <w:shd w:val="clear" w:color="ffffff" w:fill="ffffff"/>
        <w:tcBorders>
          <w:top w:val="none" w:color="000000" w:sz="0" w:space="0"/>
          <w:left w:val="none" w:color="000000" w:sz="0" w:space="0"/>
          <w:bottom w:val="single" w:color="a6bfdd" w:sz="4" w:space="0"/>
          <w:right w:val="none" w:color="000000" w:sz="0" w:space="0"/>
        </w:tcBorders>
      </w:tcPr>
    </w:tblStylePr>
    <w:tblStylePr w:type="lastCol">
      <w:rPr>
        <w:i/>
        <w:sz w:val="22"/>
      </w:rPr>
      <w:pPr>
        <w:pBdr/>
        <w:spacing/>
        <w:ind/>
      </w:pPr>
      <w:tblPr>
        <w:tblBorders/>
      </w:tblPr>
      <w:tcPr>
        <w:shd w:val="clear" w:color="ffffff" w:fill="auto"/>
        <w:tcBorders>
          <w:top w:val="none" w:color="000000" w:sz="0" w:space="0"/>
          <w:left w:val="single" w:color="a6bfdd" w:sz="4" w:space="0"/>
          <w:bottom w:val="none" w:color="000000" w:sz="0" w:space="0"/>
          <w:right w:val="none" w:color="000000" w:sz="0" w:space="0"/>
        </w:tcBorders>
      </w:tcPr>
    </w:tblStylePr>
    <w:tblStylePr w:type="lastRow">
      <w:rPr>
        <w:b/>
        <w:sz w:val="22"/>
      </w:rPr>
      <w:pPr>
        <w:pBdr/>
        <w:spacing/>
        <w:ind/>
      </w:pPr>
      <w:tblPr>
        <w:tblBorders/>
      </w:tblPr>
      <w:tcPr>
        <w:shd w:val="clear" w:color="ffffff" w:fill="ffffff"/>
        <w:tcBorders>
          <w:top w:val="single" w:color="a6bfdd"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87" w:customStyle="1">
    <w:name w:val="Grid Table 7 Colorful - Accent 2"/>
    <w:basedOn w:val="2335"/>
    <w:uiPriority w:val="99"/>
    <w:pPr>
      <w:pBdr/>
      <w:spacing/>
      <w:ind/>
    </w:pPr>
    <w:tblPr>
      <w:tblStyleRowBandSize w:val="1"/>
      <w:tblStyleColBandSize w:val="1"/>
      <w:tblCellMar>
        <w:left w:w="108" w:type="dxa"/>
        <w:top w:w="0" w:type="dxa"/>
        <w:right w:w="108" w:type="dxa"/>
        <w:bottom w:w="0" w:type="dxa"/>
      </w:tblCellMar>
      <w:tblBorders>
        <w:bottom w:val="single" w:color="d99695" w:sz="4" w:space="0"/>
        <w:right w:val="single" w:color="d99695" w:sz="4" w:space="0"/>
        <w:insideH w:val="single" w:color="d99695" w:sz="4" w:space="0"/>
        <w:insideV w:val="single" w:color="d99695" w:sz="4" w:space="0"/>
      </w:tblBorders>
    </w:tblPr>
    <w:tcPr>
      <w:tcBorders/>
    </w:tcPr>
    <w:tblStylePr w:type="band1Horz">
      <w:rPr>
        <w:sz w:val="22"/>
      </w:rPr>
      <w:pPr>
        <w:pBdr/>
        <w:spacing/>
        <w:ind/>
      </w:pPr>
      <w:tblPr>
        <w:tblBorders/>
      </w:tblPr>
      <w:tcPr>
        <w:shd w:val="clear" w:color="f2dcdc" w:fill="f2dcdc"/>
        <w:tcBorders/>
      </w:tcPr>
    </w:tblStylePr>
    <w:tblStylePr w:type="band1Vert">
      <w:pPr>
        <w:pBdr/>
        <w:spacing/>
        <w:ind/>
      </w:pPr>
      <w:tblPr>
        <w:tblBorders/>
      </w:tblPr>
      <w:tcPr>
        <w:shd w:val="clear" w:color="f2dcdc" w:fill="f2dcdc"/>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i/>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d99695" w:sz="4" w:space="0"/>
        </w:tcBorders>
      </w:tcPr>
    </w:tblStylePr>
    <w:tblStylePr w:type="firstRow">
      <w:rPr>
        <w:b/>
        <w:sz w:val="22"/>
      </w:rPr>
      <w:pPr>
        <w:pBdr/>
        <w:spacing/>
        <w:ind/>
      </w:pPr>
      <w:tblPr>
        <w:tblBorders/>
      </w:tblPr>
      <w:tcPr>
        <w:shd w:val="clear" w:color="ffffff" w:fill="ffffff"/>
        <w:tcBorders>
          <w:top w:val="none" w:color="000000" w:sz="0" w:space="0"/>
          <w:left w:val="none" w:color="000000" w:sz="0" w:space="0"/>
          <w:bottom w:val="single" w:color="d99695" w:sz="4" w:space="0"/>
          <w:right w:val="none" w:color="000000" w:sz="0" w:space="0"/>
        </w:tcBorders>
      </w:tcPr>
    </w:tblStylePr>
    <w:tblStylePr w:type="lastCol">
      <w:rPr>
        <w:i/>
        <w:sz w:val="22"/>
      </w:rPr>
      <w:pPr>
        <w:pBdr/>
        <w:spacing/>
        <w:ind/>
      </w:pPr>
      <w:tblPr>
        <w:tblBorders/>
      </w:tblPr>
      <w:tcPr>
        <w:shd w:val="clear" w:color="ffffff" w:fill="auto"/>
        <w:tcBorders>
          <w:top w:val="none" w:color="000000" w:sz="0" w:space="0"/>
          <w:left w:val="single" w:color="d99695" w:sz="4" w:space="0"/>
          <w:bottom w:val="none" w:color="000000" w:sz="0" w:space="0"/>
          <w:right w:val="none" w:color="000000" w:sz="0" w:space="0"/>
        </w:tcBorders>
      </w:tcPr>
    </w:tblStylePr>
    <w:tblStylePr w:type="lastRow">
      <w:rPr>
        <w:b/>
        <w:sz w:val="22"/>
      </w:rPr>
      <w:pPr>
        <w:pBdr/>
        <w:spacing/>
        <w:ind/>
      </w:pPr>
      <w:tblPr>
        <w:tblBorders/>
      </w:tblPr>
      <w:tcPr>
        <w:shd w:val="clear" w:color="ffffff" w:fill="ffffff"/>
        <w:tcBorders>
          <w:top w:val="single" w:color="d99695"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88" w:customStyle="1">
    <w:name w:val="Grid Table 7 Colorful - Accent 3"/>
    <w:basedOn w:val="2335"/>
    <w:uiPriority w:val="99"/>
    <w:pPr>
      <w:pBdr/>
      <w:spacing/>
      <w:ind/>
    </w:pPr>
    <w:tblPr>
      <w:tblStyleRowBandSize w:val="1"/>
      <w:tblStyleColBandSize w:val="1"/>
      <w:tblCellMar>
        <w:left w:w="108" w:type="dxa"/>
        <w:top w:w="0" w:type="dxa"/>
        <w:right w:w="108" w:type="dxa"/>
        <w:bottom w:w="0" w:type="dxa"/>
      </w:tblCellMar>
      <w:tblBorders>
        <w:bottom w:val="single" w:color="9abb59" w:sz="4" w:space="0"/>
        <w:right w:val="single" w:color="9abb59" w:sz="4" w:space="0"/>
        <w:insideH w:val="single" w:color="9abb59" w:sz="4" w:space="0"/>
        <w:insideV w:val="single" w:color="9abb59" w:sz="4" w:space="0"/>
      </w:tblBorders>
    </w:tblPr>
    <w:tcPr>
      <w:tcBorders/>
    </w:tcPr>
    <w:tblStylePr w:type="band1Horz">
      <w:rPr>
        <w:sz w:val="22"/>
      </w:rPr>
      <w:pPr>
        <w:pBdr/>
        <w:spacing/>
        <w:ind/>
      </w:pPr>
      <w:tblPr>
        <w:tblBorders/>
      </w:tblPr>
      <w:tcPr>
        <w:shd w:val="clear" w:color="eaf1dc" w:fill="eaf1dc"/>
        <w:tcBorders/>
      </w:tcPr>
    </w:tblStylePr>
    <w:tblStylePr w:type="band1Vert">
      <w:pPr>
        <w:pBdr/>
        <w:spacing/>
        <w:ind/>
      </w:pPr>
      <w:tblPr>
        <w:tblBorders/>
      </w:tblPr>
      <w:tcPr>
        <w:shd w:val="clear" w:color="eaf1dc" w:fill="eaf1dc"/>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i/>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9abb59" w:sz="4" w:space="0"/>
        </w:tcBorders>
      </w:tcPr>
    </w:tblStylePr>
    <w:tblStylePr w:type="firstRow">
      <w:rPr>
        <w:b/>
        <w:sz w:val="22"/>
      </w:rPr>
      <w:pPr>
        <w:pBdr/>
        <w:spacing/>
        <w:ind/>
      </w:pPr>
      <w:tblPr>
        <w:tblBorders/>
      </w:tblPr>
      <w:tcPr>
        <w:shd w:val="clear" w:color="ffffff" w:fill="ffffff"/>
        <w:tcBorders>
          <w:top w:val="none" w:color="000000" w:sz="0" w:space="0"/>
          <w:left w:val="none" w:color="000000" w:sz="0" w:space="0"/>
          <w:bottom w:val="single" w:color="9abb59" w:sz="4" w:space="0"/>
          <w:right w:val="none" w:color="000000" w:sz="0" w:space="0"/>
        </w:tcBorders>
      </w:tcPr>
    </w:tblStylePr>
    <w:tblStylePr w:type="lastCol">
      <w:rPr>
        <w:i/>
        <w:sz w:val="22"/>
      </w:rPr>
      <w:pPr>
        <w:pBdr/>
        <w:spacing/>
        <w:ind/>
      </w:pPr>
      <w:tblPr>
        <w:tblBorders/>
      </w:tblPr>
      <w:tcPr>
        <w:shd w:val="clear" w:color="ffffff" w:fill="auto"/>
        <w:tcBorders>
          <w:top w:val="none" w:color="000000" w:sz="0" w:space="0"/>
          <w:left w:val="single" w:color="9abb59" w:sz="4" w:space="0"/>
          <w:bottom w:val="none" w:color="000000" w:sz="0" w:space="0"/>
          <w:right w:val="none" w:color="000000" w:sz="0" w:space="0"/>
        </w:tcBorders>
      </w:tcPr>
    </w:tblStylePr>
    <w:tblStylePr w:type="lastRow">
      <w:rPr>
        <w:b/>
        <w:sz w:val="22"/>
      </w:rPr>
      <w:pPr>
        <w:pBdr/>
        <w:spacing/>
        <w:ind/>
      </w:pPr>
      <w:tblPr>
        <w:tblBorders/>
      </w:tblPr>
      <w:tcPr>
        <w:shd w:val="clear" w:color="ffffff" w:fill="ffffff"/>
        <w:tcBorders>
          <w:top w:val="single" w:color="9abb59"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89" w:customStyle="1">
    <w:name w:val="Grid Table 7 Colorful - Accent 4"/>
    <w:basedOn w:val="2335"/>
    <w:uiPriority w:val="99"/>
    <w:pPr>
      <w:pBdr/>
      <w:spacing/>
      <w:ind/>
    </w:pPr>
    <w:tblPr>
      <w:tblStyleRowBandSize w:val="1"/>
      <w:tblStyleColBandSize w:val="1"/>
      <w:tblCellMar>
        <w:left w:w="108" w:type="dxa"/>
        <w:top w:w="0" w:type="dxa"/>
        <w:right w:w="108" w:type="dxa"/>
        <w:bottom w:w="0" w:type="dxa"/>
      </w:tblCellMar>
      <w:tblBorders>
        <w:bottom w:val="single" w:color="b2a1c6" w:sz="4" w:space="0"/>
        <w:right w:val="single" w:color="b2a1c6" w:sz="4" w:space="0"/>
        <w:insideH w:val="single" w:color="b2a1c6" w:sz="4" w:space="0"/>
        <w:insideV w:val="single" w:color="b2a1c6" w:sz="4" w:space="0"/>
      </w:tblBorders>
    </w:tblPr>
    <w:tcPr>
      <w:tcBorders/>
    </w:tcPr>
    <w:tblStylePr w:type="band1Horz">
      <w:rPr>
        <w:sz w:val="22"/>
      </w:rPr>
      <w:pPr>
        <w:pBdr/>
        <w:spacing/>
        <w:ind/>
      </w:pPr>
      <w:tblPr>
        <w:tblBorders/>
      </w:tblPr>
      <w:tcPr>
        <w:shd w:val="clear" w:color="e5dfec" w:fill="e5dfec"/>
        <w:tcBorders/>
      </w:tcPr>
    </w:tblStylePr>
    <w:tblStylePr w:type="band1Vert">
      <w:pPr>
        <w:pBdr/>
        <w:spacing/>
        <w:ind/>
      </w:pPr>
      <w:tblPr>
        <w:tblBorders/>
      </w:tblPr>
      <w:tcPr>
        <w:shd w:val="clear" w:color="e5dfec" w:fill="e5dfec"/>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i/>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b2a1c6" w:sz="4" w:space="0"/>
        </w:tcBorders>
      </w:tcPr>
    </w:tblStylePr>
    <w:tblStylePr w:type="firstRow">
      <w:rPr>
        <w:b/>
        <w:sz w:val="22"/>
      </w:rPr>
      <w:pPr>
        <w:pBdr/>
        <w:spacing/>
        <w:ind/>
      </w:pPr>
      <w:tblPr>
        <w:tblBorders/>
      </w:tblPr>
      <w:tcPr>
        <w:shd w:val="clear" w:color="ffffff" w:fill="ffffff"/>
        <w:tcBorders>
          <w:top w:val="none" w:color="000000" w:sz="0" w:space="0"/>
          <w:left w:val="none" w:color="000000" w:sz="0" w:space="0"/>
          <w:bottom w:val="single" w:color="b2a1c6" w:sz="4" w:space="0"/>
          <w:right w:val="none" w:color="000000" w:sz="0" w:space="0"/>
        </w:tcBorders>
      </w:tcPr>
    </w:tblStylePr>
    <w:tblStylePr w:type="lastCol">
      <w:rPr>
        <w:i/>
        <w:sz w:val="22"/>
      </w:rPr>
      <w:pPr>
        <w:pBdr/>
        <w:spacing/>
        <w:ind/>
      </w:pPr>
      <w:tblPr>
        <w:tblBorders/>
      </w:tblPr>
      <w:tcPr>
        <w:shd w:val="clear" w:color="ffffff" w:fill="auto"/>
        <w:tcBorders>
          <w:top w:val="none" w:color="000000" w:sz="0" w:space="0"/>
          <w:left w:val="single" w:color="b2a1c6" w:sz="4" w:space="0"/>
          <w:bottom w:val="none" w:color="000000" w:sz="0" w:space="0"/>
          <w:right w:val="none" w:color="000000" w:sz="0" w:space="0"/>
        </w:tcBorders>
      </w:tcPr>
    </w:tblStylePr>
    <w:tblStylePr w:type="lastRow">
      <w:rPr>
        <w:b/>
        <w:sz w:val="22"/>
      </w:rPr>
      <w:pPr>
        <w:pBdr/>
        <w:spacing/>
        <w:ind/>
      </w:pPr>
      <w:tblPr>
        <w:tblBorders/>
      </w:tblPr>
      <w:tcPr>
        <w:shd w:val="clear" w:color="ffffff" w:fill="ffffff"/>
        <w:tcBorders>
          <w:top w:val="single" w:color="b2a1c6"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90" w:customStyle="1">
    <w:name w:val="Grid Table 7 Colorful - Accent 5"/>
    <w:basedOn w:val="2335"/>
    <w:uiPriority w:val="99"/>
    <w:pPr>
      <w:pBdr/>
      <w:spacing/>
      <w:ind/>
    </w:pPr>
    <w:tblPr>
      <w:tblStyleRowBandSize w:val="1"/>
      <w:tblStyleColBandSize w:val="1"/>
      <w:tblCellMar>
        <w:left w:w="108" w:type="dxa"/>
        <w:top w:w="0" w:type="dxa"/>
        <w:right w:w="108" w:type="dxa"/>
        <w:bottom w:w="0" w:type="dxa"/>
      </w:tblCellMar>
      <w:tblBorders>
        <w:bottom w:val="single" w:color="99d0de" w:sz="4" w:space="0"/>
        <w:right w:val="single" w:color="99d0de" w:sz="4" w:space="0"/>
        <w:insideH w:val="single" w:color="99d0de" w:sz="4" w:space="0"/>
        <w:insideV w:val="single" w:color="99d0de" w:sz="4" w:space="0"/>
      </w:tblBorders>
    </w:tblPr>
    <w:tcPr>
      <w:tcBorders/>
    </w:tcPr>
    <w:tblStylePr w:type="band1Horz">
      <w:rPr>
        <w:sz w:val="22"/>
      </w:rPr>
      <w:pPr>
        <w:pBdr/>
        <w:spacing/>
        <w:ind/>
      </w:pPr>
      <w:tblPr>
        <w:tblBorders/>
      </w:tblPr>
      <w:tcPr>
        <w:shd w:val="clear" w:color="daeef3" w:fill="daeef3"/>
        <w:tcBorders/>
      </w:tcPr>
    </w:tblStylePr>
    <w:tblStylePr w:type="band1Vert">
      <w:pPr>
        <w:pBdr/>
        <w:spacing/>
        <w:ind/>
      </w:pPr>
      <w:tblPr>
        <w:tblBorders/>
      </w:tblPr>
      <w:tcPr>
        <w:shd w:val="clear" w:color="daeef3" w:fill="daeef3"/>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i/>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99d0de" w:sz="4" w:space="0"/>
        </w:tcBorders>
      </w:tcPr>
    </w:tblStylePr>
    <w:tblStylePr w:type="firstRow">
      <w:rPr>
        <w:b/>
        <w:sz w:val="22"/>
      </w:rPr>
      <w:pPr>
        <w:pBdr/>
        <w:spacing/>
        <w:ind/>
      </w:pPr>
      <w:tblPr>
        <w:tblBorders/>
      </w:tblPr>
      <w:tcPr>
        <w:shd w:val="clear" w:color="ffffff" w:fill="ffffff"/>
        <w:tcBorders>
          <w:top w:val="none" w:color="000000" w:sz="0" w:space="0"/>
          <w:left w:val="none" w:color="000000" w:sz="0" w:space="0"/>
          <w:bottom w:val="single" w:color="99d0de" w:sz="4" w:space="0"/>
          <w:right w:val="none" w:color="000000" w:sz="0" w:space="0"/>
        </w:tcBorders>
      </w:tcPr>
    </w:tblStylePr>
    <w:tblStylePr w:type="lastCol">
      <w:rPr>
        <w:i/>
        <w:sz w:val="22"/>
      </w:rPr>
      <w:pPr>
        <w:pBdr/>
        <w:spacing/>
        <w:ind/>
      </w:pPr>
      <w:tblPr>
        <w:tblBorders/>
      </w:tblPr>
      <w:tcPr>
        <w:shd w:val="clear" w:color="ffffff" w:fill="auto"/>
        <w:tcBorders>
          <w:top w:val="none" w:color="000000" w:sz="0" w:space="0"/>
          <w:left w:val="single" w:color="99d0de" w:sz="4" w:space="0"/>
          <w:bottom w:val="none" w:color="000000" w:sz="0" w:space="0"/>
          <w:right w:val="none" w:color="000000" w:sz="0" w:space="0"/>
        </w:tcBorders>
      </w:tcPr>
    </w:tblStylePr>
    <w:tblStylePr w:type="lastRow">
      <w:rPr>
        <w:b/>
        <w:sz w:val="22"/>
      </w:rPr>
      <w:pPr>
        <w:pBdr/>
        <w:spacing/>
        <w:ind/>
      </w:pPr>
      <w:tblPr>
        <w:tblBorders/>
      </w:tblPr>
      <w:tcPr>
        <w:shd w:val="clear" w:color="ffffff" w:fill="ffffff"/>
        <w:tcBorders>
          <w:top w:val="single" w:color="99d0de"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91" w:customStyle="1">
    <w:name w:val="Grid Table 7 Colorful - Accent 6"/>
    <w:basedOn w:val="2335"/>
    <w:uiPriority w:val="99"/>
    <w:pPr>
      <w:pBdr/>
      <w:spacing/>
      <w:ind/>
    </w:pPr>
    <w:tblPr>
      <w:tblStyleRowBandSize w:val="1"/>
      <w:tblStyleColBandSize w:val="1"/>
      <w:tblCellMar>
        <w:left w:w="108" w:type="dxa"/>
        <w:top w:w="0" w:type="dxa"/>
        <w:right w:w="108" w:type="dxa"/>
        <w:bottom w:w="0" w:type="dxa"/>
      </w:tblCellMar>
      <w:tblBorders>
        <w:bottom w:val="single" w:color="fac396" w:sz="4" w:space="0"/>
        <w:right w:val="single" w:color="fac396" w:sz="4" w:space="0"/>
        <w:insideH w:val="single" w:color="fac396" w:sz="4" w:space="0"/>
        <w:insideV w:val="single" w:color="fac396" w:sz="4" w:space="0"/>
      </w:tblBorders>
    </w:tblPr>
    <w:tcPr>
      <w:tcBorders/>
    </w:tcPr>
    <w:tblStylePr w:type="band1Horz">
      <w:rPr>
        <w:sz w:val="22"/>
      </w:rPr>
      <w:pPr>
        <w:pBdr/>
        <w:spacing/>
        <w:ind/>
      </w:pPr>
      <w:tblPr>
        <w:tblBorders/>
      </w:tblPr>
      <w:tcPr>
        <w:shd w:val="clear" w:color="fde9d8" w:fill="fde9d8"/>
        <w:tcBorders/>
      </w:tcPr>
    </w:tblStylePr>
    <w:tblStylePr w:type="band1Vert">
      <w:pPr>
        <w:pBdr/>
        <w:spacing/>
        <w:ind/>
      </w:pPr>
      <w:tblPr>
        <w:tblBorders/>
      </w:tblPr>
      <w:tcPr>
        <w:shd w:val="clear" w:color="fde9d8" w:fill="fde9d8"/>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i/>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ac396" w:sz="4" w:space="0"/>
        </w:tcBorders>
      </w:tcPr>
    </w:tblStylePr>
    <w:tblStylePr w:type="firstRow">
      <w:rPr>
        <w:b/>
        <w:sz w:val="22"/>
      </w:rPr>
      <w:pPr>
        <w:pBdr/>
        <w:spacing/>
        <w:ind/>
      </w:pPr>
      <w:tblPr>
        <w:tblBorders/>
      </w:tblPr>
      <w:tcPr>
        <w:shd w:val="clear" w:color="ffffff" w:fill="ffffff"/>
        <w:tcBorders>
          <w:top w:val="none" w:color="000000" w:sz="0" w:space="0"/>
          <w:left w:val="none" w:color="000000" w:sz="0" w:space="0"/>
          <w:bottom w:val="single" w:color="fac396" w:sz="4" w:space="0"/>
          <w:right w:val="none" w:color="000000" w:sz="0" w:space="0"/>
        </w:tcBorders>
      </w:tcPr>
    </w:tblStylePr>
    <w:tblStylePr w:type="lastCol">
      <w:rPr>
        <w:i/>
        <w:sz w:val="22"/>
      </w:rPr>
      <w:pPr>
        <w:pBdr/>
        <w:spacing/>
        <w:ind/>
      </w:pPr>
      <w:tblPr>
        <w:tblBorders/>
      </w:tblPr>
      <w:tcPr>
        <w:shd w:val="clear" w:color="ffffff" w:fill="auto"/>
        <w:tcBorders>
          <w:top w:val="none" w:color="000000" w:sz="0" w:space="0"/>
          <w:left w:val="single" w:color="fac396" w:sz="4" w:space="0"/>
          <w:bottom w:val="none" w:color="000000" w:sz="0" w:space="0"/>
          <w:right w:val="none" w:color="000000" w:sz="0" w:space="0"/>
        </w:tcBorders>
      </w:tcPr>
    </w:tblStylePr>
    <w:tblStylePr w:type="lastRow">
      <w:rPr>
        <w:b/>
        <w:sz w:val="22"/>
      </w:rPr>
      <w:pPr>
        <w:pBdr/>
        <w:spacing/>
        <w:ind/>
      </w:pPr>
      <w:tblPr>
        <w:tblBorders/>
      </w:tblPr>
      <w:tcPr>
        <w:shd w:val="clear" w:color="ffffff" w:fill="ffffff"/>
        <w:tcBorders>
          <w:top w:val="single" w:color="fac396"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92">
    <w:name w:val="List Table 1 Light"/>
    <w:basedOn w:val="2335"/>
    <w:uiPriority w:val="99"/>
    <w:pPr>
      <w:pBdr/>
      <w:spacing/>
      <w:ind/>
    </w:pPr>
    <w:tblPr>
      <w:tblStyleRowBandSize w:val="1"/>
      <w:tblStyleColBandSize w:val="1"/>
      <w:tblCellMar>
        <w:left w:w="108" w:type="dxa"/>
        <w:top w:w="0" w:type="dxa"/>
        <w:right w:w="108" w:type="dxa"/>
        <w:bottom w:w="0" w:type="dxa"/>
      </w:tblCellMar>
      <w:tblBorders/>
    </w:tblPr>
    <w:tcPr>
      <w:tcBorders/>
    </w:tcPr>
    <w:tblStylePr w:type="band1Horz">
      <w:pPr>
        <w:pBdr/>
        <w:spacing/>
        <w:ind/>
      </w:pPr>
      <w:tblPr>
        <w:tblBorders/>
      </w:tblPr>
      <w:tcPr>
        <w:shd w:val="clear" w:color="bfbfbf" w:fill="bfbfbf"/>
        <w:tcBorders/>
      </w:tcPr>
    </w:tblStylePr>
    <w:tblStylePr w:type="band1Vert">
      <w:pPr>
        <w:pBdr/>
        <w:spacing/>
        <w:ind/>
      </w:pPr>
      <w:tblPr>
        <w:tblBorders/>
      </w:tblPr>
      <w:tcPr>
        <w:shd w:val="clear" w:color="bfbfbf" w:fill="bfbfb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op w:val="none" w:color="000000" w:sz="4" w:space="0"/>
          <w:left w:val="none" w:color="000000" w:sz="4" w:space="0"/>
          <w:bottom w:val="single" w:color="000000" w:sz="4"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93" w:customStyle="1">
    <w:name w:val="List Table 1 Light - Accent 1"/>
    <w:basedOn w:val="2335"/>
    <w:uiPriority w:val="99"/>
    <w:pPr>
      <w:pBdr/>
      <w:spacing/>
      <w:ind/>
    </w:pPr>
    <w:tblPr>
      <w:tblStyleRowBandSize w:val="1"/>
      <w:tblStyleColBandSize w:val="1"/>
      <w:tblCellMar>
        <w:left w:w="108" w:type="dxa"/>
        <w:top w:w="0" w:type="dxa"/>
        <w:right w:w="108" w:type="dxa"/>
        <w:bottom w:w="0" w:type="dxa"/>
      </w:tblCellMar>
      <w:tblBorders/>
    </w:tblPr>
    <w:tcPr>
      <w:tcBorders/>
    </w:tcPr>
    <w:tblStylePr w:type="band1Horz">
      <w:pPr>
        <w:pBdr/>
        <w:spacing/>
        <w:ind/>
      </w:pPr>
      <w:tblPr>
        <w:tblBorders/>
      </w:tblPr>
      <w:tcPr>
        <w:shd w:val="clear" w:color="d2dfee" w:fill="d2dfee"/>
        <w:tcBorders/>
      </w:tcPr>
    </w:tblStylePr>
    <w:tblStylePr w:type="band1Vert">
      <w:pPr>
        <w:pBdr/>
        <w:spacing/>
        <w:ind/>
      </w:pPr>
      <w:tblPr>
        <w:tblBorders/>
      </w:tblPr>
      <w:tcPr>
        <w:shd w:val="clear" w:color="d2dfee" w:fill="d2dfe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op w:val="none" w:color="000000" w:sz="4" w:space="0"/>
          <w:left w:val="none" w:color="000000" w:sz="4" w:space="0"/>
          <w:bottom w:val="single" w:color="4f81bd" w:sz="4"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4f81bd"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94" w:customStyle="1">
    <w:name w:val="List Table 1 Light - Accent 2"/>
    <w:basedOn w:val="2335"/>
    <w:uiPriority w:val="99"/>
    <w:pPr>
      <w:pBdr/>
      <w:spacing/>
      <w:ind/>
    </w:pPr>
    <w:tblPr>
      <w:tblStyleRowBandSize w:val="1"/>
      <w:tblStyleColBandSize w:val="1"/>
      <w:tblCellMar>
        <w:left w:w="108" w:type="dxa"/>
        <w:top w:w="0" w:type="dxa"/>
        <w:right w:w="108" w:type="dxa"/>
        <w:bottom w:w="0" w:type="dxa"/>
      </w:tblCellMar>
      <w:tblBorders/>
    </w:tblPr>
    <w:tcPr>
      <w:tcBorders/>
    </w:tcPr>
    <w:tblStylePr w:type="band1Horz">
      <w:pPr>
        <w:pBdr/>
        <w:spacing/>
        <w:ind/>
      </w:pPr>
      <w:tblPr>
        <w:tblBorders/>
      </w:tblPr>
      <w:tcPr>
        <w:shd w:val="clear" w:color="efd2d2" w:fill="efd2d2"/>
        <w:tcBorders/>
      </w:tcPr>
    </w:tblStylePr>
    <w:tblStylePr w:type="band1Vert">
      <w:pPr>
        <w:pBdr/>
        <w:spacing/>
        <w:ind/>
      </w:pPr>
      <w:tblPr>
        <w:tblBorders/>
      </w:tblPr>
      <w:tcPr>
        <w:shd w:val="clear" w:color="efd2d2" w:fill="efd2d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op w:val="none" w:color="000000" w:sz="4" w:space="0"/>
          <w:left w:val="none" w:color="000000" w:sz="4" w:space="0"/>
          <w:bottom w:val="single" w:color="c0504d" w:sz="4"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c0504d"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95" w:customStyle="1">
    <w:name w:val="List Table 1 Light - Accent 3"/>
    <w:basedOn w:val="2335"/>
    <w:uiPriority w:val="99"/>
    <w:pPr>
      <w:pBdr/>
      <w:spacing/>
      <w:ind/>
    </w:pPr>
    <w:tblPr>
      <w:tblStyleRowBandSize w:val="1"/>
      <w:tblStyleColBandSize w:val="1"/>
      <w:tblCellMar>
        <w:left w:w="108" w:type="dxa"/>
        <w:top w:w="0" w:type="dxa"/>
        <w:right w:w="108" w:type="dxa"/>
        <w:bottom w:w="0" w:type="dxa"/>
      </w:tblCellMar>
      <w:tblBorders/>
    </w:tblPr>
    <w:tcPr>
      <w:tcBorders/>
    </w:tcPr>
    <w:tblStylePr w:type="band1Horz">
      <w:pPr>
        <w:pBdr/>
        <w:spacing/>
        <w:ind/>
      </w:pPr>
      <w:tblPr>
        <w:tblBorders/>
      </w:tblPr>
      <w:tcPr>
        <w:shd w:val="clear" w:color="e5eed5" w:fill="e5eed5"/>
        <w:tcBorders/>
      </w:tcPr>
    </w:tblStylePr>
    <w:tblStylePr w:type="band1Vert">
      <w:pPr>
        <w:pBdr/>
        <w:spacing/>
        <w:ind/>
      </w:pPr>
      <w:tblPr>
        <w:tblBorders/>
      </w:tblPr>
      <w:tcPr>
        <w:shd w:val="clear" w:color="e5eed5" w:fill="e5eed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op w:val="none" w:color="000000" w:sz="4" w:space="0"/>
          <w:left w:val="none" w:color="000000" w:sz="4" w:space="0"/>
          <w:bottom w:val="single" w:color="9bbb59" w:sz="4"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9bbb59"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96" w:customStyle="1">
    <w:name w:val="List Table 1 Light - Accent 4"/>
    <w:basedOn w:val="2335"/>
    <w:uiPriority w:val="99"/>
    <w:pPr>
      <w:pBdr/>
      <w:spacing/>
      <w:ind/>
    </w:pPr>
    <w:tblPr>
      <w:tblStyleRowBandSize w:val="1"/>
      <w:tblStyleColBandSize w:val="1"/>
      <w:tblCellMar>
        <w:left w:w="108" w:type="dxa"/>
        <w:top w:w="0" w:type="dxa"/>
        <w:right w:w="108" w:type="dxa"/>
        <w:bottom w:w="0" w:type="dxa"/>
      </w:tblCellMar>
      <w:tblBorders/>
    </w:tblPr>
    <w:tcPr>
      <w:tcBorders/>
    </w:tcPr>
    <w:tblStylePr w:type="band1Horz">
      <w:pPr>
        <w:pBdr/>
        <w:spacing/>
        <w:ind/>
      </w:pPr>
      <w:tblPr>
        <w:tblBorders/>
      </w:tblPr>
      <w:tcPr>
        <w:shd w:val="clear" w:color="dfd8e7" w:fill="dfd8e7"/>
        <w:tcBorders/>
      </w:tcPr>
    </w:tblStylePr>
    <w:tblStylePr w:type="band1Vert">
      <w:pPr>
        <w:pBdr/>
        <w:spacing/>
        <w:ind/>
      </w:pPr>
      <w:tblPr>
        <w:tblBorders/>
      </w:tblPr>
      <w:tcPr>
        <w:shd w:val="clear" w:color="dfd8e7" w:fill="dfd8e7"/>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op w:val="none" w:color="000000" w:sz="4" w:space="0"/>
          <w:left w:val="none" w:color="000000" w:sz="4" w:space="0"/>
          <w:bottom w:val="single" w:color="8064a2" w:sz="4"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8064a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97" w:customStyle="1">
    <w:name w:val="List Table 1 Light - Accent 5"/>
    <w:basedOn w:val="2335"/>
    <w:uiPriority w:val="99"/>
    <w:pPr>
      <w:pBdr/>
      <w:spacing/>
      <w:ind/>
    </w:pPr>
    <w:tblPr>
      <w:tblStyleRowBandSize w:val="1"/>
      <w:tblStyleColBandSize w:val="1"/>
      <w:tblCellMar>
        <w:left w:w="108" w:type="dxa"/>
        <w:top w:w="0" w:type="dxa"/>
        <w:right w:w="108" w:type="dxa"/>
        <w:bottom w:w="0" w:type="dxa"/>
      </w:tblCellMar>
      <w:tblBorders/>
    </w:tblPr>
    <w:tcPr>
      <w:tcBorders/>
    </w:tcPr>
    <w:tblStylePr w:type="band1Horz">
      <w:pPr>
        <w:pBdr/>
        <w:spacing/>
        <w:ind/>
      </w:pPr>
      <w:tblPr>
        <w:tblBorders/>
      </w:tblPr>
      <w:tcPr>
        <w:shd w:val="clear" w:color="d1eaf0" w:fill="d1eaf0"/>
        <w:tcBorders/>
      </w:tcPr>
    </w:tblStylePr>
    <w:tblStylePr w:type="band1Vert">
      <w:pPr>
        <w:pBdr/>
        <w:spacing/>
        <w:ind/>
      </w:pPr>
      <w:tblPr>
        <w:tblBorders/>
      </w:tblPr>
      <w:tcPr>
        <w:shd w:val="clear" w:color="d1eaf0" w:fill="d1eaf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op w:val="none" w:color="000000" w:sz="4" w:space="0"/>
          <w:left w:val="none" w:color="000000" w:sz="4" w:space="0"/>
          <w:bottom w:val="single" w:color="4bacc6" w:sz="4"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4bacc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98" w:customStyle="1">
    <w:name w:val="List Table 1 Light - Accent 6"/>
    <w:basedOn w:val="2335"/>
    <w:uiPriority w:val="99"/>
    <w:pPr>
      <w:pBdr/>
      <w:spacing/>
      <w:ind/>
    </w:pPr>
    <w:tblPr>
      <w:tblStyleRowBandSize w:val="1"/>
      <w:tblStyleColBandSize w:val="1"/>
      <w:tblCellMar>
        <w:left w:w="108" w:type="dxa"/>
        <w:top w:w="0" w:type="dxa"/>
        <w:right w:w="108" w:type="dxa"/>
        <w:bottom w:w="0" w:type="dxa"/>
      </w:tblCellMar>
      <w:tblBorders/>
    </w:tblPr>
    <w:tcPr>
      <w:tcBorders/>
    </w:tcPr>
    <w:tblStylePr w:type="band1Horz">
      <w:pPr>
        <w:pBdr/>
        <w:spacing/>
        <w:ind/>
      </w:pPr>
      <w:tblPr>
        <w:tblBorders/>
      </w:tblPr>
      <w:tcPr>
        <w:shd w:val="clear" w:color="fde4d0" w:fill="fde4d0"/>
        <w:tcBorders/>
      </w:tcPr>
    </w:tblStylePr>
    <w:tblStylePr w:type="band1Vert">
      <w:pPr>
        <w:pBdr/>
        <w:spacing/>
        <w:ind/>
      </w:pPr>
      <w:tblPr>
        <w:tblBorders/>
      </w:tblPr>
      <w:tcPr>
        <w:shd w:val="clear" w:color="fde4d0" w:fill="fde4d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top w:val="none" w:color="000000" w:sz="4" w:space="0"/>
          <w:left w:val="none" w:color="000000" w:sz="4" w:space="0"/>
          <w:bottom w:val="single" w:color="f79646" w:sz="4" w:space="0"/>
          <w:right w:val="none" w:color="00000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f7964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99">
    <w:name w:val="List Table 2"/>
    <w:basedOn w:val="2335"/>
    <w:uiPriority w:val="99"/>
    <w:pPr>
      <w:pBdr/>
      <w:spacing/>
      <w:ind/>
    </w:pPr>
    <w:tblPr>
      <w:tblStyleRowBandSize w:val="1"/>
      <w:tblStyleColBandSize w:val="1"/>
      <w:tblCellMar>
        <w:left w:w="108" w:type="dxa"/>
        <w:top w:w="0" w:type="dxa"/>
        <w:right w:w="108" w:type="dxa"/>
        <w:bottom w:w="0" w:type="dxa"/>
      </w:tblCellMar>
      <w:tblBorders>
        <w:top w:val="single" w:color="6f6f6f" w:sz="4" w:space="0"/>
        <w:bottom w:val="single" w:color="6f6f6f" w:sz="4" w:space="0"/>
        <w:insideH w:val="single" w:color="6f6f6f" w:sz="4" w:space="0"/>
      </w:tblBorders>
    </w:tblPr>
    <w:tcPr>
      <w:tcBorders/>
    </w:tcPr>
    <w:tblStylePr w:type="band1Horz">
      <w:rPr>
        <w:sz w:val="22"/>
      </w:rPr>
      <w:pPr>
        <w:pBdr/>
        <w:spacing/>
        <w:ind/>
      </w:pPr>
      <w:tblPr>
        <w:tblBorders/>
      </w:tblPr>
      <w:tcPr>
        <w:shd w:val="clear" w:color="bfbfbf" w:fill="bfbfbf"/>
        <w:tcBorders/>
      </w:tcPr>
    </w:tblStylePr>
    <w:tblStylePr w:type="band1Vert">
      <w:rPr>
        <w:sz w:val="22"/>
      </w:rPr>
      <w:pPr>
        <w:pBdr/>
        <w:spacing/>
        <w:ind/>
      </w:pPr>
      <w:tblPr>
        <w:tblBorders/>
      </w:tblPr>
      <w:tcPr>
        <w:shd w:val="clear" w:color="bfbfbf" w:fill="bfbfb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6f6f6f" w:sz="4" w:space="0"/>
          <w:left w:val="none" w:color="000000" w:sz="4" w:space="0"/>
          <w:bottom w:val="single" w:color="6f6f6f" w:sz="4" w:space="0"/>
          <w:right w:val="non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op w:val="single" w:color="6f6f6f" w:sz="4" w:space="0"/>
          <w:left w:val="none" w:color="000000" w:sz="4" w:space="0"/>
          <w:bottom w:val="single" w:color="6f6f6f"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00" w:customStyle="1">
    <w:name w:val="List Table 2 - Accent 1"/>
    <w:basedOn w:val="2335"/>
    <w:uiPriority w:val="99"/>
    <w:pPr>
      <w:pBdr/>
      <w:spacing/>
      <w:ind/>
    </w:pPr>
    <w:tblPr>
      <w:tblStyleRowBandSize w:val="1"/>
      <w:tblStyleColBandSize w:val="1"/>
      <w:tblCellMar>
        <w:left w:w="108" w:type="dxa"/>
        <w:top w:w="0" w:type="dxa"/>
        <w:right w:w="108" w:type="dxa"/>
        <w:bottom w:w="0" w:type="dxa"/>
      </w:tblCellMar>
      <w:tblBorders>
        <w:top w:val="single" w:color="9bb7d9" w:sz="4" w:space="0"/>
        <w:bottom w:val="single" w:color="9bb7d9" w:sz="4" w:space="0"/>
        <w:insideH w:val="single" w:color="9bb7d9" w:sz="4" w:space="0"/>
      </w:tblBorders>
    </w:tblPr>
    <w:tcPr>
      <w:tcBorders/>
    </w:tcPr>
    <w:tblStylePr w:type="band1Horz">
      <w:rPr>
        <w:sz w:val="22"/>
      </w:rPr>
      <w:pPr>
        <w:pBdr/>
        <w:spacing/>
        <w:ind/>
      </w:pPr>
      <w:tblPr>
        <w:tblBorders/>
      </w:tblPr>
      <w:tcPr>
        <w:shd w:val="clear" w:color="d2dfee" w:fill="d2dfee"/>
        <w:tcBorders/>
      </w:tcPr>
    </w:tblStylePr>
    <w:tblStylePr w:type="band1Vert">
      <w:rPr>
        <w:sz w:val="22"/>
      </w:rPr>
      <w:pPr>
        <w:pBdr/>
        <w:spacing/>
        <w:ind/>
      </w:pPr>
      <w:tblPr>
        <w:tblBorders/>
      </w:tblPr>
      <w:tcPr>
        <w:shd w:val="clear" w:color="d2dfee" w:fill="d2dfe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9bb7d9" w:sz="4" w:space="0"/>
          <w:left w:val="none" w:color="000000" w:sz="4" w:space="0"/>
          <w:bottom w:val="single" w:color="9bb7d9" w:sz="4" w:space="0"/>
          <w:right w:val="non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op w:val="single" w:color="9bb7d9" w:sz="4" w:space="0"/>
          <w:left w:val="none" w:color="000000" w:sz="4" w:space="0"/>
          <w:bottom w:val="single" w:color="9bb7d9"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01" w:customStyle="1">
    <w:name w:val="List Table 2 - Accent 2"/>
    <w:basedOn w:val="2335"/>
    <w:uiPriority w:val="99"/>
    <w:pPr>
      <w:pBdr/>
      <w:spacing/>
      <w:ind/>
    </w:pPr>
    <w:tblPr>
      <w:tblStyleRowBandSize w:val="1"/>
      <w:tblStyleColBandSize w:val="1"/>
      <w:tblCellMar>
        <w:left w:w="108" w:type="dxa"/>
        <w:top w:w="0" w:type="dxa"/>
        <w:right w:w="108" w:type="dxa"/>
        <w:bottom w:w="0" w:type="dxa"/>
      </w:tblCellMar>
      <w:tblBorders>
        <w:top w:val="single" w:color="db9b9a" w:sz="4" w:space="0"/>
        <w:bottom w:val="single" w:color="db9b9a" w:sz="4" w:space="0"/>
        <w:insideH w:val="single" w:color="db9b9a" w:sz="4" w:space="0"/>
      </w:tblBorders>
    </w:tblPr>
    <w:tcPr>
      <w:tcBorders/>
    </w:tcPr>
    <w:tblStylePr w:type="band1Horz">
      <w:rPr>
        <w:sz w:val="22"/>
      </w:rPr>
      <w:pPr>
        <w:pBdr/>
        <w:spacing/>
        <w:ind/>
      </w:pPr>
      <w:tblPr>
        <w:tblBorders/>
      </w:tblPr>
      <w:tcPr>
        <w:shd w:val="clear" w:color="efd2d2" w:fill="efd2d2"/>
        <w:tcBorders/>
      </w:tcPr>
    </w:tblStylePr>
    <w:tblStylePr w:type="band1Vert">
      <w:rPr>
        <w:sz w:val="22"/>
      </w:rPr>
      <w:pPr>
        <w:pBdr/>
        <w:spacing/>
        <w:ind/>
      </w:pPr>
      <w:tblPr>
        <w:tblBorders/>
      </w:tblPr>
      <w:tcPr>
        <w:shd w:val="clear" w:color="efd2d2" w:fill="efd2d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db9b9a" w:sz="4" w:space="0"/>
          <w:left w:val="none" w:color="000000" w:sz="4" w:space="0"/>
          <w:bottom w:val="single" w:color="db9b9a" w:sz="4" w:space="0"/>
          <w:right w:val="non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op w:val="single" w:color="db9b9a" w:sz="4" w:space="0"/>
          <w:left w:val="none" w:color="000000" w:sz="4" w:space="0"/>
          <w:bottom w:val="single" w:color="db9b9a"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02" w:customStyle="1">
    <w:name w:val="List Table 2 - Accent 3"/>
    <w:basedOn w:val="2335"/>
    <w:uiPriority w:val="99"/>
    <w:pPr>
      <w:pBdr/>
      <w:spacing/>
      <w:ind/>
    </w:pPr>
    <w:tblPr>
      <w:tblStyleRowBandSize w:val="1"/>
      <w:tblStyleColBandSize w:val="1"/>
      <w:tblCellMar>
        <w:left w:w="108" w:type="dxa"/>
        <w:top w:w="0" w:type="dxa"/>
        <w:right w:w="108" w:type="dxa"/>
        <w:bottom w:w="0" w:type="dxa"/>
      </w:tblCellMar>
      <w:tblBorders>
        <w:top w:val="single" w:color="c6d8a1" w:sz="4" w:space="0"/>
        <w:bottom w:val="single" w:color="c6d8a1" w:sz="4" w:space="0"/>
        <w:insideH w:val="single" w:color="c6d8a1" w:sz="4" w:space="0"/>
      </w:tblBorders>
    </w:tblPr>
    <w:tcPr>
      <w:tcBorders/>
    </w:tcPr>
    <w:tblStylePr w:type="band1Horz">
      <w:rPr>
        <w:sz w:val="22"/>
      </w:rPr>
      <w:pPr>
        <w:pBdr/>
        <w:spacing/>
        <w:ind/>
      </w:pPr>
      <w:tblPr>
        <w:tblBorders/>
      </w:tblPr>
      <w:tcPr>
        <w:shd w:val="clear" w:color="e5eed5" w:fill="e5eed5"/>
        <w:tcBorders/>
      </w:tcPr>
    </w:tblStylePr>
    <w:tblStylePr w:type="band1Vert">
      <w:rPr>
        <w:sz w:val="22"/>
      </w:rPr>
      <w:pPr>
        <w:pBdr/>
        <w:spacing/>
        <w:ind/>
      </w:pPr>
      <w:tblPr>
        <w:tblBorders/>
      </w:tblPr>
      <w:tcPr>
        <w:shd w:val="clear" w:color="e5eed5" w:fill="e5eed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c6d8a1" w:sz="4" w:space="0"/>
          <w:left w:val="none" w:color="000000" w:sz="4" w:space="0"/>
          <w:bottom w:val="single" w:color="c6d8a1" w:sz="4" w:space="0"/>
          <w:right w:val="non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op w:val="single" w:color="c6d8a1" w:sz="4" w:space="0"/>
          <w:left w:val="none" w:color="000000" w:sz="4" w:space="0"/>
          <w:bottom w:val="single" w:color="c6d8a1"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03" w:customStyle="1">
    <w:name w:val="List Table 2 - Accent 4"/>
    <w:basedOn w:val="2335"/>
    <w:uiPriority w:val="99"/>
    <w:pPr>
      <w:pBdr/>
      <w:spacing/>
      <w:ind/>
    </w:pPr>
    <w:tblPr>
      <w:tblStyleRowBandSize w:val="1"/>
      <w:tblStyleColBandSize w:val="1"/>
      <w:tblCellMar>
        <w:left w:w="108" w:type="dxa"/>
        <w:top w:w="0" w:type="dxa"/>
        <w:right w:w="108" w:type="dxa"/>
        <w:bottom w:w="0" w:type="dxa"/>
      </w:tblCellMar>
      <w:tblBorders>
        <w:top w:val="single" w:color="b7a7ca" w:sz="4" w:space="0"/>
        <w:bottom w:val="single" w:color="b7a7ca" w:sz="4" w:space="0"/>
        <w:insideH w:val="single" w:color="b7a7ca" w:sz="4" w:space="0"/>
      </w:tblBorders>
    </w:tblPr>
    <w:tcPr>
      <w:tcBorders/>
    </w:tcPr>
    <w:tblStylePr w:type="band1Horz">
      <w:rPr>
        <w:sz w:val="22"/>
      </w:rPr>
      <w:pPr>
        <w:pBdr/>
        <w:spacing/>
        <w:ind/>
      </w:pPr>
      <w:tblPr>
        <w:tblBorders/>
      </w:tblPr>
      <w:tcPr>
        <w:shd w:val="clear" w:color="dfd8e7" w:fill="dfd8e7"/>
        <w:tcBorders/>
      </w:tcPr>
    </w:tblStylePr>
    <w:tblStylePr w:type="band1Vert">
      <w:rPr>
        <w:sz w:val="22"/>
      </w:rPr>
      <w:pPr>
        <w:pBdr/>
        <w:spacing/>
        <w:ind/>
      </w:pPr>
      <w:tblPr>
        <w:tblBorders/>
      </w:tblPr>
      <w:tcPr>
        <w:shd w:val="clear" w:color="dfd8e7" w:fill="dfd8e7"/>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b7a7ca" w:sz="4" w:space="0"/>
          <w:left w:val="none" w:color="000000" w:sz="4" w:space="0"/>
          <w:bottom w:val="single" w:color="b7a7ca" w:sz="4" w:space="0"/>
          <w:right w:val="non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op w:val="single" w:color="b7a7ca" w:sz="4" w:space="0"/>
          <w:left w:val="none" w:color="000000" w:sz="4" w:space="0"/>
          <w:bottom w:val="single" w:color="b7a7ca"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04" w:customStyle="1">
    <w:name w:val="List Table 2 - Accent 5"/>
    <w:basedOn w:val="2335"/>
    <w:uiPriority w:val="99"/>
    <w:pPr>
      <w:pBdr/>
      <w:spacing/>
      <w:ind/>
    </w:pPr>
    <w:tblPr>
      <w:tblStyleRowBandSize w:val="1"/>
      <w:tblStyleColBandSize w:val="1"/>
      <w:tblCellMar>
        <w:left w:w="108" w:type="dxa"/>
        <w:top w:w="0" w:type="dxa"/>
        <w:right w:w="108" w:type="dxa"/>
        <w:bottom w:w="0" w:type="dxa"/>
      </w:tblCellMar>
      <w:tblBorders>
        <w:top w:val="single" w:color="99d0de" w:sz="4" w:space="0"/>
        <w:bottom w:val="single" w:color="99d0de" w:sz="4" w:space="0"/>
        <w:insideH w:val="single" w:color="99d0de" w:sz="4" w:space="0"/>
      </w:tblBorders>
    </w:tblPr>
    <w:tcPr>
      <w:tcBorders/>
    </w:tcPr>
    <w:tblStylePr w:type="band1Horz">
      <w:rPr>
        <w:sz w:val="22"/>
      </w:rPr>
      <w:pPr>
        <w:pBdr/>
        <w:spacing/>
        <w:ind/>
      </w:pPr>
      <w:tblPr>
        <w:tblBorders/>
      </w:tblPr>
      <w:tcPr>
        <w:shd w:val="clear" w:color="d1eaf0" w:fill="d1eaf0"/>
        <w:tcBorders/>
      </w:tcPr>
    </w:tblStylePr>
    <w:tblStylePr w:type="band1Vert">
      <w:rPr>
        <w:sz w:val="22"/>
      </w:rPr>
      <w:pPr>
        <w:pBdr/>
        <w:spacing/>
        <w:ind/>
      </w:pPr>
      <w:tblPr>
        <w:tblBorders/>
      </w:tblPr>
      <w:tcPr>
        <w:shd w:val="clear" w:color="d1eaf0" w:fill="d1eaf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99d0de" w:sz="4" w:space="0"/>
          <w:left w:val="none" w:color="000000" w:sz="4" w:space="0"/>
          <w:bottom w:val="single" w:color="99d0de" w:sz="4" w:space="0"/>
          <w:right w:val="non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op w:val="single" w:color="99d0de" w:sz="4" w:space="0"/>
          <w:left w:val="none" w:color="000000" w:sz="4" w:space="0"/>
          <w:bottom w:val="single" w:color="99d0de"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05" w:customStyle="1">
    <w:name w:val="List Table 2 - Accent 6"/>
    <w:basedOn w:val="2335"/>
    <w:uiPriority w:val="99"/>
    <w:pPr>
      <w:pBdr/>
      <w:spacing/>
      <w:ind/>
    </w:pPr>
    <w:tblPr>
      <w:tblStyleRowBandSize w:val="1"/>
      <w:tblStyleColBandSize w:val="1"/>
      <w:tblCellMar>
        <w:left w:w="108" w:type="dxa"/>
        <w:top w:w="0" w:type="dxa"/>
        <w:right w:w="108" w:type="dxa"/>
        <w:bottom w:w="0" w:type="dxa"/>
      </w:tblCellMar>
      <w:tblBorders>
        <w:top w:val="single" w:color="fac396" w:sz="4" w:space="0"/>
        <w:bottom w:val="single" w:color="fac396" w:sz="4" w:space="0"/>
        <w:insideH w:val="single" w:color="fac396" w:sz="4" w:space="0"/>
      </w:tblBorders>
    </w:tblPr>
    <w:tcPr>
      <w:tcBorders/>
    </w:tcPr>
    <w:tblStylePr w:type="band1Horz">
      <w:rPr>
        <w:sz w:val="22"/>
      </w:rPr>
      <w:pPr>
        <w:pBdr/>
        <w:spacing/>
        <w:ind/>
      </w:pPr>
      <w:tblPr>
        <w:tblBorders/>
      </w:tblPr>
      <w:tcPr>
        <w:shd w:val="clear" w:color="fde4d0" w:fill="fde4d0"/>
        <w:tcBorders/>
      </w:tcPr>
    </w:tblStylePr>
    <w:tblStylePr w:type="band1Vert">
      <w:rPr>
        <w:sz w:val="22"/>
      </w:rPr>
      <w:pPr>
        <w:pBdr/>
        <w:spacing/>
        <w:ind/>
      </w:pPr>
      <w:tblPr>
        <w:tblBorders/>
      </w:tblPr>
      <w:tcPr>
        <w:shd w:val="clear" w:color="fde4d0" w:fill="fde4d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sz w:val="22"/>
      </w:rPr>
      <w:pPr>
        <w:pBdr/>
        <w:spacing/>
        <w:ind/>
      </w:pPr>
      <w:tblPr>
        <w:tblBorders/>
      </w:tblPr>
      <w:tcPr>
        <w:tcBorders/>
      </w:tcPr>
    </w:tblStylePr>
    <w:tblStylePr w:type="firstRow">
      <w:rPr>
        <w:b/>
        <w:sz w:val="22"/>
      </w:rPr>
      <w:pPr>
        <w:pBdr/>
        <w:spacing/>
        <w:ind/>
      </w:pPr>
      <w:tblPr>
        <w:tblBorders/>
      </w:tblPr>
      <w:tcPr>
        <w:tcBorders>
          <w:top w:val="single" w:color="fac396" w:sz="4" w:space="0"/>
          <w:left w:val="none" w:color="000000" w:sz="4" w:space="0"/>
          <w:bottom w:val="single" w:color="fac396" w:sz="4" w:space="0"/>
          <w:right w:val="none" w:color="000000" w:sz="4" w:space="0"/>
        </w:tcBorders>
      </w:tcPr>
    </w:tblStylePr>
    <w:tblStylePr w:type="lastCol">
      <w:rPr>
        <w:b/>
        <w:sz w:val="22"/>
      </w:rPr>
      <w:pPr>
        <w:pBdr/>
        <w:spacing/>
        <w:ind/>
      </w:pPr>
      <w:tblPr>
        <w:tblBorders/>
      </w:tblPr>
      <w:tcPr>
        <w:tcBorders/>
      </w:tcPr>
    </w:tblStylePr>
    <w:tblStylePr w:type="lastRow">
      <w:rPr>
        <w:b/>
        <w:sz w:val="22"/>
      </w:rPr>
      <w:pPr>
        <w:pBdr/>
        <w:spacing/>
        <w:ind/>
      </w:pPr>
      <w:tblPr>
        <w:tblBorders/>
      </w:tblPr>
      <w:tcPr>
        <w:tcBorders>
          <w:top w:val="single" w:color="fac396" w:sz="4" w:space="0"/>
          <w:left w:val="none" w:color="000000" w:sz="4" w:space="0"/>
          <w:bottom w:val="single" w:color="fac396"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06">
    <w:name w:val="List Table 3"/>
    <w:basedOn w:val="2335"/>
    <w:uiPriority w:val="99"/>
    <w:pPr>
      <w:pBdr/>
      <w:spacing/>
      <w:ind/>
    </w:pPr>
    <w:tblPr>
      <w:tblStyleRowBandSize w:val="1"/>
      <w:tblStyleColBandSize w:val="1"/>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tblBorders>
    </w:tblPr>
    <w:tcPr>
      <w:tcBorders/>
    </w:tcPr>
    <w:tblStylePr w:type="band1Horz">
      <w:rPr>
        <w:sz w:val="22"/>
      </w:rPr>
      <w:pPr>
        <w:pBdr/>
        <w:spacing/>
        <w:ind/>
      </w:pPr>
      <w:tblPr>
        <w:tblBorders/>
      </w:tblPr>
      <w:tcPr>
        <w:tcBorders>
          <w:top w:val="single" w:color="000000" w:sz="4" w:space="0"/>
          <w:bottom w:val="single" w:color="000000" w:sz="4" w:space="0"/>
        </w:tcBorders>
      </w:tcPr>
    </w:tblStylePr>
    <w:tblStylePr w:type="band1Vert">
      <w:rPr>
        <w:sz w:val="22"/>
      </w:rPr>
      <w:pPr>
        <w:pBdr/>
        <w:spacing/>
        <w:ind/>
      </w:pPr>
      <w:tblPr>
        <w:tblBorders/>
      </w:tblPr>
      <w:tcPr>
        <w:tcBorders>
          <w:left w:val="single" w:color="000000" w:sz="4" w:space="0"/>
          <w:right w:val="singl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000000" w:fill="00000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07" w:customStyle="1">
    <w:name w:val="List Table 3 - Accent 1"/>
    <w:basedOn w:val="2335"/>
    <w:uiPriority w:val="99"/>
    <w:pPr>
      <w:pBdr/>
      <w:spacing/>
      <w:ind/>
    </w:pPr>
    <w:tblPr>
      <w:tblStyleRowBandSize w:val="1"/>
      <w:tblStyleColBandSize w:val="1"/>
      <w:tblCellMar>
        <w:left w:w="108" w:type="dxa"/>
        <w:top w:w="0" w:type="dxa"/>
        <w:right w:w="108" w:type="dxa"/>
        <w:bottom w:w="0" w:type="dxa"/>
      </w:tblCellMar>
      <w:tblBorders>
        <w:top w:val="single" w:color="4f81bd" w:sz="4" w:space="0"/>
        <w:left w:val="single" w:color="4f81bd" w:sz="4" w:space="0"/>
        <w:bottom w:val="single" w:color="4f81bd" w:sz="4" w:space="0"/>
        <w:right w:val="single" w:color="4f81bd" w:sz="4" w:space="0"/>
      </w:tblBorders>
    </w:tblPr>
    <w:tcPr>
      <w:tcBorders/>
    </w:tcPr>
    <w:tblStylePr w:type="band1Horz">
      <w:rPr>
        <w:sz w:val="22"/>
      </w:rPr>
      <w:pPr>
        <w:pBdr/>
        <w:spacing/>
        <w:ind/>
      </w:pPr>
      <w:tblPr>
        <w:tblBorders/>
      </w:tblPr>
      <w:tcPr>
        <w:tcBorders>
          <w:top w:val="single" w:color="4f81bd" w:sz="4" w:space="0"/>
          <w:bottom w:val="single" w:color="4f81bd" w:sz="4" w:space="0"/>
        </w:tcBorders>
      </w:tcPr>
    </w:tblStylePr>
    <w:tblStylePr w:type="band1Vert">
      <w:rPr>
        <w:sz w:val="22"/>
      </w:rPr>
      <w:pPr>
        <w:pBdr/>
        <w:spacing/>
        <w:ind/>
      </w:pPr>
      <w:tblPr>
        <w:tblBorders/>
      </w:tblPr>
      <w:tcPr>
        <w:tcBorders>
          <w:left w:val="single" w:color="4f81bd" w:sz="4" w:space="0"/>
          <w:right w:val="single" w:color="4f81bd"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4f81bd" w:fill="4f81bd"/>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08" w:customStyle="1">
    <w:name w:val="List Table 3 - Accent 2"/>
    <w:basedOn w:val="2335"/>
    <w:uiPriority w:val="99"/>
    <w:pPr>
      <w:pBdr/>
      <w:spacing/>
      <w:ind/>
    </w:pPr>
    <w:tblPr>
      <w:tblStyleRowBandSize w:val="1"/>
      <w:tblStyleColBandSize w:val="1"/>
      <w:tblCellMar>
        <w:left w:w="108" w:type="dxa"/>
        <w:top w:w="0" w:type="dxa"/>
        <w:right w:w="108" w:type="dxa"/>
        <w:bottom w:w="0" w:type="dxa"/>
      </w:tblCellMar>
      <w:tblBorders>
        <w:top w:val="single" w:color="d99695" w:sz="4" w:space="0"/>
        <w:left w:val="single" w:color="d99695" w:sz="4" w:space="0"/>
        <w:bottom w:val="single" w:color="d99695" w:sz="4" w:space="0"/>
        <w:right w:val="single" w:color="d99695" w:sz="4" w:space="0"/>
      </w:tblBorders>
    </w:tblPr>
    <w:tcPr>
      <w:tcBorders/>
    </w:tcPr>
    <w:tblStylePr w:type="band1Horz">
      <w:rPr>
        <w:sz w:val="22"/>
      </w:rPr>
      <w:pPr>
        <w:pBdr/>
        <w:spacing/>
        <w:ind/>
      </w:pPr>
      <w:tblPr>
        <w:tblBorders/>
      </w:tblPr>
      <w:tcPr>
        <w:tcBorders>
          <w:top w:val="single" w:color="d99695" w:sz="4" w:space="0"/>
          <w:bottom w:val="single" w:color="d99695" w:sz="4" w:space="0"/>
        </w:tcBorders>
      </w:tcPr>
    </w:tblStylePr>
    <w:tblStylePr w:type="band1Vert">
      <w:rPr>
        <w:sz w:val="22"/>
      </w:rPr>
      <w:pPr>
        <w:pBdr/>
        <w:spacing/>
        <w:ind/>
      </w:pPr>
      <w:tblPr>
        <w:tblBorders/>
      </w:tblPr>
      <w:tcPr>
        <w:tcBorders>
          <w:left w:val="single" w:color="d99695" w:sz="4" w:space="0"/>
          <w:right w:val="single" w:color="d99695"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d99695" w:fill="d99695"/>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09" w:customStyle="1">
    <w:name w:val="List Table 3 - Accent 3"/>
    <w:basedOn w:val="2335"/>
    <w:uiPriority w:val="99"/>
    <w:pPr>
      <w:pBdr/>
      <w:spacing/>
      <w:ind/>
    </w:pPr>
    <w:tblPr>
      <w:tblStyleRowBandSize w:val="1"/>
      <w:tblStyleColBandSize w:val="1"/>
      <w:tblCellMar>
        <w:left w:w="108" w:type="dxa"/>
        <w:top w:w="0" w:type="dxa"/>
        <w:right w:w="108" w:type="dxa"/>
        <w:bottom w:w="0" w:type="dxa"/>
      </w:tblCellMar>
      <w:tblBorders>
        <w:top w:val="single" w:color="c3d69b" w:sz="4" w:space="0"/>
        <w:left w:val="single" w:color="c3d69b" w:sz="4" w:space="0"/>
        <w:bottom w:val="single" w:color="c3d69b" w:sz="4" w:space="0"/>
        <w:right w:val="single" w:color="c3d69b" w:sz="4" w:space="0"/>
      </w:tblBorders>
    </w:tblPr>
    <w:tcPr>
      <w:tcBorders/>
    </w:tcPr>
    <w:tblStylePr w:type="band1Horz">
      <w:rPr>
        <w:sz w:val="22"/>
      </w:rPr>
      <w:pPr>
        <w:pBdr/>
        <w:spacing/>
        <w:ind/>
      </w:pPr>
      <w:tblPr>
        <w:tblBorders/>
      </w:tblPr>
      <w:tcPr>
        <w:tcBorders>
          <w:top w:val="single" w:color="c3d69b" w:sz="4" w:space="0"/>
          <w:bottom w:val="single" w:color="c3d69b" w:sz="4" w:space="0"/>
        </w:tcBorders>
      </w:tcPr>
    </w:tblStylePr>
    <w:tblStylePr w:type="band1Vert">
      <w:rPr>
        <w:sz w:val="22"/>
      </w:rPr>
      <w:pPr>
        <w:pBdr/>
        <w:spacing/>
        <w:ind/>
      </w:pPr>
      <w:tblPr>
        <w:tblBorders/>
      </w:tblPr>
      <w:tcPr>
        <w:tcBorders>
          <w:left w:val="single" w:color="c3d69b" w:sz="4" w:space="0"/>
          <w:right w:val="single" w:color="c3d69b"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c3d69b" w:fill="c3d69b"/>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0" w:customStyle="1">
    <w:name w:val="List Table 3 - Accent 4"/>
    <w:basedOn w:val="2335"/>
    <w:uiPriority w:val="99"/>
    <w:pPr>
      <w:pBdr/>
      <w:spacing/>
      <w:ind/>
    </w:pPr>
    <w:tblPr>
      <w:tblStyleRowBandSize w:val="1"/>
      <w:tblStyleColBandSize w:val="1"/>
      <w:tblCellMar>
        <w:left w:w="108" w:type="dxa"/>
        <w:top w:w="0" w:type="dxa"/>
        <w:right w:w="108" w:type="dxa"/>
        <w:bottom w:w="0" w:type="dxa"/>
      </w:tblCellMar>
      <w:tblBorders>
        <w:top w:val="single" w:color="b2a1c6" w:sz="4" w:space="0"/>
        <w:left w:val="single" w:color="b2a1c6" w:sz="4" w:space="0"/>
        <w:bottom w:val="single" w:color="b2a1c6" w:sz="4" w:space="0"/>
        <w:right w:val="single" w:color="b2a1c6" w:sz="4" w:space="0"/>
      </w:tblBorders>
    </w:tblPr>
    <w:tcPr>
      <w:tcBorders/>
    </w:tcPr>
    <w:tblStylePr w:type="band1Horz">
      <w:rPr>
        <w:sz w:val="22"/>
      </w:rPr>
      <w:pPr>
        <w:pBdr/>
        <w:spacing/>
        <w:ind/>
      </w:pPr>
      <w:tblPr>
        <w:tblBorders/>
      </w:tblPr>
      <w:tcPr>
        <w:tcBorders>
          <w:top w:val="single" w:color="b2a1c6" w:sz="4" w:space="0"/>
          <w:bottom w:val="single" w:color="b2a1c6" w:sz="4" w:space="0"/>
        </w:tcBorders>
      </w:tcPr>
    </w:tblStylePr>
    <w:tblStylePr w:type="band1Vert">
      <w:rPr>
        <w:sz w:val="22"/>
      </w:rPr>
      <w:pPr>
        <w:pBdr/>
        <w:spacing/>
        <w:ind/>
      </w:pPr>
      <w:tblPr>
        <w:tblBorders/>
      </w:tblPr>
      <w:tcPr>
        <w:tcBorders>
          <w:left w:val="single" w:color="b2a1c6" w:sz="4" w:space="0"/>
          <w:right w:val="single" w:color="b2a1c6"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b2a1c6" w:fill="b2a1c6"/>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1" w:customStyle="1">
    <w:name w:val="List Table 3 - Accent 5"/>
    <w:basedOn w:val="2335"/>
    <w:uiPriority w:val="99"/>
    <w:pPr>
      <w:pBdr/>
      <w:spacing/>
      <w:ind/>
    </w:pPr>
    <w:tblPr>
      <w:tblStyleRowBandSize w:val="1"/>
      <w:tblStyleColBandSize w:val="1"/>
      <w:tblCellMar>
        <w:left w:w="108" w:type="dxa"/>
        <w:top w:w="0" w:type="dxa"/>
        <w:right w:w="108" w:type="dxa"/>
        <w:bottom w:w="0" w:type="dxa"/>
      </w:tblCellMar>
      <w:tblBorders>
        <w:top w:val="single" w:color="92ccdc" w:sz="4" w:space="0"/>
        <w:left w:val="single" w:color="92ccdc" w:sz="4" w:space="0"/>
        <w:bottom w:val="single" w:color="92ccdc" w:sz="4" w:space="0"/>
        <w:right w:val="single" w:color="92ccdc" w:sz="4" w:space="0"/>
      </w:tblBorders>
    </w:tblPr>
    <w:tcPr>
      <w:tcBorders/>
    </w:tcPr>
    <w:tblStylePr w:type="band1Horz">
      <w:rPr>
        <w:sz w:val="22"/>
      </w:rPr>
      <w:pPr>
        <w:pBdr/>
        <w:spacing/>
        <w:ind/>
      </w:pPr>
      <w:tblPr>
        <w:tblBorders/>
      </w:tblPr>
      <w:tcPr>
        <w:tcBorders>
          <w:top w:val="single" w:color="92ccdc" w:sz="4" w:space="0"/>
          <w:bottom w:val="single" w:color="92ccdc" w:sz="4" w:space="0"/>
        </w:tcBorders>
      </w:tcPr>
    </w:tblStylePr>
    <w:tblStylePr w:type="band1Vert">
      <w:rPr>
        <w:sz w:val="22"/>
      </w:rPr>
      <w:pPr>
        <w:pBdr/>
        <w:spacing/>
        <w:ind/>
      </w:pPr>
      <w:tblPr>
        <w:tblBorders/>
      </w:tblPr>
      <w:tcPr>
        <w:tcBorders>
          <w:left w:val="single" w:color="92ccdc" w:sz="4" w:space="0"/>
          <w:right w:val="single" w:color="92ccdc"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92ccdc" w:fill="92ccdc"/>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2" w:customStyle="1">
    <w:name w:val="List Table 3 - Accent 6"/>
    <w:basedOn w:val="2335"/>
    <w:uiPriority w:val="99"/>
    <w:pPr>
      <w:pBdr/>
      <w:spacing/>
      <w:ind/>
    </w:pPr>
    <w:tblPr>
      <w:tblStyleRowBandSize w:val="1"/>
      <w:tblStyleColBandSize w:val="1"/>
      <w:tblCellMar>
        <w:left w:w="108" w:type="dxa"/>
        <w:top w:w="0" w:type="dxa"/>
        <w:right w:w="108" w:type="dxa"/>
        <w:bottom w:w="0" w:type="dxa"/>
      </w:tblCellMar>
      <w:tblBorders>
        <w:top w:val="single" w:color="fac090" w:sz="4" w:space="0"/>
        <w:left w:val="single" w:color="fac090" w:sz="4" w:space="0"/>
        <w:bottom w:val="single" w:color="fac090" w:sz="4" w:space="0"/>
        <w:right w:val="single" w:color="fac090" w:sz="4" w:space="0"/>
      </w:tblBorders>
    </w:tblPr>
    <w:tcPr>
      <w:tcBorders/>
    </w:tcPr>
    <w:tblStylePr w:type="band1Horz">
      <w:rPr>
        <w:sz w:val="22"/>
      </w:rPr>
      <w:pPr>
        <w:pBdr/>
        <w:spacing/>
        <w:ind/>
      </w:pPr>
      <w:tblPr>
        <w:tblBorders/>
      </w:tblPr>
      <w:tcPr>
        <w:tcBorders>
          <w:top w:val="single" w:color="fac090" w:sz="4" w:space="0"/>
          <w:bottom w:val="single" w:color="fac090" w:sz="4" w:space="0"/>
        </w:tcBorders>
      </w:tcPr>
    </w:tblStylePr>
    <w:tblStylePr w:type="band1Vert">
      <w:rPr>
        <w:sz w:val="22"/>
      </w:rPr>
      <w:pPr>
        <w:pBdr/>
        <w:spacing/>
        <w:ind/>
      </w:pPr>
      <w:tblPr>
        <w:tblBorders/>
      </w:tblPr>
      <w:tcPr>
        <w:tcBorders>
          <w:left w:val="single" w:color="fac090" w:sz="4" w:space="0"/>
          <w:right w:val="single" w:color="fac09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ac090" w:fill="fac09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3">
    <w:name w:val="List Table 4"/>
    <w:basedOn w:val="2335"/>
    <w:uiPriority w:val="99"/>
    <w:pPr>
      <w:pBdr/>
      <w:spacing/>
      <w:ind/>
    </w:pPr>
    <w:tblPr>
      <w:tblStyleRowBandSize w:val="1"/>
      <w:tblStyleColBandSize w:val="1"/>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tblBorders>
    </w:tblPr>
    <w:tcPr>
      <w:tcBorders/>
    </w:tcPr>
    <w:tblStylePr w:type="band1Horz">
      <w:rPr>
        <w:sz w:val="22"/>
      </w:rPr>
      <w:pPr>
        <w:pBdr/>
        <w:spacing/>
        <w:ind/>
      </w:pPr>
      <w:tblPr>
        <w:tblBorders/>
      </w:tblPr>
      <w:tcPr>
        <w:shd w:val="clear" w:color="bfbfbf" w:fill="bfbfbf"/>
        <w:tcBorders/>
      </w:tcPr>
    </w:tblStylePr>
    <w:tblStylePr w:type="band1Vert">
      <w:rPr>
        <w:sz w:val="22"/>
      </w:rPr>
      <w:pPr>
        <w:pBdr/>
        <w:spacing/>
        <w:ind/>
      </w:pPr>
      <w:tblPr>
        <w:tblBorders/>
      </w:tblPr>
      <w:tcPr>
        <w:shd w:val="clear" w:color="bfbfbf" w:fill="bfbfb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000000" w:fill="000000"/>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4" w:customStyle="1">
    <w:name w:val="List Table 4 - Accent 1"/>
    <w:basedOn w:val="2335"/>
    <w:uiPriority w:val="99"/>
    <w:pPr>
      <w:pBdr/>
      <w:spacing/>
      <w:ind/>
    </w:pPr>
    <w:tblPr>
      <w:tblStyleRowBandSize w:val="1"/>
      <w:tblStyleColBandSize w:val="1"/>
      <w:tblCellMar>
        <w:left w:w="108" w:type="dxa"/>
        <w:top w:w="0" w:type="dxa"/>
        <w:right w:w="108" w:type="dxa"/>
        <w:bottom w:w="0" w:type="dxa"/>
      </w:tblCellMar>
      <w:tblBorders>
        <w:top w:val="single" w:color="9bb7d9" w:sz="4" w:space="0"/>
        <w:left w:val="single" w:color="9bb7d9" w:sz="4" w:space="0"/>
        <w:bottom w:val="single" w:color="9bb7d9" w:sz="4" w:space="0"/>
        <w:right w:val="single" w:color="9bb7d9" w:sz="4" w:space="0"/>
        <w:insideH w:val="single" w:color="9bb7d9" w:sz="4" w:space="0"/>
      </w:tblBorders>
    </w:tblPr>
    <w:tcPr>
      <w:tcBorders/>
    </w:tcPr>
    <w:tblStylePr w:type="band1Horz">
      <w:rPr>
        <w:sz w:val="22"/>
      </w:rPr>
      <w:pPr>
        <w:pBdr/>
        <w:spacing/>
        <w:ind/>
      </w:pPr>
      <w:tblPr>
        <w:tblBorders/>
      </w:tblPr>
      <w:tcPr>
        <w:shd w:val="clear" w:color="d2dfee" w:fill="d2dfee"/>
        <w:tcBorders/>
      </w:tcPr>
    </w:tblStylePr>
    <w:tblStylePr w:type="band1Vert">
      <w:rPr>
        <w:sz w:val="22"/>
      </w:rPr>
      <w:pPr>
        <w:pBdr/>
        <w:spacing/>
        <w:ind/>
      </w:pPr>
      <w:tblPr>
        <w:tblBorders/>
      </w:tblPr>
      <w:tcPr>
        <w:shd w:val="clear" w:color="d2dfee" w:fill="d2dfe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4f81bd" w:fill="4f81bd"/>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5" w:customStyle="1">
    <w:name w:val="List Table 4 - Accent 2"/>
    <w:basedOn w:val="2335"/>
    <w:uiPriority w:val="99"/>
    <w:pPr>
      <w:pBdr/>
      <w:spacing/>
      <w:ind/>
    </w:pPr>
    <w:tblPr>
      <w:tblStyleRowBandSize w:val="1"/>
      <w:tblStyleColBandSize w:val="1"/>
      <w:tblCellMar>
        <w:left w:w="108" w:type="dxa"/>
        <w:top w:w="0" w:type="dxa"/>
        <w:right w:w="108" w:type="dxa"/>
        <w:bottom w:w="0" w:type="dxa"/>
      </w:tblCellMar>
      <w:tblBorders>
        <w:top w:val="single" w:color="db9b9a" w:sz="4" w:space="0"/>
        <w:left w:val="single" w:color="db9b9a" w:sz="4" w:space="0"/>
        <w:bottom w:val="single" w:color="db9b9a" w:sz="4" w:space="0"/>
        <w:right w:val="single" w:color="db9b9a" w:sz="4" w:space="0"/>
        <w:insideH w:val="single" w:color="db9b9a" w:sz="4" w:space="0"/>
      </w:tblBorders>
    </w:tblPr>
    <w:tcPr>
      <w:tcBorders/>
    </w:tcPr>
    <w:tblStylePr w:type="band1Horz">
      <w:rPr>
        <w:sz w:val="22"/>
      </w:rPr>
      <w:pPr>
        <w:pBdr/>
        <w:spacing/>
        <w:ind/>
      </w:pPr>
      <w:tblPr>
        <w:tblBorders/>
      </w:tblPr>
      <w:tcPr>
        <w:shd w:val="clear" w:color="efd2d2" w:fill="efd2d2"/>
        <w:tcBorders/>
      </w:tcPr>
    </w:tblStylePr>
    <w:tblStylePr w:type="band1Vert">
      <w:rPr>
        <w:sz w:val="22"/>
      </w:rPr>
      <w:pPr>
        <w:pBdr/>
        <w:spacing/>
        <w:ind/>
      </w:pPr>
      <w:tblPr>
        <w:tblBorders/>
      </w:tblPr>
      <w:tcPr>
        <w:shd w:val="clear" w:color="efd2d2" w:fill="efd2d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c0504d" w:fill="c0504d"/>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6" w:customStyle="1">
    <w:name w:val="List Table 4 - Accent 3"/>
    <w:basedOn w:val="2335"/>
    <w:uiPriority w:val="99"/>
    <w:pPr>
      <w:pBdr/>
      <w:spacing/>
      <w:ind/>
    </w:pPr>
    <w:tblPr>
      <w:tblStyleRowBandSize w:val="1"/>
      <w:tblStyleColBandSize w:val="1"/>
      <w:tblCellMar>
        <w:left w:w="108" w:type="dxa"/>
        <w:top w:w="0" w:type="dxa"/>
        <w:right w:w="108" w:type="dxa"/>
        <w:bottom w:w="0" w:type="dxa"/>
      </w:tblCellMar>
      <w:tblBorders>
        <w:top w:val="single" w:color="c6d8a1" w:sz="4" w:space="0"/>
        <w:left w:val="single" w:color="c6d8a1" w:sz="4" w:space="0"/>
        <w:bottom w:val="single" w:color="c6d8a1" w:sz="4" w:space="0"/>
        <w:right w:val="single" w:color="c6d8a1" w:sz="4" w:space="0"/>
        <w:insideH w:val="single" w:color="c6d8a1" w:sz="4" w:space="0"/>
      </w:tblBorders>
    </w:tblPr>
    <w:tcPr>
      <w:tcBorders/>
    </w:tcPr>
    <w:tblStylePr w:type="band1Horz">
      <w:rPr>
        <w:sz w:val="22"/>
      </w:rPr>
      <w:pPr>
        <w:pBdr/>
        <w:spacing/>
        <w:ind/>
      </w:pPr>
      <w:tblPr>
        <w:tblBorders/>
      </w:tblPr>
      <w:tcPr>
        <w:shd w:val="clear" w:color="e5eed5" w:fill="e5eed5"/>
        <w:tcBorders/>
      </w:tcPr>
    </w:tblStylePr>
    <w:tblStylePr w:type="band1Vert">
      <w:rPr>
        <w:sz w:val="22"/>
      </w:rPr>
      <w:pPr>
        <w:pBdr/>
        <w:spacing/>
        <w:ind/>
      </w:pPr>
      <w:tblPr>
        <w:tblBorders/>
      </w:tblPr>
      <w:tcPr>
        <w:shd w:val="clear" w:color="e5eed5" w:fill="e5eed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9bbb59" w:fill="9bbb59"/>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7" w:customStyle="1">
    <w:name w:val="List Table 4 - Accent 4"/>
    <w:basedOn w:val="2335"/>
    <w:uiPriority w:val="99"/>
    <w:pPr>
      <w:pBdr/>
      <w:spacing/>
      <w:ind/>
    </w:pPr>
    <w:tblPr>
      <w:tblStyleRowBandSize w:val="1"/>
      <w:tblStyleColBandSize w:val="1"/>
      <w:tblCellMar>
        <w:left w:w="108" w:type="dxa"/>
        <w:top w:w="0" w:type="dxa"/>
        <w:right w:w="108" w:type="dxa"/>
        <w:bottom w:w="0" w:type="dxa"/>
      </w:tblCellMar>
      <w:tblBorders>
        <w:top w:val="single" w:color="b7a7ca" w:sz="4" w:space="0"/>
        <w:left w:val="single" w:color="b7a7ca" w:sz="4" w:space="0"/>
        <w:bottom w:val="single" w:color="b7a7ca" w:sz="4" w:space="0"/>
        <w:right w:val="single" w:color="b7a7ca" w:sz="4" w:space="0"/>
        <w:insideH w:val="single" w:color="b7a7ca" w:sz="4" w:space="0"/>
      </w:tblBorders>
    </w:tblPr>
    <w:tcPr>
      <w:tcBorders/>
    </w:tcPr>
    <w:tblStylePr w:type="band1Horz">
      <w:rPr>
        <w:sz w:val="22"/>
      </w:rPr>
      <w:pPr>
        <w:pBdr/>
        <w:spacing/>
        <w:ind/>
      </w:pPr>
      <w:tblPr>
        <w:tblBorders/>
      </w:tblPr>
      <w:tcPr>
        <w:shd w:val="clear" w:color="dfd8e7" w:fill="dfd8e7"/>
        <w:tcBorders/>
      </w:tcPr>
    </w:tblStylePr>
    <w:tblStylePr w:type="band1Vert">
      <w:rPr>
        <w:sz w:val="22"/>
      </w:rPr>
      <w:pPr>
        <w:pBdr/>
        <w:spacing/>
        <w:ind/>
      </w:pPr>
      <w:tblPr>
        <w:tblBorders/>
      </w:tblPr>
      <w:tcPr>
        <w:shd w:val="clear" w:color="dfd8e7" w:fill="dfd8e7"/>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8064a2" w:fill="8064a2"/>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8" w:customStyle="1">
    <w:name w:val="List Table 4 - Accent 5"/>
    <w:basedOn w:val="2335"/>
    <w:uiPriority w:val="99"/>
    <w:pPr>
      <w:pBdr/>
      <w:spacing/>
      <w:ind/>
    </w:pPr>
    <w:tblPr>
      <w:tblStyleRowBandSize w:val="1"/>
      <w:tblStyleColBandSize w:val="1"/>
      <w:tblCellMar>
        <w:left w:w="108" w:type="dxa"/>
        <w:top w:w="0" w:type="dxa"/>
        <w:right w:w="108" w:type="dxa"/>
        <w:bottom w:w="0" w:type="dxa"/>
      </w:tblCellMar>
      <w:tblBorders>
        <w:top w:val="single" w:color="99d0de" w:sz="4" w:space="0"/>
        <w:left w:val="single" w:color="99d0de" w:sz="4" w:space="0"/>
        <w:bottom w:val="single" w:color="99d0de" w:sz="4" w:space="0"/>
        <w:right w:val="single" w:color="99d0de" w:sz="4" w:space="0"/>
        <w:insideH w:val="single" w:color="99d0de" w:sz="4" w:space="0"/>
      </w:tblBorders>
    </w:tblPr>
    <w:tcPr>
      <w:tcBorders/>
    </w:tcPr>
    <w:tblStylePr w:type="band1Horz">
      <w:rPr>
        <w:sz w:val="22"/>
      </w:rPr>
      <w:pPr>
        <w:pBdr/>
        <w:spacing/>
        <w:ind/>
      </w:pPr>
      <w:tblPr>
        <w:tblBorders/>
      </w:tblPr>
      <w:tcPr>
        <w:shd w:val="clear" w:color="d1eaf0" w:fill="d1eaf0"/>
        <w:tcBorders/>
      </w:tcPr>
    </w:tblStylePr>
    <w:tblStylePr w:type="band1Vert">
      <w:rPr>
        <w:sz w:val="22"/>
      </w:rPr>
      <w:pPr>
        <w:pBdr/>
        <w:spacing/>
        <w:ind/>
      </w:pPr>
      <w:tblPr>
        <w:tblBorders/>
      </w:tblPr>
      <w:tcPr>
        <w:shd w:val="clear" w:color="d1eaf0" w:fill="d1eaf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4bacc6" w:fill="4bacc6"/>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9" w:customStyle="1">
    <w:name w:val="List Table 4 - Accent 6"/>
    <w:basedOn w:val="2335"/>
    <w:uiPriority w:val="99"/>
    <w:pPr>
      <w:pBdr/>
      <w:spacing/>
      <w:ind/>
    </w:pPr>
    <w:tblPr>
      <w:tblStyleRowBandSize w:val="1"/>
      <w:tblStyleColBandSize w:val="1"/>
      <w:tblCellMar>
        <w:left w:w="108" w:type="dxa"/>
        <w:top w:w="0" w:type="dxa"/>
        <w:right w:w="108" w:type="dxa"/>
        <w:bottom w:w="0" w:type="dxa"/>
      </w:tblCellMar>
      <w:tblBorders>
        <w:top w:val="single" w:color="fac396" w:sz="4" w:space="0"/>
        <w:left w:val="single" w:color="fac396" w:sz="4" w:space="0"/>
        <w:bottom w:val="single" w:color="fac396" w:sz="4" w:space="0"/>
        <w:right w:val="single" w:color="fac396" w:sz="4" w:space="0"/>
        <w:insideH w:val="single" w:color="fac396" w:sz="4" w:space="0"/>
      </w:tblBorders>
    </w:tblPr>
    <w:tcPr>
      <w:tcBorders/>
    </w:tcPr>
    <w:tblStylePr w:type="band1Horz">
      <w:rPr>
        <w:sz w:val="22"/>
      </w:rPr>
      <w:pPr>
        <w:pBdr/>
        <w:spacing/>
        <w:ind/>
      </w:pPr>
      <w:tblPr>
        <w:tblBorders/>
      </w:tblPr>
      <w:tcPr>
        <w:shd w:val="clear" w:color="fde4d0" w:fill="fde4d0"/>
        <w:tcBorders/>
      </w:tcPr>
    </w:tblStylePr>
    <w:tblStylePr w:type="band1Vert">
      <w:rPr>
        <w:sz w:val="22"/>
      </w:rPr>
      <w:pPr>
        <w:pBdr/>
        <w:spacing/>
        <w:ind/>
      </w:pPr>
      <w:tblPr>
        <w:tblBorders/>
      </w:tblPr>
      <w:tcPr>
        <w:shd w:val="clear" w:color="fde4d0" w:fill="fde4d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sz w:val="22"/>
      </w:rPr>
      <w:pPr>
        <w:pBdr/>
        <w:spacing/>
        <w:ind/>
      </w:pPr>
      <w:tblPr>
        <w:tblBorders/>
      </w:tblPr>
      <w:tcPr>
        <w:shd w:val="clear" w:color="f79646" w:fill="f79646"/>
        <w:tcBorders/>
      </w:tcPr>
    </w:tblStylePr>
    <w:tblStylePr w:type="lastCol">
      <w:rPr>
        <w:b/>
      </w:rPr>
      <w:pPr>
        <w:pBdr/>
        <w:spacing/>
        <w:ind/>
      </w:pPr>
      <w:tblPr>
        <w:tblBorders/>
      </w:tblPr>
      <w:tcPr>
        <w:tcBorders/>
      </w:tcPr>
    </w:tblStylePr>
    <w:tblStylePr w:type="lastRow">
      <w:rPr>
        <w:b/>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0">
    <w:name w:val="List Table 5 Dark"/>
    <w:basedOn w:val="2335"/>
    <w:uiPriority w:val="99"/>
    <w:pPr>
      <w:pBdr/>
      <w:spacing/>
      <w:ind/>
    </w:pPr>
    <w:tblPr>
      <w:tblStyleRowBandSize w:val="1"/>
      <w:tblStyleColBandSize w:val="1"/>
      <w:tblCellMar>
        <w:left w:w="108" w:type="dxa"/>
        <w:top w:w="0" w:type="dxa"/>
        <w:right w:w="108" w:type="dxa"/>
        <w:bottom w:w="0" w:type="dxa"/>
      </w:tblCellMar>
      <w:tblBorders>
        <w:top w:val="single" w:color="7f7f7f" w:sz="32" w:space="0"/>
        <w:left w:val="single" w:color="7f7f7f" w:sz="32" w:space="0"/>
        <w:bottom w:val="single" w:color="7f7f7f" w:sz="32" w:space="0"/>
        <w:right w:val="single" w:color="7f7f7f" w:sz="32" w:space="0"/>
      </w:tblBorders>
    </w:tblPr>
    <w:tcPr>
      <w:tcBorders/>
    </w:tcPr>
    <w:tblStylePr w:type="band1Horz">
      <w:pPr>
        <w:pBdr/>
        <w:spacing/>
        <w:ind/>
      </w:pPr>
      <w:tblPr>
        <w:tblBorders/>
      </w:tblPr>
      <w:tcPr>
        <w:shd w:val="clear" w:color="7f7f7f" w:fill="7f7f7f"/>
        <w:tcBorders>
          <w:top w:val="single" w:color="ffffff" w:sz="4" w:space="0"/>
          <w:bottom w:val="single" w:color="ffffff" w:sz="4" w:space="0"/>
        </w:tcBorders>
      </w:tcPr>
    </w:tblStylePr>
    <w:tblStylePr w:type="band1Vert">
      <w:pPr>
        <w:pBdr/>
        <w:spacing/>
        <w:ind/>
      </w:pPr>
      <w:tblPr>
        <w:tblBorders/>
      </w:tblPr>
      <w:tcPr>
        <w:shd w:val="clear" w:color="7f7f7f" w:fill="7f7f7f"/>
        <w:tcBorders>
          <w:left w:val="single" w:color="ffffff" w:sz="4" w:space="0"/>
          <w:right w:val="single" w:color="ffffff" w:sz="4" w:space="0"/>
        </w:tcBorders>
      </w:tcPr>
    </w:tblStylePr>
    <w:tblStylePr w:type="band2Horz">
      <w:pPr>
        <w:pBdr/>
        <w:spacing/>
        <w:ind/>
      </w:pPr>
      <w:tblPr>
        <w:tblBorders/>
      </w:tblPr>
      <w:tcPr>
        <w:shd w:val="clear" w:color="7f7f7f" w:fill="7f7f7f"/>
        <w:tcBorders>
          <w:top w:val="single" w:color="ffffff" w:sz="4" w:space="0"/>
          <w:bottom w:val="single" w:color="ffffff" w:sz="4" w:space="0"/>
        </w:tcBorders>
      </w:tcPr>
    </w:tblStylePr>
    <w:tblStylePr w:type="band2Vert">
      <w:pPr>
        <w:pBdr/>
        <w:spacing/>
        <w:ind/>
      </w:pPr>
      <w:tblPr>
        <w:tblBorders/>
      </w:tblPr>
      <w:tcPr>
        <w:tcBorders>
          <w:left w:val="single" w:color="ffffff" w:sz="4" w:space="0"/>
          <w:right w:val="single" w:color="ffffff" w:sz="4" w:space="0"/>
        </w:tcBorders>
      </w:tcPr>
    </w:tblStylePr>
    <w:tblStylePr w:type="firstCol">
      <w:rPr>
        <w:b/>
        <w:sz w:val="22"/>
      </w:rPr>
      <w:pPr>
        <w:pBdr/>
        <w:spacing/>
        <w:ind/>
      </w:pPr>
      <w:tblPr>
        <w:tblBorders/>
      </w:tblPr>
      <w:tcPr>
        <w:tcBorders>
          <w:left w:val="single" w:color="7f7f7f" w:sz="32" w:space="0"/>
          <w:right w:val="single" w:color="ffffff" w:sz="4" w:space="0"/>
        </w:tcBorders>
      </w:tcPr>
    </w:tblStylePr>
    <w:tblStylePr w:type="firstRow">
      <w:rPr>
        <w:b/>
        <w:sz w:val="22"/>
      </w:rPr>
      <w:pPr>
        <w:pBdr/>
        <w:spacing/>
        <w:ind/>
      </w:pPr>
      <w:tblPr>
        <w:tblBorders/>
      </w:tblPr>
      <w:tcPr>
        <w:shd w:val="clear" w:color="7f7f7f" w:fill="7f7f7f"/>
        <w:tcBorders>
          <w:top w:val="single" w:color="7f7f7f" w:sz="32" w:space="0"/>
          <w:bottom w:val="single" w:color="ffffff" w:sz="12" w:space="0"/>
        </w:tcBorders>
      </w:tcPr>
    </w:tblStylePr>
    <w:tblStylePr w:type="lastCol">
      <w:pPr>
        <w:pBdr/>
        <w:spacing/>
        <w:ind/>
      </w:pPr>
      <w:tblPr>
        <w:tblBorders/>
      </w:tblPr>
      <w:tcPr>
        <w:tcBorders>
          <w:left w:val="single" w:color="ffffff" w:sz="4" w:space="0"/>
          <w:right w:val="single" w:color="7f7f7f" w:sz="32" w:space="0"/>
        </w:tcBorders>
      </w:tcPr>
    </w:tblStylePr>
    <w:tblStylePr w:type="lastRow">
      <w:rPr>
        <w:b/>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1" w:customStyle="1">
    <w:name w:val="List Table 5 Dark - Accent 1"/>
    <w:basedOn w:val="2335"/>
    <w:uiPriority w:val="99"/>
    <w:pPr>
      <w:pBdr/>
      <w:spacing/>
      <w:ind/>
    </w:pPr>
    <w:tblPr>
      <w:tblStyleRowBandSize w:val="1"/>
      <w:tblStyleColBandSize w:val="1"/>
      <w:tblCellMar>
        <w:left w:w="108" w:type="dxa"/>
        <w:top w:w="0" w:type="dxa"/>
        <w:right w:w="108" w:type="dxa"/>
        <w:bottom w:w="0" w:type="dxa"/>
      </w:tblCellMar>
      <w:tblBorders>
        <w:top w:val="single" w:color="4f81bd" w:sz="32" w:space="0"/>
        <w:left w:val="single" w:color="4f81bd" w:sz="32" w:space="0"/>
        <w:bottom w:val="single" w:color="4f81bd" w:sz="32" w:space="0"/>
        <w:right w:val="single" w:color="4f81bd" w:sz="32" w:space="0"/>
      </w:tblBorders>
    </w:tblPr>
    <w:tcPr>
      <w:tcBorders/>
    </w:tcPr>
    <w:tblStylePr w:type="band1Horz">
      <w:pPr>
        <w:pBdr/>
        <w:spacing/>
        <w:ind/>
      </w:pPr>
      <w:tblPr>
        <w:tblBorders/>
      </w:tblPr>
      <w:tcPr>
        <w:shd w:val="clear" w:color="4f81bd" w:fill="4f81bd"/>
        <w:tcBorders>
          <w:top w:val="single" w:color="ffffff" w:sz="4" w:space="0"/>
          <w:bottom w:val="single" w:color="ffffff" w:sz="4" w:space="0"/>
        </w:tcBorders>
      </w:tcPr>
    </w:tblStylePr>
    <w:tblStylePr w:type="band1Vert">
      <w:pPr>
        <w:pBdr/>
        <w:spacing/>
        <w:ind/>
      </w:pPr>
      <w:tblPr>
        <w:tblBorders/>
      </w:tblPr>
      <w:tcPr>
        <w:shd w:val="clear" w:color="4f81bd" w:fill="4f81bd"/>
        <w:tcBorders>
          <w:left w:val="single" w:color="ffffff" w:sz="4" w:space="0"/>
          <w:right w:val="single" w:color="ffffff" w:sz="4" w:space="0"/>
        </w:tcBorders>
      </w:tcPr>
    </w:tblStylePr>
    <w:tblStylePr w:type="band2Horz">
      <w:pPr>
        <w:pBdr/>
        <w:spacing/>
        <w:ind/>
      </w:pPr>
      <w:tblPr>
        <w:tblBorders/>
      </w:tblPr>
      <w:tcPr>
        <w:shd w:val="clear" w:color="4f81bd" w:fill="4f81bd"/>
        <w:tcBorders>
          <w:top w:val="single" w:color="ffffff" w:sz="4" w:space="0"/>
          <w:bottom w:val="single" w:color="ffffff" w:sz="4" w:space="0"/>
        </w:tcBorders>
      </w:tcPr>
    </w:tblStylePr>
    <w:tblStylePr w:type="band2Vert">
      <w:pPr>
        <w:pBdr/>
        <w:spacing/>
        <w:ind/>
      </w:pPr>
      <w:tblPr>
        <w:tblBorders/>
      </w:tblPr>
      <w:tcPr>
        <w:tcBorders>
          <w:left w:val="single" w:color="ffffff" w:sz="4" w:space="0"/>
          <w:right w:val="single" w:color="ffffff" w:sz="4" w:space="0"/>
        </w:tcBorders>
      </w:tcPr>
    </w:tblStylePr>
    <w:tblStylePr w:type="firstCol">
      <w:rPr>
        <w:b/>
        <w:sz w:val="22"/>
      </w:rPr>
      <w:pPr>
        <w:pBdr/>
        <w:spacing/>
        <w:ind/>
      </w:pPr>
      <w:tblPr>
        <w:tblBorders/>
      </w:tblPr>
      <w:tcPr>
        <w:tcBorders>
          <w:left w:val="single" w:color="4f81bd" w:sz="32" w:space="0"/>
          <w:right w:val="single" w:color="ffffff" w:sz="4" w:space="0"/>
        </w:tcBorders>
      </w:tcPr>
    </w:tblStylePr>
    <w:tblStylePr w:type="firstRow">
      <w:rPr>
        <w:b/>
        <w:sz w:val="22"/>
      </w:rPr>
      <w:pPr>
        <w:pBdr/>
        <w:spacing/>
        <w:ind/>
      </w:pPr>
      <w:tblPr>
        <w:tblBorders/>
      </w:tblPr>
      <w:tcPr>
        <w:shd w:val="clear" w:color="4f81bd" w:fill="4f81bd"/>
        <w:tcBorders>
          <w:top w:val="single" w:color="4f81bd" w:sz="32" w:space="0"/>
          <w:bottom w:val="single" w:color="ffffff" w:sz="12" w:space="0"/>
        </w:tcBorders>
      </w:tcPr>
    </w:tblStylePr>
    <w:tblStylePr w:type="lastCol">
      <w:pPr>
        <w:pBdr/>
        <w:spacing/>
        <w:ind/>
      </w:pPr>
      <w:tblPr>
        <w:tblBorders/>
      </w:tblPr>
      <w:tcPr>
        <w:tcBorders>
          <w:left w:val="single" w:color="ffffff" w:sz="4" w:space="0"/>
          <w:right w:val="single" w:color="4f81bd" w:sz="32" w:space="0"/>
        </w:tcBorders>
      </w:tcPr>
    </w:tblStylePr>
    <w:tblStylePr w:type="lastRow">
      <w:rPr>
        <w:b/>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2" w:customStyle="1">
    <w:name w:val="List Table 5 Dark - Accent 2"/>
    <w:basedOn w:val="2335"/>
    <w:uiPriority w:val="99"/>
    <w:pPr>
      <w:pBdr/>
      <w:spacing/>
      <w:ind/>
    </w:pPr>
    <w:tblPr>
      <w:tblStyleRowBandSize w:val="1"/>
      <w:tblStyleColBandSize w:val="1"/>
      <w:tblCellMar>
        <w:left w:w="108" w:type="dxa"/>
        <w:top w:w="0" w:type="dxa"/>
        <w:right w:w="108" w:type="dxa"/>
        <w:bottom w:w="0" w:type="dxa"/>
      </w:tblCellMar>
      <w:tblBorders>
        <w:top w:val="single" w:color="d99695" w:sz="32" w:space="0"/>
        <w:left w:val="single" w:color="d99695" w:sz="32" w:space="0"/>
        <w:bottom w:val="single" w:color="d99695" w:sz="32" w:space="0"/>
        <w:right w:val="single" w:color="d99695" w:sz="32" w:space="0"/>
      </w:tblBorders>
    </w:tblPr>
    <w:tcPr>
      <w:tcBorders/>
    </w:tcPr>
    <w:tblStylePr w:type="band1Horz">
      <w:pPr>
        <w:pBdr/>
        <w:spacing/>
        <w:ind/>
      </w:pPr>
      <w:tblPr>
        <w:tblBorders/>
      </w:tblPr>
      <w:tcPr>
        <w:shd w:val="clear" w:color="d99695" w:fill="d99695"/>
        <w:tcBorders>
          <w:top w:val="single" w:color="ffffff" w:sz="4" w:space="0"/>
          <w:bottom w:val="single" w:color="ffffff" w:sz="4" w:space="0"/>
        </w:tcBorders>
      </w:tcPr>
    </w:tblStylePr>
    <w:tblStylePr w:type="band1Vert">
      <w:pPr>
        <w:pBdr/>
        <w:spacing/>
        <w:ind/>
      </w:pPr>
      <w:tblPr>
        <w:tblBorders/>
      </w:tblPr>
      <w:tcPr>
        <w:shd w:val="clear" w:color="d99695" w:fill="d99695"/>
        <w:tcBorders>
          <w:left w:val="single" w:color="ffffff" w:sz="4" w:space="0"/>
          <w:right w:val="single" w:color="ffffff" w:sz="4" w:space="0"/>
        </w:tcBorders>
      </w:tcPr>
    </w:tblStylePr>
    <w:tblStylePr w:type="band2Horz">
      <w:pPr>
        <w:pBdr/>
        <w:spacing/>
        <w:ind/>
      </w:pPr>
      <w:tblPr>
        <w:tblBorders/>
      </w:tblPr>
      <w:tcPr>
        <w:shd w:val="clear" w:color="d99695" w:fill="d99695"/>
        <w:tcBorders>
          <w:top w:val="single" w:color="ffffff" w:sz="4" w:space="0"/>
          <w:bottom w:val="single" w:color="ffffff" w:sz="4" w:space="0"/>
        </w:tcBorders>
      </w:tcPr>
    </w:tblStylePr>
    <w:tblStylePr w:type="band2Vert">
      <w:pPr>
        <w:pBdr/>
        <w:spacing/>
        <w:ind/>
      </w:pPr>
      <w:tblPr>
        <w:tblBorders/>
      </w:tblPr>
      <w:tcPr>
        <w:tcBorders>
          <w:left w:val="single" w:color="ffffff" w:sz="4" w:space="0"/>
          <w:right w:val="single" w:color="ffffff" w:sz="4" w:space="0"/>
        </w:tcBorders>
      </w:tcPr>
    </w:tblStylePr>
    <w:tblStylePr w:type="firstCol">
      <w:rPr>
        <w:b/>
        <w:sz w:val="22"/>
      </w:rPr>
      <w:pPr>
        <w:pBdr/>
        <w:spacing/>
        <w:ind/>
      </w:pPr>
      <w:tblPr>
        <w:tblBorders/>
      </w:tblPr>
      <w:tcPr>
        <w:tcBorders>
          <w:left w:val="single" w:color="d99695" w:sz="32" w:space="0"/>
          <w:right w:val="single" w:color="ffffff" w:sz="4" w:space="0"/>
        </w:tcBorders>
      </w:tcPr>
    </w:tblStylePr>
    <w:tblStylePr w:type="firstRow">
      <w:rPr>
        <w:b/>
        <w:sz w:val="22"/>
      </w:rPr>
      <w:pPr>
        <w:pBdr/>
        <w:spacing/>
        <w:ind/>
      </w:pPr>
      <w:tblPr>
        <w:tblBorders/>
      </w:tblPr>
      <w:tcPr>
        <w:shd w:val="clear" w:color="d99695" w:fill="d99695"/>
        <w:tcBorders>
          <w:top w:val="single" w:color="d99695" w:sz="32" w:space="0"/>
          <w:bottom w:val="single" w:color="ffffff" w:sz="12" w:space="0"/>
        </w:tcBorders>
      </w:tcPr>
    </w:tblStylePr>
    <w:tblStylePr w:type="lastCol">
      <w:pPr>
        <w:pBdr/>
        <w:spacing/>
        <w:ind/>
      </w:pPr>
      <w:tblPr>
        <w:tblBorders/>
      </w:tblPr>
      <w:tcPr>
        <w:tcBorders>
          <w:left w:val="single" w:color="ffffff" w:sz="4" w:space="0"/>
          <w:right w:val="single" w:color="d99695" w:sz="32" w:space="0"/>
        </w:tcBorders>
      </w:tcPr>
    </w:tblStylePr>
    <w:tblStylePr w:type="lastRow">
      <w:rPr>
        <w:b/>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3" w:customStyle="1">
    <w:name w:val="List Table 5 Dark - Accent 3"/>
    <w:basedOn w:val="2335"/>
    <w:uiPriority w:val="99"/>
    <w:pPr>
      <w:pBdr/>
      <w:spacing/>
      <w:ind/>
    </w:pPr>
    <w:tblPr>
      <w:tblStyleRowBandSize w:val="1"/>
      <w:tblStyleColBandSize w:val="1"/>
      <w:tblCellMar>
        <w:left w:w="108" w:type="dxa"/>
        <w:top w:w="0" w:type="dxa"/>
        <w:right w:w="108" w:type="dxa"/>
        <w:bottom w:w="0" w:type="dxa"/>
      </w:tblCellMar>
      <w:tblBorders>
        <w:top w:val="single" w:color="c3d69b" w:sz="32" w:space="0"/>
        <w:left w:val="single" w:color="c3d69b" w:sz="32" w:space="0"/>
        <w:bottom w:val="single" w:color="c3d69b" w:sz="32" w:space="0"/>
        <w:right w:val="single" w:color="c3d69b" w:sz="32" w:space="0"/>
      </w:tblBorders>
    </w:tblPr>
    <w:tcPr>
      <w:tcBorders/>
    </w:tcPr>
    <w:tblStylePr w:type="band1Horz">
      <w:pPr>
        <w:pBdr/>
        <w:spacing/>
        <w:ind/>
      </w:pPr>
      <w:tblPr>
        <w:tblBorders/>
      </w:tblPr>
      <w:tcPr>
        <w:shd w:val="clear" w:color="c3d69b" w:fill="c3d69b"/>
        <w:tcBorders>
          <w:top w:val="single" w:color="ffffff" w:sz="4" w:space="0"/>
          <w:bottom w:val="single" w:color="ffffff" w:sz="4" w:space="0"/>
        </w:tcBorders>
      </w:tcPr>
    </w:tblStylePr>
    <w:tblStylePr w:type="band1Vert">
      <w:pPr>
        <w:pBdr/>
        <w:spacing/>
        <w:ind/>
      </w:pPr>
      <w:tblPr>
        <w:tblBorders/>
      </w:tblPr>
      <w:tcPr>
        <w:shd w:val="clear" w:color="c3d69b" w:fill="c3d69b"/>
        <w:tcBorders>
          <w:left w:val="single" w:color="ffffff" w:sz="4" w:space="0"/>
          <w:right w:val="single" w:color="ffffff" w:sz="4" w:space="0"/>
        </w:tcBorders>
      </w:tcPr>
    </w:tblStylePr>
    <w:tblStylePr w:type="band2Horz">
      <w:pPr>
        <w:pBdr/>
        <w:spacing/>
        <w:ind/>
      </w:pPr>
      <w:tblPr>
        <w:tblBorders/>
      </w:tblPr>
      <w:tcPr>
        <w:shd w:val="clear" w:color="c3d69b" w:fill="c3d69b"/>
        <w:tcBorders>
          <w:top w:val="single" w:color="ffffff" w:sz="4" w:space="0"/>
          <w:bottom w:val="single" w:color="ffffff" w:sz="4" w:space="0"/>
        </w:tcBorders>
      </w:tcPr>
    </w:tblStylePr>
    <w:tblStylePr w:type="band2Vert">
      <w:pPr>
        <w:pBdr/>
        <w:spacing/>
        <w:ind/>
      </w:pPr>
      <w:tblPr>
        <w:tblBorders/>
      </w:tblPr>
      <w:tcPr>
        <w:tcBorders>
          <w:left w:val="single" w:color="ffffff" w:sz="4" w:space="0"/>
          <w:right w:val="single" w:color="ffffff" w:sz="4" w:space="0"/>
        </w:tcBorders>
      </w:tcPr>
    </w:tblStylePr>
    <w:tblStylePr w:type="firstCol">
      <w:rPr>
        <w:b/>
        <w:sz w:val="22"/>
      </w:rPr>
      <w:pPr>
        <w:pBdr/>
        <w:spacing/>
        <w:ind/>
      </w:pPr>
      <w:tblPr>
        <w:tblBorders/>
      </w:tblPr>
      <w:tcPr>
        <w:tcBorders>
          <w:left w:val="single" w:color="c3d69b" w:sz="32" w:space="0"/>
          <w:right w:val="single" w:color="ffffff" w:sz="4" w:space="0"/>
        </w:tcBorders>
      </w:tcPr>
    </w:tblStylePr>
    <w:tblStylePr w:type="firstRow">
      <w:rPr>
        <w:b/>
        <w:sz w:val="22"/>
      </w:rPr>
      <w:pPr>
        <w:pBdr/>
        <w:spacing/>
        <w:ind/>
      </w:pPr>
      <w:tblPr>
        <w:tblBorders/>
      </w:tblPr>
      <w:tcPr>
        <w:shd w:val="clear" w:color="c3d69b" w:fill="c3d69b"/>
        <w:tcBorders>
          <w:top w:val="single" w:color="c3d69b" w:sz="32" w:space="0"/>
          <w:bottom w:val="single" w:color="ffffff" w:sz="12" w:space="0"/>
        </w:tcBorders>
      </w:tcPr>
    </w:tblStylePr>
    <w:tblStylePr w:type="lastCol">
      <w:pPr>
        <w:pBdr/>
        <w:spacing/>
        <w:ind/>
      </w:pPr>
      <w:tblPr>
        <w:tblBorders/>
      </w:tblPr>
      <w:tcPr>
        <w:tcBorders>
          <w:left w:val="single" w:color="ffffff" w:sz="4" w:space="0"/>
          <w:right w:val="single" w:color="c3d69b" w:sz="32" w:space="0"/>
        </w:tcBorders>
      </w:tcPr>
    </w:tblStylePr>
    <w:tblStylePr w:type="lastRow">
      <w:rPr>
        <w:b/>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4" w:customStyle="1">
    <w:name w:val="List Table 5 Dark - Accent 4"/>
    <w:basedOn w:val="2335"/>
    <w:uiPriority w:val="99"/>
    <w:pPr>
      <w:pBdr/>
      <w:spacing/>
      <w:ind/>
    </w:pPr>
    <w:tblPr>
      <w:tblStyleRowBandSize w:val="1"/>
      <w:tblStyleColBandSize w:val="1"/>
      <w:tblCellMar>
        <w:left w:w="108" w:type="dxa"/>
        <w:top w:w="0" w:type="dxa"/>
        <w:right w:w="108" w:type="dxa"/>
        <w:bottom w:w="0" w:type="dxa"/>
      </w:tblCellMar>
      <w:tblBorders>
        <w:top w:val="single" w:color="b2a1c6" w:sz="32" w:space="0"/>
        <w:left w:val="single" w:color="b2a1c6" w:sz="32" w:space="0"/>
        <w:bottom w:val="single" w:color="b2a1c6" w:sz="32" w:space="0"/>
        <w:right w:val="single" w:color="b2a1c6" w:sz="32" w:space="0"/>
      </w:tblBorders>
    </w:tblPr>
    <w:tcPr>
      <w:tcBorders/>
    </w:tcPr>
    <w:tblStylePr w:type="band1Horz">
      <w:pPr>
        <w:pBdr/>
        <w:spacing/>
        <w:ind/>
      </w:pPr>
      <w:tblPr>
        <w:tblBorders/>
      </w:tblPr>
      <w:tcPr>
        <w:shd w:val="clear" w:color="b2a1c6" w:fill="b2a1c6"/>
        <w:tcBorders>
          <w:top w:val="single" w:color="ffffff" w:sz="4" w:space="0"/>
          <w:bottom w:val="single" w:color="ffffff" w:sz="4" w:space="0"/>
        </w:tcBorders>
      </w:tcPr>
    </w:tblStylePr>
    <w:tblStylePr w:type="band1Vert">
      <w:pPr>
        <w:pBdr/>
        <w:spacing/>
        <w:ind/>
      </w:pPr>
      <w:tblPr>
        <w:tblBorders/>
      </w:tblPr>
      <w:tcPr>
        <w:shd w:val="clear" w:color="b2a1c6" w:fill="b2a1c6"/>
        <w:tcBorders>
          <w:left w:val="single" w:color="ffffff" w:sz="4" w:space="0"/>
          <w:right w:val="single" w:color="ffffff" w:sz="4" w:space="0"/>
        </w:tcBorders>
      </w:tcPr>
    </w:tblStylePr>
    <w:tblStylePr w:type="band2Horz">
      <w:pPr>
        <w:pBdr/>
        <w:spacing/>
        <w:ind/>
      </w:pPr>
      <w:tblPr>
        <w:tblBorders/>
      </w:tblPr>
      <w:tcPr>
        <w:shd w:val="clear" w:color="b2a1c6" w:fill="b2a1c6"/>
        <w:tcBorders>
          <w:top w:val="single" w:color="ffffff" w:sz="4" w:space="0"/>
          <w:bottom w:val="single" w:color="ffffff" w:sz="4" w:space="0"/>
        </w:tcBorders>
      </w:tcPr>
    </w:tblStylePr>
    <w:tblStylePr w:type="band2Vert">
      <w:pPr>
        <w:pBdr/>
        <w:spacing/>
        <w:ind/>
      </w:pPr>
      <w:tblPr>
        <w:tblBorders/>
      </w:tblPr>
      <w:tcPr>
        <w:tcBorders>
          <w:left w:val="single" w:color="ffffff" w:sz="4" w:space="0"/>
          <w:right w:val="single" w:color="ffffff" w:sz="4" w:space="0"/>
        </w:tcBorders>
      </w:tcPr>
    </w:tblStylePr>
    <w:tblStylePr w:type="firstCol">
      <w:rPr>
        <w:b/>
        <w:sz w:val="22"/>
      </w:rPr>
      <w:pPr>
        <w:pBdr/>
        <w:spacing/>
        <w:ind/>
      </w:pPr>
      <w:tblPr>
        <w:tblBorders/>
      </w:tblPr>
      <w:tcPr>
        <w:tcBorders>
          <w:left w:val="single" w:color="b2a1c6" w:sz="32" w:space="0"/>
          <w:right w:val="single" w:color="ffffff" w:sz="4" w:space="0"/>
        </w:tcBorders>
      </w:tcPr>
    </w:tblStylePr>
    <w:tblStylePr w:type="firstRow">
      <w:rPr>
        <w:b/>
        <w:sz w:val="22"/>
      </w:rPr>
      <w:pPr>
        <w:pBdr/>
        <w:spacing/>
        <w:ind/>
      </w:pPr>
      <w:tblPr>
        <w:tblBorders/>
      </w:tblPr>
      <w:tcPr>
        <w:shd w:val="clear" w:color="b2a1c6" w:fill="b2a1c6"/>
        <w:tcBorders>
          <w:top w:val="single" w:color="b2a1c6" w:sz="32" w:space="0"/>
          <w:bottom w:val="single" w:color="ffffff" w:sz="12" w:space="0"/>
        </w:tcBorders>
      </w:tcPr>
    </w:tblStylePr>
    <w:tblStylePr w:type="lastCol">
      <w:pPr>
        <w:pBdr/>
        <w:spacing/>
        <w:ind/>
      </w:pPr>
      <w:tblPr>
        <w:tblBorders/>
      </w:tblPr>
      <w:tcPr>
        <w:tcBorders>
          <w:left w:val="single" w:color="ffffff" w:sz="4" w:space="0"/>
          <w:right w:val="single" w:color="b2a1c6" w:sz="32" w:space="0"/>
        </w:tcBorders>
      </w:tcPr>
    </w:tblStylePr>
    <w:tblStylePr w:type="lastRow">
      <w:rPr>
        <w:b/>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5" w:customStyle="1">
    <w:name w:val="List Table 5 Dark - Accent 5"/>
    <w:basedOn w:val="2335"/>
    <w:uiPriority w:val="99"/>
    <w:pPr>
      <w:pBdr/>
      <w:spacing/>
      <w:ind/>
    </w:pPr>
    <w:tblPr>
      <w:tblStyleRowBandSize w:val="1"/>
      <w:tblStyleColBandSize w:val="1"/>
      <w:tblCellMar>
        <w:left w:w="108" w:type="dxa"/>
        <w:top w:w="0" w:type="dxa"/>
        <w:right w:w="108" w:type="dxa"/>
        <w:bottom w:w="0" w:type="dxa"/>
      </w:tblCellMar>
      <w:tblBorders>
        <w:top w:val="single" w:color="92ccdc" w:sz="32" w:space="0"/>
        <w:left w:val="single" w:color="92ccdc" w:sz="32" w:space="0"/>
        <w:bottom w:val="single" w:color="92ccdc" w:sz="32" w:space="0"/>
        <w:right w:val="single" w:color="92ccdc" w:sz="32" w:space="0"/>
      </w:tblBorders>
    </w:tblPr>
    <w:tcPr>
      <w:tcBorders/>
    </w:tcPr>
    <w:tblStylePr w:type="band1Horz">
      <w:pPr>
        <w:pBdr/>
        <w:spacing/>
        <w:ind/>
      </w:pPr>
      <w:tblPr>
        <w:tblBorders/>
      </w:tblPr>
      <w:tcPr>
        <w:shd w:val="clear" w:color="92ccdc" w:fill="92ccdc"/>
        <w:tcBorders>
          <w:top w:val="single" w:color="ffffff" w:sz="4" w:space="0"/>
          <w:bottom w:val="single" w:color="ffffff" w:sz="4" w:space="0"/>
        </w:tcBorders>
      </w:tcPr>
    </w:tblStylePr>
    <w:tblStylePr w:type="band1Vert">
      <w:pPr>
        <w:pBdr/>
        <w:spacing/>
        <w:ind/>
      </w:pPr>
      <w:tblPr>
        <w:tblBorders/>
      </w:tblPr>
      <w:tcPr>
        <w:shd w:val="clear" w:color="92ccdc" w:fill="92ccdc"/>
        <w:tcBorders>
          <w:left w:val="single" w:color="ffffff" w:sz="4" w:space="0"/>
          <w:right w:val="single" w:color="ffffff" w:sz="4" w:space="0"/>
        </w:tcBorders>
      </w:tcPr>
    </w:tblStylePr>
    <w:tblStylePr w:type="band2Horz">
      <w:pPr>
        <w:pBdr/>
        <w:spacing/>
        <w:ind/>
      </w:pPr>
      <w:tblPr>
        <w:tblBorders/>
      </w:tblPr>
      <w:tcPr>
        <w:shd w:val="clear" w:color="92ccdc" w:fill="92ccdc"/>
        <w:tcBorders>
          <w:top w:val="single" w:color="ffffff" w:sz="4" w:space="0"/>
          <w:bottom w:val="single" w:color="ffffff" w:sz="4" w:space="0"/>
        </w:tcBorders>
      </w:tcPr>
    </w:tblStylePr>
    <w:tblStylePr w:type="band2Vert">
      <w:pPr>
        <w:pBdr/>
        <w:spacing/>
        <w:ind/>
      </w:pPr>
      <w:tblPr>
        <w:tblBorders/>
      </w:tblPr>
      <w:tcPr>
        <w:tcBorders>
          <w:left w:val="single" w:color="ffffff" w:sz="4" w:space="0"/>
          <w:right w:val="single" w:color="ffffff" w:sz="4" w:space="0"/>
        </w:tcBorders>
      </w:tcPr>
    </w:tblStylePr>
    <w:tblStylePr w:type="firstCol">
      <w:rPr>
        <w:b/>
        <w:sz w:val="22"/>
      </w:rPr>
      <w:pPr>
        <w:pBdr/>
        <w:spacing/>
        <w:ind/>
      </w:pPr>
      <w:tblPr>
        <w:tblBorders/>
      </w:tblPr>
      <w:tcPr>
        <w:tcBorders>
          <w:left w:val="single" w:color="92ccdc" w:sz="32" w:space="0"/>
          <w:right w:val="single" w:color="ffffff" w:sz="4" w:space="0"/>
        </w:tcBorders>
      </w:tcPr>
    </w:tblStylePr>
    <w:tblStylePr w:type="firstRow">
      <w:rPr>
        <w:b/>
        <w:sz w:val="22"/>
      </w:rPr>
      <w:pPr>
        <w:pBdr/>
        <w:spacing/>
        <w:ind/>
      </w:pPr>
      <w:tblPr>
        <w:tblBorders/>
      </w:tblPr>
      <w:tcPr>
        <w:shd w:val="clear" w:color="92ccdc" w:fill="92ccdc"/>
        <w:tcBorders>
          <w:top w:val="single" w:color="92ccdc" w:sz="32" w:space="0"/>
          <w:bottom w:val="single" w:color="ffffff" w:sz="12" w:space="0"/>
        </w:tcBorders>
      </w:tcPr>
    </w:tblStylePr>
    <w:tblStylePr w:type="lastCol">
      <w:pPr>
        <w:pBdr/>
        <w:spacing/>
        <w:ind/>
      </w:pPr>
      <w:tblPr>
        <w:tblBorders/>
      </w:tblPr>
      <w:tcPr>
        <w:tcBorders>
          <w:left w:val="single" w:color="ffffff" w:sz="4" w:space="0"/>
          <w:right w:val="single" w:color="92ccdc" w:sz="32" w:space="0"/>
        </w:tcBorders>
      </w:tcPr>
    </w:tblStylePr>
    <w:tblStylePr w:type="lastRow">
      <w:rPr>
        <w:b/>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6" w:customStyle="1">
    <w:name w:val="List Table 5 Dark - Accent 6"/>
    <w:basedOn w:val="2335"/>
    <w:uiPriority w:val="99"/>
    <w:pPr>
      <w:pBdr/>
      <w:spacing/>
      <w:ind/>
    </w:pPr>
    <w:tblPr>
      <w:tblStyleRowBandSize w:val="1"/>
      <w:tblStyleColBandSize w:val="1"/>
      <w:tblCellMar>
        <w:left w:w="108" w:type="dxa"/>
        <w:top w:w="0" w:type="dxa"/>
        <w:right w:w="108" w:type="dxa"/>
        <w:bottom w:w="0" w:type="dxa"/>
      </w:tblCellMar>
      <w:tblBorders>
        <w:top w:val="single" w:color="fac090" w:sz="32" w:space="0"/>
        <w:left w:val="single" w:color="fac090" w:sz="32" w:space="0"/>
        <w:bottom w:val="single" w:color="fac090" w:sz="32" w:space="0"/>
        <w:right w:val="single" w:color="fac090" w:sz="32" w:space="0"/>
      </w:tblBorders>
    </w:tblPr>
    <w:tcPr>
      <w:tcBorders/>
    </w:tcPr>
    <w:tblStylePr w:type="band1Horz">
      <w:pPr>
        <w:pBdr/>
        <w:spacing/>
        <w:ind/>
      </w:pPr>
      <w:tblPr>
        <w:tblBorders/>
      </w:tblPr>
      <w:tcPr>
        <w:shd w:val="clear" w:color="fac090" w:fill="fac090"/>
        <w:tcBorders>
          <w:top w:val="single" w:color="ffffff" w:sz="4" w:space="0"/>
          <w:bottom w:val="single" w:color="ffffff" w:sz="4" w:space="0"/>
        </w:tcBorders>
      </w:tcPr>
    </w:tblStylePr>
    <w:tblStylePr w:type="band1Vert">
      <w:pPr>
        <w:pBdr/>
        <w:spacing/>
        <w:ind/>
      </w:pPr>
      <w:tblPr>
        <w:tblBorders/>
      </w:tblPr>
      <w:tcPr>
        <w:shd w:val="clear" w:color="fac090" w:fill="fac090"/>
        <w:tcBorders>
          <w:left w:val="single" w:color="ffffff" w:sz="4" w:space="0"/>
          <w:right w:val="single" w:color="ffffff" w:sz="4" w:space="0"/>
        </w:tcBorders>
      </w:tcPr>
    </w:tblStylePr>
    <w:tblStylePr w:type="band2Horz">
      <w:pPr>
        <w:pBdr/>
        <w:spacing/>
        <w:ind/>
      </w:pPr>
      <w:tblPr>
        <w:tblBorders/>
      </w:tblPr>
      <w:tcPr>
        <w:shd w:val="clear" w:color="fac090" w:fill="fac090"/>
        <w:tcBorders>
          <w:top w:val="single" w:color="ffffff" w:sz="4" w:space="0"/>
          <w:bottom w:val="single" w:color="ffffff" w:sz="4" w:space="0"/>
        </w:tcBorders>
      </w:tcPr>
    </w:tblStylePr>
    <w:tblStylePr w:type="band2Vert">
      <w:pPr>
        <w:pBdr/>
        <w:spacing/>
        <w:ind/>
      </w:pPr>
      <w:tblPr>
        <w:tblBorders/>
      </w:tblPr>
      <w:tcPr>
        <w:tcBorders>
          <w:left w:val="single" w:color="ffffff" w:sz="4" w:space="0"/>
          <w:right w:val="single" w:color="ffffff" w:sz="4" w:space="0"/>
        </w:tcBorders>
      </w:tcPr>
    </w:tblStylePr>
    <w:tblStylePr w:type="firstCol">
      <w:rPr>
        <w:b/>
        <w:sz w:val="22"/>
      </w:rPr>
      <w:pPr>
        <w:pBdr/>
        <w:spacing/>
        <w:ind/>
      </w:pPr>
      <w:tblPr>
        <w:tblBorders/>
      </w:tblPr>
      <w:tcPr>
        <w:tcBorders>
          <w:left w:val="single" w:color="fac090" w:sz="32" w:space="0"/>
          <w:right w:val="single" w:color="ffffff" w:sz="4" w:space="0"/>
        </w:tcBorders>
      </w:tcPr>
    </w:tblStylePr>
    <w:tblStylePr w:type="firstRow">
      <w:rPr>
        <w:b/>
        <w:sz w:val="22"/>
      </w:rPr>
      <w:pPr>
        <w:pBdr/>
        <w:spacing/>
        <w:ind/>
      </w:pPr>
      <w:tblPr>
        <w:tblBorders/>
      </w:tblPr>
      <w:tcPr>
        <w:shd w:val="clear" w:color="fac090" w:fill="fac090"/>
        <w:tcBorders>
          <w:top w:val="single" w:color="fac090" w:sz="32" w:space="0"/>
          <w:bottom w:val="single" w:color="ffffff" w:sz="12" w:space="0"/>
        </w:tcBorders>
      </w:tcPr>
    </w:tblStylePr>
    <w:tblStylePr w:type="lastCol">
      <w:pPr>
        <w:pBdr/>
        <w:spacing/>
        <w:ind/>
      </w:pPr>
      <w:tblPr>
        <w:tblBorders/>
      </w:tblPr>
      <w:tcPr>
        <w:tcBorders>
          <w:left w:val="single" w:color="ffffff" w:sz="4" w:space="0"/>
          <w:right w:val="single" w:color="fac090" w:sz="32" w:space="0"/>
        </w:tcBorders>
      </w:tcPr>
    </w:tblStylePr>
    <w:tblStylePr w:type="lastRow">
      <w:rPr>
        <w:b/>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7">
    <w:name w:val="List Table 6 Colorful"/>
    <w:basedOn w:val="2335"/>
    <w:uiPriority w:val="99"/>
    <w:pPr>
      <w:pBdr/>
      <w:spacing/>
      <w:ind/>
    </w:pPr>
    <w:tblPr>
      <w:tblStyleRowBandSize w:val="1"/>
      <w:tblStyleColBandSize w:val="1"/>
      <w:tblCellMar>
        <w:left w:w="108" w:type="dxa"/>
        <w:top w:w="0" w:type="dxa"/>
        <w:right w:w="108" w:type="dxa"/>
        <w:bottom w:w="0" w:type="dxa"/>
      </w:tblCellMar>
      <w:tblBorders>
        <w:top w:val="single" w:color="7f7f7f" w:sz="4" w:space="0"/>
        <w:bottom w:val="single" w:color="7f7f7f" w:sz="4" w:space="0"/>
      </w:tblBorders>
    </w:tblPr>
    <w:tcPr>
      <w:tcBorders/>
    </w:tcPr>
    <w:tblStylePr w:type="band1Horz">
      <w:rPr>
        <w:sz w:val="22"/>
      </w:rPr>
      <w:pPr>
        <w:pBdr/>
        <w:spacing/>
        <w:ind/>
      </w:pPr>
      <w:tblPr>
        <w:tblBorders/>
      </w:tblPr>
      <w:tcPr>
        <w:shd w:val="clear" w:color="bfbfbf" w:fill="bfbfbf"/>
        <w:tcBorders/>
      </w:tcPr>
    </w:tblStylePr>
    <w:tblStylePr w:type="band1Vert">
      <w:pPr>
        <w:pBdr/>
        <w:spacing/>
        <w:ind/>
      </w:pPr>
      <w:tblPr>
        <w:tblBorders/>
      </w:tblPr>
      <w:tcPr>
        <w:shd w:val="clear" w:color="bfbfbf" w:fill="bfbfbf"/>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7f7f7f"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7f7f7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8" w:customStyle="1">
    <w:name w:val="List Table 6 Colorful - Accent 1"/>
    <w:basedOn w:val="2335"/>
    <w:uiPriority w:val="99"/>
    <w:pPr>
      <w:pBdr/>
      <w:spacing/>
      <w:ind/>
    </w:pPr>
    <w:tblPr>
      <w:tblStyleRowBandSize w:val="1"/>
      <w:tblStyleColBandSize w:val="1"/>
      <w:tblCellMar>
        <w:left w:w="108" w:type="dxa"/>
        <w:top w:w="0" w:type="dxa"/>
        <w:right w:w="108" w:type="dxa"/>
        <w:bottom w:w="0" w:type="dxa"/>
      </w:tblCellMar>
      <w:tblBorders>
        <w:top w:val="single" w:color="4f81bd" w:sz="4" w:space="0"/>
        <w:bottom w:val="single" w:color="4f81bd" w:sz="4" w:space="0"/>
      </w:tblBorders>
    </w:tblPr>
    <w:tcPr>
      <w:tcBorders/>
    </w:tcPr>
    <w:tblStylePr w:type="band1Horz">
      <w:rPr>
        <w:sz w:val="22"/>
      </w:rPr>
      <w:pPr>
        <w:pBdr/>
        <w:spacing/>
        <w:ind/>
      </w:pPr>
      <w:tblPr>
        <w:tblBorders/>
      </w:tblPr>
      <w:tcPr>
        <w:shd w:val="clear" w:color="d2dfee" w:fill="d2dfee"/>
        <w:tcBorders/>
      </w:tcPr>
    </w:tblStylePr>
    <w:tblStylePr w:type="band1Vert">
      <w:pPr>
        <w:pBdr/>
        <w:spacing/>
        <w:ind/>
      </w:pPr>
      <w:tblPr>
        <w:tblBorders/>
      </w:tblPr>
      <w:tcPr>
        <w:shd w:val="clear" w:color="d2dfee" w:fill="d2dfee"/>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4f81bd"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4f81bd"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9" w:customStyle="1">
    <w:name w:val="List Table 6 Colorful - Accent 2"/>
    <w:basedOn w:val="2335"/>
    <w:uiPriority w:val="99"/>
    <w:pPr>
      <w:pBdr/>
      <w:spacing/>
      <w:ind/>
    </w:pPr>
    <w:tblPr>
      <w:tblStyleRowBandSize w:val="1"/>
      <w:tblStyleColBandSize w:val="1"/>
      <w:tblCellMar>
        <w:left w:w="108" w:type="dxa"/>
        <w:top w:w="0" w:type="dxa"/>
        <w:right w:w="108" w:type="dxa"/>
        <w:bottom w:w="0" w:type="dxa"/>
      </w:tblCellMar>
      <w:tblBorders>
        <w:top w:val="single" w:color="d99695" w:sz="4" w:space="0"/>
        <w:bottom w:val="single" w:color="d99695" w:sz="4" w:space="0"/>
      </w:tblBorders>
    </w:tblPr>
    <w:tcPr>
      <w:tcBorders/>
    </w:tcPr>
    <w:tblStylePr w:type="band1Horz">
      <w:rPr>
        <w:sz w:val="22"/>
      </w:rPr>
      <w:pPr>
        <w:pBdr/>
        <w:spacing/>
        <w:ind/>
      </w:pPr>
      <w:tblPr>
        <w:tblBorders/>
      </w:tblPr>
      <w:tcPr>
        <w:shd w:val="clear" w:color="efd2d2" w:fill="efd2d2"/>
        <w:tcBorders/>
      </w:tcPr>
    </w:tblStylePr>
    <w:tblStylePr w:type="band1Vert">
      <w:pPr>
        <w:pBdr/>
        <w:spacing/>
        <w:ind/>
      </w:pPr>
      <w:tblPr>
        <w:tblBorders/>
      </w:tblPr>
      <w:tcPr>
        <w:shd w:val="clear" w:color="efd2d2" w:fill="efd2d2"/>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d99695"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d9969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30" w:customStyle="1">
    <w:name w:val="List Table 6 Colorful - Accent 3"/>
    <w:basedOn w:val="2335"/>
    <w:uiPriority w:val="99"/>
    <w:pPr>
      <w:pBdr/>
      <w:spacing/>
      <w:ind/>
    </w:pPr>
    <w:tblPr>
      <w:tblStyleRowBandSize w:val="1"/>
      <w:tblStyleColBandSize w:val="1"/>
      <w:tblCellMar>
        <w:left w:w="108" w:type="dxa"/>
        <w:top w:w="0" w:type="dxa"/>
        <w:right w:w="108" w:type="dxa"/>
        <w:bottom w:w="0" w:type="dxa"/>
      </w:tblCellMar>
      <w:tblBorders>
        <w:top w:val="single" w:color="c3d69b" w:sz="4" w:space="0"/>
        <w:bottom w:val="single" w:color="c3d69b" w:sz="4" w:space="0"/>
      </w:tblBorders>
    </w:tblPr>
    <w:tcPr>
      <w:tcBorders/>
    </w:tcPr>
    <w:tblStylePr w:type="band1Horz">
      <w:rPr>
        <w:sz w:val="22"/>
      </w:rPr>
      <w:pPr>
        <w:pBdr/>
        <w:spacing/>
        <w:ind/>
      </w:pPr>
      <w:tblPr>
        <w:tblBorders/>
      </w:tblPr>
      <w:tcPr>
        <w:shd w:val="clear" w:color="e5eed5" w:fill="e5eed5"/>
        <w:tcBorders/>
      </w:tcPr>
    </w:tblStylePr>
    <w:tblStylePr w:type="band1Vert">
      <w:pPr>
        <w:pBdr/>
        <w:spacing/>
        <w:ind/>
      </w:pPr>
      <w:tblPr>
        <w:tblBorders/>
      </w:tblPr>
      <w:tcPr>
        <w:shd w:val="clear" w:color="e5eed5" w:fill="e5eed5"/>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c3d69b"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c3d69b"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31" w:customStyle="1">
    <w:name w:val="List Table 6 Colorful - Accent 4"/>
    <w:basedOn w:val="2335"/>
    <w:uiPriority w:val="99"/>
    <w:pPr>
      <w:pBdr/>
      <w:spacing/>
      <w:ind/>
    </w:pPr>
    <w:tblPr>
      <w:tblStyleRowBandSize w:val="1"/>
      <w:tblStyleColBandSize w:val="1"/>
      <w:tblCellMar>
        <w:left w:w="108" w:type="dxa"/>
        <w:top w:w="0" w:type="dxa"/>
        <w:right w:w="108" w:type="dxa"/>
        <w:bottom w:w="0" w:type="dxa"/>
      </w:tblCellMar>
      <w:tblBorders>
        <w:top w:val="single" w:color="b2a1c6" w:sz="4" w:space="0"/>
        <w:bottom w:val="single" w:color="b2a1c6" w:sz="4" w:space="0"/>
      </w:tblBorders>
    </w:tblPr>
    <w:tcPr>
      <w:tcBorders/>
    </w:tcPr>
    <w:tblStylePr w:type="band1Horz">
      <w:rPr>
        <w:sz w:val="22"/>
      </w:rPr>
      <w:pPr>
        <w:pBdr/>
        <w:spacing/>
        <w:ind/>
      </w:pPr>
      <w:tblPr>
        <w:tblBorders/>
      </w:tblPr>
      <w:tcPr>
        <w:shd w:val="clear" w:color="dfd8e7" w:fill="dfd8e7"/>
        <w:tcBorders/>
      </w:tcPr>
    </w:tblStylePr>
    <w:tblStylePr w:type="band1Vert">
      <w:pPr>
        <w:pBdr/>
        <w:spacing/>
        <w:ind/>
      </w:pPr>
      <w:tblPr>
        <w:tblBorders/>
      </w:tblPr>
      <w:tcPr>
        <w:shd w:val="clear" w:color="dfd8e7" w:fill="dfd8e7"/>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b2a1c6"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b2a1c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32" w:customStyle="1">
    <w:name w:val="List Table 6 Colorful - Accent 5"/>
    <w:basedOn w:val="2335"/>
    <w:uiPriority w:val="99"/>
    <w:pPr>
      <w:pBdr/>
      <w:spacing/>
      <w:ind/>
    </w:pPr>
    <w:tblPr>
      <w:tblStyleRowBandSize w:val="1"/>
      <w:tblStyleColBandSize w:val="1"/>
      <w:tblCellMar>
        <w:left w:w="108" w:type="dxa"/>
        <w:top w:w="0" w:type="dxa"/>
        <w:right w:w="108" w:type="dxa"/>
        <w:bottom w:w="0" w:type="dxa"/>
      </w:tblCellMar>
      <w:tblBorders>
        <w:top w:val="single" w:color="92ccdc" w:sz="4" w:space="0"/>
        <w:bottom w:val="single" w:color="92ccdc" w:sz="4" w:space="0"/>
      </w:tblBorders>
    </w:tblPr>
    <w:tcPr>
      <w:tcBorders/>
    </w:tcPr>
    <w:tblStylePr w:type="band1Horz">
      <w:rPr>
        <w:sz w:val="22"/>
      </w:rPr>
      <w:pPr>
        <w:pBdr/>
        <w:spacing/>
        <w:ind/>
      </w:pPr>
      <w:tblPr>
        <w:tblBorders/>
      </w:tblPr>
      <w:tcPr>
        <w:shd w:val="clear" w:color="d1eaf0" w:fill="d1eaf0"/>
        <w:tcBorders/>
      </w:tcPr>
    </w:tblStylePr>
    <w:tblStylePr w:type="band1Vert">
      <w:pPr>
        <w:pBdr/>
        <w:spacing/>
        <w:ind/>
      </w:pPr>
      <w:tblPr>
        <w:tblBorders/>
      </w:tblPr>
      <w:tcPr>
        <w:shd w:val="clear" w:color="d1eaf0" w:fill="d1eaf0"/>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92ccdc"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92ccdc"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33" w:customStyle="1">
    <w:name w:val="List Table 6 Colorful - Accent 6"/>
    <w:basedOn w:val="2335"/>
    <w:uiPriority w:val="99"/>
    <w:pPr>
      <w:pBdr/>
      <w:spacing/>
      <w:ind/>
    </w:pPr>
    <w:tblPr>
      <w:tblStyleRowBandSize w:val="1"/>
      <w:tblStyleColBandSize w:val="1"/>
      <w:tblCellMar>
        <w:left w:w="108" w:type="dxa"/>
        <w:top w:w="0" w:type="dxa"/>
        <w:right w:w="108" w:type="dxa"/>
        <w:bottom w:w="0" w:type="dxa"/>
      </w:tblCellMar>
      <w:tblBorders>
        <w:top w:val="single" w:color="fac090" w:sz="4" w:space="0"/>
        <w:bottom w:val="single" w:color="fac090" w:sz="4" w:space="0"/>
      </w:tblBorders>
    </w:tblPr>
    <w:tcPr>
      <w:tcBorders/>
    </w:tcPr>
    <w:tblStylePr w:type="band1Horz">
      <w:rPr>
        <w:sz w:val="22"/>
      </w:rPr>
      <w:pPr>
        <w:pBdr/>
        <w:spacing/>
        <w:ind/>
      </w:pPr>
      <w:tblPr>
        <w:tblBorders/>
      </w:tblPr>
      <w:tcPr>
        <w:shd w:val="clear" w:color="fde4d0" w:fill="fde4d0"/>
        <w:tcBorders/>
      </w:tcPr>
    </w:tblStylePr>
    <w:tblStylePr w:type="band1Vert">
      <w:pPr>
        <w:pBdr/>
        <w:spacing/>
        <w:ind/>
      </w:pPr>
      <w:tblPr>
        <w:tblBorders/>
      </w:tblPr>
      <w:tcPr>
        <w:shd w:val="clear" w:color="fde4d0" w:fill="fde4d0"/>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b/>
      </w:rPr>
      <w:pPr>
        <w:pBdr/>
        <w:spacing/>
        <w:ind/>
      </w:pPr>
      <w:tblPr>
        <w:tblBorders/>
      </w:tblPr>
      <w:tcPr>
        <w:tcBorders/>
      </w:tcPr>
    </w:tblStylePr>
    <w:tblStylePr w:type="firstRow">
      <w:rPr>
        <w:b/>
      </w:rPr>
      <w:pPr>
        <w:pBdr/>
        <w:spacing/>
        <w:ind/>
      </w:pPr>
      <w:tblPr>
        <w:tblBorders/>
      </w:tblPr>
      <w:tcPr>
        <w:tcBorders>
          <w:bottom w:val="single" w:color="fac090" w:sz="4" w:space="0"/>
        </w:tcBorders>
      </w:tcPr>
    </w:tblStylePr>
    <w:tblStylePr w:type="lastCol">
      <w:rPr>
        <w:b/>
      </w:rPr>
      <w:pPr>
        <w:pBdr/>
        <w:spacing/>
        <w:ind/>
      </w:pPr>
      <w:tblPr>
        <w:tblBorders/>
      </w:tblPr>
      <w:tcPr>
        <w:tcBorders/>
      </w:tcPr>
    </w:tblStylePr>
    <w:tblStylePr w:type="lastRow">
      <w:rPr>
        <w:b/>
      </w:rPr>
      <w:pPr>
        <w:pBdr/>
        <w:spacing/>
        <w:ind/>
      </w:pPr>
      <w:tblPr>
        <w:tblBorders/>
      </w:tblPr>
      <w:tcPr>
        <w:tcBorders>
          <w:top w:val="single" w:color="fac09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34">
    <w:name w:val="List Table 7 Colorful"/>
    <w:basedOn w:val="2335"/>
    <w:uiPriority w:val="99"/>
    <w:pPr>
      <w:pBdr/>
      <w:spacing/>
      <w:ind/>
    </w:pPr>
    <w:tblPr>
      <w:tblStyleRowBandSize w:val="1"/>
      <w:tblStyleColBandSize w:val="1"/>
      <w:tblCellMar>
        <w:left w:w="108" w:type="dxa"/>
        <w:top w:w="0" w:type="dxa"/>
        <w:right w:w="108" w:type="dxa"/>
        <w:bottom w:w="0" w:type="dxa"/>
      </w:tblCellMar>
      <w:tblBorders>
        <w:right w:val="single" w:color="7f7f7f" w:sz="4" w:space="0"/>
      </w:tblBorders>
    </w:tblPr>
    <w:tcPr>
      <w:tcBorders/>
    </w:tcPr>
    <w:tblStylePr w:type="band1Horz">
      <w:rPr>
        <w:sz w:val="22"/>
      </w:rPr>
      <w:pPr>
        <w:pBdr/>
        <w:spacing/>
        <w:ind/>
      </w:pPr>
      <w:tblPr>
        <w:tblBorders/>
      </w:tblPr>
      <w:tcPr>
        <w:shd w:val="clear" w:color="bfbfbf" w:fill="bfbfbf"/>
        <w:tcBorders/>
      </w:tcPr>
    </w:tblStylePr>
    <w:tblStylePr w:type="band1Vert">
      <w:pPr>
        <w:pBdr/>
        <w:spacing/>
        <w:ind/>
      </w:pPr>
      <w:tblPr>
        <w:tblBorders/>
      </w:tblPr>
      <w:tcPr>
        <w:shd w:val="clear" w:color="bfbfbf" w:fill="bfbfbf"/>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i/>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7f7f7f" w:sz="4" w:space="0"/>
        </w:tcBorders>
      </w:tcPr>
    </w:tblStylePr>
    <w:tblStylePr w:type="firstRow">
      <w:rPr>
        <w:i/>
        <w:sz w:val="22"/>
      </w:rPr>
      <w:pPr>
        <w:pBdr/>
        <w:spacing/>
        <w:ind/>
      </w:pPr>
      <w:tblPr>
        <w:tblBorders/>
      </w:tblPr>
      <w:tcPr>
        <w:shd w:val="clear" w:color="ffffff" w:fill="ffffff"/>
        <w:tcBorders>
          <w:top w:val="none" w:color="000000" w:sz="0" w:space="0"/>
          <w:left w:val="none" w:color="000000" w:sz="0" w:space="0"/>
          <w:bottom w:val="single" w:color="7f7f7f" w:sz="4" w:space="0"/>
          <w:right w:val="none" w:color="000000" w:sz="0" w:space="0"/>
        </w:tcBorders>
      </w:tcPr>
    </w:tblStylePr>
    <w:tblStylePr w:type="lastCol">
      <w:rPr>
        <w:i/>
        <w:sz w:val="22"/>
      </w:rPr>
      <w:pPr>
        <w:pBdr/>
        <w:spacing/>
        <w:ind/>
      </w:pPr>
      <w:tblPr>
        <w:tblBorders/>
      </w:tblPr>
      <w:tcPr>
        <w:shd w:val="clear" w:color="ffffff" w:fill="auto"/>
        <w:tcBorders>
          <w:top w:val="none" w:color="000000" w:sz="0" w:space="0"/>
          <w:left w:val="single" w:color="7f7f7f" w:sz="4" w:space="0"/>
          <w:bottom w:val="none" w:color="000000" w:sz="0" w:space="0"/>
          <w:right w:val="none" w:color="000000" w:sz="0" w:space="0"/>
        </w:tcBorders>
      </w:tcPr>
    </w:tblStylePr>
    <w:tblStylePr w:type="lastRow">
      <w:rPr>
        <w:i/>
        <w:sz w:val="22"/>
      </w:rPr>
      <w:pPr>
        <w:pBdr/>
        <w:spacing/>
        <w:ind/>
      </w:pPr>
      <w:tblPr>
        <w:tblBorders/>
      </w:tblPr>
      <w:tcPr>
        <w:shd w:val="clear" w:color="ffffff" w:fill="ffffff"/>
        <w:tcBorders>
          <w:top w:val="single" w:color="7f7f7f"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35" w:customStyle="1">
    <w:name w:val="List Table 7 Colorful - Accent 1"/>
    <w:basedOn w:val="2335"/>
    <w:uiPriority w:val="99"/>
    <w:pPr>
      <w:pBdr/>
      <w:spacing/>
      <w:ind/>
    </w:pPr>
    <w:tblPr>
      <w:tblStyleRowBandSize w:val="1"/>
      <w:tblStyleColBandSize w:val="1"/>
      <w:tblCellMar>
        <w:left w:w="108" w:type="dxa"/>
        <w:top w:w="0" w:type="dxa"/>
        <w:right w:w="108" w:type="dxa"/>
        <w:bottom w:w="0" w:type="dxa"/>
      </w:tblCellMar>
      <w:tblBorders>
        <w:right w:val="single" w:color="4f81bd" w:sz="4" w:space="0"/>
      </w:tblBorders>
    </w:tblPr>
    <w:tcPr>
      <w:tcBorders/>
    </w:tcPr>
    <w:tblStylePr w:type="band1Horz">
      <w:rPr>
        <w:sz w:val="22"/>
      </w:rPr>
      <w:pPr>
        <w:pBdr/>
        <w:spacing/>
        <w:ind/>
      </w:pPr>
      <w:tblPr>
        <w:tblBorders/>
      </w:tblPr>
      <w:tcPr>
        <w:shd w:val="clear" w:color="d2dfee" w:fill="d2dfee"/>
        <w:tcBorders/>
      </w:tcPr>
    </w:tblStylePr>
    <w:tblStylePr w:type="band1Vert">
      <w:pPr>
        <w:pBdr/>
        <w:spacing/>
        <w:ind/>
      </w:pPr>
      <w:tblPr>
        <w:tblBorders/>
      </w:tblPr>
      <w:tcPr>
        <w:shd w:val="clear" w:color="d2dfee" w:fill="d2dfee"/>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i/>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4f81bd" w:sz="4" w:space="0"/>
        </w:tcBorders>
      </w:tcPr>
    </w:tblStylePr>
    <w:tblStylePr w:type="firstRow">
      <w:rPr>
        <w:i/>
        <w:sz w:val="22"/>
      </w:rPr>
      <w:pPr>
        <w:pBdr/>
        <w:spacing/>
        <w:ind/>
      </w:pPr>
      <w:tblPr>
        <w:tblBorders/>
      </w:tblPr>
      <w:tcPr>
        <w:shd w:val="clear" w:color="ffffff" w:fill="ffffff"/>
        <w:tcBorders>
          <w:top w:val="none" w:color="000000" w:sz="0" w:space="0"/>
          <w:left w:val="none" w:color="000000" w:sz="0" w:space="0"/>
          <w:bottom w:val="single" w:color="4f81bd" w:sz="4" w:space="0"/>
          <w:right w:val="none" w:color="000000" w:sz="0" w:space="0"/>
        </w:tcBorders>
      </w:tcPr>
    </w:tblStylePr>
    <w:tblStylePr w:type="lastCol">
      <w:rPr>
        <w:i/>
        <w:sz w:val="22"/>
      </w:rPr>
      <w:pPr>
        <w:pBdr/>
        <w:spacing/>
        <w:ind/>
      </w:pPr>
      <w:tblPr>
        <w:tblBorders/>
      </w:tblPr>
      <w:tcPr>
        <w:shd w:val="clear" w:color="ffffff" w:fill="auto"/>
        <w:tcBorders>
          <w:top w:val="none" w:color="000000" w:sz="0" w:space="0"/>
          <w:left w:val="single" w:color="4f81bd" w:sz="4" w:space="0"/>
          <w:bottom w:val="none" w:color="000000" w:sz="0" w:space="0"/>
          <w:right w:val="none" w:color="000000" w:sz="0" w:space="0"/>
        </w:tcBorders>
      </w:tcPr>
    </w:tblStylePr>
    <w:tblStylePr w:type="lastRow">
      <w:rPr>
        <w:i/>
        <w:sz w:val="22"/>
      </w:rPr>
      <w:pPr>
        <w:pBdr/>
        <w:spacing/>
        <w:ind/>
      </w:pPr>
      <w:tblPr>
        <w:tblBorders/>
      </w:tblPr>
      <w:tcPr>
        <w:shd w:val="clear" w:color="ffffff" w:fill="ffffff"/>
        <w:tcBorders>
          <w:top w:val="single" w:color="4f81bd"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36" w:customStyle="1">
    <w:name w:val="List Table 7 Colorful - Accent 2"/>
    <w:basedOn w:val="2335"/>
    <w:uiPriority w:val="99"/>
    <w:pPr>
      <w:pBdr/>
      <w:spacing/>
      <w:ind/>
    </w:pPr>
    <w:tblPr>
      <w:tblStyleRowBandSize w:val="1"/>
      <w:tblStyleColBandSize w:val="1"/>
      <w:tblCellMar>
        <w:left w:w="108" w:type="dxa"/>
        <w:top w:w="0" w:type="dxa"/>
        <w:right w:w="108" w:type="dxa"/>
        <w:bottom w:w="0" w:type="dxa"/>
      </w:tblCellMar>
      <w:tblBorders>
        <w:right w:val="single" w:color="d99695" w:sz="4" w:space="0"/>
      </w:tblBorders>
    </w:tblPr>
    <w:tcPr>
      <w:tcBorders/>
    </w:tcPr>
    <w:tblStylePr w:type="band1Horz">
      <w:rPr>
        <w:sz w:val="22"/>
      </w:rPr>
      <w:pPr>
        <w:pBdr/>
        <w:spacing/>
        <w:ind/>
      </w:pPr>
      <w:tblPr>
        <w:tblBorders/>
      </w:tblPr>
      <w:tcPr>
        <w:shd w:val="clear" w:color="efd2d2" w:fill="efd2d2"/>
        <w:tcBorders/>
      </w:tcPr>
    </w:tblStylePr>
    <w:tblStylePr w:type="band1Vert">
      <w:pPr>
        <w:pBdr/>
        <w:spacing/>
        <w:ind/>
      </w:pPr>
      <w:tblPr>
        <w:tblBorders/>
      </w:tblPr>
      <w:tcPr>
        <w:shd w:val="clear" w:color="efd2d2" w:fill="efd2d2"/>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i/>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d99695" w:sz="4" w:space="0"/>
        </w:tcBorders>
      </w:tcPr>
    </w:tblStylePr>
    <w:tblStylePr w:type="firstRow">
      <w:rPr>
        <w:i/>
        <w:sz w:val="22"/>
      </w:rPr>
      <w:pPr>
        <w:pBdr/>
        <w:spacing/>
        <w:ind/>
      </w:pPr>
      <w:tblPr>
        <w:tblBorders/>
      </w:tblPr>
      <w:tcPr>
        <w:shd w:val="clear" w:color="ffffff" w:fill="ffffff"/>
        <w:tcBorders>
          <w:top w:val="none" w:color="000000" w:sz="0" w:space="0"/>
          <w:left w:val="none" w:color="000000" w:sz="0" w:space="0"/>
          <w:bottom w:val="single" w:color="d99695" w:sz="4" w:space="0"/>
          <w:right w:val="none" w:color="000000" w:sz="0" w:space="0"/>
        </w:tcBorders>
      </w:tcPr>
    </w:tblStylePr>
    <w:tblStylePr w:type="lastCol">
      <w:rPr>
        <w:i/>
        <w:sz w:val="22"/>
      </w:rPr>
      <w:pPr>
        <w:pBdr/>
        <w:spacing/>
        <w:ind/>
      </w:pPr>
      <w:tblPr>
        <w:tblBorders/>
      </w:tblPr>
      <w:tcPr>
        <w:shd w:val="clear" w:color="ffffff" w:fill="auto"/>
        <w:tcBorders>
          <w:top w:val="none" w:color="000000" w:sz="0" w:space="0"/>
          <w:left w:val="single" w:color="d99695" w:sz="4" w:space="0"/>
          <w:bottom w:val="none" w:color="000000" w:sz="0" w:space="0"/>
          <w:right w:val="none" w:color="000000" w:sz="0" w:space="0"/>
        </w:tcBorders>
      </w:tcPr>
    </w:tblStylePr>
    <w:tblStylePr w:type="lastRow">
      <w:rPr>
        <w:i/>
        <w:sz w:val="22"/>
      </w:rPr>
      <w:pPr>
        <w:pBdr/>
        <w:spacing/>
        <w:ind/>
      </w:pPr>
      <w:tblPr>
        <w:tblBorders/>
      </w:tblPr>
      <w:tcPr>
        <w:shd w:val="clear" w:color="ffffff" w:fill="ffffff"/>
        <w:tcBorders>
          <w:top w:val="single" w:color="d99695"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37" w:customStyle="1">
    <w:name w:val="List Table 7 Colorful - Accent 3"/>
    <w:basedOn w:val="2335"/>
    <w:uiPriority w:val="99"/>
    <w:pPr>
      <w:pBdr/>
      <w:spacing/>
      <w:ind/>
    </w:pPr>
    <w:tblPr>
      <w:tblStyleRowBandSize w:val="1"/>
      <w:tblStyleColBandSize w:val="1"/>
      <w:tblCellMar>
        <w:left w:w="108" w:type="dxa"/>
        <w:top w:w="0" w:type="dxa"/>
        <w:right w:w="108" w:type="dxa"/>
        <w:bottom w:w="0" w:type="dxa"/>
      </w:tblCellMar>
      <w:tblBorders>
        <w:right w:val="single" w:color="c3d69b" w:sz="4" w:space="0"/>
      </w:tblBorders>
    </w:tblPr>
    <w:tcPr>
      <w:tcBorders/>
    </w:tcPr>
    <w:tblStylePr w:type="band1Horz">
      <w:rPr>
        <w:sz w:val="22"/>
      </w:rPr>
      <w:pPr>
        <w:pBdr/>
        <w:spacing/>
        <w:ind/>
      </w:pPr>
      <w:tblPr>
        <w:tblBorders/>
      </w:tblPr>
      <w:tcPr>
        <w:shd w:val="clear" w:color="e5eed5" w:fill="e5eed5"/>
        <w:tcBorders/>
      </w:tcPr>
    </w:tblStylePr>
    <w:tblStylePr w:type="band1Vert">
      <w:pPr>
        <w:pBdr/>
        <w:spacing/>
        <w:ind/>
      </w:pPr>
      <w:tblPr>
        <w:tblBorders/>
      </w:tblPr>
      <w:tcPr>
        <w:shd w:val="clear" w:color="e5eed5" w:fill="e5eed5"/>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i/>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c3d69b" w:sz="4" w:space="0"/>
        </w:tcBorders>
      </w:tcPr>
    </w:tblStylePr>
    <w:tblStylePr w:type="firstRow">
      <w:rPr>
        <w:i/>
        <w:sz w:val="22"/>
      </w:rPr>
      <w:pPr>
        <w:pBdr/>
        <w:spacing/>
        <w:ind/>
      </w:pPr>
      <w:tblPr>
        <w:tblBorders/>
      </w:tblPr>
      <w:tcPr>
        <w:shd w:val="clear" w:color="ffffff" w:fill="ffffff"/>
        <w:tcBorders>
          <w:top w:val="none" w:color="000000" w:sz="0" w:space="0"/>
          <w:left w:val="none" w:color="000000" w:sz="0" w:space="0"/>
          <w:bottom w:val="single" w:color="c3d69b" w:sz="4" w:space="0"/>
          <w:right w:val="none" w:color="000000" w:sz="0" w:space="0"/>
        </w:tcBorders>
      </w:tcPr>
    </w:tblStylePr>
    <w:tblStylePr w:type="lastCol">
      <w:rPr>
        <w:i/>
        <w:sz w:val="22"/>
      </w:rPr>
      <w:pPr>
        <w:pBdr/>
        <w:spacing/>
        <w:ind/>
      </w:pPr>
      <w:tblPr>
        <w:tblBorders/>
      </w:tblPr>
      <w:tcPr>
        <w:shd w:val="clear" w:color="ffffff" w:fill="auto"/>
        <w:tcBorders>
          <w:top w:val="none" w:color="000000" w:sz="0" w:space="0"/>
          <w:left w:val="single" w:color="c3d69b" w:sz="4" w:space="0"/>
          <w:bottom w:val="none" w:color="000000" w:sz="0" w:space="0"/>
          <w:right w:val="none" w:color="000000" w:sz="0" w:space="0"/>
        </w:tcBorders>
      </w:tcPr>
    </w:tblStylePr>
    <w:tblStylePr w:type="lastRow">
      <w:rPr>
        <w:i/>
        <w:sz w:val="22"/>
      </w:rPr>
      <w:pPr>
        <w:pBdr/>
        <w:spacing/>
        <w:ind/>
      </w:pPr>
      <w:tblPr>
        <w:tblBorders/>
      </w:tblPr>
      <w:tcPr>
        <w:shd w:val="clear" w:color="ffffff" w:fill="ffffff"/>
        <w:tcBorders>
          <w:top w:val="single" w:color="c3d69b"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38" w:customStyle="1">
    <w:name w:val="List Table 7 Colorful - Accent 4"/>
    <w:basedOn w:val="2335"/>
    <w:uiPriority w:val="99"/>
    <w:pPr>
      <w:pBdr/>
      <w:spacing/>
      <w:ind/>
    </w:pPr>
    <w:tblPr>
      <w:tblStyleRowBandSize w:val="1"/>
      <w:tblStyleColBandSize w:val="1"/>
      <w:tblCellMar>
        <w:left w:w="108" w:type="dxa"/>
        <w:top w:w="0" w:type="dxa"/>
        <w:right w:w="108" w:type="dxa"/>
        <w:bottom w:w="0" w:type="dxa"/>
      </w:tblCellMar>
      <w:tblBorders>
        <w:right w:val="single" w:color="b2a1c6" w:sz="4" w:space="0"/>
      </w:tblBorders>
    </w:tblPr>
    <w:tcPr>
      <w:tcBorders/>
    </w:tcPr>
    <w:tblStylePr w:type="band1Horz">
      <w:rPr>
        <w:sz w:val="22"/>
      </w:rPr>
      <w:pPr>
        <w:pBdr/>
        <w:spacing/>
        <w:ind/>
      </w:pPr>
      <w:tblPr>
        <w:tblBorders/>
      </w:tblPr>
      <w:tcPr>
        <w:shd w:val="clear" w:color="dfd8e7" w:fill="dfd8e7"/>
        <w:tcBorders/>
      </w:tcPr>
    </w:tblStylePr>
    <w:tblStylePr w:type="band1Vert">
      <w:pPr>
        <w:pBdr/>
        <w:spacing/>
        <w:ind/>
      </w:pPr>
      <w:tblPr>
        <w:tblBorders/>
      </w:tblPr>
      <w:tcPr>
        <w:shd w:val="clear" w:color="dfd8e7" w:fill="dfd8e7"/>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i/>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b2a1c6" w:sz="4" w:space="0"/>
        </w:tcBorders>
      </w:tcPr>
    </w:tblStylePr>
    <w:tblStylePr w:type="firstRow">
      <w:rPr>
        <w:i/>
        <w:sz w:val="22"/>
      </w:rPr>
      <w:pPr>
        <w:pBdr/>
        <w:spacing/>
        <w:ind/>
      </w:pPr>
      <w:tblPr>
        <w:tblBorders/>
      </w:tblPr>
      <w:tcPr>
        <w:shd w:val="clear" w:color="ffffff" w:fill="ffffff"/>
        <w:tcBorders>
          <w:top w:val="none" w:color="000000" w:sz="0" w:space="0"/>
          <w:left w:val="none" w:color="000000" w:sz="0" w:space="0"/>
          <w:bottom w:val="single" w:color="b2a1c6" w:sz="4" w:space="0"/>
          <w:right w:val="none" w:color="000000" w:sz="0" w:space="0"/>
        </w:tcBorders>
      </w:tcPr>
    </w:tblStylePr>
    <w:tblStylePr w:type="lastCol">
      <w:rPr>
        <w:i/>
        <w:sz w:val="22"/>
      </w:rPr>
      <w:pPr>
        <w:pBdr/>
        <w:spacing/>
        <w:ind/>
      </w:pPr>
      <w:tblPr>
        <w:tblBorders/>
      </w:tblPr>
      <w:tcPr>
        <w:shd w:val="clear" w:color="ffffff" w:fill="auto"/>
        <w:tcBorders>
          <w:top w:val="none" w:color="000000" w:sz="0" w:space="0"/>
          <w:left w:val="single" w:color="b2a1c6" w:sz="4" w:space="0"/>
          <w:bottom w:val="none" w:color="000000" w:sz="0" w:space="0"/>
          <w:right w:val="none" w:color="000000" w:sz="0" w:space="0"/>
        </w:tcBorders>
      </w:tcPr>
    </w:tblStylePr>
    <w:tblStylePr w:type="lastRow">
      <w:rPr>
        <w:i/>
        <w:sz w:val="22"/>
      </w:rPr>
      <w:pPr>
        <w:pBdr/>
        <w:spacing/>
        <w:ind/>
      </w:pPr>
      <w:tblPr>
        <w:tblBorders/>
      </w:tblPr>
      <w:tcPr>
        <w:shd w:val="clear" w:color="ffffff" w:fill="ffffff"/>
        <w:tcBorders>
          <w:top w:val="single" w:color="b2a1c6"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39" w:customStyle="1">
    <w:name w:val="List Table 7 Colorful - Accent 5"/>
    <w:basedOn w:val="2335"/>
    <w:uiPriority w:val="99"/>
    <w:pPr>
      <w:pBdr/>
      <w:spacing/>
      <w:ind/>
    </w:pPr>
    <w:tblPr>
      <w:tblStyleRowBandSize w:val="1"/>
      <w:tblStyleColBandSize w:val="1"/>
      <w:tblCellMar>
        <w:left w:w="108" w:type="dxa"/>
        <w:top w:w="0" w:type="dxa"/>
        <w:right w:w="108" w:type="dxa"/>
        <w:bottom w:w="0" w:type="dxa"/>
      </w:tblCellMar>
      <w:tblBorders>
        <w:right w:val="single" w:color="92ccdc" w:sz="4" w:space="0"/>
      </w:tblBorders>
    </w:tblPr>
    <w:tcPr>
      <w:tcBorders/>
    </w:tcPr>
    <w:tblStylePr w:type="band1Horz">
      <w:rPr>
        <w:sz w:val="22"/>
      </w:rPr>
      <w:pPr>
        <w:pBdr/>
        <w:spacing/>
        <w:ind/>
      </w:pPr>
      <w:tblPr>
        <w:tblBorders/>
      </w:tblPr>
      <w:tcPr>
        <w:shd w:val="clear" w:color="d1eaf0" w:fill="d1eaf0"/>
        <w:tcBorders/>
      </w:tcPr>
    </w:tblStylePr>
    <w:tblStylePr w:type="band1Vert">
      <w:pPr>
        <w:pBdr/>
        <w:spacing/>
        <w:ind/>
      </w:pPr>
      <w:tblPr>
        <w:tblBorders/>
      </w:tblPr>
      <w:tcPr>
        <w:shd w:val="clear" w:color="d1eaf0" w:fill="d1eaf0"/>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i/>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92ccdc" w:sz="4" w:space="0"/>
        </w:tcBorders>
      </w:tcPr>
    </w:tblStylePr>
    <w:tblStylePr w:type="firstRow">
      <w:rPr>
        <w:i/>
        <w:sz w:val="22"/>
      </w:rPr>
      <w:pPr>
        <w:pBdr/>
        <w:spacing/>
        <w:ind/>
      </w:pPr>
      <w:tblPr>
        <w:tblBorders/>
      </w:tblPr>
      <w:tcPr>
        <w:shd w:val="clear" w:color="ffffff" w:fill="ffffff"/>
        <w:tcBorders>
          <w:top w:val="none" w:color="000000" w:sz="0" w:space="0"/>
          <w:left w:val="none" w:color="000000" w:sz="0" w:space="0"/>
          <w:bottom w:val="single" w:color="92ccdc" w:sz="4" w:space="0"/>
          <w:right w:val="none" w:color="000000" w:sz="0" w:space="0"/>
        </w:tcBorders>
      </w:tcPr>
    </w:tblStylePr>
    <w:tblStylePr w:type="lastCol">
      <w:rPr>
        <w:i/>
        <w:sz w:val="22"/>
      </w:rPr>
      <w:pPr>
        <w:pBdr/>
        <w:spacing/>
        <w:ind/>
      </w:pPr>
      <w:tblPr>
        <w:tblBorders/>
      </w:tblPr>
      <w:tcPr>
        <w:shd w:val="clear" w:color="ffffff" w:fill="auto"/>
        <w:tcBorders>
          <w:top w:val="none" w:color="000000" w:sz="0" w:space="0"/>
          <w:left w:val="single" w:color="92ccdc" w:sz="4" w:space="0"/>
          <w:bottom w:val="none" w:color="000000" w:sz="0" w:space="0"/>
          <w:right w:val="none" w:color="000000" w:sz="0" w:space="0"/>
        </w:tcBorders>
      </w:tcPr>
    </w:tblStylePr>
    <w:tblStylePr w:type="lastRow">
      <w:rPr>
        <w:i/>
        <w:sz w:val="22"/>
      </w:rPr>
      <w:pPr>
        <w:pBdr/>
        <w:spacing/>
        <w:ind/>
      </w:pPr>
      <w:tblPr>
        <w:tblBorders/>
      </w:tblPr>
      <w:tcPr>
        <w:shd w:val="clear" w:color="ffffff" w:fill="ffffff"/>
        <w:tcBorders>
          <w:top w:val="single" w:color="92ccdc"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40" w:customStyle="1">
    <w:name w:val="List Table 7 Colorful - Accent 6"/>
    <w:basedOn w:val="2335"/>
    <w:uiPriority w:val="99"/>
    <w:pPr>
      <w:pBdr/>
      <w:spacing/>
      <w:ind/>
    </w:pPr>
    <w:tblPr>
      <w:tblStyleRowBandSize w:val="1"/>
      <w:tblStyleColBandSize w:val="1"/>
      <w:tblCellMar>
        <w:left w:w="108" w:type="dxa"/>
        <w:top w:w="0" w:type="dxa"/>
        <w:right w:w="108" w:type="dxa"/>
        <w:bottom w:w="0" w:type="dxa"/>
      </w:tblCellMar>
      <w:tblBorders>
        <w:right w:val="single" w:color="fac090" w:sz="4" w:space="0"/>
      </w:tblBorders>
    </w:tblPr>
    <w:tcPr>
      <w:tcBorders/>
    </w:tcPr>
    <w:tblStylePr w:type="band1Horz">
      <w:rPr>
        <w:sz w:val="22"/>
      </w:rPr>
      <w:pPr>
        <w:pBdr/>
        <w:spacing/>
        <w:ind/>
      </w:pPr>
      <w:tblPr>
        <w:tblBorders/>
      </w:tblPr>
      <w:tcPr>
        <w:shd w:val="clear" w:color="fde4d0" w:fill="fde4d0"/>
        <w:tcBorders/>
      </w:tcPr>
    </w:tblStylePr>
    <w:tblStylePr w:type="band1Vert">
      <w:pPr>
        <w:pBdr/>
        <w:spacing/>
        <w:ind/>
      </w:pPr>
      <w:tblPr>
        <w:tblBorders/>
      </w:tblPr>
      <w:tcPr>
        <w:shd w:val="clear" w:color="fde4d0" w:fill="fde4d0"/>
        <w:tcBorders/>
      </w:tcPr>
    </w:tblStylePr>
    <w:tblStylePr w:type="band2Horz">
      <w:rPr>
        <w:sz w:val="22"/>
      </w:rPr>
      <w:pPr>
        <w:pBdr/>
        <w:spacing/>
        <w:ind/>
      </w:pPr>
      <w:tblPr>
        <w:tblBorders/>
      </w:tblPr>
      <w:tcPr>
        <w:tcBorders/>
      </w:tcPr>
    </w:tblStylePr>
    <w:tblStylePr w:type="band2Vert">
      <w:pPr>
        <w:pBdr/>
        <w:spacing/>
        <w:ind/>
      </w:pPr>
      <w:tblPr>
        <w:tblBorders/>
      </w:tblPr>
      <w:tcPr>
        <w:tcBorders/>
      </w:tcPr>
    </w:tblStylePr>
    <w:tblStylePr w:type="firstCol">
      <w:rPr>
        <w:i/>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ac090" w:sz="4" w:space="0"/>
        </w:tcBorders>
      </w:tcPr>
    </w:tblStylePr>
    <w:tblStylePr w:type="firstRow">
      <w:rPr>
        <w:i/>
        <w:sz w:val="22"/>
      </w:rPr>
      <w:pPr>
        <w:pBdr/>
        <w:spacing/>
        <w:ind/>
      </w:pPr>
      <w:tblPr>
        <w:tblBorders/>
      </w:tblPr>
      <w:tcPr>
        <w:shd w:val="clear" w:color="ffffff" w:fill="ffffff"/>
        <w:tcBorders>
          <w:top w:val="none" w:color="000000" w:sz="0" w:space="0"/>
          <w:left w:val="none" w:color="000000" w:sz="0" w:space="0"/>
          <w:bottom w:val="single" w:color="fac090" w:sz="4" w:space="0"/>
          <w:right w:val="none" w:color="000000" w:sz="0" w:space="0"/>
        </w:tcBorders>
      </w:tcPr>
    </w:tblStylePr>
    <w:tblStylePr w:type="lastCol">
      <w:rPr>
        <w:i/>
        <w:sz w:val="22"/>
      </w:rPr>
      <w:pPr>
        <w:pBdr/>
        <w:spacing/>
        <w:ind/>
      </w:pPr>
      <w:tblPr>
        <w:tblBorders/>
      </w:tblPr>
      <w:tcPr>
        <w:shd w:val="clear" w:color="ffffff" w:fill="auto"/>
        <w:tcBorders>
          <w:top w:val="none" w:color="000000" w:sz="0" w:space="0"/>
          <w:left w:val="single" w:color="fac090" w:sz="4" w:space="0"/>
          <w:bottom w:val="none" w:color="000000" w:sz="0" w:space="0"/>
          <w:right w:val="none" w:color="000000" w:sz="0" w:space="0"/>
        </w:tcBorders>
      </w:tcPr>
    </w:tblStylePr>
    <w:tblStylePr w:type="lastRow">
      <w:rPr>
        <w:i/>
        <w:sz w:val="22"/>
      </w:rPr>
      <w:pPr>
        <w:pBdr/>
        <w:spacing/>
        <w:ind/>
      </w:pPr>
      <w:tblPr>
        <w:tblBorders/>
      </w:tblPr>
      <w:tcPr>
        <w:shd w:val="clear" w:color="ffffff" w:fill="ffffff"/>
        <w:tcBorders>
          <w:top w:val="single" w:color="fac09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41" w:customStyle="1">
    <w:name w:val="Lined - Accent"/>
    <w:basedOn w:val="2335"/>
    <w:uiPriority w:val="99"/>
    <w:pPr>
      <w:pBdr/>
      <w:spacing/>
      <w:ind/>
    </w:pPr>
    <w:tblPr>
      <w:tblStyleRowBandSize w:val="1"/>
      <w:tblStyleColBandSize w:val="1"/>
      <w:tblCellMar>
        <w:left w:w="108" w:type="dxa"/>
        <w:top w:w="0" w:type="dxa"/>
        <w:right w:w="108" w:type="dxa"/>
        <w:bottom w:w="0" w:type="dxa"/>
      </w:tblCellMar>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2f2f2" w:fill="f2f2f2"/>
        <w:tcBorders/>
      </w:tcPr>
    </w:tblStylePr>
    <w:tblStylePr w:type="band2Vert">
      <w:rPr>
        <w:sz w:val="22"/>
      </w:rPr>
      <w:pPr>
        <w:pBdr/>
        <w:spacing/>
        <w:ind/>
      </w:pPr>
      <w:tblPr>
        <w:tblBorders/>
      </w:tblPr>
      <w:tcPr>
        <w:shd w:val="clear" w:color="f2f2f2" w:fill="f2f2f2"/>
        <w:tcBorders/>
      </w:tcPr>
    </w:tblStylePr>
    <w:tblStylePr w:type="firstCol">
      <w:rPr>
        <w:sz w:val="22"/>
      </w:rPr>
      <w:pPr>
        <w:pBdr/>
        <w:spacing/>
        <w:ind/>
      </w:pPr>
      <w:tblPr>
        <w:tblBorders/>
      </w:tblPr>
      <w:tcPr>
        <w:shd w:val="clear" w:color="7f7f7f" w:fill="7f7f7f"/>
        <w:tcBorders/>
      </w:tcPr>
    </w:tblStylePr>
    <w:tblStylePr w:type="firstRow">
      <w:rPr>
        <w:sz w:val="22"/>
      </w:rPr>
      <w:pPr>
        <w:pBdr/>
        <w:spacing/>
        <w:ind/>
      </w:pPr>
      <w:tblPr>
        <w:tblBorders/>
      </w:tblPr>
      <w:tcPr>
        <w:shd w:val="clear" w:color="7f7f7f" w:fill="7f7f7f"/>
        <w:tcBorders/>
      </w:tcPr>
    </w:tblStylePr>
    <w:tblStylePr w:type="lastCol">
      <w:rPr>
        <w:sz w:val="22"/>
      </w:rPr>
      <w:pPr>
        <w:pBdr/>
        <w:spacing/>
        <w:ind/>
      </w:pPr>
      <w:tblPr>
        <w:tblBorders/>
      </w:tblPr>
      <w:tcPr>
        <w:shd w:val="clear" w:color="7f7f7f" w:fill="7f7f7f"/>
        <w:tcBorders/>
      </w:tcPr>
    </w:tblStylePr>
    <w:tblStylePr w:type="lastRow">
      <w:rPr>
        <w:sz w:val="22"/>
      </w:rPr>
      <w:pPr>
        <w:pBdr/>
        <w:spacing/>
        <w:ind/>
      </w:pPr>
      <w:tblPr>
        <w:tblBorders/>
      </w:tblPr>
      <w:tcPr>
        <w:shd w:val="clear" w:color="7f7f7f" w:fill="7f7f7f"/>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42" w:customStyle="1">
    <w:name w:val="Lined - Accent 1"/>
    <w:basedOn w:val="2335"/>
    <w:uiPriority w:val="99"/>
    <w:pPr>
      <w:pBdr/>
      <w:spacing/>
      <w:ind/>
    </w:pPr>
    <w:tblPr>
      <w:tblStyleRowBandSize w:val="1"/>
      <w:tblStyleColBandSize w:val="1"/>
      <w:tblCellMar>
        <w:left w:w="108" w:type="dxa"/>
        <w:top w:w="0" w:type="dxa"/>
        <w:right w:w="108" w:type="dxa"/>
        <w:bottom w:w="0" w:type="dxa"/>
      </w:tblCellMar>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c7d7ea" w:fill="c7d7ea"/>
        <w:tcBorders/>
      </w:tcPr>
    </w:tblStylePr>
    <w:tblStylePr w:type="band2Vert">
      <w:rPr>
        <w:sz w:val="22"/>
      </w:rPr>
      <w:pPr>
        <w:pBdr/>
        <w:spacing/>
        <w:ind/>
      </w:pPr>
      <w:tblPr>
        <w:tblBorders/>
      </w:tblPr>
      <w:tcPr>
        <w:shd w:val="clear" w:color="c7d7ea" w:fill="c7d7ea"/>
        <w:tcBorders/>
      </w:tcPr>
    </w:tblStylePr>
    <w:tblStylePr w:type="firstCol">
      <w:rPr>
        <w:sz w:val="22"/>
      </w:rPr>
      <w:pPr>
        <w:pBdr/>
        <w:spacing/>
        <w:ind/>
      </w:pPr>
      <w:tblPr>
        <w:tblBorders/>
      </w:tblPr>
      <w:tcPr>
        <w:shd w:val="clear" w:color="5d8ac2" w:fill="5d8ac2"/>
        <w:tcBorders/>
      </w:tcPr>
    </w:tblStylePr>
    <w:tblStylePr w:type="firstRow">
      <w:rPr>
        <w:sz w:val="22"/>
      </w:rPr>
      <w:pPr>
        <w:pBdr/>
        <w:spacing/>
        <w:ind/>
      </w:pPr>
      <w:tblPr>
        <w:tblBorders/>
      </w:tblPr>
      <w:tcPr>
        <w:shd w:val="clear" w:color="5d8ac2" w:fill="5d8ac2"/>
        <w:tcBorders/>
      </w:tcPr>
    </w:tblStylePr>
    <w:tblStylePr w:type="lastCol">
      <w:rPr>
        <w:sz w:val="22"/>
      </w:rPr>
      <w:pPr>
        <w:pBdr/>
        <w:spacing/>
        <w:ind/>
      </w:pPr>
      <w:tblPr>
        <w:tblBorders/>
      </w:tblPr>
      <w:tcPr>
        <w:shd w:val="clear" w:color="5d8ac2" w:fill="5d8ac2"/>
        <w:tcBorders/>
      </w:tcPr>
    </w:tblStylePr>
    <w:tblStylePr w:type="lastRow">
      <w:rPr>
        <w:sz w:val="22"/>
      </w:rPr>
      <w:pPr>
        <w:pBdr/>
        <w:spacing/>
        <w:ind/>
      </w:pPr>
      <w:tblPr>
        <w:tblBorders/>
      </w:tblPr>
      <w:tcPr>
        <w:shd w:val="clear" w:color="5d8ac2" w:fill="5d8ac2"/>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43" w:customStyle="1">
    <w:name w:val="Lined - Accent 2"/>
    <w:basedOn w:val="2335"/>
    <w:uiPriority w:val="99"/>
    <w:pPr>
      <w:pBdr/>
      <w:spacing/>
      <w:ind/>
    </w:pPr>
    <w:tblPr>
      <w:tblStyleRowBandSize w:val="1"/>
      <w:tblStyleColBandSize w:val="1"/>
      <w:tblCellMar>
        <w:left w:w="108" w:type="dxa"/>
        <w:top w:w="0" w:type="dxa"/>
        <w:right w:w="108" w:type="dxa"/>
        <w:bottom w:w="0" w:type="dxa"/>
      </w:tblCellMar>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2dcdc" w:fill="f2dcdc"/>
        <w:tcBorders/>
      </w:tcPr>
    </w:tblStylePr>
    <w:tblStylePr w:type="band2Vert">
      <w:rPr>
        <w:sz w:val="22"/>
      </w:rPr>
      <w:pPr>
        <w:pBdr/>
        <w:spacing/>
        <w:ind/>
      </w:pPr>
      <w:tblPr>
        <w:tblBorders/>
      </w:tblPr>
      <w:tcPr>
        <w:shd w:val="clear" w:color="f2dcdc" w:fill="f2dcdc"/>
        <w:tcBorders/>
      </w:tcPr>
    </w:tblStylePr>
    <w:tblStylePr w:type="firstCol">
      <w:rPr>
        <w:sz w:val="22"/>
      </w:rPr>
      <w:pPr>
        <w:pBdr/>
        <w:spacing/>
        <w:ind/>
      </w:pPr>
      <w:tblPr>
        <w:tblBorders/>
      </w:tblPr>
      <w:tcPr>
        <w:shd w:val="clear" w:color="d99695" w:fill="d99695"/>
        <w:tcBorders/>
      </w:tcPr>
    </w:tblStylePr>
    <w:tblStylePr w:type="firstRow">
      <w:rPr>
        <w:sz w:val="22"/>
      </w:rPr>
      <w:pPr>
        <w:pBdr/>
        <w:spacing/>
        <w:ind/>
      </w:pPr>
      <w:tblPr>
        <w:tblBorders/>
      </w:tblPr>
      <w:tcPr>
        <w:shd w:val="clear" w:color="d99695" w:fill="d99695"/>
        <w:tcBorders/>
      </w:tcPr>
    </w:tblStylePr>
    <w:tblStylePr w:type="lastCol">
      <w:rPr>
        <w:sz w:val="22"/>
      </w:rPr>
      <w:pPr>
        <w:pBdr/>
        <w:spacing/>
        <w:ind/>
      </w:pPr>
      <w:tblPr>
        <w:tblBorders/>
      </w:tblPr>
      <w:tcPr>
        <w:shd w:val="clear" w:color="d99695" w:fill="d99695"/>
        <w:tcBorders/>
      </w:tcPr>
    </w:tblStylePr>
    <w:tblStylePr w:type="lastRow">
      <w:rPr>
        <w:sz w:val="22"/>
      </w:rPr>
      <w:pPr>
        <w:pBdr/>
        <w:spacing/>
        <w:ind/>
      </w:pPr>
      <w:tblPr>
        <w:tblBorders/>
      </w:tblPr>
      <w:tcPr>
        <w:shd w:val="clear" w:color="d99695" w:fill="d9969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44" w:customStyle="1">
    <w:name w:val="Lined - Accent 3"/>
    <w:basedOn w:val="2335"/>
    <w:uiPriority w:val="99"/>
    <w:pPr>
      <w:pBdr/>
      <w:spacing/>
      <w:ind/>
    </w:pPr>
    <w:tblPr>
      <w:tblStyleRowBandSize w:val="1"/>
      <w:tblStyleColBandSize w:val="1"/>
      <w:tblCellMar>
        <w:left w:w="108" w:type="dxa"/>
        <w:top w:w="0" w:type="dxa"/>
        <w:right w:w="108" w:type="dxa"/>
        <w:bottom w:w="0" w:type="dxa"/>
      </w:tblCellMar>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eaf1dc" w:fill="eaf1dc"/>
        <w:tcBorders/>
      </w:tcPr>
    </w:tblStylePr>
    <w:tblStylePr w:type="band2Vert">
      <w:rPr>
        <w:sz w:val="22"/>
      </w:rPr>
      <w:pPr>
        <w:pBdr/>
        <w:spacing/>
        <w:ind/>
      </w:pPr>
      <w:tblPr>
        <w:tblBorders/>
      </w:tblPr>
      <w:tcPr>
        <w:shd w:val="clear" w:color="eaf1dc" w:fill="eaf1dc"/>
        <w:tcBorders/>
      </w:tcPr>
    </w:tblStylePr>
    <w:tblStylePr w:type="firstCol">
      <w:rPr>
        <w:sz w:val="22"/>
      </w:rPr>
      <w:pPr>
        <w:pBdr/>
        <w:spacing/>
        <w:ind/>
      </w:pPr>
      <w:tblPr>
        <w:tblBorders/>
      </w:tblPr>
      <w:tcPr>
        <w:shd w:val="clear" w:color="9abb59" w:fill="9abb59"/>
        <w:tcBorders/>
      </w:tcPr>
    </w:tblStylePr>
    <w:tblStylePr w:type="firstRow">
      <w:rPr>
        <w:sz w:val="22"/>
      </w:rPr>
      <w:pPr>
        <w:pBdr/>
        <w:spacing/>
        <w:ind/>
      </w:pPr>
      <w:tblPr>
        <w:tblBorders/>
      </w:tblPr>
      <w:tcPr>
        <w:shd w:val="clear" w:color="9abb59" w:fill="9abb59"/>
        <w:tcBorders/>
      </w:tcPr>
    </w:tblStylePr>
    <w:tblStylePr w:type="lastCol">
      <w:rPr>
        <w:sz w:val="22"/>
      </w:rPr>
      <w:pPr>
        <w:pBdr/>
        <w:spacing/>
        <w:ind/>
      </w:pPr>
      <w:tblPr>
        <w:tblBorders/>
      </w:tblPr>
      <w:tcPr>
        <w:shd w:val="clear" w:color="9abb59" w:fill="9abb59"/>
        <w:tcBorders/>
      </w:tcPr>
    </w:tblStylePr>
    <w:tblStylePr w:type="lastRow">
      <w:rPr>
        <w:sz w:val="22"/>
      </w:rPr>
      <w:pPr>
        <w:pBdr/>
        <w:spacing/>
        <w:ind/>
      </w:pPr>
      <w:tblPr>
        <w:tblBorders/>
      </w:tblPr>
      <w:tcPr>
        <w:shd w:val="clear" w:color="9abb59" w:fill="9abb59"/>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45" w:customStyle="1">
    <w:name w:val="Lined - Accent 4"/>
    <w:basedOn w:val="2335"/>
    <w:uiPriority w:val="99"/>
    <w:pPr>
      <w:pBdr/>
      <w:spacing/>
      <w:ind/>
    </w:pPr>
    <w:tblPr>
      <w:tblStyleRowBandSize w:val="1"/>
      <w:tblStyleColBandSize w:val="1"/>
      <w:tblCellMar>
        <w:left w:w="108" w:type="dxa"/>
        <w:top w:w="0" w:type="dxa"/>
        <w:right w:w="108" w:type="dxa"/>
        <w:bottom w:w="0" w:type="dxa"/>
      </w:tblCellMar>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e5dfec" w:fill="e5dfec"/>
        <w:tcBorders/>
      </w:tcPr>
    </w:tblStylePr>
    <w:tblStylePr w:type="band2Vert">
      <w:rPr>
        <w:sz w:val="22"/>
      </w:rPr>
      <w:pPr>
        <w:pBdr/>
        <w:spacing/>
        <w:ind/>
      </w:pPr>
      <w:tblPr>
        <w:tblBorders/>
      </w:tblPr>
      <w:tcPr>
        <w:shd w:val="clear" w:color="e5dfec" w:fill="e5dfec"/>
        <w:tcBorders/>
      </w:tcPr>
    </w:tblStylePr>
    <w:tblStylePr w:type="firstCol">
      <w:rPr>
        <w:sz w:val="22"/>
      </w:rPr>
      <w:pPr>
        <w:pBdr/>
        <w:spacing/>
        <w:ind/>
      </w:pPr>
      <w:tblPr>
        <w:tblBorders/>
      </w:tblPr>
      <w:tcPr>
        <w:shd w:val="clear" w:color="b2a1c6" w:fill="b2a1c6"/>
        <w:tcBorders/>
      </w:tcPr>
    </w:tblStylePr>
    <w:tblStylePr w:type="firstRow">
      <w:rPr>
        <w:sz w:val="22"/>
      </w:rPr>
      <w:pPr>
        <w:pBdr/>
        <w:spacing/>
        <w:ind/>
      </w:pPr>
      <w:tblPr>
        <w:tblBorders/>
      </w:tblPr>
      <w:tcPr>
        <w:shd w:val="clear" w:color="b2a1c6" w:fill="b2a1c6"/>
        <w:tcBorders/>
      </w:tcPr>
    </w:tblStylePr>
    <w:tblStylePr w:type="lastCol">
      <w:rPr>
        <w:sz w:val="22"/>
      </w:rPr>
      <w:pPr>
        <w:pBdr/>
        <w:spacing/>
        <w:ind/>
      </w:pPr>
      <w:tblPr>
        <w:tblBorders/>
      </w:tblPr>
      <w:tcPr>
        <w:shd w:val="clear" w:color="b2a1c6" w:fill="b2a1c6"/>
        <w:tcBorders/>
      </w:tcPr>
    </w:tblStylePr>
    <w:tblStylePr w:type="lastRow">
      <w:rPr>
        <w:sz w:val="22"/>
      </w:rPr>
      <w:pPr>
        <w:pBdr/>
        <w:spacing/>
        <w:ind/>
      </w:pPr>
      <w:tblPr>
        <w:tblBorders/>
      </w:tblPr>
      <w:tcPr>
        <w:shd w:val="clear" w:color="b2a1c6" w:fill="b2a1c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46" w:customStyle="1">
    <w:name w:val="Lined - Accent 5"/>
    <w:basedOn w:val="2335"/>
    <w:uiPriority w:val="99"/>
    <w:pPr>
      <w:pBdr/>
      <w:spacing/>
      <w:ind/>
    </w:pPr>
    <w:tblPr>
      <w:tblStyleRowBandSize w:val="1"/>
      <w:tblStyleColBandSize w:val="1"/>
      <w:tblCellMar>
        <w:left w:w="108" w:type="dxa"/>
        <w:top w:w="0" w:type="dxa"/>
        <w:right w:w="108" w:type="dxa"/>
        <w:bottom w:w="0" w:type="dxa"/>
      </w:tblCellMar>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daeef3" w:fill="daeef3"/>
        <w:tcBorders/>
      </w:tcPr>
    </w:tblStylePr>
    <w:tblStylePr w:type="band2Vert">
      <w:rPr>
        <w:sz w:val="22"/>
      </w:rPr>
      <w:pPr>
        <w:pBdr/>
        <w:spacing/>
        <w:ind/>
      </w:pPr>
      <w:tblPr>
        <w:tblBorders/>
      </w:tblPr>
      <w:tcPr>
        <w:shd w:val="clear" w:color="daeef3" w:fill="daeef3"/>
        <w:tcBorders/>
      </w:tcPr>
    </w:tblStylePr>
    <w:tblStylePr w:type="firstCol">
      <w:rPr>
        <w:sz w:val="22"/>
      </w:rPr>
      <w:pPr>
        <w:pBdr/>
        <w:spacing/>
        <w:ind/>
      </w:pPr>
      <w:tblPr>
        <w:tblBorders/>
      </w:tblPr>
      <w:tcPr>
        <w:shd w:val="clear" w:color="4bacc6" w:fill="4bacc6"/>
        <w:tcBorders/>
      </w:tcPr>
    </w:tblStylePr>
    <w:tblStylePr w:type="firstRow">
      <w:rPr>
        <w:sz w:val="22"/>
      </w:rPr>
      <w:pPr>
        <w:pBdr/>
        <w:spacing/>
        <w:ind/>
      </w:pPr>
      <w:tblPr>
        <w:tblBorders/>
      </w:tblPr>
      <w:tcPr>
        <w:shd w:val="clear" w:color="4bacc6" w:fill="4bacc6"/>
        <w:tcBorders/>
      </w:tcPr>
    </w:tblStylePr>
    <w:tblStylePr w:type="lastCol">
      <w:rPr>
        <w:sz w:val="22"/>
      </w:rPr>
      <w:pPr>
        <w:pBdr/>
        <w:spacing/>
        <w:ind/>
      </w:pPr>
      <w:tblPr>
        <w:tblBorders/>
      </w:tblPr>
      <w:tcPr>
        <w:shd w:val="clear" w:color="4bacc6" w:fill="4bacc6"/>
        <w:tcBorders/>
      </w:tcPr>
    </w:tblStylePr>
    <w:tblStylePr w:type="lastRow">
      <w:rPr>
        <w:sz w:val="22"/>
      </w:rPr>
      <w:pPr>
        <w:pBdr/>
        <w:spacing/>
        <w:ind/>
      </w:pPr>
      <w:tblPr>
        <w:tblBorders/>
      </w:tblPr>
      <w:tcPr>
        <w:shd w:val="clear" w:color="4bacc6" w:fill="4bacc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47" w:customStyle="1">
    <w:name w:val="Lined - Accent 6"/>
    <w:basedOn w:val="2335"/>
    <w:uiPriority w:val="99"/>
    <w:pPr>
      <w:pBdr/>
      <w:spacing/>
      <w:ind/>
    </w:pPr>
    <w:tblPr>
      <w:tblStyleRowBandSize w:val="1"/>
      <w:tblStyleColBandSize w:val="1"/>
      <w:tblCellMar>
        <w:left w:w="108" w:type="dxa"/>
        <w:top w:w="0" w:type="dxa"/>
        <w:right w:w="108" w:type="dxa"/>
        <w:bottom w:w="0" w:type="dxa"/>
      </w:tblCellMar>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de9d8" w:fill="fde9d8"/>
        <w:tcBorders/>
      </w:tcPr>
    </w:tblStylePr>
    <w:tblStylePr w:type="band2Vert">
      <w:rPr>
        <w:sz w:val="22"/>
      </w:rPr>
      <w:pPr>
        <w:pBdr/>
        <w:spacing/>
        <w:ind/>
      </w:pPr>
      <w:tblPr>
        <w:tblBorders/>
      </w:tblPr>
      <w:tcPr>
        <w:shd w:val="clear" w:color="fde9d8" w:fill="fde9d8"/>
        <w:tcBorders/>
      </w:tcPr>
    </w:tblStylePr>
    <w:tblStylePr w:type="firstCol">
      <w:rPr>
        <w:sz w:val="22"/>
      </w:rPr>
      <w:pPr>
        <w:pBdr/>
        <w:spacing/>
        <w:ind/>
      </w:pPr>
      <w:tblPr>
        <w:tblBorders/>
      </w:tblPr>
      <w:tcPr>
        <w:shd w:val="clear" w:color="f79646" w:fill="f79646"/>
        <w:tcBorders/>
      </w:tcPr>
    </w:tblStylePr>
    <w:tblStylePr w:type="firstRow">
      <w:rPr>
        <w:sz w:val="22"/>
      </w:rPr>
      <w:pPr>
        <w:pBdr/>
        <w:spacing/>
        <w:ind/>
      </w:pPr>
      <w:tblPr>
        <w:tblBorders/>
      </w:tblPr>
      <w:tcPr>
        <w:shd w:val="clear" w:color="f79646" w:fill="f79646"/>
        <w:tcBorders/>
      </w:tcPr>
    </w:tblStylePr>
    <w:tblStylePr w:type="lastCol">
      <w:rPr>
        <w:sz w:val="22"/>
      </w:rPr>
      <w:pPr>
        <w:pBdr/>
        <w:spacing/>
        <w:ind/>
      </w:pPr>
      <w:tblPr>
        <w:tblBorders/>
      </w:tblPr>
      <w:tcPr>
        <w:shd w:val="clear" w:color="f79646" w:fill="f79646"/>
        <w:tcBorders/>
      </w:tcPr>
    </w:tblStylePr>
    <w:tblStylePr w:type="lastRow">
      <w:rPr>
        <w:sz w:val="22"/>
      </w:rPr>
      <w:pPr>
        <w:pBdr/>
        <w:spacing/>
        <w:ind/>
      </w:pPr>
      <w:tblPr>
        <w:tblBorders/>
      </w:tblPr>
      <w:tcPr>
        <w:shd w:val="clear" w:color="f79646" w:fill="f7964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48" w:customStyle="1">
    <w:name w:val="Bordered &amp; Lined - Accent"/>
    <w:basedOn w:val="2335"/>
    <w:uiPriority w:val="99"/>
    <w:pPr>
      <w:pBdr/>
      <w:spacing/>
      <w:ind/>
    </w:pPr>
    <w:tblPr>
      <w:tblStyleRowBandSize w:val="1"/>
      <w:tblStyleColBandSize w:val="1"/>
      <w:tblCellMar>
        <w:left w:w="108" w:type="dxa"/>
        <w:top w:w="0" w:type="dxa"/>
        <w:right w:w="108" w:type="dxa"/>
        <w:bottom w:w="0" w:type="dxa"/>
      </w:tblCellMa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2f2f2" w:fill="f2f2f2"/>
        <w:tcBorders/>
      </w:tcPr>
    </w:tblStylePr>
    <w:tblStylePr w:type="band2Vert">
      <w:rPr>
        <w:sz w:val="22"/>
      </w:rPr>
      <w:pPr>
        <w:pBdr/>
        <w:spacing/>
        <w:ind/>
      </w:pPr>
      <w:tblPr>
        <w:tblBorders/>
      </w:tblPr>
      <w:tcPr>
        <w:shd w:val="clear" w:color="f2f2f2" w:fill="f2f2f2"/>
        <w:tcBorders/>
      </w:tcPr>
    </w:tblStylePr>
    <w:tblStylePr w:type="firstCol">
      <w:rPr>
        <w:sz w:val="22"/>
      </w:rPr>
      <w:pPr>
        <w:pBdr/>
        <w:spacing/>
        <w:ind/>
      </w:pPr>
      <w:tblPr>
        <w:tblBorders/>
      </w:tblPr>
      <w:tcPr>
        <w:shd w:val="clear" w:color="7f7f7f" w:fill="7f7f7f"/>
        <w:tcBorders/>
      </w:tcPr>
    </w:tblStylePr>
    <w:tblStylePr w:type="firstRow">
      <w:rPr>
        <w:sz w:val="22"/>
      </w:rPr>
      <w:pPr>
        <w:pBdr/>
        <w:spacing/>
        <w:ind/>
      </w:pPr>
      <w:tblPr>
        <w:tblBorders/>
      </w:tblPr>
      <w:tcPr>
        <w:shd w:val="clear" w:color="7f7f7f" w:fill="7f7f7f"/>
        <w:tcBorders/>
      </w:tcPr>
    </w:tblStylePr>
    <w:tblStylePr w:type="lastCol">
      <w:rPr>
        <w:sz w:val="22"/>
      </w:rPr>
      <w:pPr>
        <w:pBdr/>
        <w:spacing/>
        <w:ind/>
      </w:pPr>
      <w:tblPr>
        <w:tblBorders/>
      </w:tblPr>
      <w:tcPr>
        <w:shd w:val="clear" w:color="7f7f7f" w:fill="7f7f7f"/>
        <w:tcBorders/>
      </w:tcPr>
    </w:tblStylePr>
    <w:tblStylePr w:type="lastRow">
      <w:rPr>
        <w:sz w:val="22"/>
      </w:rPr>
      <w:pPr>
        <w:pBdr/>
        <w:spacing/>
        <w:ind/>
      </w:pPr>
      <w:tblPr>
        <w:tblBorders/>
      </w:tblPr>
      <w:tcPr>
        <w:shd w:val="clear" w:color="7f7f7f" w:fill="7f7f7f"/>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49" w:customStyle="1">
    <w:name w:val="Bordered &amp; Lined - Accent 1"/>
    <w:basedOn w:val="2335"/>
    <w:uiPriority w:val="99"/>
    <w:pPr>
      <w:pBdr/>
      <w:spacing/>
      <w:ind/>
    </w:pPr>
    <w:tblPr>
      <w:tblStyleRowBandSize w:val="1"/>
      <w:tblStyleColBandSize w:val="1"/>
      <w:tblCellMar>
        <w:left w:w="108" w:type="dxa"/>
        <w:top w:w="0" w:type="dxa"/>
        <w:right w:w="108" w:type="dxa"/>
        <w:bottom w:w="0" w:type="dxa"/>
      </w:tblCellMa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c7d7ea" w:fill="c7d7ea"/>
        <w:tcBorders/>
      </w:tcPr>
    </w:tblStylePr>
    <w:tblStylePr w:type="band2Vert">
      <w:rPr>
        <w:sz w:val="22"/>
      </w:rPr>
      <w:pPr>
        <w:pBdr/>
        <w:spacing/>
        <w:ind/>
      </w:pPr>
      <w:tblPr>
        <w:tblBorders/>
      </w:tblPr>
      <w:tcPr>
        <w:shd w:val="clear" w:color="c7d7ea" w:fill="c7d7ea"/>
        <w:tcBorders/>
      </w:tcPr>
    </w:tblStylePr>
    <w:tblStylePr w:type="firstCol">
      <w:rPr>
        <w:sz w:val="22"/>
      </w:rPr>
      <w:pPr>
        <w:pBdr/>
        <w:spacing/>
        <w:ind/>
      </w:pPr>
      <w:tblPr>
        <w:tblBorders/>
      </w:tblPr>
      <w:tcPr>
        <w:shd w:val="clear" w:color="5d8ac2" w:fill="5d8ac2"/>
        <w:tcBorders/>
      </w:tcPr>
    </w:tblStylePr>
    <w:tblStylePr w:type="firstRow">
      <w:rPr>
        <w:sz w:val="22"/>
      </w:rPr>
      <w:pPr>
        <w:pBdr/>
        <w:spacing/>
        <w:ind/>
      </w:pPr>
      <w:tblPr>
        <w:tblBorders/>
      </w:tblPr>
      <w:tcPr>
        <w:shd w:val="clear" w:color="5d8ac2" w:fill="5d8ac2"/>
        <w:tcBorders/>
      </w:tcPr>
    </w:tblStylePr>
    <w:tblStylePr w:type="lastCol">
      <w:rPr>
        <w:sz w:val="22"/>
      </w:rPr>
      <w:pPr>
        <w:pBdr/>
        <w:spacing/>
        <w:ind/>
      </w:pPr>
      <w:tblPr>
        <w:tblBorders/>
      </w:tblPr>
      <w:tcPr>
        <w:shd w:val="clear" w:color="5d8ac2" w:fill="5d8ac2"/>
        <w:tcBorders/>
      </w:tcPr>
    </w:tblStylePr>
    <w:tblStylePr w:type="lastRow">
      <w:rPr>
        <w:sz w:val="22"/>
      </w:rPr>
      <w:pPr>
        <w:pBdr/>
        <w:spacing/>
        <w:ind/>
      </w:pPr>
      <w:tblPr>
        <w:tblBorders/>
      </w:tblPr>
      <w:tcPr>
        <w:shd w:val="clear" w:color="5d8ac2" w:fill="5d8ac2"/>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50" w:customStyle="1">
    <w:name w:val="Bordered &amp; Lined - Accent 2"/>
    <w:basedOn w:val="2335"/>
    <w:uiPriority w:val="99"/>
    <w:pPr>
      <w:pBdr/>
      <w:spacing/>
      <w:ind/>
    </w:pPr>
    <w:tblPr>
      <w:tblStyleRowBandSize w:val="1"/>
      <w:tblStyleColBandSize w:val="1"/>
      <w:tblCellMar>
        <w:left w:w="108" w:type="dxa"/>
        <w:top w:w="0" w:type="dxa"/>
        <w:right w:w="108" w:type="dxa"/>
        <w:bottom w:w="0" w:type="dxa"/>
      </w:tblCellMa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2dcdc" w:fill="f2dcdc"/>
        <w:tcBorders/>
      </w:tcPr>
    </w:tblStylePr>
    <w:tblStylePr w:type="band2Vert">
      <w:rPr>
        <w:sz w:val="22"/>
      </w:rPr>
      <w:pPr>
        <w:pBdr/>
        <w:spacing/>
        <w:ind/>
      </w:pPr>
      <w:tblPr>
        <w:tblBorders/>
      </w:tblPr>
      <w:tcPr>
        <w:shd w:val="clear" w:color="f2dcdc" w:fill="f2dcdc"/>
        <w:tcBorders/>
      </w:tcPr>
    </w:tblStylePr>
    <w:tblStylePr w:type="firstCol">
      <w:rPr>
        <w:sz w:val="22"/>
      </w:rPr>
      <w:pPr>
        <w:pBdr/>
        <w:spacing/>
        <w:ind/>
      </w:pPr>
      <w:tblPr>
        <w:tblBorders/>
      </w:tblPr>
      <w:tcPr>
        <w:shd w:val="clear" w:color="d99695" w:fill="d99695"/>
        <w:tcBorders/>
      </w:tcPr>
    </w:tblStylePr>
    <w:tblStylePr w:type="firstRow">
      <w:rPr>
        <w:sz w:val="22"/>
      </w:rPr>
      <w:pPr>
        <w:pBdr/>
        <w:spacing/>
        <w:ind/>
      </w:pPr>
      <w:tblPr>
        <w:tblBorders/>
      </w:tblPr>
      <w:tcPr>
        <w:shd w:val="clear" w:color="d99695" w:fill="d99695"/>
        <w:tcBorders/>
      </w:tcPr>
    </w:tblStylePr>
    <w:tblStylePr w:type="lastCol">
      <w:rPr>
        <w:sz w:val="22"/>
      </w:rPr>
      <w:pPr>
        <w:pBdr/>
        <w:spacing/>
        <w:ind/>
      </w:pPr>
      <w:tblPr>
        <w:tblBorders/>
      </w:tblPr>
      <w:tcPr>
        <w:shd w:val="clear" w:color="d99695" w:fill="d99695"/>
        <w:tcBorders/>
      </w:tcPr>
    </w:tblStylePr>
    <w:tblStylePr w:type="lastRow">
      <w:rPr>
        <w:sz w:val="22"/>
      </w:rPr>
      <w:pPr>
        <w:pBdr/>
        <w:spacing/>
        <w:ind/>
      </w:pPr>
      <w:tblPr>
        <w:tblBorders/>
      </w:tblPr>
      <w:tcPr>
        <w:shd w:val="clear" w:color="d99695" w:fill="d9969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51" w:customStyle="1">
    <w:name w:val="Bordered &amp; Lined - Accent 3"/>
    <w:basedOn w:val="2335"/>
    <w:uiPriority w:val="99"/>
    <w:pPr>
      <w:pBdr/>
      <w:spacing/>
      <w:ind/>
    </w:pPr>
    <w:tblPr>
      <w:tblStyleRowBandSize w:val="1"/>
      <w:tblStyleColBandSize w:val="1"/>
      <w:tblCellMar>
        <w:left w:w="108" w:type="dxa"/>
        <w:top w:w="0" w:type="dxa"/>
        <w:right w:w="108" w:type="dxa"/>
        <w:bottom w:w="0" w:type="dxa"/>
      </w:tblCellMa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eaf1dc" w:fill="eaf1dc"/>
        <w:tcBorders/>
      </w:tcPr>
    </w:tblStylePr>
    <w:tblStylePr w:type="band2Vert">
      <w:rPr>
        <w:sz w:val="22"/>
      </w:rPr>
      <w:pPr>
        <w:pBdr/>
        <w:spacing/>
        <w:ind/>
      </w:pPr>
      <w:tblPr>
        <w:tblBorders/>
      </w:tblPr>
      <w:tcPr>
        <w:shd w:val="clear" w:color="eaf1dc" w:fill="eaf1dc"/>
        <w:tcBorders/>
      </w:tcPr>
    </w:tblStylePr>
    <w:tblStylePr w:type="firstCol">
      <w:rPr>
        <w:sz w:val="22"/>
      </w:rPr>
      <w:pPr>
        <w:pBdr/>
        <w:spacing/>
        <w:ind/>
      </w:pPr>
      <w:tblPr>
        <w:tblBorders/>
      </w:tblPr>
      <w:tcPr>
        <w:shd w:val="clear" w:color="9abb59" w:fill="9abb59"/>
        <w:tcBorders/>
      </w:tcPr>
    </w:tblStylePr>
    <w:tblStylePr w:type="firstRow">
      <w:rPr>
        <w:sz w:val="22"/>
      </w:rPr>
      <w:pPr>
        <w:pBdr/>
        <w:spacing/>
        <w:ind/>
      </w:pPr>
      <w:tblPr>
        <w:tblBorders/>
      </w:tblPr>
      <w:tcPr>
        <w:shd w:val="clear" w:color="9abb59" w:fill="9abb59"/>
        <w:tcBorders/>
      </w:tcPr>
    </w:tblStylePr>
    <w:tblStylePr w:type="lastCol">
      <w:rPr>
        <w:sz w:val="22"/>
      </w:rPr>
      <w:pPr>
        <w:pBdr/>
        <w:spacing/>
        <w:ind/>
      </w:pPr>
      <w:tblPr>
        <w:tblBorders/>
      </w:tblPr>
      <w:tcPr>
        <w:shd w:val="clear" w:color="9abb59" w:fill="9abb59"/>
        <w:tcBorders/>
      </w:tcPr>
    </w:tblStylePr>
    <w:tblStylePr w:type="lastRow">
      <w:rPr>
        <w:sz w:val="22"/>
      </w:rPr>
      <w:pPr>
        <w:pBdr/>
        <w:spacing/>
        <w:ind/>
      </w:pPr>
      <w:tblPr>
        <w:tblBorders/>
      </w:tblPr>
      <w:tcPr>
        <w:shd w:val="clear" w:color="9abb59" w:fill="9abb59"/>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52" w:customStyle="1">
    <w:name w:val="Bordered &amp; Lined - Accent 4"/>
    <w:basedOn w:val="2335"/>
    <w:uiPriority w:val="99"/>
    <w:pPr>
      <w:pBdr/>
      <w:spacing/>
      <w:ind/>
    </w:pPr>
    <w:tblPr>
      <w:tblStyleRowBandSize w:val="1"/>
      <w:tblStyleColBandSize w:val="1"/>
      <w:tblCellMar>
        <w:left w:w="108" w:type="dxa"/>
        <w:top w:w="0" w:type="dxa"/>
        <w:right w:w="108" w:type="dxa"/>
        <w:bottom w:w="0" w:type="dxa"/>
      </w:tblCellMa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e5dfec" w:fill="e5dfec"/>
        <w:tcBorders/>
      </w:tcPr>
    </w:tblStylePr>
    <w:tblStylePr w:type="band2Vert">
      <w:rPr>
        <w:sz w:val="22"/>
      </w:rPr>
      <w:pPr>
        <w:pBdr/>
        <w:spacing/>
        <w:ind/>
      </w:pPr>
      <w:tblPr>
        <w:tblBorders/>
      </w:tblPr>
      <w:tcPr>
        <w:shd w:val="clear" w:color="e5dfec" w:fill="e5dfec"/>
        <w:tcBorders/>
      </w:tcPr>
    </w:tblStylePr>
    <w:tblStylePr w:type="firstCol">
      <w:rPr>
        <w:sz w:val="22"/>
      </w:rPr>
      <w:pPr>
        <w:pBdr/>
        <w:spacing/>
        <w:ind/>
      </w:pPr>
      <w:tblPr>
        <w:tblBorders/>
      </w:tblPr>
      <w:tcPr>
        <w:shd w:val="clear" w:color="b2a1c6" w:fill="b2a1c6"/>
        <w:tcBorders/>
      </w:tcPr>
    </w:tblStylePr>
    <w:tblStylePr w:type="firstRow">
      <w:rPr>
        <w:sz w:val="22"/>
      </w:rPr>
      <w:pPr>
        <w:pBdr/>
        <w:spacing/>
        <w:ind/>
      </w:pPr>
      <w:tblPr>
        <w:tblBorders/>
      </w:tblPr>
      <w:tcPr>
        <w:shd w:val="clear" w:color="b2a1c6" w:fill="b2a1c6"/>
        <w:tcBorders/>
      </w:tcPr>
    </w:tblStylePr>
    <w:tblStylePr w:type="lastCol">
      <w:rPr>
        <w:sz w:val="22"/>
      </w:rPr>
      <w:pPr>
        <w:pBdr/>
        <w:spacing/>
        <w:ind/>
      </w:pPr>
      <w:tblPr>
        <w:tblBorders/>
      </w:tblPr>
      <w:tcPr>
        <w:shd w:val="clear" w:color="b2a1c6" w:fill="b2a1c6"/>
        <w:tcBorders/>
      </w:tcPr>
    </w:tblStylePr>
    <w:tblStylePr w:type="lastRow">
      <w:rPr>
        <w:sz w:val="22"/>
      </w:rPr>
      <w:pPr>
        <w:pBdr/>
        <w:spacing/>
        <w:ind/>
      </w:pPr>
      <w:tblPr>
        <w:tblBorders/>
      </w:tblPr>
      <w:tcPr>
        <w:shd w:val="clear" w:color="b2a1c6" w:fill="b2a1c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53" w:customStyle="1">
    <w:name w:val="Bordered &amp; Lined - Accent 5"/>
    <w:basedOn w:val="2335"/>
    <w:uiPriority w:val="99"/>
    <w:pPr>
      <w:pBdr/>
      <w:spacing/>
      <w:ind/>
    </w:pPr>
    <w:tblPr>
      <w:tblStyleRowBandSize w:val="1"/>
      <w:tblStyleColBandSize w:val="1"/>
      <w:tblCellMar>
        <w:left w:w="108" w:type="dxa"/>
        <w:top w:w="0" w:type="dxa"/>
        <w:right w:w="108" w:type="dxa"/>
        <w:bottom w:w="0" w:type="dxa"/>
      </w:tblCellMa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daeef3" w:fill="daeef3"/>
        <w:tcBorders/>
      </w:tcPr>
    </w:tblStylePr>
    <w:tblStylePr w:type="band2Vert">
      <w:rPr>
        <w:sz w:val="22"/>
      </w:rPr>
      <w:pPr>
        <w:pBdr/>
        <w:spacing/>
        <w:ind/>
      </w:pPr>
      <w:tblPr>
        <w:tblBorders/>
      </w:tblPr>
      <w:tcPr>
        <w:shd w:val="clear" w:color="daeef3" w:fill="daeef3"/>
        <w:tcBorders/>
      </w:tcPr>
    </w:tblStylePr>
    <w:tblStylePr w:type="firstCol">
      <w:rPr>
        <w:sz w:val="22"/>
      </w:rPr>
      <w:pPr>
        <w:pBdr/>
        <w:spacing/>
        <w:ind/>
      </w:pPr>
      <w:tblPr>
        <w:tblBorders/>
      </w:tblPr>
      <w:tcPr>
        <w:shd w:val="clear" w:color="4bacc6" w:fill="4bacc6"/>
        <w:tcBorders/>
      </w:tcPr>
    </w:tblStylePr>
    <w:tblStylePr w:type="firstRow">
      <w:rPr>
        <w:sz w:val="22"/>
      </w:rPr>
      <w:pPr>
        <w:pBdr/>
        <w:spacing/>
        <w:ind/>
      </w:pPr>
      <w:tblPr>
        <w:tblBorders/>
      </w:tblPr>
      <w:tcPr>
        <w:shd w:val="clear" w:color="4bacc6" w:fill="4bacc6"/>
        <w:tcBorders/>
      </w:tcPr>
    </w:tblStylePr>
    <w:tblStylePr w:type="lastCol">
      <w:rPr>
        <w:sz w:val="22"/>
      </w:rPr>
      <w:pPr>
        <w:pBdr/>
        <w:spacing/>
        <w:ind/>
      </w:pPr>
      <w:tblPr>
        <w:tblBorders/>
      </w:tblPr>
      <w:tcPr>
        <w:shd w:val="clear" w:color="4bacc6" w:fill="4bacc6"/>
        <w:tcBorders/>
      </w:tcPr>
    </w:tblStylePr>
    <w:tblStylePr w:type="lastRow">
      <w:rPr>
        <w:sz w:val="22"/>
      </w:rPr>
      <w:pPr>
        <w:pBdr/>
        <w:spacing/>
        <w:ind/>
      </w:pPr>
      <w:tblPr>
        <w:tblBorders/>
      </w:tblPr>
      <w:tcPr>
        <w:shd w:val="clear" w:color="4bacc6" w:fill="4bacc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54" w:customStyle="1">
    <w:name w:val="Bordered &amp; Lined - Accent 6"/>
    <w:basedOn w:val="2335"/>
    <w:uiPriority w:val="99"/>
    <w:pPr>
      <w:pBdr/>
      <w:spacing/>
      <w:ind/>
    </w:pPr>
    <w:tblPr>
      <w:tblStyleRowBandSize w:val="1"/>
      <w:tblStyleColBandSize w:val="1"/>
      <w:tblCellMar>
        <w:left w:w="108" w:type="dxa"/>
        <w:top w:w="0" w:type="dxa"/>
        <w:right w:w="108" w:type="dxa"/>
        <w:bottom w:w="0" w:type="dxa"/>
      </w:tblCellMa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cPr>
      <w:tcBorders/>
    </w:tcPr>
    <w:tblStylePr w:type="band1Horz">
      <w:rPr>
        <w:sz w:val="22"/>
      </w:rPr>
      <w:pPr>
        <w:pBdr/>
        <w:spacing/>
        <w:ind/>
      </w:pPr>
      <w:tblPr>
        <w:tblBorders/>
      </w:tblPr>
      <w:tcPr>
        <w:tcBorders/>
      </w:tcPr>
    </w:tblStylePr>
    <w:tblStylePr w:type="band1Vert">
      <w:rPr>
        <w:sz w:val="22"/>
      </w:rPr>
      <w:pPr>
        <w:pBdr/>
        <w:spacing/>
        <w:ind/>
      </w:pPr>
      <w:tblPr>
        <w:tblBorders/>
      </w:tblPr>
      <w:tcPr>
        <w:tcBorders/>
      </w:tcPr>
    </w:tblStylePr>
    <w:tblStylePr w:type="band2Horz">
      <w:rPr>
        <w:sz w:val="22"/>
      </w:rPr>
      <w:pPr>
        <w:pBdr/>
        <w:spacing/>
        <w:ind/>
      </w:pPr>
      <w:tblPr>
        <w:tblBorders/>
      </w:tblPr>
      <w:tcPr>
        <w:shd w:val="clear" w:color="fde9d8" w:fill="fde9d8"/>
        <w:tcBorders/>
      </w:tcPr>
    </w:tblStylePr>
    <w:tblStylePr w:type="band2Vert">
      <w:rPr>
        <w:sz w:val="22"/>
      </w:rPr>
      <w:pPr>
        <w:pBdr/>
        <w:spacing/>
        <w:ind/>
      </w:pPr>
      <w:tblPr>
        <w:tblBorders/>
      </w:tblPr>
      <w:tcPr>
        <w:shd w:val="clear" w:color="fde9d8" w:fill="fde9d8"/>
        <w:tcBorders/>
      </w:tcPr>
    </w:tblStylePr>
    <w:tblStylePr w:type="firstCol">
      <w:rPr>
        <w:sz w:val="22"/>
      </w:rPr>
      <w:pPr>
        <w:pBdr/>
        <w:spacing/>
        <w:ind/>
      </w:pPr>
      <w:tblPr>
        <w:tblBorders/>
      </w:tblPr>
      <w:tcPr>
        <w:shd w:val="clear" w:color="f79646" w:fill="f79646"/>
        <w:tcBorders/>
      </w:tcPr>
    </w:tblStylePr>
    <w:tblStylePr w:type="firstRow">
      <w:rPr>
        <w:sz w:val="22"/>
      </w:rPr>
      <w:pPr>
        <w:pBdr/>
        <w:spacing/>
        <w:ind/>
      </w:pPr>
      <w:tblPr>
        <w:tblBorders/>
      </w:tblPr>
      <w:tcPr>
        <w:shd w:val="clear" w:color="f79646" w:fill="f79646"/>
        <w:tcBorders/>
      </w:tcPr>
    </w:tblStylePr>
    <w:tblStylePr w:type="lastCol">
      <w:rPr>
        <w:sz w:val="22"/>
      </w:rPr>
      <w:pPr>
        <w:pBdr/>
        <w:spacing/>
        <w:ind/>
      </w:pPr>
      <w:tblPr>
        <w:tblBorders/>
      </w:tblPr>
      <w:tcPr>
        <w:shd w:val="clear" w:color="f79646" w:fill="f79646"/>
        <w:tcBorders/>
      </w:tcPr>
    </w:tblStylePr>
    <w:tblStylePr w:type="lastRow">
      <w:rPr>
        <w:sz w:val="22"/>
      </w:rPr>
      <w:pPr>
        <w:pBdr/>
        <w:spacing/>
        <w:ind/>
      </w:pPr>
      <w:tblPr>
        <w:tblBorders/>
      </w:tblPr>
      <w:tcPr>
        <w:shd w:val="clear" w:color="f79646" w:fill="f7964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55" w:customStyle="1">
    <w:name w:val="Bordered"/>
    <w:basedOn w:val="2335"/>
    <w:uiPriority w:val="99"/>
    <w:pPr>
      <w:pBdr/>
      <w:spacing/>
      <w:ind/>
    </w:pPr>
    <w:tblPr>
      <w:tblStyleRowBandSize w:val="1"/>
      <w:tblStyleColBandSize w:val="1"/>
      <w:tblCellMar>
        <w:left w:w="108" w:type="dxa"/>
        <w:top w:w="0" w:type="dxa"/>
        <w:right w:w="108" w:type="dxa"/>
        <w:bottom w:w="0" w:type="dxa"/>
      </w:tblCellMa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cPr>
      <w:tcBorders/>
    </w:tcPr>
    <w:tblStylePr w:type="band1Horz">
      <w:rPr>
        <w:sz w:val="22"/>
      </w:rPr>
      <w:pPr>
        <w:pBdr/>
        <w:spacing/>
        <w:ind/>
      </w:pPr>
      <w:tblPr>
        <w:tblBorders/>
      </w:tblPr>
      <w:tcPr>
        <w:tcBorders>
          <w:top w:val="single" w:color="d9d9d9" w:sz="4" w:space="0"/>
          <w:left w:val="single" w:color="d9d9d9" w:sz="4" w:space="0"/>
          <w:bottom w:val="single" w:color="d9d9d9" w:sz="4" w:space="0"/>
          <w:right w:val="single" w:color="d9d9d9"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sz w:val="22"/>
      </w:rPr>
      <w:pPr>
        <w:pBdr/>
        <w:spacing/>
        <w:ind/>
      </w:pPr>
      <w:tblPr>
        <w:tblBorders/>
      </w:tblPr>
      <w:tcPr>
        <w:tcBorders/>
      </w:tcPr>
    </w:tblStylePr>
    <w:tblStylePr w:type="firstRow">
      <w:rPr>
        <w:sz w:val="22"/>
      </w:rPr>
      <w:pPr>
        <w:pBdr/>
        <w:spacing/>
        <w:ind/>
      </w:pPr>
      <w:tblPr>
        <w:tblBorders/>
      </w:tblPr>
      <w:tcPr>
        <w:tcBorders>
          <w:bottom w:val="single" w:color="7f7f7f" w:sz="12" w:space="0"/>
        </w:tcBorders>
      </w:tcPr>
    </w:tblStylePr>
    <w:tblStylePr w:type="lastCol">
      <w:rPr>
        <w:sz w:val="22"/>
      </w:rPr>
      <w:pPr>
        <w:pBdr/>
        <w:spacing/>
        <w:ind/>
      </w:pPr>
      <w:tblPr>
        <w:tblBorders/>
      </w:tblPr>
      <w:tcPr>
        <w:tcBorders>
          <w:left w:val="single" w:color="7f7f7f" w:sz="12" w:space="0"/>
        </w:tcBorders>
      </w:tcPr>
    </w:tblStylePr>
    <w:tblStylePr w:type="lastRow">
      <w:rPr>
        <w:sz w:val="22"/>
      </w:rPr>
      <w:pPr>
        <w:pBdr/>
        <w:spacing/>
        <w:ind/>
      </w:pPr>
      <w:tblPr>
        <w:tblBorders/>
      </w:tblPr>
      <w:tcPr>
        <w:tcBorders>
          <w:top w:val="single" w:color="7f7f7f"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56" w:customStyle="1">
    <w:name w:val="Bordered - Accent 1"/>
    <w:basedOn w:val="2335"/>
    <w:uiPriority w:val="99"/>
    <w:pPr>
      <w:pBdr/>
      <w:spacing/>
      <w:ind/>
    </w:pPr>
    <w:tblPr>
      <w:tblStyleRowBandSize w:val="1"/>
      <w:tblStyleColBandSize w:val="1"/>
      <w:tblCellMar>
        <w:left w:w="108" w:type="dxa"/>
        <w:top w:w="0" w:type="dxa"/>
        <w:right w:w="108" w:type="dxa"/>
        <w:bottom w:w="0" w:type="dxa"/>
      </w:tblCellMa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cPr>
      <w:tcBorders/>
    </w:tcPr>
    <w:tblStylePr w:type="band1Horz">
      <w:rPr>
        <w:sz w:val="22"/>
      </w:rPr>
      <w:pPr>
        <w:pBdr/>
        <w:spacing/>
        <w:ind/>
      </w:pPr>
      <w:tblPr>
        <w:tblBorders/>
      </w:tblPr>
      <w:tcPr>
        <w:tcBorders>
          <w:top w:val="single" w:color="b7cbe4" w:sz="4" w:space="0"/>
          <w:left w:val="single" w:color="b7cbe4" w:sz="4" w:space="0"/>
          <w:bottom w:val="single" w:color="b7cbe4" w:sz="4" w:space="0"/>
          <w:right w:val="single" w:color="b7cbe4"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sz w:val="22"/>
      </w:rPr>
      <w:pPr>
        <w:pBdr/>
        <w:spacing/>
        <w:ind/>
      </w:pPr>
      <w:tblPr>
        <w:tblBorders/>
      </w:tblPr>
      <w:tcPr>
        <w:tcBorders/>
      </w:tcPr>
    </w:tblStylePr>
    <w:tblStylePr w:type="firstRow">
      <w:rPr>
        <w:sz w:val="22"/>
      </w:rPr>
      <w:pPr>
        <w:pBdr/>
        <w:spacing/>
        <w:ind/>
      </w:pPr>
      <w:tblPr>
        <w:tblBorders/>
      </w:tblPr>
      <w:tcPr>
        <w:tcBorders>
          <w:bottom w:val="single" w:color="4f81bd" w:sz="12" w:space="0"/>
        </w:tcBorders>
      </w:tcPr>
    </w:tblStylePr>
    <w:tblStylePr w:type="lastCol">
      <w:rPr>
        <w:sz w:val="22"/>
      </w:rPr>
      <w:pPr>
        <w:pBdr/>
        <w:spacing/>
        <w:ind/>
      </w:pPr>
      <w:tblPr>
        <w:tblBorders/>
      </w:tblPr>
      <w:tcPr>
        <w:tcBorders>
          <w:left w:val="single" w:color="4f81bd" w:sz="12" w:space="0"/>
        </w:tcBorders>
      </w:tcPr>
    </w:tblStylePr>
    <w:tblStylePr w:type="lastRow">
      <w:rPr>
        <w:sz w:val="22"/>
      </w:rPr>
      <w:pPr>
        <w:pBdr/>
        <w:spacing/>
        <w:ind/>
      </w:pPr>
      <w:tblPr>
        <w:tblBorders/>
      </w:tblPr>
      <w:tcPr>
        <w:tcBorders>
          <w:top w:val="single" w:color="4f81bd"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57" w:customStyle="1">
    <w:name w:val="Bordered - Accent 2"/>
    <w:basedOn w:val="2335"/>
    <w:uiPriority w:val="99"/>
    <w:pPr>
      <w:pBdr/>
      <w:spacing/>
      <w:ind/>
    </w:pPr>
    <w:tblPr>
      <w:tblStyleRowBandSize w:val="1"/>
      <w:tblStyleColBandSize w:val="1"/>
      <w:tblCellMar>
        <w:left w:w="108" w:type="dxa"/>
        <w:top w:w="0" w:type="dxa"/>
        <w:right w:w="108" w:type="dxa"/>
        <w:bottom w:w="0" w:type="dxa"/>
      </w:tblCellMa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cPr>
      <w:tcBorders/>
    </w:tcPr>
    <w:tblStylePr w:type="band1Horz">
      <w:rPr>
        <w:sz w:val="22"/>
      </w:rPr>
      <w:pPr>
        <w:pBdr/>
        <w:spacing/>
        <w:ind/>
      </w:pPr>
      <w:tblPr>
        <w:tblBorders/>
      </w:tblPr>
      <w:tcPr>
        <w:tcBorders>
          <w:top w:val="single" w:color="e5b7b6" w:sz="4" w:space="0"/>
          <w:left w:val="single" w:color="e5b7b6" w:sz="4" w:space="0"/>
          <w:bottom w:val="single" w:color="e5b7b6" w:sz="4" w:space="0"/>
          <w:right w:val="single" w:color="e5b7b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sz w:val="22"/>
      </w:rPr>
      <w:pPr>
        <w:pBdr/>
        <w:spacing/>
        <w:ind/>
      </w:pPr>
      <w:tblPr>
        <w:tblBorders/>
      </w:tblPr>
      <w:tcPr>
        <w:tcBorders/>
      </w:tcPr>
    </w:tblStylePr>
    <w:tblStylePr w:type="firstRow">
      <w:rPr>
        <w:sz w:val="22"/>
      </w:rPr>
      <w:pPr>
        <w:pBdr/>
        <w:spacing/>
        <w:ind/>
      </w:pPr>
      <w:tblPr>
        <w:tblBorders/>
      </w:tblPr>
      <w:tcPr>
        <w:tcBorders>
          <w:bottom w:val="single" w:color="d99695" w:sz="12" w:space="0"/>
        </w:tcBorders>
      </w:tcPr>
    </w:tblStylePr>
    <w:tblStylePr w:type="lastCol">
      <w:rPr>
        <w:sz w:val="22"/>
      </w:rPr>
      <w:pPr>
        <w:pBdr/>
        <w:spacing/>
        <w:ind/>
      </w:pPr>
      <w:tblPr>
        <w:tblBorders/>
      </w:tblPr>
      <w:tcPr>
        <w:tcBorders>
          <w:left w:val="single" w:color="d99695" w:sz="12" w:space="0"/>
        </w:tcBorders>
      </w:tcPr>
    </w:tblStylePr>
    <w:tblStylePr w:type="lastRow">
      <w:rPr>
        <w:sz w:val="22"/>
      </w:rPr>
      <w:pPr>
        <w:pBdr/>
        <w:spacing/>
        <w:ind/>
      </w:pPr>
      <w:tblPr>
        <w:tblBorders/>
      </w:tblPr>
      <w:tcPr>
        <w:tcBorders>
          <w:top w:val="single" w:color="d99695"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58" w:customStyle="1">
    <w:name w:val="Bordered - Accent 3"/>
    <w:basedOn w:val="2335"/>
    <w:uiPriority w:val="99"/>
    <w:pPr>
      <w:pBdr/>
      <w:spacing/>
      <w:ind/>
    </w:pPr>
    <w:tblPr>
      <w:tblStyleRowBandSize w:val="1"/>
      <w:tblStyleColBandSize w:val="1"/>
      <w:tblCellMar>
        <w:left w:w="108" w:type="dxa"/>
        <w:top w:w="0" w:type="dxa"/>
        <w:right w:w="108" w:type="dxa"/>
        <w:bottom w:w="0" w:type="dxa"/>
      </w:tblCellMa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cPr>
      <w:tcBorders/>
    </w:tcPr>
    <w:tblStylePr w:type="band1Horz">
      <w:rPr>
        <w:sz w:val="22"/>
      </w:rPr>
      <w:pPr>
        <w:pBdr/>
        <w:spacing/>
        <w:ind/>
      </w:pPr>
      <w:tblPr>
        <w:tblBorders/>
      </w:tblPr>
      <w:tcPr>
        <w:tcBorders>
          <w:top w:val="single" w:color="d6e3bb" w:sz="4" w:space="0"/>
          <w:left w:val="single" w:color="d6e3bb" w:sz="4" w:space="0"/>
          <w:bottom w:val="single" w:color="d6e3bb" w:sz="4" w:space="0"/>
          <w:right w:val="single" w:color="d6e3bb"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sz w:val="22"/>
      </w:rPr>
      <w:pPr>
        <w:pBdr/>
        <w:spacing/>
        <w:ind/>
      </w:pPr>
      <w:tblPr>
        <w:tblBorders/>
      </w:tblPr>
      <w:tcPr>
        <w:tcBorders/>
      </w:tcPr>
    </w:tblStylePr>
    <w:tblStylePr w:type="firstRow">
      <w:rPr>
        <w:sz w:val="22"/>
      </w:rPr>
      <w:pPr>
        <w:pBdr/>
        <w:spacing/>
        <w:ind/>
      </w:pPr>
      <w:tblPr>
        <w:tblBorders/>
      </w:tblPr>
      <w:tcPr>
        <w:tcBorders>
          <w:bottom w:val="single" w:color="c3d69b" w:sz="12" w:space="0"/>
        </w:tcBorders>
      </w:tcPr>
    </w:tblStylePr>
    <w:tblStylePr w:type="lastCol">
      <w:rPr>
        <w:sz w:val="22"/>
      </w:rPr>
      <w:pPr>
        <w:pBdr/>
        <w:spacing/>
        <w:ind/>
      </w:pPr>
      <w:tblPr>
        <w:tblBorders/>
      </w:tblPr>
      <w:tcPr>
        <w:tcBorders>
          <w:left w:val="single" w:color="c3d69b" w:sz="12" w:space="0"/>
        </w:tcBorders>
      </w:tcPr>
    </w:tblStylePr>
    <w:tblStylePr w:type="lastRow">
      <w:rPr>
        <w:sz w:val="22"/>
      </w:rPr>
      <w:pPr>
        <w:pBdr/>
        <w:spacing/>
        <w:ind/>
      </w:pPr>
      <w:tblPr>
        <w:tblBorders/>
      </w:tblPr>
      <w:tcPr>
        <w:tcBorders>
          <w:top w:val="single" w:color="c3d69b"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59" w:customStyle="1">
    <w:name w:val="Bordered - Accent 4"/>
    <w:basedOn w:val="2335"/>
    <w:uiPriority w:val="99"/>
    <w:pPr>
      <w:pBdr/>
      <w:spacing/>
      <w:ind/>
    </w:pPr>
    <w:tblPr>
      <w:tblStyleRowBandSize w:val="1"/>
      <w:tblStyleColBandSize w:val="1"/>
      <w:tblCellMar>
        <w:left w:w="108" w:type="dxa"/>
        <w:top w:w="0" w:type="dxa"/>
        <w:right w:w="108" w:type="dxa"/>
        <w:bottom w:w="0" w:type="dxa"/>
      </w:tblCellMa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cPr>
      <w:tcBorders/>
    </w:tcPr>
    <w:tblStylePr w:type="band1Horz">
      <w:rPr>
        <w:sz w:val="22"/>
      </w:rPr>
      <w:pPr>
        <w:pBdr/>
        <w:spacing/>
        <w:ind/>
      </w:pPr>
      <w:tblPr>
        <w:tblBorders/>
      </w:tblPr>
      <w:tcPr>
        <w:tcBorders>
          <w:top w:val="single" w:color="cbc0d9" w:sz="4" w:space="0"/>
          <w:left w:val="single" w:color="cbc0d9" w:sz="4" w:space="0"/>
          <w:bottom w:val="single" w:color="cbc0d9" w:sz="4" w:space="0"/>
          <w:right w:val="single" w:color="cbc0d9"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sz w:val="22"/>
      </w:rPr>
      <w:pPr>
        <w:pBdr/>
        <w:spacing/>
        <w:ind/>
      </w:pPr>
      <w:tblPr>
        <w:tblBorders/>
      </w:tblPr>
      <w:tcPr>
        <w:tcBorders/>
      </w:tcPr>
    </w:tblStylePr>
    <w:tblStylePr w:type="firstRow">
      <w:rPr>
        <w:sz w:val="22"/>
      </w:rPr>
      <w:pPr>
        <w:pBdr/>
        <w:spacing/>
        <w:ind/>
      </w:pPr>
      <w:tblPr>
        <w:tblBorders/>
      </w:tblPr>
      <w:tcPr>
        <w:tcBorders>
          <w:bottom w:val="single" w:color="b2a1c6" w:sz="12" w:space="0"/>
        </w:tcBorders>
      </w:tcPr>
    </w:tblStylePr>
    <w:tblStylePr w:type="lastCol">
      <w:rPr>
        <w:sz w:val="22"/>
      </w:rPr>
      <w:pPr>
        <w:pBdr/>
        <w:spacing/>
        <w:ind/>
      </w:pPr>
      <w:tblPr>
        <w:tblBorders/>
      </w:tblPr>
      <w:tcPr>
        <w:tcBorders>
          <w:left w:val="single" w:color="b2a1c6" w:sz="12" w:space="0"/>
        </w:tcBorders>
      </w:tcPr>
    </w:tblStylePr>
    <w:tblStylePr w:type="lastRow">
      <w:rPr>
        <w:sz w:val="22"/>
      </w:rPr>
      <w:pPr>
        <w:pBdr/>
        <w:spacing/>
        <w:ind/>
      </w:pPr>
      <w:tblPr>
        <w:tblBorders/>
      </w:tblPr>
      <w:tcPr>
        <w:tcBorders>
          <w:top w:val="single" w:color="b2a1c6"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60" w:customStyle="1">
    <w:name w:val="Bordered - Accent 5"/>
    <w:basedOn w:val="2335"/>
    <w:uiPriority w:val="99"/>
    <w:pPr>
      <w:pBdr/>
      <w:spacing/>
      <w:ind/>
    </w:pPr>
    <w:tblPr>
      <w:tblStyleRowBandSize w:val="1"/>
      <w:tblStyleColBandSize w:val="1"/>
      <w:tblCellMar>
        <w:left w:w="108" w:type="dxa"/>
        <w:top w:w="0" w:type="dxa"/>
        <w:right w:w="108" w:type="dxa"/>
        <w:bottom w:w="0" w:type="dxa"/>
      </w:tblCellMa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cPr>
      <w:tcBorders/>
    </w:tcPr>
    <w:tblStylePr w:type="band1Horz">
      <w:rPr>
        <w:sz w:val="22"/>
      </w:rPr>
      <w:pPr>
        <w:pBdr/>
        <w:spacing/>
        <w:ind/>
      </w:pPr>
      <w:tblPr>
        <w:tblBorders/>
      </w:tblPr>
      <w:tcPr>
        <w:tcBorders>
          <w:top w:val="single" w:color="b6dde8" w:sz="4" w:space="0"/>
          <w:left w:val="single" w:color="b6dde8" w:sz="4" w:space="0"/>
          <w:bottom w:val="single" w:color="b6dde8" w:sz="4" w:space="0"/>
          <w:right w:val="single" w:color="b6dde8"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sz w:val="22"/>
      </w:rPr>
      <w:pPr>
        <w:pBdr/>
        <w:spacing/>
        <w:ind/>
      </w:pPr>
      <w:tblPr>
        <w:tblBorders/>
      </w:tblPr>
      <w:tcPr>
        <w:tcBorders/>
      </w:tcPr>
    </w:tblStylePr>
    <w:tblStylePr w:type="firstRow">
      <w:rPr>
        <w:sz w:val="22"/>
      </w:rPr>
      <w:pPr>
        <w:pBdr/>
        <w:spacing/>
        <w:ind/>
      </w:pPr>
      <w:tblPr>
        <w:tblBorders/>
      </w:tblPr>
      <w:tcPr>
        <w:tcBorders>
          <w:bottom w:val="single" w:color="92ccdc" w:sz="12" w:space="0"/>
        </w:tcBorders>
      </w:tcPr>
    </w:tblStylePr>
    <w:tblStylePr w:type="lastCol">
      <w:rPr>
        <w:sz w:val="22"/>
      </w:rPr>
      <w:pPr>
        <w:pBdr/>
        <w:spacing/>
        <w:ind/>
      </w:pPr>
      <w:tblPr>
        <w:tblBorders/>
      </w:tblPr>
      <w:tcPr>
        <w:tcBorders>
          <w:left w:val="single" w:color="92ccdc" w:sz="12" w:space="0"/>
        </w:tcBorders>
      </w:tcPr>
    </w:tblStylePr>
    <w:tblStylePr w:type="lastRow">
      <w:rPr>
        <w:sz w:val="22"/>
      </w:rPr>
      <w:pPr>
        <w:pBdr/>
        <w:spacing/>
        <w:ind/>
      </w:pPr>
      <w:tblPr>
        <w:tblBorders/>
      </w:tblPr>
      <w:tcPr>
        <w:tcBorders>
          <w:top w:val="single" w:color="92ccdc"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61" w:customStyle="1">
    <w:name w:val="Bordered - Accent 6"/>
    <w:basedOn w:val="2335"/>
    <w:uiPriority w:val="99"/>
    <w:pPr>
      <w:pBdr/>
      <w:spacing/>
      <w:ind/>
    </w:pPr>
    <w:tblPr>
      <w:tblStyleRowBandSize w:val="1"/>
      <w:tblStyleColBandSize w:val="1"/>
      <w:tblCellMar>
        <w:left w:w="108" w:type="dxa"/>
        <w:top w:w="0" w:type="dxa"/>
        <w:right w:w="108" w:type="dxa"/>
        <w:bottom w:w="0" w:type="dxa"/>
      </w:tblCellMa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cPr>
      <w:tcBorders/>
    </w:tcPr>
    <w:tblStylePr w:type="band1Horz">
      <w:rPr>
        <w:sz w:val="22"/>
      </w:rPr>
      <w:pPr>
        <w:pBdr/>
        <w:spacing/>
        <w:ind/>
      </w:pPr>
      <w:tblPr>
        <w:tblBorders/>
      </w:tblPr>
      <w:tcPr>
        <w:tcBorders>
          <w:top w:val="single" w:color="fbd4b4" w:sz="4" w:space="0"/>
          <w:left w:val="single" w:color="fbd4b4" w:sz="4" w:space="0"/>
          <w:bottom w:val="single" w:color="fbd4b4" w:sz="4" w:space="0"/>
          <w:right w:val="single" w:color="fbd4b4"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sz w:val="22"/>
      </w:rPr>
      <w:pPr>
        <w:pBdr/>
        <w:spacing/>
        <w:ind/>
      </w:pPr>
      <w:tblPr>
        <w:tblBorders/>
      </w:tblPr>
      <w:tcPr>
        <w:tcBorders/>
      </w:tcPr>
    </w:tblStylePr>
    <w:tblStylePr w:type="firstRow">
      <w:rPr>
        <w:sz w:val="22"/>
      </w:rPr>
      <w:pPr>
        <w:pBdr/>
        <w:spacing/>
        <w:ind/>
      </w:pPr>
      <w:tblPr>
        <w:tblBorders/>
      </w:tblPr>
      <w:tcPr>
        <w:tcBorders>
          <w:bottom w:val="single" w:color="fac090" w:sz="12" w:space="0"/>
        </w:tcBorders>
      </w:tcPr>
    </w:tblStylePr>
    <w:tblStylePr w:type="lastCol">
      <w:rPr>
        <w:sz w:val="22"/>
      </w:rPr>
      <w:pPr>
        <w:pBdr/>
        <w:spacing/>
        <w:ind/>
      </w:pPr>
      <w:tblPr>
        <w:tblBorders/>
      </w:tblPr>
      <w:tcPr>
        <w:tcBorders>
          <w:left w:val="single" w:color="fac090" w:sz="12" w:space="0"/>
        </w:tcBorders>
      </w:tcPr>
    </w:tblStylePr>
    <w:tblStylePr w:type="lastRow">
      <w:rPr>
        <w:sz w:val="22"/>
      </w:rPr>
      <w:pPr>
        <w:pBdr/>
        <w:spacing/>
        <w:ind/>
      </w:pPr>
      <w:tblPr>
        <w:tblBorders/>
      </w:tblPr>
      <w:tcPr>
        <w:tcBorders>
          <w:top w:val="single" w:color="fac09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62">
    <w:name w:val="Grid Table Light"/>
    <w:basedOn w:val="2335"/>
    <w:uiPriority w:val="40"/>
    <w:pPr>
      <w:pBdr/>
      <w:spacing/>
      <w:ind/>
    </w:pPr>
    <w:rPr>
      <w:sz w:val="22"/>
      <w:szCs w:val="22"/>
      <w:lang w:eastAsia="zh-CN"/>
    </w:rPr>
    <w:tblPr>
      <w:tblCellMar>
        <w:left w:w="108" w:type="dxa"/>
        <w:top w:w="0" w:type="dxa"/>
        <w:right w:w="108" w:type="dxa"/>
        <w:bottom w:w="0" w:type="dxa"/>
      </w:tblCellMa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63" w:customStyle="1">
    <w:name w:val="_Style 71"/>
    <w:basedOn w:val="1015"/>
    <w:uiPriority w:val="0"/>
    <w:qFormat/>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left"/>
    </w:pPr>
    <w:rPr>
      <w:rFonts w:hint="default" w:ascii="Times New Roman" w:hAnsi="Times New Roman" w:eastAsia="SimSun" w:cs="Times New Roman"/>
      <w:b w:val="0"/>
      <w:bCs w:val="0"/>
      <w:i w:val="0"/>
      <w:iCs w:val="0"/>
      <w:caps w:val="0"/>
      <w:smallCaps w:val="0"/>
      <w:strike w:val="0"/>
      <w:vanish w:val="0"/>
      <w:color w:val="auto"/>
      <w:spacing w:val="0"/>
      <w:position w:val="0"/>
      <w:sz w:val="20"/>
      <w:szCs w:val="20"/>
      <w:highlight w:val="none"/>
      <w:u w:val="none"/>
      <w:vertAlign w:val="baseline"/>
      <w:rtl w:val="0"/>
      <w:cs w:val="0"/>
      <w:lang w:val="en-US" w:eastAsia="zh-CN" w:bidi="ar-SA"/>
      <w14:ligatures w14:val="none"/>
    </w:rPr>
    <w:tblPr>
      <w:tblStyleRowBandSize w:val="1"/>
      <w:tblStyleColBandSize w:val="1"/>
      <w:tblInd w:w="0" w:type="dxa"/>
      <w:tblW w:w="0" w:type="auto"/>
      <w:tblCellMar>
        <w:left w:w="70" w:type="dxa"/>
        <w:top w:w="0" w:type="dxa"/>
        <w:right w:w="70" w:type="dxa"/>
        <w:bottom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rPr>
      <w:cantSplit w:val="false"/>
      <w:jc w:val="left"/>
    </w:trPr>
    <w:tcPr>
      <w:tcBorders/>
      <w:tcW w:w="0" w:type="auto"/>
      <w:vAlign w:val="top"/>
      <w:vMerge w:val="restart"/>
      <w:hMerge w:val="restart"/>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www.bllcompras.org.br/" TargetMode="External"/><Relationship Id="rId13" Type="http://schemas.openxmlformats.org/officeDocument/2006/relationships/hyperlink" Target="mailto:pmrroo@hotmail.com" TargetMode="External"/><Relationship Id="rId14" Type="http://schemas.openxmlformats.org/officeDocument/2006/relationships/hyperlink" Target="http://www.bllcompras.org.br/" TargetMode="External"/><Relationship Id="rId15"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7" Type="http://schemas.openxmlformats.org/officeDocument/2006/relationships/hyperlink" Target="http://www.bllcompras.com/" TargetMode="External"/><Relationship Id="rId18"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4"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www.tst.jus.br/" TargetMode="External"/><Relationship Id="rId28" Type="http://schemas.openxmlformats.org/officeDocument/2006/relationships/hyperlink" Target="http://www.cnj.jus.br/improbidade_adm/consultar_requerido.php" TargetMode="External"/><Relationship Id="rId29" Type="http://schemas.openxmlformats.org/officeDocument/2006/relationships/hyperlink" Target="http://www.portaldatransparencia.gov.br/ceis" TargetMode="External"/><Relationship Id="rId30" Type="http://schemas.openxmlformats.org/officeDocument/2006/relationships/hyperlink" Target="https://certidoes-apf.apps.tcu.gov.br/" TargetMode="External"/><Relationship Id="rId31"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mailto:bllcompras.com" TargetMode="External"/><Relationship Id="rId33" Type="http://schemas.openxmlformats.org/officeDocument/2006/relationships/hyperlink" Target="http://www.planalto.gov.br/ccivil_03/_ato2019-2022/2021/lei/L14133.htm" TargetMode="External"/><Relationship Id="rId34" Type="http://schemas.openxmlformats.org/officeDocument/2006/relationships/hyperlink" Target="https://transparencia.rondonopolis.mt.gov.br/rondonopolis/publicacoes/23" TargetMode="External"/><Relationship Id="rId35"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38" Type="http://schemas.openxmlformats.org/officeDocument/2006/relationships/hyperlink" Target="mailto:bllcompras.com" TargetMode="External"/><Relationship Id="rId39" Type="http://schemas.openxmlformats.org/officeDocument/2006/relationships/hyperlink" Target="http://bllcompras.com/" TargetMode="External"/><Relationship Id="rId40" Type="http://schemas.openxmlformats.org/officeDocument/2006/relationships/hyperlink" Target="http://www.rondonopolis.mt.gov.br/" TargetMode="External"/><Relationship Id="rId41" Type="http://schemas.openxmlformats.org/officeDocument/2006/relationships/hyperlink" Target="mailto:pmrroo@hotmail.com" TargetMode="External"/><Relationship Id="rId42" Type="http://schemas.openxmlformats.org/officeDocument/2006/relationships/hyperlink" Target="https://transparencia.rondonopolis.mt.gov.br/rondonopolis/publicacoes/23" TargetMode="External"/><Relationship Id="rId43" Type="http://schemas.openxmlformats.org/officeDocument/2006/relationships/hyperlink" Target="https://www.planalto.gov.br/ccivil_03/constituicao/constituicaocompilado.htm" TargetMode="External"/><Relationship Id="rId44" Type="http://schemas.openxmlformats.org/officeDocument/2006/relationships/hyperlink" Target="https://www.planalto.gov.br/ccivil_03/constituicao/constituicaocompilado.htm" TargetMode="External"/><Relationship Id="rId45" Type="http://schemas.openxmlformats.org/officeDocument/2006/relationships/hyperlink" Target="https://www.planalto.gov.br/ccivil_03/leis/lcp/lcp123.htm" TargetMode="External"/><Relationship Id="rId46" Type="http://schemas.openxmlformats.org/officeDocument/2006/relationships/hyperlink" Target="https://www.planalto.gov.br/ccivil_03/leis/lcp/lcp123.htm" TargetMode="External"/><Relationship Id="rId47"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hyperlink" Target="http://www.rondonopolis.mt.gov.br/" TargetMode="External"/></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gradFill>
        <a:gradFill>
          <a:gsLst>
            <a:gs pos="0">
              <a:schemeClr val="phClr">
                <a:shade val="51000"/>
              </a:schemeClr>
            </a:gs>
            <a:gs pos="80000">
              <a:schemeClr val="phClr">
                <a:shade val="93000"/>
              </a:schemeClr>
            </a:gs>
            <a:gs pos="100000">
              <a:schemeClr val="phClr">
                <a:shade val="94000"/>
              </a:schemeClr>
            </a:gs>
          </a:gsLst>
          <a:lin ang="16200000" scaled="0"/>
        </a:gradFill>
      </a:fillStyleLst>
      <a:lnStyleLst>
        <a:ln w="9525"/>
        <a:ln w="25400"/>
        <a:ln w="38100"/>
      </a:lnStyleLst>
      <a:effectStyleLst>
        <a:effectStyle>
          <a:effectLst/>
        </a:effectStyle>
        <a:effectStyle>
          <a:effectLst/>
        </a:effectStyle>
        <a:effectStyle>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5907A3-D138-46A1-A22C-9FA578F66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ONLYOFFICE/9.2.1.43</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LICITAÇÃO</dc:title>
  <dc:subject/>
  <dc:creator>silvia.bonjour</dc:creator>
  <dc:description/>
  <dc:language>pt-BR</dc:language>
  <cp:revision>51</cp:revision>
  <dcterms:created xsi:type="dcterms:W3CDTF">2025-10-02T14:32:00Z</dcterms:created>
  <dcterms:modified xsi:type="dcterms:W3CDTF">2026-09-22T19:38:35Z</dcterms:modified>
  <cp:version>1048576</cp:version>
</cp:coreProperties>
</file>