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tbl>
      <w:tblPr>
        <w:tblW w:w="10314" w:type="dxa"/>
        <w:tblBorders/>
        <w:tblLayout w:type="fixed"/>
        <w:tblLook w:val="04A0" w:firstRow="1" w:lastRow="0" w:firstColumn="1" w:lastColumn="0" w:noHBand="0" w:noVBand="1"/>
      </w:tblPr>
      <w:tblGrid>
        <w:gridCol w:w="10314"/>
      </w:tblGrid>
      <w:tr>
        <w:trPr>
          <w:trHeight w:val="1619"/>
        </w:trPr>
        <w:tc>
          <w:tcPr>
            <w:tcBorders>
              <w:top w:val="single" w:color="000000" w:sz="4" w:space="0"/>
              <w:left w:val="single" w:color="000000" w:sz="4" w:space="0"/>
              <w:bottom w:val="single" w:color="000000" w:sz="4" w:space="0"/>
              <w:right w:val="single" w:color="000000" w:sz="4" w:space="0"/>
            </w:tcBorders>
            <w:tcW w:w="10314" w:type="dxa"/>
            <w:textDirection w:val="lrTb"/>
            <w:noWrap w:val="false"/>
          </w:tcPr>
          <w:p>
            <w:pPr>
              <w:pBdr/>
              <w:spacing/>
              <w:ind/>
              <w:rPr>
                <w:rFonts w:ascii="Arial" w:hAnsi="Arial"/>
                <w:i/>
                <w:sz w:val="24"/>
                <w:szCs w:val="24"/>
              </w:rPr>
            </w:pPr>
            <w:r>
              <w:rPr>
                <w:rFonts w:ascii="Arial" w:hAnsi="Arial"/>
                <w:i/>
                <w:sz w:val="24"/>
                <w:szCs w:val="24"/>
              </w:rPr>
            </w:r>
            <w:r>
              <w:rPr>
                <w:rFonts w:ascii="Arial" w:hAnsi="Arial"/>
                <w:i/>
                <w:sz w:val="24"/>
                <w:szCs w:val="24"/>
              </w:rPr>
            </w:r>
            <w:r>
              <w:rPr>
                <w:rFonts w:ascii="Arial" w:hAnsi="Arial"/>
                <w:i/>
                <w:sz w:val="24"/>
                <w:szCs w:val="24"/>
              </w:rPr>
            </w:r>
          </w:p>
          <w:tbl>
            <w:tblPr>
              <w:tblW w:w="9918" w:type="dxa"/>
              <w:tblBorders/>
              <w:tblLayout w:type="fixed"/>
              <w:tblLook w:val="04A0" w:firstRow="1" w:lastRow="0" w:firstColumn="1" w:lastColumn="0" w:noHBand="0" w:noVBand="1"/>
            </w:tblPr>
            <w:tblGrid>
              <w:gridCol w:w="9918"/>
            </w:tblGrid>
            <w:tr>
              <w:trPr>
                <w:trHeight w:val="1050"/>
              </w:trPr>
              <w:tc>
                <w:tcPr>
                  <w:tcBorders>
                    <w:top w:val="single" w:color="000000" w:sz="4" w:space="0"/>
                    <w:left w:val="single" w:color="000000" w:sz="4" w:space="0"/>
                    <w:bottom w:val="single" w:color="000000" w:sz="4" w:space="0"/>
                    <w:right w:val="single" w:color="000000" w:sz="4" w:space="0"/>
                  </w:tcBorders>
                  <w:tcW w:w="9918" w:type="dxa"/>
                  <w:textDirection w:val="lrTb"/>
                  <w:noWrap w:val="false"/>
                </w:tcPr>
                <w:p>
                  <w:pPr>
                    <w:pBdr/>
                    <w:tabs>
                      <w:tab w:val="left" w:leader="none" w:pos="2790"/>
                      <w:tab w:val="center" w:leader="none" w:pos="4851"/>
                    </w:tabs>
                    <w:spacing/>
                    <w:ind/>
                    <w:jc w:val="center"/>
                    <w:rPr/>
                  </w:pPr>
                  <w:r>
                    <w:rPr>
                      <w:rFonts w:ascii="Arial" w:hAnsi="Arial"/>
                      <w:b/>
                      <w:sz w:val="24"/>
                      <w:szCs w:val="24"/>
                    </w:rPr>
                    <w:t xml:space="preserve">PREGÃO ELETRÔNICO N.º 18/2026</w:t>
                  </w:r>
                  <w:r/>
                </w:p>
                <w:p>
                  <w:pPr>
                    <w:pBdr/>
                    <w:spacing/>
                    <w:ind/>
                    <w:jc w:val="center"/>
                    <w:rPr/>
                  </w:pPr>
                  <w:r>
                    <w:rPr>
                      <w:rFonts w:ascii="Arial" w:hAnsi="Arial"/>
                      <w:b/>
                      <w:sz w:val="24"/>
                      <w:szCs w:val="24"/>
                    </w:rPr>
                    <w:t xml:space="preserve">Processo n.º 102/2026</w:t>
                  </w:r>
                  <w:r/>
                </w:p>
              </w:tc>
            </w:tr>
          </w:tbl>
          <w:p>
            <w:pPr>
              <w:pBdr/>
              <w:spacing/>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tc>
      </w:tr>
    </w:tbl>
    <w:p>
      <w:pPr>
        <w:pBdr/>
        <w:spacing/>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tbl>
      <w:tblPr>
        <w:tblW w:w="10281" w:type="dxa"/>
        <w:tblBorders/>
        <w:tblLayout w:type="fixed"/>
        <w:tblLook w:val="04A0" w:firstRow="1" w:lastRow="0" w:firstColumn="1" w:lastColumn="0" w:noHBand="0" w:noVBand="1"/>
      </w:tblPr>
      <w:tblGrid>
        <w:gridCol w:w="10281"/>
      </w:tblGrid>
      <w:tr>
        <w:trPr/>
        <w:tc>
          <w:tcPr>
            <w:tcBorders>
              <w:top w:val="single" w:color="000000" w:sz="4" w:space="0"/>
              <w:left w:val="single" w:color="000000" w:sz="4" w:space="0"/>
              <w:bottom w:val="single" w:color="000000" w:sz="4" w:space="0"/>
              <w:right w:val="single" w:color="000000" w:sz="4" w:space="0"/>
            </w:tcBorders>
            <w:tcW w:w="10281" w:type="dxa"/>
            <w:textDirection w:val="lrTb"/>
            <w:noWrap w:val="false"/>
          </w:tcPr>
          <w:p>
            <w:pPr>
              <w:pBdr/>
              <w:spacing/>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tbl>
            <w:tblPr>
              <w:tblW w:w="10055" w:type="dxa"/>
              <w:tblBorders/>
              <w:tblLayout w:type="fixed"/>
              <w:tblLook w:val="04A0" w:firstRow="1" w:lastRow="0" w:firstColumn="1" w:lastColumn="0" w:noHBand="0" w:noVBand="1"/>
            </w:tblPr>
            <w:tblGrid>
              <w:gridCol w:w="10055"/>
            </w:tblGrid>
            <w:tr>
              <w:trPr/>
              <w:tc>
                <w:tcPr>
                  <w:tcBorders>
                    <w:top w:val="single" w:color="000000" w:sz="4" w:space="0"/>
                    <w:left w:val="single" w:color="000000" w:sz="4" w:space="0"/>
                    <w:bottom w:val="single" w:color="000000" w:sz="4" w:space="0"/>
                    <w:right w:val="single" w:color="000000" w:sz="4" w:space="0"/>
                  </w:tcBorders>
                  <w:tcW w:w="10055" w:type="dxa"/>
                  <w:textDirection w:val="lrTb"/>
                  <w:noWrap w:val="false"/>
                </w:tcPr>
                <w:p>
                  <w:pPr>
                    <w:pBdr/>
                    <w:spacing/>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p>
                  <w:pPr>
                    <w:pBdr/>
                    <w:spacing/>
                    <w:ind/>
                    <w:jc w:val="both"/>
                    <w:rPr>
                      <w:rFonts w:ascii="Arial" w:hAnsi="Arial" w:eastAsia="Arial"/>
                      <w:b/>
                      <w:bCs/>
                      <w:color w:val="000000"/>
                      <w:sz w:val="22"/>
                      <w:szCs w:val="22"/>
                    </w:rPr>
                  </w:pPr>
                  <w:r>
                    <w:rPr>
                      <w:rFonts w:ascii="Arial" w:hAnsi="Arial"/>
                      <w:sz w:val="24"/>
                      <w:szCs w:val="24"/>
                    </w:rPr>
                    <w:t xml:space="preserve">O Presente </w:t>
                  </w:r>
                  <w:r>
                    <w:rPr>
                      <w:rFonts w:ascii="Arial" w:hAnsi="Arial"/>
                      <w:b/>
                      <w:sz w:val="24"/>
                      <w:szCs w:val="24"/>
                    </w:rPr>
                    <w:t xml:space="preserve">Pregão Eletrônico</w:t>
                  </w:r>
                  <w:r>
                    <w:rPr>
                      <w:rFonts w:ascii="Arial" w:hAnsi="Arial"/>
                      <w:sz w:val="24"/>
                      <w:szCs w:val="24"/>
                    </w:rPr>
                    <w:t xml:space="preserve"> tem por objeto </w:t>
                  </w:r>
                  <w:r>
                    <w:rPr>
                      <w:rFonts w:ascii="Arial" w:hAnsi="Arial" w:eastAsia="Arial"/>
                      <w:b/>
                      <w:bCs/>
                      <w:color w:val="000000"/>
                      <w:sz w:val="22"/>
                      <w:szCs w:val="22"/>
                    </w:rPr>
                    <w:t xml:space="preserve">REGISTRO DE PREÇOS PARA FUTURA E EVENTUAL AQUISIÇÃO DE MATERIAIS, INSUMOS E EQUIPAMENTOS DESTINADOS À FISIOTERAPIA, REABILITAÇÃO E AÇÕES TERAPÊUTICAS CORRELATAS</w:t>
                  </w:r>
                  <w:r>
                    <w:rPr>
                      <w:rFonts w:ascii="Arial" w:hAnsi="Arial" w:eastAsia="Arial"/>
                      <w:b/>
                      <w:bCs/>
                      <w:color w:val="000000"/>
                      <w:sz w:val="22"/>
                      <w:szCs w:val="22"/>
                    </w:rPr>
                    <w:t xml:space="preserve">, PARA ATENDER AS NECESSIDADES DA SECRETARIA MUNICIPAL SAÚDE, CONFORME ESPECIFICAÇÕES E QUANTITATIVOS ESTABELECIDOS NESTE EDITAL E SEUS ANEXOS.</w:t>
                  </w:r>
                  <w:r>
                    <w:rPr>
                      <w:rFonts w:ascii="Arial" w:hAnsi="Arial" w:eastAsia="Arial"/>
                      <w:b/>
                      <w:bCs/>
                      <w:color w:val="000000"/>
                      <w:sz w:val="22"/>
                      <w:szCs w:val="22"/>
                    </w:rPr>
                  </w:r>
                  <w:r>
                    <w:rPr>
                      <w:rFonts w:ascii="Arial" w:hAnsi="Arial" w:eastAsia="Arial"/>
                      <w:b/>
                      <w:bCs/>
                      <w:color w:val="000000"/>
                      <w:sz w:val="22"/>
                      <w:szCs w:val="22"/>
                    </w:rPr>
                  </w:r>
                </w:p>
                <w:p>
                  <w:pPr>
                    <w:pBdr/>
                    <w:spacing/>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p>
                  <w:pPr>
                    <w:pBdr/>
                    <w:spacing/>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tc>
            </w:tr>
          </w:tbl>
          <w:p>
            <w:pPr>
              <w:pBdr/>
              <w:spacing/>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tbl>
            <w:tblPr>
              <w:tblW w:w="10055" w:type="dxa"/>
              <w:tblBorders/>
              <w:tblLayout w:type="fixed"/>
              <w:tblLook w:val="04A0" w:firstRow="1" w:lastRow="0" w:firstColumn="1" w:lastColumn="0" w:noHBand="0" w:noVBand="1"/>
            </w:tblPr>
            <w:tblGrid>
              <w:gridCol w:w="10055"/>
            </w:tblGrid>
            <w:tr>
              <w:trPr/>
              <w:tc>
                <w:tcPr>
                  <w:tcBorders>
                    <w:top w:val="single" w:color="000000" w:sz="4" w:space="0"/>
                    <w:left w:val="single" w:color="000000" w:sz="4" w:space="0"/>
                    <w:bottom w:val="single" w:color="000000" w:sz="4" w:space="0"/>
                    <w:right w:val="single" w:color="000000" w:sz="4" w:space="0"/>
                  </w:tcBorders>
                  <w:tcW w:w="10055" w:type="dxa"/>
                  <w:textDirection w:val="lrTb"/>
                  <w:noWrap w:val="false"/>
                </w:tcPr>
                <w:p>
                  <w:pPr>
                    <w:pBdr/>
                    <w:spacing/>
                    <w:ind/>
                    <w:jc w:val="center"/>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p>
                  <w:pPr>
                    <w:pBdr/>
                    <w:spacing/>
                    <w:ind/>
                    <w:jc w:val="center"/>
                    <w:rPr/>
                  </w:pPr>
                  <w:r>
                    <w:rPr>
                      <w:rFonts w:ascii="Arial" w:hAnsi="Arial"/>
                      <w:sz w:val="24"/>
                      <w:szCs w:val="24"/>
                    </w:rPr>
                    <w:t xml:space="preserve">SESSÃO PÚBLICA PARA RECEBIMENTO DAS PROPOSTAS E DOCUMENTOS PARA HABILITAÇÃO</w:t>
                  </w:r>
                  <w:r/>
                </w:p>
                <w:p>
                  <w:pPr>
                    <w:pBdr/>
                    <w:spacing/>
                    <w:ind/>
                    <w:jc w:val="center"/>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tc>
            </w:tr>
          </w:tbl>
          <w:p>
            <w:pPr>
              <w:pBdr/>
              <w:spacing/>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tbl>
            <w:tblPr>
              <w:tblW w:w="10055" w:type="dxa"/>
              <w:tblBorders/>
              <w:tblLayout w:type="fixed"/>
              <w:tblLook w:val="04A0" w:firstRow="1" w:lastRow="0" w:firstColumn="1" w:lastColumn="0" w:noHBand="0" w:noVBand="1"/>
            </w:tblPr>
            <w:tblGrid>
              <w:gridCol w:w="10055"/>
            </w:tblGrid>
            <w:tr>
              <w:trPr/>
              <w:tc>
                <w:tcPr>
                  <w:tcBorders>
                    <w:top w:val="single" w:color="000000" w:sz="4" w:space="0"/>
                    <w:left w:val="single" w:color="000000" w:sz="4" w:space="0"/>
                    <w:bottom w:val="single" w:color="000000" w:sz="4" w:space="0"/>
                    <w:right w:val="single" w:color="000000" w:sz="4" w:space="0"/>
                  </w:tcBorders>
                  <w:tcW w:w="10055" w:type="dxa"/>
                  <w:textDirection w:val="lrTb"/>
                  <w:noWrap w:val="false"/>
                </w:tcPr>
                <w:p>
                  <w:pPr>
                    <w:pBdr/>
                    <w:spacing/>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p>
                  <w:pPr>
                    <w:pBdr/>
                    <w:spacing/>
                    <w:ind/>
                    <w:jc w:val="both"/>
                    <w:rPr>
                      <w:rFonts w:ascii="Arial" w:hAnsi="Arial"/>
                      <w:b/>
                      <w:sz w:val="24"/>
                      <w:szCs w:val="24"/>
                    </w:rPr>
                  </w:pPr>
                  <w:r>
                    <w:rPr>
                      <w:rFonts w:ascii="Arial" w:hAnsi="Arial"/>
                      <w:sz w:val="24"/>
                      <w:szCs w:val="24"/>
                    </w:rPr>
                    <w:t xml:space="preserve">Local: </w:t>
                  </w:r>
                  <w:hyperlink r:id="rId12" w:tooltip="http://www.bllcompras.org.br/" w:history="1">
                    <w:r>
                      <w:rPr>
                        <w:rStyle w:val="973"/>
                        <w:rFonts w:ascii="Arial" w:hAnsi="Arial" w:cs="Arial"/>
                        <w:b/>
                        <w:sz w:val="24"/>
                        <w:szCs w:val="24"/>
                      </w:rPr>
                      <w:t xml:space="preserve">bllcompras.com</w:t>
                    </w:r>
                  </w:hyperlink>
                  <w:r>
                    <w:rPr>
                      <w:rFonts w:ascii="Arial" w:hAnsi="Arial"/>
                      <w:b/>
                      <w:sz w:val="24"/>
                      <w:szCs w:val="24"/>
                    </w:rPr>
                  </w:r>
                  <w:r>
                    <w:rPr>
                      <w:rFonts w:ascii="Arial" w:hAnsi="Arial"/>
                      <w:b/>
                      <w:sz w:val="24"/>
                      <w:szCs w:val="24"/>
                    </w:rPr>
                  </w:r>
                </w:p>
                <w:p>
                  <w:pPr>
                    <w:pBdr/>
                    <w:spacing/>
                    <w:ind/>
                    <w:jc w:val="both"/>
                    <w:rPr>
                      <w:rFonts w:ascii="Arial" w:hAnsi="Arial"/>
                      <w:b/>
                      <w:sz w:val="24"/>
                      <w:szCs w:val="24"/>
                    </w:rPr>
                  </w:pPr>
                  <w:r>
                    <w:rPr>
                      <w:rFonts w:ascii="Arial" w:hAnsi="Arial"/>
                      <w:b/>
                      <w:sz w:val="24"/>
                      <w:szCs w:val="24"/>
                    </w:rPr>
                  </w:r>
                  <w:r>
                    <w:rPr>
                      <w:rFonts w:ascii="Arial" w:hAnsi="Arial"/>
                      <w:b/>
                      <w:sz w:val="24"/>
                      <w:szCs w:val="24"/>
                    </w:rPr>
                  </w:r>
                  <w:r>
                    <w:rPr>
                      <w:rFonts w:ascii="Arial" w:hAnsi="Arial"/>
                      <w:b/>
                      <w:sz w:val="24"/>
                      <w:szCs w:val="24"/>
                    </w:rPr>
                  </w:r>
                </w:p>
              </w:tc>
            </w:tr>
          </w:tbl>
          <w:p>
            <w:pPr>
              <w:pBdr/>
              <w:spacing/>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tbl>
            <w:tblPr>
              <w:tblW w:w="10055" w:type="dxa"/>
              <w:tblBorders/>
              <w:tblLayout w:type="fixed"/>
              <w:tblLook w:val="04A0" w:firstRow="1" w:lastRow="0" w:firstColumn="1" w:lastColumn="0" w:noHBand="0" w:noVBand="1"/>
            </w:tblPr>
            <w:tblGrid>
              <w:gridCol w:w="10055"/>
            </w:tblGrid>
            <w:tr>
              <w:trPr/>
              <w:tc>
                <w:tcPr>
                  <w:tcBorders>
                    <w:top w:val="single" w:color="000000" w:sz="4" w:space="0"/>
                    <w:left w:val="single" w:color="000000" w:sz="4" w:space="0"/>
                    <w:bottom w:val="single" w:color="000000" w:sz="4" w:space="0"/>
                    <w:right w:val="single" w:color="000000" w:sz="4" w:space="0"/>
                  </w:tcBorders>
                  <w:tcW w:w="10055" w:type="dxa"/>
                  <w:textDirection w:val="lrTb"/>
                  <w:noWrap w:val="false"/>
                </w:tcPr>
                <w:p>
                  <w:pPr>
                    <w:pBdr/>
                    <w:spacing/>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p>
                  <w:pPr>
                    <w:pBdr/>
                    <w:spacing/>
                    <w:ind/>
                    <w:jc w:val="both"/>
                    <w:rPr/>
                  </w:pPr>
                  <w:r>
                    <w:rPr>
                      <w:rFonts w:ascii="Arial" w:hAnsi="Arial"/>
                      <w:sz w:val="24"/>
                      <w:szCs w:val="24"/>
                    </w:rPr>
                    <w:t xml:space="preserve">Data da sessão:</w:t>
                  </w:r>
                  <w:r>
                    <w:rPr>
                      <w:rFonts w:ascii="Arial" w:hAnsi="Arial"/>
                      <w:b/>
                      <w:bCs/>
                      <w:color w:val="ff0000"/>
                      <w:sz w:val="24"/>
                      <w:szCs w:val="24"/>
                    </w:rPr>
                    <w:t xml:space="preserve">29/04/2026</w:t>
                  </w:r>
                  <w:r>
                    <w:rPr>
                      <w:rFonts w:ascii="Arial" w:hAnsi="Arial"/>
                      <w:b/>
                      <w:bCs/>
                      <w:color w:val="ff0000"/>
                      <w:sz w:val="24"/>
                      <w:szCs w:val="24"/>
                    </w:rPr>
                  </w:r>
                  <w:r/>
                </w:p>
                <w:p>
                  <w:pPr>
                    <w:pBdr/>
                    <w:spacing/>
                    <w:ind/>
                    <w:jc w:val="both"/>
                    <w:rPr>
                      <w:rFonts w:ascii="Arial" w:hAnsi="Arial"/>
                      <w:b/>
                      <w:color w:val="000000"/>
                      <w:sz w:val="24"/>
                      <w:szCs w:val="24"/>
                    </w:rPr>
                  </w:pPr>
                  <w:r>
                    <w:rPr>
                      <w:rFonts w:ascii="Arial" w:hAnsi="Arial"/>
                      <w:b/>
                      <w:color w:val="000000"/>
                      <w:sz w:val="24"/>
                      <w:szCs w:val="24"/>
                    </w:rPr>
                  </w:r>
                  <w:r>
                    <w:rPr>
                      <w:rFonts w:ascii="Arial" w:hAnsi="Arial"/>
                      <w:b/>
                      <w:color w:val="000000"/>
                      <w:sz w:val="24"/>
                      <w:szCs w:val="24"/>
                    </w:rPr>
                  </w:r>
                  <w:r>
                    <w:rPr>
                      <w:rFonts w:ascii="Arial" w:hAnsi="Arial"/>
                      <w:b/>
                      <w:color w:val="000000"/>
                      <w:sz w:val="24"/>
                      <w:szCs w:val="24"/>
                    </w:rPr>
                  </w:r>
                </w:p>
              </w:tc>
            </w:tr>
          </w:tbl>
          <w:p>
            <w:pPr>
              <w:pBdr/>
              <w:spacing/>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p>
            <w:pPr>
              <w:pBdr/>
              <w:spacing/>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tbl>
            <w:tblPr>
              <w:tblW w:w="10055" w:type="dxa"/>
              <w:tblBorders/>
              <w:tblLayout w:type="fixed"/>
              <w:tblLook w:val="04A0" w:firstRow="1" w:lastRow="0" w:firstColumn="1" w:lastColumn="0" w:noHBand="0" w:noVBand="1"/>
            </w:tblPr>
            <w:tblGrid>
              <w:gridCol w:w="10055"/>
            </w:tblGrid>
            <w:tr>
              <w:trPr/>
              <w:tc>
                <w:tcPr>
                  <w:tcBorders>
                    <w:top w:val="single" w:color="000000" w:sz="4" w:space="0"/>
                    <w:left w:val="single" w:color="000000" w:sz="4" w:space="0"/>
                    <w:bottom w:val="single" w:color="000000" w:sz="4" w:space="0"/>
                    <w:right w:val="single" w:color="000000" w:sz="4" w:space="0"/>
                  </w:tcBorders>
                  <w:tcW w:w="10055" w:type="dxa"/>
                  <w:textDirection w:val="lrTb"/>
                  <w:noWrap w:val="false"/>
                </w:tcPr>
                <w:p>
                  <w:pPr>
                    <w:pBdr/>
                    <w:spacing/>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p>
                  <w:pPr>
                    <w:pBdr/>
                    <w:spacing/>
                    <w:ind/>
                    <w:jc w:val="both"/>
                    <w:rPr>
                      <w:rFonts w:ascii="Arial" w:hAnsi="Arial"/>
                      <w:b/>
                      <w:bCs/>
                      <w:color w:val="000000"/>
                      <w:sz w:val="24"/>
                      <w:szCs w:val="24"/>
                    </w:rPr>
                  </w:pPr>
                  <w:r>
                    <w:rPr>
                      <w:rFonts w:ascii="Arial" w:hAnsi="Arial"/>
                      <w:sz w:val="24"/>
                      <w:szCs w:val="24"/>
                    </w:rPr>
                    <w:t xml:space="preserve">Horário: </w:t>
                  </w:r>
                  <w:r>
                    <w:rPr>
                      <w:rFonts w:ascii="Arial" w:hAnsi="Arial"/>
                      <w:b/>
                      <w:color w:val="000000"/>
                      <w:sz w:val="24"/>
                      <w:szCs w:val="24"/>
                    </w:rPr>
                    <w:t xml:space="preserve">09h30min – Horário de Brasília</w:t>
                  </w:r>
                  <w:r>
                    <w:rPr>
                      <w:rFonts w:ascii="Arial" w:hAnsi="Arial"/>
                      <w:b/>
                      <w:bCs/>
                      <w:color w:val="000000"/>
                      <w:sz w:val="24"/>
                      <w:szCs w:val="24"/>
                    </w:rPr>
                  </w:r>
                  <w:r>
                    <w:rPr>
                      <w:rFonts w:ascii="Arial" w:hAnsi="Arial"/>
                      <w:b/>
                      <w:bCs/>
                      <w:color w:val="000000"/>
                      <w:sz w:val="24"/>
                      <w:szCs w:val="24"/>
                    </w:rPr>
                  </w:r>
                </w:p>
                <w:p>
                  <w:pPr>
                    <w:pBdr/>
                    <w:spacing/>
                    <w:ind/>
                    <w:jc w:val="both"/>
                    <w:rPr/>
                  </w:pPr>
                  <w:r/>
                  <w:r/>
                </w:p>
                <w:p>
                  <w:pPr>
                    <w:pBdr/>
                    <w:spacing/>
                    <w:ind/>
                    <w:jc w:val="both"/>
                    <w:rPr>
                      <w:rFonts w:ascii="Arial" w:hAnsi="Arial"/>
                      <w:b/>
                      <w:color w:val="000000"/>
                      <w:sz w:val="24"/>
                      <w:szCs w:val="24"/>
                    </w:rPr>
                  </w:pPr>
                  <w:r>
                    <w:rPr>
                      <w:rFonts w:ascii="Arial" w:hAnsi="Arial"/>
                      <w:b/>
                      <w:color w:val="000000"/>
                      <w:sz w:val="24"/>
                      <w:szCs w:val="24"/>
                    </w:rPr>
                  </w:r>
                  <w:r>
                    <w:rPr>
                      <w:rFonts w:ascii="Arial" w:hAnsi="Arial"/>
                      <w:b/>
                      <w:color w:val="000000"/>
                      <w:sz w:val="24"/>
                      <w:szCs w:val="24"/>
                    </w:rPr>
                  </w:r>
                  <w:r>
                    <w:rPr>
                      <w:rFonts w:ascii="Arial" w:hAnsi="Arial"/>
                      <w:b/>
                      <w:color w:val="000000"/>
                      <w:sz w:val="24"/>
                      <w:szCs w:val="24"/>
                    </w:rPr>
                  </w:r>
                </w:p>
              </w:tc>
            </w:tr>
          </w:tbl>
          <w:p>
            <w:pPr>
              <w:pBdr/>
              <w:spacing/>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p>
            <w:pPr>
              <w:pBdr/>
              <w:spacing/>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tbl>
            <w:tblPr>
              <w:tblW w:w="10055" w:type="dxa"/>
              <w:tblBorders/>
              <w:tblLayout w:type="fixed"/>
              <w:tblLook w:val="04A0" w:firstRow="1" w:lastRow="0" w:firstColumn="1" w:lastColumn="0" w:noHBand="0" w:noVBand="1"/>
            </w:tblPr>
            <w:tblGrid>
              <w:gridCol w:w="10055"/>
            </w:tblGrid>
            <w:tr>
              <w:trPr/>
              <w:tc>
                <w:tcPr>
                  <w:tcBorders>
                    <w:top w:val="single" w:color="000000" w:sz="4" w:space="0"/>
                    <w:left w:val="single" w:color="000000" w:sz="4" w:space="0"/>
                    <w:bottom w:val="single" w:color="000000" w:sz="4" w:space="0"/>
                    <w:right w:val="single" w:color="000000" w:sz="4" w:space="0"/>
                  </w:tcBorders>
                  <w:tcW w:w="10055" w:type="dxa"/>
                  <w:textDirection w:val="lrTb"/>
                  <w:noWrap w:val="false"/>
                </w:tcPr>
                <w:p>
                  <w:pPr>
                    <w:pBdr/>
                    <w:spacing/>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p>
                  <w:pPr>
                    <w:pBdr/>
                    <w:spacing/>
                    <w:ind/>
                    <w:jc w:val="center"/>
                    <w:rPr/>
                  </w:pPr>
                  <w:r>
                    <w:rPr>
                      <w:rFonts w:ascii="Arial" w:hAnsi="Arial"/>
                      <w:b/>
                      <w:sz w:val="24"/>
                      <w:szCs w:val="24"/>
                    </w:rPr>
                    <w:t xml:space="preserve">CONTATO</w:t>
                  </w:r>
                  <w:r/>
                </w:p>
                <w:p>
                  <w:pPr>
                    <w:pBdr/>
                    <w:spacing/>
                    <w:ind/>
                    <w:jc w:val="center"/>
                    <w:rPr>
                      <w:rFonts w:ascii="Arial" w:hAnsi="Arial"/>
                      <w:b/>
                      <w:sz w:val="24"/>
                      <w:szCs w:val="24"/>
                    </w:rPr>
                  </w:pPr>
                  <w:r>
                    <w:rPr>
                      <w:rFonts w:ascii="Arial" w:hAnsi="Arial"/>
                      <w:b/>
                      <w:sz w:val="24"/>
                      <w:szCs w:val="24"/>
                    </w:rPr>
                  </w:r>
                  <w:r>
                    <w:rPr>
                      <w:rFonts w:ascii="Arial" w:hAnsi="Arial"/>
                      <w:b/>
                      <w:sz w:val="24"/>
                      <w:szCs w:val="24"/>
                    </w:rPr>
                  </w:r>
                  <w:r>
                    <w:rPr>
                      <w:rFonts w:ascii="Arial" w:hAnsi="Arial"/>
                      <w:b/>
                      <w:sz w:val="24"/>
                      <w:szCs w:val="24"/>
                    </w:rPr>
                  </w:r>
                </w:p>
                <w:p>
                  <w:pPr>
                    <w:pBdr/>
                    <w:spacing/>
                    <w:ind/>
                    <w:jc w:val="center"/>
                    <w:rPr/>
                  </w:pPr>
                  <w:r>
                    <w:rPr>
                      <w:rFonts w:ascii="Arial" w:hAnsi="Arial"/>
                      <w:b/>
                      <w:sz w:val="24"/>
                      <w:szCs w:val="24"/>
                    </w:rPr>
                    <w:t xml:space="preserve">(66) 3411 5734</w:t>
                  </w:r>
                  <w:r/>
                </w:p>
                <w:p>
                  <w:pPr>
                    <w:pBdr/>
                    <w:spacing/>
                    <w:ind/>
                    <w:jc w:val="center"/>
                    <w:rPr/>
                  </w:pPr>
                  <w:r/>
                  <w:hyperlink r:id="rId13" w:tooltip="mailto:pmrroo@hotmail.com" w:history="1">
                    <w:r>
                      <w:rPr>
                        <w:rStyle w:val="973"/>
                        <w:rFonts w:ascii="Arial" w:hAnsi="Arial" w:cs="Arial"/>
                        <w:sz w:val="24"/>
                        <w:szCs w:val="24"/>
                      </w:rPr>
                      <w:t xml:space="preserve">pmrroo@hotmail.com</w:t>
                    </w:r>
                  </w:hyperlink>
                  <w:r/>
                  <w:r/>
                </w:p>
                <w:p>
                  <w:pPr>
                    <w:pBdr/>
                    <w:spacing/>
                    <w:ind/>
                    <w:jc w:val="center"/>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p>
                  <w:pPr>
                    <w:pBdr/>
                    <w:spacing/>
                    <w:ind/>
                    <w:jc w:val="center"/>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p>
                  <w:pPr>
                    <w:pBdr/>
                    <w:spacing/>
                    <w:ind/>
                    <w:jc w:val="center"/>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p>
                  <w:pPr>
                    <w:pBdr/>
                    <w:spacing/>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tc>
            </w:tr>
          </w:tbl>
          <w:p>
            <w:pPr>
              <w:pBdr/>
              <w:spacing/>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p>
            <w:pPr>
              <w:pBdr/>
              <w:spacing/>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tc>
      </w:tr>
    </w:tbl>
    <w:p>
      <w:pPr>
        <w:pStyle w:val="2025"/>
        <w:pBdr/>
        <w:tabs>
          <w:tab w:val="right" w:leader="dot" w:pos="9771"/>
        </w:tabs>
        <w:spacing/>
        <w:ind/>
        <w:rPr>
          <w:sz w:val="18"/>
          <w:szCs w:val="18"/>
        </w:rPr>
      </w:pPr>
      <w:r>
        <w:rPr>
          <w:sz w:val="18"/>
          <w:szCs w:val="18"/>
        </w:rPr>
      </w:r>
      <w:r>
        <w:rPr>
          <w:sz w:val="18"/>
          <w:szCs w:val="18"/>
        </w:rPr>
      </w:r>
      <w:r>
        <w:rPr>
          <w:sz w:val="18"/>
          <w:szCs w:val="18"/>
        </w:rPr>
      </w:r>
    </w:p>
    <w:p w14:paraId="4638BFE0">
      <w:pPr>
        <w:pStyle w:val="2035"/>
        <w:keepNext w:val="true"/>
        <w:keepLines w:val="true"/>
        <w:pBdr/>
        <w:bidi w:val="false"/>
        <w:spacing w:after="0" w:before="240" w:line="259" w:lineRule="auto"/>
        <w:ind w:firstLine="0" w:left="-142"/>
        <w:jc w:val="left"/>
        <w:outlineLvl w:val="0"/>
        <w:rPr>
          <w:rFonts w:ascii="Arial" w:hAnsi="Arial" w:cs="Arial"/>
          <w:b/>
          <w:bCs/>
          <w:color w:val="365f91"/>
          <w:sz w:val="18"/>
          <w:szCs w:val="18"/>
          <w:u w:val="none"/>
          <w:cs w:val="0"/>
        </w:rPr>
      </w:pPr>
      <w:r/>
      <w:bookmarkStart w:id="57" w:name="_Toc1"/>
      <w:r>
        <w:rPr>
          <w:rFonts w:ascii="Arial" w:hAnsi="Arial" w:eastAsia="Arial" w:cs="Arial"/>
          <w:b/>
          <w:bCs/>
          <w:color w:val="365f91"/>
          <w:sz w:val="18"/>
          <w:szCs w:val="18"/>
          <w:u w:val="none"/>
          <w:cs w:val="0"/>
        </w:rPr>
        <w:t xml:space="preserve">Sumário</w:t>
      </w:r>
      <w:r>
        <w:rPr>
          <w:rFonts w:ascii="Arial" w:hAnsi="Arial" w:cs="Arial"/>
          <w:b/>
          <w:bCs/>
          <w:color w:val="365f91"/>
          <w:sz w:val="18"/>
          <w:szCs w:val="18"/>
          <w:u w:val="none"/>
          <w:cs w:val="0"/>
        </w:rPr>
      </w:r>
      <w:bookmarkEnd w:id="57"/>
      <w:r>
        <w:rPr>
          <w:rFonts w:ascii="Arial" w:hAnsi="Arial" w:cs="Arial"/>
          <w:b/>
          <w:bCs/>
          <w:color w:val="365f91"/>
          <w:sz w:val="18"/>
          <w:szCs w:val="18"/>
          <w:u w:val="none"/>
          <w:cs w:val="0"/>
        </w:rPr>
      </w:r>
      <w:r>
        <w:rPr>
          <w:rFonts w:ascii="Arial" w:hAnsi="Arial" w:cs="Arial"/>
          <w:b/>
          <w:bCs/>
          <w:color w:val="365f91"/>
          <w:sz w:val="18"/>
          <w:szCs w:val="18"/>
          <w:u w:val="none"/>
          <w:cs w:val="0"/>
        </w:rPr>
      </w:r>
    </w:p>
    <w:p w14:paraId="06DE504E">
      <w:pPr>
        <w:pStyle w:val="2025"/>
        <w:pBdr/>
        <w:tabs>
          <w:tab w:val="right" w:leader="dot" w:pos="9771"/>
        </w:tabs>
        <w:bidi w:val="false"/>
        <w:spacing/>
        <w:ind/>
        <w:rPr>
          <w:rFonts w:ascii="Arial" w:hAnsi="Arial" w:cs="Arial"/>
          <w:b/>
          <w:bCs/>
          <w:sz w:val="18"/>
          <w:szCs w:val="18"/>
          <w:cs w:val="0"/>
        </w:rPr>
      </w:pPr>
      <w:r>
        <w:rPr>
          <w:rFonts w:ascii="Arial" w:hAnsi="Arial" w:eastAsia="Arial" w:cs="Arial"/>
          <w:sz w:val="18"/>
          <w:szCs w:val="18"/>
          <w:u w:val="none"/>
        </w:rPr>
        <w:fldChar w:fldCharType="begin"/>
      </w:r>
      <w:r>
        <w:rPr>
          <w:rFonts w:ascii="Arial" w:hAnsi="Arial" w:eastAsia="Arial" w:cs="Arial"/>
          <w:sz w:val="18"/>
          <w:szCs w:val="18"/>
          <w:u w:val="none"/>
          <w:cs w:val="0"/>
        </w:rPr>
        <w:instrText xml:space="preserve"> TOC \o "1-3" \h \z \u </w:instrText>
      </w:r>
      <w:r>
        <w:rPr>
          <w:rFonts w:ascii="Arial" w:hAnsi="Arial" w:eastAsia="Arial" w:cs="Arial"/>
          <w:sz w:val="18"/>
          <w:szCs w:val="18"/>
        </w:rPr>
        <w:fldChar w:fldCharType="separate"/>
      </w:r>
      <w:r>
        <w:rPr>
          <w:rFonts w:ascii="Arial" w:hAnsi="Arial" w:cs="Arial"/>
          <w:sz w:val="18"/>
          <w:szCs w:val="18"/>
          <w:u w:val="none"/>
        </w:rPr>
      </w:r>
      <w:hyperlink w:tooltip="#_Toc1" w:anchor="_Toc1" w:history="1">
        <w:r>
          <w:rPr>
            <w:rStyle w:val="863"/>
            <w:sz w:val="18"/>
            <w:szCs w:val="18"/>
          </w:rPr>
        </w:r>
        <w:r>
          <w:rPr>
            <w:rStyle w:val="863"/>
            <w:rFonts w:ascii="Arial" w:hAnsi="Arial" w:eastAsia="Arial" w:cs="Arial"/>
            <w:b/>
            <w:bCs/>
            <w:sz w:val="18"/>
            <w:szCs w:val="18"/>
            <w:cs w:val="0"/>
          </w:rPr>
          <w:t xml:space="preserve">Sumário</w:t>
        </w:r>
        <w:r>
          <w:rPr>
            <w:rStyle w:val="863"/>
            <w:rFonts w:ascii="Arial" w:hAnsi="Arial" w:cs="Arial"/>
            <w:b/>
            <w:bCs/>
            <w:sz w:val="18"/>
            <w:szCs w:val="18"/>
            <w:cs w:val="0"/>
          </w:rPr>
        </w:r>
        <w:r>
          <w:rPr>
            <w:sz w:val="18"/>
            <w:szCs w:val="18"/>
          </w:rPr>
          <w:tab/>
        </w:r>
        <w:r>
          <w:rPr>
            <w:sz w:val="18"/>
            <w:szCs w:val="18"/>
          </w:rPr>
          <w:fldChar w:fldCharType="begin"/>
          <w:instrText xml:space="preserve">PAGEREF _Toc1 \h</w:instrText>
          <w:fldChar w:fldCharType="separate"/>
        </w:r>
        <w:r>
          <w:rPr>
            <w:rStyle w:val="863"/>
            <w:sz w:val="18"/>
            <w:szCs w:val="18"/>
          </w:rPr>
          <w:t xml:space="preserve">2</w:t>
        </w:r>
        <w:r>
          <w:rPr>
            <w:sz w:val="18"/>
            <w:szCs w:val="18"/>
          </w:rPr>
          <w:fldChar w:fldCharType="end"/>
        </w:r>
      </w:hyperlink>
      <w:r>
        <w:rPr>
          <w:rFonts w:ascii="Arial" w:hAnsi="Arial" w:cs="Arial"/>
          <w:b/>
          <w:bCs/>
          <w:sz w:val="18"/>
          <w:szCs w:val="18"/>
          <w:cs w:val="0"/>
        </w:rPr>
      </w:r>
      <w:r>
        <w:rPr>
          <w:rFonts w:ascii="Arial" w:hAnsi="Arial" w:cs="Arial"/>
          <w:b/>
          <w:bCs/>
          <w:sz w:val="18"/>
          <w:szCs w:val="18"/>
          <w:cs w:val="0"/>
        </w:rPr>
      </w:r>
    </w:p>
    <w:p w14:paraId="64545F74">
      <w:pPr>
        <w:pStyle w:val="2025"/>
        <w:pBdr/>
        <w:tabs>
          <w:tab w:val="right" w:leader="dot" w:pos="9771"/>
        </w:tabs>
        <w:spacing/>
        <w:ind/>
        <w:rPr>
          <w:rFonts w:ascii="Arial" w:hAnsi="Arial"/>
          <w:b/>
          <w:bCs/>
          <w:sz w:val="18"/>
          <w:szCs w:val="18"/>
        </w:rPr>
      </w:pPr>
      <w:r/>
      <w:hyperlink w:tooltip="#_Toc2" w:anchor="_Toc2" w:history="1">
        <w:r>
          <w:rPr>
            <w:rStyle w:val="863"/>
            <w:sz w:val="18"/>
            <w:szCs w:val="18"/>
          </w:rPr>
        </w:r>
        <w:r>
          <w:rPr>
            <w:rStyle w:val="863"/>
            <w:rFonts w:ascii="Arial" w:hAnsi="Arial" w:eastAsia="Arial"/>
            <w:b/>
            <w:bCs/>
            <w:sz w:val="18"/>
            <w:szCs w:val="18"/>
          </w:rPr>
          <w:t xml:space="preserve">2. DO OBJETO:</w:t>
        </w:r>
        <w:r>
          <w:rPr>
            <w:rStyle w:val="863"/>
            <w:rFonts w:ascii="Arial" w:hAnsi="Arial"/>
            <w:b/>
            <w:bCs/>
            <w:sz w:val="18"/>
            <w:szCs w:val="18"/>
          </w:rPr>
        </w:r>
        <w:r>
          <w:rPr>
            <w:sz w:val="18"/>
            <w:szCs w:val="18"/>
          </w:rPr>
          <w:tab/>
        </w:r>
        <w:r>
          <w:rPr>
            <w:sz w:val="18"/>
            <w:szCs w:val="18"/>
          </w:rPr>
          <w:fldChar w:fldCharType="begin"/>
          <w:instrText xml:space="preserve">PAGEREF _Toc2 \h</w:instrText>
          <w:fldChar w:fldCharType="separate"/>
        </w:r>
        <w:r>
          <w:rPr>
            <w:rStyle w:val="863"/>
            <w:sz w:val="18"/>
            <w:szCs w:val="18"/>
          </w:rPr>
          <w:t xml:space="preserve">3</w:t>
        </w:r>
        <w:r>
          <w:rPr>
            <w:sz w:val="18"/>
            <w:szCs w:val="18"/>
          </w:rPr>
          <w:fldChar w:fldCharType="end"/>
        </w:r>
      </w:hyperlink>
      <w:r>
        <w:rPr>
          <w:rFonts w:ascii="Arial" w:hAnsi="Arial"/>
          <w:b/>
          <w:bCs/>
          <w:sz w:val="18"/>
          <w:szCs w:val="18"/>
        </w:rPr>
      </w:r>
      <w:r>
        <w:rPr>
          <w:rFonts w:ascii="Arial" w:hAnsi="Arial"/>
          <w:b/>
          <w:bCs/>
          <w:sz w:val="18"/>
          <w:szCs w:val="18"/>
        </w:rPr>
      </w:r>
    </w:p>
    <w:p w14:paraId="62B4B500">
      <w:pPr>
        <w:pStyle w:val="2025"/>
        <w:pBdr/>
        <w:tabs>
          <w:tab w:val="right" w:leader="dot" w:pos="9771"/>
        </w:tabs>
        <w:spacing/>
        <w:ind/>
        <w:rPr>
          <w:rFonts w:ascii="Arial" w:hAnsi="Arial"/>
          <w:b/>
          <w:bCs/>
          <w:sz w:val="18"/>
          <w:szCs w:val="18"/>
        </w:rPr>
      </w:pPr>
      <w:r/>
      <w:hyperlink w:tooltip="#_Toc3" w:anchor="_Toc3" w:history="1">
        <w:r>
          <w:rPr>
            <w:rStyle w:val="863"/>
            <w:sz w:val="18"/>
            <w:szCs w:val="18"/>
          </w:rPr>
        </w:r>
        <w:r>
          <w:rPr>
            <w:rStyle w:val="863"/>
            <w:rFonts w:ascii="Arial" w:hAnsi="Arial" w:eastAsia="Arial"/>
            <w:b/>
            <w:bCs/>
            <w:sz w:val="18"/>
            <w:szCs w:val="18"/>
          </w:rPr>
          <w:t xml:space="preserve">3. DA REFERÊNCIA DE HORÁRIO NO EDITAL: </w:t>
        </w:r>
        <w:r>
          <w:rPr>
            <w:rStyle w:val="863"/>
            <w:rFonts w:ascii="Arial" w:hAnsi="Arial"/>
            <w:b/>
            <w:bCs/>
            <w:sz w:val="18"/>
            <w:szCs w:val="18"/>
          </w:rPr>
        </w:r>
        <w:r>
          <w:rPr>
            <w:sz w:val="18"/>
            <w:szCs w:val="18"/>
          </w:rPr>
          <w:tab/>
        </w:r>
        <w:r>
          <w:rPr>
            <w:sz w:val="18"/>
            <w:szCs w:val="18"/>
          </w:rPr>
          <w:fldChar w:fldCharType="begin"/>
          <w:instrText xml:space="preserve">PAGEREF _Toc3 \h</w:instrText>
          <w:fldChar w:fldCharType="separate"/>
        </w:r>
        <w:r>
          <w:rPr>
            <w:rStyle w:val="863"/>
            <w:sz w:val="18"/>
            <w:szCs w:val="18"/>
          </w:rPr>
          <w:t xml:space="preserve">3</w:t>
        </w:r>
        <w:r>
          <w:rPr>
            <w:sz w:val="18"/>
            <w:szCs w:val="18"/>
          </w:rPr>
          <w:fldChar w:fldCharType="end"/>
        </w:r>
      </w:hyperlink>
      <w:r>
        <w:rPr>
          <w:rFonts w:ascii="Arial" w:hAnsi="Arial"/>
          <w:b/>
          <w:bCs/>
          <w:sz w:val="18"/>
          <w:szCs w:val="18"/>
        </w:rPr>
      </w:r>
      <w:r>
        <w:rPr>
          <w:rFonts w:ascii="Arial" w:hAnsi="Arial"/>
          <w:b/>
          <w:bCs/>
          <w:sz w:val="18"/>
          <w:szCs w:val="18"/>
        </w:rPr>
      </w:r>
    </w:p>
    <w:p w14:paraId="5E1856B1">
      <w:pPr>
        <w:pStyle w:val="2025"/>
        <w:pBdr/>
        <w:tabs>
          <w:tab w:val="right" w:leader="dot" w:pos="9771"/>
        </w:tabs>
        <w:spacing/>
        <w:ind/>
        <w:rPr>
          <w:rFonts w:ascii="Arial" w:hAnsi="Arial"/>
          <w:b/>
          <w:bCs/>
          <w:sz w:val="18"/>
          <w:szCs w:val="18"/>
        </w:rPr>
      </w:pPr>
      <w:r/>
      <w:hyperlink w:tooltip="#_Toc4" w:anchor="_Toc4" w:history="1">
        <w:r>
          <w:rPr>
            <w:rStyle w:val="863"/>
            <w:sz w:val="18"/>
            <w:szCs w:val="18"/>
          </w:rPr>
        </w:r>
        <w:r>
          <w:rPr>
            <w:rStyle w:val="863"/>
            <w:rFonts w:ascii="Arial" w:hAnsi="Arial" w:eastAsia="Arial"/>
            <w:b/>
            <w:bCs/>
            <w:sz w:val="18"/>
            <w:szCs w:val="18"/>
          </w:rPr>
          <w:t xml:space="preserve">4. DAS CONDIÇÕES PARA PARTICIPAÇÃO NO CERTAME:</w:t>
        </w:r>
        <w:r>
          <w:rPr>
            <w:rStyle w:val="863"/>
            <w:rFonts w:ascii="Arial" w:hAnsi="Arial" w:eastAsia="Arial"/>
            <w:b/>
            <w:bCs/>
            <w:sz w:val="18"/>
            <w:szCs w:val="18"/>
          </w:rPr>
          <w:t xml:space="preserve"> </w:t>
        </w:r>
        <w:r>
          <w:rPr>
            <w:rStyle w:val="863"/>
            <w:rFonts w:ascii="Arial" w:hAnsi="Arial"/>
            <w:b/>
            <w:bCs/>
            <w:sz w:val="18"/>
            <w:szCs w:val="18"/>
          </w:rPr>
        </w:r>
        <w:r>
          <w:rPr>
            <w:sz w:val="18"/>
            <w:szCs w:val="18"/>
          </w:rPr>
          <w:tab/>
        </w:r>
        <w:r>
          <w:rPr>
            <w:sz w:val="18"/>
            <w:szCs w:val="18"/>
          </w:rPr>
          <w:fldChar w:fldCharType="begin"/>
          <w:instrText xml:space="preserve">PAGEREF _Toc4 \h</w:instrText>
          <w:fldChar w:fldCharType="separate"/>
        </w:r>
        <w:r>
          <w:rPr>
            <w:rStyle w:val="863"/>
            <w:sz w:val="18"/>
            <w:szCs w:val="18"/>
          </w:rPr>
          <w:t xml:space="preserve">3</w:t>
        </w:r>
        <w:r>
          <w:rPr>
            <w:sz w:val="18"/>
            <w:szCs w:val="18"/>
          </w:rPr>
          <w:fldChar w:fldCharType="end"/>
        </w:r>
      </w:hyperlink>
      <w:r>
        <w:rPr>
          <w:rFonts w:ascii="Arial" w:hAnsi="Arial"/>
          <w:b/>
          <w:bCs/>
          <w:sz w:val="18"/>
          <w:szCs w:val="18"/>
        </w:rPr>
      </w:r>
      <w:r>
        <w:rPr>
          <w:rFonts w:ascii="Arial" w:hAnsi="Arial"/>
          <w:b/>
          <w:bCs/>
          <w:sz w:val="18"/>
          <w:szCs w:val="18"/>
        </w:rPr>
      </w:r>
    </w:p>
    <w:p w14:paraId="44B277F0">
      <w:pPr>
        <w:pStyle w:val="2025"/>
        <w:pBdr/>
        <w:tabs>
          <w:tab w:val="right" w:leader="dot" w:pos="9771"/>
        </w:tabs>
        <w:spacing/>
        <w:ind/>
        <w:rPr>
          <w:rFonts w:ascii="Arial" w:hAnsi="Arial"/>
          <w:b/>
          <w:bCs/>
          <w:sz w:val="18"/>
          <w:szCs w:val="18"/>
        </w:rPr>
      </w:pPr>
      <w:r/>
      <w:hyperlink w:tooltip="#_Toc5" w:anchor="_Toc5" w:history="1">
        <w:r>
          <w:rPr>
            <w:rStyle w:val="863"/>
            <w:sz w:val="18"/>
            <w:szCs w:val="18"/>
          </w:rPr>
        </w:r>
        <w:r>
          <w:rPr>
            <w:rStyle w:val="863"/>
            <w:rFonts w:ascii="Arial" w:hAnsi="Arial" w:eastAsia="Arial"/>
            <w:b/>
            <w:bCs/>
            <w:sz w:val="18"/>
            <w:szCs w:val="18"/>
          </w:rPr>
          <w:t xml:space="preserve">5. DO CREDENCIAMENTO:</w:t>
        </w:r>
        <w:r>
          <w:rPr>
            <w:rStyle w:val="863"/>
            <w:rFonts w:ascii="Arial" w:hAnsi="Arial" w:eastAsia="Arial"/>
            <w:b/>
            <w:bCs/>
            <w:sz w:val="18"/>
            <w:szCs w:val="18"/>
          </w:rPr>
          <w:t xml:space="preserve"> </w:t>
        </w:r>
        <w:r>
          <w:rPr>
            <w:rStyle w:val="863"/>
            <w:rFonts w:ascii="Arial" w:hAnsi="Arial"/>
            <w:b/>
            <w:bCs/>
            <w:sz w:val="18"/>
            <w:szCs w:val="18"/>
          </w:rPr>
        </w:r>
        <w:r>
          <w:rPr>
            <w:sz w:val="18"/>
            <w:szCs w:val="18"/>
          </w:rPr>
          <w:tab/>
        </w:r>
        <w:r>
          <w:rPr>
            <w:sz w:val="18"/>
            <w:szCs w:val="18"/>
          </w:rPr>
          <w:fldChar w:fldCharType="begin"/>
          <w:instrText xml:space="preserve">PAGEREF _Toc5 \h</w:instrText>
          <w:fldChar w:fldCharType="separate"/>
        </w:r>
        <w:r>
          <w:rPr>
            <w:rStyle w:val="863"/>
            <w:sz w:val="18"/>
            <w:szCs w:val="18"/>
          </w:rPr>
          <w:t xml:space="preserve">5</w:t>
        </w:r>
        <w:r>
          <w:rPr>
            <w:sz w:val="18"/>
            <w:szCs w:val="18"/>
          </w:rPr>
          <w:fldChar w:fldCharType="end"/>
        </w:r>
      </w:hyperlink>
      <w:r>
        <w:rPr>
          <w:rFonts w:ascii="Arial" w:hAnsi="Arial"/>
          <w:b/>
          <w:bCs/>
          <w:sz w:val="18"/>
          <w:szCs w:val="18"/>
        </w:rPr>
      </w:r>
      <w:r>
        <w:rPr>
          <w:rFonts w:ascii="Arial" w:hAnsi="Arial"/>
          <w:b/>
          <w:bCs/>
          <w:sz w:val="18"/>
          <w:szCs w:val="18"/>
        </w:rPr>
      </w:r>
    </w:p>
    <w:p w14:paraId="1F3E5E0B">
      <w:pPr>
        <w:pStyle w:val="2025"/>
        <w:pBdr/>
        <w:tabs>
          <w:tab w:val="right" w:leader="dot" w:pos="9771"/>
        </w:tabs>
        <w:spacing/>
        <w:ind/>
        <w:rPr>
          <w:rFonts w:ascii="Arial" w:hAnsi="Arial"/>
          <w:b/>
          <w:bCs/>
          <w:sz w:val="18"/>
          <w:szCs w:val="18"/>
        </w:rPr>
      </w:pPr>
      <w:r/>
      <w:hyperlink w:tooltip="#_Toc6" w:anchor="_Toc6" w:history="1">
        <w:r>
          <w:rPr>
            <w:rStyle w:val="863"/>
            <w:sz w:val="18"/>
            <w:szCs w:val="18"/>
          </w:rPr>
        </w:r>
        <w:r>
          <w:rPr>
            <w:rStyle w:val="863"/>
            <w:rFonts w:ascii="Arial" w:hAnsi="Arial" w:eastAsia="Arial"/>
            <w:b/>
            <w:bCs/>
            <w:sz w:val="18"/>
            <w:szCs w:val="18"/>
          </w:rPr>
          <w:t xml:space="preserve">6. DA PARTICIPAÇÃO NA LICITAÇÃO E CADASTRO DA PROPOSTA NO SISTEMA BLL:</w:t>
        </w:r>
        <w:r>
          <w:rPr>
            <w:rStyle w:val="863"/>
            <w:rFonts w:ascii="Arial" w:hAnsi="Arial"/>
            <w:b/>
            <w:bCs/>
            <w:sz w:val="18"/>
            <w:szCs w:val="18"/>
          </w:rPr>
        </w:r>
        <w:r>
          <w:rPr>
            <w:sz w:val="18"/>
            <w:szCs w:val="18"/>
          </w:rPr>
          <w:tab/>
        </w:r>
        <w:r>
          <w:rPr>
            <w:sz w:val="18"/>
            <w:szCs w:val="18"/>
          </w:rPr>
          <w:fldChar w:fldCharType="begin"/>
          <w:instrText xml:space="preserve">PAGEREF _Toc6 \h</w:instrText>
          <w:fldChar w:fldCharType="separate"/>
        </w:r>
        <w:r>
          <w:rPr>
            <w:rStyle w:val="863"/>
            <w:sz w:val="18"/>
            <w:szCs w:val="18"/>
          </w:rPr>
          <w:t xml:space="preserve">6</w:t>
        </w:r>
        <w:r>
          <w:rPr>
            <w:sz w:val="18"/>
            <w:szCs w:val="18"/>
          </w:rPr>
          <w:fldChar w:fldCharType="end"/>
        </w:r>
      </w:hyperlink>
      <w:r>
        <w:rPr>
          <w:rFonts w:ascii="Arial" w:hAnsi="Arial"/>
          <w:b/>
          <w:bCs/>
          <w:sz w:val="18"/>
          <w:szCs w:val="18"/>
        </w:rPr>
      </w:r>
      <w:r>
        <w:rPr>
          <w:rFonts w:ascii="Arial" w:hAnsi="Arial"/>
          <w:b/>
          <w:bCs/>
          <w:sz w:val="18"/>
          <w:szCs w:val="18"/>
        </w:rPr>
      </w:r>
    </w:p>
    <w:p w14:paraId="7E06794B">
      <w:pPr>
        <w:pStyle w:val="2025"/>
        <w:pBdr/>
        <w:tabs>
          <w:tab w:val="right" w:leader="dot" w:pos="9771"/>
        </w:tabs>
        <w:spacing/>
        <w:ind/>
        <w:rPr>
          <w:rFonts w:ascii="Arial" w:hAnsi="Arial"/>
          <w:b/>
          <w:bCs/>
          <w:sz w:val="18"/>
          <w:szCs w:val="18"/>
        </w:rPr>
      </w:pPr>
      <w:r/>
      <w:hyperlink w:tooltip="#_Toc7" w:anchor="_Toc7" w:history="1">
        <w:r>
          <w:rPr>
            <w:rStyle w:val="863"/>
            <w:sz w:val="18"/>
            <w:szCs w:val="18"/>
          </w:rPr>
        </w:r>
        <w:r>
          <w:rPr>
            <w:rStyle w:val="863"/>
            <w:rFonts w:ascii="Arial" w:hAnsi="Arial" w:eastAsia="Arial"/>
            <w:b/>
            <w:bCs/>
            <w:sz w:val="18"/>
            <w:szCs w:val="18"/>
          </w:rPr>
          <w:t xml:space="preserve">7. DA ANALISE INICIAL NA PROPOSTA DE PREÇOS NO MOMENTO DA SESSÃO:</w:t>
        </w:r>
        <w:r>
          <w:rPr>
            <w:rStyle w:val="863"/>
            <w:rFonts w:ascii="Arial" w:hAnsi="Arial" w:eastAsia="Arial"/>
            <w:b/>
            <w:bCs/>
            <w:sz w:val="18"/>
            <w:szCs w:val="18"/>
          </w:rPr>
          <w:t xml:space="preserve"> </w:t>
        </w:r>
        <w:r>
          <w:rPr>
            <w:rStyle w:val="863"/>
            <w:rFonts w:ascii="Arial" w:hAnsi="Arial"/>
            <w:b/>
            <w:bCs/>
            <w:sz w:val="18"/>
            <w:szCs w:val="18"/>
          </w:rPr>
        </w:r>
        <w:r>
          <w:rPr>
            <w:sz w:val="18"/>
            <w:szCs w:val="18"/>
          </w:rPr>
          <w:tab/>
        </w:r>
        <w:r>
          <w:rPr>
            <w:sz w:val="18"/>
            <w:szCs w:val="18"/>
          </w:rPr>
          <w:fldChar w:fldCharType="begin"/>
          <w:instrText xml:space="preserve">PAGEREF _Toc7 \h</w:instrText>
          <w:fldChar w:fldCharType="separate"/>
        </w:r>
        <w:r>
          <w:rPr>
            <w:rStyle w:val="863"/>
            <w:sz w:val="18"/>
            <w:szCs w:val="18"/>
          </w:rPr>
          <w:t xml:space="preserve">7</w:t>
        </w:r>
        <w:r>
          <w:rPr>
            <w:sz w:val="18"/>
            <w:szCs w:val="18"/>
          </w:rPr>
          <w:fldChar w:fldCharType="end"/>
        </w:r>
      </w:hyperlink>
      <w:r>
        <w:rPr>
          <w:rFonts w:ascii="Arial" w:hAnsi="Arial"/>
          <w:b/>
          <w:bCs/>
          <w:sz w:val="18"/>
          <w:szCs w:val="18"/>
        </w:rPr>
      </w:r>
      <w:r>
        <w:rPr>
          <w:rFonts w:ascii="Arial" w:hAnsi="Arial"/>
          <w:b/>
          <w:bCs/>
          <w:sz w:val="18"/>
          <w:szCs w:val="18"/>
        </w:rPr>
      </w:r>
    </w:p>
    <w:p w14:paraId="4D176758">
      <w:pPr>
        <w:pStyle w:val="2025"/>
        <w:pBdr/>
        <w:tabs>
          <w:tab w:val="right" w:leader="dot" w:pos="9771"/>
        </w:tabs>
        <w:spacing/>
        <w:ind/>
        <w:rPr>
          <w:rFonts w:ascii="Arial" w:hAnsi="Arial"/>
          <w:b/>
          <w:bCs/>
          <w:sz w:val="18"/>
          <w:szCs w:val="18"/>
        </w:rPr>
      </w:pPr>
      <w:r/>
      <w:hyperlink w:tooltip="#_Toc8" w:anchor="_Toc8" w:history="1">
        <w:r>
          <w:rPr>
            <w:rStyle w:val="863"/>
            <w:sz w:val="18"/>
            <w:szCs w:val="18"/>
          </w:rPr>
        </w:r>
        <w:r>
          <w:rPr>
            <w:rStyle w:val="863"/>
            <w:rFonts w:ascii="Arial" w:hAnsi="Arial" w:eastAsia="Arial"/>
            <w:b/>
            <w:bCs/>
            <w:sz w:val="18"/>
            <w:szCs w:val="18"/>
          </w:rPr>
          <w:t xml:space="preserve">8. DA FORMA DE DISPUTA:</w:t>
        </w:r>
        <w:r>
          <w:rPr>
            <w:rStyle w:val="863"/>
            <w:rFonts w:ascii="Arial" w:hAnsi="Arial"/>
            <w:b/>
            <w:bCs/>
            <w:sz w:val="18"/>
            <w:szCs w:val="18"/>
          </w:rPr>
        </w:r>
        <w:r>
          <w:rPr>
            <w:sz w:val="18"/>
            <w:szCs w:val="18"/>
          </w:rPr>
          <w:tab/>
        </w:r>
        <w:r>
          <w:rPr>
            <w:sz w:val="18"/>
            <w:szCs w:val="18"/>
          </w:rPr>
          <w:fldChar w:fldCharType="begin"/>
          <w:instrText xml:space="preserve">PAGEREF _Toc8 \h</w:instrText>
          <w:fldChar w:fldCharType="separate"/>
        </w:r>
        <w:r>
          <w:rPr>
            <w:rStyle w:val="863"/>
            <w:sz w:val="18"/>
            <w:szCs w:val="18"/>
          </w:rPr>
          <w:t xml:space="preserve">8</w:t>
        </w:r>
        <w:r>
          <w:rPr>
            <w:sz w:val="18"/>
            <w:szCs w:val="18"/>
          </w:rPr>
          <w:fldChar w:fldCharType="end"/>
        </w:r>
      </w:hyperlink>
      <w:r>
        <w:rPr>
          <w:rFonts w:ascii="Arial" w:hAnsi="Arial"/>
          <w:b/>
          <w:bCs/>
          <w:sz w:val="18"/>
          <w:szCs w:val="18"/>
        </w:rPr>
      </w:r>
      <w:r>
        <w:rPr>
          <w:rFonts w:ascii="Arial" w:hAnsi="Arial"/>
          <w:b/>
          <w:bCs/>
          <w:sz w:val="18"/>
          <w:szCs w:val="18"/>
        </w:rPr>
      </w:r>
    </w:p>
    <w:p w14:paraId="72520C82">
      <w:pPr>
        <w:pStyle w:val="2025"/>
        <w:pBdr/>
        <w:tabs>
          <w:tab w:val="right" w:leader="dot" w:pos="9771"/>
        </w:tabs>
        <w:spacing/>
        <w:ind/>
        <w:rPr>
          <w:rFonts w:ascii="Arial" w:hAnsi="Arial"/>
          <w:b/>
          <w:bCs/>
          <w:sz w:val="18"/>
          <w:szCs w:val="18"/>
        </w:rPr>
      </w:pPr>
      <w:r/>
      <w:hyperlink w:tooltip="#_Toc9" w:anchor="_Toc9" w:history="1">
        <w:r>
          <w:rPr>
            <w:rStyle w:val="863"/>
            <w:sz w:val="18"/>
            <w:szCs w:val="18"/>
          </w:rPr>
        </w:r>
        <w:r>
          <w:rPr>
            <w:rStyle w:val="863"/>
            <w:rFonts w:ascii="Arial" w:hAnsi="Arial" w:eastAsia="Arial"/>
            <w:b/>
            <w:bCs/>
            <w:sz w:val="18"/>
            <w:szCs w:val="18"/>
          </w:rPr>
          <w:t xml:space="preserve">9. DA FASE DE LANCES: </w:t>
        </w:r>
        <w:r>
          <w:rPr>
            <w:rStyle w:val="863"/>
            <w:rFonts w:ascii="Arial" w:hAnsi="Arial"/>
            <w:b/>
            <w:bCs/>
            <w:sz w:val="18"/>
            <w:szCs w:val="18"/>
          </w:rPr>
        </w:r>
        <w:r>
          <w:rPr>
            <w:sz w:val="18"/>
            <w:szCs w:val="18"/>
          </w:rPr>
          <w:tab/>
        </w:r>
        <w:r>
          <w:rPr>
            <w:sz w:val="18"/>
            <w:szCs w:val="18"/>
          </w:rPr>
          <w:fldChar w:fldCharType="begin"/>
          <w:instrText xml:space="preserve">PAGEREF _Toc9 \h</w:instrText>
          <w:fldChar w:fldCharType="separate"/>
        </w:r>
        <w:r>
          <w:rPr>
            <w:rStyle w:val="863"/>
            <w:sz w:val="18"/>
            <w:szCs w:val="18"/>
          </w:rPr>
          <w:t xml:space="preserve">8</w:t>
        </w:r>
        <w:r>
          <w:rPr>
            <w:sz w:val="18"/>
            <w:szCs w:val="18"/>
          </w:rPr>
          <w:fldChar w:fldCharType="end"/>
        </w:r>
      </w:hyperlink>
      <w:r>
        <w:rPr>
          <w:rFonts w:ascii="Arial" w:hAnsi="Arial"/>
          <w:b/>
          <w:bCs/>
          <w:sz w:val="18"/>
          <w:szCs w:val="18"/>
        </w:rPr>
      </w:r>
      <w:r>
        <w:rPr>
          <w:rFonts w:ascii="Arial" w:hAnsi="Arial"/>
          <w:b/>
          <w:bCs/>
          <w:sz w:val="18"/>
          <w:szCs w:val="18"/>
        </w:rPr>
      </w:r>
    </w:p>
    <w:p w14:paraId="132D9F58">
      <w:pPr>
        <w:pStyle w:val="2025"/>
        <w:pBdr/>
        <w:tabs>
          <w:tab w:val="right" w:leader="dot" w:pos="9771"/>
        </w:tabs>
        <w:spacing/>
        <w:ind/>
        <w:rPr>
          <w:rFonts w:ascii="Arial" w:hAnsi="Arial"/>
          <w:b/>
          <w:bCs/>
          <w:sz w:val="18"/>
          <w:szCs w:val="18"/>
        </w:rPr>
      </w:pPr>
      <w:r/>
      <w:hyperlink w:tooltip="#_Toc10" w:anchor="_Toc10" w:history="1">
        <w:r>
          <w:rPr>
            <w:rStyle w:val="863"/>
            <w:sz w:val="18"/>
            <w:szCs w:val="18"/>
          </w:rPr>
        </w:r>
        <w:r>
          <w:rPr>
            <w:rStyle w:val="863"/>
            <w:rFonts w:ascii="Arial" w:hAnsi="Arial" w:eastAsia="Arial"/>
            <w:b/>
            <w:bCs/>
            <w:sz w:val="18"/>
            <w:szCs w:val="18"/>
          </w:rPr>
          <w:t xml:space="preserve">10. DO JULGAMENTO DA(S) PROPOSTA(S) DE PREÇOS APÓS A CLASSIFICAÇÃO FINAL: </w:t>
        </w:r>
        <w:r>
          <w:rPr>
            <w:rStyle w:val="863"/>
            <w:rFonts w:ascii="Arial" w:hAnsi="Arial"/>
            <w:b/>
            <w:bCs/>
            <w:sz w:val="18"/>
            <w:szCs w:val="18"/>
          </w:rPr>
        </w:r>
        <w:r>
          <w:rPr>
            <w:sz w:val="18"/>
            <w:szCs w:val="18"/>
          </w:rPr>
          <w:tab/>
        </w:r>
        <w:r>
          <w:rPr>
            <w:sz w:val="18"/>
            <w:szCs w:val="18"/>
          </w:rPr>
          <w:fldChar w:fldCharType="begin"/>
          <w:instrText xml:space="preserve">PAGEREF _Toc10 \h</w:instrText>
          <w:fldChar w:fldCharType="separate"/>
        </w:r>
        <w:r>
          <w:rPr>
            <w:rStyle w:val="863"/>
            <w:sz w:val="18"/>
            <w:szCs w:val="18"/>
          </w:rPr>
          <w:t xml:space="preserve">9</w:t>
        </w:r>
        <w:r>
          <w:rPr>
            <w:sz w:val="18"/>
            <w:szCs w:val="18"/>
          </w:rPr>
          <w:fldChar w:fldCharType="end"/>
        </w:r>
      </w:hyperlink>
      <w:r>
        <w:rPr>
          <w:rFonts w:ascii="Arial" w:hAnsi="Arial"/>
          <w:b/>
          <w:bCs/>
          <w:sz w:val="18"/>
          <w:szCs w:val="18"/>
        </w:rPr>
      </w:r>
      <w:r>
        <w:rPr>
          <w:rFonts w:ascii="Arial" w:hAnsi="Arial"/>
          <w:b/>
          <w:bCs/>
          <w:sz w:val="18"/>
          <w:szCs w:val="18"/>
        </w:rPr>
      </w:r>
    </w:p>
    <w:p w14:paraId="06E220CF">
      <w:pPr>
        <w:pStyle w:val="2025"/>
        <w:pBdr/>
        <w:tabs>
          <w:tab w:val="right" w:leader="dot" w:pos="9771"/>
        </w:tabs>
        <w:spacing/>
        <w:ind/>
        <w:rPr>
          <w:rFonts w:ascii="Arial" w:hAnsi="Arial"/>
          <w:b/>
          <w:bCs/>
          <w:sz w:val="18"/>
          <w:szCs w:val="18"/>
        </w:rPr>
      </w:pPr>
      <w:r/>
      <w:hyperlink w:tooltip="#_Toc11" w:anchor="_Toc11" w:history="1">
        <w:r>
          <w:rPr>
            <w:rStyle w:val="863"/>
            <w:sz w:val="18"/>
            <w:szCs w:val="18"/>
          </w:rPr>
        </w:r>
        <w:r>
          <w:rPr>
            <w:rStyle w:val="863"/>
            <w:rFonts w:ascii="Arial" w:hAnsi="Arial" w:eastAsia="Arial"/>
            <w:b/>
            <w:bCs/>
            <w:sz w:val="18"/>
            <w:szCs w:val="18"/>
          </w:rPr>
          <w:t xml:space="preserve">11. DO ENVIO DAS PROPOSTAS REALINHADAS APÓS CONHECIDA A EMPRESA VENCEDORA:</w:t>
        </w:r>
        <w:r>
          <w:rPr>
            <w:rStyle w:val="863"/>
            <w:rFonts w:ascii="Arial" w:hAnsi="Arial"/>
            <w:b/>
            <w:bCs/>
            <w:sz w:val="18"/>
            <w:szCs w:val="18"/>
          </w:rPr>
        </w:r>
        <w:r>
          <w:rPr>
            <w:sz w:val="18"/>
            <w:szCs w:val="18"/>
          </w:rPr>
          <w:tab/>
        </w:r>
        <w:r>
          <w:rPr>
            <w:sz w:val="18"/>
            <w:szCs w:val="18"/>
          </w:rPr>
          <w:fldChar w:fldCharType="begin"/>
          <w:instrText xml:space="preserve">PAGEREF _Toc11 \h</w:instrText>
          <w:fldChar w:fldCharType="separate"/>
        </w:r>
        <w:r>
          <w:rPr>
            <w:rStyle w:val="863"/>
            <w:sz w:val="18"/>
            <w:szCs w:val="18"/>
          </w:rPr>
          <w:t xml:space="preserve">10</w:t>
        </w:r>
        <w:r>
          <w:rPr>
            <w:sz w:val="18"/>
            <w:szCs w:val="18"/>
          </w:rPr>
          <w:fldChar w:fldCharType="end"/>
        </w:r>
      </w:hyperlink>
      <w:r>
        <w:rPr>
          <w:rFonts w:ascii="Arial" w:hAnsi="Arial"/>
          <w:b/>
          <w:bCs/>
          <w:sz w:val="18"/>
          <w:szCs w:val="18"/>
        </w:rPr>
      </w:r>
      <w:r>
        <w:rPr>
          <w:rFonts w:ascii="Arial" w:hAnsi="Arial"/>
          <w:b/>
          <w:bCs/>
          <w:sz w:val="18"/>
          <w:szCs w:val="18"/>
        </w:rPr>
      </w:r>
    </w:p>
    <w:p w14:paraId="00E113E4">
      <w:pPr>
        <w:pStyle w:val="2025"/>
        <w:pBdr/>
        <w:tabs>
          <w:tab w:val="right" w:leader="dot" w:pos="9771"/>
        </w:tabs>
        <w:spacing/>
        <w:ind/>
        <w:rPr>
          <w:rFonts w:ascii="Arial" w:hAnsi="Arial"/>
          <w:b/>
          <w:bCs/>
          <w:sz w:val="18"/>
          <w:szCs w:val="18"/>
        </w:rPr>
      </w:pPr>
      <w:r/>
      <w:hyperlink w:tooltip="#_Toc12" w:anchor="_Toc12" w:history="1">
        <w:r>
          <w:rPr>
            <w:rStyle w:val="863"/>
            <w:sz w:val="18"/>
            <w:szCs w:val="18"/>
          </w:rPr>
        </w:r>
        <w:r>
          <w:rPr>
            <w:rStyle w:val="863"/>
            <w:rFonts w:ascii="Arial" w:hAnsi="Arial" w:eastAsia="Arial"/>
            <w:b/>
            <w:bCs/>
            <w:sz w:val="18"/>
            <w:szCs w:val="18"/>
          </w:rPr>
          <w:t xml:space="preserve">12. DA PARTICIPAÇÃO DE MICROEMPRESA E EMPRESA DE PEQUENO PORTE:</w:t>
        </w:r>
        <w:r>
          <w:rPr>
            <w:rStyle w:val="863"/>
            <w:rFonts w:ascii="Arial" w:hAnsi="Arial"/>
            <w:b/>
            <w:bCs/>
            <w:sz w:val="18"/>
            <w:szCs w:val="18"/>
          </w:rPr>
        </w:r>
        <w:r>
          <w:rPr>
            <w:sz w:val="18"/>
            <w:szCs w:val="18"/>
          </w:rPr>
          <w:tab/>
        </w:r>
        <w:r>
          <w:rPr>
            <w:sz w:val="18"/>
            <w:szCs w:val="18"/>
          </w:rPr>
          <w:fldChar w:fldCharType="begin"/>
          <w:instrText xml:space="preserve">PAGEREF _Toc12 \h</w:instrText>
          <w:fldChar w:fldCharType="separate"/>
        </w:r>
        <w:r>
          <w:rPr>
            <w:rStyle w:val="863"/>
            <w:sz w:val="18"/>
            <w:szCs w:val="18"/>
          </w:rPr>
          <w:t xml:space="preserve">10</w:t>
        </w:r>
        <w:r>
          <w:rPr>
            <w:sz w:val="18"/>
            <w:szCs w:val="18"/>
          </w:rPr>
          <w:fldChar w:fldCharType="end"/>
        </w:r>
      </w:hyperlink>
      <w:r>
        <w:rPr>
          <w:rFonts w:ascii="Arial" w:hAnsi="Arial"/>
          <w:b/>
          <w:bCs/>
          <w:sz w:val="18"/>
          <w:szCs w:val="18"/>
        </w:rPr>
      </w:r>
      <w:r>
        <w:rPr>
          <w:rFonts w:ascii="Arial" w:hAnsi="Arial"/>
          <w:b/>
          <w:bCs/>
          <w:sz w:val="18"/>
          <w:szCs w:val="18"/>
        </w:rPr>
      </w:r>
    </w:p>
    <w:p w14:paraId="1E00914E">
      <w:pPr>
        <w:pStyle w:val="2025"/>
        <w:pBdr/>
        <w:tabs>
          <w:tab w:val="right" w:leader="dot" w:pos="9771"/>
        </w:tabs>
        <w:spacing/>
        <w:ind/>
        <w:rPr>
          <w:rFonts w:ascii="Arial" w:hAnsi="Arial"/>
          <w:b/>
          <w:bCs/>
          <w:sz w:val="18"/>
          <w:szCs w:val="18"/>
        </w:rPr>
      </w:pPr>
      <w:r/>
      <w:hyperlink w:tooltip="#_Toc13" w:anchor="_Toc13" w:history="1">
        <w:r>
          <w:rPr>
            <w:rStyle w:val="863"/>
            <w:sz w:val="18"/>
            <w:szCs w:val="18"/>
          </w:rPr>
        </w:r>
        <w:r>
          <w:rPr>
            <w:rStyle w:val="863"/>
            <w:rFonts w:ascii="Arial" w:hAnsi="Arial" w:eastAsia="Arial"/>
            <w:b/>
            <w:bCs/>
            <w:sz w:val="18"/>
            <w:szCs w:val="18"/>
          </w:rPr>
          <w:t xml:space="preserve">13. DOS DOCUMENTOS EXIGIDOS PARA HABILITAÇÃO:</w:t>
        </w:r>
        <w:r>
          <w:rPr>
            <w:rStyle w:val="863"/>
            <w:rFonts w:ascii="Arial" w:hAnsi="Arial" w:eastAsia="Arial"/>
            <w:b/>
            <w:bCs/>
            <w:sz w:val="18"/>
            <w:szCs w:val="18"/>
          </w:rPr>
          <w:t xml:space="preserve">  </w:t>
        </w:r>
        <w:r>
          <w:rPr>
            <w:rStyle w:val="863"/>
            <w:rFonts w:ascii="Arial" w:hAnsi="Arial"/>
            <w:b/>
            <w:bCs/>
            <w:sz w:val="18"/>
            <w:szCs w:val="18"/>
          </w:rPr>
        </w:r>
        <w:r>
          <w:rPr>
            <w:sz w:val="18"/>
            <w:szCs w:val="18"/>
          </w:rPr>
          <w:tab/>
        </w:r>
        <w:r>
          <w:rPr>
            <w:sz w:val="18"/>
            <w:szCs w:val="18"/>
          </w:rPr>
          <w:fldChar w:fldCharType="begin"/>
          <w:instrText xml:space="preserve">PAGEREF _Toc13 \h</w:instrText>
          <w:fldChar w:fldCharType="separate"/>
        </w:r>
        <w:r>
          <w:rPr>
            <w:rStyle w:val="863"/>
            <w:sz w:val="18"/>
            <w:szCs w:val="18"/>
          </w:rPr>
          <w:t xml:space="preserve">11</w:t>
        </w:r>
        <w:r>
          <w:rPr>
            <w:sz w:val="18"/>
            <w:szCs w:val="18"/>
          </w:rPr>
          <w:fldChar w:fldCharType="end"/>
        </w:r>
      </w:hyperlink>
      <w:r>
        <w:rPr>
          <w:rFonts w:ascii="Arial" w:hAnsi="Arial"/>
          <w:b/>
          <w:bCs/>
          <w:sz w:val="18"/>
          <w:szCs w:val="18"/>
        </w:rPr>
      </w:r>
      <w:r>
        <w:rPr>
          <w:rFonts w:ascii="Arial" w:hAnsi="Arial"/>
          <w:b/>
          <w:bCs/>
          <w:sz w:val="18"/>
          <w:szCs w:val="18"/>
        </w:rPr>
      </w:r>
    </w:p>
    <w:p w14:paraId="509A5D9C">
      <w:pPr>
        <w:pStyle w:val="2025"/>
        <w:pBdr/>
        <w:tabs>
          <w:tab w:val="right" w:leader="dot" w:pos="9771"/>
        </w:tabs>
        <w:spacing/>
        <w:ind/>
        <w:rPr>
          <w:rFonts w:ascii="Arial" w:hAnsi="Arial"/>
          <w:b/>
          <w:bCs/>
          <w:sz w:val="18"/>
          <w:szCs w:val="18"/>
        </w:rPr>
      </w:pPr>
      <w:r/>
      <w:hyperlink w:tooltip="#_Toc14" w:anchor="_Toc14" w:history="1">
        <w:r>
          <w:rPr>
            <w:rStyle w:val="863"/>
            <w:sz w:val="18"/>
            <w:szCs w:val="18"/>
          </w:rPr>
        </w:r>
        <w:r>
          <w:rPr>
            <w:rStyle w:val="863"/>
            <w:rFonts w:ascii="Arial" w:hAnsi="Arial" w:eastAsia="Arial"/>
            <w:b/>
            <w:bCs/>
            <w:sz w:val="18"/>
            <w:szCs w:val="18"/>
          </w:rPr>
          <w:t xml:space="preserve">14. DO ENVIO DE DOCUMENTOS COMPLEMENTARES QUANDO FOR O CASO:</w:t>
        </w:r>
        <w:r>
          <w:rPr>
            <w:rStyle w:val="863"/>
            <w:rFonts w:ascii="Arial" w:hAnsi="Arial"/>
            <w:b/>
            <w:bCs/>
            <w:sz w:val="18"/>
            <w:szCs w:val="18"/>
          </w:rPr>
        </w:r>
        <w:r>
          <w:rPr>
            <w:sz w:val="18"/>
            <w:szCs w:val="18"/>
          </w:rPr>
          <w:tab/>
        </w:r>
        <w:r>
          <w:rPr>
            <w:sz w:val="18"/>
            <w:szCs w:val="18"/>
          </w:rPr>
          <w:fldChar w:fldCharType="begin"/>
          <w:instrText xml:space="preserve">PAGEREF _Toc14 \h</w:instrText>
          <w:fldChar w:fldCharType="separate"/>
        </w:r>
        <w:r>
          <w:rPr>
            <w:rStyle w:val="863"/>
            <w:sz w:val="18"/>
            <w:szCs w:val="18"/>
          </w:rPr>
          <w:t xml:space="preserve">15</w:t>
        </w:r>
        <w:r>
          <w:rPr>
            <w:sz w:val="18"/>
            <w:szCs w:val="18"/>
          </w:rPr>
          <w:fldChar w:fldCharType="end"/>
        </w:r>
      </w:hyperlink>
      <w:r>
        <w:rPr>
          <w:rFonts w:ascii="Arial" w:hAnsi="Arial"/>
          <w:b/>
          <w:bCs/>
          <w:sz w:val="18"/>
          <w:szCs w:val="18"/>
        </w:rPr>
      </w:r>
      <w:r>
        <w:rPr>
          <w:rFonts w:ascii="Arial" w:hAnsi="Arial"/>
          <w:b/>
          <w:bCs/>
          <w:sz w:val="18"/>
          <w:szCs w:val="18"/>
        </w:rPr>
      </w:r>
    </w:p>
    <w:p w14:paraId="059AE996">
      <w:pPr>
        <w:pStyle w:val="2025"/>
        <w:pBdr/>
        <w:tabs>
          <w:tab w:val="right" w:leader="dot" w:pos="9771"/>
        </w:tabs>
        <w:spacing/>
        <w:ind/>
        <w:rPr>
          <w:rFonts w:ascii="Arial" w:hAnsi="Arial"/>
          <w:b/>
          <w:bCs/>
          <w:sz w:val="18"/>
          <w:szCs w:val="18"/>
        </w:rPr>
      </w:pPr>
      <w:r/>
      <w:hyperlink w:tooltip="#_Toc15" w:anchor="_Toc15" w:history="1">
        <w:r>
          <w:rPr>
            <w:rStyle w:val="863"/>
            <w:sz w:val="18"/>
            <w:szCs w:val="18"/>
          </w:rPr>
        </w:r>
        <w:r>
          <w:rPr>
            <w:rStyle w:val="863"/>
            <w:rFonts w:ascii="Arial" w:hAnsi="Arial" w:eastAsia="Arial"/>
            <w:b/>
            <w:bCs/>
            <w:sz w:val="18"/>
            <w:szCs w:val="18"/>
          </w:rPr>
          <w:t xml:space="preserve">15. DA ADJUDICAÇÃO </w:t>
        </w:r>
        <w:r>
          <w:rPr>
            <w:rStyle w:val="863"/>
            <w:rFonts w:ascii="Arial" w:hAnsi="Arial" w:eastAsia="Arial"/>
            <w:b/>
            <w:bCs/>
            <w:sz w:val="18"/>
            <w:szCs w:val="18"/>
          </w:rPr>
          <w:t xml:space="preserve">E HOMOLOGAÇÃO:</w:t>
        </w:r>
        <w:r>
          <w:rPr>
            <w:rStyle w:val="863"/>
            <w:rFonts w:ascii="Arial" w:hAnsi="Arial"/>
            <w:b/>
            <w:bCs/>
            <w:sz w:val="18"/>
            <w:szCs w:val="18"/>
          </w:rPr>
        </w:r>
        <w:r>
          <w:rPr>
            <w:sz w:val="18"/>
            <w:szCs w:val="18"/>
          </w:rPr>
          <w:tab/>
        </w:r>
        <w:r>
          <w:rPr>
            <w:sz w:val="18"/>
            <w:szCs w:val="18"/>
          </w:rPr>
          <w:fldChar w:fldCharType="begin"/>
          <w:instrText xml:space="preserve">PAGEREF _Toc15 \h</w:instrText>
          <w:fldChar w:fldCharType="separate"/>
        </w:r>
        <w:r>
          <w:rPr>
            <w:rStyle w:val="863"/>
            <w:sz w:val="18"/>
            <w:szCs w:val="18"/>
          </w:rPr>
          <w:t xml:space="preserve">15</w:t>
        </w:r>
        <w:r>
          <w:rPr>
            <w:sz w:val="18"/>
            <w:szCs w:val="18"/>
          </w:rPr>
          <w:fldChar w:fldCharType="end"/>
        </w:r>
      </w:hyperlink>
      <w:r>
        <w:rPr>
          <w:rFonts w:ascii="Arial" w:hAnsi="Arial"/>
          <w:b/>
          <w:bCs/>
          <w:sz w:val="18"/>
          <w:szCs w:val="18"/>
        </w:rPr>
      </w:r>
      <w:r>
        <w:rPr>
          <w:rFonts w:ascii="Arial" w:hAnsi="Arial"/>
          <w:b/>
          <w:bCs/>
          <w:sz w:val="18"/>
          <w:szCs w:val="18"/>
        </w:rPr>
      </w:r>
    </w:p>
    <w:p w14:paraId="4817333A">
      <w:pPr>
        <w:pStyle w:val="2025"/>
        <w:pBdr/>
        <w:tabs>
          <w:tab w:val="right" w:leader="dot" w:pos="9771"/>
        </w:tabs>
        <w:spacing/>
        <w:ind/>
        <w:rPr>
          <w:rFonts w:ascii="Arial" w:hAnsi="Arial"/>
          <w:b/>
          <w:bCs/>
          <w:sz w:val="18"/>
          <w:szCs w:val="18"/>
        </w:rPr>
      </w:pPr>
      <w:r/>
      <w:hyperlink w:tooltip="#_Toc16" w:anchor="_Toc16" w:history="1">
        <w:r>
          <w:rPr>
            <w:rStyle w:val="863"/>
            <w:sz w:val="18"/>
            <w:szCs w:val="18"/>
          </w:rPr>
        </w:r>
        <w:r>
          <w:rPr>
            <w:rStyle w:val="863"/>
            <w:rFonts w:ascii="Arial" w:hAnsi="Arial" w:eastAsia="Arial"/>
            <w:b/>
            <w:bCs/>
            <w:sz w:val="18"/>
            <w:szCs w:val="18"/>
          </w:rPr>
          <w:t xml:space="preserve">16. DA ATA DE REGISTRO</w:t>
        </w:r>
        <w:r>
          <w:rPr>
            <w:rStyle w:val="863"/>
            <w:rFonts w:ascii="Arial" w:hAnsi="Arial" w:eastAsia="Arial"/>
            <w:b/>
            <w:bCs/>
            <w:sz w:val="18"/>
            <w:szCs w:val="18"/>
          </w:rPr>
          <w:t xml:space="preserve"> DE PREÇOS:</w:t>
        </w:r>
        <w:r>
          <w:rPr>
            <w:rStyle w:val="863"/>
            <w:rFonts w:ascii="Arial" w:hAnsi="Arial" w:eastAsia="Arial"/>
            <w:b/>
            <w:bCs/>
            <w:sz w:val="18"/>
            <w:szCs w:val="18"/>
          </w:rPr>
          <w:t xml:space="preserve"> </w:t>
        </w:r>
        <w:r>
          <w:rPr>
            <w:rStyle w:val="863"/>
            <w:rFonts w:ascii="Arial" w:hAnsi="Arial"/>
            <w:b/>
            <w:bCs/>
            <w:sz w:val="18"/>
            <w:szCs w:val="18"/>
          </w:rPr>
        </w:r>
        <w:r>
          <w:rPr>
            <w:sz w:val="18"/>
            <w:szCs w:val="18"/>
          </w:rPr>
          <w:tab/>
        </w:r>
        <w:r>
          <w:rPr>
            <w:sz w:val="18"/>
            <w:szCs w:val="18"/>
          </w:rPr>
          <w:fldChar w:fldCharType="begin"/>
          <w:instrText xml:space="preserve">PAGEREF _Toc16 \h</w:instrText>
          <w:fldChar w:fldCharType="separate"/>
        </w:r>
        <w:r>
          <w:rPr>
            <w:rStyle w:val="863"/>
            <w:sz w:val="18"/>
            <w:szCs w:val="18"/>
          </w:rPr>
          <w:t xml:space="preserve">15</w:t>
        </w:r>
        <w:r>
          <w:rPr>
            <w:sz w:val="18"/>
            <w:szCs w:val="18"/>
          </w:rPr>
          <w:fldChar w:fldCharType="end"/>
        </w:r>
      </w:hyperlink>
      <w:r>
        <w:rPr>
          <w:rFonts w:ascii="Arial" w:hAnsi="Arial"/>
          <w:b/>
          <w:bCs/>
          <w:sz w:val="18"/>
          <w:szCs w:val="18"/>
        </w:rPr>
      </w:r>
      <w:r>
        <w:rPr>
          <w:rFonts w:ascii="Arial" w:hAnsi="Arial"/>
          <w:b/>
          <w:bCs/>
          <w:sz w:val="18"/>
          <w:szCs w:val="18"/>
        </w:rPr>
      </w:r>
    </w:p>
    <w:p w14:paraId="1ED2ABA6">
      <w:pPr>
        <w:pStyle w:val="2025"/>
        <w:pBdr/>
        <w:tabs>
          <w:tab w:val="right" w:leader="dot" w:pos="9771"/>
        </w:tabs>
        <w:spacing/>
        <w:ind/>
        <w:rPr>
          <w:rFonts w:ascii="Arial" w:hAnsi="Arial"/>
          <w:b/>
          <w:bCs/>
          <w:sz w:val="18"/>
          <w:szCs w:val="18"/>
        </w:rPr>
      </w:pPr>
      <w:r/>
      <w:hyperlink w:tooltip="#_Toc17" w:anchor="_Toc17" w:history="1">
        <w:r>
          <w:rPr>
            <w:rStyle w:val="863"/>
            <w:sz w:val="18"/>
            <w:szCs w:val="18"/>
          </w:rPr>
        </w:r>
        <w:r>
          <w:rPr>
            <w:rStyle w:val="863"/>
            <w:rFonts w:ascii="Arial" w:hAnsi="Arial" w:eastAsia="Arial"/>
            <w:b/>
            <w:bCs/>
            <w:sz w:val="18"/>
            <w:szCs w:val="18"/>
          </w:rPr>
          <w:t xml:space="preserve">17. DOS RECURSOS SOBRE PROPOSTA, HABILITAÇÃO OU INABILITAÇÃO DE LICITANTES:</w:t>
        </w:r>
        <w:r>
          <w:rPr>
            <w:rStyle w:val="863"/>
            <w:rFonts w:ascii="Arial" w:hAnsi="Arial"/>
            <w:b/>
            <w:bCs/>
            <w:sz w:val="18"/>
            <w:szCs w:val="18"/>
          </w:rPr>
        </w:r>
        <w:r>
          <w:rPr>
            <w:sz w:val="18"/>
            <w:szCs w:val="18"/>
          </w:rPr>
          <w:tab/>
        </w:r>
        <w:r>
          <w:rPr>
            <w:sz w:val="18"/>
            <w:szCs w:val="18"/>
          </w:rPr>
          <w:fldChar w:fldCharType="begin"/>
          <w:instrText xml:space="preserve">PAGEREF _Toc17 \h</w:instrText>
          <w:fldChar w:fldCharType="separate"/>
        </w:r>
        <w:r>
          <w:rPr>
            <w:rStyle w:val="863"/>
            <w:sz w:val="18"/>
            <w:szCs w:val="18"/>
          </w:rPr>
          <w:t xml:space="preserve">17</w:t>
        </w:r>
        <w:r>
          <w:rPr>
            <w:sz w:val="18"/>
            <w:szCs w:val="18"/>
          </w:rPr>
          <w:fldChar w:fldCharType="end"/>
        </w:r>
      </w:hyperlink>
      <w:r>
        <w:rPr>
          <w:rFonts w:ascii="Arial" w:hAnsi="Arial"/>
          <w:b/>
          <w:bCs/>
          <w:sz w:val="18"/>
          <w:szCs w:val="18"/>
        </w:rPr>
      </w:r>
      <w:r>
        <w:rPr>
          <w:rFonts w:ascii="Arial" w:hAnsi="Arial"/>
          <w:b/>
          <w:bCs/>
          <w:sz w:val="18"/>
          <w:szCs w:val="18"/>
        </w:rPr>
      </w:r>
    </w:p>
    <w:p w14:paraId="0C1BEAB5">
      <w:pPr>
        <w:pStyle w:val="2025"/>
        <w:pBdr/>
        <w:tabs>
          <w:tab w:val="right" w:leader="dot" w:pos="9771"/>
        </w:tabs>
        <w:spacing/>
        <w:ind/>
        <w:rPr>
          <w:rFonts w:ascii="Arial" w:hAnsi="Arial"/>
          <w:b/>
          <w:bCs/>
          <w:sz w:val="18"/>
          <w:szCs w:val="18"/>
        </w:rPr>
      </w:pPr>
      <w:r/>
      <w:hyperlink w:tooltip="#_Toc18" w:anchor="_Toc18" w:history="1">
        <w:r>
          <w:rPr>
            <w:rStyle w:val="863"/>
            <w:sz w:val="18"/>
            <w:szCs w:val="18"/>
          </w:rPr>
        </w:r>
        <w:r>
          <w:rPr>
            <w:rStyle w:val="863"/>
            <w:rFonts w:ascii="Arial" w:hAnsi="Arial" w:eastAsia="Arial"/>
            <w:b/>
            <w:bCs/>
            <w:sz w:val="18"/>
            <w:szCs w:val="18"/>
          </w:rPr>
          <w:t xml:space="preserve">18. </w:t>
        </w:r>
        <w:r>
          <w:rPr>
            <w:rStyle w:val="863"/>
            <w:rFonts w:ascii="Arial" w:hAnsi="Arial"/>
            <w:b/>
            <w:sz w:val="18"/>
            <w:szCs w:val="18"/>
          </w:rPr>
          <w:t xml:space="preserve">DO TERMO DE CONTRATO OU INSTRUMENTO EQUIVALENTE</w:t>
        </w:r>
        <w:r>
          <w:rPr>
            <w:rStyle w:val="863"/>
            <w:rFonts w:ascii="Arial" w:hAnsi="Arial" w:eastAsia="Arial"/>
            <w:b/>
            <w:bCs/>
            <w:sz w:val="18"/>
            <w:szCs w:val="18"/>
          </w:rPr>
          <w:t xml:space="preserve">:</w:t>
        </w:r>
        <w:r>
          <w:rPr>
            <w:rStyle w:val="863"/>
            <w:rFonts w:ascii="Arial" w:hAnsi="Arial"/>
            <w:b/>
            <w:bCs/>
            <w:sz w:val="18"/>
            <w:szCs w:val="18"/>
          </w:rPr>
        </w:r>
        <w:r>
          <w:rPr>
            <w:sz w:val="18"/>
            <w:szCs w:val="18"/>
          </w:rPr>
          <w:tab/>
        </w:r>
        <w:r>
          <w:rPr>
            <w:sz w:val="18"/>
            <w:szCs w:val="18"/>
          </w:rPr>
          <w:fldChar w:fldCharType="begin"/>
          <w:instrText xml:space="preserve">PAGEREF _Toc18 \h</w:instrText>
          <w:fldChar w:fldCharType="separate"/>
        </w:r>
        <w:r>
          <w:rPr>
            <w:rStyle w:val="863"/>
            <w:sz w:val="18"/>
            <w:szCs w:val="18"/>
          </w:rPr>
          <w:t xml:space="preserve">18</w:t>
        </w:r>
        <w:r>
          <w:rPr>
            <w:sz w:val="18"/>
            <w:szCs w:val="18"/>
          </w:rPr>
          <w:fldChar w:fldCharType="end"/>
        </w:r>
      </w:hyperlink>
      <w:r>
        <w:rPr>
          <w:rFonts w:ascii="Arial" w:hAnsi="Arial"/>
          <w:b/>
          <w:bCs/>
          <w:sz w:val="18"/>
          <w:szCs w:val="18"/>
        </w:rPr>
      </w:r>
      <w:r>
        <w:rPr>
          <w:rFonts w:ascii="Arial" w:hAnsi="Arial"/>
          <w:b/>
          <w:bCs/>
          <w:sz w:val="18"/>
          <w:szCs w:val="18"/>
        </w:rPr>
      </w:r>
    </w:p>
    <w:p w14:paraId="5ECE2E98">
      <w:pPr>
        <w:pStyle w:val="2025"/>
        <w:pBdr/>
        <w:tabs>
          <w:tab w:val="right" w:leader="dot" w:pos="9771"/>
        </w:tabs>
        <w:spacing/>
        <w:ind/>
        <w:rPr>
          <w:rFonts w:ascii="Arial" w:hAnsi="Arial"/>
          <w:b/>
          <w:bCs/>
          <w:sz w:val="18"/>
          <w:szCs w:val="18"/>
        </w:rPr>
      </w:pPr>
      <w:r/>
      <w:hyperlink w:tooltip="#_Toc19" w:anchor="_Toc19" w:history="1">
        <w:r>
          <w:rPr>
            <w:rStyle w:val="863"/>
            <w:sz w:val="18"/>
            <w:szCs w:val="18"/>
          </w:rPr>
        </w:r>
        <w:r>
          <w:rPr>
            <w:rStyle w:val="863"/>
            <w:rFonts w:ascii="Arial" w:hAnsi="Arial" w:eastAsia="Arial"/>
            <w:b/>
            <w:bCs/>
            <w:sz w:val="18"/>
            <w:szCs w:val="18"/>
          </w:rPr>
          <w:t xml:space="preserve">19. A FORMA DE ENTREGA DO PRODUTO:</w:t>
        </w:r>
        <w:r>
          <w:rPr>
            <w:rStyle w:val="863"/>
            <w:rFonts w:ascii="Arial" w:hAnsi="Arial"/>
            <w:b/>
            <w:bCs/>
            <w:sz w:val="18"/>
            <w:szCs w:val="18"/>
          </w:rPr>
        </w:r>
        <w:r>
          <w:rPr>
            <w:sz w:val="18"/>
            <w:szCs w:val="18"/>
          </w:rPr>
          <w:tab/>
        </w:r>
        <w:r>
          <w:rPr>
            <w:sz w:val="18"/>
            <w:szCs w:val="18"/>
          </w:rPr>
          <w:fldChar w:fldCharType="begin"/>
          <w:instrText xml:space="preserve">PAGEREF _Toc19 \h</w:instrText>
          <w:fldChar w:fldCharType="separate"/>
        </w:r>
        <w:r>
          <w:rPr>
            <w:rStyle w:val="863"/>
            <w:sz w:val="18"/>
            <w:szCs w:val="18"/>
          </w:rPr>
          <w:t xml:space="preserve">18</w:t>
        </w:r>
        <w:r>
          <w:rPr>
            <w:sz w:val="18"/>
            <w:szCs w:val="18"/>
          </w:rPr>
          <w:fldChar w:fldCharType="end"/>
        </w:r>
      </w:hyperlink>
      <w:r>
        <w:rPr>
          <w:rFonts w:ascii="Arial" w:hAnsi="Arial"/>
          <w:b/>
          <w:bCs/>
          <w:sz w:val="18"/>
          <w:szCs w:val="18"/>
        </w:rPr>
      </w:r>
      <w:r>
        <w:rPr>
          <w:rFonts w:ascii="Arial" w:hAnsi="Arial"/>
          <w:b/>
          <w:bCs/>
          <w:sz w:val="18"/>
          <w:szCs w:val="18"/>
        </w:rPr>
      </w:r>
    </w:p>
    <w:p w14:paraId="59A24316">
      <w:pPr>
        <w:pStyle w:val="2025"/>
        <w:pBdr/>
        <w:tabs>
          <w:tab w:val="right" w:leader="dot" w:pos="9771"/>
        </w:tabs>
        <w:spacing/>
        <w:ind/>
        <w:rPr>
          <w:rFonts w:ascii="Arial" w:hAnsi="Arial"/>
          <w:b/>
          <w:bCs/>
          <w:sz w:val="18"/>
          <w:szCs w:val="18"/>
        </w:rPr>
      </w:pPr>
      <w:r/>
      <w:hyperlink w:tooltip="#_Toc20" w:anchor="_Toc20" w:history="1">
        <w:r>
          <w:rPr>
            <w:rStyle w:val="863"/>
            <w:sz w:val="18"/>
            <w:szCs w:val="18"/>
          </w:rPr>
        </w:r>
        <w:r>
          <w:rPr>
            <w:rStyle w:val="863"/>
            <w:rFonts w:ascii="Arial" w:hAnsi="Arial" w:eastAsia="Arial"/>
            <w:b/>
            <w:bCs/>
            <w:sz w:val="18"/>
            <w:szCs w:val="18"/>
          </w:rPr>
          <w:t xml:space="preserve">20. </w:t>
        </w:r>
        <w:r>
          <w:rPr>
            <w:rStyle w:val="863"/>
            <w:rFonts w:ascii="Arial" w:hAnsi="Arial"/>
            <w:b/>
            <w:sz w:val="18"/>
            <w:szCs w:val="18"/>
          </w:rPr>
          <w:t xml:space="preserve">DOS BENS ENTREGUES EM DESACORDO</w:t>
        </w:r>
        <w:r>
          <w:rPr>
            <w:rStyle w:val="863"/>
            <w:rFonts w:ascii="Arial" w:hAnsi="Arial" w:eastAsia="Arial"/>
            <w:b/>
            <w:bCs/>
            <w:sz w:val="18"/>
            <w:szCs w:val="18"/>
          </w:rPr>
          <w:t xml:space="preserve">:</w:t>
        </w:r>
        <w:r>
          <w:rPr>
            <w:rStyle w:val="863"/>
            <w:rFonts w:ascii="Arial" w:hAnsi="Arial"/>
            <w:b/>
            <w:bCs/>
            <w:sz w:val="18"/>
            <w:szCs w:val="18"/>
          </w:rPr>
        </w:r>
        <w:r>
          <w:rPr>
            <w:sz w:val="18"/>
            <w:szCs w:val="18"/>
          </w:rPr>
          <w:tab/>
        </w:r>
        <w:r>
          <w:rPr>
            <w:sz w:val="18"/>
            <w:szCs w:val="18"/>
          </w:rPr>
          <w:fldChar w:fldCharType="begin"/>
          <w:instrText xml:space="preserve">PAGEREF _Toc20 \h</w:instrText>
          <w:fldChar w:fldCharType="separate"/>
        </w:r>
        <w:r>
          <w:rPr>
            <w:rStyle w:val="863"/>
            <w:sz w:val="18"/>
            <w:szCs w:val="18"/>
          </w:rPr>
          <w:t xml:space="preserve">20</w:t>
        </w:r>
        <w:r>
          <w:rPr>
            <w:sz w:val="18"/>
            <w:szCs w:val="18"/>
          </w:rPr>
          <w:fldChar w:fldCharType="end"/>
        </w:r>
      </w:hyperlink>
      <w:r>
        <w:rPr>
          <w:rFonts w:ascii="Arial" w:hAnsi="Arial"/>
          <w:b/>
          <w:bCs/>
          <w:sz w:val="18"/>
          <w:szCs w:val="18"/>
        </w:rPr>
      </w:r>
      <w:r>
        <w:rPr>
          <w:rFonts w:ascii="Arial" w:hAnsi="Arial"/>
          <w:b/>
          <w:bCs/>
          <w:sz w:val="18"/>
          <w:szCs w:val="18"/>
        </w:rPr>
      </w:r>
    </w:p>
    <w:p w14:paraId="33C46569">
      <w:pPr>
        <w:pStyle w:val="2025"/>
        <w:pBdr/>
        <w:tabs>
          <w:tab w:val="right" w:leader="dot" w:pos="9771"/>
        </w:tabs>
        <w:spacing/>
        <w:ind/>
        <w:rPr>
          <w:rFonts w:ascii="Arial" w:hAnsi="Arial"/>
          <w:b/>
          <w:bCs/>
          <w:sz w:val="18"/>
          <w:szCs w:val="18"/>
        </w:rPr>
      </w:pPr>
      <w:r/>
      <w:hyperlink w:tooltip="#_Toc21" w:anchor="_Toc21" w:history="1">
        <w:r>
          <w:rPr>
            <w:rStyle w:val="863"/>
            <w:sz w:val="18"/>
            <w:szCs w:val="18"/>
          </w:rPr>
        </w:r>
        <w:r>
          <w:rPr>
            <w:rStyle w:val="863"/>
            <w:rFonts w:ascii="Arial" w:hAnsi="Arial" w:eastAsia="Arial"/>
            <w:b/>
            <w:bCs/>
            <w:sz w:val="18"/>
            <w:szCs w:val="18"/>
          </w:rPr>
          <w:t xml:space="preserve">21. </w:t>
        </w:r>
        <w:r>
          <w:rPr>
            <w:rStyle w:val="863"/>
            <w:rFonts w:ascii="Arial" w:hAnsi="Arial" w:eastAsia="SimSun"/>
            <w:b/>
            <w:sz w:val="18"/>
            <w:szCs w:val="18"/>
          </w:rPr>
          <w:t xml:space="preserve">ESPECIFICAÇÃO DA GARANTIA EXIGIDA</w:t>
        </w:r>
        <w:r>
          <w:rPr>
            <w:rStyle w:val="863"/>
            <w:rFonts w:ascii="Arial" w:hAnsi="Arial" w:eastAsia="Arial"/>
            <w:b/>
            <w:bCs/>
            <w:sz w:val="18"/>
            <w:szCs w:val="18"/>
          </w:rPr>
          <w:t xml:space="preserve">:</w:t>
        </w:r>
        <w:r>
          <w:rPr>
            <w:rStyle w:val="863"/>
            <w:rFonts w:ascii="Arial" w:hAnsi="Arial"/>
            <w:b/>
            <w:bCs/>
            <w:sz w:val="18"/>
            <w:szCs w:val="18"/>
          </w:rPr>
        </w:r>
        <w:r>
          <w:rPr>
            <w:sz w:val="18"/>
            <w:szCs w:val="18"/>
          </w:rPr>
          <w:tab/>
        </w:r>
        <w:r>
          <w:rPr>
            <w:sz w:val="18"/>
            <w:szCs w:val="18"/>
          </w:rPr>
          <w:fldChar w:fldCharType="begin"/>
          <w:instrText xml:space="preserve">PAGEREF _Toc21 \h</w:instrText>
          <w:fldChar w:fldCharType="separate"/>
        </w:r>
        <w:r>
          <w:rPr>
            <w:rStyle w:val="863"/>
            <w:sz w:val="18"/>
            <w:szCs w:val="18"/>
          </w:rPr>
          <w:t xml:space="preserve">20</w:t>
        </w:r>
        <w:r>
          <w:rPr>
            <w:sz w:val="18"/>
            <w:szCs w:val="18"/>
          </w:rPr>
          <w:fldChar w:fldCharType="end"/>
        </w:r>
      </w:hyperlink>
      <w:r>
        <w:rPr>
          <w:rFonts w:ascii="Arial" w:hAnsi="Arial"/>
          <w:b/>
          <w:bCs/>
          <w:sz w:val="18"/>
          <w:szCs w:val="18"/>
        </w:rPr>
      </w:r>
      <w:r>
        <w:rPr>
          <w:rFonts w:ascii="Arial" w:hAnsi="Arial"/>
          <w:b/>
          <w:bCs/>
          <w:sz w:val="18"/>
          <w:szCs w:val="18"/>
        </w:rPr>
      </w:r>
    </w:p>
    <w:p w14:paraId="00C7E2D5">
      <w:pPr>
        <w:pStyle w:val="2025"/>
        <w:pBdr/>
        <w:tabs>
          <w:tab w:val="right" w:leader="dot" w:pos="9771"/>
        </w:tabs>
        <w:spacing/>
        <w:ind/>
        <w:rPr>
          <w:rFonts w:ascii="Arial" w:hAnsi="Arial"/>
          <w:b/>
          <w:bCs/>
          <w:sz w:val="18"/>
          <w:szCs w:val="18"/>
        </w:rPr>
      </w:pPr>
      <w:r/>
      <w:hyperlink w:tooltip="#_Toc22" w:anchor="_Toc22" w:history="1">
        <w:r>
          <w:rPr>
            <w:rStyle w:val="863"/>
            <w:sz w:val="18"/>
            <w:szCs w:val="18"/>
          </w:rPr>
        </w:r>
        <w:r>
          <w:rPr>
            <w:rStyle w:val="863"/>
            <w:rFonts w:ascii="Arial" w:hAnsi="Arial" w:eastAsia="Arial"/>
            <w:b/>
            <w:bCs/>
            <w:sz w:val="18"/>
            <w:szCs w:val="18"/>
          </w:rPr>
          <w:t xml:space="preserve">22.</w:t>
        </w:r>
        <w:r>
          <w:rPr>
            <w:rStyle w:val="863"/>
            <w:rFonts w:ascii="Arial" w:hAnsi="Arial"/>
            <w:b/>
            <w:sz w:val="18"/>
            <w:szCs w:val="18"/>
          </w:rPr>
          <w:t xml:space="preserve"> DA GESTÃO DE CONTRATO E FISCALIZAÇÃO</w:t>
        </w:r>
        <w:r>
          <w:rPr>
            <w:rStyle w:val="863"/>
            <w:rFonts w:ascii="Arial" w:hAnsi="Arial" w:eastAsia="Arial"/>
            <w:b/>
            <w:bCs/>
            <w:sz w:val="18"/>
            <w:szCs w:val="18"/>
          </w:rPr>
          <w:t xml:space="preserve">:</w:t>
        </w:r>
        <w:r>
          <w:rPr>
            <w:rStyle w:val="863"/>
            <w:rFonts w:ascii="Arial" w:hAnsi="Arial"/>
            <w:b/>
            <w:bCs/>
            <w:sz w:val="18"/>
            <w:szCs w:val="18"/>
          </w:rPr>
        </w:r>
        <w:r>
          <w:rPr>
            <w:sz w:val="18"/>
            <w:szCs w:val="18"/>
          </w:rPr>
          <w:tab/>
        </w:r>
        <w:r>
          <w:rPr>
            <w:sz w:val="18"/>
            <w:szCs w:val="18"/>
          </w:rPr>
          <w:fldChar w:fldCharType="begin"/>
          <w:instrText xml:space="preserve">PAGEREF _Toc22 \h</w:instrText>
          <w:fldChar w:fldCharType="separate"/>
        </w:r>
        <w:r>
          <w:rPr>
            <w:rStyle w:val="863"/>
            <w:sz w:val="18"/>
            <w:szCs w:val="18"/>
          </w:rPr>
          <w:t xml:space="preserve">20</w:t>
        </w:r>
        <w:r>
          <w:rPr>
            <w:sz w:val="18"/>
            <w:szCs w:val="18"/>
          </w:rPr>
          <w:fldChar w:fldCharType="end"/>
        </w:r>
      </w:hyperlink>
      <w:r>
        <w:rPr>
          <w:rFonts w:ascii="Arial" w:hAnsi="Arial"/>
          <w:b/>
          <w:bCs/>
          <w:sz w:val="18"/>
          <w:szCs w:val="18"/>
        </w:rPr>
      </w:r>
      <w:r>
        <w:rPr>
          <w:rFonts w:ascii="Arial" w:hAnsi="Arial"/>
          <w:b/>
          <w:bCs/>
          <w:sz w:val="18"/>
          <w:szCs w:val="18"/>
        </w:rPr>
      </w:r>
    </w:p>
    <w:p w14:paraId="54745FCE">
      <w:pPr>
        <w:pStyle w:val="2025"/>
        <w:pBdr/>
        <w:tabs>
          <w:tab w:val="right" w:leader="dot" w:pos="9771"/>
        </w:tabs>
        <w:spacing/>
        <w:ind/>
        <w:rPr>
          <w:rFonts w:ascii="Arial" w:hAnsi="Arial"/>
          <w:b/>
          <w:bCs/>
          <w:sz w:val="18"/>
          <w:szCs w:val="18"/>
        </w:rPr>
      </w:pPr>
      <w:r/>
      <w:hyperlink w:tooltip="#_Toc23" w:anchor="_Toc23" w:history="1">
        <w:r>
          <w:rPr>
            <w:rStyle w:val="863"/>
            <w:sz w:val="18"/>
            <w:szCs w:val="18"/>
          </w:rPr>
        </w:r>
        <w:r>
          <w:rPr>
            <w:rStyle w:val="863"/>
            <w:rFonts w:ascii="Arial" w:hAnsi="Arial" w:eastAsia="Arial"/>
            <w:b/>
            <w:bCs/>
            <w:sz w:val="18"/>
            <w:szCs w:val="18"/>
          </w:rPr>
          <w:t xml:space="preserve">23.</w:t>
        </w:r>
        <w:r>
          <w:rPr>
            <w:rStyle w:val="863"/>
            <w:rFonts w:ascii="Arial" w:hAnsi="Arial"/>
            <w:b/>
            <w:sz w:val="18"/>
            <w:szCs w:val="18"/>
          </w:rPr>
          <w:t xml:space="preserve"> </w:t>
        </w:r>
        <w:r>
          <w:rPr>
            <w:rStyle w:val="863"/>
            <w:rFonts w:ascii="Arial" w:hAnsi="Arial"/>
            <w:b/>
            <w:sz w:val="18"/>
            <w:szCs w:val="18"/>
          </w:rPr>
          <w:t xml:space="preserve">DA VIGÊNCIA DO FUTURO CONTRATO</w:t>
        </w:r>
        <w:r>
          <w:rPr>
            <w:rStyle w:val="863"/>
            <w:rFonts w:ascii="Arial" w:hAnsi="Arial" w:eastAsia="Arial"/>
            <w:b/>
            <w:bCs/>
            <w:sz w:val="18"/>
            <w:szCs w:val="18"/>
          </w:rPr>
          <w:t xml:space="preserve">:</w:t>
        </w:r>
        <w:r>
          <w:rPr>
            <w:rStyle w:val="863"/>
            <w:rFonts w:ascii="Arial" w:hAnsi="Arial"/>
            <w:b/>
            <w:bCs/>
            <w:sz w:val="18"/>
            <w:szCs w:val="18"/>
          </w:rPr>
        </w:r>
        <w:r>
          <w:rPr>
            <w:sz w:val="18"/>
            <w:szCs w:val="18"/>
          </w:rPr>
          <w:tab/>
        </w:r>
        <w:r>
          <w:rPr>
            <w:sz w:val="18"/>
            <w:szCs w:val="18"/>
          </w:rPr>
          <w:fldChar w:fldCharType="begin"/>
          <w:instrText xml:space="preserve">PAGEREF _Toc23 \h</w:instrText>
          <w:fldChar w:fldCharType="separate"/>
        </w:r>
        <w:r>
          <w:rPr>
            <w:rStyle w:val="863"/>
            <w:sz w:val="18"/>
            <w:szCs w:val="18"/>
          </w:rPr>
          <w:t xml:space="preserve">21</w:t>
        </w:r>
        <w:r>
          <w:rPr>
            <w:sz w:val="18"/>
            <w:szCs w:val="18"/>
          </w:rPr>
          <w:fldChar w:fldCharType="end"/>
        </w:r>
      </w:hyperlink>
      <w:r>
        <w:rPr>
          <w:rFonts w:ascii="Arial" w:hAnsi="Arial"/>
          <w:b/>
          <w:bCs/>
          <w:sz w:val="18"/>
          <w:szCs w:val="18"/>
        </w:rPr>
      </w:r>
      <w:r>
        <w:rPr>
          <w:rFonts w:ascii="Arial" w:hAnsi="Arial"/>
          <w:b/>
          <w:bCs/>
          <w:sz w:val="18"/>
          <w:szCs w:val="18"/>
        </w:rPr>
      </w:r>
    </w:p>
    <w:p w14:paraId="4FBAF136">
      <w:pPr>
        <w:pStyle w:val="2025"/>
        <w:pBdr/>
        <w:tabs>
          <w:tab w:val="right" w:leader="dot" w:pos="9771"/>
        </w:tabs>
        <w:spacing/>
        <w:ind/>
        <w:rPr>
          <w:rFonts w:ascii="Arial" w:hAnsi="Arial"/>
          <w:b/>
          <w:bCs/>
          <w:sz w:val="18"/>
          <w:szCs w:val="18"/>
        </w:rPr>
      </w:pPr>
      <w:r/>
      <w:hyperlink w:tooltip="#_Toc24" w:anchor="_Toc24" w:history="1">
        <w:r>
          <w:rPr>
            <w:rStyle w:val="863"/>
            <w:sz w:val="18"/>
            <w:szCs w:val="18"/>
          </w:rPr>
        </w:r>
        <w:r>
          <w:rPr>
            <w:rStyle w:val="863"/>
            <w:rFonts w:ascii="Arial" w:hAnsi="Arial" w:eastAsia="Arial"/>
            <w:b/>
            <w:bCs/>
            <w:sz w:val="18"/>
            <w:szCs w:val="18"/>
          </w:rPr>
          <w:t xml:space="preserve">24.</w:t>
        </w:r>
        <w:r>
          <w:rPr>
            <w:rStyle w:val="863"/>
            <w:rFonts w:ascii="Arial" w:hAnsi="Arial"/>
            <w:b/>
            <w:sz w:val="18"/>
            <w:szCs w:val="18"/>
          </w:rPr>
          <w:t xml:space="preserve"> </w:t>
        </w:r>
        <w:r>
          <w:rPr>
            <w:rStyle w:val="863"/>
            <w:rFonts w:ascii="Arial" w:hAnsi="Arial"/>
            <w:b/>
            <w:sz w:val="18"/>
            <w:szCs w:val="18"/>
          </w:rPr>
          <w:t xml:space="preserve">DA ALTERAÇÃO DO CONTRATO</w:t>
        </w:r>
        <w:r>
          <w:rPr>
            <w:rStyle w:val="863"/>
            <w:rFonts w:ascii="Arial" w:hAnsi="Arial" w:eastAsia="Arial"/>
            <w:b/>
            <w:bCs/>
            <w:sz w:val="18"/>
            <w:szCs w:val="18"/>
          </w:rPr>
          <w:t xml:space="preserve">:</w:t>
        </w:r>
        <w:r>
          <w:rPr>
            <w:rStyle w:val="863"/>
            <w:rFonts w:ascii="Arial" w:hAnsi="Arial"/>
            <w:b/>
            <w:bCs/>
            <w:sz w:val="18"/>
            <w:szCs w:val="18"/>
          </w:rPr>
        </w:r>
        <w:r>
          <w:rPr>
            <w:sz w:val="18"/>
            <w:szCs w:val="18"/>
          </w:rPr>
          <w:tab/>
        </w:r>
        <w:r>
          <w:rPr>
            <w:sz w:val="18"/>
            <w:szCs w:val="18"/>
          </w:rPr>
          <w:fldChar w:fldCharType="begin"/>
          <w:instrText xml:space="preserve">PAGEREF _Toc24 \h</w:instrText>
          <w:fldChar w:fldCharType="separate"/>
        </w:r>
        <w:r>
          <w:rPr>
            <w:rStyle w:val="863"/>
            <w:sz w:val="18"/>
            <w:szCs w:val="18"/>
          </w:rPr>
          <w:t xml:space="preserve">21</w:t>
        </w:r>
        <w:r>
          <w:rPr>
            <w:sz w:val="18"/>
            <w:szCs w:val="18"/>
          </w:rPr>
          <w:fldChar w:fldCharType="end"/>
        </w:r>
      </w:hyperlink>
      <w:r>
        <w:rPr>
          <w:rFonts w:ascii="Arial" w:hAnsi="Arial"/>
          <w:b/>
          <w:bCs/>
          <w:sz w:val="18"/>
          <w:szCs w:val="18"/>
        </w:rPr>
      </w:r>
      <w:r>
        <w:rPr>
          <w:rFonts w:ascii="Arial" w:hAnsi="Arial"/>
          <w:b/>
          <w:bCs/>
          <w:sz w:val="18"/>
          <w:szCs w:val="18"/>
        </w:rPr>
      </w:r>
    </w:p>
    <w:p w14:paraId="5FF75188">
      <w:pPr>
        <w:pStyle w:val="2025"/>
        <w:pBdr/>
        <w:tabs>
          <w:tab w:val="right" w:leader="dot" w:pos="9771"/>
        </w:tabs>
        <w:spacing/>
        <w:ind/>
        <w:rPr>
          <w:rFonts w:ascii="Arial" w:hAnsi="Arial"/>
          <w:b/>
          <w:bCs/>
          <w:sz w:val="18"/>
          <w:szCs w:val="18"/>
        </w:rPr>
      </w:pPr>
      <w:r/>
      <w:hyperlink w:tooltip="#_Toc25" w:anchor="_Toc25" w:history="1">
        <w:r>
          <w:rPr>
            <w:rStyle w:val="863"/>
            <w:sz w:val="18"/>
            <w:szCs w:val="18"/>
          </w:rPr>
        </w:r>
        <w:r>
          <w:rPr>
            <w:rStyle w:val="863"/>
            <w:rFonts w:ascii="Arial" w:hAnsi="Arial" w:eastAsia="Arial"/>
            <w:b/>
            <w:bCs/>
            <w:sz w:val="18"/>
            <w:szCs w:val="18"/>
          </w:rPr>
          <w:t xml:space="preserve">25.</w:t>
        </w:r>
        <w:r>
          <w:rPr>
            <w:rStyle w:val="863"/>
            <w:rFonts w:ascii="Arial" w:hAnsi="Arial"/>
            <w:b/>
            <w:sz w:val="18"/>
            <w:szCs w:val="18"/>
          </w:rPr>
          <w:t xml:space="preserve"> </w:t>
        </w:r>
        <w:r>
          <w:rPr>
            <w:rStyle w:val="863"/>
            <w:rFonts w:ascii="Arial" w:hAnsi="Arial"/>
            <w:b/>
            <w:sz w:val="18"/>
            <w:szCs w:val="18"/>
          </w:rPr>
          <w:t xml:space="preserve">DA EXTINÇÃO DO CONTRATO</w:t>
        </w:r>
        <w:r>
          <w:rPr>
            <w:rStyle w:val="863"/>
            <w:rFonts w:ascii="Arial" w:hAnsi="Arial" w:eastAsia="Arial"/>
            <w:b/>
            <w:bCs/>
            <w:sz w:val="18"/>
            <w:szCs w:val="18"/>
          </w:rPr>
          <w:t xml:space="preserve">:</w:t>
        </w:r>
        <w:r>
          <w:rPr>
            <w:rStyle w:val="863"/>
            <w:rFonts w:ascii="Arial" w:hAnsi="Arial"/>
            <w:b/>
            <w:bCs/>
            <w:sz w:val="18"/>
            <w:szCs w:val="18"/>
          </w:rPr>
        </w:r>
        <w:r>
          <w:rPr>
            <w:sz w:val="18"/>
            <w:szCs w:val="18"/>
          </w:rPr>
          <w:tab/>
        </w:r>
        <w:r>
          <w:rPr>
            <w:sz w:val="18"/>
            <w:szCs w:val="18"/>
          </w:rPr>
          <w:fldChar w:fldCharType="begin"/>
          <w:instrText xml:space="preserve">PAGEREF _Toc25 \h</w:instrText>
          <w:fldChar w:fldCharType="separate"/>
        </w:r>
        <w:r>
          <w:rPr>
            <w:rStyle w:val="863"/>
            <w:sz w:val="18"/>
            <w:szCs w:val="18"/>
          </w:rPr>
          <w:t xml:space="preserve">21</w:t>
        </w:r>
        <w:r>
          <w:rPr>
            <w:sz w:val="18"/>
            <w:szCs w:val="18"/>
          </w:rPr>
          <w:fldChar w:fldCharType="end"/>
        </w:r>
      </w:hyperlink>
      <w:r>
        <w:rPr>
          <w:rFonts w:ascii="Arial" w:hAnsi="Arial"/>
          <w:b/>
          <w:bCs/>
          <w:sz w:val="18"/>
          <w:szCs w:val="18"/>
        </w:rPr>
      </w:r>
      <w:r>
        <w:rPr>
          <w:rFonts w:ascii="Arial" w:hAnsi="Arial"/>
          <w:b/>
          <w:bCs/>
          <w:sz w:val="18"/>
          <w:szCs w:val="18"/>
        </w:rPr>
      </w:r>
    </w:p>
    <w:p w14:paraId="44D73DA9">
      <w:pPr>
        <w:pStyle w:val="2025"/>
        <w:pBdr/>
        <w:tabs>
          <w:tab w:val="right" w:leader="dot" w:pos="9771"/>
        </w:tabs>
        <w:spacing/>
        <w:ind/>
        <w:rPr>
          <w:rFonts w:ascii="Arial" w:hAnsi="Arial"/>
          <w:b/>
          <w:bCs/>
          <w:sz w:val="18"/>
          <w:szCs w:val="18"/>
        </w:rPr>
      </w:pPr>
      <w:r/>
      <w:hyperlink w:tooltip="#_Toc26" w:anchor="_Toc26" w:history="1">
        <w:r>
          <w:rPr>
            <w:rStyle w:val="863"/>
            <w:sz w:val="18"/>
            <w:szCs w:val="18"/>
          </w:rPr>
        </w:r>
        <w:r>
          <w:rPr>
            <w:rStyle w:val="863"/>
            <w:rFonts w:ascii="Arial" w:hAnsi="Arial" w:eastAsia="Arial"/>
            <w:b/>
            <w:bCs/>
            <w:sz w:val="18"/>
            <w:szCs w:val="18"/>
          </w:rPr>
          <w:t xml:space="preserve">26.</w:t>
        </w:r>
        <w:r>
          <w:rPr>
            <w:rStyle w:val="863"/>
            <w:rFonts w:ascii="Arial" w:hAnsi="Arial"/>
            <w:b/>
            <w:sz w:val="18"/>
            <w:szCs w:val="18"/>
          </w:rPr>
          <w:t xml:space="preserve"> </w:t>
        </w:r>
        <w:r>
          <w:rPr>
            <w:rStyle w:val="863"/>
            <w:rFonts w:ascii="Arial" w:hAnsi="Arial" w:eastAsia="Arial"/>
            <w:b/>
            <w:bCs/>
            <w:sz w:val="18"/>
            <w:szCs w:val="18"/>
          </w:rPr>
          <w:t xml:space="preserve">DO REAJUSTE E DA REVISÃO PARA RECOMPOSIÇÃO DO EQUILÍBRIO ECONÔMICO-FINANCEIRO</w:t>
        </w:r>
        <w:r>
          <w:rPr>
            <w:rStyle w:val="863"/>
            <w:rFonts w:ascii="Arial" w:hAnsi="Arial" w:eastAsia="Arial"/>
            <w:b/>
            <w:bCs/>
            <w:sz w:val="18"/>
            <w:szCs w:val="18"/>
          </w:rPr>
          <w:t xml:space="preserve">:</w:t>
        </w:r>
        <w:r>
          <w:rPr>
            <w:rStyle w:val="863"/>
            <w:rFonts w:ascii="Arial" w:hAnsi="Arial"/>
            <w:b/>
            <w:bCs/>
            <w:sz w:val="18"/>
            <w:szCs w:val="18"/>
          </w:rPr>
        </w:r>
        <w:r>
          <w:rPr>
            <w:sz w:val="18"/>
            <w:szCs w:val="18"/>
          </w:rPr>
          <w:tab/>
        </w:r>
        <w:r>
          <w:rPr>
            <w:sz w:val="18"/>
            <w:szCs w:val="18"/>
          </w:rPr>
          <w:fldChar w:fldCharType="begin"/>
          <w:instrText xml:space="preserve">PAGEREF _Toc26 \h</w:instrText>
          <w:fldChar w:fldCharType="separate"/>
        </w:r>
        <w:r>
          <w:rPr>
            <w:rStyle w:val="863"/>
            <w:sz w:val="18"/>
            <w:szCs w:val="18"/>
          </w:rPr>
          <w:t xml:space="preserve">22</w:t>
        </w:r>
        <w:r>
          <w:rPr>
            <w:sz w:val="18"/>
            <w:szCs w:val="18"/>
          </w:rPr>
          <w:fldChar w:fldCharType="end"/>
        </w:r>
      </w:hyperlink>
      <w:r>
        <w:rPr>
          <w:rFonts w:ascii="Arial" w:hAnsi="Arial"/>
          <w:b/>
          <w:bCs/>
          <w:sz w:val="18"/>
          <w:szCs w:val="18"/>
        </w:rPr>
      </w:r>
      <w:r>
        <w:rPr>
          <w:rFonts w:ascii="Arial" w:hAnsi="Arial"/>
          <w:b/>
          <w:bCs/>
          <w:sz w:val="18"/>
          <w:szCs w:val="18"/>
        </w:rPr>
      </w:r>
    </w:p>
    <w:p w14:paraId="58CCC187">
      <w:pPr>
        <w:pStyle w:val="2025"/>
        <w:pBdr/>
        <w:tabs>
          <w:tab w:val="right" w:leader="dot" w:pos="9771"/>
        </w:tabs>
        <w:spacing/>
        <w:ind/>
        <w:rPr>
          <w:rFonts w:ascii="Arial" w:hAnsi="Arial"/>
          <w:b/>
          <w:bCs/>
          <w:sz w:val="18"/>
          <w:szCs w:val="18"/>
        </w:rPr>
      </w:pPr>
      <w:r/>
      <w:hyperlink w:tooltip="#_Toc27" w:anchor="_Toc27" w:history="1">
        <w:r>
          <w:rPr>
            <w:rStyle w:val="863"/>
            <w:sz w:val="18"/>
            <w:szCs w:val="18"/>
          </w:rPr>
        </w:r>
        <w:r>
          <w:rPr>
            <w:rStyle w:val="863"/>
            <w:rFonts w:ascii="Arial" w:hAnsi="Arial" w:eastAsia="Arial"/>
            <w:b/>
            <w:bCs/>
            <w:sz w:val="18"/>
            <w:szCs w:val="18"/>
          </w:rPr>
          <w:t xml:space="preserve">27.</w:t>
        </w:r>
        <w:r>
          <w:rPr>
            <w:rStyle w:val="863"/>
            <w:rFonts w:ascii="Arial" w:hAnsi="Arial"/>
            <w:b/>
            <w:sz w:val="18"/>
            <w:szCs w:val="18"/>
          </w:rPr>
          <w:t xml:space="preserve"> </w:t>
        </w:r>
        <w:r>
          <w:rPr>
            <w:rStyle w:val="863"/>
            <w:rFonts w:ascii="Arial" w:hAnsi="Arial"/>
            <w:b/>
            <w:sz w:val="18"/>
            <w:szCs w:val="18"/>
          </w:rPr>
          <w:t xml:space="preserve">DO PRAZO PARA LIQUIDAÇÃO (ART. 92, IV, da Lei 14.133/2021)</w:t>
        </w:r>
        <w:r>
          <w:rPr>
            <w:rStyle w:val="863"/>
            <w:rFonts w:ascii="Arial" w:hAnsi="Arial" w:eastAsia="Arial"/>
            <w:b/>
            <w:bCs/>
            <w:sz w:val="18"/>
            <w:szCs w:val="18"/>
          </w:rPr>
          <w:t xml:space="preserve">:</w:t>
        </w:r>
        <w:r>
          <w:rPr>
            <w:rStyle w:val="863"/>
            <w:rFonts w:ascii="Arial" w:hAnsi="Arial"/>
            <w:b/>
            <w:bCs/>
            <w:sz w:val="18"/>
            <w:szCs w:val="18"/>
          </w:rPr>
        </w:r>
        <w:r>
          <w:rPr>
            <w:sz w:val="18"/>
            <w:szCs w:val="18"/>
          </w:rPr>
          <w:tab/>
        </w:r>
        <w:r>
          <w:rPr>
            <w:sz w:val="18"/>
            <w:szCs w:val="18"/>
          </w:rPr>
          <w:fldChar w:fldCharType="begin"/>
          <w:instrText xml:space="preserve">PAGEREF _Toc27 \h</w:instrText>
          <w:fldChar w:fldCharType="separate"/>
        </w:r>
        <w:r>
          <w:rPr>
            <w:rStyle w:val="863"/>
            <w:sz w:val="18"/>
            <w:szCs w:val="18"/>
          </w:rPr>
          <w:t xml:space="preserve">24</w:t>
        </w:r>
        <w:r>
          <w:rPr>
            <w:sz w:val="18"/>
            <w:szCs w:val="18"/>
          </w:rPr>
          <w:fldChar w:fldCharType="end"/>
        </w:r>
      </w:hyperlink>
      <w:r>
        <w:rPr>
          <w:rFonts w:ascii="Arial" w:hAnsi="Arial"/>
          <w:b/>
          <w:bCs/>
          <w:sz w:val="18"/>
          <w:szCs w:val="18"/>
        </w:rPr>
      </w:r>
      <w:r>
        <w:rPr>
          <w:rFonts w:ascii="Arial" w:hAnsi="Arial"/>
          <w:b/>
          <w:bCs/>
          <w:sz w:val="18"/>
          <w:szCs w:val="18"/>
        </w:rPr>
      </w:r>
    </w:p>
    <w:p w14:paraId="2ACCDA6D">
      <w:pPr>
        <w:pStyle w:val="2025"/>
        <w:pBdr/>
        <w:tabs>
          <w:tab w:val="right" w:leader="dot" w:pos="9771"/>
        </w:tabs>
        <w:spacing/>
        <w:ind/>
        <w:rPr>
          <w:rFonts w:ascii="Arial" w:hAnsi="Arial"/>
          <w:b/>
          <w:bCs/>
          <w:sz w:val="18"/>
          <w:szCs w:val="18"/>
        </w:rPr>
      </w:pPr>
      <w:r/>
      <w:hyperlink w:tooltip="#_Toc28" w:anchor="_Toc28" w:history="1">
        <w:r>
          <w:rPr>
            <w:rStyle w:val="863"/>
            <w:sz w:val="18"/>
            <w:szCs w:val="18"/>
          </w:rPr>
        </w:r>
        <w:r>
          <w:rPr>
            <w:rStyle w:val="863"/>
            <w:rFonts w:ascii="Arial" w:hAnsi="Arial" w:eastAsia="Arial"/>
            <w:b/>
            <w:bCs/>
            <w:sz w:val="18"/>
            <w:szCs w:val="18"/>
          </w:rPr>
          <w:t xml:space="preserve">28.</w:t>
        </w:r>
        <w:r>
          <w:rPr>
            <w:rStyle w:val="863"/>
            <w:rFonts w:ascii="Arial" w:hAnsi="Arial"/>
            <w:b/>
            <w:sz w:val="18"/>
            <w:szCs w:val="18"/>
          </w:rPr>
          <w:t xml:space="preserve"> DAS INFRAÇÕES ADMINISTRATIVAS E SANÇÕES REFERENTE AO CONTRATO</w:t>
        </w:r>
        <w:r>
          <w:rPr>
            <w:rStyle w:val="863"/>
            <w:rFonts w:ascii="Arial" w:hAnsi="Arial" w:eastAsia="Arial"/>
            <w:b/>
            <w:bCs/>
            <w:sz w:val="18"/>
            <w:szCs w:val="18"/>
          </w:rPr>
          <w:t xml:space="preserve">:</w:t>
        </w:r>
        <w:r>
          <w:rPr>
            <w:rStyle w:val="863"/>
            <w:rFonts w:ascii="Arial" w:hAnsi="Arial"/>
            <w:b/>
            <w:bCs/>
            <w:sz w:val="18"/>
            <w:szCs w:val="18"/>
          </w:rPr>
        </w:r>
        <w:r>
          <w:rPr>
            <w:sz w:val="18"/>
            <w:szCs w:val="18"/>
          </w:rPr>
          <w:tab/>
        </w:r>
        <w:r>
          <w:rPr>
            <w:sz w:val="18"/>
            <w:szCs w:val="18"/>
          </w:rPr>
          <w:fldChar w:fldCharType="begin"/>
          <w:instrText xml:space="preserve">PAGEREF _Toc28 \h</w:instrText>
          <w:fldChar w:fldCharType="separate"/>
        </w:r>
        <w:r>
          <w:rPr>
            <w:rStyle w:val="863"/>
            <w:sz w:val="18"/>
            <w:szCs w:val="18"/>
          </w:rPr>
          <w:t xml:space="preserve">24</w:t>
        </w:r>
        <w:r>
          <w:rPr>
            <w:sz w:val="18"/>
            <w:szCs w:val="18"/>
          </w:rPr>
          <w:fldChar w:fldCharType="end"/>
        </w:r>
      </w:hyperlink>
      <w:r>
        <w:rPr>
          <w:rFonts w:ascii="Arial" w:hAnsi="Arial"/>
          <w:b/>
          <w:bCs/>
          <w:sz w:val="18"/>
          <w:szCs w:val="18"/>
        </w:rPr>
      </w:r>
      <w:r>
        <w:rPr>
          <w:rFonts w:ascii="Arial" w:hAnsi="Arial"/>
          <w:b/>
          <w:bCs/>
          <w:sz w:val="18"/>
          <w:szCs w:val="18"/>
        </w:rPr>
      </w:r>
    </w:p>
    <w:p w14:paraId="058389EF">
      <w:pPr>
        <w:pStyle w:val="2025"/>
        <w:pBdr/>
        <w:tabs>
          <w:tab w:val="right" w:leader="dot" w:pos="9771"/>
        </w:tabs>
        <w:spacing/>
        <w:ind/>
        <w:rPr>
          <w:rFonts w:ascii="Arial" w:hAnsi="Arial"/>
          <w:b/>
          <w:bCs/>
          <w:sz w:val="18"/>
          <w:szCs w:val="18"/>
        </w:rPr>
      </w:pPr>
      <w:r/>
      <w:hyperlink w:tooltip="#_Toc29" w:anchor="_Toc29" w:history="1">
        <w:r>
          <w:rPr>
            <w:rStyle w:val="863"/>
            <w:sz w:val="18"/>
            <w:szCs w:val="18"/>
          </w:rPr>
        </w:r>
        <w:r>
          <w:rPr>
            <w:rStyle w:val="863"/>
            <w:rFonts w:ascii="Arial" w:hAnsi="Arial" w:eastAsia="Arial"/>
            <w:b/>
            <w:bCs/>
            <w:sz w:val="18"/>
            <w:szCs w:val="18"/>
          </w:rPr>
          <w:t xml:space="preserve">29.</w:t>
        </w:r>
        <w:r>
          <w:rPr>
            <w:rStyle w:val="863"/>
            <w:rFonts w:ascii="Arial" w:hAnsi="Arial"/>
            <w:b/>
            <w:sz w:val="18"/>
            <w:szCs w:val="18"/>
          </w:rPr>
          <w:t xml:space="preserve"> </w:t>
        </w:r>
        <w:r>
          <w:rPr>
            <w:rStyle w:val="863"/>
            <w:rFonts w:ascii="Arial" w:hAnsi="Arial"/>
            <w:b/>
            <w:bCs/>
            <w:sz w:val="18"/>
            <w:szCs w:val="18"/>
          </w:rPr>
          <w:t xml:space="preserve">DAS OBRIGAÇÕES DA CONTRATADA</w:t>
        </w:r>
        <w:r>
          <w:rPr>
            <w:rStyle w:val="863"/>
            <w:rFonts w:ascii="Arial" w:hAnsi="Arial" w:eastAsia="Arial"/>
            <w:b/>
            <w:bCs/>
            <w:sz w:val="18"/>
            <w:szCs w:val="18"/>
          </w:rPr>
          <w:t xml:space="preserve">:</w:t>
        </w:r>
        <w:r>
          <w:rPr>
            <w:rStyle w:val="863"/>
            <w:rFonts w:ascii="Arial" w:hAnsi="Arial"/>
            <w:b/>
            <w:bCs/>
            <w:sz w:val="18"/>
            <w:szCs w:val="18"/>
          </w:rPr>
        </w:r>
        <w:r>
          <w:rPr>
            <w:sz w:val="18"/>
            <w:szCs w:val="18"/>
          </w:rPr>
          <w:tab/>
        </w:r>
        <w:r>
          <w:rPr>
            <w:sz w:val="18"/>
            <w:szCs w:val="18"/>
          </w:rPr>
          <w:fldChar w:fldCharType="begin"/>
          <w:instrText xml:space="preserve">PAGEREF _Toc29 \h</w:instrText>
          <w:fldChar w:fldCharType="separate"/>
        </w:r>
        <w:r>
          <w:rPr>
            <w:rStyle w:val="863"/>
            <w:sz w:val="18"/>
            <w:szCs w:val="18"/>
          </w:rPr>
          <w:t xml:space="preserve">26</w:t>
        </w:r>
        <w:r>
          <w:rPr>
            <w:sz w:val="18"/>
            <w:szCs w:val="18"/>
          </w:rPr>
          <w:fldChar w:fldCharType="end"/>
        </w:r>
      </w:hyperlink>
      <w:r>
        <w:rPr>
          <w:rFonts w:ascii="Arial" w:hAnsi="Arial"/>
          <w:b/>
          <w:bCs/>
          <w:sz w:val="18"/>
          <w:szCs w:val="18"/>
        </w:rPr>
      </w:r>
      <w:r>
        <w:rPr>
          <w:rFonts w:ascii="Arial" w:hAnsi="Arial"/>
          <w:b/>
          <w:bCs/>
          <w:sz w:val="18"/>
          <w:szCs w:val="18"/>
        </w:rPr>
      </w:r>
    </w:p>
    <w:p w14:paraId="15593F74">
      <w:pPr>
        <w:pStyle w:val="2025"/>
        <w:pBdr/>
        <w:tabs>
          <w:tab w:val="right" w:leader="dot" w:pos="9771"/>
        </w:tabs>
        <w:spacing/>
        <w:ind/>
        <w:rPr>
          <w:rFonts w:ascii="Arial" w:hAnsi="Arial"/>
          <w:b/>
          <w:bCs/>
          <w:sz w:val="18"/>
          <w:szCs w:val="18"/>
        </w:rPr>
      </w:pPr>
      <w:r/>
      <w:hyperlink w:tooltip="#_Toc30" w:anchor="_Toc30" w:history="1">
        <w:r>
          <w:rPr>
            <w:rStyle w:val="863"/>
            <w:sz w:val="18"/>
            <w:szCs w:val="18"/>
          </w:rPr>
        </w:r>
        <w:r>
          <w:rPr>
            <w:rStyle w:val="863"/>
            <w:rFonts w:ascii="Arial" w:hAnsi="Arial" w:eastAsia="Arial"/>
            <w:b/>
            <w:bCs/>
            <w:sz w:val="18"/>
            <w:szCs w:val="18"/>
          </w:rPr>
          <w:t xml:space="preserve">30.</w:t>
        </w:r>
        <w:r>
          <w:rPr>
            <w:rStyle w:val="863"/>
            <w:rFonts w:ascii="Arial" w:hAnsi="Arial"/>
            <w:b/>
            <w:sz w:val="18"/>
            <w:szCs w:val="18"/>
          </w:rPr>
          <w:t xml:space="preserve"> </w:t>
        </w:r>
        <w:r>
          <w:rPr>
            <w:rStyle w:val="863"/>
            <w:rFonts w:ascii="Arial" w:hAnsi="Arial"/>
            <w:b/>
            <w:bCs/>
            <w:sz w:val="18"/>
            <w:szCs w:val="18"/>
          </w:rPr>
          <w:t xml:space="preserve">DAS OBRIGAÇÕES DA CONTRATANTE</w:t>
        </w:r>
        <w:r>
          <w:rPr>
            <w:rStyle w:val="863"/>
            <w:rFonts w:ascii="Arial" w:hAnsi="Arial" w:eastAsia="Arial"/>
            <w:b/>
            <w:bCs/>
            <w:sz w:val="18"/>
            <w:szCs w:val="18"/>
          </w:rPr>
          <w:t xml:space="preserve">:</w:t>
        </w:r>
        <w:r>
          <w:rPr>
            <w:rStyle w:val="863"/>
            <w:rFonts w:ascii="Arial" w:hAnsi="Arial"/>
            <w:b/>
            <w:bCs/>
            <w:sz w:val="18"/>
            <w:szCs w:val="18"/>
          </w:rPr>
        </w:r>
        <w:r>
          <w:rPr>
            <w:sz w:val="18"/>
            <w:szCs w:val="18"/>
          </w:rPr>
          <w:tab/>
        </w:r>
        <w:r>
          <w:rPr>
            <w:sz w:val="18"/>
            <w:szCs w:val="18"/>
          </w:rPr>
          <w:fldChar w:fldCharType="begin"/>
          <w:instrText xml:space="preserve">PAGEREF _Toc30 \h</w:instrText>
          <w:fldChar w:fldCharType="separate"/>
        </w:r>
        <w:r>
          <w:rPr>
            <w:rStyle w:val="863"/>
            <w:sz w:val="18"/>
            <w:szCs w:val="18"/>
          </w:rPr>
          <w:t xml:space="preserve">27</w:t>
        </w:r>
        <w:r>
          <w:rPr>
            <w:sz w:val="18"/>
            <w:szCs w:val="18"/>
          </w:rPr>
          <w:fldChar w:fldCharType="end"/>
        </w:r>
      </w:hyperlink>
      <w:r>
        <w:rPr>
          <w:rFonts w:ascii="Arial" w:hAnsi="Arial"/>
          <w:b/>
          <w:bCs/>
          <w:sz w:val="18"/>
          <w:szCs w:val="18"/>
        </w:rPr>
      </w:r>
      <w:r>
        <w:rPr>
          <w:rFonts w:ascii="Arial" w:hAnsi="Arial"/>
          <w:b/>
          <w:bCs/>
          <w:sz w:val="18"/>
          <w:szCs w:val="18"/>
        </w:rPr>
      </w:r>
    </w:p>
    <w:p w14:paraId="41837DA2">
      <w:pPr>
        <w:pStyle w:val="2025"/>
        <w:pBdr/>
        <w:tabs>
          <w:tab w:val="right" w:leader="dot" w:pos="9771"/>
        </w:tabs>
        <w:spacing/>
        <w:ind/>
        <w:rPr>
          <w:rFonts w:ascii="Arial" w:hAnsi="Arial"/>
          <w:b/>
          <w:bCs/>
          <w:sz w:val="18"/>
          <w:szCs w:val="18"/>
        </w:rPr>
      </w:pPr>
      <w:r/>
      <w:hyperlink w:tooltip="#_Toc31" w:anchor="_Toc31" w:history="1">
        <w:r>
          <w:rPr>
            <w:rStyle w:val="863"/>
            <w:sz w:val="18"/>
            <w:szCs w:val="18"/>
          </w:rPr>
        </w:r>
        <w:r>
          <w:rPr>
            <w:rStyle w:val="863"/>
            <w:rFonts w:ascii="Arial" w:hAnsi="Arial" w:eastAsia="Arial"/>
            <w:b/>
            <w:bCs/>
            <w:sz w:val="18"/>
            <w:szCs w:val="18"/>
          </w:rPr>
          <w:t xml:space="preserve">31.</w:t>
        </w:r>
        <w:r>
          <w:rPr>
            <w:rStyle w:val="863"/>
            <w:rFonts w:ascii="Arial" w:hAnsi="Arial"/>
            <w:b/>
            <w:sz w:val="18"/>
            <w:szCs w:val="18"/>
          </w:rPr>
          <w:t xml:space="preserve"> </w:t>
        </w:r>
        <w:r>
          <w:rPr>
            <w:rStyle w:val="863"/>
            <w:rFonts w:ascii="Arial" w:hAnsi="Arial"/>
            <w:b/>
            <w:sz w:val="18"/>
            <w:szCs w:val="18"/>
          </w:rPr>
          <w:t xml:space="preserve">DA DOTAÇÃO ORÇAMENTÁRIA</w:t>
        </w:r>
        <w:r>
          <w:rPr>
            <w:rStyle w:val="863"/>
            <w:rFonts w:ascii="Arial" w:hAnsi="Arial" w:eastAsia="Arial"/>
            <w:b/>
            <w:bCs/>
            <w:sz w:val="18"/>
            <w:szCs w:val="18"/>
          </w:rPr>
          <w:t xml:space="preserve">:</w:t>
        </w:r>
        <w:r>
          <w:rPr>
            <w:rStyle w:val="863"/>
            <w:rFonts w:ascii="Arial" w:hAnsi="Arial"/>
            <w:b/>
            <w:bCs/>
            <w:sz w:val="18"/>
            <w:szCs w:val="18"/>
          </w:rPr>
        </w:r>
        <w:r>
          <w:rPr>
            <w:sz w:val="18"/>
            <w:szCs w:val="18"/>
          </w:rPr>
          <w:tab/>
        </w:r>
        <w:r>
          <w:rPr>
            <w:sz w:val="18"/>
            <w:szCs w:val="18"/>
          </w:rPr>
          <w:fldChar w:fldCharType="begin"/>
          <w:instrText xml:space="preserve">PAGEREF _Toc31 \h</w:instrText>
          <w:fldChar w:fldCharType="separate"/>
        </w:r>
        <w:r>
          <w:rPr>
            <w:rStyle w:val="863"/>
            <w:sz w:val="18"/>
            <w:szCs w:val="18"/>
          </w:rPr>
          <w:t xml:space="preserve">28</w:t>
        </w:r>
        <w:r>
          <w:rPr>
            <w:sz w:val="18"/>
            <w:szCs w:val="18"/>
          </w:rPr>
          <w:fldChar w:fldCharType="end"/>
        </w:r>
      </w:hyperlink>
      <w:r>
        <w:rPr>
          <w:rFonts w:ascii="Arial" w:hAnsi="Arial"/>
          <w:b/>
          <w:bCs/>
          <w:sz w:val="18"/>
          <w:szCs w:val="18"/>
        </w:rPr>
      </w:r>
      <w:r>
        <w:rPr>
          <w:rFonts w:ascii="Arial" w:hAnsi="Arial"/>
          <w:b/>
          <w:bCs/>
          <w:sz w:val="18"/>
          <w:szCs w:val="18"/>
        </w:rPr>
      </w:r>
    </w:p>
    <w:p w14:paraId="369095C4">
      <w:pPr>
        <w:pStyle w:val="2025"/>
        <w:pBdr/>
        <w:tabs>
          <w:tab w:val="right" w:leader="dot" w:pos="9771"/>
        </w:tabs>
        <w:spacing/>
        <w:ind/>
        <w:rPr>
          <w:sz w:val="18"/>
          <w:szCs w:val="18"/>
        </w:rPr>
      </w:pPr>
      <w:r/>
      <w:hyperlink w:tooltip="#_Toc32" w:anchor="_Toc32" w:history="1">
        <w:r>
          <w:rPr>
            <w:rStyle w:val="863"/>
            <w:sz w:val="18"/>
            <w:szCs w:val="18"/>
          </w:rPr>
        </w:r>
        <w:r>
          <w:rPr>
            <w:rStyle w:val="863"/>
            <w:rFonts w:ascii="Arial" w:hAnsi="Arial" w:eastAsia="Arial"/>
            <w:b/>
            <w:bCs/>
            <w:sz w:val="18"/>
            <w:szCs w:val="18"/>
          </w:rPr>
          <w:t xml:space="preserve">32.</w:t>
        </w:r>
        <w:r>
          <w:rPr>
            <w:rStyle w:val="863"/>
            <w:rFonts w:ascii="Arial" w:hAnsi="Arial"/>
            <w:b/>
            <w:sz w:val="18"/>
            <w:szCs w:val="18"/>
          </w:rPr>
          <w:t xml:space="preserve"> DOS CRITÉRIO</w:t>
        </w:r>
        <w:r>
          <w:rPr>
            <w:rStyle w:val="863"/>
            <w:rFonts w:ascii="Arial" w:hAnsi="Arial"/>
            <w:b/>
            <w:sz w:val="18"/>
            <w:szCs w:val="18"/>
          </w:rPr>
          <w:t xml:space="preserve">S DE MEDIÇÃO E DE PAGAMENTO</w:t>
        </w:r>
        <w:r>
          <w:rPr>
            <w:rStyle w:val="863"/>
            <w:rFonts w:ascii="Arial" w:hAnsi="Arial" w:eastAsia="Arial"/>
            <w:b/>
            <w:bCs/>
            <w:sz w:val="18"/>
            <w:szCs w:val="18"/>
          </w:rPr>
          <w:t xml:space="preserve">:</w:t>
        </w:r>
        <w:r>
          <w:rPr>
            <w:rStyle w:val="863"/>
            <w:sz w:val="18"/>
            <w:szCs w:val="18"/>
          </w:rPr>
        </w:r>
        <w:r>
          <w:rPr>
            <w:sz w:val="18"/>
            <w:szCs w:val="18"/>
          </w:rPr>
          <w:tab/>
        </w:r>
        <w:r>
          <w:rPr>
            <w:sz w:val="18"/>
            <w:szCs w:val="18"/>
          </w:rPr>
          <w:fldChar w:fldCharType="begin"/>
          <w:instrText xml:space="preserve">PAGEREF _Toc32 \h</w:instrText>
          <w:fldChar w:fldCharType="separate"/>
        </w:r>
        <w:r>
          <w:rPr>
            <w:rStyle w:val="863"/>
            <w:sz w:val="18"/>
            <w:szCs w:val="18"/>
          </w:rPr>
          <w:t xml:space="preserve">29</w:t>
        </w:r>
        <w:r>
          <w:rPr>
            <w:sz w:val="18"/>
            <w:szCs w:val="18"/>
          </w:rPr>
          <w:fldChar w:fldCharType="end"/>
        </w:r>
      </w:hyperlink>
      <w:r>
        <w:rPr>
          <w:sz w:val="18"/>
          <w:szCs w:val="18"/>
        </w:rPr>
      </w:r>
      <w:r>
        <w:rPr>
          <w:sz w:val="18"/>
          <w:szCs w:val="18"/>
        </w:rPr>
      </w:r>
    </w:p>
    <w:p w14:paraId="187DC7DE">
      <w:pPr>
        <w:pStyle w:val="2025"/>
        <w:pBdr/>
        <w:tabs>
          <w:tab w:val="right" w:leader="dot" w:pos="9771"/>
        </w:tabs>
        <w:spacing/>
        <w:ind/>
        <w:rPr>
          <w:rFonts w:ascii="Arial" w:hAnsi="Arial"/>
          <w:b/>
          <w:bCs/>
          <w:sz w:val="18"/>
          <w:szCs w:val="18"/>
        </w:rPr>
      </w:pPr>
      <w:r/>
      <w:hyperlink w:tooltip="#_Toc33" w:anchor="_Toc33" w:history="1">
        <w:r>
          <w:rPr>
            <w:rStyle w:val="863"/>
            <w:sz w:val="18"/>
            <w:szCs w:val="18"/>
          </w:rPr>
        </w:r>
        <w:r>
          <w:rPr>
            <w:rStyle w:val="863"/>
            <w:rFonts w:ascii="Arial" w:hAnsi="Arial" w:eastAsia="Arial"/>
            <w:b/>
            <w:bCs/>
            <w:sz w:val="18"/>
            <w:szCs w:val="18"/>
          </w:rPr>
          <w:t xml:space="preserve">33.</w:t>
        </w:r>
        <w:r>
          <w:rPr>
            <w:rStyle w:val="863"/>
            <w:rFonts w:ascii="Arial" w:hAnsi="Arial"/>
            <w:b/>
            <w:sz w:val="18"/>
            <w:szCs w:val="18"/>
          </w:rPr>
          <w:t xml:space="preserve"> </w:t>
        </w:r>
        <w:r>
          <w:rPr>
            <w:rStyle w:val="863"/>
            <w:rFonts w:ascii="Arial" w:hAnsi="Arial"/>
            <w:b/>
            <w:sz w:val="18"/>
            <w:szCs w:val="18"/>
          </w:rPr>
          <w:t xml:space="preserve">DA FORMA, CONDIÇÕES, PRAZOS DE PAGAMENTO</w:t>
        </w:r>
        <w:r>
          <w:rPr>
            <w:rStyle w:val="863"/>
            <w:rFonts w:ascii="Arial" w:hAnsi="Arial" w:eastAsia="Arial"/>
            <w:b/>
            <w:bCs/>
            <w:sz w:val="18"/>
            <w:szCs w:val="18"/>
          </w:rPr>
          <w:t xml:space="preserve">:</w:t>
        </w:r>
        <w:r>
          <w:rPr>
            <w:rStyle w:val="863"/>
            <w:rFonts w:ascii="Arial" w:hAnsi="Arial"/>
            <w:b/>
            <w:bCs/>
            <w:sz w:val="18"/>
            <w:szCs w:val="18"/>
          </w:rPr>
        </w:r>
        <w:r>
          <w:rPr>
            <w:sz w:val="18"/>
            <w:szCs w:val="18"/>
          </w:rPr>
          <w:tab/>
        </w:r>
        <w:r>
          <w:rPr>
            <w:sz w:val="18"/>
            <w:szCs w:val="18"/>
          </w:rPr>
          <w:fldChar w:fldCharType="begin"/>
          <w:instrText xml:space="preserve">PAGEREF _Toc33 \h</w:instrText>
          <w:fldChar w:fldCharType="separate"/>
        </w:r>
        <w:r>
          <w:rPr>
            <w:rStyle w:val="863"/>
            <w:sz w:val="18"/>
            <w:szCs w:val="18"/>
          </w:rPr>
          <w:t xml:space="preserve">29</w:t>
        </w:r>
        <w:r>
          <w:rPr>
            <w:sz w:val="18"/>
            <w:szCs w:val="18"/>
          </w:rPr>
          <w:fldChar w:fldCharType="end"/>
        </w:r>
      </w:hyperlink>
      <w:r>
        <w:rPr>
          <w:rFonts w:ascii="Arial" w:hAnsi="Arial"/>
          <w:b/>
          <w:bCs/>
          <w:sz w:val="18"/>
          <w:szCs w:val="18"/>
        </w:rPr>
      </w:r>
      <w:r>
        <w:rPr>
          <w:rFonts w:ascii="Arial" w:hAnsi="Arial"/>
          <w:b/>
          <w:bCs/>
          <w:sz w:val="18"/>
          <w:szCs w:val="18"/>
        </w:rPr>
      </w:r>
    </w:p>
    <w:p w14:paraId="051E8657">
      <w:pPr>
        <w:pStyle w:val="2025"/>
        <w:pBdr/>
        <w:tabs>
          <w:tab w:val="right" w:leader="dot" w:pos="9771"/>
        </w:tabs>
        <w:spacing/>
        <w:ind/>
        <w:rPr>
          <w:rFonts w:ascii="Arial" w:hAnsi="Arial"/>
          <w:b/>
          <w:bCs/>
          <w:sz w:val="18"/>
          <w:szCs w:val="18"/>
        </w:rPr>
      </w:pPr>
      <w:r/>
      <w:hyperlink w:tooltip="#_Toc34" w:anchor="_Toc34" w:history="1">
        <w:r>
          <w:rPr>
            <w:rStyle w:val="863"/>
            <w:sz w:val="18"/>
            <w:szCs w:val="18"/>
          </w:rPr>
        </w:r>
        <w:r>
          <w:rPr>
            <w:rStyle w:val="863"/>
            <w:rFonts w:ascii="Arial" w:hAnsi="Arial" w:eastAsia="Arial"/>
            <w:b/>
            <w:bCs/>
            <w:sz w:val="18"/>
            <w:szCs w:val="18"/>
          </w:rPr>
          <w:t xml:space="preserve">34.</w:t>
        </w:r>
        <w:r>
          <w:rPr>
            <w:rStyle w:val="863"/>
            <w:rFonts w:ascii="Arial" w:hAnsi="Arial"/>
            <w:b/>
            <w:sz w:val="18"/>
            <w:szCs w:val="18"/>
          </w:rPr>
          <w:t xml:space="preserve"> DAS INFRAÇÕES ADMINISTRATIVAS E SANÇÕES REFERENTE A LICITAÇÃO</w:t>
        </w:r>
        <w:r>
          <w:rPr>
            <w:rStyle w:val="863"/>
            <w:rFonts w:ascii="Arial" w:hAnsi="Arial" w:eastAsia="Arial"/>
            <w:b/>
            <w:bCs/>
            <w:sz w:val="18"/>
            <w:szCs w:val="18"/>
          </w:rPr>
          <w:t xml:space="preserve">:</w:t>
        </w:r>
        <w:r>
          <w:rPr>
            <w:rStyle w:val="863"/>
            <w:rFonts w:ascii="Arial" w:hAnsi="Arial"/>
            <w:b/>
            <w:bCs/>
            <w:sz w:val="18"/>
            <w:szCs w:val="18"/>
          </w:rPr>
        </w:r>
        <w:r>
          <w:rPr>
            <w:sz w:val="18"/>
            <w:szCs w:val="18"/>
          </w:rPr>
          <w:tab/>
        </w:r>
        <w:r>
          <w:rPr>
            <w:sz w:val="18"/>
            <w:szCs w:val="18"/>
          </w:rPr>
          <w:fldChar w:fldCharType="begin"/>
          <w:instrText xml:space="preserve">PAGEREF _Toc34 \h</w:instrText>
          <w:fldChar w:fldCharType="separate"/>
        </w:r>
        <w:r>
          <w:rPr>
            <w:rStyle w:val="863"/>
            <w:sz w:val="18"/>
            <w:szCs w:val="18"/>
          </w:rPr>
          <w:t xml:space="preserve">30</w:t>
        </w:r>
        <w:r>
          <w:rPr>
            <w:sz w:val="18"/>
            <w:szCs w:val="18"/>
          </w:rPr>
          <w:fldChar w:fldCharType="end"/>
        </w:r>
      </w:hyperlink>
      <w:r>
        <w:rPr>
          <w:rFonts w:ascii="Arial" w:hAnsi="Arial"/>
          <w:b/>
          <w:bCs/>
          <w:sz w:val="18"/>
          <w:szCs w:val="18"/>
        </w:rPr>
      </w:r>
      <w:r>
        <w:rPr>
          <w:rFonts w:ascii="Arial" w:hAnsi="Arial"/>
          <w:b/>
          <w:bCs/>
          <w:sz w:val="18"/>
          <w:szCs w:val="18"/>
        </w:rPr>
      </w:r>
    </w:p>
    <w:p w14:paraId="5F52CE84">
      <w:pPr>
        <w:pStyle w:val="2025"/>
        <w:pBdr/>
        <w:tabs>
          <w:tab w:val="right" w:leader="dot" w:pos="9771"/>
        </w:tabs>
        <w:spacing/>
        <w:ind/>
        <w:rPr>
          <w:rFonts w:ascii="Arial" w:hAnsi="Arial"/>
          <w:b/>
          <w:bCs/>
          <w:sz w:val="18"/>
          <w:szCs w:val="18"/>
        </w:rPr>
      </w:pPr>
      <w:r/>
      <w:hyperlink w:tooltip="#_Toc35" w:anchor="_Toc35" w:history="1">
        <w:r>
          <w:rPr>
            <w:rStyle w:val="863"/>
            <w:sz w:val="18"/>
            <w:szCs w:val="18"/>
          </w:rPr>
        </w:r>
        <w:r>
          <w:rPr>
            <w:rStyle w:val="863"/>
            <w:rFonts w:ascii="Arial" w:hAnsi="Arial" w:eastAsia="Arial"/>
            <w:b/>
            <w:bCs/>
            <w:sz w:val="18"/>
            <w:szCs w:val="18"/>
          </w:rPr>
          <w:t xml:space="preserve">35.</w:t>
        </w:r>
        <w:r>
          <w:rPr>
            <w:rStyle w:val="863"/>
            <w:rFonts w:ascii="Arial" w:hAnsi="Arial"/>
            <w:b/>
            <w:sz w:val="18"/>
            <w:szCs w:val="18"/>
          </w:rPr>
          <w:t xml:space="preserve">  DA IMPUGNAÇÃO AO EDITAL E DO PEDIDO DE ESCLARECIMENTO</w:t>
        </w:r>
        <w:r>
          <w:rPr>
            <w:rStyle w:val="863"/>
            <w:rFonts w:ascii="Arial" w:hAnsi="Arial" w:eastAsia="Arial"/>
            <w:b/>
            <w:bCs/>
            <w:sz w:val="18"/>
            <w:szCs w:val="18"/>
          </w:rPr>
          <w:t xml:space="preserve">:</w:t>
        </w:r>
        <w:r>
          <w:rPr>
            <w:rStyle w:val="863"/>
            <w:rFonts w:ascii="Arial" w:hAnsi="Arial"/>
            <w:b/>
            <w:bCs/>
            <w:sz w:val="18"/>
            <w:szCs w:val="18"/>
          </w:rPr>
        </w:r>
        <w:r>
          <w:rPr>
            <w:sz w:val="18"/>
            <w:szCs w:val="18"/>
          </w:rPr>
          <w:tab/>
        </w:r>
        <w:r>
          <w:rPr>
            <w:sz w:val="18"/>
            <w:szCs w:val="18"/>
          </w:rPr>
          <w:fldChar w:fldCharType="begin"/>
          <w:instrText xml:space="preserve">PAGEREF _Toc35 \h</w:instrText>
          <w:fldChar w:fldCharType="separate"/>
        </w:r>
        <w:r>
          <w:rPr>
            <w:rStyle w:val="863"/>
            <w:sz w:val="18"/>
            <w:szCs w:val="18"/>
          </w:rPr>
          <w:t xml:space="preserve">32</w:t>
        </w:r>
        <w:r>
          <w:rPr>
            <w:sz w:val="18"/>
            <w:szCs w:val="18"/>
          </w:rPr>
          <w:fldChar w:fldCharType="end"/>
        </w:r>
      </w:hyperlink>
      <w:r>
        <w:rPr>
          <w:rFonts w:ascii="Arial" w:hAnsi="Arial"/>
          <w:b/>
          <w:bCs/>
          <w:sz w:val="18"/>
          <w:szCs w:val="18"/>
        </w:rPr>
      </w:r>
      <w:r>
        <w:rPr>
          <w:rFonts w:ascii="Arial" w:hAnsi="Arial"/>
          <w:b/>
          <w:bCs/>
          <w:sz w:val="18"/>
          <w:szCs w:val="18"/>
        </w:rPr>
      </w:r>
    </w:p>
    <w:p w14:paraId="4B260622">
      <w:pPr>
        <w:pStyle w:val="2025"/>
        <w:pBdr/>
        <w:tabs>
          <w:tab w:val="right" w:leader="dot" w:pos="9771"/>
        </w:tabs>
        <w:spacing/>
        <w:ind/>
        <w:rPr>
          <w:rFonts w:ascii="Arial" w:hAnsi="Arial"/>
          <w:b/>
          <w:bCs/>
          <w:sz w:val="18"/>
          <w:szCs w:val="18"/>
        </w:rPr>
      </w:pPr>
      <w:r/>
      <w:hyperlink w:tooltip="#_Toc36" w:anchor="_Toc36" w:history="1">
        <w:r>
          <w:rPr>
            <w:rStyle w:val="863"/>
            <w:sz w:val="18"/>
            <w:szCs w:val="18"/>
          </w:rPr>
        </w:r>
        <w:r>
          <w:rPr>
            <w:rStyle w:val="863"/>
            <w:rFonts w:ascii="Arial" w:hAnsi="Arial" w:eastAsia="Arial"/>
            <w:b/>
            <w:bCs/>
            <w:sz w:val="18"/>
            <w:szCs w:val="18"/>
          </w:rPr>
          <w:t xml:space="preserve">36.</w:t>
        </w:r>
        <w:r>
          <w:rPr>
            <w:rStyle w:val="863"/>
            <w:rFonts w:ascii="Arial" w:hAnsi="Arial"/>
            <w:b/>
            <w:sz w:val="18"/>
            <w:szCs w:val="18"/>
          </w:rPr>
          <w:t xml:space="preserve"> DAS DISPOSIÇÕES GERAIS</w:t>
        </w:r>
        <w:r>
          <w:rPr>
            <w:rStyle w:val="863"/>
            <w:rFonts w:ascii="Arial" w:hAnsi="Arial" w:eastAsia="Arial"/>
            <w:b/>
            <w:bCs/>
            <w:sz w:val="18"/>
            <w:szCs w:val="18"/>
          </w:rPr>
          <w:t xml:space="preserve">:</w:t>
        </w:r>
        <w:r>
          <w:rPr>
            <w:rStyle w:val="863"/>
            <w:rFonts w:ascii="Arial" w:hAnsi="Arial"/>
            <w:b/>
            <w:bCs/>
            <w:sz w:val="18"/>
            <w:szCs w:val="18"/>
          </w:rPr>
        </w:r>
        <w:r>
          <w:rPr>
            <w:sz w:val="18"/>
            <w:szCs w:val="18"/>
          </w:rPr>
          <w:tab/>
        </w:r>
        <w:r>
          <w:rPr>
            <w:sz w:val="18"/>
            <w:szCs w:val="18"/>
          </w:rPr>
          <w:fldChar w:fldCharType="begin"/>
          <w:instrText xml:space="preserve">PAGEREF _Toc36 \h</w:instrText>
          <w:fldChar w:fldCharType="separate"/>
        </w:r>
        <w:r>
          <w:rPr>
            <w:rStyle w:val="863"/>
            <w:sz w:val="18"/>
            <w:szCs w:val="18"/>
          </w:rPr>
          <w:t xml:space="preserve">33</w:t>
        </w:r>
        <w:r>
          <w:rPr>
            <w:sz w:val="18"/>
            <w:szCs w:val="18"/>
          </w:rPr>
          <w:fldChar w:fldCharType="end"/>
        </w:r>
      </w:hyperlink>
      <w:r>
        <w:rPr>
          <w:rFonts w:ascii="Arial" w:hAnsi="Arial"/>
          <w:b/>
          <w:bCs/>
          <w:sz w:val="18"/>
          <w:szCs w:val="18"/>
        </w:rPr>
      </w:r>
      <w:r>
        <w:rPr>
          <w:rFonts w:ascii="Arial" w:hAnsi="Arial"/>
          <w:b/>
          <w:bCs/>
          <w:sz w:val="18"/>
          <w:szCs w:val="18"/>
        </w:rPr>
      </w:r>
    </w:p>
    <w:p w14:paraId="48234BB8">
      <w:pPr>
        <w:pStyle w:val="2025"/>
        <w:pBdr/>
        <w:tabs>
          <w:tab w:val="right" w:leader="dot" w:pos="9771"/>
        </w:tabs>
        <w:spacing/>
        <w:ind/>
        <w:rPr>
          <w:rFonts w:ascii="Arial" w:hAnsi="Arial"/>
          <w:b/>
          <w:bCs/>
          <w:sz w:val="18"/>
          <w:szCs w:val="18"/>
        </w:rPr>
      </w:pPr>
      <w:r/>
      <w:hyperlink w:tooltip="#_Toc37" w:anchor="_Toc37" w:history="1">
        <w:r>
          <w:rPr>
            <w:rStyle w:val="863"/>
            <w:sz w:val="18"/>
            <w:szCs w:val="18"/>
          </w:rPr>
        </w:r>
        <w:r>
          <w:rPr>
            <w:rStyle w:val="863"/>
            <w:rFonts w:ascii="Arial" w:hAnsi="Arial" w:eastAsia="Arial"/>
            <w:b/>
            <w:bCs/>
            <w:sz w:val="18"/>
            <w:szCs w:val="18"/>
          </w:rPr>
          <w:t xml:space="preserve">37.</w:t>
        </w:r>
        <w:r>
          <w:rPr>
            <w:rStyle w:val="863"/>
            <w:rFonts w:ascii="Arial" w:hAnsi="Arial"/>
            <w:b/>
            <w:sz w:val="18"/>
            <w:szCs w:val="18"/>
          </w:rPr>
          <w:t xml:space="preserve"> </w:t>
        </w:r>
        <w:r>
          <w:rPr>
            <w:rStyle w:val="863"/>
            <w:rFonts w:ascii="Arial" w:hAnsi="Arial"/>
            <w:b/>
            <w:sz w:val="18"/>
            <w:szCs w:val="18"/>
          </w:rPr>
          <w:t xml:space="preserve"> INTEGRAM ESTE EDITAL, PARA TODOS OS FINS E EFEITOS, OS SEGUINTES ANE</w:t>
        </w:r>
        <w:r>
          <w:rPr>
            <w:rStyle w:val="863"/>
            <w:rFonts w:ascii="Arial" w:hAnsi="Arial"/>
            <w:b/>
            <w:sz w:val="18"/>
            <w:szCs w:val="18"/>
          </w:rPr>
          <w:t xml:space="preserve">XOS</w:t>
        </w:r>
        <w:r>
          <w:rPr>
            <w:rStyle w:val="863"/>
            <w:rFonts w:ascii="Arial" w:hAnsi="Arial" w:eastAsia="Arial"/>
            <w:b/>
            <w:bCs/>
            <w:sz w:val="18"/>
            <w:szCs w:val="18"/>
          </w:rPr>
          <w:t xml:space="preserve">:</w:t>
        </w:r>
        <w:r>
          <w:rPr>
            <w:rStyle w:val="863"/>
            <w:rFonts w:ascii="Arial" w:hAnsi="Arial"/>
            <w:b/>
            <w:bCs/>
            <w:sz w:val="18"/>
            <w:szCs w:val="18"/>
          </w:rPr>
        </w:r>
        <w:r>
          <w:rPr>
            <w:sz w:val="18"/>
            <w:szCs w:val="18"/>
          </w:rPr>
          <w:tab/>
        </w:r>
        <w:r>
          <w:rPr>
            <w:sz w:val="18"/>
            <w:szCs w:val="18"/>
          </w:rPr>
          <w:fldChar w:fldCharType="begin"/>
          <w:instrText xml:space="preserve">PAGEREF _Toc37 \h</w:instrText>
          <w:fldChar w:fldCharType="separate"/>
        </w:r>
        <w:r>
          <w:rPr>
            <w:rStyle w:val="863"/>
            <w:sz w:val="18"/>
            <w:szCs w:val="18"/>
          </w:rPr>
          <w:t xml:space="preserve">34</w:t>
        </w:r>
        <w:r>
          <w:rPr>
            <w:sz w:val="18"/>
            <w:szCs w:val="18"/>
          </w:rPr>
          <w:fldChar w:fldCharType="end"/>
        </w:r>
      </w:hyperlink>
      <w:r>
        <w:rPr>
          <w:rFonts w:ascii="Arial" w:hAnsi="Arial"/>
          <w:b/>
          <w:bCs/>
          <w:sz w:val="18"/>
          <w:szCs w:val="18"/>
        </w:rPr>
      </w:r>
      <w:r>
        <w:rPr>
          <w:rFonts w:ascii="Arial" w:hAnsi="Arial"/>
          <w:b/>
          <w:bCs/>
          <w:sz w:val="18"/>
          <w:szCs w:val="18"/>
        </w:rPr>
      </w:r>
    </w:p>
    <w:p w14:paraId="08560D16">
      <w:pPr>
        <w:pStyle w:val="2025"/>
        <w:pBdr/>
        <w:tabs>
          <w:tab w:val="right" w:leader="dot" w:pos="9771"/>
        </w:tabs>
        <w:spacing/>
        <w:ind/>
        <w:rPr>
          <w:rFonts w:eastAsia="Arial"/>
          <w:sz w:val="18"/>
          <w:szCs w:val="18"/>
        </w:rPr>
      </w:pPr>
      <w:r/>
      <w:hyperlink w:tooltip="#_Toc38" w:anchor="_Toc38" w:history="1">
        <w:r>
          <w:rPr>
            <w:rFonts w:ascii="Arial" w:hAnsi="Arial" w:eastAsia="Arial" w:cs="Arial"/>
            <w:sz w:val="18"/>
            <w:szCs w:val="18"/>
          </w:rPr>
        </w:r>
        <w:r>
          <w:rPr>
            <w:rStyle w:val="863"/>
            <w:sz w:val="18"/>
            <w:szCs w:val="18"/>
          </w:rPr>
        </w:r>
        <w:r>
          <w:rPr>
            <w:rStyle w:val="863"/>
            <w:rFonts w:eastAsia="Arial"/>
            <w:sz w:val="18"/>
            <w:szCs w:val="18"/>
          </w:rPr>
          <w:t xml:space="preserve">ANEXO I: TERMO DE REFERÊNCIA.</w:t>
        </w:r>
        <w:r>
          <w:rPr>
            <w:rStyle w:val="863"/>
            <w:rFonts w:eastAsia="Arial"/>
            <w:sz w:val="18"/>
            <w:szCs w:val="18"/>
          </w:rPr>
        </w:r>
        <w:r>
          <w:rPr>
            <w:sz w:val="18"/>
            <w:szCs w:val="18"/>
          </w:rPr>
          <w:tab/>
        </w:r>
        <w:r>
          <w:rPr>
            <w:sz w:val="18"/>
            <w:szCs w:val="18"/>
          </w:rPr>
          <w:fldChar w:fldCharType="begin"/>
          <w:instrText xml:space="preserve">PAGEREF _Toc38 \h</w:instrText>
          <w:fldChar w:fldCharType="separate"/>
        </w:r>
        <w:r>
          <w:rPr>
            <w:rFonts w:ascii="Arial" w:hAnsi="Arial" w:eastAsia="Arial" w:cs="Arial"/>
            <w:sz w:val="18"/>
            <w:szCs w:val="18"/>
          </w:rPr>
          <w:t xml:space="preserve">35</w:t>
        </w:r>
        <w:r>
          <w:rPr>
            <w:sz w:val="18"/>
            <w:szCs w:val="18"/>
          </w:rPr>
          <w:fldChar w:fldCharType="end"/>
        </w:r>
      </w:hyperlink>
      <w:r>
        <w:rPr>
          <w:rFonts w:eastAsia="Arial"/>
          <w:sz w:val="18"/>
          <w:szCs w:val="18"/>
        </w:rPr>
      </w:r>
      <w:r>
        <w:rPr>
          <w:rFonts w:eastAsia="Arial"/>
          <w:sz w:val="18"/>
          <w:szCs w:val="18"/>
        </w:rPr>
      </w:r>
    </w:p>
    <w:p w14:paraId="0AC20A95">
      <w:pPr>
        <w:pStyle w:val="2025"/>
        <w:pBdr/>
        <w:tabs>
          <w:tab w:val="right" w:leader="dot" w:pos="9771"/>
        </w:tabs>
        <w:spacing/>
        <w:ind/>
        <w:rPr>
          <w:rFonts w:eastAsia="Arial"/>
          <w:sz w:val="18"/>
          <w:szCs w:val="18"/>
        </w:rPr>
      </w:pPr>
      <w:r/>
      <w:hyperlink w:tooltip="#_Toc39" w:anchor="_Toc39" w:history="1">
        <w:r>
          <w:rPr>
            <w:rFonts w:ascii="Arial" w:hAnsi="Arial" w:eastAsia="Arial" w:cs="Arial"/>
            <w:sz w:val="18"/>
            <w:szCs w:val="18"/>
          </w:rPr>
        </w:r>
        <w:r>
          <w:rPr>
            <w:rStyle w:val="863"/>
            <w:sz w:val="18"/>
            <w:szCs w:val="18"/>
          </w:rPr>
        </w:r>
        <w:r>
          <w:rPr>
            <w:rStyle w:val="863"/>
            <w:rFonts w:eastAsia="Arial"/>
            <w:sz w:val="18"/>
            <w:szCs w:val="18"/>
          </w:rPr>
          <w:t xml:space="preserve">ANEXO II: MINUTA DA ATA DE REGISTRO DE PREÇOS.</w:t>
        </w:r>
        <w:r>
          <w:rPr>
            <w:rStyle w:val="863"/>
            <w:rFonts w:eastAsia="Arial"/>
            <w:sz w:val="18"/>
            <w:szCs w:val="18"/>
          </w:rPr>
        </w:r>
        <w:r>
          <w:rPr>
            <w:sz w:val="18"/>
            <w:szCs w:val="18"/>
          </w:rPr>
          <w:tab/>
        </w:r>
        <w:r>
          <w:rPr>
            <w:sz w:val="18"/>
            <w:szCs w:val="18"/>
          </w:rPr>
          <w:fldChar w:fldCharType="begin"/>
          <w:instrText xml:space="preserve">PAGEREF _Toc39 \h</w:instrText>
          <w:fldChar w:fldCharType="separate"/>
        </w:r>
        <w:r>
          <w:rPr>
            <w:rFonts w:ascii="Arial" w:hAnsi="Arial" w:eastAsia="Arial" w:cs="Arial"/>
            <w:sz w:val="18"/>
            <w:szCs w:val="18"/>
          </w:rPr>
          <w:t xml:space="preserve">58</w:t>
        </w:r>
        <w:r>
          <w:rPr>
            <w:sz w:val="18"/>
            <w:szCs w:val="18"/>
          </w:rPr>
          <w:fldChar w:fldCharType="end"/>
        </w:r>
      </w:hyperlink>
      <w:r>
        <w:rPr>
          <w:rFonts w:eastAsia="Arial"/>
          <w:sz w:val="18"/>
          <w:szCs w:val="18"/>
        </w:rPr>
      </w:r>
      <w:r>
        <w:rPr>
          <w:rFonts w:eastAsia="Arial"/>
          <w:sz w:val="18"/>
          <w:szCs w:val="18"/>
        </w:rPr>
      </w:r>
    </w:p>
    <w:p w14:paraId="2ED19858">
      <w:pPr>
        <w:pStyle w:val="2025"/>
        <w:pBdr/>
        <w:tabs>
          <w:tab w:val="right" w:leader="dot" w:pos="9771"/>
        </w:tabs>
        <w:spacing/>
        <w:ind/>
        <w:rPr>
          <w:rFonts w:eastAsia="Arial"/>
          <w:sz w:val="18"/>
          <w:szCs w:val="18"/>
        </w:rPr>
      </w:pPr>
      <w:r/>
      <w:hyperlink w:tooltip="#_Toc40" w:anchor="_Toc40" w:history="1">
        <w:r>
          <w:rPr>
            <w:rFonts w:ascii="Arial" w:hAnsi="Arial" w:eastAsia="Arial" w:cs="Arial"/>
            <w:sz w:val="18"/>
            <w:szCs w:val="18"/>
          </w:rPr>
        </w:r>
        <w:r>
          <w:rPr>
            <w:rStyle w:val="863"/>
            <w:sz w:val="18"/>
            <w:szCs w:val="18"/>
          </w:rPr>
        </w:r>
        <w:r>
          <w:rPr>
            <w:rStyle w:val="863"/>
            <w:rFonts w:eastAsia="Arial"/>
            <w:sz w:val="18"/>
            <w:szCs w:val="18"/>
          </w:rPr>
          <w:t xml:space="preserve">ANEXO III: MINUTA DO CONTRATO.</w:t>
        </w:r>
        <w:r>
          <w:rPr>
            <w:rStyle w:val="863"/>
            <w:rFonts w:eastAsia="Arial"/>
            <w:sz w:val="18"/>
            <w:szCs w:val="18"/>
          </w:rPr>
        </w:r>
        <w:r>
          <w:rPr>
            <w:sz w:val="18"/>
            <w:szCs w:val="18"/>
          </w:rPr>
          <w:tab/>
        </w:r>
        <w:r>
          <w:rPr>
            <w:sz w:val="18"/>
            <w:szCs w:val="18"/>
          </w:rPr>
          <w:fldChar w:fldCharType="begin"/>
          <w:instrText xml:space="preserve">PAGEREF _Toc40 \h</w:instrText>
          <w:fldChar w:fldCharType="separate"/>
        </w:r>
        <w:r>
          <w:rPr>
            <w:rFonts w:ascii="Arial" w:hAnsi="Arial" w:eastAsia="Arial" w:cs="Arial"/>
            <w:sz w:val="18"/>
            <w:szCs w:val="18"/>
          </w:rPr>
          <w:t xml:space="preserve">69</w:t>
        </w:r>
        <w:r>
          <w:rPr>
            <w:sz w:val="18"/>
            <w:szCs w:val="18"/>
          </w:rPr>
          <w:fldChar w:fldCharType="end"/>
        </w:r>
      </w:hyperlink>
      <w:r>
        <w:rPr>
          <w:rFonts w:eastAsia="Arial"/>
          <w:sz w:val="18"/>
          <w:szCs w:val="18"/>
        </w:rPr>
      </w:r>
      <w:r>
        <w:rPr>
          <w:rFonts w:eastAsia="Arial"/>
          <w:sz w:val="18"/>
          <w:szCs w:val="18"/>
        </w:rPr>
      </w:r>
    </w:p>
    <w:p w14:paraId="7C77B2B0">
      <w:pPr>
        <w:pStyle w:val="2025"/>
        <w:pBdr/>
        <w:tabs>
          <w:tab w:val="right" w:leader="dot" w:pos="9771"/>
        </w:tabs>
        <w:spacing/>
        <w:ind/>
        <w:rPr>
          <w:rFonts w:eastAsia="Arial"/>
          <w:sz w:val="18"/>
          <w:szCs w:val="18"/>
        </w:rPr>
      </w:pPr>
      <w:r/>
      <w:hyperlink w:tooltip="#_Toc41" w:anchor="_Toc41" w:history="1">
        <w:r>
          <w:rPr>
            <w:rFonts w:ascii="Arial" w:hAnsi="Arial" w:eastAsia="Arial" w:cs="Arial"/>
            <w:sz w:val="18"/>
            <w:szCs w:val="18"/>
          </w:rPr>
        </w:r>
        <w:r>
          <w:rPr>
            <w:rStyle w:val="863"/>
            <w:sz w:val="18"/>
            <w:szCs w:val="18"/>
          </w:rPr>
        </w:r>
        <w:r>
          <w:rPr>
            <w:rStyle w:val="863"/>
            <w:rFonts w:eastAsia="Arial"/>
            <w:sz w:val="18"/>
            <w:szCs w:val="18"/>
          </w:rPr>
          <w:t xml:space="preserve">ANEXO IV: </w:t>
        </w:r>
        <w:r>
          <w:rPr>
            <w:rStyle w:val="863"/>
            <w:rFonts w:eastAsia="Arial"/>
            <w:sz w:val="18"/>
            <w:szCs w:val="18"/>
          </w:rPr>
          <w:t xml:space="preserve">MODELO DE PROPOSTA COMERCIAL.</w:t>
        </w:r>
        <w:r>
          <w:rPr>
            <w:rStyle w:val="863"/>
            <w:rFonts w:eastAsia="Arial"/>
            <w:sz w:val="18"/>
            <w:szCs w:val="18"/>
          </w:rPr>
        </w:r>
        <w:r>
          <w:rPr>
            <w:sz w:val="18"/>
            <w:szCs w:val="18"/>
          </w:rPr>
          <w:tab/>
        </w:r>
        <w:r>
          <w:rPr>
            <w:sz w:val="18"/>
            <w:szCs w:val="18"/>
          </w:rPr>
          <w:fldChar w:fldCharType="begin"/>
          <w:instrText xml:space="preserve">PAGEREF _Toc41 \h</w:instrText>
          <w:fldChar w:fldCharType="separate"/>
        </w:r>
        <w:r>
          <w:rPr>
            <w:rFonts w:ascii="Arial" w:hAnsi="Arial" w:eastAsia="Arial" w:cs="Arial"/>
            <w:sz w:val="18"/>
            <w:szCs w:val="18"/>
          </w:rPr>
          <w:t xml:space="preserve">83</w:t>
        </w:r>
        <w:r>
          <w:rPr>
            <w:sz w:val="18"/>
            <w:szCs w:val="18"/>
          </w:rPr>
          <w:fldChar w:fldCharType="end"/>
        </w:r>
      </w:hyperlink>
      <w:r>
        <w:rPr>
          <w:rFonts w:eastAsia="Arial"/>
          <w:sz w:val="18"/>
          <w:szCs w:val="18"/>
        </w:rPr>
      </w:r>
      <w:r>
        <w:rPr>
          <w:rFonts w:eastAsia="Arial"/>
          <w:sz w:val="18"/>
          <w:szCs w:val="18"/>
        </w:rPr>
      </w:r>
    </w:p>
    <w:p w14:paraId="563D3009">
      <w:pPr>
        <w:pStyle w:val="2025"/>
        <w:pBdr/>
        <w:tabs>
          <w:tab w:val="right" w:leader="dot" w:pos="9771"/>
        </w:tabs>
        <w:spacing/>
        <w:ind/>
        <w:rPr>
          <w:rFonts w:eastAsia="Arial"/>
          <w:sz w:val="18"/>
          <w:szCs w:val="18"/>
        </w:rPr>
      </w:pPr>
      <w:r/>
      <w:hyperlink w:tooltip="#_Toc42" w:anchor="_Toc42" w:history="1">
        <w:r>
          <w:rPr>
            <w:rFonts w:ascii="Arial" w:hAnsi="Arial" w:eastAsia="Arial" w:cs="Arial"/>
            <w:sz w:val="18"/>
            <w:szCs w:val="18"/>
          </w:rPr>
        </w:r>
        <w:r>
          <w:rPr>
            <w:rStyle w:val="863"/>
            <w:sz w:val="18"/>
            <w:szCs w:val="18"/>
          </w:rPr>
        </w:r>
        <w:r>
          <w:rPr>
            <w:rStyle w:val="863"/>
            <w:rFonts w:eastAsia="Arial"/>
            <w:sz w:val="18"/>
            <w:szCs w:val="18"/>
          </w:rPr>
          <w:t xml:space="preserve">ANEXO V: MODELO CREDENCIAMENTO E COMPROVAÇÕES COMPLEMENTARES ESPECIAIS.</w:t>
        </w:r>
        <w:r>
          <w:rPr>
            <w:rStyle w:val="863"/>
            <w:rFonts w:eastAsia="Arial"/>
            <w:sz w:val="18"/>
            <w:szCs w:val="18"/>
          </w:rPr>
        </w:r>
        <w:r>
          <w:rPr>
            <w:sz w:val="18"/>
            <w:szCs w:val="18"/>
          </w:rPr>
          <w:tab/>
        </w:r>
        <w:r>
          <w:rPr>
            <w:sz w:val="18"/>
            <w:szCs w:val="18"/>
          </w:rPr>
          <w:fldChar w:fldCharType="begin"/>
          <w:instrText xml:space="preserve">PAGEREF _Toc42 \h</w:instrText>
          <w:fldChar w:fldCharType="separate"/>
        </w:r>
        <w:r>
          <w:rPr>
            <w:rFonts w:ascii="Arial" w:hAnsi="Arial" w:eastAsia="Arial" w:cs="Arial"/>
            <w:sz w:val="18"/>
            <w:szCs w:val="18"/>
          </w:rPr>
          <w:t xml:space="preserve">84</w:t>
        </w:r>
        <w:r>
          <w:rPr>
            <w:sz w:val="18"/>
            <w:szCs w:val="18"/>
          </w:rPr>
          <w:fldChar w:fldCharType="end"/>
        </w:r>
      </w:hyperlink>
      <w:r>
        <w:rPr>
          <w:rFonts w:eastAsia="Arial"/>
          <w:sz w:val="18"/>
          <w:szCs w:val="18"/>
        </w:rPr>
      </w:r>
      <w:r>
        <w:rPr>
          <w:rFonts w:eastAsia="Arial"/>
          <w:sz w:val="18"/>
          <w:szCs w:val="18"/>
        </w:rPr>
      </w:r>
    </w:p>
    <w:p w14:paraId="200D9214">
      <w:pPr>
        <w:pStyle w:val="2025"/>
        <w:pBdr/>
        <w:tabs>
          <w:tab w:val="right" w:leader="dot" w:pos="9771"/>
        </w:tabs>
        <w:spacing/>
        <w:ind/>
        <w:rPr>
          <w:rFonts w:eastAsia="Arial"/>
          <w:sz w:val="18"/>
          <w:szCs w:val="18"/>
        </w:rPr>
      </w:pPr>
      <w:r/>
      <w:hyperlink w:tooltip="#_Toc43" w:anchor="_Toc43" w:history="1">
        <w:r>
          <w:rPr>
            <w:rFonts w:ascii="Arial" w:hAnsi="Arial" w:eastAsia="Arial" w:cs="Arial"/>
            <w:sz w:val="18"/>
            <w:szCs w:val="18"/>
          </w:rPr>
        </w:r>
        <w:r>
          <w:rPr>
            <w:rStyle w:val="863"/>
            <w:sz w:val="18"/>
            <w:szCs w:val="18"/>
          </w:rPr>
        </w:r>
        <w:r>
          <w:rPr>
            <w:rStyle w:val="863"/>
            <w:rFonts w:eastAsia="Arial"/>
            <w:sz w:val="18"/>
            <w:szCs w:val="18"/>
          </w:rPr>
          <w:t xml:space="preserve">ANEXO VI: FICHA DE ATUALIZAÇÃO CADASTRAL.</w:t>
        </w:r>
        <w:r>
          <w:rPr>
            <w:rStyle w:val="863"/>
            <w:rFonts w:eastAsia="Arial"/>
            <w:sz w:val="18"/>
            <w:szCs w:val="18"/>
          </w:rPr>
        </w:r>
        <w:r>
          <w:rPr>
            <w:sz w:val="18"/>
            <w:szCs w:val="18"/>
          </w:rPr>
          <w:tab/>
        </w:r>
        <w:r>
          <w:rPr>
            <w:sz w:val="18"/>
            <w:szCs w:val="18"/>
          </w:rPr>
          <w:fldChar w:fldCharType="begin"/>
          <w:instrText xml:space="preserve">PAGEREF _Toc43 \h</w:instrText>
          <w:fldChar w:fldCharType="separate"/>
        </w:r>
        <w:r>
          <w:rPr>
            <w:rFonts w:ascii="Arial" w:hAnsi="Arial" w:eastAsia="Arial" w:cs="Arial"/>
            <w:sz w:val="18"/>
            <w:szCs w:val="18"/>
          </w:rPr>
          <w:t xml:space="preserve">85</w:t>
        </w:r>
        <w:r>
          <w:rPr>
            <w:sz w:val="18"/>
            <w:szCs w:val="18"/>
          </w:rPr>
          <w:fldChar w:fldCharType="end"/>
        </w:r>
      </w:hyperlink>
      <w:r>
        <w:rPr>
          <w:rFonts w:eastAsia="Arial"/>
          <w:sz w:val="18"/>
          <w:szCs w:val="18"/>
        </w:rPr>
      </w:r>
      <w:r>
        <w:rPr>
          <w:rFonts w:eastAsia="Arial"/>
          <w:sz w:val="18"/>
          <w:szCs w:val="18"/>
        </w:rPr>
      </w:r>
    </w:p>
    <w:p w14:paraId="771C9E02">
      <w:pPr>
        <w:pStyle w:val="2025"/>
        <w:pBdr/>
        <w:tabs>
          <w:tab w:val="right" w:leader="dot" w:pos="9771"/>
        </w:tabs>
        <w:bidi w:val="false"/>
        <w:spacing w:after="80" w:before="0" w:line="240" w:lineRule="auto"/>
        <w:ind w:firstLine="0" w:left="-142"/>
        <w:jc w:val="center"/>
        <w:rPr>
          <w:rFonts w:ascii="Arial" w:hAnsi="Arial" w:cs="Arial"/>
          <w:sz w:val="20"/>
          <w:szCs w:val="20"/>
          <w:u w:val="none"/>
        </w:rPr>
      </w:pPr>
      <w:r>
        <w:rPr>
          <w:rFonts w:ascii="Arial" w:hAnsi="Arial" w:eastAsia="Arial" w:cs="Arial"/>
          <w:sz w:val="18"/>
          <w:szCs w:val="18"/>
        </w:rPr>
      </w:r>
      <w:r>
        <w:rPr>
          <w:rFonts w:ascii="Arial" w:hAnsi="Arial" w:eastAsia="Arial" w:cs="Arial"/>
          <w:sz w:val="20"/>
          <w:szCs w:val="20"/>
          <w:u w:val="none"/>
        </w:rPr>
        <w:fldChar w:fldCharType="end"/>
      </w:r>
      <w:r>
        <w:rPr>
          <w:rFonts w:ascii="Arial" w:hAnsi="Arial" w:cs="Arial"/>
          <w:sz w:val="20"/>
          <w:szCs w:val="20"/>
          <w:u w:val="none"/>
        </w:rPr>
      </w:r>
      <w:r>
        <w:rPr>
          <w:rFonts w:ascii="Arial" w:hAnsi="Arial" w:cs="Arial"/>
          <w:sz w:val="20"/>
          <w:szCs w:val="20"/>
          <w:u w:val="none"/>
        </w:rPr>
      </w:r>
    </w:p>
    <w:p>
      <w:pPr>
        <w:pStyle w:val="2025"/>
        <w:pBdr/>
        <w:tabs>
          <w:tab w:val="right" w:leader="dot" w:pos="9771"/>
        </w:tabs>
        <w:spacing/>
        <w:ind/>
        <w:rPr>
          <w:rFonts w:ascii="Arial" w:hAnsi="Arial" w:eastAsia="Arial"/>
          <w:sz w:val="16"/>
          <w:szCs w:val="16"/>
        </w:rPr>
      </w:pPr>
      <w:r>
        <w:rPr>
          <w:rFonts w:ascii="Arial" w:hAnsi="Arial" w:eastAsia="Arial"/>
          <w:b/>
          <w:bCs/>
          <w:color w:val="000000"/>
        </w:rPr>
        <w:t xml:space="preserve">1. PREÂMBULO:</w:t>
      </w:r>
      <w:r>
        <w:rPr>
          <w:rFonts w:ascii="Arial" w:hAnsi="Arial" w:eastAsia="Arial"/>
          <w:sz w:val="16"/>
          <w:szCs w:val="16"/>
        </w:rPr>
      </w:r>
      <w:r>
        <w:rPr>
          <w:rFonts w:ascii="Arial" w:hAnsi="Arial" w:eastAsia="Arial"/>
          <w:sz w:val="16"/>
          <w:szCs w:val="16"/>
        </w:rPr>
      </w:r>
    </w:p>
    <w:p>
      <w:pPr>
        <w:pBdr/>
        <w:spacing/>
        <w:ind/>
        <w:jc w:val="both"/>
        <w:rPr>
          <w:rFonts w:ascii="Arial" w:hAnsi="Arial"/>
          <w:b/>
          <w:bCs/>
        </w:rPr>
      </w:pPr>
      <w:r>
        <w:rPr>
          <w:rFonts w:ascii="Arial" w:hAnsi="Arial"/>
          <w:b/>
          <w:bCs/>
        </w:rPr>
      </w:r>
      <w:r>
        <w:rPr>
          <w:rFonts w:ascii="Arial" w:hAnsi="Arial"/>
          <w:b/>
          <w:bCs/>
        </w:rPr>
      </w:r>
      <w:r>
        <w:rPr>
          <w:rFonts w:ascii="Arial" w:hAnsi="Arial"/>
          <w:b/>
          <w:bCs/>
        </w:rPr>
      </w:r>
    </w:p>
    <w:p>
      <w:pPr>
        <w:numPr>
          <w:ilvl w:val="1"/>
          <w:numId w:val="7"/>
        </w:numPr>
        <w:pBdr/>
        <w:spacing/>
        <w:ind/>
        <w:jc w:val="both"/>
        <w:rPr>
          <w:rFonts w:ascii="Arial" w:hAnsi="Arial"/>
          <w:b/>
          <w:bCs/>
        </w:rPr>
      </w:pPr>
      <w:r>
        <w:rPr>
          <w:rFonts w:ascii="Arial" w:hAnsi="Arial" w:eastAsia="Arial"/>
          <w:b/>
          <w:bCs/>
        </w:rPr>
        <w:t xml:space="preserve">1.1. EDITAL DE LICITAÇÃO: PREGÃO ELETRÔNICO N.º 18/2026, PROCESSO Nº 102/2026.</w:t>
      </w:r>
      <w:r>
        <w:rPr>
          <w:rFonts w:ascii="Arial" w:hAnsi="Arial"/>
          <w:b/>
          <w:bCs/>
        </w:rPr>
      </w:r>
      <w:r>
        <w:rPr>
          <w:rFonts w:ascii="Arial" w:hAnsi="Arial"/>
          <w:b/>
          <w:bCs/>
        </w:rPr>
      </w:r>
    </w:p>
    <w:p>
      <w:pPr>
        <w:pBdr/>
        <w:spacing/>
        <w:ind/>
        <w:jc w:val="both"/>
        <w:rPr>
          <w:rFonts w:ascii="Arial" w:hAnsi="Arial"/>
          <w:b/>
          <w:bCs/>
        </w:rPr>
      </w:pPr>
      <w:r>
        <w:rPr>
          <w:rFonts w:ascii="Arial" w:hAnsi="Arial"/>
          <w:b/>
          <w:bCs/>
        </w:rPr>
      </w:r>
      <w:r>
        <w:rPr>
          <w:rFonts w:ascii="Arial" w:hAnsi="Arial"/>
          <w:b/>
          <w:bCs/>
        </w:rPr>
      </w:r>
      <w:r>
        <w:rPr>
          <w:rFonts w:ascii="Arial" w:hAnsi="Arial"/>
          <w:b/>
          <w:bCs/>
        </w:rPr>
      </w:r>
    </w:p>
    <w:p>
      <w:pPr>
        <w:pBdr/>
        <w:spacing/>
        <w:ind/>
        <w:jc w:val="both"/>
        <w:rPr>
          <w:rFonts w:ascii="Arial" w:hAnsi="Arial"/>
        </w:rPr>
      </w:pPr>
      <w:r>
        <w:rPr>
          <w:rFonts w:ascii="Arial" w:hAnsi="Arial" w:eastAsia="Arial"/>
          <w:b/>
          <w:bCs/>
        </w:rPr>
        <w:t xml:space="preserve">1.2. CRITÉRIO DE JULGAMENTO DA LICITAÇÃO</w:t>
      </w:r>
      <w:r>
        <w:rPr>
          <w:rFonts w:ascii="Arial" w:hAnsi="Arial" w:eastAsia="Arial"/>
        </w:rPr>
        <w:t xml:space="preserve">: </w:t>
      </w:r>
      <w:r>
        <w:rPr>
          <w:rFonts w:ascii="Arial" w:hAnsi="Arial"/>
        </w:rPr>
      </w:r>
      <w:r>
        <w:rPr>
          <w:rFonts w:ascii="Arial" w:hAnsi="Arial"/>
        </w:rPr>
      </w:r>
    </w:p>
    <w:p>
      <w:pPr>
        <w:pBdr/>
        <w:spacing/>
        <w:ind w:left="284"/>
        <w:jc w:val="both"/>
        <w:rPr>
          <w:rFonts w:ascii="Arial" w:hAnsi="Arial"/>
          <w:b/>
          <w:bCs/>
        </w:rPr>
      </w:pPr>
      <w:r>
        <w:rPr>
          <w:rFonts w:ascii="Arial" w:hAnsi="Arial"/>
          <w:b/>
          <w:bCs/>
        </w:rPr>
      </w:r>
      <w:r>
        <w:rPr>
          <w:rFonts w:ascii="Arial" w:hAnsi="Arial"/>
          <w:b/>
          <w:bCs/>
        </w:rPr>
      </w:r>
      <w:r>
        <w:rPr>
          <w:rFonts w:ascii="Arial" w:hAnsi="Arial"/>
          <w:b/>
          <w:bCs/>
        </w:rPr>
      </w:r>
    </w:p>
    <w:p>
      <w:pPr>
        <w:pBdr/>
        <w:spacing/>
        <w:ind/>
        <w:jc w:val="both"/>
        <w:rPr>
          <w:rFonts w:ascii="Arial" w:hAnsi="Arial"/>
          <w:b/>
          <w:bCs/>
          <w:color w:val="000000"/>
        </w:rPr>
      </w:pPr>
      <w:r>
        <w:rPr>
          <w:rFonts w:ascii="Arial" w:hAnsi="Arial" w:eastAsia="Arial"/>
          <w:b/>
          <w:bCs/>
          <w:color w:val="000000"/>
        </w:rPr>
        <w:t xml:space="preserve">1.2.1. MENOR PREÇO PO</w:t>
      </w:r>
      <w:r>
        <w:rPr>
          <w:rFonts w:ascii="Arial" w:hAnsi="Arial" w:eastAsia="Arial"/>
          <w:b/>
          <w:bCs/>
          <w:color w:val="000000"/>
        </w:rPr>
        <w:t xml:space="preserve">R ITEM.</w:t>
      </w:r>
      <w:r>
        <w:rPr>
          <w:rFonts w:ascii="Arial" w:hAnsi="Arial"/>
          <w:b/>
          <w:bCs/>
          <w:color w:val="000000"/>
        </w:rPr>
      </w:r>
      <w:r>
        <w:rPr>
          <w:rFonts w:ascii="Arial" w:hAnsi="Arial"/>
          <w:b/>
          <w:bCs/>
          <w:color w:val="000000"/>
        </w:rPr>
      </w:r>
    </w:p>
    <w:p>
      <w:pPr>
        <w:pBdr/>
        <w:spacing/>
        <w:ind w:right="99" w:left="284"/>
        <w:jc w:val="both"/>
        <w:rPr>
          <w:rFonts w:ascii="Arial" w:hAnsi="Arial"/>
          <w:b/>
          <w:bCs/>
          <w:color w:val="000000"/>
        </w:rPr>
      </w:pPr>
      <w:r>
        <w:rPr>
          <w:rFonts w:ascii="Arial" w:hAnsi="Arial"/>
          <w:b/>
          <w:bCs/>
          <w:color w:val="000000"/>
        </w:rPr>
        <w:t xml:space="preserve"> </w:t>
      </w:r>
      <w:r>
        <w:rPr>
          <w:rFonts w:ascii="Arial" w:hAnsi="Arial"/>
          <w:b/>
          <w:bCs/>
          <w:color w:val="000000"/>
        </w:rPr>
      </w:r>
      <w:r>
        <w:rPr>
          <w:rFonts w:ascii="Arial" w:hAnsi="Arial"/>
          <w:b/>
          <w:bCs/>
          <w:color w:val="000000"/>
        </w:rPr>
      </w:r>
    </w:p>
    <w:p>
      <w:pPr>
        <w:pBdr/>
        <w:spacing/>
        <w:ind/>
        <w:jc w:val="both"/>
        <w:rPr>
          <w:rFonts w:ascii="Arial" w:hAnsi="Arial"/>
          <w:b/>
          <w:bCs/>
        </w:rPr>
      </w:pPr>
      <w:r>
        <w:rPr>
          <w:rFonts w:ascii="Arial" w:hAnsi="Arial" w:eastAsia="Arial"/>
          <w:b/>
          <w:bCs/>
        </w:rPr>
        <w:t xml:space="preserve">1.3. Data:</w:t>
      </w:r>
      <w:r>
        <w:rPr>
          <w:rFonts w:ascii="Arial" w:hAnsi="Arial" w:eastAsia="Arial"/>
          <w:b/>
          <w:bCs/>
          <w:color w:val="ff0000"/>
        </w:rPr>
        <w:t xml:space="preserve"> 29/04/2026</w:t>
      </w:r>
      <w:r>
        <w:rPr>
          <w:rFonts w:ascii="Arial" w:hAnsi="Arial" w:eastAsia="Arial"/>
          <w:b/>
          <w:bCs/>
          <w:color w:val="000000"/>
        </w:rPr>
        <w:t xml:space="preserve">,</w:t>
      </w:r>
      <w:r>
        <w:rPr>
          <w:rFonts w:ascii="Arial" w:hAnsi="Arial" w:eastAsia="Arial"/>
          <w:b/>
          <w:bCs/>
        </w:rPr>
        <w:t xml:space="preserve"> Horário Brasília: </w:t>
      </w:r>
      <w:r>
        <w:rPr>
          <w:rFonts w:ascii="Arial" w:hAnsi="Arial" w:eastAsia="Arial"/>
          <w:b/>
          <w:bCs/>
          <w:color w:val="000000"/>
        </w:rPr>
        <w:t xml:space="preserve">09:30hs</w:t>
      </w:r>
      <w:r>
        <w:rPr>
          <w:rFonts w:ascii="Arial" w:hAnsi="Arial" w:eastAsia="Arial"/>
          <w:b/>
          <w:bCs/>
        </w:rPr>
        <w:t xml:space="preserve">, Endereço: Prefeitura Municipal de Rondonópolis - Estado de Mato Grosso, Avenida Duque de Caxias n.º 1.000, Cep.: 78.740-022, Bairro</w:t>
      </w:r>
      <w:r>
        <w:rPr>
          <w:rFonts w:ascii="Arial" w:hAnsi="Arial" w:eastAsia="Arial"/>
          <w:b/>
          <w:bCs/>
        </w:rPr>
        <w:t xml:space="preserve">: Vila Aurora - Sala de Licitações – PISO SUPERIOR.</w:t>
      </w:r>
      <w:r>
        <w:rPr>
          <w:rFonts w:ascii="Arial" w:hAnsi="Arial"/>
          <w:b/>
          <w:bCs/>
        </w:rPr>
      </w:r>
      <w:r>
        <w:rPr>
          <w:rFonts w:ascii="Arial" w:hAnsi="Arial"/>
          <w:b/>
          <w:bCs/>
        </w:rPr>
      </w:r>
    </w:p>
    <w:p>
      <w:pPr>
        <w:pBdr/>
        <w:spacing/>
        <w:ind w:left="284"/>
        <w:jc w:val="both"/>
        <w:rPr>
          <w:rFonts w:ascii="Arial" w:hAnsi="Arial"/>
          <w:bCs/>
          <w:color w:val="000000"/>
        </w:rPr>
      </w:pPr>
      <w:r>
        <w:rPr>
          <w:rFonts w:ascii="Arial" w:hAnsi="Arial"/>
          <w:bCs/>
          <w:color w:val="000000"/>
        </w:rPr>
      </w:r>
      <w:r>
        <w:rPr>
          <w:rFonts w:ascii="Arial" w:hAnsi="Arial"/>
          <w:bCs/>
          <w:color w:val="000000"/>
        </w:rPr>
      </w:r>
      <w:r>
        <w:rPr>
          <w:rFonts w:ascii="Arial" w:hAnsi="Arial"/>
          <w:bCs/>
          <w:color w:val="000000"/>
        </w:rPr>
      </w:r>
    </w:p>
    <w:p>
      <w:pPr>
        <w:pStyle w:val="2297"/>
        <w:pBdr/>
        <w:spacing/>
        <w:ind/>
        <w:jc w:val="both"/>
        <w:rPr>
          <w:rFonts w:ascii="Arial" w:hAnsi="Arial" w:cs="Arial"/>
        </w:rPr>
      </w:pPr>
      <w:r>
        <w:rPr>
          <w:rFonts w:ascii="Arial" w:hAnsi="Arial" w:eastAsia="Arial" w:cs="Arial"/>
          <w:b/>
          <w:bCs/>
        </w:rPr>
        <w:t xml:space="preserve">1.4.</w:t>
      </w:r>
      <w:r>
        <w:rPr>
          <w:rFonts w:ascii="Arial" w:hAnsi="Arial" w:eastAsia="Arial" w:cs="Arial"/>
        </w:rPr>
        <w:t xml:space="preserve"> O Pregão Eletr</w:t>
      </w:r>
      <w:r>
        <w:rPr>
          <w:rFonts w:ascii="Arial" w:hAnsi="Arial" w:eastAsia="Arial" w:cs="Arial"/>
        </w:rPr>
        <w:t xml:space="preserve">ônico será realizado em sessão pública, por meio da INTERNET, mediante condições de segurança - criptografia e autenticação em todas as suas fases. Os trabalhos serão conduzidos por servidor integrante do quadro efetivo da Prefeitura Municipal, denominado </w:t>
      </w:r>
      <w:r>
        <w:rPr>
          <w:rFonts w:ascii="Arial" w:hAnsi="Arial" w:eastAsia="Arial" w:cs="Arial"/>
          <w:b/>
          <w:bCs/>
        </w:rPr>
        <w:t xml:space="preserve">Pregoeiro</w:t>
      </w:r>
      <w:r>
        <w:rPr>
          <w:rFonts w:ascii="Arial" w:hAnsi="Arial" w:eastAsia="Arial" w:cs="Arial"/>
        </w:rPr>
        <w:t xml:space="preserve">, mediante a inserção e monitoramento de dados gerados ou transferidos para o aplicativo, constante da página eletrônica da </w:t>
      </w:r>
      <w:r>
        <w:rPr>
          <w:rFonts w:ascii="Arial" w:hAnsi="Arial" w:eastAsia="Arial" w:cs="Arial"/>
          <w:b/>
          <w:bCs/>
        </w:rPr>
        <w:t xml:space="preserve">BLL– Bolsa de Licitações e Leilões: </w:t>
      </w:r>
      <w:hyperlink r:id="rId14" w:tooltip="http://www.bllcompras.org.br/" w:history="1">
        <w:r>
          <w:rPr>
            <w:rFonts w:ascii="Arial" w:hAnsi="Arial" w:eastAsia="Arial" w:cs="Arial"/>
            <w:b/>
            <w:bCs/>
            <w:color w:val="0000ff"/>
            <w:u w:val="single"/>
          </w:rPr>
          <w:t xml:space="preserve">bllcom</w:t>
        </w:r>
        <w:r>
          <w:rPr>
            <w:rFonts w:ascii="Arial" w:hAnsi="Arial" w:eastAsia="Arial" w:cs="Arial"/>
            <w:b/>
            <w:bCs/>
            <w:color w:val="0000ff"/>
            <w:u w:val="single"/>
          </w:rPr>
          <w:t xml:space="preserve">pras.com</w:t>
        </w:r>
      </w:hyperlink>
      <w:r>
        <w:rPr>
          <w:rFonts w:ascii="Arial" w:hAnsi="Arial" w:eastAsia="Arial" w:cs="Arial"/>
        </w:rPr>
        <w:t xml:space="preserve">. A utilização do sistema de pregão eletrônico da Bolsa de Licitações e Leilões do Brasil está consubstanciada nos § 1º, 2º e 3º do Artigo 87 do Decreto nº 11.685, de 18 de setembro de 2023.</w:t>
      </w:r>
      <w:r>
        <w:rPr>
          <w:rFonts w:ascii="Arial" w:hAnsi="Arial" w:cs="Arial"/>
        </w:rPr>
      </w:r>
      <w:r>
        <w:rPr>
          <w:rFonts w:ascii="Arial" w:hAnsi="Arial" w:cs="Arial"/>
        </w:rPr>
      </w:r>
    </w:p>
    <w:p>
      <w:pPr>
        <w:pBdr/>
        <w:spacing/>
        <w:ind/>
        <w:jc w:val="both"/>
        <w:rPr>
          <w:rFonts w:ascii="Arial" w:hAnsi="Arial"/>
        </w:rPr>
      </w:pPr>
      <w:r>
        <w:rPr>
          <w:rFonts w:ascii="Arial" w:hAnsi="Arial" w:eastAsia="Arial"/>
        </w:rPr>
        <w:t xml:space="preserve"> </w:t>
      </w:r>
      <w:r>
        <w:rPr>
          <w:rFonts w:ascii="Arial" w:hAnsi="Arial"/>
        </w:rPr>
      </w:r>
      <w:r>
        <w:rPr>
          <w:rFonts w:ascii="Arial" w:hAnsi="Arial"/>
        </w:rPr>
      </w:r>
    </w:p>
    <w:p>
      <w:pPr>
        <w:pBdr/>
        <w:spacing/>
        <w:ind/>
        <w:jc w:val="both"/>
        <w:rPr>
          <w:rFonts w:ascii="Arial" w:hAnsi="Arial"/>
        </w:rPr>
      </w:pPr>
      <w:r>
        <w:rPr>
          <w:rFonts w:ascii="Arial" w:hAnsi="Arial" w:eastAsia="Arial"/>
          <w:b/>
          <w:bCs/>
        </w:rPr>
        <w:t xml:space="preserve">1.5.</w:t>
      </w:r>
      <w:r>
        <w:rPr>
          <w:rFonts w:ascii="Arial" w:hAnsi="Arial" w:eastAsia="Arial"/>
        </w:rPr>
        <w:t xml:space="preserve"> O número da Licitação no </w:t>
      </w:r>
      <w:r>
        <w:rPr>
          <w:rFonts w:ascii="Arial" w:hAnsi="Arial" w:eastAsia="Arial"/>
          <w:b/>
          <w:bCs/>
        </w:rPr>
        <w:t xml:space="preserve">site da BLL é Pregão Eletrônico n.º 18/2026 e Processo n.º 102/2026</w:t>
      </w:r>
      <w:r>
        <w:rPr>
          <w:rFonts w:ascii="Arial" w:hAnsi="Arial" w:eastAsia="Arial"/>
        </w:rPr>
        <w:t xml:space="preserve"> e nome utilizado é </w:t>
      </w:r>
      <w:r>
        <w:rPr>
          <w:rFonts w:ascii="Arial" w:hAnsi="Arial" w:eastAsia="Arial"/>
          <w:b/>
          <w:bCs/>
        </w:rPr>
        <w:t xml:space="preserve">Prefeitura Municipal de Rondonópolis – MT.</w:t>
      </w:r>
      <w:r>
        <w:rPr>
          <w:rFonts w:ascii="Arial" w:hAnsi="Arial"/>
        </w:rPr>
      </w:r>
      <w:r>
        <w:rPr>
          <w:rFonts w:ascii="Arial" w:hAnsi="Arial"/>
        </w:rPr>
      </w:r>
    </w:p>
    <w:p>
      <w:pPr>
        <w:pBdr/>
        <w:spacing/>
        <w:ind/>
        <w:jc w:val="both"/>
        <w:rPr>
          <w:rFonts w:ascii="Arial" w:hAnsi="Arial"/>
          <w:b/>
          <w:bCs/>
        </w:rPr>
      </w:pPr>
      <w:r>
        <w:rPr>
          <w:rFonts w:ascii="Arial" w:hAnsi="Arial"/>
          <w:b/>
          <w:bCs/>
        </w:rPr>
      </w:r>
      <w:r>
        <w:rPr>
          <w:rFonts w:ascii="Arial" w:hAnsi="Arial"/>
          <w:b/>
          <w:bCs/>
        </w:rPr>
      </w:r>
      <w:r>
        <w:rPr>
          <w:rFonts w:ascii="Arial" w:hAnsi="Arial"/>
          <w:b/>
          <w:bCs/>
        </w:rPr>
      </w:r>
    </w:p>
    <w:p>
      <w:pPr>
        <w:pBdr/>
        <w:spacing/>
        <w:ind/>
        <w:jc w:val="both"/>
        <w:rPr>
          <w:rFonts w:ascii="Arial" w:hAnsi="Arial"/>
          <w:color w:val="000000"/>
        </w:rPr>
      </w:pPr>
      <w:r>
        <w:rPr>
          <w:rFonts w:ascii="Arial" w:hAnsi="Arial" w:eastAsia="Arial"/>
          <w:b/>
          <w:bCs/>
          <w:color w:val="000000"/>
        </w:rPr>
        <w:t xml:space="preserve">1.6. FUNDAMENTO LEGAL: </w:t>
      </w:r>
      <w:r>
        <w:rPr>
          <w:rFonts w:ascii="Arial" w:hAnsi="Arial" w:eastAsia="Arial"/>
          <w:color w:val="000000"/>
        </w:rPr>
        <w:t xml:space="preserve">O Município de Rondonópolis, Estado de Mato Grosso, mediante ao (a) Pregoeiro (a) e Equipe de Apoio, d</w:t>
      </w:r>
      <w:r>
        <w:rPr>
          <w:rFonts w:ascii="Arial" w:hAnsi="Arial" w:eastAsia="Arial"/>
          <w:color w:val="000000"/>
        </w:rPr>
        <w:t xml:space="preserve">esignada Portaria nº 40.336 de 12 de novembro de 2025, torna público para conhecimento dos interessados que esta licitação é regida nos termos da </w:t>
      </w:r>
      <w:r>
        <w:rPr>
          <w:rFonts w:ascii="Arial" w:hAnsi="Arial" w:eastAsia="Arial"/>
          <w:b/>
          <w:bCs/>
          <w:color w:val="000000"/>
        </w:rPr>
        <w:t xml:space="preserve">Lei nº 14.133, de 1º de abril de 2021, inciso XX do artigo 6º;§ 1º do artigo 18; Decreto nº 11.685, Lei nº14.0</w:t>
      </w:r>
      <w:r>
        <w:rPr>
          <w:rFonts w:ascii="Arial" w:hAnsi="Arial" w:eastAsia="Arial"/>
          <w:b/>
          <w:bCs/>
          <w:color w:val="000000"/>
        </w:rPr>
        <w:t xml:space="preserve">71/2025; </w:t>
      </w:r>
      <w:r>
        <w:rPr>
          <w:rFonts w:ascii="Arial" w:hAnsi="Arial" w:eastAsia="Arial"/>
          <w:b/>
          <w:bCs/>
          <w:color w:val="000000"/>
        </w:rPr>
        <w:t xml:space="preserve"> </w:t>
      </w:r>
      <w:r>
        <w:rPr>
          <w:rFonts w:ascii="Arial" w:hAnsi="Arial" w:eastAsia="Arial"/>
          <w:b/>
          <w:bCs/>
          <w:color w:val="000000"/>
        </w:rPr>
        <w:t xml:space="preserve">LEI MUNICIPAL Nº 14.569, DE 02 DE DEZEMBRO DE 2025</w:t>
      </w:r>
      <w:r>
        <w:rPr>
          <w:rFonts w:ascii="Arial" w:hAnsi="Arial" w:eastAsia="Arial"/>
          <w:b/>
          <w:bCs/>
          <w:color w:val="000000"/>
        </w:rPr>
        <w:t xml:space="preserve"> </w:t>
      </w:r>
      <w:r>
        <w:rPr>
          <w:rFonts w:ascii="Arial" w:hAnsi="Arial" w:eastAsia="Arial"/>
          <w:color w:val="000000"/>
        </w:rPr>
        <w:t xml:space="preserve">e </w:t>
      </w:r>
      <w:r>
        <w:rPr>
          <w:rFonts w:ascii="Arial" w:hAnsi="Arial" w:eastAsia="Arial"/>
          <w:b/>
          <w:bCs/>
          <w:color w:val="000000"/>
        </w:rPr>
        <w:t xml:space="preserve">Decreto nº 12.608/2025,</w:t>
      </w:r>
      <w:r>
        <w:rPr>
          <w:rFonts w:ascii="Arial" w:hAnsi="Arial" w:eastAsia="Arial"/>
          <w:color w:val="000000"/>
        </w:rPr>
        <w:t xml:space="preserve"> e demais legislação aplicável e, ainda, de acordo com as condições estabelecidas neste Edital.</w:t>
      </w:r>
      <w:r>
        <w:rPr>
          <w:rFonts w:ascii="Arial" w:hAnsi="Arial"/>
          <w:color w:val="000000"/>
        </w:rPr>
      </w:r>
      <w:r>
        <w:rPr>
          <w:rFonts w:ascii="Arial" w:hAnsi="Arial"/>
          <w:color w:val="000000"/>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outlineLvl w:val="0"/>
        <w:rPr>
          <w:rFonts w:ascii="Arial" w:hAnsi="Arial"/>
          <w:b/>
          <w:bCs/>
          <w:color w:val="000000"/>
        </w:rPr>
      </w:pPr>
      <w:r/>
      <w:bookmarkStart w:id="58" w:name="_Toc2"/>
      <w:r>
        <w:rPr>
          <w:rFonts w:ascii="Arial" w:hAnsi="Arial" w:eastAsia="Arial"/>
          <w:b/>
          <w:bCs/>
          <w:color w:val="000000"/>
        </w:rPr>
        <w:t xml:space="preserve">2. DO OBJETO:</w:t>
      </w:r>
      <w:r>
        <w:rPr>
          <w:rFonts w:ascii="Arial" w:hAnsi="Arial"/>
          <w:b/>
          <w:bCs/>
          <w:color w:val="000000"/>
        </w:rPr>
      </w:r>
      <w:bookmarkEnd w:id="58"/>
      <w:r>
        <w:rPr>
          <w:rFonts w:ascii="Arial" w:hAnsi="Arial"/>
          <w:b/>
          <w:bCs/>
          <w:color w:val="000000"/>
        </w:rPr>
      </w:r>
      <w:r>
        <w:rPr>
          <w:rFonts w:ascii="Arial" w:hAnsi="Arial"/>
          <w:b/>
          <w:bCs/>
          <w:color w:val="000000"/>
        </w:rPr>
      </w:r>
    </w:p>
    <w:p>
      <w:pPr>
        <w:pBdr/>
        <w:spacing/>
        <w:ind w:right="99"/>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2.1.</w:t>
      </w:r>
      <w:r>
        <w:rPr>
          <w:rFonts w:ascii="Arial" w:hAnsi="Arial"/>
          <w:color w:val="000000"/>
        </w:rPr>
        <w:t xml:space="preserve"> O objeto da presente licitação é </w:t>
      </w:r>
      <w:r>
        <w:rPr>
          <w:rFonts w:ascii="Arial" w:hAnsi="Arial"/>
          <w:b/>
          <w:bCs/>
          <w:color w:val="000000"/>
        </w:rPr>
        <w:t xml:space="preserve"> REGISTRO DE PREÇOS PARA FUTURA E EVENTUAL AQUIS</w:t>
      </w:r>
      <w:r>
        <w:rPr>
          <w:rFonts w:ascii="Arial" w:hAnsi="Arial"/>
          <w:b/>
          <w:bCs/>
          <w:color w:val="000000"/>
        </w:rPr>
        <w:t xml:space="preserve">IÇÃO DE MATERIAIS, INSUMOS E EQUIPAMENTOS DESTINADOS À FISIOTERAPIA, REABILITAÇÃO E AÇÕES TERAPÊUTICAS CORRELATAS, PARA ATENDER AS NECESSIDADES DA SECRETARIA MUNICIPAL SAÚDE, CONFORME ESPECIFICAÇÕES E QUANTITATIVOS ESTABELECIDOS NESTE EDITAL E SEUS ANEXOS.</w:t>
      </w:r>
      <w:r>
        <w:rPr>
          <w:rFonts w:ascii="Arial" w:hAnsi="Arial"/>
        </w:rPr>
      </w:r>
      <w:r>
        <w:rPr>
          <w:rFonts w:ascii="Arial" w:hAnsi="Arial"/>
        </w:rPr>
      </w:r>
    </w:p>
    <w:p>
      <w:pPr>
        <w:pBdr/>
        <w:spacing/>
        <w:ind w:left="284"/>
        <w:jc w:val="both"/>
        <w:rPr>
          <w:rFonts w:ascii="Arial" w:hAnsi="Arial"/>
          <w:bCs/>
          <w:color w:val="000000"/>
        </w:rPr>
      </w:pPr>
      <w:r>
        <w:rPr>
          <w:rFonts w:ascii="Arial" w:hAnsi="Arial"/>
          <w:bCs/>
          <w:color w:val="000000"/>
        </w:rPr>
      </w:r>
      <w:r>
        <w:rPr>
          <w:rFonts w:ascii="Arial" w:hAnsi="Arial"/>
          <w:bCs/>
          <w:color w:val="000000"/>
        </w:rPr>
      </w:r>
      <w:r>
        <w:rPr>
          <w:rFonts w:ascii="Arial" w:hAnsi="Arial"/>
          <w:bCs/>
          <w:color w:val="000000"/>
        </w:rPr>
      </w:r>
    </w:p>
    <w:p>
      <w:pPr>
        <w:pBdr/>
        <w:spacing/>
        <w:ind/>
        <w:jc w:val="both"/>
        <w:rPr>
          <w:rFonts w:ascii="Arial" w:hAnsi="Arial"/>
        </w:rPr>
      </w:pPr>
      <w:r>
        <w:rPr>
          <w:rFonts w:ascii="Arial" w:hAnsi="Arial" w:eastAsia="Arial"/>
          <w:b/>
          <w:bCs/>
        </w:rPr>
        <w:t xml:space="preserve">2.2.</w:t>
      </w:r>
      <w:r>
        <w:rPr>
          <w:rFonts w:ascii="Arial" w:hAnsi="Arial" w:eastAsia="Arial"/>
        </w:rPr>
        <w:t xml:space="preserve"> O referido fornecimento do objeto deverá ser solicitado de forma parcia</w:t>
      </w:r>
      <w:r>
        <w:rPr>
          <w:rFonts w:ascii="Arial" w:hAnsi="Arial" w:eastAsia="Arial"/>
        </w:rPr>
        <w:t xml:space="preserve">l, através de ordem de fornecimento ou instrumento equivalente emitido pela contratante a contratada. </w:t>
      </w:r>
      <w:r>
        <w:rPr>
          <w:rFonts w:ascii="Arial" w:hAnsi="Arial"/>
        </w:rPr>
      </w:r>
      <w:r>
        <w:rPr>
          <w:rFonts w:ascii="Arial" w:hAnsi="Arial"/>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b/>
          <w:bCs/>
          <w:color w:val="000000"/>
          <w14:ligatures w14:val="none"/>
        </w:rPr>
      </w:pPr>
      <w:r>
        <w:rPr>
          <w:rFonts w:ascii="Arial" w:hAnsi="Arial" w:eastAsia="Arial"/>
          <w:b/>
          <w:bCs/>
        </w:rPr>
        <w:t xml:space="preserve">2.3.</w:t>
      </w:r>
      <w:r>
        <w:rPr>
          <w:rFonts w:ascii="Arial" w:hAnsi="Arial" w:eastAsia="Arial"/>
        </w:rPr>
        <w:t xml:space="preserve"> A presente licitação será por item, conforme Termo de Referência e anexo Formação de Preços emitido pelo sistema, com Valor total estimado de</w:t>
      </w:r>
      <w:r>
        <w:rPr>
          <w:rFonts w:ascii="Arial" w:hAnsi="Arial"/>
          <w:b/>
          <w:bCs/>
          <w:color w:val="000000"/>
        </w:rPr>
        <w:t xml:space="preserve"> </w:t>
      </w:r>
      <w:r>
        <w:rPr>
          <w:rFonts w:ascii="Arial" w:hAnsi="Arial"/>
          <w:b/>
          <w:bCs/>
          <w:color w:val="000000"/>
        </w:rPr>
        <w:t xml:space="preserve">R</w:t>
      </w:r>
      <w:r>
        <w:rPr>
          <w:rFonts w:ascii="Arial" w:hAnsi="Arial"/>
          <w:b/>
          <w:bCs/>
          <w:color w:val="000000"/>
        </w:rPr>
        <w:t xml:space="preserve">$</w:t>
      </w:r>
      <w:r>
        <w:rPr>
          <w:rFonts w:ascii="Arial" w:hAnsi="Arial"/>
          <w:b/>
          <w:bCs/>
          <w:color w:val="000000"/>
        </w:rPr>
        <w:t xml:space="preserve"> </w:t>
      </w:r>
      <w:r>
        <w:rPr>
          <w:rFonts w:ascii="Arial" w:hAnsi="Arial"/>
          <w:b/>
          <w:bCs/>
          <w:color w:val="000000"/>
        </w:rPr>
        <w:t xml:space="preserve">954.385,33</w:t>
      </w:r>
      <w:r>
        <w:rPr>
          <w:rFonts w:ascii="Arial" w:hAnsi="Arial"/>
          <w:b/>
          <w:bCs/>
          <w:color w:val="000000"/>
          <w:lang w:eastAsia="zh-CN" w:bidi="ar"/>
        </w:rPr>
        <w:t xml:space="preserve"> </w:t>
      </w:r>
      <w:r>
        <w:rPr>
          <w:rFonts w:ascii="Arial" w:hAnsi="Arial"/>
          <w:b/>
          <w:bCs/>
          <w:color w:val="000000"/>
        </w:rPr>
        <w:t xml:space="preserve"> (</w:t>
      </w:r>
      <w:r>
        <w:rPr>
          <w:rFonts w:ascii="Arial" w:hAnsi="Arial"/>
          <w:b/>
          <w:bCs/>
          <w:color w:val="000000"/>
        </w:rPr>
        <w:t xml:space="preserve">Novecentos e cinquenta e quatro mil, trezentos e oitenta e cinco reais e trinta e três centavos</w:t>
      </w:r>
      <w:r>
        <w:rPr>
          <w:rFonts w:ascii="Arial" w:hAnsi="Arial"/>
          <w:b/>
          <w:bCs/>
          <w:color w:val="000000"/>
        </w:rPr>
        <w:t xml:space="preserve">)</w:t>
      </w:r>
      <w:r>
        <w:rPr>
          <w:rFonts w:ascii="Arial" w:hAnsi="Arial"/>
          <w:b/>
          <w:bCs/>
          <w:color w:val="000000"/>
        </w:rPr>
        <w:t xml:space="preserve">.</w:t>
      </w:r>
      <w:r>
        <w:rPr>
          <w:rFonts w:ascii="Arial" w:hAnsi="Arial"/>
          <w:b/>
          <w:bCs/>
          <w:color w:val="000000"/>
        </w:rPr>
      </w:r>
      <w:r>
        <w:rPr>
          <w:rFonts w:ascii="Arial" w:hAnsi="Arial"/>
          <w:b/>
          <w:bCs/>
          <w:color w:val="000000"/>
          <w14:ligatures w14:val="none"/>
        </w:rPr>
      </w:r>
    </w:p>
    <w:p>
      <w:pPr>
        <w:pBdr/>
        <w:spacing/>
        <w:ind/>
        <w:jc w:val="both"/>
        <w:rPr>
          <w:rFonts w:ascii="Arial" w:hAnsi="Arial" w:eastAsia="Arial"/>
          <w:b/>
          <w:bCs/>
          <w:color w:val="000000"/>
        </w:rPr>
      </w:pPr>
      <w:r>
        <w:rPr>
          <w:rFonts w:ascii="Arial" w:hAnsi="Arial" w:eastAsia="Arial"/>
          <w:b/>
          <w:bCs/>
          <w:color w:val="000000"/>
        </w:rPr>
      </w:r>
      <w:r>
        <w:rPr>
          <w:rFonts w:ascii="Arial" w:hAnsi="Arial" w:eastAsia="Arial"/>
          <w:b/>
          <w:bCs/>
          <w:color w:val="000000"/>
        </w:rPr>
      </w:r>
      <w:r>
        <w:rPr>
          <w:rFonts w:ascii="Arial" w:hAnsi="Arial" w:eastAsia="Arial"/>
          <w:b/>
          <w:bCs/>
          <w:color w:val="000000"/>
        </w:rPr>
      </w:r>
    </w:p>
    <w:p>
      <w:pPr>
        <w:pBdr/>
        <w:spacing/>
        <w:ind/>
        <w:jc w:val="both"/>
        <w:outlineLvl w:val="0"/>
        <w:rPr>
          <w:rFonts w:ascii="Arial" w:hAnsi="Arial"/>
          <w:b/>
          <w:bCs/>
          <w:color w:val="000000"/>
        </w:rPr>
      </w:pPr>
      <w:r/>
      <w:bookmarkStart w:id="59" w:name="_Toc3"/>
      <w:r>
        <w:rPr>
          <w:rFonts w:ascii="Arial" w:hAnsi="Arial" w:eastAsia="Arial"/>
          <w:b/>
          <w:bCs/>
          <w:color w:val="000000"/>
        </w:rPr>
        <w:t xml:space="preserve">3. DA REFERÊNCIA DE HORÁRIO NO EDITAL: </w:t>
      </w:r>
      <w:r>
        <w:rPr>
          <w:rFonts w:ascii="Arial" w:hAnsi="Arial"/>
          <w:b/>
          <w:bCs/>
          <w:color w:val="000000"/>
        </w:rPr>
      </w:r>
      <w:bookmarkEnd w:id="59"/>
      <w:r>
        <w:rPr>
          <w:rFonts w:ascii="Arial" w:hAnsi="Arial"/>
          <w:b/>
          <w:bCs/>
          <w:color w:val="000000"/>
        </w:rPr>
      </w:r>
      <w:r>
        <w:rPr>
          <w:rFonts w:ascii="Arial" w:hAnsi="Arial"/>
          <w:b/>
          <w:bCs/>
          <w:color w:val="000000"/>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rPr>
      </w:pPr>
      <w:r>
        <w:rPr>
          <w:rFonts w:ascii="Arial" w:hAnsi="Arial"/>
          <w:b/>
          <w:bCs/>
          <w:color w:val="000000"/>
        </w:rPr>
        <w:t xml:space="preserve">3.1.</w:t>
      </w:r>
      <w:r>
        <w:rPr>
          <w:rFonts w:ascii="Arial" w:hAnsi="Arial"/>
          <w:color w:val="000000"/>
        </w:rPr>
        <w:t xml:space="preserve"> Todas as referências de horário constantes do Edital, do Aviso e de quaisquer atos p</w:t>
      </w:r>
      <w:r>
        <w:rPr>
          <w:rFonts w:ascii="Arial" w:hAnsi="Arial"/>
          <w:color w:val="000000"/>
        </w:rPr>
        <w:t xml:space="preserve">raticados durante a Sessão Pública observarão, obrigatoriamente, o </w:t>
      </w:r>
      <w:r>
        <w:rPr>
          <w:rFonts w:ascii="Arial" w:hAnsi="Arial"/>
          <w:b/>
          <w:bCs/>
          <w:color w:val="000000"/>
        </w:rPr>
        <w:t xml:space="preserve">Horário de Brasília – DF</w:t>
      </w:r>
      <w:r>
        <w:rPr>
          <w:rFonts w:ascii="Arial" w:hAnsi="Arial"/>
          <w:color w:val="000000"/>
        </w:rPr>
        <w:t xml:space="preserve">, sendo esse horário utilizado para registro no sistema eletrônico e em toda a documentação relativa ao certame.</w:t>
      </w:r>
      <w:r>
        <w:rPr>
          <w:rFonts w:ascii="Arial" w:hAnsi="Arial"/>
          <w:color w:val="000000"/>
        </w:rPr>
      </w:r>
      <w:r>
        <w:rPr>
          <w:rFonts w:ascii="Arial" w:hAnsi="Arial"/>
          <w:color w:val="000000"/>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outlineLvl w:val="0"/>
        <w:rPr>
          <w:rFonts w:ascii="Arial" w:hAnsi="Arial"/>
          <w:b/>
          <w:bCs/>
        </w:rPr>
      </w:pPr>
      <w:r/>
      <w:bookmarkStart w:id="60" w:name="_Toc4"/>
      <w:r>
        <w:rPr>
          <w:rFonts w:ascii="Arial" w:hAnsi="Arial" w:eastAsia="Arial"/>
          <w:b/>
          <w:bCs/>
          <w:color w:val="000000"/>
        </w:rPr>
        <w:t xml:space="preserve">4. DAS CONDIÇÕES PARA PARTICIPAÇÃO NO CERTAME:</w:t>
      </w:r>
      <w:r>
        <w:rPr>
          <w:rFonts w:ascii="Arial" w:hAnsi="Arial" w:eastAsia="Arial"/>
          <w:b/>
          <w:bCs/>
        </w:rPr>
        <w:t xml:space="preserve"> </w:t>
      </w:r>
      <w:r>
        <w:rPr>
          <w:rFonts w:ascii="Arial" w:hAnsi="Arial"/>
          <w:b/>
          <w:bCs/>
        </w:rPr>
      </w:r>
      <w:bookmarkEnd w:id="60"/>
      <w:r>
        <w:rPr>
          <w:rFonts w:ascii="Arial" w:hAnsi="Arial"/>
          <w:b/>
          <w:bCs/>
        </w:rPr>
      </w:r>
      <w:r>
        <w:rPr>
          <w:rFonts w:ascii="Arial" w:hAnsi="Arial"/>
          <w:b/>
          <w:bCs/>
        </w:rPr>
      </w:r>
    </w:p>
    <w:p>
      <w:pPr>
        <w:pBdr/>
        <w:spacing/>
        <w:ind w:left="284"/>
        <w:jc w:val="both"/>
        <w:rPr>
          <w:rFonts w:ascii="Arial" w:hAnsi="Arial"/>
          <w:b/>
          <w:bCs/>
          <w:color w:val="000000"/>
        </w:rPr>
      </w:pPr>
      <w:r>
        <w:rPr>
          <w:rFonts w:ascii="Arial" w:hAnsi="Arial"/>
          <w:b/>
          <w:bCs/>
          <w:color w:val="000000"/>
        </w:rPr>
      </w:r>
      <w:r>
        <w:rPr>
          <w:rFonts w:ascii="Arial" w:hAnsi="Arial"/>
          <w:b/>
          <w:bCs/>
          <w:color w:val="000000"/>
        </w:rPr>
      </w:r>
      <w:r>
        <w:rPr>
          <w:rFonts w:ascii="Arial" w:hAnsi="Arial"/>
          <w:b/>
          <w:bCs/>
          <w:color w:val="000000"/>
        </w:rPr>
      </w:r>
    </w:p>
    <w:p>
      <w:pPr>
        <w:pBdr/>
        <w:spacing/>
        <w:ind/>
        <w:jc w:val="both"/>
        <w:rPr>
          <w:rFonts w:ascii="Arial" w:hAnsi="Arial"/>
          <w:color w:val="000000"/>
        </w:rPr>
      </w:pPr>
      <w:r>
        <w:rPr>
          <w:rFonts w:ascii="Arial" w:hAnsi="Arial" w:eastAsia="Arial"/>
          <w:b/>
          <w:bCs/>
          <w:color w:val="000000"/>
        </w:rPr>
        <w:t xml:space="preserve">4.</w:t>
      </w:r>
      <w:r>
        <w:rPr>
          <w:rFonts w:ascii="Arial" w:hAnsi="Arial" w:eastAsia="Arial"/>
          <w:b/>
          <w:bCs/>
          <w:color w:val="000000"/>
        </w:rPr>
        <w:t xml:space="preserve">1.</w:t>
      </w:r>
      <w:r>
        <w:rPr>
          <w:rFonts w:ascii="Arial" w:hAnsi="Arial" w:eastAsia="Arial"/>
          <w:color w:val="000000"/>
        </w:rPr>
        <w:t xml:space="preserve"> A participação no certame se dará por meio da digitação da senha pessoal e intransferível do representante credenciado e subsequente encaminhamento da proposta de preços, exclusivamente, por meio do sistema eletrônico no site </w:t>
      </w:r>
      <w:r>
        <w:rPr>
          <w:rFonts w:ascii="Arial" w:hAnsi="Arial" w:eastAsia="Arial"/>
          <w:b/>
          <w:bCs/>
          <w:color w:val="000000"/>
        </w:rPr>
        <w:t xml:space="preserve">bllcompras.com</w:t>
      </w:r>
      <w:r>
        <w:rPr>
          <w:rFonts w:ascii="Arial" w:hAnsi="Arial" w:eastAsia="Arial"/>
          <w:color w:val="000000"/>
        </w:rPr>
        <w:t xml:space="preserve"> e ou, opção </w:t>
      </w:r>
      <w:r>
        <w:rPr>
          <w:rFonts w:ascii="Arial" w:hAnsi="Arial" w:eastAsia="Arial"/>
          <w:color w:val="000000"/>
        </w:rPr>
        <w:t xml:space="preserve">"</w:t>
      </w:r>
      <w:r>
        <w:rPr>
          <w:rFonts w:ascii="Arial" w:hAnsi="Arial" w:eastAsia="Arial"/>
          <w:b/>
          <w:bCs/>
          <w:color w:val="000000"/>
        </w:rPr>
        <w:t xml:space="preserve">Acesso Identificado</w:t>
      </w:r>
      <w:r>
        <w:rPr>
          <w:rFonts w:ascii="Arial" w:hAnsi="Arial" w:eastAsia="Arial"/>
          <w:color w:val="000000"/>
        </w:rPr>
        <w:t xml:space="preserve">", </w:t>
      </w:r>
      <w:r>
        <w:rPr>
          <w:rFonts w:ascii="Arial" w:hAnsi="Arial" w:eastAsia="Arial"/>
          <w:b/>
          <w:bCs/>
          <w:color w:val="000000"/>
        </w:rPr>
        <w:t xml:space="preserve">observadas a data e horário limite estabelecido neste edital.</w:t>
      </w:r>
      <w:r>
        <w:rPr>
          <w:rFonts w:ascii="Arial" w:hAnsi="Arial" w:eastAsia="Arial"/>
          <w:color w:val="000000"/>
        </w:rPr>
        <w:t xml:space="preserve"> (Horário de Brasília).</w:t>
      </w:r>
      <w:r>
        <w:rPr>
          <w:rFonts w:ascii="Arial" w:hAnsi="Arial"/>
          <w:color w:val="000000"/>
        </w:rPr>
      </w:r>
      <w:r>
        <w:rPr>
          <w:rFonts w:ascii="Arial" w:hAnsi="Arial"/>
          <w:color w:val="000000"/>
        </w:rPr>
      </w:r>
    </w:p>
    <w:p>
      <w:pPr>
        <w:pBdr/>
        <w:spacing/>
        <w:ind/>
        <w:jc w:val="both"/>
        <w:rPr>
          <w:rFonts w:ascii="Arial" w:hAnsi="Arial"/>
          <w:b/>
          <w:bCs/>
        </w:rPr>
      </w:pPr>
      <w:r>
        <w:rPr>
          <w:rFonts w:ascii="Arial" w:hAnsi="Arial"/>
          <w:b/>
          <w:bCs/>
        </w:rPr>
      </w:r>
      <w:r>
        <w:rPr>
          <w:rFonts w:ascii="Arial" w:hAnsi="Arial"/>
          <w:b/>
          <w:bCs/>
        </w:rPr>
      </w:r>
      <w:r>
        <w:rPr>
          <w:rFonts w:ascii="Arial" w:hAnsi="Arial"/>
          <w:b/>
          <w:bCs/>
        </w:rPr>
      </w:r>
    </w:p>
    <w:p>
      <w:pPr>
        <w:pBdr/>
        <w:spacing/>
        <w:ind/>
        <w:jc w:val="both"/>
        <w:rPr>
          <w:rFonts w:ascii="Arial" w:hAnsi="Arial"/>
        </w:rPr>
      </w:pPr>
      <w:r>
        <w:rPr>
          <w:rFonts w:ascii="Arial" w:hAnsi="Arial" w:eastAsia="Arial"/>
          <w:b/>
          <w:bCs/>
        </w:rPr>
        <w:t xml:space="preserve">4.2.</w:t>
      </w:r>
      <w:r>
        <w:rPr>
          <w:rFonts w:ascii="Arial" w:hAnsi="Arial" w:eastAsia="Arial"/>
        </w:rPr>
        <w:t xml:space="preserve"> O licitante arcará integralmente com todos os custos de preparação e apresentação de sua proposta, independente do resultado do procedimento l</w:t>
      </w:r>
      <w:r>
        <w:rPr>
          <w:rFonts w:ascii="Arial" w:hAnsi="Arial" w:eastAsia="Arial"/>
        </w:rPr>
        <w:t xml:space="preserve">icitatório. </w:t>
      </w:r>
      <w:r>
        <w:rPr>
          <w:rFonts w:ascii="Arial" w:hAnsi="Arial"/>
        </w:rPr>
      </w:r>
      <w:r>
        <w:rPr>
          <w:rFonts w:ascii="Arial" w:hAnsi="Arial"/>
        </w:rPr>
      </w:r>
    </w:p>
    <w:p>
      <w:pPr>
        <w:pBdr/>
        <w:spacing/>
        <w:ind w:left="426"/>
        <w:jc w:val="both"/>
        <w:rPr>
          <w:rFonts w:ascii="Arial" w:hAnsi="Arial"/>
          <w:b/>
          <w:bCs/>
        </w:rPr>
      </w:pPr>
      <w:r>
        <w:rPr>
          <w:rFonts w:ascii="Arial" w:hAnsi="Arial"/>
          <w:b/>
          <w:bCs/>
        </w:rPr>
      </w:r>
      <w:r>
        <w:rPr>
          <w:rFonts w:ascii="Arial" w:hAnsi="Arial"/>
          <w:b/>
          <w:bCs/>
        </w:rPr>
      </w:r>
      <w:r>
        <w:rPr>
          <w:rFonts w:ascii="Arial" w:hAnsi="Arial"/>
          <w:b/>
          <w:bCs/>
        </w:rPr>
      </w:r>
    </w:p>
    <w:p>
      <w:pPr>
        <w:pBdr/>
        <w:spacing/>
        <w:ind/>
        <w:jc w:val="both"/>
        <w:rPr>
          <w:rFonts w:ascii="Arial" w:hAnsi="Arial"/>
        </w:rPr>
      </w:pPr>
      <w:r>
        <w:rPr>
          <w:rFonts w:ascii="Arial" w:hAnsi="Arial" w:eastAsia="Arial"/>
          <w:b/>
          <w:bCs/>
        </w:rPr>
        <w:t xml:space="preserve">4.3.</w:t>
      </w:r>
      <w:r>
        <w:rPr>
          <w:rFonts w:ascii="Arial" w:hAnsi="Arial" w:eastAsia="Arial"/>
        </w:rPr>
        <w:t xml:space="preserve"> Some</w:t>
      </w:r>
      <w:r>
        <w:rPr>
          <w:rFonts w:ascii="Arial" w:hAnsi="Arial" w:eastAsia="Arial"/>
        </w:rPr>
        <w:t xml:space="preserve">nte será admitida a participação neste certame, de pessoas jurídicas, que comprovem com documentos de registros ou autorizações legais, que explorem ramo de atividade compatível com o objeto desta licitação e atendam às exigências do edital e seus anexos; </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eastAsia="Arial"/>
          <w:b/>
          <w:bCs/>
        </w:rPr>
        <w:t xml:space="preserve">4.4.</w:t>
      </w:r>
      <w:r>
        <w:rPr>
          <w:rFonts w:ascii="Arial" w:hAnsi="Arial" w:eastAsia="Arial"/>
        </w:rPr>
        <w:t xml:space="preserve"> O licitante responsabiliza-se exclusiva e formalmente pelas transações efetuadas em seu nome, assume como firmes e verdadeiras suas propostas e seus lances, inclusive os atos praticados diretamente ou por seu representante, excluída a responsabilida</w:t>
      </w:r>
      <w:r>
        <w:rPr>
          <w:rFonts w:ascii="Arial" w:hAnsi="Arial" w:eastAsia="Arial"/>
        </w:rPr>
        <w:t xml:space="preserve">de do provedor do sistema ou do órgão ou entidade promotora da licitação por eventuais danos decorrentes de uso indevido das credenciais de acesso, ainda que por terceiros.</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eastAsia="Arial"/>
          <w:b/>
          <w:bCs/>
        </w:rPr>
        <w:t xml:space="preserve">4.4.1.</w:t>
      </w:r>
      <w:r>
        <w:rPr>
          <w:rFonts w:ascii="Arial" w:hAnsi="Arial" w:eastAsia="Arial"/>
        </w:rPr>
        <w:t xml:space="preserve"> Poderão participar deste certame pessoas jurídicas que explorem ramo de ati</w:t>
      </w:r>
      <w:r>
        <w:rPr>
          <w:rFonts w:ascii="Arial" w:hAnsi="Arial" w:eastAsia="Arial"/>
        </w:rPr>
        <w:t xml:space="preserve">vidade compatível e pertinente com o objeto desta licitação e atendam às exigências deste Edital e seus anexos, correndo por sua conta todos os custos decorrentes da elaboração e apresentação de suas propostas, não sendo devida nenhuma indenização aos lici</w:t>
      </w:r>
      <w:r>
        <w:rPr>
          <w:rFonts w:ascii="Arial" w:hAnsi="Arial" w:eastAsia="Arial"/>
        </w:rPr>
        <w:t xml:space="preserve">tantes pela realização de tais atos.</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color w:val="000000"/>
        </w:rPr>
      </w:pPr>
      <w:r>
        <w:rPr>
          <w:rFonts w:ascii="Arial" w:hAnsi="Arial" w:eastAsia="Arial"/>
          <w:b/>
          <w:bCs/>
          <w:color w:val="000000"/>
        </w:rPr>
        <w:t xml:space="preserve">4.4.2.</w:t>
      </w:r>
      <w:r>
        <w:rPr>
          <w:rFonts w:ascii="Arial" w:hAnsi="Arial" w:eastAsia="Arial"/>
          <w:color w:val="000000"/>
        </w:rPr>
        <w:t xml:space="preserve"> Será concedido tratamento favorecido para as microempresas e empresas de pequeno porte, para as sociedades cooperativas mencionadas no </w:t>
      </w:r>
      <w:hyperlink r:id="rId15" w:tooltip="http://www.planalto.gov.br/ccivil_03/_ato2019-2022/2021/lei/L14133.htm" w:history="1">
        <w:r>
          <w:rPr>
            <w:rFonts w:ascii="Arial" w:hAnsi="Arial" w:eastAsia="Arial"/>
            <w:color w:val="000000"/>
            <w:u w:val="single"/>
          </w:rPr>
          <w:t xml:space="preserve">artigo 16 da Lei nº 14.133, de 2021</w:t>
        </w:r>
      </w:hyperlink>
      <w:r>
        <w:rPr>
          <w:rFonts w:ascii="Arial" w:hAnsi="Arial" w:eastAsia="Arial"/>
          <w:color w:val="000000"/>
        </w:rPr>
        <w:t xml:space="preserve">, para o agricultor familiar, o produtor rural pessoa física e para o microempreendedor individual - MEI, nos limites previstos da </w:t>
      </w:r>
      <w:hyperlink r:id="rId16" w:tooltip="https://www.planalto.gov.br/ccivil_03/leis/lcp/lcp123.htm" w:history="1">
        <w:r>
          <w:rPr>
            <w:rFonts w:ascii="Arial" w:hAnsi="Arial" w:eastAsia="Arial"/>
            <w:color w:val="000000"/>
            <w:u w:val="single"/>
          </w:rPr>
          <w:t xml:space="preserve">Lei Complementar nº 123, de 2006</w:t>
        </w:r>
      </w:hyperlink>
      <w:r>
        <w:rPr>
          <w:rFonts w:ascii="Arial" w:hAnsi="Arial" w:eastAsia="Arial"/>
          <w:color w:val="000000"/>
        </w:rPr>
        <w:t xml:space="preserve"> e da </w:t>
      </w:r>
      <w:r>
        <w:rPr>
          <w:rFonts w:ascii="Arial" w:hAnsi="Arial" w:cs="Arial"/>
          <w:color w:val="000000"/>
        </w:rPr>
        <w:t xml:space="preserve">LEI MUNICIPAL Nº 14.569, DE 02 DE DEZEMBRO DE 2025.</w:t>
      </w:r>
      <w:r>
        <w:rPr>
          <w:rFonts w:ascii="Arial" w:hAnsi="Arial"/>
          <w:color w:val="000000"/>
        </w:rPr>
      </w:r>
      <w:r>
        <w:rPr>
          <w:rFonts w:ascii="Arial" w:hAnsi="Arial"/>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eastAsia="SimSun"/>
          <w:color w:val="000000"/>
        </w:rPr>
      </w:pPr>
      <w:r>
        <w:rPr>
          <w:rFonts w:ascii="Arial" w:hAnsi="Arial" w:eastAsia="SimSun"/>
          <w:b/>
          <w:bCs/>
          <w:color w:val="000000"/>
        </w:rPr>
        <w:t xml:space="preserve">4.5. NÃO PODERÃO DISPUTAR ESTA LICITAÇÃO:</w:t>
      </w:r>
      <w:r>
        <w:rPr>
          <w:rFonts w:ascii="Arial" w:hAnsi="Arial" w:eastAsia="SimSun"/>
          <w:color w:val="000000"/>
        </w:rPr>
      </w:r>
      <w:r>
        <w:rPr>
          <w:rFonts w:ascii="Arial" w:hAnsi="Arial" w:eastAsia="SimSun"/>
          <w:color w:val="000000"/>
        </w:rPr>
      </w:r>
    </w:p>
    <w:p>
      <w:pPr>
        <w:pBdr/>
        <w:spacing/>
        <w:ind w:left="284"/>
        <w:jc w:val="both"/>
        <w:rPr>
          <w:rFonts w:ascii="Arial" w:hAnsi="Arial" w:eastAsia="SimSun"/>
          <w:b/>
          <w:bCs/>
          <w:color w:val="000000"/>
        </w:rPr>
      </w:pPr>
      <w:r>
        <w:rPr>
          <w:rFonts w:ascii="Arial" w:hAnsi="Arial" w:eastAsia="SimSun"/>
          <w:b/>
          <w:bCs/>
          <w:color w:val="000000"/>
        </w:rPr>
      </w:r>
      <w:r>
        <w:rPr>
          <w:rFonts w:ascii="Arial" w:hAnsi="Arial" w:eastAsia="SimSun"/>
          <w:b/>
          <w:bCs/>
          <w:color w:val="000000"/>
        </w:rPr>
      </w:r>
      <w:r>
        <w:rPr>
          <w:rFonts w:ascii="Arial" w:hAnsi="Arial" w:eastAsia="SimSun"/>
          <w:b/>
          <w:bCs/>
          <w:color w:val="000000"/>
        </w:rPr>
      </w:r>
    </w:p>
    <w:p>
      <w:pPr>
        <w:pBdr/>
        <w:spacing/>
        <w:ind/>
        <w:jc w:val="both"/>
        <w:rPr>
          <w:rFonts w:ascii="Arial" w:hAnsi="Arial" w:eastAsia="SimSun"/>
          <w:color w:val="000000"/>
        </w:rPr>
      </w:pPr>
      <w:r>
        <w:rPr>
          <w:rFonts w:ascii="Arial" w:hAnsi="Arial" w:eastAsia="SimSun"/>
          <w:b/>
          <w:bCs/>
          <w:color w:val="000000"/>
        </w:rPr>
        <w:t xml:space="preserve">4.5.1.</w:t>
      </w:r>
      <w:r>
        <w:rPr>
          <w:rFonts w:ascii="Arial" w:hAnsi="Arial" w:eastAsia="SimSun"/>
          <w:color w:val="000000"/>
        </w:rPr>
        <w:t xml:space="preserve"> Aquel</w:t>
      </w:r>
      <w:r>
        <w:rPr>
          <w:rFonts w:ascii="Arial" w:hAnsi="Arial" w:eastAsia="SimSun"/>
          <w:color w:val="000000"/>
        </w:rPr>
        <w:t xml:space="preserve">e que não atender às condições estabelecidas neste Edital e em seus anexos;</w:t>
      </w:r>
      <w:r>
        <w:rPr>
          <w:rFonts w:ascii="Arial" w:hAnsi="Arial" w:eastAsia="SimSun"/>
          <w:color w:val="000000"/>
        </w:rPr>
      </w:r>
      <w:r>
        <w:rPr>
          <w:rFonts w:ascii="Arial" w:hAnsi="Arial" w:eastAsia="SimSun"/>
          <w:color w:val="000000"/>
        </w:rPr>
      </w:r>
    </w:p>
    <w:p>
      <w:pPr>
        <w:pBdr/>
        <w:spacing/>
        <w:ind w:left="284"/>
        <w:jc w:val="both"/>
        <w:rPr>
          <w:rFonts w:ascii="Arial" w:hAnsi="Arial" w:eastAsia="SimSun"/>
          <w:b/>
          <w:bCs/>
          <w:color w:val="000000"/>
        </w:rPr>
      </w:pPr>
      <w:r>
        <w:rPr>
          <w:rFonts w:ascii="Arial" w:hAnsi="Arial" w:eastAsia="SimSun"/>
          <w:b/>
          <w:bCs/>
          <w:color w:val="000000"/>
        </w:rPr>
      </w:r>
      <w:r>
        <w:rPr>
          <w:rFonts w:ascii="Arial" w:hAnsi="Arial" w:eastAsia="SimSun"/>
          <w:b/>
          <w:bCs/>
          <w:color w:val="000000"/>
        </w:rPr>
      </w:r>
      <w:r>
        <w:rPr>
          <w:rFonts w:ascii="Arial" w:hAnsi="Arial" w:eastAsia="SimSun"/>
          <w:b/>
          <w:bCs/>
          <w:color w:val="000000"/>
        </w:rPr>
      </w:r>
    </w:p>
    <w:p>
      <w:pPr>
        <w:pBdr/>
        <w:spacing/>
        <w:ind/>
        <w:jc w:val="both"/>
        <w:rPr>
          <w:rFonts w:ascii="Arial" w:hAnsi="Arial" w:eastAsia="SimSun"/>
          <w:color w:val="000000"/>
        </w:rPr>
      </w:pPr>
      <w:r>
        <w:rPr>
          <w:rFonts w:ascii="Arial" w:hAnsi="Arial" w:eastAsia="SimSun"/>
          <w:b/>
          <w:bCs/>
          <w:color w:val="000000"/>
        </w:rPr>
        <w:t xml:space="preserve">4.5.2.</w:t>
      </w:r>
      <w:r>
        <w:rPr>
          <w:rFonts w:ascii="Arial" w:hAnsi="Arial" w:eastAsia="SimSun"/>
          <w:color w:val="000000"/>
        </w:rPr>
        <w:t xml:space="preserve"> Empresas ou pessoas físicas que se encontrem em situação de falência, concurso de credores, dissolução ou liquidação, ressalvadas aquelas que possuam plano de recuperação j</w:t>
      </w:r>
      <w:r>
        <w:rPr>
          <w:rFonts w:ascii="Arial" w:hAnsi="Arial" w:eastAsia="SimSun"/>
          <w:color w:val="000000"/>
        </w:rPr>
        <w:t xml:space="preserve">udicial aprovado em assembleia geral de credores e homologado pelo juiz;</w:t>
      </w:r>
      <w:r>
        <w:rPr>
          <w:rFonts w:ascii="Arial" w:hAnsi="Arial" w:eastAsia="SimSun"/>
          <w:color w:val="000000"/>
        </w:rPr>
      </w:r>
      <w:r>
        <w:rPr>
          <w:rFonts w:ascii="Arial" w:hAnsi="Arial" w:eastAsia="SimSun"/>
          <w:color w:val="000000"/>
        </w:rPr>
      </w:r>
    </w:p>
    <w:p>
      <w:pPr>
        <w:pBdr/>
        <w:spacing/>
        <w:ind w:left="284"/>
        <w:jc w:val="both"/>
        <w:rPr>
          <w:rFonts w:ascii="Arial" w:hAnsi="Arial" w:eastAsia="SimSun"/>
          <w:b/>
          <w:bCs/>
          <w:color w:val="000000"/>
        </w:rPr>
      </w:pPr>
      <w:r>
        <w:rPr>
          <w:rFonts w:ascii="Arial" w:hAnsi="Arial" w:eastAsia="SimSun"/>
          <w:b/>
          <w:bCs/>
          <w:color w:val="000000"/>
        </w:rPr>
      </w:r>
      <w:r>
        <w:rPr>
          <w:rFonts w:ascii="Arial" w:hAnsi="Arial" w:eastAsia="SimSun"/>
          <w:b/>
          <w:bCs/>
          <w:color w:val="000000"/>
        </w:rPr>
      </w:r>
      <w:r>
        <w:rPr>
          <w:rFonts w:ascii="Arial" w:hAnsi="Arial" w:eastAsia="SimSun"/>
          <w:b/>
          <w:bCs/>
          <w:color w:val="000000"/>
        </w:rPr>
      </w:r>
    </w:p>
    <w:p>
      <w:pPr>
        <w:pBdr/>
        <w:spacing/>
        <w:ind/>
        <w:jc w:val="both"/>
        <w:rPr>
          <w:rFonts w:ascii="Arial" w:hAnsi="Arial" w:eastAsia="SimSun"/>
          <w:color w:val="000000"/>
        </w:rPr>
      </w:pPr>
      <w:r>
        <w:rPr>
          <w:rFonts w:ascii="Arial" w:hAnsi="Arial" w:eastAsia="SimSun"/>
          <w:b/>
          <w:bCs/>
          <w:color w:val="000000"/>
        </w:rPr>
        <w:t xml:space="preserve">4.5.3.</w:t>
      </w:r>
      <w:r>
        <w:rPr>
          <w:rFonts w:ascii="Arial" w:hAnsi="Arial" w:eastAsia="SimSun"/>
          <w:color w:val="000000"/>
        </w:rPr>
        <w:t xml:space="preserve"> </w:t>
      </w:r>
      <w:r>
        <w:rPr>
          <w:rFonts w:ascii="Arial" w:hAnsi="Arial" w:eastAsia="Arial"/>
          <w:color w:val="000000"/>
        </w:rPr>
        <w:t xml:space="preserve">Agente público do órgão ou entidade licitante;</w:t>
      </w:r>
      <w:r>
        <w:rPr>
          <w:rFonts w:ascii="Arial" w:hAnsi="Arial" w:eastAsia="SimSun"/>
          <w:color w:val="000000"/>
        </w:rPr>
      </w:r>
      <w:r>
        <w:rPr>
          <w:rFonts w:ascii="Arial" w:hAnsi="Arial" w:eastAsia="SimSun"/>
          <w:color w:val="000000"/>
        </w:rPr>
      </w:r>
    </w:p>
    <w:p>
      <w:pPr>
        <w:pBdr/>
        <w:spacing/>
        <w:ind w:left="284"/>
        <w:jc w:val="both"/>
        <w:rPr>
          <w:rFonts w:ascii="Arial" w:hAnsi="Arial" w:eastAsia="SimSun"/>
          <w:b/>
          <w:bCs/>
          <w:color w:val="000000"/>
          <w:highlight w:val="yellow"/>
        </w:rPr>
      </w:pPr>
      <w:r>
        <w:rPr>
          <w:rFonts w:ascii="Arial" w:hAnsi="Arial" w:eastAsia="SimSun"/>
          <w:b/>
          <w:bCs/>
          <w:color w:val="000000"/>
          <w:highlight w:val="yellow"/>
        </w:rPr>
      </w:r>
      <w:r>
        <w:rPr>
          <w:rFonts w:ascii="Arial" w:hAnsi="Arial" w:eastAsia="SimSun"/>
          <w:b/>
          <w:bCs/>
          <w:color w:val="000000"/>
          <w:highlight w:val="yellow"/>
        </w:rPr>
      </w:r>
      <w:r>
        <w:rPr>
          <w:rFonts w:ascii="Arial" w:hAnsi="Arial" w:eastAsia="SimSun"/>
          <w:b/>
          <w:bCs/>
          <w:color w:val="000000"/>
          <w:highlight w:val="yellow"/>
        </w:rPr>
      </w:r>
    </w:p>
    <w:p>
      <w:pPr>
        <w:pBdr/>
        <w:spacing/>
        <w:ind/>
        <w:jc w:val="both"/>
        <w:rPr>
          <w:rFonts w:ascii="Arial" w:hAnsi="Arial" w:eastAsia="SimSun"/>
          <w:color w:val="000000"/>
        </w:rPr>
      </w:pPr>
      <w:r>
        <w:rPr>
          <w:rFonts w:ascii="Arial" w:hAnsi="Arial" w:eastAsia="SimSun"/>
          <w:b/>
          <w:bCs/>
          <w:color w:val="000000"/>
        </w:rPr>
        <w:t xml:space="preserve">4.5.4.</w:t>
      </w:r>
      <w:r>
        <w:rPr>
          <w:rFonts w:ascii="Arial" w:hAnsi="Arial" w:eastAsia="SimSun"/>
          <w:color w:val="000000"/>
        </w:rPr>
        <w:t xml:space="preserve"> Organizações da Sociedade Civil de Interesse Público – OSCIP, atuando nessa condição;</w:t>
      </w:r>
      <w:r>
        <w:rPr>
          <w:rFonts w:ascii="Arial" w:hAnsi="Arial" w:eastAsia="SimSun"/>
          <w:color w:val="000000"/>
        </w:rPr>
      </w:r>
      <w:r>
        <w:rPr>
          <w:rFonts w:ascii="Arial" w:hAnsi="Arial" w:eastAsia="SimSun"/>
          <w:color w:val="000000"/>
        </w:rPr>
      </w:r>
    </w:p>
    <w:p>
      <w:pPr>
        <w:pBdr/>
        <w:spacing/>
        <w:ind w:left="284"/>
        <w:jc w:val="both"/>
        <w:rPr>
          <w:rFonts w:ascii="Arial" w:hAnsi="Arial" w:eastAsia="SimSun"/>
          <w:b/>
          <w:bCs/>
          <w:color w:val="000000"/>
        </w:rPr>
      </w:pPr>
      <w:r>
        <w:rPr>
          <w:rFonts w:ascii="Arial" w:hAnsi="Arial" w:eastAsia="SimSun"/>
          <w:b/>
          <w:bCs/>
          <w:color w:val="000000"/>
        </w:rPr>
      </w:r>
      <w:r>
        <w:rPr>
          <w:rFonts w:ascii="Arial" w:hAnsi="Arial" w:eastAsia="SimSun"/>
          <w:b/>
          <w:bCs/>
          <w:color w:val="000000"/>
        </w:rPr>
      </w:r>
      <w:r>
        <w:rPr>
          <w:rFonts w:ascii="Arial" w:hAnsi="Arial" w:eastAsia="SimSun"/>
          <w:b/>
          <w:bCs/>
          <w:color w:val="000000"/>
        </w:rPr>
      </w:r>
    </w:p>
    <w:p>
      <w:pPr>
        <w:pBdr/>
        <w:spacing/>
        <w:ind/>
        <w:jc w:val="both"/>
        <w:rPr>
          <w:rFonts w:ascii="Arial" w:hAnsi="Arial" w:eastAsia="SimSun"/>
          <w:color w:val="000000"/>
        </w:rPr>
      </w:pPr>
      <w:r>
        <w:rPr>
          <w:rFonts w:ascii="Arial" w:hAnsi="Arial" w:eastAsia="SimSun"/>
          <w:b/>
          <w:bCs/>
          <w:color w:val="000000"/>
        </w:rPr>
        <w:t xml:space="preserve">4.5.5.</w:t>
      </w:r>
      <w:r>
        <w:rPr>
          <w:rFonts w:ascii="Arial" w:hAnsi="Arial" w:eastAsia="SimSun"/>
          <w:color w:val="000000"/>
        </w:rPr>
        <w:t xml:space="preserve"> Empresas suspensas de licitar ou contratar com a Prefeitura Municipal de Rondonópolis;</w:t>
      </w:r>
      <w:r>
        <w:rPr>
          <w:rFonts w:ascii="Arial" w:hAnsi="Arial" w:eastAsia="SimSun"/>
          <w:color w:val="000000"/>
        </w:rPr>
      </w:r>
      <w:r>
        <w:rPr>
          <w:rFonts w:ascii="Arial" w:hAnsi="Arial" w:eastAsia="SimSun"/>
          <w:color w:val="000000"/>
        </w:rPr>
      </w:r>
    </w:p>
    <w:p>
      <w:pPr>
        <w:pBdr/>
        <w:spacing/>
        <w:ind w:left="284"/>
        <w:jc w:val="both"/>
        <w:rPr>
          <w:rFonts w:ascii="Arial" w:hAnsi="Arial" w:eastAsia="SimSun"/>
          <w:b/>
          <w:bCs/>
          <w:color w:val="000000"/>
        </w:rPr>
      </w:pPr>
      <w:r>
        <w:rPr>
          <w:rFonts w:ascii="Arial" w:hAnsi="Arial" w:eastAsia="SimSun"/>
          <w:b/>
          <w:bCs/>
          <w:color w:val="000000"/>
        </w:rPr>
      </w:r>
      <w:r>
        <w:rPr>
          <w:rFonts w:ascii="Arial" w:hAnsi="Arial" w:eastAsia="SimSun"/>
          <w:b/>
          <w:bCs/>
          <w:color w:val="000000"/>
        </w:rPr>
      </w:r>
      <w:r>
        <w:rPr>
          <w:rFonts w:ascii="Arial" w:hAnsi="Arial" w:eastAsia="SimSun"/>
          <w:b/>
          <w:bCs/>
          <w:color w:val="000000"/>
        </w:rPr>
      </w:r>
    </w:p>
    <w:p>
      <w:pPr>
        <w:pBdr/>
        <w:spacing/>
        <w:ind/>
        <w:jc w:val="both"/>
        <w:rPr>
          <w:rFonts w:ascii="Arial" w:hAnsi="Arial" w:eastAsia="SimSun"/>
          <w:color w:val="000000"/>
        </w:rPr>
      </w:pPr>
      <w:r>
        <w:rPr>
          <w:rFonts w:ascii="Arial" w:hAnsi="Arial" w:eastAsia="SimSun"/>
          <w:b/>
          <w:bCs/>
          <w:color w:val="000000"/>
        </w:rPr>
        <w:t xml:space="preserve">4.5.6.</w:t>
      </w:r>
      <w:r>
        <w:rPr>
          <w:rFonts w:ascii="Arial" w:hAnsi="Arial" w:eastAsia="SimSun"/>
          <w:color w:val="000000"/>
        </w:rPr>
        <w:t xml:space="preserve"> Empresas declaradas inidôneas para licitar ou contratar com a Administração Pública, enquanto perdurarem os motivos da punição ou até que seja promovida a reabi</w:t>
      </w:r>
      <w:r>
        <w:rPr>
          <w:rFonts w:ascii="Arial" w:hAnsi="Arial" w:eastAsia="SimSun"/>
          <w:color w:val="000000"/>
        </w:rPr>
        <w:t xml:space="preserve">litação perante a autoridade que aplicou a penalidade;</w:t>
      </w:r>
      <w:r>
        <w:rPr>
          <w:rFonts w:ascii="Arial" w:hAnsi="Arial" w:eastAsia="SimSun"/>
          <w:color w:val="000000"/>
        </w:rPr>
      </w:r>
      <w:r>
        <w:rPr>
          <w:rFonts w:ascii="Arial" w:hAnsi="Arial" w:eastAsia="SimSun"/>
          <w:color w:val="000000"/>
        </w:rPr>
      </w:r>
    </w:p>
    <w:p>
      <w:pPr>
        <w:pBdr/>
        <w:spacing/>
        <w:ind/>
        <w:jc w:val="both"/>
        <w:rPr>
          <w:rFonts w:ascii="Arial" w:hAnsi="Arial" w:eastAsia="SimSun"/>
          <w:b/>
          <w:bCs/>
          <w:color w:val="000000"/>
        </w:rPr>
      </w:pPr>
      <w:r>
        <w:rPr>
          <w:rFonts w:ascii="Arial" w:hAnsi="Arial" w:eastAsia="SimSun"/>
          <w:b/>
          <w:bCs/>
          <w:color w:val="000000"/>
        </w:rPr>
      </w:r>
      <w:r>
        <w:rPr>
          <w:rFonts w:ascii="Arial" w:hAnsi="Arial" w:eastAsia="SimSun"/>
          <w:b/>
          <w:bCs/>
          <w:color w:val="000000"/>
        </w:rPr>
      </w:r>
      <w:r>
        <w:rPr>
          <w:rFonts w:ascii="Arial" w:hAnsi="Arial" w:eastAsia="SimSun"/>
          <w:b/>
          <w:bCs/>
          <w:color w:val="000000"/>
        </w:rPr>
      </w:r>
    </w:p>
    <w:p>
      <w:pPr>
        <w:pBdr/>
        <w:spacing/>
        <w:ind/>
        <w:jc w:val="both"/>
        <w:rPr>
          <w:rFonts w:ascii="Arial" w:hAnsi="Arial" w:eastAsia="SimSun"/>
          <w:color w:val="000000"/>
        </w:rPr>
      </w:pPr>
      <w:r>
        <w:rPr>
          <w:rFonts w:ascii="Arial" w:hAnsi="Arial" w:eastAsia="SimSun"/>
          <w:b/>
          <w:bCs/>
          <w:color w:val="000000"/>
        </w:rPr>
        <w:t xml:space="preserve">4.5.7.</w:t>
      </w:r>
      <w:r>
        <w:rPr>
          <w:rFonts w:ascii="Arial" w:hAnsi="Arial" w:eastAsia="SimSun"/>
          <w:color w:val="000000"/>
        </w:rPr>
        <w:t xml:space="preserve"> Cooperativas, exclusivamente quando o objeto do certame exigir subordinação de mão de obra (fundamentação: art. 5º da Lei nº 12.690/12 e acórdãos TCU 1937/03, 307/04, 1148/05);</w:t>
      </w:r>
      <w:r>
        <w:rPr>
          <w:rFonts w:ascii="Arial" w:hAnsi="Arial" w:eastAsia="SimSun"/>
          <w:color w:val="000000"/>
        </w:rPr>
      </w:r>
      <w:r>
        <w:rPr>
          <w:rFonts w:ascii="Arial" w:hAnsi="Arial" w:eastAsia="SimSun"/>
          <w:color w:val="000000"/>
        </w:rPr>
      </w:r>
    </w:p>
    <w:p>
      <w:pPr>
        <w:pBdr/>
        <w:spacing/>
        <w:ind w:left="284"/>
        <w:jc w:val="both"/>
        <w:rPr>
          <w:rFonts w:ascii="Arial" w:hAnsi="Arial" w:eastAsia="SimSun"/>
          <w:b/>
          <w:bCs/>
          <w:color w:val="000000"/>
        </w:rPr>
      </w:pPr>
      <w:r>
        <w:rPr>
          <w:rFonts w:ascii="Arial" w:hAnsi="Arial" w:eastAsia="SimSun"/>
          <w:b/>
          <w:bCs/>
          <w:color w:val="000000"/>
        </w:rPr>
      </w:r>
      <w:r>
        <w:rPr>
          <w:rFonts w:ascii="Arial" w:hAnsi="Arial" w:eastAsia="SimSun"/>
          <w:b/>
          <w:bCs/>
          <w:color w:val="000000"/>
        </w:rPr>
      </w:r>
      <w:r>
        <w:rPr>
          <w:rFonts w:ascii="Arial" w:hAnsi="Arial" w:eastAsia="SimSun"/>
          <w:b/>
          <w:bCs/>
          <w:color w:val="000000"/>
        </w:rPr>
      </w:r>
    </w:p>
    <w:p>
      <w:pPr>
        <w:pBdr/>
        <w:spacing/>
        <w:ind/>
        <w:jc w:val="both"/>
        <w:rPr>
          <w:rFonts w:ascii="Arial" w:hAnsi="Arial" w:eastAsia="SimSun"/>
          <w:color w:val="000000"/>
        </w:rPr>
      </w:pPr>
      <w:r>
        <w:rPr>
          <w:rFonts w:ascii="Arial" w:hAnsi="Arial" w:eastAsia="SimSun"/>
          <w:b/>
          <w:bCs/>
          <w:color w:val="000000"/>
        </w:rPr>
        <w:t xml:space="preserve">4.5.8.</w:t>
      </w:r>
      <w:r>
        <w:rPr>
          <w:rFonts w:ascii="Arial" w:hAnsi="Arial" w:eastAsia="SimSun"/>
          <w:color w:val="000000"/>
        </w:rPr>
        <w:t xml:space="preserve"> Cooperat</w:t>
      </w:r>
      <w:r>
        <w:rPr>
          <w:rFonts w:ascii="Arial" w:hAnsi="Arial" w:eastAsia="SimSun"/>
          <w:color w:val="000000"/>
        </w:rPr>
        <w:t xml:space="preserve">ivas cujo objeto social não seja compatível com o objeto do certame (fundamentação: art. 10, §2º da Lei nº 12.690/12);</w:t>
      </w:r>
      <w:r>
        <w:rPr>
          <w:rFonts w:ascii="Arial" w:hAnsi="Arial" w:eastAsia="SimSun"/>
          <w:color w:val="000000"/>
        </w:rPr>
      </w:r>
      <w:r>
        <w:rPr>
          <w:rFonts w:ascii="Arial" w:hAnsi="Arial" w:eastAsia="SimSun"/>
          <w:color w:val="000000"/>
        </w:rPr>
      </w:r>
    </w:p>
    <w:p>
      <w:pPr>
        <w:pBdr/>
        <w:spacing/>
        <w:ind w:left="284"/>
        <w:jc w:val="both"/>
        <w:rPr>
          <w:rFonts w:ascii="Arial" w:hAnsi="Arial" w:eastAsia="SimSun"/>
          <w:b/>
          <w:bCs/>
          <w:color w:val="000000"/>
        </w:rPr>
      </w:pPr>
      <w:r>
        <w:rPr>
          <w:rFonts w:ascii="Arial" w:hAnsi="Arial" w:eastAsia="SimSun"/>
          <w:b/>
          <w:bCs/>
          <w:color w:val="000000"/>
        </w:rPr>
      </w:r>
      <w:r>
        <w:rPr>
          <w:rFonts w:ascii="Arial" w:hAnsi="Arial" w:eastAsia="SimSun"/>
          <w:b/>
          <w:bCs/>
          <w:color w:val="000000"/>
        </w:rPr>
      </w:r>
      <w:r>
        <w:rPr>
          <w:rFonts w:ascii="Arial" w:hAnsi="Arial" w:eastAsia="SimSun"/>
          <w:b/>
          <w:bCs/>
          <w:color w:val="000000"/>
        </w:rPr>
      </w:r>
    </w:p>
    <w:p>
      <w:pPr>
        <w:pBdr/>
        <w:spacing/>
        <w:ind/>
        <w:jc w:val="both"/>
        <w:rPr>
          <w:rFonts w:ascii="Arial" w:hAnsi="Arial" w:eastAsia="SimSun"/>
          <w:color w:val="000000"/>
        </w:rPr>
      </w:pPr>
      <w:r>
        <w:rPr>
          <w:rFonts w:ascii="Arial" w:hAnsi="Arial" w:eastAsia="SimSun"/>
          <w:b/>
          <w:bCs/>
          <w:color w:val="000000"/>
        </w:rPr>
        <w:t xml:space="preserve">4.5.9.</w:t>
      </w:r>
      <w:r>
        <w:rPr>
          <w:rFonts w:ascii="Arial" w:hAnsi="Arial" w:eastAsia="SimSun"/>
          <w:color w:val="000000"/>
        </w:rPr>
        <w:t xml:space="preserve"> Empresas controladoras, controladas ou coligadas, nos termos da Lei nº 6.404, de 15 de dezembro de 1976, concorrendo entre si;</w:t>
      </w:r>
      <w:r>
        <w:rPr>
          <w:rFonts w:ascii="Arial" w:hAnsi="Arial" w:eastAsia="SimSun"/>
          <w:color w:val="000000"/>
        </w:rPr>
      </w:r>
      <w:r>
        <w:rPr>
          <w:rFonts w:ascii="Arial" w:hAnsi="Arial" w:eastAsia="SimSun"/>
          <w:color w:val="000000"/>
        </w:rPr>
      </w:r>
    </w:p>
    <w:p>
      <w:pPr>
        <w:pBdr/>
        <w:spacing/>
        <w:ind w:left="284"/>
        <w:jc w:val="both"/>
        <w:rPr>
          <w:rFonts w:ascii="Arial" w:hAnsi="Arial" w:eastAsia="SimSun"/>
          <w:b/>
          <w:bCs/>
          <w:color w:val="000000"/>
        </w:rPr>
      </w:pPr>
      <w:r>
        <w:rPr>
          <w:rFonts w:ascii="Arial" w:hAnsi="Arial" w:eastAsia="SimSun"/>
          <w:b/>
          <w:bCs/>
          <w:color w:val="000000"/>
        </w:rPr>
      </w:r>
      <w:r>
        <w:rPr>
          <w:rFonts w:ascii="Arial" w:hAnsi="Arial" w:eastAsia="SimSun"/>
          <w:b/>
          <w:bCs/>
          <w:color w:val="000000"/>
        </w:rPr>
      </w:r>
      <w:r>
        <w:rPr>
          <w:rFonts w:ascii="Arial" w:hAnsi="Arial" w:eastAsia="SimSun"/>
          <w:b/>
          <w:bCs/>
          <w:color w:val="000000"/>
        </w:rPr>
      </w:r>
    </w:p>
    <w:p>
      <w:pPr>
        <w:pBdr/>
        <w:spacing/>
        <w:ind/>
        <w:jc w:val="both"/>
        <w:rPr>
          <w:rFonts w:ascii="Arial" w:hAnsi="Arial" w:eastAsia="SimSun"/>
          <w:color w:val="000000"/>
        </w:rPr>
      </w:pPr>
      <w:r>
        <w:rPr>
          <w:rFonts w:ascii="Arial" w:hAnsi="Arial" w:eastAsia="SimSun"/>
          <w:b/>
          <w:bCs/>
          <w:color w:val="000000"/>
        </w:rPr>
        <w:t xml:space="preserve">4.5.10.</w:t>
      </w:r>
      <w:r>
        <w:rPr>
          <w:rFonts w:ascii="Arial" w:hAnsi="Arial" w:eastAsia="SimSun"/>
          <w:color w:val="000000"/>
        </w:rPr>
        <w:t xml:space="preserve"> Empresas estrangeiras que não possuam funcionamento no território nacional;</w:t>
      </w:r>
      <w:r>
        <w:rPr>
          <w:rFonts w:ascii="Arial" w:hAnsi="Arial" w:eastAsia="SimSun"/>
          <w:color w:val="000000"/>
        </w:rPr>
      </w:r>
      <w:r>
        <w:rPr>
          <w:rFonts w:ascii="Arial" w:hAnsi="Arial" w:eastAsia="SimSun"/>
          <w:color w:val="000000"/>
        </w:rPr>
      </w:r>
    </w:p>
    <w:p>
      <w:pPr>
        <w:pBdr/>
        <w:spacing/>
        <w:ind w:left="284"/>
        <w:jc w:val="both"/>
        <w:rPr>
          <w:rFonts w:ascii="Arial" w:hAnsi="Arial" w:eastAsia="SimSun"/>
          <w:b/>
          <w:bCs/>
          <w:color w:val="000000"/>
        </w:rPr>
      </w:pPr>
      <w:r>
        <w:rPr>
          <w:rFonts w:ascii="Arial" w:hAnsi="Arial" w:eastAsia="SimSun"/>
          <w:b/>
          <w:bCs/>
          <w:color w:val="000000"/>
        </w:rPr>
      </w:r>
      <w:r>
        <w:rPr>
          <w:rFonts w:ascii="Arial" w:hAnsi="Arial" w:eastAsia="SimSun"/>
          <w:b/>
          <w:bCs/>
          <w:color w:val="000000"/>
        </w:rPr>
      </w:r>
      <w:r>
        <w:rPr>
          <w:rFonts w:ascii="Arial" w:hAnsi="Arial" w:eastAsia="SimSun"/>
          <w:b/>
          <w:bCs/>
          <w:color w:val="000000"/>
        </w:rPr>
      </w:r>
    </w:p>
    <w:p>
      <w:pPr>
        <w:pBdr/>
        <w:spacing/>
        <w:ind/>
        <w:jc w:val="both"/>
        <w:rPr>
          <w:rFonts w:ascii="Arial" w:hAnsi="Arial" w:eastAsia="SimSun"/>
          <w:color w:val="000000"/>
        </w:rPr>
      </w:pPr>
      <w:r>
        <w:rPr>
          <w:rFonts w:ascii="Arial" w:hAnsi="Arial" w:eastAsia="SimSun"/>
          <w:b/>
          <w:bCs/>
          <w:color w:val="000000"/>
        </w:rPr>
        <w:t xml:space="preserve">4.5.11.</w:t>
      </w:r>
      <w:r>
        <w:rPr>
          <w:rFonts w:ascii="Arial" w:hAnsi="Arial" w:eastAsia="SimSun"/>
          <w:color w:val="000000"/>
        </w:rPr>
        <w:t xml:space="preserve"> Autor do anteprojeto, projeto básico ou executivo, pessoa física ou jurídica, quando a licitação versar sobre obra, serviço ou fornecimento de bens a ele relaciona</w:t>
      </w:r>
      <w:r>
        <w:rPr>
          <w:rFonts w:ascii="Arial" w:hAnsi="Arial" w:eastAsia="SimSun"/>
          <w:color w:val="000000"/>
        </w:rPr>
        <w:t xml:space="preserve">dos;</w:t>
      </w:r>
      <w:r>
        <w:rPr>
          <w:rFonts w:ascii="Arial" w:hAnsi="Arial" w:eastAsia="SimSun"/>
          <w:color w:val="000000"/>
        </w:rPr>
      </w:r>
      <w:r>
        <w:rPr>
          <w:rFonts w:ascii="Arial" w:hAnsi="Arial" w:eastAsia="SimSun"/>
          <w:color w:val="000000"/>
        </w:rPr>
      </w:r>
    </w:p>
    <w:p>
      <w:pPr>
        <w:pBdr/>
        <w:spacing/>
        <w:ind w:left="284"/>
        <w:jc w:val="both"/>
        <w:rPr>
          <w:rFonts w:ascii="Arial" w:hAnsi="Arial" w:eastAsia="SimSun"/>
          <w:b/>
          <w:bCs/>
          <w:color w:val="000000"/>
        </w:rPr>
      </w:pPr>
      <w:r>
        <w:rPr>
          <w:rFonts w:ascii="Arial" w:hAnsi="Arial" w:eastAsia="SimSun"/>
          <w:b/>
          <w:bCs/>
          <w:color w:val="000000"/>
        </w:rPr>
      </w:r>
      <w:r>
        <w:rPr>
          <w:rFonts w:ascii="Arial" w:hAnsi="Arial" w:eastAsia="SimSun"/>
          <w:b/>
          <w:bCs/>
          <w:color w:val="000000"/>
        </w:rPr>
      </w:r>
      <w:r>
        <w:rPr>
          <w:rFonts w:ascii="Arial" w:hAnsi="Arial" w:eastAsia="SimSun"/>
          <w:b/>
          <w:bCs/>
          <w:color w:val="000000"/>
        </w:rPr>
      </w:r>
    </w:p>
    <w:p>
      <w:pPr>
        <w:pBdr/>
        <w:spacing/>
        <w:ind/>
        <w:jc w:val="both"/>
        <w:rPr>
          <w:rFonts w:ascii="Arial" w:hAnsi="Arial" w:eastAsia="SimSun"/>
          <w:color w:val="000000"/>
        </w:rPr>
      </w:pPr>
      <w:r>
        <w:rPr>
          <w:rFonts w:ascii="Arial" w:hAnsi="Arial" w:eastAsia="SimSun"/>
          <w:b/>
          <w:bCs/>
          <w:color w:val="000000"/>
        </w:rPr>
        <w:t xml:space="preserve">4.5.11.1.</w:t>
      </w:r>
      <w:r>
        <w:rPr>
          <w:rFonts w:ascii="Arial" w:hAnsi="Arial" w:eastAsia="SimSun"/>
          <w:color w:val="000000"/>
        </w:rPr>
        <w:t xml:space="preserve"> Equiparam-se aos autores do projeto as empresas integrantes do mesmo grupo econômico;</w:t>
      </w:r>
      <w:r>
        <w:rPr>
          <w:rFonts w:ascii="Arial" w:hAnsi="Arial" w:eastAsia="SimSun"/>
          <w:color w:val="000000"/>
        </w:rPr>
      </w:r>
      <w:r>
        <w:rPr>
          <w:rFonts w:ascii="Arial" w:hAnsi="Arial" w:eastAsia="SimSun"/>
          <w:color w:val="000000"/>
        </w:rPr>
      </w:r>
    </w:p>
    <w:p>
      <w:pPr>
        <w:pBdr/>
        <w:spacing/>
        <w:ind w:left="284"/>
        <w:jc w:val="both"/>
        <w:rPr>
          <w:rFonts w:ascii="Arial" w:hAnsi="Arial" w:eastAsia="SimSun"/>
          <w:b/>
          <w:bCs/>
          <w:color w:val="000000"/>
        </w:rPr>
      </w:pPr>
      <w:r>
        <w:rPr>
          <w:rFonts w:ascii="Arial" w:hAnsi="Arial" w:eastAsia="SimSun"/>
          <w:b/>
          <w:bCs/>
          <w:color w:val="000000"/>
        </w:rPr>
      </w:r>
      <w:r>
        <w:rPr>
          <w:rFonts w:ascii="Arial" w:hAnsi="Arial" w:eastAsia="SimSun"/>
          <w:b/>
          <w:bCs/>
          <w:color w:val="000000"/>
        </w:rPr>
      </w:r>
      <w:r>
        <w:rPr>
          <w:rFonts w:ascii="Arial" w:hAnsi="Arial" w:eastAsia="SimSun"/>
          <w:b/>
          <w:bCs/>
          <w:color w:val="000000"/>
        </w:rPr>
      </w:r>
    </w:p>
    <w:p>
      <w:pPr>
        <w:pBdr/>
        <w:spacing/>
        <w:ind/>
        <w:jc w:val="both"/>
        <w:rPr>
          <w:rFonts w:ascii="Arial" w:hAnsi="Arial" w:eastAsia="SimSun"/>
          <w:color w:val="000000"/>
        </w:rPr>
      </w:pPr>
      <w:r>
        <w:rPr>
          <w:rFonts w:ascii="Arial" w:hAnsi="Arial" w:eastAsia="SimSun"/>
          <w:b/>
          <w:bCs/>
          <w:color w:val="000000"/>
        </w:rPr>
        <w:t xml:space="preserve">4.5.12.</w:t>
      </w:r>
      <w:r>
        <w:rPr>
          <w:rFonts w:ascii="Arial" w:hAnsi="Arial" w:eastAsia="SimSun"/>
          <w:color w:val="000000"/>
        </w:rPr>
        <w:t xml:space="preserve"> Aquele que, isoladamente ou em consórcio, seja responsável pela elaboração do projeto básico ou executivo, ou empresa da qual o autor do projeto </w:t>
      </w:r>
      <w:r>
        <w:rPr>
          <w:rFonts w:ascii="Arial" w:hAnsi="Arial" w:eastAsia="SimSun"/>
          <w:color w:val="000000"/>
        </w:rPr>
        <w:t xml:space="preserve">seja dirigente, gerente, controlador, acionista ou detentor de mais de 5% (cinco por cento) do capital com direito a voto, responsável técnico ou subcontratado, quando a licitação versar sobre obra, serviço ou fornecimento de bens a ela necessários;</w:t>
      </w:r>
      <w:r>
        <w:rPr>
          <w:rFonts w:ascii="Arial" w:hAnsi="Arial" w:eastAsia="SimSun"/>
          <w:color w:val="000000"/>
        </w:rPr>
      </w:r>
      <w:r>
        <w:rPr>
          <w:rFonts w:ascii="Arial" w:hAnsi="Arial" w:eastAsia="SimSun"/>
          <w:color w:val="000000"/>
        </w:rPr>
      </w:r>
    </w:p>
    <w:p>
      <w:pPr>
        <w:pBdr/>
        <w:spacing/>
        <w:ind w:left="284"/>
        <w:jc w:val="both"/>
        <w:rPr>
          <w:rFonts w:ascii="Arial" w:hAnsi="Arial" w:eastAsia="SimSun"/>
          <w:color w:val="000000"/>
        </w:rPr>
      </w:pPr>
      <w:r>
        <w:rPr>
          <w:rFonts w:ascii="Arial" w:hAnsi="Arial" w:eastAsia="SimSun"/>
          <w:color w:val="000000"/>
        </w:rPr>
      </w:r>
      <w:r>
        <w:rPr>
          <w:rFonts w:ascii="Arial" w:hAnsi="Arial" w:eastAsia="SimSun"/>
          <w:color w:val="000000"/>
        </w:rPr>
      </w:r>
      <w:r>
        <w:rPr>
          <w:rFonts w:ascii="Arial" w:hAnsi="Arial" w:eastAsia="SimSun"/>
          <w:color w:val="000000"/>
        </w:rPr>
      </w:r>
    </w:p>
    <w:p>
      <w:pPr>
        <w:pBdr/>
        <w:spacing/>
        <w:ind/>
        <w:jc w:val="both"/>
        <w:rPr>
          <w:rFonts w:ascii="Arial" w:hAnsi="Arial" w:eastAsia="SimSun"/>
          <w:color w:val="000000"/>
        </w:rPr>
      </w:pPr>
      <w:r>
        <w:rPr>
          <w:rFonts w:ascii="Arial" w:hAnsi="Arial" w:eastAsia="SimSun"/>
          <w:b/>
          <w:bCs/>
          <w:color w:val="000000"/>
        </w:rPr>
        <w:t xml:space="preserve">4.5.1</w:t>
      </w:r>
      <w:r>
        <w:rPr>
          <w:rFonts w:ascii="Arial" w:hAnsi="Arial" w:eastAsia="SimSun"/>
          <w:b/>
          <w:bCs/>
          <w:color w:val="000000"/>
        </w:rPr>
        <w:t xml:space="preserve">3.</w:t>
      </w:r>
      <w:r>
        <w:rPr>
          <w:rFonts w:ascii="Arial" w:hAnsi="Arial" w:eastAsia="SimSun"/>
          <w:color w:val="000000"/>
        </w:rPr>
        <w:t xml:space="preserve"> A critério da Administração e exclusivamente a seu serviço, os autores dos projetos mencionados nos itens 4.5.11 e 4.5.12 poderão participar do apoio às atividades de planejamento da contratação, execução da licitação ou gestão do contrato, desde que so</w:t>
      </w:r>
      <w:r>
        <w:rPr>
          <w:rFonts w:ascii="Arial" w:hAnsi="Arial" w:eastAsia="SimSun"/>
          <w:color w:val="000000"/>
        </w:rPr>
        <w:t xml:space="preserve">b supervisão exclusiva de agentes públicos do órgão ou entidade;</w:t>
      </w:r>
      <w:r>
        <w:rPr>
          <w:rFonts w:ascii="Arial" w:hAnsi="Arial" w:eastAsia="SimSun"/>
          <w:color w:val="000000"/>
        </w:rPr>
      </w:r>
      <w:r>
        <w:rPr>
          <w:rFonts w:ascii="Arial" w:hAnsi="Arial" w:eastAsia="SimSun"/>
          <w:color w:val="000000"/>
        </w:rPr>
      </w:r>
    </w:p>
    <w:p>
      <w:pPr>
        <w:pBdr/>
        <w:spacing/>
        <w:ind w:left="284"/>
        <w:jc w:val="both"/>
        <w:rPr>
          <w:rFonts w:ascii="Arial" w:hAnsi="Arial" w:eastAsia="SimSun"/>
          <w:b/>
          <w:bCs/>
          <w:color w:val="000000"/>
        </w:rPr>
      </w:pPr>
      <w:r>
        <w:rPr>
          <w:rFonts w:ascii="Arial" w:hAnsi="Arial" w:eastAsia="SimSun"/>
          <w:b/>
          <w:bCs/>
          <w:color w:val="000000"/>
        </w:rPr>
      </w:r>
      <w:r>
        <w:rPr>
          <w:rFonts w:ascii="Arial" w:hAnsi="Arial" w:eastAsia="SimSun"/>
          <w:b/>
          <w:bCs/>
          <w:color w:val="000000"/>
        </w:rPr>
      </w:r>
      <w:r>
        <w:rPr>
          <w:rFonts w:ascii="Arial" w:hAnsi="Arial" w:eastAsia="SimSun"/>
          <w:b/>
          <w:bCs/>
          <w:color w:val="000000"/>
        </w:rPr>
      </w:r>
    </w:p>
    <w:p>
      <w:pPr>
        <w:pBdr/>
        <w:spacing/>
        <w:ind/>
        <w:jc w:val="both"/>
        <w:rPr>
          <w:rFonts w:ascii="Arial" w:hAnsi="Arial" w:eastAsia="SimSun"/>
          <w:color w:val="000000"/>
        </w:rPr>
      </w:pPr>
      <w:r>
        <w:rPr>
          <w:rFonts w:ascii="Arial" w:hAnsi="Arial" w:eastAsia="SimSun"/>
          <w:b/>
          <w:bCs/>
          <w:color w:val="000000"/>
        </w:rPr>
        <w:t xml:space="preserve">4.5.14.</w:t>
      </w:r>
      <w:r>
        <w:rPr>
          <w:rFonts w:ascii="Arial" w:hAnsi="Arial" w:eastAsia="SimSun"/>
          <w:color w:val="000000"/>
        </w:rPr>
        <w:t xml:space="preserve"> Pessoa física ou jurídica que, ao tempo da licitação, esteja impossibilitada de participar em razão de sanção que lhe foi imposta, aplicando-se também ao licitante que atue em substi</w:t>
      </w:r>
      <w:r>
        <w:rPr>
          <w:rFonts w:ascii="Arial" w:hAnsi="Arial" w:eastAsia="SimSun"/>
          <w:color w:val="000000"/>
        </w:rPr>
        <w:t xml:space="preserve">tuição a outro com o intuito de burlar a sanção, desde que devidamente comprovado o ilícito ou a utilização fraudulenta da personalidade jurídica;</w:t>
      </w:r>
      <w:r>
        <w:rPr>
          <w:rFonts w:ascii="Arial" w:hAnsi="Arial" w:eastAsia="SimSun"/>
          <w:color w:val="000000"/>
        </w:rPr>
      </w:r>
      <w:r>
        <w:rPr>
          <w:rFonts w:ascii="Arial" w:hAnsi="Arial" w:eastAsia="SimSun"/>
          <w:color w:val="000000"/>
        </w:rPr>
      </w:r>
    </w:p>
    <w:p>
      <w:pPr>
        <w:pBdr/>
        <w:spacing/>
        <w:ind w:left="284"/>
        <w:jc w:val="both"/>
        <w:rPr>
          <w:rFonts w:ascii="Arial" w:hAnsi="Arial" w:eastAsia="SimSun"/>
          <w:b/>
          <w:bCs/>
          <w:color w:val="000000"/>
        </w:rPr>
      </w:pPr>
      <w:r>
        <w:rPr>
          <w:rFonts w:ascii="Arial" w:hAnsi="Arial" w:eastAsia="SimSun"/>
          <w:b/>
          <w:bCs/>
          <w:color w:val="000000"/>
        </w:rPr>
      </w:r>
      <w:r>
        <w:rPr>
          <w:rFonts w:ascii="Arial" w:hAnsi="Arial" w:eastAsia="SimSun"/>
          <w:b/>
          <w:bCs/>
          <w:color w:val="000000"/>
        </w:rPr>
      </w:r>
      <w:r>
        <w:rPr>
          <w:rFonts w:ascii="Arial" w:hAnsi="Arial" w:eastAsia="SimSun"/>
          <w:b/>
          <w:bCs/>
          <w:color w:val="000000"/>
        </w:rPr>
      </w:r>
    </w:p>
    <w:p>
      <w:pPr>
        <w:pBdr/>
        <w:spacing/>
        <w:ind/>
        <w:jc w:val="both"/>
        <w:rPr>
          <w:rFonts w:ascii="Arial" w:hAnsi="Arial" w:eastAsia="SimSun"/>
          <w:color w:val="000000"/>
        </w:rPr>
      </w:pPr>
      <w:r>
        <w:rPr>
          <w:rFonts w:ascii="Arial" w:hAnsi="Arial" w:eastAsia="SimSun"/>
          <w:b/>
          <w:bCs/>
          <w:color w:val="000000"/>
        </w:rPr>
        <w:t xml:space="preserve">4.5.15.</w:t>
      </w:r>
      <w:r>
        <w:rPr>
          <w:rFonts w:ascii="Arial" w:hAnsi="Arial" w:eastAsia="SimSun"/>
          <w:color w:val="000000"/>
        </w:rPr>
        <w:t xml:space="preserve"> Aquele que mantenha vínculo de natureza técnica, comercial, econômica, financeira, trabalhista ou ci</w:t>
      </w:r>
      <w:r>
        <w:rPr>
          <w:rFonts w:ascii="Arial" w:hAnsi="Arial" w:eastAsia="SimSun"/>
          <w:color w:val="000000"/>
        </w:rPr>
        <w:t xml:space="preserve">vil com dirigente do contratante ou agente público que desempenhe função na licitação, fiscalização ou gestão do contrato, ou que seja cônjuge, companheiro ou parente, em linha reta, colateral ou por afinidade, até o terceiro grau;</w:t>
      </w:r>
      <w:r>
        <w:rPr>
          <w:rFonts w:ascii="Arial" w:hAnsi="Arial" w:eastAsia="SimSun"/>
          <w:color w:val="000000"/>
        </w:rPr>
      </w:r>
      <w:r>
        <w:rPr>
          <w:rFonts w:ascii="Arial" w:hAnsi="Arial" w:eastAsia="SimSun"/>
          <w:color w:val="000000"/>
        </w:rPr>
      </w:r>
    </w:p>
    <w:p>
      <w:pPr>
        <w:pBdr/>
        <w:spacing/>
        <w:ind w:left="284"/>
        <w:jc w:val="both"/>
        <w:rPr>
          <w:rFonts w:ascii="Arial" w:hAnsi="Arial" w:eastAsia="SimSun"/>
          <w:b/>
          <w:bCs/>
          <w:color w:val="000000"/>
        </w:rPr>
      </w:pPr>
      <w:r>
        <w:rPr>
          <w:rFonts w:ascii="Arial" w:hAnsi="Arial" w:eastAsia="SimSun"/>
          <w:b/>
          <w:bCs/>
          <w:color w:val="000000"/>
        </w:rPr>
      </w:r>
      <w:r>
        <w:rPr>
          <w:rFonts w:ascii="Arial" w:hAnsi="Arial" w:eastAsia="SimSun"/>
          <w:b/>
          <w:bCs/>
          <w:color w:val="000000"/>
        </w:rPr>
      </w:r>
      <w:r>
        <w:rPr>
          <w:rFonts w:ascii="Arial" w:hAnsi="Arial" w:eastAsia="SimSun"/>
          <w:b/>
          <w:bCs/>
          <w:color w:val="000000"/>
        </w:rPr>
      </w:r>
    </w:p>
    <w:p>
      <w:pPr>
        <w:pBdr/>
        <w:spacing/>
        <w:ind/>
        <w:jc w:val="both"/>
        <w:rPr>
          <w:rFonts w:ascii="Arial" w:hAnsi="Arial" w:eastAsia="SimSun"/>
          <w:color w:val="000000"/>
        </w:rPr>
      </w:pPr>
      <w:r>
        <w:rPr>
          <w:rFonts w:ascii="Arial" w:hAnsi="Arial" w:eastAsia="SimSun"/>
          <w:b/>
          <w:bCs/>
          <w:color w:val="000000"/>
        </w:rPr>
        <w:t xml:space="preserve">4.5.16.</w:t>
      </w:r>
      <w:r>
        <w:rPr>
          <w:rFonts w:ascii="Arial" w:hAnsi="Arial" w:eastAsia="SimSun"/>
          <w:color w:val="000000"/>
        </w:rPr>
        <w:t xml:space="preserve"> Pessoa física o</w:t>
      </w:r>
      <w:r>
        <w:rPr>
          <w:rFonts w:ascii="Arial" w:hAnsi="Arial" w:eastAsia="SimSun"/>
          <w:color w:val="000000"/>
        </w:rPr>
        <w:t xml:space="preserve">u jurídica que, nos últimos cinco (05) anos anteriores à divulgação do Edital, tenha sido condenada judicialmente, com trânsito em julgado, por exploração de trabalho infantil, submissão de trabalhadores a condições análogas à escravidão ou contratação de </w:t>
      </w:r>
      <w:r>
        <w:rPr>
          <w:rFonts w:ascii="Arial" w:hAnsi="Arial" w:eastAsia="SimSun"/>
          <w:color w:val="000000"/>
        </w:rPr>
        <w:t xml:space="preserve">adolescentes nos casos vedados pela legislação trabalhista;</w:t>
      </w:r>
      <w:r>
        <w:rPr>
          <w:rFonts w:ascii="Arial" w:hAnsi="Arial" w:eastAsia="SimSun"/>
          <w:color w:val="000000"/>
        </w:rPr>
      </w:r>
      <w:r>
        <w:rPr>
          <w:rFonts w:ascii="Arial" w:hAnsi="Arial" w:eastAsia="SimSun"/>
          <w:color w:val="000000"/>
        </w:rPr>
      </w:r>
    </w:p>
    <w:p>
      <w:pPr>
        <w:pBdr/>
        <w:spacing/>
        <w:ind w:left="284"/>
        <w:jc w:val="both"/>
        <w:rPr>
          <w:rFonts w:ascii="Arial" w:hAnsi="Arial" w:eastAsia="SimSun"/>
          <w:b/>
          <w:bCs/>
          <w:color w:val="000000"/>
        </w:rPr>
      </w:pPr>
      <w:r>
        <w:rPr>
          <w:rFonts w:ascii="Arial" w:hAnsi="Arial" w:eastAsia="SimSun"/>
          <w:b/>
          <w:bCs/>
          <w:color w:val="000000"/>
        </w:rPr>
      </w:r>
      <w:r>
        <w:rPr>
          <w:rFonts w:ascii="Arial" w:hAnsi="Arial" w:eastAsia="SimSun"/>
          <w:b/>
          <w:bCs/>
          <w:color w:val="000000"/>
        </w:rPr>
      </w:r>
      <w:r>
        <w:rPr>
          <w:rFonts w:ascii="Arial" w:hAnsi="Arial" w:eastAsia="SimSun"/>
          <w:b/>
          <w:bCs/>
          <w:color w:val="000000"/>
        </w:rPr>
      </w:r>
    </w:p>
    <w:p>
      <w:pPr>
        <w:pBdr/>
        <w:spacing/>
        <w:ind/>
        <w:jc w:val="both"/>
        <w:rPr>
          <w:rFonts w:ascii="Arial" w:hAnsi="Arial"/>
        </w:rPr>
      </w:pPr>
      <w:r>
        <w:rPr>
          <w:rFonts w:ascii="Arial" w:hAnsi="Arial" w:eastAsia="Arial"/>
          <w:b/>
          <w:bCs/>
        </w:rPr>
        <w:t xml:space="preserve">4.5.17.</w:t>
      </w:r>
      <w:r>
        <w:rPr>
          <w:rFonts w:ascii="Arial" w:hAnsi="Arial" w:eastAsia="Arial"/>
        </w:rPr>
        <w:t xml:space="preserve"> Não poderá participar, direta ou indiretamente, da licitação ou da execução do contrato agente público do órgão ou ent</w:t>
      </w:r>
      <w:r>
        <w:rPr>
          <w:rFonts w:ascii="Arial" w:hAnsi="Arial" w:eastAsia="Arial"/>
        </w:rPr>
        <w:t xml:space="preserve">idade contratante, devendo ser observadas as situações que possam configurar conflito de interesses no exercício ou após o exercício do cargo ou emprego, nos termos da legislação que disciplina a matéria, conforme § 1º do art. 9º da Lei nº 14.133, de 2021.</w:t>
      </w:r>
      <w:r>
        <w:rPr>
          <w:rFonts w:ascii="Arial" w:hAnsi="Arial"/>
        </w:rPr>
      </w:r>
      <w:r>
        <w:rPr>
          <w:rFonts w:ascii="Arial" w:hAnsi="Arial"/>
        </w:rPr>
      </w:r>
    </w:p>
    <w:p>
      <w:pPr>
        <w:pBdr/>
        <w:spacing/>
        <w:ind w:left="284"/>
        <w:jc w:val="both"/>
        <w:rPr>
          <w:rFonts w:ascii="Arial" w:hAnsi="Arial" w:eastAsia="SimSun"/>
          <w:b/>
          <w:bCs/>
          <w:color w:val="000000"/>
        </w:rPr>
      </w:pPr>
      <w:r>
        <w:rPr>
          <w:rFonts w:ascii="Arial" w:hAnsi="Arial" w:eastAsia="SimSun"/>
          <w:b/>
          <w:bCs/>
          <w:color w:val="000000"/>
        </w:rPr>
      </w:r>
      <w:r>
        <w:rPr>
          <w:rFonts w:ascii="Arial" w:hAnsi="Arial" w:eastAsia="SimSun"/>
          <w:b/>
          <w:bCs/>
          <w:color w:val="000000"/>
        </w:rPr>
      </w:r>
      <w:r>
        <w:rPr>
          <w:rFonts w:ascii="Arial" w:hAnsi="Arial" w:eastAsia="SimSun"/>
          <w:b/>
          <w:bCs/>
          <w:color w:val="000000"/>
        </w:rPr>
      </w:r>
    </w:p>
    <w:p>
      <w:pPr>
        <w:pBdr/>
        <w:spacing/>
        <w:ind/>
        <w:jc w:val="both"/>
        <w:rPr>
          <w:rFonts w:ascii="Arial" w:hAnsi="Arial" w:eastAsia="SimSun"/>
          <w:color w:val="000000"/>
        </w:rPr>
      </w:pPr>
      <w:r>
        <w:rPr>
          <w:rFonts w:ascii="Arial" w:hAnsi="Arial" w:eastAsia="Arial"/>
          <w:b/>
          <w:bCs/>
        </w:rPr>
        <w:t xml:space="preserve">4.5.18.</w:t>
      </w:r>
      <w:r>
        <w:rPr>
          <w:rFonts w:ascii="Arial" w:hAnsi="Arial" w:eastAsia="Arial"/>
        </w:rPr>
        <w:t xml:space="preserve"> A vedação estabelecida no item anterior estende-se a terceiro que auxilie a condução da contratação na qualidade de integrante de equipe de apoio, profissional especializado ou funcionário ou representante de empresa que preste assessoria técnica</w:t>
      </w:r>
      <w:r>
        <w:rPr>
          <w:rFonts w:ascii="Arial" w:hAnsi="Arial" w:eastAsia="SimSun"/>
          <w:b/>
          <w:bCs/>
          <w:color w:val="000000"/>
        </w:rPr>
        <w:t xml:space="preserve">.</w:t>
      </w:r>
      <w:r>
        <w:rPr>
          <w:rFonts w:ascii="Arial" w:hAnsi="Arial" w:eastAsia="SimSun"/>
          <w:color w:val="000000"/>
        </w:rPr>
      </w:r>
      <w:r>
        <w:rPr>
          <w:rFonts w:ascii="Arial" w:hAnsi="Arial" w:eastAsia="SimSun"/>
          <w:color w:val="000000"/>
        </w:rPr>
      </w:r>
    </w:p>
    <w:p>
      <w:pPr>
        <w:pBdr/>
        <w:spacing/>
        <w:ind w:left="284"/>
        <w:jc w:val="both"/>
        <w:rPr>
          <w:rFonts w:ascii="Arial" w:hAnsi="Arial" w:eastAsia="SimSun"/>
          <w:b/>
          <w:bCs/>
          <w:color w:val="000000"/>
        </w:rPr>
      </w:pPr>
      <w:r>
        <w:rPr>
          <w:rFonts w:ascii="Arial" w:hAnsi="Arial" w:eastAsia="SimSun"/>
          <w:b/>
          <w:bCs/>
          <w:color w:val="000000"/>
        </w:rPr>
      </w:r>
      <w:r>
        <w:rPr>
          <w:rFonts w:ascii="Arial" w:hAnsi="Arial" w:eastAsia="SimSun"/>
          <w:b/>
          <w:bCs/>
          <w:color w:val="000000"/>
        </w:rPr>
      </w:r>
      <w:r>
        <w:rPr>
          <w:rFonts w:ascii="Arial" w:hAnsi="Arial" w:eastAsia="SimSun"/>
          <w:b/>
          <w:bCs/>
          <w:color w:val="000000"/>
        </w:rPr>
      </w:r>
    </w:p>
    <w:p>
      <w:pPr>
        <w:pBdr/>
        <w:spacing/>
        <w:ind/>
        <w:jc w:val="both"/>
        <w:outlineLvl w:val="0"/>
        <w:rPr>
          <w:rFonts w:ascii="Arial" w:hAnsi="Arial"/>
          <w:b/>
          <w:bCs/>
        </w:rPr>
      </w:pPr>
      <w:r/>
      <w:bookmarkStart w:id="61" w:name="_Toc5"/>
      <w:r>
        <w:rPr>
          <w:rFonts w:ascii="Arial" w:hAnsi="Arial" w:eastAsia="Arial"/>
          <w:b/>
          <w:bCs/>
          <w:color w:val="000000"/>
        </w:rPr>
        <w:t xml:space="preserve">5. DO CREDENCIAMENTO:</w:t>
      </w:r>
      <w:r>
        <w:rPr>
          <w:rFonts w:ascii="Arial" w:hAnsi="Arial" w:eastAsia="Arial"/>
          <w:b/>
          <w:bCs/>
        </w:rPr>
        <w:t xml:space="preserve"> </w:t>
      </w:r>
      <w:r>
        <w:rPr>
          <w:rFonts w:ascii="Arial" w:hAnsi="Arial"/>
          <w:b/>
          <w:bCs/>
        </w:rPr>
      </w:r>
      <w:bookmarkEnd w:id="61"/>
      <w:r>
        <w:rPr>
          <w:rFonts w:ascii="Arial" w:hAnsi="Arial"/>
          <w:b/>
          <w:bCs/>
        </w:rPr>
      </w:r>
      <w:r>
        <w:rPr>
          <w:rFonts w:ascii="Arial" w:hAnsi="Arial"/>
          <w:b/>
          <w:bCs/>
        </w:rPr>
      </w:r>
    </w:p>
    <w:p>
      <w:pPr>
        <w:pBdr/>
        <w:spacing/>
        <w:ind w:left="284"/>
        <w:jc w:val="both"/>
        <w:rPr>
          <w:rFonts w:ascii="Arial" w:hAnsi="Arial"/>
          <w:b/>
          <w:bCs/>
          <w:color w:val="000000"/>
        </w:rPr>
      </w:pPr>
      <w:r>
        <w:rPr>
          <w:rFonts w:ascii="Arial" w:hAnsi="Arial"/>
          <w:b/>
          <w:bCs/>
          <w:color w:val="000000"/>
        </w:rPr>
      </w:r>
      <w:r>
        <w:rPr>
          <w:rFonts w:ascii="Arial" w:hAnsi="Arial"/>
          <w:b/>
          <w:bCs/>
          <w:color w:val="000000"/>
        </w:rPr>
      </w:r>
      <w:r>
        <w:rPr>
          <w:rFonts w:ascii="Arial" w:hAnsi="Arial"/>
          <w:b/>
          <w:bCs/>
          <w:color w:val="000000"/>
        </w:rPr>
      </w:r>
    </w:p>
    <w:p>
      <w:pPr>
        <w:pBdr/>
        <w:spacing/>
        <w:ind/>
        <w:jc w:val="both"/>
        <w:rPr>
          <w:rFonts w:ascii="Arial" w:hAnsi="Arial"/>
          <w:bCs/>
          <w:color w:val="000000"/>
        </w:rPr>
      </w:pPr>
      <w:r>
        <w:rPr>
          <w:rFonts w:ascii="Arial" w:hAnsi="Arial"/>
          <w:b/>
          <w:bCs/>
          <w:color w:val="000000"/>
        </w:rPr>
        <w:t xml:space="preserve">5.1.</w:t>
      </w:r>
      <w:r>
        <w:rPr>
          <w:rFonts w:ascii="Arial" w:hAnsi="Arial"/>
          <w:b/>
          <w:color w:val="000000"/>
        </w:rPr>
        <w:t xml:space="preserve"> </w:t>
      </w:r>
      <w:r>
        <w:rPr>
          <w:rFonts w:ascii="Arial" w:hAnsi="Arial"/>
          <w:bCs/>
          <w:color w:val="000000"/>
        </w:rPr>
        <w:t xml:space="preserve">Para participação na licitação, bem como para o simples acompanhamento de seus atos, o interessado deverá acessar a página eletrônica </w:t>
      </w:r>
      <w:hyperlink r:id="rId17" w:tooltip="http://www.bllcompras.com/" w:history="1">
        <w:r>
          <w:rPr>
            <w:rStyle w:val="973"/>
            <w:rFonts w:ascii="Arial" w:hAnsi="Arial" w:cs="Arial"/>
            <w:bCs/>
          </w:rPr>
          <w:t xml:space="preserve">www.bllcompras.com</w:t>
        </w:r>
      </w:hyperlink>
      <w:r>
        <w:rPr>
          <w:rFonts w:ascii="Arial" w:hAnsi="Arial"/>
          <w:bCs/>
          <w:color w:val="000000"/>
        </w:rPr>
        <w:t xml:space="preserve">, por meio do link denominado “</w:t>
      </w:r>
      <w:r>
        <w:rPr>
          <w:rFonts w:ascii="Arial" w:hAnsi="Arial"/>
          <w:b/>
          <w:color w:val="000000"/>
        </w:rPr>
        <w:t xml:space="preserve">Acesso Identificado</w:t>
      </w:r>
      <w:r>
        <w:rPr>
          <w:rFonts w:ascii="Arial" w:hAnsi="Arial"/>
          <w:bCs/>
          <w:color w:val="000000"/>
        </w:rPr>
        <w:t xml:space="preserve">”, sendo imprescindível a utilização de chave de identificação e senha pessoais e intransferíveis, obtidas junto à </w:t>
      </w:r>
      <w:r>
        <w:rPr>
          <w:rFonts w:ascii="Arial" w:hAnsi="Arial"/>
          <w:b/>
          <w:color w:val="000000"/>
        </w:rPr>
        <w:t xml:space="preserve">BLL – Bolsa de Licitações e Leilões</w:t>
      </w:r>
      <w:r>
        <w:rPr>
          <w:rFonts w:ascii="Arial" w:hAnsi="Arial"/>
          <w:bCs/>
          <w:color w:val="000000"/>
        </w:rPr>
        <w:t xml:space="preserve">.</w:t>
      </w:r>
      <w:r>
        <w:rPr>
          <w:rFonts w:ascii="Arial" w:hAnsi="Arial"/>
          <w:bCs/>
          <w:color w:val="000000"/>
        </w:rPr>
      </w:r>
      <w:r>
        <w:rPr>
          <w:rFonts w:ascii="Arial" w:hAnsi="Arial"/>
          <w:bCs/>
          <w:color w:val="000000"/>
        </w:rPr>
      </w:r>
    </w:p>
    <w:p>
      <w:pPr>
        <w:pBdr/>
        <w:spacing/>
        <w:ind w:left="284"/>
        <w:jc w:val="both"/>
        <w:rPr>
          <w:rFonts w:ascii="Arial" w:hAnsi="Arial"/>
          <w:b/>
          <w:bCs/>
          <w:color w:val="000000"/>
        </w:rPr>
      </w:pPr>
      <w:r>
        <w:rPr>
          <w:rFonts w:ascii="Arial" w:hAnsi="Arial"/>
          <w:b/>
          <w:bCs/>
          <w:color w:val="000000"/>
        </w:rPr>
      </w:r>
      <w:r>
        <w:rPr>
          <w:rFonts w:ascii="Arial" w:hAnsi="Arial"/>
          <w:b/>
          <w:bCs/>
          <w:color w:val="000000"/>
        </w:rPr>
      </w:r>
      <w:r>
        <w:rPr>
          <w:rFonts w:ascii="Arial" w:hAnsi="Arial"/>
          <w:b/>
          <w:bCs/>
          <w:color w:val="000000"/>
        </w:rPr>
      </w:r>
    </w:p>
    <w:p>
      <w:pPr>
        <w:pBdr/>
        <w:spacing/>
        <w:ind/>
        <w:jc w:val="both"/>
        <w:rPr>
          <w:rFonts w:ascii="Arial" w:hAnsi="Arial"/>
          <w:bCs/>
          <w:color w:val="000000"/>
        </w:rPr>
      </w:pPr>
      <w:r>
        <w:rPr>
          <w:rFonts w:ascii="Arial" w:hAnsi="Arial"/>
          <w:b/>
          <w:bCs/>
          <w:color w:val="000000"/>
        </w:rPr>
        <w:t xml:space="preserve">5.2.</w:t>
      </w:r>
      <w:r>
        <w:rPr>
          <w:rFonts w:ascii="Arial" w:hAnsi="Arial"/>
          <w:b/>
          <w:color w:val="000000"/>
        </w:rPr>
        <w:t xml:space="preserve"> </w:t>
      </w:r>
      <w:r>
        <w:rPr>
          <w:rFonts w:ascii="Arial" w:hAnsi="Arial" w:eastAsia="Arial"/>
        </w:rPr>
        <w:t xml:space="preserve">As propostas comerciais deverão ser cadastrados até </w:t>
      </w:r>
      <w:r>
        <w:rPr>
          <w:rFonts w:ascii="Arial" w:hAnsi="Arial" w:eastAsia="Arial"/>
          <w:b/>
          <w:bCs/>
        </w:rPr>
        <w:t xml:space="preserve">meia hora antes</w:t>
      </w:r>
      <w:r>
        <w:rPr>
          <w:rFonts w:ascii="Arial" w:hAnsi="Arial" w:eastAsia="Arial"/>
        </w:rPr>
        <w:t xml:space="preserve"> do horário estabelecido no preambulo deste edital </w:t>
      </w:r>
      <w:r>
        <w:rPr>
          <w:rFonts w:ascii="Arial" w:hAnsi="Arial" w:eastAsia="Arial"/>
          <w:b/>
          <w:bCs/>
          <w:color w:val="000000"/>
        </w:rPr>
        <w:t xml:space="preserve">(horário de Brasília) </w:t>
      </w:r>
      <w:r>
        <w:rPr>
          <w:rFonts w:ascii="Arial" w:hAnsi="Arial" w:eastAsia="Arial"/>
        </w:rPr>
        <w:t xml:space="preserve">por meio do endereço </w:t>
      </w:r>
      <w:r>
        <w:rPr>
          <w:rFonts w:ascii="Arial" w:hAnsi="Arial" w:eastAsia="Arial"/>
          <w:b/>
          <w:bCs/>
        </w:rPr>
        <w:t xml:space="preserve">bllcompras.com</w:t>
      </w:r>
      <w:r>
        <w:rPr>
          <w:rFonts w:ascii="Arial" w:hAnsi="Arial" w:eastAsia="Arial"/>
        </w:rPr>
        <w:t xml:space="preserve">, onde se encontra o link para o “</w:t>
      </w:r>
      <w:r>
        <w:rPr>
          <w:rFonts w:ascii="Arial" w:hAnsi="Arial" w:eastAsia="Arial"/>
          <w:b/>
          <w:bCs/>
        </w:rPr>
        <w:t xml:space="preserve">Acess</w:t>
      </w:r>
      <w:r>
        <w:rPr>
          <w:rFonts w:ascii="Arial" w:hAnsi="Arial" w:eastAsia="Arial"/>
          <w:b/>
          <w:bCs/>
        </w:rPr>
        <w:t xml:space="preserve">o Identificado</w:t>
      </w:r>
      <w:r>
        <w:rPr>
          <w:rFonts w:ascii="Arial" w:hAnsi="Arial" w:eastAsia="Arial"/>
        </w:rPr>
        <w:t xml:space="preserve">”, podendo os interessados cadastrar ou substituir propostas no sistema eletrônico.</w:t>
      </w:r>
      <w:r>
        <w:rPr>
          <w:rFonts w:ascii="Arial" w:hAnsi="Arial"/>
          <w:bCs/>
          <w:color w:val="000000"/>
        </w:rPr>
      </w:r>
      <w:r>
        <w:rPr>
          <w:rFonts w:ascii="Arial" w:hAnsi="Arial"/>
          <w:bCs/>
          <w:color w:val="000000"/>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sz w:val="19"/>
          <w:szCs w:val="19"/>
        </w:rPr>
      </w:pPr>
      <w:r>
        <w:rPr>
          <w:rFonts w:ascii="Arial" w:hAnsi="Arial"/>
          <w:b/>
          <w:bCs/>
          <w:color w:val="000000"/>
          <w:sz w:val="19"/>
          <w:szCs w:val="19"/>
        </w:rPr>
        <w:t xml:space="preserve">5.2.1.</w:t>
      </w:r>
      <w:r>
        <w:rPr>
          <w:rFonts w:ascii="Arial" w:hAnsi="Arial"/>
          <w:color w:val="000000"/>
          <w:sz w:val="19"/>
          <w:szCs w:val="19"/>
        </w:rPr>
        <w:t xml:space="preserve"> Eventuais dúvidas quanto à obtenção da senha de acesso, bem como quaisquer problemas relacionados ao cadastramento das propostas, deverão ser sanados </w:t>
      </w:r>
      <w:r>
        <w:rPr>
          <w:rFonts w:ascii="Arial" w:hAnsi="Arial"/>
          <w:color w:val="000000"/>
          <w:sz w:val="19"/>
          <w:szCs w:val="19"/>
        </w:rPr>
        <w:t xml:space="preserve">diretamente junto à BLL, por meio dos telefones (041) 3097-4600, 3097-4623, 3097-4646 ou 3148-9870, sendo de inteira responsabilidade da referida empresa a solução de questões relativas ao sistema.</w:t>
      </w:r>
      <w:r>
        <w:rPr>
          <w:rFonts w:ascii="Arial" w:hAnsi="Arial"/>
          <w:color w:val="000000"/>
          <w:sz w:val="19"/>
          <w:szCs w:val="19"/>
        </w:rPr>
      </w:r>
      <w:r>
        <w:rPr>
          <w:rFonts w:ascii="Arial" w:hAnsi="Arial"/>
          <w:color w:val="000000"/>
          <w:sz w:val="19"/>
          <w:szCs w:val="19"/>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bCs/>
        </w:rPr>
        <w:t xml:space="preserve">5.3.</w:t>
      </w:r>
      <w:r>
        <w:rPr>
          <w:rFonts w:ascii="Arial" w:hAnsi="Arial"/>
        </w:rPr>
        <w:t xml:space="preserve"> A chave de identificação e a senha poderão ser utilizadas em qualquer pregão eletrônico, exceto quando canceladas por solicitação do credenciado ou por iniciativa da BLL, devidamente justificada.</w:t>
      </w:r>
      <w:r>
        <w:rPr>
          <w:rFonts w:ascii="Arial" w:hAnsi="Arial"/>
        </w:rPr>
      </w:r>
      <w:r>
        <w:rPr>
          <w:rFonts w:ascii="Arial" w:hAnsi="Arial"/>
        </w:rPr>
      </w:r>
    </w:p>
    <w:p>
      <w:pPr>
        <w:pBdr/>
        <w:spacing/>
        <w:ind w:left="284"/>
        <w:jc w:val="both"/>
        <w:rPr>
          <w:rFonts w:ascii="Arial" w:hAnsi="Arial"/>
          <w:b/>
          <w:bCs/>
        </w:rPr>
      </w:pPr>
      <w:r>
        <w:rPr>
          <w:rFonts w:ascii="Arial" w:hAnsi="Arial"/>
          <w:b/>
          <w:bCs/>
        </w:rPr>
      </w:r>
      <w:r>
        <w:rPr>
          <w:rFonts w:ascii="Arial" w:hAnsi="Arial"/>
          <w:b/>
          <w:bCs/>
        </w:rPr>
      </w:r>
      <w:r>
        <w:rPr>
          <w:rFonts w:ascii="Arial" w:hAnsi="Arial"/>
          <w:b/>
          <w:bCs/>
        </w:rPr>
      </w:r>
    </w:p>
    <w:p>
      <w:pPr>
        <w:pBdr/>
        <w:spacing/>
        <w:ind/>
        <w:jc w:val="both"/>
        <w:rPr>
          <w:rFonts w:ascii="Arial" w:hAnsi="Arial"/>
        </w:rPr>
      </w:pPr>
      <w:r>
        <w:rPr>
          <w:rFonts w:ascii="Arial" w:hAnsi="Arial"/>
          <w:b/>
          <w:bCs/>
        </w:rPr>
        <w:t xml:space="preserve">5.4.</w:t>
      </w:r>
      <w:r>
        <w:rPr>
          <w:rFonts w:ascii="Arial" w:hAnsi="Arial"/>
        </w:rPr>
        <w:t xml:space="preserve"> É de exclusiva responsabilidade do usuário manter o s</w:t>
      </w:r>
      <w:r>
        <w:rPr>
          <w:rFonts w:ascii="Arial" w:hAnsi="Arial"/>
        </w:rPr>
        <w:t xml:space="preserve">igilo da senha, bem como pelo seu uso em qualquer transação efetuada diretamente ou por intermédio de seu representante, não cabendo à Prefeitura Municipal de Rondonópolis-MT e/ou à BLL a responsabilidade por eventuais danos decorrentes do uso indevido da </w:t>
      </w:r>
      <w:r>
        <w:rPr>
          <w:rFonts w:ascii="Arial" w:hAnsi="Arial"/>
        </w:rPr>
        <w:t xml:space="preserve">senha, ainda que praticado por terceiros.</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bCs/>
        </w:rPr>
        <w:t xml:space="preserve">5.5.</w:t>
      </w:r>
      <w:r>
        <w:rPr>
          <w:rFonts w:ascii="Arial" w:hAnsi="Arial"/>
        </w:rPr>
        <w:t xml:space="preserve"> O credenciamento do fornecedor e de seu representante legal junto ao sistema eletrônico implica responsabilidade legal pelos atos praticados, bem como a presunção de capacidade técnica para a realização das t</w:t>
      </w:r>
      <w:r>
        <w:rPr>
          <w:rFonts w:ascii="Arial" w:hAnsi="Arial"/>
        </w:rPr>
        <w:t xml:space="preserve">ransações inerentes ao pregão eletrônico.</w:t>
      </w:r>
      <w:r>
        <w:rPr>
          <w:rFonts w:ascii="Arial" w:hAnsi="Arial"/>
        </w:rPr>
      </w:r>
      <w:r>
        <w:rPr>
          <w:rFonts w:ascii="Arial" w:hAnsi="Arial"/>
        </w:rPr>
      </w:r>
    </w:p>
    <w:p>
      <w:pPr>
        <w:pBdr/>
        <w:spacing/>
        <w:ind w:left="284"/>
        <w:jc w:val="both"/>
        <w:rPr>
          <w:rFonts w:ascii="Arial" w:hAnsi="Arial"/>
          <w:b/>
          <w:bCs/>
        </w:rPr>
      </w:pPr>
      <w:r>
        <w:rPr>
          <w:rFonts w:ascii="Arial" w:hAnsi="Arial"/>
          <w:b/>
          <w:bCs/>
        </w:rPr>
      </w:r>
      <w:r>
        <w:rPr>
          <w:rFonts w:ascii="Arial" w:hAnsi="Arial"/>
          <w:b/>
          <w:bCs/>
        </w:rPr>
      </w:r>
      <w:r>
        <w:rPr>
          <w:rFonts w:ascii="Arial" w:hAnsi="Arial"/>
          <w:b/>
          <w:bCs/>
        </w:rPr>
      </w:r>
    </w:p>
    <w:p>
      <w:pPr>
        <w:pBdr/>
        <w:spacing/>
        <w:ind/>
        <w:jc w:val="both"/>
        <w:rPr>
          <w:rFonts w:ascii="Arial" w:hAnsi="Arial"/>
        </w:rPr>
      </w:pPr>
      <w:r>
        <w:rPr>
          <w:rFonts w:ascii="Arial" w:hAnsi="Arial"/>
          <w:b/>
          <w:bCs/>
        </w:rPr>
        <w:t xml:space="preserve">5.6.</w:t>
      </w:r>
      <w:r>
        <w:rPr>
          <w:rFonts w:ascii="Arial" w:hAnsi="Arial"/>
        </w:rPr>
        <w:t xml:space="preserve"> Como requisito para participação neste Pregão Eletrônico, o Licitante deverá manifestar, em campo próprio do Sistema BLL, que sua proposta se encontra em conformidade com as exigências previstas e cumpre plen</w:t>
      </w:r>
      <w:r>
        <w:rPr>
          <w:rFonts w:ascii="Arial" w:hAnsi="Arial"/>
        </w:rPr>
        <w:t xml:space="preserve">amente os requisitos de habilitação deste Edital, ressalvados os casos de microempresa e de empresa de pequeno porte, quanto à regularidade fiscal e trabalhista.</w:t>
      </w:r>
      <w:r>
        <w:rPr>
          <w:rFonts w:ascii="Arial" w:hAnsi="Arial"/>
        </w:rPr>
      </w:r>
      <w:r>
        <w:rPr>
          <w:rFonts w:ascii="Arial" w:hAnsi="Arial"/>
        </w:rPr>
      </w:r>
    </w:p>
    <w:p>
      <w:pPr>
        <w:pBdr/>
        <w:spacing/>
        <w:ind w:left="284"/>
        <w:jc w:val="both"/>
        <w:rPr>
          <w:rFonts w:ascii="Arial" w:hAnsi="Arial"/>
          <w:b/>
          <w:strike/>
          <w:color w:val="000000"/>
        </w:rPr>
      </w:pPr>
      <w:r>
        <w:rPr>
          <w:rFonts w:ascii="Arial" w:hAnsi="Arial"/>
          <w:b/>
          <w:strike/>
          <w:color w:val="000000"/>
        </w:rPr>
      </w:r>
      <w:r>
        <w:rPr>
          <w:rFonts w:ascii="Arial" w:hAnsi="Arial"/>
          <w:b/>
          <w:strike/>
          <w:color w:val="000000"/>
        </w:rPr>
      </w:r>
      <w:r>
        <w:rPr>
          <w:rFonts w:ascii="Arial" w:hAnsi="Arial"/>
          <w:b/>
          <w:strike/>
          <w:color w:val="000000"/>
        </w:rPr>
      </w:r>
    </w:p>
    <w:p w14:paraId="4FF4135E">
      <w:pPr>
        <w:pBdr>
          <w:top w:val="none" w:color="000000" w:sz="4" w:space="0"/>
          <w:left w:val="none" w:color="000000" w:sz="4" w:space="0"/>
          <w:bottom w:val="none" w:color="000000" w:sz="4" w:space="0"/>
          <w:right w:val="none" w:color="000000" w:sz="4" w:space="0"/>
        </w:pBdr>
        <w:spacing/>
        <w:ind/>
        <w:jc w:val="both"/>
        <w:rPr>
          <w:highlight w:val="none"/>
        </w:rPr>
      </w:pPr>
      <w:r>
        <w:rPr>
          <w:rFonts w:ascii="Arial" w:hAnsi="Arial"/>
          <w:b/>
          <w:bCs/>
        </w:rPr>
        <w:t xml:space="preserve">5.7.</w:t>
      </w:r>
      <w:r>
        <w:t xml:space="preserve"> </w:t>
      </w:r>
      <w:r>
        <w:rPr>
          <w:rFonts w:ascii="Arial" w:hAnsi="Arial"/>
        </w:rPr>
        <w:t xml:space="preserve">Para fins de fruição dos benefícios previstos na Lei Complementar nº 123/2006, a licitante deverá declarar, em campo próprio do sistema eletrônico, seu enquadramento como microempresa ou empresa de pequeno porte, nos termos da legislação vigente.</w:t>
      </w:r>
      <w:r>
        <w:rPr>
          <w:rFonts w:ascii="Times New Roman" w:hAnsi="Times New Roman" w:eastAsia="Times New Roman" w:cs="Times New Roman"/>
          <w:sz w:val="24"/>
        </w:rPr>
      </w:r>
      <w:r>
        <w:rPr>
          <w:highlight w:val="none"/>
        </w:rPr>
      </w:r>
    </w:p>
    <w:p w14:paraId="27C4E5FF">
      <w:pPr>
        <w:pBdr>
          <w:top w:val="none" w:color="000000" w:sz="4" w:space="0"/>
          <w:left w:val="none" w:color="000000" w:sz="4" w:space="0"/>
          <w:bottom w:val="none" w:color="000000" w:sz="4" w:space="0"/>
          <w:right w:val="none" w:color="000000" w:sz="4" w:space="0"/>
        </w:pBdr>
        <w:spacing/>
        <w:ind/>
        <w:jc w:val="both"/>
        <w:rPr>
          <w:rFonts w:ascii="Times New Roman" w:hAnsi="Times New Roman" w:eastAsia="Times New Roman" w:cs="Times New Roman"/>
          <w:sz w:val="24"/>
          <w:szCs w:val="24"/>
        </w:rPr>
      </w:pPr>
      <w:r>
        <w:rPr>
          <w:highlight w:val="none"/>
        </w:rPr>
      </w:r>
      <w:r>
        <w:rPr>
          <w:highlight w:val="none"/>
        </w:rPr>
      </w:r>
      <w:r>
        <w:rPr>
          <w:rFonts w:ascii="Times New Roman" w:hAnsi="Times New Roman" w:eastAsia="Times New Roman" w:cs="Times New Roman"/>
          <w:sz w:val="24"/>
          <w:szCs w:val="24"/>
        </w:rPr>
      </w:r>
    </w:p>
    <w:p w14:paraId="17DF6A2B">
      <w:pPr>
        <w:pBdr>
          <w:top w:val="none" w:color="000000" w:sz="4" w:space="0"/>
          <w:left w:val="none" w:color="000000" w:sz="4" w:space="0"/>
          <w:bottom w:val="none" w:color="000000" w:sz="4" w:space="0"/>
          <w:right w:val="none" w:color="000000" w:sz="4" w:space="0"/>
        </w:pBdr>
        <w:spacing/>
        <w:ind/>
        <w:jc w:val="both"/>
        <w:rPr/>
      </w:pPr>
      <w:r>
        <w:rPr>
          <w:rFonts w:ascii="Arial" w:hAnsi="Arial"/>
          <w:b/>
          <w:bCs/>
        </w:rPr>
        <w:t xml:space="preserve">5.7.1.</w:t>
      </w:r>
      <w:r>
        <w:t xml:space="preserve"> </w:t>
      </w:r>
      <w:r>
        <w:rPr>
          <w:rFonts w:ascii="Arial" w:hAnsi="Arial"/>
        </w:rPr>
        <w:t xml:space="preserve">A comprovação da condição de microempresa ou empresa de pequeno porte, quando exigida pela Administração, dar-se-á por meio de certidão simplificada da Junta Comercial ou documento oficial equivalente, não constituindo requisito para fruição do trat</w:t>
      </w:r>
      <w:r>
        <w:rPr>
          <w:rFonts w:ascii="Arial" w:hAnsi="Arial"/>
        </w:rPr>
        <w:t xml:space="preserve">amento favorecido a inserção das expressões ‘ME’ ou ‘EPP’ na firma ou denominação social.”</w:t>
      </w:r>
      <w:r/>
    </w:p>
    <w:p>
      <w:pPr>
        <w:pBdr/>
        <w:spacing/>
        <w:ind/>
        <w:jc w:val="both"/>
        <w:rPr>
          <w:rFonts w:ascii="Arial" w:hAnsi="Arial"/>
        </w:rPr>
      </w:pPr>
      <w:r>
        <w:rPr>
          <w:rFonts w:ascii="Arial" w:hAnsi="Arial"/>
          <w:b/>
          <w:bCs/>
        </w:rPr>
      </w:r>
      <w:r>
        <w:rPr>
          <w:rFonts w:ascii="Arial" w:hAnsi="Arial"/>
        </w:rPr>
      </w:r>
      <w:r>
        <w:rPr>
          <w:rFonts w:ascii="Arial" w:hAnsi="Arial"/>
        </w:rPr>
      </w:r>
    </w:p>
    <w:p>
      <w:pPr>
        <w:pBdr/>
        <w:spacing/>
        <w:ind/>
        <w:jc w:val="both"/>
        <w:rPr>
          <w:rFonts w:ascii="Arial" w:hAnsi="Arial"/>
        </w:rPr>
      </w:pPr>
      <w:r>
        <w:rPr>
          <w:rFonts w:ascii="Arial" w:hAnsi="Arial"/>
          <w:b/>
          <w:bCs/>
        </w:rPr>
        <w:t xml:space="preserve">5.8.</w:t>
      </w:r>
      <w:r>
        <w:rPr>
          <w:rFonts w:ascii="Arial" w:hAnsi="Arial"/>
        </w:rPr>
        <w:t xml:space="preserve"> É vedado a qualquer credenciado representar mais de uma empresa proponente, exceto nos casos de representação para itens distintos.</w:t>
      </w:r>
      <w:r>
        <w:rPr>
          <w:rFonts w:ascii="Arial" w:hAnsi="Arial"/>
        </w:rPr>
      </w:r>
      <w:r>
        <w:rPr>
          <w:rFonts w:ascii="Arial" w:hAnsi="Arial"/>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outlineLvl w:val="0"/>
        <w:rPr>
          <w:rFonts w:ascii="Arial" w:hAnsi="Arial"/>
          <w:b/>
          <w:bCs/>
          <w:color w:val="000000"/>
        </w:rPr>
      </w:pPr>
      <w:r/>
      <w:bookmarkStart w:id="62" w:name="_Toc6"/>
      <w:r>
        <w:rPr>
          <w:rFonts w:ascii="Arial" w:hAnsi="Arial" w:eastAsia="Arial"/>
          <w:b/>
          <w:bCs/>
          <w:color w:val="000000"/>
        </w:rPr>
        <w:t xml:space="preserve">6. DA PARTICIPAÇÃO NA LICITAÇÃO E CADASTRO DA PROPOSTA NO SISTEMA BLL:</w:t>
      </w:r>
      <w:r>
        <w:rPr>
          <w:rFonts w:ascii="Arial" w:hAnsi="Arial"/>
          <w:b/>
          <w:bCs/>
          <w:color w:val="000000"/>
        </w:rPr>
      </w:r>
      <w:bookmarkEnd w:id="62"/>
      <w:r>
        <w:rPr>
          <w:rFonts w:ascii="Arial" w:hAnsi="Arial"/>
          <w:b/>
          <w:bCs/>
          <w:color w:val="000000"/>
        </w:rPr>
      </w:r>
      <w:r>
        <w:rPr>
          <w:rFonts w:ascii="Arial" w:hAnsi="Arial"/>
          <w:b/>
          <w:bCs/>
          <w:color w:val="000000"/>
        </w:rPr>
      </w:r>
    </w:p>
    <w:p>
      <w:pPr>
        <w:pBdr/>
        <w:spacing/>
        <w:ind w:left="284"/>
        <w:jc w:val="both"/>
        <w:rPr>
          <w:rFonts w:ascii="Arial" w:hAnsi="Arial"/>
          <w:b/>
          <w:color w:val="000000"/>
          <w:sz w:val="19"/>
          <w:szCs w:val="19"/>
        </w:rPr>
      </w:pPr>
      <w:r>
        <w:rPr>
          <w:rFonts w:ascii="Arial" w:hAnsi="Arial"/>
          <w:b/>
          <w:color w:val="000000"/>
          <w:sz w:val="19"/>
          <w:szCs w:val="19"/>
        </w:rPr>
      </w:r>
      <w:r>
        <w:rPr>
          <w:rFonts w:ascii="Arial" w:hAnsi="Arial"/>
          <w:b/>
          <w:color w:val="000000"/>
          <w:sz w:val="19"/>
          <w:szCs w:val="19"/>
        </w:rPr>
      </w:r>
      <w:r>
        <w:rPr>
          <w:rFonts w:ascii="Arial" w:hAnsi="Arial"/>
          <w:b/>
          <w:color w:val="000000"/>
          <w:sz w:val="19"/>
          <w:szCs w:val="19"/>
        </w:rPr>
      </w:r>
    </w:p>
    <w:p>
      <w:pPr>
        <w:pStyle w:val="2054"/>
        <w:pBdr/>
        <w:spacing/>
        <w:ind/>
        <w:jc w:val="both"/>
        <w:rPr>
          <w:sz w:val="20"/>
          <w:szCs w:val="20"/>
        </w:rPr>
      </w:pPr>
      <w:r>
        <w:rPr>
          <w:b/>
          <w:bCs/>
          <w:sz w:val="20"/>
          <w:szCs w:val="20"/>
        </w:rPr>
        <w:t xml:space="preserve">6.1.</w:t>
      </w:r>
      <w:r>
        <w:rPr>
          <w:rFonts w:eastAsia="Arial"/>
          <w:sz w:val="20"/>
          <w:szCs w:val="20"/>
        </w:rPr>
        <w:t xml:space="preserve"> Não haverá a possib</w:t>
      </w:r>
      <w:r>
        <w:rPr>
          <w:rFonts w:eastAsia="Arial"/>
          <w:sz w:val="20"/>
          <w:szCs w:val="20"/>
        </w:rPr>
        <w:t xml:space="preserve">ilidade de o licitante oferecer proposta em quantitativo inferior ao máximo previsto no edital, obrigando-se nos limites dele (art. 82, IV da Lei 14.133/2021 e art. 301, IX do Decreto 11.685/2023).</w:t>
      </w:r>
      <w:r>
        <w:rPr>
          <w:sz w:val="20"/>
          <w:szCs w:val="20"/>
        </w:rPr>
      </w:r>
      <w:r>
        <w:rPr>
          <w:sz w:val="20"/>
          <w:szCs w:val="20"/>
        </w:rPr>
      </w:r>
    </w:p>
    <w:p>
      <w:pPr>
        <w:pStyle w:val="2054"/>
        <w:pBdr/>
        <w:spacing/>
        <w:ind/>
        <w:jc w:val="both"/>
        <w:rPr>
          <w:b/>
          <w:bCs/>
          <w:sz w:val="20"/>
          <w:szCs w:val="20"/>
        </w:rPr>
      </w:pPr>
      <w:r>
        <w:rPr>
          <w:b/>
          <w:bCs/>
          <w:sz w:val="20"/>
          <w:szCs w:val="20"/>
        </w:rPr>
      </w:r>
      <w:r>
        <w:rPr>
          <w:b/>
          <w:bCs/>
          <w:sz w:val="20"/>
          <w:szCs w:val="20"/>
        </w:rPr>
      </w:r>
      <w:r>
        <w:rPr>
          <w:b/>
          <w:bCs/>
          <w:sz w:val="20"/>
          <w:szCs w:val="20"/>
        </w:rPr>
      </w:r>
    </w:p>
    <w:p>
      <w:pPr>
        <w:pStyle w:val="2054"/>
        <w:pBdr/>
        <w:spacing/>
        <w:ind/>
        <w:jc w:val="both"/>
        <w:rPr>
          <w:bCs/>
          <w:sz w:val="20"/>
          <w:szCs w:val="20"/>
        </w:rPr>
      </w:pPr>
      <w:r>
        <w:rPr>
          <w:b/>
          <w:bCs/>
          <w:sz w:val="20"/>
          <w:szCs w:val="20"/>
        </w:rPr>
        <w:t xml:space="preserve">6.1.1.</w:t>
      </w:r>
      <w:r>
        <w:t xml:space="preserve"> </w:t>
      </w:r>
      <w:r>
        <w:rPr>
          <w:rFonts w:eastAsia="Arial"/>
          <w:sz w:val="20"/>
          <w:szCs w:val="20"/>
        </w:rPr>
        <w:t xml:space="preserve">Não haverá </w:t>
      </w:r>
      <w:r>
        <w:rPr>
          <w:rFonts w:eastAsia="Arial"/>
          <w:b/>
          <w:bCs/>
          <w:sz w:val="20"/>
          <w:szCs w:val="20"/>
        </w:rPr>
        <w:t xml:space="preserve">diferença de preços</w:t>
      </w:r>
      <w:r>
        <w:rPr>
          <w:rFonts w:eastAsia="Arial"/>
          <w:sz w:val="20"/>
          <w:szCs w:val="20"/>
        </w:rPr>
        <w:t xml:space="preserve"> em função do local </w:t>
      </w:r>
      <w:r>
        <w:rPr>
          <w:rFonts w:eastAsia="Arial"/>
          <w:sz w:val="20"/>
          <w:szCs w:val="20"/>
        </w:rPr>
        <w:t xml:space="preserve">de entrega, considerando que o endereço indicado é único e de fácil acesso</w:t>
      </w:r>
      <w:r>
        <w:rPr>
          <w:bCs/>
          <w:sz w:val="20"/>
          <w:szCs w:val="20"/>
        </w:rPr>
      </w:r>
      <w:r>
        <w:rPr>
          <w:bCs/>
          <w:sz w:val="20"/>
          <w:szCs w:val="20"/>
        </w:rPr>
      </w:r>
    </w:p>
    <w:p>
      <w:pPr>
        <w:pStyle w:val="2054"/>
        <w:pBdr/>
        <w:spacing/>
        <w:ind w:left="284"/>
        <w:jc w:val="both"/>
        <w:rPr>
          <w:b/>
          <w:bCs/>
        </w:rPr>
      </w:pPr>
      <w:r>
        <w:rPr>
          <w:b/>
          <w:bCs/>
        </w:rPr>
      </w:r>
      <w:r>
        <w:rPr>
          <w:b/>
          <w:bCs/>
        </w:rPr>
      </w:r>
      <w:r>
        <w:rPr>
          <w:b/>
          <w:bCs/>
        </w:rPr>
      </w:r>
    </w:p>
    <w:p>
      <w:pPr>
        <w:pStyle w:val="2054"/>
        <w:pBdr/>
        <w:spacing/>
        <w:ind/>
        <w:jc w:val="both"/>
        <w:rPr>
          <w:bCs/>
          <w:sz w:val="20"/>
          <w:szCs w:val="20"/>
        </w:rPr>
      </w:pPr>
      <w:r>
        <w:rPr>
          <w:b/>
          <w:bCs/>
          <w:sz w:val="20"/>
          <w:szCs w:val="20"/>
        </w:rPr>
        <w:t xml:space="preserve">6.2.</w:t>
      </w:r>
      <w:r>
        <w:rPr>
          <w:b/>
          <w:sz w:val="20"/>
          <w:szCs w:val="20"/>
        </w:rPr>
        <w:t xml:space="preserve"> </w:t>
      </w:r>
      <w:r>
        <w:rPr>
          <w:rFonts w:eastAsia="Arial"/>
          <w:sz w:val="20"/>
          <w:szCs w:val="20"/>
        </w:rPr>
        <w:t xml:space="preserve">As propostas d</w:t>
      </w:r>
      <w:r>
        <w:rPr>
          <w:rFonts w:eastAsia="Arial"/>
          <w:sz w:val="20"/>
          <w:szCs w:val="20"/>
        </w:rPr>
        <w:t xml:space="preserve">everão ser cadastradas demonstrando o valor unitário de cada item, tendo em vista que o próprio sistema da BLL fará a multiplicação e emitirá os relatórios com o (s) valor (es) total (is) do (s) item (ns), já os lances serão sobre o valor unitário do item.</w:t>
      </w:r>
      <w:r>
        <w:rPr>
          <w:bCs/>
          <w:sz w:val="20"/>
          <w:szCs w:val="20"/>
        </w:rPr>
      </w:r>
      <w:r>
        <w:rPr>
          <w:bCs/>
          <w:sz w:val="20"/>
          <w:szCs w:val="20"/>
        </w:rPr>
      </w:r>
    </w:p>
    <w:p>
      <w:pPr>
        <w:pStyle w:val="2054"/>
        <w:pBdr/>
        <w:spacing/>
        <w:ind w:left="284"/>
        <w:jc w:val="both"/>
        <w:rPr>
          <w:b/>
          <w:bCs/>
          <w:sz w:val="20"/>
          <w:szCs w:val="20"/>
        </w:rPr>
      </w:pPr>
      <w:r>
        <w:rPr>
          <w:b/>
          <w:bCs/>
          <w:sz w:val="20"/>
          <w:szCs w:val="20"/>
        </w:rPr>
      </w:r>
      <w:r>
        <w:rPr>
          <w:b/>
          <w:bCs/>
          <w:sz w:val="20"/>
          <w:szCs w:val="20"/>
        </w:rPr>
      </w:r>
      <w:r>
        <w:rPr>
          <w:b/>
          <w:bCs/>
          <w:sz w:val="20"/>
          <w:szCs w:val="20"/>
        </w:rPr>
      </w:r>
    </w:p>
    <w:p>
      <w:pPr>
        <w:pBdr/>
        <w:spacing/>
        <w:ind/>
        <w:jc w:val="both"/>
        <w:rPr>
          <w:rFonts w:ascii="Arial" w:hAnsi="Arial"/>
        </w:rPr>
      </w:pPr>
      <w:r>
        <w:rPr>
          <w:rFonts w:ascii="Arial" w:hAnsi="Arial" w:eastAsia="Arial"/>
          <w:b/>
          <w:bCs/>
        </w:rPr>
        <w:t xml:space="preserve">6.2.1.</w:t>
      </w:r>
      <w:r>
        <w:rPr>
          <w:rFonts w:ascii="Arial" w:hAnsi="Arial" w:eastAsia="Arial"/>
        </w:rPr>
        <w:t xml:space="preserve"> As propostas cadastradas divergentes ao solicitado no item 6.2 poderão se                           rem desclassificadas, uma vez que dificulta a operacionalização do sistema em razão da classificação de ME, EPP. </w:t>
      </w:r>
      <w:r>
        <w:rPr>
          <w:rFonts w:ascii="Arial" w:hAnsi="Arial"/>
        </w:rPr>
        <w:t xml:space="preserve">                                  </w:t>
      </w:r>
      <w:r>
        <w:rPr>
          <w:rFonts w:ascii="Arial" w:hAnsi="Arial"/>
        </w:rPr>
      </w:r>
      <w:r>
        <w:rPr>
          <w:rFonts w:ascii="Arial" w:hAnsi="Arial"/>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eastAsia="Arial"/>
          <w:b/>
          <w:bCs/>
        </w:rPr>
        <w:t xml:space="preserve">6.3.</w:t>
      </w:r>
      <w:r>
        <w:rPr>
          <w:rFonts w:ascii="Arial" w:hAnsi="Arial" w:eastAsia="Arial"/>
        </w:rPr>
        <w:t xml:space="preserve"> Os documentos e</w:t>
      </w:r>
      <w:r>
        <w:rPr>
          <w:rFonts w:ascii="Arial" w:hAnsi="Arial" w:eastAsia="Arial"/>
        </w:rPr>
        <w:t xml:space="preserve">xigidos para habilitação, APENAS DO LICITANTE CLASSIFICADO EM PRIMEIRO LUGAR, deverão ser cadastrados via sistema eletrônico na plataforma BLL.</w:t>
      </w:r>
      <w:r>
        <w:rPr>
          <w:rFonts w:ascii="Arial" w:hAnsi="Arial"/>
        </w:rPr>
      </w:r>
      <w:r>
        <w:rPr>
          <w:rFonts w:ascii="Arial" w:hAnsi="Arial"/>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eastAsia="Arial"/>
          <w:b/>
          <w:bCs/>
        </w:rPr>
        <w:t xml:space="preserve">6.4.</w:t>
      </w:r>
      <w:r>
        <w:rPr>
          <w:rFonts w:ascii="Arial" w:hAnsi="Arial" w:eastAsia="Arial"/>
        </w:rPr>
        <w:t xml:space="preserve"> A apresentação da(s) proposta(s) inicial(ais), bem como, os lances ofertados quando for o caso, demonstra </w:t>
      </w:r>
      <w:r>
        <w:rPr>
          <w:rFonts w:ascii="Arial" w:hAnsi="Arial" w:eastAsia="Arial"/>
        </w:rPr>
        <w:t xml:space="preserve">que o licitante tem conhecimento do objeto, valor estimado devidamente descrito no formulário padrão da P.M.R. denominado de formação de preços e atendimento às exigências para habilitação, portanto, demostra pleno conhecimento das regras previstas no Edit</w:t>
      </w:r>
      <w:r>
        <w:rPr>
          <w:rFonts w:ascii="Arial" w:hAnsi="Arial" w:eastAsia="Arial"/>
        </w:rPr>
        <w:t xml:space="preserve">al e seus Anexos. </w:t>
      </w:r>
      <w:r>
        <w:rPr>
          <w:rFonts w:ascii="Arial" w:hAnsi="Arial"/>
        </w:rPr>
      </w:r>
      <w:r>
        <w:rPr>
          <w:rFonts w:ascii="Arial" w:hAnsi="Arial"/>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eastAsia="Arial"/>
          <w:b/>
          <w:bCs/>
        </w:rPr>
        <w:t xml:space="preserve">6.4.1.</w:t>
      </w:r>
      <w:r>
        <w:rPr>
          <w:rFonts w:ascii="Arial" w:hAnsi="Arial" w:eastAsia="Arial"/>
        </w:rPr>
        <w:t xml:space="preserve"> A empresa/licitante será responsável por todas as transações que forem efetuadas em seu nome no sistema BLL, assumindo como firmes e verdadeiras suas propostas iniciais cadastradas, lances, bem como, fica obrigada a cadastrar a r</w:t>
      </w:r>
      <w:r>
        <w:rPr>
          <w:rFonts w:ascii="Arial" w:hAnsi="Arial" w:eastAsia="Arial"/>
        </w:rPr>
        <w:t xml:space="preserve">ecomposição dentro do prazo estabelecido no edital.</w:t>
      </w:r>
      <w:r>
        <w:rPr>
          <w:rFonts w:ascii="Arial" w:hAnsi="Arial"/>
        </w:rPr>
      </w:r>
      <w:r>
        <w:rPr>
          <w:rFonts w:ascii="Arial" w:hAnsi="Arial"/>
        </w:rPr>
      </w:r>
    </w:p>
    <w:p>
      <w:pPr>
        <w:pBdr/>
        <w:spacing/>
        <w:ind/>
        <w:jc w:val="both"/>
        <w:rPr>
          <w:rFonts w:ascii="Arial" w:hAnsi="Arial"/>
          <w:b/>
          <w:bCs/>
        </w:rPr>
      </w:pPr>
      <w:r>
        <w:rPr>
          <w:rFonts w:ascii="Arial" w:hAnsi="Arial"/>
          <w:b/>
          <w:bCs/>
        </w:rPr>
      </w:r>
      <w:r>
        <w:rPr>
          <w:rFonts w:ascii="Arial" w:hAnsi="Arial"/>
          <w:b/>
          <w:bCs/>
        </w:rPr>
      </w:r>
      <w:r>
        <w:rPr>
          <w:rFonts w:ascii="Arial" w:hAnsi="Arial"/>
          <w:b/>
          <w:bCs/>
        </w:rPr>
      </w:r>
    </w:p>
    <w:p>
      <w:pPr>
        <w:pBdr/>
        <w:spacing/>
        <w:ind/>
        <w:jc w:val="both"/>
        <w:rPr>
          <w:rFonts w:ascii="Arial" w:hAnsi="Arial"/>
        </w:rPr>
      </w:pPr>
      <w:r>
        <w:rPr>
          <w:rFonts w:ascii="Arial" w:hAnsi="Arial" w:eastAsia="Arial"/>
          <w:b/>
          <w:bCs/>
        </w:rPr>
        <w:t xml:space="preserve">6.5.</w:t>
      </w:r>
      <w:r>
        <w:rPr>
          <w:rFonts w:ascii="Arial" w:hAnsi="Arial" w:eastAsia="Arial"/>
        </w:rPr>
        <w:t xml:space="preserve"> Portanto, o licitante responsabiliza-se exclusiva e formalmente pelas transações efetuadas em seu nome, assume como firmes e verdadeiras suas propostas e seus lances, inclusive os atos praticados di</w:t>
      </w:r>
      <w:r>
        <w:rPr>
          <w:rFonts w:ascii="Arial" w:hAnsi="Arial" w:eastAsia="Arial"/>
        </w:rPr>
        <w:t xml:space="preserve">retamente ou por seu representante, excluída a responsabilidade do provedor do sistema ou do órgão ou entidade promotora da licitação por eventuais danos decorrentes de uso indevido das credenciais de acesso, ainda que por terceiros. </w:t>
      </w:r>
      <w:r>
        <w:rPr>
          <w:rFonts w:ascii="Arial" w:hAnsi="Arial"/>
        </w:rPr>
      </w:r>
      <w:r>
        <w:rPr>
          <w:rFonts w:ascii="Arial" w:hAnsi="Arial"/>
        </w:rPr>
      </w:r>
    </w:p>
    <w:p>
      <w:pPr>
        <w:pBdr/>
        <w:spacing/>
        <w:ind/>
        <w:jc w:val="both"/>
        <w:rPr>
          <w:rFonts w:ascii="Arial" w:hAnsi="Arial"/>
          <w:b/>
          <w:bCs/>
        </w:rPr>
      </w:pPr>
      <w:r>
        <w:rPr>
          <w:rFonts w:ascii="Arial" w:hAnsi="Arial"/>
          <w:b/>
          <w:bCs/>
        </w:rPr>
      </w:r>
      <w:r>
        <w:rPr>
          <w:rFonts w:ascii="Arial" w:hAnsi="Arial"/>
          <w:b/>
          <w:bCs/>
        </w:rPr>
      </w:r>
      <w:r>
        <w:rPr>
          <w:rFonts w:ascii="Arial" w:hAnsi="Arial"/>
          <w:b/>
          <w:bCs/>
        </w:rPr>
      </w:r>
    </w:p>
    <w:p>
      <w:pPr>
        <w:pBdr/>
        <w:spacing/>
        <w:ind/>
        <w:jc w:val="both"/>
        <w:rPr>
          <w:rFonts w:ascii="Arial" w:hAnsi="Arial" w:eastAsia="Arial"/>
          <w:sz w:val="24"/>
          <w:szCs w:val="24"/>
        </w:rPr>
      </w:pPr>
      <w:r>
        <w:rPr>
          <w:rFonts w:ascii="Arial" w:hAnsi="Arial" w:eastAsia="Arial"/>
          <w:b/>
          <w:bCs/>
        </w:rPr>
        <w:t xml:space="preserve">6.6.</w:t>
      </w:r>
      <w:r>
        <w:rPr>
          <w:rFonts w:ascii="Arial" w:hAnsi="Arial" w:eastAsia="Arial"/>
        </w:rPr>
        <w:t xml:space="preserve"> Será concedido </w:t>
      </w:r>
      <w:r>
        <w:rPr>
          <w:rFonts w:ascii="Arial" w:hAnsi="Arial" w:eastAsia="Arial"/>
        </w:rPr>
        <w:t xml:space="preserve">tratamento favorecido para as microempresas e empresas de pequeno porte, </w:t>
      </w:r>
      <w:r>
        <w:rPr>
          <w:rFonts w:ascii="Arial" w:hAnsi="Arial" w:eastAsia="Arial"/>
          <w:color w:val="000000"/>
        </w:rPr>
        <w:t xml:space="preserve">para as sociedades cooperativas mencionadas no </w:t>
      </w:r>
      <w:hyperlink r:id="rId18" w:tooltip="http://www.planalto.gov.br/ccivil_03/_ato2019-2022/2021/lei/L14133.htm" w:history="1">
        <w:r>
          <w:rPr>
            <w:rFonts w:ascii="Arial" w:hAnsi="Arial" w:eastAsia="Arial"/>
            <w:color w:val="000000"/>
            <w:u w:val="single"/>
          </w:rPr>
          <w:t xml:space="preserve">artigo 16 da Lei nº 14.133, de 2021</w:t>
        </w:r>
      </w:hyperlink>
      <w:r>
        <w:rPr>
          <w:rFonts w:ascii="Arial" w:hAnsi="Arial" w:eastAsia="Arial"/>
        </w:rPr>
        <w:t xml:space="preserve">, para o agricultor familiar, o produtor rural pessoa física e para o microempreendedor individual - MEI, nos limites previstos da </w:t>
      </w:r>
      <w:hyperlink r:id="rId19" w:tooltip="https://www.planalto.gov.br/ccivil_03/leis/lcp/lcp123.htm" w:history="1">
        <w:r>
          <w:rPr>
            <w:rFonts w:ascii="Arial" w:hAnsi="Arial" w:eastAsia="Arial"/>
            <w:color w:val="0000ff"/>
            <w:u w:val="single"/>
          </w:rPr>
          <w:t xml:space="preserve">Lei Complementar nº 123, de 2006</w:t>
        </w:r>
      </w:hyperlink>
      <w:r>
        <w:rPr>
          <w:rFonts w:ascii="Arial" w:hAnsi="Arial" w:eastAsia="Arial"/>
        </w:rPr>
        <w:t xml:space="preserve"> e da </w:t>
      </w:r>
      <w:r>
        <w:rPr>
          <w:rFonts w:ascii="Arial" w:hAnsi="Arial" w:cs="Arial"/>
          <w:color w:val="000000"/>
        </w:rPr>
        <w:t xml:space="preserve">LEI MUNICIPAL Nº 14.569, DE 02 DE DEZEMBRO DE 2025.</w:t>
      </w:r>
      <w:r>
        <w:rPr>
          <w:rFonts w:ascii="Arial" w:hAnsi="Arial" w:eastAsia="Arial"/>
          <w:sz w:val="24"/>
          <w:szCs w:val="24"/>
        </w:rPr>
      </w:r>
      <w:r>
        <w:rPr>
          <w:rFonts w:ascii="Arial" w:hAnsi="Arial" w:eastAsia="Arial"/>
          <w:sz w:val="24"/>
          <w:szCs w:val="24"/>
        </w:rPr>
      </w:r>
    </w:p>
    <w:p>
      <w:pPr>
        <w:pStyle w:val="2054"/>
        <w:pBdr/>
        <w:spacing/>
        <w:ind w:left="284"/>
        <w:jc w:val="both"/>
        <w:rPr>
          <w:b/>
          <w:sz w:val="20"/>
          <w:szCs w:val="20"/>
        </w:rPr>
      </w:pPr>
      <w:r>
        <w:rPr>
          <w:b/>
          <w:sz w:val="20"/>
          <w:szCs w:val="20"/>
        </w:rPr>
      </w:r>
      <w:r>
        <w:rPr>
          <w:b/>
          <w:sz w:val="20"/>
          <w:szCs w:val="20"/>
        </w:rPr>
      </w:r>
      <w:r>
        <w:rPr>
          <w:b/>
          <w:sz w:val="20"/>
          <w:szCs w:val="20"/>
        </w:rPr>
      </w:r>
    </w:p>
    <w:p>
      <w:pPr>
        <w:pBdr/>
        <w:spacing/>
        <w:ind/>
        <w:jc w:val="both"/>
        <w:rPr>
          <w:rFonts w:ascii="Arial" w:hAnsi="Arial"/>
          <w:b/>
          <w:bCs/>
          <w:color w:val="000000"/>
        </w:rPr>
      </w:pPr>
      <w:r>
        <w:rPr>
          <w:rFonts w:ascii="Arial" w:hAnsi="Arial"/>
          <w:b/>
          <w:bCs/>
          <w:color w:val="000000"/>
        </w:rPr>
        <w:t xml:space="preserve">6.7. </w:t>
      </w:r>
      <w:r>
        <w:rPr>
          <w:rFonts w:ascii="Arial" w:hAnsi="Arial"/>
          <w:color w:val="000000"/>
        </w:rPr>
        <w:t xml:space="preserve">NA PROPOSTA DE PREÇOS DEVERÁ CONTER: </w:t>
      </w:r>
      <w:r>
        <w:rPr>
          <w:rFonts w:ascii="Arial" w:hAnsi="Arial"/>
          <w:b/>
          <w:bCs/>
          <w:color w:val="000000"/>
        </w:rPr>
      </w:r>
      <w:r>
        <w:rPr>
          <w:rFonts w:ascii="Arial" w:hAnsi="Arial"/>
          <w:b/>
          <w:bCs/>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bCs/>
          <w:color w:val="000000"/>
        </w:rPr>
        <w:t xml:space="preserve">6.7.1.</w:t>
      </w:r>
      <w:r>
        <w:rPr>
          <w:rFonts w:ascii="Arial" w:hAnsi="Arial"/>
          <w:color w:val="000000"/>
        </w:rPr>
        <w:t xml:space="preserve"> A proposta deverá indicar o prazo de sua eficácia, que não poderá ser inferior a 120 dias corridos, contados a partir da data da realização da sessão pública da licitação.</w:t>
      </w:r>
      <w:r>
        <w:rPr>
          <w:rFonts w:ascii="Arial" w:hAnsi="Arial"/>
          <w:color w:val="000000"/>
        </w:rPr>
      </w:r>
      <w:r>
        <w:rPr>
          <w:rFonts w:ascii="Arial" w:hAnsi="Arial"/>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tabs>
          <w:tab w:val="left" w:leader="none" w:pos="720"/>
        </w:tabs>
        <w:spacing/>
        <w:ind/>
        <w:jc w:val="both"/>
        <w:rPr>
          <w:rFonts w:ascii="Arial" w:hAnsi="Arial"/>
          <w:color w:val="000000"/>
        </w:rPr>
      </w:pPr>
      <w:r>
        <w:rPr>
          <w:rFonts w:ascii="Arial" w:hAnsi="Arial"/>
          <w:b/>
          <w:bCs/>
          <w:color w:val="000000"/>
        </w:rPr>
        <w:t xml:space="preserve">6.7.2.</w:t>
      </w:r>
      <w:r>
        <w:rPr>
          <w:rFonts w:ascii="Arial" w:hAnsi="Arial"/>
          <w:color w:val="000000"/>
        </w:rPr>
        <w:t xml:space="preserve"> Os preços deverão ser cotados em moeda corrente nacional, expressos em alga</w:t>
      </w:r>
      <w:r>
        <w:rPr>
          <w:rFonts w:ascii="Arial" w:hAnsi="Arial"/>
          <w:color w:val="000000"/>
        </w:rPr>
        <w:t xml:space="preserve">rismos, sem previsão inflacionária. Em caso de divergência: entre valores unitários e totais, prevalecerão os valores unitários; entre valores em algarismos e por extenso (quando houver), prevalecerá o valor em algarismos. Os preços deverão incluir todas a</w:t>
      </w:r>
      <w:r>
        <w:rPr>
          <w:rFonts w:ascii="Arial" w:hAnsi="Arial"/>
          <w:color w:val="000000"/>
        </w:rPr>
        <w:t xml:space="preserve">s despesas, tais como fretes, encargos sociais e trabalhistas, seguros, tributos diretos e indiretos incidentes sobre o fornecimento do objeto.</w:t>
      </w:r>
      <w:r>
        <w:rPr>
          <w:rFonts w:ascii="Arial" w:hAnsi="Arial"/>
          <w:color w:val="000000"/>
        </w:rPr>
      </w:r>
      <w:r>
        <w:rPr>
          <w:rFonts w:ascii="Arial" w:hAnsi="Arial"/>
          <w:color w:val="000000"/>
        </w:rPr>
      </w:r>
    </w:p>
    <w:p>
      <w:pPr>
        <w:pBdr/>
        <w:tabs>
          <w:tab w:val="left" w:leader="none" w:pos="720"/>
        </w:tabs>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bCs/>
          <w:color w:val="000000"/>
        </w:rPr>
        <w:t xml:space="preserve">6.7.3.</w:t>
      </w:r>
      <w:r>
        <w:rPr>
          <w:rFonts w:ascii="Arial" w:hAnsi="Arial"/>
          <w:color w:val="000000"/>
        </w:rPr>
        <w:t xml:space="preserve"> Na análise das propostas, serão considerados erros de somatórios e outros aspectos que beneficiem a Admi</w:t>
      </w:r>
      <w:r>
        <w:rPr>
          <w:rFonts w:ascii="Arial" w:hAnsi="Arial"/>
          <w:color w:val="000000"/>
        </w:rPr>
        <w:t xml:space="preserve">nistração Pública, desde que não impliquem nulidade do procedimento, sendo tratados como exigências formais.</w:t>
      </w:r>
      <w:r>
        <w:rPr>
          <w:rFonts w:ascii="Arial" w:hAnsi="Arial"/>
          <w:color w:val="000000"/>
        </w:rPr>
      </w:r>
      <w:r>
        <w:rPr>
          <w:rFonts w:ascii="Arial" w:hAnsi="Arial"/>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bCs/>
          <w:color w:val="000000"/>
        </w:rPr>
        <w:t xml:space="preserve">6.7.4.</w:t>
      </w:r>
      <w:r>
        <w:rPr>
          <w:rFonts w:ascii="Arial" w:hAnsi="Arial"/>
          <w:color w:val="000000"/>
        </w:rPr>
        <w:t xml:space="preserve"> O proponente deverá apresentar proposta que atenda integralmente às especificações do objeto solicitado, as quais não poderão ser alteradas</w:t>
      </w:r>
      <w:r>
        <w:rPr>
          <w:rFonts w:ascii="Arial" w:hAnsi="Arial"/>
          <w:color w:val="000000"/>
        </w:rPr>
        <w:t xml:space="preserve">, sob pena de desclassificação.</w:t>
      </w:r>
      <w:r>
        <w:rPr>
          <w:rFonts w:ascii="Arial" w:hAnsi="Arial"/>
          <w:color w:val="000000"/>
        </w:rPr>
      </w:r>
      <w:r>
        <w:rPr>
          <w:rFonts w:ascii="Arial" w:hAnsi="Arial"/>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tabs>
          <w:tab w:val="left" w:leader="none" w:pos="720"/>
        </w:tabs>
        <w:spacing/>
        <w:ind/>
        <w:jc w:val="both"/>
        <w:rPr>
          <w:rFonts w:ascii="Arial" w:hAnsi="Arial"/>
          <w:color w:val="000000"/>
        </w:rPr>
      </w:pPr>
      <w:r>
        <w:rPr>
          <w:rFonts w:ascii="Arial" w:hAnsi="Arial"/>
          <w:b/>
          <w:bCs/>
          <w:color w:val="000000"/>
        </w:rPr>
        <w:t xml:space="preserve">6.7.5.</w:t>
      </w:r>
      <w:r>
        <w:rPr>
          <w:rFonts w:ascii="Arial" w:hAnsi="Arial"/>
          <w:color w:val="000000"/>
        </w:rPr>
        <w:t xml:space="preserve"> As propostas relativas aos produtos, objeto deste Edital, d</w:t>
      </w:r>
      <w:r>
        <w:rPr>
          <w:rFonts w:ascii="Arial" w:hAnsi="Arial"/>
          <w:color w:val="000000"/>
        </w:rPr>
        <w:t xml:space="preserve">everão conter: marca, modelo e procedência; nome do fabricante; informações corretas, claras, precisas e ostensivas em língua portuguesa sobre características, qualidades, preço, garantia e origem; dados sobre eventuais riscos à segurança dos utilizadores.</w:t>
      </w:r>
      <w:r>
        <w:rPr>
          <w:rFonts w:ascii="Arial" w:hAnsi="Arial"/>
          <w:color w:val="000000"/>
        </w:rPr>
      </w:r>
      <w:r>
        <w:rPr>
          <w:rFonts w:ascii="Arial" w:hAnsi="Arial"/>
          <w:color w:val="000000"/>
        </w:rPr>
      </w:r>
    </w:p>
    <w:p>
      <w:pPr>
        <w:pBdr/>
        <w:tabs>
          <w:tab w:val="left" w:leader="none" w:pos="720"/>
        </w:tabs>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bCs/>
          <w:color w:val="000000"/>
        </w:rPr>
        <w:t xml:space="preserve">6.7.6.</w:t>
      </w:r>
      <w:r>
        <w:rPr>
          <w:rFonts w:ascii="Arial" w:hAnsi="Arial"/>
          <w:color w:val="000000"/>
        </w:rPr>
        <w:t xml:space="preserve"> A quantidade máxima estimada de cada item que poderá ser adquirida pelo município, doravante denominado órgão gerenciador, é a constante no Anexo “Itens do Pregão”, sendo que não haverá contemplação para órgãos não participantes. A quantidade míni</w:t>
      </w:r>
      <w:r>
        <w:rPr>
          <w:rFonts w:ascii="Arial" w:hAnsi="Arial"/>
          <w:color w:val="000000"/>
        </w:rPr>
        <w:t xml:space="preserve">ma dependerá da demanda futura e, portanto, não é possível quantificá-la neste momento (Art. 82, incisos I e II, da Lei 14.133/2021).</w:t>
      </w:r>
      <w:r>
        <w:rPr>
          <w:rFonts w:ascii="Arial" w:hAnsi="Arial"/>
          <w:color w:val="000000"/>
        </w:rPr>
      </w:r>
      <w:r>
        <w:rPr>
          <w:rFonts w:ascii="Arial" w:hAnsi="Arial"/>
          <w:color w:val="000000"/>
        </w:rPr>
      </w:r>
    </w:p>
    <w:p>
      <w:pPr>
        <w:pBdr/>
        <w:spacing/>
        <w:ind w:left="284"/>
        <w:jc w:val="both"/>
        <w:rPr>
          <w:rFonts w:ascii="Arial" w:hAnsi="Arial"/>
          <w:b/>
          <w:bCs/>
          <w:color w:val="000000"/>
        </w:rPr>
      </w:pPr>
      <w:r>
        <w:rPr>
          <w:rFonts w:ascii="Arial" w:hAnsi="Arial"/>
          <w:b/>
          <w:bCs/>
          <w:color w:val="000000"/>
        </w:rPr>
      </w:r>
      <w:r>
        <w:rPr>
          <w:rFonts w:ascii="Arial" w:hAnsi="Arial"/>
          <w:b/>
          <w:bCs/>
          <w:color w:val="000000"/>
        </w:rPr>
      </w:r>
      <w:r>
        <w:rPr>
          <w:rFonts w:ascii="Arial" w:hAnsi="Arial"/>
          <w:b/>
          <w:bCs/>
          <w:color w:val="000000"/>
        </w:rPr>
      </w:r>
    </w:p>
    <w:p>
      <w:pPr>
        <w:pBdr/>
        <w:spacing/>
        <w:ind/>
        <w:jc w:val="both"/>
        <w:rPr>
          <w:rFonts w:ascii="Arial" w:hAnsi="Arial"/>
          <w:color w:val="000000"/>
        </w:rPr>
      </w:pPr>
      <w:r>
        <w:rPr>
          <w:rFonts w:ascii="Arial" w:hAnsi="Arial"/>
          <w:b/>
          <w:bCs/>
          <w:color w:val="000000"/>
        </w:rPr>
        <w:t xml:space="preserve">6.7.7.</w:t>
      </w:r>
      <w:r>
        <w:rPr>
          <w:rFonts w:ascii="Arial" w:hAnsi="Arial"/>
          <w:color w:val="000000"/>
        </w:rPr>
        <w:t xml:space="preserve"> Considerando a natureza do objeto e a capacidade das empresas do ramo em fornecer os itens nas quantidades solicit</w:t>
      </w:r>
      <w:r>
        <w:rPr>
          <w:rFonts w:ascii="Arial" w:hAnsi="Arial"/>
          <w:color w:val="000000"/>
        </w:rPr>
        <w:t xml:space="preserve">adas, não será admitida proposta com quantitativo inferior ao máximo previsto no edital, obrigando-se o licitante a ofertar dentro dos limites estabelecidos (Art. 82, inciso IV, da Lei 14.133/2021).</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bCs/>
          <w:color w:val="000000"/>
        </w:rPr>
        <w:t xml:space="preserve">6.7.8.</w:t>
      </w:r>
      <w:r>
        <w:rPr>
          <w:rFonts w:ascii="Arial" w:hAnsi="Arial"/>
          <w:color w:val="000000"/>
        </w:rPr>
        <w:t xml:space="preserve"> Não haverá diferença de preços em função do local</w:t>
      </w:r>
      <w:r>
        <w:rPr>
          <w:rFonts w:ascii="Arial" w:hAnsi="Arial"/>
          <w:color w:val="000000"/>
        </w:rPr>
        <w:t xml:space="preserve"> de entrega, considerando que o endereço indicado é de fácil acesso.</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eastAsia="Arial"/>
          <w:b/>
          <w:bCs/>
        </w:rPr>
        <w:t xml:space="preserve">6.7.9.</w:t>
      </w:r>
      <w:r>
        <w:rPr>
          <w:rFonts w:ascii="Arial" w:hAnsi="Arial" w:eastAsia="Arial"/>
        </w:rPr>
        <w:t xml:space="preserve"> A quantidade </w:t>
      </w:r>
      <w:r>
        <w:rPr>
          <w:rFonts w:ascii="Arial" w:hAnsi="Arial" w:eastAsia="Arial"/>
          <w:b/>
          <w:bCs/>
        </w:rPr>
        <w:t xml:space="preserve">MÁXIMA</w:t>
      </w:r>
      <w:r>
        <w:rPr>
          <w:rFonts w:ascii="Arial" w:hAnsi="Arial" w:eastAsia="Arial"/>
        </w:rPr>
        <w:t xml:space="preserve"> estimada de cada item que poderá ser adquirida pelo município aqui denominado órgão gerenciador é a constante no </w:t>
      </w:r>
      <w:r>
        <w:rPr>
          <w:rFonts w:ascii="Arial" w:hAnsi="Arial" w:eastAsia="Arial"/>
          <w:b/>
          <w:bCs/>
        </w:rPr>
        <w:t xml:space="preserve">Anexo Itens do Pregão</w:t>
      </w:r>
      <w:r>
        <w:rPr>
          <w:rFonts w:ascii="Arial" w:hAnsi="Arial" w:eastAsia="Arial"/>
        </w:rPr>
        <w:t xml:space="preserve">, tendo em vista que para</w:t>
      </w:r>
      <w:r>
        <w:rPr>
          <w:rFonts w:ascii="Arial" w:hAnsi="Arial" w:eastAsia="Arial"/>
        </w:rPr>
        <w:t xml:space="preserve"> este certame não haverá a possibilidade de contemplação para órgão não participante. (Art. 82, Inciso I, da Lei 14.133/2021).</w:t>
      </w:r>
      <w:r>
        <w:rPr>
          <w:rFonts w:ascii="Arial" w:hAnsi="Arial"/>
        </w:rPr>
      </w:r>
      <w:r>
        <w:rPr>
          <w:rFonts w:ascii="Arial" w:hAnsi="Arial"/>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eastAsia="Arial"/>
        </w:rPr>
      </w:pPr>
      <w:r>
        <w:rPr>
          <w:rFonts w:ascii="Arial" w:hAnsi="Arial" w:eastAsia="Arial"/>
          <w:b/>
          <w:bCs/>
        </w:rPr>
        <w:t xml:space="preserve">6.7.10.</w:t>
      </w:r>
      <w:r>
        <w:rPr>
          <w:rFonts w:ascii="Arial" w:hAnsi="Arial"/>
        </w:rPr>
        <w:t xml:space="preserve"> Nos processos</w:t>
      </w:r>
      <w:r>
        <w:rPr>
          <w:rFonts w:ascii="Arial" w:hAnsi="Arial" w:eastAsia="Arial"/>
        </w:rPr>
        <w:t xml:space="preserve"> de Registro de Preços, a definição de uma quantidade </w:t>
      </w:r>
      <w:r>
        <w:rPr>
          <w:rFonts w:ascii="Arial" w:hAnsi="Arial" w:eastAsia="Arial"/>
          <w:b/>
          <w:bCs/>
        </w:rPr>
        <w:t xml:space="preserve">MÍNIMA</w:t>
      </w:r>
      <w:r>
        <w:rPr>
          <w:rFonts w:ascii="Arial" w:hAnsi="Arial" w:eastAsia="Arial"/>
        </w:rPr>
        <w:t xml:space="preserve"> é opcional , conforme a Lei nº 14.133/2021. Es</w:t>
      </w:r>
      <w:r>
        <w:rPr>
          <w:rFonts w:ascii="Arial" w:hAnsi="Arial" w:eastAsia="Arial"/>
        </w:rPr>
        <w:t xml:space="preserve">sa definição seria justificável para estimular a competitividade, garantir a economia de escala ou adequar a logística do fornecimento, sendo que a ausência dessa previsão não obriga a Administração a comprar nenhum quantitativo. </w:t>
      </w:r>
      <w:r>
        <w:rPr>
          <w:rFonts w:ascii="Arial" w:hAnsi="Arial" w:eastAsia="Arial"/>
        </w:rPr>
      </w:r>
      <w:r>
        <w:rPr>
          <w:rFonts w:ascii="Arial" w:hAnsi="Arial" w:eastAsia="Arial"/>
        </w:rPr>
      </w:r>
    </w:p>
    <w:p>
      <w:pPr>
        <w:pBdr/>
        <w:spacing/>
        <w:ind/>
        <w:jc w:val="both"/>
        <w:rPr>
          <w:rFonts w:ascii="Arial" w:hAnsi="Arial" w:eastAsia="Arial"/>
          <w:b/>
          <w:bCs/>
          <w:color w:val="000000"/>
          <w14:ligatures w14:val="none"/>
        </w:rPr>
      </w:pPr>
      <w:r>
        <w:rPr>
          <w:rFonts w:ascii="Arial" w:hAnsi="Arial"/>
          <w:color w:val="000000"/>
        </w:rPr>
      </w:r>
      <w:r>
        <w:rPr>
          <w:rFonts w:ascii="Arial" w:hAnsi="Arial" w:eastAsia="Arial"/>
          <w:b/>
          <w:bCs/>
          <w:color w:val="000000"/>
          <w14:ligatures w14:val="none"/>
        </w:rPr>
      </w:r>
      <w:r>
        <w:rPr>
          <w:rFonts w:ascii="Arial" w:hAnsi="Arial" w:eastAsia="Arial"/>
          <w:b/>
          <w:bCs/>
          <w:color w:val="000000"/>
          <w14:ligatures w14:val="none"/>
        </w:rPr>
      </w:r>
    </w:p>
    <w:p>
      <w:pPr>
        <w:pBdr/>
        <w:spacing/>
        <w:ind/>
        <w:jc w:val="both"/>
        <w:rPr>
          <w:rFonts w:ascii="Arial" w:hAnsi="Arial"/>
          <w:b/>
        </w:rPr>
      </w:pPr>
      <w:r>
        <w:rPr>
          <w:rFonts w:ascii="Arial" w:hAnsi="Arial"/>
          <w:b/>
          <w:bCs/>
        </w:rPr>
        <w:t xml:space="preserve">6.8. </w:t>
      </w:r>
      <w:r>
        <w:rPr>
          <w:rFonts w:ascii="Arial" w:hAnsi="Arial" w:eastAsia="Arial"/>
          <w:b/>
          <w:bCs/>
          <w:color w:val="000000"/>
        </w:rPr>
        <w:t xml:space="preserve">DAS ESPECIFICAÇÕES TÉCNICAS DO OBJETO</w:t>
      </w:r>
      <w:r>
        <w:rPr>
          <w:rFonts w:ascii="Arial" w:hAnsi="Arial"/>
          <w:b/>
        </w:rPr>
        <w:t xml:space="preserve">.</w:t>
      </w:r>
      <w:r>
        <w:rPr>
          <w:rFonts w:ascii="Arial" w:hAnsi="Arial"/>
          <w:b/>
        </w:rPr>
      </w:r>
      <w:r>
        <w:rPr>
          <w:rFonts w:ascii="Arial" w:hAnsi="Arial"/>
          <w:b/>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color w:val="000000"/>
          <w14:ligatures w14:val="none"/>
        </w:rPr>
      </w:pPr>
      <w:r>
        <w:rPr>
          <w:rFonts w:ascii="Arial" w:hAnsi="Arial"/>
          <w:color w:val="000000"/>
        </w:rPr>
      </w:r>
      <w:r>
        <w:rPr>
          <w:rFonts w:ascii="Arial" w:hAnsi="Arial"/>
          <w:b/>
          <w:bCs/>
          <w:color w:val="000000"/>
        </w:rPr>
        <w:t xml:space="preserve">6.8.1.</w:t>
      </w:r>
      <w:r>
        <w:rPr>
          <w:rFonts w:ascii="Arial" w:hAnsi="Arial"/>
          <w:color w:val="000000"/>
        </w:rPr>
        <w:t xml:space="preserve"> O objeto será avaliado com base nas especificações técnicas, características de qualidade, acondicionamento, validade, composição e demais requisitos descritos no Termo de Referência, </w:t>
      </w:r>
      <w:r>
        <w:rPr>
          <w:rFonts w:ascii="Arial" w:hAnsi="Arial"/>
          <w:color w:val="000000"/>
          <w:lang w:val="pt-BR"/>
        </w:rPr>
        <w:t xml:space="preserve">sem a </w:t>
      </w:r>
      <w:r>
        <w:rPr>
          <w:rFonts w:ascii="Arial" w:hAnsi="Arial"/>
          <w:color w:val="000000"/>
        </w:rPr>
        <w:t xml:space="preserve"> indicação de marca, ressalvadas as hipóteses legal</w:t>
      </w:r>
      <w:r>
        <w:rPr>
          <w:rFonts w:ascii="Arial" w:hAnsi="Arial"/>
          <w:color w:val="000000"/>
        </w:rPr>
        <w:t xml:space="preserve">mente admitidas e devidamente justificadas no processo.</w:t>
        <w:br/>
      </w:r>
      <w:r>
        <w:rPr>
          <w:rFonts w:ascii="Arial" w:hAnsi="Arial"/>
          <w:color w:val="000000"/>
          <w14:ligatures w14:val="none"/>
        </w:rPr>
      </w:r>
      <w:r>
        <w:rPr>
          <w:rFonts w:ascii="Arial" w:hAnsi="Arial"/>
          <w:color w:val="000000"/>
          <w14:ligatures w14:val="none"/>
        </w:rPr>
      </w:r>
    </w:p>
    <w:p w14:paraId="3691445C">
      <w:pPr>
        <w:pBdr/>
        <w:spacing/>
        <w:ind/>
        <w:jc w:val="both"/>
        <w:rPr>
          <w:rFonts w:ascii="Arial" w:hAnsi="Arial"/>
          <w:color w:val="000000"/>
          <w14:ligatures w14:val="none"/>
        </w:rPr>
      </w:pPr>
      <w:r>
        <w:rPr>
          <w:rFonts w:ascii="Arial" w:hAnsi="Arial"/>
          <w:b/>
          <w:bCs/>
          <w:color w:val="000000"/>
        </w:rPr>
        <w:t xml:space="preserve">6.8.2.</w:t>
      </w:r>
      <w:r>
        <w:rPr>
          <w:rFonts w:ascii="Arial" w:hAnsi="Arial"/>
          <w:color w:val="000000"/>
        </w:rPr>
        <w:t xml:space="preserve"> Eventual menção, no Termo de Referência, a marca ou referência comercial terá caráter meramente exemplificativo, admitindo-se produto equivalente ou superior, desde que comprovadamente compatív</w:t>
      </w:r>
      <w:r>
        <w:rPr>
          <w:rFonts w:ascii="Arial" w:hAnsi="Arial"/>
          <w:color w:val="000000"/>
        </w:rPr>
        <w:t xml:space="preserve">el com as especificações técnicas exigidas.”</w:t>
      </w:r>
      <w:r>
        <w:rPr>
          <w:rFonts w:ascii="Arial" w:hAnsi="Arial"/>
          <w:color w:val="000000"/>
          <w14:ligatures w14:val="none"/>
        </w:rPr>
      </w:r>
      <w:r>
        <w:rPr>
          <w:rFonts w:ascii="Arial" w:hAnsi="Arial"/>
          <w:color w:val="000000"/>
          <w14:ligatures w14:val="none"/>
        </w:rPr>
      </w:r>
    </w:p>
    <w:p>
      <w:pPr>
        <w:pBdr/>
        <w:spacing/>
        <w:ind w:left="284"/>
        <w:jc w:val="both"/>
        <w:rPr>
          <w:rFonts w:ascii="Arial" w:hAnsi="Arial"/>
          <w:bCs/>
        </w:rPr>
      </w:pPr>
      <w:r>
        <w:rPr>
          <w:rFonts w:ascii="Arial" w:hAnsi="Arial"/>
          <w:bCs/>
        </w:rPr>
      </w:r>
      <w:r>
        <w:rPr>
          <w:rFonts w:ascii="Arial" w:hAnsi="Arial"/>
          <w:bCs/>
        </w:rPr>
      </w:r>
      <w:r>
        <w:rPr>
          <w:rFonts w:ascii="Arial" w:hAnsi="Arial"/>
          <w:bCs/>
        </w:rPr>
      </w:r>
    </w:p>
    <w:p>
      <w:pPr>
        <w:pBdr/>
        <w:spacing/>
        <w:ind/>
        <w:jc w:val="both"/>
        <w:outlineLvl w:val="0"/>
        <w:rPr>
          <w:rFonts w:ascii="Arial" w:hAnsi="Arial"/>
          <w:b/>
          <w:bCs/>
        </w:rPr>
      </w:pPr>
      <w:r/>
      <w:bookmarkStart w:id="63" w:name="_Toc7"/>
      <w:r>
        <w:rPr>
          <w:rFonts w:ascii="Arial" w:hAnsi="Arial" w:eastAsia="Arial"/>
          <w:b/>
          <w:bCs/>
          <w:color w:val="000000"/>
        </w:rPr>
        <w:t xml:space="preserve">7. DA ANALISE INICIAL NA PROPOSTA DE PREÇOS NO MOMENTO DA SESSÃO:</w:t>
      </w:r>
      <w:r>
        <w:rPr>
          <w:rFonts w:ascii="Arial" w:hAnsi="Arial" w:eastAsia="Arial"/>
          <w:b/>
          <w:bCs/>
        </w:rPr>
        <w:t xml:space="preserve"> </w:t>
      </w:r>
      <w:r>
        <w:rPr>
          <w:rFonts w:ascii="Arial" w:hAnsi="Arial"/>
          <w:b/>
          <w:bCs/>
        </w:rPr>
      </w:r>
      <w:bookmarkEnd w:id="63"/>
      <w:r>
        <w:rPr>
          <w:rFonts w:ascii="Arial" w:hAnsi="Arial"/>
          <w:b/>
          <w:bCs/>
        </w:rPr>
      </w:r>
      <w:r>
        <w:rPr>
          <w:rFonts w:ascii="Arial" w:hAnsi="Arial"/>
          <w:b/>
          <w:bCs/>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rPr>
      </w:pPr>
      <w:r>
        <w:rPr>
          <w:rFonts w:ascii="Arial" w:hAnsi="Arial"/>
          <w:b/>
          <w:bCs/>
          <w:color w:val="000000"/>
        </w:rPr>
        <w:t xml:space="preserve">7.1.</w:t>
      </w:r>
      <w:r>
        <w:rPr>
          <w:rFonts w:ascii="Arial" w:hAnsi="Arial"/>
          <w:color w:val="000000"/>
        </w:rPr>
        <w:t xml:space="preserve"> Na data e horário previstos no ato convocatório, terá início a sessão pública. Nesse momento, o sistema não identifica as empresas participantes, e as propostas aparecerão numeradas s</w:t>
      </w:r>
      <w:r>
        <w:rPr>
          <w:rFonts w:ascii="Arial" w:hAnsi="Arial"/>
          <w:color w:val="000000"/>
        </w:rPr>
        <w:t xml:space="preserve">equencialmente (Participante 1, 2, 3, etc.). No item seguinte, o sistema alternará a numeração dos participantes.</w:t>
      </w:r>
      <w:r>
        <w:rPr>
          <w:rFonts w:ascii="Arial" w:hAnsi="Arial"/>
          <w:color w:val="000000"/>
        </w:rPr>
      </w:r>
      <w:r>
        <w:rPr>
          <w:rFonts w:ascii="Arial" w:hAnsi="Arial"/>
          <w:color w:val="000000"/>
        </w:rPr>
      </w:r>
    </w:p>
    <w:p>
      <w:pPr>
        <w:pBdr/>
        <w:spacing/>
        <w:ind w:left="284"/>
        <w:jc w:val="both"/>
        <w:rPr>
          <w:rFonts w:ascii="Arial" w:hAnsi="Arial"/>
          <w:b/>
          <w:bCs/>
          <w:color w:val="000000"/>
        </w:rPr>
      </w:pPr>
      <w:r>
        <w:rPr>
          <w:rFonts w:ascii="Arial" w:hAnsi="Arial"/>
          <w:b/>
          <w:bCs/>
          <w:color w:val="000000"/>
        </w:rPr>
      </w:r>
      <w:r>
        <w:rPr>
          <w:rFonts w:ascii="Arial" w:hAnsi="Arial"/>
          <w:b/>
          <w:bCs/>
          <w:color w:val="000000"/>
        </w:rPr>
      </w:r>
      <w:r>
        <w:rPr>
          <w:rFonts w:ascii="Arial" w:hAnsi="Arial"/>
          <w:b/>
          <w:bCs/>
          <w:color w:val="000000"/>
        </w:rPr>
      </w:r>
    </w:p>
    <w:p>
      <w:pPr>
        <w:pBdr/>
        <w:spacing/>
        <w:ind/>
        <w:jc w:val="both"/>
        <w:rPr>
          <w:rFonts w:ascii="Arial" w:hAnsi="Arial"/>
          <w:color w:val="000000"/>
        </w:rPr>
      </w:pPr>
      <w:r>
        <w:rPr>
          <w:rFonts w:ascii="Arial" w:hAnsi="Arial" w:eastAsia="Arial"/>
          <w:b/>
          <w:bCs/>
          <w:color w:val="000000"/>
        </w:rPr>
        <w:t xml:space="preserve">7.2.</w:t>
      </w:r>
      <w:r>
        <w:rPr>
          <w:rFonts w:ascii="Arial" w:hAnsi="Arial" w:eastAsia="Arial"/>
          <w:color w:val="000000"/>
        </w:rPr>
        <w:t xml:space="preserve"> O Pregoeiro após análise das propostas de preços apresentadas de forma eletrônica, </w:t>
      </w:r>
      <w:r>
        <w:rPr>
          <w:rFonts w:ascii="Arial" w:hAnsi="Arial" w:eastAsia="Arial"/>
          <w:color w:val="000000"/>
          <w:u w:val="single"/>
        </w:rPr>
        <w:t xml:space="preserve">desclassificará aquelas que não estiverem em consonân</w:t>
      </w:r>
      <w:r>
        <w:rPr>
          <w:rFonts w:ascii="Arial" w:hAnsi="Arial" w:eastAsia="Arial"/>
          <w:color w:val="000000"/>
          <w:u w:val="single"/>
        </w:rPr>
        <w:t xml:space="preserve">cia com as regras estabelecidas no instrumento convocatório</w:t>
      </w:r>
      <w:r>
        <w:rPr>
          <w:rFonts w:ascii="Arial" w:hAnsi="Arial" w:eastAsia="Arial"/>
          <w:color w:val="000000"/>
        </w:rPr>
        <w:t xml:space="preserve">, tais como: </w:t>
      </w:r>
      <w:r>
        <w:rPr>
          <w:rFonts w:ascii="Arial" w:hAnsi="Arial"/>
          <w:color w:val="000000"/>
        </w:rPr>
      </w:r>
      <w:r>
        <w:rPr>
          <w:rFonts w:ascii="Arial" w:hAnsi="Arial"/>
          <w:color w:val="000000"/>
        </w:rPr>
      </w:r>
    </w:p>
    <w:p>
      <w:pPr>
        <w:pBdr/>
        <w:spacing/>
        <w:ind/>
        <w:jc w:val="both"/>
        <w:rPr>
          <w:rFonts w:ascii="Arial" w:hAnsi="Arial"/>
          <w:color w:val="000000"/>
          <w14:ligatures w14:val="none"/>
        </w:rPr>
      </w:pPr>
      <w:r>
        <w:rPr>
          <w:rFonts w:ascii="Arial" w:hAnsi="Arial"/>
          <w:color w:val="000000"/>
        </w:rPr>
      </w:r>
      <w:r>
        <w:rPr>
          <w:rFonts w:ascii="Arial" w:hAnsi="Arial"/>
          <w:color w:val="000000"/>
          <w14:ligatures w14:val="none"/>
        </w:rPr>
      </w:r>
      <w:r>
        <w:rPr>
          <w:rFonts w:ascii="Arial" w:hAnsi="Arial"/>
          <w:color w:val="000000"/>
          <w14:ligatures w14:val="none"/>
        </w:rPr>
      </w:r>
    </w:p>
    <w:p>
      <w:pPr>
        <w:pBdr/>
        <w:spacing/>
        <w:ind/>
        <w:jc w:val="both"/>
        <w:rPr>
          <w:rFonts w:ascii="Arial" w:hAnsi="Arial"/>
          <w:color w:val="000000"/>
          <w14:ligatures w14:val="none"/>
        </w:rPr>
      </w:pPr>
      <w:r>
        <w:rPr>
          <w:rFonts w:ascii="Arial" w:hAnsi="Arial"/>
          <w:b/>
          <w:bCs/>
          <w:color w:val="000000"/>
        </w:rPr>
        <w:t xml:space="preserve">7.2.1.</w:t>
      </w:r>
      <w:r>
        <w:rPr>
          <w:rFonts w:ascii="Arial" w:hAnsi="Arial"/>
          <w:color w:val="000000"/>
        </w:rPr>
        <w:t xml:space="preserve"> </w:t>
      </w:r>
      <w:r>
        <w:rPr>
          <w:rFonts w:ascii="Arial" w:hAnsi="Arial"/>
          <w:color w:val="000000"/>
        </w:rPr>
        <w:t xml:space="preserve">Será desclassificada a proposta que apresentar produto em desacordo com as especificações técnicas mínimas previstas no Edital e no Termo de Referência, ou que deixe de informar elementos indispensáveis à identificação e avaliação do objeto ofertado, quand</w:t>
      </w:r>
      <w:r>
        <w:rPr>
          <w:rFonts w:ascii="Arial" w:hAnsi="Arial"/>
          <w:color w:val="000000"/>
        </w:rPr>
        <w:t xml:space="preserve">o exigidos no instrumento convocatório.”</w:t>
      </w:r>
      <w:r>
        <w:rPr>
          <w:rFonts w:ascii="Arial" w:hAnsi="Arial"/>
          <w:color w:val="000000"/>
          <w14:ligatures w14:val="none"/>
        </w:rPr>
      </w:r>
      <w:r>
        <w:rPr>
          <w:rFonts w:ascii="Arial" w:hAnsi="Arial"/>
          <w:color w:val="000000"/>
          <w14:ligatures w14:val="none"/>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bCs/>
          <w:color w:val="000000"/>
        </w:rPr>
        <w:t xml:space="preserve">7.2.2.</w:t>
      </w:r>
      <w:r>
        <w:rPr>
          <w:rFonts w:ascii="Arial" w:hAnsi="Arial"/>
          <w:color w:val="000000"/>
        </w:rPr>
        <w:t xml:space="preserve"> Propostas com valores iguais a zero ou que contenham erros ou divergências nos preços que possam gerar interpretação dúbia.</w:t>
      </w:r>
      <w:r>
        <w:rPr>
          <w:rFonts w:ascii="Arial" w:hAnsi="Arial"/>
          <w:color w:val="000000"/>
        </w:rPr>
      </w:r>
      <w:r>
        <w:rPr>
          <w:rFonts w:ascii="Arial" w:hAnsi="Arial"/>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bCs/>
          <w:color w:val="000000"/>
        </w:rPr>
        <w:t xml:space="preserve">7.3.</w:t>
      </w:r>
      <w:r>
        <w:rPr>
          <w:rFonts w:ascii="Arial" w:hAnsi="Arial"/>
          <w:color w:val="000000"/>
        </w:rPr>
        <w:t xml:space="preserve"> A decisão sobre a classificação ou desclassificação das propostas comerciais será disponibilizada no sistema eletrônico para acompanhamento em tempo real por todas as empresas licitantes.</w:t>
      </w:r>
      <w:r>
        <w:rPr>
          <w:rFonts w:ascii="Arial" w:hAnsi="Arial"/>
          <w:color w:val="000000"/>
        </w:rPr>
      </w:r>
      <w:r>
        <w:rPr>
          <w:rFonts w:ascii="Arial" w:hAnsi="Arial"/>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outlineLvl w:val="0"/>
        <w:rPr>
          <w:rFonts w:ascii="Arial" w:hAnsi="Arial"/>
          <w:b/>
          <w:bCs/>
          <w:color w:val="000000"/>
        </w:rPr>
      </w:pPr>
      <w:r/>
      <w:bookmarkStart w:id="64" w:name="_Toc8"/>
      <w:r>
        <w:rPr>
          <w:rFonts w:ascii="Arial" w:hAnsi="Arial" w:eastAsia="Arial"/>
          <w:b/>
          <w:bCs/>
          <w:color w:val="000000"/>
        </w:rPr>
        <w:t xml:space="preserve">8. DA FORMA DE DISPUTA:</w:t>
      </w:r>
      <w:r>
        <w:rPr>
          <w:rFonts w:ascii="Arial" w:hAnsi="Arial"/>
          <w:b/>
          <w:bCs/>
          <w:color w:val="000000"/>
        </w:rPr>
      </w:r>
      <w:bookmarkEnd w:id="64"/>
      <w:r>
        <w:rPr>
          <w:rFonts w:ascii="Arial" w:hAnsi="Arial"/>
          <w:b/>
          <w:bCs/>
          <w:color w:val="000000"/>
        </w:rPr>
      </w:r>
      <w:r>
        <w:rPr>
          <w:rFonts w:ascii="Arial" w:hAnsi="Arial"/>
          <w:b/>
          <w:bCs/>
          <w:color w:val="000000"/>
        </w:rPr>
      </w:r>
    </w:p>
    <w:p>
      <w:pPr>
        <w:pBdr/>
        <w:spacing/>
        <w:ind w:left="284"/>
        <w:jc w:val="both"/>
        <w:rPr>
          <w:rFonts w:ascii="Arial" w:hAnsi="Arial"/>
          <w:b/>
          <w:color w:val="000000"/>
          <w:sz w:val="19"/>
          <w:szCs w:val="19"/>
          <w:highlight w:val="red"/>
        </w:rPr>
      </w:pPr>
      <w:r>
        <w:rPr>
          <w:rFonts w:ascii="Arial" w:hAnsi="Arial"/>
          <w:b/>
          <w:color w:val="000000"/>
          <w:sz w:val="19"/>
          <w:szCs w:val="19"/>
          <w:highlight w:val="red"/>
        </w:rPr>
      </w:r>
      <w:r>
        <w:rPr>
          <w:rFonts w:ascii="Arial" w:hAnsi="Arial"/>
          <w:b/>
          <w:color w:val="000000"/>
          <w:sz w:val="19"/>
          <w:szCs w:val="19"/>
          <w:highlight w:val="red"/>
        </w:rPr>
      </w:r>
      <w:r>
        <w:rPr>
          <w:rFonts w:ascii="Arial" w:hAnsi="Arial"/>
          <w:b/>
          <w:color w:val="000000"/>
          <w:sz w:val="19"/>
          <w:szCs w:val="19"/>
          <w:highlight w:val="red"/>
        </w:rPr>
      </w:r>
    </w:p>
    <w:p>
      <w:pPr>
        <w:pBdr/>
        <w:spacing/>
        <w:ind/>
        <w:jc w:val="both"/>
        <w:rPr>
          <w:rFonts w:ascii="Arial" w:hAnsi="Arial"/>
          <w:sz w:val="19"/>
          <w:szCs w:val="19"/>
        </w:rPr>
      </w:pPr>
      <w:r>
        <w:rPr>
          <w:rFonts w:ascii="Arial" w:hAnsi="Arial"/>
          <w:b/>
          <w:color w:val="000000"/>
          <w:sz w:val="19"/>
          <w:szCs w:val="19"/>
        </w:rPr>
        <w:t xml:space="preserve">8.1.</w:t>
      </w:r>
      <w:r>
        <w:rPr>
          <w:rFonts w:ascii="Arial" w:hAnsi="Arial"/>
          <w:color w:val="000000"/>
          <w:sz w:val="19"/>
          <w:szCs w:val="19"/>
        </w:rPr>
        <w:t xml:space="preserve"> Será adotado para o envio de lances no pregão eletrônico o </w:t>
      </w:r>
      <w:r>
        <w:rPr>
          <w:rFonts w:ascii="Arial" w:hAnsi="Arial"/>
          <w:b/>
          <w:color w:val="000000"/>
          <w:sz w:val="19"/>
          <w:szCs w:val="19"/>
        </w:rPr>
        <w:t xml:space="preserve">modo de disputa aberto</w:t>
      </w:r>
      <w:r>
        <w:rPr>
          <w:rFonts w:ascii="Arial" w:hAnsi="Arial"/>
          <w:color w:val="000000"/>
          <w:sz w:val="19"/>
          <w:szCs w:val="19"/>
        </w:rPr>
        <w:t xml:space="preserve"> onde os licitantes apresentarão lances públicos e sucessivos, com prorrogações, conforme o critério de julgamento adotado no edital.</w:t>
      </w:r>
      <w:r>
        <w:rPr>
          <w:rFonts w:ascii="Arial" w:hAnsi="Arial"/>
          <w:sz w:val="19"/>
          <w:szCs w:val="19"/>
        </w:rPr>
      </w:r>
      <w:r>
        <w:rPr>
          <w:rFonts w:ascii="Arial" w:hAnsi="Arial"/>
          <w:sz w:val="19"/>
          <w:szCs w:val="19"/>
        </w:rPr>
      </w:r>
    </w:p>
    <w:p>
      <w:pPr>
        <w:pBdr/>
        <w:spacing/>
        <w:ind w:left="284"/>
        <w:jc w:val="both"/>
        <w:rPr>
          <w:rFonts w:ascii="Arial" w:hAnsi="Arial"/>
          <w:b/>
          <w:color w:val="000000"/>
          <w:sz w:val="19"/>
          <w:szCs w:val="19"/>
        </w:rPr>
      </w:pPr>
      <w:r>
        <w:rPr>
          <w:rFonts w:ascii="Arial" w:hAnsi="Arial"/>
          <w:b/>
          <w:color w:val="000000"/>
          <w:sz w:val="19"/>
          <w:szCs w:val="19"/>
        </w:rPr>
      </w:r>
      <w:r>
        <w:rPr>
          <w:rFonts w:ascii="Arial" w:hAnsi="Arial"/>
          <w:b/>
          <w:color w:val="000000"/>
          <w:sz w:val="19"/>
          <w:szCs w:val="19"/>
        </w:rPr>
      </w:r>
      <w:r>
        <w:rPr>
          <w:rFonts w:ascii="Arial" w:hAnsi="Arial"/>
          <w:b/>
          <w:color w:val="000000"/>
          <w:sz w:val="19"/>
          <w:szCs w:val="19"/>
        </w:rPr>
      </w:r>
    </w:p>
    <w:p>
      <w:pPr>
        <w:pBdr/>
        <w:spacing/>
        <w:ind/>
        <w:jc w:val="both"/>
        <w:rPr>
          <w:rFonts w:ascii="Arial" w:hAnsi="Arial"/>
        </w:rPr>
      </w:pPr>
      <w:r>
        <w:rPr>
          <w:rFonts w:ascii="Arial" w:hAnsi="Arial"/>
          <w:b/>
          <w:color w:val="000000"/>
        </w:rPr>
        <w:t xml:space="preserve">8.</w:t>
      </w:r>
      <w:r>
        <w:rPr>
          <w:rFonts w:ascii="Arial" w:hAnsi="Arial"/>
          <w:b/>
          <w:bCs/>
          <w:color w:val="000000"/>
        </w:rPr>
        <w:t xml:space="preserve">2. </w:t>
      </w:r>
      <w:r>
        <w:rPr>
          <w:rFonts w:ascii="Arial" w:hAnsi="Arial"/>
          <w:color w:val="000000"/>
        </w:rPr>
        <w:t xml:space="preserve">A etapa de lances da sessão públic</w:t>
      </w:r>
      <w:r>
        <w:rPr>
          <w:rFonts w:ascii="Arial" w:hAnsi="Arial"/>
          <w:color w:val="000000"/>
        </w:rPr>
        <w:t xml:space="preserve">a terá duração de dez minutos e, após isso, será prorrogada automaticamente pelo sistema quando houver lance ofertado nos últimos dois minutos do período de duração da sessão pública.</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8.3.</w:t>
      </w:r>
      <w:r>
        <w:rPr>
          <w:rFonts w:ascii="Arial" w:hAnsi="Arial"/>
          <w:color w:val="000000"/>
        </w:rPr>
        <w:t xml:space="preserve"> A prorrogação automática da etapa de envio de lances, será de dois</w:t>
      </w:r>
      <w:r>
        <w:rPr>
          <w:rFonts w:ascii="Arial" w:hAnsi="Arial"/>
          <w:color w:val="000000"/>
        </w:rPr>
        <w:t xml:space="preserve"> minutos e ocorrerá sucessivamente sempre que houver lances enviados nesse período de prorrogação, inclusive quando se tratar de lances intermediários.</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8.4.</w:t>
      </w:r>
      <w:r>
        <w:rPr>
          <w:rFonts w:ascii="Arial" w:hAnsi="Arial"/>
          <w:color w:val="000000"/>
        </w:rPr>
        <w:t xml:space="preserve"> Não havendo novos lances na forma estabelecida nos itens </w:t>
      </w:r>
      <w:r>
        <w:rPr>
          <w:rFonts w:ascii="Arial" w:hAnsi="Arial"/>
          <w:b/>
          <w:color w:val="000000"/>
        </w:rPr>
        <w:t xml:space="preserve">8.2</w:t>
      </w:r>
      <w:r>
        <w:rPr>
          <w:rFonts w:ascii="Arial" w:hAnsi="Arial"/>
          <w:color w:val="000000"/>
        </w:rPr>
        <w:t xml:space="preserve"> e </w:t>
      </w:r>
      <w:r>
        <w:rPr>
          <w:rFonts w:ascii="Arial" w:hAnsi="Arial"/>
          <w:b/>
          <w:color w:val="000000"/>
        </w:rPr>
        <w:t xml:space="preserve">8.3</w:t>
      </w:r>
      <w:r>
        <w:rPr>
          <w:rFonts w:ascii="Arial" w:hAnsi="Arial"/>
          <w:color w:val="000000"/>
        </w:rPr>
        <w:t xml:space="preserve">, a sessão pública encerrar-se-á</w:t>
      </w:r>
      <w:r>
        <w:rPr>
          <w:rFonts w:ascii="Arial" w:hAnsi="Arial"/>
          <w:color w:val="000000"/>
        </w:rPr>
        <w:t xml:space="preserve"> automaticamente, e o sistema ordenará e divulgará os lances conforme a ordem final de classificação.</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outlineLvl w:val="0"/>
        <w:rPr>
          <w:rFonts w:ascii="Arial" w:hAnsi="Arial"/>
          <w:b/>
          <w:bCs/>
          <w:color w:val="000000"/>
        </w:rPr>
      </w:pPr>
      <w:r/>
      <w:bookmarkStart w:id="65" w:name="_Toc9"/>
      <w:r>
        <w:rPr>
          <w:rFonts w:ascii="Arial" w:hAnsi="Arial" w:eastAsia="Arial"/>
          <w:b/>
          <w:bCs/>
          <w:color w:val="000000"/>
        </w:rPr>
        <w:t xml:space="preserve">9. DA FASE DE LANCES: </w:t>
      </w:r>
      <w:r>
        <w:rPr>
          <w:rFonts w:ascii="Arial" w:hAnsi="Arial"/>
          <w:b/>
          <w:bCs/>
          <w:color w:val="000000"/>
        </w:rPr>
      </w:r>
      <w:bookmarkEnd w:id="65"/>
      <w:r>
        <w:rPr>
          <w:rFonts w:ascii="Arial" w:hAnsi="Arial"/>
          <w:b/>
          <w:bCs/>
          <w:color w:val="000000"/>
        </w:rPr>
      </w:r>
      <w:r>
        <w:rPr>
          <w:rFonts w:ascii="Arial" w:hAnsi="Arial"/>
          <w:b/>
          <w:bCs/>
          <w:color w:val="000000"/>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9.1.</w:t>
      </w:r>
      <w:r>
        <w:rPr>
          <w:rFonts w:ascii="Arial" w:hAnsi="Arial"/>
          <w:color w:val="000000"/>
        </w:rPr>
        <w:t xml:space="preserve"> Após a classificação das propostas, iniciar-se-á a fase de lances, na qual os autores das propostas classificadas pelo Prego</w:t>
      </w:r>
      <w:r>
        <w:rPr>
          <w:rFonts w:ascii="Arial" w:hAnsi="Arial"/>
          <w:color w:val="000000"/>
        </w:rPr>
        <w:t xml:space="preserve">eiro poderão </w:t>
      </w:r>
      <w:r>
        <w:rPr>
          <w:rFonts w:ascii="Arial" w:hAnsi="Arial"/>
          <w:b/>
          <w:color w:val="000000"/>
        </w:rPr>
        <w:t xml:space="preserve">oferecer lances</w:t>
      </w:r>
      <w:r>
        <w:rPr>
          <w:rFonts w:ascii="Arial" w:hAnsi="Arial"/>
          <w:color w:val="000000"/>
        </w:rPr>
        <w:t xml:space="preserve">, obrigatoriamente por meio do sistema eletrônico, sem restrições de quantidade de lances ou de qualquer ordem classificatória ou cronológica específica, mas sempre inferior ao último lance ofertado.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9.2.</w:t>
      </w:r>
      <w:r>
        <w:rPr>
          <w:rFonts w:ascii="Arial" w:hAnsi="Arial"/>
          <w:color w:val="000000"/>
        </w:rPr>
        <w:t xml:space="preserve"> Caberá a licitante ac</w:t>
      </w:r>
      <w:r>
        <w:rPr>
          <w:rFonts w:ascii="Arial" w:hAnsi="Arial"/>
          <w:color w:val="000000"/>
        </w:rPr>
        <w:t xml:space="preserve">ompanhar as operações no sistema eletrônico durante a sessão pública deste Pregão Eletrônico, ficando responsável pelo ônus decorrente da perda de negócios diante da inobservância de quaisquer mensagens emitidas pelo sistema ou da desconexão do seu represe</w:t>
      </w:r>
      <w:r>
        <w:rPr>
          <w:rFonts w:ascii="Arial" w:hAnsi="Arial"/>
          <w:color w:val="000000"/>
        </w:rPr>
        <w:t xml:space="preserve">ntante;</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9.3.</w:t>
      </w:r>
      <w:r>
        <w:rPr>
          <w:rFonts w:ascii="Arial" w:hAnsi="Arial"/>
          <w:color w:val="000000"/>
        </w:rPr>
        <w:t xml:space="preserve"> No caso de desconexão do sistema com o Pregoeiro no decorrer da etapa competitiva do pregão, o sistema eletrônico poderá permanecer acessível aos licitantes para a recepção dos lances, os quais continuarão sendo registrados, retornando a cone</w:t>
      </w:r>
      <w:r>
        <w:rPr>
          <w:rFonts w:ascii="Arial" w:hAnsi="Arial"/>
          <w:color w:val="000000"/>
        </w:rPr>
        <w:t xml:space="preserve">xão o Pregoeiro dará continuidade ao certame, sem prejuízo dos atos realizados.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9.4.</w:t>
      </w:r>
      <w:r>
        <w:rPr>
          <w:rFonts w:ascii="Arial" w:hAnsi="Arial"/>
          <w:color w:val="000000"/>
        </w:rPr>
        <w:t xml:space="preserve"> Quando a desconexão persistir por tempo superior a 10 (dez) minutos, a sessão do pregão será suspensa e terá reinício somente após comunicação expressa aos participantes</w:t>
      </w:r>
      <w:r>
        <w:rPr>
          <w:rFonts w:ascii="Arial" w:hAnsi="Arial"/>
          <w:color w:val="000000"/>
        </w:rPr>
        <w:t xml:space="preserve"> por meio do próprio sistema. Ficando o licitante responsável pelo acompanhamento.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9.5.</w:t>
      </w:r>
      <w:r>
        <w:rPr>
          <w:rFonts w:ascii="Arial" w:hAnsi="Arial"/>
          <w:color w:val="000000"/>
        </w:rPr>
        <w:t xml:space="preserve"> Durante o transcurso da sessão de lances, os participantes serão informados em tempo real, do valor do menor lance registrado.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9.5.1.</w:t>
      </w:r>
      <w:r>
        <w:rPr>
          <w:rFonts w:ascii="Arial" w:hAnsi="Arial"/>
          <w:color w:val="000000"/>
        </w:rPr>
        <w:t xml:space="preserve"> Nesse momento o sistema ainda não identifica as empresas participantes as propostas continuam aparecendo em forma de número (participante 1, 2, 3 e assim sucessivamente, no item seguinte o sistema alterna o número dos participantes).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sz w:val="19"/>
          <w:szCs w:val="19"/>
          <w14:ligatures w14:val="none"/>
        </w:rPr>
      </w:pPr>
      <w:r>
        <w:rPr>
          <w:rFonts w:ascii="Arial" w:hAnsi="Arial"/>
          <w:b/>
          <w:color w:val="000000"/>
        </w:rPr>
        <w:t xml:space="preserve">9.5.2.</w:t>
      </w:r>
      <w:r>
        <w:rPr>
          <w:rFonts w:ascii="Arial" w:hAnsi="Arial"/>
          <w:color w:val="000000"/>
        </w:rPr>
        <w:t xml:space="preserve"> </w:t>
      </w:r>
      <w:r>
        <w:rPr>
          <w:rFonts w:ascii="Arial" w:hAnsi="Arial"/>
          <w:color w:val="000000"/>
          <w:sz w:val="19"/>
          <w:szCs w:val="19"/>
        </w:rPr>
        <w:t xml:space="preserve">O intervalo mínimo de diferença entre os lances será de R$ 0,01 (um centavo), incidindo tanto em relação aos lances intermediários quanto em relação ao lance que cobrir a melhor oferta.</w:t>
      </w:r>
      <w:r>
        <w:rPr>
          <w:rFonts w:ascii="Arial" w:hAnsi="Arial"/>
          <w:color w:val="000000"/>
          <w:sz w:val="19"/>
          <w:szCs w:val="19"/>
          <w14:ligatures w14:val="none"/>
        </w:rPr>
      </w:r>
      <w:r>
        <w:rPr>
          <w:rFonts w:ascii="Arial" w:hAnsi="Arial"/>
          <w:color w:val="000000"/>
          <w:sz w:val="19"/>
          <w:szCs w:val="19"/>
          <w14:ligatures w14:val="none"/>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sz w:val="19"/>
          <w:szCs w:val="19"/>
        </w:rPr>
      </w:pPr>
      <w:r>
        <w:rPr>
          <w:rFonts w:ascii="Arial" w:hAnsi="Arial"/>
          <w:b/>
          <w:color w:val="000000"/>
          <w:sz w:val="19"/>
          <w:szCs w:val="19"/>
        </w:rPr>
        <w:t xml:space="preserve">9.6.</w:t>
      </w:r>
      <w:r>
        <w:rPr>
          <w:rFonts w:ascii="Arial" w:hAnsi="Arial"/>
          <w:color w:val="000000"/>
          <w:sz w:val="19"/>
          <w:szCs w:val="19"/>
        </w:rPr>
        <w:t xml:space="preserve"> O licitante somente poderá oferecer valor inferior ao último lance por ele ofertado e registrado pelo sistema, observado, quando </w:t>
      </w:r>
      <w:r>
        <w:rPr>
          <w:rFonts w:ascii="Arial" w:hAnsi="Arial"/>
          <w:color w:val="000000"/>
          <w:sz w:val="19"/>
          <w:szCs w:val="19"/>
        </w:rPr>
        <w:t xml:space="preserve">houver, o intervalo mínimo de diferença de valores ou de percentuais entre os lances, que incidirá tanto em relação aos lances intermediários quanto em relação ao lance que cobrir a melhor oferta.</w:t>
      </w:r>
      <w:r>
        <w:rPr>
          <w:rFonts w:ascii="Arial" w:hAnsi="Arial"/>
          <w:sz w:val="19"/>
          <w:szCs w:val="19"/>
        </w:rPr>
      </w:r>
      <w:r>
        <w:rPr>
          <w:rFonts w:ascii="Arial" w:hAnsi="Arial"/>
          <w:sz w:val="19"/>
          <w:szCs w:val="19"/>
        </w:rPr>
      </w:r>
    </w:p>
    <w:p>
      <w:pPr>
        <w:pBdr/>
        <w:spacing/>
        <w:ind w:left="284"/>
        <w:jc w:val="both"/>
        <w:rPr>
          <w:rFonts w:ascii="Arial" w:hAnsi="Arial"/>
          <w:b/>
          <w:color w:val="000000"/>
          <w:sz w:val="19"/>
          <w:szCs w:val="19"/>
        </w:rPr>
      </w:pPr>
      <w:r>
        <w:rPr>
          <w:rFonts w:ascii="Arial" w:hAnsi="Arial"/>
          <w:b/>
          <w:color w:val="000000"/>
          <w:sz w:val="19"/>
          <w:szCs w:val="19"/>
        </w:rPr>
      </w:r>
      <w:r>
        <w:rPr>
          <w:rFonts w:ascii="Arial" w:hAnsi="Arial"/>
          <w:b/>
          <w:color w:val="000000"/>
          <w:sz w:val="19"/>
          <w:szCs w:val="19"/>
        </w:rPr>
      </w:r>
      <w:r>
        <w:rPr>
          <w:rFonts w:ascii="Arial" w:hAnsi="Arial"/>
          <w:b/>
          <w:color w:val="000000"/>
          <w:sz w:val="19"/>
          <w:szCs w:val="19"/>
        </w:rPr>
      </w:r>
    </w:p>
    <w:p>
      <w:pPr>
        <w:pBdr/>
        <w:spacing/>
        <w:ind/>
        <w:jc w:val="both"/>
        <w:rPr>
          <w:rFonts w:ascii="Arial" w:hAnsi="Arial"/>
        </w:rPr>
      </w:pPr>
      <w:r>
        <w:rPr>
          <w:rFonts w:ascii="Arial" w:hAnsi="Arial"/>
          <w:b/>
          <w:color w:val="000000"/>
        </w:rPr>
        <w:t xml:space="preserve">9.7.</w:t>
      </w:r>
      <w:r>
        <w:rPr>
          <w:rFonts w:ascii="Arial" w:hAnsi="Arial"/>
          <w:color w:val="000000"/>
        </w:rPr>
        <w:t xml:space="preserve"> Quando houver um único licitante ou uma única propost</w:t>
      </w:r>
      <w:r>
        <w:rPr>
          <w:rFonts w:ascii="Arial" w:hAnsi="Arial"/>
          <w:color w:val="000000"/>
        </w:rPr>
        <w:t xml:space="preserve">a válida, caberá ao Pregoeiro verificar a aceitabilidade do valor ofertado.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9.8.</w:t>
      </w:r>
      <w:r>
        <w:rPr>
          <w:rFonts w:ascii="Arial" w:hAnsi="Arial"/>
          <w:color w:val="000000"/>
        </w:rPr>
        <w:t xml:space="preserve"> Na hipótese de haver lances ou propostas iguais prevalecerão como de menor valor o lance que tiver sido primeiramente registrado.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9.9.</w:t>
      </w:r>
      <w:r>
        <w:rPr>
          <w:rFonts w:ascii="Arial" w:hAnsi="Arial"/>
          <w:color w:val="000000"/>
        </w:rPr>
        <w:t xml:space="preserve"> Nesse momento após o encerramento da</w:t>
      </w:r>
      <w:r>
        <w:rPr>
          <w:rFonts w:ascii="Arial" w:hAnsi="Arial"/>
          <w:color w:val="000000"/>
        </w:rPr>
        <w:t xml:space="preserve"> etapa de lances o sistema informará a proposta de menor valor, identificando as empresas participantes pela razão social, verificará e classificará a licitante que se enquadrar como microempresa ou empresa de pequeno porte, nos termos do art. 3º da Lei Co</w:t>
      </w:r>
      <w:r>
        <w:rPr>
          <w:rFonts w:ascii="Arial" w:hAnsi="Arial"/>
          <w:color w:val="000000"/>
        </w:rPr>
        <w:t xml:space="preserve">mplementar nº 123, de 14 de dezembro de 2006.</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9.10. </w:t>
      </w:r>
      <w:r>
        <w:rPr>
          <w:rFonts w:ascii="Arial" w:hAnsi="Arial"/>
          <w:color w:val="000000"/>
        </w:rPr>
        <w:t xml:space="preserve">Após a disputa final, no caso de empate entre duas ou mais propostas, hipótese em que os licitantes empatados poderão apresentar nova proposta em ato contínuo à classificação, nesse caso, os critérios de</w:t>
      </w:r>
      <w:r>
        <w:rPr>
          <w:rFonts w:ascii="Arial" w:hAnsi="Arial"/>
          <w:color w:val="000000"/>
        </w:rPr>
        <w:t xml:space="preserve"> desempate são os previstos no art. 60 da Lei 14.133/21.</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9.10.1.</w:t>
      </w:r>
      <w:r>
        <w:rPr>
          <w:rFonts w:ascii="Arial" w:hAnsi="Arial"/>
          <w:color w:val="000000"/>
        </w:rPr>
        <w:t xml:space="preserve"> Só poderá haver empate entre propostas iguais (não seguidas de lances).</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9.10.2.</w:t>
      </w:r>
      <w:r>
        <w:rPr>
          <w:rFonts w:ascii="Arial" w:hAnsi="Arial"/>
          <w:color w:val="000000"/>
        </w:rPr>
        <w:t xml:space="preserve"> Havendo eventual empate entre propostas ou lances, o critério de desempate será aquele previsto no art. 60 da</w:t>
      </w:r>
      <w:r>
        <w:rPr>
          <w:rFonts w:ascii="Arial" w:hAnsi="Arial"/>
          <w:color w:val="000000"/>
        </w:rPr>
        <w:t xml:space="preserve"> Lei nº 14.133, de 2021.</w:t>
      </w:r>
      <w:r>
        <w:rPr>
          <w:rFonts w:ascii="Arial" w:hAnsi="Arial"/>
        </w:rPr>
      </w:r>
      <w:r>
        <w:rPr>
          <w:rFonts w:ascii="Arial" w:hAnsi="Arial"/>
        </w:rPr>
      </w:r>
    </w:p>
    <w:p>
      <w:pPr>
        <w:pBdr/>
        <w:spacing/>
        <w:ind w:left="284"/>
        <w:jc w:val="both"/>
        <w:rPr>
          <w:rFonts w:ascii="Arial" w:hAnsi="Arial"/>
          <w:b/>
          <w:bCs/>
          <w:color w:val="000000"/>
        </w:rPr>
      </w:pPr>
      <w:r>
        <w:rPr>
          <w:rFonts w:ascii="Arial" w:hAnsi="Arial"/>
          <w:b/>
          <w:bCs/>
          <w:color w:val="000000"/>
        </w:rPr>
      </w:r>
      <w:r>
        <w:rPr>
          <w:rFonts w:ascii="Arial" w:hAnsi="Arial"/>
          <w:b/>
          <w:bCs/>
          <w:color w:val="000000"/>
        </w:rPr>
      </w:r>
      <w:r>
        <w:rPr>
          <w:rFonts w:ascii="Arial" w:hAnsi="Arial"/>
          <w:b/>
          <w:bCs/>
          <w:color w:val="000000"/>
        </w:rPr>
      </w:r>
    </w:p>
    <w:p>
      <w:pPr>
        <w:pBdr/>
        <w:spacing/>
        <w:ind/>
        <w:jc w:val="both"/>
        <w:rPr>
          <w:rFonts w:ascii="Arial" w:hAnsi="Arial"/>
        </w:rPr>
      </w:pPr>
      <w:r>
        <w:rPr>
          <w:rFonts w:ascii="Arial" w:hAnsi="Arial"/>
          <w:b/>
          <w:bCs/>
          <w:color w:val="000000"/>
        </w:rPr>
        <w:t xml:space="preserve">9.10.3. </w:t>
      </w:r>
      <w:r>
        <w:rPr>
          <w:rFonts w:ascii="Arial" w:hAnsi="Arial"/>
          <w:color w:val="000000"/>
        </w:rPr>
        <w:t xml:space="preserve">As regras previstas no (item 9.10) acima mencionado não prejudicarão a aplicação do disposto no art. 44 da Lei Complementar nº 123, de 14 de dezembro de 2006. (Conforme art. 60 da Lei 14.133/21, </w:t>
      </w:r>
      <w:r>
        <w:rPr>
          <w:rFonts w:ascii="Arial" w:hAnsi="Arial"/>
          <w:bCs/>
          <w:color w:val="000000"/>
        </w:rPr>
        <w:t xml:space="preserve">§ 2º).</w:t>
      </w:r>
      <w:r>
        <w:rPr>
          <w:rFonts w:ascii="Arial" w:hAnsi="Arial"/>
          <w:color w:val="000000"/>
        </w:rPr>
        <w:t xml:space="preserve">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9.11.</w:t>
      </w:r>
      <w:r>
        <w:rPr>
          <w:rFonts w:ascii="Arial" w:hAnsi="Arial"/>
          <w:color w:val="000000"/>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w:t>
      </w:r>
      <w:r>
        <w:rPr>
          <w:rFonts w:ascii="Arial" w:hAnsi="Arial"/>
          <w:color w:val="000000"/>
        </w:rPr>
        <w:t xml:space="preserve"> o resultado do julgamento.</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9.12.</w:t>
      </w:r>
      <w:r>
        <w:rPr>
          <w:rFonts w:ascii="Arial" w:hAnsi="Arial"/>
          <w:color w:val="000000"/>
        </w:rPr>
        <w:t xml:space="preserve"> A negociação poderá ser feita com os demais licitantes, segundo a ordem de classificação inicialmente estabelecida, quando o primeiro colocado, mesmo após a negociação, for desclassificado em razão de sua proposta permane</w:t>
      </w:r>
      <w:r>
        <w:rPr>
          <w:rFonts w:ascii="Arial" w:hAnsi="Arial"/>
          <w:color w:val="000000"/>
        </w:rPr>
        <w:t xml:space="preserve">cer acima do preço máximo definido pela Administração.</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sz w:val="19"/>
          <w:szCs w:val="19"/>
        </w:rPr>
      </w:pPr>
      <w:r>
        <w:rPr>
          <w:rFonts w:ascii="Arial" w:hAnsi="Arial"/>
          <w:b/>
          <w:color w:val="000000"/>
          <w:sz w:val="19"/>
          <w:szCs w:val="19"/>
        </w:rPr>
        <w:t xml:space="preserve">9.13.</w:t>
      </w:r>
      <w:r>
        <w:rPr>
          <w:rFonts w:ascii="Arial" w:hAnsi="Arial"/>
          <w:color w:val="000000"/>
          <w:sz w:val="19"/>
          <w:szCs w:val="19"/>
        </w:rPr>
        <w:t xml:space="preserve"> O pregoeiro solicitará ao licitante mais bem classificado que, no prazo de 2 (duas) horas, envie a proposta adequada ao último lance ofertado após a negociação realizada, acompanhada, se for o c</w:t>
      </w:r>
      <w:r>
        <w:rPr>
          <w:rFonts w:ascii="Arial" w:hAnsi="Arial"/>
          <w:color w:val="000000"/>
          <w:sz w:val="19"/>
          <w:szCs w:val="19"/>
        </w:rPr>
        <w:t xml:space="preserve">aso, dos documentos complementares, quando necessários à confirmação daqueles exigidos neste Edital e já apresentados.</w:t>
      </w:r>
      <w:bookmarkStart w:id="9" w:name="_Hlk117016948"/>
      <w:r/>
      <w:bookmarkEnd w:id="9"/>
      <w:r>
        <w:rPr>
          <w:rFonts w:ascii="Arial" w:hAnsi="Arial"/>
          <w:sz w:val="19"/>
          <w:szCs w:val="19"/>
        </w:rPr>
      </w:r>
      <w:r>
        <w:rPr>
          <w:rFonts w:ascii="Arial" w:hAnsi="Arial"/>
          <w:sz w:val="19"/>
          <w:szCs w:val="19"/>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9.14.</w:t>
      </w:r>
      <w:r>
        <w:rPr>
          <w:rFonts w:ascii="Arial" w:hAnsi="Arial"/>
          <w:color w:val="000000"/>
        </w:rPr>
        <w:t xml:space="preserve"> É facultado ao pregoeiro prorrogar o prazo estabelecido, a partir de solicitação fundamentada feita no chat pelo licitante, antes </w:t>
      </w:r>
      <w:r>
        <w:rPr>
          <w:rFonts w:ascii="Arial" w:hAnsi="Arial"/>
          <w:color w:val="000000"/>
        </w:rPr>
        <w:t xml:space="preserve">de findo o prazo.</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outlineLvl w:val="0"/>
        <w:rPr>
          <w:rFonts w:ascii="Arial" w:hAnsi="Arial"/>
          <w:b/>
          <w:bCs/>
          <w:color w:val="000000"/>
        </w:rPr>
      </w:pPr>
      <w:r/>
      <w:bookmarkStart w:id="66" w:name="_Toc10"/>
      <w:r>
        <w:rPr>
          <w:rFonts w:ascii="Arial" w:hAnsi="Arial" w:eastAsia="Arial"/>
          <w:b/>
          <w:bCs/>
          <w:color w:val="000000"/>
        </w:rPr>
        <w:t xml:space="preserve">10. DO JULGAMENTO DA(S) PROPOSTA(S) DE PREÇOS APÓS A CLASSIFICAÇÃO FINAL: </w:t>
      </w:r>
      <w:r>
        <w:rPr>
          <w:rFonts w:ascii="Arial" w:hAnsi="Arial"/>
          <w:b/>
          <w:bCs/>
          <w:color w:val="000000"/>
        </w:rPr>
      </w:r>
      <w:bookmarkEnd w:id="66"/>
      <w:r>
        <w:rPr>
          <w:rFonts w:ascii="Arial" w:hAnsi="Arial"/>
          <w:b/>
          <w:bCs/>
          <w:color w:val="000000"/>
        </w:rPr>
      </w:r>
      <w:r>
        <w:rPr>
          <w:rFonts w:ascii="Arial" w:hAnsi="Arial"/>
          <w:b/>
          <w:bCs/>
          <w:color w:val="000000"/>
        </w:rPr>
      </w:r>
    </w:p>
    <w:p>
      <w:pPr>
        <w:pBdr/>
        <w:spacing/>
        <w:ind w:left="284"/>
        <w:jc w:val="both"/>
        <w:rPr>
          <w:rFonts w:ascii="Arial" w:hAnsi="Arial"/>
          <w:b/>
          <w:color w:val="000000"/>
        </w:rPr>
      </w:pPr>
      <w:r/>
      <w:bookmarkStart w:id="11" w:name="_Ref117019424"/>
      <w:r>
        <w:rPr>
          <w:rFonts w:ascii="Arial" w:hAnsi="Arial"/>
          <w:b/>
          <w:color w:val="000000"/>
        </w:rPr>
      </w:r>
      <w:r>
        <w:rPr>
          <w:rFonts w:ascii="Arial" w:hAnsi="Arial"/>
          <w:b/>
          <w:color w:val="000000"/>
        </w:rPr>
      </w:r>
    </w:p>
    <w:p>
      <w:pPr>
        <w:pBdr/>
        <w:spacing/>
        <w:ind/>
        <w:jc w:val="both"/>
        <w:rPr>
          <w:rFonts w:ascii="Arial" w:hAnsi="Arial"/>
          <w:sz w:val="19"/>
          <w:szCs w:val="19"/>
        </w:rPr>
      </w:pPr>
      <w:r>
        <w:rPr>
          <w:rFonts w:ascii="Arial" w:hAnsi="Arial"/>
          <w:b/>
          <w:color w:val="000000"/>
          <w:sz w:val="19"/>
          <w:szCs w:val="19"/>
        </w:rPr>
        <w:t xml:space="preserve">10.1.</w:t>
      </w:r>
      <w:r>
        <w:rPr>
          <w:rFonts w:ascii="Arial" w:hAnsi="Arial"/>
          <w:color w:val="000000"/>
          <w:sz w:val="19"/>
          <w:szCs w:val="19"/>
        </w:rPr>
        <w:t xml:space="preserve"> Encerrada a etapa de negociação, o pregoeiro verificará se o licitante provisoriamente classificado em primeiro lugar atende às condições de participação no certame, conforme previsto no </w:t>
      </w:r>
      <w:hyperlink r:id="rId20" w:tooltip="http://www.planalto.gov.br/ccivil_03/_ato2019-2022/2021/lei/L14133.htm#art14" w:anchor="art14" w:history="1">
        <w:r>
          <w:rPr>
            <w:rStyle w:val="973"/>
            <w:rFonts w:ascii="Arial" w:hAnsi="Arial" w:cs="Arial"/>
            <w:color w:val="000000"/>
            <w:sz w:val="19"/>
            <w:szCs w:val="19"/>
          </w:rPr>
          <w:t xml:space="preserve">art. 14 da Lei nº 14.133/2021</w:t>
        </w:r>
      </w:hyperlink>
      <w:r>
        <w:rPr>
          <w:rFonts w:ascii="Arial" w:hAnsi="Arial"/>
          <w:color w:val="000000"/>
          <w:sz w:val="19"/>
          <w:szCs w:val="19"/>
        </w:rPr>
        <w:t xml:space="preserve">, legislação correlata, e descrição contida neste edital, </w:t>
      </w:r>
      <w:bookmarkEnd w:id="11"/>
      <w:r>
        <w:rPr>
          <w:rFonts w:ascii="Arial" w:hAnsi="Arial"/>
          <w:color w:val="000000"/>
          <w:sz w:val="19"/>
          <w:szCs w:val="19"/>
        </w:rPr>
        <w:t xml:space="preserve">especialmente quanto à existência de sanção que impeça a </w:t>
      </w:r>
      <w:r>
        <w:rPr>
          <w:rFonts w:ascii="Arial" w:hAnsi="Arial"/>
          <w:color w:val="000000"/>
          <w:sz w:val="19"/>
          <w:szCs w:val="19"/>
        </w:rPr>
        <w:t xml:space="preserve">participação no certame ou a futura contratação, mediante a consulta aos seguintes cadastros:</w:t>
      </w:r>
      <w:r>
        <w:rPr>
          <w:rFonts w:ascii="Arial" w:hAnsi="Arial"/>
          <w:sz w:val="19"/>
          <w:szCs w:val="19"/>
        </w:rPr>
      </w:r>
      <w:r>
        <w:rPr>
          <w:rFonts w:ascii="Arial" w:hAnsi="Arial"/>
          <w:sz w:val="19"/>
          <w:szCs w:val="19"/>
        </w:rPr>
      </w:r>
    </w:p>
    <w:p>
      <w:pPr>
        <w:pBdr/>
        <w:spacing/>
        <w:ind w:left="284"/>
        <w:jc w:val="both"/>
        <w:rPr>
          <w:rFonts w:ascii="Arial" w:hAnsi="Arial"/>
          <w:b/>
          <w:bCs/>
          <w:color w:val="000000"/>
          <w:sz w:val="19"/>
          <w:szCs w:val="19"/>
        </w:rPr>
      </w:pPr>
      <w:r>
        <w:rPr>
          <w:rFonts w:ascii="Arial" w:hAnsi="Arial"/>
          <w:b/>
          <w:bCs/>
          <w:color w:val="000000"/>
          <w:sz w:val="19"/>
          <w:szCs w:val="19"/>
        </w:rPr>
      </w:r>
      <w:r>
        <w:rPr>
          <w:rFonts w:ascii="Arial" w:hAnsi="Arial"/>
          <w:b/>
          <w:bCs/>
          <w:color w:val="000000"/>
          <w:sz w:val="19"/>
          <w:szCs w:val="19"/>
        </w:rPr>
      </w:r>
      <w:r>
        <w:rPr>
          <w:rFonts w:ascii="Arial" w:hAnsi="Arial"/>
          <w:b/>
          <w:bCs/>
          <w:color w:val="000000"/>
          <w:sz w:val="19"/>
          <w:szCs w:val="19"/>
        </w:rPr>
      </w:r>
    </w:p>
    <w:p>
      <w:pPr>
        <w:pBdr/>
        <w:spacing/>
        <w:ind/>
        <w:jc w:val="both"/>
        <w:rPr>
          <w:rFonts w:ascii="Arial" w:hAnsi="Arial"/>
        </w:rPr>
      </w:pPr>
      <w:r>
        <w:rPr>
          <w:rFonts w:ascii="Arial" w:hAnsi="Arial"/>
          <w:b/>
          <w:bCs/>
          <w:color w:val="000000"/>
        </w:rPr>
        <w:t xml:space="preserve">10.1.1. </w:t>
      </w:r>
      <w:r>
        <w:rPr>
          <w:rFonts w:ascii="Arial" w:hAnsi="Arial"/>
          <w:color w:val="000000"/>
        </w:rPr>
        <w:t xml:space="preserve">Caso não se realize lances serão verificados a conformidade entre a proposta de menor valor e o valor estimado da contratação, podendo o Pregoeiro negociar com o licitante afim de conseguir menor preço. </w:t>
      </w:r>
      <w:r>
        <w:rPr>
          <w:rFonts w:ascii="Arial" w:hAnsi="Arial"/>
        </w:rPr>
      </w:r>
      <w:r>
        <w:rPr>
          <w:rFonts w:ascii="Arial" w:hAnsi="Arial"/>
        </w:rPr>
      </w:r>
    </w:p>
    <w:p>
      <w:pPr>
        <w:pBdr/>
        <w:spacing/>
        <w:ind w:left="284"/>
        <w:jc w:val="both"/>
        <w:rPr>
          <w:rFonts w:ascii="Arial" w:hAnsi="Arial"/>
          <w:sz w:val="19"/>
          <w:szCs w:val="19"/>
        </w:rPr>
      </w:pPr>
      <w:r>
        <w:rPr>
          <w:rFonts w:ascii="Arial" w:hAnsi="Arial"/>
          <w:sz w:val="19"/>
          <w:szCs w:val="19"/>
        </w:rPr>
      </w:r>
      <w:r>
        <w:rPr>
          <w:rFonts w:ascii="Arial" w:hAnsi="Arial"/>
          <w:sz w:val="19"/>
          <w:szCs w:val="19"/>
        </w:rPr>
      </w:r>
      <w:r>
        <w:rPr>
          <w:rFonts w:ascii="Arial" w:hAnsi="Arial"/>
          <w:sz w:val="19"/>
          <w:szCs w:val="19"/>
        </w:rPr>
      </w:r>
    </w:p>
    <w:p>
      <w:pPr>
        <w:pBdr/>
        <w:spacing/>
        <w:ind/>
        <w:jc w:val="both"/>
        <w:rPr>
          <w:rFonts w:ascii="Arial" w:hAnsi="Arial"/>
          <w:color w:val="000000"/>
          <w:sz w:val="19"/>
          <w:szCs w:val="19"/>
        </w:rPr>
      </w:pPr>
      <w:r/>
      <w:bookmarkStart w:id="12" w:name="OLE_LINK1"/>
      <w:r>
        <w:rPr>
          <w:rFonts w:ascii="Arial" w:hAnsi="Arial"/>
          <w:b/>
          <w:bCs/>
          <w:color w:val="000000"/>
          <w:sz w:val="19"/>
          <w:szCs w:val="19"/>
        </w:rPr>
        <w:t xml:space="preserve">10.2. </w:t>
      </w:r>
      <w:r>
        <w:rPr>
          <w:rFonts w:ascii="Arial" w:hAnsi="Arial"/>
          <w:bCs/>
          <w:color w:val="000000"/>
          <w:sz w:val="19"/>
          <w:szCs w:val="19"/>
        </w:rPr>
        <w:t xml:space="preserve">Da aceitabilidade da proposta mais bem classi</w:t>
      </w:r>
      <w:r>
        <w:rPr>
          <w:rFonts w:ascii="Arial" w:hAnsi="Arial"/>
          <w:bCs/>
          <w:color w:val="000000"/>
          <w:sz w:val="19"/>
          <w:szCs w:val="19"/>
        </w:rPr>
        <w:t xml:space="preserve">ficada, não será aceita a proposta ou melhor lance classificado cujo preço seja acima do valor estimado pela Secretaria solicitante ou quando este for manifestamente inexequível. </w:t>
      </w:r>
      <w:r>
        <w:rPr>
          <w:rFonts w:ascii="Arial" w:hAnsi="Arial"/>
          <w:color w:val="000000"/>
          <w:sz w:val="19"/>
          <w:szCs w:val="19"/>
        </w:rPr>
      </w:r>
      <w:r>
        <w:rPr>
          <w:rFonts w:ascii="Arial" w:hAnsi="Arial"/>
          <w:color w:val="000000"/>
          <w:sz w:val="19"/>
          <w:szCs w:val="19"/>
        </w:rPr>
      </w:r>
    </w:p>
    <w:p>
      <w:pPr>
        <w:pBdr/>
        <w:spacing/>
        <w:ind w:left="284"/>
        <w:jc w:val="both"/>
        <w:rPr>
          <w:rFonts w:ascii="Arial" w:hAnsi="Arial"/>
          <w:b/>
          <w:bCs/>
          <w:color w:val="000000"/>
        </w:rPr>
      </w:pPr>
      <w:r>
        <w:rPr>
          <w:rFonts w:ascii="Arial" w:hAnsi="Arial"/>
          <w:b/>
          <w:bCs/>
          <w:color w:val="000000"/>
        </w:rPr>
      </w:r>
      <w:r>
        <w:rPr>
          <w:rFonts w:ascii="Arial" w:hAnsi="Arial"/>
          <w:b/>
          <w:bCs/>
          <w:color w:val="000000"/>
        </w:rPr>
      </w:r>
      <w:r>
        <w:rPr>
          <w:rFonts w:ascii="Arial" w:hAnsi="Arial"/>
          <w:b/>
          <w:bCs/>
          <w:color w:val="000000"/>
        </w:rPr>
      </w:r>
    </w:p>
    <w:p>
      <w:pPr>
        <w:pBdr/>
        <w:spacing/>
        <w:ind/>
        <w:jc w:val="both"/>
        <w:rPr>
          <w:rFonts w:ascii="Arial" w:hAnsi="Arial"/>
        </w:rPr>
      </w:pPr>
      <w:r>
        <w:rPr>
          <w:rFonts w:ascii="Arial" w:hAnsi="Arial"/>
          <w:b/>
          <w:bCs/>
          <w:color w:val="000000"/>
        </w:rPr>
        <w:t xml:space="preserve">10.2.1. </w:t>
      </w:r>
      <w:r>
        <w:rPr>
          <w:rFonts w:ascii="Arial" w:hAnsi="Arial"/>
          <w:bCs/>
          <w:color w:val="000000"/>
        </w:rPr>
        <w:t xml:space="preserve">Considera-se inexequível a proposta de preços ou menor lance que co</w:t>
      </w:r>
      <w:r>
        <w:rPr>
          <w:rFonts w:ascii="Arial" w:hAnsi="Arial"/>
          <w:bCs/>
          <w:color w:val="000000"/>
        </w:rPr>
        <w:t xml:space="preserve">mprovadamente, for insuficiente para a cobertura dos custos da contratação, apresente preços global ou unitários simbólicos, irrisórios ou de valor zero, incompatíveis com os preços dos insumos e salários de mercado, acrescidos dos respectivos encargos, ai</w:t>
      </w:r>
      <w:r>
        <w:rPr>
          <w:rFonts w:ascii="Arial" w:hAnsi="Arial"/>
          <w:bCs/>
          <w:color w:val="000000"/>
        </w:rPr>
        <w:t xml:space="preserve">nda que o ato convocatório da licitação não tenha estabelecido limites mínimos, exceto quando se referi</w:t>
      </w:r>
      <w:r>
        <w:rPr>
          <w:rFonts w:ascii="Arial" w:hAnsi="Arial"/>
          <w:bCs/>
          <w:color w:val="000000"/>
        </w:rPr>
        <w:t xml:space="preserve">rem a materiais e serviços de instalações de propriedade do próprio licitante, para os quais ele renuncie a parcela ou à totalidade da remuneração.</w:t>
      </w:r>
      <w:r>
        <w:rPr>
          <w:rFonts w:ascii="Arial" w:hAnsi="Arial"/>
        </w:rPr>
      </w:r>
      <w:r>
        <w:rPr>
          <w:rFonts w:ascii="Arial" w:hAnsi="Arial"/>
        </w:rPr>
      </w:r>
    </w:p>
    <w:p>
      <w:pPr>
        <w:pBdr/>
        <w:spacing/>
        <w:ind w:left="284"/>
        <w:jc w:val="both"/>
        <w:rPr>
          <w:rFonts w:ascii="Arial" w:hAnsi="Arial"/>
          <w:bCs/>
          <w:color w:val="000000"/>
        </w:rPr>
      </w:pPr>
      <w:r>
        <w:rPr>
          <w:rFonts w:ascii="Arial" w:hAnsi="Arial"/>
          <w:bCs/>
          <w:color w:val="000000"/>
        </w:rPr>
      </w:r>
      <w:r>
        <w:rPr>
          <w:rFonts w:ascii="Arial" w:hAnsi="Arial"/>
          <w:bCs/>
          <w:color w:val="000000"/>
        </w:rPr>
      </w:r>
      <w:r>
        <w:rPr>
          <w:rFonts w:ascii="Arial" w:hAnsi="Arial"/>
          <w:bCs/>
          <w:color w:val="000000"/>
        </w:rPr>
      </w:r>
    </w:p>
    <w:p>
      <w:pPr>
        <w:pBdr/>
        <w:spacing/>
        <w:ind/>
        <w:jc w:val="both"/>
        <w:rPr>
          <w:rFonts w:ascii="Arial" w:hAnsi="Arial"/>
        </w:rPr>
      </w:pPr>
      <w:r>
        <w:rPr>
          <w:rFonts w:ascii="Arial" w:hAnsi="Arial"/>
          <w:b/>
          <w:bCs/>
          <w:color w:val="000000"/>
        </w:rPr>
        <w:t xml:space="preserve">10.3</w:t>
      </w:r>
      <w:r>
        <w:rPr>
          <w:rFonts w:ascii="Arial" w:hAnsi="Arial"/>
          <w:b/>
          <w:bCs/>
          <w:color w:val="000000"/>
        </w:rPr>
        <w:t xml:space="preserve">. </w:t>
      </w:r>
      <w:r>
        <w:rPr>
          <w:rFonts w:ascii="Arial" w:hAnsi="Arial"/>
          <w:bCs/>
          <w:color w:val="000000"/>
        </w:rPr>
        <w:t xml:space="preserve">Se houver indícios de inexequibilidade da proposta de preço, ou em caso da necessidade de esclarecimentos complementares, poderão ser efetuadas diligências, </w:t>
      </w:r>
      <w:r>
        <w:rPr>
          <w:rFonts w:ascii="Arial" w:hAnsi="Arial"/>
          <w:color w:val="000000"/>
        </w:rPr>
        <w:t xml:space="preserve">para aferir a exequibilidade das propostas ou exigir dos licitantes que ela seja demonstrada, con</w:t>
      </w:r>
      <w:r>
        <w:rPr>
          <w:rFonts w:ascii="Arial" w:hAnsi="Arial"/>
          <w:color w:val="000000"/>
        </w:rPr>
        <w:t xml:space="preserve">forme disposto no inciso IV do </w:t>
      </w:r>
      <w:r>
        <w:rPr>
          <w:rFonts w:ascii="Arial" w:hAnsi="Arial"/>
          <w:b/>
          <w:bCs/>
          <w:color w:val="000000"/>
        </w:rPr>
        <w:t xml:space="preserve">caput </w:t>
      </w:r>
      <w:r>
        <w:rPr>
          <w:rFonts w:ascii="Arial" w:hAnsi="Arial"/>
          <w:color w:val="000000"/>
        </w:rPr>
        <w:t xml:space="preserve">do artigo 59 da 14.133/2021.</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bCs/>
          <w:color w:val="000000"/>
        </w:rPr>
        <w:t xml:space="preserve">10.4. </w:t>
      </w:r>
      <w:r>
        <w:rPr>
          <w:rFonts w:ascii="Arial" w:hAnsi="Arial"/>
          <w:color w:val="000000"/>
        </w:rPr>
        <w:t xml:space="preserve">P</w:t>
      </w:r>
      <w:r>
        <w:rPr>
          <w:rFonts w:ascii="Arial" w:hAnsi="Arial"/>
          <w:color w:val="000000"/>
          <w:lang w:eastAsia="en-US"/>
        </w:rPr>
        <w:t xml:space="preserve">oderá convocar o licitante para enviar planilhas de custo readequadas com o valor final por ele ofertado, nesse sentido, todos</w:t>
      </w:r>
      <w:r>
        <w:rPr>
          <w:rFonts w:ascii="Arial" w:hAnsi="Arial"/>
          <w:bCs/>
          <w:iCs/>
          <w:color w:val="000000"/>
        </w:rPr>
        <w:t xml:space="preserve"> os dados informados pelo licitante em sua planilha deve</w:t>
      </w:r>
      <w:r>
        <w:rPr>
          <w:rFonts w:ascii="Arial" w:hAnsi="Arial"/>
          <w:bCs/>
          <w:iCs/>
          <w:color w:val="000000"/>
        </w:rPr>
        <w:t xml:space="preserve">rão refletir com fidelidade os custos especificados e a margem de lucro pretendida, </w:t>
      </w:r>
      <w:r>
        <w:rPr>
          <w:rFonts w:ascii="Arial" w:hAnsi="Arial"/>
          <w:color w:val="000000"/>
          <w:lang w:eastAsia="en-US"/>
        </w:rPr>
        <w:t xml:space="preserve">sob pena de não aceitação da proposta.</w:t>
      </w:r>
      <w:r>
        <w:rPr>
          <w:rFonts w:ascii="Arial" w:hAnsi="Arial"/>
        </w:rPr>
      </w:r>
      <w:r>
        <w:rPr>
          <w:rFonts w:ascii="Arial" w:hAnsi="Arial"/>
        </w:rPr>
      </w:r>
    </w:p>
    <w:p>
      <w:pPr>
        <w:pBdr/>
        <w:spacing/>
        <w:ind w:left="284"/>
        <w:jc w:val="both"/>
        <w:rPr>
          <w:rFonts w:ascii="Arial" w:hAnsi="Arial"/>
          <w:color w:val="000000"/>
          <w:lang w:eastAsia="en-US"/>
        </w:rPr>
      </w:pPr>
      <w:r>
        <w:rPr>
          <w:rFonts w:ascii="Arial" w:hAnsi="Arial"/>
          <w:color w:val="000000"/>
          <w:lang w:eastAsia="en-US"/>
        </w:rPr>
      </w:r>
      <w:r>
        <w:rPr>
          <w:rFonts w:ascii="Arial" w:hAnsi="Arial"/>
          <w:color w:val="000000"/>
          <w:lang w:eastAsia="en-US"/>
        </w:rPr>
      </w:r>
      <w:r>
        <w:rPr>
          <w:rFonts w:ascii="Arial" w:hAnsi="Arial"/>
          <w:color w:val="000000"/>
          <w:lang w:eastAsia="en-US"/>
        </w:rPr>
      </w:r>
    </w:p>
    <w:p>
      <w:pPr>
        <w:pBdr/>
        <w:spacing/>
        <w:ind/>
        <w:jc w:val="both"/>
        <w:rPr>
          <w:rFonts w:ascii="Arial" w:hAnsi="Arial"/>
          <w:sz w:val="19"/>
          <w:szCs w:val="19"/>
        </w:rPr>
      </w:pPr>
      <w:r>
        <w:rPr>
          <w:rFonts w:ascii="Arial" w:hAnsi="Arial"/>
          <w:b/>
          <w:color w:val="000000"/>
          <w:sz w:val="19"/>
          <w:szCs w:val="19"/>
          <w:lang w:eastAsia="en-US"/>
        </w:rPr>
        <w:t xml:space="preserve">10.5.</w:t>
      </w:r>
      <w:r>
        <w:rPr>
          <w:rFonts w:ascii="Arial" w:hAnsi="Arial"/>
          <w:color w:val="000000"/>
          <w:sz w:val="19"/>
          <w:szCs w:val="19"/>
          <w:lang w:eastAsia="en-US"/>
        </w:rPr>
        <w:t xml:space="preserve"> O Pregoeiro auxiliado pela equipe técnica analisará a compatibilidade dos preços unitários apresentados na Planilha de Custos e Formação de Preços com aqueles </w:t>
      </w:r>
      <w:r>
        <w:rPr>
          <w:rFonts w:ascii="Arial" w:hAnsi="Arial"/>
          <w:bCs/>
          <w:sz w:val="19"/>
          <w:szCs w:val="19"/>
        </w:rPr>
        <w:t xml:space="preserve">prescritas neste Edital e todos seus anexos</w:t>
      </w:r>
      <w:r>
        <w:rPr>
          <w:rFonts w:ascii="Arial" w:hAnsi="Arial"/>
          <w:color w:val="000000"/>
          <w:sz w:val="19"/>
          <w:szCs w:val="19"/>
          <w:lang w:eastAsia="en-US"/>
        </w:rPr>
        <w:t xml:space="preserve">.</w:t>
      </w:r>
      <w:r>
        <w:rPr>
          <w:rFonts w:ascii="Arial" w:hAnsi="Arial"/>
          <w:sz w:val="19"/>
          <w:szCs w:val="19"/>
        </w:rPr>
      </w:r>
      <w:r>
        <w:rPr>
          <w:rFonts w:ascii="Arial" w:hAnsi="Arial"/>
          <w:sz w:val="19"/>
          <w:szCs w:val="19"/>
        </w:rPr>
      </w:r>
    </w:p>
    <w:p>
      <w:pPr>
        <w:pBdr/>
        <w:spacing/>
        <w:ind w:left="284"/>
        <w:jc w:val="both"/>
        <w:rPr>
          <w:rFonts w:ascii="Arial" w:hAnsi="Arial"/>
          <w:b/>
          <w:color w:val="000000"/>
          <w:lang w:eastAsia="en-US"/>
        </w:rPr>
      </w:pPr>
      <w:r>
        <w:rPr>
          <w:rFonts w:ascii="Arial" w:hAnsi="Arial"/>
          <w:b/>
          <w:color w:val="000000"/>
          <w:lang w:eastAsia="en-US"/>
        </w:rPr>
      </w:r>
      <w:r>
        <w:rPr>
          <w:rFonts w:ascii="Arial" w:hAnsi="Arial"/>
          <w:b/>
          <w:color w:val="000000"/>
          <w:lang w:eastAsia="en-US"/>
        </w:rPr>
      </w:r>
      <w:r>
        <w:rPr>
          <w:rFonts w:ascii="Arial" w:hAnsi="Arial"/>
          <w:b/>
          <w:color w:val="000000"/>
          <w:lang w:eastAsia="en-US"/>
        </w:rPr>
      </w:r>
    </w:p>
    <w:p>
      <w:pPr>
        <w:pBdr/>
        <w:spacing/>
        <w:ind/>
        <w:jc w:val="both"/>
        <w:rPr>
          <w:rFonts w:ascii="Arial" w:hAnsi="Arial"/>
        </w:rPr>
      </w:pPr>
      <w:r>
        <w:rPr>
          <w:rFonts w:ascii="Arial" w:hAnsi="Arial"/>
          <w:b/>
          <w:color w:val="000000"/>
          <w:lang w:eastAsia="en-US"/>
        </w:rPr>
        <w:t xml:space="preserve">10.6.</w:t>
      </w:r>
      <w:r>
        <w:rPr>
          <w:rFonts w:ascii="Arial" w:hAnsi="Arial"/>
          <w:color w:val="000000"/>
          <w:lang w:eastAsia="en-US"/>
        </w:rPr>
        <w:t xml:space="preserve"> </w:t>
      </w:r>
      <w:r>
        <w:rPr>
          <w:rFonts w:ascii="Arial" w:hAnsi="Arial"/>
          <w:b/>
          <w:color w:val="000000"/>
          <w:lang w:eastAsia="en-US"/>
        </w:rPr>
        <w:t xml:space="preserve">Se a oferta primeira classificada</w:t>
      </w:r>
      <w:r>
        <w:rPr>
          <w:rFonts w:ascii="Arial" w:hAnsi="Arial"/>
          <w:color w:val="000000"/>
          <w:lang w:eastAsia="en-US"/>
        </w:rPr>
        <w:t xml:space="preserve"> não for ac</w:t>
      </w:r>
      <w:r>
        <w:rPr>
          <w:rFonts w:ascii="Arial" w:hAnsi="Arial"/>
          <w:color w:val="000000"/>
          <w:lang w:eastAsia="en-US"/>
        </w:rPr>
        <w:t xml:space="preserve">eitável ou se a licitante desatender às exigências habilitarias, será examinado a oferta subsequente, verificando a sua aceitabilidade e procedendo à habilitação do licitante, na ordem de classificação, e assim sucessivamente, até a apuração de uma propost</w:t>
      </w:r>
      <w:r>
        <w:rPr>
          <w:rFonts w:ascii="Arial" w:hAnsi="Arial"/>
          <w:color w:val="000000"/>
          <w:lang w:eastAsia="en-US"/>
        </w:rPr>
        <w:t xml:space="preserve">a que atenda ao edital, sendo o respectivo licitante declarado vencedor e a ele adjudicado o objeto do certame.</w:t>
      </w:r>
      <w:r>
        <w:rPr>
          <w:rFonts w:ascii="Arial" w:hAnsi="Arial"/>
        </w:rPr>
      </w:r>
      <w:r>
        <w:rPr>
          <w:rFonts w:ascii="Arial" w:hAnsi="Arial"/>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outlineLvl w:val="0"/>
        <w:rPr>
          <w:rFonts w:ascii="Arial" w:hAnsi="Arial"/>
          <w:b/>
          <w:bCs/>
          <w:color w:val="000000"/>
        </w:rPr>
      </w:pPr>
      <w:r/>
      <w:bookmarkStart w:id="67" w:name="_Toc11"/>
      <w:r>
        <w:rPr>
          <w:rFonts w:ascii="Arial" w:hAnsi="Arial" w:eastAsia="Arial"/>
          <w:b/>
          <w:bCs/>
          <w:color w:val="000000"/>
        </w:rPr>
        <w:t xml:space="preserve">11. DO ENVIO DAS PROPOSTAS REALINHADAS APÓS CONHECIDA A EMPRESA VENCEDORA:</w:t>
      </w:r>
      <w:r>
        <w:rPr>
          <w:rFonts w:ascii="Arial" w:hAnsi="Arial"/>
          <w:b/>
          <w:bCs/>
          <w:color w:val="000000"/>
        </w:rPr>
      </w:r>
      <w:bookmarkEnd w:id="67"/>
      <w:r>
        <w:rPr>
          <w:rFonts w:ascii="Arial" w:hAnsi="Arial"/>
          <w:b/>
          <w:bCs/>
          <w:color w:val="000000"/>
        </w:rPr>
      </w:r>
      <w:r>
        <w:rPr>
          <w:rFonts w:ascii="Arial" w:hAnsi="Arial"/>
          <w:b/>
          <w:bCs/>
          <w:color w:val="000000"/>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11.1.</w:t>
      </w:r>
      <w:r>
        <w:rPr>
          <w:rFonts w:ascii="Arial" w:hAnsi="Arial"/>
          <w:color w:val="000000"/>
        </w:rPr>
        <w:t xml:space="preserve"> Após a realização da sessão pública a licitante vencedora da </w:t>
      </w:r>
      <w:r>
        <w:rPr>
          <w:rFonts w:ascii="Arial" w:hAnsi="Arial"/>
          <w:color w:val="000000"/>
        </w:rPr>
        <w:t xml:space="preserve">etapa de lances e habilitada na fase de documentos no prazo máximo de </w:t>
      </w:r>
      <w:r>
        <w:rPr>
          <w:rFonts w:ascii="Arial" w:hAnsi="Arial"/>
          <w:color w:val="000000"/>
          <w:u w:val="single"/>
        </w:rPr>
        <w:t xml:space="preserve">02 (duas) horas</w:t>
      </w:r>
      <w:r>
        <w:rPr>
          <w:rFonts w:ascii="Arial" w:hAnsi="Arial"/>
          <w:color w:val="000000"/>
        </w:rPr>
        <w:t xml:space="preserve">, contados do encerramento da sessão, deverá cadastrar a </w:t>
      </w:r>
      <w:r>
        <w:rPr>
          <w:rFonts w:ascii="Arial" w:hAnsi="Arial"/>
          <w:b/>
          <w:color w:val="000000"/>
        </w:rPr>
        <w:t xml:space="preserve">Proposta de Preços Realinhada na plataforma BLL, </w:t>
      </w:r>
      <w:r>
        <w:rPr>
          <w:rFonts w:ascii="Arial" w:hAnsi="Arial"/>
          <w:color w:val="000000"/>
        </w:rPr>
        <w:t xml:space="preserve">bem como, encaminhá-la devidamente datadas e assinadas na última folha e rubricadas nas demais pelo representante legal da empresa.</w:t>
      </w:r>
      <w:r>
        <w:rPr>
          <w:rFonts w:ascii="Arial" w:hAnsi="Arial"/>
        </w:rPr>
      </w:r>
      <w:r>
        <w:rPr>
          <w:rFonts w:ascii="Arial" w:hAnsi="Arial"/>
        </w:rPr>
      </w:r>
    </w:p>
    <w:p>
      <w:pPr>
        <w:pBdr/>
        <w:spacing/>
        <w:ind w:left="284"/>
        <w:jc w:val="both"/>
        <w:rPr>
          <w:rFonts w:ascii="Arial" w:hAnsi="Arial"/>
          <w:b/>
          <w:color w:val="000000"/>
          <w:sz w:val="19"/>
          <w:szCs w:val="19"/>
        </w:rPr>
      </w:pPr>
      <w:r>
        <w:rPr>
          <w:rFonts w:ascii="Arial" w:hAnsi="Arial"/>
          <w:b/>
          <w:color w:val="000000"/>
          <w:sz w:val="19"/>
          <w:szCs w:val="19"/>
        </w:rPr>
      </w:r>
      <w:r>
        <w:rPr>
          <w:rFonts w:ascii="Arial" w:hAnsi="Arial"/>
          <w:b/>
          <w:color w:val="000000"/>
          <w:sz w:val="19"/>
          <w:szCs w:val="19"/>
        </w:rPr>
      </w:r>
      <w:r>
        <w:rPr>
          <w:rFonts w:ascii="Arial" w:hAnsi="Arial"/>
          <w:b/>
          <w:color w:val="000000"/>
          <w:sz w:val="19"/>
          <w:szCs w:val="19"/>
        </w:rPr>
      </w:r>
    </w:p>
    <w:p>
      <w:pPr>
        <w:pBdr/>
        <w:spacing/>
        <w:ind/>
        <w:jc w:val="both"/>
        <w:rPr>
          <w:rFonts w:ascii="Arial" w:hAnsi="Arial"/>
          <w:sz w:val="19"/>
          <w:szCs w:val="19"/>
        </w:rPr>
      </w:pPr>
      <w:r>
        <w:rPr>
          <w:rFonts w:ascii="Arial" w:hAnsi="Arial"/>
          <w:b/>
          <w:color w:val="000000"/>
          <w:sz w:val="19"/>
          <w:szCs w:val="19"/>
        </w:rPr>
        <w:t xml:space="preserve">11.1.1.</w:t>
      </w:r>
      <w:r>
        <w:rPr>
          <w:rFonts w:ascii="Arial" w:hAnsi="Arial"/>
          <w:color w:val="000000"/>
          <w:sz w:val="19"/>
          <w:szCs w:val="19"/>
        </w:rPr>
        <w:t xml:space="preserve"> Caso o licitante venha a ser classificado em razão da desclassificação do(s) primeiro(s) colocado(s), este também t</w:t>
      </w:r>
      <w:r>
        <w:rPr>
          <w:rFonts w:ascii="Arial" w:hAnsi="Arial"/>
          <w:color w:val="000000"/>
          <w:sz w:val="19"/>
          <w:szCs w:val="19"/>
        </w:rPr>
        <w:t xml:space="preserve">erá </w:t>
      </w:r>
      <w:r>
        <w:rPr>
          <w:rFonts w:ascii="Arial" w:hAnsi="Arial"/>
          <w:color w:val="000000"/>
          <w:sz w:val="19"/>
          <w:szCs w:val="19"/>
          <w:u w:val="single"/>
        </w:rPr>
        <w:t xml:space="preserve">02 (duas) horas</w:t>
      </w:r>
      <w:r>
        <w:rPr>
          <w:rFonts w:ascii="Arial" w:hAnsi="Arial"/>
          <w:color w:val="000000"/>
          <w:sz w:val="19"/>
          <w:szCs w:val="19"/>
        </w:rPr>
        <w:t xml:space="preserve">, a partir da comunicação de sua classificação para efetuar a recomposição de preços. </w:t>
      </w:r>
      <w:r>
        <w:rPr>
          <w:rFonts w:ascii="Arial" w:hAnsi="Arial"/>
          <w:sz w:val="19"/>
          <w:szCs w:val="19"/>
        </w:rPr>
      </w:r>
      <w:r>
        <w:rPr>
          <w:rFonts w:ascii="Arial" w:hAnsi="Arial"/>
          <w:sz w:val="19"/>
          <w:szCs w:val="19"/>
        </w:rPr>
      </w:r>
    </w:p>
    <w:p>
      <w:pPr>
        <w:pBdr/>
        <w:spacing/>
        <w:ind w:left="284"/>
        <w:jc w:val="both"/>
        <w:rPr>
          <w:rFonts w:ascii="Arial" w:hAnsi="Arial"/>
          <w:b/>
          <w:color w:val="000000"/>
          <w:sz w:val="19"/>
          <w:szCs w:val="19"/>
        </w:rPr>
      </w:pPr>
      <w:r>
        <w:rPr>
          <w:rFonts w:ascii="Arial" w:hAnsi="Arial"/>
          <w:b/>
          <w:color w:val="000000"/>
          <w:sz w:val="19"/>
          <w:szCs w:val="19"/>
        </w:rPr>
      </w:r>
      <w:r>
        <w:rPr>
          <w:rFonts w:ascii="Arial" w:hAnsi="Arial"/>
          <w:b/>
          <w:color w:val="000000"/>
          <w:sz w:val="19"/>
          <w:szCs w:val="19"/>
        </w:rPr>
      </w:r>
      <w:r>
        <w:rPr>
          <w:rFonts w:ascii="Arial" w:hAnsi="Arial"/>
          <w:b/>
          <w:color w:val="000000"/>
          <w:sz w:val="19"/>
          <w:szCs w:val="19"/>
        </w:rPr>
      </w:r>
    </w:p>
    <w:p>
      <w:pPr>
        <w:pBdr/>
        <w:spacing/>
        <w:ind/>
        <w:jc w:val="both"/>
        <w:rPr>
          <w:rFonts w:ascii="Arial" w:hAnsi="Arial"/>
        </w:rPr>
      </w:pPr>
      <w:r>
        <w:rPr>
          <w:rFonts w:ascii="Arial" w:hAnsi="Arial"/>
          <w:b/>
          <w:color w:val="000000"/>
        </w:rPr>
        <w:t xml:space="preserve">11.2.</w:t>
      </w:r>
      <w:r>
        <w:rPr>
          <w:rFonts w:ascii="Arial" w:hAnsi="Arial"/>
          <w:color w:val="000000"/>
        </w:rPr>
        <w:t xml:space="preserve"> A proposta de preços realinhada deverá ser redigida com clareza em língua portuguesa, salvo quanto a expressões técnicas de uso corrente, sem a</w:t>
      </w:r>
      <w:r>
        <w:rPr>
          <w:rFonts w:ascii="Arial" w:hAnsi="Arial"/>
          <w:color w:val="000000"/>
        </w:rPr>
        <w:t xml:space="preserve">lternativas, emendas, rasuras ou entrelinhas.</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11.3.</w:t>
      </w:r>
      <w:r>
        <w:rPr>
          <w:rFonts w:ascii="Arial" w:hAnsi="Arial"/>
          <w:color w:val="000000"/>
        </w:rPr>
        <w:t xml:space="preserve"> Não serão aceitas propostas com valores unitários e totais com mais de duas casas decimais. Caso ocorra o valor deverá ser arredondado para menor.</w:t>
      </w:r>
      <w:bookmarkEnd w:id="12"/>
      <w:r>
        <w:rPr>
          <w:rFonts w:ascii="Arial" w:hAnsi="Arial"/>
        </w:rPr>
      </w:r>
      <w:r>
        <w:rPr>
          <w:rFonts w:ascii="Arial" w:hAnsi="Arial"/>
        </w:rPr>
      </w:r>
    </w:p>
    <w:p>
      <w:pPr>
        <w:pBdr/>
        <w:spacing/>
        <w:ind w:left="426"/>
        <w:jc w:val="both"/>
        <w:rPr>
          <w:rFonts w:ascii="Arial" w:hAnsi="Arial"/>
          <w:bCs/>
          <w:color w:val="000000"/>
        </w:rPr>
      </w:pPr>
      <w:r>
        <w:rPr>
          <w:rFonts w:ascii="Arial" w:hAnsi="Arial"/>
          <w:bCs/>
          <w:color w:val="000000"/>
        </w:rPr>
      </w:r>
      <w:r>
        <w:rPr>
          <w:rFonts w:ascii="Arial" w:hAnsi="Arial"/>
          <w:bCs/>
          <w:color w:val="000000"/>
        </w:rPr>
      </w:r>
      <w:r>
        <w:rPr>
          <w:rFonts w:ascii="Arial" w:hAnsi="Arial"/>
          <w:bCs/>
          <w:color w:val="000000"/>
        </w:rPr>
      </w:r>
    </w:p>
    <w:p>
      <w:pPr>
        <w:pBdr/>
        <w:spacing/>
        <w:ind/>
        <w:jc w:val="both"/>
        <w:outlineLvl w:val="0"/>
        <w:rPr>
          <w:rFonts w:ascii="Arial" w:hAnsi="Arial"/>
          <w:b/>
          <w:bCs/>
          <w:color w:val="000000"/>
        </w:rPr>
      </w:pPr>
      <w:r/>
      <w:bookmarkStart w:id="68" w:name="_Toc12"/>
      <w:r>
        <w:rPr>
          <w:rFonts w:ascii="Arial" w:hAnsi="Arial" w:eastAsia="Arial"/>
          <w:b/>
          <w:bCs/>
          <w:color w:val="000000"/>
        </w:rPr>
        <w:t xml:space="preserve">12. DA PARTICIPAÇÃO DE MICROEMPRESA E EMPRESA DE PEQUENO PORTE:</w:t>
      </w:r>
      <w:r>
        <w:rPr>
          <w:rFonts w:ascii="Arial" w:hAnsi="Arial"/>
          <w:b/>
          <w:bCs/>
          <w:color w:val="000000"/>
        </w:rPr>
      </w:r>
      <w:bookmarkEnd w:id="68"/>
      <w:r>
        <w:rPr>
          <w:rFonts w:ascii="Arial" w:hAnsi="Arial"/>
          <w:b/>
          <w:bCs/>
          <w:color w:val="000000"/>
        </w:rPr>
      </w:r>
      <w:r>
        <w:rPr>
          <w:rFonts w:ascii="Arial" w:hAnsi="Arial"/>
          <w:b/>
          <w:bCs/>
          <w:color w:val="000000"/>
        </w:rPr>
      </w:r>
    </w:p>
    <w:p>
      <w:pPr>
        <w:pStyle w:val="2054"/>
        <w:pBdr/>
        <w:spacing/>
        <w:ind w:left="284"/>
        <w:jc w:val="both"/>
        <w:rPr>
          <w:b/>
          <w:sz w:val="20"/>
          <w:szCs w:val="20"/>
        </w:rPr>
      </w:pPr>
      <w:r>
        <w:rPr>
          <w:b/>
          <w:sz w:val="20"/>
          <w:szCs w:val="20"/>
        </w:rPr>
      </w:r>
      <w:r>
        <w:rPr>
          <w:b/>
          <w:sz w:val="20"/>
          <w:szCs w:val="20"/>
        </w:rPr>
      </w:r>
      <w:r>
        <w:rPr>
          <w:b/>
          <w:sz w:val="20"/>
          <w:szCs w:val="20"/>
        </w:rPr>
      </w:r>
    </w:p>
    <w:p w14:paraId="2380A599">
      <w:pPr>
        <w:pStyle w:val="2054"/>
        <w:pBdr/>
        <w:spacing/>
        <w:ind/>
        <w:jc w:val="both"/>
        <w:rPr>
          <w:sz w:val="20"/>
          <w:szCs w:val="20"/>
        </w:rPr>
      </w:pPr>
      <w:r>
        <w:rPr>
          <w:b/>
          <w:sz w:val="20"/>
          <w:szCs w:val="20"/>
        </w:rPr>
        <w:t xml:space="preserve">12.1.</w:t>
      </w:r>
      <w:r>
        <w:rPr>
          <w:sz w:val="20"/>
          <w:szCs w:val="20"/>
        </w:rPr>
        <w:t xml:space="preserve"> A participação de Microempresas e Empresas de Pequeno Porte se dará conforme preceituado na Lei Complementar nº 123/2006, e demais alterações</w:t>
      </w:r>
      <w:r>
        <w:rPr>
          <w:sz w:val="20"/>
          <w:szCs w:val="20"/>
        </w:rPr>
        <w:t xml:space="preserve">.</w:t>
      </w:r>
      <w:r>
        <w:rPr>
          <w:sz w:val="20"/>
          <w:szCs w:val="20"/>
        </w:rPr>
      </w:r>
      <w:r>
        <w:rPr>
          <w:sz w:val="20"/>
          <w:szCs w:val="20"/>
        </w:rPr>
      </w:r>
    </w:p>
    <w:p w14:paraId="1D79DF75">
      <w:pPr>
        <w:pStyle w:val="2054"/>
        <w:pBdr/>
        <w:spacing/>
        <w:ind w:left="284"/>
        <w:jc w:val="both"/>
        <w:rPr>
          <w:b/>
          <w:sz w:val="20"/>
          <w:szCs w:val="20"/>
        </w:rPr>
      </w:pPr>
      <w:r>
        <w:rPr>
          <w:b/>
          <w:sz w:val="20"/>
          <w:szCs w:val="20"/>
        </w:rPr>
      </w:r>
      <w:r>
        <w:rPr>
          <w:b/>
          <w:sz w:val="20"/>
          <w:szCs w:val="20"/>
        </w:rPr>
      </w:r>
      <w:r>
        <w:rPr>
          <w:b/>
          <w:sz w:val="20"/>
          <w:szCs w:val="20"/>
        </w:rPr>
      </w:r>
    </w:p>
    <w:p w14:paraId="47D1D8F2">
      <w:pPr>
        <w:pStyle w:val="864"/>
        <w:pBdr/>
        <w:spacing/>
        <w:ind/>
        <w:jc w:val="both"/>
        <w:rPr>
          <w:rFonts w:ascii="Arial" w:hAnsi="Arial" w:cs="Arial"/>
          <w:color w:val="000000"/>
        </w:rPr>
      </w:pPr>
      <w:r>
        <w:rPr>
          <w:rFonts w:ascii="Arial" w:hAnsi="Arial" w:cs="Arial"/>
          <w:b/>
        </w:rPr>
        <w:t xml:space="preserve">12.2.</w:t>
      </w:r>
      <w:r>
        <w:rPr>
          <w:rFonts w:ascii="Arial" w:hAnsi="Arial" w:cs="Arial"/>
        </w:rPr>
        <w:t xml:space="preserve"> As</w:t>
      </w:r>
      <w:r>
        <w:rPr>
          <w:rFonts w:ascii="Arial" w:hAnsi="Arial" w:cs="Arial"/>
        </w:rPr>
        <w:t xml:space="preserve"> Microempresas e Empresas de Pequeno que desejarem obter os benefícios da Lei Complementar Federal nº 123/2006, deverão solicitar o tratamento diferenciado declarando no Ato do Credenciamento e no momento de Habilitação comprovar a situação de beneficiária</w:t>
      </w:r>
      <w:bookmarkStart w:id="16" w:name="_Ref497141703"/>
      <w:r>
        <w:rPr>
          <w:rFonts w:ascii="Arial" w:hAnsi="Arial" w:cs="Arial"/>
          <w:color w:val="000000"/>
        </w:rPr>
        <w:t xml:space="preserve"> por meio da </w:t>
      </w:r>
      <w:r>
        <w:rPr>
          <w:rFonts w:ascii="Arial" w:hAnsi="Arial" w:cs="Arial"/>
          <w:b/>
          <w:color w:val="000000"/>
        </w:rPr>
        <w:t xml:space="preserve">Certidão Simplificada emitida pela Junta Comercial ou outro documento equivalente</w:t>
      </w:r>
      <w:r>
        <w:rPr>
          <w:rFonts w:ascii="Arial" w:hAnsi="Arial" w:cs="Arial"/>
          <w:color w:val="000000"/>
        </w:rPr>
        <w:t xml:space="preserve">.</w:t>
      </w:r>
      <w:bookmarkEnd w:id="16"/>
      <w:r>
        <w:rPr>
          <w:rFonts w:ascii="Arial" w:hAnsi="Arial" w:cs="Arial"/>
          <w:color w:val="000000"/>
        </w:rPr>
        <w:t xml:space="preserve"> </w:t>
      </w:r>
      <w:r>
        <w:rPr>
          <w:rFonts w:ascii="Arial" w:hAnsi="Arial" w:cs="Arial"/>
          <w:color w:val="000000"/>
        </w:rPr>
      </w:r>
      <w:r>
        <w:rPr>
          <w:rFonts w:ascii="Arial" w:hAnsi="Arial" w:cs="Arial"/>
          <w:color w:val="000000"/>
        </w:rPr>
      </w:r>
    </w:p>
    <w:p w14:paraId="4FB1E72A">
      <w:pPr>
        <w:pStyle w:val="864"/>
        <w:pBdr/>
        <w:spacing/>
        <w:ind w:right="99" w:left="284"/>
        <w:jc w:val="both"/>
        <w:rPr>
          <w:rFonts w:ascii="Arial" w:hAnsi="Arial" w:cs="Arial"/>
          <w:b/>
        </w:rPr>
      </w:pPr>
      <w:r>
        <w:rPr>
          <w:rFonts w:ascii="Arial" w:hAnsi="Arial" w:cs="Arial"/>
          <w:b/>
        </w:rPr>
      </w:r>
      <w:r>
        <w:rPr>
          <w:rFonts w:ascii="Arial" w:hAnsi="Arial" w:cs="Arial"/>
          <w:b/>
        </w:rPr>
      </w:r>
      <w:r>
        <w:rPr>
          <w:rFonts w:ascii="Arial" w:hAnsi="Arial" w:cs="Arial"/>
          <w:b/>
        </w:rPr>
      </w:r>
    </w:p>
    <w:p w14:paraId="23A7C157">
      <w:pPr>
        <w:pStyle w:val="864"/>
        <w:pBdr/>
        <w:spacing/>
        <w:ind/>
        <w:jc w:val="both"/>
        <w:rPr>
          <w:rFonts w:ascii="Arial" w:hAnsi="Arial" w:cs="Arial"/>
        </w:rPr>
      </w:pPr>
      <w:r>
        <w:rPr>
          <w:rFonts w:ascii="Arial" w:hAnsi="Arial" w:cs="Arial"/>
          <w:b/>
        </w:rPr>
        <w:t xml:space="preserve">12.3.</w:t>
      </w:r>
      <w:r>
        <w:rPr>
          <w:rFonts w:ascii="Arial" w:hAnsi="Arial" w:cs="Arial"/>
        </w:rPr>
        <w:t xml:space="preserve"> A não apresentação dos documentos mencionados no item acima configurará renúncia aos benefícios da citada legislação.</w:t>
      </w:r>
      <w:r>
        <w:rPr>
          <w:rFonts w:ascii="Arial" w:hAnsi="Arial" w:cs="Arial"/>
        </w:rPr>
      </w:r>
      <w:r>
        <w:rPr>
          <w:rFonts w:ascii="Arial" w:hAnsi="Arial" w:cs="Arial"/>
        </w:rPr>
      </w:r>
    </w:p>
    <w:p w14:paraId="3FE848A7">
      <w:pPr>
        <w:pStyle w:val="864"/>
        <w:pBdr/>
        <w:spacing/>
        <w:ind w:right="99" w:left="284"/>
        <w:jc w:val="both"/>
        <w:rPr>
          <w:rFonts w:ascii="Arial" w:hAnsi="Arial" w:cs="Arial"/>
          <w:b/>
        </w:rPr>
      </w:pPr>
      <w:r>
        <w:rPr>
          <w:rFonts w:ascii="Arial" w:hAnsi="Arial" w:cs="Arial"/>
          <w:b/>
        </w:rPr>
      </w:r>
      <w:r>
        <w:rPr>
          <w:rFonts w:ascii="Arial" w:hAnsi="Arial" w:cs="Arial"/>
          <w:b/>
        </w:rPr>
      </w:r>
      <w:r>
        <w:rPr>
          <w:rFonts w:ascii="Arial" w:hAnsi="Arial" w:cs="Arial"/>
          <w:b/>
        </w:rPr>
      </w:r>
    </w:p>
    <w:p w14:paraId="4D8C9AA3">
      <w:pPr>
        <w:pStyle w:val="864"/>
        <w:pBdr/>
        <w:spacing/>
        <w:ind w:right="99"/>
        <w:jc w:val="both"/>
        <w:rPr>
          <w:rFonts w:ascii="Arial" w:hAnsi="Arial" w:cs="Arial"/>
        </w:rPr>
      </w:pPr>
      <w:r>
        <w:rPr>
          <w:rFonts w:ascii="Arial" w:hAnsi="Arial" w:cs="Arial"/>
          <w:b/>
        </w:rPr>
        <w:t xml:space="preserve">12.4. </w:t>
      </w:r>
      <w:r>
        <w:rPr>
          <w:rFonts w:ascii="Arial" w:hAnsi="Arial" w:cs="Arial"/>
        </w:rPr>
        <w:t xml:space="preserve">Após a fase de </w:t>
      </w:r>
      <w:r>
        <w:rPr>
          <w:rFonts w:ascii="Arial" w:hAnsi="Arial" w:cs="Arial"/>
        </w:rPr>
        <w:t xml:space="preserve">lances, caso seja configurado “empate ficto” quando houver proposta de microempresa ou empresa de pequeno porte que seja igual ou até 5% (cinco por cento) superior à menor proposta oferecida por uma empresa não beneficiária da Lei Complementar nº 123/2006.</w:t>
      </w:r>
      <w:r>
        <w:rPr>
          <w:rFonts w:ascii="Arial" w:hAnsi="Arial" w:cs="Arial"/>
        </w:rPr>
      </w:r>
      <w:r>
        <w:rPr>
          <w:rFonts w:ascii="Arial" w:hAnsi="Arial" w:cs="Arial"/>
        </w:rPr>
      </w:r>
    </w:p>
    <w:p w14:paraId="3249FC80">
      <w:pPr>
        <w:pStyle w:val="864"/>
        <w:pBdr/>
        <w:spacing/>
        <w:ind w:right="99" w:left="284"/>
        <w:jc w:val="both"/>
        <w:rPr>
          <w:rFonts w:ascii="Arial" w:hAnsi="Arial" w:cs="Arial"/>
          <w:b/>
        </w:rPr>
      </w:pPr>
      <w:r>
        <w:rPr>
          <w:rFonts w:ascii="Arial" w:hAnsi="Arial" w:cs="Arial"/>
          <w:b/>
        </w:rPr>
      </w:r>
      <w:r>
        <w:rPr>
          <w:rFonts w:ascii="Arial" w:hAnsi="Arial" w:cs="Arial"/>
          <w:b/>
        </w:rPr>
      </w:r>
      <w:r>
        <w:rPr>
          <w:rFonts w:ascii="Arial" w:hAnsi="Arial" w:cs="Arial"/>
          <w:b/>
        </w:rPr>
      </w:r>
    </w:p>
    <w:p w14:paraId="021F17FB">
      <w:pPr>
        <w:pStyle w:val="864"/>
        <w:pBdr/>
        <w:spacing/>
        <w:ind w:right="99"/>
        <w:jc w:val="both"/>
        <w:rPr>
          <w:rFonts w:ascii="Arial" w:hAnsi="Arial" w:cs="Arial"/>
        </w:rPr>
      </w:pPr>
      <w:r>
        <w:rPr>
          <w:rFonts w:ascii="Arial" w:hAnsi="Arial" w:cs="Arial"/>
          <w:b/>
        </w:rPr>
        <w:t xml:space="preserve">12.4.1.</w:t>
      </w:r>
      <w:r>
        <w:rPr>
          <w:rFonts w:ascii="Arial" w:hAnsi="Arial" w:cs="Arial"/>
        </w:rPr>
        <w:t xml:space="preserve"> Quando não for o caso de microempresas e empresas de pequeno porte, os critérios utilizados serão os previstos no </w:t>
      </w:r>
      <w:r>
        <w:rPr>
          <w:rFonts w:ascii="Arial" w:hAnsi="Arial" w:cs="Arial"/>
          <w:lang w:eastAsia="en-US"/>
        </w:rPr>
        <w:t xml:space="preserve">art. 60 da Lei 14.133/21.</w:t>
      </w:r>
      <w:r>
        <w:rPr>
          <w:rFonts w:ascii="Arial" w:hAnsi="Arial" w:cs="Arial"/>
        </w:rPr>
      </w:r>
      <w:r>
        <w:rPr>
          <w:rFonts w:ascii="Arial" w:hAnsi="Arial" w:cs="Arial"/>
        </w:rPr>
      </w:r>
    </w:p>
    <w:p w14:paraId="3C4C5418">
      <w:pPr>
        <w:pStyle w:val="864"/>
        <w:pBdr/>
        <w:spacing/>
        <w:ind w:right="99" w:left="284"/>
        <w:jc w:val="both"/>
        <w:rPr>
          <w:rFonts w:ascii="Arial" w:hAnsi="Arial" w:cs="Arial"/>
          <w:b/>
        </w:rPr>
      </w:pPr>
      <w:r>
        <w:rPr>
          <w:rFonts w:ascii="Arial" w:hAnsi="Arial" w:cs="Arial"/>
          <w:b/>
        </w:rPr>
      </w:r>
      <w:r>
        <w:rPr>
          <w:rFonts w:ascii="Arial" w:hAnsi="Arial" w:cs="Arial"/>
          <w:b/>
        </w:rPr>
      </w:r>
      <w:r>
        <w:rPr>
          <w:rFonts w:ascii="Arial" w:hAnsi="Arial" w:cs="Arial"/>
          <w:b/>
        </w:rPr>
      </w:r>
    </w:p>
    <w:p w14:paraId="01F30E7F">
      <w:pPr>
        <w:pStyle w:val="864"/>
        <w:pBdr/>
        <w:spacing/>
        <w:ind w:right="99"/>
        <w:jc w:val="both"/>
        <w:rPr>
          <w:rFonts w:ascii="Arial" w:hAnsi="Arial" w:cs="Arial"/>
          <w:b/>
        </w:rPr>
      </w:pPr>
      <w:r>
        <w:rPr>
          <w:rFonts w:ascii="Arial" w:hAnsi="Arial" w:cs="Arial"/>
          <w:b/>
        </w:rPr>
        <w:t xml:space="preserve">12.5. </w:t>
      </w:r>
      <w:r>
        <w:rPr>
          <w:rFonts w:ascii="Arial" w:hAnsi="Arial" w:cs="Arial"/>
        </w:rPr>
        <w:t xml:space="preserve">A M</w:t>
      </w:r>
      <w:r>
        <w:rPr>
          <w:rFonts w:ascii="Arial" w:hAnsi="Arial" w:cs="Arial"/>
        </w:rPr>
        <w:t xml:space="preserve">icroempresas e a Empresas de Pequeno melhor classificada poderá, no prazo de 5 (cinco) minutos, apresentar proposta de preço inferior ao preço do licitante mais bem classificado e, se atendidas as exigências deste edital, passará a ser a vencedora do item.</w:t>
      </w:r>
      <w:r>
        <w:rPr>
          <w:rFonts w:ascii="Arial" w:hAnsi="Arial" w:cs="Arial"/>
          <w:b/>
        </w:rPr>
      </w:r>
      <w:r>
        <w:rPr>
          <w:rFonts w:ascii="Arial" w:hAnsi="Arial" w:cs="Arial"/>
          <w:b/>
        </w:rPr>
      </w:r>
    </w:p>
    <w:p w14:paraId="6E4EB6A7">
      <w:pPr>
        <w:pStyle w:val="864"/>
        <w:pBdr/>
        <w:spacing/>
        <w:ind w:right="99" w:left="284"/>
        <w:jc w:val="both"/>
        <w:rPr>
          <w:rFonts w:ascii="Arial" w:hAnsi="Arial" w:cs="Arial"/>
          <w:b/>
        </w:rPr>
      </w:pPr>
      <w:r>
        <w:rPr>
          <w:rFonts w:ascii="Arial" w:hAnsi="Arial" w:cs="Arial"/>
          <w:b/>
        </w:rPr>
      </w:r>
      <w:r>
        <w:rPr>
          <w:rFonts w:ascii="Arial" w:hAnsi="Arial" w:cs="Arial"/>
          <w:b/>
        </w:rPr>
      </w:r>
      <w:r>
        <w:rPr>
          <w:rFonts w:ascii="Arial" w:hAnsi="Arial" w:cs="Arial"/>
          <w:b/>
        </w:rPr>
      </w:r>
    </w:p>
    <w:p w14:paraId="674C7611">
      <w:pPr>
        <w:pStyle w:val="864"/>
        <w:pBdr/>
        <w:spacing/>
        <w:ind w:right="99"/>
        <w:jc w:val="both"/>
        <w:rPr>
          <w:rFonts w:ascii="Arial" w:hAnsi="Arial" w:cs="Arial"/>
        </w:rPr>
      </w:pPr>
      <w:r>
        <w:rPr>
          <w:rFonts w:ascii="Arial" w:hAnsi="Arial" w:cs="Arial"/>
          <w:b/>
        </w:rPr>
        <w:t xml:space="preserve">12.6. </w:t>
      </w:r>
      <w:r>
        <w:rPr>
          <w:rFonts w:ascii="Arial" w:hAnsi="Arial" w:cs="Arial"/>
        </w:rPr>
        <w:t xml:space="preserve">O convocado que não apresentar proposta dentro do prazo de 5 (cinco) minutos, controlados pelo sistema, decairá do direito contido nos arts. 44 e 45 da Lei Complementar nº 123/2006.</w:t>
      </w:r>
      <w:r>
        <w:rPr>
          <w:rFonts w:ascii="Arial" w:hAnsi="Arial" w:cs="Arial"/>
        </w:rPr>
      </w:r>
      <w:r>
        <w:rPr>
          <w:rFonts w:ascii="Arial" w:hAnsi="Arial" w:cs="Arial"/>
        </w:rPr>
      </w:r>
    </w:p>
    <w:p w14:paraId="24D9CA5B">
      <w:pPr>
        <w:pStyle w:val="864"/>
        <w:pBdr/>
        <w:spacing/>
        <w:ind w:right="99" w:left="284"/>
        <w:jc w:val="both"/>
        <w:rPr>
          <w:rFonts w:ascii="Arial" w:hAnsi="Arial" w:cs="Arial"/>
        </w:rPr>
      </w:pPr>
      <w:r>
        <w:rPr>
          <w:rFonts w:ascii="Arial" w:hAnsi="Arial" w:cs="Arial"/>
        </w:rPr>
      </w:r>
      <w:r>
        <w:rPr>
          <w:rFonts w:ascii="Arial" w:hAnsi="Arial" w:cs="Arial"/>
        </w:rPr>
      </w:r>
      <w:r>
        <w:rPr>
          <w:rFonts w:ascii="Arial" w:hAnsi="Arial" w:cs="Arial"/>
        </w:rPr>
      </w:r>
    </w:p>
    <w:p w14:paraId="2FC8B9D8">
      <w:pPr>
        <w:pStyle w:val="864"/>
        <w:pBdr/>
        <w:spacing/>
        <w:ind w:right="99"/>
        <w:jc w:val="both"/>
        <w:rPr>
          <w:rFonts w:ascii="Arial" w:hAnsi="Arial" w:cs="Arial"/>
        </w:rPr>
      </w:pPr>
      <w:r>
        <w:rPr>
          <w:rFonts w:ascii="Arial" w:hAnsi="Arial" w:cs="Arial"/>
          <w:b/>
        </w:rPr>
        <w:t xml:space="preserve">12.7.</w:t>
      </w:r>
      <w:r>
        <w:rPr>
          <w:rFonts w:ascii="Arial" w:hAnsi="Arial" w:cs="Arial"/>
        </w:rPr>
        <w:t xml:space="preserve"> Havendo outras licitantes que se enquadram na condição prevista no </w:t>
      </w:r>
      <w:r>
        <w:rPr>
          <w:rFonts w:ascii="Arial" w:hAnsi="Arial" w:cs="Arial"/>
          <w:u w:val="single"/>
        </w:rPr>
        <w:t xml:space="preserve">subitem 12.4</w:t>
      </w:r>
      <w:r>
        <w:rPr>
          <w:rFonts w:ascii="Arial" w:hAnsi="Arial" w:cs="Arial"/>
        </w:rPr>
        <w:t xml:space="preserve">, estas serão convocadas na ordem classificatória, para o exercício do mesmo direito, desde que que a microempresa ou a empresa de pequeno porte mais bem classificada quando convocada não tenha apresentado proposta.</w:t>
      </w:r>
      <w:r>
        <w:rPr>
          <w:rFonts w:ascii="Arial" w:hAnsi="Arial" w:cs="Arial"/>
        </w:rPr>
      </w:r>
      <w:r>
        <w:rPr>
          <w:rFonts w:ascii="Arial" w:hAnsi="Arial" w:cs="Arial"/>
        </w:rPr>
      </w:r>
    </w:p>
    <w:p w14:paraId="180F4B26">
      <w:pPr>
        <w:pStyle w:val="864"/>
        <w:pBdr/>
        <w:spacing/>
        <w:ind w:right="99" w:left="284"/>
        <w:jc w:val="both"/>
        <w:rPr>
          <w:rFonts w:ascii="Arial" w:hAnsi="Arial" w:cs="Arial"/>
        </w:rPr>
      </w:pPr>
      <w:r>
        <w:rPr>
          <w:rFonts w:ascii="Arial" w:hAnsi="Arial" w:cs="Arial"/>
        </w:rPr>
      </w:r>
      <w:r>
        <w:rPr>
          <w:rFonts w:ascii="Arial" w:hAnsi="Arial" w:cs="Arial"/>
        </w:rPr>
      </w:r>
      <w:r>
        <w:rPr>
          <w:rFonts w:ascii="Arial" w:hAnsi="Arial" w:cs="Arial"/>
        </w:rPr>
      </w:r>
    </w:p>
    <w:p w14:paraId="4D865FF4">
      <w:pPr>
        <w:pStyle w:val="864"/>
        <w:pBdr/>
        <w:spacing/>
        <w:ind w:right="99"/>
        <w:jc w:val="both"/>
        <w:rPr>
          <w:rFonts w:ascii="Arial" w:hAnsi="Arial" w:cs="Arial"/>
        </w:rPr>
      </w:pPr>
      <w:r>
        <w:rPr>
          <w:rFonts w:ascii="Arial" w:hAnsi="Arial" w:cs="Arial"/>
          <w:b/>
        </w:rPr>
        <w:t xml:space="preserve">12.8.</w:t>
      </w:r>
      <w:r>
        <w:rPr>
          <w:rFonts w:ascii="Arial" w:hAnsi="Arial" w:cs="Arial"/>
        </w:rPr>
        <w:t xml:space="preserve"> Havendo alguma restrição na comprovação da regularidade fiscal e trabalhista, será assegurado o prazo de 5 (cinco) dias úteis, cujo termo inicial corresponderá ao momento em que o proponente for declarado o vencedor do certame, pr</w:t>
      </w:r>
      <w:r>
        <w:rPr>
          <w:rFonts w:ascii="Arial" w:hAnsi="Arial" w:cs="Arial"/>
        </w:rPr>
        <w:t xml:space="preserve">orrogável por igual período, a critério da administração pública, para a regularização da documentação, pagamento ou parcelamento do débito e emissão de eventuais certidões negativas ou positivas com efeito de certidão negativa. (art. 43, §1º LC 123/2006).</w:t>
      </w:r>
      <w:r>
        <w:rPr>
          <w:rFonts w:ascii="Arial" w:hAnsi="Arial" w:cs="Arial"/>
        </w:rPr>
      </w:r>
      <w:r>
        <w:rPr>
          <w:rFonts w:ascii="Arial" w:hAnsi="Arial" w:cs="Arial"/>
        </w:rPr>
      </w:r>
    </w:p>
    <w:p w14:paraId="7086774A">
      <w:pPr>
        <w:pStyle w:val="864"/>
        <w:pBdr/>
        <w:spacing/>
        <w:ind w:right="99" w:left="284"/>
        <w:jc w:val="both"/>
        <w:rPr>
          <w:rFonts w:ascii="Arial" w:hAnsi="Arial" w:cs="Arial"/>
        </w:rPr>
      </w:pPr>
      <w:r>
        <w:rPr>
          <w:rFonts w:ascii="Arial" w:hAnsi="Arial" w:cs="Arial"/>
        </w:rPr>
      </w:r>
      <w:r>
        <w:rPr>
          <w:rFonts w:ascii="Arial" w:hAnsi="Arial" w:cs="Arial"/>
        </w:rPr>
      </w:r>
      <w:r>
        <w:rPr>
          <w:rFonts w:ascii="Arial" w:hAnsi="Arial" w:cs="Arial"/>
        </w:rPr>
      </w:r>
    </w:p>
    <w:p w14:paraId="485A8FEA">
      <w:pPr>
        <w:pStyle w:val="864"/>
        <w:pBdr/>
        <w:spacing/>
        <w:ind w:right="99"/>
        <w:jc w:val="both"/>
        <w:rPr>
          <w:rFonts w:ascii="Arial" w:hAnsi="Arial" w:cs="Arial"/>
        </w:rPr>
      </w:pPr>
      <w:r>
        <w:rPr>
          <w:rFonts w:ascii="Arial" w:hAnsi="Arial" w:cs="Arial"/>
          <w:b/>
        </w:rPr>
        <w:t xml:space="preserve">12.9.</w:t>
      </w:r>
      <w:r>
        <w:rPr>
          <w:rFonts w:ascii="Arial" w:hAnsi="Arial" w:cs="Arial"/>
        </w:rPr>
        <w:t xml:space="preserve"> A prorrogação do prazo prevista no item acima, poderá ser concedida, a critério da administração pública, quando requerida pelo licitante, mediante apresentação de justificativa.</w:t>
      </w:r>
      <w:r>
        <w:rPr>
          <w:rFonts w:ascii="Arial" w:hAnsi="Arial" w:cs="Arial"/>
        </w:rPr>
      </w:r>
      <w:r>
        <w:rPr>
          <w:rFonts w:ascii="Arial" w:hAnsi="Arial" w:cs="Arial"/>
        </w:rPr>
      </w:r>
    </w:p>
    <w:p w14:paraId="625332B5">
      <w:pPr>
        <w:pStyle w:val="864"/>
        <w:pBdr/>
        <w:spacing/>
        <w:ind w:right="99" w:left="284"/>
        <w:jc w:val="both"/>
        <w:rPr>
          <w:rFonts w:ascii="Arial" w:hAnsi="Arial" w:cs="Arial"/>
        </w:rPr>
      </w:pPr>
      <w:r>
        <w:rPr>
          <w:rFonts w:ascii="Arial" w:hAnsi="Arial" w:cs="Arial"/>
        </w:rPr>
      </w:r>
      <w:r>
        <w:rPr>
          <w:rFonts w:ascii="Arial" w:hAnsi="Arial" w:cs="Arial"/>
        </w:rPr>
      </w:r>
      <w:r>
        <w:rPr>
          <w:rFonts w:ascii="Arial" w:hAnsi="Arial" w:cs="Arial"/>
        </w:rPr>
      </w:r>
    </w:p>
    <w:p w14:paraId="0D0A314E">
      <w:pPr>
        <w:pStyle w:val="864"/>
        <w:pBdr/>
        <w:spacing/>
        <w:ind w:right="99"/>
        <w:jc w:val="both"/>
        <w:rPr>
          <w:rFonts w:ascii="Arial" w:hAnsi="Arial" w:cs="Arial"/>
        </w:rPr>
      </w:pPr>
      <w:r>
        <w:rPr>
          <w:rFonts w:ascii="Arial" w:hAnsi="Arial" w:cs="Arial"/>
          <w:b/>
        </w:rPr>
        <w:t xml:space="preserve">12.10.</w:t>
      </w:r>
      <w:r>
        <w:rPr>
          <w:rFonts w:ascii="Arial" w:hAnsi="Arial" w:cs="Arial"/>
        </w:rPr>
        <w:t xml:space="preserve"> A não regularização da documentação no prazo previsto no </w:t>
      </w:r>
      <w:r>
        <w:rPr>
          <w:rFonts w:ascii="Arial" w:hAnsi="Arial" w:cs="Arial"/>
          <w:u w:val="single"/>
        </w:rPr>
        <w:t xml:space="preserve">item 12.8</w:t>
      </w:r>
      <w:r>
        <w:rPr>
          <w:rFonts w:ascii="Arial" w:hAnsi="Arial" w:cs="Arial"/>
        </w:rPr>
        <w:t xml:space="preserve">, implicará na dec</w:t>
      </w:r>
      <w:r>
        <w:rPr>
          <w:rFonts w:ascii="Arial" w:hAnsi="Arial" w:cs="Arial"/>
        </w:rPr>
        <w:t xml:space="preserve">adência do direito à contratação, sem prejuízo das sanções previstas na legislação vigente, sendo facultado à Administração convocar para nova sessão pública os licitantes remanescentes, na ordem de classificação, para contratação, ou revogar a licitação. </w:t>
      </w:r>
      <w:r>
        <w:rPr>
          <w:rFonts w:ascii="Arial" w:hAnsi="Arial" w:cs="Arial"/>
        </w:rPr>
      </w:r>
      <w:r>
        <w:rPr>
          <w:rFonts w:ascii="Arial" w:hAnsi="Arial" w:cs="Arial"/>
        </w:rPr>
      </w:r>
    </w:p>
    <w:p w14:paraId="6FD2A001">
      <w:pPr>
        <w:pStyle w:val="864"/>
        <w:pBdr/>
        <w:spacing/>
        <w:ind w:left="284"/>
        <w:jc w:val="both"/>
        <w:rPr>
          <w:rFonts w:ascii="Arial" w:hAnsi="Arial" w:cs="Arial"/>
          <w:b/>
        </w:rPr>
      </w:pPr>
      <w:r>
        <w:rPr>
          <w:rFonts w:ascii="Arial" w:hAnsi="Arial" w:cs="Arial"/>
          <w:b/>
        </w:rPr>
      </w:r>
      <w:r>
        <w:rPr>
          <w:rFonts w:ascii="Arial" w:hAnsi="Arial" w:cs="Arial"/>
          <w:b/>
        </w:rPr>
      </w:r>
      <w:r>
        <w:rPr>
          <w:rFonts w:ascii="Arial" w:hAnsi="Arial" w:cs="Arial"/>
          <w:b/>
        </w:rPr>
      </w:r>
    </w:p>
    <w:p w14:paraId="44193F4D">
      <w:pPr>
        <w:pStyle w:val="864"/>
        <w:pBdr/>
        <w:spacing/>
        <w:ind/>
        <w:jc w:val="both"/>
        <w:rPr>
          <w:rFonts w:ascii="Arial" w:hAnsi="Arial" w:cs="Arial"/>
        </w:rPr>
      </w:pPr>
      <w:r>
        <w:rPr>
          <w:rFonts w:ascii="Arial" w:hAnsi="Arial" w:cs="Arial"/>
          <w:b/>
        </w:rPr>
        <w:t xml:space="preserve">12.11.</w:t>
      </w:r>
      <w:r>
        <w:rPr>
          <w:rFonts w:ascii="Arial" w:hAnsi="Arial" w:cs="Arial"/>
        </w:rPr>
        <w:t xml:space="preserve"> A obtenção dos benefícios a que se refere este tópico fica limitada às microempresas e às empresas </w:t>
      </w:r>
      <w:r>
        <w:rPr>
          <w:rFonts w:ascii="Arial" w:hAnsi="Arial" w:cs="Arial"/>
        </w:rPr>
        <w:t xml:space="preserve">de pequeno porte que, no ano-calendário de realização da licitação, ainda não tenham celebrado contratos com a Administração Pública, cujos valores somados extrapolem a receita bruta máxima admitida para fins de enquadramento como empresa de pequeno porte.</w:t>
      </w:r>
      <w:r>
        <w:rPr>
          <w:rFonts w:ascii="Arial" w:hAnsi="Arial" w:cs="Arial"/>
        </w:rPr>
      </w:r>
      <w:r>
        <w:rPr>
          <w:rFonts w:ascii="Arial" w:hAnsi="Arial" w:cs="Arial"/>
        </w:rPr>
      </w:r>
    </w:p>
    <w:p w14:paraId="09AA8044">
      <w:pPr>
        <w:pStyle w:val="864"/>
        <w:pBdr/>
        <w:spacing/>
        <w:ind w:left="284"/>
        <w:jc w:val="both"/>
        <w:rPr>
          <w:rFonts w:ascii="Arial" w:hAnsi="Arial" w:cs="Arial"/>
          <w:b/>
        </w:rPr>
      </w:pPr>
      <w:r>
        <w:rPr>
          <w:rFonts w:ascii="Arial" w:hAnsi="Arial" w:cs="Arial"/>
          <w:b/>
        </w:rPr>
      </w:r>
      <w:r>
        <w:rPr>
          <w:rFonts w:ascii="Arial" w:hAnsi="Arial" w:cs="Arial"/>
          <w:b/>
        </w:rPr>
      </w:r>
      <w:r>
        <w:rPr>
          <w:rFonts w:ascii="Arial" w:hAnsi="Arial" w:cs="Arial"/>
          <w:b/>
        </w:rPr>
      </w:r>
    </w:p>
    <w:p w14:paraId="3CA168E2">
      <w:pPr>
        <w:pStyle w:val="864"/>
        <w:pBdr/>
        <w:spacing/>
        <w:ind/>
        <w:jc w:val="both"/>
        <w:rPr>
          <w:rFonts w:ascii="Arial" w:hAnsi="Arial" w:cs="Arial"/>
          <w:color w:val="001d35"/>
          <w:lang w:eastAsia="pt-BR"/>
        </w:rPr>
      </w:pPr>
      <w:r>
        <w:rPr>
          <w:rFonts w:ascii="Arial" w:hAnsi="Arial" w:cs="Arial"/>
          <w:b/>
        </w:rPr>
        <w:t xml:space="preserve">12.12.</w:t>
      </w:r>
      <w:r>
        <w:rPr>
          <w:rFonts w:ascii="Arial" w:hAnsi="Arial" w:cs="Arial"/>
        </w:rPr>
        <w:t xml:space="preserve"> Considerando que o objeto a ser adquirido, trata-se </w:t>
      </w:r>
      <w:r>
        <w:rPr>
          <w:rFonts w:ascii="Arial" w:hAnsi="Arial" w:cs="Arial"/>
        </w:rPr>
        <w:t xml:space="preserve">materiais e equipamentos para secretaria de saúde sendo assim, pela sua natureza, portanto, não será aplicado o sistema de cota reservada, </w:t>
      </w:r>
      <w:r>
        <w:rPr>
          <w:rFonts w:ascii="Arial" w:hAnsi="Arial" w:cs="Arial"/>
          <w:u w:val="single"/>
        </w:rPr>
        <w:t xml:space="preserve">baseado no disposto no Inciso III do Art. 49 da LC 123/2006</w:t>
      </w:r>
      <w:r>
        <w:rPr>
          <w:rFonts w:ascii="Arial" w:hAnsi="Arial" w:cs="Arial"/>
        </w:rPr>
        <w:t xml:space="preserve">. Bem como, no caso concreto não é vantajoso para o município tendo em vista que se objetiva padronizar a aquisição dos respectivos itens, caso contrário, poderia representar prejuízo ao conjunto ou complexo do objeto a ser adquirido.</w:t>
      </w:r>
      <w:r>
        <w:rPr>
          <w:rFonts w:ascii="Arial" w:hAnsi="Arial" w:cs="Arial"/>
          <w:color w:val="001d35"/>
          <w:lang w:eastAsia="pt-BR"/>
        </w:rPr>
      </w:r>
      <w:r>
        <w:rPr>
          <w:rFonts w:ascii="Arial" w:hAnsi="Arial" w:cs="Arial"/>
          <w:color w:val="001d35"/>
          <w:lang w:eastAsia="pt-BR"/>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outlineLvl w:val="0"/>
        <w:rPr>
          <w:rFonts w:ascii="Arial" w:hAnsi="Arial"/>
          <w:b/>
          <w:bCs/>
        </w:rPr>
      </w:pPr>
      <w:r/>
      <w:bookmarkStart w:id="69" w:name="_Toc13"/>
      <w:r>
        <w:rPr>
          <w:rFonts w:ascii="Arial" w:hAnsi="Arial" w:eastAsia="Arial"/>
          <w:b/>
          <w:bCs/>
          <w:color w:val="000000"/>
        </w:rPr>
        <w:t xml:space="preserve">13. DOS DOCUMENTOS EXIGIDOS PARA HABILITAÇÃO:</w:t>
      </w:r>
      <w:r>
        <w:rPr>
          <w:rFonts w:ascii="Arial" w:hAnsi="Arial" w:eastAsia="Arial"/>
          <w:b/>
          <w:bCs/>
        </w:rPr>
        <w:t xml:space="preserve">  </w:t>
      </w:r>
      <w:r>
        <w:rPr>
          <w:rFonts w:ascii="Arial" w:hAnsi="Arial"/>
          <w:b/>
          <w:bCs/>
        </w:rPr>
      </w:r>
      <w:bookmarkEnd w:id="69"/>
      <w:r>
        <w:rPr>
          <w:rFonts w:ascii="Arial" w:hAnsi="Arial"/>
          <w:b/>
          <w:bCs/>
        </w:rPr>
      </w:r>
      <w:r>
        <w:rPr>
          <w:rFonts w:ascii="Arial" w:hAnsi="Arial"/>
          <w:b/>
          <w:bCs/>
        </w:rPr>
      </w:r>
    </w:p>
    <w:p>
      <w:pPr>
        <w:numPr>
          <w:ilvl w:val="0"/>
          <w:numId w:val="2"/>
        </w:num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color w:val="000000"/>
        </w:rPr>
      </w:pPr>
      <w:r>
        <w:rPr>
          <w:rFonts w:ascii="Arial" w:hAnsi="Arial"/>
          <w:b/>
          <w:color w:val="000000"/>
        </w:rPr>
        <w:t xml:space="preserve">13.1. </w:t>
      </w:r>
      <w:r>
        <w:rPr>
          <w:rFonts w:ascii="Arial" w:hAnsi="Arial"/>
          <w:color w:val="000000"/>
        </w:rPr>
        <w:t xml:space="preserve">Deverá anexar na BLL concomi</w:t>
      </w:r>
      <w:r>
        <w:rPr>
          <w:rFonts w:ascii="Arial" w:hAnsi="Arial"/>
          <w:color w:val="000000"/>
        </w:rPr>
        <w:t xml:space="preserve">tantemente com a proposta de preço as seguintes Declarações em formato digital no campo (documentos exigidos para o processo):</w:t>
      </w:r>
      <w:r>
        <w:rPr>
          <w:rFonts w:ascii="Arial" w:hAnsi="Arial"/>
          <w:color w:val="000000"/>
        </w:rPr>
      </w:r>
      <w:r>
        <w:rPr>
          <w:rFonts w:ascii="Arial" w:hAnsi="Arial"/>
          <w:color w:val="000000"/>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13.1.1.</w:t>
      </w:r>
      <w:r>
        <w:rPr>
          <w:rFonts w:ascii="Arial" w:hAnsi="Arial"/>
          <w:color w:val="000000"/>
        </w:rPr>
        <w:t xml:space="preserve"> Está ciente e concorda com as condições contidas no edital e seus anexos, bem como de que a proposta apresentada compree</w:t>
      </w:r>
      <w:r>
        <w:rPr>
          <w:rFonts w:ascii="Arial" w:hAnsi="Arial"/>
          <w:color w:val="000000"/>
        </w:rPr>
        <w:t xml:space="preserve">nde a integralidade dos custos para atendimento dos direitos trabalhistas assegurados na Constituição Federal, nas leis trabalhistas, nas normas infralegais, nas convenções coletivas de trabalho e nos termos de ajustamento de conduta vigentes na data de su</w:t>
      </w:r>
      <w:r>
        <w:rPr>
          <w:rFonts w:ascii="Arial" w:hAnsi="Arial"/>
          <w:color w:val="000000"/>
        </w:rPr>
        <w:t xml:space="preserve">a entrega em definitivo e que cumpre plenamente os requisitos de habilitação definidos no instrumento convocatório;</w:t>
      </w:r>
      <w:r>
        <w:rPr>
          <w:rFonts w:ascii="Arial" w:hAnsi="Arial"/>
        </w:rPr>
      </w:r>
      <w:r>
        <w:rPr>
          <w:rFonts w:ascii="Arial" w:hAnsi="Arial"/>
        </w:rPr>
      </w:r>
    </w:p>
    <w:p>
      <w:pPr>
        <w:numPr>
          <w:ilvl w:val="0"/>
          <w:numId w:val="2"/>
        </w:num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color w:val="000000"/>
        </w:rPr>
        <w:t xml:space="preserve">13.1.2.</w:t>
      </w:r>
      <w:r>
        <w:rPr>
          <w:rFonts w:ascii="Arial" w:hAnsi="Arial"/>
          <w:color w:val="000000"/>
        </w:rPr>
        <w:t xml:space="preserve"> Não emprega menor de 18 anos em trabalho noturno, perigoso ou insalubre e não emprega menor de 16 anos, em qualquer trabalho, salvo</w:t>
      </w:r>
      <w:r>
        <w:rPr>
          <w:rFonts w:ascii="Arial" w:hAnsi="Arial"/>
          <w:color w:val="000000"/>
        </w:rPr>
        <w:t xml:space="preserve"> menor, a partir de 14 anos, na condição de aprendiz, nos termos do </w:t>
      </w:r>
      <w:hyperlink r:id="rId21" w:tooltip="https://www.planalto.gov.br/ccivil_03/constituicao/constituicaocompilado.htm#art7" w:anchor="art7" w:history="1">
        <w:r>
          <w:rPr>
            <w:rStyle w:val="973"/>
            <w:rFonts w:ascii="Arial" w:hAnsi="Arial" w:cs="Arial"/>
            <w:color w:val="000000"/>
          </w:rPr>
          <w:t xml:space="preserve">artigo 7°, XXXIII da Constituição</w:t>
        </w:r>
      </w:hyperlink>
      <w:r>
        <w:rPr>
          <w:rFonts w:ascii="Arial" w:hAnsi="Arial"/>
          <w:color w:val="000000"/>
        </w:rPr>
        <w:t xml:space="preserve"> Federal, </w:t>
      </w:r>
      <w:r>
        <w:rPr>
          <w:rFonts w:ascii="Arial" w:hAnsi="Arial"/>
        </w:rPr>
        <w:t xml:space="preserve">bem como, no </w:t>
      </w:r>
      <w:r>
        <w:rPr>
          <w:rFonts w:ascii="Arial" w:hAnsi="Arial"/>
          <w:color w:val="000000"/>
        </w:rPr>
        <w:t xml:space="preserve">artigo 68, inciso VI, da Lei nº 14.133/2021;</w:t>
      </w:r>
      <w:r>
        <w:rPr>
          <w:rFonts w:ascii="Arial" w:hAnsi="Arial"/>
        </w:rPr>
      </w:r>
      <w:r>
        <w:rPr>
          <w:rFonts w:ascii="Arial" w:hAnsi="Arial"/>
        </w:rPr>
      </w:r>
    </w:p>
    <w:p>
      <w:pPr>
        <w:numPr>
          <w:ilvl w:val="0"/>
          <w:numId w:val="2"/>
        </w:num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13.1.3.</w:t>
      </w:r>
      <w:r>
        <w:rPr>
          <w:rFonts w:ascii="Arial" w:hAnsi="Arial"/>
          <w:color w:val="000000"/>
        </w:rPr>
        <w:t xml:space="preserve"> Não possui empregados executando trabalho degradante ou forçado, observando o disposto nos </w:t>
      </w:r>
      <w:hyperlink r:id="rId22" w:tooltip="https://www.planalto.gov.br/ccivil_03/constituicao/constituicaocompilado.htm" w:history="1">
        <w:r>
          <w:rPr>
            <w:rStyle w:val="973"/>
            <w:rFonts w:ascii="Arial" w:hAnsi="Arial" w:cs="Arial"/>
            <w:color w:val="000000"/>
          </w:rPr>
          <w:t xml:space="preserve">incisos III e IV do art. 1º e no inciso III do art. 5º da C.F.</w:t>
        </w:r>
      </w:hyperlink>
      <w:r>
        <w:rPr>
          <w:rStyle w:val="973"/>
          <w:rFonts w:ascii="Arial" w:hAnsi="Arial" w:cs="Arial"/>
          <w:color w:val="000000"/>
          <w:u w:val="none"/>
        </w:rPr>
        <w:t xml:space="preserve">, </w:t>
      </w:r>
      <w:r>
        <w:rPr>
          <w:rFonts w:ascii="Arial" w:hAnsi="Arial"/>
        </w:rPr>
        <w:t xml:space="preserve">e art. 14, inciso VI da Lei nº 14.133/2021.</w:t>
      </w:r>
      <w:r>
        <w:rPr>
          <w:rFonts w:ascii="Arial" w:hAnsi="Arial"/>
        </w:rPr>
      </w:r>
      <w:r>
        <w:rPr>
          <w:rFonts w:ascii="Arial" w:hAnsi="Arial"/>
        </w:rPr>
      </w:r>
    </w:p>
    <w:p>
      <w:pPr>
        <w:numPr>
          <w:ilvl w:val="0"/>
          <w:numId w:val="2"/>
        </w:num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13.1.4.</w:t>
      </w:r>
      <w:r>
        <w:rPr>
          <w:rFonts w:ascii="Arial" w:hAnsi="Arial"/>
          <w:color w:val="000000"/>
        </w:rPr>
        <w:t xml:space="preserve"> Cumpre as exigências de reserva de cargos para pessoa com deficiência (PcD) e para reabilitado da Previdência Social, previstas em lei e em outras normas específicas, art. 63, IV, da Lei nº 14.133/2021;</w:t>
      </w:r>
      <w:r>
        <w:rPr>
          <w:rFonts w:ascii="Arial" w:hAnsi="Arial"/>
        </w:rPr>
      </w:r>
      <w:r>
        <w:rPr>
          <w:rFonts w:ascii="Arial" w:hAnsi="Arial"/>
        </w:rPr>
      </w:r>
    </w:p>
    <w:p>
      <w:pPr>
        <w:numPr>
          <w:ilvl w:val="0"/>
          <w:numId w:val="2"/>
        </w:num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13.1.5.</w:t>
      </w:r>
      <w:r>
        <w:rPr>
          <w:rFonts w:ascii="Arial" w:hAnsi="Arial"/>
          <w:color w:val="000000"/>
        </w:rPr>
        <w:t xml:space="preserve"> Que suas propostas econômicas compreendem a</w:t>
      </w:r>
      <w:r>
        <w:rPr>
          <w:rFonts w:ascii="Arial" w:hAnsi="Arial"/>
          <w:color w:val="000000"/>
        </w:rPr>
        <w:t xml:space="preserve"> integralidade dos custos para atendimento dos direitos trabalhistas assegurados na Constituição Federal, nas leis trabalhistas, nas normas infralegais, nas convenções coletivas de trabalho e nos termos de ajustamento de conduta vigentes na data de entrega</w:t>
      </w:r>
      <w:r>
        <w:rPr>
          <w:rFonts w:ascii="Arial" w:hAnsi="Arial"/>
          <w:color w:val="000000"/>
        </w:rPr>
        <w:t xml:space="preserve"> das propostas, art. 63, § 1º, da Lei nº 14.133/2021;</w:t>
      </w:r>
      <w:r>
        <w:rPr>
          <w:rFonts w:ascii="Arial" w:hAnsi="Arial"/>
        </w:rPr>
      </w:r>
      <w:r>
        <w:rPr>
          <w:rFonts w:ascii="Arial" w:hAnsi="Arial"/>
        </w:rPr>
      </w:r>
    </w:p>
    <w:p>
      <w:pPr>
        <w:numPr>
          <w:ilvl w:val="0"/>
          <w:numId w:val="2"/>
        </w:num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14:ligatures w14:val="none"/>
        </w:rPr>
      </w:pPr>
      <w:r>
        <w:rPr>
          <w:rFonts w:ascii="Arial" w:hAnsi="Arial"/>
          <w:b/>
          <w:color w:val="000000"/>
        </w:rPr>
        <w:t xml:space="preserve">13.1.6.</w:t>
      </w:r>
      <w:r>
        <w:rPr>
          <w:rFonts w:ascii="Arial" w:hAnsi="Arial"/>
          <w:color w:val="000000"/>
        </w:rPr>
        <w:t xml:space="preserve"> </w:t>
      </w:r>
      <w:r>
        <w:rPr>
          <w:rFonts w:ascii="Arial" w:hAnsi="Arial"/>
          <w:color w:val="000000"/>
        </w:rPr>
        <w:t xml:space="preserve">Não possui, em seu quadro societário, como administrador, dirigente ou sócio com poderes de administração, agente público do órgão ou entidade contratante, nem mantém situação que configure impedimento à participação na licitação ou à futura contr</w:t>
      </w:r>
      <w:r>
        <w:rPr>
          <w:rFonts w:ascii="Arial" w:hAnsi="Arial"/>
          <w:color w:val="000000"/>
        </w:rPr>
        <w:t xml:space="preserve">atação, nos termos do art. 9º, §1º, e do art. 14 da Lei nº 14.133/2021.</w:t>
      </w:r>
      <w:r>
        <w:rPr>
          <w:rFonts w:ascii="Arial" w:hAnsi="Arial"/>
          <w:color w:val="000000"/>
        </w:rPr>
        <w:t xml:space="preserve"> </w:t>
      </w:r>
      <w:r>
        <w:rPr>
          <w:rFonts w:ascii="Arial" w:hAnsi="Arial"/>
          <w:color w:val="000000"/>
          <w14:ligatures w14:val="none"/>
        </w:rPr>
      </w:r>
      <w:r>
        <w:rPr>
          <w:rFonts w:ascii="Arial" w:hAnsi="Arial"/>
          <w:color w:val="000000"/>
          <w14:ligatures w14:val="none"/>
        </w:rPr>
      </w:r>
    </w:p>
    <w:p>
      <w:pPr>
        <w:numPr>
          <w:ilvl w:val="0"/>
          <w:numId w:val="2"/>
        </w:num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rPr>
      </w:pPr>
      <w:r>
        <w:rPr>
          <w:rFonts w:ascii="Arial" w:hAnsi="Arial"/>
          <w:b/>
          <w:color w:val="000000"/>
        </w:rPr>
        <w:t xml:space="preserve">13.1.7.</w:t>
      </w:r>
      <w:r>
        <w:rPr>
          <w:rFonts w:ascii="Arial" w:hAnsi="Arial"/>
          <w:color w:val="000000"/>
        </w:rPr>
        <w:t xml:space="preserve"> </w:t>
      </w:r>
      <w:r>
        <w:rPr>
          <w:rFonts w:ascii="Arial" w:hAnsi="Arial"/>
          <w:color w:val="000000"/>
          <w:u w:val="single"/>
        </w:rPr>
        <w:t xml:space="preserve">O licitante enquadrado como microempresa, empresa de pequeno porte ou sociedade cooperativa</w:t>
      </w:r>
      <w:r>
        <w:rPr>
          <w:rFonts w:ascii="Arial" w:hAnsi="Arial"/>
          <w:color w:val="000000"/>
        </w:rPr>
        <w:t xml:space="preserve"> deverá declarar, </w:t>
      </w:r>
      <w:r>
        <w:rPr>
          <w:rFonts w:ascii="Arial" w:hAnsi="Arial"/>
          <w:color w:val="000000"/>
        </w:rPr>
        <w:t xml:space="preserve">que cumpre os requisitos estabelecidos no </w:t>
      </w:r>
      <w:hyperlink r:id="rId23" w:tooltip="https://www.planalto.gov.br/ccivil_03/leis/lcp/lcp123.htm#art3" w:anchor="art3" w:history="1">
        <w:r>
          <w:rPr>
            <w:rStyle w:val="973"/>
            <w:rFonts w:ascii="Arial" w:hAnsi="Arial" w:cs="Arial"/>
            <w:color w:val="000000"/>
          </w:rPr>
          <w:t xml:space="preserve">artigo 3° da Lei Complementar nº 123, de 2006</w:t>
        </w:r>
      </w:hyperlink>
      <w:r>
        <w:rPr>
          <w:rFonts w:ascii="Arial" w:hAnsi="Arial"/>
          <w:color w:val="000000"/>
        </w:rPr>
        <w:t xml:space="preserve">, estando apto a </w:t>
      </w:r>
      <w:r>
        <w:rPr>
          <w:rFonts w:ascii="Arial" w:hAnsi="Arial"/>
          <w:color w:val="000000"/>
        </w:rPr>
        <w:t xml:space="preserve">usufruir do tratamento favorecido estabelecido em seus </w:t>
      </w:r>
      <w:hyperlink r:id="rId24" w:tooltip="https://www.planalto.gov.br/ccivil_03/leis/lcp/lcp123.htm#art42" w:anchor="art42" w:history="1">
        <w:r>
          <w:rPr>
            <w:rStyle w:val="973"/>
            <w:rFonts w:ascii="Arial" w:hAnsi="Arial" w:cs="Arial"/>
            <w:color w:val="000000"/>
          </w:rPr>
          <w:t xml:space="preserve">arts. 42 a 49</w:t>
        </w:r>
      </w:hyperlink>
      <w:r>
        <w:rPr>
          <w:rFonts w:ascii="Arial" w:hAnsi="Arial"/>
          <w:color w:val="000000"/>
        </w:rPr>
        <w:t xml:space="preserve">, observado o disposto nos </w:t>
      </w:r>
      <w:hyperlink r:id="rId25" w:tooltip="http://www.planalto.gov.br/ccivil_03/_ato2019-2022/2021/lei/L14133.htm#art4§1" w:anchor="art4§1" w:history="1">
        <w:r>
          <w:rPr>
            <w:rStyle w:val="973"/>
            <w:rFonts w:ascii="Arial" w:hAnsi="Arial" w:cs="Arial"/>
            <w:color w:val="000000"/>
          </w:rPr>
          <w:t xml:space="preserve">§§ 1º ao 3º do art. 4º, da Lei n.º 14.133, de 2021;</w:t>
        </w:r>
      </w:hyperlink>
      <w:r>
        <w:rPr>
          <w:rFonts w:ascii="Arial" w:hAnsi="Arial"/>
          <w:color w:val="000000"/>
        </w:rPr>
      </w:r>
      <w:r>
        <w:rPr>
          <w:rFonts w:ascii="Arial" w:hAnsi="Arial"/>
          <w:color w:val="000000"/>
        </w:rPr>
      </w:r>
    </w:p>
    <w:p>
      <w:pPr>
        <w:numPr>
          <w:ilvl w:val="0"/>
          <w:numId w:val="2"/>
        </w:num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color w:val="000000"/>
        </w:rPr>
        <w:t xml:space="preserve">13.1.8.</w:t>
      </w:r>
      <w:r>
        <w:rPr>
          <w:rFonts w:ascii="Arial" w:hAnsi="Arial"/>
          <w:color w:val="000000"/>
        </w:rPr>
        <w:t xml:space="preserve"> O licitante organizado em cooperativa deverá declarar, ainda que, cumpre os requisitos estabelecidos no </w:t>
      </w:r>
      <w:hyperlink r:id="rId26" w:tooltip="http://www.planalto.gov.br/ccivil_03/_ato2019-2022/2021/lei/L14133.htm#art16" w:anchor="art16" w:history="1">
        <w:r>
          <w:rPr>
            <w:rStyle w:val="973"/>
            <w:rFonts w:ascii="Arial" w:hAnsi="Arial" w:cs="Arial"/>
            <w:color w:val="000000"/>
          </w:rPr>
          <w:t xml:space="preserve">artigo 16 da Lei nº 14.133, de 2021</w:t>
        </w:r>
      </w:hyperlink>
      <w:r>
        <w:rPr>
          <w:rFonts w:ascii="Arial" w:hAnsi="Arial"/>
          <w:color w:val="000000"/>
        </w:rPr>
        <w:t xml:space="preserve">;</w:t>
      </w:r>
      <w:r>
        <w:rPr>
          <w:rFonts w:ascii="Arial" w:hAnsi="Arial"/>
        </w:rPr>
      </w:r>
      <w:r>
        <w:rPr>
          <w:rFonts w:ascii="Arial" w:hAnsi="Arial"/>
        </w:rPr>
      </w:r>
    </w:p>
    <w:p>
      <w:pPr>
        <w:numPr>
          <w:ilvl w:val="0"/>
          <w:numId w:val="2"/>
        </w:num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color w:val="000000"/>
        </w:rPr>
        <w:t xml:space="preserve">13.1.9. </w:t>
      </w:r>
      <w:r>
        <w:rPr>
          <w:rFonts w:ascii="Arial" w:hAnsi="Arial"/>
          <w:color w:val="000000"/>
        </w:rPr>
        <w:t xml:space="preserve">Que não há sanções vigentes que legalmente proíbam a participante de licitar e/ou contratar com o Órgão/Entidade contratante;</w:t>
      </w:r>
      <w:r>
        <w:rPr>
          <w:rFonts w:ascii="Arial" w:hAnsi="Arial"/>
        </w:rPr>
      </w:r>
      <w:r>
        <w:rPr>
          <w:rFonts w:ascii="Arial" w:hAnsi="Arial"/>
        </w:rPr>
      </w:r>
    </w:p>
    <w:p>
      <w:pPr>
        <w:numPr>
          <w:ilvl w:val="0"/>
          <w:numId w:val="2"/>
        </w:num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13.1.10.</w:t>
      </w:r>
      <w:r>
        <w:rPr>
          <w:rFonts w:ascii="Arial" w:hAnsi="Arial"/>
          <w:color w:val="000000"/>
        </w:rPr>
        <w:t xml:space="preserve"> O declarante responderá pela veracidade das i</w:t>
      </w:r>
      <w:r>
        <w:rPr>
          <w:rFonts w:ascii="Arial" w:hAnsi="Arial"/>
          <w:color w:val="000000"/>
        </w:rPr>
        <w:t xml:space="preserve">nformações prestadas, sujeitando-se às sanções previstas na forma da lei, e neste Edital.</w:t>
      </w:r>
      <w:r>
        <w:rPr>
          <w:rFonts w:ascii="Arial" w:hAnsi="Arial"/>
        </w:rPr>
      </w:r>
      <w:r>
        <w:rPr>
          <w:rFonts w:ascii="Arial" w:hAnsi="Arial"/>
        </w:rPr>
      </w:r>
    </w:p>
    <w:p>
      <w:pPr>
        <w:numPr>
          <w:ilvl w:val="0"/>
          <w:numId w:val="2"/>
        </w:num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color w:val="000000"/>
        </w:rPr>
        <w:t xml:space="preserve">13.1.11.</w:t>
      </w:r>
      <w:r>
        <w:rPr>
          <w:rFonts w:ascii="Arial" w:hAnsi="Arial"/>
          <w:color w:val="000000"/>
        </w:rPr>
        <w:t xml:space="preserve"> No caso em que a empresa apresente as referidas declarações e não cumpra as exigências habilitatórias do certame o qual está participando, será passível de </w:t>
      </w:r>
      <w:r>
        <w:rPr>
          <w:rFonts w:ascii="Arial" w:hAnsi="Arial"/>
          <w:color w:val="000000"/>
        </w:rPr>
        <w:t xml:space="preserve">punição na forma da lei e deste Edital. Bem como, caso não apresente as respectivas declarações o licitante será passível de inabilitação. </w:t>
      </w:r>
      <w:r>
        <w:rPr>
          <w:rFonts w:ascii="Arial" w:hAnsi="Arial"/>
        </w:rPr>
      </w:r>
      <w:r>
        <w:rPr>
          <w:rFonts w:ascii="Arial" w:hAnsi="Arial"/>
        </w:rPr>
      </w:r>
    </w:p>
    <w:p>
      <w:pPr>
        <w:pBdr/>
        <w:spacing/>
        <w:ind w:left="851"/>
        <w:jc w:val="both"/>
        <w:rPr>
          <w:rFonts w:ascii="Arial" w:hAnsi="Arial"/>
          <w:b/>
          <w:bCs/>
          <w:color w:val="000000"/>
        </w:rPr>
      </w:pPr>
      <w:r>
        <w:rPr>
          <w:rFonts w:ascii="Arial" w:hAnsi="Arial"/>
          <w:b/>
          <w:bCs/>
          <w:color w:val="000000"/>
        </w:rPr>
      </w:r>
      <w:r>
        <w:rPr>
          <w:rFonts w:ascii="Arial" w:hAnsi="Arial"/>
          <w:b/>
          <w:bCs/>
          <w:color w:val="000000"/>
        </w:rPr>
      </w:r>
      <w:r>
        <w:rPr>
          <w:rFonts w:ascii="Arial" w:hAnsi="Arial"/>
          <w:b/>
          <w:bCs/>
          <w:color w:val="000000"/>
        </w:rPr>
      </w:r>
    </w:p>
    <w:p>
      <w:pPr>
        <w:pBdr/>
        <w:spacing/>
        <w:ind w:left="567"/>
        <w:jc w:val="both"/>
        <w:rPr>
          <w:rFonts w:ascii="Arial" w:hAnsi="Arial" w:eastAsia="Arial"/>
          <w:b/>
          <w:bCs/>
          <w:color w:val="000000"/>
        </w:rPr>
      </w:pPr>
      <w:r>
        <w:rPr>
          <w:rFonts w:ascii="Arial" w:hAnsi="Arial" w:eastAsia="Arial"/>
          <w:b/>
          <w:bCs/>
          <w:color w:val="000000"/>
        </w:rPr>
        <w:t xml:space="preserve">NOTA: AS COMPROVAÇÕES</w:t>
      </w:r>
      <w:r>
        <w:rPr>
          <w:rFonts w:ascii="Arial" w:hAnsi="Arial" w:eastAsia="Arial"/>
          <w:b/>
          <w:bCs/>
          <w:color w:val="000000"/>
          <w:u w:val="single"/>
        </w:rPr>
        <w:t xml:space="preserve"> CONTIDAS NO ITEM 13.1. A CRITÉRIO DO LICITANTE PODERÃO SER APRESENTADAS EM UMA ÚNICA FOLHA, CONFORME MODELO SUGERIDO NO ANEXO V</w:t>
      </w:r>
      <w:r>
        <w:rPr>
          <w:rFonts w:ascii="Arial" w:hAnsi="Arial" w:eastAsia="Arial"/>
          <w:b/>
          <w:bCs/>
          <w:color w:val="000000"/>
        </w:rPr>
        <w:t xml:space="preserve">.</w:t>
      </w:r>
      <w:r>
        <w:rPr>
          <w:rFonts w:ascii="Arial" w:hAnsi="Arial" w:eastAsia="Arial"/>
          <w:b/>
          <w:bCs/>
          <w:color w:val="000000"/>
        </w:rPr>
      </w:r>
      <w:r>
        <w:rPr>
          <w:rFonts w:ascii="Arial" w:hAnsi="Arial" w:eastAsia="Arial"/>
          <w:b/>
          <w:bCs/>
          <w:color w:val="000000"/>
        </w:rPr>
      </w:r>
    </w:p>
    <w:p>
      <w:pPr>
        <w:pBdr/>
        <w:spacing/>
        <w:ind/>
        <w:jc w:val="both"/>
        <w:rPr>
          <w:rFonts w:ascii="Arial" w:hAnsi="Arial"/>
        </w:rPr>
      </w:pPr>
      <w:r>
        <w:rPr>
          <w:rFonts w:ascii="Arial" w:hAnsi="Arial"/>
        </w:rPr>
      </w:r>
      <w:r>
        <w:rPr>
          <w:rFonts w:ascii="Arial" w:hAnsi="Arial"/>
        </w:rPr>
      </w:r>
      <w:r>
        <w:rPr>
          <w:rFonts w:ascii="Arial" w:hAnsi="Arial"/>
        </w:rPr>
      </w:r>
    </w:p>
    <w:p>
      <w:pPr>
        <w:numPr>
          <w:ilvl w:val="0"/>
          <w:numId w:val="2"/>
        </w:numPr>
        <w:pBdr/>
        <w:spacing/>
        <w:ind/>
        <w:jc w:val="both"/>
        <w:rPr>
          <w:rFonts w:ascii="Arial" w:hAnsi="Arial"/>
        </w:rPr>
      </w:pPr>
      <w:r>
        <w:rPr>
          <w:rFonts w:ascii="Arial" w:hAnsi="Arial"/>
        </w:rPr>
      </w:r>
      <w:r>
        <w:rPr>
          <w:rFonts w:ascii="Arial" w:hAnsi="Arial"/>
        </w:rPr>
      </w:r>
      <w:r>
        <w:rPr>
          <w:rFonts w:ascii="Arial" w:hAnsi="Arial"/>
        </w:rPr>
      </w:r>
    </w:p>
    <w:p>
      <w:pPr>
        <w:numPr>
          <w:ilvl w:val="0"/>
          <w:numId w:val="2"/>
        </w:numPr>
        <w:pBdr/>
        <w:spacing/>
        <w:ind/>
        <w:jc w:val="both"/>
        <w:rPr>
          <w:rFonts w:ascii="Arial" w:hAnsi="Arial"/>
        </w:rPr>
      </w:pPr>
      <w:r>
        <w:rPr>
          <w:rFonts w:ascii="Arial" w:hAnsi="Arial"/>
          <w:b/>
        </w:rPr>
        <w:t xml:space="preserve">13.2. </w:t>
      </w:r>
      <w:r>
        <w:rPr>
          <w:rFonts w:ascii="Arial" w:hAnsi="Arial"/>
          <w:b/>
          <w:color w:val="000000"/>
        </w:rPr>
        <w:t xml:space="preserve">SERÁ EXIGIDA OS DOCUMENTOS DE HABILITAÇÃO APENAS DO LICITANTE CLASSIFICADO EM PRIMEIRO LUGAR, </w:t>
      </w:r>
      <w:r>
        <w:rPr>
          <w:rFonts w:ascii="Arial" w:hAnsi="Arial"/>
          <w:b/>
        </w:rPr>
        <w:t xml:space="preserve">DEVERÃO SER ANEXADOS N</w:t>
      </w:r>
      <w:r>
        <w:rPr>
          <w:rFonts w:ascii="Arial" w:hAnsi="Arial"/>
          <w:b/>
        </w:rPr>
        <w:t xml:space="preserve">A PLATAFORMA BLL EM ATÉ 02 HORAS, EM FORMATO DIGITAL. </w:t>
      </w:r>
      <w:r>
        <w:rPr>
          <w:rFonts w:ascii="Arial" w:hAnsi="Arial"/>
        </w:rPr>
        <w:t xml:space="preserve">(</w:t>
      </w:r>
      <w:r>
        <w:rPr>
          <w:rFonts w:ascii="Arial" w:hAnsi="Arial"/>
          <w:bCs/>
          <w:color w:val="000000"/>
        </w:rPr>
        <w:t xml:space="preserve">Art. 63, II, </w:t>
      </w:r>
      <w:r>
        <w:rPr>
          <w:rFonts w:ascii="Arial" w:hAnsi="Arial"/>
          <w:color w:val="000000"/>
        </w:rPr>
        <w:t xml:space="preserve">Lei nº 14.133/2021)</w:t>
      </w:r>
      <w:r>
        <w:rPr>
          <w:rFonts w:ascii="Arial" w:hAnsi="Arial"/>
        </w:rPr>
      </w:r>
      <w:r>
        <w:rPr>
          <w:rFonts w:ascii="Arial" w:hAnsi="Arial"/>
        </w:rPr>
      </w:r>
    </w:p>
    <w:p>
      <w:pPr>
        <w:numPr>
          <w:ilvl w:val="0"/>
          <w:numId w:val="2"/>
        </w:num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numPr>
          <w:ilvl w:val="0"/>
          <w:numId w:val="2"/>
        </w:numPr>
        <w:pBdr/>
        <w:spacing/>
        <w:ind/>
        <w:jc w:val="both"/>
        <w:rPr>
          <w:rFonts w:ascii="Arial" w:hAnsi="Arial"/>
        </w:rPr>
      </w:pPr>
      <w:r>
        <w:rPr>
          <w:rFonts w:ascii="Arial" w:hAnsi="Arial"/>
          <w:b/>
        </w:rPr>
        <w:t xml:space="preserve">13.2.1. A DOCUMENTAÇÃO RELATIVA À HABILITAÇÃO JURÍDICA CONSISTE EM: </w:t>
      </w:r>
      <w:r>
        <w:rPr>
          <w:rFonts w:ascii="Arial" w:hAnsi="Arial"/>
        </w:rPr>
      </w:r>
      <w:r>
        <w:rPr>
          <w:rFonts w:ascii="Arial" w:hAnsi="Arial"/>
        </w:rPr>
      </w:r>
    </w:p>
    <w:p>
      <w:pPr>
        <w:numPr>
          <w:ilvl w:val="0"/>
          <w:numId w:val="2"/>
        </w:num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13.2.1.1.</w:t>
      </w:r>
      <w:r>
        <w:rPr>
          <w:rFonts w:ascii="Arial" w:hAnsi="Arial"/>
        </w:rPr>
        <w:t xml:space="preserve"> Registro comercial, no caso de empresa individual; </w:t>
      </w:r>
      <w:r>
        <w:rPr>
          <w:rFonts w:ascii="Arial" w:hAnsi="Arial"/>
        </w:rPr>
      </w:r>
      <w:r>
        <w:rPr>
          <w:rFonts w:ascii="Arial" w:hAnsi="Arial"/>
        </w:rPr>
      </w:r>
    </w:p>
    <w:p>
      <w:pPr>
        <w:numPr>
          <w:ilvl w:val="0"/>
          <w:numId w:val="2"/>
        </w:num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13.2.1.2.</w:t>
      </w:r>
      <w:r>
        <w:rPr>
          <w:rFonts w:ascii="Arial" w:hAnsi="Arial"/>
        </w:rPr>
        <w:t xml:space="preserve">  Ato constitutivo, estat</w:t>
      </w:r>
      <w:r>
        <w:rPr>
          <w:rFonts w:ascii="Arial" w:hAnsi="Arial"/>
        </w:rPr>
        <w:t xml:space="preserve">uto ou contrato social e alterações em vigor, devidamente registrado, em se tratando de sociedades comerciais e, no caso de sociedades por ações, acompanhado de documentos de eleição de seus administradores; </w:t>
      </w:r>
      <w:r>
        <w:rPr>
          <w:rFonts w:ascii="Arial" w:hAnsi="Arial"/>
        </w:rPr>
      </w:r>
      <w:r>
        <w:rPr>
          <w:rFonts w:ascii="Arial" w:hAnsi="Arial"/>
        </w:rPr>
      </w:r>
    </w:p>
    <w:p>
      <w:pPr>
        <w:numPr>
          <w:ilvl w:val="0"/>
          <w:numId w:val="2"/>
        </w:num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13.2.1.3.</w:t>
      </w:r>
      <w:r>
        <w:rPr>
          <w:rFonts w:ascii="Arial" w:hAnsi="Arial"/>
        </w:rPr>
        <w:t xml:space="preserve">  Inscrição do ato constitutivo, no c</w:t>
      </w:r>
      <w:r>
        <w:rPr>
          <w:rFonts w:ascii="Arial" w:hAnsi="Arial"/>
        </w:rPr>
        <w:t xml:space="preserve">aso de sociedades civis, acompanhada de prova de diretoria em exercício; </w:t>
      </w:r>
      <w:r>
        <w:rPr>
          <w:rFonts w:ascii="Arial" w:hAnsi="Arial"/>
        </w:rPr>
      </w:r>
      <w:r>
        <w:rPr>
          <w:rFonts w:ascii="Arial" w:hAnsi="Arial"/>
        </w:rPr>
      </w:r>
    </w:p>
    <w:p>
      <w:pPr>
        <w:numPr>
          <w:ilvl w:val="0"/>
          <w:numId w:val="2"/>
        </w:num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13.2.1.4.</w:t>
      </w:r>
      <w:r>
        <w:rPr>
          <w:rFonts w:ascii="Arial" w:hAnsi="Arial"/>
        </w:rPr>
        <w:t xml:space="preserve"> Decreto de autorização, em se tratando de empresa ou sociedade estrangeira em funcionamento no País, e ato de registro ou autorização para funcionamento expedido pelo Órgã</w:t>
      </w:r>
      <w:r>
        <w:rPr>
          <w:rFonts w:ascii="Arial" w:hAnsi="Arial"/>
        </w:rPr>
        <w:t xml:space="preserve">o competente, quando a atividade assim o exigir; </w:t>
      </w:r>
      <w:r>
        <w:rPr>
          <w:rFonts w:ascii="Arial" w:hAnsi="Arial"/>
        </w:rPr>
      </w:r>
      <w:r>
        <w:rPr>
          <w:rFonts w:ascii="Arial" w:hAnsi="Arial"/>
        </w:rPr>
      </w:r>
    </w:p>
    <w:p>
      <w:pPr>
        <w:numPr>
          <w:ilvl w:val="0"/>
          <w:numId w:val="2"/>
        </w:num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13.2.1.5.</w:t>
      </w:r>
      <w:r>
        <w:rPr>
          <w:rFonts w:ascii="Arial" w:hAnsi="Arial"/>
        </w:rPr>
        <w:t xml:space="preserve"> Cópia do documento de Identidade e CPF dos Representantes Legais da empresa; </w:t>
      </w:r>
      <w:r>
        <w:rPr>
          <w:rFonts w:ascii="Arial" w:hAnsi="Arial"/>
        </w:rPr>
      </w:r>
      <w:r>
        <w:rPr>
          <w:rFonts w:ascii="Arial" w:hAnsi="Arial"/>
        </w:rPr>
      </w:r>
    </w:p>
    <w:p>
      <w:pPr>
        <w:numPr>
          <w:ilvl w:val="0"/>
          <w:numId w:val="2"/>
        </w:numPr>
        <w:pBdr/>
        <w:spacing/>
        <w:ind w:left="284"/>
        <w:jc w:val="both"/>
        <w:rPr>
          <w:rFonts w:ascii="Arial" w:hAnsi="Arial"/>
        </w:rPr>
      </w:pPr>
      <w:r>
        <w:rPr>
          <w:rFonts w:ascii="Arial" w:hAnsi="Arial"/>
        </w:rPr>
      </w:r>
      <w:r>
        <w:rPr>
          <w:rFonts w:ascii="Arial" w:hAnsi="Arial"/>
        </w:rPr>
      </w:r>
      <w:r>
        <w:rPr>
          <w:rFonts w:ascii="Arial" w:hAnsi="Arial"/>
        </w:rPr>
      </w:r>
    </w:p>
    <w:p>
      <w:pPr>
        <w:numPr>
          <w:ilvl w:val="0"/>
          <w:numId w:val="2"/>
        </w:numPr>
        <w:pBdr/>
        <w:spacing/>
        <w:ind/>
        <w:jc w:val="both"/>
        <w:rPr>
          <w:rFonts w:ascii="Arial" w:hAnsi="Arial"/>
        </w:rPr>
      </w:pPr>
      <w:r>
        <w:rPr>
          <w:rFonts w:ascii="Arial" w:hAnsi="Arial"/>
          <w:b/>
        </w:rPr>
        <w:t xml:space="preserve">13.3. DA COMPROVAÇÃO DE LOCALIZAÇÃO E FUNCIONAMENTO: </w:t>
      </w:r>
      <w:r>
        <w:rPr>
          <w:rFonts w:ascii="Arial" w:hAnsi="Arial"/>
        </w:rPr>
      </w:r>
      <w:r>
        <w:rPr>
          <w:rFonts w:ascii="Arial" w:hAnsi="Arial"/>
        </w:rPr>
      </w:r>
    </w:p>
    <w:p>
      <w:pPr>
        <w:numPr>
          <w:ilvl w:val="0"/>
          <w:numId w:val="2"/>
        </w:num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eastAsia="Arial"/>
          <w14:ligatures w14:val="none"/>
        </w:rPr>
      </w:pPr>
      <w:r/>
      <w:bookmarkStart w:id="17" w:name="_Hlk209711239"/>
      <w:r>
        <w:rPr>
          <w:rFonts w:ascii="Arial" w:hAnsi="Arial" w:eastAsia="Arial"/>
          <w:b/>
        </w:rPr>
        <w:t xml:space="preserve">13.3.1. </w:t>
      </w:r>
      <w:r>
        <w:rPr>
          <w:rFonts w:ascii="Arial" w:hAnsi="Arial" w:eastAsia="Arial"/>
          <w:b/>
          <w:bCs/>
          <w:color w:val="000000"/>
        </w:rPr>
        <w:t xml:space="preserve">Alvará de Localização e Funcionamento</w:t>
      </w:r>
      <w:r>
        <w:rPr>
          <w:rFonts w:ascii="Arial" w:hAnsi="Arial" w:eastAsia="Arial"/>
          <w:color w:val="000000"/>
        </w:rPr>
        <w:t xml:space="preserve">. (</w:t>
      </w:r>
      <w:r>
        <w:rPr>
          <w:rFonts w:ascii="Arial" w:hAnsi="Arial" w:eastAsia="Arial"/>
        </w:rPr>
        <w:t xml:space="preserve">A exigência fundamenta-se na necessidade de assegurar que a empresa licitante exerce suas atividades de forma </w:t>
      </w:r>
      <w:r>
        <w:rPr>
          <w:rFonts w:ascii="Arial" w:hAnsi="Arial" w:eastAsia="Arial"/>
          <w:u w:val="single"/>
        </w:rPr>
        <w:t xml:space="preserve">regular no endereço declarado,</w:t>
      </w:r>
      <w:r>
        <w:rPr>
          <w:rFonts w:ascii="Arial" w:hAnsi="Arial" w:eastAsia="Arial"/>
        </w:rPr>
        <w:t xml:space="preserve"> </w:t>
      </w:r>
      <w:r>
        <w:rPr>
          <w:rFonts w:ascii="Arial" w:hAnsi="Arial" w:eastAsia="Arial"/>
          <w:u w:val="single"/>
        </w:rPr>
        <w:t xml:space="preserve">possui autorização legal para o exercício da atividade econômica</w:t>
      </w:r>
      <w:r>
        <w:rPr>
          <w:rFonts w:ascii="Arial" w:hAnsi="Arial" w:eastAsia="Arial"/>
        </w:rPr>
        <w:t xml:space="preserve">, </w:t>
      </w:r>
      <w:r>
        <w:rPr>
          <w:rFonts w:ascii="Arial" w:hAnsi="Arial" w:eastAsia="Arial"/>
          <w:u w:val="single"/>
        </w:rPr>
        <w:t xml:space="preserve">cumpre os requisitos de segurança, higiene e aces</w:t>
      </w:r>
      <w:r>
        <w:rPr>
          <w:rFonts w:ascii="Arial" w:hAnsi="Arial" w:eastAsia="Arial"/>
          <w:u w:val="single"/>
        </w:rPr>
        <w:t xml:space="preserve">sibilidade,</w:t>
      </w:r>
      <w:r>
        <w:rPr>
          <w:rFonts w:ascii="Arial" w:hAnsi="Arial" w:eastAsia="Arial"/>
        </w:rPr>
        <w:t xml:space="preserve"> visando </w:t>
      </w:r>
      <w:r>
        <w:rPr>
          <w:rFonts w:ascii="Arial" w:hAnsi="Arial" w:eastAsia="Arial"/>
        </w:rPr>
        <w:t xml:space="preserve">p</w:t>
      </w:r>
      <w:r>
        <w:rPr>
          <w:rFonts w:ascii="Arial" w:hAnsi="Arial" w:eastAsia="Arial"/>
        </w:rPr>
        <w:t xml:space="preserve">roteger o interesse público evitando a contratação de empresas irregulares ou clandestinas)</w:t>
      </w:r>
      <w:r>
        <w:rPr>
          <w:rFonts w:ascii="Arial" w:hAnsi="Arial" w:eastAsia="Arial"/>
        </w:rPr>
        <w:t xml:space="preserve">.</w:t>
      </w:r>
      <w:r>
        <w:rPr>
          <w:rFonts w:ascii="Arial" w:hAnsi="Arial" w:eastAsia="Arial"/>
          <w14:ligatures w14:val="none"/>
        </w:rPr>
      </w:r>
      <w:r>
        <w:rPr>
          <w:rFonts w:ascii="Arial" w:hAnsi="Arial" w:eastAsia="Arial"/>
          <w14:ligatures w14:val="none"/>
        </w:rPr>
      </w:r>
    </w:p>
    <w:p>
      <w:pPr>
        <w:pStyle w:val="2017"/>
        <w:pBdr/>
        <w:spacing/>
        <w:ind w:left="284"/>
        <w:rPr>
          <w:rFonts w:ascii="Arial" w:hAnsi="Arial" w:cs="Arial"/>
        </w:rPr>
      </w:pPr>
      <w:r>
        <w:rPr>
          <w:rFonts w:ascii="Arial" w:hAnsi="Arial" w:cs="Arial"/>
        </w:rPr>
      </w:r>
      <w:r>
        <w:rPr>
          <w:rFonts w:ascii="Arial" w:hAnsi="Arial" w:cs="Arial"/>
        </w:rPr>
      </w:r>
      <w:r>
        <w:rPr>
          <w:rFonts w:ascii="Arial" w:hAnsi="Arial" w:cs="Arial"/>
        </w:rPr>
      </w:r>
    </w:p>
    <w:p>
      <w:pPr>
        <w:pBdr/>
        <w:spacing/>
        <w:ind/>
        <w:jc w:val="both"/>
        <w:rPr>
          <w:rFonts w:ascii="Arial" w:hAnsi="Arial"/>
        </w:rPr>
      </w:pPr>
      <w:r>
        <w:rPr>
          <w:rFonts w:ascii="Arial" w:hAnsi="Arial" w:eastAsia="Arial"/>
          <w:b/>
          <w:bCs/>
        </w:rPr>
        <w:t xml:space="preserve">13.3.1.1.</w:t>
      </w:r>
      <w:r>
        <w:rPr>
          <w:rFonts w:ascii="Arial" w:hAnsi="Arial" w:eastAsia="Arial"/>
        </w:rPr>
        <w:t xml:space="preserve"> Na hipótese de </w:t>
      </w:r>
      <w:r>
        <w:rPr>
          <w:rFonts w:ascii="Arial" w:hAnsi="Arial" w:eastAsia="Arial"/>
          <w:b/>
          <w:bCs/>
        </w:rPr>
        <w:t xml:space="preserve">indisponibilidade do Alvará definitivo</w:t>
      </w:r>
      <w:r>
        <w:rPr>
          <w:rFonts w:ascii="Arial" w:hAnsi="Arial" w:eastAsia="Arial"/>
        </w:rPr>
        <w:t xml:space="preserve">, poderá ser aceito, de forma </w:t>
      </w:r>
      <w:r>
        <w:rPr>
          <w:rFonts w:ascii="Arial" w:hAnsi="Arial" w:eastAsia="Arial"/>
          <w:b/>
          <w:bCs/>
        </w:rPr>
        <w:t xml:space="preserve">excepcional e a critério da Administração</w:t>
      </w:r>
      <w:r>
        <w:rPr>
          <w:rFonts w:ascii="Arial" w:hAnsi="Arial" w:eastAsia="Arial"/>
        </w:rPr>
        <w:t xml:space="preserve">: </w:t>
      </w:r>
      <w:r>
        <w:rPr>
          <w:rFonts w:ascii="Arial" w:hAnsi="Arial" w:eastAsia="Arial"/>
          <w:b/>
          <w:bCs/>
        </w:rPr>
        <w:t xml:space="preserve">a)</w:t>
      </w:r>
      <w:r>
        <w:rPr>
          <w:rFonts w:ascii="Arial" w:hAnsi="Arial" w:eastAsia="Arial"/>
        </w:rPr>
        <w:t xml:space="preserve"> Alv</w:t>
      </w:r>
      <w:r>
        <w:rPr>
          <w:rFonts w:ascii="Arial" w:hAnsi="Arial" w:eastAsia="Arial"/>
        </w:rPr>
        <w:t xml:space="preserve">ará provisório ou licença de funcionamento temporária, emitida pelo órgão </w:t>
      </w:r>
      <w:r>
        <w:rPr>
          <w:rFonts w:ascii="Arial" w:hAnsi="Arial" w:eastAsia="Arial"/>
        </w:rPr>
        <w:t xml:space="preserve">municipal competente; </w:t>
      </w:r>
      <w:r>
        <w:rPr>
          <w:rFonts w:ascii="Arial" w:hAnsi="Arial" w:eastAsia="Arial"/>
          <w:b/>
          <w:bCs/>
        </w:rPr>
        <w:t xml:space="preserve">b)</w:t>
      </w:r>
      <w:r>
        <w:rPr>
          <w:rFonts w:ascii="Arial" w:hAnsi="Arial" w:eastAsia="Arial"/>
        </w:rPr>
        <w:t xml:space="preserve"> Certidão de regularidade no cadastro da empresa junto à Prefeitura ou órgão equivalente, comprovando a inscrição no cadastro de contribuintes e a atividade e</w:t>
      </w:r>
      <w:r>
        <w:rPr>
          <w:rFonts w:ascii="Arial" w:hAnsi="Arial" w:eastAsia="Arial"/>
        </w:rPr>
        <w:t xml:space="preserve">conômica declarada. </w:t>
      </w:r>
      <w:r>
        <w:rPr>
          <w:rFonts w:ascii="Arial" w:hAnsi="Arial"/>
        </w:rPr>
      </w:r>
      <w:r>
        <w:rPr>
          <w:rFonts w:ascii="Arial" w:hAnsi="Arial"/>
        </w:rPr>
      </w:r>
    </w:p>
    <w:p>
      <w:pPr>
        <w:numPr>
          <w:ilvl w:val="0"/>
          <w:numId w:val="2"/>
        </w:num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eastAsia="Arial"/>
          <w:b/>
          <w:bCs/>
          <w:color w:val="000000"/>
          <w:lang w:eastAsia="pt-BR"/>
        </w:rPr>
        <w:t xml:space="preserve">13.3.2.</w:t>
      </w:r>
      <w:r>
        <w:rPr>
          <w:rFonts w:ascii="Arial" w:hAnsi="Arial" w:eastAsia="Arial"/>
          <w:color w:val="000000"/>
          <w:lang w:eastAsia="pt-BR"/>
        </w:rPr>
        <w:t xml:space="preserve"> A aceitação de documentos provisórios ou alternativos </w:t>
      </w:r>
      <w:r>
        <w:rPr>
          <w:rFonts w:ascii="Arial" w:hAnsi="Arial" w:eastAsia="Arial"/>
          <w:b/>
          <w:bCs/>
          <w:color w:val="000000"/>
          <w:lang w:eastAsia="pt-BR"/>
        </w:rPr>
        <w:t xml:space="preserve">não exime o licitante</w:t>
      </w:r>
      <w:r>
        <w:rPr>
          <w:rFonts w:ascii="Arial" w:hAnsi="Arial" w:eastAsia="Arial"/>
          <w:color w:val="000000"/>
          <w:lang w:eastAsia="pt-BR"/>
        </w:rPr>
        <w:t xml:space="preserve"> da obrigação de apresentar, posteriormente, o alvará definitivo, quando exigido para a contratação.</w:t>
      </w:r>
      <w:bookmarkEnd w:id="17"/>
      <w:r>
        <w:rPr>
          <w:rFonts w:ascii="Arial" w:hAnsi="Arial"/>
          <w:color w:val="000000"/>
        </w:rPr>
      </w:r>
      <w:r>
        <w:rPr>
          <w:rFonts w:ascii="Arial" w:hAnsi="Arial"/>
          <w:color w:val="000000"/>
        </w:rPr>
      </w:r>
    </w:p>
    <w:p>
      <w:pPr>
        <w:numPr>
          <w:ilvl w:val="0"/>
          <w:numId w:val="2"/>
        </w:numPr>
        <w:pBdr/>
        <w:spacing/>
        <w:ind/>
        <w:jc w:val="both"/>
        <w:rPr>
          <w:rFonts w:ascii="Arial" w:hAnsi="Arial"/>
        </w:rPr>
      </w:pPr>
      <w:r>
        <w:rPr>
          <w:rFonts w:ascii="Arial" w:hAnsi="Arial"/>
        </w:rPr>
      </w:r>
      <w:r>
        <w:rPr>
          <w:rFonts w:ascii="Arial" w:hAnsi="Arial"/>
        </w:rPr>
      </w:r>
      <w:r>
        <w:rPr>
          <w:rFonts w:ascii="Arial" w:hAnsi="Arial"/>
        </w:rPr>
      </w:r>
    </w:p>
    <w:p>
      <w:pPr>
        <w:numPr>
          <w:ilvl w:val="0"/>
          <w:numId w:val="2"/>
        </w:numPr>
        <w:pBdr/>
        <w:spacing/>
        <w:ind/>
        <w:jc w:val="both"/>
        <w:rPr>
          <w:rFonts w:ascii="Arial" w:hAnsi="Arial"/>
        </w:rPr>
      </w:pPr>
      <w:r>
        <w:rPr>
          <w:rFonts w:ascii="Arial" w:hAnsi="Arial"/>
          <w:b/>
        </w:rPr>
        <w:t xml:space="preserve">13.4. A DOCUMENTAÇÃO RELATIVA À QUALIFICAÇÃO EC</w:t>
      </w:r>
      <w:r>
        <w:rPr>
          <w:rFonts w:ascii="Arial" w:hAnsi="Arial"/>
          <w:b/>
        </w:rPr>
        <w:t xml:space="preserve">ONÔMICA FINANCEIRA CONSISTE EM: </w:t>
      </w:r>
      <w:r>
        <w:rPr>
          <w:rFonts w:ascii="Arial" w:hAnsi="Arial"/>
        </w:rPr>
      </w:r>
      <w:r>
        <w:rPr>
          <w:rFonts w:ascii="Arial" w:hAnsi="Arial"/>
        </w:rPr>
      </w:r>
    </w:p>
    <w:p>
      <w:pPr>
        <w:numPr>
          <w:ilvl w:val="0"/>
          <w:numId w:val="2"/>
        </w:num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13.4.1. Certidão Negativa de Falência, Concordata, ou Recuperação Judicial ou Extrajudicial</w:t>
      </w:r>
      <w:r>
        <w:rPr>
          <w:rFonts w:ascii="Arial" w:hAnsi="Arial"/>
        </w:rPr>
        <w:t xml:space="preserve">, expedida pelo distribuidor da sede da pessoa jurídica, ou de execução patrimonial, expedida pelo distribuidor do domicílio da pes</w:t>
      </w:r>
      <w:r>
        <w:rPr>
          <w:rFonts w:ascii="Arial" w:hAnsi="Arial"/>
        </w:rPr>
        <w:t xml:space="preserve">soa física, em data não superior a 60 (sessenta) dias da data designada para apresentação do documento, exceto se outro prazo constar do referido documento; </w:t>
      </w:r>
      <w:r>
        <w:rPr>
          <w:rFonts w:ascii="Arial" w:hAnsi="Arial"/>
        </w:rPr>
      </w:r>
      <w:r>
        <w:rPr>
          <w:rFonts w:ascii="Arial" w:hAnsi="Arial"/>
        </w:rPr>
      </w:r>
    </w:p>
    <w:p>
      <w:pPr>
        <w:numPr>
          <w:ilvl w:val="0"/>
          <w:numId w:val="2"/>
        </w:num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13.4.1.1.</w:t>
      </w:r>
      <w:r>
        <w:rPr>
          <w:rFonts w:ascii="Arial" w:hAnsi="Arial"/>
          <w:color w:val="000000"/>
        </w:rPr>
        <w:t xml:space="preserve"> Caso a certidão exigida acima seja emitida na forma </w:t>
      </w:r>
      <w:r>
        <w:rPr>
          <w:rFonts w:ascii="Arial" w:hAnsi="Arial"/>
          <w:b/>
          <w:color w:val="000000"/>
          <w:u w:val="single"/>
        </w:rPr>
        <w:t xml:space="preserve">positiva </w:t>
      </w:r>
      <w:r>
        <w:rPr>
          <w:rFonts w:ascii="Arial" w:hAnsi="Arial"/>
          <w:color w:val="000000"/>
        </w:rPr>
        <w:t xml:space="preserve">para recuperação judicial, o licitante deverá comprovar, por meio de certidão emitida pela instância judicial competente, que o plano de recuperação foi aprovado em assembleia geral de credores e homologado pelo juiz, e que está sendo cumprido regularmente</w:t>
      </w:r>
      <w:r>
        <w:rPr>
          <w:rFonts w:ascii="Arial" w:hAnsi="Arial"/>
          <w:color w:val="000000"/>
        </w:rPr>
        <w:t xml:space="preserve">, demonstrando que a empresa está apta econômica e financeiramente a participar de procedimento licitatório.</w:t>
      </w:r>
      <w:r>
        <w:rPr>
          <w:rFonts w:ascii="Arial" w:hAnsi="Arial"/>
          <w:color w:val="000000"/>
        </w:rPr>
      </w:r>
      <w:r>
        <w:rPr>
          <w:rFonts w:ascii="Arial" w:hAnsi="Arial"/>
          <w:color w:val="000000"/>
        </w:rPr>
      </w:r>
    </w:p>
    <w:p>
      <w:pPr>
        <w:numPr>
          <w:ilvl w:val="0"/>
          <w:numId w:val="2"/>
        </w:num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13.4.1.2. </w:t>
      </w:r>
      <w:r>
        <w:rPr>
          <w:rFonts w:ascii="Arial" w:hAnsi="Arial"/>
        </w:rPr>
        <w:t xml:space="preserve">Se a licitante for cooperativa, a certidões mencionadas nas alíneas, subitens anteriores, deverá ser substituída por certidão negativa d</w:t>
      </w:r>
      <w:r>
        <w:rPr>
          <w:rFonts w:ascii="Arial" w:hAnsi="Arial"/>
        </w:rPr>
        <w:t xml:space="preserve">e ações de insolvência civil. </w:t>
      </w:r>
      <w:r>
        <w:rPr>
          <w:rFonts w:ascii="Arial" w:hAnsi="Arial"/>
        </w:rPr>
      </w:r>
      <w:r>
        <w:rPr>
          <w:rFonts w:ascii="Arial" w:hAnsi="Arial"/>
        </w:rPr>
      </w:r>
    </w:p>
    <w:p>
      <w:pPr>
        <w:numPr>
          <w:ilvl w:val="0"/>
          <w:numId w:val="2"/>
        </w:numPr>
        <w:pBdr/>
        <w:spacing/>
        <w:ind/>
        <w:jc w:val="both"/>
        <w:rPr>
          <w:rFonts w:ascii="Arial" w:hAnsi="Arial"/>
          <w:sz w:val="19"/>
          <w:szCs w:val="19"/>
        </w:rPr>
      </w:pPr>
      <w:r>
        <w:rPr>
          <w:rFonts w:ascii="Arial" w:hAnsi="Arial"/>
          <w:sz w:val="19"/>
          <w:szCs w:val="19"/>
        </w:rPr>
      </w:r>
      <w:r>
        <w:rPr>
          <w:rFonts w:ascii="Arial" w:hAnsi="Arial"/>
          <w:sz w:val="19"/>
          <w:szCs w:val="19"/>
        </w:rPr>
      </w:r>
      <w:r>
        <w:rPr>
          <w:rFonts w:ascii="Arial" w:hAnsi="Arial"/>
          <w:sz w:val="19"/>
          <w:szCs w:val="19"/>
        </w:rPr>
      </w:r>
    </w:p>
    <w:p>
      <w:pPr>
        <w:numPr>
          <w:ilvl w:val="0"/>
          <w:numId w:val="2"/>
        </w:numPr>
        <w:pBdr/>
        <w:spacing/>
        <w:ind/>
        <w:jc w:val="both"/>
        <w:rPr>
          <w:rFonts w:ascii="Arial" w:hAnsi="Arial"/>
        </w:rPr>
      </w:pPr>
      <w:r>
        <w:rPr>
          <w:rFonts w:ascii="Arial" w:hAnsi="Arial"/>
          <w:b/>
        </w:rPr>
        <w:t xml:space="preserve">13.5. A DOCUMENTAÇÃO RELATIVA À REGULARIDADE FISCAL E TRABALHISTA CONSISTE EM:</w:t>
      </w:r>
      <w:r>
        <w:rPr>
          <w:rFonts w:ascii="Arial" w:hAnsi="Arial"/>
        </w:rPr>
      </w:r>
      <w:r>
        <w:rPr>
          <w:rFonts w:ascii="Arial" w:hAnsi="Arial"/>
        </w:rPr>
      </w:r>
    </w:p>
    <w:p>
      <w:pPr>
        <w:pStyle w:val="2048"/>
        <w:numPr>
          <w:ilvl w:val="0"/>
          <w:numId w:val="2"/>
        </w:numPr>
        <w:pBdr/>
        <w:spacing/>
        <w:ind/>
        <w:rPr>
          <w:rFonts w:ascii="Arial" w:hAnsi="Arial"/>
          <w:b/>
          <w:sz w:val="20"/>
        </w:rPr>
      </w:pPr>
      <w:r>
        <w:rPr>
          <w:rFonts w:ascii="Arial" w:hAnsi="Arial"/>
          <w:b/>
          <w:sz w:val="20"/>
        </w:rPr>
      </w:r>
      <w:r>
        <w:rPr>
          <w:rFonts w:ascii="Arial" w:hAnsi="Arial"/>
          <w:b/>
          <w:sz w:val="20"/>
        </w:rPr>
      </w:r>
      <w:r>
        <w:rPr>
          <w:rFonts w:ascii="Arial" w:hAnsi="Arial"/>
          <w:b/>
          <w:sz w:val="20"/>
        </w:rPr>
      </w:r>
    </w:p>
    <w:p>
      <w:pPr>
        <w:pBdr/>
        <w:spacing/>
        <w:ind/>
        <w:jc w:val="both"/>
        <w:rPr>
          <w:rFonts w:ascii="Arial" w:hAnsi="Arial"/>
        </w:rPr>
      </w:pPr>
      <w:r>
        <w:rPr>
          <w:rFonts w:ascii="Arial" w:hAnsi="Arial"/>
          <w:b/>
        </w:rPr>
        <w:t xml:space="preserve">13.5.1</w:t>
      </w:r>
      <w:r>
        <w:rPr>
          <w:rFonts w:ascii="Arial" w:hAnsi="Arial"/>
        </w:rPr>
        <w:t xml:space="preserve">. Prova de inscrição no Cadastro Nacional de Pessoas Jurídicas (CNPJ);</w:t>
      </w:r>
      <w:r>
        <w:rPr>
          <w:rFonts w:ascii="Arial" w:hAnsi="Arial"/>
        </w:rPr>
      </w:r>
      <w:r>
        <w:rPr>
          <w:rFonts w:ascii="Arial" w:hAnsi="Arial"/>
        </w:rPr>
      </w:r>
    </w:p>
    <w:p>
      <w:pPr>
        <w:numPr>
          <w:ilvl w:val="0"/>
          <w:numId w:val="2"/>
        </w:num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color w:val="000000"/>
        </w:rPr>
        <w:t xml:space="preserve">13.5.2.</w:t>
      </w:r>
      <w:r>
        <w:rPr>
          <w:rFonts w:ascii="Arial" w:hAnsi="Arial"/>
          <w:color w:val="000000"/>
        </w:rPr>
        <w:t xml:space="preserve"> Prova de Inscrição no Cadastro de Contribuinte Estadual, r</w:t>
      </w:r>
      <w:r>
        <w:rPr>
          <w:rFonts w:ascii="Arial" w:hAnsi="Arial"/>
          <w:color w:val="000000"/>
        </w:rPr>
        <w:t xml:space="preserve">elativo à sede da licitante, pertinente ao seu ramo de atividade e compatível com o objeto do certame.</w:t>
      </w:r>
      <w:r>
        <w:rPr>
          <w:rFonts w:ascii="Arial" w:hAnsi="Arial"/>
        </w:rPr>
      </w:r>
      <w:r>
        <w:rPr>
          <w:rFonts w:ascii="Arial" w:hAnsi="Arial"/>
        </w:rPr>
      </w:r>
    </w:p>
    <w:p>
      <w:pPr>
        <w:numPr>
          <w:ilvl w:val="0"/>
          <w:numId w:val="2"/>
        </w:num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rPr>
        <w:t xml:space="preserve">13.5.3.</w:t>
      </w:r>
      <w:r>
        <w:rPr>
          <w:rFonts w:ascii="Arial" w:hAnsi="Arial"/>
        </w:rPr>
        <w:t xml:space="preserve"> Certidão Negativa de Débitos expedida conjuntamente pela Secretaria da Receita Federal do Brasil (RFB) e pela Procuradoria-Geral da Fazenda Naci</w:t>
      </w:r>
      <w:r>
        <w:rPr>
          <w:rFonts w:ascii="Arial" w:hAnsi="Arial"/>
        </w:rPr>
        <w:t xml:space="preserve">onal (PGFN), referente a todos os créditos tributários federais e à Dívida Ativa da União (DAU) por elas administrados, inclusive os créditos tributários relativos às Contribuições Sociais previstas nas alíneas “a”, “b”, e “c” do parágrafo único do art. 11</w:t>
      </w:r>
      <w:r>
        <w:rPr>
          <w:rFonts w:ascii="Arial" w:hAnsi="Arial"/>
        </w:rPr>
        <w:t xml:space="preserve"> da Lei nº 8.212, de 24 de julho de 1991, às contribuições instituídas a título de substituição, e às contribuições devidas, por lei, a terceiros;</w:t>
      </w:r>
      <w:r>
        <w:rPr>
          <w:rFonts w:ascii="Arial" w:hAnsi="Arial"/>
        </w:rPr>
      </w:r>
      <w:r>
        <w:rPr>
          <w:rFonts w:ascii="Arial" w:hAnsi="Arial"/>
        </w:rPr>
      </w:r>
    </w:p>
    <w:p>
      <w:pPr>
        <w:numPr>
          <w:ilvl w:val="0"/>
          <w:numId w:val="2"/>
        </w:num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13.5.4.</w:t>
      </w:r>
      <w:r>
        <w:rPr>
          <w:rFonts w:ascii="Arial" w:hAnsi="Arial"/>
        </w:rPr>
        <w:t xml:space="preserve"> Certidão Negativa de Débitos Fiscal com a Fazenda Estadual, emitida pela Agência Fazendária da Secretaria de estado de fazenda do respectivo domicílio tributário;</w:t>
      </w:r>
      <w:r>
        <w:rPr>
          <w:rFonts w:ascii="Arial" w:hAnsi="Arial"/>
        </w:rPr>
      </w:r>
      <w:r>
        <w:rPr>
          <w:rFonts w:ascii="Arial" w:hAnsi="Arial"/>
        </w:rPr>
      </w:r>
    </w:p>
    <w:p>
      <w:pPr>
        <w:numPr>
          <w:ilvl w:val="0"/>
          <w:numId w:val="2"/>
        </w:num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13.5.5.</w:t>
      </w:r>
      <w:r>
        <w:rPr>
          <w:rFonts w:ascii="Arial" w:hAnsi="Arial"/>
        </w:rPr>
        <w:t xml:space="preserve"> Certidão Negativa de Débitos referentes aos tributos municipais, expedida pela Secr</w:t>
      </w:r>
      <w:r>
        <w:rPr>
          <w:rFonts w:ascii="Arial" w:hAnsi="Arial"/>
        </w:rPr>
        <w:t xml:space="preserve">etaria Municipal da Fazenda ou Finanças do respectivo domicílio tributário;</w:t>
      </w:r>
      <w:r>
        <w:rPr>
          <w:rFonts w:ascii="Arial" w:hAnsi="Arial"/>
        </w:rPr>
      </w:r>
      <w:r>
        <w:rPr>
          <w:rFonts w:ascii="Arial" w:hAnsi="Arial"/>
        </w:rPr>
      </w:r>
    </w:p>
    <w:p>
      <w:pPr>
        <w:numPr>
          <w:ilvl w:val="0"/>
          <w:numId w:val="2"/>
        </w:num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color w:val="000000"/>
        </w:rPr>
        <w:t xml:space="preserve">13.5.6.</w:t>
      </w:r>
      <w:r>
        <w:rPr>
          <w:rFonts w:ascii="Arial" w:hAnsi="Arial"/>
          <w:color w:val="000000"/>
        </w:rPr>
        <w:t xml:space="preserve"> Certificado de Regularidade de Situação para com o Fundo de Garantia de Tempo de Serviço (CRF/FGTS), emitida pela Caixa Econômica Federal;</w:t>
      </w:r>
      <w:r>
        <w:rPr>
          <w:rFonts w:ascii="Arial" w:hAnsi="Arial"/>
        </w:rPr>
      </w:r>
      <w:r>
        <w:rPr>
          <w:rFonts w:ascii="Arial" w:hAnsi="Arial"/>
        </w:rPr>
      </w:r>
    </w:p>
    <w:p>
      <w:pPr>
        <w:numPr>
          <w:ilvl w:val="0"/>
          <w:numId w:val="2"/>
        </w:num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sz w:val="19"/>
          <w:szCs w:val="19"/>
        </w:rPr>
      </w:pPr>
      <w:r>
        <w:rPr>
          <w:rFonts w:ascii="Arial" w:hAnsi="Arial"/>
          <w:b/>
          <w:sz w:val="19"/>
          <w:szCs w:val="19"/>
        </w:rPr>
        <w:t xml:space="preserve">13.5.7.</w:t>
      </w:r>
      <w:r>
        <w:rPr>
          <w:rFonts w:ascii="Arial" w:hAnsi="Arial"/>
          <w:sz w:val="19"/>
          <w:szCs w:val="19"/>
        </w:rPr>
        <w:t xml:space="preserve"> Certidão Negativa de Dé</w:t>
      </w:r>
      <w:r>
        <w:rPr>
          <w:rFonts w:ascii="Arial" w:hAnsi="Arial"/>
          <w:sz w:val="19"/>
          <w:szCs w:val="19"/>
        </w:rPr>
        <w:t xml:space="preserve">bito Trabalhista (CNDT), perante a Justiça do Trabalho, redação dada pela Lei nº 12.440/2011. (obtida através do site: </w:t>
      </w:r>
      <w:hyperlink r:id="rId27" w:tooltip="http://www.tst.jus.br/" w:history="1">
        <w:r>
          <w:rPr>
            <w:rStyle w:val="973"/>
            <w:rFonts w:ascii="Arial" w:hAnsi="Arial" w:cs="Arial"/>
            <w:color w:val="000000"/>
            <w:sz w:val="19"/>
            <w:szCs w:val="19"/>
          </w:rPr>
          <w:t xml:space="preserve">www.tst.jus.br</w:t>
        </w:r>
      </w:hyperlink>
      <w:r>
        <w:rPr>
          <w:rFonts w:ascii="Arial" w:hAnsi="Arial"/>
          <w:sz w:val="19"/>
          <w:szCs w:val="19"/>
        </w:rPr>
        <w:t xml:space="preserve">). </w:t>
      </w:r>
      <w:r>
        <w:rPr>
          <w:rFonts w:ascii="Arial" w:hAnsi="Arial"/>
          <w:b/>
          <w:sz w:val="19"/>
          <w:szCs w:val="19"/>
        </w:rPr>
        <w:t xml:space="preserve">Observação:</w:t>
      </w:r>
      <w:r>
        <w:rPr>
          <w:rFonts w:ascii="Arial" w:hAnsi="Arial"/>
          <w:sz w:val="19"/>
          <w:szCs w:val="19"/>
        </w:rPr>
        <w:t xml:space="preserve"> As microempresas, empresas de pequeno porte, </w:t>
      </w:r>
      <w:r>
        <w:rPr>
          <w:rFonts w:ascii="Arial" w:hAnsi="Arial"/>
          <w:color w:val="000000"/>
          <w:sz w:val="19"/>
          <w:szCs w:val="19"/>
        </w:rPr>
        <w:t xml:space="preserve">e as sociedades cooperativas,</w:t>
      </w:r>
      <w:r>
        <w:rPr>
          <w:rFonts w:ascii="Arial" w:hAnsi="Arial"/>
          <w:sz w:val="19"/>
          <w:szCs w:val="19"/>
        </w:rPr>
        <w:t xml:space="preserve"> deverão apresentar toda a documentação exigida para efeito de comprovação de regularidade fiscal</w:t>
      </w:r>
      <w:r>
        <w:rPr>
          <w:rFonts w:ascii="Arial" w:hAnsi="Arial"/>
          <w:color w:val="ff0000"/>
          <w:sz w:val="19"/>
          <w:szCs w:val="19"/>
        </w:rPr>
        <w:t xml:space="preserve"> </w:t>
      </w:r>
      <w:r>
        <w:rPr>
          <w:rFonts w:ascii="Arial" w:hAnsi="Arial"/>
          <w:sz w:val="19"/>
          <w:szCs w:val="19"/>
        </w:rPr>
        <w:t xml:space="preserve">e trabalhista, mesmo que está apresente alguma restrição. </w:t>
      </w:r>
      <w:r>
        <w:rPr>
          <w:rFonts w:ascii="Arial" w:hAnsi="Arial"/>
          <w:sz w:val="19"/>
          <w:szCs w:val="19"/>
        </w:rPr>
      </w:r>
      <w:r>
        <w:rPr>
          <w:rFonts w:ascii="Arial" w:hAnsi="Arial"/>
          <w:sz w:val="19"/>
          <w:szCs w:val="19"/>
        </w:rPr>
      </w:r>
    </w:p>
    <w:p>
      <w:pPr>
        <w:numPr>
          <w:ilvl w:val="0"/>
          <w:numId w:val="2"/>
        </w:numPr>
        <w:pBdr/>
        <w:spacing/>
        <w:ind w:left="284"/>
        <w:jc w:val="both"/>
        <w:rPr>
          <w:rFonts w:ascii="Arial" w:hAnsi="Arial"/>
          <w:sz w:val="19"/>
          <w:szCs w:val="19"/>
        </w:rPr>
      </w:pPr>
      <w:r>
        <w:rPr>
          <w:rFonts w:ascii="Arial" w:hAnsi="Arial"/>
          <w:sz w:val="19"/>
          <w:szCs w:val="19"/>
        </w:rPr>
      </w:r>
      <w:r>
        <w:rPr>
          <w:rFonts w:ascii="Arial" w:hAnsi="Arial"/>
          <w:sz w:val="19"/>
          <w:szCs w:val="19"/>
        </w:rPr>
      </w:r>
      <w:r>
        <w:rPr>
          <w:rFonts w:ascii="Arial" w:hAnsi="Arial"/>
          <w:sz w:val="19"/>
          <w:szCs w:val="19"/>
        </w:rPr>
      </w:r>
    </w:p>
    <w:p>
      <w:pPr>
        <w:pBdr/>
        <w:spacing/>
        <w:ind/>
        <w:jc w:val="both"/>
        <w:rPr>
          <w:rFonts w:ascii="Arial" w:hAnsi="Arial"/>
          <w:sz w:val="19"/>
          <w:szCs w:val="19"/>
        </w:rPr>
      </w:pPr>
      <w:r>
        <w:rPr>
          <w:rFonts w:ascii="Arial" w:hAnsi="Arial"/>
          <w:b/>
          <w:sz w:val="19"/>
          <w:szCs w:val="19"/>
        </w:rPr>
        <w:t xml:space="preserve">a) </w:t>
      </w:r>
      <w:r>
        <w:rPr>
          <w:rFonts w:ascii="Arial" w:hAnsi="Arial"/>
          <w:sz w:val="19"/>
          <w:szCs w:val="19"/>
        </w:rPr>
        <w:t xml:space="preserve">Havendo alguma restr</w:t>
      </w:r>
      <w:r>
        <w:rPr>
          <w:rFonts w:ascii="Arial" w:hAnsi="Arial"/>
          <w:sz w:val="19"/>
          <w:szCs w:val="19"/>
        </w:rPr>
        <w:t xml:space="preserve">ição na comprovação da regularidade fiscal e trabalhista, será assegurado o prazo de 5 (cinco) dias úteis, cujo termo inicial corresponderá ao momento em que o proponente for declarado o vencedor do certame, prorrogável por igual período, a critério da adm</w:t>
      </w:r>
      <w:r>
        <w:rPr>
          <w:rFonts w:ascii="Arial" w:hAnsi="Arial"/>
          <w:sz w:val="19"/>
          <w:szCs w:val="19"/>
        </w:rPr>
        <w:t xml:space="preserve">inistração pública, para a regularização da documentação, pagamento ou parcelamento do débito e emissão de eventuais certidões negativas ou positivas com efeito de certidão negativa. (Art. 43, §1º LC 123/2006).</w:t>
      </w:r>
      <w:r>
        <w:rPr>
          <w:rFonts w:ascii="Arial" w:hAnsi="Arial"/>
          <w:sz w:val="19"/>
          <w:szCs w:val="19"/>
        </w:rPr>
      </w:r>
      <w:r>
        <w:rPr>
          <w:rFonts w:ascii="Arial" w:hAnsi="Arial"/>
          <w:sz w:val="19"/>
          <w:szCs w:val="19"/>
        </w:rPr>
      </w:r>
    </w:p>
    <w:p>
      <w:pPr>
        <w:numPr>
          <w:ilvl w:val="0"/>
          <w:numId w:val="2"/>
        </w:numPr>
        <w:pBdr/>
        <w:spacing/>
        <w:ind w:left="284"/>
        <w:jc w:val="both"/>
        <w:rPr>
          <w:rFonts w:ascii="Arial" w:hAnsi="Arial"/>
          <w:sz w:val="19"/>
          <w:szCs w:val="19"/>
        </w:rPr>
      </w:pPr>
      <w:r>
        <w:rPr>
          <w:rFonts w:ascii="Arial" w:hAnsi="Arial"/>
          <w:sz w:val="19"/>
          <w:szCs w:val="19"/>
        </w:rPr>
      </w:r>
      <w:r>
        <w:rPr>
          <w:rFonts w:ascii="Arial" w:hAnsi="Arial"/>
          <w:sz w:val="19"/>
          <w:szCs w:val="19"/>
        </w:rPr>
      </w:r>
      <w:r>
        <w:rPr>
          <w:rFonts w:ascii="Arial" w:hAnsi="Arial"/>
          <w:sz w:val="19"/>
          <w:szCs w:val="19"/>
        </w:rPr>
      </w:r>
    </w:p>
    <w:p>
      <w:pPr>
        <w:pBdr/>
        <w:spacing/>
        <w:ind/>
        <w:jc w:val="both"/>
        <w:rPr>
          <w:rFonts w:ascii="Arial" w:hAnsi="Arial"/>
        </w:rPr>
      </w:pPr>
      <w:r>
        <w:rPr>
          <w:rFonts w:ascii="Arial" w:hAnsi="Arial"/>
          <w:b/>
          <w:color w:val="000000"/>
        </w:rPr>
        <w:t xml:space="preserve">b)</w:t>
      </w:r>
      <w:r>
        <w:rPr>
          <w:rFonts w:ascii="Arial" w:hAnsi="Arial"/>
          <w:color w:val="000000"/>
        </w:rPr>
        <w:t xml:space="preserve"> A prorrogação do prazo prevista na alínea</w:t>
      </w:r>
      <w:r>
        <w:rPr>
          <w:rFonts w:ascii="Arial" w:hAnsi="Arial"/>
          <w:color w:val="000000"/>
        </w:rPr>
        <w:t xml:space="preserve"> “a”, poderá ser concedida, a critério da administração pública, quando requerida pelo licitante, mediante apresentação de justificativa.</w:t>
      </w:r>
      <w:r>
        <w:rPr>
          <w:rFonts w:ascii="Arial" w:hAnsi="Arial"/>
        </w:rPr>
      </w:r>
      <w:r>
        <w:rPr>
          <w:rFonts w:ascii="Arial" w:hAnsi="Arial"/>
        </w:rPr>
      </w:r>
    </w:p>
    <w:p>
      <w:pPr>
        <w:numPr>
          <w:ilvl w:val="0"/>
          <w:numId w:val="2"/>
        </w:num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Style w:val="2054"/>
        <w:pBdr/>
        <w:spacing/>
        <w:ind/>
        <w:jc w:val="both"/>
        <w:rPr>
          <w:sz w:val="20"/>
          <w:szCs w:val="20"/>
        </w:rPr>
      </w:pPr>
      <w:r>
        <w:rPr>
          <w:b/>
          <w:sz w:val="20"/>
          <w:szCs w:val="20"/>
        </w:rPr>
        <w:t xml:space="preserve">c)</w:t>
      </w:r>
      <w:r>
        <w:rPr>
          <w:sz w:val="20"/>
          <w:szCs w:val="20"/>
        </w:rPr>
        <w:t xml:space="preserve"> A não regularização da documentação no prazo previsto na alínea “a”, implicará na decadência do direito à contrata</w:t>
      </w:r>
      <w:r>
        <w:rPr>
          <w:sz w:val="20"/>
          <w:szCs w:val="20"/>
        </w:rPr>
        <w:t xml:space="preserve">ção, sem prejuízo das sanções previstas em Lei, sendo facultado à Administração convocar para nova sessão pública os licitantes remanescentes, na ordem de classificação, para contratação, ou revogar a licitação. </w:t>
      </w:r>
      <w:r>
        <w:rPr>
          <w:sz w:val="20"/>
          <w:szCs w:val="20"/>
        </w:rPr>
      </w:r>
      <w:r>
        <w:rPr>
          <w:sz w:val="20"/>
          <w:szCs w:val="20"/>
        </w:rPr>
      </w:r>
    </w:p>
    <w:p>
      <w:pPr>
        <w:numPr>
          <w:ilvl w:val="0"/>
          <w:numId w:val="2"/>
        </w:num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numPr>
          <w:ilvl w:val="0"/>
          <w:numId w:val="2"/>
        </w:numPr>
        <w:pBdr/>
        <w:spacing/>
        <w:ind/>
        <w:jc w:val="both"/>
        <w:rPr>
          <w:rFonts w:ascii="Arial" w:hAnsi="Arial"/>
          <w:b/>
          <w:color w:val="000000" w:themeColor="text1"/>
        </w:rPr>
      </w:pPr>
      <w:r>
        <w:rPr>
          <w:rFonts w:ascii="Arial" w:hAnsi="Arial"/>
          <w:b/>
          <w:bCs/>
          <w:color w:val="000000"/>
        </w:rPr>
        <w:t xml:space="preserve">13.6. QUALIFICAÇÃO TÉCNICA </w:t>
      </w:r>
      <w:r>
        <w:rPr>
          <w:rFonts w:ascii="Arial" w:hAnsi="Arial" w:eastAsia="Arial"/>
          <w:b/>
          <w:bCs/>
        </w:rPr>
        <w:t xml:space="preserve">CONFORME TERMO </w:t>
      </w:r>
      <w:r>
        <w:rPr>
          <w:rFonts w:ascii="Arial" w:hAnsi="Arial" w:eastAsia="Arial"/>
          <w:b/>
          <w:bCs/>
        </w:rPr>
        <w:t xml:space="preserve">DE REFERÊNCIA: </w:t>
      </w:r>
      <w:r>
        <w:rPr>
          <w:rFonts w:ascii="Arial" w:hAnsi="Arial"/>
          <w:b/>
          <w:color w:val="000000" w:themeColor="text1"/>
        </w:rPr>
      </w:r>
      <w:r>
        <w:rPr>
          <w:rFonts w:ascii="Arial" w:hAnsi="Arial"/>
          <w:b/>
          <w:color w:val="000000" w:themeColor="text1"/>
        </w:rPr>
      </w:r>
    </w:p>
    <w:p>
      <w:pPr>
        <w:numPr>
          <w:ilvl w:val="0"/>
          <w:numId w:val="2"/>
        </w:numPr>
        <w:pBdr/>
        <w:spacing/>
        <w:ind/>
        <w:jc w:val="both"/>
        <w:rPr>
          <w:rFonts w:ascii="Arial" w:hAnsi="Arial"/>
          <w:b/>
          <w:bCs/>
          <w:color w:val="000000" w:themeColor="text1"/>
        </w:rPr>
      </w:pPr>
      <w:r>
        <w:rPr>
          <w:rFonts w:ascii="Arial" w:hAnsi="Arial"/>
          <w:b/>
          <w:bCs/>
          <w:color w:val="000000" w:themeColor="text1"/>
        </w:rPr>
      </w:r>
      <w:r>
        <w:rPr>
          <w:rFonts w:ascii="Arial" w:hAnsi="Arial"/>
          <w:b/>
          <w:bCs/>
          <w:color w:val="000000" w:themeColor="text1"/>
        </w:rPr>
      </w:r>
      <w:r>
        <w:rPr>
          <w:rFonts w:ascii="Arial" w:hAnsi="Arial"/>
          <w:b/>
          <w:bCs/>
          <w:color w:val="000000" w:themeColor="text1"/>
        </w:rPr>
      </w:r>
    </w:p>
    <w:p>
      <w:pPr>
        <w:pBdr/>
        <w:spacing/>
        <w:ind/>
        <w:jc w:val="both"/>
        <w:rPr>
          <w:rFonts w:ascii="Arial" w:hAnsi="Arial" w:eastAsia="Arial"/>
          <w:color w:val="000000"/>
          <w14:ligatures w14:val="none"/>
        </w:rPr>
      </w:pPr>
      <w:r>
        <w:rPr>
          <w:rFonts w:ascii="Arial" w:hAnsi="Arial" w:eastAsia="Arial"/>
          <w:color w:val="000000"/>
        </w:rPr>
      </w:r>
      <w:r>
        <w:rPr>
          <w:rFonts w:ascii="Arial" w:hAnsi="Arial" w:eastAsia="Arial"/>
          <w:b/>
          <w:bCs/>
          <w:color w:val="000000"/>
        </w:rPr>
        <w:t xml:space="preserve">13.6.1.</w:t>
      </w:r>
      <w:r>
        <w:rPr>
          <w:rFonts w:ascii="Arial" w:hAnsi="Arial" w:eastAsia="Arial"/>
          <w:color w:val="000000"/>
        </w:rPr>
        <w:t xml:space="preserve"> </w:t>
      </w:r>
      <w:r>
        <w:rPr>
          <w:rFonts w:ascii="Arial" w:hAnsi="Arial" w:eastAsia="Arial"/>
          <w:b/>
          <w:bCs/>
          <w:color w:val="000000"/>
        </w:rPr>
        <w:t xml:space="preserve">A licitante deverá apresentar, no mínimo, 1 (um) atestado de capacidade técnica</w:t>
      </w:r>
      <w:r>
        <w:rPr>
          <w:rFonts w:ascii="Arial" w:hAnsi="Arial" w:eastAsia="Arial"/>
          <w:color w:val="000000"/>
        </w:rPr>
        <w:t xml:space="preserve">, emitido por pessoa jurídica de direito público ou privado, que comprove aptidão para fornecimento de objeto compatível, em características, quantidades e prazos, com o</w:t>
      </w:r>
      <w:r>
        <w:rPr>
          <w:rFonts w:ascii="Arial" w:hAnsi="Arial" w:eastAsia="Arial"/>
          <w:color w:val="000000"/>
        </w:rPr>
        <w:t xml:space="preserve"> objeto desta licitação.</w:t>
      </w:r>
      <w:r>
        <w:rPr>
          <w:rFonts w:ascii="Arial" w:hAnsi="Arial" w:eastAsia="Arial"/>
          <w:color w:val="000000"/>
          <w14:ligatures w14:val="none"/>
        </w:rPr>
      </w:r>
      <w:r>
        <w:rPr>
          <w:rFonts w:ascii="Arial" w:hAnsi="Arial" w:eastAsia="Arial"/>
          <w:color w:val="000000"/>
          <w14:ligatures w14:val="none"/>
        </w:rPr>
      </w:r>
    </w:p>
    <w:p w14:paraId="7A9A70BC">
      <w:pPr>
        <w:pBdr/>
        <w:spacing/>
        <w:ind/>
        <w:jc w:val="both"/>
        <w:rPr>
          <w:rFonts w:ascii="Arial" w:hAnsi="Arial" w:eastAsia="Arial"/>
          <w:color w:val="000000"/>
          <w14:ligatures w14:val="none"/>
        </w:rPr>
      </w:pPr>
      <w:r>
        <w:rPr>
          <w:rFonts w:ascii="Arial" w:hAnsi="Arial" w:eastAsia="Arial"/>
          <w:color w:val="000000"/>
        </w:rPr>
        <w:br/>
      </w:r>
      <w:r>
        <w:rPr>
          <w:rFonts w:ascii="Arial" w:hAnsi="Arial" w:eastAsia="Arial"/>
          <w:b/>
          <w:bCs/>
          <w:color w:val="000000"/>
        </w:rPr>
        <w:t xml:space="preserve">13.6.1.2.</w:t>
      </w:r>
      <w:r>
        <w:rPr>
          <w:rFonts w:ascii="Arial" w:hAnsi="Arial" w:eastAsia="Arial"/>
          <w:color w:val="000000"/>
        </w:rPr>
        <w:t xml:space="preserve"> O atestado deverá conter, no mínimo, a identificação do emitente, a identificação do fornecedor, a descrição do objeto fornecido e a informação de que o fornecimento foi executado de forma satisfatória.</w:t>
      </w:r>
      <w:r>
        <w:rPr>
          <w:rFonts w:ascii="Arial" w:hAnsi="Arial" w:eastAsia="Arial"/>
          <w:color w:val="000000"/>
          <w14:ligatures w14:val="none"/>
        </w:rPr>
      </w:r>
      <w:r>
        <w:rPr>
          <w:rFonts w:ascii="Arial" w:hAnsi="Arial" w:eastAsia="Arial"/>
          <w:color w:val="000000"/>
          <w14:ligatures w14:val="none"/>
        </w:rPr>
      </w:r>
    </w:p>
    <w:p w14:paraId="62DC308A">
      <w:pPr>
        <w:pBdr/>
        <w:spacing/>
        <w:ind/>
        <w:jc w:val="both"/>
        <w:rPr>
          <w:rFonts w:ascii="Arial" w:hAnsi="Arial" w:eastAsia="Arial"/>
          <w:color w:val="000000"/>
          <w:highlight w:val="none"/>
          <w14:ligatures w14:val="none"/>
        </w:rPr>
      </w:pPr>
      <w:r>
        <w:rPr>
          <w:rFonts w:ascii="Arial" w:hAnsi="Arial" w:eastAsia="Arial"/>
          <w:color w:val="000000"/>
        </w:rPr>
        <w:br/>
      </w:r>
      <w:r>
        <w:rPr>
          <w:rFonts w:ascii="Arial" w:hAnsi="Arial" w:eastAsia="Arial"/>
          <w:b/>
          <w:bCs/>
          <w:color w:val="000000"/>
        </w:rPr>
        <w:t xml:space="preserve">13.6.1.3.</w:t>
      </w:r>
      <w:r>
        <w:rPr>
          <w:rFonts w:ascii="Arial" w:hAnsi="Arial" w:eastAsia="Arial"/>
          <w:color w:val="000000"/>
        </w:rPr>
        <w:t xml:space="preserve"> Os atestados</w:t>
      </w:r>
      <w:r>
        <w:rPr>
          <w:rFonts w:ascii="Arial" w:hAnsi="Arial" w:eastAsia="Arial"/>
          <w:color w:val="000000"/>
        </w:rPr>
        <w:t xml:space="preserve"> poderão ser objeto de diligência para verificação de autenticidade e veracidade, nos termos da Lei nº 14.133/2021.</w:t>
      </w:r>
      <w:r>
        <w:rPr>
          <w:rFonts w:ascii="Arial" w:hAnsi="Arial" w:eastAsia="Arial"/>
          <w:color w:val="000000"/>
          <w14:ligatures w14:val="none"/>
        </w:rPr>
      </w:r>
      <w:r>
        <w:rPr>
          <w:rFonts w:ascii="Arial" w:hAnsi="Arial" w:eastAsia="Arial"/>
          <w:color w:val="000000"/>
          <w:highlight w:val="none"/>
          <w14:ligatures w14:val="none"/>
        </w:rPr>
      </w:r>
    </w:p>
    <w:p w14:paraId="635CE276">
      <w:pPr>
        <w:pBdr/>
        <w:spacing/>
        <w:ind/>
        <w:jc w:val="both"/>
        <w:rPr>
          <w:rFonts w:ascii="Arial" w:hAnsi="Arial" w:eastAsia="Arial"/>
          <w:color w:val="000000"/>
          <w14:ligatures w14:val="none"/>
        </w:rPr>
      </w:pPr>
      <w:r>
        <w:rPr>
          <w:rFonts w:ascii="Arial" w:hAnsi="Arial" w:eastAsia="Arial"/>
          <w:color w:val="000000"/>
          <w14:ligatures w14:val="none"/>
        </w:rPr>
      </w:r>
      <w:r>
        <w:rPr>
          <w:rFonts w:ascii="Arial" w:hAnsi="Arial" w:eastAsia="Arial"/>
          <w:color w:val="000000"/>
          <w14:ligatures w14:val="none"/>
        </w:rPr>
      </w:r>
      <w:r>
        <w:rPr>
          <w:rFonts w:ascii="Arial" w:hAnsi="Arial" w:eastAsia="Arial"/>
          <w:color w:val="000000"/>
          <w14:ligatures w14:val="none"/>
        </w:rPr>
      </w:r>
    </w:p>
    <w:p w14:paraId="385126D9">
      <w:pPr>
        <w:pBdr/>
        <w:spacing/>
        <w:ind/>
        <w:jc w:val="both"/>
        <w:rPr>
          <w:rFonts w:ascii="Arial" w:hAnsi="Arial" w:eastAsia="Arial"/>
          <w:color w:val="000000"/>
          <w14:ligatures w14:val="none"/>
        </w:rPr>
      </w:pPr>
      <w:r>
        <w:rPr>
          <w:rFonts w:ascii="Arial" w:hAnsi="Arial" w:eastAsia="Arial"/>
          <w:b/>
          <w:bCs/>
          <w:color w:val="000000"/>
        </w:rPr>
        <w:t xml:space="preserve">13.6.2.</w:t>
      </w:r>
      <w:r>
        <w:rPr>
          <w:rFonts w:ascii="Arial" w:hAnsi="Arial" w:eastAsia="Arial"/>
          <w:color w:val="000000"/>
        </w:rPr>
        <w:t xml:space="preserve"> </w:t>
      </w:r>
      <w:r>
        <w:rPr>
          <w:rFonts w:ascii="Arial" w:hAnsi="Arial" w:eastAsia="Arial"/>
          <w:color w:val="000000"/>
        </w:rPr>
        <w:t xml:space="preserve">Somente para os itens sujeitos a controle sanitário, vigilância sanitária ou regulação específica, a licitante vencedora deverá apresentar </w:t>
      </w:r>
      <w:r>
        <w:rPr>
          <w:rFonts w:ascii="Arial" w:hAnsi="Arial" w:eastAsia="Arial"/>
          <w:b/>
          <w:bCs/>
          <w:color w:val="000000"/>
        </w:rPr>
        <w:t xml:space="preserve">Alvará Sanitário, Licença Sanitária ou documento equivalente válido</w:t>
      </w:r>
      <w:r>
        <w:rPr>
          <w:rFonts w:ascii="Arial" w:hAnsi="Arial" w:eastAsia="Arial"/>
          <w:color w:val="000000"/>
        </w:rPr>
        <w:t xml:space="preserve">, expedido pelo órgão competente, compatível com o</w:t>
      </w:r>
      <w:r>
        <w:rPr>
          <w:rFonts w:ascii="Arial" w:hAnsi="Arial" w:eastAsia="Arial"/>
          <w:color w:val="000000"/>
        </w:rPr>
        <w:t xml:space="preserve"> objeto do item adjudicado, admitindo-se, quando cabível, prova formal de dispensa ou isenção.</w:t>
      </w:r>
      <w:r>
        <w:rPr>
          <w:rFonts w:ascii="Arial" w:hAnsi="Arial" w:eastAsia="Arial"/>
          <w:color w:val="000000"/>
        </w:rPr>
        <w:t xml:space="preserve"> </w:t>
      </w:r>
      <w:r>
        <w:rPr>
          <w:rFonts w:ascii="Arial" w:hAnsi="Arial" w:eastAsia="Arial"/>
          <w:color w:val="000000"/>
        </w:rPr>
      </w:r>
      <w:r>
        <w:rPr>
          <w:rFonts w:ascii="Arial" w:hAnsi="Arial" w:eastAsia="Arial"/>
          <w:color w:val="000000"/>
          <w14:ligatures w14:val="none"/>
        </w:rPr>
      </w:r>
    </w:p>
    <w:p w14:paraId="146940C7">
      <w:pPr>
        <w:pBdr/>
        <w:spacing/>
        <w:ind/>
        <w:jc w:val="both"/>
        <w:rPr>
          <w:rFonts w:ascii="Arial" w:hAnsi="Arial" w:eastAsia="Arial"/>
          <w:color w:val="000000"/>
          <w14:ligatures w14:val="none"/>
        </w:rPr>
      </w:pPr>
      <w:r>
        <w:rPr>
          <w:rFonts w:ascii="Arial" w:hAnsi="Arial" w:eastAsia="Arial"/>
          <w:color w:val="000000"/>
          <w:highlight w:val="none"/>
          <w14:ligatures w14:val="none"/>
        </w:rPr>
      </w:r>
      <w:r>
        <w:rPr>
          <w:rFonts w:ascii="Arial" w:hAnsi="Arial" w:eastAsia="Arial"/>
          <w:color w:val="000000"/>
          <w:highlight w:val="none"/>
          <w14:ligatures w14:val="none"/>
        </w:rPr>
      </w:r>
      <w:r>
        <w:rPr>
          <w:rFonts w:ascii="Arial" w:hAnsi="Arial" w:eastAsia="Arial"/>
          <w:color w:val="000000"/>
          <w14:ligatures w14:val="none"/>
        </w:rPr>
      </w:r>
    </w:p>
    <w:p>
      <w:pPr>
        <w:pBdr/>
        <w:spacing/>
        <w:ind/>
        <w:jc w:val="both"/>
        <w:rPr>
          <w:rFonts w:ascii="Arial" w:hAnsi="Arial" w:eastAsia="Arial"/>
          <w:color w:val="000000"/>
          <w14:ligatures w14:val="none"/>
        </w:rPr>
      </w:pPr>
      <w:r>
        <w:rPr>
          <w:rFonts w:ascii="Arial" w:hAnsi="Arial"/>
        </w:rPr>
      </w:r>
      <w:r>
        <w:rPr>
          <w:rFonts w:ascii="Arial" w:hAnsi="Arial" w:eastAsia="Arial"/>
          <w:b/>
          <w:bCs/>
          <w:color w:val="000000"/>
        </w:rPr>
        <w:t xml:space="preserve"> </w:t>
      </w:r>
      <w:r>
        <w:rPr>
          <w:rFonts w:ascii="Arial" w:hAnsi="Arial" w:eastAsia="Arial"/>
          <w:b/>
          <w:bCs/>
          <w:color w:val="000000"/>
        </w:rPr>
        <w:t xml:space="preserve">13.6.</w:t>
      </w:r>
      <w:r>
        <w:rPr>
          <w:rFonts w:ascii="Arial" w:hAnsi="Arial" w:eastAsia="Arial"/>
          <w:b/>
          <w:bCs/>
          <w:color w:val="000000"/>
          <w:lang w:val="pt-BR"/>
        </w:rPr>
        <w:t xml:space="preserve">3</w:t>
      </w:r>
      <w:r>
        <w:rPr>
          <w:rFonts w:ascii="Arial" w:hAnsi="Arial" w:eastAsia="Arial"/>
          <w:b/>
          <w:bCs/>
          <w:color w:val="000000"/>
        </w:rPr>
        <w:t xml:space="preserve">.</w:t>
      </w:r>
      <w:r>
        <w:rPr>
          <w:sz w:val="22"/>
          <w:szCs w:val="22"/>
        </w:rPr>
        <w:t xml:space="preserve"> </w:t>
      </w:r>
      <w:r>
        <w:rPr>
          <w:rFonts w:ascii="Arial" w:hAnsi="Arial" w:eastAsia="Arial"/>
          <w:color w:val="000000"/>
        </w:rPr>
        <w:t xml:space="preserve">Em </w:t>
      </w:r>
      <w:r>
        <w:rPr>
          <w:rFonts w:ascii="Arial" w:hAnsi="Arial" w:eastAsia="Arial"/>
          <w:color w:val="000000"/>
        </w:rPr>
        <w:t xml:space="preserve">razão</w:t>
      </w:r>
      <w:r>
        <w:rPr>
          <w:rFonts w:ascii="Arial" w:hAnsi="Arial" w:eastAsia="Arial"/>
          <w:color w:val="000000"/>
        </w:rPr>
        <w:t xml:space="preserve"> do </w:t>
      </w:r>
      <w:r>
        <w:rPr>
          <w:rFonts w:ascii="Arial" w:hAnsi="Arial" w:eastAsia="Arial"/>
          <w:color w:val="000000"/>
        </w:rPr>
        <w:t xml:space="preserve">potencial</w:t>
      </w:r>
      <w:r>
        <w:rPr>
          <w:rFonts w:ascii="Arial" w:hAnsi="Arial" w:eastAsia="Arial"/>
          <w:color w:val="000000"/>
        </w:rPr>
        <w:t xml:space="preserve"> </w:t>
      </w:r>
      <w:r>
        <w:rPr>
          <w:rFonts w:ascii="Arial" w:hAnsi="Arial" w:eastAsia="Arial"/>
          <w:color w:val="000000"/>
        </w:rPr>
        <w:t xml:space="preserve">risco</w:t>
      </w:r>
      <w:r>
        <w:rPr>
          <w:rFonts w:ascii="Arial" w:hAnsi="Arial" w:eastAsia="Arial"/>
          <w:color w:val="000000"/>
        </w:rPr>
        <w:t xml:space="preserve"> </w:t>
      </w:r>
      <w:r>
        <w:rPr>
          <w:rFonts w:ascii="Arial" w:hAnsi="Arial" w:eastAsia="Arial"/>
          <w:color w:val="000000"/>
        </w:rPr>
        <w:t xml:space="preserve">assistencial</w:t>
      </w:r>
      <w:r>
        <w:rPr>
          <w:rFonts w:ascii="Arial" w:hAnsi="Arial" w:eastAsia="Arial"/>
          <w:color w:val="000000"/>
        </w:rPr>
        <w:t xml:space="preserve"> e da </w:t>
      </w:r>
      <w:r>
        <w:rPr>
          <w:rFonts w:ascii="Arial" w:hAnsi="Arial" w:eastAsia="Arial"/>
          <w:color w:val="000000"/>
        </w:rPr>
        <w:t xml:space="preserve">complexidade</w:t>
      </w:r>
      <w:r>
        <w:rPr>
          <w:rFonts w:ascii="Arial" w:hAnsi="Arial" w:eastAsia="Arial"/>
          <w:color w:val="000000"/>
        </w:rPr>
        <w:t xml:space="preserve"> </w:t>
      </w:r>
      <w:r>
        <w:rPr>
          <w:rFonts w:ascii="Arial" w:hAnsi="Arial" w:eastAsia="Arial"/>
          <w:color w:val="000000"/>
        </w:rPr>
        <w:t xml:space="preserve">tecnológica</w:t>
      </w:r>
      <w:r>
        <w:rPr>
          <w:rFonts w:ascii="Arial" w:hAnsi="Arial" w:eastAsia="Arial"/>
          <w:color w:val="000000"/>
        </w:rPr>
        <w:t xml:space="preserve"> </w:t>
      </w:r>
      <w:r>
        <w:rPr>
          <w:rFonts w:ascii="Arial" w:hAnsi="Arial" w:eastAsia="Arial"/>
          <w:color w:val="000000"/>
        </w:rPr>
        <w:t xml:space="preserve">desses</w:t>
      </w:r>
      <w:r>
        <w:rPr>
          <w:rFonts w:ascii="Arial" w:hAnsi="Arial" w:eastAsia="Arial"/>
          <w:color w:val="000000"/>
        </w:rPr>
        <w:t xml:space="preserve"> </w:t>
      </w:r>
      <w:r>
        <w:rPr>
          <w:rFonts w:ascii="Arial" w:hAnsi="Arial" w:eastAsia="Arial"/>
          <w:color w:val="000000"/>
        </w:rPr>
        <w:t xml:space="preserve">equipamentos</w:t>
      </w:r>
      <w:r>
        <w:rPr>
          <w:rFonts w:ascii="Arial" w:hAnsi="Arial" w:eastAsia="Arial"/>
          <w:color w:val="000000"/>
        </w:rPr>
        <w:t xml:space="preserve">, é </w:t>
      </w:r>
      <w:r>
        <w:rPr>
          <w:rFonts w:ascii="Arial" w:hAnsi="Arial" w:eastAsia="Arial"/>
          <w:color w:val="000000"/>
        </w:rPr>
        <w:t xml:space="preserve">tecnicamente</w:t>
      </w:r>
      <w:r>
        <w:rPr>
          <w:rFonts w:ascii="Arial" w:hAnsi="Arial" w:eastAsia="Arial"/>
          <w:color w:val="000000"/>
        </w:rPr>
        <w:t xml:space="preserve"> </w:t>
      </w:r>
      <w:r>
        <w:rPr>
          <w:rFonts w:ascii="Arial" w:hAnsi="Arial" w:eastAsia="Arial"/>
          <w:color w:val="000000"/>
        </w:rPr>
        <w:t xml:space="preserve">justificável</w:t>
      </w:r>
      <w:r>
        <w:rPr>
          <w:rFonts w:ascii="Arial" w:hAnsi="Arial" w:eastAsia="Arial"/>
          <w:color w:val="000000"/>
        </w:rPr>
        <w:t xml:space="preserve"> </w:t>
      </w:r>
      <w:r>
        <w:rPr>
          <w:rFonts w:ascii="Arial" w:hAnsi="Arial" w:eastAsia="Arial"/>
          <w:color w:val="000000"/>
        </w:rPr>
        <w:t xml:space="preserve">a</w:t>
      </w:r>
      <w:r>
        <w:rPr>
          <w:rFonts w:ascii="Arial" w:hAnsi="Arial" w:eastAsia="Arial"/>
          <w:color w:val="000000"/>
        </w:rPr>
        <w:t xml:space="preserve"> </w:t>
      </w:r>
      <w:r>
        <w:rPr>
          <w:rFonts w:ascii="Arial" w:hAnsi="Arial" w:eastAsia="Arial"/>
          <w:color w:val="000000"/>
        </w:rPr>
        <w:t xml:space="preserve">exigência</w:t>
      </w:r>
      <w:r>
        <w:rPr>
          <w:rFonts w:ascii="Arial" w:hAnsi="Arial" w:eastAsia="Arial"/>
          <w:color w:val="000000"/>
        </w:rPr>
        <w:t xml:space="preserve"> de </w:t>
      </w:r>
      <w:r>
        <w:rPr>
          <w:rFonts w:ascii="Arial" w:hAnsi="Arial" w:eastAsia="Arial"/>
          <w:color w:val="000000"/>
        </w:rPr>
        <w:t xml:space="preserve">qualificação</w:t>
      </w:r>
      <w:r>
        <w:rPr>
          <w:rFonts w:ascii="Arial" w:hAnsi="Arial" w:eastAsia="Arial"/>
          <w:color w:val="000000"/>
        </w:rPr>
        <w:t xml:space="preserve"> </w:t>
      </w:r>
      <w:r>
        <w:rPr>
          <w:rFonts w:ascii="Arial" w:hAnsi="Arial" w:eastAsia="Arial"/>
          <w:color w:val="000000"/>
        </w:rPr>
        <w:t xml:space="preserve">técnica</w:t>
      </w:r>
      <w:r>
        <w:rPr>
          <w:rFonts w:ascii="Arial" w:hAnsi="Arial" w:eastAsia="Arial"/>
          <w:color w:val="000000"/>
        </w:rPr>
        <w:t xml:space="preserve"> do </w:t>
      </w:r>
      <w:r>
        <w:rPr>
          <w:rFonts w:ascii="Arial" w:hAnsi="Arial" w:eastAsia="Arial"/>
          <w:color w:val="000000"/>
        </w:rPr>
        <w:t xml:space="preserve">fornecedor</w:t>
      </w:r>
      <w:r>
        <w:rPr>
          <w:rFonts w:ascii="Arial" w:hAnsi="Arial" w:eastAsia="Arial"/>
          <w:color w:val="000000"/>
        </w:rPr>
        <w:t xml:space="preserve">, </w:t>
      </w:r>
      <w:r>
        <w:rPr>
          <w:rFonts w:ascii="Arial" w:hAnsi="Arial" w:eastAsia="Arial"/>
          <w:color w:val="000000"/>
        </w:rPr>
        <w:t xml:space="preserve">bem</w:t>
      </w:r>
      <w:r>
        <w:rPr>
          <w:rFonts w:ascii="Arial" w:hAnsi="Arial" w:eastAsia="Arial"/>
          <w:color w:val="000000"/>
        </w:rPr>
        <w:t xml:space="preserve"> </w:t>
      </w:r>
      <w:r>
        <w:rPr>
          <w:rFonts w:ascii="Arial" w:hAnsi="Arial" w:eastAsia="Arial"/>
          <w:color w:val="000000"/>
        </w:rPr>
        <w:t xml:space="preserve">como</w:t>
      </w:r>
      <w:r>
        <w:rPr>
          <w:rFonts w:ascii="Arial" w:hAnsi="Arial" w:eastAsia="Arial"/>
          <w:color w:val="000000"/>
        </w:rPr>
        <w:t xml:space="preserve"> a </w:t>
      </w:r>
      <w:r>
        <w:rPr>
          <w:rFonts w:ascii="Arial" w:hAnsi="Arial" w:eastAsia="Arial"/>
          <w:color w:val="000000"/>
        </w:rPr>
        <w:t xml:space="preserve">apresentação</w:t>
      </w:r>
      <w:r>
        <w:rPr>
          <w:rFonts w:ascii="Arial" w:hAnsi="Arial" w:eastAsia="Arial"/>
          <w:color w:val="000000"/>
        </w:rPr>
        <w:t xml:space="preserve"> de </w:t>
      </w:r>
      <w:r>
        <w:rPr>
          <w:rFonts w:ascii="Arial" w:hAnsi="Arial" w:eastAsia="Arial"/>
          <w:b/>
          <w:bCs/>
          <w:color w:val="000000"/>
        </w:rPr>
        <w:t xml:space="preserve">registro</w:t>
      </w:r>
      <w:r>
        <w:rPr>
          <w:rFonts w:ascii="Arial" w:hAnsi="Arial" w:eastAsia="Arial"/>
          <w:b/>
          <w:bCs/>
          <w:color w:val="000000"/>
        </w:rPr>
        <w:t xml:space="preserve"> </w:t>
      </w:r>
      <w:r>
        <w:rPr>
          <w:rFonts w:ascii="Arial" w:hAnsi="Arial" w:eastAsia="Arial"/>
          <w:b/>
          <w:bCs/>
          <w:color w:val="000000"/>
        </w:rPr>
        <w:t xml:space="preserve">ou</w:t>
      </w:r>
      <w:r>
        <w:rPr>
          <w:rFonts w:ascii="Arial" w:hAnsi="Arial" w:eastAsia="Arial"/>
          <w:b/>
          <w:bCs/>
          <w:color w:val="000000"/>
        </w:rPr>
        <w:t xml:space="preserve"> </w:t>
      </w:r>
      <w:r>
        <w:rPr>
          <w:rFonts w:ascii="Arial" w:hAnsi="Arial" w:eastAsia="Arial"/>
          <w:b/>
          <w:bCs/>
          <w:color w:val="000000"/>
        </w:rPr>
        <w:t xml:space="preserve">cadastro</w:t>
      </w:r>
      <w:r>
        <w:rPr>
          <w:rFonts w:ascii="Arial" w:hAnsi="Arial" w:eastAsia="Arial"/>
          <w:b/>
          <w:bCs/>
          <w:color w:val="000000"/>
        </w:rPr>
        <w:t xml:space="preserve"> junto à ANVISA</w:t>
      </w:r>
      <w:r>
        <w:rPr>
          <w:rFonts w:ascii="Arial" w:hAnsi="Arial" w:eastAsia="Arial"/>
          <w:color w:val="000000"/>
        </w:rPr>
        <w:t xml:space="preserve">, manual de </w:t>
      </w:r>
      <w:r>
        <w:rPr>
          <w:rFonts w:ascii="Arial" w:hAnsi="Arial" w:eastAsia="Arial"/>
          <w:color w:val="000000"/>
        </w:rPr>
        <w:t xml:space="preserve">operação</w:t>
      </w:r>
      <w:r>
        <w:rPr>
          <w:rFonts w:ascii="Arial" w:hAnsi="Arial" w:eastAsia="Arial"/>
          <w:color w:val="000000"/>
        </w:rPr>
        <w:t xml:space="preserve">, </w:t>
      </w:r>
      <w:r>
        <w:rPr>
          <w:rFonts w:ascii="Arial" w:hAnsi="Arial" w:eastAsia="Arial"/>
          <w:color w:val="000000"/>
        </w:rPr>
        <w:t xml:space="preserve">garantia</w:t>
      </w:r>
      <w:r>
        <w:rPr>
          <w:rFonts w:ascii="Arial" w:hAnsi="Arial" w:eastAsia="Arial"/>
          <w:color w:val="000000"/>
        </w:rPr>
        <w:t xml:space="preserve">, </w:t>
      </w:r>
      <w:r>
        <w:rPr>
          <w:rFonts w:ascii="Arial" w:hAnsi="Arial" w:eastAsia="Arial"/>
          <w:color w:val="000000"/>
        </w:rPr>
        <w:t xml:space="preserve">assistência</w:t>
      </w:r>
      <w:r>
        <w:rPr>
          <w:rFonts w:ascii="Arial" w:hAnsi="Arial" w:eastAsia="Arial"/>
          <w:color w:val="000000"/>
        </w:rPr>
        <w:t xml:space="preserve"> </w:t>
      </w:r>
      <w:r>
        <w:rPr>
          <w:rFonts w:ascii="Arial" w:hAnsi="Arial" w:eastAsia="Arial"/>
          <w:color w:val="000000"/>
        </w:rPr>
        <w:t xml:space="preserve">técnica</w:t>
      </w:r>
      <w:r>
        <w:rPr>
          <w:rFonts w:ascii="Arial" w:hAnsi="Arial" w:eastAsia="Arial"/>
          <w:color w:val="000000"/>
        </w:rPr>
        <w:t xml:space="preserve"> </w:t>
      </w:r>
      <w:r>
        <w:rPr>
          <w:rFonts w:ascii="Arial" w:hAnsi="Arial" w:eastAsia="Arial"/>
          <w:color w:val="000000"/>
        </w:rPr>
        <w:t xml:space="preserve">autorizada</w:t>
      </w:r>
      <w:r>
        <w:rPr>
          <w:rFonts w:ascii="Arial" w:hAnsi="Arial" w:eastAsia="Arial"/>
          <w:color w:val="000000"/>
        </w:rPr>
        <w:t xml:space="preserve"> e </w:t>
      </w:r>
      <w:r>
        <w:rPr>
          <w:rFonts w:ascii="Arial" w:hAnsi="Arial" w:eastAsia="Arial"/>
          <w:color w:val="000000"/>
        </w:rPr>
        <w:t xml:space="preserve">comprovação</w:t>
      </w:r>
      <w:r>
        <w:rPr>
          <w:rFonts w:ascii="Arial" w:hAnsi="Arial" w:eastAsia="Arial"/>
          <w:color w:val="000000"/>
        </w:rPr>
        <w:t xml:space="preserve"> de </w:t>
      </w:r>
      <w:r>
        <w:rPr>
          <w:rFonts w:ascii="Arial" w:hAnsi="Arial" w:eastAsia="Arial"/>
          <w:color w:val="000000"/>
        </w:rPr>
        <w:t xml:space="preserve">conformidade</w:t>
      </w:r>
      <w:r>
        <w:rPr>
          <w:rFonts w:ascii="Arial" w:hAnsi="Arial" w:eastAsia="Arial"/>
          <w:color w:val="000000"/>
        </w:rPr>
        <w:t xml:space="preserve"> com </w:t>
      </w:r>
      <w:r>
        <w:rPr>
          <w:rFonts w:ascii="Arial" w:hAnsi="Arial" w:eastAsia="Arial"/>
          <w:color w:val="000000"/>
        </w:rPr>
        <w:t xml:space="preserve">normas</w:t>
      </w:r>
      <w:r>
        <w:rPr>
          <w:rFonts w:ascii="Arial" w:hAnsi="Arial" w:eastAsia="Arial"/>
          <w:color w:val="000000"/>
        </w:rPr>
        <w:t xml:space="preserve"> de </w:t>
      </w:r>
      <w:r>
        <w:rPr>
          <w:rFonts w:ascii="Arial" w:hAnsi="Arial" w:eastAsia="Arial"/>
          <w:color w:val="000000"/>
        </w:rPr>
        <w:t xml:space="preserve">segurança</w:t>
      </w:r>
      <w:r>
        <w:rPr>
          <w:rFonts w:ascii="Arial" w:hAnsi="Arial" w:eastAsia="Arial"/>
          <w:color w:val="000000"/>
        </w:rPr>
        <w:t xml:space="preserve"> e </w:t>
      </w:r>
      <w:r>
        <w:rPr>
          <w:rFonts w:ascii="Arial" w:hAnsi="Arial" w:eastAsia="Arial"/>
          <w:color w:val="000000"/>
        </w:rPr>
        <w:t xml:space="preserve">desempenho</w:t>
      </w:r>
      <w:r>
        <w:rPr>
          <w:rFonts w:ascii="Arial" w:hAnsi="Arial" w:eastAsia="Arial"/>
          <w:color w:val="000000"/>
        </w:rPr>
        <w:t xml:space="preserve"> </w:t>
      </w:r>
      <w:r>
        <w:rPr>
          <w:rFonts w:ascii="Arial" w:hAnsi="Arial" w:eastAsia="Arial"/>
          <w:color w:val="000000"/>
        </w:rPr>
        <w:t xml:space="preserve">aplicáveis</w:t>
      </w:r>
      <w:r>
        <w:rPr>
          <w:rFonts w:ascii="Arial" w:hAnsi="Arial" w:eastAsia="Arial"/>
          <w:color w:val="000000"/>
        </w:rPr>
        <w:t xml:space="preserve">, de modo a </w:t>
      </w:r>
      <w:r>
        <w:rPr>
          <w:rFonts w:ascii="Arial" w:hAnsi="Arial" w:eastAsia="Arial"/>
          <w:color w:val="000000"/>
        </w:rPr>
        <w:t xml:space="preserve">assegurar</w:t>
      </w:r>
      <w:r>
        <w:rPr>
          <w:rFonts w:ascii="Arial" w:hAnsi="Arial" w:eastAsia="Arial"/>
          <w:color w:val="000000"/>
        </w:rPr>
        <w:t xml:space="preserve"> a </w:t>
      </w:r>
      <w:r>
        <w:rPr>
          <w:rFonts w:ascii="Arial" w:hAnsi="Arial" w:eastAsia="Arial"/>
          <w:color w:val="000000"/>
        </w:rPr>
        <w:t xml:space="preserve">correta</w:t>
      </w:r>
      <w:r>
        <w:rPr>
          <w:rFonts w:ascii="Arial" w:hAnsi="Arial" w:eastAsia="Arial"/>
          <w:color w:val="000000"/>
        </w:rPr>
        <w:t xml:space="preserve"> </w:t>
      </w:r>
      <w:r>
        <w:rPr>
          <w:rFonts w:ascii="Arial" w:hAnsi="Arial" w:eastAsia="Arial"/>
          <w:color w:val="000000"/>
        </w:rPr>
        <w:t xml:space="preserve">utilização</w:t>
      </w:r>
      <w:r>
        <w:rPr>
          <w:rFonts w:ascii="Arial" w:hAnsi="Arial" w:eastAsia="Arial"/>
          <w:color w:val="000000"/>
        </w:rPr>
        <w:t xml:space="preserve"> e a </w:t>
      </w:r>
      <w:r>
        <w:rPr>
          <w:rFonts w:ascii="Arial" w:hAnsi="Arial" w:eastAsia="Arial"/>
          <w:color w:val="000000"/>
        </w:rPr>
        <w:t xml:space="preserve">segurança</w:t>
      </w:r>
      <w:r>
        <w:rPr>
          <w:rFonts w:ascii="Arial" w:hAnsi="Arial" w:eastAsia="Arial"/>
          <w:color w:val="000000"/>
        </w:rPr>
        <w:t xml:space="preserve"> dos </w:t>
      </w:r>
      <w:r>
        <w:rPr>
          <w:rFonts w:ascii="Arial" w:hAnsi="Arial" w:eastAsia="Arial"/>
          <w:color w:val="000000"/>
        </w:rPr>
        <w:t xml:space="preserve">usuários</w:t>
      </w:r>
      <w:r>
        <w:rPr>
          <w:rFonts w:ascii="Arial" w:hAnsi="Arial" w:eastAsia="Arial"/>
          <w:color w:val="000000"/>
        </w:rPr>
        <w:t xml:space="preserve">.</w:t>
      </w:r>
      <w:r>
        <w:rPr>
          <w:rFonts w:ascii="Arial" w:hAnsi="Arial" w:eastAsia="Arial"/>
          <w:color w:val="000000"/>
        </w:rPr>
      </w:r>
      <w:r>
        <w:rPr>
          <w:rFonts w:ascii="Arial" w:hAnsi="Arial" w:eastAsia="Arial"/>
          <w:color w:val="000000"/>
          <w14:ligatures w14:val="none"/>
        </w:rPr>
      </w:r>
    </w:p>
    <w:p w14:paraId="62E38461">
      <w:pPr>
        <w:pBdr/>
        <w:tabs>
          <w:tab w:val="clear" w:leader="none" w:pos="0"/>
        </w:tabs>
        <w:spacing/>
        <w:ind w:firstLine="0" w:left="0"/>
        <w:jc w:val="both"/>
        <w:rPr>
          <w:rFonts w:ascii="Arial" w:hAnsi="Arial"/>
        </w:rPr>
      </w:pPr>
      <w:r>
        <w:rPr>
          <w:sz w:val="22"/>
          <w:szCs w:val="22"/>
          <w:highlight w:val="none"/>
        </w:rPr>
      </w:r>
      <w:r>
        <w:rPr>
          <w:sz w:val="22"/>
          <w:szCs w:val="22"/>
          <w:highlight w:val="none"/>
        </w:rPr>
      </w:r>
      <w:r>
        <w:rPr>
          <w:rFonts w:ascii="Arial" w:hAnsi="Arial"/>
        </w:rPr>
      </w:r>
    </w:p>
    <w:p w14:paraId="0EF12D80">
      <w:pPr>
        <w:pBdr/>
        <w:spacing/>
        <w:ind/>
        <w:jc w:val="both"/>
        <w:rPr>
          <w:b/>
          <w:bCs/>
          <w:sz w:val="22"/>
          <w:szCs w:val="22"/>
          <w:highlight w:val="none"/>
        </w:rPr>
      </w:pPr>
      <w:r>
        <w:rPr>
          <w:rFonts w:ascii="Arial" w:hAnsi="Arial"/>
        </w:rPr>
      </w:r>
      <w:r>
        <w:rPr>
          <w:rFonts w:ascii="Arial" w:hAnsi="Arial" w:eastAsia="Arial"/>
          <w:b/>
          <w:bCs/>
          <w:color w:val="000000"/>
        </w:rPr>
        <w:t xml:space="preserve"> </w:t>
      </w:r>
      <w:r>
        <w:rPr>
          <w:rFonts w:ascii="Arial" w:hAnsi="Arial" w:eastAsia="Arial"/>
          <w:b/>
          <w:bCs/>
          <w:color w:val="000000"/>
        </w:rPr>
        <w:t xml:space="preserve">13.6.</w:t>
      </w:r>
      <w:r>
        <w:rPr>
          <w:rFonts w:ascii="Arial" w:hAnsi="Arial" w:eastAsia="Arial"/>
          <w:b/>
          <w:bCs/>
          <w:color w:val="000000"/>
        </w:rPr>
        <w:t xml:space="preserve">3</w:t>
      </w:r>
      <w:r>
        <w:rPr>
          <w:rFonts w:ascii="Arial" w:hAnsi="Arial" w:eastAsia="Arial"/>
          <w:b/>
          <w:bCs/>
          <w:color w:val="000000"/>
        </w:rPr>
        <w:t xml:space="preserve">.</w:t>
      </w:r>
      <w:r>
        <w:rPr>
          <w:rFonts w:ascii="Arial" w:hAnsi="Arial" w:eastAsia="Arial"/>
          <w:b/>
          <w:bCs/>
          <w:color w:val="000000"/>
        </w:rPr>
        <w:t xml:space="preserve">1.</w:t>
      </w:r>
      <w:r>
        <w:rPr>
          <w:rFonts w:ascii="Arial" w:hAnsi="Arial"/>
        </w:rPr>
        <w:t xml:space="preserve"> </w:t>
      </w:r>
      <w:r>
        <w:rPr>
          <w:rFonts w:ascii="Arial" w:hAnsi="Arial" w:eastAsia="Arial"/>
          <w:color w:val="000000"/>
        </w:rPr>
        <w:t xml:space="preserve">Enquadram</w:t>
      </w:r>
      <w:r>
        <w:rPr>
          <w:rFonts w:ascii="Arial" w:hAnsi="Arial" w:eastAsia="Arial"/>
          <w:color w:val="000000"/>
        </w:rPr>
        <w:t xml:space="preserve">-se </w:t>
      </w:r>
      <w:r>
        <w:rPr>
          <w:rFonts w:ascii="Arial" w:hAnsi="Arial" w:eastAsia="Arial"/>
          <w:color w:val="000000"/>
        </w:rPr>
        <w:t xml:space="preserve">nessa</w:t>
      </w:r>
      <w:r>
        <w:rPr>
          <w:rFonts w:ascii="Arial" w:hAnsi="Arial" w:eastAsia="Arial"/>
          <w:color w:val="000000"/>
        </w:rPr>
        <w:t xml:space="preserve"> </w:t>
      </w:r>
      <w:r>
        <w:rPr>
          <w:rFonts w:ascii="Arial" w:hAnsi="Arial" w:eastAsia="Arial"/>
          <w:color w:val="000000"/>
        </w:rPr>
        <w:t xml:space="preserve">condição</w:t>
      </w:r>
      <w:r>
        <w:rPr>
          <w:rFonts w:ascii="Arial" w:hAnsi="Arial" w:eastAsia="Arial"/>
          <w:color w:val="000000"/>
        </w:rPr>
        <w:t xml:space="preserve"> o</w:t>
      </w:r>
      <w:r>
        <w:rPr>
          <w:b/>
          <w:bCs/>
          <w:sz w:val="22"/>
          <w:szCs w:val="22"/>
        </w:rPr>
        <w:t xml:space="preserve"> </w:t>
      </w:r>
      <w:r>
        <w:rPr>
          <w:b/>
          <w:bCs/>
          <w:sz w:val="22"/>
          <w:szCs w:val="22"/>
        </w:rPr>
        <w:t xml:space="preserve">aparelho</w:t>
      </w:r>
      <w:r>
        <w:rPr>
          <w:b/>
          <w:bCs/>
          <w:sz w:val="22"/>
          <w:szCs w:val="22"/>
        </w:rPr>
        <w:t xml:space="preserve"> </w:t>
      </w:r>
      <w:r>
        <w:rPr>
          <w:b/>
          <w:bCs/>
          <w:sz w:val="22"/>
          <w:szCs w:val="22"/>
        </w:rPr>
        <w:t xml:space="preserve">infravermelho</w:t>
      </w:r>
      <w:r>
        <w:rPr>
          <w:b/>
          <w:bCs/>
          <w:sz w:val="22"/>
          <w:szCs w:val="22"/>
        </w:rPr>
        <w:t xml:space="preserve"> com pedestal para </w:t>
      </w:r>
      <w:r>
        <w:rPr>
          <w:b/>
          <w:bCs/>
          <w:sz w:val="22"/>
          <w:szCs w:val="22"/>
        </w:rPr>
        <w:t xml:space="preserve">fisioterapia</w:t>
      </w:r>
      <w:r>
        <w:rPr>
          <w:b/>
          <w:bCs/>
          <w:sz w:val="22"/>
          <w:szCs w:val="22"/>
        </w:rPr>
        <w:t xml:space="preserve">, a </w:t>
      </w:r>
      <w:r>
        <w:rPr>
          <w:b/>
          <w:bCs/>
          <w:sz w:val="22"/>
          <w:szCs w:val="22"/>
        </w:rPr>
        <w:t xml:space="preserve">lâmpada</w:t>
      </w:r>
      <w:r>
        <w:rPr>
          <w:b/>
          <w:bCs/>
          <w:sz w:val="22"/>
          <w:szCs w:val="22"/>
        </w:rPr>
        <w:t xml:space="preserve"> </w:t>
      </w:r>
      <w:r>
        <w:rPr>
          <w:b/>
          <w:bCs/>
          <w:sz w:val="22"/>
          <w:szCs w:val="22"/>
        </w:rPr>
        <w:t xml:space="preserve">infravermelha</w:t>
      </w:r>
      <w:r>
        <w:rPr>
          <w:b/>
          <w:bCs/>
          <w:sz w:val="22"/>
          <w:szCs w:val="22"/>
        </w:rPr>
        <w:t xml:space="preserve"> </w:t>
      </w:r>
      <w:r>
        <w:rPr>
          <w:b/>
          <w:bCs/>
          <w:sz w:val="22"/>
          <w:szCs w:val="22"/>
        </w:rPr>
        <w:t xml:space="preserve">destinada</w:t>
      </w:r>
      <w:r>
        <w:rPr>
          <w:b/>
          <w:bCs/>
          <w:sz w:val="22"/>
          <w:szCs w:val="22"/>
        </w:rPr>
        <w:t xml:space="preserve"> </w:t>
      </w:r>
      <w:r>
        <w:rPr>
          <w:b/>
          <w:bCs/>
          <w:sz w:val="22"/>
          <w:szCs w:val="22"/>
        </w:rPr>
        <w:t xml:space="preserve">ao</w:t>
      </w:r>
      <w:r>
        <w:rPr>
          <w:b/>
          <w:bCs/>
          <w:sz w:val="22"/>
          <w:szCs w:val="22"/>
        </w:rPr>
        <w:t xml:space="preserve"> </w:t>
      </w:r>
      <w:r>
        <w:rPr>
          <w:b/>
          <w:bCs/>
          <w:sz w:val="22"/>
          <w:szCs w:val="22"/>
        </w:rPr>
        <w:t xml:space="preserve">uso</w:t>
      </w:r>
      <w:r>
        <w:rPr>
          <w:b/>
          <w:bCs/>
          <w:sz w:val="22"/>
          <w:szCs w:val="22"/>
        </w:rPr>
        <w:t xml:space="preserve"> </w:t>
      </w:r>
      <w:r>
        <w:rPr>
          <w:b/>
          <w:bCs/>
          <w:sz w:val="22"/>
          <w:szCs w:val="22"/>
        </w:rPr>
        <w:t xml:space="preserve">em</w:t>
      </w:r>
      <w:r>
        <w:rPr>
          <w:b/>
          <w:bCs/>
          <w:sz w:val="22"/>
          <w:szCs w:val="22"/>
        </w:rPr>
        <w:t xml:space="preserve"> </w:t>
      </w:r>
      <w:r>
        <w:rPr>
          <w:b/>
          <w:bCs/>
          <w:sz w:val="22"/>
          <w:szCs w:val="22"/>
        </w:rPr>
        <w:t xml:space="preserve">saúde</w:t>
      </w:r>
      <w:r>
        <w:rPr>
          <w:b/>
          <w:bCs/>
          <w:sz w:val="22"/>
          <w:szCs w:val="22"/>
        </w:rPr>
        <w:t xml:space="preserve"> e o </w:t>
      </w:r>
      <w:r>
        <w:rPr>
          <w:b/>
          <w:bCs/>
          <w:sz w:val="22"/>
          <w:szCs w:val="22"/>
        </w:rPr>
        <w:t xml:space="preserve">equipamento</w:t>
      </w:r>
      <w:r>
        <w:rPr>
          <w:b/>
          <w:bCs/>
          <w:sz w:val="22"/>
          <w:szCs w:val="22"/>
        </w:rPr>
        <w:t xml:space="preserve"> </w:t>
      </w:r>
      <w:r>
        <w:rPr>
          <w:b/>
          <w:bCs/>
          <w:sz w:val="22"/>
          <w:szCs w:val="22"/>
        </w:rPr>
        <w:t xml:space="preserve">microcontrolado</w:t>
      </w:r>
      <w:r>
        <w:rPr>
          <w:b/>
          <w:bCs/>
          <w:sz w:val="22"/>
          <w:szCs w:val="22"/>
        </w:rPr>
        <w:t xml:space="preserve"> de laser </w:t>
      </w:r>
      <w:r>
        <w:rPr>
          <w:b/>
          <w:bCs/>
          <w:sz w:val="22"/>
          <w:szCs w:val="22"/>
        </w:rPr>
        <w:t xml:space="preserve">terapêutico</w:t>
      </w:r>
      <w:r>
        <w:rPr>
          <w:b/>
          <w:bCs/>
          <w:sz w:val="22"/>
          <w:szCs w:val="22"/>
        </w:rPr>
        <w:t xml:space="preserve"> de </w:t>
      </w:r>
      <w:r>
        <w:rPr>
          <w:b/>
          <w:bCs/>
          <w:sz w:val="22"/>
          <w:szCs w:val="22"/>
        </w:rPr>
        <w:t xml:space="preserve">baixa</w:t>
      </w:r>
      <w:r>
        <w:rPr>
          <w:b/>
          <w:bCs/>
          <w:sz w:val="22"/>
          <w:szCs w:val="22"/>
        </w:rPr>
        <w:t xml:space="preserve"> </w:t>
      </w:r>
      <w:r>
        <w:rPr>
          <w:b/>
          <w:bCs/>
          <w:sz w:val="22"/>
          <w:szCs w:val="22"/>
        </w:rPr>
        <w:t xml:space="preserve">potência</w:t>
      </w:r>
      <w:r>
        <w:rPr>
          <w:b/>
          <w:bCs/>
          <w:sz w:val="22"/>
          <w:szCs w:val="22"/>
        </w:rPr>
        <w:t xml:space="preserve">.</w:t>
      </w:r>
      <w:r>
        <w:rPr>
          <w:rFonts w:ascii="Arial" w:hAnsi="Arial"/>
          <w:b/>
          <w:bCs/>
        </w:rPr>
      </w:r>
      <w:r>
        <w:rPr>
          <w:b/>
          <w:bCs/>
          <w:sz w:val="22"/>
          <w:szCs w:val="22"/>
          <w:highlight w:val="none"/>
        </w:rPr>
      </w:r>
    </w:p>
    <w:p w14:paraId="4CCAD657">
      <w:pPr>
        <w:pBdr/>
        <w:tabs>
          <w:tab w:val="clear" w:leader="none" w:pos="0"/>
        </w:tabs>
        <w:spacing/>
        <w:ind w:firstLine="0" w:left="0"/>
        <w:jc w:val="both"/>
        <w:rPr>
          <w:rFonts w:ascii="Arial" w:hAnsi="Arial"/>
        </w:rPr>
      </w:pPr>
      <w:r>
        <w:rPr>
          <w:rFonts w:ascii="Arial" w:hAnsi="Arial"/>
          <w:highlight w:val="none"/>
        </w:rPr>
      </w:r>
      <w:r>
        <w:rPr>
          <w:rFonts w:ascii="Arial" w:hAnsi="Arial"/>
          <w:highlight w:val="none"/>
        </w:rPr>
      </w:r>
      <w:r>
        <w:rPr>
          <w:rFonts w:ascii="Arial" w:hAnsi="Arial"/>
        </w:rPr>
      </w:r>
    </w:p>
    <w:p>
      <w:pPr>
        <w:pBdr/>
        <w:spacing/>
        <w:ind/>
        <w:jc w:val="both"/>
        <w:rPr>
          <w:rFonts w:ascii="Arial" w:hAnsi="Arial"/>
          <w:color w:val="000000"/>
        </w:rPr>
      </w:pPr>
      <w:r>
        <w:rPr>
          <w:rFonts w:ascii="Arial" w:hAnsi="Arial" w:eastAsia="Arial"/>
          <w:b/>
          <w:bCs/>
          <w:color w:val="000000"/>
        </w:rPr>
        <w:t xml:space="preserve">13.6.4. </w:t>
      </w:r>
      <w:r>
        <w:rPr>
          <w:rFonts w:ascii="Arial" w:hAnsi="Arial" w:eastAsia="Arial"/>
          <w:color w:val="000000"/>
        </w:rPr>
        <w:t xml:space="preserve">A exigência da qualificação técnica está fundamentada na Lei nº 14.133/202</w:t>
      </w:r>
      <w:r>
        <w:rPr>
          <w:rFonts w:ascii="Arial" w:hAnsi="Arial" w:eastAsia="Arial"/>
          <w:color w:val="000000"/>
        </w:rPr>
        <w:t xml:space="preserve">1, e visa garantir a capacidade técnica dos fornecedores para assegurar a qualidade e eficiência dos materiais e serviços prestados, conforme termo de referência. Além da garantia de que os fornecedores cumprem com as regras sanitárias pertinentes ao caso.</w:t>
      </w:r>
      <w:r>
        <w:rPr>
          <w:rFonts w:ascii="Arial" w:hAnsi="Arial"/>
          <w:color w:val="000000"/>
        </w:rPr>
      </w:r>
      <w:r>
        <w:rPr>
          <w:rFonts w:ascii="Arial" w:hAnsi="Arial"/>
          <w:color w:val="000000"/>
        </w:rPr>
      </w:r>
    </w:p>
    <w:p>
      <w:pPr>
        <w:numPr>
          <w:ilvl w:val="0"/>
          <w:numId w:val="2"/>
        </w:num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rPr>
        <w:t xml:space="preserve">13.7. DA REALIZAÇÃO DE CONSULTA EM NOME DA SOCIEDADE EMPRESÁRIA, LICITANTE E DE EVENTUAL MATRIZ OU FILIAL E DE SEUS SÓCIOS JUNTO AO:</w:t>
      </w:r>
      <w:r>
        <w:rPr>
          <w:rFonts w:ascii="Arial" w:hAnsi="Arial"/>
        </w:rPr>
      </w:r>
      <w:r>
        <w:rPr>
          <w:rFonts w:ascii="Arial" w:hAnsi="Arial"/>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eastAsia="Arial"/>
          <w:b/>
          <w:bCs/>
        </w:rPr>
        <w:t xml:space="preserve">13.7.1.</w:t>
      </w:r>
      <w:r>
        <w:rPr>
          <w:rFonts w:ascii="Arial" w:hAnsi="Arial" w:eastAsia="Arial"/>
        </w:rPr>
        <w:t xml:space="preserve"> </w:t>
      </w:r>
      <w:r>
        <w:rPr>
          <w:rFonts w:ascii="Arial" w:hAnsi="Arial" w:eastAsia="Arial"/>
          <w:color w:val="000000"/>
        </w:rPr>
        <w:t xml:space="preserve">Cadastro Nacional de Condenações Cíveis por Atos de Improbidade Administrativa, mantido pelo Conselho Nacional d</w:t>
      </w:r>
      <w:r>
        <w:rPr>
          <w:rFonts w:ascii="Arial" w:hAnsi="Arial" w:eastAsia="Arial"/>
          <w:color w:val="000000"/>
        </w:rPr>
        <w:t xml:space="preserve">e Justiça – CNJ, no endereço eletrônico </w:t>
      </w:r>
      <w:hyperlink r:id="rId28" w:tooltip="http://www.cnj.jus.br/improbidade_adm/consultar_requerido.php" w:history="1">
        <w:r>
          <w:rPr>
            <w:rFonts w:ascii="Arial" w:hAnsi="Arial" w:eastAsia="Arial"/>
            <w:color w:val="2e74b5"/>
            <w:u w:val="single"/>
          </w:rPr>
          <w:t xml:space="preserve">www.cnj.jus.br/improbidade_adm/consultar_requerido.php</w:t>
        </w:r>
      </w:hyperlink>
      <w:r>
        <w:rPr>
          <w:rFonts w:ascii="Arial" w:hAnsi="Arial" w:eastAsia="Arial"/>
          <w:color w:val="000000"/>
        </w:rPr>
        <w:t xml:space="preserve">;</w:t>
      </w:r>
      <w:r>
        <w:rPr>
          <w:rFonts w:ascii="Arial" w:hAnsi="Arial"/>
        </w:rPr>
      </w:r>
      <w:r>
        <w:rPr>
          <w:rFonts w:ascii="Arial" w:hAnsi="Arial"/>
        </w:rPr>
      </w:r>
    </w:p>
    <w:p>
      <w:pPr>
        <w:pBdr/>
        <w:spacing/>
        <w:ind w:left="426"/>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eastAsia="Arial"/>
          <w:b/>
          <w:bCs/>
        </w:rPr>
        <w:t xml:space="preserve">13.7.2.</w:t>
      </w:r>
      <w:r>
        <w:rPr>
          <w:rFonts w:ascii="Arial" w:hAnsi="Arial" w:eastAsia="Arial"/>
        </w:rPr>
        <w:t xml:space="preserve"> Cadast</w:t>
      </w:r>
      <w:r>
        <w:rPr>
          <w:rFonts w:ascii="Arial" w:hAnsi="Arial" w:eastAsia="Arial"/>
        </w:rPr>
        <w:t xml:space="preserve">ro Nacional das Empresas Inidôneas e Suspensas – CEIS, no endereço eletrônico </w:t>
      </w:r>
      <w:hyperlink r:id="rId29" w:tooltip="http://www.portaldatransparencia.gov.br/ceis" w:history="1">
        <w:r>
          <w:rPr>
            <w:rFonts w:ascii="Arial" w:hAnsi="Arial" w:eastAsia="Arial"/>
            <w:color w:val="2e74b5"/>
            <w:u w:val="single"/>
          </w:rPr>
          <w:t xml:space="preserve">www.portaldatransparencia.gov.br/ceis</w:t>
        </w:r>
      </w:hyperlink>
      <w:r>
        <w:rPr>
          <w:rFonts w:ascii="Arial" w:hAnsi="Arial" w:eastAsia="Arial"/>
        </w:rPr>
        <w:t xml:space="preserve">.</w:t>
      </w:r>
      <w:r>
        <w:rPr>
          <w:rFonts w:ascii="Arial" w:hAnsi="Arial"/>
        </w:rPr>
      </w:r>
      <w:r>
        <w:rPr>
          <w:rFonts w:ascii="Arial" w:hAnsi="Arial"/>
        </w:rPr>
      </w:r>
    </w:p>
    <w:p>
      <w:pPr>
        <w:pBdr/>
        <w:spacing/>
        <w:ind w:left="426"/>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eastAsia="Arial"/>
          <w:color w:val="2e74b5"/>
          <w:u w:val="single"/>
        </w:rPr>
      </w:pPr>
      <w:r>
        <w:rPr>
          <w:rFonts w:ascii="Arial" w:hAnsi="Arial" w:eastAsia="Arial"/>
          <w:b/>
          <w:bCs/>
        </w:rPr>
        <w:t xml:space="preserve">13.7.3. </w:t>
      </w:r>
      <w:r>
        <w:rPr>
          <w:rFonts w:ascii="Arial" w:hAnsi="Arial" w:eastAsia="Arial"/>
        </w:rPr>
        <w:t xml:space="preserve">No caso dos licitan</w:t>
      </w:r>
      <w:r>
        <w:rPr>
          <w:rFonts w:ascii="Arial" w:hAnsi="Arial" w:eastAsia="Arial"/>
        </w:rPr>
        <w:t xml:space="preserve">tes Pessoa Jurídica as consultas acima poderão ser substituídas pela Consulta Consolidada de Pessoa Jurídica do TCU, no endereço eletrônico </w:t>
      </w:r>
      <w:hyperlink r:id="rId30" w:tooltip="https://certidoes-apf.apps.tcu.gov.br/" w:history="1">
        <w:r>
          <w:rPr>
            <w:rFonts w:ascii="Arial" w:hAnsi="Arial" w:eastAsia="Arial"/>
            <w:color w:val="2e74b5"/>
            <w:u w:val="single"/>
          </w:rPr>
          <w:t xml:space="preserve">https://certidoes</w:t>
        </w:r>
        <w:r>
          <w:rPr>
            <w:rFonts w:ascii="Arial" w:hAnsi="Arial" w:eastAsia="Arial"/>
            <w:color w:val="2e74b5"/>
            <w:u w:val="single"/>
          </w:rPr>
          <w:t xml:space="preserve">-apf.apps.tcu.gov.br</w:t>
        </w:r>
      </w:hyperlink>
      <w:r>
        <w:rPr>
          <w:rFonts w:ascii="Arial" w:hAnsi="Arial" w:eastAsia="Arial"/>
          <w:color w:val="2e74b5"/>
          <w:u w:val="single"/>
        </w:rPr>
        <w:t xml:space="preserve">.</w:t>
      </w:r>
      <w:r>
        <w:rPr>
          <w:rFonts w:ascii="Arial" w:hAnsi="Arial" w:eastAsia="Arial"/>
          <w:color w:val="2e74b5"/>
          <w:u w:val="single"/>
        </w:rPr>
      </w:r>
      <w:r>
        <w:rPr>
          <w:rFonts w:ascii="Arial" w:hAnsi="Arial" w:eastAsia="Arial"/>
          <w:color w:val="2e74b5"/>
          <w:u w:val="single"/>
        </w:rPr>
      </w:r>
    </w:p>
    <w:p>
      <w:pPr>
        <w:pBdr/>
        <w:spacing/>
        <w:ind w:left="284"/>
        <w:jc w:val="both"/>
        <w:rPr>
          <w:rFonts w:ascii="Arial" w:hAnsi="Arial"/>
          <w:b/>
          <w:bCs/>
        </w:rPr>
      </w:pPr>
      <w:r>
        <w:rPr>
          <w:rFonts w:ascii="Arial" w:hAnsi="Arial"/>
          <w:b/>
          <w:bCs/>
        </w:rPr>
      </w:r>
      <w:r>
        <w:rPr>
          <w:rFonts w:ascii="Arial" w:hAnsi="Arial"/>
          <w:b/>
          <w:bCs/>
        </w:rPr>
      </w:r>
      <w:r>
        <w:rPr>
          <w:rFonts w:ascii="Arial" w:hAnsi="Arial"/>
          <w:b/>
          <w:bCs/>
        </w:rPr>
      </w:r>
    </w:p>
    <w:p>
      <w:pPr>
        <w:pBdr/>
        <w:spacing/>
        <w:ind/>
        <w:jc w:val="both"/>
        <w:rPr>
          <w:rFonts w:ascii="Arial" w:hAnsi="Arial"/>
        </w:rPr>
      </w:pPr>
      <w:r>
        <w:rPr>
          <w:rFonts w:ascii="Arial" w:hAnsi="Arial"/>
          <w:b/>
        </w:rPr>
        <w:t xml:space="preserve">13.8. Sob pena de inabilitação, todos os documentos apresentados para habilitação deverão estar em nome da licitante, e, preferencialmente</w:t>
      </w:r>
      <w:r>
        <w:rPr>
          <w:rFonts w:ascii="Arial" w:hAnsi="Arial"/>
        </w:rPr>
        <w:t xml:space="preserve">, com número do CNPJ e com o endereço respectivo: </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13.8.1.</w:t>
      </w:r>
      <w:r>
        <w:rPr>
          <w:rFonts w:ascii="Arial" w:hAnsi="Arial"/>
        </w:rPr>
        <w:t xml:space="preserve"> Se a licitante for a matriz, todos </w:t>
      </w:r>
      <w:r>
        <w:rPr>
          <w:rFonts w:ascii="Arial" w:hAnsi="Arial"/>
        </w:rPr>
        <w:t xml:space="preserve">os documentos deverão estar em nome da matriz; </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13.8.2.</w:t>
      </w:r>
      <w:r>
        <w:rPr>
          <w:rFonts w:ascii="Arial" w:hAnsi="Arial"/>
        </w:rPr>
        <w:t xml:space="preserve"> Se a licitante for a filial, todos os documentos deverão estar em nome da filial, exceto aqueles documentos que, pela própria natureza, comprovadamente, forem emitidos somente em nome da matriz; </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13</w:t>
      </w:r>
      <w:r>
        <w:rPr>
          <w:rFonts w:ascii="Arial" w:hAnsi="Arial"/>
          <w:b/>
        </w:rPr>
        <w:t xml:space="preserve">.9.</w:t>
      </w:r>
      <w:r>
        <w:rPr>
          <w:rFonts w:ascii="Arial" w:hAnsi="Arial"/>
        </w:rPr>
        <w:t xml:space="preserve"> Os documentos apresentados para habilitação sem disposição expressa do órgão expedidor quanto a sua validade, terão o </w:t>
      </w:r>
      <w:r>
        <w:rPr>
          <w:rFonts w:ascii="Arial" w:hAnsi="Arial"/>
          <w:b/>
          <w:bCs/>
        </w:rPr>
        <w:t xml:space="preserve">prazo de vencimento de 60 (sessenta) dias</w:t>
      </w:r>
      <w:r>
        <w:rPr>
          <w:rFonts w:ascii="Arial" w:hAnsi="Arial"/>
        </w:rPr>
        <w:t xml:space="preserve"> contados a partir de sua data de emissão a data da sessão pública;</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13.10.</w:t>
      </w:r>
      <w:r>
        <w:rPr>
          <w:rFonts w:ascii="Arial" w:hAnsi="Arial"/>
        </w:rPr>
        <w:t xml:space="preserve"> Poderá ser declarado qualquer fato formal, desde que não implique desobediência à legislação e for evidente a vantagem para a Administração, devendo também, se necessário, promover diligência para dirimir a dúvida, cabendo, inclusive, estabelecer um prazo</w:t>
      </w:r>
      <w:r>
        <w:rPr>
          <w:rFonts w:ascii="Arial" w:hAnsi="Arial"/>
        </w:rPr>
        <w:t xml:space="preserve"> máximo de 02 (dois) dias úteis para a solução;</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13.11.</w:t>
      </w:r>
      <w:r>
        <w:rPr>
          <w:rFonts w:ascii="Arial" w:hAnsi="Arial"/>
        </w:rPr>
        <w:t xml:space="preserve"> A verificação pelo pregoeiro, em sítios eletrônicos oficiais de órgãos e entidades emissores de certidões constitui meio legal de prova, para fins de habilitação;</w:t>
      </w:r>
      <w:r>
        <w:rPr>
          <w:rFonts w:ascii="Arial" w:hAnsi="Arial"/>
        </w:rPr>
      </w:r>
      <w:r>
        <w:rPr>
          <w:rFonts w:ascii="Arial" w:hAnsi="Arial"/>
        </w:rPr>
      </w:r>
    </w:p>
    <w:p>
      <w:pPr>
        <w:pBdr/>
        <w:spacing/>
        <w:ind w:left="284"/>
        <w:jc w:val="both"/>
        <w:rPr>
          <w:rFonts w:ascii="Arial" w:hAnsi="Arial" w:eastAsia="Arial"/>
        </w:rPr>
      </w:pPr>
      <w:r>
        <w:rPr>
          <w:rFonts w:ascii="Arial" w:hAnsi="Arial" w:eastAsia="Arial"/>
        </w:rPr>
      </w:r>
      <w:r>
        <w:rPr>
          <w:rFonts w:ascii="Arial" w:hAnsi="Arial" w:eastAsia="Arial"/>
        </w:rPr>
      </w:r>
      <w:r>
        <w:rPr>
          <w:rFonts w:ascii="Arial" w:hAnsi="Arial" w:eastAsia="Arial"/>
        </w:rPr>
      </w:r>
    </w:p>
    <w:p>
      <w:pPr>
        <w:pBdr/>
        <w:spacing/>
        <w:ind/>
        <w:jc w:val="both"/>
        <w:rPr>
          <w:rFonts w:ascii="Arial" w:hAnsi="Arial"/>
        </w:rPr>
      </w:pPr>
      <w:r>
        <w:rPr>
          <w:rFonts w:ascii="Arial" w:hAnsi="Arial"/>
          <w:b/>
        </w:rPr>
        <w:t xml:space="preserve">13.12.</w:t>
      </w:r>
      <w:r>
        <w:rPr>
          <w:rFonts w:ascii="Arial" w:hAnsi="Arial"/>
        </w:rPr>
        <w:t xml:space="preserve"> Constatando, por meio de diligência, o não atendimento ao estabelecido, o Pregoeiro considerará a proponente inabilitada e prosseguirá a sessão;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13.13. </w:t>
      </w:r>
      <w:r>
        <w:rPr>
          <w:rFonts w:ascii="Arial" w:hAnsi="Arial"/>
          <w:color w:val="000000"/>
        </w:rPr>
        <w:t xml:space="preserve">O</w:t>
      </w:r>
      <w:r>
        <w:rPr>
          <w:rFonts w:ascii="Arial" w:hAnsi="Arial"/>
          <w:color w:val="000000"/>
          <w:shd w:val="clear" w:color="auto" w:fill="ffffff"/>
        </w:rPr>
        <w:t xml:space="preserve">s atos e os documentos para habilitação, constantes dos arquivos e registros digitais, serão válidos</w:t>
      </w:r>
      <w:r>
        <w:rPr>
          <w:rFonts w:ascii="Arial" w:hAnsi="Arial"/>
          <w:color w:val="000000"/>
          <w:shd w:val="clear" w:color="auto" w:fill="ffffff"/>
        </w:rPr>
        <w:t xml:space="preserve"> para todos os efeitos legais, inclusive para comprovação e prestação de contas. (Conf. </w:t>
      </w:r>
      <w:r>
        <w:rPr>
          <w:rFonts w:ascii="Arial" w:hAnsi="Arial"/>
          <w:bCs/>
          <w:color w:val="000000"/>
        </w:rPr>
        <w:t xml:space="preserve">Decreto 10.024 /2019, </w:t>
      </w:r>
      <w:r>
        <w:rPr>
          <w:rFonts w:ascii="Arial" w:hAnsi="Arial"/>
          <w:color w:val="000000"/>
          <w:shd w:val="clear" w:color="auto" w:fill="ffffff"/>
        </w:rPr>
        <w:t xml:space="preserve">Art. 8º, § 1º</w:t>
      </w:r>
      <w:r>
        <w:rPr>
          <w:rFonts w:ascii="Arial" w:hAnsi="Arial"/>
          <w:bCs/>
          <w:color w:val="000000"/>
        </w:rPr>
        <w:t xml:space="preserve">);</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13.14.</w:t>
      </w:r>
      <w:r>
        <w:rPr>
          <w:rFonts w:ascii="Arial" w:hAnsi="Arial"/>
        </w:rPr>
        <w:t xml:space="preserve"> Somente haverá a necessidade de comprovação do preenchimento de requisitos mediante apresentação dos documentos originais </w:t>
      </w:r>
      <w:r>
        <w:rPr>
          <w:rFonts w:ascii="Arial" w:hAnsi="Arial"/>
        </w:rPr>
        <w:t xml:space="preserve">não digitais quando houver dúvida em relação à integridade do documento digital ou quando a lei expressamente o exigir. (</w:t>
      </w:r>
      <w:hyperlink r:id="rId31" w:tooltip="https://www.gov.br/compras/pt-br/acesso-a-informacao/legislacao/instrucoes-normativas/instrucao-normativa-no-3-de-26-de-abril-de-2018#art4" w:anchor="art4" w:history="1">
        <w:r>
          <w:rPr>
            <w:rStyle w:val="973"/>
            <w:rFonts w:ascii="Arial" w:hAnsi="Arial" w:cs="Arial"/>
          </w:rPr>
          <w:t xml:space="preserve">IN nº 3/2018, art. 4º, §1º, e art. 6º, §4º</w:t>
        </w:r>
      </w:hyperlink>
      <w:r>
        <w:rPr>
          <w:rFonts w:ascii="Arial" w:hAnsi="Arial"/>
        </w:rPr>
        <w:t xml:space="preserve">);</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13.15.</w:t>
      </w:r>
      <w:r>
        <w:rPr>
          <w:rFonts w:ascii="Arial" w:hAnsi="Arial"/>
        </w:rPr>
        <w:t xml:space="preserve"> O Pregoeiro reserva-se o direito d</w:t>
      </w:r>
      <w:r>
        <w:rPr>
          <w:rFonts w:ascii="Arial" w:hAnsi="Arial"/>
        </w:rPr>
        <w:t xml:space="preserve">e solicitar o original de qualquer documento, sempre que tiver dúvida e julgar necessário.</w:t>
      </w:r>
      <w:r>
        <w:rPr>
          <w:rFonts w:ascii="Arial" w:hAnsi="Arial"/>
        </w:rPr>
      </w:r>
      <w:r>
        <w:rPr>
          <w:rFonts w:ascii="Arial" w:hAnsi="Arial"/>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outlineLvl w:val="0"/>
        <w:rPr>
          <w:rFonts w:ascii="Arial" w:hAnsi="Arial"/>
          <w:b/>
          <w:bCs/>
          <w:color w:val="000000"/>
        </w:rPr>
      </w:pPr>
      <w:r/>
      <w:bookmarkStart w:id="70" w:name="_Toc14"/>
      <w:r>
        <w:rPr>
          <w:rFonts w:ascii="Arial" w:hAnsi="Arial" w:eastAsia="Arial"/>
          <w:b/>
          <w:bCs/>
          <w:color w:val="000000"/>
        </w:rPr>
        <w:t xml:space="preserve">14. DO ENVIO DE DOCUMENTOS COMPLEMENTARES QUANDO FOR O CASO:</w:t>
      </w:r>
      <w:r>
        <w:rPr>
          <w:rFonts w:ascii="Arial" w:hAnsi="Arial"/>
          <w:b/>
          <w:bCs/>
          <w:color w:val="000000"/>
        </w:rPr>
      </w:r>
      <w:bookmarkEnd w:id="70"/>
      <w:r>
        <w:rPr>
          <w:rFonts w:ascii="Arial" w:hAnsi="Arial"/>
          <w:b/>
          <w:bCs/>
          <w:color w:val="000000"/>
        </w:rPr>
      </w:r>
      <w:r>
        <w:rPr>
          <w:rFonts w:ascii="Arial" w:hAnsi="Arial"/>
          <w:b/>
          <w:bCs/>
          <w:color w:val="000000"/>
        </w:rPr>
      </w:r>
    </w:p>
    <w:p>
      <w:pPr>
        <w:pBdr/>
        <w:spacing/>
        <w:ind w:left="284"/>
        <w:jc w:val="both"/>
        <w:rPr>
          <w:rFonts w:ascii="Arial" w:hAnsi="Arial"/>
          <w:b/>
          <w:bCs/>
          <w:color w:val="000000"/>
        </w:rPr>
      </w:pPr>
      <w:r>
        <w:rPr>
          <w:rFonts w:ascii="Arial" w:hAnsi="Arial"/>
          <w:b/>
          <w:bCs/>
          <w:color w:val="000000"/>
        </w:rPr>
      </w:r>
      <w:r>
        <w:rPr>
          <w:rFonts w:ascii="Arial" w:hAnsi="Arial"/>
          <w:b/>
          <w:bCs/>
          <w:color w:val="000000"/>
        </w:rPr>
      </w:r>
      <w:r>
        <w:rPr>
          <w:rFonts w:ascii="Arial" w:hAnsi="Arial"/>
          <w:b/>
          <w:bCs/>
          <w:color w:val="000000"/>
        </w:rPr>
      </w:r>
    </w:p>
    <w:p>
      <w:pPr>
        <w:pBdr/>
        <w:spacing/>
        <w:ind/>
        <w:jc w:val="both"/>
        <w:rPr>
          <w:rFonts w:ascii="Arial" w:hAnsi="Arial"/>
        </w:rPr>
      </w:pPr>
      <w:r>
        <w:rPr>
          <w:rFonts w:ascii="Arial" w:hAnsi="Arial"/>
          <w:b/>
          <w:color w:val="000000"/>
        </w:rPr>
        <w:t xml:space="preserve">14.1. </w:t>
      </w:r>
      <w:r>
        <w:rPr>
          <w:rFonts w:ascii="Arial" w:hAnsi="Arial"/>
          <w:color w:val="000000"/>
        </w:rPr>
        <w:t xml:space="preserve">Na hipótese de necessidade de envio de documentos complementares após o julgamento da proposta, </w:t>
      </w:r>
      <w:r>
        <w:rPr>
          <w:rFonts w:ascii="Arial" w:hAnsi="Arial"/>
          <w:color w:val="000000"/>
        </w:rPr>
        <w:t xml:space="preserve">os documentos deverão ser apresentados em formato digital, via sistema BLL, </w:t>
      </w:r>
      <w:r>
        <w:rPr>
          <w:rFonts w:ascii="Arial" w:hAnsi="Arial" w:eastAsia="Arial"/>
        </w:rPr>
        <w:t xml:space="preserve">no prazo máximo de até 02 (duas) horas, após solicitação do Pregoeiro;</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14.1.1. </w:t>
      </w:r>
      <w:r>
        <w:rPr>
          <w:rFonts w:ascii="Arial" w:hAnsi="Arial"/>
          <w:color w:val="000000"/>
        </w:rPr>
        <w:t xml:space="preserve">Os documentos complementares a serem apresentados não poderão ser os já exigidos no edital para fins de habilitação, não se trata de uma segunda oportunidade para envio de documentos de habilitação. A diligência em questão permite, apenas, a solicitação de</w:t>
      </w:r>
      <w:r>
        <w:rPr>
          <w:rFonts w:ascii="Arial" w:hAnsi="Arial"/>
          <w:color w:val="000000"/>
        </w:rPr>
        <w:t xml:space="preserve"> documentos outros para confirmação dos já apresentados (quando houver dúvida sobre integridade de documentos, cópia de contrato de prestação de serviços que tenha embasado a emissão de atestado de capacidade técnica, já apresentados).</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outlineLvl w:val="0"/>
        <w:rPr>
          <w:rFonts w:ascii="Arial" w:hAnsi="Arial"/>
          <w:b/>
          <w:bCs/>
          <w:color w:val="000000"/>
        </w:rPr>
      </w:pPr>
      <w:r/>
      <w:bookmarkStart w:id="71" w:name="_Toc15"/>
      <w:r>
        <w:rPr>
          <w:rFonts w:ascii="Arial" w:hAnsi="Arial" w:eastAsia="Arial"/>
          <w:b/>
          <w:bCs/>
          <w:color w:val="000000"/>
        </w:rPr>
        <w:t xml:space="preserve">15. DA ADJUDICAÇÃO </w:t>
      </w:r>
      <w:r>
        <w:rPr>
          <w:rFonts w:ascii="Arial" w:hAnsi="Arial" w:eastAsia="Arial"/>
          <w:b/>
          <w:bCs/>
          <w:color w:val="000000"/>
        </w:rPr>
        <w:t xml:space="preserve">E HOMOLOGAÇÃO:</w:t>
      </w:r>
      <w:r>
        <w:rPr>
          <w:rFonts w:ascii="Arial" w:hAnsi="Arial"/>
          <w:b/>
          <w:bCs/>
          <w:color w:val="000000"/>
        </w:rPr>
      </w:r>
      <w:bookmarkEnd w:id="71"/>
      <w:r>
        <w:rPr>
          <w:rFonts w:ascii="Arial" w:hAnsi="Arial"/>
          <w:b/>
          <w:bCs/>
          <w:color w:val="000000"/>
        </w:rPr>
      </w:r>
      <w:r>
        <w:rPr>
          <w:rFonts w:ascii="Arial" w:hAnsi="Arial"/>
          <w:b/>
          <w:bCs/>
          <w:color w:val="000000"/>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eastAsia="Arial"/>
          <w:b/>
          <w:bCs/>
        </w:rPr>
        <w:t xml:space="preserve">15.1.</w:t>
      </w:r>
      <w:r>
        <w:rPr>
          <w:rFonts w:ascii="Arial" w:hAnsi="Arial" w:eastAsia="Arial"/>
        </w:rPr>
        <w:t xml:space="preserve"> Não havendo recurso e constatado o atendimento das exigências fixadas neste Edital, a licitante será declarada vencedora do certame, sendo-lhe adjudicado o objeto pela autoridade competente.</w:t>
      </w:r>
      <w:r>
        <w:rPr>
          <w:rFonts w:ascii="Arial" w:hAnsi="Arial"/>
        </w:rPr>
      </w:r>
      <w:r>
        <w:rPr>
          <w:rFonts w:ascii="Arial" w:hAnsi="Arial"/>
        </w:rPr>
      </w:r>
    </w:p>
    <w:p>
      <w:pPr>
        <w:pBdr/>
        <w:spacing/>
        <w:ind w:left="708"/>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eastAsia="Arial"/>
          <w:b/>
          <w:bCs/>
        </w:rPr>
        <w:t xml:space="preserve">15.2.</w:t>
      </w:r>
      <w:r>
        <w:rPr>
          <w:rFonts w:ascii="Arial" w:hAnsi="Arial" w:eastAsia="Arial"/>
        </w:rPr>
        <w:t xml:space="preserve"> Havendo recurso, e mantida a decisão</w:t>
      </w:r>
      <w:r>
        <w:rPr>
          <w:rFonts w:ascii="Arial" w:hAnsi="Arial" w:eastAsia="Arial"/>
        </w:rPr>
        <w:t xml:space="preserve"> do(a) pregoeiro(a), a autoridade competente, após deliberar sobre o mesmo e constatada a regularidade dos atos procedimentais, poderá adjudicar o objeto à licitante vencedora e homologar o processo licitatório.</w:t>
      </w:r>
      <w:r>
        <w:rPr>
          <w:rFonts w:ascii="Arial" w:hAnsi="Arial"/>
        </w:rPr>
      </w:r>
      <w:r>
        <w:rPr>
          <w:rFonts w:ascii="Arial" w:hAnsi="Arial"/>
        </w:rPr>
      </w:r>
    </w:p>
    <w:p>
      <w:pPr>
        <w:pBdr/>
        <w:spacing/>
        <w:ind w:left="708"/>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eastAsia="Arial"/>
          <w:b/>
          <w:bCs/>
        </w:rPr>
        <w:t xml:space="preserve">15.3.</w:t>
      </w:r>
      <w:r>
        <w:rPr>
          <w:rFonts w:ascii="Arial" w:hAnsi="Arial" w:eastAsia="Arial"/>
        </w:rPr>
        <w:t xml:space="preserve"> Encerrada a etapa de recurso o(a) pre</w:t>
      </w:r>
      <w:r>
        <w:rPr>
          <w:rFonts w:ascii="Arial" w:hAnsi="Arial" w:eastAsia="Arial"/>
        </w:rPr>
        <w:t xml:space="preserve">goeiro(a) encaminhará os autos do processo para a autoridade competente, para adjudicação e homologação do procedimento licitatório, observadas, no que couber, as disposições do </w:t>
      </w:r>
      <w:r>
        <w:rPr>
          <w:rFonts w:ascii="Arial" w:hAnsi="Arial" w:eastAsia="Arial"/>
          <w:color w:val="000000"/>
          <w:u w:val="single"/>
        </w:rPr>
        <w:t xml:space="preserve">art. 71 da Lei Federal nº 14.133/2021</w:t>
      </w:r>
      <w:r>
        <w:rPr>
          <w:rFonts w:ascii="Arial" w:hAnsi="Arial" w:eastAsia="Arial"/>
        </w:rPr>
        <w:t xml:space="preserve">.</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outlineLvl w:val="0"/>
        <w:rPr>
          <w:rFonts w:ascii="Arial" w:hAnsi="Arial"/>
          <w:b/>
          <w:bCs/>
        </w:rPr>
      </w:pPr>
      <w:r/>
      <w:bookmarkStart w:id="72" w:name="_Toc16"/>
      <w:r>
        <w:rPr>
          <w:rFonts w:ascii="Arial" w:hAnsi="Arial" w:eastAsia="Arial"/>
          <w:b/>
          <w:bCs/>
          <w:color w:val="000000"/>
        </w:rPr>
        <w:t xml:space="preserve">16. DA ATA DE REGISTRO</w:t>
      </w:r>
      <w:r>
        <w:rPr>
          <w:rFonts w:ascii="Arial" w:hAnsi="Arial" w:eastAsia="Arial"/>
          <w:b/>
          <w:bCs/>
          <w:color w:val="000000"/>
        </w:rPr>
        <w:t xml:space="preserve"> DE PREÇOS:</w:t>
      </w:r>
      <w:r>
        <w:rPr>
          <w:rFonts w:ascii="Arial" w:hAnsi="Arial" w:eastAsia="Arial"/>
          <w:b/>
          <w:bCs/>
        </w:rPr>
        <w:t xml:space="preserve"> </w:t>
      </w:r>
      <w:r>
        <w:rPr>
          <w:rFonts w:ascii="Arial" w:hAnsi="Arial"/>
          <w:b/>
          <w:bCs/>
        </w:rPr>
      </w:r>
      <w:bookmarkEnd w:id="72"/>
      <w:r>
        <w:rPr>
          <w:rFonts w:ascii="Arial" w:hAnsi="Arial"/>
          <w:b/>
          <w:bCs/>
        </w:rPr>
      </w:r>
      <w:r>
        <w:rPr>
          <w:rFonts w:ascii="Arial" w:hAnsi="Arial"/>
          <w:b/>
          <w:bCs/>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16.1.</w:t>
      </w:r>
      <w:r>
        <w:rPr>
          <w:rFonts w:ascii="Arial" w:hAnsi="Arial"/>
          <w:color w:val="000000"/>
        </w:rPr>
        <w:t xml:space="preserve"> Homologado o resultado da licitação, o licitante melhor classificado terá o prazo de 05 (cinco) dias, contados a partir da data de sua convocação, para assinar a Ata de Registro de Preços, cujo prazo de validade encontra-se nela fixado,</w:t>
      </w:r>
      <w:r>
        <w:rPr>
          <w:rFonts w:ascii="Arial" w:hAnsi="Arial"/>
          <w:color w:val="000000"/>
        </w:rPr>
        <w:t xml:space="preserve"> sob pena de decadência do direito à contratação, sem prejuízo das sanções previstas na Lei nº 14.133, de 2021; </w:t>
      </w:r>
      <w:r>
        <w:rPr>
          <w:rFonts w:ascii="Arial" w:hAnsi="Arial"/>
        </w:rPr>
      </w:r>
      <w:r>
        <w:rPr>
          <w:rFonts w:ascii="Arial" w:hAnsi="Arial"/>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eastAsia="Arial"/>
        </w:rPr>
      </w:pPr>
      <w:r>
        <w:rPr>
          <w:rFonts w:ascii="Arial" w:hAnsi="Arial" w:eastAsia="Arial"/>
          <w:b/>
          <w:bCs/>
        </w:rPr>
        <w:t xml:space="preserve">16.1.2.</w:t>
      </w:r>
      <w:r>
        <w:rPr>
          <w:rFonts w:ascii="Arial" w:hAnsi="Arial" w:eastAsia="Arial"/>
        </w:rPr>
        <w:t xml:space="preserve"> Alternativamente à convocação para comparecer perante o órgão ou entidade para a assinat</w:t>
      </w:r>
      <w:r>
        <w:rPr>
          <w:rFonts w:ascii="Arial" w:hAnsi="Arial" w:eastAsia="Arial"/>
        </w:rPr>
        <w:t xml:space="preserve">ura da Ata de Registro de Preços, a Administração poderá encaminhá-la para assinatura, mediante correspondência postal com aviso de recebimento (AR) ou meio eletrônico, para que seja assinada no prazo de 5 (cinco) dias, a contar da data de seu recebimento;</w:t>
      </w:r>
      <w:r>
        <w:rPr>
          <w:rFonts w:ascii="Arial" w:hAnsi="Arial" w:eastAsia="Arial"/>
        </w:rPr>
      </w:r>
      <w:r>
        <w:rPr>
          <w:rFonts w:ascii="Arial" w:hAnsi="Arial" w:eastAsia="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16.2.</w:t>
      </w:r>
      <w:r>
        <w:rPr>
          <w:rFonts w:ascii="Arial" w:hAnsi="Arial"/>
          <w:color w:val="000000"/>
        </w:rPr>
        <w:t xml:space="preserve"> O prazo de convocação poderá ser prorrogado uma vez, por igual período, mediante solicitação do licitante mais bem classificado ou do fornecedor convocado, desde que:</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16.2.1. </w:t>
      </w:r>
      <w:r>
        <w:rPr>
          <w:rFonts w:ascii="Arial" w:hAnsi="Arial"/>
          <w:color w:val="000000"/>
        </w:rPr>
        <w:t xml:space="preserve">A solicitação seja devidamente justificada e apresentada dentro do prazo</w:t>
      </w:r>
      <w:r>
        <w:rPr>
          <w:rFonts w:ascii="Arial" w:hAnsi="Arial"/>
          <w:color w:val="000000"/>
        </w:rPr>
        <w:t xml:space="preserve">; e</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16.2.2. </w:t>
      </w:r>
      <w:r>
        <w:rPr>
          <w:rFonts w:ascii="Arial" w:hAnsi="Arial"/>
          <w:color w:val="000000"/>
        </w:rPr>
        <w:t xml:space="preserve">A justificativa apresentada seja aceita pela Administração;</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16.3.</w:t>
      </w:r>
      <w:r>
        <w:rPr>
          <w:rFonts w:ascii="Arial" w:hAnsi="Arial"/>
          <w:color w:val="000000"/>
        </w:rPr>
        <w:t xml:space="preserve"> A ata de registro de preços será assinada por meio de assinatura digital e disponibilizada no sistema de registro de preços;</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16.4.</w:t>
      </w:r>
      <w:r>
        <w:rPr>
          <w:rFonts w:ascii="Arial" w:hAnsi="Arial"/>
          <w:color w:val="000000"/>
        </w:rPr>
        <w:t xml:space="preserve"> Serão formalizadas tantas Atas de Registro de Preços quantas forem necessárias para o registro de todos os itens </w:t>
      </w:r>
      <w:r>
        <w:rPr>
          <w:rFonts w:ascii="Arial" w:hAnsi="Arial"/>
          <w:bCs/>
        </w:rPr>
        <w:t xml:space="preserve">prescritas neste Edital</w:t>
      </w:r>
      <w:r>
        <w:rPr>
          <w:rFonts w:ascii="Arial" w:hAnsi="Arial"/>
          <w:color w:val="000000"/>
        </w:rPr>
        <w:t xml:space="preserve">, com a indicação do licitante vencedor, a descrição do(s) item(ns), as respectivas quantidades, preços registrados e d</w:t>
      </w:r>
      <w:r>
        <w:rPr>
          <w:rFonts w:ascii="Arial" w:hAnsi="Arial"/>
          <w:color w:val="000000"/>
        </w:rPr>
        <w:t xml:space="preserve">emais condições;</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16.5.</w:t>
      </w:r>
      <w:r>
        <w:rPr>
          <w:rFonts w:ascii="Arial" w:hAnsi="Arial"/>
          <w:color w:val="000000"/>
        </w:rPr>
        <w:t xml:space="preserve"> O preço registrado, com a indicação dos fornecedores, será divulgado no DIORONDON e disponibilizado durante a vigência da ata de registro de preços;</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color w:val="000000"/>
        </w:rPr>
      </w:pPr>
      <w:r>
        <w:rPr>
          <w:rFonts w:ascii="Arial" w:hAnsi="Arial"/>
          <w:b/>
          <w:color w:val="000000"/>
        </w:rPr>
        <w:t xml:space="preserve">16.6.</w:t>
      </w:r>
      <w:r>
        <w:rPr>
          <w:rFonts w:ascii="Arial" w:hAnsi="Arial"/>
          <w:color w:val="000000"/>
        </w:rPr>
        <w:t xml:space="preserve"> A existência de preços registrados implicará compromisso de fornecimento nas</w:t>
      </w:r>
      <w:r>
        <w:rPr>
          <w:rFonts w:ascii="Arial" w:hAnsi="Arial"/>
          <w:color w:val="000000"/>
        </w:rPr>
        <w:t xml:space="preserve"> condições estabelecidas, mas não obrigará a Administração a contratar, facultada a realização de licitação específica para a aquisição pretendida, desde que devidamente justificada;</w:t>
      </w:r>
      <w:r>
        <w:rPr>
          <w:rFonts w:ascii="Arial" w:hAnsi="Arial"/>
          <w:color w:val="000000"/>
        </w:rPr>
      </w:r>
      <w:r>
        <w:rPr>
          <w:rFonts w:ascii="Arial" w:hAnsi="Arial"/>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16.7.</w:t>
      </w:r>
      <w:r>
        <w:rPr>
          <w:rFonts w:ascii="Arial" w:hAnsi="Arial"/>
          <w:color w:val="000000"/>
        </w:rPr>
        <w:t xml:space="preserve"> Na hipótese de o convocado não assinar a ata de registro de preços</w:t>
      </w:r>
      <w:r>
        <w:rPr>
          <w:rFonts w:ascii="Arial" w:hAnsi="Arial"/>
          <w:color w:val="000000"/>
        </w:rPr>
        <w:t xml:space="preserve"> no prazo e nas condições estabelecidas, fica facultado à Administração convocar os licitantes remanescentes do cadastro de reserva, na ordem de classificação, para fazê-lo em igual prazo e nas condições propostas pelo primeiro classificado;</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bCs/>
          <w:color w:val="000000"/>
        </w:rPr>
        <w:t xml:space="preserve">16.8. </w:t>
      </w:r>
      <w:r>
        <w:rPr>
          <w:rFonts w:ascii="Arial" w:hAnsi="Arial"/>
          <w:color w:val="000000"/>
        </w:rPr>
        <w:t xml:space="preserve">Serão f</w:t>
      </w:r>
      <w:r>
        <w:rPr>
          <w:rFonts w:ascii="Arial" w:hAnsi="Arial"/>
          <w:color w:val="000000"/>
        </w:rPr>
        <w:t xml:space="preserve">ormalizadas tantas Atas de Registro de Preços quanto necessárias para o registro de todos os itens constantes no Edital (Anexo - formação de preços), com a indicação do licitante vencedor, a descrição do (s) item (ns), as respectivas quantidades, preços re</w:t>
      </w:r>
      <w:r>
        <w:rPr>
          <w:rFonts w:ascii="Arial" w:hAnsi="Arial"/>
          <w:color w:val="000000"/>
        </w:rPr>
        <w:t xml:space="preserve">gistrados e demais condições.</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16.9.</w:t>
      </w:r>
      <w:r>
        <w:rPr>
          <w:rFonts w:ascii="Arial" w:hAnsi="Arial"/>
          <w:color w:val="000000"/>
        </w:rPr>
        <w:t xml:space="preserve"> Em conformidade com o disposto no Decreto Municipal nº 11.685/2023, especialmente após a alteração promovida pelo art. 1º, que conferiu nova redação ao art. 303 do Decreto Municipal n.º 11.685, a vigência da Ata de Regi</w:t>
      </w:r>
      <w:r>
        <w:rPr>
          <w:rFonts w:ascii="Arial" w:hAnsi="Arial"/>
          <w:color w:val="000000"/>
        </w:rPr>
        <w:t xml:space="preserve">stro de Preços será de 01 (um) ano, podendo ser prorrogada por igual período, desde que comprovada a vantajosidade dos preços registrados para a Administração. Ainda, nos termos do §2º-A do referido artigo, havendo prorrogação da vigência da Ata, fica auto</w:t>
      </w:r>
      <w:r>
        <w:rPr>
          <w:rFonts w:ascii="Arial" w:hAnsi="Arial"/>
          <w:color w:val="000000"/>
        </w:rPr>
        <w:t xml:space="preserve">rizada a renovação do quantitativo originalmente registrado, mediante comprovação de que os preços permanecem vantajosos e desde que haja anuência expressa do fornecedor detentor do registro.</w:t>
      </w:r>
      <w:r>
        <w:rPr>
          <w:rFonts w:ascii="Arial" w:hAnsi="Arial"/>
        </w:rPr>
      </w:r>
      <w:r>
        <w:rPr>
          <w:rFonts w:ascii="Arial" w:hAnsi="Arial"/>
        </w:rPr>
      </w:r>
    </w:p>
    <w:p>
      <w:pPr>
        <w:pBdr/>
        <w:spacing/>
        <w:ind/>
        <w:rPr>
          <w:rFonts w:ascii="Arial" w:hAnsi="Arial"/>
          <w:b/>
          <w:bCs/>
          <w:color w:val="000000"/>
        </w:rPr>
      </w:pPr>
      <w:r>
        <w:rPr>
          <w:rFonts w:ascii="Arial" w:hAnsi="Arial"/>
          <w:b/>
          <w:bCs/>
          <w:color w:val="000000"/>
        </w:rPr>
      </w:r>
      <w:r>
        <w:rPr>
          <w:rFonts w:ascii="Arial" w:hAnsi="Arial"/>
          <w:b/>
          <w:bCs/>
          <w:color w:val="000000"/>
        </w:rPr>
      </w:r>
      <w:r>
        <w:rPr>
          <w:rFonts w:ascii="Arial" w:hAnsi="Arial"/>
          <w:b/>
          <w:bCs/>
          <w:color w:val="000000"/>
        </w:rPr>
      </w:r>
    </w:p>
    <w:p>
      <w:pPr>
        <w:pBdr/>
        <w:spacing/>
        <w:ind/>
        <w:rPr>
          <w:rFonts w:ascii="Arial" w:hAnsi="Arial"/>
        </w:rPr>
      </w:pPr>
      <w:r>
        <w:rPr>
          <w:rFonts w:ascii="Arial" w:hAnsi="Arial"/>
          <w:b/>
          <w:bCs/>
          <w:color w:val="000000"/>
        </w:rPr>
        <w:t xml:space="preserve">16.10. DA FORMAÇÃO DO CADASTRO DE RESERVA:</w:t>
      </w:r>
      <w:r>
        <w:rPr>
          <w:rFonts w:ascii="Arial" w:hAnsi="Arial"/>
        </w:rPr>
      </w:r>
      <w:r>
        <w:rPr>
          <w:rFonts w:ascii="Arial" w:hAnsi="Arial"/>
        </w:rPr>
      </w:r>
    </w:p>
    <w:p>
      <w:pPr>
        <w:pBdr/>
        <w:spacing/>
        <w:ind/>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color w:val="000000"/>
        </w:rPr>
        <w:t xml:space="preserve">16.10.1.</w:t>
      </w:r>
      <w:r>
        <w:rPr>
          <w:rFonts w:ascii="Arial" w:hAnsi="Arial"/>
          <w:color w:val="000000"/>
        </w:rPr>
        <w:t xml:space="preserve"> Após a hom</w:t>
      </w:r>
      <w:r>
        <w:rPr>
          <w:rFonts w:ascii="Arial" w:hAnsi="Arial"/>
          <w:color w:val="000000"/>
        </w:rPr>
        <w:t xml:space="preserve">ologação da licitação, será incluído na ata, na forma de anexo, o registro:</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16.10.1.1.</w:t>
      </w:r>
      <w:r>
        <w:rPr>
          <w:rFonts w:ascii="Arial" w:hAnsi="Arial"/>
          <w:color w:val="000000"/>
        </w:rPr>
        <w:t xml:space="preserve"> Dos licitantes </w:t>
      </w:r>
      <w:bookmarkStart w:id="21" w:name="_Hlk132991372"/>
      <w:r>
        <w:rPr>
          <w:rFonts w:ascii="Arial" w:hAnsi="Arial"/>
          <w:color w:val="000000"/>
        </w:rPr>
        <w:t xml:space="preserve">que </w:t>
      </w:r>
      <w:bookmarkStart w:id="22" w:name="_Hlk132989696"/>
      <w:r>
        <w:rPr>
          <w:rFonts w:ascii="Arial" w:hAnsi="Arial"/>
          <w:color w:val="000000"/>
        </w:rPr>
        <w:t xml:space="preserve">aceitarem cotar o objeto com preço igual ao do adjudicatári</w:t>
      </w:r>
      <w:bookmarkEnd w:id="21"/>
      <w:r>
        <w:rPr>
          <w:rFonts w:ascii="Arial" w:hAnsi="Arial"/>
          <w:color w:val="000000"/>
        </w:rPr>
        <w:t xml:space="preserve">o</w:t>
      </w:r>
      <w:bookmarkEnd w:id="22"/>
      <w:r>
        <w:rPr>
          <w:rFonts w:ascii="Arial" w:hAnsi="Arial"/>
          <w:color w:val="000000"/>
        </w:rPr>
        <w:t xml:space="preserve">, observada a classificação na licitação; e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16.10.1.2.</w:t>
      </w:r>
      <w:r>
        <w:rPr>
          <w:rFonts w:ascii="Arial" w:hAnsi="Arial"/>
          <w:color w:val="000000"/>
        </w:rPr>
        <w:t xml:space="preserve"> Dos licitantes que mantiverem sua proposta original;</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16.10.2.</w:t>
      </w:r>
      <w:r>
        <w:rPr>
          <w:rFonts w:ascii="Arial" w:hAnsi="Arial"/>
          <w:color w:val="000000"/>
        </w:rPr>
        <w:t xml:space="preserve"> Será respeitada, nas contratações, a ordem de classificação dos licitantes ou fornecedores registrados na ata;</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16.10.2.1.</w:t>
      </w:r>
      <w:r>
        <w:rPr>
          <w:rFonts w:ascii="Arial" w:hAnsi="Arial"/>
          <w:color w:val="000000"/>
        </w:rPr>
        <w:t xml:space="preserve"> A apresentação de novas propostas na forma deste item não prejudicará</w:t>
      </w:r>
      <w:r>
        <w:rPr>
          <w:rFonts w:ascii="Arial" w:hAnsi="Arial"/>
          <w:color w:val="000000"/>
        </w:rPr>
        <w:t xml:space="preserve"> o resultado do certame em relação ao licitante mais bem classificado;</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16.10.2.2.</w:t>
      </w:r>
      <w:r>
        <w:rPr>
          <w:rFonts w:ascii="Arial" w:hAnsi="Arial"/>
          <w:color w:val="000000"/>
        </w:rPr>
        <w:t xml:space="preserve"> Para fins da ordem de classificação, os licitantes ou fornecedores que aceitarem cotar o objeto com preço igual ao do adjudicatário antecederão aqueles que mantiverem sua pr</w:t>
      </w:r>
      <w:r>
        <w:rPr>
          <w:rFonts w:ascii="Arial" w:hAnsi="Arial"/>
          <w:color w:val="000000"/>
        </w:rPr>
        <w:t xml:space="preserve">oposta original;</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16.10.3.</w:t>
      </w:r>
      <w:r>
        <w:rPr>
          <w:rFonts w:ascii="Arial" w:hAnsi="Arial"/>
          <w:color w:val="000000"/>
        </w:rPr>
        <w:t xml:space="preserve"> A habilitação dos licitantes que comporão o cadastro de reserva será efetuada quando houver necessidade de contratação dos licitantes remanescentes, nas seguintes hipóteses:</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16.10.3.1.</w:t>
      </w:r>
      <w:r>
        <w:rPr>
          <w:rFonts w:ascii="Arial" w:hAnsi="Arial"/>
          <w:color w:val="000000"/>
        </w:rPr>
        <w:t xml:space="preserve"> Quando o licitante vencedor não assinar a ata de registro de preços no prazo e nas condições estabelecidos no edital; ou</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16.10.3.2.</w:t>
      </w:r>
      <w:r>
        <w:rPr>
          <w:rFonts w:ascii="Arial" w:hAnsi="Arial"/>
          <w:color w:val="000000"/>
        </w:rPr>
        <w:t xml:space="preserve"> Quando houver o cancelamento do registro do fornecedor ou do registro de preços;</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16.10.4.</w:t>
      </w:r>
      <w:r>
        <w:rPr>
          <w:rFonts w:ascii="Arial" w:hAnsi="Arial"/>
          <w:color w:val="000000"/>
        </w:rPr>
        <w:t xml:space="preserve"> Na hipótese de nenhum dos licit</w:t>
      </w:r>
      <w:r>
        <w:rPr>
          <w:rFonts w:ascii="Arial" w:hAnsi="Arial"/>
          <w:color w:val="000000"/>
        </w:rPr>
        <w:t xml:space="preserve">antes que aceitaram cotar o objeto com preço igual ao do adjudicatário concordar com a contratação nos termos em igual prazo e nas condições propostas pelo primeiro classificado, a Administração, observados o valor estimado e a sua eventual atualização na </w:t>
      </w:r>
      <w:r>
        <w:rPr>
          <w:rFonts w:ascii="Arial" w:hAnsi="Arial"/>
          <w:color w:val="000000"/>
        </w:rPr>
        <w:t xml:space="preserve">forma prevista no edital, poderá:</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16.10.4.1. </w:t>
      </w:r>
      <w:r>
        <w:rPr>
          <w:rFonts w:ascii="Arial" w:hAnsi="Arial"/>
          <w:color w:val="000000"/>
        </w:rPr>
        <w:t xml:space="preserve">Convocar os licitantes que mantiveram sua proposta original para negociação, na ordem de classificação, com vistas à obtenção de preço melhor, mesmo que acima do preço do adjudicatário; ou</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16.10.4.2. </w:t>
      </w:r>
      <w:r>
        <w:rPr>
          <w:rFonts w:ascii="Arial" w:hAnsi="Arial"/>
          <w:color w:val="000000"/>
        </w:rPr>
        <w:t xml:space="preserve">Adjudicar</w:t>
      </w:r>
      <w:r>
        <w:rPr>
          <w:rFonts w:ascii="Arial" w:hAnsi="Arial"/>
          <w:color w:val="000000"/>
        </w:rPr>
        <w:t xml:space="preserve"> e firmar o contrato nas condições ofertadas pelos licitantes remanescentes, observada a ordem de classificação, quando frustrada a negociação de melhor condição.</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16.11. DA POSSIBILIDADE DE ADESÃO A ARP ("CARONA"):</w:t>
      </w:r>
      <w:r>
        <w:rPr>
          <w:rFonts w:ascii="Arial" w:hAnsi="Arial"/>
        </w:rPr>
      </w:r>
      <w:r>
        <w:rPr>
          <w:rFonts w:ascii="Arial" w:hAnsi="Arial"/>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rPr>
      </w:pPr>
      <w:r>
        <w:rPr>
          <w:rFonts w:ascii="Arial" w:hAnsi="Arial" w:eastAsia="Arial"/>
          <w:b/>
          <w:bCs/>
          <w:color w:val="000000"/>
        </w:rPr>
        <w:t xml:space="preserve">16.11.1.</w:t>
      </w:r>
      <w:r>
        <w:rPr>
          <w:rFonts w:ascii="Arial" w:hAnsi="Arial" w:eastAsia="Arial"/>
          <w:color w:val="000000"/>
        </w:rPr>
        <w:t xml:space="preserve"> Por falta de justificativa ou </w:t>
      </w:r>
      <w:r>
        <w:rPr>
          <w:rFonts w:ascii="Arial" w:hAnsi="Arial" w:eastAsia="Arial"/>
          <w:color w:val="000000"/>
        </w:rPr>
        <w:t xml:space="preserve">motivação por parte das unidades demandantes a clausula foi excluída, conforme orientação do TCU: “A inserção de cláusula em edital licitatório prevendo a possibilidade de adesão a ata de registro de preços por órgãos ou entidades não participantes do plan</w:t>
      </w:r>
      <w:r>
        <w:rPr>
          <w:rFonts w:ascii="Arial" w:hAnsi="Arial" w:eastAsia="Arial"/>
          <w:color w:val="000000"/>
        </w:rPr>
        <w:t xml:space="preserve">ejamento da contratação ("carona") exige justificativa específica, lastreada em estudo técnico referente ao objeto licitado e devidamente registrada no documento de planejamento da contratação.” (Acórdão 311/2018-Plenário | Relator: BRUNO DANTAS).</w:t>
      </w:r>
      <w:r>
        <w:rPr>
          <w:rFonts w:ascii="Arial" w:hAnsi="Arial"/>
          <w:color w:val="000000"/>
        </w:rPr>
      </w:r>
      <w:r>
        <w:rPr>
          <w:rFonts w:ascii="Arial" w:hAnsi="Arial"/>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eastAsia="Arial"/>
          <w:b/>
          <w:bCs/>
          <w:color w:val="000000"/>
        </w:rPr>
        <w:t xml:space="preserve">16.11.2</w:t>
      </w:r>
      <w:r>
        <w:rPr>
          <w:rFonts w:ascii="Arial" w:hAnsi="Arial" w:eastAsia="Arial"/>
          <w:b/>
          <w:bCs/>
          <w:color w:val="000000"/>
        </w:rPr>
        <w:t xml:space="preserve">.</w:t>
      </w:r>
      <w:r>
        <w:rPr>
          <w:rFonts w:ascii="Arial" w:hAnsi="Arial" w:eastAsia="Arial"/>
          <w:color w:val="000000"/>
        </w:rPr>
        <w:t xml:space="preserve"> Fica vedada à participação do órgão ou entidade em mais de uma ata de registro de preços com o mesmo objeto no prazo de validade daquela de que já tiver participado, salvo na ocorrência de ata que tenha registrado quantitativo inferior ao máximo previsto</w:t>
      </w:r>
      <w:r>
        <w:rPr>
          <w:rFonts w:ascii="Arial" w:hAnsi="Arial" w:eastAsia="Arial"/>
          <w:color w:val="000000"/>
        </w:rPr>
        <w:t xml:space="preserve"> no edital; (Art.82 Inciso VIII, Lei 14.133/2021)</w:t>
      </w:r>
      <w:r>
        <w:rPr>
          <w:rFonts w:ascii="Arial" w:hAnsi="Arial"/>
          <w:color w:val="000000"/>
        </w:rPr>
        <w:t xml:space="preserve">.</w:t>
      </w:r>
      <w:r>
        <w:rPr>
          <w:rFonts w:ascii="Arial" w:hAnsi="Arial"/>
          <w:color w:val="000000"/>
        </w:rPr>
      </w:r>
      <w:r>
        <w:rPr>
          <w:rFonts w:ascii="Arial" w:hAnsi="Arial"/>
          <w:color w:val="000000"/>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outlineLvl w:val="0"/>
        <w:rPr>
          <w:rFonts w:ascii="Arial" w:hAnsi="Arial"/>
          <w:b/>
          <w:bCs/>
          <w:color w:val="000000"/>
        </w:rPr>
      </w:pPr>
      <w:r/>
      <w:bookmarkStart w:id="73" w:name="_Toc17"/>
      <w:r>
        <w:rPr>
          <w:rFonts w:ascii="Arial" w:hAnsi="Arial" w:eastAsia="Arial"/>
          <w:b/>
          <w:bCs/>
          <w:color w:val="000000"/>
        </w:rPr>
        <w:t xml:space="preserve">17. DOS RECURSOS SOBRE PROPOSTA, HABILITAÇÃO OU INABILITAÇÃO DE LICITANTES:</w:t>
      </w:r>
      <w:r>
        <w:rPr>
          <w:rFonts w:ascii="Arial" w:hAnsi="Arial"/>
          <w:b/>
          <w:bCs/>
          <w:color w:val="000000"/>
        </w:rPr>
      </w:r>
      <w:bookmarkEnd w:id="73"/>
      <w:r>
        <w:rPr>
          <w:rFonts w:ascii="Arial" w:hAnsi="Arial"/>
          <w:b/>
          <w:bCs/>
          <w:color w:val="000000"/>
        </w:rPr>
      </w:r>
      <w:r>
        <w:rPr>
          <w:rFonts w:ascii="Arial" w:hAnsi="Arial"/>
          <w:b/>
          <w:bCs/>
          <w:color w:val="000000"/>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color w:val="000000"/>
        </w:rPr>
        <w:t xml:space="preserve">17.1.</w:t>
      </w:r>
      <w:r>
        <w:rPr>
          <w:rFonts w:ascii="Arial" w:hAnsi="Arial"/>
          <w:color w:val="000000"/>
        </w:rPr>
        <w:t xml:space="preserve"> Ao final da sessão </w:t>
      </w:r>
      <w:r>
        <w:rPr>
          <w:rFonts w:ascii="Arial" w:hAnsi="Arial"/>
          <w:b/>
          <w:color w:val="000000"/>
        </w:rPr>
        <w:t xml:space="preserve">Declarado o(s) Vencedor(es)</w:t>
      </w:r>
      <w:r>
        <w:rPr>
          <w:rFonts w:ascii="Arial" w:hAnsi="Arial"/>
          <w:color w:val="000000"/>
        </w:rPr>
        <w:t xml:space="preserve">, qualquer licitante poderá, </w:t>
      </w:r>
      <w:r>
        <w:rPr>
          <w:rFonts w:ascii="Arial" w:hAnsi="Arial"/>
          <w:color w:val="000000"/>
          <w:shd w:val="clear" w:color="auto" w:fill="ffffff"/>
        </w:rPr>
        <w:t xml:space="preserve">durante o </w:t>
      </w:r>
      <w:r>
        <w:rPr>
          <w:rFonts w:ascii="Arial" w:hAnsi="Arial"/>
          <w:b/>
          <w:color w:val="000000"/>
          <w:shd w:val="clear" w:color="auto" w:fill="ffffff"/>
        </w:rPr>
        <w:t xml:space="preserve">prazo de 60 (sessenta) minutos</w:t>
      </w:r>
      <w:r>
        <w:rPr>
          <w:rFonts w:ascii="Arial" w:hAnsi="Arial"/>
          <w:color w:val="000000"/>
          <w:shd w:val="clear" w:color="auto" w:fill="ffffff"/>
        </w:rPr>
        <w:t xml:space="preserve">, </w:t>
      </w:r>
      <w:r>
        <w:rPr>
          <w:rFonts w:ascii="Arial" w:hAnsi="Arial"/>
          <w:color w:val="000000"/>
        </w:rPr>
        <w:t xml:space="preserve">de forma imediata, em campo próprio no sítio eletrônico  </w:t>
      </w:r>
      <w:hyperlink r:id="rId32" w:tooltip="mailto:bllcompras.com" w:history="1">
        <w:r>
          <w:rPr>
            <w:rStyle w:val="973"/>
            <w:rFonts w:ascii="Arial" w:hAnsi="Arial" w:cs="Arial"/>
            <w:b/>
            <w:color w:val="000000"/>
          </w:rPr>
          <w:t xml:space="preserve">bllcompras.com</w:t>
        </w:r>
      </w:hyperlink>
      <w:r>
        <w:rPr>
          <w:rFonts w:ascii="Arial" w:hAnsi="Arial"/>
          <w:color w:val="000000"/>
        </w:rPr>
        <w:t xml:space="preserve">, manifestar sua intenção de recorrer, impugnando o julgamento da(s) proposta(s) ou o ato de habilitação ou inabilitação do(s) licitante(s), sob pena de preclusão desse direito;</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17.1.1.</w:t>
      </w:r>
      <w:r>
        <w:rPr>
          <w:rFonts w:ascii="Arial" w:hAnsi="Arial"/>
          <w:color w:val="000000"/>
        </w:rPr>
        <w:t xml:space="preserve"> A interposição de recurso referente ao julgamento das propostas, à ha</w:t>
      </w:r>
      <w:r>
        <w:rPr>
          <w:rFonts w:ascii="Arial" w:hAnsi="Arial"/>
          <w:color w:val="000000"/>
        </w:rPr>
        <w:t xml:space="preserve">bilitação ou inabilitação de licitantes, à anulação ou revogação da licitação, observará o disposto no </w:t>
      </w:r>
      <w:hyperlink r:id="rId33" w:tooltip="http://www.planalto.gov.br/ccivil_03/_ato2019-2022/2021/lei/L14133.htm#art165" w:anchor="art165" w:history="1">
        <w:r>
          <w:rPr>
            <w:rStyle w:val="973"/>
            <w:rFonts w:ascii="Arial" w:hAnsi="Arial" w:cs="Arial"/>
            <w:color w:val="000000"/>
          </w:rPr>
          <w:t xml:space="preserve">art. 165 da Lei nº 14.133, de 2021</w:t>
        </w:r>
      </w:hyperlink>
      <w:r>
        <w:rPr>
          <w:rFonts w:ascii="Arial" w:hAnsi="Arial"/>
          <w:color w:val="000000"/>
        </w:rPr>
        <w:t xml:space="preserve">;</w:t>
      </w:r>
      <w:r>
        <w:rPr>
          <w:rFonts w:ascii="Arial" w:hAnsi="Arial"/>
        </w:rPr>
      </w:r>
      <w:r>
        <w:rPr>
          <w:rFonts w:ascii="Arial" w:hAnsi="Arial"/>
        </w:rPr>
      </w:r>
    </w:p>
    <w:p>
      <w:pPr>
        <w:pBdr/>
        <w:spacing/>
        <w:ind w:left="284"/>
        <w:jc w:val="both"/>
        <w:rPr>
          <w:rFonts w:ascii="Arial" w:hAnsi="Arial"/>
          <w:b/>
          <w:color w:val="000000"/>
          <w:shd w:val="clear" w:color="auto" w:fill="ffffff"/>
        </w:rPr>
      </w:pPr>
      <w:r>
        <w:rPr>
          <w:rFonts w:ascii="Arial" w:hAnsi="Arial"/>
          <w:b/>
          <w:color w:val="000000"/>
          <w:shd w:val="clear" w:color="auto" w:fill="ffffff"/>
        </w:rPr>
      </w:r>
      <w:r>
        <w:rPr>
          <w:rFonts w:ascii="Arial" w:hAnsi="Arial"/>
          <w:b/>
          <w:color w:val="000000"/>
          <w:shd w:val="clear" w:color="auto" w:fill="ffffff"/>
        </w:rPr>
      </w:r>
      <w:r>
        <w:rPr>
          <w:rFonts w:ascii="Arial" w:hAnsi="Arial"/>
          <w:b/>
          <w:color w:val="000000"/>
          <w:shd w:val="clear" w:color="auto" w:fill="ffffff"/>
        </w:rPr>
      </w:r>
    </w:p>
    <w:p>
      <w:pPr>
        <w:pBdr/>
        <w:spacing/>
        <w:ind/>
        <w:jc w:val="both"/>
        <w:rPr>
          <w:rFonts w:ascii="Arial" w:hAnsi="Arial"/>
        </w:rPr>
      </w:pPr>
      <w:r>
        <w:rPr>
          <w:rFonts w:ascii="Arial" w:hAnsi="Arial"/>
          <w:b/>
          <w:color w:val="000000"/>
          <w:shd w:val="clear" w:color="auto" w:fill="ffffff"/>
        </w:rPr>
        <w:t xml:space="preserve">17.2.</w:t>
      </w:r>
      <w:r>
        <w:rPr>
          <w:rFonts w:ascii="Arial" w:hAnsi="Arial"/>
          <w:color w:val="000000"/>
          <w:shd w:val="clear" w:color="auto" w:fill="ffffff"/>
        </w:rPr>
        <w:t xml:space="preserve"> A ausência de manifestação imediata e motivada do licitante nos termos do disposto no </w:t>
      </w:r>
      <w:r>
        <w:rPr>
          <w:rFonts w:ascii="Arial" w:hAnsi="Arial"/>
          <w:b/>
          <w:color w:val="000000"/>
          <w:shd w:val="clear" w:color="auto" w:fill="ffffff"/>
        </w:rPr>
        <w:t xml:space="preserve">item 17.1</w:t>
      </w:r>
      <w:r>
        <w:rPr>
          <w:rFonts w:ascii="Arial" w:hAnsi="Arial"/>
          <w:color w:val="000000"/>
          <w:shd w:val="clear" w:color="auto" w:fill="ffffff"/>
        </w:rPr>
        <w:t xml:space="preserve">, importará na decadência </w:t>
      </w:r>
      <w:r>
        <w:rPr>
          <w:rFonts w:ascii="Arial" w:hAnsi="Arial"/>
          <w:color w:val="000000"/>
        </w:rPr>
        <w:t xml:space="preserve">do direito de recurso</w:t>
      </w:r>
      <w:r>
        <w:rPr>
          <w:rFonts w:ascii="Arial" w:hAnsi="Arial"/>
          <w:color w:val="000000"/>
          <w:shd w:val="clear" w:color="auto" w:fill="ffffff"/>
        </w:rPr>
        <w:t xml:space="preserve">, e o Pregoeiro estará autorizado a adjudi</w:t>
      </w:r>
      <w:r>
        <w:rPr>
          <w:rFonts w:ascii="Arial" w:hAnsi="Arial"/>
          <w:color w:val="000000"/>
          <w:shd w:val="clear" w:color="auto" w:fill="ffffff"/>
        </w:rPr>
        <w:t xml:space="preserve">car o objeto ao licitante declarado vencedor;</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color w:val="000000"/>
        </w:rPr>
      </w:pPr>
      <w:r>
        <w:rPr>
          <w:rFonts w:ascii="Arial" w:hAnsi="Arial"/>
          <w:b/>
          <w:color w:val="000000"/>
        </w:rPr>
        <w:t xml:space="preserve">17.3.</w:t>
      </w:r>
      <w:r>
        <w:rPr>
          <w:rFonts w:ascii="Arial" w:hAnsi="Arial"/>
          <w:color w:val="000000"/>
        </w:rPr>
        <w:t xml:space="preserve"> Só será acatado o recurso em memorial descritivo, a mensagem postada no site só servirá para efeito de manifestação de intenção de recorrer.</w:t>
      </w:r>
      <w:r>
        <w:rPr>
          <w:rFonts w:ascii="Arial" w:hAnsi="Arial"/>
          <w:color w:val="000000"/>
        </w:rPr>
      </w:r>
      <w:r>
        <w:rPr>
          <w:rFonts w:ascii="Arial" w:hAnsi="Arial"/>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17.4.</w:t>
      </w:r>
      <w:r>
        <w:rPr>
          <w:rFonts w:ascii="Arial" w:hAnsi="Arial"/>
          <w:color w:val="000000"/>
        </w:rPr>
        <w:t xml:space="preserve"> A alegação apresentada no memorial do recurso deverá re</w:t>
      </w:r>
      <w:r>
        <w:rPr>
          <w:rFonts w:ascii="Arial" w:hAnsi="Arial"/>
          <w:color w:val="000000"/>
        </w:rPr>
        <w:t xml:space="preserve">lacionar-se com as razões indicadas pela licitante no momento da sessão pública, sob pena de não ser conhecido o recurso. </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17.5.</w:t>
      </w:r>
      <w:r>
        <w:rPr>
          <w:rFonts w:ascii="Arial" w:hAnsi="Arial"/>
          <w:color w:val="000000"/>
        </w:rPr>
        <w:t xml:space="preserve"> O prazo para apresentação das razões recursais será de 3 (três) dias úteis, contados da data de lavratura da ata de habilitaçã</w:t>
      </w:r>
      <w:r>
        <w:rPr>
          <w:rFonts w:ascii="Arial" w:hAnsi="Arial"/>
          <w:color w:val="000000"/>
        </w:rPr>
        <w:t xml:space="preserve">o ou inabilitação ou da intimação conforme o caso;</w:t>
      </w:r>
      <w:r>
        <w:rPr>
          <w:rFonts w:ascii="Arial" w:hAnsi="Arial"/>
          <w:color w:val="000000"/>
        </w:rPr>
      </w:r>
      <w:r>
        <w:rPr>
          <w:rFonts w:ascii="Arial" w:hAnsi="Arial"/>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17.6. </w:t>
      </w:r>
      <w:r>
        <w:rPr>
          <w:rFonts w:ascii="Arial" w:hAnsi="Arial"/>
          <w:color w:val="000000"/>
        </w:rPr>
        <w:t xml:space="preserve">O prazo para apresentação de contrarrazões ao recurso pelos demais licitantes será de 3 (três) dias úteis, contados da data da intimação pessoal ou da divulgação da interposição do recurso, assegura</w:t>
      </w:r>
      <w:r>
        <w:rPr>
          <w:rFonts w:ascii="Arial" w:hAnsi="Arial"/>
          <w:color w:val="000000"/>
        </w:rPr>
        <w:t xml:space="preserve">da a vista imediata dos elementos indispensáveis à defesa de seus interesses.</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17.7. </w:t>
      </w:r>
      <w:r>
        <w:rPr>
          <w:rFonts w:ascii="Arial" w:hAnsi="Arial"/>
          <w:color w:val="000000"/>
        </w:rPr>
        <w:t xml:space="preserve">Os recursos e contrarrazões ao recurso deverão ser encaminhados exclusivamente em campo próprio no sítio eletrônico bllcompras.com;</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17.8. </w:t>
      </w:r>
      <w:r>
        <w:rPr>
          <w:rFonts w:ascii="Arial" w:hAnsi="Arial"/>
          <w:color w:val="000000"/>
        </w:rPr>
        <w:t xml:space="preserve">Os recursos interpostos fora do prazo não serão conhecidos;</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17.9. </w:t>
      </w:r>
      <w:r>
        <w:rPr>
          <w:rFonts w:ascii="Arial" w:hAnsi="Arial"/>
          <w:color w:val="000000"/>
        </w:rPr>
        <w:t xml:space="preserve">Os autos do processo permanecerão com vista franqueada aos interessados no sítio eletrônico bllcompras.com;</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17.10. </w:t>
      </w:r>
      <w:r>
        <w:rPr>
          <w:rFonts w:ascii="Arial" w:hAnsi="Arial"/>
          <w:color w:val="000000"/>
        </w:rPr>
        <w:t xml:space="preserve">O recurso e o pedido de reconsideração terão efeito suspensivo do ato ou </w:t>
      </w:r>
      <w:r>
        <w:rPr>
          <w:rFonts w:ascii="Arial" w:hAnsi="Arial"/>
          <w:color w:val="000000"/>
        </w:rPr>
        <w:t xml:space="preserve">da decisão recorrida até que sobrevenha decisão final da autoridade competente; </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17.11. </w:t>
      </w:r>
      <w:r>
        <w:rPr>
          <w:rFonts w:ascii="Arial" w:hAnsi="Arial"/>
          <w:color w:val="000000"/>
        </w:rPr>
        <w:t xml:space="preserve">O acolhimento do recurso invalida tão somente os atos insuscetíveis de aproveitamento;</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17.12. </w:t>
      </w:r>
      <w:r>
        <w:rPr>
          <w:rFonts w:ascii="Arial" w:hAnsi="Arial"/>
          <w:color w:val="000000"/>
        </w:rPr>
        <w:t xml:space="preserve">O recurso será dirigido à autoridade que tiver editado o ato ou proferid</w:t>
      </w:r>
      <w:r>
        <w:rPr>
          <w:rFonts w:ascii="Arial" w:hAnsi="Arial"/>
          <w:color w:val="000000"/>
        </w:rPr>
        <w:t xml:space="preserve">o a decisão recorrida, a qual poderá reconsiderar sua decisão no prazo de 3 (três) dias úteis, ou, nesse mesmo prazo, encaminhar recurso para a autoridade superior, a qual deverá proferir sua decisão no prazo de 10 (dez) dias úteis, contado do recebimento </w:t>
      </w:r>
      <w:r>
        <w:rPr>
          <w:rFonts w:ascii="Arial" w:hAnsi="Arial"/>
          <w:color w:val="000000"/>
        </w:rPr>
        <w:t xml:space="preserve">dos autos.</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outlineLvl w:val="0"/>
        <w:rPr>
          <w:rFonts w:ascii="Arial" w:hAnsi="Arial"/>
          <w:b/>
          <w:bCs/>
          <w:color w:val="000000"/>
        </w:rPr>
      </w:pPr>
      <w:r/>
      <w:bookmarkStart w:id="74" w:name="_Toc18"/>
      <w:r>
        <w:rPr>
          <w:rFonts w:ascii="Arial" w:hAnsi="Arial" w:eastAsia="Arial"/>
          <w:b/>
          <w:bCs/>
          <w:color w:val="000000"/>
        </w:rPr>
        <w:t xml:space="preserve">18. </w:t>
      </w:r>
      <w:r>
        <w:rPr>
          <w:rFonts w:ascii="Arial" w:hAnsi="Arial"/>
          <w:b/>
        </w:rPr>
        <w:t xml:space="preserve">DO TERMO DE CONTRATO OU INSTRUMENTO EQUIVALENTE</w:t>
      </w:r>
      <w:r>
        <w:rPr>
          <w:rFonts w:ascii="Arial" w:hAnsi="Arial" w:eastAsia="Arial"/>
          <w:b/>
          <w:bCs/>
          <w:color w:val="000000"/>
        </w:rPr>
        <w:t xml:space="preserve">:</w:t>
      </w:r>
      <w:r>
        <w:rPr>
          <w:rFonts w:ascii="Arial" w:hAnsi="Arial"/>
          <w:b/>
          <w:bCs/>
          <w:color w:val="000000"/>
        </w:rPr>
      </w:r>
      <w:bookmarkEnd w:id="74"/>
      <w:r>
        <w:rPr>
          <w:rFonts w:ascii="Arial" w:hAnsi="Arial"/>
          <w:b/>
          <w:bCs/>
          <w:color w:val="000000"/>
        </w:rPr>
      </w:r>
      <w:r>
        <w:rPr>
          <w:rFonts w:ascii="Arial" w:hAnsi="Arial"/>
          <w:b/>
          <w:bCs/>
          <w:color w:val="000000"/>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18.1.</w:t>
      </w:r>
      <w:r>
        <w:rPr>
          <w:rFonts w:ascii="Arial" w:hAnsi="Arial"/>
        </w:rPr>
        <w:t xml:space="preserve"> </w:t>
      </w:r>
      <w:r>
        <w:rPr>
          <w:rFonts w:ascii="Arial" w:hAnsi="Arial"/>
        </w:rPr>
        <w:t xml:space="preserve">Dentro da validade da Ata de Registro de Preços, o fornecedor registrado poderá ser convocado para assinar o Termo de Contrato ou aceitar/retirar o instrumento equivalente (Nota de Empenho/Carta Contrato/Autorização), conforme artigo 95 da Lei 14.133/2021.</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18.2.</w:t>
      </w:r>
      <w:r>
        <w:rPr>
          <w:rFonts w:ascii="Arial" w:hAnsi="Arial"/>
        </w:rPr>
        <w:t xml:space="preserve"> A Administração, ao invés de convocar o adjudicatário, poderá encaminhar o instrumento contratual, mediante correspondência postal com aviso de recebimento (AR) ou meio eletrônico, para que seja assinado no prazo de 03 (três) dias úteis, a contar d</w:t>
      </w:r>
      <w:r>
        <w:rPr>
          <w:rFonts w:ascii="Arial" w:hAnsi="Arial"/>
        </w:rPr>
        <w:t xml:space="preserve">a data de seu recebimento.</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18.3.</w:t>
      </w:r>
      <w:r>
        <w:rPr>
          <w:rFonts w:ascii="Arial" w:hAnsi="Arial"/>
        </w:rPr>
        <w:t xml:space="preserve"> O prazo previsto no subitem anterior poderá ser prorrogado, por igual período, por solicitação justificada do adjudicatário e aceita pela Administração.</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18.4.</w:t>
      </w:r>
      <w:r>
        <w:rPr>
          <w:rFonts w:ascii="Arial" w:hAnsi="Arial"/>
        </w:rPr>
        <w:t xml:space="preserve"> Como condição para a celebração do contrato, a licitante vence</w:t>
      </w:r>
      <w:r>
        <w:rPr>
          <w:rFonts w:ascii="Arial" w:hAnsi="Arial"/>
        </w:rPr>
        <w:t xml:space="preserve">dora deverá manter as condições de habilitação. Caso não seja comprovada a situação regular do licitante vencedor, será convocado outro licitante, na ordem de classificação, para fazê-lo nas condições de suas respectivas ofertas observando que o(a) Pregoei</w:t>
      </w:r>
      <w:r>
        <w:rPr>
          <w:rFonts w:ascii="Arial" w:hAnsi="Arial"/>
        </w:rPr>
        <w:t xml:space="preserve">ro(a) examinará a aceitabilidade, quanto ao objeto e valor, sem prejuízo das sanções cabíveis.</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18.5.</w:t>
      </w:r>
      <w:r>
        <w:rPr>
          <w:rFonts w:ascii="Arial" w:hAnsi="Arial"/>
        </w:rPr>
        <w:t xml:space="preserve"> Se a licitante vencedora se recusar a assinar o contrato no prazo e condições estabelecidas neste Edital, ou por qualquer outro motivo injustificado, serã</w:t>
      </w:r>
      <w:r>
        <w:rPr>
          <w:rFonts w:ascii="Arial" w:hAnsi="Arial"/>
        </w:rPr>
        <w:t xml:space="preserve">o examinadas as ofertas subsequentes e a qualificação das licitantes na ordem de classificação e, assim sucessivamente, até a apuração de uma licitante que atenda ao edital, sendo a mesma vencedora, sem prejuízo da aplicação das sanções cabíveis.</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18.6.</w:t>
      </w:r>
      <w:r>
        <w:rPr>
          <w:rFonts w:ascii="Arial" w:hAnsi="Arial"/>
        </w:rPr>
        <w:t xml:space="preserve"> As</w:t>
      </w:r>
      <w:r>
        <w:rPr>
          <w:rFonts w:ascii="Arial" w:hAnsi="Arial"/>
        </w:rPr>
        <w:t xml:space="preserve"> cláusulas e condições contratuais, inclusive as sanções por descumprimento das obrigações, serão aquelas previstas no Edital, minuta do contrato e demais anexos.</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outlineLvl w:val="0"/>
        <w:rPr>
          <w:rFonts w:ascii="Arial" w:hAnsi="Arial"/>
          <w:b/>
          <w:bCs/>
          <w:color w:val="000000"/>
        </w:rPr>
      </w:pPr>
      <w:r/>
      <w:bookmarkStart w:id="75" w:name="_Toc19"/>
      <w:r>
        <w:rPr>
          <w:rFonts w:ascii="Arial" w:hAnsi="Arial" w:eastAsia="Arial"/>
          <w:b/>
          <w:bCs/>
          <w:color w:val="000000"/>
        </w:rPr>
        <w:t xml:space="preserve">19. A FORMA DE ENTREGA DO PRODUTO:</w:t>
      </w:r>
      <w:r>
        <w:rPr>
          <w:rFonts w:ascii="Arial" w:hAnsi="Arial"/>
          <w:b/>
          <w:bCs/>
          <w:color w:val="000000"/>
        </w:rPr>
      </w:r>
      <w:bookmarkEnd w:id="75"/>
      <w:r>
        <w:rPr>
          <w:rFonts w:ascii="Arial" w:hAnsi="Arial"/>
          <w:b/>
          <w:bCs/>
          <w:color w:val="000000"/>
        </w:rPr>
      </w:r>
      <w:r>
        <w:rPr>
          <w:rFonts w:ascii="Arial" w:hAnsi="Arial"/>
          <w:b/>
          <w:bCs/>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14:ligatures w14:val="none"/>
        </w:rPr>
      </w:pPr>
      <w:r>
        <w:rPr>
          <w:rFonts w:ascii="Arial" w:hAnsi="Arial"/>
          <w:b/>
          <w:color w:val="000000"/>
        </w:rPr>
        <w:t xml:space="preserve">19.1. </w:t>
      </w:r>
      <w:r>
        <w:rPr>
          <w:rFonts w:ascii="Arial" w:hAnsi="Arial"/>
        </w:rPr>
        <w:t xml:space="preserve">O fornecimento será realizado de forma parcelada, conforme a necessidade da Administração, mediante emissão de ordem de fornecimento, nota de empenho ou instrumento equivalente.</w:t>
      </w:r>
      <w:r>
        <w:rPr>
          <w:rFonts w:ascii="Arial" w:hAnsi="Arial"/>
        </w:rPr>
      </w:r>
      <w:r>
        <w:rPr>
          <w:rFonts w:ascii="Arial" w:hAnsi="Arial"/>
          <w14:ligatures w14:val="none"/>
        </w:rPr>
      </w:r>
    </w:p>
    <w:p>
      <w:pPr>
        <w:pBdr/>
        <w:spacing/>
        <w:ind/>
        <w:jc w:val="both"/>
        <w:rPr>
          <w:rFonts w:ascii="Arial" w:hAnsi="Arial"/>
          <w:b/>
          <w:bCs/>
          <w14:ligatures w14:val="none"/>
        </w:rPr>
      </w:pPr>
      <w:r>
        <w:rPr>
          <w:rFonts w:ascii="Arial" w:hAnsi="Arial"/>
          <w:b/>
          <w:bCs/>
        </w:rPr>
      </w:r>
      <w:r>
        <w:rPr>
          <w:rFonts w:ascii="Arial" w:hAnsi="Arial"/>
          <w:b/>
          <w:bCs/>
          <w14:ligatures w14:val="none"/>
        </w:rPr>
      </w:r>
      <w:r>
        <w:rPr>
          <w:rFonts w:ascii="Arial" w:hAnsi="Arial"/>
          <w:b/>
          <w:bCs/>
          <w14:ligatures w14:val="none"/>
        </w:rPr>
      </w:r>
    </w:p>
    <w:p>
      <w:pPr>
        <w:pBdr/>
        <w:spacing/>
        <w:ind/>
        <w:jc w:val="both"/>
        <w:rPr>
          <w:rFonts w:ascii="Arial" w:hAnsi="Arial"/>
          <w14:ligatures w14:val="none"/>
        </w:rPr>
      </w:pPr>
      <w:r>
        <w:rPr>
          <w:rFonts w:ascii="Arial" w:hAnsi="Arial"/>
          <w:b/>
          <w:bCs/>
        </w:rPr>
      </w:r>
      <w:r>
        <w:rPr>
          <w:rFonts w:ascii="Arial" w:hAnsi="Arial"/>
          <w:b/>
          <w:bCs/>
        </w:rPr>
        <w:t xml:space="preserve">19.1.1. </w:t>
      </w:r>
      <w:r>
        <w:rPr>
          <w:rFonts w:ascii="Arial" w:hAnsi="Arial"/>
        </w:rPr>
        <w:t xml:space="preserve">A entrega dos produtos deverá ser realizada em local designado no ato da solicitação, todas dentro do perímetro urbano de Rondonópolis-MT, mediante apresentação das solicitações parciais por ordem de fornecimento ou instrumento equivalente emitido</w:t>
      </w:r>
      <w:r>
        <w:rPr>
          <w:rFonts w:ascii="Arial" w:hAnsi="Arial"/>
        </w:rPr>
        <w:t xml:space="preserve"> pelo órgão contratante.</w:t>
      </w:r>
      <w:r>
        <w:rPr>
          <w:rFonts w:ascii="Arial" w:hAnsi="Arial"/>
          <w14:ligatures w14:val="none"/>
        </w:rPr>
      </w:r>
      <w:r>
        <w:rPr>
          <w:rFonts w:ascii="Arial" w:hAnsi="Arial"/>
          <w14:ligatures w14:val="none"/>
        </w:rPr>
      </w:r>
    </w:p>
    <w:p w14:paraId="25C3A295">
      <w:pPr>
        <w:pBdr/>
        <w:spacing/>
        <w:ind/>
        <w:jc w:val="both"/>
        <w:rPr>
          <w:rFonts w:ascii="Arial" w:hAnsi="Arial"/>
          <w:b/>
          <w:bCs/>
          <w14:ligatures w14:val="none"/>
        </w:rPr>
      </w:pPr>
      <w:r>
        <w:rPr>
          <w:rFonts w:ascii="Arial" w:hAnsi="Arial"/>
          <w:b/>
          <w:bCs/>
          <w:highlight w:val="none"/>
        </w:rPr>
      </w:r>
      <w:r>
        <w:rPr>
          <w:rFonts w:ascii="Arial" w:hAnsi="Arial"/>
          <w:b/>
          <w:bCs/>
          <w14:ligatures w14:val="none"/>
        </w:rPr>
      </w:r>
      <w:r>
        <w:rPr>
          <w:rFonts w:ascii="Arial" w:hAnsi="Arial"/>
          <w:b/>
          <w:bCs/>
          <w14:ligatures w14:val="none"/>
        </w:rPr>
      </w:r>
    </w:p>
    <w:p>
      <w:pPr>
        <w:pBdr/>
        <w:spacing/>
        <w:ind/>
        <w:jc w:val="both"/>
        <w:rPr>
          <w:rFonts w:ascii="Arial" w:hAnsi="Arial"/>
          <w14:ligatures w14:val="none"/>
        </w:rPr>
      </w:pPr>
      <w:r>
        <w:rPr>
          <w:rFonts w:ascii="Arial" w:hAnsi="Arial"/>
          <w:b/>
          <w:bCs/>
        </w:rPr>
        <w:t xml:space="preserve">19.1.2.</w:t>
      </w:r>
      <w:r>
        <w:rPr>
          <w:rFonts w:ascii="Arial" w:hAnsi="Arial"/>
        </w:rPr>
        <w:t xml:space="preserve"> </w:t>
      </w:r>
      <w:r>
        <w:rPr>
          <w:rFonts w:ascii="Arial" w:hAnsi="Arial"/>
        </w:rPr>
        <w:t xml:space="preserve">As entregas ocorrerão, em regra, no Almoxarifado da Secretaria Municipal de Saúde, situado na Av. Angelo Thum, nº 181, Jardim Monte Líbano, Rondonópolis/MT, CEP 78710-272, de segunda a sexta-feira, das 07h00 às 11h00 e das 13h00 às 17h00.</w:t>
      </w:r>
      <w:r>
        <w:rPr>
          <w:rFonts w:ascii="Arial" w:hAnsi="Arial"/>
        </w:rPr>
      </w:r>
      <w:r>
        <w:rPr>
          <w:rFonts w:ascii="Arial" w:hAnsi="Arial"/>
          <w14:ligatures w14:val="none"/>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bCs/>
        </w:rPr>
        <w:t xml:space="preserve">19.1.3.</w:t>
      </w:r>
      <w:r>
        <w:rPr>
          <w:rFonts w:ascii="Arial" w:hAnsi="Arial"/>
        </w:rPr>
        <w:t xml:space="preserve"> </w:t>
      </w:r>
      <w:r>
        <w:rPr>
          <w:rFonts w:ascii="Arial" w:hAnsi="Arial"/>
        </w:rPr>
        <w:t xml:space="preserve">As en</w:t>
      </w:r>
      <w:r>
        <w:rPr>
          <w:rFonts w:ascii="Arial" w:hAnsi="Arial"/>
        </w:rPr>
        <w:t xml:space="preserve">tregas deverão ser realizadas nas quantidades solicitadas, no prazo máximo de 20 (vinte) dias corridos, contados do recebimento da ordem de fornecimento ou instrumento equivalente, podendo o prazo ser prorrogado, de forma excepcional, mediante justificativ</w:t>
      </w:r>
      <w:r>
        <w:rPr>
          <w:rFonts w:ascii="Arial" w:hAnsi="Arial"/>
        </w:rPr>
        <w:t xml:space="preserve">a formal da contratada e anuência da Administração.</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14:ligatures w14:val="none"/>
        </w:rPr>
      </w:pPr>
      <w:r>
        <w:rPr>
          <w:rFonts w:ascii="Arial" w:hAnsi="Arial"/>
          <w:b/>
          <w:bCs/>
        </w:rPr>
        <w:t xml:space="preserve">19.1.4.</w:t>
      </w:r>
      <w:r>
        <w:rPr>
          <w:rFonts w:ascii="Arial" w:hAnsi="Arial"/>
        </w:rPr>
        <w:t xml:space="preserve"> </w:t>
      </w:r>
      <w:r>
        <w:rPr>
          <w:rFonts w:ascii="Arial" w:hAnsi="Arial"/>
        </w:rPr>
        <w:t xml:space="preserve">Caso o produto seja entregue em desacordo com as especificações exigidas, com embalagem violada, avariada, com indícios de contaminação, prazo de validade inferior ao exigido ou em desconformidade com a proposta vencedora, será recusado mediante termo ou r</w:t>
      </w:r>
      <w:r>
        <w:rPr>
          <w:rFonts w:ascii="Arial" w:hAnsi="Arial"/>
        </w:rPr>
        <w:t xml:space="preserve">egistro formal de recusa.</w:t>
      </w:r>
      <w:r>
        <w:rPr>
          <w:rFonts w:ascii="Arial" w:hAnsi="Arial"/>
          <w14:ligatures w14:val="none"/>
        </w:rPr>
      </w:r>
      <w:r>
        <w:rPr>
          <w:rFonts w:ascii="Arial" w:hAnsi="Arial"/>
          <w14:ligatures w14:val="none"/>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b/>
          <w:bCs/>
        </w:rPr>
      </w:pPr>
      <w:r>
        <w:rPr>
          <w:rFonts w:ascii="Arial" w:hAnsi="Arial"/>
          <w:b/>
          <w:bCs/>
        </w:rPr>
        <w:t xml:space="preserve">19.1.5.</w:t>
      </w:r>
      <w:r>
        <w:rPr>
          <w:rFonts w:ascii="Arial" w:hAnsi="Arial"/>
        </w:rPr>
        <w:t xml:space="preserve"> </w:t>
      </w:r>
      <w:r>
        <w:rPr>
          <w:rFonts w:ascii="Arial" w:hAnsi="Arial"/>
        </w:rPr>
        <w:t xml:space="preserve">Na hipótese do item anterior, a contratada deverá promover a substituição integral do produto recusado, sem ônus para a Administração, no prazo máximo de 5 (cinco) dias úteis, contado do recebimento da notificação.</w:t>
      </w:r>
      <w:r>
        <w:rPr>
          <w:rFonts w:ascii="Arial" w:hAnsi="Arial"/>
          <w:b/>
          <w:bCs/>
        </w:rPr>
      </w:r>
      <w:r>
        <w:rPr>
          <w:rFonts w:ascii="Arial" w:hAnsi="Arial"/>
          <w:b/>
          <w:bCs/>
        </w:rPr>
      </w:r>
    </w:p>
    <w:p>
      <w:pPr>
        <w:pStyle w:val="2038"/>
        <w:pBdr/>
        <w:spacing/>
        <w:ind w:left="284"/>
        <w:jc w:val="both"/>
        <w:rPr>
          <w:rFonts w:ascii="Arial" w:hAnsi="Arial"/>
          <w:b/>
          <w:color w:val="000000"/>
          <w:sz w:val="20"/>
          <w:szCs w:val="20"/>
        </w:rPr>
      </w:pPr>
      <w:r>
        <w:rPr>
          <w:rFonts w:ascii="Arial" w:hAnsi="Arial"/>
          <w:b/>
          <w:color w:val="000000"/>
          <w:sz w:val="20"/>
          <w:szCs w:val="20"/>
        </w:rPr>
      </w:r>
      <w:r>
        <w:rPr>
          <w:rFonts w:ascii="Arial" w:hAnsi="Arial"/>
          <w:b/>
          <w:color w:val="000000"/>
          <w:sz w:val="20"/>
          <w:szCs w:val="20"/>
        </w:rPr>
      </w:r>
      <w:r>
        <w:rPr>
          <w:rFonts w:ascii="Arial" w:hAnsi="Arial"/>
          <w:b/>
          <w:color w:val="000000"/>
          <w:sz w:val="20"/>
          <w:szCs w:val="20"/>
        </w:rPr>
      </w:r>
    </w:p>
    <w:p>
      <w:pPr>
        <w:pStyle w:val="2038"/>
        <w:pBdr/>
        <w:spacing/>
        <w:ind/>
        <w:jc w:val="both"/>
        <w:rPr>
          <w:rFonts w:ascii="Arial" w:hAnsi="Arial" w:eastAsia="SimSun"/>
          <w:b/>
          <w:sz w:val="20"/>
          <w:szCs w:val="20"/>
          <w:lang w:bidi="ar-SA"/>
        </w:rPr>
      </w:pPr>
      <w:r>
        <w:rPr>
          <w:rFonts w:ascii="Arial" w:hAnsi="Arial" w:eastAsia="SimSun"/>
          <w:b/>
          <w:sz w:val="20"/>
          <w:szCs w:val="20"/>
          <w:lang w:bidi="ar-SA"/>
        </w:rPr>
        <w:t xml:space="preserve">19.2. DAS REGRAS PARA RECEBIMENTOS PROVISÓRIO E DEFINITIVO:</w:t>
      </w:r>
      <w:r>
        <w:rPr>
          <w:rFonts w:ascii="Arial" w:hAnsi="Arial" w:eastAsia="SimSun"/>
          <w:b/>
          <w:sz w:val="20"/>
          <w:szCs w:val="20"/>
          <w:lang w:bidi="ar-SA"/>
        </w:rPr>
      </w:r>
      <w:r>
        <w:rPr>
          <w:rFonts w:ascii="Arial" w:hAnsi="Arial" w:eastAsia="SimSun"/>
          <w:b/>
          <w:sz w:val="20"/>
          <w:szCs w:val="20"/>
          <w:lang w:bidi="ar-SA"/>
        </w:rPr>
      </w:r>
    </w:p>
    <w:p>
      <w:pPr>
        <w:pBdr/>
        <w:spacing/>
        <w:ind w:left="284"/>
        <w:jc w:val="both"/>
        <w:rPr>
          <w:rFonts w:ascii="Arial" w:hAnsi="Arial" w:eastAsia="SimSun"/>
          <w:b/>
        </w:rPr>
      </w:pPr>
      <w:r>
        <w:rPr>
          <w:rFonts w:ascii="Arial" w:hAnsi="Arial" w:eastAsia="SimSun"/>
          <w:b/>
        </w:rPr>
      </w:r>
      <w:r>
        <w:rPr>
          <w:rFonts w:ascii="Arial" w:hAnsi="Arial" w:eastAsia="SimSun"/>
          <w:b/>
        </w:rPr>
      </w:r>
      <w:r>
        <w:rPr>
          <w:rFonts w:ascii="Arial" w:hAnsi="Arial" w:eastAsia="SimSun"/>
          <w:b/>
        </w:rPr>
      </w:r>
    </w:p>
    <w:p>
      <w:pPr>
        <w:pBdr/>
        <w:spacing/>
        <w:ind/>
        <w:jc w:val="both"/>
        <w:rPr>
          <w:rFonts w:ascii="Arial" w:hAnsi="Arial"/>
          <w14:ligatures w14:val="none"/>
        </w:rPr>
      </w:pPr>
      <w:r>
        <w:rPr>
          <w:rFonts w:ascii="Arial" w:hAnsi="Arial"/>
        </w:rPr>
      </w:r>
      <w:r>
        <w:rPr>
          <w:rFonts w:ascii="Arial" w:hAnsi="Arial"/>
          <w:b/>
          <w:bCs/>
        </w:rPr>
        <w:t xml:space="preserve">19.2.1.</w:t>
      </w:r>
      <w:r>
        <w:rPr>
          <w:rFonts w:ascii="Arial" w:hAnsi="Arial"/>
        </w:rPr>
        <w:t xml:space="preserve"> Recebimento provisório: o recebimento provisório ocorrerá no ato da entrega, mediante conferência inicial da quantidade, integridade das embalagens e apresentação da nota fiscal, sem prejuízo da posterior verificação da conformidade do produto.</w:t>
      </w:r>
      <w:r>
        <w:rPr>
          <w:rFonts w:ascii="Arial" w:hAnsi="Arial"/>
          <w14:ligatures w14:val="none"/>
        </w:rPr>
      </w:r>
      <w:r>
        <w:rPr>
          <w:rFonts w:ascii="Arial" w:hAnsi="Arial"/>
          <w14:ligatures w14:val="none"/>
        </w:rPr>
      </w:r>
    </w:p>
    <w:p w14:paraId="41C6000E">
      <w:pPr>
        <w:pBdr/>
        <w:spacing/>
        <w:ind/>
        <w:jc w:val="both"/>
        <w:rPr>
          <w:rFonts w:ascii="Arial" w:hAnsi="Arial"/>
          <w14:ligatures w14:val="none"/>
        </w:rPr>
      </w:pPr>
      <w:r>
        <w:rPr>
          <w:rFonts w:ascii="Arial" w:hAnsi="Arial"/>
        </w:rPr>
        <w:br/>
      </w:r>
      <w:r>
        <w:rPr>
          <w:rFonts w:ascii="Arial" w:hAnsi="Arial"/>
          <w:b/>
          <w:bCs/>
        </w:rPr>
        <w:t xml:space="preserve">19.</w:t>
      </w:r>
      <w:r>
        <w:rPr>
          <w:rFonts w:ascii="Arial" w:hAnsi="Arial"/>
          <w:b/>
          <w:bCs/>
        </w:rPr>
        <w:t xml:space="preserve">2.2.</w:t>
      </w:r>
      <w:r>
        <w:rPr>
          <w:rFonts w:ascii="Arial" w:hAnsi="Arial"/>
        </w:rPr>
        <w:t xml:space="preserve"> Recebimento definitivo: o recebimento definitivo ocorrerá após a verificação da conformidade do produto com as especificações do Edital, do Termo de Referência e da proposta vencedora, especialmente quanto à descrição do produto, volume, integridade d</w:t>
      </w:r>
      <w:r>
        <w:rPr>
          <w:rFonts w:ascii="Arial" w:hAnsi="Arial"/>
        </w:rPr>
        <w:t xml:space="preserve">o acondicionamento, identificação do lote, data de fabricação, prazo de validade e demais requisitos técnicos exigidos.</w:t>
      </w:r>
      <w:r>
        <w:rPr>
          <w:rFonts w:ascii="Arial" w:hAnsi="Arial"/>
          <w14:ligatures w14:val="none"/>
        </w:rPr>
      </w:r>
      <w:r>
        <w:rPr>
          <w:rFonts w:ascii="Arial" w:hAnsi="Arial"/>
          <w14:ligatures w14:val="none"/>
        </w:rPr>
      </w:r>
    </w:p>
    <w:p w14:paraId="0C76B643">
      <w:pPr>
        <w:pBdr/>
        <w:spacing/>
        <w:ind/>
        <w:jc w:val="both"/>
        <w:rPr>
          <w:rFonts w:ascii="Arial" w:hAnsi="Arial"/>
          <w14:ligatures w14:val="none"/>
        </w:rPr>
      </w:pPr>
      <w:r>
        <w:rPr>
          <w:rFonts w:ascii="Arial" w:hAnsi="Arial"/>
        </w:rPr>
        <w:br/>
      </w:r>
      <w:r>
        <w:rPr>
          <w:rFonts w:ascii="Arial" w:hAnsi="Arial"/>
          <w:b/>
          <w:bCs/>
        </w:rPr>
        <w:t xml:space="preserve">19.2.2.1.</w:t>
      </w:r>
      <w:r>
        <w:rPr>
          <w:rFonts w:ascii="Arial" w:hAnsi="Arial"/>
        </w:rPr>
        <w:t xml:space="preserve"> O recebimento definitivo não excluirá a responsabilidade da contratada por vícios, defeitos, desconformidades ou problemas de </w:t>
      </w:r>
      <w:r>
        <w:rPr>
          <w:rFonts w:ascii="Arial" w:hAnsi="Arial"/>
        </w:rPr>
        <w:t xml:space="preserve">qualidade constatados posteriormente.</w:t>
      </w:r>
      <w:r>
        <w:rPr>
          <w:rFonts w:ascii="Arial" w:hAnsi="Arial"/>
          <w14:ligatures w14:val="none"/>
        </w:rPr>
      </w:r>
      <w:r>
        <w:rPr>
          <w:rFonts w:ascii="Arial" w:hAnsi="Arial"/>
          <w14:ligatures w14:val="none"/>
        </w:rPr>
      </w:r>
    </w:p>
    <w:p w14:paraId="119370B8">
      <w:pPr>
        <w:pBdr/>
        <w:spacing/>
        <w:ind/>
        <w:jc w:val="both"/>
        <w:rPr>
          <w:rFonts w:ascii="Arial" w:hAnsi="Arial"/>
          <w14:ligatures w14:val="none"/>
        </w:rPr>
      </w:pPr>
      <w:r>
        <w:rPr>
          <w:rFonts w:ascii="Arial" w:hAnsi="Arial"/>
        </w:rPr>
        <w:br/>
      </w:r>
      <w:r>
        <w:rPr>
          <w:rFonts w:ascii="Arial" w:hAnsi="Arial"/>
          <w:b/>
          <w:bCs/>
        </w:rPr>
        <w:t xml:space="preserve">19.2.3.</w:t>
      </w:r>
      <w:r>
        <w:rPr>
          <w:rFonts w:ascii="Arial" w:hAnsi="Arial"/>
        </w:rPr>
        <w:t xml:space="preserve"> Tratando-se de produto consumível, líquido e acondicionado em embalagem própria, não será admitido reparo, ajuste, recondicionamento ou solução parcial do item recusado, cabendo exclusivamente sua substituição</w:t>
      </w:r>
      <w:r>
        <w:rPr>
          <w:rFonts w:ascii="Arial" w:hAnsi="Arial"/>
        </w:rPr>
        <w:t xml:space="preserve"> </w:t>
      </w:r>
      <w:r>
        <w:rPr>
          <w:rFonts w:ascii="Arial" w:hAnsi="Arial"/>
        </w:rPr>
        <w:t xml:space="preserve">integral.</w:t>
      </w:r>
      <w:r>
        <w:rPr>
          <w:rFonts w:ascii="Arial" w:hAnsi="Arial"/>
          <w14:ligatures w14:val="none"/>
        </w:rPr>
      </w:r>
      <w:r>
        <w:rPr>
          <w:rFonts w:ascii="Arial" w:hAnsi="Arial"/>
          <w14:ligatures w14:val="none"/>
        </w:rPr>
      </w:r>
    </w:p>
    <w:p w14:paraId="38BFD914">
      <w:pPr>
        <w:pBdr/>
        <w:spacing/>
        <w:ind/>
        <w:jc w:val="both"/>
        <w:rPr>
          <w:rFonts w:ascii="Arial" w:hAnsi="Arial"/>
          <w:highlight w:val="none"/>
          <w14:ligatures w14:val="none"/>
        </w:rPr>
      </w:pPr>
      <w:r>
        <w:rPr>
          <w:rFonts w:ascii="Arial" w:hAnsi="Arial"/>
        </w:rPr>
        <w:br/>
      </w:r>
      <w:r>
        <w:rPr>
          <w:rFonts w:ascii="Arial" w:hAnsi="Arial"/>
          <w:b/>
          <w:bCs/>
        </w:rPr>
        <w:t xml:space="preserve">19.2.3.1.</w:t>
      </w:r>
      <w:r>
        <w:rPr>
          <w:rFonts w:ascii="Arial" w:hAnsi="Arial"/>
        </w:rPr>
        <w:t xml:space="preserve"> O pagamento será devido apenas em relação aos produtos efetivamente entregues e definitivamente recebidos, conforme os valores unitários adjudicados.</w:t>
      </w:r>
      <w:r>
        <w:rPr>
          <w:rFonts w:ascii="Arial" w:hAnsi="Arial"/>
          <w:highlight w:val="none"/>
          <w14:ligatures w14:val="none"/>
        </w:rPr>
      </w:r>
      <w:r>
        <w:rPr>
          <w:rFonts w:ascii="Arial" w:hAnsi="Arial"/>
          <w:highlight w:val="none"/>
          <w14:ligatures w14:val="none"/>
        </w:rPr>
      </w:r>
    </w:p>
    <w:p w14:paraId="2ACC10AB">
      <w:pPr>
        <w:pBdr/>
        <w:spacing/>
        <w:ind/>
        <w:jc w:val="both"/>
        <w:rPr>
          <w:rFonts w:ascii="Arial" w:hAnsi="Arial"/>
          <w14:ligatures w14:val="none"/>
        </w:rPr>
      </w:pPr>
      <w:r>
        <w:rPr>
          <w:rFonts w:ascii="Arial" w:hAnsi="Arial"/>
          <w:highlight w:val="none"/>
        </w:rPr>
      </w:r>
      <w:r>
        <w:rPr>
          <w:rFonts w:ascii="Arial" w:hAnsi="Arial"/>
          <w14:ligatures w14:val="none"/>
        </w:rPr>
      </w:r>
      <w:r>
        <w:rPr>
          <w:rFonts w:ascii="Arial" w:hAnsi="Arial"/>
          <w14:ligatures w14:val="none"/>
        </w:rPr>
      </w:r>
    </w:p>
    <w:p>
      <w:pPr>
        <w:pStyle w:val="2038"/>
        <w:pBdr/>
        <w:spacing/>
        <w:ind/>
        <w:jc w:val="both"/>
        <w:rPr>
          <w:rFonts w:ascii="Arial" w:hAnsi="Arial" w:eastAsia="SimSun"/>
          <w:b/>
          <w:bCs/>
          <w:sz w:val="20"/>
          <w:szCs w:val="20"/>
          <w:lang w:bidi="ar-SA"/>
          <w14:ligatures w14:val="none"/>
        </w:rPr>
      </w:pPr>
      <w:r>
        <w:rPr>
          <w:rFonts w:ascii="Arial" w:hAnsi="Arial" w:eastAsia="SimSun"/>
          <w:b/>
          <w:bCs/>
          <w:sz w:val="20"/>
          <w:szCs w:val="20"/>
        </w:rPr>
        <w:t xml:space="preserve">19.3. DAS CARACTERÍSTICAS DOS PRODUTOS</w:t>
      </w:r>
      <w:r>
        <w:rPr>
          <w:rFonts w:ascii="Arial" w:hAnsi="Arial" w:eastAsia="SimSun"/>
          <w:b/>
          <w:bCs/>
          <w:sz w:val="20"/>
          <w:szCs w:val="20"/>
        </w:rPr>
        <w:t xml:space="preserve">:</w:t>
      </w:r>
      <w:r>
        <w:rPr>
          <w:rFonts w:ascii="Arial" w:hAnsi="Arial" w:eastAsia="SimSun"/>
          <w:b/>
          <w:bCs/>
          <w:sz w:val="20"/>
          <w:szCs w:val="20"/>
          <w:lang w:bidi="ar-SA"/>
          <w14:ligatures w14:val="none"/>
        </w:rPr>
      </w:r>
      <w:r>
        <w:rPr>
          <w:rFonts w:ascii="Arial" w:hAnsi="Arial" w:eastAsia="SimSun"/>
          <w:b/>
          <w:bCs/>
          <w:sz w:val="20"/>
          <w:szCs w:val="20"/>
          <w:lang w:bidi="ar-SA"/>
          <w14:ligatures w14:val="none"/>
        </w:rPr>
      </w:r>
    </w:p>
    <w:p>
      <w:pPr>
        <w:pBdr/>
        <w:spacing/>
        <w:ind w:left="284"/>
        <w:jc w:val="both"/>
        <w:rPr>
          <w:rFonts w:ascii="Arial" w:hAnsi="Arial"/>
          <w:b/>
          <w:bCs/>
        </w:rPr>
      </w:pPr>
      <w:r>
        <w:rPr>
          <w:rFonts w:ascii="Arial" w:hAnsi="Arial"/>
          <w:b/>
          <w:bCs/>
        </w:rPr>
      </w:r>
      <w:r>
        <w:rPr>
          <w:rFonts w:ascii="Arial" w:hAnsi="Arial"/>
          <w:b/>
          <w:bCs/>
        </w:rPr>
      </w:r>
      <w:r>
        <w:rPr>
          <w:rFonts w:ascii="Arial" w:hAnsi="Arial"/>
          <w:b/>
          <w:bCs/>
        </w:rPr>
      </w:r>
    </w:p>
    <w:p>
      <w:pPr>
        <w:pBdr/>
        <w:spacing/>
        <w:ind/>
        <w:jc w:val="both"/>
        <w:rPr>
          <w:rFonts w:ascii="Arial" w:hAnsi="Arial"/>
        </w:rPr>
      </w:pPr>
      <w:r>
        <w:rPr>
          <w:rFonts w:ascii="Arial" w:hAnsi="Arial"/>
          <w:b/>
          <w:bCs/>
        </w:rPr>
        <w:t xml:space="preserve">19.3.1.</w:t>
      </w:r>
      <w:r>
        <w:rPr>
          <w:rFonts w:ascii="Arial" w:hAnsi="Arial"/>
        </w:rPr>
        <w:t xml:space="preserve"> Os produtos objeto dessa licitação já referenciados a serem adquiridos, deverão atender integralmente às especificações técnicas definidas no</w:t>
      </w:r>
      <w:r>
        <w:rPr>
          <w:rFonts w:ascii="Arial" w:hAnsi="Arial"/>
        </w:rPr>
        <w:t xml:space="preserve"> edital e em seus anexos, obedecendo às legislações vigentes e à literatura técnica de referência aplicável ao objeto licitado.</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14:ligatures w14:val="none"/>
        </w:rPr>
      </w:pPr>
      <w:r>
        <w:rPr>
          <w:rFonts w:ascii="Arial" w:hAnsi="Arial"/>
          <w:b/>
          <w:bCs/>
        </w:rPr>
        <w:t xml:space="preserve">19.3.2.</w:t>
      </w:r>
      <w:r>
        <w:rPr>
          <w:rFonts w:ascii="Arial" w:hAnsi="Arial"/>
        </w:rPr>
        <w:t xml:space="preserve"> </w:t>
      </w:r>
      <w:r>
        <w:rPr>
          <w:rFonts w:ascii="Arial" w:hAnsi="Arial"/>
        </w:rPr>
        <w:t xml:space="preserve">Os produtos deverão ser novos, de primeiro fornecimento, acondicionados em embalagens íntegras e adequadas ao transporte e armazenamento, com validade mínima de 12 (doze) meses, contados da data do recebimento, salvo se o Termo de Referência dispuser de fo</w:t>
      </w:r>
      <w:r>
        <w:rPr>
          <w:rFonts w:ascii="Arial" w:hAnsi="Arial"/>
        </w:rPr>
        <w:t xml:space="preserve">rma mais específica.</w:t>
      </w:r>
      <w:r>
        <w:rPr>
          <w:rFonts w:ascii="Arial" w:hAnsi="Arial"/>
          <w14:ligatures w14:val="none"/>
        </w:rPr>
      </w:r>
      <w:r>
        <w:rPr>
          <w:rFonts w:ascii="Arial" w:hAnsi="Arial"/>
          <w14:ligatures w14:val="none"/>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bCs/>
        </w:rPr>
        <w:t xml:space="preserve">19.3.3.</w:t>
      </w:r>
      <w:r>
        <w:rPr>
          <w:rFonts w:ascii="Arial" w:hAnsi="Arial"/>
        </w:rPr>
        <w:t xml:space="preserve"> Os produtos </w:t>
      </w:r>
      <w:r>
        <w:rPr>
          <w:rFonts w:ascii="Arial" w:hAnsi="Arial"/>
        </w:rPr>
        <w:t xml:space="preserve">deverão apresentar, quando aplicável, certificações de conformidade técnica emitidas por órgãos reconhecidos, como o INMETRO ou equivalente, e atender às Normas Regulamentadoras (NRs) do Ministério do Trabalho, especialmente no que diz respeito à segurança</w:t>
      </w:r>
      <w:r>
        <w:rPr>
          <w:rFonts w:ascii="Arial" w:hAnsi="Arial"/>
        </w:rPr>
        <w:t xml:space="preserve"> do motorista.</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bCs/>
          <w:lang w:bidi="hi-IN"/>
        </w:rPr>
        <w:t xml:space="preserve">19.3.4.</w:t>
      </w:r>
      <w:r>
        <w:rPr>
          <w:rFonts w:ascii="Arial" w:hAnsi="Arial"/>
          <w:lang w:bidi="hi-IN"/>
        </w:rPr>
        <w:t xml:space="preserve"> </w:t>
      </w:r>
      <w:r>
        <w:rPr>
          <w:rFonts w:ascii="Arial" w:hAnsi="Arial"/>
        </w:rPr>
        <w:t xml:space="preserve">Sempre que cabível, os produtos deverão apresentar identificação clara do fabricante, lote, data de fabricação, prazo de validade e demais informações obrigatórias para sua rastreabilidade e conferência no recebimento.</w:t>
      </w:r>
      <w:r>
        <w:rPr>
          <w:rFonts w:ascii="Arial" w:hAnsi="Arial"/>
        </w:rPr>
      </w:r>
      <w:r>
        <w:rPr>
          <w:rFonts w:ascii="Arial" w:hAnsi="Arial"/>
        </w:rPr>
      </w:r>
    </w:p>
    <w:p>
      <w:pPr>
        <w:pStyle w:val="2038"/>
        <w:pBdr/>
        <w:spacing/>
        <w:ind/>
        <w:jc w:val="both"/>
        <w:rPr>
          <w:rFonts w:ascii="Arial" w:hAnsi="Arial"/>
          <w:sz w:val="20"/>
          <w:szCs w:val="20"/>
        </w:rPr>
      </w:pPr>
      <w:r>
        <w:rPr>
          <w:rFonts w:ascii="Arial" w:hAnsi="Arial"/>
          <w:sz w:val="20"/>
          <w:szCs w:val="20"/>
        </w:rPr>
      </w:r>
      <w:r>
        <w:rPr>
          <w:rFonts w:ascii="Arial" w:hAnsi="Arial"/>
          <w:sz w:val="20"/>
          <w:szCs w:val="20"/>
        </w:rPr>
      </w:r>
      <w:r>
        <w:rPr>
          <w:rFonts w:ascii="Arial" w:hAnsi="Arial"/>
          <w:sz w:val="20"/>
          <w:szCs w:val="20"/>
        </w:rPr>
      </w:r>
    </w:p>
    <w:p>
      <w:pPr>
        <w:pStyle w:val="2038"/>
        <w:pBdr/>
        <w:spacing/>
        <w:ind/>
        <w:jc w:val="both"/>
        <w:rPr>
          <w:rFonts w:ascii="Arial" w:hAnsi="Arial"/>
          <w:b/>
          <w:sz w:val="20"/>
          <w:szCs w:val="20"/>
        </w:rPr>
      </w:pPr>
      <w:r>
        <w:rPr>
          <w:rFonts w:ascii="Arial" w:hAnsi="Arial"/>
          <w:b/>
          <w:bCs/>
          <w:sz w:val="20"/>
          <w:szCs w:val="20"/>
          <w:u w:val="single"/>
        </w:rPr>
        <w:t xml:space="preserve">19.4.</w:t>
      </w:r>
      <w:r>
        <w:rPr>
          <w:rFonts w:ascii="Arial" w:hAnsi="Arial"/>
          <w:b/>
          <w:sz w:val="20"/>
          <w:szCs w:val="20"/>
          <w:u w:val="single"/>
        </w:rPr>
        <w:t xml:space="preserve"> DO TRANSPORTE</w:t>
      </w:r>
      <w:r>
        <w:rPr>
          <w:rFonts w:ascii="Arial" w:hAnsi="Arial"/>
          <w:b/>
          <w:sz w:val="20"/>
          <w:szCs w:val="20"/>
        </w:rPr>
        <w:t xml:space="preserve">: </w:t>
      </w:r>
      <w:r>
        <w:rPr>
          <w:rFonts w:ascii="Arial" w:hAnsi="Arial"/>
          <w:b/>
          <w:sz w:val="20"/>
          <w:szCs w:val="20"/>
        </w:rPr>
      </w:r>
      <w:r>
        <w:rPr>
          <w:rFonts w:ascii="Arial" w:hAnsi="Arial"/>
          <w:b/>
          <w:sz w:val="20"/>
          <w:szCs w:val="20"/>
        </w:rPr>
      </w:r>
    </w:p>
    <w:p>
      <w:pPr>
        <w:pBdr/>
        <w:spacing/>
        <w:ind w:left="284"/>
        <w:jc w:val="both"/>
        <w:rPr>
          <w:rFonts w:ascii="Arial" w:hAnsi="Arial"/>
          <w:b/>
          <w:u w:val="single"/>
        </w:rPr>
      </w:pPr>
      <w:r>
        <w:rPr>
          <w:rFonts w:ascii="Arial" w:hAnsi="Arial"/>
          <w:b/>
          <w:u w:val="single"/>
        </w:rPr>
      </w:r>
      <w:r>
        <w:rPr>
          <w:rFonts w:ascii="Arial" w:hAnsi="Arial"/>
          <w:b/>
          <w:u w:val="single"/>
        </w:rPr>
      </w:r>
      <w:r>
        <w:rPr>
          <w:rFonts w:ascii="Arial" w:hAnsi="Arial"/>
          <w:b/>
          <w:u w:val="single"/>
        </w:rPr>
      </w:r>
    </w:p>
    <w:p>
      <w:pPr>
        <w:pStyle w:val="2038"/>
        <w:pBdr/>
        <w:spacing/>
        <w:ind/>
        <w:jc w:val="both"/>
        <w:rPr>
          <w:rFonts w:ascii="Arial" w:hAnsi="Arial"/>
          <w:color w:val="000000"/>
          <w:sz w:val="20"/>
          <w:szCs w:val="20"/>
        </w:rPr>
      </w:pPr>
      <w:r>
        <w:rPr>
          <w:rFonts w:ascii="Arial" w:hAnsi="Arial"/>
          <w:b/>
          <w:bCs/>
          <w:color w:val="000000"/>
          <w:sz w:val="20"/>
          <w:szCs w:val="20"/>
        </w:rPr>
        <w:t xml:space="preserve">19.4.1.</w:t>
      </w:r>
      <w:r>
        <w:rPr>
          <w:rFonts w:ascii="Arial" w:hAnsi="Arial"/>
          <w:color w:val="000000"/>
          <w:sz w:val="20"/>
          <w:szCs w:val="20"/>
        </w:rPr>
        <w:t xml:space="preserve"> A contratada será responsável pelo transporte dos bens, desde o local de origem até o endereço indicado pela contratante.</w:t>
      </w:r>
      <w:r>
        <w:rPr>
          <w:rFonts w:ascii="Arial" w:hAnsi="Arial"/>
          <w:color w:val="000000"/>
          <w:sz w:val="20"/>
          <w:szCs w:val="20"/>
        </w:rPr>
      </w:r>
      <w:r>
        <w:rPr>
          <w:rFonts w:ascii="Arial" w:hAnsi="Arial"/>
          <w:color w:val="000000"/>
          <w:sz w:val="20"/>
          <w:szCs w:val="20"/>
        </w:rPr>
      </w:r>
    </w:p>
    <w:p>
      <w:pPr>
        <w:pStyle w:val="2038"/>
        <w:pBdr/>
        <w:spacing/>
        <w:ind w:left="284"/>
        <w:jc w:val="both"/>
        <w:rPr>
          <w:rFonts w:ascii="Arial" w:hAnsi="Arial"/>
          <w:b/>
          <w:bCs/>
          <w:color w:val="000000"/>
          <w:sz w:val="20"/>
          <w:szCs w:val="20"/>
        </w:rPr>
      </w:pPr>
      <w:r>
        <w:rPr>
          <w:rFonts w:ascii="Arial" w:hAnsi="Arial"/>
          <w:b/>
          <w:bCs/>
          <w:color w:val="000000"/>
          <w:sz w:val="20"/>
          <w:szCs w:val="20"/>
        </w:rPr>
      </w:r>
      <w:r>
        <w:rPr>
          <w:rFonts w:ascii="Arial" w:hAnsi="Arial"/>
          <w:b/>
          <w:bCs/>
          <w:color w:val="000000"/>
          <w:sz w:val="20"/>
          <w:szCs w:val="20"/>
        </w:rPr>
      </w:r>
      <w:r>
        <w:rPr>
          <w:rFonts w:ascii="Arial" w:hAnsi="Arial"/>
          <w:b/>
          <w:bCs/>
          <w:color w:val="000000"/>
          <w:sz w:val="20"/>
          <w:szCs w:val="20"/>
        </w:rPr>
      </w:r>
    </w:p>
    <w:p>
      <w:pPr>
        <w:pStyle w:val="2038"/>
        <w:pBdr/>
        <w:spacing/>
        <w:ind/>
        <w:jc w:val="both"/>
        <w:rPr>
          <w:rFonts w:ascii="Arial" w:hAnsi="Arial"/>
          <w:color w:val="000000"/>
          <w:sz w:val="20"/>
          <w:szCs w:val="20"/>
        </w:rPr>
      </w:pPr>
      <w:r>
        <w:rPr>
          <w:rFonts w:ascii="Arial" w:hAnsi="Arial"/>
          <w:b/>
          <w:bCs/>
          <w:color w:val="000000"/>
          <w:sz w:val="20"/>
          <w:szCs w:val="20"/>
        </w:rPr>
        <w:t xml:space="preserve">19.4.2.</w:t>
      </w:r>
      <w:r>
        <w:rPr>
          <w:rFonts w:ascii="Arial" w:hAnsi="Arial"/>
          <w:color w:val="000000"/>
          <w:sz w:val="20"/>
          <w:szCs w:val="20"/>
        </w:rPr>
        <w:t xml:space="preserve"> O transporte deverá ser realizado em conformidade com as normas técnicas e regulamentações v</w:t>
      </w:r>
      <w:r>
        <w:rPr>
          <w:rFonts w:ascii="Arial" w:hAnsi="Arial"/>
          <w:color w:val="000000"/>
          <w:sz w:val="20"/>
          <w:szCs w:val="20"/>
        </w:rPr>
        <w:t xml:space="preserve">igentes aplicáveis ao deslocamento do objeto apresentado em sua proposta, observando integralmente a legislação pertinente ao objeto contratual.</w:t>
      </w:r>
      <w:r>
        <w:rPr>
          <w:rFonts w:ascii="Arial" w:hAnsi="Arial"/>
          <w:color w:val="000000"/>
          <w:sz w:val="20"/>
          <w:szCs w:val="20"/>
        </w:rPr>
      </w:r>
      <w:r>
        <w:rPr>
          <w:rFonts w:ascii="Arial" w:hAnsi="Arial"/>
          <w:color w:val="000000"/>
          <w:sz w:val="20"/>
          <w:szCs w:val="20"/>
        </w:rPr>
      </w:r>
    </w:p>
    <w:p>
      <w:pPr>
        <w:pStyle w:val="2038"/>
        <w:pBdr/>
        <w:spacing/>
        <w:ind w:left="284"/>
        <w:jc w:val="both"/>
        <w:rPr>
          <w:rFonts w:ascii="Arial" w:hAnsi="Arial"/>
          <w:b/>
          <w:bCs/>
          <w:color w:val="000000"/>
          <w:sz w:val="20"/>
          <w:szCs w:val="20"/>
        </w:rPr>
      </w:pPr>
      <w:r>
        <w:rPr>
          <w:rFonts w:ascii="Arial" w:hAnsi="Arial"/>
          <w:b/>
          <w:bCs/>
          <w:color w:val="000000"/>
          <w:sz w:val="20"/>
          <w:szCs w:val="20"/>
        </w:rPr>
      </w:r>
      <w:r>
        <w:rPr>
          <w:rFonts w:ascii="Arial" w:hAnsi="Arial"/>
          <w:b/>
          <w:bCs/>
          <w:color w:val="000000"/>
          <w:sz w:val="20"/>
          <w:szCs w:val="20"/>
        </w:rPr>
      </w:r>
      <w:r>
        <w:rPr>
          <w:rFonts w:ascii="Arial" w:hAnsi="Arial"/>
          <w:b/>
          <w:bCs/>
          <w:color w:val="000000"/>
          <w:sz w:val="20"/>
          <w:szCs w:val="20"/>
        </w:rPr>
      </w:r>
    </w:p>
    <w:p>
      <w:pPr>
        <w:pStyle w:val="2038"/>
        <w:pBdr/>
        <w:spacing/>
        <w:ind/>
        <w:jc w:val="both"/>
        <w:rPr>
          <w:rFonts w:ascii="Arial" w:hAnsi="Arial"/>
          <w:color w:val="000000"/>
          <w:sz w:val="20"/>
          <w:szCs w:val="20"/>
        </w:rPr>
      </w:pPr>
      <w:r>
        <w:rPr>
          <w:rFonts w:ascii="Arial" w:hAnsi="Arial"/>
          <w:b/>
          <w:bCs/>
          <w:color w:val="000000"/>
          <w:sz w:val="20"/>
          <w:szCs w:val="20"/>
        </w:rPr>
        <w:t xml:space="preserve">19.4.3.</w:t>
      </w:r>
      <w:r>
        <w:rPr>
          <w:rFonts w:ascii="Arial" w:hAnsi="Arial"/>
          <w:color w:val="000000"/>
          <w:sz w:val="20"/>
          <w:szCs w:val="20"/>
        </w:rPr>
        <w:t xml:space="preserve"> Compete à contratada assegurar que os materiais sejam entregues em perfeitas condições de </w:t>
      </w:r>
      <w:r>
        <w:rPr>
          <w:rFonts w:ascii="Arial" w:hAnsi="Arial"/>
          <w:color w:val="000000"/>
          <w:sz w:val="20"/>
          <w:szCs w:val="20"/>
        </w:rPr>
        <w:t xml:space="preserve">conservação, livres de danos, avarias ou prejuízos, em estrita observância às disposições constantes no edital e seus anexos, bem como aos princípios de segurança, eficiência e integridade da carga.</w:t>
      </w:r>
      <w:r>
        <w:rPr>
          <w:rFonts w:ascii="Arial" w:hAnsi="Arial"/>
          <w:color w:val="000000"/>
          <w:sz w:val="20"/>
          <w:szCs w:val="20"/>
        </w:rPr>
      </w:r>
      <w:r>
        <w:rPr>
          <w:rFonts w:ascii="Arial" w:hAnsi="Arial"/>
          <w:color w:val="000000"/>
          <w:sz w:val="20"/>
          <w:szCs w:val="20"/>
        </w:rPr>
      </w:r>
    </w:p>
    <w:p>
      <w:pPr>
        <w:pStyle w:val="2038"/>
        <w:pBdr/>
        <w:spacing/>
        <w:ind w:left="284"/>
        <w:jc w:val="both"/>
        <w:rPr>
          <w:rFonts w:ascii="Arial" w:hAnsi="Arial"/>
          <w:b/>
          <w:bCs/>
          <w:color w:val="000000"/>
          <w:sz w:val="20"/>
          <w:szCs w:val="20"/>
        </w:rPr>
      </w:pPr>
      <w:r>
        <w:rPr>
          <w:rFonts w:ascii="Arial" w:hAnsi="Arial"/>
          <w:b/>
          <w:bCs/>
          <w:color w:val="000000"/>
          <w:sz w:val="20"/>
          <w:szCs w:val="20"/>
        </w:rPr>
      </w:r>
      <w:r>
        <w:rPr>
          <w:rFonts w:ascii="Arial" w:hAnsi="Arial"/>
          <w:b/>
          <w:bCs/>
          <w:color w:val="000000"/>
          <w:sz w:val="20"/>
          <w:szCs w:val="20"/>
        </w:rPr>
      </w:r>
      <w:r>
        <w:rPr>
          <w:rFonts w:ascii="Arial" w:hAnsi="Arial"/>
          <w:b/>
          <w:bCs/>
          <w:color w:val="000000"/>
          <w:sz w:val="20"/>
          <w:szCs w:val="20"/>
        </w:rPr>
      </w:r>
    </w:p>
    <w:p>
      <w:pPr>
        <w:pStyle w:val="2038"/>
        <w:pBdr/>
        <w:spacing/>
        <w:ind/>
        <w:jc w:val="both"/>
        <w:rPr>
          <w:rFonts w:ascii="Arial" w:hAnsi="Arial"/>
          <w:color w:val="000000"/>
          <w:sz w:val="20"/>
          <w:szCs w:val="20"/>
        </w:rPr>
      </w:pPr>
      <w:r>
        <w:rPr>
          <w:rFonts w:ascii="Arial" w:hAnsi="Arial"/>
          <w:b/>
          <w:bCs/>
          <w:color w:val="000000"/>
          <w:sz w:val="20"/>
          <w:szCs w:val="20"/>
        </w:rPr>
        <w:t xml:space="preserve">19.4.3.1.</w:t>
      </w:r>
      <w:r>
        <w:rPr>
          <w:rFonts w:ascii="Arial" w:hAnsi="Arial"/>
          <w:color w:val="000000"/>
          <w:sz w:val="20"/>
          <w:szCs w:val="20"/>
        </w:rPr>
        <w:t xml:space="preserve"> A carga deverá ser devidamente acondiciona</w:t>
      </w:r>
      <w:r>
        <w:rPr>
          <w:rFonts w:ascii="Arial" w:hAnsi="Arial"/>
          <w:color w:val="000000"/>
          <w:sz w:val="20"/>
          <w:szCs w:val="20"/>
        </w:rPr>
        <w:t xml:space="preserve">da e fixada de modo a evitar qualquer tipo de dano durante o transporte. Caso sejam constatadas avarias no momento da entrega, os bens poderão ser recusados pela contratante, sem prejuízo das demais penalidades cabíveis.</w:t>
      </w:r>
      <w:r>
        <w:rPr>
          <w:rFonts w:ascii="Arial" w:hAnsi="Arial"/>
          <w:color w:val="000000"/>
          <w:sz w:val="20"/>
          <w:szCs w:val="20"/>
        </w:rPr>
      </w:r>
      <w:r>
        <w:rPr>
          <w:rFonts w:ascii="Arial" w:hAnsi="Arial"/>
          <w:color w:val="000000"/>
          <w:sz w:val="20"/>
          <w:szCs w:val="20"/>
        </w:rPr>
      </w:r>
    </w:p>
    <w:p>
      <w:pPr>
        <w:pStyle w:val="2038"/>
        <w:pBdr/>
        <w:spacing/>
        <w:ind w:left="284"/>
        <w:jc w:val="both"/>
        <w:rPr>
          <w:rFonts w:ascii="Arial" w:hAnsi="Arial"/>
          <w:b/>
          <w:bCs/>
          <w:color w:val="000000"/>
          <w:sz w:val="20"/>
          <w:szCs w:val="20"/>
        </w:rPr>
      </w:pPr>
      <w:r>
        <w:rPr>
          <w:rFonts w:ascii="Arial" w:hAnsi="Arial"/>
          <w:b/>
          <w:bCs/>
          <w:color w:val="000000"/>
          <w:sz w:val="20"/>
          <w:szCs w:val="20"/>
        </w:rPr>
      </w:r>
      <w:r>
        <w:rPr>
          <w:rFonts w:ascii="Arial" w:hAnsi="Arial"/>
          <w:b/>
          <w:bCs/>
          <w:color w:val="000000"/>
          <w:sz w:val="20"/>
          <w:szCs w:val="20"/>
        </w:rPr>
      </w:r>
      <w:r>
        <w:rPr>
          <w:rFonts w:ascii="Arial" w:hAnsi="Arial"/>
          <w:b/>
          <w:bCs/>
          <w:color w:val="000000"/>
          <w:sz w:val="20"/>
          <w:szCs w:val="20"/>
        </w:rPr>
      </w:r>
    </w:p>
    <w:p>
      <w:pPr>
        <w:pStyle w:val="2038"/>
        <w:pBdr/>
        <w:spacing/>
        <w:ind/>
        <w:jc w:val="both"/>
        <w:rPr>
          <w:rFonts w:ascii="Arial" w:hAnsi="Arial"/>
          <w:color w:val="000000"/>
          <w:sz w:val="20"/>
          <w:szCs w:val="20"/>
        </w:rPr>
      </w:pPr>
      <w:r>
        <w:rPr>
          <w:rFonts w:ascii="Arial" w:hAnsi="Arial"/>
          <w:b/>
          <w:bCs/>
          <w:color w:val="000000"/>
          <w:sz w:val="20"/>
          <w:szCs w:val="20"/>
        </w:rPr>
        <w:t xml:space="preserve">19.4.4.</w:t>
      </w:r>
      <w:r>
        <w:rPr>
          <w:rFonts w:ascii="Arial" w:hAnsi="Arial"/>
          <w:color w:val="000000"/>
          <w:sz w:val="20"/>
          <w:szCs w:val="20"/>
        </w:rPr>
        <w:t xml:space="preserve"> A contratada deverá utiliz</w:t>
      </w:r>
      <w:r>
        <w:rPr>
          <w:rFonts w:ascii="Arial" w:hAnsi="Arial"/>
          <w:color w:val="000000"/>
          <w:sz w:val="20"/>
          <w:szCs w:val="20"/>
        </w:rPr>
        <w:t xml:space="preserve">ar o meio de transporte mais adequado à natureza, peso e dimensões dos bens, atendendo às exigências técnicas, legais e de segurança previstas na legislação aplicável. Se detectado avarias os produtos serão recusados no ato do recebimento.</w:t>
      </w:r>
      <w:r>
        <w:rPr>
          <w:rFonts w:ascii="Arial" w:hAnsi="Arial"/>
          <w:color w:val="000000"/>
          <w:sz w:val="20"/>
          <w:szCs w:val="20"/>
        </w:rPr>
      </w:r>
      <w:r>
        <w:rPr>
          <w:rFonts w:ascii="Arial" w:hAnsi="Arial"/>
          <w:color w:val="000000"/>
          <w:sz w:val="20"/>
          <w:szCs w:val="20"/>
        </w:rPr>
      </w:r>
    </w:p>
    <w:p>
      <w:pPr>
        <w:pStyle w:val="2038"/>
        <w:pBdr/>
        <w:spacing/>
        <w:ind w:left="284"/>
        <w:jc w:val="both"/>
        <w:rPr>
          <w:rFonts w:ascii="Arial" w:hAnsi="Arial"/>
          <w:b/>
          <w:color w:val="000000"/>
          <w:sz w:val="20"/>
          <w:szCs w:val="20"/>
        </w:rPr>
      </w:pPr>
      <w:r>
        <w:rPr>
          <w:rFonts w:ascii="Arial" w:hAnsi="Arial"/>
          <w:b/>
          <w:color w:val="000000"/>
          <w:sz w:val="20"/>
          <w:szCs w:val="20"/>
        </w:rPr>
      </w:r>
      <w:r>
        <w:rPr>
          <w:rFonts w:ascii="Arial" w:hAnsi="Arial"/>
          <w:b/>
          <w:color w:val="000000"/>
          <w:sz w:val="20"/>
          <w:szCs w:val="20"/>
        </w:rPr>
      </w:r>
      <w:r>
        <w:rPr>
          <w:rFonts w:ascii="Arial" w:hAnsi="Arial"/>
          <w:b/>
          <w:color w:val="000000"/>
          <w:sz w:val="20"/>
          <w:szCs w:val="20"/>
        </w:rPr>
      </w:r>
    </w:p>
    <w:p>
      <w:pPr>
        <w:pBdr/>
        <w:spacing/>
        <w:ind/>
        <w:jc w:val="both"/>
        <w:outlineLvl w:val="0"/>
        <w:rPr>
          <w:rFonts w:ascii="Arial" w:hAnsi="Arial"/>
          <w:b/>
          <w:bCs/>
          <w:color w:val="000000"/>
        </w:rPr>
      </w:pPr>
      <w:r/>
      <w:bookmarkStart w:id="76" w:name="_Toc20"/>
      <w:r>
        <w:rPr>
          <w:rFonts w:ascii="Arial" w:hAnsi="Arial" w:eastAsia="Arial"/>
          <w:b/>
          <w:bCs/>
          <w:color w:val="000000"/>
        </w:rPr>
        <w:t xml:space="preserve">20. </w:t>
      </w:r>
      <w:r>
        <w:rPr>
          <w:rFonts w:ascii="Arial" w:hAnsi="Arial"/>
          <w:b/>
          <w:color w:val="000000"/>
        </w:rPr>
        <w:t xml:space="preserve">DOS BENS ENTREGUES EM DESACORDO</w:t>
      </w:r>
      <w:r>
        <w:rPr>
          <w:rFonts w:ascii="Arial" w:hAnsi="Arial" w:eastAsia="Arial"/>
          <w:b/>
          <w:bCs/>
          <w:color w:val="000000"/>
        </w:rPr>
        <w:t xml:space="preserve">:</w:t>
      </w:r>
      <w:r>
        <w:rPr>
          <w:rFonts w:ascii="Arial" w:hAnsi="Arial"/>
          <w:b/>
          <w:bCs/>
          <w:color w:val="000000"/>
        </w:rPr>
      </w:r>
      <w:bookmarkEnd w:id="76"/>
      <w:r>
        <w:rPr>
          <w:rFonts w:ascii="Arial" w:hAnsi="Arial"/>
          <w:b/>
          <w:bCs/>
          <w:color w:val="000000"/>
        </w:rPr>
      </w:r>
      <w:r>
        <w:rPr>
          <w:rFonts w:ascii="Arial" w:hAnsi="Arial"/>
          <w:b/>
          <w:bCs/>
          <w:color w:val="000000"/>
        </w:rPr>
      </w:r>
    </w:p>
    <w:p>
      <w:pPr>
        <w:pStyle w:val="2038"/>
        <w:pBdr/>
        <w:spacing/>
        <w:ind w:left="284"/>
        <w:jc w:val="both"/>
        <w:rPr>
          <w:rFonts w:ascii="Arial" w:hAnsi="Arial"/>
          <w:b/>
          <w:sz w:val="20"/>
          <w:szCs w:val="20"/>
        </w:rPr>
      </w:pPr>
      <w:r>
        <w:rPr>
          <w:rFonts w:ascii="Arial" w:hAnsi="Arial"/>
          <w:b/>
          <w:sz w:val="20"/>
          <w:szCs w:val="20"/>
        </w:rPr>
      </w:r>
      <w:r>
        <w:rPr>
          <w:rFonts w:ascii="Arial" w:hAnsi="Arial"/>
          <w:b/>
          <w:sz w:val="20"/>
          <w:szCs w:val="20"/>
        </w:rPr>
      </w:r>
      <w:r>
        <w:rPr>
          <w:rFonts w:ascii="Arial" w:hAnsi="Arial"/>
          <w:b/>
          <w:sz w:val="20"/>
          <w:szCs w:val="20"/>
        </w:rPr>
      </w:r>
    </w:p>
    <w:p>
      <w:pPr>
        <w:pStyle w:val="2038"/>
        <w:pBdr/>
        <w:spacing/>
        <w:ind/>
        <w:jc w:val="both"/>
        <w:rPr>
          <w:rFonts w:ascii="Arial" w:hAnsi="Arial"/>
          <w:color w:val="000000"/>
          <w:sz w:val="20"/>
          <w:szCs w:val="20"/>
          <w:highlight w:val="white"/>
        </w:rPr>
      </w:pPr>
      <w:r>
        <w:rPr>
          <w:rFonts w:ascii="Arial" w:hAnsi="Arial"/>
          <w:b/>
          <w:bCs/>
          <w:sz w:val="20"/>
          <w:szCs w:val="20"/>
          <w:highlight w:val="white"/>
        </w:rPr>
        <w:t xml:space="preserve">20.1.</w:t>
      </w:r>
      <w:r>
        <w:rPr>
          <w:rFonts w:ascii="Arial" w:hAnsi="Arial"/>
          <w:sz w:val="20"/>
          <w:szCs w:val="20"/>
          <w:highlight w:val="white"/>
        </w:rPr>
        <w:t xml:space="preserve"> </w:t>
      </w:r>
      <w:r>
        <w:rPr>
          <w:rFonts w:ascii="Arial" w:hAnsi="Arial"/>
          <w:color w:val="000000"/>
          <w:sz w:val="20"/>
          <w:szCs w:val="20"/>
          <w:highlight w:val="white"/>
        </w:rPr>
        <w:t xml:space="preserve">Os produtos objeto dessa licitação</w:t>
      </w:r>
      <w:r>
        <w:rPr>
          <w:rFonts w:ascii="Arial" w:hAnsi="Arial"/>
          <w:highlight w:val="white"/>
        </w:rPr>
        <w:t xml:space="preserve"> </w:t>
      </w:r>
      <w:r>
        <w:rPr>
          <w:rFonts w:ascii="Arial" w:hAnsi="Arial"/>
          <w:sz w:val="20"/>
          <w:szCs w:val="20"/>
          <w:highlight w:val="white"/>
        </w:rPr>
        <w:t xml:space="preserve">já referenciados</w:t>
      </w:r>
      <w:r>
        <w:rPr>
          <w:rFonts w:ascii="Arial" w:hAnsi="Arial"/>
          <w:highlight w:val="white"/>
        </w:rPr>
        <w:t xml:space="preserve"> </w:t>
      </w:r>
      <w:r>
        <w:rPr>
          <w:rFonts w:ascii="Arial" w:hAnsi="Arial"/>
          <w:sz w:val="20"/>
          <w:szCs w:val="20"/>
          <w:highlight w:val="white"/>
        </w:rPr>
        <w:t xml:space="preserve">deverão ser entregues no prazo máximo de 07 (sete) dias úteis contados a partir do recebimento da solicitação formal de entrega. Caso sejam entregues em desacordo com a</w:t>
      </w:r>
      <w:r>
        <w:rPr>
          <w:rFonts w:ascii="Arial" w:hAnsi="Arial"/>
          <w:sz w:val="20"/>
          <w:szCs w:val="20"/>
          <w:highlight w:val="white"/>
        </w:rPr>
        <w:t xml:space="preserve">s especificações técnicas previstas no Edital, Termo de Referência ou demais documentos contratuais, </w:t>
      </w:r>
      <w:r>
        <w:rPr>
          <w:rFonts w:ascii="Arial" w:hAnsi="Arial"/>
          <w:color w:val="000000"/>
          <w:sz w:val="20"/>
          <w:szCs w:val="20"/>
          <w:highlight w:val="white"/>
        </w:rPr>
        <w:t xml:space="preserve">a contratada deverá substituí-los obrigatoriamente no prazo de até 05 (cinco) dias uteis, contados do recebimento da notificação expedida pela Administração. </w:t>
      </w:r>
      <w:r>
        <w:rPr>
          <w:rFonts w:ascii="Arial" w:hAnsi="Arial"/>
          <w:color w:val="000000"/>
          <w:sz w:val="20"/>
          <w:szCs w:val="20"/>
          <w:highlight w:val="white"/>
        </w:rPr>
      </w:r>
      <w:r>
        <w:rPr>
          <w:rFonts w:ascii="Arial" w:hAnsi="Arial"/>
          <w:color w:val="000000"/>
          <w:sz w:val="20"/>
          <w:szCs w:val="20"/>
          <w:highlight w:val="white"/>
        </w:rPr>
      </w:r>
    </w:p>
    <w:p>
      <w:pPr>
        <w:pStyle w:val="2038"/>
        <w:pBdr/>
        <w:spacing/>
        <w:ind w:left="284"/>
        <w:jc w:val="both"/>
        <w:rPr>
          <w:rFonts w:ascii="Arial" w:hAnsi="Arial"/>
          <w:b/>
          <w:bCs/>
          <w:sz w:val="20"/>
          <w:szCs w:val="20"/>
        </w:rPr>
      </w:pPr>
      <w:r>
        <w:rPr>
          <w:rFonts w:ascii="Arial" w:hAnsi="Arial"/>
          <w:b/>
          <w:bCs/>
          <w:sz w:val="20"/>
          <w:szCs w:val="20"/>
        </w:rPr>
      </w:r>
      <w:r>
        <w:rPr>
          <w:rFonts w:ascii="Arial" w:hAnsi="Arial"/>
          <w:b/>
          <w:bCs/>
          <w:sz w:val="20"/>
          <w:szCs w:val="20"/>
        </w:rPr>
      </w:r>
      <w:r>
        <w:rPr>
          <w:rFonts w:ascii="Arial" w:hAnsi="Arial"/>
          <w:b/>
          <w:bCs/>
          <w:sz w:val="20"/>
          <w:szCs w:val="20"/>
        </w:rPr>
      </w:r>
    </w:p>
    <w:p>
      <w:pPr>
        <w:pStyle w:val="2038"/>
        <w:pBdr/>
        <w:spacing/>
        <w:ind/>
        <w:jc w:val="both"/>
        <w:rPr>
          <w:rFonts w:ascii="Arial" w:hAnsi="Arial"/>
          <w:sz w:val="20"/>
          <w:szCs w:val="20"/>
        </w:rPr>
      </w:pPr>
      <w:r>
        <w:rPr>
          <w:rFonts w:ascii="Arial" w:hAnsi="Arial"/>
          <w:b/>
          <w:bCs/>
          <w:sz w:val="20"/>
          <w:szCs w:val="20"/>
        </w:rPr>
        <w:t xml:space="preserve">20.2.</w:t>
      </w:r>
      <w:r>
        <w:rPr>
          <w:rFonts w:ascii="Arial" w:hAnsi="Arial"/>
          <w:sz w:val="20"/>
          <w:szCs w:val="20"/>
        </w:rPr>
        <w:t xml:space="preserve"> O descumprimento do prazo de substituição implicará a aplicação das sanções previstas no Edital, no Termo de Referência, na Minuta do Contrato e na legislação aplicável, especialmente a Lei nº 14.133/2021, incluindo, mas não se limitando a: advertênc</w:t>
      </w:r>
      <w:r>
        <w:rPr>
          <w:rFonts w:ascii="Arial" w:hAnsi="Arial"/>
          <w:sz w:val="20"/>
          <w:szCs w:val="20"/>
        </w:rPr>
        <w:t xml:space="preserve">ia, multa, suspensão temporária de participação em licitações e impedimento de contratar com a Administração, ou declaração de inidoneidade.</w:t>
      </w:r>
      <w:r>
        <w:rPr>
          <w:rFonts w:ascii="Arial" w:hAnsi="Arial"/>
          <w:sz w:val="20"/>
          <w:szCs w:val="20"/>
        </w:rPr>
      </w:r>
      <w:r>
        <w:rPr>
          <w:rFonts w:ascii="Arial" w:hAnsi="Arial"/>
          <w:sz w:val="20"/>
          <w:szCs w:val="20"/>
        </w:rPr>
      </w:r>
    </w:p>
    <w:p>
      <w:pPr>
        <w:pStyle w:val="2038"/>
        <w:pBdr/>
        <w:spacing/>
        <w:ind w:left="284"/>
        <w:jc w:val="both"/>
        <w:rPr>
          <w:rFonts w:ascii="Arial" w:hAnsi="Arial"/>
          <w:b/>
          <w:bCs/>
          <w:sz w:val="20"/>
          <w:szCs w:val="20"/>
        </w:rPr>
      </w:pPr>
      <w:r>
        <w:rPr>
          <w:rFonts w:ascii="Arial" w:hAnsi="Arial"/>
          <w:b/>
          <w:bCs/>
          <w:sz w:val="20"/>
          <w:szCs w:val="20"/>
        </w:rPr>
      </w:r>
      <w:r>
        <w:rPr>
          <w:rFonts w:ascii="Arial" w:hAnsi="Arial"/>
          <w:b/>
          <w:bCs/>
          <w:sz w:val="20"/>
          <w:szCs w:val="20"/>
        </w:rPr>
      </w:r>
      <w:r>
        <w:rPr>
          <w:rFonts w:ascii="Arial" w:hAnsi="Arial"/>
          <w:b/>
          <w:bCs/>
          <w:sz w:val="20"/>
          <w:szCs w:val="20"/>
        </w:rPr>
      </w:r>
    </w:p>
    <w:p>
      <w:pPr>
        <w:pStyle w:val="2038"/>
        <w:pBdr/>
        <w:spacing/>
        <w:ind/>
        <w:jc w:val="both"/>
        <w:rPr>
          <w:rFonts w:ascii="Arial" w:hAnsi="Arial"/>
          <w:sz w:val="20"/>
          <w:szCs w:val="20"/>
          <w14:ligatures w14:val="none"/>
        </w:rPr>
      </w:pPr>
      <w:r>
        <w:rPr>
          <w:rFonts w:ascii="Arial" w:hAnsi="Arial"/>
          <w:b/>
          <w:bCs/>
          <w:sz w:val="20"/>
          <w:szCs w:val="20"/>
        </w:rPr>
        <w:t xml:space="preserve">20.3.</w:t>
      </w:r>
      <w:r>
        <w:rPr>
          <w:rFonts w:ascii="Arial" w:hAnsi="Arial"/>
          <w:sz w:val="20"/>
          <w:szCs w:val="20"/>
        </w:rPr>
        <w:t xml:space="preserve"> </w:t>
      </w:r>
      <w:r>
        <w:rPr>
          <w:rFonts w:ascii="Arial" w:hAnsi="Arial"/>
          <w:sz w:val="20"/>
          <w:szCs w:val="20"/>
        </w:rPr>
        <w:t xml:space="preserve">A Administração poderá, sempre que necessário, adotar diligências, testes, análises ou outras medidas de verificação da conformidade do produto, correndo por conta da contratada os custos decorrentes quando constatada a desconformidade.</w:t>
      </w:r>
      <w:r>
        <w:rPr>
          <w:rFonts w:ascii="Arial" w:hAnsi="Arial"/>
          <w:sz w:val="20"/>
          <w:szCs w:val="20"/>
          <w14:ligatures w14:val="none"/>
        </w:rPr>
      </w:r>
      <w:r>
        <w:rPr>
          <w:rFonts w:ascii="Arial" w:hAnsi="Arial"/>
          <w:sz w:val="20"/>
          <w:szCs w:val="20"/>
          <w14:ligatures w14:val="none"/>
        </w:rPr>
      </w:r>
    </w:p>
    <w:p>
      <w:pPr>
        <w:pStyle w:val="2038"/>
        <w:pBdr/>
        <w:spacing/>
        <w:ind w:left="284"/>
        <w:jc w:val="both"/>
        <w:rPr>
          <w:rFonts w:ascii="Arial" w:hAnsi="Arial"/>
          <w:b/>
          <w:bCs/>
          <w:sz w:val="20"/>
          <w:szCs w:val="20"/>
        </w:rPr>
      </w:pPr>
      <w:r>
        <w:rPr>
          <w:rFonts w:ascii="Arial" w:hAnsi="Arial"/>
          <w:b/>
          <w:bCs/>
          <w:sz w:val="20"/>
          <w:szCs w:val="20"/>
        </w:rPr>
      </w:r>
      <w:r>
        <w:rPr>
          <w:rFonts w:ascii="Arial" w:hAnsi="Arial"/>
          <w:b/>
          <w:bCs/>
          <w:sz w:val="20"/>
          <w:szCs w:val="20"/>
        </w:rPr>
      </w:r>
      <w:r>
        <w:rPr>
          <w:rFonts w:ascii="Arial" w:hAnsi="Arial"/>
          <w:b/>
          <w:bCs/>
          <w:sz w:val="20"/>
          <w:szCs w:val="20"/>
        </w:rPr>
      </w:r>
    </w:p>
    <w:p>
      <w:pPr>
        <w:pStyle w:val="2038"/>
        <w:pBdr/>
        <w:spacing/>
        <w:ind/>
        <w:jc w:val="both"/>
        <w:rPr>
          <w:rFonts w:ascii="Arial" w:hAnsi="Arial"/>
          <w:sz w:val="20"/>
          <w:szCs w:val="20"/>
          <w14:ligatures w14:val="none"/>
        </w:rPr>
      </w:pPr>
      <w:r>
        <w:rPr>
          <w:rFonts w:ascii="Arial" w:hAnsi="Arial"/>
          <w:b/>
          <w:bCs/>
          <w:sz w:val="20"/>
          <w:szCs w:val="20"/>
        </w:rPr>
        <w:t xml:space="preserve">20.4.</w:t>
      </w:r>
      <w:r>
        <w:rPr>
          <w:rFonts w:ascii="Arial" w:hAnsi="Arial"/>
          <w:sz w:val="20"/>
          <w:szCs w:val="20"/>
        </w:rPr>
        <w:t xml:space="preserve"> </w:t>
      </w:r>
      <w:r>
        <w:rPr>
          <w:rFonts w:ascii="Arial" w:hAnsi="Arial"/>
          <w:sz w:val="20"/>
          <w:szCs w:val="20"/>
        </w:rPr>
        <w:t xml:space="preserve">É vedada a substituição por produto de especificação inferior, com embalagem diversa da ofertada, com prazo de validade inadequado ou em desacordo com as exigências técnicas do certame.</w:t>
      </w:r>
      <w:r>
        <w:rPr>
          <w:rFonts w:ascii="Arial" w:hAnsi="Arial"/>
          <w:sz w:val="20"/>
          <w:szCs w:val="20"/>
          <w14:ligatures w14:val="none"/>
        </w:rPr>
      </w:r>
      <w:r>
        <w:rPr>
          <w:rFonts w:ascii="Arial" w:hAnsi="Arial"/>
          <w:sz w:val="20"/>
          <w:szCs w:val="20"/>
          <w14:ligatures w14:val="none"/>
        </w:rPr>
      </w:r>
    </w:p>
    <w:p>
      <w:pPr>
        <w:pStyle w:val="2038"/>
        <w:pBdr/>
        <w:spacing/>
        <w:ind w:left="284"/>
        <w:jc w:val="both"/>
        <w:rPr>
          <w:rFonts w:ascii="Arial" w:hAnsi="Arial"/>
          <w:b/>
          <w:bCs/>
          <w:sz w:val="20"/>
          <w:szCs w:val="20"/>
        </w:rPr>
      </w:pPr>
      <w:r>
        <w:rPr>
          <w:rFonts w:ascii="Arial" w:hAnsi="Arial"/>
          <w:b/>
          <w:bCs/>
          <w:sz w:val="20"/>
          <w:szCs w:val="20"/>
        </w:rPr>
      </w:r>
      <w:r>
        <w:rPr>
          <w:rFonts w:ascii="Arial" w:hAnsi="Arial"/>
          <w:b/>
          <w:bCs/>
          <w:sz w:val="20"/>
          <w:szCs w:val="20"/>
        </w:rPr>
      </w:r>
      <w:r>
        <w:rPr>
          <w:rFonts w:ascii="Arial" w:hAnsi="Arial"/>
          <w:b/>
          <w:bCs/>
          <w:sz w:val="20"/>
          <w:szCs w:val="20"/>
        </w:rPr>
      </w:r>
    </w:p>
    <w:p>
      <w:pPr>
        <w:pStyle w:val="2038"/>
        <w:pBdr/>
        <w:spacing/>
        <w:ind/>
        <w:jc w:val="both"/>
        <w:rPr>
          <w:rFonts w:ascii="Arial" w:hAnsi="Arial"/>
          <w:sz w:val="20"/>
          <w:szCs w:val="20"/>
        </w:rPr>
      </w:pPr>
      <w:r>
        <w:rPr>
          <w:rFonts w:ascii="Arial" w:hAnsi="Arial"/>
          <w:b/>
          <w:bCs/>
          <w:sz w:val="20"/>
          <w:szCs w:val="20"/>
        </w:rPr>
        <w:t xml:space="preserve">20.5.</w:t>
      </w:r>
      <w:r>
        <w:rPr>
          <w:rFonts w:ascii="Arial" w:hAnsi="Arial"/>
          <w:sz w:val="20"/>
          <w:szCs w:val="20"/>
        </w:rPr>
        <w:t xml:space="preserve"> A Administração reserva-se o direito de recusar o recebimento definitivo dos produtos até a plena regularização da entrega, sem prejuízo da aplicação das penalidades administrativas cabíveis.</w:t>
      </w:r>
      <w:r>
        <w:rPr>
          <w:rFonts w:ascii="Arial" w:hAnsi="Arial"/>
          <w:sz w:val="20"/>
          <w:szCs w:val="20"/>
        </w:rPr>
      </w:r>
      <w:r>
        <w:rPr>
          <w:rFonts w:ascii="Arial" w:hAnsi="Arial"/>
          <w:sz w:val="20"/>
          <w:szCs w:val="20"/>
        </w:rPr>
      </w:r>
    </w:p>
    <w:p>
      <w:pPr>
        <w:pStyle w:val="2038"/>
        <w:pBdr/>
        <w:spacing/>
        <w:ind w:left="284"/>
        <w:jc w:val="both"/>
        <w:rPr>
          <w:rFonts w:ascii="Arial" w:hAnsi="Arial"/>
          <w:sz w:val="20"/>
          <w:szCs w:val="20"/>
        </w:rPr>
      </w:pPr>
      <w:r>
        <w:rPr>
          <w:rFonts w:ascii="Arial" w:hAnsi="Arial"/>
          <w:sz w:val="20"/>
          <w:szCs w:val="20"/>
        </w:rPr>
      </w:r>
      <w:r>
        <w:rPr>
          <w:rFonts w:ascii="Arial" w:hAnsi="Arial"/>
          <w:sz w:val="20"/>
          <w:szCs w:val="20"/>
        </w:rPr>
      </w:r>
      <w:r>
        <w:rPr>
          <w:rFonts w:ascii="Arial" w:hAnsi="Arial"/>
          <w:sz w:val="20"/>
          <w:szCs w:val="20"/>
        </w:rPr>
      </w:r>
    </w:p>
    <w:p>
      <w:pPr>
        <w:pBdr/>
        <w:spacing/>
        <w:ind/>
        <w:jc w:val="both"/>
        <w:outlineLvl w:val="0"/>
        <w:rPr>
          <w:rFonts w:ascii="Arial" w:hAnsi="Arial"/>
          <w:b/>
          <w:bCs/>
          <w:color w:val="000000"/>
        </w:rPr>
      </w:pPr>
      <w:r/>
      <w:bookmarkStart w:id="77" w:name="_Toc21"/>
      <w:r>
        <w:rPr>
          <w:rFonts w:ascii="Arial" w:hAnsi="Arial" w:eastAsia="Arial"/>
          <w:b/>
          <w:bCs/>
          <w:color w:val="000000"/>
        </w:rPr>
        <w:t xml:space="preserve">21. </w:t>
      </w:r>
      <w:r>
        <w:rPr>
          <w:rFonts w:ascii="Arial" w:hAnsi="Arial" w:eastAsia="SimSun"/>
          <w:b/>
        </w:rPr>
        <w:t xml:space="preserve">ESPECIFICAÇÃO DA GARANTIA EXIGIDA</w:t>
      </w:r>
      <w:r>
        <w:rPr>
          <w:rFonts w:ascii="Arial" w:hAnsi="Arial" w:eastAsia="Arial"/>
          <w:b/>
          <w:bCs/>
          <w:color w:val="000000"/>
        </w:rPr>
        <w:t xml:space="preserve">:</w:t>
      </w:r>
      <w:r>
        <w:rPr>
          <w:rFonts w:ascii="Arial" w:hAnsi="Arial"/>
          <w:b/>
          <w:bCs/>
          <w:color w:val="000000"/>
        </w:rPr>
      </w:r>
      <w:bookmarkEnd w:id="77"/>
      <w:r>
        <w:rPr>
          <w:rFonts w:ascii="Arial" w:hAnsi="Arial"/>
          <w:b/>
          <w:bCs/>
          <w:color w:val="000000"/>
        </w:rPr>
      </w:r>
      <w:r>
        <w:rPr>
          <w:rFonts w:ascii="Arial" w:hAnsi="Arial"/>
          <w:b/>
          <w:bCs/>
          <w:color w:val="000000"/>
        </w:rPr>
      </w:r>
    </w:p>
    <w:p>
      <w:pPr>
        <w:pStyle w:val="2038"/>
        <w:pBdr/>
        <w:spacing/>
        <w:ind w:left="284"/>
        <w:jc w:val="both"/>
        <w:rPr>
          <w:rFonts w:ascii="Arial" w:hAnsi="Arial"/>
          <w:b/>
          <w:sz w:val="20"/>
          <w:szCs w:val="20"/>
        </w:rPr>
      </w:pPr>
      <w:r>
        <w:rPr>
          <w:rFonts w:ascii="Arial" w:hAnsi="Arial"/>
          <w:b/>
          <w:sz w:val="20"/>
          <w:szCs w:val="20"/>
        </w:rPr>
      </w:r>
      <w:r>
        <w:rPr>
          <w:rFonts w:ascii="Arial" w:hAnsi="Arial"/>
          <w:b/>
          <w:sz w:val="20"/>
          <w:szCs w:val="20"/>
        </w:rPr>
      </w:r>
      <w:r>
        <w:rPr>
          <w:rFonts w:ascii="Arial" w:hAnsi="Arial"/>
          <w:b/>
          <w:sz w:val="20"/>
          <w:szCs w:val="20"/>
        </w:rPr>
      </w:r>
    </w:p>
    <w:p>
      <w:pPr>
        <w:pBdr/>
        <w:spacing/>
        <w:ind/>
        <w:jc w:val="both"/>
        <w:rPr>
          <w:rFonts w:ascii="Arial" w:hAnsi="Arial"/>
          <w14:ligatures w14:val="none"/>
        </w:rPr>
      </w:pPr>
      <w:r>
        <w:rPr>
          <w:rFonts w:ascii="Arial" w:hAnsi="Arial" w:eastAsia="SimSun"/>
          <w:b/>
          <w:sz w:val="20"/>
          <w:szCs w:val="20"/>
          <w:lang w:bidi="ar-SA"/>
        </w:rPr>
        <w:t xml:space="preserve">21.1. </w:t>
      </w:r>
      <w:r>
        <w:rPr>
          <w:rFonts w:ascii="Arial" w:hAnsi="Arial"/>
        </w:rPr>
        <w:t xml:space="preserve">Os materiais, insumos e equipamentos fornecidos deverão atender integralmente às especificações técnicas do edital, do termo de referência e da proposta contratada, respondendo a contratada por vícios, defeitos, desconformidades, falhas de funcionamento, i</w:t>
      </w:r>
      <w:r>
        <w:rPr>
          <w:rFonts w:ascii="Arial" w:hAnsi="Arial"/>
        </w:rPr>
        <w:t xml:space="preserve">nadequação de acondicionamento, alteração de qualidade e demais irregularidades constatadas.</w:t>
      </w:r>
      <w:r>
        <w:rPr>
          <w:rFonts w:ascii="Arial" w:hAnsi="Arial"/>
          <w14:ligatures w14:val="none"/>
        </w:rPr>
      </w:r>
      <w:r>
        <w:rPr>
          <w:rFonts w:ascii="Arial" w:hAnsi="Arial"/>
          <w14:ligatures w14:val="none"/>
        </w:rPr>
      </w:r>
    </w:p>
    <w:p>
      <w:pPr>
        <w:pBdr/>
        <w:spacing/>
        <w:ind/>
        <w:jc w:val="both"/>
        <w:rPr>
          <w:rFonts w:ascii="Arial" w:hAnsi="Arial"/>
          <w14:ligatures w14:val="none"/>
        </w:rPr>
      </w:pPr>
      <w:r>
        <w:rPr>
          <w:rFonts w:ascii="Arial" w:hAnsi="Arial"/>
        </w:rPr>
      </w:r>
      <w:r>
        <w:rPr>
          <w:rFonts w:ascii="Arial" w:hAnsi="Arial"/>
        </w:rPr>
      </w:r>
      <w:r>
        <w:rPr>
          <w:rFonts w:ascii="Arial" w:hAnsi="Arial"/>
          <w14:ligatures w14:val="none"/>
        </w:rPr>
      </w:r>
    </w:p>
    <w:p>
      <w:pPr>
        <w:pBdr/>
        <w:spacing/>
        <w:ind/>
        <w:jc w:val="both"/>
        <w:rPr>
          <w:rFonts w:ascii="Arial" w:hAnsi="Arial"/>
          <w:highlight w:val="none"/>
          <w14:ligatures w14:val="none"/>
        </w:rPr>
      </w:pPr>
      <w:r>
        <w:rPr>
          <w:rFonts w:ascii="Arial" w:hAnsi="Arial"/>
          <w:b/>
          <w:bCs/>
        </w:rPr>
        <w:t xml:space="preserve">21.1.1.</w:t>
      </w:r>
      <w:r>
        <w:rPr>
          <w:rFonts w:ascii="Arial" w:hAnsi="Arial"/>
        </w:rPr>
        <w:t xml:space="preserve"> </w:t>
      </w:r>
      <w:r>
        <w:rPr>
          <w:rFonts w:ascii="Arial" w:hAnsi="Arial"/>
        </w:rPr>
        <w:t xml:space="preserve">Para os equipamentos, além da garantia legal, será exigida garantia contratual mínima de 12 (doze) meses, ou prazo superior oferecido pelo fabricante, contado do recebimento definitivo.</w:t>
      </w:r>
      <w:r>
        <w:rPr>
          <w:rFonts w:ascii="Arial" w:hAnsi="Arial"/>
        </w:rPr>
        <w:t xml:space="preserve"> </w:t>
      </w:r>
      <w:r>
        <w:rPr>
          <w:rFonts w:ascii="Arial" w:hAnsi="Arial"/>
        </w:rPr>
      </w:r>
      <w:r>
        <w:rPr>
          <w:rFonts w:ascii="Arial" w:hAnsi="Arial"/>
          <w:highlight w:val="none"/>
          <w14:ligatures w14:val="none"/>
        </w:rPr>
      </w:r>
    </w:p>
    <w:p w14:paraId="6777FC8E">
      <w:pPr>
        <w:pBdr/>
        <w:spacing/>
        <w:ind/>
        <w:jc w:val="both"/>
        <w:rPr>
          <w:rFonts w:ascii="Arial" w:hAnsi="Arial"/>
          <w14:ligatures w14:val="none"/>
        </w:rPr>
      </w:pPr>
      <w:r>
        <w:rPr>
          <w:rFonts w:ascii="Arial" w:hAnsi="Arial"/>
          <w:highlight w:val="none"/>
        </w:rPr>
      </w:r>
      <w:r>
        <w:rPr>
          <w:rFonts w:ascii="Arial" w:hAnsi="Arial"/>
          <w:highlight w:val="none"/>
        </w:rPr>
      </w:r>
      <w:r>
        <w:rPr>
          <w:rFonts w:ascii="Arial" w:hAnsi="Arial"/>
          <w14:ligatures w14:val="none"/>
        </w:rPr>
      </w:r>
    </w:p>
    <w:p w14:paraId="40E8E76D">
      <w:pPr>
        <w:pBdr/>
        <w:spacing/>
        <w:ind/>
        <w:jc w:val="both"/>
        <w:rPr>
          <w:rFonts w:ascii="Arial" w:hAnsi="Arial"/>
          <w:highlight w:val="none"/>
          <w14:ligatures w14:val="none"/>
        </w:rPr>
      </w:pPr>
      <w:r>
        <w:rPr>
          <w:rFonts w:ascii="Arial" w:hAnsi="Arial"/>
          <w:b/>
          <w:bCs/>
        </w:rPr>
        <w:t xml:space="preserve">21.1.2.</w:t>
      </w:r>
      <w:r>
        <w:rPr>
          <w:rFonts w:ascii="Arial" w:hAnsi="Arial"/>
          <w:lang w:val="pt-BR"/>
        </w:rPr>
        <w:t xml:space="preserve"> </w:t>
      </w:r>
      <w:r>
        <w:rPr>
          <w:rFonts w:ascii="Arial" w:hAnsi="Arial"/>
        </w:rPr>
        <w:t xml:space="preserve">Durante o prazo de garantia dos equipamentos, a contratada será responsável, sem ônus para a Administração, pela manutenção corretiva, pelos reparos necessários, pela substituição de peças e componentes e, quando cabível, pela substituição integral do equi</w:t>
      </w:r>
      <w:r>
        <w:rPr>
          <w:rFonts w:ascii="Arial" w:hAnsi="Arial"/>
        </w:rPr>
        <w:t xml:space="preserve">pamento, diretamente ou por meio de assistência técnica autorizada.</w:t>
      </w:r>
      <w:r>
        <w:rPr>
          <w:rFonts w:ascii="Arial" w:hAnsi="Arial"/>
        </w:rPr>
      </w:r>
      <w:r>
        <w:rPr>
          <w:rFonts w:ascii="Arial" w:hAnsi="Arial"/>
          <w:highlight w:val="none"/>
          <w14:ligatures w14:val="none"/>
        </w:rPr>
      </w:r>
    </w:p>
    <w:p>
      <w:pPr>
        <w:pBdr/>
        <w:spacing/>
        <w:ind w:left="284"/>
        <w:jc w:val="both"/>
        <w:rPr>
          <w:rFonts w:ascii="Arial" w:hAnsi="Arial"/>
          <w:bCs/>
        </w:rPr>
      </w:pPr>
      <w:r>
        <w:rPr>
          <w:rFonts w:ascii="Arial" w:hAnsi="Arial"/>
          <w:bCs/>
        </w:rPr>
      </w:r>
      <w:r>
        <w:rPr>
          <w:rFonts w:ascii="Arial" w:hAnsi="Arial"/>
          <w:bCs/>
        </w:rPr>
      </w:r>
      <w:r>
        <w:rPr>
          <w:rFonts w:ascii="Arial" w:hAnsi="Arial"/>
          <w:bCs/>
        </w:rPr>
      </w:r>
    </w:p>
    <w:p>
      <w:pPr>
        <w:pBdr/>
        <w:spacing/>
        <w:ind/>
        <w:jc w:val="both"/>
        <w:rPr>
          <w:rFonts w:ascii="Arial" w:hAnsi="Arial"/>
          <w:b/>
          <w:bCs/>
          <w:szCs w:val="24"/>
        </w:rPr>
      </w:pPr>
      <w:r>
        <w:rPr>
          <w:rFonts w:ascii="Arial" w:hAnsi="Arial"/>
          <w:b/>
          <w:bCs/>
          <w:szCs w:val="24"/>
        </w:rPr>
        <w:t xml:space="preserve">21.2. GARANTIA E SEGUROS DA CONTRATAÇÃO:</w:t>
      </w:r>
      <w:r>
        <w:rPr>
          <w:rFonts w:ascii="Arial" w:hAnsi="Arial"/>
          <w:b/>
          <w:bCs/>
          <w:szCs w:val="24"/>
        </w:rPr>
      </w:r>
      <w:r>
        <w:rPr>
          <w:rFonts w:ascii="Arial" w:hAnsi="Arial"/>
          <w:b/>
          <w:bCs/>
          <w:szCs w:val="24"/>
        </w:rPr>
      </w:r>
    </w:p>
    <w:p>
      <w:pPr>
        <w:pBdr/>
        <w:spacing/>
        <w:ind/>
        <w:jc w:val="both"/>
        <w:rPr>
          <w:rFonts w:ascii="Arial" w:hAnsi="Arial"/>
          <w:b/>
          <w:bCs/>
          <w:szCs w:val="24"/>
        </w:rPr>
      </w:pPr>
      <w:r>
        <w:rPr>
          <w:rFonts w:ascii="Arial" w:hAnsi="Arial"/>
          <w:b/>
          <w:bCs/>
          <w:szCs w:val="24"/>
        </w:rPr>
      </w:r>
      <w:r>
        <w:rPr>
          <w:rFonts w:ascii="Arial" w:hAnsi="Arial"/>
          <w:b/>
          <w:bCs/>
          <w:szCs w:val="24"/>
        </w:rPr>
      </w:r>
      <w:r>
        <w:rPr>
          <w:rFonts w:ascii="Arial" w:hAnsi="Arial"/>
          <w:b/>
          <w:bCs/>
          <w:szCs w:val="24"/>
        </w:rPr>
      </w:r>
    </w:p>
    <w:p>
      <w:pPr>
        <w:pBdr/>
        <w:spacing/>
        <w:ind/>
        <w:jc w:val="both"/>
        <w:rPr>
          <w:rFonts w:ascii="Arial" w:hAnsi="Arial"/>
        </w:rPr>
      </w:pPr>
      <w:r>
        <w:rPr>
          <w:rFonts w:ascii="Arial" w:hAnsi="Arial"/>
          <w:b/>
          <w:bCs/>
          <w:szCs w:val="24"/>
        </w:rPr>
        <w:t xml:space="preserve">21.2.1. </w:t>
      </w:r>
      <w:r>
        <w:rPr>
          <w:rFonts w:ascii="Arial" w:hAnsi="Arial" w:cs="Arial"/>
        </w:rPr>
        <w:t xml:space="preserve">Não será exigida a prestação de garantia contratual nem a contratação de seguros para a execução do objeto, nos termos do art. 96 da Lei nº 14.133/2021, tendo em vista o </w:t>
      </w:r>
      <w:r>
        <w:rPr>
          <w:rFonts w:ascii="Arial" w:hAnsi="Arial" w:cs="Arial"/>
          <w:b/>
          <w:bCs/>
        </w:rPr>
        <w:t xml:space="preserve">baixo risco operacional e financeiro</w:t>
      </w:r>
      <w:r>
        <w:rPr>
          <w:rFonts w:ascii="Arial" w:hAnsi="Arial" w:cs="Arial"/>
        </w:rPr>
        <w:t xml:space="preserve"> da contratação. Os bens a serem fornecidos possuem natureza </w:t>
      </w:r>
      <w:r>
        <w:rPr>
          <w:rFonts w:ascii="Arial" w:hAnsi="Arial" w:cs="Arial"/>
          <w:b/>
          <w:bCs/>
        </w:rPr>
        <w:t xml:space="preserve">padronizada</w:t>
      </w:r>
      <w:r>
        <w:rPr>
          <w:rFonts w:ascii="Arial" w:hAnsi="Arial" w:cs="Arial"/>
        </w:rPr>
        <w:t xml:space="preserve">, são </w:t>
      </w:r>
      <w:r>
        <w:rPr>
          <w:rFonts w:ascii="Arial" w:hAnsi="Arial" w:cs="Arial"/>
          <w:b/>
          <w:bCs/>
        </w:rPr>
        <w:t xml:space="preserve">amplamente disponíveis no mercado</w:t>
      </w:r>
      <w:r>
        <w:rPr>
          <w:rFonts w:ascii="Arial" w:hAnsi="Arial" w:cs="Arial"/>
        </w:rPr>
        <w:t xml:space="preserve"> e apresentam </w:t>
      </w:r>
      <w:r>
        <w:rPr>
          <w:rFonts w:ascii="Arial" w:hAnsi="Arial" w:cs="Arial"/>
          <w:b/>
          <w:bCs/>
        </w:rPr>
        <w:t xml:space="preserve">parâmetros técnicos previsíveis</w:t>
      </w:r>
      <w:r>
        <w:rPr>
          <w:rFonts w:ascii="Arial" w:hAnsi="Arial" w:cs="Arial"/>
        </w:rPr>
        <w:t xml:space="preserve">, o que reduz significativamente a probabilidade de inadimplemento ou de prejuízos relevantes à Administração Pública. Nessas condições, a exigência de garantia ou seguro mostrar-se-ia </w:t>
      </w:r>
      <w:r>
        <w:rPr>
          <w:rFonts w:ascii="Arial" w:hAnsi="Arial" w:cs="Arial"/>
          <w:b/>
          <w:bCs/>
        </w:rPr>
        <w:t xml:space="preserve">desproporcional aos riscos envolvidos</w:t>
      </w:r>
      <w:r>
        <w:rPr>
          <w:rFonts w:ascii="Arial" w:hAnsi="Arial" w:cs="Arial"/>
        </w:rPr>
        <w:t xml:space="preserve">, não se justificando sob os princípios da razoabilidade e da economicidade.</w:t>
      </w:r>
      <w:r>
        <w:rPr>
          <w:rFonts w:ascii="Arial" w:hAnsi="Arial"/>
        </w:rPr>
      </w:r>
      <w:r>
        <w:rPr>
          <w:rFonts w:ascii="Arial" w:hAnsi="Arial"/>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bCs/>
          <w:szCs w:val="24"/>
        </w:rPr>
        <w:t xml:space="preserve">21.2.2. </w:t>
      </w:r>
      <w:r>
        <w:rPr>
          <w:rFonts w:ascii="Arial" w:hAnsi="Arial" w:cs="Arial"/>
        </w:rPr>
        <w:t xml:space="preserve">Sem prejuízo da dispensa de garantia, caso sejam constatados </w:t>
      </w:r>
      <w:r>
        <w:rPr>
          <w:rFonts w:ascii="Arial" w:hAnsi="Arial" w:cs="Arial"/>
          <w:b/>
          <w:bCs/>
        </w:rPr>
        <w:t xml:space="preserve">defeitos, vícios, falhas recorrentes</w:t>
      </w:r>
      <w:r>
        <w:rPr>
          <w:rFonts w:ascii="Arial" w:hAnsi="Arial" w:cs="Arial"/>
        </w:rPr>
        <w:t xml:space="preserve"> ou, ainda, se os bens entregues ou os resultados de testes e inspeções estiverem </w:t>
      </w:r>
      <w:r>
        <w:rPr>
          <w:rFonts w:ascii="Arial" w:hAnsi="Arial" w:cs="Arial"/>
          <w:b/>
          <w:bCs/>
        </w:rPr>
        <w:t xml:space="preserve">em desacordo com as especificações técnicas</w:t>
      </w:r>
      <w:r>
        <w:rPr>
          <w:rFonts w:ascii="Arial" w:hAnsi="Arial" w:cs="Arial"/>
        </w:rPr>
        <w:t xml:space="preserve"> estabelecidas neste Termo de Referência, o Contratante poderá exigir da Contratada a </w:t>
      </w:r>
      <w:r>
        <w:rPr>
          <w:rFonts w:ascii="Arial" w:hAnsi="Arial" w:cs="Arial"/>
          <w:b/>
          <w:bCs/>
        </w:rPr>
        <w:t xml:space="preserve">substituição total ou parcial dos produtos</w:t>
      </w:r>
      <w:r>
        <w:rPr>
          <w:rFonts w:ascii="Arial" w:hAnsi="Arial" w:cs="Arial"/>
        </w:rPr>
        <w:t xml:space="preserve">, sem ônus adicional, no prazo estabelecido pela Administração, observadas as demais sanções contratuais e legais cabíveis.</w:t>
      </w:r>
      <w:r>
        <w:rPr>
          <w:rFonts w:ascii="Arial" w:hAnsi="Arial"/>
        </w:rPr>
      </w:r>
      <w:r>
        <w:rPr>
          <w:rFonts w:ascii="Arial" w:hAnsi="Arial"/>
        </w:rPr>
      </w:r>
    </w:p>
    <w:p>
      <w:pPr>
        <w:pBdr/>
        <w:tabs>
          <w:tab w:val="left" w:leader="none" w:pos="0"/>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9072"/>
        </w:tabs>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outlineLvl w:val="0"/>
        <w:rPr>
          <w:rFonts w:ascii="Arial" w:hAnsi="Arial"/>
          <w:b/>
          <w:bCs/>
          <w:color w:val="000000"/>
        </w:rPr>
      </w:pPr>
      <w:r/>
      <w:bookmarkStart w:id="78" w:name="_Toc22"/>
      <w:r>
        <w:rPr>
          <w:rFonts w:ascii="Arial" w:hAnsi="Arial" w:eastAsia="Arial"/>
          <w:b/>
          <w:bCs/>
          <w:color w:val="000000"/>
        </w:rPr>
        <w:t xml:space="preserve">22.</w:t>
      </w:r>
      <w:r>
        <w:rPr>
          <w:rFonts w:ascii="Arial" w:hAnsi="Arial"/>
          <w:b/>
          <w:color w:val="000000"/>
        </w:rPr>
        <w:t xml:space="preserve"> DA GESTÃO DE CONTRATO E FISCALIZAÇÃO</w:t>
      </w:r>
      <w:r>
        <w:rPr>
          <w:rFonts w:ascii="Arial" w:hAnsi="Arial" w:eastAsia="Arial"/>
          <w:b/>
          <w:bCs/>
          <w:color w:val="000000"/>
        </w:rPr>
        <w:t xml:space="preserve">:</w:t>
      </w:r>
      <w:r>
        <w:rPr>
          <w:rFonts w:ascii="Arial" w:hAnsi="Arial"/>
          <w:b/>
          <w:bCs/>
          <w:color w:val="000000"/>
        </w:rPr>
      </w:r>
      <w:bookmarkEnd w:id="78"/>
      <w:r>
        <w:rPr>
          <w:rFonts w:ascii="Arial" w:hAnsi="Arial"/>
          <w:b/>
          <w:bCs/>
          <w:color w:val="000000"/>
        </w:rPr>
      </w:r>
      <w:r>
        <w:rPr>
          <w:rFonts w:ascii="Arial" w:hAnsi="Arial"/>
          <w:b/>
          <w:bCs/>
          <w:color w:val="000000"/>
        </w:rPr>
      </w:r>
    </w:p>
    <w:p>
      <w:pPr>
        <w:pBdr/>
        <w:spacing/>
        <w:ind/>
        <w:jc w:val="both"/>
        <w:rPr>
          <w:rFonts w:ascii="Arial" w:hAnsi="Arial"/>
          <w:b/>
          <w:bCs/>
          <w:color w:val="000000"/>
        </w:rPr>
      </w:pPr>
      <w:r>
        <w:rPr>
          <w:rFonts w:ascii="Arial" w:hAnsi="Arial"/>
          <w:b/>
          <w:bCs/>
          <w:color w:val="000000"/>
        </w:rPr>
      </w:r>
      <w:r>
        <w:rPr>
          <w:rFonts w:ascii="Arial" w:hAnsi="Arial"/>
          <w:b/>
          <w:bCs/>
          <w:color w:val="000000"/>
        </w:rPr>
      </w:r>
      <w:r>
        <w:rPr>
          <w:rFonts w:ascii="Arial" w:hAnsi="Arial"/>
          <w:b/>
          <w:bCs/>
          <w:color w:val="000000"/>
        </w:rPr>
      </w:r>
    </w:p>
    <w:p>
      <w:pPr>
        <w:pBdr/>
        <w:spacing/>
        <w:ind/>
        <w:jc w:val="both"/>
        <w:rPr>
          <w:rFonts w:ascii="Arial" w:hAnsi="Arial"/>
          <w:b/>
          <w:bCs/>
          <w:color w:val="000000"/>
        </w:rPr>
      </w:pPr>
      <w:r>
        <w:rPr>
          <w:rFonts w:ascii="Arial" w:hAnsi="Arial"/>
          <w:b/>
          <w:color w:val="000000"/>
        </w:rPr>
        <w:t xml:space="preserve">22.1. DA GESTÃO DE CONTRATO E FISCALIZAÇÃO (Art. 6º, Inciso XXIII, Lei 14.133/2021):</w:t>
      </w:r>
      <w:r>
        <w:rPr>
          <w:rFonts w:ascii="Arial" w:hAnsi="Arial"/>
          <w:b/>
          <w:bCs/>
          <w:color w:val="000000"/>
        </w:rPr>
      </w:r>
      <w:r>
        <w:rPr>
          <w:rFonts w:ascii="Arial" w:hAnsi="Arial"/>
          <w:b/>
          <w:bCs/>
          <w:color w:val="000000"/>
        </w:rPr>
      </w:r>
    </w:p>
    <w:p>
      <w:pPr>
        <w:pBdr/>
        <w:spacing/>
        <w:ind/>
        <w:jc w:val="both"/>
        <w:rPr>
          <w:rFonts w:ascii="Arial" w:hAnsi="Arial"/>
          <w:b/>
          <w:bCs/>
          <w:color w:val="000000"/>
        </w:rPr>
      </w:pPr>
      <w:r>
        <w:rPr>
          <w:rFonts w:ascii="Arial" w:hAnsi="Arial"/>
          <w:b/>
          <w:bCs/>
          <w:color w:val="000000"/>
        </w:rPr>
      </w:r>
      <w:r>
        <w:rPr>
          <w:rFonts w:ascii="Arial" w:hAnsi="Arial"/>
          <w:b/>
          <w:bCs/>
          <w:color w:val="000000"/>
        </w:rPr>
      </w:r>
      <w:r>
        <w:rPr>
          <w:rFonts w:ascii="Arial" w:hAnsi="Arial"/>
          <w:b/>
          <w:bCs/>
          <w:color w:val="000000"/>
        </w:rPr>
      </w:r>
    </w:p>
    <w:p>
      <w:pPr>
        <w:pBdr/>
        <w:spacing/>
        <w:ind/>
        <w:jc w:val="both"/>
        <w:rPr>
          <w:rFonts w:ascii="Arial" w:hAnsi="Arial"/>
        </w:rPr>
      </w:pPr>
      <w:r>
        <w:rPr>
          <w:rFonts w:ascii="Arial" w:hAnsi="Arial"/>
          <w:b/>
        </w:rPr>
        <w:t xml:space="preserve">22.1.1.</w:t>
      </w:r>
      <w:r>
        <w:rPr>
          <w:rFonts w:ascii="Arial" w:hAnsi="Arial"/>
        </w:rPr>
        <w:t xml:space="preserve"> O contrato deverá ser executado fielmente pelas partes, de acordo com as cláusulas avençadas e as normas da Lei n.º 1</w:t>
      </w:r>
      <w:r>
        <w:rPr>
          <w:rFonts w:ascii="Arial" w:hAnsi="Arial"/>
        </w:rPr>
        <w:t xml:space="preserve">4.133/2021, e cada parte responderá pelas consequências de sua inexecução total ou parcial.</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22.2.</w:t>
      </w:r>
      <w:r>
        <w:rPr>
          <w:rFonts w:ascii="Arial" w:hAnsi="Arial"/>
        </w:rPr>
        <w:t xml:space="preserve"> O gestor do contrato (secretário da pasta solicitante do objeto licitado) deverá nomear, via Portaria Interna e publicar no DIORONDON, o servidor responsável</w:t>
      </w:r>
      <w:r>
        <w:rPr>
          <w:rFonts w:ascii="Arial" w:hAnsi="Arial"/>
        </w:rPr>
        <w:t xml:space="preserve"> pelo acompanhamento e fiscalização da execução do objeto contratado, nesse sentido, o pagamento da nota fiscal referente ao fornecimento realizado pelo contratante será condicionado à apresentação do relatório do Fiscal do contrato. (Conforme Recomendação</w:t>
      </w:r>
      <w:r>
        <w:rPr>
          <w:rFonts w:ascii="Arial" w:hAnsi="Arial"/>
        </w:rPr>
        <w:t xml:space="preserve"> Técnica nº21/2014).</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22.3.</w:t>
      </w:r>
      <w:r>
        <w:rPr>
          <w:rFonts w:ascii="Arial" w:hAnsi="Arial"/>
        </w:rPr>
        <w:t xml:space="preserve"> A entrega dos produtos será acompanhada e fiscalizada por servidor da Contratante o qual devera atestar os documentos da despesa, quando comprovada a fiel e correta entrega para fins de pagamento.</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22.4.</w:t>
      </w:r>
      <w:r>
        <w:rPr>
          <w:rFonts w:ascii="Arial" w:hAnsi="Arial"/>
        </w:rPr>
        <w:t xml:space="preserve"> A presença da fiscalizaç</w:t>
      </w:r>
      <w:r>
        <w:rPr>
          <w:rFonts w:ascii="Arial" w:hAnsi="Arial"/>
        </w:rPr>
        <w:t xml:space="preserve">ão Contratante não elide nem diminui a responsabilidade da empresa contratada.</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22.5.</w:t>
      </w:r>
      <w:r>
        <w:rPr>
          <w:rFonts w:ascii="Arial" w:hAnsi="Arial"/>
        </w:rPr>
        <w:t xml:space="preserve"> O servidor designado poderá rejeitar totalmente ou em parte, qualquer produto que não esteja de acordo com regras definidas no </w:t>
      </w:r>
      <w:r>
        <w:rPr>
          <w:rFonts w:ascii="Arial" w:hAnsi="Arial"/>
        </w:rPr>
        <w:t xml:space="preserve">Edital, seus anexos</w:t>
      </w:r>
      <w:r>
        <w:rPr>
          <w:rFonts w:ascii="Arial" w:hAnsi="Arial"/>
          <w:color w:val="000000"/>
        </w:rPr>
        <w:t xml:space="preserve"> e legislação correlata</w:t>
      </w:r>
      <w:r>
        <w:rPr>
          <w:rFonts w:ascii="Arial" w:hAnsi="Arial"/>
        </w:rPr>
        <w:t xml:space="preserve"> </w:t>
      </w:r>
      <w:r>
        <w:rPr>
          <w:rFonts w:ascii="Arial" w:hAnsi="Arial"/>
        </w:rPr>
        <w:t xml:space="preserve">pertinente que define o objeto licitado.</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outlineLvl w:val="0"/>
        <w:rPr>
          <w:rFonts w:ascii="Arial" w:hAnsi="Arial"/>
          <w:b/>
          <w:bCs/>
          <w:color w:val="000000"/>
        </w:rPr>
      </w:pPr>
      <w:r/>
      <w:bookmarkStart w:id="79" w:name="_Toc23"/>
      <w:r>
        <w:rPr>
          <w:rFonts w:ascii="Arial" w:hAnsi="Arial" w:eastAsia="Arial"/>
          <w:b/>
          <w:bCs/>
          <w:color w:val="000000"/>
        </w:rPr>
        <w:t xml:space="preserve">23.</w:t>
      </w:r>
      <w:r>
        <w:rPr>
          <w:rFonts w:ascii="Arial" w:hAnsi="Arial"/>
          <w:b/>
          <w:color w:val="000000"/>
        </w:rPr>
        <w:t xml:space="preserve"> </w:t>
      </w:r>
      <w:r>
        <w:rPr>
          <w:rFonts w:ascii="Arial" w:hAnsi="Arial"/>
          <w:b/>
        </w:rPr>
        <w:t xml:space="preserve">DA VIGÊNCIA DO FUTURO CONTRATO</w:t>
      </w:r>
      <w:r>
        <w:rPr>
          <w:rFonts w:ascii="Arial" w:hAnsi="Arial" w:eastAsia="Arial"/>
          <w:b/>
          <w:bCs/>
          <w:color w:val="000000"/>
        </w:rPr>
        <w:t xml:space="preserve">:</w:t>
      </w:r>
      <w:r>
        <w:rPr>
          <w:rFonts w:ascii="Arial" w:hAnsi="Arial"/>
          <w:b/>
          <w:bCs/>
          <w:color w:val="000000"/>
        </w:rPr>
      </w:r>
      <w:bookmarkEnd w:id="79"/>
      <w:r>
        <w:rPr>
          <w:rFonts w:ascii="Arial" w:hAnsi="Arial"/>
          <w:b/>
          <w:bCs/>
          <w:color w:val="000000"/>
        </w:rPr>
      </w:r>
      <w:r>
        <w:rPr>
          <w:rFonts w:ascii="Arial" w:hAnsi="Arial"/>
          <w:b/>
          <w:bCs/>
          <w:color w:val="000000"/>
        </w:rPr>
      </w:r>
    </w:p>
    <w:p>
      <w:pPr>
        <w:pBdr/>
        <w:spacing/>
        <w:ind/>
        <w:jc w:val="both"/>
        <w:rPr>
          <w:rFonts w:ascii="Arial" w:hAnsi="Arial"/>
          <w14:ligatures w14:val="none"/>
        </w:rPr>
      </w:pPr>
      <w:r>
        <w:rPr>
          <w:rFonts w:ascii="Arial" w:hAnsi="Arial"/>
        </w:rPr>
      </w:r>
      <w:r>
        <w:rPr>
          <w:rFonts w:ascii="Arial" w:hAnsi="Arial"/>
        </w:rPr>
      </w:r>
      <w:r>
        <w:rPr>
          <w:rFonts w:ascii="Arial" w:hAnsi="Arial"/>
          <w14:ligatures w14:val="none"/>
        </w:rPr>
      </w:r>
    </w:p>
    <w:p w14:paraId="4F5C22B7">
      <w:pPr>
        <w:pBdr>
          <w:top w:val="none" w:color="000000" w:sz="4" w:space="0"/>
          <w:left w:val="none" w:color="000000" w:sz="4" w:space="0"/>
          <w:bottom w:val="none" w:color="000000" w:sz="4" w:space="0"/>
          <w:right w:val="none" w:color="000000" w:sz="4" w:space="0"/>
        </w:pBdr>
        <w:spacing/>
        <w:ind/>
        <w:jc w:val="both"/>
        <w:rPr>
          <w:rFonts w:ascii="Arial" w:hAnsi="Arial"/>
          <w14:ligatures w14:val="none"/>
        </w:rPr>
      </w:pPr>
      <w:r>
        <w:rPr>
          <w:rFonts w:ascii="Arial" w:hAnsi="Arial"/>
          <w:b/>
          <w:bCs/>
        </w:rPr>
        <w:t xml:space="preserve">23.1.</w:t>
      </w:r>
      <w:r>
        <w:rPr>
          <w:rFonts w:ascii="Arial" w:hAnsi="Arial"/>
        </w:rPr>
        <w:t xml:space="preserve"> O contrato decorrente da Ata de Registro de Preços terá vigência de até 12 (doze) meses, contados de sua assinatura, podendo extinguir-se antes em caso de cumprimento integral das obrigações, exaurimento do saldo contratual ou término da vigência da</w:t>
      </w:r>
      <w:r>
        <w:rPr>
          <w:rFonts w:ascii="Arial" w:hAnsi="Arial"/>
        </w:rPr>
        <w:t xml:space="preserve"> ata, o que ocorrer primeiro.</w:t>
      </w:r>
      <w:r>
        <w:rPr>
          <w:rFonts w:ascii="Arial" w:hAnsi="Arial"/>
        </w:rPr>
      </w:r>
      <w:r>
        <w:rPr>
          <w:rFonts w:ascii="Arial" w:hAnsi="Arial"/>
          <w14:ligatures w14:val="none"/>
        </w:rPr>
      </w:r>
    </w:p>
    <w:p w14:paraId="2E335E45">
      <w:pPr>
        <w:pBdr>
          <w:top w:val="none" w:color="000000" w:sz="4" w:space="0"/>
          <w:left w:val="none" w:color="000000" w:sz="4" w:space="0"/>
          <w:bottom w:val="none" w:color="000000" w:sz="4" w:space="0"/>
          <w:right w:val="none" w:color="000000" w:sz="4" w:space="0"/>
        </w:pBdr>
        <w:spacing/>
        <w:ind/>
        <w:jc w:val="both"/>
        <w:rPr>
          <w:rFonts w:ascii="Arial" w:hAnsi="Arial"/>
          <w14:ligatures w14:val="none"/>
        </w:rPr>
      </w:pPr>
      <w:r>
        <w:rPr>
          <w:rFonts w:ascii="Arial" w:hAnsi="Arial"/>
        </w:rPr>
      </w:r>
      <w:r>
        <w:rPr>
          <w:rFonts w:ascii="Arial" w:hAnsi="Arial"/>
        </w:rPr>
      </w:r>
      <w:r>
        <w:rPr>
          <w:rFonts w:ascii="Arial" w:hAnsi="Arial"/>
          <w14:ligatures w14:val="none"/>
        </w:rPr>
      </w:r>
    </w:p>
    <w:p w14:paraId="43AA6ED7">
      <w:pPr>
        <w:pBdr>
          <w:top w:val="none" w:color="000000" w:sz="4" w:space="0"/>
          <w:left w:val="none" w:color="000000" w:sz="4" w:space="0"/>
          <w:bottom w:val="none" w:color="000000" w:sz="4" w:space="0"/>
          <w:right w:val="none" w:color="000000" w:sz="4" w:space="0"/>
        </w:pBdr>
        <w:spacing/>
        <w:ind/>
        <w:jc w:val="both"/>
        <w:rPr>
          <w:rFonts w:ascii="Arial" w:hAnsi="Arial"/>
          <w14:ligatures w14:val="none"/>
        </w:rPr>
      </w:pPr>
      <w:r>
        <w:rPr>
          <w:rFonts w:ascii="Arial" w:hAnsi="Arial"/>
          <w:b/>
          <w:bCs/>
        </w:rPr>
        <w:t xml:space="preserve">23.2.</w:t>
      </w:r>
      <w:r>
        <w:rPr>
          <w:rFonts w:ascii="Arial" w:hAnsi="Arial"/>
        </w:rPr>
        <w:t xml:space="preserve"> Eventual prorrogação contratual somente será admitida nas hipóteses legalmente cabíveis, mediante justificativa expressa, demonstração de vantajosidade e observância da natureza do objeto contratado.”</w:t>
      </w:r>
      <w:r>
        <w:rPr>
          <w:rFonts w:ascii="Arial" w:hAnsi="Arial"/>
        </w:rPr>
      </w:r>
      <w:r>
        <w:rPr>
          <w:rFonts w:ascii="Arial" w:hAnsi="Arial"/>
          <w14:ligatures w14:val="none"/>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outlineLvl w:val="0"/>
        <w:rPr>
          <w:rFonts w:ascii="Arial" w:hAnsi="Arial"/>
          <w:b/>
          <w:bCs/>
          <w:color w:val="000000"/>
        </w:rPr>
      </w:pPr>
      <w:r/>
      <w:bookmarkStart w:id="80" w:name="_Toc24"/>
      <w:r>
        <w:rPr>
          <w:rFonts w:ascii="Arial" w:hAnsi="Arial" w:eastAsia="Arial"/>
          <w:b/>
          <w:bCs/>
          <w:color w:val="000000"/>
        </w:rPr>
        <w:t xml:space="preserve">24.</w:t>
      </w:r>
      <w:r>
        <w:rPr>
          <w:rFonts w:ascii="Arial" w:hAnsi="Arial"/>
          <w:b/>
          <w:color w:val="000000"/>
        </w:rPr>
        <w:t xml:space="preserve"> </w:t>
      </w:r>
      <w:r>
        <w:rPr>
          <w:rFonts w:ascii="Arial" w:hAnsi="Arial"/>
          <w:b/>
        </w:rPr>
        <w:t xml:space="preserve">DA ALTERAÇÃO DO CONTRATO</w:t>
      </w:r>
      <w:r>
        <w:rPr>
          <w:rFonts w:ascii="Arial" w:hAnsi="Arial" w:eastAsia="Arial"/>
          <w:b/>
          <w:bCs/>
          <w:color w:val="000000"/>
        </w:rPr>
        <w:t xml:space="preserve">:</w:t>
      </w:r>
      <w:r>
        <w:rPr>
          <w:rFonts w:ascii="Arial" w:hAnsi="Arial"/>
          <w:b/>
          <w:bCs/>
          <w:color w:val="000000"/>
        </w:rPr>
      </w:r>
      <w:bookmarkEnd w:id="80"/>
      <w:r>
        <w:rPr>
          <w:rFonts w:ascii="Arial" w:hAnsi="Arial"/>
          <w:b/>
          <w:bCs/>
          <w:color w:val="000000"/>
        </w:rPr>
      </w:r>
      <w:r>
        <w:rPr>
          <w:rFonts w:ascii="Arial" w:hAnsi="Arial"/>
          <w:b/>
          <w:bCs/>
          <w:color w:val="000000"/>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24.1.</w:t>
      </w:r>
      <w:r>
        <w:rPr>
          <w:rFonts w:ascii="Arial" w:hAnsi="Arial"/>
        </w:rPr>
        <w:t xml:space="preserve"> O contrato poderá ser alterado na forma do artigo 124 e seguintes da Lei nº 14.133/2021 e Decreto Municipal nº 11.685/2023.</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24.2.</w:t>
      </w:r>
      <w:r>
        <w:rPr>
          <w:rFonts w:ascii="Arial" w:hAnsi="Arial"/>
        </w:rPr>
        <w:t xml:space="preserve"> A contratada é obrigada a aceitar, nas mesmas condições contratuais, os acréscimos ou supressões que se fizerem necessários, até o limite de 25% (vinte e cinco por cento) do valor inicial atualizado do contrato.</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24.3.</w:t>
      </w:r>
      <w:r>
        <w:rPr>
          <w:rFonts w:ascii="Arial" w:hAnsi="Arial"/>
        </w:rPr>
        <w:t xml:space="preserve"> Registros que não caracterizam </w:t>
      </w:r>
      <w:r>
        <w:rPr>
          <w:rFonts w:ascii="Arial" w:hAnsi="Arial"/>
        </w:rPr>
        <w:t xml:space="preserve">alteração do contrato podem ser realizados por simples apostila, dispensada a celebração de termo aditivo, na forma do artigo 136 da Lei nº 14.133, de 2021.</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24.4.</w:t>
      </w:r>
      <w:r>
        <w:rPr>
          <w:rFonts w:ascii="Arial" w:hAnsi="Arial"/>
        </w:rPr>
        <w:t xml:space="preserve"> Durante a vigência do contrato a contratada poderá solicitar a revisão dos preços para mante</w:t>
      </w:r>
      <w:r>
        <w:rPr>
          <w:rFonts w:ascii="Arial" w:hAnsi="Arial"/>
        </w:rPr>
        <w:t xml:space="preserve">r o equilíbrio econômico-financeiro obtido na licitação, mediante a comprovação dos fatos previstos no artigo 124, inciso II, alínea “d”, da Lei nº 14.133/2021, conforme cláusula décima primeira.</w:t>
      </w:r>
      <w:r>
        <w:rPr>
          <w:rFonts w:ascii="Arial" w:hAnsi="Arial"/>
        </w:rPr>
      </w:r>
      <w:r>
        <w:rPr>
          <w:rFonts w:ascii="Arial" w:hAnsi="Arial"/>
        </w:rP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outlineLvl w:val="0"/>
        <w:rPr>
          <w:rFonts w:ascii="Arial" w:hAnsi="Arial"/>
          <w:b/>
          <w:bCs/>
          <w:color w:val="000000"/>
        </w:rPr>
      </w:pPr>
      <w:r/>
      <w:bookmarkStart w:id="81" w:name="_Toc25"/>
      <w:r>
        <w:rPr>
          <w:rFonts w:ascii="Arial" w:hAnsi="Arial" w:eastAsia="Arial"/>
          <w:b/>
          <w:bCs/>
          <w:color w:val="000000"/>
        </w:rPr>
        <w:t xml:space="preserve">25.</w:t>
      </w:r>
      <w:r>
        <w:rPr>
          <w:rFonts w:ascii="Arial" w:hAnsi="Arial"/>
          <w:b/>
          <w:color w:val="000000"/>
        </w:rPr>
        <w:t xml:space="preserve"> </w:t>
      </w:r>
      <w:r>
        <w:rPr>
          <w:rFonts w:ascii="Arial" w:hAnsi="Arial"/>
          <w:b/>
        </w:rPr>
        <w:t xml:space="preserve">DA EXTINÇÃO DO CONTRATO</w:t>
      </w:r>
      <w:r>
        <w:rPr>
          <w:rFonts w:ascii="Arial" w:hAnsi="Arial" w:eastAsia="Arial"/>
          <w:b/>
          <w:bCs/>
          <w:color w:val="000000"/>
        </w:rPr>
        <w:t xml:space="preserve">:</w:t>
      </w:r>
      <w:r>
        <w:rPr>
          <w:rFonts w:ascii="Arial" w:hAnsi="Arial"/>
          <w:b/>
          <w:bCs/>
          <w:color w:val="000000"/>
        </w:rPr>
      </w:r>
      <w:bookmarkEnd w:id="81"/>
      <w:r>
        <w:rPr>
          <w:rFonts w:ascii="Arial" w:hAnsi="Arial"/>
          <w:b/>
          <w:bCs/>
          <w:color w:val="000000"/>
        </w:rPr>
      </w:r>
      <w:r>
        <w:rPr>
          <w:rFonts w:ascii="Arial" w:hAnsi="Arial"/>
          <w:b/>
          <w:bCs/>
          <w:color w:val="000000"/>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25.1.</w:t>
      </w:r>
      <w:r>
        <w:rPr>
          <w:rFonts w:ascii="Arial" w:hAnsi="Arial"/>
        </w:rPr>
        <w:t xml:space="preserve"> O contrato se extingue </w:t>
      </w:r>
      <w:r>
        <w:rPr>
          <w:rFonts w:ascii="Arial" w:hAnsi="Arial"/>
        </w:rPr>
        <w:t xml:space="preserve">quando cumpridas as obrigações de ambas as partes, ainda que isso ocorra antes do prazo estipulado para tanto.</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25.2.</w:t>
      </w:r>
      <w:r>
        <w:rPr>
          <w:rFonts w:ascii="Arial" w:hAnsi="Arial"/>
        </w:rPr>
        <w:t xml:space="preserve"> Se as obrigações não forem cumpridas no prazo estipulado, a vigência ficará prorrogada até a conclusão do objeto, caso em que deverá a Adm</w:t>
      </w:r>
      <w:r>
        <w:rPr>
          <w:rFonts w:ascii="Arial" w:hAnsi="Arial"/>
        </w:rPr>
        <w:t xml:space="preserve">inistração providenciar a readequação do cronograma fixado para o contrato.</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25.3.</w:t>
      </w:r>
      <w:r>
        <w:rPr>
          <w:rFonts w:ascii="Arial" w:hAnsi="Arial"/>
        </w:rPr>
        <w:t xml:space="preserve"> Quando a não conclusão do contrato referida no item anterior decorrer de culpa da contratada: (a) ficará ela constituída em mora, sendo-lhe aplicáveis as respectivas sanções</w:t>
      </w:r>
      <w:r>
        <w:rPr>
          <w:rFonts w:ascii="Arial" w:hAnsi="Arial"/>
        </w:rPr>
        <w:t xml:space="preserve"> administrativas; e (b) poderá a Administração optar pela extinção do contrato e, nesse caso, adotará as medidas admitidas em lei para a continuidade da execução contratual.</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25.4.</w:t>
      </w:r>
      <w:r>
        <w:rPr>
          <w:rFonts w:ascii="Arial" w:hAnsi="Arial"/>
        </w:rPr>
        <w:t xml:space="preserve"> O presente termo de contrato poderá ser extinto nas hipóteses previstas no </w:t>
      </w:r>
      <w:r>
        <w:rPr>
          <w:rFonts w:ascii="Arial" w:hAnsi="Arial"/>
        </w:rPr>
        <w:t xml:space="preserve">rol do artigo 137 da Lei nº 14.133/2021, devendo a extinção ser formalmente motivada nos autos do processo, assegurado o contraditório e ampla defesa e respeitados os procedimentos descritos no Decreto Municipal nº 11.685/2023 e nas demais legislações apli</w:t>
      </w:r>
      <w:r>
        <w:rPr>
          <w:rFonts w:ascii="Arial" w:hAnsi="Arial"/>
        </w:rPr>
        <w:t xml:space="preserve">cáveis.</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25.4.1.</w:t>
      </w:r>
      <w:r>
        <w:rPr>
          <w:rFonts w:ascii="Arial" w:hAnsi="Arial"/>
        </w:rPr>
        <w:t xml:space="preserve"> Nesta hipótese, aplicam-se também os artigos 138 e 139 da Lei 14.133/2021.</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25.4.2.</w:t>
      </w:r>
      <w:r>
        <w:rPr>
          <w:rFonts w:ascii="Arial" w:hAnsi="Arial"/>
        </w:rPr>
        <w:t xml:space="preserve"> A alteração social ou a modificação da finalidade ou da estrutura da empresa não ensejará a rescisão se não restringir sua capacidade de concluir o contrato.</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25.4.3.</w:t>
      </w:r>
      <w:r>
        <w:rPr>
          <w:rFonts w:ascii="Arial" w:hAnsi="Arial"/>
        </w:rPr>
        <w:t xml:space="preserve"> Se a operação implicar mudança da pessoa jurídica contratada, deverá ser formalizado ter</w:t>
      </w:r>
      <w:r>
        <w:rPr>
          <w:rFonts w:ascii="Arial" w:hAnsi="Arial"/>
        </w:rPr>
        <w:t xml:space="preserve">mo aditivo para alteração subjetiva.</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25.5.</w:t>
      </w:r>
      <w:r>
        <w:rPr>
          <w:rFonts w:ascii="Arial" w:hAnsi="Arial"/>
        </w:rPr>
        <w:t xml:space="preserve"> A extinção determinada por ato unilateral da Administração e a extinção consensual deverão ser precedidas de autorização escrita e fundamentada da autoridade competente e reduzidas a termo no respectivo processo.</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color w:val="000000"/>
        </w:rPr>
      </w:pPr>
      <w:r>
        <w:rPr>
          <w:rFonts w:ascii="Arial" w:hAnsi="Arial"/>
          <w:b/>
          <w:color w:val="000000"/>
        </w:rPr>
        <w:t xml:space="preserve">25.6.</w:t>
      </w:r>
      <w:r>
        <w:rPr>
          <w:rFonts w:ascii="Arial" w:hAnsi="Arial"/>
          <w:color w:val="000000"/>
        </w:rPr>
        <w:t xml:space="preserve"> O contrato poderá ser extinto caso se constate que o contratado mantém vínculo de natureza técnica, comercial, econômica, financeira, trabalhista ou civil com dirigente do órgão ou entidade contratante ou com agente públic</w:t>
      </w:r>
      <w:r>
        <w:rPr>
          <w:rFonts w:ascii="Arial" w:hAnsi="Arial"/>
          <w:color w:val="000000"/>
        </w:rPr>
        <w:t xml:space="preserve">o que tenha desempenhado função na licitação ou atue na fiscalização ou na gestão do contrato, ou que deles seja cônjuge, companheiro ou parente em linha reta, colateral ou por afinidade, até o terceiro grau (Art. 14, inciso IV, da Lei nº 14.133, de 2021).</w:t>
      </w:r>
      <w:r>
        <w:rPr>
          <w:rFonts w:ascii="Arial" w:hAnsi="Arial"/>
          <w:color w:val="000000"/>
        </w:rPr>
      </w:r>
      <w:r>
        <w:rPr>
          <w:rFonts w:ascii="Arial" w:hAnsi="Arial"/>
          <w:color w:val="000000"/>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25.7.</w:t>
      </w:r>
      <w:r>
        <w:rPr>
          <w:rFonts w:ascii="Arial" w:hAnsi="Arial"/>
        </w:rPr>
        <w:t xml:space="preserve"> A extinção do contrato não configura óbice para o reconhecimento do desequilíbrio econômico-financeiro, hipótese em que será concedida indenização por meio de termo indenizatório (Art. 131, caput, da Lei nº 14.133, de 2021).</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outlineLvl w:val="0"/>
        <w:rPr>
          <w:rFonts w:ascii="Arial" w:hAnsi="Arial"/>
          <w:b/>
          <w:bCs/>
          <w:color w:val="000000"/>
        </w:rPr>
      </w:pPr>
      <w:r/>
      <w:bookmarkStart w:id="82" w:name="_Toc26"/>
      <w:r>
        <w:rPr>
          <w:rFonts w:ascii="Arial" w:hAnsi="Arial" w:eastAsia="Arial"/>
          <w:b/>
          <w:bCs/>
          <w:color w:val="000000"/>
        </w:rPr>
        <w:t xml:space="preserve">26.</w:t>
      </w:r>
      <w:r>
        <w:rPr>
          <w:rFonts w:ascii="Arial" w:hAnsi="Arial"/>
          <w:b/>
          <w:color w:val="000000"/>
        </w:rPr>
        <w:t xml:space="preserve"> </w:t>
      </w:r>
      <w:r>
        <w:rPr>
          <w:rFonts w:ascii="Arial" w:hAnsi="Arial" w:eastAsia="Arial"/>
          <w:b/>
          <w:bCs/>
          <w:color w:val="000000"/>
        </w:rPr>
        <w:t xml:space="preserve">DO REAJUSTE E DA REVISÃO PARA RECOMPOSIÇÃO DO EQUILÍBRIO ECONÔMICO-FINANCEIRO</w:t>
      </w:r>
      <w:r>
        <w:rPr>
          <w:rFonts w:ascii="Arial" w:hAnsi="Arial" w:eastAsia="Arial"/>
          <w:b/>
          <w:bCs/>
          <w:color w:val="000000"/>
        </w:rPr>
        <w:t xml:space="preserve">:</w:t>
      </w:r>
      <w:r>
        <w:rPr>
          <w:rFonts w:ascii="Arial" w:hAnsi="Arial"/>
          <w:b/>
          <w:bCs/>
          <w:color w:val="000000"/>
        </w:rPr>
      </w:r>
      <w:bookmarkEnd w:id="82"/>
      <w:r>
        <w:rPr>
          <w:rFonts w:ascii="Arial" w:hAnsi="Arial"/>
          <w:b/>
          <w:bCs/>
          <w:color w:val="000000"/>
        </w:rPr>
      </w:r>
      <w:r>
        <w:rPr>
          <w:rFonts w:ascii="Arial" w:hAnsi="Arial"/>
          <w:b/>
          <w:bCs/>
          <w:color w:val="000000"/>
        </w:rPr>
      </w:r>
    </w:p>
    <w:p>
      <w:pPr>
        <w:pBdr/>
        <w:spacing/>
        <w:ind/>
        <w:jc w:val="both"/>
        <w:rPr>
          <w:rFonts w:ascii="Arial" w:hAnsi="Arial"/>
          <w:b/>
          <w:bCs/>
        </w:rPr>
      </w:pPr>
      <w:r>
        <w:rPr>
          <w:rFonts w:ascii="Arial" w:hAnsi="Arial"/>
          <w:b/>
          <w:bCs/>
        </w:rPr>
      </w:r>
      <w:r>
        <w:rPr>
          <w:rFonts w:ascii="Arial" w:hAnsi="Arial"/>
          <w:b/>
          <w:bCs/>
        </w:rPr>
      </w:r>
      <w:r>
        <w:rPr>
          <w:rFonts w:ascii="Arial" w:hAnsi="Arial"/>
          <w:b/>
          <w:bCs/>
        </w:rPr>
      </w:r>
    </w:p>
    <w:p>
      <w:pPr>
        <w:pBdr/>
        <w:spacing/>
        <w:ind/>
        <w:jc w:val="both"/>
        <w:rPr>
          <w:rFonts w:ascii="Arial" w:hAnsi="Arial"/>
          <w:b/>
          <w:bCs/>
        </w:rPr>
      </w:pPr>
      <w:r>
        <w:rPr>
          <w:rFonts w:ascii="Arial" w:hAnsi="Arial"/>
          <w:b/>
        </w:rPr>
        <w:t xml:space="preserve">26.1. DO REAJUSTE:</w:t>
      </w:r>
      <w:r>
        <w:rPr>
          <w:rFonts w:ascii="Arial" w:hAnsi="Arial"/>
          <w:b/>
          <w:bCs/>
        </w:rPr>
      </w:r>
      <w:r>
        <w:rPr>
          <w:rFonts w:ascii="Arial" w:hAnsi="Arial"/>
          <w:b/>
          <w:bCs/>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26.1.1.</w:t>
      </w:r>
      <w:r>
        <w:rPr>
          <w:rFonts w:ascii="Arial" w:hAnsi="Arial"/>
        </w:rPr>
        <w:t xml:space="preserve"> Os preços inicialmente contratados são fixos e irreajustáveis no prazo de um ano contado da data do orçamento estimado, em __/__/__ (DD/MM/AAAA). </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26.</w:t>
      </w:r>
      <w:r>
        <w:rPr>
          <w:rFonts w:ascii="Arial" w:hAnsi="Arial"/>
          <w:b/>
          <w:bCs/>
          <w:iCs/>
          <w:spacing w:val="-1"/>
        </w:rPr>
        <w:t xml:space="preserve">1.1.1.</w:t>
      </w:r>
      <w:r>
        <w:rPr>
          <w:rFonts w:ascii="Arial" w:hAnsi="Arial"/>
          <w:bCs/>
          <w:iCs/>
          <w:spacing w:val="-1"/>
        </w:rPr>
        <w:t xml:space="preserve"> </w:t>
      </w:r>
      <w:r>
        <w:rPr>
          <w:rFonts w:ascii="Arial" w:hAnsi="Arial"/>
          <w:iCs/>
          <w:spacing w:val="-1"/>
        </w:rPr>
        <w:t xml:space="preserve">Considera-se preço reg</w:t>
      </w:r>
      <w:r>
        <w:rPr>
          <w:rFonts w:ascii="Arial" w:hAnsi="Arial"/>
          <w:iCs/>
          <w:spacing w:val="-1"/>
        </w:rPr>
        <w:t xml:space="preserve">istrado aquele atribuído ao produto, incluindo todas as despesas tais como: tributos (impostos, taxas, emolumentos, contribuições fiscais e para fiscais) e</w:t>
      </w:r>
      <w:r>
        <w:rPr>
          <w:rFonts w:ascii="Arial" w:hAnsi="Arial"/>
        </w:rPr>
        <w:t xml:space="preserve"> qualquer despesa, acessória e/ou com</w:t>
      </w:r>
      <w:r>
        <w:rPr>
          <w:rFonts w:ascii="Arial" w:hAnsi="Arial"/>
        </w:rPr>
        <w:t xml:space="preserve">plementar e outras não especificadas neste edital, mas que incid</w:t>
      </w:r>
      <w:r>
        <w:rPr>
          <w:rFonts w:ascii="Arial" w:hAnsi="Arial"/>
        </w:rPr>
        <w:t xml:space="preserve">am no cumprimento das obrigações assumidas pela empresa detentora da Ata na execução da mesma.</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26.1.2.</w:t>
      </w:r>
      <w:r>
        <w:rPr>
          <w:rFonts w:ascii="Arial" w:hAnsi="Arial"/>
        </w:rPr>
        <w:t xml:space="preserve"> Após o interregno de 1 (um) ano, os preços iniciais serão reajustados, mediante a aplicação, pelo contratante, do Índice de Nacional de Preços ao Consum</w:t>
      </w:r>
      <w:r>
        <w:rPr>
          <w:rFonts w:ascii="Arial" w:hAnsi="Arial"/>
        </w:rPr>
        <w:t xml:space="preserve">idor Amplo (IPCA) ou Índice Geral de Preços - Mercado (IGP-M), sendo que sempre será utilizado o índice de menor percentual, exclusivamente para as obrigações iniciadas e concluídas após a ocorrência da anualidade. </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26.1.3.</w:t>
      </w:r>
      <w:r>
        <w:rPr>
          <w:rFonts w:ascii="Arial" w:hAnsi="Arial"/>
        </w:rPr>
        <w:t xml:space="preserve"> Nos reajustes subsequentes ao p</w:t>
      </w:r>
      <w:r>
        <w:rPr>
          <w:rFonts w:ascii="Arial" w:hAnsi="Arial"/>
        </w:rPr>
        <w:t xml:space="preserve">rimeiro, o interregno mínimo de 1 (um) ano será contado a partir dos efeitos financeiros do último reajuste. </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color w:val="000000"/>
        </w:rPr>
      </w:pPr>
      <w:r>
        <w:rPr>
          <w:rFonts w:ascii="Arial" w:hAnsi="Arial"/>
          <w:b/>
          <w:color w:val="000000"/>
        </w:rPr>
        <w:t xml:space="preserve">26.1.4.</w:t>
      </w:r>
      <w:r>
        <w:rPr>
          <w:rFonts w:ascii="Arial" w:hAnsi="Arial"/>
          <w:color w:val="000000"/>
        </w:rPr>
        <w:t xml:space="preserve"> No caso de atraso ou não divulgação dos índices de reajustamento, o contratante pagará ao contratado a importância calculada pela última variação conhecida, liquidando a diferença correspondente tão logo seja(m) divulgado(s) os índices definitivos. </w:t>
      </w:r>
      <w:r>
        <w:rPr>
          <w:rFonts w:ascii="Arial" w:hAnsi="Arial"/>
          <w:color w:val="000000"/>
        </w:rPr>
      </w:r>
      <w:r>
        <w:rPr>
          <w:rFonts w:ascii="Arial" w:hAnsi="Arial"/>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rPr>
        <w:t xml:space="preserve">26.1</w:t>
      </w:r>
      <w:r>
        <w:rPr>
          <w:rFonts w:ascii="Arial" w:hAnsi="Arial"/>
          <w:b/>
        </w:rPr>
        <w:t xml:space="preserve">.5.</w:t>
      </w:r>
      <w:r>
        <w:rPr>
          <w:rFonts w:ascii="Arial" w:hAnsi="Arial"/>
        </w:rPr>
        <w:t xml:space="preserve"> Nas aferições finais, os índices utilizados para reajuste serão, obrigatoriamente, os definitivos.</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26.1.6</w:t>
      </w:r>
      <w:r>
        <w:rPr>
          <w:rFonts w:ascii="Arial" w:hAnsi="Arial"/>
        </w:rPr>
        <w:t xml:space="preserve">. Caso os índices estabelecidos para reajustamento venham a ser extintos ou de qualquer forma não possam mais ser utilizados, serão adotados, em s</w:t>
      </w:r>
      <w:r>
        <w:rPr>
          <w:rFonts w:ascii="Arial" w:hAnsi="Arial"/>
        </w:rPr>
        <w:t xml:space="preserve">ubstituição, os que vierem a ser determinados pela legislação então em vigor.</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26.1.7.</w:t>
      </w:r>
      <w:r>
        <w:rPr>
          <w:rFonts w:ascii="Arial" w:hAnsi="Arial"/>
        </w:rPr>
        <w:t xml:space="preserve"> Na ausência de previsão legal quanto ao índice substituto, as partes elegerão novo índice oficial, para reajustamento do preço do valor remanescente, por meio de termo a</w:t>
      </w:r>
      <w:r>
        <w:rPr>
          <w:rFonts w:ascii="Arial" w:hAnsi="Arial"/>
        </w:rPr>
        <w:t xml:space="preserve">ditivo. O reajuste será realizado por apostilamento.</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26.1.8.</w:t>
      </w:r>
      <w:r>
        <w:rPr>
          <w:rFonts w:ascii="Arial" w:hAnsi="Arial"/>
        </w:rPr>
        <w:t xml:space="preserve"> Os preços contratados serão reajustados, para mais ou para menos, conforme o caso, se houver, após a data da apresentação da proposta, criação, alteração ou extinção de quaisquer tributos ou enc</w:t>
      </w:r>
      <w:r>
        <w:rPr>
          <w:rFonts w:ascii="Arial" w:hAnsi="Arial"/>
        </w:rPr>
        <w:t xml:space="preserve">argos legais, ou a superveniência de disposições legais, com comprovada repercussão sobre os preços contratados.</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26.1.9.</w:t>
      </w:r>
      <w:r>
        <w:rPr>
          <w:rFonts w:ascii="Arial" w:hAnsi="Arial"/>
        </w:rPr>
        <w:t xml:space="preserve"> Na hipótese de prorrogação da ata de registro de preços, os preços registrados serão atualizados conforme índice previsto em edital, a contar do início de sua vigência.</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26.1.10.</w:t>
      </w:r>
      <w:r>
        <w:rPr>
          <w:rFonts w:ascii="Arial" w:hAnsi="Arial"/>
        </w:rPr>
        <w:t xml:space="preserve"> Para fins de pagamento, será considerado o preço vigente na data do pedido.</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26.2. DA REVISÃO</w:t>
      </w:r>
      <w:r>
        <w:rPr>
          <w:rFonts w:ascii="Arial" w:hAnsi="Arial"/>
        </w:rPr>
        <w:t xml:space="preserve">:</w:t>
      </w:r>
      <w:r>
        <w:rPr>
          <w:rFonts w:ascii="Arial" w:hAnsi="Arial"/>
        </w:rPr>
      </w:r>
      <w:r>
        <w:rPr>
          <w:rFonts w:ascii="Arial" w:hAnsi="Arial"/>
        </w:rP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26.2.1.</w:t>
      </w:r>
      <w:r>
        <w:rPr>
          <w:rFonts w:ascii="Arial" w:hAnsi="Arial"/>
        </w:rPr>
        <w:t xml:space="preserve"> Os preços registrados poderão ser revisados para reestabelecer o equilíbrio econômico-financeiro quando, por motivo superveniente, restarem inviáveis de serem praticados em razão de força maior, caso fortuito, fato do príncipe o</w:t>
      </w:r>
      <w:r>
        <w:rPr>
          <w:rFonts w:ascii="Arial" w:hAnsi="Arial"/>
        </w:rPr>
        <w:t xml:space="preserve">u fatos imprevisíveis ou previsíveis de consequências incalculáveis. </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26.2.2.</w:t>
      </w:r>
      <w:r>
        <w:rPr>
          <w:rFonts w:ascii="Arial" w:hAnsi="Arial"/>
        </w:rPr>
        <w:t xml:space="preserve"> Os fornecedores que não aceitarem reduzir seus preços aos valores praticados pelo mercado serão liberados do compromisso assumido, sem aplicação de penalidade. </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26.2.3.</w:t>
      </w:r>
      <w:r>
        <w:rPr>
          <w:rFonts w:ascii="Arial" w:hAnsi="Arial"/>
        </w:rPr>
        <w:t xml:space="preserve"> O pedid</w:t>
      </w:r>
      <w:r>
        <w:rPr>
          <w:rFonts w:ascii="Arial" w:hAnsi="Arial"/>
        </w:rPr>
        <w:t xml:space="preserve">o de revisão de preços será processado e julgado pelo Órgão Gerenciador. </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26.2.4.</w:t>
      </w:r>
      <w:r>
        <w:rPr>
          <w:rFonts w:ascii="Arial" w:hAnsi="Arial"/>
        </w:rPr>
        <w:t xml:space="preserve"> Nos casos em que a majoração do preço for pleiteada pela DETENTORA, o ÓRGÃO GERENCIADOR analisará a solicitação de revisão do preço registrado a partir da fundamentação e do</w:t>
      </w:r>
      <w:r>
        <w:rPr>
          <w:rFonts w:ascii="Arial" w:hAnsi="Arial"/>
        </w:rPr>
        <w:t xml:space="preserve"> conjunto probatório apresentados, em cotejo com pesquisa de mercado atualizada e diligências que se mostrem necessárias para avaliação do pedido, mantendo a economia obtida no procedimento licitatório.</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26.2.5.</w:t>
      </w:r>
      <w:r>
        <w:rPr>
          <w:rFonts w:ascii="Arial" w:hAnsi="Arial"/>
        </w:rPr>
        <w:t xml:space="preserve"> Após 30 (trinta) dias do aceite do requerime</w:t>
      </w:r>
      <w:r>
        <w:rPr>
          <w:rFonts w:ascii="Arial" w:hAnsi="Arial"/>
        </w:rPr>
        <w:t xml:space="preserve">nto de revisão pelo ÓRGÃO GERENCIADOR, e sem manifestação conclusiva deste, poderá a DETENTORA comunicar formalmente ao ÓRGÃO GERENCIADOR a recusa de novos pedidos de entrega de bens ou de prestação de serviços.</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26.2.6.</w:t>
      </w:r>
      <w:r>
        <w:rPr>
          <w:rFonts w:ascii="Arial" w:hAnsi="Arial"/>
        </w:rPr>
        <w:t xml:space="preserve"> Durante este prazo de 30 dias, a DE</w:t>
      </w:r>
      <w:r>
        <w:rPr>
          <w:rFonts w:ascii="Arial" w:hAnsi="Arial"/>
        </w:rPr>
        <w:t xml:space="preserve">TENTORA fica obrigado a manter as condições pactuadas quando da assinatura da ata.</w:t>
      </w:r>
      <w:r>
        <w:rPr>
          <w:rFonts w:ascii="Arial" w:hAnsi="Arial"/>
        </w:rPr>
      </w:r>
      <w:r>
        <w:rPr>
          <w:rFonts w:ascii="Arial" w:hAnsi="Arial"/>
        </w:rPr>
      </w:r>
    </w:p>
    <w:p>
      <w:pPr>
        <w:pStyle w:val="2038"/>
        <w:pBdr/>
        <w:spacing/>
        <w:ind w:left="284"/>
        <w:jc w:val="both"/>
        <w:rPr>
          <w:rFonts w:ascii="Arial" w:hAnsi="Arial"/>
          <w:b/>
          <w:bCs/>
          <w:sz w:val="20"/>
          <w:szCs w:val="20"/>
        </w:rPr>
      </w:pPr>
      <w:r>
        <w:rPr>
          <w:rFonts w:ascii="Arial" w:hAnsi="Arial"/>
          <w:b/>
          <w:bCs/>
          <w:sz w:val="20"/>
          <w:szCs w:val="20"/>
        </w:rPr>
      </w:r>
      <w:r>
        <w:rPr>
          <w:rFonts w:ascii="Arial" w:hAnsi="Arial"/>
          <w:b/>
          <w:bCs/>
          <w:sz w:val="20"/>
          <w:szCs w:val="20"/>
        </w:rPr>
      </w:r>
      <w:r>
        <w:rPr>
          <w:rFonts w:ascii="Arial" w:hAnsi="Arial"/>
          <w:b/>
          <w:bCs/>
          <w:sz w:val="20"/>
          <w:szCs w:val="20"/>
        </w:rPr>
      </w:r>
    </w:p>
    <w:p>
      <w:pPr>
        <w:pBdr/>
        <w:spacing/>
        <w:ind/>
        <w:jc w:val="both"/>
        <w:rPr>
          <w:rFonts w:ascii="Arial" w:hAnsi="Arial"/>
          <w14:ligatures w14:val="none"/>
        </w:rPr>
      </w:pPr>
      <w:r>
        <w:rPr>
          <w:rFonts w:ascii="Arial" w:hAnsi="Arial"/>
          <w:b/>
          <w:bCs/>
          <w:sz w:val="20"/>
          <w:szCs w:val="20"/>
        </w:rPr>
        <w:t xml:space="preserve">26.2.7.</w:t>
      </w:r>
      <w:r>
        <w:rPr>
          <w:rFonts w:ascii="Arial" w:hAnsi="Arial"/>
          <w:sz w:val="20"/>
          <w:szCs w:val="20"/>
        </w:rPr>
        <w:t xml:space="preserve"> </w:t>
      </w:r>
      <w:r>
        <w:rPr>
          <w:rFonts w:ascii="Arial" w:hAnsi="Arial"/>
        </w:rPr>
        <w:t xml:space="preserve">Ocorrendo uma das hipóteses previstas no art. 124, inciso II, alínea “d”, da Lei nº 14.133/2021, poderá ser concedida revisão para restabelecimento do equilíbrio econômico-financeiro do ajuste, mediante requerimento fundamentado, demonstração analítica da </w:t>
      </w:r>
      <w:r>
        <w:rPr>
          <w:rFonts w:ascii="Arial" w:hAnsi="Arial"/>
        </w:rPr>
        <w:t xml:space="preserve">variação dos custos e instrução processual adequada.</w:t>
      </w:r>
      <w:r>
        <w:rPr>
          <w:rFonts w:ascii="Arial" w:hAnsi="Arial"/>
          <w14:ligatures w14:val="none"/>
        </w:rPr>
      </w:r>
      <w:r>
        <w:rPr>
          <w:rFonts w:ascii="Arial" w:hAnsi="Arial"/>
          <w14:ligatures w14:val="none"/>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rPr>
      </w:pPr>
      <w:r>
        <w:rPr>
          <w:rFonts w:ascii="Arial" w:hAnsi="Arial"/>
          <w:b/>
          <w:color w:val="000000"/>
        </w:rPr>
        <w:t xml:space="preserve">26.2.7.1.</w:t>
      </w:r>
      <w:r>
        <w:rPr>
          <w:rFonts w:ascii="Arial" w:hAnsi="Arial"/>
          <w:color w:val="000000"/>
        </w:rPr>
        <w:t xml:space="preserve"> O prazo para resposta ao pedido de restabelecimento do equil</w:t>
      </w:r>
      <w:r>
        <w:rPr>
          <w:rFonts w:ascii="Arial" w:hAnsi="Arial"/>
          <w:color w:val="000000"/>
        </w:rPr>
        <w:t xml:space="preserve">íbrio econômico-financeiro, quando for o caso¸ será de até 30 (trinta) úteis dias prorrogáveis por igual período. (Art. 92 Inciso XI da Lei 14.133/2021).</w:t>
      </w:r>
      <w:r>
        <w:rPr>
          <w:rFonts w:ascii="Arial" w:hAnsi="Arial"/>
          <w:color w:val="000000"/>
        </w:rPr>
      </w:r>
      <w:r>
        <w:rPr>
          <w:rFonts w:ascii="Arial" w:hAnsi="Arial"/>
          <w:color w:val="000000"/>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14:ligatures w14:val="none"/>
        </w:rPr>
      </w:pPr>
      <w:r>
        <w:rPr>
          <w:rFonts w:ascii="Arial" w:hAnsi="Arial"/>
          <w:b/>
          <w:color w:val="000000"/>
        </w:rPr>
        <w:t xml:space="preserve">26.2.8.</w:t>
      </w:r>
      <w:r>
        <w:rPr>
          <w:rFonts w:ascii="Arial" w:hAnsi="Arial"/>
          <w:color w:val="000000"/>
        </w:rPr>
        <w:t xml:space="preserve"> A atualização monetária em razão do processo inflacionário e da desvalorização da moeda, será</w:t>
      </w:r>
      <w:r>
        <w:rPr>
          <w:rFonts w:ascii="Arial" w:hAnsi="Arial"/>
          <w:color w:val="000000"/>
        </w:rPr>
        <w:t xml:space="preserve"> calculada desde a data em que deveria ser efetuado o pagamento da fatura de determinada parcela do contrato até seu pagamento efetivo. Após 30 (trinta) dias da data em que deveria ser efetuado o pagamento das faturas, incidirá sobre o valor faturado atual</w:t>
      </w:r>
      <w:r>
        <w:rPr>
          <w:rFonts w:ascii="Arial" w:hAnsi="Arial"/>
          <w:color w:val="000000"/>
        </w:rPr>
        <w:t xml:space="preserve">ização monetária com ba</w:t>
      </w:r>
      <w:r>
        <w:rPr>
          <w:rFonts w:ascii="Arial" w:hAnsi="Arial"/>
          <w:color w:val="000000"/>
        </w:rPr>
        <w:t xml:space="preserve">se </w:t>
      </w:r>
      <w:r>
        <w:rPr>
          <w:rFonts w:ascii="Arial" w:hAnsi="Arial"/>
          <w:color w:val="000000"/>
        </w:rPr>
        <w:t xml:space="preserve">no índice de referência </w:t>
      </w:r>
      <w:r>
        <w:rPr>
          <w:rFonts w:ascii="Arial" w:hAnsi="Arial"/>
          <w:color w:val="000000"/>
        </w:rPr>
        <w:t xml:space="preserve">INPC - Índice Nacional de Preços ao Consumidor</w:t>
      </w:r>
      <w:r>
        <w:rPr>
          <w:rFonts w:ascii="Arial" w:hAnsi="Arial"/>
          <w:color w:val="000000"/>
        </w:rPr>
        <w:t xml:space="preserve">. (Art. 178 do Decreto n.11.685/2023.)</w:t>
      </w:r>
      <w:r>
        <w:rPr>
          <w:rFonts w:ascii="Arial" w:hAnsi="Arial"/>
          <w:color w:val="000000"/>
          <w14:ligatures w14:val="none"/>
        </w:rPr>
      </w:r>
      <w:r>
        <w:rPr>
          <w:rFonts w:ascii="Arial" w:hAnsi="Arial"/>
          <w:color w:val="000000"/>
          <w14:ligatures w14:val="none"/>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b/>
        </w:rPr>
      </w:pPr>
      <w:r>
        <w:rPr>
          <w:rFonts w:ascii="Arial" w:hAnsi="Arial"/>
          <w:b/>
        </w:rPr>
        <w:t xml:space="preserve">26.3. DA NEGOCIAÇÃO DE PREÇOS REGISTRADOS: </w:t>
      </w:r>
      <w:r>
        <w:rPr>
          <w:rFonts w:ascii="Arial" w:hAnsi="Arial"/>
          <w:b/>
        </w:rPr>
      </w:r>
      <w:r>
        <w:rPr>
          <w:rFonts w:ascii="Arial" w:hAnsi="Arial"/>
          <w:b/>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26.3.1.</w:t>
      </w:r>
      <w:r>
        <w:rPr>
          <w:rFonts w:ascii="Arial" w:hAnsi="Arial"/>
        </w:rPr>
        <w:t xml:space="preserve"> A negociação será cabível quando o preço requerido pela DETENTORA estiver acima do preço de mercado apurado pela Administração. </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26.3.1.1.</w:t>
      </w:r>
      <w:r>
        <w:rPr>
          <w:rFonts w:ascii="Arial" w:hAnsi="Arial"/>
        </w:rPr>
        <w:t xml:space="preserve"> Caso frustrada a negociação, caberá ao ÓRGÃO GERENCIADOR liberar a DETENTORA do compromisso assumido, se confirmada</w:t>
      </w:r>
      <w:r>
        <w:rPr>
          <w:rFonts w:ascii="Arial" w:hAnsi="Arial"/>
        </w:rPr>
        <w:t xml:space="preserve"> a pertinência da motivação apresentada e convocar os demais fornecedores constantes no cadastro reserva, se houver;</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26.3.2.</w:t>
      </w:r>
      <w:r>
        <w:rPr>
          <w:rFonts w:ascii="Arial" w:hAnsi="Arial"/>
        </w:rPr>
        <w:t xml:space="preserve"> Caso a motivação apresentada pelo DETENTORA não seja acolhida pelo ÓRGÃO GERENCIADOR, o descumprimento da obrigação de fornecer en</w:t>
      </w:r>
      <w:r>
        <w:rPr>
          <w:rFonts w:ascii="Arial" w:hAnsi="Arial"/>
        </w:rPr>
        <w:t xml:space="preserve">sejará a aplicação das sanções cabíveis;</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26.3.3.</w:t>
      </w:r>
      <w:r>
        <w:rPr>
          <w:rFonts w:ascii="Arial" w:hAnsi="Arial"/>
        </w:rPr>
        <w:t xml:space="preserve"> Poderá a Administração convocar os licitantes do cadastro reserva, se houver, observada a ordem de registro e de classificação, para assumirem o compromisso pelo preço de mercado; </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26.3.4.</w:t>
      </w:r>
      <w:r>
        <w:rPr>
          <w:rFonts w:ascii="Arial" w:hAnsi="Arial"/>
        </w:rPr>
        <w:t xml:space="preserve"> Havendo êxito na</w:t>
      </w:r>
      <w:r>
        <w:rPr>
          <w:rFonts w:ascii="Arial" w:hAnsi="Arial"/>
        </w:rPr>
        <w:t xml:space="preserve"> negociação, o novo valor registrado, que constará no termo aditivo da ata, terá efeito a partir da publicação do termo aditivo à ata de registro de preços.</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26.3.5.</w:t>
      </w:r>
      <w:r>
        <w:rPr>
          <w:rFonts w:ascii="Arial" w:hAnsi="Arial"/>
        </w:rPr>
        <w:t xml:space="preserve"> O reequilíbrio dos preços da ata de registro de preços implicará a revisão dos preços dos </w:t>
      </w:r>
      <w:r>
        <w:rPr>
          <w:rFonts w:ascii="Arial" w:hAnsi="Arial"/>
        </w:rPr>
        <w:t xml:space="preserve">contratos vigentes.</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outlineLvl w:val="0"/>
        <w:rPr>
          <w:rFonts w:ascii="Arial" w:hAnsi="Arial"/>
          <w:b/>
          <w:bCs/>
          <w:color w:val="000000"/>
        </w:rPr>
      </w:pPr>
      <w:r/>
      <w:bookmarkStart w:id="83" w:name="_Toc27"/>
      <w:r>
        <w:rPr>
          <w:rFonts w:ascii="Arial" w:hAnsi="Arial" w:eastAsia="Arial"/>
          <w:b/>
          <w:bCs/>
          <w:color w:val="000000"/>
        </w:rPr>
        <w:t xml:space="preserve">27.</w:t>
      </w:r>
      <w:r>
        <w:rPr>
          <w:rFonts w:ascii="Arial" w:hAnsi="Arial"/>
          <w:b/>
          <w:color w:val="000000"/>
        </w:rPr>
        <w:t xml:space="preserve"> </w:t>
      </w:r>
      <w:r>
        <w:rPr>
          <w:rFonts w:ascii="Arial" w:hAnsi="Arial"/>
          <w:b/>
        </w:rPr>
        <w:t xml:space="preserve">DO PRAZO PARA LIQUIDAÇÃO (ART. 92, IV, da Lei 14.133/2021)</w:t>
      </w:r>
      <w:r>
        <w:rPr>
          <w:rFonts w:ascii="Arial" w:hAnsi="Arial" w:eastAsia="Arial"/>
          <w:b/>
          <w:bCs/>
          <w:color w:val="000000"/>
        </w:rPr>
        <w:t xml:space="preserve">:</w:t>
      </w:r>
      <w:r>
        <w:rPr>
          <w:rFonts w:ascii="Arial" w:hAnsi="Arial"/>
          <w:b/>
          <w:bCs/>
          <w:color w:val="000000"/>
        </w:rPr>
      </w:r>
      <w:bookmarkEnd w:id="83"/>
      <w:r>
        <w:rPr>
          <w:rFonts w:ascii="Arial" w:hAnsi="Arial"/>
          <w:b/>
          <w:bCs/>
          <w:color w:val="000000"/>
        </w:rPr>
      </w:r>
      <w:r>
        <w:rPr>
          <w:rFonts w:ascii="Arial" w:hAnsi="Arial"/>
          <w:b/>
          <w:bCs/>
          <w:color w:val="000000"/>
        </w:rPr>
      </w:r>
    </w:p>
    <w:p>
      <w:pPr>
        <w:pBdr/>
        <w:spacing/>
        <w:ind/>
        <w:jc w:val="both"/>
        <w:rPr>
          <w:rFonts w:ascii="Arial" w:hAnsi="Arial"/>
          <w:b/>
          <w:bCs/>
        </w:rPr>
      </w:pPr>
      <w:r>
        <w:rPr>
          <w:rFonts w:ascii="Arial" w:hAnsi="Arial"/>
          <w:b/>
          <w:bCs/>
        </w:rPr>
      </w:r>
      <w:r>
        <w:rPr>
          <w:rFonts w:ascii="Arial" w:hAnsi="Arial"/>
          <w:b/>
          <w:bCs/>
        </w:rPr>
      </w:r>
      <w:r>
        <w:rPr>
          <w:rFonts w:ascii="Arial" w:hAnsi="Arial"/>
          <w:b/>
          <w:bCs/>
        </w:rPr>
      </w:r>
    </w:p>
    <w:p>
      <w:pPr>
        <w:pBdr/>
        <w:spacing/>
        <w:ind/>
        <w:jc w:val="both"/>
        <w:rPr>
          <w:rFonts w:ascii="Arial" w:hAnsi="Arial"/>
        </w:rPr>
      </w:pPr>
      <w:r>
        <w:rPr>
          <w:rFonts w:ascii="Arial" w:hAnsi="Arial"/>
          <w:b/>
        </w:rPr>
        <w:t xml:space="preserve">27.1. </w:t>
      </w:r>
      <w:r>
        <w:rPr>
          <w:rFonts w:ascii="Arial" w:hAnsi="Arial"/>
        </w:rPr>
        <w:t xml:space="preserve">O prazo para liquidação será de 30 (trinta) dias úteis.</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outlineLvl w:val="0"/>
        <w:rPr>
          <w:rFonts w:ascii="Arial" w:hAnsi="Arial"/>
          <w:b/>
          <w:bCs/>
          <w:color w:val="000000"/>
        </w:rPr>
      </w:pPr>
      <w:r/>
      <w:bookmarkStart w:id="84" w:name="_Toc28"/>
      <w:r>
        <w:rPr>
          <w:rFonts w:ascii="Arial" w:hAnsi="Arial" w:eastAsia="Arial"/>
          <w:b/>
          <w:bCs/>
          <w:color w:val="000000"/>
        </w:rPr>
        <w:t xml:space="preserve">28.</w:t>
      </w:r>
      <w:r>
        <w:rPr>
          <w:rFonts w:ascii="Arial" w:hAnsi="Arial"/>
          <w:b/>
          <w:color w:val="000000"/>
        </w:rPr>
        <w:t xml:space="preserve"> DAS INFRAÇÕES ADMINISTRATIVAS E SANÇÕES REFERENTE AO CONTRATO</w:t>
      </w:r>
      <w:r>
        <w:rPr>
          <w:rFonts w:ascii="Arial" w:hAnsi="Arial" w:eastAsia="Arial"/>
          <w:b/>
          <w:bCs/>
          <w:color w:val="000000"/>
        </w:rPr>
        <w:t xml:space="preserve">:</w:t>
      </w:r>
      <w:r>
        <w:rPr>
          <w:rFonts w:ascii="Arial" w:hAnsi="Arial"/>
          <w:b/>
          <w:bCs/>
          <w:color w:val="000000"/>
        </w:rPr>
      </w:r>
      <w:bookmarkEnd w:id="84"/>
      <w:r>
        <w:rPr>
          <w:rFonts w:ascii="Arial" w:hAnsi="Arial"/>
          <w:b/>
          <w:bCs/>
          <w:color w:val="000000"/>
        </w:rPr>
      </w:r>
      <w:r>
        <w:rPr>
          <w:rFonts w:ascii="Arial" w:hAnsi="Arial"/>
          <w:b/>
          <w:bCs/>
          <w:color w:val="000000"/>
        </w:rPr>
      </w:r>
    </w:p>
    <w:p>
      <w:pPr>
        <w:pBdr/>
        <w:spacing/>
        <w:ind/>
        <w:jc w:val="both"/>
        <w:rPr>
          <w:rFonts w:ascii="Arial" w:hAnsi="Arial"/>
          <w:b/>
          <w:bCs/>
        </w:rPr>
      </w:pPr>
      <w:r>
        <w:rPr>
          <w:rFonts w:ascii="Arial" w:hAnsi="Arial"/>
          <w:b/>
          <w:bCs/>
        </w:rPr>
      </w:r>
      <w:r>
        <w:rPr>
          <w:rFonts w:ascii="Arial" w:hAnsi="Arial"/>
          <w:b/>
          <w:bCs/>
        </w:rPr>
      </w:r>
      <w:r>
        <w:rPr>
          <w:rFonts w:ascii="Arial" w:hAnsi="Arial"/>
          <w:b/>
          <w:bCs/>
        </w:rPr>
      </w:r>
    </w:p>
    <w:p>
      <w:pPr>
        <w:pBdr/>
        <w:spacing/>
        <w:ind/>
        <w:jc w:val="both"/>
        <w:rPr>
          <w:rFonts w:ascii="Arial" w:hAnsi="Arial"/>
        </w:rPr>
      </w:pPr>
      <w:r>
        <w:rPr>
          <w:rFonts w:ascii="Arial" w:hAnsi="Arial"/>
          <w:b/>
        </w:rPr>
        <w:t xml:space="preserve">28.1.</w:t>
      </w:r>
      <w:r>
        <w:rPr>
          <w:rFonts w:ascii="Arial" w:hAnsi="Arial"/>
        </w:rPr>
        <w:t xml:space="preserve"> A aplicação de penalidade é de competência do Secretário gestor do contrato, portanto, pela administração do órgão recebedor dos produtos devendo constar do documento a forma detalhada dos motivos da infração;</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28.2.</w:t>
      </w:r>
      <w:r>
        <w:rPr>
          <w:rFonts w:ascii="Arial" w:hAnsi="Arial"/>
        </w:rPr>
        <w:t xml:space="preserve"> Comete infração administrativa, nos te</w:t>
      </w:r>
      <w:r>
        <w:rPr>
          <w:rFonts w:ascii="Arial" w:hAnsi="Arial"/>
        </w:rPr>
        <w:t xml:space="preserve">rmos da Lei nº 14.133/2021 (Art. 155) e do Decreto Municipal nº 11.685/2023 o contratado que:</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28.2.1.</w:t>
      </w:r>
      <w:r>
        <w:rPr>
          <w:rFonts w:ascii="Arial" w:hAnsi="Arial"/>
        </w:rPr>
        <w:t xml:space="preserve"> Dar causa à inexecução parcial do contrato que cause grave dano à Administração, ao funcionamento dos serviços públicos ou ao interesse coletivo.</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28.2.2</w:t>
      </w:r>
      <w:r>
        <w:rPr>
          <w:rFonts w:ascii="Arial" w:hAnsi="Arial"/>
          <w:b/>
        </w:rPr>
        <w:t xml:space="preserve">.</w:t>
      </w:r>
      <w:r>
        <w:rPr>
          <w:rFonts w:ascii="Arial" w:hAnsi="Arial"/>
        </w:rPr>
        <w:t xml:space="preserve"> Dar causa à inexecução total do contrato. </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28.2.3.</w:t>
      </w:r>
      <w:r>
        <w:rPr>
          <w:rFonts w:ascii="Arial" w:hAnsi="Arial"/>
        </w:rPr>
        <w:t xml:space="preserve"> Não celebrar o contrato ou não entregar a documentação exigida para a contratação, quando convocado dentro do prazo de validade de sua proposta.</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28.2.4.</w:t>
      </w:r>
      <w:r>
        <w:rPr>
          <w:rFonts w:ascii="Arial" w:hAnsi="Arial"/>
        </w:rPr>
        <w:t xml:space="preserve"> Ensejar o retardamento da execução ou da entrega do objeto da licitação sem motivo justificado.</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28.2.5.</w:t>
      </w:r>
      <w:r>
        <w:rPr>
          <w:rFonts w:ascii="Arial" w:hAnsi="Arial"/>
        </w:rPr>
        <w:t xml:space="preserve"> Apresentar declaração ou documentação falsa exigida para o certame ou prestar declaração falsa durante a licitação ou a execução do contrato.</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28.2.6.</w:t>
      </w:r>
      <w:r>
        <w:rPr>
          <w:rFonts w:ascii="Arial" w:hAnsi="Arial"/>
          <w:b/>
        </w:rPr>
        <w:t xml:space="preserve"> </w:t>
      </w:r>
      <w:r>
        <w:rPr>
          <w:rFonts w:ascii="Arial" w:hAnsi="Arial"/>
        </w:rPr>
        <w:t xml:space="preserve">Fraudar a licitação ou praticar ato fraudulento na execução do contrato.</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28.2.7.</w:t>
      </w:r>
      <w:r>
        <w:rPr>
          <w:rFonts w:ascii="Arial" w:hAnsi="Arial"/>
        </w:rPr>
        <w:t xml:space="preserve"> Comportar-se de modo inidôneo ou cometer fraude de qualquer natureza.</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28.2.8.</w:t>
      </w:r>
      <w:r>
        <w:rPr>
          <w:rFonts w:ascii="Arial" w:hAnsi="Arial"/>
        </w:rPr>
        <w:t xml:space="preserve"> Praticar atos ilícitos com vistas a frustrar os objetivos da licitação.</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28.2.9.</w:t>
      </w:r>
      <w:r>
        <w:rPr>
          <w:rFonts w:ascii="Arial" w:hAnsi="Arial"/>
        </w:rPr>
        <w:t xml:space="preserve"> Praticar ato </w:t>
      </w:r>
      <w:r>
        <w:rPr>
          <w:rFonts w:ascii="Arial" w:hAnsi="Arial"/>
        </w:rPr>
        <w:t xml:space="preserve">lesivo previsto no art. 5º, da Lei nº 12.846/2013.</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28.3.</w:t>
      </w:r>
      <w:r>
        <w:rPr>
          <w:rFonts w:ascii="Arial" w:hAnsi="Arial"/>
        </w:rPr>
        <w:t xml:space="preserve"> Serão aplicadas ao contratado que incorrer nas infrações acima descritas as seguintes sanções:</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28.3.1.</w:t>
      </w:r>
      <w:r>
        <w:rPr>
          <w:rFonts w:ascii="Arial" w:hAnsi="Arial"/>
        </w:rPr>
        <w:t xml:space="preserve"> Advertência, quando o contratado der causa à inexecução parcial do contrato que não implique e</w:t>
      </w:r>
      <w:r>
        <w:rPr>
          <w:rFonts w:ascii="Arial" w:hAnsi="Arial"/>
        </w:rPr>
        <w:t xml:space="preserve">m prejuízo ou dano à administração, bem como na hipótese de descumprimento de pequena relevância praticado pelo contratado e que não justifique imposição de penalidade mais grave;</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28.3.2.</w:t>
      </w:r>
      <w:r>
        <w:rPr>
          <w:rFonts w:ascii="Arial" w:hAnsi="Arial"/>
        </w:rPr>
        <w:t xml:space="preserve"> Multa:</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28.3.2.1.</w:t>
      </w:r>
      <w:r>
        <w:rPr>
          <w:rFonts w:ascii="Arial" w:hAnsi="Arial"/>
        </w:rPr>
        <w:t xml:space="preserve"> Moratória: em razão do atraso injustificado: na p</w:t>
      </w:r>
      <w:r>
        <w:rPr>
          <w:rFonts w:ascii="Arial" w:hAnsi="Arial"/>
        </w:rPr>
        <w:t xml:space="preserve">roporção de 5% (cinco por cento) do valor da parcela inadimplida por dia de atraso injustificado até o limite de 30 (trinta) dias corridos.</w:t>
      </w:r>
      <w:r>
        <w:rPr>
          <w:rFonts w:ascii="Arial" w:hAnsi="Arial"/>
        </w:rPr>
      </w:r>
      <w:r>
        <w:rPr>
          <w:rFonts w:ascii="Arial" w:hAnsi="Arial"/>
        </w:rPr>
      </w:r>
    </w:p>
    <w:p w14:paraId="13F33641">
      <w:pPr>
        <w:pBdr/>
        <w:spacing/>
        <w:ind/>
        <w:jc w:val="both"/>
        <w:rPr>
          <w:rFonts w:ascii="Arial" w:hAnsi="Arial"/>
        </w:rPr>
      </w:pPr>
      <w:r>
        <w:rPr>
          <w:rFonts w:ascii="Arial" w:hAnsi="Arial"/>
          <w:highlight w:val="none"/>
        </w:rPr>
      </w:r>
      <w:r>
        <w:rPr>
          <w:rFonts w:ascii="Arial" w:hAnsi="Arial"/>
        </w:rPr>
      </w:r>
      <w:r>
        <w:rPr>
          <w:rFonts w:ascii="Arial" w:hAnsi="Arial"/>
        </w:rPr>
      </w:r>
    </w:p>
    <w:p>
      <w:pPr>
        <w:pBdr/>
        <w:spacing/>
        <w:ind/>
        <w:jc w:val="both"/>
        <w:rPr>
          <w:rFonts w:ascii="Arial" w:hAnsi="Arial"/>
          <w:highlight w:val="none"/>
        </w:rPr>
      </w:pPr>
      <w:r>
        <w:rPr>
          <w:rFonts w:ascii="Arial" w:hAnsi="Arial"/>
          <w:b/>
        </w:rPr>
        <w:t xml:space="preserve">28.3.2.1.1</w:t>
      </w:r>
      <w:r>
        <w:rPr>
          <w:rFonts w:ascii="Arial" w:hAnsi="Arial"/>
        </w:rPr>
        <w:t xml:space="preserve">. O atraso superior a 30 (trinta) dias autoriza a Administração a promover a extinção do contrato por des</w:t>
      </w:r>
      <w:r>
        <w:rPr>
          <w:rFonts w:ascii="Arial" w:hAnsi="Arial"/>
        </w:rPr>
        <w:t xml:space="preserve">cumprimento ou cumprimento irregular de suas cláusulas, conforme dispõe o inciso I do art. 137 da Lei n. 14.133, de 2021.</w:t>
      </w:r>
      <w:r>
        <w:rPr>
          <w:rFonts w:ascii="Arial" w:hAnsi="Arial"/>
          <w:highlight w:val="none"/>
        </w:rPr>
      </w:r>
      <w:r>
        <w:rPr>
          <w:rFonts w:ascii="Arial" w:hAnsi="Arial"/>
          <w:highlight w:val="none"/>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28.3.2.2.</w:t>
      </w:r>
      <w:r>
        <w:rPr>
          <w:rFonts w:ascii="Arial" w:hAnsi="Arial"/>
        </w:rPr>
        <w:t xml:space="preserve"> Compensatória: será aplicada multa de 0,5% até 30% sobre o valor do contrato, devendo a autoridade competente observar, na</w:t>
      </w:r>
      <w:r>
        <w:rPr>
          <w:rFonts w:ascii="Arial" w:hAnsi="Arial"/>
        </w:rPr>
        <w:t xml:space="preserve"> dosimetria da pena, as seguintes recomendações:</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28.3.2.2.1. </w:t>
      </w:r>
      <w:r>
        <w:rPr>
          <w:rFonts w:ascii="Arial" w:hAnsi="Arial"/>
        </w:rPr>
        <w:t xml:space="preserve">Em casos</w:t>
      </w:r>
      <w:r>
        <w:rPr>
          <w:rFonts w:ascii="Arial" w:hAnsi="Arial"/>
        </w:rPr>
        <w:t xml:space="preserve"> de inexecução parcial do contrato, que cause grave dano à Administração, ao funcionamento dos serviços públicos ou ao interesse coletivo (item 28.2.1), bem como quantos aos itens: 28.2.3 e 28.2.4, a multa será de 0,5% a 15% do valor do contrato licitado. </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28.3.2.2.2.</w:t>
      </w:r>
      <w:r>
        <w:rPr>
          <w:rFonts w:ascii="Arial" w:hAnsi="Arial"/>
        </w:rPr>
        <w:t xml:space="preserve"> Em casos de ine</w:t>
      </w:r>
      <w:r>
        <w:rPr>
          <w:rFonts w:ascii="Arial" w:hAnsi="Arial"/>
        </w:rPr>
        <w:t xml:space="preserve">xecução total do contrato (item 28.1.2), bem como quanto aos itens: 28.2.5; 28.2.6; 28.2.7; 28.2.8 e 28.2.9) nas hipóteses de atos fraudulentos com o objetivo de obter vantagens indevidas, a multa será fixada entre 15% a 30% do valor do contrato licitado. </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28.3.2.2.3.</w:t>
      </w:r>
      <w:r>
        <w:rPr>
          <w:rFonts w:ascii="Arial" w:hAnsi="Arial"/>
        </w:rPr>
        <w:t xml:space="preserve"> No caso de inexecução total, a multa será aplicada independentemente da existência ou não do prejuízo ao contratante, implicando ainda na possibilidade de rescisão do contrato.</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28.3.2.3.</w:t>
      </w:r>
      <w:r>
        <w:rPr>
          <w:rFonts w:ascii="Arial" w:hAnsi="Arial"/>
        </w:rPr>
        <w:t xml:space="preserve"> Antes da aplicação da multa será facultada a defesa do</w:t>
      </w:r>
      <w:r>
        <w:rPr>
          <w:rFonts w:ascii="Arial" w:hAnsi="Arial"/>
        </w:rPr>
        <w:t xml:space="preserve"> interessado no prazo de 15 (quinze) dias úteis, contado da data de sua intimação.</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28.3.2.4.</w:t>
      </w:r>
      <w:r>
        <w:rPr>
          <w:rFonts w:ascii="Arial" w:hAnsi="Arial"/>
        </w:rPr>
        <w:t xml:space="preserve"> Se a multa aplicada e as indenizações cabíveis forem superiores ao valor do pagamento eventualmente devido pelo contratante ao contratado, além da perda desse val</w:t>
      </w:r>
      <w:r>
        <w:rPr>
          <w:rFonts w:ascii="Arial" w:hAnsi="Arial"/>
        </w:rPr>
        <w:t xml:space="preserve">or, a diferença será descontada da garantia prestada ou será cobrada judicialmente.</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28.3.2.5.</w:t>
      </w:r>
      <w:r>
        <w:rPr>
          <w:rFonts w:ascii="Arial" w:hAnsi="Arial"/>
        </w:rPr>
        <w:t xml:space="preserve"> Caso o contratado não tenha nenhum valor a receber do contratante, ou os valores do pagamento e da garantia contratual forem insuficientes, o contratante concede</w:t>
      </w:r>
      <w:r>
        <w:rPr>
          <w:rFonts w:ascii="Arial" w:hAnsi="Arial"/>
        </w:rPr>
        <w:t xml:space="preserve">rá o prazo de 05 (cinco) dias úteis, contados do recebimento de sua intimação, para que a multa seja paga.</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28.3.2.6.</w:t>
      </w:r>
      <w:r>
        <w:rPr>
          <w:rFonts w:ascii="Arial" w:hAnsi="Arial"/>
        </w:rPr>
        <w:t xml:space="preserve"> Esgotados os meios administrativos para a cobrança dos valores devidos, o contratante providenciará o encaminhamento do processo à Procura</w:t>
      </w:r>
      <w:r>
        <w:rPr>
          <w:rFonts w:ascii="Arial" w:hAnsi="Arial"/>
        </w:rPr>
        <w:t xml:space="preserve">doria-Geral do Município para que seja realizada a cobrança judicial.</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28.3.2.7.</w:t>
      </w:r>
      <w:r>
        <w:rPr>
          <w:rFonts w:ascii="Arial" w:hAnsi="Arial"/>
        </w:rPr>
        <w:t xml:space="preserve"> Caso o contratante tenha de recorrer ou comparecer a juízo para haver o que lhe for devido, o contratado ficará sujeita ao pagamento, além do principal do débito, da pena conv</w:t>
      </w:r>
      <w:r>
        <w:rPr>
          <w:rFonts w:ascii="Arial" w:hAnsi="Arial"/>
        </w:rPr>
        <w:t xml:space="preserve">encional de 10% (dez por cento) </w:t>
      </w:r>
      <w:r>
        <w:rPr>
          <w:rFonts w:ascii="Arial" w:hAnsi="Arial"/>
        </w:rPr>
        <w:t xml:space="preserve">sobre o valor do litígio, dos juros de mora de 1% (um por cento) ao mês, despesas de processo e honorários de advogado, estes fixados, desde logo, em 20% (vinte por cento) sobre o valor em litígio.</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28.3.2.8.</w:t>
      </w:r>
      <w:r>
        <w:rPr>
          <w:rFonts w:ascii="Arial" w:hAnsi="Arial"/>
        </w:rPr>
        <w:t xml:space="preserve"> A aplicação de </w:t>
      </w:r>
      <w:r>
        <w:rPr>
          <w:rFonts w:ascii="Arial" w:hAnsi="Arial"/>
        </w:rPr>
        <w:t xml:space="preserve">multa de mora não impedirá que a Administração a converta em compensatória e promova a extinção unilateral do contrato com a aplicação cumulada de outras sanções previstas na Lei 14.133/2021.</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28.3.3.</w:t>
      </w:r>
      <w:r>
        <w:rPr>
          <w:rFonts w:ascii="Arial" w:hAnsi="Arial"/>
        </w:rPr>
        <w:t xml:space="preserve"> Impedimento de licitar e contratar, caso não se justifi</w:t>
      </w:r>
      <w:r>
        <w:rPr>
          <w:rFonts w:ascii="Arial" w:hAnsi="Arial"/>
        </w:rPr>
        <w:t xml:space="preserve">que imposição de penalidade mais grave.</w:t>
      </w:r>
      <w:r>
        <w:rPr>
          <w:rFonts w:ascii="Arial" w:hAnsi="Arial"/>
        </w:rPr>
      </w:r>
      <w:r>
        <w:rPr>
          <w:rFonts w:ascii="Arial" w:hAnsi="Arial"/>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28.3.3.1.</w:t>
      </w:r>
      <w:r>
        <w:rPr>
          <w:rFonts w:ascii="Arial" w:hAnsi="Arial"/>
        </w:rPr>
        <w:t xml:space="preserve"> Essa penalidade poderá ser aplicada nas seguintes hipóteses:</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28.3.3.1.1.</w:t>
      </w:r>
      <w:r>
        <w:rPr>
          <w:rFonts w:ascii="Arial" w:hAnsi="Arial"/>
        </w:rPr>
        <w:t xml:space="preserve"> Der causa à inexecução parcial do contrato que cause grave dano à Administração, ao funcionamento dos serviços públicos ou ao inter</w:t>
      </w:r>
      <w:r>
        <w:rPr>
          <w:rFonts w:ascii="Arial" w:hAnsi="Arial"/>
        </w:rPr>
        <w:t xml:space="preserve">esse coletivo;</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28.3.3.1.2</w:t>
      </w:r>
      <w:r>
        <w:rPr>
          <w:rFonts w:ascii="Arial" w:hAnsi="Arial"/>
        </w:rPr>
        <w:t xml:space="preserve">. Der causa à inexecução total do contrato;</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28.3.3.1.3</w:t>
      </w:r>
      <w:r>
        <w:rPr>
          <w:rFonts w:ascii="Arial" w:hAnsi="Arial"/>
        </w:rPr>
        <w:t xml:space="preserve">. Deixar de entregar a documentação exigida para o certame;</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28.3.3.1.4</w:t>
      </w:r>
      <w:r>
        <w:rPr>
          <w:rFonts w:ascii="Arial" w:hAnsi="Arial"/>
        </w:rPr>
        <w:t xml:space="preserve">. Não manter a proposta, salvo em decorrência de fato superveniente devidamente justificado;</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28.3.3.1.5.</w:t>
      </w:r>
      <w:r>
        <w:rPr>
          <w:rFonts w:ascii="Arial" w:hAnsi="Arial"/>
        </w:rPr>
        <w:t xml:space="preserve"> Não celebrar o contrato ou não entregar a documentação exigida para a contratação, quando convocado dentro do prazo de validade de sua proposta;</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28.3.3.1.6.</w:t>
      </w:r>
      <w:r>
        <w:rPr>
          <w:rFonts w:ascii="Arial" w:hAnsi="Arial"/>
        </w:rPr>
        <w:t xml:space="preserve"> Ensejar o retardamento da execução ou da entrega do objeto da licitação sem motivo jus</w:t>
      </w:r>
      <w:r>
        <w:rPr>
          <w:rFonts w:ascii="Arial" w:hAnsi="Arial"/>
        </w:rPr>
        <w:t xml:space="preserve">tificado.</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28.3.4.</w:t>
      </w:r>
      <w:r>
        <w:rPr>
          <w:rFonts w:ascii="Arial" w:hAnsi="Arial"/>
        </w:rPr>
        <w:t xml:space="preserve"> As condutas aqui enumeradas também podem justificar a aplicação da declaração de inidoneidade quando as circunstâncias do caso concreto justificarem a imposição de penalidade mais grave.</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28.3.4.1.</w:t>
      </w:r>
      <w:r>
        <w:rPr>
          <w:rFonts w:ascii="Arial" w:hAnsi="Arial"/>
        </w:rPr>
        <w:t xml:space="preserve"> Declaração de inidoneidade para licitar</w:t>
      </w:r>
      <w:r>
        <w:rPr>
          <w:rFonts w:ascii="Arial" w:hAnsi="Arial"/>
        </w:rPr>
        <w:t xml:space="preserve"> e contratar.</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28.3.4.2.</w:t>
      </w:r>
      <w:r>
        <w:rPr>
          <w:rFonts w:ascii="Arial" w:hAnsi="Arial"/>
        </w:rPr>
        <w:t xml:space="preserve"> A declaração de inidoneidade para licitar e contratar pode ser aplicada por qualquer ente da federação impedirá o responsável de licitar e contratar com a Administração Pública direta e indireta do município de Rondonópolis-MT pelo</w:t>
      </w:r>
      <w:r>
        <w:rPr>
          <w:rFonts w:ascii="Arial" w:hAnsi="Arial"/>
        </w:rPr>
        <w:t xml:space="preserve"> prazo mínimo de 3 (três) anos e máximo de 6 (seis) anos.</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28.3.4.2.1</w:t>
      </w:r>
      <w:r>
        <w:rPr>
          <w:rFonts w:ascii="Arial" w:hAnsi="Arial"/>
        </w:rPr>
        <w:t xml:space="preserve">. Essa penalidade poderá ser aplicada nas seguintes hipóteses:</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28.3.4.2.2.</w:t>
      </w:r>
      <w:r>
        <w:rPr>
          <w:rFonts w:ascii="Arial" w:hAnsi="Arial"/>
        </w:rPr>
        <w:t xml:space="preserve"> Apresentar declaração ou documentação falsa exigida para o certame ou prestar declaração falsa durante a licita</w:t>
      </w:r>
      <w:r>
        <w:rPr>
          <w:rFonts w:ascii="Arial" w:hAnsi="Arial"/>
        </w:rPr>
        <w:t xml:space="preserve">ção ou a execução do contrato;</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28.3.4.2.3.</w:t>
      </w:r>
      <w:r>
        <w:rPr>
          <w:rFonts w:ascii="Arial" w:hAnsi="Arial"/>
        </w:rPr>
        <w:t xml:space="preserve"> Fraudar a licitação ou praticar ato fraudulento na execução do contrato;</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28.3.4.2.4.</w:t>
      </w:r>
      <w:r>
        <w:rPr>
          <w:rFonts w:ascii="Arial" w:hAnsi="Arial"/>
        </w:rPr>
        <w:t xml:space="preserve"> Comportar-se de modo inidôneo ou cometer fraude de qualquer natureza;</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28.3.4.2.5.</w:t>
      </w:r>
      <w:r>
        <w:rPr>
          <w:rFonts w:ascii="Arial" w:hAnsi="Arial"/>
        </w:rPr>
        <w:t xml:space="preserve"> Praticar atos ilícitos com vistas a frustra</w:t>
      </w:r>
      <w:r>
        <w:rPr>
          <w:rFonts w:ascii="Arial" w:hAnsi="Arial"/>
        </w:rPr>
        <w:t xml:space="preserve">r os objetivos da licitação;</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28.3.4.2.6.</w:t>
      </w:r>
      <w:r>
        <w:rPr>
          <w:rFonts w:ascii="Arial" w:hAnsi="Arial"/>
        </w:rPr>
        <w:t xml:space="preserve"> Praticar ato lesivo previsto no art. 5º da Lei nº 12.846/2013.</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28.4.</w:t>
      </w:r>
      <w:r>
        <w:rPr>
          <w:rFonts w:ascii="Arial" w:hAnsi="Arial"/>
        </w:rPr>
        <w:t xml:space="preserve"> Todas as sanções previstas neste Contrato poderão ser aplicadas cumulativamente com a multa (art. 156, §7º, da Lei nº 14.133, de 2021).</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28.5.</w:t>
      </w:r>
      <w:r>
        <w:rPr>
          <w:rFonts w:ascii="Arial" w:hAnsi="Arial"/>
        </w:rPr>
        <w:t xml:space="preserve"> A aplicação das sanções previstas neste Contrato não exclui, em hipótese alguma, a obrigação de reparação integral do dano causado ao contratante (art. 156, §9º, da Lei nº 14.133, de 2021).</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28.6.</w:t>
      </w:r>
      <w:r>
        <w:rPr>
          <w:rFonts w:ascii="Arial" w:hAnsi="Arial"/>
        </w:rPr>
        <w:t xml:space="preserve"> A aplicação de qualquer das penalidades previstas realizar</w:t>
      </w:r>
      <w:r>
        <w:rPr>
          <w:rFonts w:ascii="Arial" w:hAnsi="Arial"/>
        </w:rPr>
        <w:t xml:space="preserve">-se-á em processo administrativo que assegurará o contraditório e a ampla defesa, observando-se o procedimento previsto na Lei nº 14.133/2021 e no Decreto Municipal nº 11.685/2023.</w:t>
      </w:r>
      <w:r>
        <w:rPr>
          <w:rFonts w:ascii="Arial" w:hAnsi="Arial"/>
        </w:rPr>
      </w:r>
      <w:r>
        <w:rPr>
          <w:rFonts w:ascii="Arial" w:hAnsi="Arial"/>
        </w:rPr>
      </w:r>
    </w:p>
    <w:p>
      <w:pPr>
        <w:pBdr/>
        <w:spacing/>
        <w:ind w:left="284"/>
        <w:jc w:val="both"/>
        <w:rPr>
          <w:rFonts w:ascii="Arial" w:hAnsi="Arial"/>
        </w:rPr>
      </w:pPr>
      <w:r>
        <w:rPr>
          <w:rFonts w:ascii="Arial" w:hAnsi="Arial" w:eastAsia="Arial"/>
        </w:rPr>
        <w:t xml:space="preserve"> </w:t>
      </w:r>
      <w:r>
        <w:rPr>
          <w:rFonts w:ascii="Arial" w:hAnsi="Arial"/>
        </w:rPr>
      </w:r>
      <w:r>
        <w:rPr>
          <w:rFonts w:ascii="Arial" w:hAnsi="Arial"/>
        </w:rPr>
      </w:r>
    </w:p>
    <w:p>
      <w:pPr>
        <w:pBdr/>
        <w:spacing/>
        <w:ind/>
        <w:jc w:val="both"/>
        <w:rPr>
          <w:rFonts w:ascii="Arial" w:hAnsi="Arial"/>
        </w:rPr>
      </w:pPr>
      <w:r>
        <w:rPr>
          <w:rFonts w:ascii="Arial" w:hAnsi="Arial"/>
          <w:b/>
        </w:rPr>
        <w:t xml:space="preserve">28.7.</w:t>
      </w:r>
      <w:r>
        <w:rPr>
          <w:rFonts w:ascii="Arial" w:hAnsi="Arial"/>
        </w:rPr>
        <w:t xml:space="preserve"> A autoridade competente, na aplicação das sanções, levará em consideração:</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28.7.1.</w:t>
      </w:r>
      <w:r>
        <w:rPr>
          <w:rFonts w:ascii="Arial" w:hAnsi="Arial"/>
        </w:rPr>
        <w:t xml:space="preserve"> A natureza e a gravidade da infração cometida; </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28.7.2.</w:t>
      </w:r>
      <w:r>
        <w:rPr>
          <w:rFonts w:ascii="Arial" w:hAnsi="Arial"/>
        </w:rPr>
        <w:t xml:space="preserve"> As peculiaridades do caso concreto;</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28.7.3.</w:t>
      </w:r>
      <w:r>
        <w:rPr>
          <w:rFonts w:ascii="Arial" w:hAnsi="Arial"/>
        </w:rPr>
        <w:t xml:space="preserve"> As circunstâncias agravantes ou atenuantes;</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28.7.4.</w:t>
      </w:r>
      <w:r>
        <w:rPr>
          <w:rFonts w:ascii="Arial" w:hAnsi="Arial"/>
        </w:rPr>
        <w:t xml:space="preserve"> Os danos que del</w:t>
      </w:r>
      <w:r>
        <w:rPr>
          <w:rFonts w:ascii="Arial" w:hAnsi="Arial"/>
        </w:rPr>
        <w:t xml:space="preserve">a provierem para o contratante;</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28.7.5.</w:t>
      </w:r>
      <w:r>
        <w:rPr>
          <w:rFonts w:ascii="Arial" w:hAnsi="Arial"/>
        </w:rPr>
        <w:t xml:space="preserve"> A implantação ou o aperfeiçoamento de programa de integridade, conforme normas e orientações dos órgãos de controle.</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28.8.</w:t>
      </w:r>
      <w:r>
        <w:rPr>
          <w:rFonts w:ascii="Arial" w:hAnsi="Arial"/>
        </w:rPr>
        <w:t xml:space="preserve"> Os atos previstos como infrações administrativas na Lei nº 14.133, de 2021, ou em outras le</w:t>
      </w:r>
      <w:r>
        <w:rPr>
          <w:rFonts w:ascii="Arial" w:hAnsi="Arial"/>
        </w:rPr>
        <w:t xml:space="preserve">is de licitações e contratos da Administração Pública que também sejam tipificados como atos lesivos na Lei nº 12.846, de 2013, serão apurados e julgados conjuntamente, nos mesmos autos, observados o rito procedimental e autoridade competente definidos na </w:t>
      </w:r>
      <w:r>
        <w:rPr>
          <w:rFonts w:ascii="Arial" w:hAnsi="Arial"/>
        </w:rPr>
        <w:t xml:space="preserve">referida Lei e nos demais regulamentos complementares.</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28.9.</w:t>
      </w:r>
      <w:r>
        <w:rPr>
          <w:rFonts w:ascii="Arial" w:hAnsi="Arial"/>
        </w:rPr>
        <w:t xml:space="preserve"> A personalidade jurídica do Contratado poderá ser desconsiderada sempre que utilizada com abuso do direito para facilitar, encobrir ou dissimular a prática dos atos ilícitos previstos neste Cont</w:t>
      </w:r>
      <w:r>
        <w:rPr>
          <w:rFonts w:ascii="Arial" w:hAnsi="Arial"/>
        </w:rPr>
        <w:t xml:space="preserve">rato ou para provocar confusão patrimonial, e, nesse caso, todos os efeitos das sanções aplicadas à pessoa jurídica serão estendidos aos seus administradores e sócios com poderes de administração, à pessoa jurídica sucessora ou à empresa do mesmo ramo com </w:t>
      </w:r>
      <w:r>
        <w:rPr>
          <w:rFonts w:ascii="Arial" w:hAnsi="Arial"/>
        </w:rPr>
        <w:t xml:space="preserve">relação de coligação ou controle, de fato ou de direito, com o Contratado, observados, em todos os casos, o contraditório, a ampla defesa e a obrigatoriedade de análise jurídica prévia.</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28.10.</w:t>
      </w:r>
      <w:r>
        <w:rPr>
          <w:rFonts w:ascii="Arial" w:hAnsi="Arial"/>
        </w:rPr>
        <w:t xml:space="preserve"> As sanções de impedimento de licitar e contratar e declaração </w:t>
      </w:r>
      <w:r>
        <w:rPr>
          <w:rFonts w:ascii="Arial" w:hAnsi="Arial"/>
        </w:rPr>
        <w:t xml:space="preserve">de inidoneidade para licitar ou contratar são passíveis de reabilitação na forma do art. 163 da Lei nº 14.133/2021.</w:t>
      </w:r>
      <w:r>
        <w:rPr>
          <w:rFonts w:ascii="Arial" w:hAnsi="Arial"/>
        </w:rPr>
      </w:r>
      <w:r>
        <w:rPr>
          <w:rFonts w:ascii="Arial" w:hAnsi="Arial"/>
        </w:rPr>
      </w:r>
    </w:p>
    <w:p>
      <w:pPr>
        <w:pBdr/>
        <w:spacing/>
        <w:ind w:left="284"/>
        <w:jc w:val="both"/>
        <w:rPr>
          <w:rFonts w:ascii="Arial" w:hAnsi="Arial"/>
          <w:b/>
        </w:rPr>
      </w:pPr>
      <w:r>
        <w:rPr>
          <w:rFonts w:ascii="Arial" w:hAnsi="Arial"/>
          <w:b/>
        </w:rPr>
      </w:r>
      <w:r>
        <w:rPr>
          <w:rFonts w:ascii="Arial" w:hAnsi="Arial"/>
          <w:b/>
        </w:rPr>
      </w:r>
      <w:r>
        <w:rPr>
          <w:rFonts w:ascii="Arial" w:hAnsi="Arial"/>
          <w:b/>
        </w:rPr>
      </w:r>
    </w:p>
    <w:p>
      <w:pPr>
        <w:pBdr/>
        <w:spacing/>
        <w:ind/>
        <w:jc w:val="both"/>
        <w:outlineLvl w:val="0"/>
        <w:rPr>
          <w:rFonts w:ascii="Arial" w:hAnsi="Arial"/>
          <w:b/>
          <w:bCs/>
          <w:color w:val="000000"/>
        </w:rPr>
      </w:pPr>
      <w:r/>
      <w:bookmarkStart w:id="85" w:name="_Toc29"/>
      <w:r>
        <w:rPr>
          <w:rFonts w:ascii="Arial" w:hAnsi="Arial" w:eastAsia="Arial"/>
          <w:b/>
          <w:bCs/>
          <w:color w:val="000000"/>
        </w:rPr>
        <w:t xml:space="preserve">29.</w:t>
      </w:r>
      <w:r>
        <w:rPr>
          <w:rFonts w:ascii="Arial" w:hAnsi="Arial"/>
          <w:b/>
          <w:color w:val="000000"/>
        </w:rPr>
        <w:t xml:space="preserve"> </w:t>
      </w:r>
      <w:r>
        <w:rPr>
          <w:rFonts w:ascii="Arial" w:hAnsi="Arial"/>
          <w:b/>
          <w:bCs/>
          <w:color w:val="000000"/>
        </w:rPr>
        <w:t xml:space="preserve">DAS OBRIGAÇÕES DA CONTRATADA</w:t>
      </w:r>
      <w:r>
        <w:rPr>
          <w:rFonts w:ascii="Arial" w:hAnsi="Arial" w:eastAsia="Arial"/>
          <w:b/>
          <w:bCs/>
          <w:color w:val="000000"/>
        </w:rPr>
        <w:t xml:space="preserve">:</w:t>
      </w:r>
      <w:r>
        <w:rPr>
          <w:rFonts w:ascii="Arial" w:hAnsi="Arial"/>
          <w:b/>
          <w:bCs/>
          <w:color w:val="000000"/>
        </w:rPr>
      </w:r>
      <w:bookmarkEnd w:id="85"/>
      <w:r>
        <w:rPr>
          <w:rFonts w:ascii="Arial" w:hAnsi="Arial"/>
          <w:b/>
          <w:bCs/>
          <w:color w:val="000000"/>
        </w:rPr>
      </w:r>
      <w:r>
        <w:rPr>
          <w:rFonts w:ascii="Arial" w:hAnsi="Arial"/>
          <w:b/>
          <w:bCs/>
          <w:color w:val="000000"/>
        </w:rPr>
      </w:r>
    </w:p>
    <w:p>
      <w:pPr>
        <w:pStyle w:val="2038"/>
        <w:pBdr/>
        <w:spacing/>
        <w:ind/>
        <w:jc w:val="both"/>
        <w:rPr>
          <w:rFonts w:ascii="Arial" w:hAnsi="Arial"/>
          <w:color w:val="000000"/>
          <w:sz w:val="20"/>
          <w:szCs w:val="20"/>
        </w:rPr>
      </w:pPr>
      <w:r>
        <w:rPr>
          <w:rFonts w:ascii="Arial" w:hAnsi="Arial"/>
          <w:color w:val="000000"/>
          <w:sz w:val="20"/>
          <w:szCs w:val="20"/>
        </w:rPr>
      </w:r>
      <w:r>
        <w:rPr>
          <w:rFonts w:ascii="Arial" w:hAnsi="Arial"/>
          <w:color w:val="000000"/>
          <w:sz w:val="20"/>
          <w:szCs w:val="20"/>
        </w:rPr>
      </w:r>
      <w:r>
        <w:rPr>
          <w:rFonts w:ascii="Arial" w:hAnsi="Arial"/>
          <w:color w:val="000000"/>
          <w:sz w:val="20"/>
          <w:szCs w:val="20"/>
        </w:rPr>
      </w:r>
    </w:p>
    <w:p>
      <w:pPr>
        <w:pStyle w:val="2038"/>
        <w:pBdr/>
        <w:spacing/>
        <w:ind/>
        <w:jc w:val="both"/>
        <w:rPr>
          <w:rFonts w:ascii="Arial" w:hAnsi="Arial"/>
          <w:color w:val="000000"/>
          <w:sz w:val="20"/>
          <w:szCs w:val="20"/>
        </w:rPr>
      </w:pPr>
      <w:r>
        <w:rPr>
          <w:rFonts w:ascii="Arial" w:hAnsi="Arial"/>
          <w:b/>
          <w:bCs/>
          <w:color w:val="000000"/>
          <w:sz w:val="20"/>
          <w:szCs w:val="20"/>
        </w:rPr>
        <w:t xml:space="preserve">29.1.</w:t>
      </w:r>
      <w:r>
        <w:rPr>
          <w:rFonts w:ascii="Arial" w:hAnsi="Arial"/>
          <w:bCs/>
          <w:color w:val="000000"/>
          <w:sz w:val="20"/>
          <w:szCs w:val="20"/>
        </w:rPr>
        <w:t xml:space="preserve"> </w:t>
      </w:r>
      <w:r>
        <w:rPr>
          <w:rFonts w:ascii="Arial" w:hAnsi="Arial"/>
          <w:color w:val="000000"/>
          <w:sz w:val="20"/>
          <w:szCs w:val="20"/>
        </w:rPr>
        <w:t xml:space="preserve">Fornecer os produtos </w:t>
      </w:r>
      <w:r>
        <w:rPr>
          <w:rFonts w:ascii="Arial" w:hAnsi="Arial"/>
          <w:bCs/>
          <w:color w:val="000000"/>
          <w:sz w:val="20"/>
          <w:szCs w:val="20"/>
        </w:rPr>
        <w:t xml:space="preserve">para o atendimento do</w:t>
      </w:r>
      <w:r>
        <w:rPr>
          <w:rFonts w:ascii="Arial" w:hAnsi="Arial"/>
          <w:color w:val="000000"/>
          <w:sz w:val="20"/>
          <w:szCs w:val="20"/>
        </w:rPr>
        <w:t xml:space="preserve"> objeto licitado, estritamente, com as mesmas características das especificações exigidas nesse </w:t>
      </w:r>
      <w:r>
        <w:rPr>
          <w:rFonts w:ascii="Arial" w:hAnsi="Arial"/>
          <w:sz w:val="20"/>
          <w:szCs w:val="20"/>
        </w:rPr>
        <w:t xml:space="preserve">Edital, seus anexos</w:t>
      </w:r>
      <w:r>
        <w:rPr>
          <w:rFonts w:ascii="Arial" w:hAnsi="Arial"/>
          <w:color w:val="000000"/>
          <w:sz w:val="20"/>
          <w:szCs w:val="20"/>
        </w:rPr>
        <w:t xml:space="preserve"> e legislação correlata;</w:t>
      </w:r>
      <w:r>
        <w:rPr>
          <w:rFonts w:ascii="Arial" w:hAnsi="Arial"/>
          <w:color w:val="000000"/>
          <w:sz w:val="20"/>
          <w:szCs w:val="20"/>
        </w:rPr>
      </w:r>
      <w:r>
        <w:rPr>
          <w:rFonts w:ascii="Arial" w:hAnsi="Arial"/>
          <w:color w:val="000000"/>
          <w:sz w:val="20"/>
          <w:szCs w:val="20"/>
        </w:rPr>
      </w:r>
    </w:p>
    <w:p>
      <w:pPr>
        <w:pStyle w:val="2038"/>
        <w:pBdr/>
        <w:spacing/>
        <w:ind w:left="284"/>
        <w:jc w:val="both"/>
        <w:rPr>
          <w:rFonts w:ascii="Arial" w:hAnsi="Arial"/>
          <w:bCs/>
          <w:color w:val="000000"/>
          <w:sz w:val="20"/>
          <w:szCs w:val="20"/>
        </w:rPr>
      </w:pPr>
      <w:r>
        <w:rPr>
          <w:rFonts w:ascii="Arial" w:hAnsi="Arial"/>
          <w:bCs/>
          <w:color w:val="000000"/>
          <w:sz w:val="20"/>
          <w:szCs w:val="20"/>
        </w:rPr>
      </w:r>
      <w:r>
        <w:rPr>
          <w:rFonts w:ascii="Arial" w:hAnsi="Arial"/>
          <w:bCs/>
          <w:color w:val="000000"/>
          <w:sz w:val="20"/>
          <w:szCs w:val="20"/>
        </w:rPr>
      </w:r>
      <w:r>
        <w:rPr>
          <w:rFonts w:ascii="Arial" w:hAnsi="Arial"/>
          <w:bCs/>
          <w:color w:val="000000"/>
          <w:sz w:val="20"/>
          <w:szCs w:val="20"/>
        </w:rPr>
      </w:r>
    </w:p>
    <w:p>
      <w:pPr>
        <w:pStyle w:val="2038"/>
        <w:pBdr/>
        <w:spacing/>
        <w:ind/>
        <w:jc w:val="both"/>
        <w:rPr>
          <w:rFonts w:ascii="Arial" w:hAnsi="Arial"/>
          <w:color w:val="000000"/>
          <w:sz w:val="20"/>
          <w:szCs w:val="20"/>
        </w:rPr>
      </w:pPr>
      <w:r>
        <w:rPr>
          <w:rFonts w:ascii="Arial" w:hAnsi="Arial"/>
          <w:b/>
          <w:bCs/>
          <w:color w:val="000000"/>
          <w:sz w:val="20"/>
          <w:szCs w:val="20"/>
        </w:rPr>
        <w:t xml:space="preserve">29.2. </w:t>
      </w:r>
      <w:r>
        <w:rPr>
          <w:rFonts w:ascii="Arial" w:hAnsi="Arial"/>
          <w:color w:val="000000"/>
          <w:sz w:val="20"/>
          <w:szCs w:val="20"/>
        </w:rPr>
        <w:t xml:space="preserve">O transporte </w:t>
      </w:r>
      <w:r>
        <w:rPr>
          <w:rFonts w:ascii="Arial" w:hAnsi="Arial"/>
          <w:bCs/>
          <w:color w:val="000000"/>
          <w:sz w:val="20"/>
          <w:szCs w:val="20"/>
        </w:rPr>
        <w:t xml:space="preserve">dos produtos para o atendimento do</w:t>
      </w:r>
      <w:r>
        <w:rPr>
          <w:rFonts w:ascii="Arial" w:hAnsi="Arial"/>
          <w:color w:val="000000"/>
          <w:sz w:val="20"/>
          <w:szCs w:val="20"/>
        </w:rPr>
        <w:t xml:space="preserve"> objeto licitado, deverá ser efetuado em veículos adequados qu</w:t>
      </w:r>
      <w:r>
        <w:rPr>
          <w:rFonts w:ascii="Arial" w:hAnsi="Arial"/>
          <w:color w:val="000000"/>
          <w:sz w:val="20"/>
          <w:szCs w:val="20"/>
        </w:rPr>
        <w:t xml:space="preserve">e atendam a todas as exigências da legislação e demais normas vigentes;</w:t>
      </w:r>
      <w:r>
        <w:rPr>
          <w:rFonts w:ascii="Arial" w:hAnsi="Arial"/>
          <w:color w:val="000000"/>
          <w:sz w:val="20"/>
          <w:szCs w:val="20"/>
        </w:rPr>
      </w:r>
      <w:r>
        <w:rPr>
          <w:rFonts w:ascii="Arial" w:hAnsi="Arial"/>
          <w:color w:val="000000"/>
          <w:sz w:val="20"/>
          <w:szCs w:val="20"/>
        </w:rPr>
      </w:r>
    </w:p>
    <w:p>
      <w:pPr>
        <w:pStyle w:val="2038"/>
        <w:pBdr/>
        <w:spacing/>
        <w:ind w:left="284"/>
        <w:jc w:val="both"/>
        <w:rPr>
          <w:rFonts w:ascii="Arial" w:hAnsi="Arial"/>
          <w:b/>
          <w:bCs/>
          <w:color w:val="000000"/>
          <w:sz w:val="20"/>
          <w:szCs w:val="20"/>
        </w:rPr>
      </w:pPr>
      <w:r>
        <w:rPr>
          <w:rFonts w:ascii="Arial" w:hAnsi="Arial"/>
          <w:b/>
          <w:bCs/>
          <w:color w:val="000000"/>
          <w:sz w:val="20"/>
          <w:szCs w:val="20"/>
        </w:rPr>
      </w:r>
      <w:r>
        <w:rPr>
          <w:rFonts w:ascii="Arial" w:hAnsi="Arial"/>
          <w:b/>
          <w:bCs/>
          <w:color w:val="000000"/>
          <w:sz w:val="20"/>
          <w:szCs w:val="20"/>
        </w:rPr>
      </w:r>
      <w:r>
        <w:rPr>
          <w:rFonts w:ascii="Arial" w:hAnsi="Arial"/>
          <w:b/>
          <w:bCs/>
          <w:color w:val="000000"/>
          <w:sz w:val="20"/>
          <w:szCs w:val="20"/>
        </w:rPr>
      </w:r>
    </w:p>
    <w:p>
      <w:pPr>
        <w:pStyle w:val="2038"/>
        <w:pBdr/>
        <w:spacing/>
        <w:ind/>
        <w:jc w:val="both"/>
        <w:rPr>
          <w:rFonts w:ascii="Arial" w:hAnsi="Arial"/>
          <w:color w:val="000000"/>
          <w:sz w:val="20"/>
          <w:szCs w:val="20"/>
        </w:rPr>
      </w:pPr>
      <w:r>
        <w:rPr>
          <w:rFonts w:ascii="Arial" w:hAnsi="Arial"/>
          <w:b/>
          <w:bCs/>
          <w:color w:val="000000"/>
          <w:sz w:val="20"/>
          <w:szCs w:val="20"/>
        </w:rPr>
        <w:t xml:space="preserve">29.3.</w:t>
      </w:r>
      <w:r>
        <w:rPr>
          <w:rFonts w:ascii="Arial" w:hAnsi="Arial"/>
          <w:color w:val="000000"/>
          <w:sz w:val="20"/>
          <w:szCs w:val="20"/>
        </w:rPr>
        <w:t xml:space="preserve"> São de responsabilidades do fornecedor todos os encargos sociais e despesas com a entrega dos itens à Secretarias solicitantes;</w:t>
      </w:r>
      <w:r>
        <w:rPr>
          <w:rFonts w:ascii="Arial" w:hAnsi="Arial"/>
          <w:color w:val="000000"/>
          <w:sz w:val="20"/>
          <w:szCs w:val="20"/>
        </w:rPr>
      </w:r>
      <w:r>
        <w:rPr>
          <w:rFonts w:ascii="Arial" w:hAnsi="Arial"/>
          <w:color w:val="000000"/>
          <w:sz w:val="20"/>
          <w:szCs w:val="20"/>
        </w:rPr>
      </w:r>
    </w:p>
    <w:p>
      <w:pPr>
        <w:pStyle w:val="2038"/>
        <w:pBdr/>
        <w:spacing/>
        <w:ind w:left="284"/>
        <w:jc w:val="both"/>
        <w:rPr>
          <w:rFonts w:ascii="Arial" w:hAnsi="Arial"/>
          <w:b/>
          <w:bCs/>
          <w:color w:val="000000"/>
          <w:sz w:val="20"/>
          <w:szCs w:val="20"/>
        </w:rPr>
      </w:pPr>
      <w:r>
        <w:rPr>
          <w:rFonts w:ascii="Arial" w:hAnsi="Arial"/>
          <w:b/>
          <w:bCs/>
          <w:color w:val="000000"/>
          <w:sz w:val="20"/>
          <w:szCs w:val="20"/>
        </w:rPr>
      </w:r>
      <w:r>
        <w:rPr>
          <w:rFonts w:ascii="Arial" w:hAnsi="Arial"/>
          <w:b/>
          <w:bCs/>
          <w:color w:val="000000"/>
          <w:sz w:val="20"/>
          <w:szCs w:val="20"/>
        </w:rPr>
      </w:r>
      <w:r>
        <w:rPr>
          <w:rFonts w:ascii="Arial" w:hAnsi="Arial"/>
          <w:b/>
          <w:bCs/>
          <w:color w:val="000000"/>
          <w:sz w:val="20"/>
          <w:szCs w:val="20"/>
        </w:rPr>
      </w:r>
    </w:p>
    <w:p>
      <w:pPr>
        <w:pStyle w:val="2038"/>
        <w:pBdr/>
        <w:spacing/>
        <w:ind/>
        <w:jc w:val="both"/>
        <w:rPr>
          <w:rFonts w:ascii="Arial" w:hAnsi="Arial"/>
          <w:color w:val="000000"/>
          <w:sz w:val="20"/>
          <w:szCs w:val="20"/>
        </w:rPr>
      </w:pPr>
      <w:r>
        <w:rPr>
          <w:rFonts w:ascii="Arial" w:hAnsi="Arial"/>
          <w:b/>
          <w:bCs/>
          <w:color w:val="000000"/>
          <w:sz w:val="20"/>
          <w:szCs w:val="20"/>
        </w:rPr>
        <w:t xml:space="preserve">29.4.</w:t>
      </w:r>
      <w:r>
        <w:rPr>
          <w:rFonts w:ascii="Arial" w:hAnsi="Arial"/>
          <w:color w:val="000000"/>
          <w:sz w:val="20"/>
          <w:szCs w:val="20"/>
        </w:rPr>
        <w:t xml:space="preserve"> O fornecedor será responsável pelo fornecimento </w:t>
      </w:r>
      <w:r>
        <w:rPr>
          <w:rFonts w:ascii="Arial" w:hAnsi="Arial"/>
          <w:sz w:val="20"/>
          <w:szCs w:val="20"/>
        </w:rPr>
        <w:t xml:space="preserve">dos produtos </w:t>
      </w:r>
      <w:r>
        <w:rPr>
          <w:rFonts w:ascii="Arial" w:hAnsi="Arial"/>
          <w:color w:val="000000"/>
          <w:sz w:val="20"/>
          <w:szCs w:val="20"/>
        </w:rPr>
        <w:t xml:space="preserve">dentro dos padrões adequados de qualidade e segurança e demais quesitos previstos na Lei n.º 8.078/90, assegurando a Contratante todos os direitos inerentes a qualidade de Consumidor decorrente </w:t>
      </w:r>
      <w:r>
        <w:rPr>
          <w:rFonts w:ascii="Arial" w:hAnsi="Arial"/>
          <w:color w:val="000000"/>
          <w:sz w:val="20"/>
          <w:szCs w:val="20"/>
        </w:rPr>
        <w:t xml:space="preserve">do Código de Defesa do Consumidor.</w:t>
      </w:r>
      <w:r>
        <w:rPr>
          <w:rFonts w:ascii="Arial" w:hAnsi="Arial"/>
          <w:color w:val="000000"/>
          <w:sz w:val="20"/>
          <w:szCs w:val="20"/>
        </w:rPr>
      </w:r>
      <w:r>
        <w:rPr>
          <w:rFonts w:ascii="Arial" w:hAnsi="Arial"/>
          <w:color w:val="000000"/>
          <w:sz w:val="20"/>
          <w:szCs w:val="20"/>
        </w:rPr>
      </w:r>
    </w:p>
    <w:p>
      <w:pPr>
        <w:pStyle w:val="2038"/>
        <w:pBdr/>
        <w:spacing/>
        <w:ind w:left="284"/>
        <w:jc w:val="both"/>
        <w:rPr>
          <w:rFonts w:ascii="Arial" w:hAnsi="Arial"/>
          <w:b/>
          <w:bCs/>
          <w:color w:val="000000"/>
          <w:sz w:val="20"/>
          <w:szCs w:val="20"/>
        </w:rPr>
      </w:pPr>
      <w:r>
        <w:rPr>
          <w:rFonts w:ascii="Arial" w:hAnsi="Arial"/>
          <w:b/>
          <w:bCs/>
          <w:color w:val="000000"/>
          <w:sz w:val="20"/>
          <w:szCs w:val="20"/>
        </w:rPr>
      </w:r>
      <w:r>
        <w:rPr>
          <w:rFonts w:ascii="Arial" w:hAnsi="Arial"/>
          <w:b/>
          <w:bCs/>
          <w:color w:val="000000"/>
          <w:sz w:val="20"/>
          <w:szCs w:val="20"/>
        </w:rPr>
      </w:r>
      <w:r>
        <w:rPr>
          <w:rFonts w:ascii="Arial" w:hAnsi="Arial"/>
          <w:b/>
          <w:bCs/>
          <w:color w:val="000000"/>
          <w:sz w:val="20"/>
          <w:szCs w:val="20"/>
        </w:rPr>
      </w:r>
    </w:p>
    <w:p>
      <w:pPr>
        <w:pStyle w:val="2038"/>
        <w:pBdr/>
        <w:spacing/>
        <w:ind/>
        <w:jc w:val="both"/>
        <w:rPr>
          <w:rFonts w:ascii="Arial" w:hAnsi="Arial"/>
          <w:color w:val="000000"/>
          <w:sz w:val="20"/>
          <w:szCs w:val="20"/>
        </w:rPr>
      </w:pPr>
      <w:r>
        <w:rPr>
          <w:rFonts w:ascii="Arial" w:hAnsi="Arial"/>
          <w:b/>
          <w:bCs/>
          <w:color w:val="000000"/>
          <w:sz w:val="20"/>
          <w:szCs w:val="20"/>
        </w:rPr>
        <w:t xml:space="preserve">29.5. </w:t>
      </w:r>
      <w:r>
        <w:rPr>
          <w:rFonts w:ascii="Arial" w:hAnsi="Arial"/>
          <w:color w:val="000000"/>
          <w:sz w:val="20"/>
          <w:szCs w:val="20"/>
        </w:rPr>
        <w:t xml:space="preserve">Assumir, ainda, a responsabilidade por todas as providências e obrigações estabelecidas na legislação específica de acidentes de trabalho quando, em ocorrência da espécie, forem vítimas seus empregados no desempenh</w:t>
      </w:r>
      <w:r>
        <w:rPr>
          <w:rFonts w:ascii="Arial" w:hAnsi="Arial"/>
          <w:color w:val="000000"/>
          <w:sz w:val="20"/>
          <w:szCs w:val="20"/>
        </w:rPr>
        <w:t xml:space="preserve">o dos serviços de entrega ou em conexão com eles, ainda que ocorridos em dependências da Prefeitura de Rondonópolis-MT, Secretarias e outras Unidades Públicas Municipais;</w:t>
      </w:r>
      <w:r>
        <w:rPr>
          <w:rFonts w:ascii="Arial" w:hAnsi="Arial"/>
          <w:color w:val="000000"/>
          <w:sz w:val="20"/>
          <w:szCs w:val="20"/>
        </w:rPr>
      </w:r>
      <w:r>
        <w:rPr>
          <w:rFonts w:ascii="Arial" w:hAnsi="Arial"/>
          <w:color w:val="000000"/>
          <w:sz w:val="20"/>
          <w:szCs w:val="20"/>
        </w:rPr>
      </w:r>
    </w:p>
    <w:p>
      <w:pPr>
        <w:pStyle w:val="2038"/>
        <w:pBdr/>
        <w:spacing/>
        <w:ind w:left="284"/>
        <w:jc w:val="both"/>
        <w:rPr>
          <w:rFonts w:ascii="Arial" w:hAnsi="Arial"/>
          <w:b/>
          <w:bCs/>
          <w:color w:val="000000"/>
          <w:sz w:val="20"/>
          <w:szCs w:val="20"/>
        </w:rPr>
      </w:pPr>
      <w:r>
        <w:rPr>
          <w:rFonts w:ascii="Arial" w:hAnsi="Arial"/>
          <w:b/>
          <w:bCs/>
          <w:color w:val="000000"/>
          <w:sz w:val="20"/>
          <w:szCs w:val="20"/>
        </w:rPr>
      </w:r>
      <w:r>
        <w:rPr>
          <w:rFonts w:ascii="Arial" w:hAnsi="Arial"/>
          <w:b/>
          <w:bCs/>
          <w:color w:val="000000"/>
          <w:sz w:val="20"/>
          <w:szCs w:val="20"/>
        </w:rPr>
      </w:r>
      <w:r>
        <w:rPr>
          <w:rFonts w:ascii="Arial" w:hAnsi="Arial"/>
          <w:b/>
          <w:bCs/>
          <w:color w:val="000000"/>
          <w:sz w:val="20"/>
          <w:szCs w:val="20"/>
        </w:rPr>
      </w:r>
    </w:p>
    <w:p>
      <w:pPr>
        <w:pStyle w:val="2038"/>
        <w:pBdr/>
        <w:spacing/>
        <w:ind/>
        <w:jc w:val="both"/>
        <w:rPr>
          <w:rFonts w:ascii="Arial" w:hAnsi="Arial"/>
          <w:color w:val="000000"/>
          <w:sz w:val="20"/>
          <w:szCs w:val="20"/>
        </w:rPr>
      </w:pPr>
      <w:r>
        <w:rPr>
          <w:rFonts w:ascii="Arial" w:hAnsi="Arial"/>
          <w:b/>
          <w:bCs/>
          <w:color w:val="000000"/>
          <w:sz w:val="20"/>
          <w:szCs w:val="20"/>
        </w:rPr>
        <w:t xml:space="preserve">29.6. </w:t>
      </w:r>
      <w:r>
        <w:rPr>
          <w:rFonts w:ascii="Arial" w:hAnsi="Arial"/>
          <w:color w:val="000000"/>
          <w:sz w:val="20"/>
          <w:szCs w:val="20"/>
        </w:rPr>
        <w:t xml:space="preserve">Substituir, as suas expensas, nos prazos estabelecidos nos itens </w:t>
      </w:r>
      <w:r>
        <w:rPr>
          <w:rFonts w:ascii="Arial" w:hAnsi="Arial"/>
          <w:b/>
          <w:color w:val="000000"/>
          <w:sz w:val="20"/>
          <w:szCs w:val="20"/>
        </w:rPr>
        <w:t xml:space="preserve">20.1, 20.1.1,</w:t>
      </w:r>
      <w:r>
        <w:rPr>
          <w:rFonts w:ascii="Arial" w:hAnsi="Arial"/>
          <w:b/>
          <w:color w:val="000000"/>
          <w:sz w:val="20"/>
          <w:szCs w:val="20"/>
        </w:rPr>
        <w:t xml:space="preserve"> 20.2, 20.3, 20.4,</w:t>
      </w:r>
      <w:r>
        <w:rPr>
          <w:rFonts w:ascii="Arial" w:hAnsi="Arial"/>
          <w:color w:val="000000"/>
          <w:sz w:val="20"/>
          <w:szCs w:val="20"/>
        </w:rPr>
        <w:t xml:space="preserve"> após notificação formal, os itens entregues em desacordo com as especificações deste Edital ou que apresente vicio de qualidade, isentando o Município de quaisquer ônus financeiros adicionais;</w:t>
      </w:r>
      <w:r>
        <w:rPr>
          <w:rFonts w:ascii="Arial" w:hAnsi="Arial"/>
          <w:color w:val="000000"/>
          <w:sz w:val="20"/>
          <w:szCs w:val="20"/>
        </w:rPr>
      </w:r>
      <w:r>
        <w:rPr>
          <w:rFonts w:ascii="Arial" w:hAnsi="Arial"/>
          <w:color w:val="000000"/>
          <w:sz w:val="20"/>
          <w:szCs w:val="20"/>
        </w:rPr>
      </w:r>
    </w:p>
    <w:p>
      <w:pPr>
        <w:pStyle w:val="2038"/>
        <w:pBdr/>
        <w:spacing/>
        <w:ind w:left="284"/>
        <w:jc w:val="both"/>
        <w:rPr>
          <w:rFonts w:ascii="Arial" w:hAnsi="Arial"/>
          <w:b/>
          <w:bCs/>
          <w:sz w:val="20"/>
          <w:szCs w:val="20"/>
        </w:rPr>
      </w:pPr>
      <w:r>
        <w:rPr>
          <w:rFonts w:ascii="Arial" w:hAnsi="Arial"/>
          <w:b/>
          <w:bCs/>
          <w:sz w:val="20"/>
          <w:szCs w:val="20"/>
        </w:rPr>
      </w:r>
      <w:r>
        <w:rPr>
          <w:rFonts w:ascii="Arial" w:hAnsi="Arial"/>
          <w:b/>
          <w:bCs/>
          <w:sz w:val="20"/>
          <w:szCs w:val="20"/>
        </w:rPr>
      </w:r>
      <w:r>
        <w:rPr>
          <w:rFonts w:ascii="Arial" w:hAnsi="Arial"/>
          <w:b/>
          <w:bCs/>
          <w:sz w:val="20"/>
          <w:szCs w:val="20"/>
        </w:rPr>
      </w:r>
    </w:p>
    <w:p>
      <w:pPr>
        <w:pStyle w:val="2038"/>
        <w:pBdr/>
        <w:spacing/>
        <w:ind/>
        <w:jc w:val="both"/>
        <w:rPr>
          <w:rFonts w:ascii="Arial" w:hAnsi="Arial"/>
          <w:color w:val="000000"/>
          <w:sz w:val="20"/>
          <w:szCs w:val="20"/>
        </w:rPr>
      </w:pPr>
      <w:r>
        <w:rPr>
          <w:rFonts w:ascii="Arial" w:hAnsi="Arial"/>
          <w:b/>
          <w:bCs/>
          <w:color w:val="000000"/>
          <w:sz w:val="20"/>
          <w:szCs w:val="20"/>
        </w:rPr>
        <w:t xml:space="preserve">29.7. </w:t>
      </w:r>
      <w:r>
        <w:rPr>
          <w:rFonts w:ascii="Arial" w:hAnsi="Arial"/>
          <w:color w:val="000000"/>
          <w:sz w:val="20"/>
          <w:szCs w:val="20"/>
        </w:rPr>
        <w:t xml:space="preserve">Providenciar a imediata correção das </w:t>
      </w:r>
      <w:r>
        <w:rPr>
          <w:rFonts w:ascii="Arial" w:hAnsi="Arial"/>
          <w:color w:val="000000"/>
          <w:sz w:val="20"/>
          <w:szCs w:val="20"/>
        </w:rPr>
        <w:t xml:space="preserve">deficiências, falhas ou irregularidades constatadas pela Contratante referente à forma de fornecimento dos produtos </w:t>
      </w:r>
      <w:r>
        <w:rPr>
          <w:rFonts w:ascii="Arial" w:hAnsi="Arial"/>
          <w:bCs/>
          <w:color w:val="000000"/>
          <w:sz w:val="20"/>
          <w:szCs w:val="20"/>
        </w:rPr>
        <w:t xml:space="preserve">para o atendimento do</w:t>
      </w:r>
      <w:r>
        <w:rPr>
          <w:rFonts w:ascii="Arial" w:hAnsi="Arial"/>
          <w:color w:val="000000"/>
          <w:sz w:val="20"/>
          <w:szCs w:val="20"/>
        </w:rPr>
        <w:t xml:space="preserve"> objeto licitado e ao cumprimento das demais obrigações assumidas.</w:t>
      </w:r>
      <w:r>
        <w:rPr>
          <w:rFonts w:ascii="Arial" w:hAnsi="Arial"/>
          <w:color w:val="000000"/>
          <w:sz w:val="20"/>
          <w:szCs w:val="20"/>
        </w:rPr>
      </w:r>
      <w:r>
        <w:rPr>
          <w:rFonts w:ascii="Arial" w:hAnsi="Arial"/>
          <w:color w:val="000000"/>
          <w:sz w:val="20"/>
          <w:szCs w:val="20"/>
        </w:rPr>
      </w:r>
    </w:p>
    <w:p>
      <w:pPr>
        <w:pStyle w:val="2038"/>
        <w:pBdr/>
        <w:spacing/>
        <w:ind w:left="284"/>
        <w:jc w:val="both"/>
        <w:rPr>
          <w:rFonts w:ascii="Arial" w:hAnsi="Arial"/>
          <w:b/>
          <w:bCs/>
          <w:color w:val="000000"/>
          <w:sz w:val="20"/>
          <w:szCs w:val="20"/>
        </w:rPr>
      </w:pPr>
      <w:r>
        <w:rPr>
          <w:rFonts w:ascii="Arial" w:hAnsi="Arial"/>
          <w:b/>
          <w:bCs/>
          <w:color w:val="000000"/>
          <w:sz w:val="20"/>
          <w:szCs w:val="20"/>
        </w:rPr>
      </w:r>
      <w:r>
        <w:rPr>
          <w:rFonts w:ascii="Arial" w:hAnsi="Arial"/>
          <w:b/>
          <w:bCs/>
          <w:color w:val="000000"/>
          <w:sz w:val="20"/>
          <w:szCs w:val="20"/>
        </w:rPr>
      </w:r>
      <w:r>
        <w:rPr>
          <w:rFonts w:ascii="Arial" w:hAnsi="Arial"/>
          <w:b/>
          <w:bCs/>
          <w:color w:val="000000"/>
          <w:sz w:val="20"/>
          <w:szCs w:val="20"/>
        </w:rPr>
      </w:r>
    </w:p>
    <w:p>
      <w:pPr>
        <w:pStyle w:val="2038"/>
        <w:pBdr/>
        <w:spacing/>
        <w:ind/>
        <w:jc w:val="both"/>
        <w:rPr>
          <w:rFonts w:ascii="Arial" w:hAnsi="Arial"/>
          <w:color w:val="000000"/>
          <w:sz w:val="20"/>
          <w:szCs w:val="20"/>
        </w:rPr>
      </w:pPr>
      <w:r>
        <w:rPr>
          <w:rFonts w:ascii="Arial" w:hAnsi="Arial"/>
          <w:b/>
          <w:bCs/>
          <w:color w:val="000000"/>
          <w:sz w:val="20"/>
          <w:szCs w:val="20"/>
        </w:rPr>
        <w:t xml:space="preserve">29.8. </w:t>
      </w:r>
      <w:r>
        <w:rPr>
          <w:rFonts w:ascii="Arial" w:hAnsi="Arial"/>
          <w:color w:val="000000"/>
          <w:sz w:val="20"/>
          <w:szCs w:val="20"/>
        </w:rPr>
        <w:t xml:space="preserve">No ato da entrega dos produtos </w:t>
      </w:r>
      <w:r>
        <w:rPr>
          <w:rFonts w:ascii="Arial" w:hAnsi="Arial"/>
          <w:bCs/>
          <w:color w:val="000000"/>
          <w:sz w:val="20"/>
          <w:szCs w:val="20"/>
        </w:rPr>
        <w:t xml:space="preserve">para o atendim</w:t>
      </w:r>
      <w:r>
        <w:rPr>
          <w:rFonts w:ascii="Arial" w:hAnsi="Arial"/>
          <w:bCs/>
          <w:color w:val="000000"/>
          <w:sz w:val="20"/>
          <w:szCs w:val="20"/>
        </w:rPr>
        <w:t xml:space="preserve">ento do objeto</w:t>
      </w:r>
      <w:r>
        <w:rPr>
          <w:rFonts w:ascii="Arial" w:hAnsi="Arial"/>
          <w:color w:val="000000"/>
          <w:sz w:val="20"/>
          <w:szCs w:val="20"/>
        </w:rPr>
        <w:t xml:space="preserve">, a Contratada, de posse da Nota de Empenho ou documento equivalente, deverá apresentar a Nota Fiscal/Fatura correspondente ao fornecimento do produto ao setor competente, a qual será atestada por servidor designado pela Contratante;</w:t>
      </w:r>
      <w:r>
        <w:rPr>
          <w:rFonts w:ascii="Arial" w:hAnsi="Arial"/>
          <w:color w:val="000000"/>
          <w:sz w:val="20"/>
          <w:szCs w:val="20"/>
        </w:rPr>
      </w:r>
      <w:r>
        <w:rPr>
          <w:rFonts w:ascii="Arial" w:hAnsi="Arial"/>
          <w:color w:val="000000"/>
          <w:sz w:val="20"/>
          <w:szCs w:val="20"/>
        </w:rPr>
      </w:r>
    </w:p>
    <w:p>
      <w:pPr>
        <w:pStyle w:val="2038"/>
        <w:pBdr/>
        <w:spacing/>
        <w:ind w:left="284"/>
        <w:jc w:val="both"/>
        <w:rPr>
          <w:rFonts w:ascii="Arial" w:hAnsi="Arial"/>
          <w:b/>
          <w:bCs/>
          <w:color w:val="000000"/>
          <w:sz w:val="20"/>
          <w:szCs w:val="20"/>
        </w:rPr>
      </w:pPr>
      <w:r>
        <w:rPr>
          <w:rFonts w:ascii="Arial" w:hAnsi="Arial"/>
          <w:b/>
          <w:bCs/>
          <w:color w:val="000000"/>
          <w:sz w:val="20"/>
          <w:szCs w:val="20"/>
        </w:rPr>
      </w:r>
      <w:r>
        <w:rPr>
          <w:rFonts w:ascii="Arial" w:hAnsi="Arial"/>
          <w:b/>
          <w:bCs/>
          <w:color w:val="000000"/>
          <w:sz w:val="20"/>
          <w:szCs w:val="20"/>
        </w:rPr>
      </w:r>
      <w:r>
        <w:rPr>
          <w:rFonts w:ascii="Arial" w:hAnsi="Arial"/>
          <w:b/>
          <w:bCs/>
          <w:color w:val="000000"/>
          <w:sz w:val="20"/>
          <w:szCs w:val="20"/>
        </w:rPr>
      </w:r>
    </w:p>
    <w:p>
      <w:pPr>
        <w:pStyle w:val="2038"/>
        <w:pBdr/>
        <w:spacing/>
        <w:ind/>
        <w:jc w:val="both"/>
        <w:rPr>
          <w:rFonts w:ascii="Arial" w:hAnsi="Arial"/>
          <w:color w:val="000000"/>
          <w:sz w:val="20"/>
          <w:szCs w:val="20"/>
        </w:rPr>
      </w:pPr>
      <w:r>
        <w:rPr>
          <w:rFonts w:ascii="Arial" w:hAnsi="Arial"/>
          <w:b/>
          <w:bCs/>
          <w:color w:val="000000"/>
          <w:sz w:val="20"/>
          <w:szCs w:val="20"/>
        </w:rPr>
        <w:t xml:space="preserve">29.9. </w:t>
      </w:r>
      <w:r>
        <w:rPr>
          <w:rFonts w:ascii="Arial" w:hAnsi="Arial"/>
          <w:color w:val="000000"/>
          <w:sz w:val="20"/>
          <w:szCs w:val="20"/>
        </w:rPr>
        <w:t xml:space="preserve">Comunicar, por escrito e imediatamente, ao gestor do contrato, qualquer motivo que impossibilite o fornecimento do objeto licitado, nas condições pactuadas.</w:t>
      </w:r>
      <w:r>
        <w:rPr>
          <w:rFonts w:ascii="Arial" w:hAnsi="Arial"/>
          <w:color w:val="000000"/>
          <w:sz w:val="20"/>
          <w:szCs w:val="20"/>
        </w:rPr>
      </w:r>
      <w:r>
        <w:rPr>
          <w:rFonts w:ascii="Arial" w:hAnsi="Arial"/>
          <w:color w:val="000000"/>
          <w:sz w:val="20"/>
          <w:szCs w:val="20"/>
        </w:rPr>
      </w:r>
    </w:p>
    <w:p>
      <w:pPr>
        <w:pStyle w:val="2038"/>
        <w:pBdr/>
        <w:spacing/>
        <w:ind w:left="284"/>
        <w:jc w:val="both"/>
        <w:rPr>
          <w:rFonts w:ascii="Arial" w:hAnsi="Arial"/>
          <w:b/>
          <w:bCs/>
          <w:color w:val="000000"/>
          <w:sz w:val="20"/>
          <w:szCs w:val="20"/>
        </w:rPr>
      </w:pPr>
      <w:r>
        <w:rPr>
          <w:rFonts w:ascii="Arial" w:hAnsi="Arial"/>
          <w:b/>
          <w:bCs/>
          <w:color w:val="000000"/>
          <w:sz w:val="20"/>
          <w:szCs w:val="20"/>
        </w:rPr>
      </w:r>
      <w:r>
        <w:rPr>
          <w:rFonts w:ascii="Arial" w:hAnsi="Arial"/>
          <w:b/>
          <w:bCs/>
          <w:color w:val="000000"/>
          <w:sz w:val="20"/>
          <w:szCs w:val="20"/>
        </w:rPr>
      </w:r>
      <w:r>
        <w:rPr>
          <w:rFonts w:ascii="Arial" w:hAnsi="Arial"/>
          <w:b/>
          <w:bCs/>
          <w:color w:val="000000"/>
          <w:sz w:val="20"/>
          <w:szCs w:val="20"/>
        </w:rPr>
      </w:r>
    </w:p>
    <w:p>
      <w:pPr>
        <w:pStyle w:val="2038"/>
        <w:pBdr/>
        <w:spacing/>
        <w:ind/>
        <w:jc w:val="both"/>
        <w:rPr>
          <w:rFonts w:ascii="Arial" w:hAnsi="Arial"/>
          <w:color w:val="000000"/>
          <w:sz w:val="20"/>
          <w:szCs w:val="20"/>
        </w:rPr>
      </w:pPr>
      <w:r>
        <w:rPr>
          <w:rFonts w:ascii="Arial" w:hAnsi="Arial"/>
          <w:b/>
          <w:bCs/>
          <w:color w:val="000000"/>
          <w:sz w:val="20"/>
          <w:szCs w:val="20"/>
        </w:rPr>
        <w:t xml:space="preserve">29.10. </w:t>
      </w:r>
      <w:r>
        <w:rPr>
          <w:rFonts w:ascii="Arial" w:hAnsi="Arial"/>
          <w:color w:val="000000"/>
          <w:sz w:val="20"/>
          <w:szCs w:val="20"/>
        </w:rPr>
        <w:t xml:space="preserve">Os preços deverão ser cotados em moeda corrente nacional, expressos em algarismos e por ext</w:t>
      </w:r>
      <w:r>
        <w:rPr>
          <w:rFonts w:ascii="Arial" w:hAnsi="Arial"/>
          <w:color w:val="000000"/>
          <w:sz w:val="20"/>
          <w:szCs w:val="20"/>
        </w:rPr>
        <w:t xml:space="preserve">enso, sem previsão inflacionária. Em caso de divergência entre os valores unitários e totais, serão considerados os primeiros, e entre os valores expressos em algarismo e por extenso, será considerado este último, e estar inclusa, toda e quaisquer despesas</w:t>
      </w:r>
      <w:r>
        <w:rPr>
          <w:rFonts w:ascii="Arial" w:hAnsi="Arial"/>
          <w:color w:val="000000"/>
          <w:sz w:val="20"/>
          <w:szCs w:val="20"/>
        </w:rPr>
        <w:t xml:space="preserve">, tais como: fretes, encargos sociais e trabalhistas, seguros, tributos diretos e indiretos incidentes sobre o fornecimento do objeto.</w:t>
      </w:r>
      <w:r>
        <w:rPr>
          <w:rFonts w:ascii="Arial" w:hAnsi="Arial"/>
          <w:color w:val="000000"/>
          <w:sz w:val="20"/>
          <w:szCs w:val="20"/>
        </w:rPr>
      </w:r>
      <w:r>
        <w:rPr>
          <w:rFonts w:ascii="Arial" w:hAnsi="Arial"/>
          <w:color w:val="000000"/>
          <w:sz w:val="20"/>
          <w:szCs w:val="20"/>
        </w:rPr>
      </w:r>
    </w:p>
    <w:p>
      <w:pPr>
        <w:pStyle w:val="2038"/>
        <w:pBdr/>
        <w:spacing/>
        <w:ind w:left="284"/>
        <w:jc w:val="both"/>
        <w:rPr>
          <w:rFonts w:ascii="Arial" w:hAnsi="Arial"/>
          <w:b/>
          <w:bCs/>
          <w:color w:val="000000"/>
          <w:sz w:val="20"/>
          <w:szCs w:val="20"/>
        </w:rPr>
      </w:pPr>
      <w:r>
        <w:rPr>
          <w:rFonts w:ascii="Arial" w:hAnsi="Arial"/>
          <w:b/>
          <w:bCs/>
          <w:color w:val="000000"/>
          <w:sz w:val="20"/>
          <w:szCs w:val="20"/>
        </w:rPr>
      </w:r>
      <w:r>
        <w:rPr>
          <w:rFonts w:ascii="Arial" w:hAnsi="Arial"/>
          <w:b/>
          <w:bCs/>
          <w:color w:val="000000"/>
          <w:sz w:val="20"/>
          <w:szCs w:val="20"/>
        </w:rPr>
      </w:r>
      <w:r>
        <w:rPr>
          <w:rFonts w:ascii="Arial" w:hAnsi="Arial"/>
          <w:b/>
          <w:bCs/>
          <w:color w:val="000000"/>
          <w:sz w:val="20"/>
          <w:szCs w:val="20"/>
        </w:rPr>
      </w:r>
    </w:p>
    <w:p>
      <w:pPr>
        <w:pStyle w:val="2038"/>
        <w:pBdr/>
        <w:spacing/>
        <w:ind/>
        <w:jc w:val="both"/>
        <w:rPr>
          <w:rFonts w:ascii="Arial" w:hAnsi="Arial"/>
          <w:color w:val="000000"/>
          <w:sz w:val="20"/>
          <w:szCs w:val="20"/>
        </w:rPr>
      </w:pPr>
      <w:r>
        <w:rPr>
          <w:rFonts w:ascii="Arial" w:hAnsi="Arial"/>
          <w:b/>
          <w:bCs/>
          <w:color w:val="000000"/>
          <w:sz w:val="20"/>
          <w:szCs w:val="20"/>
        </w:rPr>
        <w:t xml:space="preserve">29.11. </w:t>
      </w:r>
      <w:r>
        <w:rPr>
          <w:rFonts w:ascii="Arial" w:hAnsi="Arial"/>
          <w:color w:val="000000"/>
          <w:sz w:val="20"/>
          <w:szCs w:val="20"/>
        </w:rPr>
        <w:t xml:space="preserve">O aceite/aprovação do (s) objeto licitado (s) pela s) Secretaria (s) solicitante s) não exclui a responsabilidade</w:t>
      </w:r>
      <w:r>
        <w:rPr>
          <w:rFonts w:ascii="Arial" w:hAnsi="Arial"/>
          <w:color w:val="000000"/>
          <w:sz w:val="20"/>
          <w:szCs w:val="20"/>
        </w:rPr>
        <w:t xml:space="preserve"> civil do fornecedor por vícios de quantidade ou qualidade do(s) produto(s) ou disparidades com as especificações estabelecidas no edital e seus anexos, verificadas, posteriormente, garantindo-se ao órgão licitante as faculdades previstas no art. 18 da Lei</w:t>
      </w:r>
      <w:r>
        <w:rPr>
          <w:rFonts w:ascii="Arial" w:hAnsi="Arial"/>
          <w:color w:val="000000"/>
          <w:sz w:val="20"/>
          <w:szCs w:val="20"/>
        </w:rPr>
        <w:t xml:space="preserve"> n.º 8.078/90;</w:t>
      </w:r>
      <w:r>
        <w:rPr>
          <w:rFonts w:ascii="Arial" w:hAnsi="Arial"/>
          <w:color w:val="000000"/>
          <w:sz w:val="20"/>
          <w:szCs w:val="20"/>
        </w:rPr>
      </w:r>
      <w:r>
        <w:rPr>
          <w:rFonts w:ascii="Arial" w:hAnsi="Arial"/>
          <w:color w:val="000000"/>
          <w:sz w:val="20"/>
          <w:szCs w:val="20"/>
        </w:rPr>
      </w:r>
    </w:p>
    <w:p>
      <w:pPr>
        <w:pStyle w:val="2038"/>
        <w:pBdr/>
        <w:spacing/>
        <w:ind w:left="284"/>
        <w:jc w:val="both"/>
        <w:rPr>
          <w:rFonts w:ascii="Arial" w:hAnsi="Arial"/>
          <w:b/>
          <w:bCs/>
          <w:color w:val="000000"/>
          <w:sz w:val="20"/>
          <w:szCs w:val="20"/>
        </w:rPr>
      </w:pPr>
      <w:r>
        <w:rPr>
          <w:rFonts w:ascii="Arial" w:hAnsi="Arial"/>
          <w:b/>
          <w:bCs/>
          <w:color w:val="000000"/>
          <w:sz w:val="20"/>
          <w:szCs w:val="20"/>
        </w:rPr>
      </w:r>
      <w:r>
        <w:rPr>
          <w:rFonts w:ascii="Arial" w:hAnsi="Arial"/>
          <w:b/>
          <w:bCs/>
          <w:color w:val="000000"/>
          <w:sz w:val="20"/>
          <w:szCs w:val="20"/>
        </w:rPr>
      </w:r>
      <w:r>
        <w:rPr>
          <w:rFonts w:ascii="Arial" w:hAnsi="Arial"/>
          <w:b/>
          <w:bCs/>
          <w:color w:val="000000"/>
          <w:sz w:val="20"/>
          <w:szCs w:val="20"/>
        </w:rPr>
      </w:r>
    </w:p>
    <w:p>
      <w:pPr>
        <w:pStyle w:val="2038"/>
        <w:pBdr/>
        <w:spacing/>
        <w:ind/>
        <w:jc w:val="both"/>
        <w:rPr>
          <w:rFonts w:ascii="Arial" w:hAnsi="Arial"/>
          <w:color w:val="000000"/>
          <w:sz w:val="20"/>
          <w:szCs w:val="20"/>
        </w:rPr>
      </w:pPr>
      <w:r>
        <w:rPr>
          <w:rFonts w:ascii="Arial" w:hAnsi="Arial"/>
          <w:b/>
          <w:bCs/>
          <w:color w:val="000000"/>
          <w:sz w:val="20"/>
          <w:szCs w:val="20"/>
        </w:rPr>
        <w:t xml:space="preserve">29.12.</w:t>
      </w:r>
      <w:r>
        <w:rPr>
          <w:rFonts w:ascii="Arial" w:hAnsi="Arial"/>
          <w:color w:val="000000"/>
          <w:sz w:val="20"/>
          <w:szCs w:val="20"/>
        </w:rPr>
        <w:t xml:space="preserve"> Transportar e entregar os produtos devidamente embalados e identificados conforme espécie e quantidade, no local indicado pela Secretaria solicitante, em dias e horários previamente estabelecidos, não se interrompendo ou suspendendo </w:t>
      </w:r>
      <w:r>
        <w:rPr>
          <w:rFonts w:ascii="Arial" w:hAnsi="Arial"/>
          <w:color w:val="000000"/>
          <w:sz w:val="20"/>
          <w:szCs w:val="20"/>
        </w:rPr>
        <w:t xml:space="preserve">sem que haja anuência da contratante, os produtos deverão ser entregues dentro das condições e preços ajustados em sua proposta e nos prazos previstos neste Edital.</w:t>
      </w:r>
      <w:r>
        <w:rPr>
          <w:rFonts w:ascii="Arial" w:hAnsi="Arial"/>
          <w:color w:val="000000"/>
          <w:sz w:val="20"/>
          <w:szCs w:val="20"/>
        </w:rPr>
      </w:r>
      <w:r>
        <w:rPr>
          <w:rFonts w:ascii="Arial" w:hAnsi="Arial"/>
          <w:color w:val="000000"/>
          <w:sz w:val="20"/>
          <w:szCs w:val="20"/>
        </w:rPr>
      </w:r>
    </w:p>
    <w:p>
      <w:pPr>
        <w:pStyle w:val="2038"/>
        <w:pBdr/>
        <w:spacing/>
        <w:ind w:left="284"/>
        <w:jc w:val="both"/>
        <w:rPr>
          <w:rFonts w:ascii="Arial" w:hAnsi="Arial"/>
          <w:color w:val="000000"/>
          <w:sz w:val="20"/>
          <w:szCs w:val="20"/>
        </w:rPr>
      </w:pPr>
      <w:r>
        <w:rPr>
          <w:rFonts w:ascii="Arial" w:hAnsi="Arial"/>
          <w:color w:val="000000"/>
          <w:sz w:val="20"/>
          <w:szCs w:val="20"/>
        </w:rPr>
      </w:r>
      <w:r>
        <w:rPr>
          <w:rFonts w:ascii="Arial" w:hAnsi="Arial"/>
          <w:color w:val="000000"/>
          <w:sz w:val="20"/>
          <w:szCs w:val="20"/>
        </w:rPr>
      </w:r>
      <w:r>
        <w:rPr>
          <w:rFonts w:ascii="Arial" w:hAnsi="Arial"/>
          <w:color w:val="000000"/>
          <w:sz w:val="20"/>
          <w:szCs w:val="20"/>
        </w:rPr>
      </w:r>
    </w:p>
    <w:p>
      <w:pPr>
        <w:pStyle w:val="2038"/>
        <w:pBdr/>
        <w:spacing/>
        <w:ind/>
        <w:jc w:val="both"/>
        <w:rPr>
          <w:rFonts w:ascii="Arial" w:hAnsi="Arial"/>
          <w:color w:val="000000"/>
          <w:sz w:val="20"/>
          <w:szCs w:val="20"/>
        </w:rPr>
      </w:pPr>
      <w:r>
        <w:rPr>
          <w:rFonts w:ascii="Arial" w:hAnsi="Arial"/>
          <w:b/>
          <w:color w:val="000000"/>
          <w:sz w:val="20"/>
          <w:szCs w:val="20"/>
          <w:shd w:val="clear" w:color="auto" w:fill="ffffff"/>
        </w:rPr>
        <w:t xml:space="preserve">29.13.</w:t>
      </w:r>
      <w:r>
        <w:rPr>
          <w:rFonts w:ascii="Arial" w:hAnsi="Arial"/>
          <w:color w:val="000000"/>
          <w:sz w:val="20"/>
          <w:szCs w:val="20"/>
          <w:shd w:val="clear" w:color="auto" w:fill="ffffff"/>
        </w:rPr>
        <w:t xml:space="preserve"> Conceder livre acesso aos documentos e registros contábeis da empresa, referente ao</w:t>
      </w:r>
      <w:r>
        <w:rPr>
          <w:rFonts w:ascii="Arial" w:hAnsi="Arial"/>
          <w:color w:val="000000"/>
          <w:sz w:val="20"/>
          <w:szCs w:val="20"/>
          <w:shd w:val="clear" w:color="auto" w:fill="ffffff"/>
        </w:rPr>
        <w:t xml:space="preserve"> objeto da licitação, para os servidores ou empregados do órgão ou entidade contratante e dos órgãos de controle interno e externo, conforme Art. 169, § 2º da Lei 14.133/2021.</w:t>
      </w:r>
      <w:r>
        <w:rPr>
          <w:rFonts w:ascii="Arial" w:hAnsi="Arial"/>
          <w:color w:val="000000"/>
          <w:sz w:val="20"/>
          <w:szCs w:val="20"/>
        </w:rPr>
        <w:t xml:space="preserve"> </w:t>
      </w:r>
      <w:r>
        <w:rPr>
          <w:rFonts w:ascii="Arial" w:hAnsi="Arial"/>
          <w:color w:val="000000"/>
          <w:sz w:val="20"/>
          <w:szCs w:val="20"/>
        </w:rPr>
      </w:r>
      <w:r>
        <w:rPr>
          <w:rFonts w:ascii="Arial" w:hAnsi="Arial"/>
          <w:color w:val="000000"/>
          <w:sz w:val="20"/>
          <w:szCs w:val="20"/>
        </w:rPr>
      </w:r>
    </w:p>
    <w:p>
      <w:pPr>
        <w:pStyle w:val="2038"/>
        <w:pBdr/>
        <w:spacing/>
        <w:ind w:left="284"/>
        <w:jc w:val="both"/>
        <w:rPr>
          <w:rFonts w:ascii="Arial" w:hAnsi="Arial"/>
          <w:color w:val="000000"/>
          <w:sz w:val="20"/>
          <w:szCs w:val="20"/>
        </w:rPr>
      </w:pPr>
      <w:r>
        <w:rPr>
          <w:rFonts w:ascii="Arial" w:hAnsi="Arial"/>
          <w:color w:val="000000"/>
          <w:sz w:val="20"/>
          <w:szCs w:val="20"/>
        </w:rPr>
      </w:r>
      <w:r>
        <w:rPr>
          <w:rFonts w:ascii="Arial" w:hAnsi="Arial"/>
          <w:color w:val="000000"/>
          <w:sz w:val="20"/>
          <w:szCs w:val="20"/>
        </w:rPr>
      </w:r>
      <w:r>
        <w:rPr>
          <w:rFonts w:ascii="Arial" w:hAnsi="Arial"/>
          <w:color w:val="000000"/>
          <w:sz w:val="20"/>
          <w:szCs w:val="20"/>
        </w:rPr>
      </w:r>
    </w:p>
    <w:p>
      <w:pPr>
        <w:pBdr/>
        <w:spacing/>
        <w:ind/>
        <w:jc w:val="both"/>
        <w:outlineLvl w:val="0"/>
        <w:rPr>
          <w:rFonts w:ascii="Arial" w:hAnsi="Arial"/>
          <w:b/>
          <w:bCs/>
          <w:color w:val="000000"/>
        </w:rPr>
      </w:pPr>
      <w:r/>
      <w:bookmarkStart w:id="86" w:name="_Toc30"/>
      <w:r>
        <w:rPr>
          <w:rFonts w:ascii="Arial" w:hAnsi="Arial" w:eastAsia="Arial"/>
          <w:b/>
          <w:bCs/>
          <w:color w:val="000000"/>
        </w:rPr>
        <w:t xml:space="preserve">30.</w:t>
      </w:r>
      <w:r>
        <w:rPr>
          <w:rFonts w:ascii="Arial" w:hAnsi="Arial"/>
          <w:b/>
          <w:color w:val="000000"/>
        </w:rPr>
        <w:t xml:space="preserve"> </w:t>
      </w:r>
      <w:r>
        <w:rPr>
          <w:rFonts w:ascii="Arial" w:hAnsi="Arial"/>
          <w:b/>
          <w:bCs/>
        </w:rPr>
        <w:t xml:space="preserve">DAS OBRIGAÇÕES DA CONTRATANTE</w:t>
      </w:r>
      <w:r>
        <w:rPr>
          <w:rFonts w:ascii="Arial" w:hAnsi="Arial" w:eastAsia="Arial"/>
          <w:b/>
          <w:bCs/>
          <w:color w:val="000000"/>
        </w:rPr>
        <w:t xml:space="preserve">:</w:t>
      </w:r>
      <w:r>
        <w:rPr>
          <w:rFonts w:ascii="Arial" w:hAnsi="Arial"/>
          <w:b/>
          <w:bCs/>
          <w:color w:val="000000"/>
        </w:rPr>
      </w:r>
      <w:bookmarkEnd w:id="86"/>
      <w:r>
        <w:rPr>
          <w:rFonts w:ascii="Arial" w:hAnsi="Arial"/>
          <w:b/>
          <w:bCs/>
          <w:color w:val="000000"/>
        </w:rPr>
      </w:r>
      <w:r>
        <w:rPr>
          <w:rFonts w:ascii="Arial" w:hAnsi="Arial"/>
          <w:b/>
          <w:bCs/>
          <w:color w:val="000000"/>
        </w:rPr>
      </w:r>
    </w:p>
    <w:p>
      <w:pPr>
        <w:pStyle w:val="2038"/>
        <w:pBdr/>
        <w:spacing/>
        <w:ind/>
        <w:jc w:val="both"/>
        <w:rPr>
          <w:rFonts w:ascii="Arial" w:hAnsi="Arial"/>
          <w:sz w:val="20"/>
          <w:szCs w:val="20"/>
        </w:rPr>
      </w:pPr>
      <w:r>
        <w:rPr>
          <w:rFonts w:ascii="Arial" w:hAnsi="Arial"/>
          <w:sz w:val="20"/>
          <w:szCs w:val="20"/>
        </w:rPr>
      </w:r>
      <w:r>
        <w:rPr>
          <w:rFonts w:ascii="Arial" w:hAnsi="Arial"/>
          <w:sz w:val="20"/>
          <w:szCs w:val="20"/>
        </w:rPr>
      </w:r>
      <w:r>
        <w:rPr>
          <w:rFonts w:ascii="Arial" w:hAnsi="Arial"/>
          <w:sz w:val="20"/>
          <w:szCs w:val="20"/>
        </w:rPr>
      </w:r>
    </w:p>
    <w:p>
      <w:pPr>
        <w:pStyle w:val="2038"/>
        <w:pBdr/>
        <w:spacing/>
        <w:ind/>
        <w:jc w:val="both"/>
        <w:rPr>
          <w:rFonts w:ascii="Arial" w:hAnsi="Arial"/>
          <w:sz w:val="20"/>
          <w:szCs w:val="20"/>
        </w:rPr>
      </w:pPr>
      <w:r>
        <w:rPr>
          <w:rFonts w:ascii="Arial" w:hAnsi="Arial"/>
          <w:b/>
          <w:bCs/>
          <w:sz w:val="20"/>
          <w:szCs w:val="20"/>
        </w:rPr>
        <w:t xml:space="preserve">30.1. </w:t>
      </w:r>
      <w:r>
        <w:rPr>
          <w:rFonts w:ascii="Arial" w:hAnsi="Arial"/>
          <w:sz w:val="20"/>
          <w:szCs w:val="20"/>
        </w:rPr>
        <w:t xml:space="preserve">Notificar a licitante vencedora a as</w:t>
      </w:r>
      <w:r>
        <w:rPr>
          <w:rFonts w:ascii="Arial" w:hAnsi="Arial"/>
          <w:sz w:val="20"/>
          <w:szCs w:val="20"/>
        </w:rPr>
        <w:t xml:space="preserve">sinar o contrato, ou outro documento equivalente, no prazo de até 05 (cinco) dias úteis e comunicar demais informações que achar pertinentes para o bom cumprimento do objeto;</w:t>
      </w:r>
      <w:r>
        <w:rPr>
          <w:rFonts w:ascii="Arial" w:hAnsi="Arial"/>
          <w:sz w:val="20"/>
          <w:szCs w:val="20"/>
        </w:rPr>
      </w:r>
      <w:r>
        <w:rPr>
          <w:rFonts w:ascii="Arial" w:hAnsi="Arial"/>
          <w:sz w:val="20"/>
          <w:szCs w:val="20"/>
        </w:rPr>
      </w:r>
    </w:p>
    <w:p>
      <w:pPr>
        <w:pStyle w:val="2038"/>
        <w:pBdr/>
        <w:spacing/>
        <w:ind w:left="284"/>
        <w:jc w:val="both"/>
        <w:rPr>
          <w:rFonts w:ascii="Arial" w:hAnsi="Arial"/>
          <w:b/>
          <w:bCs/>
          <w:sz w:val="20"/>
          <w:szCs w:val="20"/>
        </w:rPr>
      </w:pPr>
      <w:r>
        <w:rPr>
          <w:rFonts w:ascii="Arial" w:hAnsi="Arial"/>
          <w:b/>
          <w:bCs/>
          <w:sz w:val="20"/>
          <w:szCs w:val="20"/>
        </w:rPr>
      </w:r>
      <w:r>
        <w:rPr>
          <w:rFonts w:ascii="Arial" w:hAnsi="Arial"/>
          <w:b/>
          <w:bCs/>
          <w:sz w:val="20"/>
          <w:szCs w:val="20"/>
        </w:rPr>
      </w:r>
      <w:r>
        <w:rPr>
          <w:rFonts w:ascii="Arial" w:hAnsi="Arial"/>
          <w:b/>
          <w:bCs/>
          <w:sz w:val="20"/>
          <w:szCs w:val="20"/>
        </w:rPr>
      </w:r>
    </w:p>
    <w:p>
      <w:pPr>
        <w:pStyle w:val="2038"/>
        <w:pBdr/>
        <w:spacing/>
        <w:ind/>
        <w:jc w:val="both"/>
        <w:rPr>
          <w:rFonts w:ascii="Arial" w:hAnsi="Arial"/>
          <w:sz w:val="20"/>
          <w:szCs w:val="20"/>
        </w:rPr>
      </w:pPr>
      <w:r>
        <w:rPr>
          <w:rFonts w:ascii="Arial" w:hAnsi="Arial"/>
          <w:b/>
          <w:bCs/>
          <w:sz w:val="20"/>
          <w:szCs w:val="20"/>
        </w:rPr>
        <w:t xml:space="preserve">30.2.</w:t>
      </w:r>
      <w:r>
        <w:rPr>
          <w:rFonts w:ascii="Arial" w:hAnsi="Arial"/>
          <w:sz w:val="20"/>
          <w:szCs w:val="20"/>
        </w:rPr>
        <w:t xml:space="preserve"> Proporcionar todas as facilidades indispensáveis à boa execução das obrigações contratuais, inclusive permitindo o acesso de empregados, prepostos ou representantes da contratada em suas dependências.</w:t>
      </w:r>
      <w:r>
        <w:rPr>
          <w:rFonts w:ascii="Arial" w:hAnsi="Arial"/>
          <w:sz w:val="20"/>
          <w:szCs w:val="20"/>
        </w:rPr>
      </w:r>
      <w:r>
        <w:rPr>
          <w:rFonts w:ascii="Arial" w:hAnsi="Arial"/>
          <w:sz w:val="20"/>
          <w:szCs w:val="20"/>
        </w:rPr>
      </w:r>
    </w:p>
    <w:p>
      <w:pPr>
        <w:pStyle w:val="2038"/>
        <w:pBdr/>
        <w:spacing/>
        <w:ind w:left="284"/>
        <w:jc w:val="both"/>
        <w:rPr>
          <w:rFonts w:ascii="Arial" w:hAnsi="Arial"/>
          <w:b/>
          <w:bCs/>
          <w:sz w:val="20"/>
          <w:szCs w:val="20"/>
        </w:rPr>
      </w:pPr>
      <w:r>
        <w:rPr>
          <w:rFonts w:ascii="Arial" w:hAnsi="Arial"/>
          <w:b/>
          <w:bCs/>
          <w:sz w:val="20"/>
          <w:szCs w:val="20"/>
        </w:rPr>
      </w:r>
      <w:r>
        <w:rPr>
          <w:rFonts w:ascii="Arial" w:hAnsi="Arial"/>
          <w:b/>
          <w:bCs/>
          <w:sz w:val="20"/>
          <w:szCs w:val="20"/>
        </w:rPr>
      </w:r>
      <w:r>
        <w:rPr>
          <w:rFonts w:ascii="Arial" w:hAnsi="Arial"/>
          <w:b/>
          <w:bCs/>
          <w:sz w:val="20"/>
          <w:szCs w:val="20"/>
        </w:rPr>
      </w:r>
    </w:p>
    <w:p>
      <w:pPr>
        <w:pStyle w:val="2038"/>
        <w:pBdr/>
        <w:spacing/>
        <w:ind/>
        <w:jc w:val="both"/>
        <w:rPr>
          <w:rFonts w:ascii="Arial" w:hAnsi="Arial"/>
          <w:sz w:val="20"/>
          <w:szCs w:val="20"/>
        </w:rPr>
      </w:pPr>
      <w:r>
        <w:rPr>
          <w:rFonts w:ascii="Arial" w:hAnsi="Arial"/>
          <w:b/>
          <w:bCs/>
          <w:sz w:val="20"/>
          <w:szCs w:val="20"/>
        </w:rPr>
        <w:t xml:space="preserve">30.3.</w:t>
      </w:r>
      <w:r>
        <w:rPr>
          <w:rFonts w:ascii="Arial" w:hAnsi="Arial"/>
          <w:sz w:val="20"/>
          <w:szCs w:val="20"/>
        </w:rPr>
        <w:t xml:space="preserve"> Rejeitar, no todo ou em parte, os itens entregues em desacordo com as obrigações assumidas pelo fornecedor.</w:t>
      </w:r>
      <w:r>
        <w:rPr>
          <w:rFonts w:ascii="Arial" w:hAnsi="Arial"/>
          <w:sz w:val="20"/>
          <w:szCs w:val="20"/>
        </w:rPr>
      </w:r>
      <w:r>
        <w:rPr>
          <w:rFonts w:ascii="Arial" w:hAnsi="Arial"/>
          <w:sz w:val="20"/>
          <w:szCs w:val="20"/>
        </w:rPr>
      </w:r>
    </w:p>
    <w:p>
      <w:pPr>
        <w:pStyle w:val="2038"/>
        <w:pBdr/>
        <w:spacing/>
        <w:ind w:left="284"/>
        <w:jc w:val="both"/>
        <w:rPr>
          <w:rFonts w:ascii="Arial" w:hAnsi="Arial"/>
          <w:b/>
          <w:bCs/>
          <w:sz w:val="20"/>
          <w:szCs w:val="20"/>
        </w:rPr>
      </w:pPr>
      <w:r>
        <w:rPr>
          <w:rFonts w:ascii="Arial" w:hAnsi="Arial"/>
          <w:b/>
          <w:bCs/>
          <w:sz w:val="20"/>
          <w:szCs w:val="20"/>
        </w:rPr>
      </w:r>
      <w:r>
        <w:rPr>
          <w:rFonts w:ascii="Arial" w:hAnsi="Arial"/>
          <w:b/>
          <w:bCs/>
          <w:sz w:val="20"/>
          <w:szCs w:val="20"/>
        </w:rPr>
      </w:r>
      <w:r>
        <w:rPr>
          <w:rFonts w:ascii="Arial" w:hAnsi="Arial"/>
          <w:b/>
          <w:bCs/>
          <w:sz w:val="20"/>
          <w:szCs w:val="20"/>
        </w:rPr>
      </w:r>
    </w:p>
    <w:p>
      <w:pPr>
        <w:pStyle w:val="2038"/>
        <w:pBdr/>
        <w:spacing/>
        <w:ind/>
        <w:jc w:val="both"/>
        <w:rPr>
          <w:rFonts w:ascii="Arial" w:hAnsi="Arial"/>
          <w:sz w:val="20"/>
          <w:szCs w:val="20"/>
        </w:rPr>
      </w:pPr>
      <w:r>
        <w:rPr>
          <w:rFonts w:ascii="Arial" w:hAnsi="Arial"/>
          <w:b/>
          <w:bCs/>
          <w:sz w:val="20"/>
          <w:szCs w:val="20"/>
        </w:rPr>
        <w:t xml:space="preserve">30.4.</w:t>
      </w:r>
      <w:r>
        <w:rPr>
          <w:rFonts w:ascii="Arial" w:hAnsi="Arial"/>
          <w:sz w:val="20"/>
          <w:szCs w:val="20"/>
        </w:rPr>
        <w:t xml:space="preserve"> Notificar a CONTRATADA de qualquer irregularidade encontrada nos produtos fornecidos.</w:t>
      </w:r>
      <w:r>
        <w:rPr>
          <w:rFonts w:ascii="Arial" w:hAnsi="Arial"/>
          <w:b/>
          <w:bCs/>
          <w:sz w:val="20"/>
          <w:szCs w:val="20"/>
        </w:rPr>
        <w:t xml:space="preserve"> </w:t>
      </w:r>
      <w:r>
        <w:rPr>
          <w:rFonts w:ascii="Arial" w:hAnsi="Arial"/>
          <w:sz w:val="20"/>
          <w:szCs w:val="20"/>
        </w:rPr>
        <w:t xml:space="preserve">Efetuar o pagamento à CONTRATADA, nas condições </w:t>
      </w:r>
      <w:r>
        <w:rPr>
          <w:rFonts w:ascii="Arial" w:hAnsi="Arial"/>
          <w:sz w:val="20"/>
          <w:szCs w:val="20"/>
        </w:rPr>
        <w:t xml:space="preserve">estabelecidas no edital.</w:t>
      </w:r>
      <w:r>
        <w:rPr>
          <w:rFonts w:ascii="Arial" w:hAnsi="Arial"/>
          <w:sz w:val="20"/>
          <w:szCs w:val="20"/>
        </w:rPr>
      </w:r>
      <w:r>
        <w:rPr>
          <w:rFonts w:ascii="Arial" w:hAnsi="Arial"/>
          <w:sz w:val="20"/>
          <w:szCs w:val="20"/>
        </w:rPr>
      </w:r>
    </w:p>
    <w:p>
      <w:pPr>
        <w:pStyle w:val="2038"/>
        <w:pBdr/>
        <w:spacing/>
        <w:ind w:left="284"/>
        <w:jc w:val="both"/>
        <w:rPr>
          <w:rFonts w:ascii="Arial" w:hAnsi="Arial"/>
          <w:b/>
          <w:bCs/>
          <w:sz w:val="20"/>
          <w:szCs w:val="20"/>
        </w:rPr>
      </w:pPr>
      <w:r>
        <w:rPr>
          <w:rFonts w:ascii="Arial" w:hAnsi="Arial"/>
          <w:b/>
          <w:bCs/>
          <w:sz w:val="20"/>
          <w:szCs w:val="20"/>
        </w:rPr>
      </w:r>
      <w:r>
        <w:rPr>
          <w:rFonts w:ascii="Arial" w:hAnsi="Arial"/>
          <w:b/>
          <w:bCs/>
          <w:sz w:val="20"/>
          <w:szCs w:val="20"/>
        </w:rPr>
      </w:r>
      <w:r>
        <w:rPr>
          <w:rFonts w:ascii="Arial" w:hAnsi="Arial"/>
          <w:b/>
          <w:bCs/>
          <w:sz w:val="20"/>
          <w:szCs w:val="20"/>
        </w:rPr>
      </w:r>
    </w:p>
    <w:p>
      <w:pPr>
        <w:pStyle w:val="2038"/>
        <w:pBdr/>
        <w:spacing/>
        <w:ind/>
        <w:jc w:val="both"/>
        <w:rPr>
          <w:rFonts w:ascii="Arial" w:hAnsi="Arial"/>
          <w:sz w:val="20"/>
          <w:szCs w:val="20"/>
        </w:rPr>
      </w:pPr>
      <w:r>
        <w:rPr>
          <w:rFonts w:ascii="Arial" w:hAnsi="Arial"/>
          <w:b/>
          <w:bCs/>
          <w:sz w:val="20"/>
          <w:szCs w:val="20"/>
        </w:rPr>
        <w:t xml:space="preserve">30.5.</w:t>
      </w:r>
      <w:r>
        <w:rPr>
          <w:rFonts w:ascii="Arial" w:hAnsi="Arial"/>
          <w:sz w:val="20"/>
          <w:szCs w:val="20"/>
        </w:rPr>
        <w:t xml:space="preserve"> Nenhum pagamento será efetuado à empresa adjudicatária, enquanto pendente de liquidação qualquer obrigação. Esse fato não será gerador de direito a reajustamento de preços ou a atualização monetária.</w:t>
      </w:r>
      <w:r>
        <w:rPr>
          <w:rFonts w:ascii="Arial" w:hAnsi="Arial"/>
          <w:sz w:val="20"/>
          <w:szCs w:val="20"/>
        </w:rPr>
      </w:r>
      <w:r>
        <w:rPr>
          <w:rFonts w:ascii="Arial" w:hAnsi="Arial"/>
          <w:sz w:val="20"/>
          <w:szCs w:val="20"/>
        </w:rPr>
      </w:r>
    </w:p>
    <w:p>
      <w:pPr>
        <w:pStyle w:val="2038"/>
        <w:pBdr/>
        <w:spacing/>
        <w:ind w:left="284"/>
        <w:jc w:val="both"/>
        <w:rPr>
          <w:rFonts w:ascii="Arial" w:hAnsi="Arial"/>
          <w:b/>
          <w:bCs/>
          <w:sz w:val="20"/>
          <w:szCs w:val="20"/>
        </w:rPr>
      </w:pPr>
      <w:r>
        <w:rPr>
          <w:rFonts w:ascii="Arial" w:hAnsi="Arial"/>
          <w:b/>
          <w:bCs/>
          <w:sz w:val="20"/>
          <w:szCs w:val="20"/>
        </w:rPr>
      </w:r>
      <w:r>
        <w:rPr>
          <w:rFonts w:ascii="Arial" w:hAnsi="Arial"/>
          <w:b/>
          <w:bCs/>
          <w:sz w:val="20"/>
          <w:szCs w:val="20"/>
        </w:rPr>
      </w:r>
      <w:r>
        <w:rPr>
          <w:rFonts w:ascii="Arial" w:hAnsi="Arial"/>
          <w:b/>
          <w:bCs/>
          <w:sz w:val="20"/>
          <w:szCs w:val="20"/>
        </w:rPr>
      </w:r>
    </w:p>
    <w:p>
      <w:pPr>
        <w:pStyle w:val="2038"/>
        <w:pBdr/>
        <w:spacing/>
        <w:ind/>
        <w:jc w:val="both"/>
        <w:rPr>
          <w:rFonts w:ascii="Arial" w:hAnsi="Arial"/>
          <w:sz w:val="20"/>
          <w:szCs w:val="20"/>
        </w:rPr>
      </w:pPr>
      <w:r>
        <w:rPr>
          <w:rFonts w:ascii="Arial" w:hAnsi="Arial"/>
          <w:b/>
          <w:bCs/>
          <w:sz w:val="20"/>
          <w:szCs w:val="20"/>
        </w:rPr>
        <w:t xml:space="preserve">30.6. </w:t>
      </w:r>
      <w:r>
        <w:rPr>
          <w:rFonts w:ascii="Arial" w:hAnsi="Arial"/>
          <w:sz w:val="20"/>
          <w:szCs w:val="20"/>
        </w:rPr>
        <w:t xml:space="preserve">Não haverá, sob h</w:t>
      </w:r>
      <w:r>
        <w:rPr>
          <w:rFonts w:ascii="Arial" w:hAnsi="Arial"/>
          <w:sz w:val="20"/>
          <w:szCs w:val="20"/>
        </w:rPr>
        <w:t xml:space="preserve">ipótese alguma, pagamento antecipado.</w:t>
      </w:r>
      <w:r>
        <w:rPr>
          <w:rFonts w:ascii="Arial" w:hAnsi="Arial"/>
          <w:sz w:val="20"/>
          <w:szCs w:val="20"/>
        </w:rPr>
      </w:r>
      <w:r>
        <w:rPr>
          <w:rFonts w:ascii="Arial" w:hAnsi="Arial"/>
          <w:sz w:val="20"/>
          <w:szCs w:val="20"/>
        </w:rPr>
      </w:r>
    </w:p>
    <w:p>
      <w:pPr>
        <w:pStyle w:val="2038"/>
        <w:pBdr/>
        <w:spacing/>
        <w:ind w:left="284"/>
        <w:jc w:val="both"/>
        <w:rPr>
          <w:rFonts w:ascii="Arial" w:hAnsi="Arial"/>
          <w:b/>
          <w:bCs/>
          <w:sz w:val="20"/>
          <w:szCs w:val="20"/>
        </w:rPr>
      </w:pPr>
      <w:r>
        <w:rPr>
          <w:rFonts w:ascii="Arial" w:hAnsi="Arial"/>
          <w:b/>
          <w:bCs/>
          <w:sz w:val="20"/>
          <w:szCs w:val="20"/>
        </w:rPr>
      </w:r>
      <w:r>
        <w:rPr>
          <w:rFonts w:ascii="Arial" w:hAnsi="Arial"/>
          <w:b/>
          <w:bCs/>
          <w:sz w:val="20"/>
          <w:szCs w:val="20"/>
        </w:rPr>
      </w:r>
      <w:r>
        <w:rPr>
          <w:rFonts w:ascii="Arial" w:hAnsi="Arial"/>
          <w:b/>
          <w:bCs/>
          <w:sz w:val="20"/>
          <w:szCs w:val="20"/>
        </w:rPr>
      </w:r>
    </w:p>
    <w:p>
      <w:pPr>
        <w:pStyle w:val="2038"/>
        <w:pBdr/>
        <w:spacing/>
        <w:ind/>
        <w:jc w:val="both"/>
        <w:rPr>
          <w:rFonts w:ascii="Arial" w:hAnsi="Arial"/>
          <w:sz w:val="20"/>
          <w:szCs w:val="20"/>
        </w:rPr>
      </w:pPr>
      <w:r>
        <w:rPr>
          <w:rFonts w:ascii="Arial" w:hAnsi="Arial"/>
          <w:b/>
          <w:bCs/>
          <w:sz w:val="20"/>
          <w:szCs w:val="20"/>
        </w:rPr>
        <w:t xml:space="preserve">30.7. </w:t>
      </w:r>
      <w:r>
        <w:rPr>
          <w:rFonts w:ascii="Arial" w:hAnsi="Arial"/>
          <w:sz w:val="20"/>
          <w:szCs w:val="20"/>
        </w:rPr>
        <w:t xml:space="preserve">Coordenar e fiscalizar a entrega dos produtos pertinentes à aquisição.</w:t>
      </w:r>
      <w:r>
        <w:rPr>
          <w:rFonts w:ascii="Arial" w:hAnsi="Arial"/>
          <w:sz w:val="20"/>
          <w:szCs w:val="20"/>
        </w:rPr>
      </w:r>
      <w:r>
        <w:rPr>
          <w:rFonts w:ascii="Arial" w:hAnsi="Arial"/>
          <w:sz w:val="20"/>
          <w:szCs w:val="20"/>
        </w:rPr>
      </w:r>
    </w:p>
    <w:p>
      <w:pPr>
        <w:pStyle w:val="2038"/>
        <w:pBdr/>
        <w:spacing/>
        <w:ind w:left="284"/>
        <w:jc w:val="both"/>
        <w:rPr>
          <w:rStyle w:val="989"/>
          <w:rFonts w:ascii="Arial" w:hAnsi="Arial"/>
          <w:b/>
          <w:bCs/>
          <w:sz w:val="20"/>
          <w:szCs w:val="20"/>
          <w:lang w:bidi="ar-SA"/>
        </w:rPr>
      </w:pPr>
      <w:r>
        <w:rPr>
          <w:rFonts w:ascii="Arial" w:hAnsi="Arial"/>
          <w:b/>
          <w:bCs/>
          <w:sz w:val="20"/>
          <w:szCs w:val="20"/>
          <w:lang w:bidi="ar-SA"/>
        </w:rPr>
      </w:r>
      <w:r>
        <w:rPr>
          <w:rStyle w:val="989"/>
          <w:rFonts w:ascii="Arial" w:hAnsi="Arial"/>
          <w:b/>
          <w:bCs/>
          <w:sz w:val="20"/>
          <w:szCs w:val="20"/>
          <w:lang w:bidi="ar-SA"/>
        </w:rPr>
      </w:r>
      <w:r>
        <w:rPr>
          <w:rStyle w:val="989"/>
          <w:rFonts w:ascii="Arial" w:hAnsi="Arial"/>
          <w:b/>
          <w:bCs/>
          <w:sz w:val="20"/>
          <w:szCs w:val="20"/>
          <w:lang w:bidi="ar-SA"/>
        </w:rPr>
      </w:r>
    </w:p>
    <w:p>
      <w:pPr>
        <w:pStyle w:val="2038"/>
        <w:pBdr/>
        <w:spacing/>
        <w:ind/>
        <w:jc w:val="both"/>
        <w:rPr>
          <w:rFonts w:ascii="Arial" w:hAnsi="Arial"/>
          <w:sz w:val="20"/>
          <w:szCs w:val="20"/>
        </w:rPr>
      </w:pPr>
      <w:r>
        <w:rPr>
          <w:rStyle w:val="989"/>
          <w:rFonts w:ascii="Arial" w:hAnsi="Arial"/>
          <w:b/>
          <w:bCs/>
          <w:sz w:val="20"/>
          <w:szCs w:val="20"/>
          <w:lang w:bidi="ar-SA"/>
        </w:rPr>
        <w:t xml:space="preserve">30.8.</w:t>
      </w:r>
      <w:r>
        <w:rPr>
          <w:rStyle w:val="989"/>
          <w:rFonts w:ascii="Arial" w:hAnsi="Arial"/>
          <w:sz w:val="20"/>
          <w:szCs w:val="20"/>
          <w:lang w:bidi="ar-SA"/>
        </w:rPr>
        <w:t xml:space="preserve"> Prestar as informações e os esclarecimentos que fizerem necessários.</w:t>
      </w:r>
      <w:r>
        <w:rPr>
          <w:rFonts w:ascii="Arial" w:hAnsi="Arial"/>
          <w:sz w:val="20"/>
          <w:szCs w:val="20"/>
        </w:rPr>
      </w:r>
      <w:r>
        <w:rPr>
          <w:rFonts w:ascii="Arial" w:hAnsi="Arial"/>
          <w:sz w:val="20"/>
          <w:szCs w:val="20"/>
        </w:rPr>
      </w:r>
    </w:p>
    <w:p>
      <w:pPr>
        <w:pStyle w:val="2038"/>
        <w:pBdr/>
        <w:spacing/>
        <w:ind w:left="284"/>
        <w:jc w:val="both"/>
        <w:rPr>
          <w:rFonts w:ascii="Arial" w:hAnsi="Arial"/>
          <w:b/>
          <w:bCs/>
          <w:sz w:val="20"/>
          <w:szCs w:val="20"/>
        </w:rPr>
      </w:pPr>
      <w:r>
        <w:rPr>
          <w:rFonts w:ascii="Arial" w:hAnsi="Arial"/>
          <w:b/>
          <w:bCs/>
          <w:sz w:val="20"/>
          <w:szCs w:val="20"/>
        </w:rPr>
      </w:r>
      <w:r>
        <w:rPr>
          <w:rFonts w:ascii="Arial" w:hAnsi="Arial"/>
          <w:b/>
          <w:bCs/>
          <w:sz w:val="20"/>
          <w:szCs w:val="20"/>
        </w:rPr>
      </w:r>
      <w:r>
        <w:rPr>
          <w:rFonts w:ascii="Arial" w:hAnsi="Arial"/>
          <w:b/>
          <w:bCs/>
          <w:sz w:val="20"/>
          <w:szCs w:val="20"/>
        </w:rPr>
      </w:r>
    </w:p>
    <w:p>
      <w:pPr>
        <w:pBdr/>
        <w:spacing/>
        <w:ind/>
        <w:jc w:val="both"/>
        <w:outlineLvl w:val="0"/>
        <w:rPr>
          <w:rFonts w:ascii="Arial" w:hAnsi="Arial"/>
          <w:b/>
          <w:bCs/>
          <w:color w:val="000000"/>
        </w:rPr>
      </w:pPr>
      <w:r/>
      <w:bookmarkStart w:id="87" w:name="_Toc31"/>
      <w:r>
        <w:rPr>
          <w:rFonts w:ascii="Arial" w:hAnsi="Arial" w:eastAsia="Arial"/>
          <w:b/>
          <w:bCs/>
          <w:color w:val="000000"/>
        </w:rPr>
        <w:t xml:space="preserve">31.</w:t>
      </w:r>
      <w:r>
        <w:rPr>
          <w:rFonts w:ascii="Arial" w:hAnsi="Arial"/>
          <w:b/>
          <w:color w:val="000000"/>
        </w:rPr>
        <w:t xml:space="preserve"> </w:t>
      </w:r>
      <w:r>
        <w:rPr>
          <w:rFonts w:ascii="Arial" w:hAnsi="Arial"/>
          <w:b/>
        </w:rPr>
        <w:t xml:space="preserve">DA DOTAÇÃO ORÇAMENTÁRIA</w:t>
      </w:r>
      <w:r>
        <w:rPr>
          <w:rFonts w:ascii="Arial" w:hAnsi="Arial" w:eastAsia="Arial"/>
          <w:b/>
          <w:bCs/>
          <w:color w:val="000000"/>
        </w:rPr>
        <w:t xml:space="preserve">:</w:t>
      </w:r>
      <w:r>
        <w:rPr>
          <w:rFonts w:ascii="Arial" w:hAnsi="Arial"/>
          <w:b/>
          <w:bCs/>
          <w:color w:val="000000"/>
        </w:rPr>
      </w:r>
      <w:bookmarkEnd w:id="87"/>
      <w:r>
        <w:rPr>
          <w:rFonts w:ascii="Arial" w:hAnsi="Arial"/>
          <w:b/>
          <w:bCs/>
          <w:color w:val="000000"/>
        </w:rPr>
      </w:r>
      <w:r>
        <w:rPr>
          <w:rFonts w:ascii="Arial" w:hAnsi="Arial"/>
          <w:b/>
          <w:bCs/>
          <w:color w:val="000000"/>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highlight w:val="none"/>
        </w:rPr>
      </w:pPr>
      <w:r>
        <w:rPr>
          <w:rFonts w:ascii="Arial" w:hAnsi="Arial"/>
          <w:b/>
        </w:rPr>
        <w:t xml:space="preserve">31.1.</w:t>
      </w:r>
      <w:r>
        <w:rPr>
          <w:rFonts w:ascii="Arial" w:hAnsi="Arial"/>
        </w:rPr>
        <w:t xml:space="preserve"> </w:t>
      </w:r>
      <w:r>
        <w:rPr>
          <w:rFonts w:ascii="Arial" w:hAnsi="Arial"/>
          <w:color w:val="000000"/>
        </w:rPr>
        <w:t xml:space="preserve">As despesas oriundas do presente Contrato correrão à conta de recursos específicos consignados no orçamento vigente do Município de Rondonópolis, os quais serão discriminados para a formalização do contrato ou outro instrumento hábil. (Art. 7º § 2</w:t>
      </w:r>
      <w:r>
        <w:rPr>
          <w:rFonts w:ascii="Arial" w:hAnsi="Arial"/>
          <w:color w:val="000000"/>
          <w:u w:val="single"/>
          <w:vertAlign w:val="superscript"/>
        </w:rPr>
        <w:t xml:space="preserve">o</w:t>
      </w:r>
      <w:r>
        <w:rPr>
          <w:rFonts w:ascii="Arial" w:hAnsi="Arial"/>
          <w:color w:val="000000"/>
        </w:rPr>
        <w:t xml:space="preserve"> do Dec.</w:t>
      </w:r>
      <w:r>
        <w:rPr>
          <w:rFonts w:ascii="Arial" w:hAnsi="Arial"/>
          <w:color w:val="000000"/>
        </w:rPr>
        <w:t xml:space="preserve"> 7.892/2013 e Resolução de Consulta n.º 09/2012).</w:t>
      </w:r>
      <w:r>
        <w:rPr>
          <w:rFonts w:ascii="Arial" w:hAnsi="Arial"/>
          <w:highlight w:val="none"/>
        </w:rPr>
      </w:r>
      <w:r>
        <w:rPr>
          <w:rFonts w:ascii="Arial" w:hAnsi="Arial"/>
          <w:highlight w:val="none"/>
        </w:rPr>
      </w:r>
    </w:p>
    <w:tbl>
      <w:tblPr>
        <w:tblInd w:w="846" w:type="dxa"/>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23"/>
        <w:gridCol w:w="7224"/>
      </w:tblGrid>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0B4F9DB8">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Órgão: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24" w:type="dxa"/>
            <w:textDirection w:val="lrTb"/>
            <w:noWrap w:val="false"/>
          </w:tcPr>
          <w:p w14:paraId="57EE4997">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02 – PREFEITURA MUNICIPAL DE RONDONÓPOLIS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05ACEFBA">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Unidade: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24" w:type="dxa"/>
            <w:textDirection w:val="lrTb"/>
            <w:noWrap w:val="false"/>
          </w:tcPr>
          <w:p w14:paraId="4B2C6129">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014 – FUNDO MUNICIPAL DE SAÚDE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069AA3CA">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Função Programática: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24" w:type="dxa"/>
            <w:textDirection w:val="lrTb"/>
            <w:noWrap w:val="false"/>
          </w:tcPr>
          <w:p w14:paraId="0A586F74">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10.301.2202.2180 - MANUTENÇÃO E CONSERVAÇÃO DA ATENÇÃO PRIMÁRIA À SAÚDE - APS E PROGRAMAS ESPECIAIS.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6909A6BA">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Elemento da Despesa: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24" w:type="dxa"/>
            <w:textDirection w:val="lrTb"/>
            <w:noWrap w:val="false"/>
          </w:tcPr>
          <w:p w14:paraId="38A93E32">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3.3.90.30.00.00 – MATERIAL DE CONSUMO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0EE80ED1">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Reduzido: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24" w:type="dxa"/>
            <w:textDirection w:val="lrTb"/>
            <w:noWrap w:val="false"/>
          </w:tcPr>
          <w:p w14:paraId="3F9DEC10">
            <w:pPr>
              <w:pBdr/>
              <w:spacing/>
              <w:ind/>
              <w:jc w:val="both"/>
              <w:rPr>
                <w:rFonts w:ascii="Times New Roman" w:hAnsi="Times New Roman" w:eastAsia="Times New Roman" w:cs="Times New Roman"/>
                <w:b/>
                <w:color w:val="000000"/>
                <w:sz w:val="13"/>
                <w:szCs w:val="13"/>
                <w:lang w:val="pt-BR" w:eastAsia="pt-BR"/>
              </w:rPr>
            </w:pPr>
            <w:r>
              <w:rPr>
                <w:rFonts w:ascii="Times New Roman" w:hAnsi="Times New Roman" w:eastAsia="Times New Roman" w:cs="Times New Roman"/>
                <w:b/>
                <w:color w:val="000000"/>
                <w:sz w:val="13"/>
                <w:szCs w:val="13"/>
                <w:lang w:val="pt-BR" w:eastAsia="pt-BR"/>
              </w:rPr>
              <w:t xml:space="preserve">674</w:t>
            </w:r>
            <w:r>
              <w:rPr>
                <w:rFonts w:ascii="Times New Roman" w:hAnsi="Times New Roman" w:eastAsia="Times New Roman" w:cs="Times New Roman"/>
                <w:b/>
                <w:color w:val="000000"/>
                <w:sz w:val="13"/>
                <w:szCs w:val="13"/>
                <w:lang w:val="pt-BR" w:eastAsia="pt-BR"/>
              </w:rPr>
            </w:r>
            <w:r>
              <w:rPr>
                <w:rFonts w:ascii="Times New Roman" w:hAnsi="Times New Roman" w:eastAsia="Times New Roman" w:cs="Times New Roman"/>
                <w:b/>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356A8A74">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Fonte de Recursos: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24" w:type="dxa"/>
            <w:textDirection w:val="lrTb"/>
            <w:noWrap w:val="false"/>
          </w:tcPr>
          <w:p w14:paraId="6E490E0C">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1.600.0000600</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bl>
    <w:p w14:paraId="4B9B91F1">
      <w:pPr>
        <w:pBdr/>
        <w:spacing/>
        <w:ind/>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bl>
      <w:tblPr>
        <w:tblInd w:w="846" w:type="dxa"/>
        <w:tblW w:w="86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23"/>
        <w:gridCol w:w="7258"/>
      </w:tblGrid>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0415224C">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Órgão: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3D8CF377">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02 – PREFEITURA MUNICIPAL DE RONDONÓPOLIS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148"/>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3C74F17C">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Unidade: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1A7D6662">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014 – FUNDO MUNICIPAL DE SAÚDE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5C091FB4">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Função </w:t>
            </w:r>
            <w:r>
              <w:rPr>
                <w:rFonts w:ascii="Times New Roman" w:hAnsi="Times New Roman" w:eastAsia="Times New Roman" w:cs="Times New Roman"/>
                <w:color w:val="000000"/>
                <w:sz w:val="13"/>
                <w:szCs w:val="13"/>
                <w:lang w:val="pt-BR" w:eastAsia="pt-BR"/>
              </w:rPr>
              <w:t xml:space="preserve">P</w:t>
            </w:r>
            <w:r>
              <w:rPr>
                <w:rFonts w:ascii="Times New Roman" w:hAnsi="Times New Roman" w:eastAsia="Times New Roman" w:cs="Times New Roman"/>
                <w:color w:val="000000"/>
                <w:sz w:val="13"/>
                <w:szCs w:val="13"/>
                <w:lang w:val="pt-BR" w:eastAsia="pt-BR"/>
              </w:rPr>
              <w:t xml:space="preserve">rogramática: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2B05BA4C">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10.302.2203.2200 - MANUTENÇÃO E AMPLIAÇÃO DOS SERVIÇOS PSICOSSOCIAL - CAPS AD, CAPS ADIII, CAPS I E CAPS TRANSTORNO.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1C883630">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Elemento da Despesa: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5787127E">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3.3.90.30.00.00 – MATERIAL DE CONSUMO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60B0BDD8">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Reduzido: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0693F51F">
            <w:pPr>
              <w:pBdr/>
              <w:spacing/>
              <w:ind/>
              <w:jc w:val="both"/>
              <w:rPr>
                <w:rFonts w:ascii="Times New Roman" w:hAnsi="Times New Roman" w:eastAsia="Times New Roman" w:cs="Times New Roman"/>
                <w:b/>
                <w:color w:val="000000"/>
                <w:sz w:val="13"/>
                <w:szCs w:val="13"/>
                <w:lang w:val="pt-BR" w:eastAsia="pt-BR"/>
              </w:rPr>
            </w:pPr>
            <w:r>
              <w:rPr>
                <w:rFonts w:ascii="Times New Roman" w:hAnsi="Times New Roman" w:eastAsia="Times New Roman" w:cs="Times New Roman"/>
                <w:b/>
                <w:color w:val="000000"/>
                <w:sz w:val="13"/>
                <w:szCs w:val="13"/>
                <w:lang w:val="pt-BR" w:eastAsia="pt-BR"/>
              </w:rPr>
              <w:t xml:space="preserve">581</w:t>
            </w:r>
            <w:r>
              <w:rPr>
                <w:rFonts w:ascii="Times New Roman" w:hAnsi="Times New Roman" w:eastAsia="Times New Roman" w:cs="Times New Roman"/>
                <w:b/>
                <w:color w:val="000000"/>
                <w:sz w:val="13"/>
                <w:szCs w:val="13"/>
                <w:lang w:val="pt-BR" w:eastAsia="pt-BR"/>
              </w:rPr>
            </w:r>
            <w:r>
              <w:rPr>
                <w:rFonts w:ascii="Times New Roman" w:hAnsi="Times New Roman" w:eastAsia="Times New Roman" w:cs="Times New Roman"/>
                <w:b/>
                <w:color w:val="000000"/>
                <w:sz w:val="13"/>
                <w:szCs w:val="13"/>
                <w:lang w:val="pt-BR" w:eastAsia="pt-BR"/>
              </w:rPr>
            </w:r>
          </w:p>
        </w:tc>
      </w:tr>
      <w:tr>
        <w:trPr>
          <w:trHeight w:val="98"/>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7FFB37D5">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Fonte de Recursos: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1D095085">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1.500.1002000</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bl>
    <w:p w14:paraId="000FC77A">
      <w:pPr>
        <w:pBdr/>
        <w:spacing/>
        <w:ind/>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bl>
      <w:tblPr>
        <w:tblInd w:w="846" w:type="dxa"/>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9"/>
        <w:gridCol w:w="7258"/>
      </w:tblGrid>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68F731A8">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Órgão: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1D767456">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02 – PREFEITURA MUNICIPAL DE RONDONÓPOLIS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6BCB4CA0">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Unidade: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248C5033">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014 – FUNDO MUNICIPAL DE SAÚDE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751FDA36">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Função Programática: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7EA0AE7D">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10.302.2203.2200 - MANUTENÇÃO E AMPLIAÇÃO DOS SERVIÇOS PSICOSSOCIAL - CAPS AD, CAPS ADIII, CAPS I E CAPS TRANSTORNO.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72"/>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3A08D102">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Elemento da Despesa: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5268C141">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3.3.90.30.00.00 – MATERIAL DE CONSUMO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2208AFDA">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Reduzido: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1A247289">
            <w:pPr>
              <w:pBdr/>
              <w:spacing/>
              <w:ind/>
              <w:jc w:val="both"/>
              <w:rPr>
                <w:rFonts w:ascii="Times New Roman" w:hAnsi="Times New Roman" w:eastAsia="Times New Roman" w:cs="Times New Roman"/>
                <w:b/>
                <w:color w:val="000000"/>
                <w:sz w:val="13"/>
                <w:szCs w:val="13"/>
                <w:lang w:val="pt-BR" w:eastAsia="pt-BR"/>
              </w:rPr>
            </w:pPr>
            <w:r>
              <w:rPr>
                <w:rFonts w:ascii="Times New Roman" w:hAnsi="Times New Roman" w:eastAsia="Times New Roman" w:cs="Times New Roman"/>
                <w:b/>
                <w:color w:val="000000"/>
                <w:sz w:val="13"/>
                <w:szCs w:val="13"/>
                <w:lang w:val="pt-BR" w:eastAsia="pt-BR"/>
              </w:rPr>
              <w:t xml:space="preserve">582</w:t>
            </w:r>
            <w:r>
              <w:rPr>
                <w:rFonts w:ascii="Times New Roman" w:hAnsi="Times New Roman" w:eastAsia="Times New Roman" w:cs="Times New Roman"/>
                <w:b/>
                <w:color w:val="000000"/>
                <w:sz w:val="13"/>
                <w:szCs w:val="13"/>
                <w:lang w:val="pt-BR" w:eastAsia="pt-BR"/>
              </w:rPr>
            </w:r>
            <w:r>
              <w:rPr>
                <w:rFonts w:ascii="Times New Roman" w:hAnsi="Times New Roman" w:eastAsia="Times New Roman" w:cs="Times New Roman"/>
                <w:b/>
                <w:color w:val="000000"/>
                <w:sz w:val="13"/>
                <w:szCs w:val="13"/>
                <w:lang w:val="pt-BR" w:eastAsia="pt-BR"/>
              </w:rPr>
            </w:r>
          </w:p>
        </w:tc>
      </w:tr>
      <w:tr>
        <w:trPr>
          <w:trHeight w:val="9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6ECCB283">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Fonte de Recursos: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6CC6AAE3">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1.600.0000603</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bl>
    <w:p w14:paraId="6B32BBE8">
      <w:pPr>
        <w:pBdr/>
        <w:spacing w:line="360" w:lineRule="auto"/>
        <w:ind/>
        <w:jc w:val="both"/>
        <w:rPr>
          <w:rFonts w:ascii="Times New Roman" w:hAnsi="Times New Roman" w:eastAsia="Times New Roman" w:cs="Times New Roman"/>
          <w:color w:val="000000"/>
          <w:sz w:val="6"/>
          <w:szCs w:val="6"/>
          <w:lang w:val="pt-BR" w:eastAsia="pt-BR"/>
        </w:rPr>
      </w:pPr>
      <w:r>
        <w:rPr>
          <w:rFonts w:ascii="Times New Roman" w:hAnsi="Times New Roman" w:eastAsia="Times New Roman" w:cs="Times New Roman"/>
          <w:color w:val="000000"/>
          <w:sz w:val="6"/>
          <w:szCs w:val="6"/>
          <w:lang w:val="pt-BR" w:eastAsia="pt-BR"/>
        </w:rPr>
      </w:r>
      <w:r>
        <w:rPr>
          <w:rFonts w:ascii="Times New Roman" w:hAnsi="Times New Roman" w:eastAsia="Times New Roman" w:cs="Times New Roman"/>
          <w:color w:val="000000"/>
          <w:sz w:val="6"/>
          <w:szCs w:val="6"/>
          <w:lang w:val="pt-BR" w:eastAsia="pt-BR"/>
        </w:rPr>
      </w:r>
      <w:r>
        <w:rPr>
          <w:rFonts w:ascii="Times New Roman" w:hAnsi="Times New Roman" w:eastAsia="Times New Roman" w:cs="Times New Roman"/>
          <w:color w:val="000000"/>
          <w:sz w:val="6"/>
          <w:szCs w:val="6"/>
          <w:lang w:val="pt-BR" w:eastAsia="pt-BR"/>
        </w:rPr>
      </w:r>
    </w:p>
    <w:tbl>
      <w:tblPr>
        <w:tblInd w:w="846" w:type="dxa"/>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9"/>
        <w:gridCol w:w="7258"/>
      </w:tblGrid>
      <w:tr>
        <w:trPr>
          <w:trHeight w:val="72"/>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5F86E97F">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Órgão: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6D40B6F9">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02 – PREFEITURA MUNICIPAL DE RONDONÓPOLIS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14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59FF2F90">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Unidade: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66BD8F85">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014 – FUNDO MUNICIPAL DE SAÚDE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57282258">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Função Programática: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46817151">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10.302.2203. 2201 - MANUTENÇÃO E AMPLIAÇÃO DOS SERVIÇOS DO CENTRO ESPECIALIZADO EM REABILITAÇÃO NILMO JÚNIOR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79"/>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2FBB271C">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Elemento da Despesa: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65C42048">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3.3.90.30.00.00 – MATERIAL DE CONSUMO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5258F318">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Reduzido: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2D5757CE">
            <w:pPr>
              <w:pBdr/>
              <w:spacing/>
              <w:ind/>
              <w:jc w:val="both"/>
              <w:rPr>
                <w:rFonts w:ascii="Times New Roman" w:hAnsi="Times New Roman" w:eastAsia="Times New Roman" w:cs="Times New Roman"/>
                <w:b/>
                <w:color w:val="000000"/>
                <w:sz w:val="13"/>
                <w:szCs w:val="13"/>
                <w:lang w:val="pt-BR" w:eastAsia="pt-BR"/>
              </w:rPr>
            </w:pPr>
            <w:r>
              <w:rPr>
                <w:rFonts w:ascii="Times New Roman" w:hAnsi="Times New Roman" w:eastAsia="Times New Roman" w:cs="Times New Roman"/>
                <w:b/>
                <w:color w:val="000000"/>
                <w:sz w:val="13"/>
                <w:szCs w:val="13"/>
                <w:lang w:val="pt-BR" w:eastAsia="pt-BR"/>
              </w:rPr>
              <w:t xml:space="preserve">650</w:t>
            </w:r>
            <w:r>
              <w:rPr>
                <w:rFonts w:ascii="Times New Roman" w:hAnsi="Times New Roman" w:eastAsia="Times New Roman" w:cs="Times New Roman"/>
                <w:b/>
                <w:color w:val="000000"/>
                <w:sz w:val="13"/>
                <w:szCs w:val="13"/>
                <w:lang w:val="pt-BR" w:eastAsia="pt-BR"/>
              </w:rPr>
            </w:r>
            <w:r>
              <w:rPr>
                <w:rFonts w:ascii="Times New Roman" w:hAnsi="Times New Roman" w:eastAsia="Times New Roman" w:cs="Times New Roman"/>
                <w:b/>
                <w:color w:val="000000"/>
                <w:sz w:val="13"/>
                <w:szCs w:val="13"/>
                <w:lang w:val="pt-BR" w:eastAsia="pt-BR"/>
              </w:rPr>
            </w:r>
          </w:p>
        </w:tc>
      </w:tr>
      <w:tr>
        <w:trPr>
          <w:trHeight w:val="9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449979CC">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Fonte de Recursos: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2E1E83BE">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1.500.1002000</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bl>
    <w:p w14:paraId="625E70F3">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bl>
      <w:tblPr>
        <w:tblInd w:w="846" w:type="dxa"/>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9"/>
        <w:gridCol w:w="7258"/>
      </w:tblGrid>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7CBE33E0">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Órgão: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5FD7765A">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02 – PREFEITURA MUNICIPAL DE RONDONÓPOLIS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14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13DC0AFE">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Unidade: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5993258C">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014 – FUNDO MUNICIPAL DE SAÚDE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9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7325A37C">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Função Programática: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09FEDA0F">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10.302.2203. 2201 - MANUTENÇÃO E AMPLIAÇÃO DOS SERVIÇOS DO CENTRO ESPECIALIZADO EM REABILITAÇÃO NILMO JÚNIOR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65A60DD5">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Elemento da Despesa: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183AE766">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3.3.90.30.00.00 – MATERIAL DE CONSUMO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34C2FB43">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Reduzido: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2AF8D087">
            <w:pPr>
              <w:pBdr/>
              <w:spacing/>
              <w:ind/>
              <w:jc w:val="both"/>
              <w:rPr>
                <w:rFonts w:ascii="Times New Roman" w:hAnsi="Times New Roman" w:eastAsia="Times New Roman" w:cs="Times New Roman"/>
                <w:b/>
                <w:color w:val="000000"/>
                <w:sz w:val="13"/>
                <w:szCs w:val="13"/>
                <w:lang w:val="pt-BR" w:eastAsia="pt-BR"/>
              </w:rPr>
            </w:pPr>
            <w:r>
              <w:rPr>
                <w:rFonts w:ascii="Times New Roman" w:hAnsi="Times New Roman" w:eastAsia="Times New Roman" w:cs="Times New Roman"/>
                <w:b/>
                <w:color w:val="000000"/>
                <w:sz w:val="13"/>
                <w:szCs w:val="13"/>
                <w:lang w:val="pt-BR" w:eastAsia="pt-BR"/>
              </w:rPr>
              <w:t xml:space="preserve">651</w:t>
            </w:r>
            <w:r>
              <w:rPr>
                <w:rFonts w:ascii="Times New Roman" w:hAnsi="Times New Roman" w:eastAsia="Times New Roman" w:cs="Times New Roman"/>
                <w:b/>
                <w:color w:val="000000"/>
                <w:sz w:val="13"/>
                <w:szCs w:val="13"/>
                <w:lang w:val="pt-BR" w:eastAsia="pt-BR"/>
              </w:rPr>
            </w:r>
            <w:r>
              <w:rPr>
                <w:rFonts w:ascii="Times New Roman" w:hAnsi="Times New Roman" w:eastAsia="Times New Roman" w:cs="Times New Roman"/>
                <w:b/>
                <w:color w:val="000000"/>
                <w:sz w:val="13"/>
                <w:szCs w:val="13"/>
                <w:lang w:val="pt-BR" w:eastAsia="pt-BR"/>
              </w:rPr>
            </w:r>
          </w:p>
        </w:tc>
      </w:tr>
      <w:tr>
        <w:trPr>
          <w:trHeight w:val="9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710F05FE">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Fonte de Recursos: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3CC7AF83">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1.600.0000603</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bl>
    <w:p w14:paraId="2B3F226B">
      <w:pPr>
        <w:pBdr/>
        <w:spacing w:line="360" w:lineRule="auto"/>
        <w:ind/>
        <w:rPr>
          <w:rFonts w:eastAsia="Times New Roman"/>
          <w:b/>
          <w:color w:val="000000"/>
          <w:sz w:val="6"/>
          <w:szCs w:val="6"/>
          <w:u w:val="single"/>
          <w:lang w:val="pt-BR" w:eastAsia="pt-BR"/>
        </w:rPr>
      </w:pPr>
      <w:r>
        <w:rPr>
          <w:rFonts w:eastAsia="Times New Roman"/>
          <w:b/>
          <w:color w:val="000000"/>
          <w:sz w:val="6"/>
          <w:szCs w:val="6"/>
          <w:u w:val="single"/>
          <w:lang w:val="pt-BR" w:eastAsia="pt-BR"/>
        </w:rPr>
      </w:r>
      <w:r>
        <w:rPr>
          <w:rFonts w:eastAsia="Times New Roman"/>
          <w:b/>
          <w:color w:val="000000"/>
          <w:sz w:val="6"/>
          <w:szCs w:val="6"/>
          <w:u w:val="single"/>
          <w:lang w:val="pt-BR" w:eastAsia="pt-BR"/>
        </w:rPr>
      </w:r>
      <w:r>
        <w:rPr>
          <w:rFonts w:eastAsia="Times New Roman"/>
          <w:b/>
          <w:color w:val="000000"/>
          <w:sz w:val="6"/>
          <w:szCs w:val="6"/>
          <w:u w:val="single"/>
          <w:lang w:val="pt-BR" w:eastAsia="pt-BR"/>
        </w:rPr>
      </w:r>
    </w:p>
    <w:tbl>
      <w:tblPr>
        <w:tblInd w:w="846" w:type="dxa"/>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17"/>
        <w:gridCol w:w="7230"/>
      </w:tblGrid>
      <w:tr>
        <w:trPr>
          <w:trHeight w:val="123"/>
        </w:trPr>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14:paraId="601C2664">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Órgão: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30" w:type="dxa"/>
            <w:textDirection w:val="lrTb"/>
            <w:noWrap w:val="false"/>
          </w:tcPr>
          <w:p w14:paraId="2E8E8E13">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02 – PREFEITURA MUNICIPAL DE RONDONÓPOLIS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83"/>
        </w:trPr>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14:paraId="239ECA4B">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Unidade: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30" w:type="dxa"/>
            <w:textDirection w:val="lrTb"/>
            <w:noWrap w:val="false"/>
          </w:tcPr>
          <w:p w14:paraId="06600EA2">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014 – FUNDO MUNICIPAL DE SAÚDE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174"/>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14:paraId="7CBD5064">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Função Programática: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14:paraId="47102D7D">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10.301.2202.1036 - EQUIPAR A ATENÇÃO PRIMÁRIA À SAÚDE - APS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64"/>
        </w:trPr>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14:paraId="104CB54B">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Elemento da Despesa: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30" w:type="dxa"/>
            <w:textDirection w:val="lrTb"/>
            <w:noWrap w:val="false"/>
          </w:tcPr>
          <w:p w14:paraId="273FEC80">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4.4.90.52 – EQUIPAMENTOS E MATERIAL PERMANENTE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14:paraId="3485FFD4">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Reduzido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30" w:type="dxa"/>
            <w:textDirection w:val="lrTb"/>
            <w:noWrap w:val="false"/>
          </w:tcPr>
          <w:p w14:paraId="10849FE1">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688</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14:paraId="166E67FA">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Fonte de Recursos: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30" w:type="dxa"/>
            <w:textDirection w:val="lrTb"/>
            <w:noWrap w:val="false"/>
          </w:tcPr>
          <w:p w14:paraId="6C8942AD">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1.500.1002000</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bl>
    <w:p w14:paraId="325EC4E5">
      <w:pPr>
        <w:pBdr/>
        <w:spacing/>
        <w:ind/>
        <w:rPr>
          <w:rFonts w:ascii="Calibri" w:hAnsi="Calibri"/>
          <w:b/>
          <w:sz w:val="13"/>
          <w:szCs w:val="13"/>
          <w:u w:val="single"/>
        </w:rPr>
      </w:pPr>
      <w:r>
        <w:rPr>
          <w:rFonts w:ascii="Calibri" w:hAnsi="Calibri"/>
          <w:b/>
          <w:sz w:val="13"/>
          <w:szCs w:val="13"/>
          <w:u w:val="single"/>
        </w:rPr>
      </w:r>
      <w:r>
        <w:rPr>
          <w:rFonts w:ascii="Calibri" w:hAnsi="Calibri"/>
          <w:b/>
          <w:sz w:val="13"/>
          <w:szCs w:val="13"/>
          <w:u w:val="single"/>
        </w:rPr>
      </w:r>
      <w:r>
        <w:rPr>
          <w:rFonts w:ascii="Calibri" w:hAnsi="Calibri"/>
          <w:b/>
          <w:sz w:val="13"/>
          <w:szCs w:val="13"/>
          <w:u w:val="single"/>
        </w:rPr>
      </w:r>
    </w:p>
    <w:tbl>
      <w:tblPr>
        <w:tblInd w:w="846" w:type="dxa"/>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9"/>
        <w:gridCol w:w="7258"/>
      </w:tblGrid>
      <w:tr>
        <w:trPr>
          <w:trHeight w:val="132"/>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4201BA5A">
            <w:pPr>
              <w:pBdr/>
              <w:spacing/>
              <w:ind/>
              <w:jc w:val="right"/>
              <w:rPr>
                <w:rFonts w:ascii="Times New Roman" w:hAnsi="Times New Roman" w:cs="Times New Roman"/>
                <w:sz w:val="13"/>
                <w:szCs w:val="13"/>
              </w:rPr>
            </w:pPr>
            <w:r>
              <w:rPr>
                <w:rFonts w:ascii="Times New Roman" w:hAnsi="Times New Roman" w:cs="Times New Roman"/>
                <w:sz w:val="13"/>
                <w:szCs w:val="13"/>
              </w:rPr>
              <w:t xml:space="preserve">Órgão:</w:t>
            </w:r>
            <w:r>
              <w:rPr>
                <w:rFonts w:ascii="Times New Roman" w:hAnsi="Times New Roman" w:cs="Times New Roman"/>
                <w:sz w:val="13"/>
                <w:szCs w:val="13"/>
              </w:rPr>
            </w:r>
            <w:r>
              <w:rPr>
                <w:rFonts w:ascii="Times New Roman" w:hAnsi="Times New Roman" w:cs="Times New Roman"/>
                <w:sz w:val="13"/>
                <w:szCs w:val="13"/>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320A7E96">
            <w:pPr>
              <w:pBdr/>
              <w:spacing/>
              <w:ind/>
              <w:jc w:val="both"/>
              <w:rPr>
                <w:rFonts w:ascii="Times New Roman" w:hAnsi="Times New Roman" w:cs="Times New Roman"/>
                <w:sz w:val="13"/>
                <w:szCs w:val="13"/>
              </w:rPr>
            </w:pPr>
            <w:r>
              <w:rPr>
                <w:rFonts w:ascii="Times New Roman" w:hAnsi="Times New Roman" w:cs="Times New Roman"/>
                <w:sz w:val="13"/>
                <w:szCs w:val="13"/>
              </w:rPr>
              <w:t xml:space="preserve">02 – PREFEITURA MUNICIPAL DE RONDONÓPOLIS</w:t>
            </w:r>
            <w:r>
              <w:rPr>
                <w:rFonts w:ascii="Times New Roman" w:hAnsi="Times New Roman" w:cs="Times New Roman"/>
                <w:sz w:val="13"/>
                <w:szCs w:val="13"/>
              </w:rPr>
            </w:r>
            <w:r>
              <w:rPr>
                <w:rFonts w:ascii="Times New Roman" w:hAnsi="Times New Roman" w:cs="Times New Roman"/>
                <w:sz w:val="13"/>
                <w:szCs w:val="13"/>
              </w:rPr>
            </w:r>
          </w:p>
        </w:tc>
      </w:tr>
      <w:tr>
        <w:trPr>
          <w:trHeight w:val="14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6370C5FF">
            <w:pPr>
              <w:pBdr/>
              <w:spacing/>
              <w:ind/>
              <w:jc w:val="right"/>
              <w:rPr>
                <w:rFonts w:ascii="Times New Roman" w:hAnsi="Times New Roman" w:cs="Times New Roman"/>
                <w:sz w:val="13"/>
                <w:szCs w:val="13"/>
              </w:rPr>
            </w:pPr>
            <w:r>
              <w:rPr>
                <w:rFonts w:ascii="Times New Roman" w:hAnsi="Times New Roman" w:cs="Times New Roman"/>
                <w:sz w:val="13"/>
                <w:szCs w:val="13"/>
              </w:rPr>
              <w:t xml:space="preserve">Unidade:</w:t>
            </w:r>
            <w:r>
              <w:rPr>
                <w:rFonts w:ascii="Times New Roman" w:hAnsi="Times New Roman" w:cs="Times New Roman"/>
                <w:sz w:val="13"/>
                <w:szCs w:val="13"/>
              </w:rPr>
            </w:r>
            <w:r>
              <w:rPr>
                <w:rFonts w:ascii="Times New Roman" w:hAnsi="Times New Roman" w:cs="Times New Roman"/>
                <w:sz w:val="13"/>
                <w:szCs w:val="13"/>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1D18B5DC">
            <w:pPr>
              <w:pBdr/>
              <w:spacing/>
              <w:ind/>
              <w:jc w:val="both"/>
              <w:rPr>
                <w:rFonts w:ascii="Times New Roman" w:hAnsi="Times New Roman" w:cs="Times New Roman"/>
                <w:sz w:val="13"/>
                <w:szCs w:val="13"/>
              </w:rPr>
            </w:pPr>
            <w:r>
              <w:rPr>
                <w:rFonts w:ascii="Times New Roman" w:hAnsi="Times New Roman" w:cs="Times New Roman"/>
                <w:sz w:val="13"/>
                <w:szCs w:val="13"/>
              </w:rPr>
              <w:t xml:space="preserve">014 – FUNDO MUNICIPAL DE SAÚDE </w:t>
            </w:r>
            <w:r>
              <w:rPr>
                <w:rFonts w:ascii="Times New Roman" w:hAnsi="Times New Roman" w:cs="Times New Roman"/>
                <w:sz w:val="13"/>
                <w:szCs w:val="13"/>
              </w:rPr>
            </w:r>
            <w:r>
              <w:rPr>
                <w:rFonts w:ascii="Times New Roman" w:hAnsi="Times New Roman" w:cs="Times New Roman"/>
                <w:sz w:val="13"/>
                <w:szCs w:val="13"/>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14:paraId="38A45A4E">
            <w:pPr>
              <w:pBdr/>
              <w:spacing/>
              <w:ind/>
              <w:jc w:val="right"/>
              <w:rPr>
                <w:rFonts w:ascii="Times New Roman" w:hAnsi="Times New Roman" w:cs="Times New Roman"/>
                <w:sz w:val="13"/>
                <w:szCs w:val="13"/>
              </w:rPr>
            </w:pPr>
            <w:r>
              <w:rPr>
                <w:rFonts w:ascii="Times New Roman" w:hAnsi="Times New Roman" w:cs="Times New Roman"/>
                <w:sz w:val="13"/>
                <w:szCs w:val="13"/>
              </w:rPr>
              <w:t xml:space="preserve">Função Programática:</w:t>
            </w:r>
            <w:r>
              <w:rPr>
                <w:rFonts w:ascii="Times New Roman" w:hAnsi="Times New Roman" w:cs="Times New Roman"/>
                <w:sz w:val="13"/>
                <w:szCs w:val="13"/>
              </w:rPr>
            </w:r>
            <w:r>
              <w:rPr>
                <w:rFonts w:ascii="Times New Roman" w:hAnsi="Times New Roman" w:cs="Times New Roman"/>
                <w:sz w:val="13"/>
                <w:szCs w:val="13"/>
              </w:rPr>
            </w:r>
          </w:p>
        </w:tc>
        <w:tc>
          <w:tcPr>
            <w:tcBorders>
              <w:top w:val="single" w:color="000000" w:sz="4" w:space="0"/>
              <w:left w:val="single" w:color="000000" w:sz="4" w:space="0"/>
              <w:bottom w:val="single" w:color="000000" w:sz="4" w:space="0"/>
              <w:right w:val="single" w:color="000000" w:sz="4" w:space="0"/>
            </w:tcBorders>
            <w:tcW w:w="7258" w:type="dxa"/>
            <w:vAlign w:val="center"/>
            <w:textDirection w:val="lrTb"/>
            <w:noWrap w:val="false"/>
          </w:tcPr>
          <w:p w14:paraId="24A90676">
            <w:pPr>
              <w:pBdr/>
              <w:spacing/>
              <w:ind/>
              <w:jc w:val="both"/>
              <w:rPr>
                <w:rFonts w:ascii="Times New Roman" w:hAnsi="Times New Roman" w:cs="Times New Roman"/>
                <w:sz w:val="13"/>
                <w:szCs w:val="13"/>
              </w:rPr>
            </w:pPr>
            <w:r>
              <w:rPr>
                <w:rFonts w:ascii="Times New Roman" w:hAnsi="Times New Roman" w:cs="Times New Roman"/>
                <w:sz w:val="13"/>
                <w:szCs w:val="13"/>
              </w:rPr>
              <w:t xml:space="preserve">10.302.2203.1037 - EQUIPAR A MEDIA E ALTA COMPLEXIDADE </w:t>
            </w:r>
            <w:r>
              <w:rPr>
                <w:rFonts w:ascii="Times New Roman" w:hAnsi="Times New Roman" w:cs="Times New Roman"/>
                <w:sz w:val="13"/>
                <w:szCs w:val="13"/>
              </w:rPr>
            </w:r>
            <w:r>
              <w:rPr>
                <w:rFonts w:ascii="Times New Roman" w:hAnsi="Times New Roman" w:cs="Times New Roman"/>
                <w:sz w:val="13"/>
                <w:szCs w:val="13"/>
              </w:rPr>
            </w:r>
          </w:p>
        </w:tc>
      </w:tr>
      <w:tr>
        <w:trPr>
          <w:trHeight w:val="123"/>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6669969C">
            <w:pPr>
              <w:pBdr/>
              <w:spacing/>
              <w:ind/>
              <w:jc w:val="right"/>
              <w:rPr>
                <w:rFonts w:ascii="Times New Roman" w:hAnsi="Times New Roman" w:cs="Times New Roman"/>
                <w:sz w:val="13"/>
                <w:szCs w:val="13"/>
              </w:rPr>
            </w:pPr>
            <w:r>
              <w:rPr>
                <w:rFonts w:ascii="Times New Roman" w:hAnsi="Times New Roman" w:cs="Times New Roman"/>
                <w:sz w:val="13"/>
                <w:szCs w:val="13"/>
              </w:rPr>
              <w:t xml:space="preserve">Elemento da Despesa:</w:t>
            </w:r>
            <w:r>
              <w:rPr>
                <w:rFonts w:ascii="Times New Roman" w:hAnsi="Times New Roman" w:cs="Times New Roman"/>
                <w:sz w:val="13"/>
                <w:szCs w:val="13"/>
              </w:rPr>
            </w:r>
            <w:r>
              <w:rPr>
                <w:rFonts w:ascii="Times New Roman" w:hAnsi="Times New Roman" w:cs="Times New Roman"/>
                <w:sz w:val="13"/>
                <w:szCs w:val="13"/>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3D0BE993">
            <w:pPr>
              <w:pBdr/>
              <w:spacing/>
              <w:ind/>
              <w:jc w:val="both"/>
              <w:rPr>
                <w:rFonts w:ascii="Times New Roman" w:hAnsi="Times New Roman" w:cs="Times New Roman"/>
                <w:sz w:val="13"/>
                <w:szCs w:val="13"/>
              </w:rPr>
            </w:pPr>
            <w:r>
              <w:rPr>
                <w:rFonts w:ascii="Times New Roman" w:hAnsi="Times New Roman" w:cs="Times New Roman"/>
                <w:sz w:val="13"/>
                <w:szCs w:val="13"/>
              </w:rPr>
              <w:t xml:space="preserve">4.4.90.52 – EQUIPAMENTOS E MATERIAL PERMANENTE</w:t>
            </w:r>
            <w:r>
              <w:rPr>
                <w:rFonts w:ascii="Times New Roman" w:hAnsi="Times New Roman" w:cs="Times New Roman"/>
                <w:sz w:val="13"/>
                <w:szCs w:val="13"/>
              </w:rPr>
            </w:r>
            <w:r>
              <w:rPr>
                <w:rFonts w:ascii="Times New Roman" w:hAnsi="Times New Roman" w:cs="Times New Roman"/>
                <w:sz w:val="13"/>
                <w:szCs w:val="13"/>
              </w:rPr>
            </w:r>
          </w:p>
        </w:tc>
      </w:tr>
      <w:tr>
        <w:trPr>
          <w:trHeight w:val="9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2C2D4EDF">
            <w:pPr>
              <w:pBdr/>
              <w:spacing/>
              <w:ind/>
              <w:jc w:val="right"/>
              <w:rPr>
                <w:rFonts w:ascii="Times New Roman" w:hAnsi="Times New Roman" w:cs="Times New Roman"/>
                <w:sz w:val="13"/>
                <w:szCs w:val="13"/>
              </w:rPr>
            </w:pPr>
            <w:r>
              <w:rPr>
                <w:rFonts w:ascii="Times New Roman" w:hAnsi="Times New Roman" w:cs="Times New Roman"/>
                <w:sz w:val="13"/>
                <w:szCs w:val="13"/>
              </w:rPr>
              <w:t xml:space="preserve">Reduzido</w:t>
            </w:r>
            <w:r>
              <w:rPr>
                <w:rFonts w:ascii="Times New Roman" w:hAnsi="Times New Roman" w:cs="Times New Roman"/>
                <w:sz w:val="13"/>
                <w:szCs w:val="13"/>
              </w:rPr>
            </w:r>
            <w:r>
              <w:rPr>
                <w:rFonts w:ascii="Times New Roman" w:hAnsi="Times New Roman" w:cs="Times New Roman"/>
                <w:sz w:val="13"/>
                <w:szCs w:val="13"/>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5F4F4E7B">
            <w:pPr>
              <w:pBdr/>
              <w:spacing/>
              <w:ind/>
              <w:jc w:val="both"/>
              <w:rPr>
                <w:rFonts w:ascii="Times New Roman" w:hAnsi="Times New Roman" w:cs="Times New Roman"/>
                <w:sz w:val="13"/>
                <w:szCs w:val="13"/>
              </w:rPr>
            </w:pPr>
            <w:r>
              <w:rPr>
                <w:rFonts w:ascii="Times New Roman" w:hAnsi="Times New Roman" w:cs="Times New Roman"/>
                <w:sz w:val="13"/>
                <w:szCs w:val="13"/>
              </w:rPr>
              <w:t xml:space="preserve">568</w:t>
            </w:r>
            <w:r>
              <w:rPr>
                <w:rFonts w:ascii="Times New Roman" w:hAnsi="Times New Roman" w:cs="Times New Roman"/>
                <w:sz w:val="13"/>
                <w:szCs w:val="13"/>
              </w:rPr>
            </w:r>
            <w:r>
              <w:rPr>
                <w:rFonts w:ascii="Times New Roman" w:hAnsi="Times New Roman" w:cs="Times New Roman"/>
                <w:sz w:val="13"/>
                <w:szCs w:val="13"/>
              </w:rPr>
            </w:r>
          </w:p>
        </w:tc>
      </w:tr>
      <w:tr>
        <w:trPr>
          <w:trHeight w:val="9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5A518097">
            <w:pPr>
              <w:pBdr/>
              <w:spacing/>
              <w:ind/>
              <w:jc w:val="right"/>
              <w:rPr>
                <w:rFonts w:ascii="Times New Roman" w:hAnsi="Times New Roman" w:cs="Times New Roman"/>
                <w:sz w:val="13"/>
                <w:szCs w:val="13"/>
              </w:rPr>
            </w:pPr>
            <w:r>
              <w:rPr>
                <w:rFonts w:ascii="Times New Roman" w:hAnsi="Times New Roman" w:cs="Times New Roman"/>
                <w:sz w:val="13"/>
                <w:szCs w:val="13"/>
              </w:rPr>
              <w:t xml:space="preserve">Fonte de Recursos:</w:t>
            </w:r>
            <w:r>
              <w:rPr>
                <w:rFonts w:ascii="Times New Roman" w:hAnsi="Times New Roman" w:cs="Times New Roman"/>
                <w:sz w:val="13"/>
                <w:szCs w:val="13"/>
              </w:rPr>
            </w:r>
            <w:r>
              <w:rPr>
                <w:rFonts w:ascii="Times New Roman" w:hAnsi="Times New Roman" w:cs="Times New Roman"/>
                <w:sz w:val="13"/>
                <w:szCs w:val="13"/>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4FE0C0A6">
            <w:pPr>
              <w:pBdr/>
              <w:spacing/>
              <w:ind/>
              <w:jc w:val="both"/>
              <w:rPr>
                <w:rFonts w:ascii="Times New Roman" w:hAnsi="Times New Roman" w:cs="Times New Roman"/>
                <w:sz w:val="13"/>
                <w:szCs w:val="13"/>
              </w:rPr>
            </w:pPr>
            <w:r>
              <w:rPr>
                <w:rFonts w:ascii="Times New Roman" w:hAnsi="Times New Roman" w:cs="Times New Roman"/>
                <w:sz w:val="13"/>
                <w:szCs w:val="13"/>
              </w:rPr>
              <w:t xml:space="preserve">1.500.1002000</w:t>
            </w:r>
            <w:r>
              <w:rPr>
                <w:rFonts w:ascii="Times New Roman" w:hAnsi="Times New Roman" w:cs="Times New Roman"/>
                <w:sz w:val="13"/>
                <w:szCs w:val="13"/>
              </w:rPr>
            </w:r>
            <w:r>
              <w:rPr>
                <w:rFonts w:ascii="Times New Roman" w:hAnsi="Times New Roman" w:cs="Times New Roman"/>
                <w:sz w:val="13"/>
                <w:szCs w:val="13"/>
              </w:rPr>
            </w:r>
          </w:p>
        </w:tc>
      </w:tr>
    </w:tbl>
    <w:p w14:paraId="2E52F5A8">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eastAsia="Arial"/>
          <w:color w:val="231f20"/>
        </w:rPr>
      </w:pPr>
      <w:r>
        <w:rPr>
          <w:rFonts w:ascii="Arial" w:hAnsi="Arial"/>
          <w:b/>
          <w:bCs/>
        </w:rPr>
        <w:t xml:space="preserve">31.1.1.</w:t>
      </w:r>
      <w:r>
        <w:rPr>
          <w:rFonts w:ascii="Arial" w:hAnsi="Arial" w:eastAsia="Arial"/>
          <w:color w:val="231f20"/>
        </w:rPr>
        <w:t xml:space="preserve"> É possível encontrar o Plano Anual de Contratação no site: </w:t>
      </w:r>
      <w:hyperlink r:id="rId34" w:tooltip="https://transparencia.rondonopolis.mt.gov.br/rondonopolis/publicacoes/23" w:history="1">
        <w:r>
          <w:rPr>
            <w:rFonts w:ascii="Arial" w:hAnsi="Arial" w:eastAsia="Arial"/>
            <w:color w:val="231f20"/>
          </w:rPr>
          <w:t xml:space="preserve">https://transparencia.rondonopolis.mt.gov.br/rondonopolis/publicacoes/23</w:t>
        </w:r>
      </w:hyperlink>
      <w:r>
        <w:rPr>
          <w:rFonts w:ascii="Arial" w:hAnsi="Arial" w:eastAsia="Arial"/>
          <w:color w:val="231f20"/>
        </w:rPr>
        <w:t xml:space="preserve"> </w:t>
      </w:r>
      <w:r>
        <w:rPr>
          <w:rFonts w:ascii="Arial" w:hAnsi="Arial" w:eastAsia="Arial"/>
          <w:color w:val="231f20"/>
        </w:rPr>
      </w:r>
      <w:r>
        <w:rPr>
          <w:rFonts w:ascii="Arial" w:hAnsi="Arial" w:eastAsia="Arial"/>
          <w:color w:val="231f20"/>
        </w:rPr>
      </w:r>
    </w:p>
    <w:p>
      <w:pPr>
        <w:pBdr/>
        <w:spacing/>
        <w:ind/>
        <w:jc w:val="both"/>
        <w:outlineLvl w:val="0"/>
        <w:rPr>
          <w:rFonts w:ascii="Arial" w:hAnsi="Arial"/>
          <w:b/>
          <w:bCs/>
          <w:color w:val="000000"/>
        </w:rPr>
      </w:pPr>
      <w:r>
        <w:rPr>
          <w:rFonts w:ascii="Arial" w:hAnsi="Arial"/>
          <w:b/>
          <w:bCs/>
          <w:color w:val="000000"/>
        </w:rPr>
      </w:r>
      <w:r>
        <w:rPr>
          <w:rFonts w:ascii="Arial" w:hAnsi="Arial"/>
          <w:b/>
          <w:bCs/>
          <w:color w:val="000000"/>
        </w:rPr>
      </w:r>
      <w:r>
        <w:rPr>
          <w:rFonts w:ascii="Arial" w:hAnsi="Arial"/>
          <w:b/>
          <w:bCs/>
          <w:color w:val="000000"/>
        </w:rPr>
      </w:r>
    </w:p>
    <w:p>
      <w:pPr>
        <w:pBdr/>
        <w:spacing/>
        <w:ind/>
        <w:jc w:val="both"/>
        <w:outlineLvl w:val="0"/>
        <w:rPr/>
      </w:pPr>
      <w:r/>
      <w:bookmarkStart w:id="88" w:name="_Toc32"/>
      <w:r>
        <w:rPr>
          <w:rFonts w:ascii="Arial" w:hAnsi="Arial" w:eastAsia="Arial"/>
          <w:b/>
          <w:bCs/>
          <w:color w:val="000000"/>
        </w:rPr>
        <w:t xml:space="preserve">32.</w:t>
      </w:r>
      <w:r>
        <w:rPr>
          <w:rFonts w:ascii="Arial" w:hAnsi="Arial"/>
          <w:b/>
          <w:color w:val="000000"/>
        </w:rPr>
        <w:t xml:space="preserve"> DOS CRITÉRIO</w:t>
      </w:r>
      <w:r>
        <w:rPr>
          <w:rFonts w:ascii="Arial" w:hAnsi="Arial"/>
          <w:b/>
          <w:color w:val="000000"/>
        </w:rPr>
        <w:t xml:space="preserve">S DE MEDIÇÃO E DE PAGAMENTO</w:t>
      </w:r>
      <w:r>
        <w:rPr>
          <w:rFonts w:ascii="Arial" w:hAnsi="Arial" w:eastAsia="Arial"/>
          <w:b/>
          <w:bCs/>
          <w:color w:val="000000"/>
        </w:rPr>
        <w:t xml:space="preserve">:</w:t>
      </w:r>
      <w:bookmarkEnd w:id="88"/>
      <w:r/>
      <w:r/>
    </w:p>
    <w:p>
      <w:pPr>
        <w:pBdr/>
        <w:spacing/>
        <w:ind/>
        <w:jc w:val="both"/>
        <w:rPr>
          <w:rFonts w:ascii="Arial" w:hAnsi="Arial"/>
          <w:b/>
          <w:bCs/>
          <w:color w:val="000000"/>
        </w:rPr>
      </w:pPr>
      <w:r>
        <w:rPr>
          <w:rFonts w:ascii="Arial" w:hAnsi="Arial"/>
          <w:b/>
          <w:bCs/>
          <w:color w:val="000000"/>
        </w:rPr>
      </w:r>
      <w:r>
        <w:rPr>
          <w:rFonts w:ascii="Arial" w:hAnsi="Arial"/>
          <w:b/>
          <w:bCs/>
          <w:color w:val="000000"/>
        </w:rPr>
      </w:r>
      <w:r>
        <w:rPr>
          <w:rFonts w:ascii="Arial" w:hAnsi="Arial"/>
          <w:b/>
          <w:bCs/>
          <w:color w:val="000000"/>
        </w:rPr>
      </w:r>
    </w:p>
    <w:p>
      <w:pPr>
        <w:pBdr/>
        <w:spacing/>
        <w:ind/>
        <w:jc w:val="both"/>
        <w:rPr>
          <w:rFonts w:ascii="Arial" w:hAnsi="Arial"/>
          <w:b/>
          <w:bCs/>
          <w:color w:val="000000"/>
        </w:rPr>
      </w:pPr>
      <w:r>
        <w:rPr>
          <w:rFonts w:ascii="Arial" w:hAnsi="Arial"/>
          <w:b/>
          <w:color w:val="000000"/>
        </w:rPr>
        <w:t xml:space="preserve">32.1. DOS CRITÉRIOS DE MEDIÇÃO E DE PAGAMENTO (Art. 6º, Inciso XXIII, letra “g”, Lei 14.133/2021):</w:t>
      </w:r>
      <w:r>
        <w:rPr>
          <w:rFonts w:ascii="Arial" w:hAnsi="Arial"/>
          <w:b/>
          <w:bCs/>
          <w:color w:val="000000"/>
        </w:rPr>
      </w:r>
      <w:r>
        <w:rPr>
          <w:rFonts w:ascii="Arial" w:hAnsi="Arial"/>
          <w:b/>
          <w:bCs/>
          <w:color w:val="000000"/>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color w:val="000000"/>
        </w:rPr>
      </w:pPr>
      <w:r>
        <w:rPr>
          <w:rFonts w:ascii="Arial" w:hAnsi="Arial"/>
          <w:b/>
          <w:bCs/>
          <w:color w:val="000000"/>
        </w:rPr>
        <w:t xml:space="preserve">32.1.1.</w:t>
      </w:r>
      <w:r>
        <w:rPr>
          <w:rFonts w:ascii="Arial" w:hAnsi="Arial"/>
          <w:color w:val="000000"/>
        </w:rPr>
        <w:t xml:space="preserve"> O recebimento </w:t>
      </w:r>
      <w:r>
        <w:rPr>
          <w:rFonts w:ascii="Arial" w:hAnsi="Arial"/>
          <w:bCs/>
          <w:color w:val="000000"/>
        </w:rPr>
        <w:t xml:space="preserve">dos bens </w:t>
      </w:r>
      <w:r>
        <w:rPr>
          <w:rFonts w:ascii="Arial" w:hAnsi="Arial"/>
          <w:color w:val="000000"/>
        </w:rPr>
        <w:t xml:space="preserve">se dará pelo responsável por seu acompanhamento e fiscalização (artigo 140, Inciso II, alínea “a” da Lei n.º 14.133/2021), no ato da entrega dos materiais, mediante Relatório, contendo o registro, a análise e a conclusão acerca das ocorrências na execução </w:t>
      </w:r>
      <w:r>
        <w:rPr>
          <w:rFonts w:ascii="Arial" w:hAnsi="Arial"/>
          <w:color w:val="000000"/>
        </w:rPr>
        <w:t xml:space="preserve">do contrato. Deverão, também, serem anexados os demais documentos que o responsável julgar necessário e, encontrando irregularidade, fixará prazo para correção.</w:t>
      </w:r>
      <w:r>
        <w:rPr>
          <w:color w:val="000000"/>
        </w:rPr>
      </w:r>
      <w:r>
        <w:rPr>
          <w:color w:val="000000"/>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rPr>
      </w:pPr>
      <w:r>
        <w:rPr>
          <w:rFonts w:ascii="Arial" w:hAnsi="Arial"/>
          <w:b/>
          <w:color w:val="000000"/>
        </w:rPr>
        <w:t xml:space="preserve">32.2.</w:t>
      </w:r>
      <w:r>
        <w:rPr>
          <w:rFonts w:ascii="Arial" w:hAnsi="Arial"/>
          <w:color w:val="000000"/>
        </w:rPr>
        <w:t xml:space="preserve"> A fiscalização notificará o contratado para se for o caso, no prazo de até 05 (cinco) di</w:t>
      </w:r>
      <w:r>
        <w:rPr>
          <w:rFonts w:ascii="Arial" w:hAnsi="Arial"/>
          <w:color w:val="000000"/>
        </w:rPr>
        <w:t xml:space="preserve">as úteis, impugnar os apontamentos do Relatório ou emitir a Nota Fiscal/Fatura no valor apurado.</w:t>
      </w:r>
      <w:r>
        <w:rPr>
          <w:rFonts w:ascii="Arial" w:hAnsi="Arial"/>
          <w:color w:val="000000"/>
        </w:rPr>
      </w:r>
      <w:r>
        <w:rPr>
          <w:rFonts w:ascii="Arial" w:hAnsi="Arial"/>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32.3.</w:t>
      </w:r>
      <w:r>
        <w:rPr>
          <w:rFonts w:ascii="Arial" w:hAnsi="Arial"/>
          <w:color w:val="000000"/>
        </w:rPr>
        <w:t xml:space="preserve"> Realizar a análise dos relatórios e de toda a documentação apresentada pela fiscalização e, caso haja irregularidades que impeçam a liquidação e o pagam</w:t>
      </w:r>
      <w:r>
        <w:rPr>
          <w:rFonts w:ascii="Arial" w:hAnsi="Arial"/>
          <w:color w:val="000000"/>
        </w:rPr>
        <w:t xml:space="preserve">ento da despesa, indicar as cláusulas contratuais pertinentes, solicitando ao contratado, por escrito, as respectivas correções;</w:t>
      </w:r>
      <w:r>
        <w:rPr>
          <w:rFonts w:ascii="Arial" w:hAnsi="Arial"/>
          <w:color w:val="000000"/>
        </w:rPr>
      </w:r>
      <w:r>
        <w:rPr>
          <w:rFonts w:ascii="Arial" w:hAnsi="Arial"/>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32.4.</w:t>
      </w:r>
      <w:r>
        <w:rPr>
          <w:rFonts w:ascii="Arial" w:hAnsi="Arial"/>
          <w:color w:val="000000"/>
        </w:rPr>
        <w:t xml:space="preserve"> Realizar a aposição de assinatura nas vias do Documento Auxiliar da NF-e (Danfe) ou na Nota Fiscal, emitida pelo contrat</w:t>
      </w:r>
      <w:r>
        <w:rPr>
          <w:rFonts w:ascii="Arial" w:hAnsi="Arial"/>
          <w:color w:val="000000"/>
        </w:rPr>
        <w:t xml:space="preserve">ado para os bens fornecidos.</w:t>
      </w:r>
      <w:r>
        <w:rPr>
          <w:rFonts w:ascii="Arial" w:hAnsi="Arial"/>
          <w:color w:val="000000"/>
        </w:rPr>
      </w:r>
      <w:r>
        <w:rPr>
          <w:rFonts w:ascii="Arial" w:hAnsi="Arial"/>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32.5.</w:t>
      </w:r>
      <w:r>
        <w:rPr>
          <w:rFonts w:ascii="Arial" w:hAnsi="Arial"/>
          <w:color w:val="000000"/>
        </w:rPr>
        <w:t xml:space="preserve"> O pagamento será efetuado pelo contratante em favor do contratado em até 30 (trinta) dias, mediante ordem bancária a ser depositada em conta corrente, no valor correspondente, após a apresentação da Nota Fiscal devidamen</w:t>
      </w:r>
      <w:r>
        <w:rPr>
          <w:rFonts w:ascii="Arial" w:hAnsi="Arial"/>
          <w:color w:val="000000"/>
        </w:rPr>
        <w:t xml:space="preserve">te atestada pela fiscalização do contratante. </w:t>
      </w:r>
      <w:r>
        <w:rPr>
          <w:rFonts w:ascii="Arial" w:hAnsi="Arial"/>
          <w:color w:val="000000"/>
        </w:rPr>
      </w:r>
      <w:r>
        <w:rPr>
          <w:rFonts w:ascii="Arial" w:hAnsi="Arial"/>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32.5.1.</w:t>
      </w:r>
      <w:r>
        <w:rPr>
          <w:rFonts w:ascii="Arial" w:hAnsi="Arial"/>
          <w:color w:val="000000"/>
        </w:rPr>
        <w:t xml:space="preserve"> O(s) pagamento(s) não realizado(s) dentro do prazo por eventos decorrentes do contratado, não será(ão)</w:t>
      </w:r>
      <w:r>
        <w:rPr>
          <w:rFonts w:ascii="Arial" w:hAnsi="Arial"/>
          <w:color w:val="000000"/>
        </w:rPr>
        <w:t xml:space="preserve"> gerador(es) de direito a qualquer acréscimo financeiro; A efetivação dos pagamentos não isentará o contratado das suas responsabilidades e das suas obrigações contratuais, especialmente aquelas relacionadas à qualidade e à garantia dos produtos entregues.</w:t>
      </w:r>
      <w:r>
        <w:rPr>
          <w:rFonts w:ascii="Arial" w:hAnsi="Arial"/>
          <w:color w:val="000000"/>
        </w:rPr>
      </w:r>
      <w:r>
        <w:rPr>
          <w:rFonts w:ascii="Arial" w:hAnsi="Arial"/>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outlineLvl w:val="0"/>
        <w:rPr>
          <w:rFonts w:ascii="Arial" w:hAnsi="Arial"/>
          <w:b/>
          <w:bCs/>
          <w:color w:val="000000"/>
        </w:rPr>
      </w:pPr>
      <w:r/>
      <w:bookmarkStart w:id="89" w:name="_Toc33"/>
      <w:r>
        <w:rPr>
          <w:rFonts w:ascii="Arial" w:hAnsi="Arial" w:eastAsia="Arial"/>
          <w:b/>
          <w:bCs/>
          <w:color w:val="000000"/>
        </w:rPr>
        <w:t xml:space="preserve">33.</w:t>
      </w:r>
      <w:r>
        <w:rPr>
          <w:rFonts w:ascii="Arial" w:hAnsi="Arial"/>
          <w:b/>
          <w:color w:val="000000"/>
        </w:rPr>
        <w:t xml:space="preserve"> </w:t>
      </w:r>
      <w:r>
        <w:rPr>
          <w:rFonts w:ascii="Arial" w:hAnsi="Arial"/>
          <w:b/>
          <w:color w:val="000000"/>
          <w:sz w:val="19"/>
          <w:szCs w:val="19"/>
        </w:rPr>
        <w:t xml:space="preserve">DA FORMA, CONDIÇÕES, PRAZOS DE PAGAMENTO</w:t>
      </w:r>
      <w:r>
        <w:rPr>
          <w:rFonts w:ascii="Arial" w:hAnsi="Arial" w:eastAsia="Arial"/>
          <w:b/>
          <w:bCs/>
          <w:color w:val="000000"/>
        </w:rPr>
        <w:t xml:space="preserve">:</w:t>
      </w:r>
      <w:r>
        <w:rPr>
          <w:rFonts w:ascii="Arial" w:hAnsi="Arial"/>
          <w:b/>
          <w:bCs/>
          <w:color w:val="000000"/>
        </w:rPr>
      </w:r>
      <w:bookmarkEnd w:id="89"/>
      <w:r>
        <w:rPr>
          <w:rFonts w:ascii="Arial" w:hAnsi="Arial"/>
          <w:b/>
          <w:bCs/>
          <w:color w:val="000000"/>
        </w:rPr>
      </w:r>
      <w:r>
        <w:rPr>
          <w:rFonts w:ascii="Arial" w:hAnsi="Arial"/>
          <w:b/>
          <w:bCs/>
          <w:color w:val="000000"/>
        </w:rPr>
      </w:r>
    </w:p>
    <w:p>
      <w:pPr>
        <w:pBdr/>
        <w:spacing/>
        <w:ind/>
        <w:jc w:val="both"/>
        <w:rPr>
          <w:color w:val="000000"/>
        </w:rPr>
      </w:pPr>
      <w:r>
        <w:rPr>
          <w:color w:val="000000"/>
        </w:rPr>
      </w:r>
      <w:r>
        <w:rPr>
          <w:color w:val="000000"/>
        </w:rPr>
      </w:r>
      <w:r>
        <w:rPr>
          <w:color w:val="000000"/>
        </w:rPr>
      </w:r>
    </w:p>
    <w:p>
      <w:pPr>
        <w:pBdr/>
        <w:spacing/>
        <w:ind/>
        <w:jc w:val="both"/>
        <w:rPr>
          <w:rFonts w:ascii="Arial" w:hAnsi="Arial"/>
          <w:b/>
          <w:bCs/>
          <w:color w:val="000000"/>
        </w:rPr>
      </w:pPr>
      <w:r>
        <w:rPr>
          <w:rFonts w:ascii="Arial" w:hAnsi="Arial"/>
          <w:b/>
          <w:color w:val="000000"/>
          <w:sz w:val="19"/>
          <w:szCs w:val="19"/>
        </w:rPr>
        <w:t xml:space="preserve">33.1. DA FORMA, CONDIÇÕES, PRAZOS DE PAGAMENTO, E CRITÉRIO DE REAJUSTE, QUANDO FOR O CASO: </w:t>
      </w:r>
      <w:r>
        <w:rPr>
          <w:rFonts w:ascii="Arial" w:hAnsi="Arial"/>
          <w:b/>
          <w:color w:val="000000"/>
        </w:rPr>
        <w:t xml:space="preserve">(Conf. Art. 92, Lei 14.133/2021):</w:t>
      </w:r>
      <w:r>
        <w:rPr>
          <w:rFonts w:ascii="Arial" w:hAnsi="Arial"/>
          <w:b/>
          <w:bCs/>
          <w:color w:val="000000"/>
        </w:rPr>
      </w:r>
      <w:r>
        <w:rPr>
          <w:rFonts w:ascii="Arial" w:hAnsi="Arial"/>
          <w:b/>
          <w:bCs/>
          <w:color w:val="000000"/>
        </w:rPr>
      </w:r>
    </w:p>
    <w:p>
      <w:pPr>
        <w:pBdr/>
        <w:spacing/>
        <w:ind w:left="284"/>
        <w:jc w:val="both"/>
        <w:rPr>
          <w:rFonts w:ascii="Arial" w:hAnsi="Arial"/>
        </w:rPr>
      </w:pPr>
      <w:r>
        <w:rPr>
          <w:rFonts w:ascii="Arial" w:hAnsi="Arial"/>
        </w:rPr>
      </w:r>
      <w:r>
        <w:rPr>
          <w:rFonts w:ascii="Arial" w:hAnsi="Arial"/>
        </w:rPr>
      </w:r>
      <w:r>
        <w:rPr>
          <w:rFonts w:ascii="Arial" w:hAnsi="Arial"/>
        </w:rPr>
      </w:r>
    </w:p>
    <w:p>
      <w:pPr>
        <w:pStyle w:val="2069"/>
        <w:pBdr/>
        <w:spacing w:before="0" w:line="240" w:lineRule="auto"/>
        <w:ind/>
        <w:jc w:val="both"/>
        <w:rPr>
          <w:rFonts w:cs="Arial"/>
          <w:sz w:val="20"/>
          <w:szCs w:val="20"/>
        </w:rPr>
      </w:pPr>
      <w:r>
        <w:rPr>
          <w:rFonts w:cs="Arial"/>
          <w:b/>
          <w:sz w:val="20"/>
          <w:szCs w:val="20"/>
        </w:rPr>
        <w:t xml:space="preserve">33.1.1.</w:t>
      </w:r>
      <w:r>
        <w:rPr>
          <w:rFonts w:cs="Arial"/>
          <w:sz w:val="20"/>
          <w:szCs w:val="20"/>
        </w:rPr>
        <w:t xml:space="preserve"> O Município de Rondonópolis efetuará os pagamentos por meio de ordens ban</w:t>
      </w:r>
      <w:r>
        <w:rPr>
          <w:rFonts w:cs="Arial"/>
          <w:sz w:val="20"/>
          <w:szCs w:val="20"/>
        </w:rPr>
        <w:t xml:space="preserve">cárias, tomada junto ao Banco ou Cooperativa, endereçada ao banco discriminado na nota fiscal;</w:t>
      </w:r>
      <w:r>
        <w:rPr>
          <w:rFonts w:cs="Arial"/>
          <w:sz w:val="20"/>
          <w:szCs w:val="20"/>
        </w:rPr>
      </w:r>
      <w:r>
        <w:rPr>
          <w:rFonts w:cs="Arial"/>
          <w:sz w:val="20"/>
          <w:szCs w:val="20"/>
        </w:rPr>
      </w:r>
    </w:p>
    <w:p>
      <w:pPr>
        <w:pStyle w:val="2069"/>
        <w:pBdr/>
        <w:spacing w:before="0" w:line="240" w:lineRule="auto"/>
        <w:ind w:left="284"/>
        <w:jc w:val="both"/>
        <w:rPr>
          <w:rFonts w:cs="Arial"/>
          <w:sz w:val="20"/>
          <w:szCs w:val="20"/>
        </w:rPr>
      </w:pPr>
      <w:r>
        <w:rPr>
          <w:rFonts w:cs="Arial"/>
          <w:sz w:val="20"/>
          <w:szCs w:val="20"/>
        </w:rPr>
      </w:r>
      <w:r>
        <w:rPr>
          <w:rFonts w:cs="Arial"/>
          <w:sz w:val="20"/>
          <w:szCs w:val="20"/>
        </w:rPr>
      </w:r>
      <w:r>
        <w:rPr>
          <w:rFonts w:cs="Arial"/>
          <w:sz w:val="20"/>
          <w:szCs w:val="20"/>
        </w:rPr>
      </w:r>
    </w:p>
    <w:p>
      <w:pPr>
        <w:pStyle w:val="2069"/>
        <w:pBdr/>
        <w:spacing w:before="0" w:line="240" w:lineRule="auto"/>
        <w:ind/>
        <w:jc w:val="both"/>
        <w:rPr>
          <w:rFonts w:cs="Arial"/>
          <w:b/>
          <w:sz w:val="20"/>
          <w:szCs w:val="20"/>
        </w:rPr>
      </w:pPr>
      <w:r>
        <w:rPr>
          <w:rFonts w:cs="Arial"/>
          <w:b/>
          <w:sz w:val="20"/>
          <w:szCs w:val="20"/>
        </w:rPr>
        <w:t xml:space="preserve">33.2.</w:t>
      </w:r>
      <w:r>
        <w:rPr>
          <w:rFonts w:cs="Arial"/>
          <w:sz w:val="20"/>
          <w:szCs w:val="20"/>
        </w:rPr>
        <w:t xml:space="preserve"> A contratada deverá indicar no corpo da nota fiscal, n.º do contrato, mês de referência, descrição dos produtos, o número e nome do banco, agência e númer</w:t>
      </w:r>
      <w:r>
        <w:rPr>
          <w:rFonts w:cs="Arial"/>
          <w:sz w:val="20"/>
          <w:szCs w:val="20"/>
        </w:rPr>
        <w:t xml:space="preserve">o da conta, na qual deverá ser feito o pagamento, via ordem bancária;</w:t>
      </w:r>
      <w:r>
        <w:rPr>
          <w:rFonts w:cs="Arial"/>
          <w:b/>
          <w:sz w:val="20"/>
          <w:szCs w:val="20"/>
        </w:rPr>
      </w:r>
      <w:r>
        <w:rPr>
          <w:rFonts w:cs="Arial"/>
          <w:b/>
          <w:sz w:val="20"/>
          <w:szCs w:val="20"/>
        </w:rPr>
      </w:r>
    </w:p>
    <w:p>
      <w:pPr>
        <w:pStyle w:val="2069"/>
        <w:pBdr/>
        <w:spacing w:before="0" w:line="240" w:lineRule="auto"/>
        <w:ind w:left="284"/>
        <w:jc w:val="both"/>
        <w:rPr>
          <w:rFonts w:eastAsia="Times New Roman" w:cs="Arial"/>
          <w:b/>
          <w:sz w:val="20"/>
          <w:szCs w:val="20"/>
        </w:rPr>
      </w:pPr>
      <w:r>
        <w:rPr>
          <w:rFonts w:eastAsia="Times New Roman" w:cs="Arial"/>
          <w:b/>
          <w:sz w:val="20"/>
          <w:szCs w:val="20"/>
        </w:rPr>
      </w:r>
      <w:r>
        <w:rPr>
          <w:rFonts w:eastAsia="Times New Roman" w:cs="Arial"/>
          <w:b/>
          <w:sz w:val="20"/>
          <w:szCs w:val="20"/>
        </w:rPr>
      </w:r>
      <w:r>
        <w:rPr>
          <w:rFonts w:eastAsia="Times New Roman" w:cs="Arial"/>
          <w:b/>
          <w:sz w:val="20"/>
          <w:szCs w:val="20"/>
        </w:rPr>
      </w:r>
    </w:p>
    <w:p>
      <w:pPr>
        <w:pStyle w:val="2069"/>
        <w:pBdr/>
        <w:spacing w:before="0" w:line="240" w:lineRule="auto"/>
        <w:ind/>
        <w:jc w:val="both"/>
        <w:rPr>
          <w:rFonts w:cs="Arial"/>
          <w:b/>
          <w:sz w:val="20"/>
          <w:szCs w:val="20"/>
        </w:rPr>
      </w:pPr>
      <w:r>
        <w:rPr>
          <w:rFonts w:cs="Arial"/>
          <w:b/>
          <w:sz w:val="20"/>
          <w:szCs w:val="20"/>
        </w:rPr>
        <w:t xml:space="preserve">33.2.1.</w:t>
      </w:r>
      <w:r>
        <w:rPr>
          <w:rFonts w:cs="Arial"/>
          <w:sz w:val="20"/>
          <w:szCs w:val="20"/>
        </w:rPr>
        <w:t xml:space="preserve"> As despesas bancárias decorrentes de transferências de valores para outras praças serão de responsabilidade da contratada;</w:t>
      </w:r>
      <w:r>
        <w:rPr>
          <w:rFonts w:cs="Arial"/>
          <w:b/>
          <w:sz w:val="20"/>
          <w:szCs w:val="20"/>
        </w:rPr>
      </w:r>
      <w:r>
        <w:rPr>
          <w:rFonts w:cs="Arial"/>
          <w:b/>
          <w:sz w:val="20"/>
          <w:szCs w:val="20"/>
        </w:rPr>
      </w:r>
    </w:p>
    <w:p>
      <w:pPr>
        <w:pStyle w:val="2069"/>
        <w:pBdr/>
        <w:spacing w:before="0" w:line="240" w:lineRule="auto"/>
        <w:ind w:left="284"/>
        <w:jc w:val="both"/>
        <w:rPr>
          <w:rFonts w:eastAsia="Times New Roman" w:cs="Arial"/>
          <w:b/>
          <w:sz w:val="20"/>
          <w:szCs w:val="20"/>
        </w:rPr>
      </w:pPr>
      <w:r>
        <w:rPr>
          <w:rFonts w:eastAsia="Times New Roman" w:cs="Arial"/>
          <w:b/>
          <w:sz w:val="20"/>
          <w:szCs w:val="20"/>
        </w:rPr>
      </w:r>
      <w:r>
        <w:rPr>
          <w:rFonts w:eastAsia="Times New Roman" w:cs="Arial"/>
          <w:b/>
          <w:sz w:val="20"/>
          <w:szCs w:val="20"/>
        </w:rPr>
      </w:r>
      <w:r>
        <w:rPr>
          <w:rFonts w:eastAsia="Times New Roman" w:cs="Arial"/>
          <w:b/>
          <w:sz w:val="20"/>
          <w:szCs w:val="20"/>
        </w:rPr>
      </w:r>
    </w:p>
    <w:p>
      <w:pPr>
        <w:pStyle w:val="2069"/>
        <w:pBdr/>
        <w:spacing w:before="0" w:line="240" w:lineRule="auto"/>
        <w:ind/>
        <w:jc w:val="both"/>
        <w:rPr>
          <w:rFonts w:eastAsia="Times New Roman" w:cs="Arial"/>
          <w:sz w:val="20"/>
          <w:szCs w:val="20"/>
        </w:rPr>
      </w:pPr>
      <w:r>
        <w:rPr>
          <w:rFonts w:eastAsia="Times New Roman" w:cs="Arial"/>
          <w:b/>
          <w:sz w:val="20"/>
          <w:szCs w:val="20"/>
        </w:rPr>
        <w:t xml:space="preserve">33.3.</w:t>
      </w:r>
      <w:r>
        <w:rPr>
          <w:rFonts w:eastAsia="Times New Roman" w:cs="Arial"/>
          <w:sz w:val="20"/>
          <w:szCs w:val="20"/>
        </w:rPr>
        <w:t xml:space="preserve"> Pelo fiel e perfeito fornecimento do objeto des</w:t>
      </w:r>
      <w:r>
        <w:rPr>
          <w:rFonts w:eastAsia="Times New Roman" w:cs="Arial"/>
          <w:sz w:val="20"/>
          <w:szCs w:val="20"/>
        </w:rPr>
        <w:t xml:space="preserve">ta licitação, o município de Rondonópolis-MT., pagará o valor total, em Reais (R$), à Contratada, mediante a entrega da Nota Fiscal, devidamente atestada pela Secretaria solicitante, que corresponderá ao valor do objeto licitado entregue, após verificação;</w:t>
      </w:r>
      <w:r>
        <w:rPr>
          <w:rFonts w:eastAsia="Times New Roman" w:cs="Arial"/>
          <w:sz w:val="20"/>
          <w:szCs w:val="20"/>
        </w:rPr>
      </w:r>
      <w:r>
        <w:rPr>
          <w:rFonts w:eastAsia="Times New Roman" w:cs="Arial"/>
          <w:sz w:val="20"/>
          <w:szCs w:val="20"/>
        </w:rPr>
      </w:r>
    </w:p>
    <w:p>
      <w:pPr>
        <w:pStyle w:val="2069"/>
        <w:pBdr/>
        <w:spacing w:before="0" w:line="240" w:lineRule="auto"/>
        <w:ind w:left="284"/>
        <w:jc w:val="both"/>
        <w:rPr>
          <w:rFonts w:cs="Arial"/>
          <w:b/>
          <w:sz w:val="20"/>
          <w:szCs w:val="20"/>
        </w:rPr>
      </w:pPr>
      <w:r>
        <w:rPr>
          <w:rFonts w:cs="Arial"/>
          <w:b/>
          <w:sz w:val="20"/>
          <w:szCs w:val="20"/>
        </w:rPr>
      </w:r>
      <w:r>
        <w:rPr>
          <w:rFonts w:cs="Arial"/>
          <w:b/>
          <w:sz w:val="20"/>
          <w:szCs w:val="20"/>
        </w:rPr>
      </w:r>
      <w:r>
        <w:rPr>
          <w:rFonts w:cs="Arial"/>
          <w:b/>
          <w:sz w:val="20"/>
          <w:szCs w:val="20"/>
        </w:rPr>
      </w:r>
    </w:p>
    <w:p>
      <w:pPr>
        <w:pStyle w:val="2069"/>
        <w:pBdr/>
        <w:spacing w:before="0" w:line="240" w:lineRule="auto"/>
        <w:ind/>
        <w:jc w:val="both"/>
        <w:rPr>
          <w:rFonts w:eastAsia="Times New Roman" w:cs="Arial"/>
          <w:b/>
          <w:sz w:val="20"/>
          <w:szCs w:val="20"/>
        </w:rPr>
      </w:pPr>
      <w:r>
        <w:rPr>
          <w:rFonts w:cs="Arial"/>
          <w:b/>
          <w:sz w:val="20"/>
          <w:szCs w:val="20"/>
        </w:rPr>
        <w:t xml:space="preserve">33.3.1. </w:t>
      </w:r>
      <w:r>
        <w:rPr>
          <w:rFonts w:cs="Arial"/>
          <w:sz w:val="20"/>
          <w:szCs w:val="20"/>
        </w:rPr>
        <w:t xml:space="preserve">As Notas Fiscais deverão ser emitidas até o dia 25 de cada mês, conforme disposto no artigo 3º, § 1º da Instrução Normativa n. 03/2008.</w:t>
      </w:r>
      <w:r>
        <w:rPr>
          <w:rFonts w:eastAsia="Times New Roman" w:cs="Arial"/>
          <w:b/>
          <w:sz w:val="20"/>
          <w:szCs w:val="20"/>
        </w:rPr>
      </w:r>
      <w:r>
        <w:rPr>
          <w:rFonts w:eastAsia="Times New Roman" w:cs="Arial"/>
          <w:b/>
          <w:sz w:val="20"/>
          <w:szCs w:val="20"/>
        </w:rPr>
      </w:r>
    </w:p>
    <w:p>
      <w:pPr>
        <w:pStyle w:val="2069"/>
        <w:pBdr/>
        <w:spacing w:before="0" w:line="240" w:lineRule="auto"/>
        <w:ind w:left="284"/>
        <w:jc w:val="both"/>
        <w:rPr>
          <w:rFonts w:cs="Arial"/>
          <w:b/>
          <w:sz w:val="20"/>
          <w:szCs w:val="20"/>
        </w:rPr>
      </w:pPr>
      <w:r>
        <w:rPr>
          <w:rFonts w:cs="Arial"/>
          <w:b/>
          <w:sz w:val="20"/>
          <w:szCs w:val="20"/>
        </w:rPr>
      </w:r>
      <w:r>
        <w:rPr>
          <w:rFonts w:cs="Arial"/>
          <w:b/>
          <w:sz w:val="20"/>
          <w:szCs w:val="20"/>
        </w:rPr>
      </w:r>
      <w:r>
        <w:rPr>
          <w:rFonts w:cs="Arial"/>
          <w:b/>
          <w:sz w:val="20"/>
          <w:szCs w:val="20"/>
        </w:rPr>
      </w:r>
    </w:p>
    <w:p>
      <w:pPr>
        <w:pStyle w:val="2069"/>
        <w:pBdr/>
        <w:spacing w:before="0" w:line="240" w:lineRule="auto"/>
        <w:ind/>
        <w:jc w:val="both"/>
        <w:rPr>
          <w:rFonts w:cs="Arial"/>
          <w:b/>
          <w:sz w:val="20"/>
          <w:szCs w:val="20"/>
        </w:rPr>
      </w:pPr>
      <w:r>
        <w:rPr>
          <w:rFonts w:cs="Arial"/>
          <w:b/>
          <w:sz w:val="20"/>
          <w:szCs w:val="20"/>
        </w:rPr>
        <w:t xml:space="preserve">33.3.2.</w:t>
      </w:r>
      <w:r>
        <w:rPr>
          <w:rFonts w:cs="Arial"/>
          <w:sz w:val="20"/>
          <w:szCs w:val="20"/>
        </w:rPr>
        <w:t xml:space="preserve"> </w:t>
      </w:r>
      <w:r>
        <w:rPr>
          <w:rStyle w:val="989"/>
          <w:rFonts w:eastAsia="NSimSun"/>
          <w:sz w:val="20"/>
          <w:szCs w:val="20"/>
          <w:lang w:eastAsia="pt-BR"/>
        </w:rPr>
        <w:t xml:space="preserve">Nas Notas Fiscais deverão constar o número do processo e da modalidade da licitação, bem como a Secre</w:t>
      </w:r>
      <w:r>
        <w:rPr>
          <w:rStyle w:val="989"/>
          <w:rFonts w:eastAsia="NSimSun"/>
          <w:sz w:val="20"/>
          <w:szCs w:val="20"/>
          <w:lang w:eastAsia="pt-BR"/>
        </w:rPr>
        <w:t xml:space="preserve">taria solicitante. </w:t>
      </w:r>
      <w:r>
        <w:rPr>
          <w:rFonts w:cs="Arial"/>
          <w:b/>
          <w:sz w:val="20"/>
          <w:szCs w:val="20"/>
        </w:rPr>
      </w:r>
      <w:r>
        <w:rPr>
          <w:rFonts w:cs="Arial"/>
          <w:b/>
          <w:sz w:val="20"/>
          <w:szCs w:val="20"/>
        </w:rPr>
      </w:r>
    </w:p>
    <w:p>
      <w:pPr>
        <w:pStyle w:val="2069"/>
        <w:pBdr/>
        <w:spacing w:before="0" w:line="240" w:lineRule="auto"/>
        <w:ind w:left="284"/>
        <w:jc w:val="both"/>
        <w:rPr>
          <w:rFonts w:cs="Arial"/>
          <w:b/>
          <w:sz w:val="20"/>
          <w:szCs w:val="20"/>
        </w:rPr>
      </w:pPr>
      <w:r>
        <w:rPr>
          <w:rFonts w:cs="Arial"/>
          <w:b/>
          <w:sz w:val="20"/>
          <w:szCs w:val="20"/>
        </w:rPr>
      </w:r>
      <w:r>
        <w:rPr>
          <w:rFonts w:cs="Arial"/>
          <w:b/>
          <w:sz w:val="20"/>
          <w:szCs w:val="20"/>
        </w:rPr>
      </w:r>
      <w:r>
        <w:rPr>
          <w:rFonts w:cs="Arial"/>
          <w:b/>
          <w:sz w:val="20"/>
          <w:szCs w:val="20"/>
        </w:rPr>
      </w:r>
    </w:p>
    <w:p>
      <w:pPr>
        <w:pBdr/>
        <w:spacing/>
        <w:ind/>
        <w:jc w:val="both"/>
        <w:rPr>
          <w:rFonts w:ascii="Arial" w:hAnsi="Arial"/>
        </w:rPr>
      </w:pPr>
      <w:r>
        <w:rPr>
          <w:rFonts w:ascii="Arial" w:hAnsi="Arial"/>
          <w:b/>
          <w:color w:val="000000"/>
        </w:rPr>
        <w:t xml:space="preserve">33.3.3. </w:t>
      </w:r>
      <w:r>
        <w:rPr>
          <w:rFonts w:ascii="Arial" w:hAnsi="Arial"/>
          <w:color w:val="000000"/>
        </w:rPr>
        <w:t xml:space="preserve">O Município de Rondonópolis-MT., só autorizará a realização dos pagamentos, se houver por parte do setor requisitante dos produtos, o necessário ATESTO dos produtos entregues pela empresa vencedora, no verso da Nota Fiscal.</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Style w:val="2069"/>
        <w:pBdr/>
        <w:spacing w:before="0" w:line="240" w:lineRule="auto"/>
        <w:ind/>
        <w:jc w:val="both"/>
        <w:rPr>
          <w:rFonts w:eastAsia="Times New Roman" w:cs="Arial"/>
          <w:sz w:val="20"/>
          <w:szCs w:val="20"/>
        </w:rPr>
      </w:pPr>
      <w:r>
        <w:rPr>
          <w:rFonts w:eastAsia="Times New Roman" w:cs="Arial"/>
          <w:b/>
          <w:sz w:val="20"/>
          <w:szCs w:val="20"/>
        </w:rPr>
        <w:t xml:space="preserve">33</w:t>
      </w:r>
      <w:r>
        <w:rPr>
          <w:rFonts w:eastAsia="Times New Roman" w:cs="Arial"/>
          <w:b/>
          <w:sz w:val="20"/>
          <w:szCs w:val="20"/>
        </w:rPr>
        <w:t xml:space="preserve">.4.</w:t>
      </w:r>
      <w:r>
        <w:rPr>
          <w:rFonts w:eastAsia="Times New Roman" w:cs="Arial"/>
          <w:sz w:val="20"/>
          <w:szCs w:val="20"/>
        </w:rPr>
        <w:t xml:space="preserve"> Nos preços a ser pago deverão estar inclusas todas as despesas inerentes a: salários, encargos sociais, tributários, trabalhistas, comerciais (inclusive frete), materiais, enfim todas as despesas necessárias ao fornecimento do objeto deste Pregão a ser</w:t>
      </w:r>
      <w:r>
        <w:rPr>
          <w:rFonts w:eastAsia="Times New Roman" w:cs="Arial"/>
          <w:sz w:val="20"/>
          <w:szCs w:val="20"/>
        </w:rPr>
        <w:t xml:space="preserve"> entregue no município de Rondonópolis-MT;</w:t>
      </w:r>
      <w:r>
        <w:rPr>
          <w:rFonts w:eastAsia="Times New Roman" w:cs="Arial"/>
          <w:sz w:val="20"/>
          <w:szCs w:val="20"/>
        </w:rPr>
      </w:r>
      <w:r>
        <w:rPr>
          <w:rFonts w:eastAsia="Times New Roman" w:cs="Arial"/>
          <w:sz w:val="20"/>
          <w:szCs w:val="20"/>
        </w:rPr>
      </w:r>
    </w:p>
    <w:p>
      <w:pPr>
        <w:pStyle w:val="2069"/>
        <w:pBdr/>
        <w:spacing w:before="0" w:line="240" w:lineRule="auto"/>
        <w:ind w:left="284"/>
        <w:jc w:val="both"/>
        <w:rPr>
          <w:rFonts w:eastAsia="Times New Roman" w:cs="Arial"/>
          <w:b/>
          <w:sz w:val="20"/>
          <w:szCs w:val="20"/>
        </w:rPr>
      </w:pPr>
      <w:r>
        <w:rPr>
          <w:rFonts w:eastAsia="Times New Roman" w:cs="Arial"/>
          <w:b/>
          <w:sz w:val="20"/>
          <w:szCs w:val="20"/>
        </w:rPr>
      </w:r>
      <w:r>
        <w:rPr>
          <w:rFonts w:eastAsia="Times New Roman" w:cs="Arial"/>
          <w:b/>
          <w:sz w:val="20"/>
          <w:szCs w:val="20"/>
        </w:rPr>
      </w:r>
      <w:r>
        <w:rPr>
          <w:rFonts w:eastAsia="Times New Roman" w:cs="Arial"/>
          <w:b/>
          <w:sz w:val="20"/>
          <w:szCs w:val="20"/>
        </w:rPr>
      </w:r>
    </w:p>
    <w:p>
      <w:pPr>
        <w:pStyle w:val="2069"/>
        <w:pBdr/>
        <w:spacing w:before="0" w:line="240" w:lineRule="auto"/>
        <w:ind/>
        <w:jc w:val="both"/>
        <w:rPr>
          <w:rFonts w:eastAsia="Times New Roman" w:cs="Arial"/>
          <w:sz w:val="20"/>
          <w:szCs w:val="20"/>
        </w:rPr>
      </w:pPr>
      <w:r>
        <w:rPr>
          <w:rFonts w:eastAsia="Times New Roman" w:cs="Arial"/>
          <w:b/>
          <w:sz w:val="20"/>
          <w:szCs w:val="20"/>
        </w:rPr>
        <w:t xml:space="preserve">33.5. </w:t>
      </w:r>
      <w:r>
        <w:rPr>
          <w:rFonts w:eastAsia="Times New Roman" w:cs="Arial"/>
          <w:sz w:val="20"/>
          <w:szCs w:val="20"/>
        </w:rPr>
        <w:t xml:space="preserve">O pagamento será realizado conforme contrato, devendo ainda atender aos termos do art. 60 da Lei federal n.º 4.320, de 17/03/1964, em até 30 (trinta) dias após entrega e atesto de recebimento definitivo do </w:t>
      </w:r>
      <w:r>
        <w:rPr>
          <w:rFonts w:eastAsia="Times New Roman" w:cs="Arial"/>
          <w:sz w:val="20"/>
          <w:szCs w:val="20"/>
        </w:rPr>
        <w:t xml:space="preserve">objeto licitado, mediante apresentação da Nota Fiscal, atestada pelo servidor da secretaria demandante responsável pelo recebimento, devidamente acompanhada dos documentos estabelecidos na Legislação Vigente ou o que venha a substituí-los, através de bolet</w:t>
      </w:r>
      <w:r>
        <w:rPr>
          <w:rFonts w:eastAsia="Times New Roman" w:cs="Arial"/>
          <w:sz w:val="20"/>
          <w:szCs w:val="20"/>
        </w:rPr>
        <w:t xml:space="preserve">o ou transferência bancaria em conta jurídica da empresa contratada.</w:t>
      </w:r>
      <w:r>
        <w:rPr>
          <w:rFonts w:eastAsia="Times New Roman" w:cs="Arial"/>
          <w:sz w:val="20"/>
          <w:szCs w:val="20"/>
        </w:rPr>
      </w:r>
      <w:r>
        <w:rPr>
          <w:rFonts w:eastAsia="Times New Roman" w:cs="Arial"/>
          <w:sz w:val="20"/>
          <w:szCs w:val="20"/>
        </w:rPr>
      </w:r>
    </w:p>
    <w:p>
      <w:pPr>
        <w:pStyle w:val="2069"/>
        <w:pBdr/>
        <w:spacing w:before="0" w:line="240" w:lineRule="auto"/>
        <w:ind w:left="284"/>
        <w:jc w:val="both"/>
        <w:rPr>
          <w:rFonts w:cs="Arial"/>
          <w:b/>
          <w:sz w:val="20"/>
          <w:szCs w:val="20"/>
        </w:rPr>
      </w:pPr>
      <w:r>
        <w:rPr>
          <w:rFonts w:cs="Arial"/>
          <w:b/>
          <w:sz w:val="20"/>
          <w:szCs w:val="20"/>
        </w:rPr>
      </w:r>
      <w:r>
        <w:rPr>
          <w:rFonts w:cs="Arial"/>
          <w:b/>
          <w:sz w:val="20"/>
          <w:szCs w:val="20"/>
        </w:rPr>
      </w:r>
      <w:r>
        <w:rPr>
          <w:rFonts w:cs="Arial"/>
          <w:b/>
          <w:sz w:val="20"/>
          <w:szCs w:val="20"/>
        </w:rPr>
      </w:r>
    </w:p>
    <w:p>
      <w:pPr>
        <w:pStyle w:val="2069"/>
        <w:pBdr/>
        <w:spacing w:before="0" w:line="240" w:lineRule="auto"/>
        <w:ind/>
        <w:jc w:val="both"/>
        <w:rPr>
          <w:rFonts w:cs="Arial"/>
          <w:sz w:val="20"/>
          <w:szCs w:val="20"/>
        </w:rPr>
      </w:pPr>
      <w:r>
        <w:rPr>
          <w:rFonts w:cs="Arial"/>
          <w:b/>
          <w:sz w:val="20"/>
          <w:szCs w:val="20"/>
        </w:rPr>
        <w:t xml:space="preserve">33.5.1.</w:t>
      </w:r>
      <w:r>
        <w:rPr>
          <w:rFonts w:cs="Arial"/>
          <w:sz w:val="20"/>
          <w:szCs w:val="20"/>
        </w:rPr>
        <w:t xml:space="preserve"> Constando qualquer incorreção na nota fiscal, bem como, outra circunstância que desaconselhe o seu pagamento, o prazo para pagamento constante fluirá a partir da respectiva regul</w:t>
      </w:r>
      <w:r>
        <w:rPr>
          <w:rFonts w:cs="Arial"/>
          <w:sz w:val="20"/>
          <w:szCs w:val="20"/>
        </w:rPr>
        <w:t xml:space="preserve">arização;</w:t>
      </w:r>
      <w:r>
        <w:rPr>
          <w:rFonts w:cs="Arial"/>
          <w:sz w:val="20"/>
          <w:szCs w:val="20"/>
        </w:rPr>
      </w:r>
      <w:r>
        <w:rPr>
          <w:rFonts w:cs="Arial"/>
          <w:sz w:val="20"/>
          <w:szCs w:val="20"/>
        </w:rPr>
      </w:r>
    </w:p>
    <w:p>
      <w:pPr>
        <w:pStyle w:val="2069"/>
        <w:pBdr/>
        <w:spacing w:before="0" w:line="240" w:lineRule="auto"/>
        <w:ind w:left="284"/>
        <w:jc w:val="both"/>
        <w:rPr>
          <w:rFonts w:cs="Arial"/>
          <w:b/>
          <w:sz w:val="20"/>
          <w:szCs w:val="20"/>
        </w:rPr>
      </w:pPr>
      <w:r>
        <w:rPr>
          <w:rFonts w:cs="Arial"/>
          <w:b/>
          <w:sz w:val="20"/>
          <w:szCs w:val="20"/>
        </w:rPr>
      </w:r>
      <w:r>
        <w:rPr>
          <w:rFonts w:cs="Arial"/>
          <w:b/>
          <w:sz w:val="20"/>
          <w:szCs w:val="20"/>
        </w:rPr>
      </w:r>
      <w:r>
        <w:rPr>
          <w:rFonts w:cs="Arial"/>
          <w:b/>
          <w:sz w:val="20"/>
          <w:szCs w:val="20"/>
        </w:rPr>
      </w:r>
    </w:p>
    <w:p>
      <w:pPr>
        <w:pStyle w:val="2069"/>
        <w:pBdr/>
        <w:spacing w:before="0" w:line="240" w:lineRule="auto"/>
        <w:ind/>
        <w:jc w:val="both"/>
        <w:rPr>
          <w:rFonts w:cs="Arial"/>
          <w:sz w:val="20"/>
          <w:szCs w:val="20"/>
        </w:rPr>
      </w:pPr>
      <w:r>
        <w:rPr>
          <w:rFonts w:cs="Arial"/>
          <w:b/>
          <w:sz w:val="20"/>
          <w:szCs w:val="20"/>
        </w:rPr>
        <w:t xml:space="preserve">33.6.</w:t>
      </w:r>
      <w:r>
        <w:rPr>
          <w:rFonts w:cs="Arial"/>
          <w:sz w:val="20"/>
          <w:szCs w:val="20"/>
        </w:rPr>
        <w:t xml:space="preserve"> Quando do pagamento a ser efetuado ficará condicionado à apresentação pela empresa dos comprobatórios de quitação das obrigações para com o INSS e FGTS, referente ao mês anterior. Portanto, será efetuada a retenção tributária prevista na l</w:t>
      </w:r>
      <w:r>
        <w:rPr>
          <w:rFonts w:cs="Arial"/>
          <w:sz w:val="20"/>
          <w:szCs w:val="20"/>
        </w:rPr>
        <w:t xml:space="preserve">egislação aplicável.</w:t>
      </w:r>
      <w:r>
        <w:rPr>
          <w:rFonts w:cs="Arial"/>
          <w:sz w:val="20"/>
          <w:szCs w:val="20"/>
        </w:rPr>
      </w:r>
      <w:r>
        <w:rPr>
          <w:rFonts w:cs="Arial"/>
          <w:sz w:val="20"/>
          <w:szCs w:val="20"/>
        </w:rPr>
      </w:r>
    </w:p>
    <w:p>
      <w:pPr>
        <w:pStyle w:val="2069"/>
        <w:pBdr/>
        <w:spacing w:before="0" w:line="240" w:lineRule="auto"/>
        <w:ind w:left="284"/>
        <w:jc w:val="both"/>
        <w:rPr>
          <w:rFonts w:cs="Arial"/>
          <w:b/>
          <w:sz w:val="20"/>
          <w:szCs w:val="20"/>
        </w:rPr>
      </w:pPr>
      <w:r>
        <w:rPr>
          <w:rFonts w:cs="Arial"/>
          <w:b/>
          <w:sz w:val="20"/>
          <w:szCs w:val="20"/>
        </w:rPr>
      </w:r>
      <w:r>
        <w:rPr>
          <w:rFonts w:cs="Arial"/>
          <w:b/>
          <w:sz w:val="20"/>
          <w:szCs w:val="20"/>
        </w:rPr>
      </w:r>
      <w:r>
        <w:rPr>
          <w:rFonts w:cs="Arial"/>
          <w:b/>
          <w:sz w:val="20"/>
          <w:szCs w:val="20"/>
        </w:rPr>
      </w:r>
    </w:p>
    <w:p>
      <w:pPr>
        <w:pStyle w:val="2069"/>
        <w:pBdr/>
        <w:spacing w:before="0" w:line="240" w:lineRule="auto"/>
        <w:ind/>
        <w:jc w:val="both"/>
        <w:rPr>
          <w:rFonts w:cs="Arial"/>
          <w:sz w:val="20"/>
          <w:szCs w:val="20"/>
        </w:rPr>
      </w:pPr>
      <w:r>
        <w:rPr>
          <w:rFonts w:cs="Arial"/>
          <w:b/>
          <w:sz w:val="20"/>
          <w:szCs w:val="20"/>
        </w:rPr>
        <w:t xml:space="preserve">33.6.1.</w:t>
      </w:r>
      <w:r>
        <w:rPr>
          <w:rFonts w:cs="Arial"/>
          <w:sz w:val="20"/>
          <w:szCs w:val="20"/>
        </w:rPr>
        <w:t xml:space="preserve"> Quando do pagamento, será efetuada a retenção tributária prevista na legislação aplicável.</w:t>
      </w:r>
      <w:r>
        <w:rPr>
          <w:rFonts w:cs="Arial"/>
          <w:sz w:val="20"/>
          <w:szCs w:val="20"/>
        </w:rPr>
      </w:r>
      <w:r>
        <w:rPr>
          <w:rFonts w:cs="Arial"/>
          <w:sz w:val="20"/>
          <w:szCs w:val="20"/>
        </w:rPr>
      </w:r>
    </w:p>
    <w:p>
      <w:pPr>
        <w:pStyle w:val="2069"/>
        <w:pBdr/>
        <w:spacing w:before="0" w:line="240" w:lineRule="auto"/>
        <w:ind w:left="284"/>
        <w:jc w:val="both"/>
        <w:rPr>
          <w:rFonts w:cs="Arial"/>
          <w:sz w:val="20"/>
          <w:szCs w:val="20"/>
        </w:rPr>
      </w:pPr>
      <w:r>
        <w:rPr>
          <w:rFonts w:cs="Arial"/>
          <w:sz w:val="20"/>
          <w:szCs w:val="20"/>
        </w:rPr>
      </w:r>
      <w:r>
        <w:rPr>
          <w:rFonts w:cs="Arial"/>
          <w:sz w:val="20"/>
          <w:szCs w:val="20"/>
        </w:rPr>
      </w:r>
      <w:r>
        <w:rPr>
          <w:rFonts w:cs="Arial"/>
          <w:sz w:val="20"/>
          <w:szCs w:val="20"/>
        </w:rPr>
      </w:r>
    </w:p>
    <w:p>
      <w:pPr>
        <w:pStyle w:val="2069"/>
        <w:pBdr/>
        <w:spacing w:before="0" w:line="240" w:lineRule="auto"/>
        <w:ind/>
        <w:jc w:val="both"/>
        <w:rPr>
          <w:rFonts w:eastAsia="Times New Roman" w:cs="Arial"/>
          <w:sz w:val="20"/>
          <w:szCs w:val="20"/>
        </w:rPr>
      </w:pPr>
      <w:r>
        <w:rPr>
          <w:rFonts w:cs="Arial"/>
          <w:b/>
          <w:sz w:val="20"/>
          <w:szCs w:val="20"/>
        </w:rPr>
        <w:t xml:space="preserve">33.6.2.</w:t>
      </w:r>
      <w:r>
        <w:rPr>
          <w:rFonts w:cs="Arial"/>
          <w:sz w:val="20"/>
          <w:szCs w:val="20"/>
        </w:rPr>
        <w:t xml:space="preserve"> O pagamento efetuado não isentará a contratada de suas responsabilidades vinculadas ao fornecimento, especialmente àquelas rel</w:t>
      </w:r>
      <w:r>
        <w:rPr>
          <w:rFonts w:cs="Arial"/>
          <w:sz w:val="20"/>
          <w:szCs w:val="20"/>
        </w:rPr>
        <w:t xml:space="preserve">acionadas com a qualidade e garantia dos bens fornecidos;</w:t>
      </w:r>
      <w:r>
        <w:rPr>
          <w:rFonts w:eastAsia="Times New Roman" w:cs="Arial"/>
          <w:sz w:val="20"/>
          <w:szCs w:val="20"/>
        </w:rPr>
      </w:r>
      <w:r>
        <w:rPr>
          <w:rFonts w:eastAsia="Times New Roman" w:cs="Arial"/>
          <w:sz w:val="20"/>
          <w:szCs w:val="20"/>
        </w:rPr>
      </w:r>
    </w:p>
    <w:p>
      <w:pPr>
        <w:pStyle w:val="2069"/>
        <w:pBdr/>
        <w:spacing w:before="0" w:line="240" w:lineRule="auto"/>
        <w:ind w:left="284"/>
        <w:jc w:val="both"/>
        <w:rPr>
          <w:rFonts w:cs="Arial"/>
          <w:b/>
          <w:sz w:val="19"/>
          <w:szCs w:val="19"/>
        </w:rPr>
      </w:pPr>
      <w:r>
        <w:rPr>
          <w:rFonts w:cs="Arial"/>
          <w:b/>
          <w:sz w:val="19"/>
          <w:szCs w:val="19"/>
        </w:rPr>
      </w:r>
      <w:r>
        <w:rPr>
          <w:rFonts w:cs="Arial"/>
          <w:b/>
          <w:sz w:val="19"/>
          <w:szCs w:val="19"/>
        </w:rPr>
      </w:r>
      <w:r>
        <w:rPr>
          <w:rFonts w:cs="Arial"/>
          <w:b/>
          <w:sz w:val="19"/>
          <w:szCs w:val="19"/>
        </w:rPr>
      </w:r>
    </w:p>
    <w:p>
      <w:pPr>
        <w:pStyle w:val="2069"/>
        <w:pBdr/>
        <w:spacing w:before="0" w:line="240" w:lineRule="auto"/>
        <w:ind/>
        <w:jc w:val="both"/>
        <w:rPr>
          <w:rFonts w:cs="Arial"/>
          <w:b/>
          <w:sz w:val="19"/>
          <w:szCs w:val="19"/>
        </w:rPr>
      </w:pPr>
      <w:r>
        <w:rPr>
          <w:rFonts w:cs="Arial"/>
          <w:b/>
          <w:sz w:val="19"/>
          <w:szCs w:val="19"/>
        </w:rPr>
        <w:t xml:space="preserve">33.7</w:t>
      </w:r>
      <w:r>
        <w:rPr>
          <w:rStyle w:val="989"/>
          <w:b/>
          <w:sz w:val="19"/>
          <w:szCs w:val="19"/>
          <w:lang w:eastAsia="pt-BR" w:bidi="ar-SA"/>
        </w:rPr>
        <w:t xml:space="preserve">.</w:t>
      </w:r>
      <w:r>
        <w:rPr>
          <w:rStyle w:val="989"/>
          <w:sz w:val="19"/>
          <w:szCs w:val="19"/>
          <w:lang w:eastAsia="pt-BR" w:bidi="ar-SA"/>
        </w:rPr>
        <w:t xml:space="preserve"> Ocorrendo umas das hipóteses previstas na alínea “d” do inciso II do artigo 124 da Lei n. 14.133/2021, poderá haver a repactuação, reajuste, revisão ou realinhamento, onde deverão ser precedi</w:t>
      </w:r>
      <w:r>
        <w:rPr>
          <w:rStyle w:val="989"/>
          <w:sz w:val="19"/>
          <w:szCs w:val="19"/>
          <w:lang w:eastAsia="pt-BR" w:bidi="ar-SA"/>
        </w:rPr>
        <w:t xml:space="preserve">dos de demonstração analítica do aumento dos custos, bem como análise Técnico Contábil do setor Financeiro e da Assessoria Jurídica deste Município.</w:t>
      </w:r>
      <w:r>
        <w:rPr>
          <w:rFonts w:cs="Arial"/>
          <w:b/>
          <w:sz w:val="19"/>
          <w:szCs w:val="19"/>
        </w:rPr>
      </w:r>
      <w:r>
        <w:rPr>
          <w:rFonts w:cs="Arial"/>
          <w:b/>
          <w:sz w:val="19"/>
          <w:szCs w:val="19"/>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outlineLvl w:val="0"/>
        <w:rPr>
          <w:rFonts w:ascii="Arial" w:hAnsi="Arial"/>
          <w:b/>
          <w:bCs/>
          <w:color w:val="000000"/>
        </w:rPr>
      </w:pPr>
      <w:r/>
      <w:bookmarkStart w:id="90" w:name="_Toc34"/>
      <w:r>
        <w:rPr>
          <w:rFonts w:ascii="Arial" w:hAnsi="Arial" w:eastAsia="Arial"/>
          <w:b/>
          <w:bCs/>
          <w:color w:val="000000"/>
        </w:rPr>
        <w:t xml:space="preserve">34.</w:t>
      </w:r>
      <w:r>
        <w:rPr>
          <w:rFonts w:ascii="Arial" w:hAnsi="Arial"/>
          <w:b/>
          <w:color w:val="000000"/>
        </w:rPr>
        <w:t xml:space="preserve"> DAS INFRAÇÕES ADMINISTRATIVAS E SANÇÕES REFERENTE A LICITAÇÃO</w:t>
      </w:r>
      <w:r>
        <w:rPr>
          <w:rFonts w:ascii="Arial" w:hAnsi="Arial" w:eastAsia="Arial"/>
          <w:b/>
          <w:bCs/>
          <w:color w:val="000000"/>
        </w:rPr>
        <w:t xml:space="preserve">:</w:t>
      </w:r>
      <w:r>
        <w:rPr>
          <w:rFonts w:ascii="Arial" w:hAnsi="Arial"/>
          <w:b/>
          <w:bCs/>
          <w:color w:val="000000"/>
        </w:rPr>
      </w:r>
      <w:bookmarkEnd w:id="90"/>
      <w:r>
        <w:rPr>
          <w:rFonts w:ascii="Arial" w:hAnsi="Arial"/>
          <w:b/>
          <w:bCs/>
          <w:color w:val="000000"/>
        </w:rPr>
      </w:r>
      <w:r>
        <w:rPr>
          <w:rFonts w:ascii="Arial" w:hAnsi="Arial"/>
          <w:b/>
          <w:bCs/>
          <w:color w:val="000000"/>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34.1.</w:t>
      </w:r>
      <w:r>
        <w:rPr>
          <w:rFonts w:ascii="Arial" w:hAnsi="Arial"/>
          <w:color w:val="000000"/>
        </w:rPr>
        <w:t xml:space="preserve"> Comete infração administrativa, nos termos da lei 14.133/2021, o licitante que, com dolo ou culpa: </w:t>
      </w:r>
      <w:r>
        <w:rPr>
          <w:rFonts w:ascii="Arial" w:hAnsi="Arial"/>
        </w:rPr>
      </w:r>
      <w:r>
        <w:rPr>
          <w:rFonts w:ascii="Arial" w:hAnsi="Arial"/>
        </w:rPr>
      </w:r>
    </w:p>
    <w:p>
      <w:pPr>
        <w:pBdr/>
        <w:spacing/>
        <w:ind w:left="284"/>
        <w:jc w:val="both"/>
        <w:rPr>
          <w:rFonts w:ascii="Arial" w:hAnsi="Arial"/>
          <w:b/>
          <w:color w:val="000000"/>
        </w:rPr>
      </w:pPr>
      <w:r/>
      <w:bookmarkStart w:id="44" w:name="_Hlk114652595"/>
      <w:r/>
      <w:bookmarkStart w:id="45" w:name="_Ref114668085"/>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34.1.1.</w:t>
      </w:r>
      <w:r>
        <w:rPr>
          <w:rFonts w:ascii="Arial" w:hAnsi="Arial"/>
          <w:color w:val="000000"/>
        </w:rPr>
        <w:t xml:space="preserve"> Deixar de entregar a documentação exigida para o certame ou não entregar qualquer documento que tenha sido solicitado pelo/a pregoeiro/a durante o</w:t>
      </w:r>
      <w:r>
        <w:rPr>
          <w:rFonts w:ascii="Arial" w:hAnsi="Arial"/>
          <w:color w:val="000000"/>
        </w:rPr>
        <w:t xml:space="preserve"> certame;</w:t>
      </w:r>
      <w:bookmarkEnd w:id="44"/>
      <w:r>
        <w:rPr>
          <w:rFonts w:ascii="Arial" w:hAnsi="Arial"/>
        </w:rPr>
      </w:r>
      <w:r>
        <w:rPr>
          <w:rFonts w:ascii="Arial" w:hAnsi="Arial"/>
        </w:rPr>
      </w:r>
    </w:p>
    <w:p>
      <w:pPr>
        <w:pBdr/>
        <w:spacing/>
        <w:ind w:left="284"/>
        <w:jc w:val="both"/>
        <w:rPr>
          <w:rFonts w:ascii="Arial" w:hAnsi="Arial"/>
          <w:color w:val="000000"/>
        </w:rPr>
      </w:pPr>
      <w:r/>
      <w:bookmarkStart w:id="46" w:name="_Ref114668108"/>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34.1.2.</w:t>
      </w:r>
      <w:r>
        <w:rPr>
          <w:rFonts w:ascii="Arial" w:hAnsi="Arial"/>
          <w:color w:val="000000"/>
        </w:rPr>
        <w:t xml:space="preserve"> Salvo em decorrência de fato superveniente devidamente justificado, não mantiver a proposta em especial quando:</w:t>
      </w:r>
      <w:bookmarkEnd w:id="45"/>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34.1</w:t>
      </w:r>
      <w:r>
        <w:rPr>
          <w:rFonts w:ascii="Arial" w:hAnsi="Arial"/>
          <w:b/>
          <w:bCs/>
          <w:color w:val="000000"/>
        </w:rPr>
        <w:t xml:space="preserve">.2.1</w:t>
      </w:r>
      <w:r>
        <w:rPr>
          <w:rFonts w:ascii="Arial" w:hAnsi="Arial"/>
          <w:color w:val="000000"/>
        </w:rPr>
        <w:t xml:space="preserve">. Não enviar a proposta adequada ao último lance ofertado ou após a negociação;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34.1.2.2.</w:t>
      </w:r>
      <w:r>
        <w:rPr>
          <w:rFonts w:ascii="Arial" w:hAnsi="Arial"/>
          <w:color w:val="000000"/>
        </w:rPr>
        <w:t xml:space="preserve"> Recusar-se a enviar o de</w:t>
      </w:r>
      <w:r>
        <w:rPr>
          <w:rFonts w:ascii="Arial" w:hAnsi="Arial"/>
          <w:color w:val="000000"/>
        </w:rPr>
        <w:t xml:space="preserve">talhamento da proposta quando exigível; </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color w:val="000000"/>
        </w:rPr>
        <w:t xml:space="preserve">34.1.2.3.</w:t>
      </w:r>
      <w:r>
        <w:rPr>
          <w:rFonts w:ascii="Arial" w:hAnsi="Arial"/>
          <w:color w:val="000000"/>
        </w:rPr>
        <w:t xml:space="preserve"> Pedir para ser desclassificado quando encerrada a etapa competitiva; ou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34.1.2.4.</w:t>
      </w:r>
      <w:r>
        <w:rPr>
          <w:rFonts w:ascii="Arial" w:hAnsi="Arial"/>
          <w:color w:val="000000"/>
        </w:rPr>
        <w:t xml:space="preserve"> Deixar de apresentar amostra;</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34.1.2.5.</w:t>
      </w:r>
      <w:r>
        <w:rPr>
          <w:rFonts w:ascii="Arial" w:hAnsi="Arial"/>
          <w:color w:val="000000"/>
        </w:rPr>
        <w:t xml:space="preserve"> Apresentar proposta ou amostra em desacordo com as especificações do edital; </w:t>
      </w:r>
      <w:r>
        <w:rPr>
          <w:rFonts w:ascii="Arial" w:hAnsi="Arial"/>
        </w:rPr>
      </w:r>
      <w:r>
        <w:rPr>
          <w:rFonts w:ascii="Arial" w:hAnsi="Arial"/>
        </w:rPr>
      </w:r>
    </w:p>
    <w:p>
      <w:pPr>
        <w:pBdr/>
        <w:spacing/>
        <w:ind w:left="284"/>
        <w:jc w:val="both"/>
        <w:rPr>
          <w:rFonts w:ascii="Arial" w:hAnsi="Arial"/>
          <w:color w:val="000000"/>
        </w:rPr>
      </w:pPr>
      <w:r/>
      <w:bookmarkStart w:id="47" w:name="_Ref114668139"/>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34.1.3.</w:t>
      </w:r>
      <w:r>
        <w:rPr>
          <w:rFonts w:ascii="Arial" w:hAnsi="Arial"/>
          <w:color w:val="000000"/>
        </w:rPr>
        <w:t xml:space="preserve"> Não celebrar o contrato ou não entregar a documentação exigida para a contratação, quando convocado dentro do prazo de validade de sua proposta;</w:t>
      </w:r>
      <w:bookmarkEnd w:id="46"/>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34.1.3.1.</w:t>
      </w:r>
      <w:r>
        <w:rPr>
          <w:rFonts w:ascii="Arial" w:hAnsi="Arial"/>
          <w:color w:val="000000"/>
        </w:rPr>
        <w:t xml:space="preserve"> Recusar-se, sem justificativa, a assinar o contrato ou a ata de registro de preço, ou a acei</w:t>
      </w:r>
      <w:r>
        <w:rPr>
          <w:rFonts w:ascii="Arial" w:hAnsi="Arial"/>
          <w:color w:val="000000"/>
        </w:rPr>
        <w:t xml:space="preserve">tar ou retirar o instrumento equivalente no prazo estabelecido pela Administração;</w:t>
      </w:r>
      <w:r>
        <w:rPr>
          <w:rFonts w:ascii="Arial" w:hAnsi="Arial"/>
        </w:rPr>
      </w:r>
      <w:r>
        <w:rPr>
          <w:rFonts w:ascii="Arial" w:hAnsi="Arial"/>
        </w:rPr>
      </w:r>
    </w:p>
    <w:p>
      <w:pPr>
        <w:pBdr/>
        <w:spacing/>
        <w:ind w:left="284"/>
        <w:jc w:val="both"/>
        <w:rPr>
          <w:rFonts w:ascii="Arial" w:hAnsi="Arial"/>
          <w:color w:val="000000"/>
        </w:rPr>
      </w:pPr>
      <w:r/>
      <w:bookmarkStart w:id="48" w:name="_Ref114668249"/>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34.1.4.</w:t>
      </w:r>
      <w:r>
        <w:rPr>
          <w:rFonts w:ascii="Arial" w:hAnsi="Arial"/>
          <w:color w:val="000000"/>
        </w:rPr>
        <w:t xml:space="preserve"> Apresentar declaração ou documentação falsa exigida para o certame ou prestar declaração falsa durante a licitação</w:t>
      </w:r>
      <w:bookmarkEnd w:id="47"/>
      <w:r>
        <w:rPr>
          <w:rFonts w:ascii="Arial" w:hAnsi="Arial"/>
          <w:color w:val="000000"/>
        </w:rPr>
        <w:t xml:space="preserve">;</w:t>
      </w:r>
      <w:r>
        <w:rPr>
          <w:rFonts w:ascii="Arial" w:hAnsi="Arial"/>
        </w:rPr>
      </w:r>
      <w:r>
        <w:rPr>
          <w:rFonts w:ascii="Arial" w:hAnsi="Arial"/>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color w:val="000000"/>
        </w:rPr>
      </w:pPr>
      <w:r/>
      <w:bookmarkStart w:id="49" w:name="_Ref114668245"/>
      <w:r>
        <w:rPr>
          <w:rFonts w:ascii="Arial" w:hAnsi="Arial"/>
          <w:b/>
          <w:color w:val="000000"/>
        </w:rPr>
        <w:t xml:space="preserve">34.1.5.</w:t>
      </w:r>
      <w:r>
        <w:rPr>
          <w:rFonts w:ascii="Arial" w:hAnsi="Arial"/>
          <w:color w:val="000000"/>
        </w:rPr>
        <w:t xml:space="preserve"> Fraudar a licitação</w:t>
      </w:r>
      <w:bookmarkEnd w:id="48"/>
      <w:r>
        <w:rPr>
          <w:rFonts w:ascii="Arial" w:hAnsi="Arial"/>
          <w:color w:val="000000"/>
        </w:rPr>
        <w:t xml:space="preserve">;</w:t>
      </w:r>
      <w:r>
        <w:rPr>
          <w:rFonts w:ascii="Arial" w:hAnsi="Arial"/>
          <w:color w:val="000000"/>
        </w:rPr>
      </w:r>
      <w:r>
        <w:rPr>
          <w:rFonts w:ascii="Arial" w:hAnsi="Arial"/>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bookmarkStart w:id="50" w:name="_Ref114668247"/>
      <w:r>
        <w:rPr>
          <w:rFonts w:ascii="Arial" w:hAnsi="Arial"/>
          <w:b/>
          <w:color w:val="000000"/>
        </w:rPr>
        <w:t xml:space="preserve">34.1.6.</w:t>
      </w:r>
      <w:r>
        <w:rPr>
          <w:rFonts w:ascii="Arial" w:hAnsi="Arial"/>
          <w:color w:val="000000"/>
        </w:rPr>
        <w:t xml:space="preserve"> Comportar-se de modo inidôneo ou cometer fraude de qualquer natureza, em especial quando:</w:t>
      </w:r>
      <w:bookmarkEnd w:id="49"/>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34.1.6.1.</w:t>
      </w:r>
      <w:r>
        <w:rPr>
          <w:rFonts w:ascii="Arial" w:hAnsi="Arial"/>
          <w:color w:val="000000"/>
        </w:rPr>
        <w:t xml:space="preserve"> Agir em conluio ou em desconformidade com a lei;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34.1.6.2.</w:t>
      </w:r>
      <w:r>
        <w:rPr>
          <w:rFonts w:ascii="Arial" w:hAnsi="Arial"/>
          <w:color w:val="000000"/>
        </w:rPr>
        <w:t xml:space="preserve"> Induzir deliberadamente a erro no julgamento; </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color w:val="000000"/>
        </w:rPr>
        <w:t xml:space="preserve">34.1.6.3.</w:t>
      </w:r>
      <w:r>
        <w:rPr>
          <w:rFonts w:ascii="Arial" w:hAnsi="Arial"/>
          <w:color w:val="000000"/>
        </w:rPr>
        <w:t xml:space="preserve"> Apresentar amostra falsificada ou deteriorada;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rPr>
      </w:pPr>
      <w:r>
        <w:rPr>
          <w:rFonts w:ascii="Arial" w:hAnsi="Arial"/>
          <w:b/>
          <w:color w:val="000000"/>
        </w:rPr>
        <w:t xml:space="preserve">34.1.7.</w:t>
      </w:r>
      <w:r>
        <w:rPr>
          <w:rFonts w:ascii="Arial" w:hAnsi="Arial"/>
          <w:color w:val="000000"/>
        </w:rPr>
        <w:t xml:space="preserve">  Praticar atos ilícitos com vistas a frustrar os objetivos da licitação</w:t>
      </w:r>
      <w:bookmarkEnd w:id="50"/>
      <w:r>
        <w:rPr>
          <w:rFonts w:ascii="Arial" w:hAnsi="Arial"/>
          <w:color w:val="000000"/>
        </w:rPr>
        <w:t xml:space="preserve">;</w:t>
      </w:r>
      <w:r>
        <w:rPr>
          <w:rFonts w:ascii="Arial" w:hAnsi="Arial"/>
          <w:color w:val="000000"/>
        </w:rPr>
      </w:r>
      <w:r>
        <w:rPr>
          <w:rFonts w:ascii="Arial" w:hAnsi="Arial"/>
          <w:color w:val="000000"/>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color w:val="000000"/>
        </w:rPr>
      </w:pPr>
      <w:r>
        <w:rPr>
          <w:rFonts w:ascii="Arial" w:hAnsi="Arial"/>
          <w:b/>
          <w:color w:val="000000"/>
        </w:rPr>
        <w:t xml:space="preserve">34.1.8.</w:t>
      </w:r>
      <w:r>
        <w:rPr>
          <w:rFonts w:ascii="Arial" w:hAnsi="Arial"/>
          <w:color w:val="000000"/>
        </w:rPr>
        <w:t xml:space="preserve">  Praticar ato lesivo previsto no </w:t>
      </w:r>
      <w:hyperlink r:id="rId35" w:tooltip="https://www.planalto.gov.br/ccivil_03/_ato2011-2014/2013/lei/l12846.htm#art5" w:anchor="art5" w:history="1">
        <w:r>
          <w:rPr>
            <w:rStyle w:val="973"/>
            <w:rFonts w:ascii="Arial" w:hAnsi="Arial" w:cs="Arial"/>
            <w:color w:val="000000"/>
          </w:rPr>
          <w:t xml:space="preserve">art. 5º da Lei n.º 12.846, de 2013</w:t>
        </w:r>
      </w:hyperlink>
      <w:r>
        <w:rPr>
          <w:rFonts w:ascii="Arial" w:hAnsi="Arial"/>
          <w:color w:val="000000"/>
        </w:rPr>
        <w:t xml:space="preserve">;</w:t>
      </w:r>
      <w:r>
        <w:rPr>
          <w:rFonts w:ascii="Arial" w:hAnsi="Arial"/>
          <w:color w:val="000000"/>
        </w:rPr>
      </w:r>
      <w:r>
        <w:rPr>
          <w:rFonts w:ascii="Arial" w:hAnsi="Arial"/>
          <w:color w:val="000000"/>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34.2.</w:t>
      </w:r>
      <w:r>
        <w:rPr>
          <w:rFonts w:ascii="Arial" w:hAnsi="Arial"/>
          <w:color w:val="000000"/>
        </w:rPr>
        <w:t xml:space="preserve"> Com fulcro na </w:t>
      </w:r>
      <w:hyperlink r:id="rId36" w:tooltip="http://www.planalto.gov.br/ccivil_03/_ato2019-2022/2021/lei/L14133.htm" w:history="1">
        <w:r>
          <w:rPr>
            <w:rStyle w:val="973"/>
            <w:rFonts w:ascii="Arial" w:hAnsi="Arial" w:cs="Arial"/>
            <w:color w:val="000000"/>
          </w:rPr>
          <w:t xml:space="preserve">Lei nº 14.133, de 2021</w:t>
        </w:r>
      </w:hyperlink>
      <w:r>
        <w:rPr>
          <w:rFonts w:ascii="Arial" w:hAnsi="Arial"/>
          <w:color w:val="000000"/>
        </w:rPr>
        <w:t xml:space="preserve">, a Administração poderá, garantida a prévia defesa, aplicar aos licitantes e/ou adjudicatários as seguintes sanções, sem prejuízo das responsabilidades civil e criminal: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34.2.1.</w:t>
      </w:r>
      <w:r>
        <w:rPr>
          <w:rFonts w:ascii="Arial" w:hAnsi="Arial"/>
          <w:color w:val="000000"/>
        </w:rPr>
        <w:t xml:space="preserve"> Advertência; </w:t>
      </w:r>
      <w:r>
        <w:rPr>
          <w:rFonts w:ascii="Arial" w:hAnsi="Arial"/>
        </w:rPr>
      </w:r>
      <w:r>
        <w:rPr>
          <w:rFonts w:ascii="Arial" w:hAnsi="Arial"/>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color w:val="000000"/>
        </w:rPr>
      </w:pPr>
      <w:r>
        <w:rPr>
          <w:rFonts w:ascii="Arial" w:hAnsi="Arial"/>
          <w:b/>
          <w:color w:val="000000"/>
        </w:rPr>
        <w:t xml:space="preserve">34.2.2.</w:t>
      </w:r>
      <w:r>
        <w:rPr>
          <w:rFonts w:ascii="Arial" w:hAnsi="Arial"/>
          <w:color w:val="000000"/>
        </w:rPr>
        <w:t xml:space="preserve"> Multa;</w:t>
      </w:r>
      <w:r>
        <w:rPr>
          <w:rFonts w:ascii="Arial" w:hAnsi="Arial"/>
          <w:color w:val="000000"/>
        </w:rPr>
      </w:r>
      <w:r>
        <w:rPr>
          <w:rFonts w:ascii="Arial" w:hAnsi="Arial"/>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34.2.3.</w:t>
      </w:r>
      <w:r>
        <w:rPr>
          <w:rFonts w:ascii="Arial" w:hAnsi="Arial"/>
          <w:color w:val="000000"/>
        </w:rPr>
        <w:t xml:space="preserve"> Impedimento de licitar e contratar e</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34.2.4.</w:t>
      </w:r>
      <w:r>
        <w:rPr>
          <w:rFonts w:ascii="Arial" w:hAnsi="Arial"/>
          <w:color w:val="000000"/>
        </w:rPr>
        <w:t xml:space="preserve"> Declaração de inidoneidade para licitar ou contratar, enquanto perdurarem os motivos determinantes da punição ou até que seja promovida sua reabilitação perante a </w:t>
      </w:r>
      <w:r>
        <w:rPr>
          <w:rFonts w:ascii="Arial" w:hAnsi="Arial"/>
          <w:color w:val="000000"/>
        </w:rPr>
        <w:t xml:space="preserve">própria autoridade que aplicou a penalidade.</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34.3. </w:t>
      </w:r>
      <w:r>
        <w:rPr>
          <w:rFonts w:ascii="Arial" w:hAnsi="Arial"/>
          <w:b/>
          <w:color w:val="000000"/>
          <w:u w:val="single"/>
        </w:rPr>
        <w:t xml:space="preserve">Na Aplicação das Sanções Serão Considerados</w:t>
      </w:r>
      <w:r>
        <w:rPr>
          <w:rFonts w:ascii="Arial" w:hAnsi="Arial"/>
          <w:b/>
          <w:color w:val="000000"/>
        </w:rPr>
        <w:t xml:space="preserve">:</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34.3.1. </w:t>
      </w:r>
      <w:r>
        <w:rPr>
          <w:rFonts w:ascii="Arial" w:hAnsi="Arial"/>
          <w:color w:val="000000"/>
        </w:rPr>
        <w:t xml:space="preserve">A natureza e a gravidade da infração cometida.</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34.3.2. </w:t>
      </w:r>
      <w:r>
        <w:rPr>
          <w:rFonts w:ascii="Arial" w:hAnsi="Arial"/>
          <w:color w:val="000000"/>
        </w:rPr>
        <w:t xml:space="preserve">As peculiaridades do caso concreto</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34.3.3. </w:t>
      </w:r>
      <w:r>
        <w:rPr>
          <w:rFonts w:ascii="Arial" w:hAnsi="Arial"/>
          <w:color w:val="000000"/>
        </w:rPr>
        <w:t xml:space="preserve">As circunstâncias agravantes ou atenuantes</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34.3.4. </w:t>
      </w:r>
      <w:r>
        <w:rPr>
          <w:rFonts w:ascii="Arial" w:hAnsi="Arial"/>
          <w:color w:val="000000"/>
        </w:rPr>
        <w:t xml:space="preserve">Os danos que dela provierem para a Administração Pública</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34.3.5. </w:t>
      </w:r>
      <w:r>
        <w:rPr>
          <w:rFonts w:ascii="Arial" w:hAnsi="Arial"/>
          <w:color w:val="000000"/>
        </w:rPr>
        <w:t xml:space="preserve">A implantação ou o aperfeiçoamento de programa de integridade, conforme normas e orientações dos órgãos de controle.</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34.4.</w:t>
      </w:r>
      <w:r>
        <w:rPr>
          <w:rFonts w:ascii="Arial" w:hAnsi="Arial"/>
          <w:color w:val="000000"/>
        </w:rPr>
        <w:t xml:space="preserve"> A multa será recolhida em percentual de 0,5% a 30% incidente sobre o valor do contrato licitado, recolhida no prazo máximo de </w:t>
      </w:r>
      <w:r>
        <w:rPr>
          <w:rFonts w:ascii="Arial" w:hAnsi="Arial"/>
          <w:b/>
          <w:bCs/>
          <w:color w:val="000000"/>
        </w:rPr>
        <w:t xml:space="preserve">30 (trinta) dias</w:t>
      </w:r>
      <w:r>
        <w:rPr>
          <w:rFonts w:ascii="Arial" w:hAnsi="Arial"/>
          <w:color w:val="000000"/>
        </w:rPr>
        <w:t xml:space="preserve"> úteis, a contar da comunicação oficial.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34.4.</w:t>
      </w:r>
      <w:r>
        <w:rPr>
          <w:rFonts w:ascii="Arial" w:hAnsi="Arial"/>
          <w:color w:val="000000"/>
        </w:rPr>
        <w:t xml:space="preserve">1. Para as infrações previstas nos itens </w:t>
      </w:r>
      <w:r>
        <w:rPr>
          <w:rFonts w:ascii="Arial" w:hAnsi="Arial"/>
          <w:b/>
          <w:color w:val="000000"/>
          <w:u w:val="single"/>
        </w:rPr>
        <w:t xml:space="preserve">34.1.1, 34.1.2, e 34.1.3</w:t>
      </w:r>
      <w:r>
        <w:rPr>
          <w:rFonts w:ascii="Arial" w:hAnsi="Arial"/>
          <w:color w:val="000000"/>
        </w:rPr>
        <w:t xml:space="preserve">, a multa será de </w:t>
      </w:r>
      <w:r>
        <w:rPr>
          <w:rFonts w:ascii="Arial" w:hAnsi="Arial"/>
          <w:b/>
          <w:color w:val="000000"/>
        </w:rPr>
        <w:t xml:space="preserve">0,5%</w:t>
      </w:r>
      <w:r>
        <w:rPr>
          <w:rFonts w:ascii="Arial" w:hAnsi="Arial"/>
          <w:color w:val="000000"/>
        </w:rPr>
        <w:t xml:space="preserve"> a </w:t>
      </w:r>
      <w:r>
        <w:rPr>
          <w:rFonts w:ascii="Arial" w:hAnsi="Arial"/>
          <w:b/>
          <w:color w:val="000000"/>
        </w:rPr>
        <w:t xml:space="preserve">15%</w:t>
      </w:r>
      <w:r>
        <w:rPr>
          <w:rFonts w:ascii="Arial" w:hAnsi="Arial"/>
          <w:color w:val="000000"/>
        </w:rPr>
        <w:t xml:space="preserve"> do valor do contrato licitado. </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34.4.2.</w:t>
      </w:r>
      <w:r>
        <w:rPr>
          <w:rFonts w:ascii="Arial" w:hAnsi="Arial"/>
          <w:color w:val="000000"/>
        </w:rPr>
        <w:t xml:space="preserve"> Para as infrações previstas nos itens </w:t>
      </w:r>
      <w:r>
        <w:rPr>
          <w:rFonts w:ascii="Arial" w:hAnsi="Arial"/>
          <w:b/>
          <w:color w:val="000000"/>
          <w:u w:val="single"/>
        </w:rPr>
        <w:t xml:space="preserve">34.1.4, 34.1.5, 34.1.6, 34.1.7, e 34.1.8,</w:t>
      </w:r>
      <w:r>
        <w:rPr>
          <w:rFonts w:ascii="Arial" w:hAnsi="Arial"/>
          <w:color w:val="000000"/>
        </w:rPr>
        <w:t xml:space="preserve"> a multa será de </w:t>
      </w:r>
      <w:r>
        <w:rPr>
          <w:rFonts w:ascii="Arial" w:hAnsi="Arial"/>
          <w:b/>
          <w:color w:val="000000"/>
        </w:rPr>
        <w:t xml:space="preserve">15%</w:t>
      </w:r>
      <w:r>
        <w:rPr>
          <w:rFonts w:ascii="Arial" w:hAnsi="Arial"/>
          <w:color w:val="000000"/>
        </w:rPr>
        <w:t xml:space="preserve"> a </w:t>
      </w:r>
      <w:r>
        <w:rPr>
          <w:rFonts w:ascii="Arial" w:hAnsi="Arial"/>
          <w:b/>
          <w:color w:val="000000"/>
        </w:rPr>
        <w:t xml:space="preserve">30%</w:t>
      </w:r>
      <w:r>
        <w:rPr>
          <w:rFonts w:ascii="Arial" w:hAnsi="Arial"/>
          <w:color w:val="000000"/>
        </w:rPr>
        <w:t xml:space="preserve"> do valor do contrato licitado.</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color w:val="000000"/>
        </w:rPr>
        <w:t xml:space="preserve">34.5. </w:t>
      </w:r>
      <w:r>
        <w:rPr>
          <w:rFonts w:ascii="Arial" w:hAnsi="Arial"/>
          <w:color w:val="000000"/>
        </w:rPr>
        <w:t xml:space="preserve">As sanções de advertência, impedimento de </w:t>
      </w:r>
      <w:r>
        <w:rPr>
          <w:rFonts w:ascii="Arial" w:hAnsi="Arial"/>
          <w:color w:val="000000"/>
        </w:rPr>
        <w:t xml:space="preserve">licitar e contratar e declaração de inidoneidade para licitar ou contratar poderão ser aplicadas, cumulativamente ou não, à penalidade de multa.</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34.6. </w:t>
      </w:r>
      <w:r>
        <w:rPr>
          <w:rFonts w:ascii="Arial" w:hAnsi="Arial"/>
          <w:color w:val="000000"/>
        </w:rPr>
        <w:t xml:space="preserve">Na aplicação da sanção de multa será facultada a defesa do interessado no prazo de 15 (quinze) dias útei</w:t>
      </w:r>
      <w:r>
        <w:rPr>
          <w:rFonts w:ascii="Arial" w:hAnsi="Arial"/>
          <w:color w:val="000000"/>
        </w:rPr>
        <w:t xml:space="preserve">s, contado da data de sua intimação.</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34.7. </w:t>
      </w:r>
      <w:r>
        <w:rPr>
          <w:rFonts w:ascii="Arial" w:hAnsi="Arial"/>
          <w:color w:val="000000"/>
        </w:rPr>
        <w:t xml:space="preserve">A sanção de impedimento de licitar e contratar será aplicada ao responsável em decorrência das infrações administrativas relacionadas nos itens </w:t>
      </w:r>
      <w:r>
        <w:rPr>
          <w:rFonts w:ascii="Arial" w:hAnsi="Arial"/>
          <w:b/>
          <w:color w:val="000000"/>
          <w:u w:val="single"/>
        </w:rPr>
        <w:t xml:space="preserve">34.1.1, 34.1.2, e 34.1.3</w:t>
      </w:r>
      <w:r>
        <w:rPr>
          <w:rFonts w:ascii="Arial" w:hAnsi="Arial"/>
          <w:color w:val="000000"/>
        </w:rPr>
        <w:t xml:space="preserve">, quando não se justificar a imposição de pe</w:t>
      </w:r>
      <w:r>
        <w:rPr>
          <w:rFonts w:ascii="Arial" w:hAnsi="Arial"/>
          <w:color w:val="000000"/>
        </w:rPr>
        <w:t xml:space="preserve">nalidade mais grave, e impedirá o responsável de licitar e contratar no âmbito da Administração Pública direta e indireta do ente federativo a qual pertencer o órgão ou entidade, pelo prazo máximo de 3 (três) anos.</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34.8. </w:t>
      </w:r>
      <w:r>
        <w:rPr>
          <w:rFonts w:ascii="Arial" w:hAnsi="Arial"/>
          <w:color w:val="000000"/>
        </w:rPr>
        <w:t xml:space="preserve">Poderá ser aplicada ao responsável</w:t>
      </w:r>
      <w:r>
        <w:rPr>
          <w:rFonts w:ascii="Arial" w:hAnsi="Arial"/>
          <w:color w:val="000000"/>
        </w:rPr>
        <w:t xml:space="preserve"> a sanção de declaração de inidoneidade para licitar ou contratar, em decorrência da prática das infrações dispostas nos itens </w:t>
      </w:r>
      <w:r>
        <w:rPr>
          <w:rFonts w:ascii="Arial" w:hAnsi="Arial"/>
          <w:b/>
          <w:color w:val="000000"/>
          <w:u w:val="single"/>
        </w:rPr>
        <w:t xml:space="preserve">34.1.4, 34.1.5, 34.1.6, 34.1.7, e 34.1.8,</w:t>
      </w:r>
      <w:r>
        <w:rPr>
          <w:rFonts w:ascii="Arial" w:hAnsi="Arial"/>
          <w:color w:val="000000"/>
        </w:rPr>
        <w:t xml:space="preserve"> bem como pelas infrações administrativas previstas nos itens </w:t>
      </w:r>
      <w:r>
        <w:rPr>
          <w:rFonts w:ascii="Arial" w:hAnsi="Arial"/>
          <w:b/>
          <w:color w:val="000000"/>
          <w:u w:val="single"/>
        </w:rPr>
        <w:t xml:space="preserve">34.1.1, 34.1.2, e 34.1.3</w:t>
      </w:r>
      <w:r>
        <w:rPr>
          <w:rFonts w:ascii="Arial" w:hAnsi="Arial"/>
          <w:color w:val="000000"/>
        </w:rPr>
        <w:t xml:space="preserve">, </w:t>
      </w:r>
      <w:r>
        <w:rPr>
          <w:rFonts w:ascii="Arial" w:hAnsi="Arial"/>
          <w:color w:val="000000"/>
        </w:rPr>
        <w:t xml:space="preserve">que justifiquem a imposição de penalidade mais grave que a sanção de impedimento de licitar e contratar, cuja duração observará o prazo previsto no </w:t>
      </w:r>
      <w:hyperlink r:id="rId37" w:tooltip="http://www.planalto.gov.br/ccivil_03/_ato2019-2022/2021/lei/L14133.htm#art156§5" w:anchor="art156§5" w:history="1">
        <w:r>
          <w:rPr>
            <w:rStyle w:val="973"/>
            <w:rFonts w:ascii="Arial" w:hAnsi="Arial" w:cs="Arial"/>
            <w:color w:val="000000"/>
          </w:rPr>
          <w:t xml:space="preserve">art. 156, §5º, da Lei n.º 14.133/2021</w:t>
        </w:r>
      </w:hyperlink>
      <w:r>
        <w:rPr>
          <w:rFonts w:ascii="Arial" w:hAnsi="Arial"/>
          <w:color w:val="000000"/>
        </w:rPr>
        <w:t xml:space="preserve">.</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34.9. </w:t>
      </w:r>
      <w:r>
        <w:rPr>
          <w:rFonts w:ascii="Arial" w:hAnsi="Arial"/>
          <w:color w:val="000000"/>
        </w:rPr>
        <w:t xml:space="preserve">A recusa injustificada do adjudicatário em assinar o contrato ou a ata de registro de preços, ou em aceitar ou retirar o instrumento equivalente no prazo estabelecido pela Administração, caracterizará descumprimento total da obrigação assumida e sujeitará </w:t>
      </w:r>
      <w:r>
        <w:rPr>
          <w:rFonts w:ascii="Arial" w:hAnsi="Arial"/>
          <w:color w:val="000000"/>
        </w:rPr>
        <w:t xml:space="preserve">o licitante às sanções cabíveis previstas neste edital e no art. 156 da Lei nº 14.133/2021, assegurados o contraditório e a ampla defesa</w:t>
      </w:r>
      <w:r>
        <w:rPr>
          <w:rFonts w:ascii="Arial" w:hAnsi="Arial"/>
          <w:color w:val="000000"/>
        </w:rPr>
        <w:t xml:space="preserve">. </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34.10. </w:t>
      </w:r>
      <w:r>
        <w:rPr>
          <w:rFonts w:ascii="Arial" w:hAnsi="Arial"/>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w:t>
      </w:r>
      <w:r>
        <w:rPr>
          <w:rFonts w:ascii="Arial" w:hAnsi="Arial"/>
          <w:color w:val="000000"/>
        </w:rPr>
        <w:t xml:space="preserve">ta por 2 (</w:t>
      </w:r>
      <w:r>
        <w:rPr>
          <w:rFonts w:ascii="Arial" w:hAnsi="Arial"/>
          <w:b/>
          <w:bCs/>
          <w:color w:val="000000"/>
        </w:rPr>
        <w:t xml:space="preserve">dois</w:t>
      </w:r>
      <w:r>
        <w:rPr>
          <w:rFonts w:ascii="Arial" w:hAnsi="Arial"/>
          <w:color w:val="000000"/>
        </w:rPr>
        <w:t xml:space="preserve">) ou mais servidores estáveis, que avaliará fatos e circunstâncias conhecidos e intimará o licitante ou o adjudicatário para, no prazo de 15 (quinze) dias úteis, contado da data de sua intimação, apresentar defesa escrita e especificar as pro</w:t>
      </w:r>
      <w:r>
        <w:rPr>
          <w:rFonts w:ascii="Arial" w:hAnsi="Arial"/>
          <w:color w:val="000000"/>
        </w:rPr>
        <w:t xml:space="preserve">vas que pretenda produzir. </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34.11. </w:t>
      </w:r>
      <w:r>
        <w:rPr>
          <w:rFonts w:ascii="Arial" w:hAnsi="Arial"/>
          <w:color w:val="000000"/>
        </w:rPr>
        <w:t xml:space="preserve">Caberá recurso no prazo de 15 (quinze) dias úteis da aplicação das sanções de advertência, multa e impedimento de licitar e contratar, contado da data da intimação, o qual será dirigido à autoridade que tiver proferido a</w:t>
      </w:r>
      <w:r>
        <w:rPr>
          <w:rFonts w:ascii="Arial" w:hAnsi="Arial"/>
          <w:color w:val="000000"/>
        </w:rPr>
        <w:t xml:space="preserve">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34.</w:t>
      </w:r>
      <w:r>
        <w:rPr>
          <w:rFonts w:ascii="Arial" w:hAnsi="Arial"/>
          <w:b/>
          <w:color w:val="000000"/>
        </w:rPr>
        <w:t xml:space="preserve">12. </w:t>
      </w:r>
      <w:r>
        <w:rPr>
          <w:rFonts w:ascii="Arial" w:hAnsi="Arial"/>
          <w:color w:val="000000"/>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w:t>
      </w:r>
      <w:r>
        <w:rPr>
          <w:rFonts w:ascii="Arial" w:hAnsi="Arial"/>
          <w:color w:val="000000"/>
        </w:rPr>
        <w:t xml:space="preserve">ado do seu recebimento.</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34.13. </w:t>
      </w:r>
      <w:r>
        <w:rPr>
          <w:rFonts w:ascii="Arial" w:hAnsi="Arial"/>
          <w:color w:val="000000"/>
        </w:rPr>
        <w:t xml:space="preserve">O recurso e o pedido de reconsideração terão efeito suspensivo do ato ou da decisão recorrida até que sobrevenha decisão final da autoridade competente.</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34.14. </w:t>
      </w:r>
      <w:r>
        <w:rPr>
          <w:rFonts w:ascii="Arial" w:hAnsi="Arial"/>
          <w:color w:val="000000"/>
        </w:rPr>
        <w:t xml:space="preserve">A aplicação das sanções previstas neste edital não exclui, em h</w:t>
      </w:r>
      <w:r>
        <w:rPr>
          <w:rFonts w:ascii="Arial" w:hAnsi="Arial"/>
          <w:color w:val="000000"/>
        </w:rPr>
        <w:t xml:space="preserve">ipótese alguma, a obrigação de reparação integral dos danos causados.</w:t>
      </w:r>
      <w:r>
        <w:rPr>
          <w:rFonts w:ascii="Arial" w:hAnsi="Arial"/>
        </w:rPr>
      </w:r>
      <w:r>
        <w:rPr>
          <w:rFonts w:ascii="Arial" w:hAnsi="Arial"/>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outlineLvl w:val="0"/>
        <w:rPr>
          <w:rFonts w:ascii="Arial" w:hAnsi="Arial"/>
          <w:b/>
          <w:bCs/>
          <w:color w:val="000000"/>
        </w:rPr>
      </w:pPr>
      <w:r/>
      <w:bookmarkStart w:id="91" w:name="_Toc35"/>
      <w:r>
        <w:rPr>
          <w:rFonts w:ascii="Arial" w:hAnsi="Arial" w:eastAsia="Arial"/>
          <w:b/>
          <w:bCs/>
          <w:color w:val="000000"/>
        </w:rPr>
        <w:t xml:space="preserve">35.</w:t>
      </w:r>
      <w:r>
        <w:rPr>
          <w:rFonts w:ascii="Arial" w:hAnsi="Arial"/>
          <w:b/>
          <w:color w:val="000000"/>
        </w:rPr>
        <w:t xml:space="preserve">  DA IMPUGNAÇÃO AO EDITAL E DO PEDIDO DE ESCLARECIMENTO</w:t>
      </w:r>
      <w:r>
        <w:rPr>
          <w:rFonts w:ascii="Arial" w:hAnsi="Arial" w:eastAsia="Arial"/>
          <w:b/>
          <w:bCs/>
          <w:color w:val="000000"/>
        </w:rPr>
        <w:t xml:space="preserve">:</w:t>
      </w:r>
      <w:r>
        <w:rPr>
          <w:rFonts w:ascii="Arial" w:hAnsi="Arial"/>
          <w:b/>
          <w:bCs/>
          <w:color w:val="000000"/>
        </w:rPr>
      </w:r>
      <w:bookmarkEnd w:id="91"/>
      <w:r>
        <w:rPr>
          <w:rFonts w:ascii="Arial" w:hAnsi="Arial"/>
          <w:b/>
          <w:bCs/>
          <w:color w:val="000000"/>
        </w:rPr>
      </w:r>
      <w:r>
        <w:rPr>
          <w:rFonts w:ascii="Arial" w:hAnsi="Arial"/>
          <w:b/>
          <w:bCs/>
          <w:color w:val="000000"/>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35.1.</w:t>
      </w:r>
      <w:r>
        <w:rPr>
          <w:rFonts w:ascii="Arial" w:hAnsi="Arial"/>
          <w:color w:val="000000"/>
        </w:rPr>
        <w:t xml:space="preserve"> Qualquer pessoa é parte legítima para impugnar edital de licitação por irregularidade na aplicação da Lei ou para solicitar esclarecimento sobre os seus termos, devendo protocolar o pedido exclusivamente na plataforma eletrônica </w:t>
      </w:r>
      <w:hyperlink r:id="rId38" w:tooltip="mailto:bllcompras.com" w:history="1">
        <w:r>
          <w:rPr>
            <w:rStyle w:val="973"/>
            <w:rFonts w:ascii="Arial" w:hAnsi="Arial" w:cs="Arial"/>
            <w:b/>
            <w:color w:val="000000"/>
          </w:rPr>
          <w:t xml:space="preserve">bllcompras.com</w:t>
        </w:r>
      </w:hyperlink>
      <w:r>
        <w:rPr>
          <w:rFonts w:ascii="Arial" w:hAnsi="Arial"/>
          <w:b/>
          <w:color w:val="000000"/>
        </w:rPr>
        <w:t xml:space="preserve"> </w:t>
      </w:r>
      <w:r>
        <w:rPr>
          <w:rFonts w:ascii="Arial" w:hAnsi="Arial"/>
          <w:color w:val="000000"/>
        </w:rPr>
        <w:t xml:space="preserve">até 3 (três) dias úteis antes da data de abertura do certame. (Art. 164 da Lei 14.133, de 2021).</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35.2.</w:t>
      </w:r>
      <w:r>
        <w:rPr>
          <w:rFonts w:ascii="Arial" w:hAnsi="Arial"/>
          <w:color w:val="000000"/>
        </w:rPr>
        <w:t xml:space="preserve"> A resposta à impugnação ou ao pedido de esclarecimento será divulgado no </w:t>
      </w:r>
      <w:r>
        <w:rPr>
          <w:rFonts w:ascii="Arial" w:hAnsi="Arial"/>
          <w:b/>
          <w:color w:val="000000"/>
        </w:rPr>
        <w:t xml:space="preserve">site bllcompras.com</w:t>
      </w:r>
      <w:r>
        <w:rPr>
          <w:rFonts w:ascii="Arial" w:hAnsi="Arial"/>
          <w:color w:val="000000"/>
        </w:rPr>
        <w:t xml:space="preserve">, no campo “</w:t>
      </w:r>
      <w:r>
        <w:rPr>
          <w:rFonts w:ascii="Arial" w:hAnsi="Arial"/>
          <w:b/>
          <w:color w:val="000000"/>
        </w:rPr>
        <w:t xml:space="preserve">DOCUMENTOS</w:t>
      </w:r>
      <w:r>
        <w:rPr>
          <w:rFonts w:ascii="Arial" w:hAnsi="Arial"/>
          <w:color w:val="000000"/>
        </w:rPr>
        <w:t xml:space="preserve">”, no link correspondente a este Edital, no prazo de até 3 (três) dias úteis, limitado ao último dia útil anterior à data da abertura do certame.</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35.3.</w:t>
      </w:r>
      <w:r>
        <w:rPr>
          <w:rFonts w:ascii="Arial" w:hAnsi="Arial"/>
          <w:color w:val="000000"/>
        </w:rPr>
        <w:t xml:space="preserve"> Na contagem dos prazos estabelecidos neste Edital e seus Anexos, excluir-se-á o d</w:t>
      </w:r>
      <w:r>
        <w:rPr>
          <w:rFonts w:ascii="Arial" w:hAnsi="Arial"/>
          <w:color w:val="000000"/>
        </w:rPr>
        <w:t xml:space="preserve">ia do início e incluir-se-á o dia do vencimento. Só se iniciam e vencem os prazos em dias de expediente na Administração.</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rPr>
      </w:pPr>
      <w:r>
        <w:rPr>
          <w:rFonts w:ascii="Arial" w:hAnsi="Arial"/>
          <w:b/>
          <w:color w:val="000000"/>
        </w:rPr>
        <w:t xml:space="preserve">35.3.1.</w:t>
      </w:r>
      <w:r>
        <w:rPr>
          <w:rFonts w:ascii="Arial" w:hAnsi="Arial"/>
          <w:color w:val="000000"/>
        </w:rPr>
        <w:t xml:space="preserve"> A contagem dos prazos para impugnar ou solicitar esclarecimento ao edital se dará da seguinte forma: o referido prazo será co</w:t>
      </w:r>
      <w:r>
        <w:rPr>
          <w:rFonts w:ascii="Arial" w:hAnsi="Arial"/>
          <w:color w:val="000000"/>
        </w:rPr>
        <w:t xml:space="preserve">ntado de trás para a frente, </w:t>
      </w:r>
      <w:r>
        <w:rPr>
          <w:rFonts w:ascii="Arial" w:hAnsi="Arial"/>
          <w:color w:val="000000"/>
          <w:u w:val="single"/>
        </w:rPr>
        <w:t xml:space="preserve">o dia do início será o da sessão pública</w:t>
      </w:r>
      <w:r>
        <w:rPr>
          <w:rFonts w:ascii="Arial" w:hAnsi="Arial"/>
          <w:color w:val="000000"/>
        </w:rPr>
        <w:t xml:space="preserve">, portanto, </w:t>
      </w:r>
      <w:r>
        <w:rPr>
          <w:rFonts w:ascii="Arial" w:hAnsi="Arial"/>
          <w:color w:val="000000"/>
          <w:u w:val="single"/>
        </w:rPr>
        <w:t xml:space="preserve">exclui-se da </w:t>
      </w:r>
      <w:r>
        <w:rPr>
          <w:rFonts w:ascii="Arial" w:hAnsi="Arial"/>
          <w:color w:val="000000"/>
          <w:u w:val="single"/>
        </w:rPr>
        <w:t xml:space="preserve">contagem</w:t>
      </w:r>
      <w:r>
        <w:rPr>
          <w:rFonts w:ascii="Arial" w:hAnsi="Arial"/>
          <w:color w:val="000000"/>
        </w:rPr>
        <w:t xml:space="preserve">, e </w:t>
      </w:r>
      <w:r>
        <w:rPr>
          <w:rFonts w:ascii="Arial" w:hAnsi="Arial"/>
          <w:color w:val="000000"/>
          <w:u w:val="single"/>
        </w:rPr>
        <w:t xml:space="preserve">inclui-se o dia do vencimento</w:t>
      </w:r>
      <w:r>
        <w:rPr>
          <w:rFonts w:ascii="Arial" w:hAnsi="Arial"/>
          <w:color w:val="000000"/>
        </w:rPr>
        <w:t xml:space="preserve">. Exemplo: uma licitação com sessão marcada para </w:t>
      </w:r>
      <w:r>
        <w:rPr>
          <w:rFonts w:ascii="Arial" w:hAnsi="Arial"/>
          <w:b/>
          <w:color w:val="000000"/>
          <w:u w:val="single"/>
        </w:rPr>
        <w:t xml:space="preserve">sexta-feira</w:t>
      </w:r>
      <w:r>
        <w:rPr>
          <w:rFonts w:ascii="Arial" w:hAnsi="Arial"/>
          <w:color w:val="000000"/>
        </w:rPr>
        <w:t xml:space="preserve"> o dia limite para impugnar ou pedir esclarecimento será na </w:t>
      </w:r>
      <w:r>
        <w:rPr>
          <w:rFonts w:ascii="Arial" w:hAnsi="Arial"/>
          <w:b/>
          <w:color w:val="000000"/>
          <w:u w:val="single"/>
        </w:rPr>
        <w:t xml:space="preserve">t</w:t>
      </w:r>
      <w:r>
        <w:rPr>
          <w:rFonts w:ascii="Arial" w:hAnsi="Arial"/>
          <w:b/>
          <w:color w:val="000000"/>
          <w:u w:val="single"/>
        </w:rPr>
        <w:t xml:space="preserve">erça feira</w:t>
      </w:r>
      <w:r>
        <w:rPr>
          <w:rFonts w:ascii="Arial" w:hAnsi="Arial"/>
          <w:color w:val="000000"/>
        </w:rPr>
        <w:t xml:space="preserve">, considerando uma semana de expediente ininterrupto na Administração.</w:t>
      </w:r>
      <w:r>
        <w:rPr>
          <w:rFonts w:ascii="Arial" w:hAnsi="Arial"/>
          <w:color w:val="000000"/>
        </w:rPr>
      </w:r>
      <w:r>
        <w:rPr>
          <w:rFonts w:ascii="Arial" w:hAnsi="Arial"/>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35.3.2. </w:t>
      </w:r>
      <w:r>
        <w:rPr>
          <w:rFonts w:ascii="Arial" w:hAnsi="Arial"/>
          <w:color w:val="000000"/>
        </w:rPr>
        <w:t xml:space="preserve">Os pedidos de impugnações e esclarecimentos solicitados fora do prazo estabelecido neste edital não serão reconhecidos.</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35.4.</w:t>
      </w:r>
      <w:r>
        <w:rPr>
          <w:rFonts w:ascii="Arial" w:hAnsi="Arial"/>
          <w:color w:val="000000"/>
        </w:rPr>
        <w:t xml:space="preserve">  As impugnações e pedidos de esclarecim</w:t>
      </w:r>
      <w:r>
        <w:rPr>
          <w:rFonts w:ascii="Arial" w:hAnsi="Arial"/>
          <w:color w:val="000000"/>
        </w:rPr>
        <w:t xml:space="preserve">entos não suspendem os prazos previstos no certame.</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35.5.</w:t>
      </w:r>
      <w:r>
        <w:rPr>
          <w:rFonts w:ascii="Arial" w:hAnsi="Arial"/>
          <w:color w:val="000000"/>
        </w:rPr>
        <w:t xml:space="preserve">  A concessão de efeito suspensivo à impugnação é medida excepcional e deverá ser motivada pelo agente de contratação, nos autos do processo de licitação.</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35.6.</w:t>
      </w:r>
      <w:r>
        <w:rPr>
          <w:rFonts w:ascii="Arial" w:hAnsi="Arial"/>
          <w:color w:val="000000"/>
        </w:rPr>
        <w:t xml:space="preserve">  Acolhida a impugnação, será definid</w:t>
      </w:r>
      <w:r>
        <w:rPr>
          <w:rFonts w:ascii="Arial" w:hAnsi="Arial"/>
          <w:color w:val="000000"/>
        </w:rPr>
        <w:t xml:space="preserve">a e publicada nova data para a realização do certame.</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35.7.</w:t>
      </w:r>
      <w:r>
        <w:rPr>
          <w:rFonts w:ascii="Arial" w:hAnsi="Arial"/>
          <w:color w:val="000000"/>
        </w:rPr>
        <w:t xml:space="preserve"> A impugnação não impede a impugnante de participar do processo licitatório até o trânsito em julgado da decisão a ela pertinente. </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35.8.</w:t>
      </w:r>
      <w:r>
        <w:rPr>
          <w:rFonts w:ascii="Arial" w:hAnsi="Arial"/>
          <w:color w:val="000000"/>
        </w:rPr>
        <w:t xml:space="preserve"> Ocorrendo a impugnação de caráter meramente protelatório,</w:t>
      </w:r>
      <w:r>
        <w:rPr>
          <w:rFonts w:ascii="Arial" w:hAnsi="Arial"/>
          <w:color w:val="000000"/>
        </w:rPr>
        <w:t xml:space="preserve"> ensejando assim o retardamento da execução do certame, a autoridade competente poderá, assegurado o contraditório e a ampla defesa, aplicar a pena em conformidade com a legislação vigente.</w:t>
      </w:r>
      <w:r>
        <w:rPr>
          <w:rFonts w:ascii="Arial" w:hAnsi="Arial"/>
        </w:rPr>
      </w:r>
      <w:r>
        <w:rPr>
          <w:rFonts w:ascii="Arial" w:hAnsi="Arial"/>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outlineLvl w:val="0"/>
        <w:rPr>
          <w:rFonts w:ascii="Arial" w:hAnsi="Arial"/>
          <w:b/>
          <w:bCs/>
          <w:color w:val="000000"/>
        </w:rPr>
      </w:pPr>
      <w:r/>
      <w:bookmarkStart w:id="92" w:name="_Toc36"/>
      <w:r>
        <w:rPr>
          <w:rFonts w:ascii="Arial" w:hAnsi="Arial" w:eastAsia="Arial"/>
          <w:b/>
          <w:bCs/>
          <w:color w:val="000000"/>
        </w:rPr>
        <w:t xml:space="preserve">36.</w:t>
      </w:r>
      <w:r>
        <w:rPr>
          <w:rFonts w:ascii="Arial" w:hAnsi="Arial"/>
          <w:b/>
          <w:color w:val="000000"/>
        </w:rPr>
        <w:t xml:space="preserve"> DAS DISPOSIÇÕES GERAIS</w:t>
      </w:r>
      <w:r>
        <w:rPr>
          <w:rFonts w:ascii="Arial" w:hAnsi="Arial" w:eastAsia="Arial"/>
          <w:b/>
          <w:bCs/>
          <w:color w:val="000000"/>
        </w:rPr>
        <w:t xml:space="preserve">:</w:t>
      </w:r>
      <w:r>
        <w:rPr>
          <w:rFonts w:ascii="Arial" w:hAnsi="Arial"/>
          <w:b/>
          <w:bCs/>
          <w:color w:val="000000"/>
        </w:rPr>
      </w:r>
      <w:bookmarkEnd w:id="92"/>
      <w:r>
        <w:rPr>
          <w:rFonts w:ascii="Arial" w:hAnsi="Arial"/>
          <w:b/>
          <w:bCs/>
          <w:color w:val="000000"/>
        </w:rPr>
      </w:r>
      <w:r>
        <w:rPr>
          <w:rFonts w:ascii="Arial" w:hAnsi="Arial"/>
          <w:b/>
          <w:bCs/>
          <w:color w:val="000000"/>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color w:val="000000"/>
        </w:rPr>
      </w:pPr>
      <w:r>
        <w:rPr>
          <w:rFonts w:ascii="Arial" w:hAnsi="Arial"/>
          <w:b/>
          <w:color w:val="000000"/>
        </w:rPr>
        <w:t xml:space="preserve">36.1.</w:t>
      </w:r>
      <w:r>
        <w:rPr>
          <w:rFonts w:ascii="Arial" w:hAnsi="Arial"/>
          <w:color w:val="000000"/>
        </w:rPr>
        <w:t xml:space="preserve"> Os licitantes assumem todos os</w:t>
      </w:r>
      <w:r>
        <w:rPr>
          <w:rFonts w:ascii="Arial" w:hAnsi="Arial"/>
          <w:color w:val="000000"/>
        </w:rPr>
        <w:t xml:space="preserve"> custos de preparação e apresentação de suas propostas e a Administração não será, em nenhum caso, responsável por esses custos, independentemente da condução ou do resultado do processo licitatório.</w:t>
      </w:r>
      <w:r>
        <w:rPr>
          <w:rFonts w:ascii="Arial" w:hAnsi="Arial"/>
          <w:color w:val="000000"/>
        </w:rPr>
      </w:r>
      <w:r>
        <w:rPr>
          <w:rFonts w:ascii="Arial" w:hAnsi="Arial"/>
          <w:color w:val="000000"/>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36.2.</w:t>
      </w:r>
      <w:r>
        <w:rPr>
          <w:rFonts w:ascii="Arial" w:hAnsi="Arial"/>
          <w:color w:val="000000"/>
        </w:rPr>
        <w:t xml:space="preserve"> O desatendimento de exigências formais não essenciais não importará o afastamento do licitante, desde que seja possível o aproveitamento do ato, observados os princípios da isonomia e do interesse público.</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36.3.</w:t>
      </w:r>
      <w:r>
        <w:rPr>
          <w:rFonts w:ascii="Arial" w:hAnsi="Arial"/>
          <w:color w:val="000000"/>
        </w:rPr>
        <w:t xml:space="preserve"> A sessão pública poderá ser suspensa, por prazo a ser definido na própria sessão, para a análise prévia proposta ou de documento exigidos para habilitação que se fizer necessário.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36.3.1.</w:t>
      </w:r>
      <w:r>
        <w:rPr>
          <w:rFonts w:ascii="Arial" w:hAnsi="Arial"/>
          <w:color w:val="000000"/>
        </w:rPr>
        <w:t xml:space="preserve"> Todos e quaisquer avisos pertinentes ao certame, </w:t>
      </w:r>
      <w:r>
        <w:rPr>
          <w:rFonts w:ascii="Arial" w:hAnsi="Arial"/>
          <w:b/>
          <w:color w:val="000000"/>
        </w:rPr>
        <w:t xml:space="preserve">adendos, esclare</w:t>
      </w:r>
      <w:r>
        <w:rPr>
          <w:rFonts w:ascii="Arial" w:hAnsi="Arial"/>
          <w:b/>
          <w:color w:val="000000"/>
        </w:rPr>
        <w:t xml:space="preserve">cimentos, impugnações, </w:t>
      </w:r>
      <w:r>
        <w:rPr>
          <w:rFonts w:ascii="Arial" w:hAnsi="Arial"/>
          <w:color w:val="000000"/>
        </w:rPr>
        <w:t xml:space="preserve">farão parte do instrumento convocatório, suspensão em decorrência de horário de expediente ou fatos supervenientes, serão postados no chat e/ou anexados no campo “</w:t>
      </w:r>
      <w:r>
        <w:rPr>
          <w:rFonts w:ascii="Arial" w:hAnsi="Arial"/>
          <w:b/>
          <w:color w:val="000000"/>
        </w:rPr>
        <w:t xml:space="preserve">DOCUMENTO</w:t>
      </w:r>
      <w:r>
        <w:rPr>
          <w:rFonts w:ascii="Arial" w:hAnsi="Arial"/>
          <w:color w:val="000000"/>
        </w:rPr>
        <w:t xml:space="preserve">” no sistema </w:t>
      </w:r>
      <w:hyperlink r:id="rId39" w:tooltip="http://bllcompras.com/" w:history="1">
        <w:r>
          <w:rPr>
            <w:rStyle w:val="973"/>
            <w:rFonts w:ascii="Arial" w:hAnsi="Arial" w:cs="Arial"/>
            <w:b/>
            <w:color w:val="000000"/>
          </w:rPr>
          <w:t xml:space="preserve">bllcompras.com</w:t>
        </w:r>
      </w:hyperlink>
      <w:r>
        <w:rPr>
          <w:rFonts w:ascii="Arial" w:hAnsi="Arial"/>
          <w:color w:val="000000"/>
        </w:rPr>
        <w:t xml:space="preserve">, sendo de inteira responsabilidade o acompanhamento por parte do licitante. Não podendo o licitante alegar desconhecimento da informação, sob pena de decair seus direitos.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36.4.</w:t>
      </w:r>
      <w:r>
        <w:rPr>
          <w:rFonts w:ascii="Arial" w:hAnsi="Arial"/>
          <w:color w:val="000000"/>
        </w:rPr>
        <w:t xml:space="preserve"> Não havendo expediente ou ocorrendo qualqu</w:t>
      </w:r>
      <w:r>
        <w:rPr>
          <w:rFonts w:ascii="Arial" w:hAnsi="Arial"/>
          <w:color w:val="000000"/>
        </w:rPr>
        <w:t xml:space="preserve">er fato superveniente que impeça a realização do certame na data marcada, a sessão será automaticamente transferida para o primeiro dia útil subseqüente, no mesmo horário e local, anteriormente estabelecidos, desde que não haja comunicação do Pregoeiro em </w:t>
      </w:r>
      <w:r>
        <w:rPr>
          <w:rFonts w:ascii="Arial" w:hAnsi="Arial"/>
          <w:color w:val="000000"/>
        </w:rPr>
        <w:t xml:space="preserve">contrário. </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36.5.</w:t>
      </w:r>
      <w:r>
        <w:rPr>
          <w:rFonts w:ascii="Arial" w:hAnsi="Arial"/>
          <w:color w:val="000000"/>
        </w:rPr>
        <w:t xml:space="preserve"> Os licitantes deverão examinar detidamente as disposições contidas neste Edital e em seus Anexos, pois a simples apresentação das propostas subentende a aceitação incondicional de seus termos, independentemente de transcrição, não sendo </w:t>
      </w:r>
      <w:r>
        <w:rPr>
          <w:rFonts w:ascii="Arial" w:hAnsi="Arial"/>
          <w:color w:val="000000"/>
        </w:rPr>
        <w:t xml:space="preserve">aceitas quaisquer alegações de desconhecimento de qualquer por menor.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36.6.</w:t>
      </w:r>
      <w:r>
        <w:rPr>
          <w:rFonts w:ascii="Arial" w:hAnsi="Arial"/>
          <w:color w:val="000000"/>
        </w:rPr>
        <w:t xml:space="preserve"> É facultada ao Pregoeiro ou autoridade superior em qualquer fase da licitação, a promoção de diligência destinada a esclarecer ou complementar a instrução do processo, vedada a i</w:t>
      </w:r>
      <w:r>
        <w:rPr>
          <w:rFonts w:ascii="Arial" w:hAnsi="Arial"/>
          <w:color w:val="000000"/>
        </w:rPr>
        <w:t xml:space="preserve">nclusão posterior de documento ou informação que deveria constar no ato da sessão pública.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36.7.</w:t>
      </w:r>
      <w:r>
        <w:rPr>
          <w:rFonts w:ascii="Arial" w:hAnsi="Arial"/>
          <w:color w:val="000000"/>
        </w:rPr>
        <w:t xml:space="preserve"> A Autoridade competente poderá cancelar a licitação por fato superveniente devidamente comprovado, pertinente e suficiente para justificar tal conduta, deven</w:t>
      </w:r>
      <w:r>
        <w:rPr>
          <w:rFonts w:ascii="Arial" w:hAnsi="Arial"/>
          <w:color w:val="000000"/>
        </w:rPr>
        <w:t xml:space="preserve">do anulá-la por ilegalidade, de ofício ou por provocação de qualquer pessoa, mediante ato escrito e fundamentado. </w:t>
      </w:r>
      <w:r>
        <w:rPr>
          <w:rFonts w:ascii="Arial" w:hAnsi="Arial"/>
        </w:rPr>
      </w:r>
      <w:r>
        <w:rPr>
          <w:rFonts w:ascii="Arial" w:hAnsi="Arial"/>
        </w:rPr>
      </w:r>
    </w:p>
    <w:p>
      <w:pPr>
        <w:pBdr/>
        <w:spacing/>
        <w:ind w:left="284"/>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color w:val="000000"/>
        </w:rPr>
      </w:pPr>
      <w:r>
        <w:rPr>
          <w:rFonts w:ascii="Arial" w:hAnsi="Arial"/>
          <w:b/>
          <w:color w:val="000000"/>
        </w:rPr>
        <w:t xml:space="preserve">36.7.1.</w:t>
      </w:r>
      <w:r>
        <w:rPr>
          <w:rFonts w:ascii="Arial" w:hAnsi="Arial"/>
          <w:color w:val="000000"/>
        </w:rPr>
        <w:t xml:space="preserve"> A anulação do procedimento licitatório induz a anulação do contrato.</w:t>
      </w:r>
      <w:r>
        <w:rPr>
          <w:rFonts w:ascii="Arial" w:hAnsi="Arial"/>
          <w:color w:val="000000"/>
        </w:rPr>
      </w:r>
      <w:r>
        <w:rPr>
          <w:rFonts w:ascii="Arial" w:hAnsi="Arial"/>
          <w:color w:val="000000"/>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36.7.2.</w:t>
      </w:r>
      <w:r>
        <w:rPr>
          <w:rFonts w:ascii="Arial" w:hAnsi="Arial"/>
          <w:color w:val="000000"/>
        </w:rPr>
        <w:t xml:space="preserve"> Os licitantes não terão direito à indenização em decor</w:t>
      </w:r>
      <w:r>
        <w:rPr>
          <w:rFonts w:ascii="Arial" w:hAnsi="Arial"/>
          <w:color w:val="000000"/>
        </w:rPr>
        <w:t xml:space="preserve">rência da anulação do procedimento licitatório, ressalvado o direito do contratado de boa-fé de ser ressarcido pelos encargos que tiver suportado no cumprimento das obrigações.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36.8.</w:t>
      </w:r>
      <w:r>
        <w:rPr>
          <w:rFonts w:ascii="Arial" w:hAnsi="Arial"/>
          <w:color w:val="000000"/>
        </w:rPr>
        <w:t xml:space="preserve"> As normas disciplinadoras da licitação serão sempre interpretadas em fa</w:t>
      </w:r>
      <w:r>
        <w:rPr>
          <w:rFonts w:ascii="Arial" w:hAnsi="Arial"/>
          <w:color w:val="000000"/>
        </w:rPr>
        <w:t xml:space="preserve">vor da ampliação da disputa entre os interessados, desde que não comprometam o interesse da Administração, o princípio da isonomia, a finalidade e a segurança da contratação. </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36.9.</w:t>
      </w:r>
      <w:r>
        <w:rPr>
          <w:rFonts w:ascii="Arial" w:hAnsi="Arial"/>
          <w:color w:val="000000"/>
        </w:rPr>
        <w:t xml:space="preserve"> A homologação do resultado desta licitação não implicará direito à contra</w:t>
      </w:r>
      <w:r>
        <w:rPr>
          <w:rFonts w:ascii="Arial" w:hAnsi="Arial"/>
          <w:color w:val="000000"/>
        </w:rPr>
        <w:t xml:space="preserve">tação.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36.10.</w:t>
      </w:r>
      <w:r>
        <w:rPr>
          <w:rFonts w:ascii="Arial" w:hAnsi="Arial"/>
          <w:color w:val="000000"/>
        </w:rPr>
        <w:t xml:space="preserve"> É de inteira responsabilidade do licitante o acompanhamento no </w:t>
      </w:r>
      <w:r>
        <w:rPr>
          <w:rFonts w:ascii="Arial" w:hAnsi="Arial"/>
          <w:b/>
          <w:color w:val="000000"/>
        </w:rPr>
        <w:t xml:space="preserve">site bllcompras.com</w:t>
      </w:r>
      <w:r>
        <w:rPr>
          <w:rFonts w:ascii="Arial" w:hAnsi="Arial"/>
          <w:color w:val="000000"/>
        </w:rPr>
        <w:t xml:space="preserve"> quanto a sua classificação/desclassificação/inabilitação, ficando responsável pelo ônus decorrente da perda de negócios diante da inobservância e cumprimento</w:t>
      </w:r>
      <w:r>
        <w:rPr>
          <w:rFonts w:ascii="Arial" w:hAnsi="Arial"/>
          <w:color w:val="000000"/>
        </w:rPr>
        <w:t xml:space="preserve"> do prazo. </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36.11.</w:t>
      </w:r>
      <w:r>
        <w:rPr>
          <w:rFonts w:ascii="Arial" w:hAnsi="Arial"/>
          <w:color w:val="000000"/>
        </w:rPr>
        <w:t xml:space="preserve"> Quaisquer cláusulas deste edital que não seja cumprido, caberá ao pregoeiro a decisão sobre a desclassificação do licitante, em razão dos danos causados ao processo. </w:t>
      </w:r>
      <w:r>
        <w:rPr>
          <w:rFonts w:ascii="Arial" w:hAnsi="Arial"/>
        </w:rPr>
      </w:r>
      <w:r>
        <w:rPr>
          <w:rFonts w:ascii="Arial" w:hAnsi="Arial"/>
        </w:rPr>
      </w:r>
    </w:p>
    <w:p>
      <w:pPr>
        <w:pBdr/>
        <w:spacing/>
        <w:ind w:left="284"/>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36.12.</w:t>
      </w:r>
      <w:r>
        <w:rPr>
          <w:rFonts w:ascii="Arial" w:hAnsi="Arial"/>
          <w:color w:val="000000"/>
        </w:rPr>
        <w:t xml:space="preserve"> O Edital está disponível, na íntegra, </w:t>
      </w:r>
      <w:r>
        <w:rPr>
          <w:rFonts w:ascii="Arial" w:hAnsi="Arial"/>
          <w:b/>
          <w:color w:val="000000"/>
        </w:rPr>
        <w:t xml:space="preserve">no endereço eletrônico </w:t>
      </w:r>
      <w:r>
        <w:rPr>
          <w:rFonts w:ascii="Arial" w:hAnsi="Arial"/>
          <w:b/>
          <w:color w:val="000000"/>
        </w:rPr>
        <w:t xml:space="preserve">BLL: bllcompras.com; </w:t>
      </w:r>
      <w:hyperlink r:id="rId40" w:tooltip="http://www.rondonopolis.mt.gov.br/" w:history="1">
        <w:r>
          <w:rPr>
            <w:rStyle w:val="973"/>
            <w:rFonts w:ascii="Arial" w:hAnsi="Arial" w:cs="Arial"/>
            <w:b/>
            <w:color w:val="000000"/>
          </w:rPr>
          <w:t xml:space="preserve">www.rondonopolis.mt.gov.br</w:t>
        </w:r>
      </w:hyperlink>
      <w:r>
        <w:rPr>
          <w:rFonts w:ascii="Arial" w:hAnsi="Arial"/>
          <w:color w:val="000000"/>
        </w:rPr>
        <w:t xml:space="preserve">, e também poderão ser lidos e/ou obtidos em dias úteis, no endereço e horário indicado no preambulo deste edital; no mesmo endereço e período no qual os autos do processo administrativo permanecerão com vista franqueada aos interessados.</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36.13.</w:t>
      </w:r>
      <w:r>
        <w:rPr>
          <w:rFonts w:ascii="Arial" w:hAnsi="Arial"/>
          <w:color w:val="000000"/>
        </w:rPr>
        <w:t xml:space="preserve"> Alternati</w:t>
      </w:r>
      <w:r>
        <w:rPr>
          <w:rFonts w:ascii="Arial" w:hAnsi="Arial"/>
          <w:color w:val="000000"/>
        </w:rPr>
        <w:t xml:space="preserve">vamente à convocação para comparecer perante o órgão ou entidade para a assinatura da Ata de Registro de Preços e Contrato, a Administração poderá encaminhá-la para assinatura, mediante correspondência postal com aviso de recebimento (AR) ou meio eletrônic</w:t>
      </w:r>
      <w:r>
        <w:rPr>
          <w:rFonts w:ascii="Arial" w:hAnsi="Arial"/>
          <w:color w:val="000000"/>
        </w:rPr>
        <w:t xml:space="preserve">o, para que seja assinada no prazo de 5 (cinco) dias, a contar da data de seu recebimento;</w:t>
      </w:r>
      <w:r>
        <w:rPr>
          <w:rFonts w:ascii="Arial" w:hAnsi="Arial"/>
        </w:rPr>
      </w:r>
      <w:r>
        <w:rPr>
          <w:rFonts w:ascii="Arial" w:hAnsi="Arial"/>
        </w:rP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36.14.</w:t>
      </w:r>
      <w:r>
        <w:rPr>
          <w:rFonts w:ascii="Arial" w:hAnsi="Arial"/>
          <w:color w:val="000000"/>
        </w:rPr>
        <w:t xml:space="preserve"> Para dirimir as questões oriundas do presente Edital, não resolvidas na esfera administrativa, é competente o Foro da Comarca de Rondonópolis, por mais privilegiado que outro seja.</w:t>
      </w:r>
      <w:r>
        <w:rPr>
          <w:rFonts w:ascii="Arial" w:hAnsi="Arial"/>
        </w:rPr>
      </w:r>
      <w:r>
        <w:rPr>
          <w:rFonts w:ascii="Arial" w:hAnsi="Arial"/>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outlineLvl w:val="0"/>
        <w:rPr>
          <w:rFonts w:ascii="Arial" w:hAnsi="Arial"/>
          <w:b/>
          <w:bCs/>
          <w:color w:val="000000"/>
        </w:rPr>
      </w:pPr>
      <w:r/>
      <w:bookmarkStart w:id="93" w:name="_Toc37"/>
      <w:r>
        <w:rPr>
          <w:rFonts w:ascii="Arial" w:hAnsi="Arial" w:eastAsia="Arial"/>
          <w:b/>
          <w:bCs/>
          <w:color w:val="000000"/>
        </w:rPr>
        <w:t xml:space="preserve">37.</w:t>
      </w:r>
      <w:r>
        <w:rPr>
          <w:rFonts w:ascii="Arial" w:hAnsi="Arial"/>
          <w:b/>
          <w:color w:val="000000"/>
        </w:rPr>
        <w:t xml:space="preserve"> </w:t>
      </w:r>
      <w:r>
        <w:rPr>
          <w:rFonts w:ascii="Arial" w:hAnsi="Arial"/>
          <w:b/>
        </w:rPr>
        <w:t xml:space="preserve"> INTEGRAM ESTE EDITAL, PARA TODOS OS FINS E EFEITOS, OS SEGUINTES ANE</w:t>
      </w:r>
      <w:r>
        <w:rPr>
          <w:rFonts w:ascii="Arial" w:hAnsi="Arial"/>
          <w:b/>
        </w:rPr>
        <w:t xml:space="preserve">XOS</w:t>
      </w:r>
      <w:r>
        <w:rPr>
          <w:rFonts w:ascii="Arial" w:hAnsi="Arial" w:eastAsia="Arial"/>
          <w:b/>
          <w:bCs/>
          <w:color w:val="000000"/>
        </w:rPr>
        <w:t xml:space="preserve">:</w:t>
      </w:r>
      <w:r>
        <w:rPr>
          <w:rFonts w:ascii="Arial" w:hAnsi="Arial"/>
          <w:b/>
          <w:bCs/>
          <w:color w:val="000000"/>
        </w:rPr>
      </w:r>
      <w:bookmarkEnd w:id="93"/>
      <w:r>
        <w:rPr>
          <w:rFonts w:ascii="Arial" w:hAnsi="Arial"/>
          <w:b/>
          <w:bCs/>
          <w:color w:val="000000"/>
        </w:rPr>
      </w:r>
      <w:r>
        <w:rPr>
          <w:rFonts w:ascii="Arial" w:hAnsi="Arial"/>
          <w:b/>
          <w:bCs/>
          <w:color w:val="000000"/>
        </w:rPr>
      </w:r>
    </w:p>
    <w:p>
      <w:pPr>
        <w:pBdr/>
        <w:spacing/>
        <w:ind/>
        <w:jc w:val="both"/>
        <w:rPr>
          <w:rFonts w:ascii="Arial" w:hAnsi="Arial" w:eastAsia="Arial"/>
          <w:b/>
          <w:bCs/>
        </w:rPr>
      </w:pPr>
      <w:r>
        <w:rPr>
          <w:rFonts w:ascii="Arial" w:hAnsi="Arial" w:eastAsia="Arial"/>
          <w:b/>
          <w:bCs/>
        </w:rPr>
        <w:t xml:space="preserve">37.1. ANEXO I – TERMO DE REFERÊNCIA; </w:t>
      </w:r>
      <w:r>
        <w:rPr>
          <w:rFonts w:ascii="Arial" w:hAnsi="Arial" w:eastAsia="Arial"/>
          <w:b/>
          <w:bCs/>
        </w:rPr>
      </w:r>
      <w:r>
        <w:rPr>
          <w:rFonts w:ascii="Arial" w:hAnsi="Arial" w:eastAsia="Arial"/>
          <w:b/>
          <w:bCs/>
        </w:rPr>
      </w:r>
    </w:p>
    <w:p>
      <w:pPr>
        <w:pBdr/>
        <w:spacing/>
        <w:ind/>
        <w:jc w:val="both"/>
        <w:rPr>
          <w:rFonts w:ascii="TimesNewRoman" w:hAnsi="TimesNewRoman" w:eastAsia="TimesNewRoman" w:cs="TimesNewRoman"/>
          <w:b/>
          <w:bCs/>
        </w:rPr>
      </w:pPr>
      <w:r>
        <w:rPr>
          <w:rFonts w:ascii="Arial" w:hAnsi="Arial" w:eastAsia="Arial"/>
          <w:b/>
          <w:bCs/>
        </w:rPr>
        <w:t xml:space="preserve">37.2. ANEXO II – MINUTA DA ATA DE REGISTRO DE PREÇOS;</w:t>
      </w:r>
      <w:r>
        <w:rPr>
          <w:rFonts w:ascii="TimesNewRoman" w:hAnsi="TimesNewRoman" w:eastAsia="TimesNewRoman" w:cs="TimesNewRoman"/>
          <w:b/>
          <w:bCs/>
        </w:rPr>
      </w:r>
      <w:r>
        <w:rPr>
          <w:rFonts w:ascii="TimesNewRoman" w:hAnsi="TimesNewRoman" w:eastAsia="TimesNewRoman" w:cs="TimesNewRoman"/>
          <w:b/>
          <w:bCs/>
        </w:rPr>
      </w:r>
    </w:p>
    <w:p>
      <w:pPr>
        <w:pBdr/>
        <w:spacing/>
        <w:ind/>
        <w:jc w:val="both"/>
        <w:rPr>
          <w:rFonts w:ascii="Arial" w:hAnsi="Arial" w:eastAsia="Arial"/>
          <w:b/>
          <w:bCs/>
        </w:rPr>
      </w:pPr>
      <w:r>
        <w:rPr>
          <w:rFonts w:ascii="Arial" w:hAnsi="Arial" w:eastAsia="Arial"/>
          <w:b/>
          <w:bCs/>
        </w:rPr>
        <w:t xml:space="preserve">37.3. ANEXO III – MINUTA DO CONTRATO;</w:t>
      </w:r>
      <w:r>
        <w:rPr>
          <w:rFonts w:ascii="Arial" w:hAnsi="Arial" w:eastAsia="Arial"/>
          <w:b/>
          <w:bCs/>
        </w:rPr>
      </w:r>
      <w:r>
        <w:rPr>
          <w:rFonts w:ascii="Arial" w:hAnsi="Arial" w:eastAsia="Arial"/>
          <w:b/>
          <w:bCs/>
        </w:rPr>
      </w:r>
    </w:p>
    <w:p>
      <w:pPr>
        <w:pBdr/>
        <w:spacing/>
        <w:ind/>
        <w:jc w:val="both"/>
        <w:rPr>
          <w:rFonts w:ascii="TimesNewRoman" w:hAnsi="TimesNewRoman" w:eastAsia="TimesNewRoman" w:cs="TimesNewRoman"/>
          <w:b/>
          <w:bCs/>
        </w:rPr>
      </w:pPr>
      <w:r>
        <w:rPr>
          <w:rFonts w:ascii="Arial" w:hAnsi="Arial" w:eastAsia="Arial"/>
          <w:b/>
          <w:bCs/>
        </w:rPr>
        <w:t xml:space="preserve">37.4. ANEXO IV – MODELO DE PROPOSTA COMERCIAL;</w:t>
      </w:r>
      <w:r>
        <w:rPr>
          <w:rFonts w:ascii="TimesNewRoman" w:hAnsi="TimesNewRoman" w:eastAsia="TimesNewRoman" w:cs="TimesNewRoman"/>
          <w:b/>
          <w:bCs/>
        </w:rPr>
      </w:r>
      <w:r>
        <w:rPr>
          <w:rFonts w:ascii="TimesNewRoman" w:hAnsi="TimesNewRoman" w:eastAsia="TimesNewRoman" w:cs="TimesNewRoman"/>
          <w:b/>
          <w:bCs/>
        </w:rPr>
      </w:r>
    </w:p>
    <w:p>
      <w:pPr>
        <w:pBdr/>
        <w:spacing/>
        <w:ind/>
        <w:jc w:val="both"/>
        <w:rPr>
          <w:rFonts w:ascii="Arial" w:hAnsi="Arial" w:eastAsia="Arial"/>
          <w:b/>
          <w:bCs/>
        </w:rPr>
      </w:pPr>
      <w:r>
        <w:rPr>
          <w:rFonts w:ascii="Arial" w:hAnsi="Arial" w:eastAsia="Arial"/>
          <w:b/>
          <w:bCs/>
        </w:rPr>
        <w:t xml:space="preserve">37.5. ANEXO V – MODELO CREDENCIAMENTO E COMPROVAÇÕES COMPLEMENTARES ESPECI</w:t>
      </w:r>
      <w:r>
        <w:rPr>
          <w:rFonts w:ascii="Arial" w:hAnsi="Arial" w:eastAsia="Arial"/>
          <w:b/>
          <w:bCs/>
        </w:rPr>
        <w:t xml:space="preserve">AIS;</w:t>
      </w:r>
      <w:r>
        <w:rPr>
          <w:rFonts w:ascii="Arial" w:hAnsi="Arial" w:eastAsia="Arial"/>
          <w:b/>
          <w:bCs/>
        </w:rPr>
      </w:r>
      <w:r>
        <w:rPr>
          <w:rFonts w:ascii="Arial" w:hAnsi="Arial" w:eastAsia="Arial"/>
          <w:b/>
          <w:bCs/>
        </w:rPr>
      </w:r>
    </w:p>
    <w:p>
      <w:pPr>
        <w:pBdr/>
        <w:spacing/>
        <w:ind/>
        <w:jc w:val="both"/>
        <w:rPr>
          <w:rFonts w:ascii="Arial" w:hAnsi="Arial" w:eastAsia="Arial"/>
          <w:b/>
          <w:bCs/>
        </w:rPr>
      </w:pPr>
      <w:r>
        <w:rPr>
          <w:rFonts w:ascii="Arial" w:hAnsi="Arial" w:eastAsia="Arial"/>
          <w:b/>
          <w:bCs/>
        </w:rPr>
        <w:t xml:space="preserve">37.6. ANEXO VI – FICHA DE ATUALIZAÇÃO CADASTRAL.</w:t>
      </w:r>
      <w:r>
        <w:rPr>
          <w:rFonts w:ascii="Arial" w:hAnsi="Arial" w:eastAsia="Arial"/>
          <w:b/>
          <w:bCs/>
        </w:rPr>
      </w:r>
      <w:r>
        <w:rPr>
          <w:rFonts w:ascii="Arial" w:hAnsi="Arial" w:eastAsia="Arial"/>
          <w:b/>
          <w:bCs/>
        </w:rPr>
      </w:r>
    </w:p>
    <w:p>
      <w:pPr>
        <w:pBdr/>
        <w:spacing/>
        <w:ind/>
        <w:jc w:val="both"/>
        <w:rPr>
          <w:rFonts w:ascii="Arial" w:hAnsi="Arial" w:eastAsia="Arial"/>
          <w:b/>
          <w:bCs/>
        </w:rPr>
      </w:pPr>
      <w:r>
        <w:rPr>
          <w:rFonts w:ascii="Arial" w:hAnsi="Arial" w:eastAsia="Arial"/>
          <w:b/>
          <w:bCs/>
        </w:rPr>
        <w:t xml:space="preserve">37.7. ANEXO VII - ANEXO FORMAÇÃO DE PREÇOS, FORMULÁRIO PADRÃO DA P.M.R;</w:t>
      </w:r>
      <w:r>
        <w:rPr>
          <w:rFonts w:ascii="Arial" w:hAnsi="Arial" w:eastAsia="Arial"/>
          <w:b/>
          <w:bCs/>
        </w:rPr>
      </w:r>
      <w:r>
        <w:rPr>
          <w:rFonts w:ascii="Arial" w:hAnsi="Arial" w:eastAsia="Arial"/>
          <w:b/>
          <w:bCs/>
        </w:rPr>
      </w:r>
    </w:p>
    <w:p>
      <w:pPr>
        <w:pBdr/>
        <w:spacing w:line="360" w:lineRule="auto"/>
        <w:ind w:left="284"/>
        <w:jc w:val="both"/>
        <w:rPr>
          <w:rFonts w:ascii="Arial" w:hAnsi="Arial"/>
        </w:rPr>
      </w:pPr>
      <w:r>
        <w:rPr>
          <w:rFonts w:ascii="Arial" w:hAnsi="Arial"/>
        </w:rPr>
      </w:r>
      <w:r>
        <w:rPr>
          <w:rFonts w:ascii="Arial" w:hAnsi="Arial"/>
        </w:rPr>
      </w:r>
      <w:r>
        <w:rPr>
          <w:rFonts w:ascii="Arial" w:hAnsi="Arial"/>
        </w:rPr>
      </w:r>
    </w:p>
    <w:p>
      <w:pPr>
        <w:pBdr/>
        <w:spacing/>
        <w:ind/>
        <w:jc w:val="right"/>
        <w:rPr>
          <w:rFonts w:ascii="Arial" w:hAnsi="Arial"/>
        </w:rPr>
      </w:pPr>
      <w:r>
        <w:rPr>
          <w:rFonts w:ascii="Arial" w:hAnsi="Arial"/>
        </w:rPr>
        <w:t xml:space="preserve">Rondonópolis-MT., 04 de Março de 2026. </w:t>
      </w:r>
      <w:r>
        <w:rPr>
          <w:rFonts w:ascii="Arial" w:hAnsi="Arial"/>
        </w:rPr>
      </w:r>
      <w:r>
        <w:rPr>
          <w:rFonts w:ascii="Arial" w:hAnsi="Arial"/>
        </w:rPr>
      </w:r>
    </w:p>
    <w:p w14:paraId="1A504BF9">
      <w:pPr>
        <w:pBdr/>
        <w:tabs>
          <w:tab w:val="right" w:leader="none" w:pos="9072"/>
        </w:tabs>
        <w:spacing/>
        <w:ind/>
        <w:jc w:val="center"/>
        <w:rPr>
          <w:rFonts w:ascii="Arial" w:hAnsi="Arial"/>
          <w:b/>
          <w:bCs/>
        </w:rPr>
      </w:pPr>
      <w:r>
        <w:rPr>
          <w:rFonts w:ascii="Arial" w:hAnsi="Arial"/>
          <w:b/>
          <w:bCs/>
        </w:rPr>
      </w:r>
      <w:r>
        <w:rPr>
          <w:rFonts w:ascii="Arial" w:hAnsi="Arial"/>
          <w:b/>
          <w:bCs/>
        </w:rPr>
      </w:r>
      <w:r>
        <w:rPr>
          <w:rFonts w:ascii="Arial" w:hAnsi="Arial"/>
          <w:b/>
          <w:bCs/>
        </w:rPr>
      </w:r>
    </w:p>
    <w:p>
      <w:pPr>
        <w:pBdr/>
        <w:tabs>
          <w:tab w:val="right" w:leader="none" w:pos="9072"/>
        </w:tabs>
        <w:spacing/>
        <w:ind/>
        <w:jc w:val="center"/>
        <w:rPr>
          <w:rFonts w:ascii="Arial" w:hAnsi="Arial"/>
          <w:b/>
          <w:bCs/>
        </w:rPr>
      </w:pPr>
      <w:r>
        <w:rPr>
          <w:rFonts w:ascii="Arial" w:hAnsi="Arial"/>
          <w:b/>
        </w:rPr>
      </w:r>
      <w:r>
        <w:rPr>
          <w:rFonts w:ascii="Arial" w:hAnsi="Arial"/>
          <w:b/>
          <w:bCs/>
        </w:rPr>
      </w:r>
      <w:r>
        <w:rPr>
          <w:rFonts w:ascii="Arial" w:hAnsi="Arial"/>
          <w:b/>
          <w:bCs/>
        </w:rPr>
      </w:r>
    </w:p>
    <w:p>
      <w:pPr>
        <w:pBdr/>
        <w:spacing/>
        <w:ind/>
        <w:jc w:val="center"/>
        <w:rPr>
          <w:rFonts w:ascii="Arial" w:hAnsi="Arial" w:eastAsia="Arial"/>
          <w:b/>
          <w:bCs/>
          <w:sz w:val="22"/>
          <w:szCs w:val="22"/>
        </w:rPr>
      </w:pPr>
      <w:r>
        <w:rPr>
          <w:rFonts w:ascii="Arial" w:hAnsi="Arial" w:eastAsia="Arial"/>
          <w:b/>
          <w:bCs/>
          <w:sz w:val="22"/>
          <w:szCs w:val="22"/>
        </w:rPr>
        <w:t xml:space="preserve">RAFAELLY PRISCILA REZENDE DE ALMEIDA</w:t>
      </w:r>
      <w:r>
        <w:rPr>
          <w:rFonts w:ascii="Arial" w:hAnsi="Arial" w:eastAsia="Arial"/>
          <w:b/>
          <w:bCs/>
          <w:sz w:val="22"/>
          <w:szCs w:val="22"/>
        </w:rPr>
      </w:r>
      <w:r>
        <w:rPr>
          <w:rFonts w:ascii="Arial" w:hAnsi="Arial" w:eastAsia="Arial"/>
          <w:b/>
          <w:bCs/>
          <w:sz w:val="22"/>
          <w:szCs w:val="22"/>
        </w:rPr>
      </w:r>
    </w:p>
    <w:p>
      <w:pPr>
        <w:pBdr/>
        <w:tabs>
          <w:tab w:val="right" w:leader="none" w:pos="9072"/>
        </w:tabs>
        <w:spacing/>
        <w:ind/>
        <w:jc w:val="center"/>
        <w:rPr>
          <w:rFonts w:ascii="Arial" w:hAnsi="Arial"/>
        </w:rPr>
      </w:pPr>
      <w:r>
        <w:rPr>
          <w:rFonts w:ascii="Arial" w:hAnsi="Arial"/>
        </w:rPr>
        <w:t xml:space="preserve">Superintendente do Departamento de Compras e Licitações</w:t>
      </w:r>
      <w:r>
        <w:rPr>
          <w:rFonts w:ascii="Arial" w:hAnsi="Arial"/>
        </w:rPr>
      </w:r>
      <w:r>
        <w:rPr>
          <w:rFonts w:ascii="Arial" w:hAnsi="Arial"/>
        </w:rPr>
      </w:r>
    </w:p>
    <w:p>
      <w:pPr>
        <w:pBdr/>
        <w:tabs>
          <w:tab w:val="right" w:leader="none" w:pos="9072"/>
        </w:tabs>
        <w:spacing/>
        <w:ind/>
        <w:jc w:val="center"/>
        <w:rPr>
          <w:rFonts w:ascii="Arial" w:hAnsi="Arial"/>
        </w:rPr>
      </w:pPr>
      <w:r>
        <w:rPr>
          <w:rFonts w:ascii="Arial" w:hAnsi="Arial"/>
        </w:rPr>
        <w:t xml:space="preserve">Email: </w:t>
      </w:r>
      <w:hyperlink r:id="rId41" w:tooltip="mailto:pmrroo@hotmail.com" w:history="1">
        <w:r>
          <w:rPr>
            <w:rStyle w:val="973"/>
            <w:rFonts w:ascii="Arial" w:hAnsi="Arial" w:cs="Arial"/>
            <w:b/>
          </w:rPr>
          <w:t xml:space="preserve">pmrroo@hotmail.com</w:t>
        </w:r>
      </w:hyperlink>
      <w:r>
        <w:rPr>
          <w:rFonts w:ascii="Arial" w:hAnsi="Arial"/>
        </w:rPr>
      </w:r>
      <w:r>
        <w:rPr>
          <w:rFonts w:ascii="Arial" w:hAnsi="Arial"/>
        </w:rPr>
      </w:r>
    </w:p>
    <w:p w14:paraId="442E649E">
      <w:pPr>
        <w:pBdr/>
        <w:tabs>
          <w:tab w:val="right" w:leader="none" w:pos="9072"/>
        </w:tabs>
        <w:spacing/>
        <w:ind/>
        <w:jc w:val="center"/>
        <w:rPr>
          <w:rFonts w:ascii="Arial" w:hAnsi="Arial"/>
          <w:b/>
          <w:bCs/>
        </w:rPr>
      </w:pPr>
      <w:r>
        <w:rPr>
          <w:rFonts w:ascii="Arial" w:hAnsi="Arial"/>
          <w:b/>
          <w:bCs/>
        </w:rPr>
      </w:r>
      <w:r>
        <w:rPr>
          <w:rFonts w:ascii="Arial" w:hAnsi="Arial"/>
          <w:b/>
          <w:bCs/>
        </w:rPr>
      </w:r>
      <w:r>
        <w:rPr>
          <w:rFonts w:ascii="Arial" w:hAnsi="Arial"/>
          <w:b/>
          <w:bCs/>
        </w:rPr>
      </w:r>
    </w:p>
    <w:p>
      <w:pPr>
        <w:pStyle w:val="865"/>
        <w:pBdr/>
        <w:spacing w:after="0" w:before="0"/>
        <w:ind/>
        <w:rPr>
          <w:rFonts w:eastAsia="Arial"/>
          <w:b w:val="0"/>
          <w:bCs w:val="0"/>
          <w:sz w:val="20"/>
          <w:szCs w:val="20"/>
        </w:rPr>
      </w:pPr>
      <w:r/>
      <w:bookmarkStart w:id="94" w:name="_Toc38"/>
      <w:r>
        <w:rPr>
          <w:rFonts w:eastAsia="Arial"/>
          <w:b w:val="0"/>
          <w:bCs w:val="0"/>
          <w:sz w:val="20"/>
          <w:szCs w:val="20"/>
        </w:rPr>
        <w:t xml:space="preserve">ANEXO I: TERMO DE REFERÊNCIA.</w:t>
      </w:r>
      <w:r>
        <w:rPr>
          <w:rFonts w:eastAsia="Arial"/>
          <w:b w:val="0"/>
          <w:bCs w:val="0"/>
          <w:sz w:val="20"/>
          <w:szCs w:val="20"/>
        </w:rPr>
      </w:r>
      <w:bookmarkEnd w:id="94"/>
      <w:r>
        <w:rPr>
          <w:rFonts w:eastAsia="Arial"/>
          <w:b w:val="0"/>
          <w:bCs w:val="0"/>
          <w:sz w:val="20"/>
          <w:szCs w:val="20"/>
        </w:rPr>
      </w:r>
      <w:r>
        <w:rPr>
          <w:rFonts w:eastAsia="Arial"/>
          <w:b w:val="0"/>
          <w:bCs w:val="0"/>
          <w:sz w:val="20"/>
          <w:szCs w:val="20"/>
        </w:rPr>
      </w:r>
    </w:p>
    <w:p w14:paraId="677DA5BD">
      <w:pPr>
        <w:pStyle w:val="864"/>
        <w:pBdr/>
        <w:spacing/>
        <w:ind/>
        <w:jc w:val="center"/>
        <w:rPr>
          <w:rFonts w:ascii="Arial" w:hAnsi="Arial" w:cs="Arial"/>
          <w:b/>
          <w:bCs/>
        </w:rPr>
      </w:pPr>
      <w:r>
        <w:rPr>
          <w:rFonts w:ascii="Arial" w:hAnsi="Arial" w:cs="Arial"/>
          <w:b/>
          <w:bCs/>
        </w:rPr>
        <w:t xml:space="preserve">TERMO DE REFERÊNCIA </w:t>
      </w:r>
      <w:r>
        <w:rPr>
          <w:rFonts w:ascii="Arial" w:hAnsi="Arial" w:cs="Arial"/>
          <w:b/>
          <w:bCs/>
        </w:rPr>
      </w:r>
      <w:r>
        <w:rPr>
          <w:rFonts w:ascii="Arial" w:hAnsi="Arial" w:cs="Arial"/>
          <w:b/>
          <w:bCs/>
        </w:rPr>
      </w:r>
    </w:p>
    <w:p w14:paraId="70741554">
      <w:pPr>
        <w:pBdr/>
        <w:spacing/>
        <w:ind/>
        <w:jc w:val="both"/>
        <w:rPr>
          <w:rFonts w:ascii="Times New Roman" w:hAnsi="Times New Roman" w:cs="Times New Roman"/>
          <w:color w:val="000000"/>
        </w:rPr>
      </w:pPr>
      <w:r>
        <w:rPr>
          <w:rFonts w:ascii="Times New Roman" w:hAnsi="Times New Roman" w:cs="Times New Roman"/>
          <w:color w:val="000000"/>
        </w:rPr>
      </w:r>
      <w:r>
        <w:rPr>
          <w:rFonts w:ascii="Times New Roman" w:hAnsi="Times New Roman" w:cs="Times New Roman"/>
          <w:color w:val="000000"/>
        </w:rPr>
      </w:r>
      <w:r>
        <w:rPr>
          <w:rFonts w:ascii="Times New Roman" w:hAnsi="Times New Roman" w:cs="Times New Roman"/>
          <w:color w:val="000000"/>
        </w:rPr>
      </w:r>
    </w:p>
    <w:p w14:paraId="0BF9CF44">
      <w:pPr>
        <w:pBdr/>
        <w:spacing/>
        <w:ind/>
        <w:jc w:val="both"/>
        <w:rPr/>
      </w:pPr>
      <w:r>
        <w:rPr>
          <w:rFonts w:ascii="Times New Roman" w:hAnsi="Times New Roman" w:cs="Times New Roman"/>
          <w:b/>
          <w:bCs/>
        </w:rPr>
        <w:t xml:space="preserve">UNIDADE REQUISITANTE:</w:t>
      </w:r>
      <w:r>
        <w:rPr>
          <w:rFonts w:ascii="Times New Roman" w:hAnsi="Times New Roman" w:cs="Times New Roman"/>
        </w:rPr>
        <w:t xml:space="preserve"> SECRETARIA MUNICIPAL DE SAÚDE</w:t>
      </w:r>
      <w:r/>
    </w:p>
    <w:p w14:paraId="6C325D2F">
      <w:pPr>
        <w:pBdr/>
        <w:spacing/>
        <w:ind/>
        <w:jc w:val="both"/>
        <w:rPr>
          <w:color w:val="000000" w:themeColor="text1"/>
        </w:rPr>
      </w:pPr>
      <w:r>
        <w:rPr>
          <w:rFonts w:ascii="Times New Roman" w:hAnsi="Times New Roman" w:cs="Times New Roman"/>
          <w:b/>
          <w:bCs/>
        </w:rPr>
        <w:t xml:space="preserve">RESPONSÁVEL PELA EMISSÃO:</w:t>
      </w:r>
      <w:r>
        <w:rPr>
          <w:rFonts w:ascii="Times New Roman" w:hAnsi="Times New Roman" w:cs="Times New Roman"/>
          <w:b/>
          <w:bCs/>
          <w:lang w:val="pt-BR"/>
        </w:rPr>
        <w:t xml:space="preserve"> </w:t>
      </w:r>
      <w:r>
        <w:rPr>
          <w:rFonts w:ascii="Times New Roman" w:hAnsi="Times New Roman" w:cs="Times New Roman"/>
          <w:lang w:val="pt-BR"/>
        </w:rPr>
        <w:t xml:space="preserve">BRUNA LEAL BRITO</w:t>
      </w:r>
      <w:r>
        <w:rPr>
          <w:rFonts w:ascii="Times New Roman" w:hAnsi="Times New Roman" w:cs="Times New Roman"/>
          <w:b/>
          <w:bCs/>
          <w:lang w:val="pt-BR"/>
        </w:rPr>
        <w:t xml:space="preserve"> </w:t>
      </w:r>
      <w:r>
        <w:rPr>
          <w:rFonts w:ascii="Times New Roman" w:hAnsi="Times New Roman" w:cs="Times New Roman"/>
          <w:lang w:val="pt-BR"/>
        </w:rPr>
        <w:t xml:space="preserve">e</w:t>
      </w:r>
      <w:r>
        <w:rPr>
          <w:rFonts w:ascii="Times New Roman" w:hAnsi="Times New Roman" w:cs="Times New Roman"/>
          <w:b/>
          <w:bCs/>
          <w:lang w:val="pt-BR"/>
        </w:rPr>
        <w:t xml:space="preserve"> </w:t>
      </w:r>
      <w:r>
        <w:rPr>
          <w:rFonts w:ascii="Times New Roman" w:hAnsi="Times New Roman" w:cs="Times New Roman"/>
          <w:color w:val="000000" w:themeColor="text1"/>
          <w:lang w:val="pt"/>
        </w:rPr>
        <w:t xml:space="preserve">FLAVIA RENATA TOLOSA DINIZ</w:t>
      </w:r>
      <w:r>
        <w:rPr>
          <w:color w:val="000000" w:themeColor="text1"/>
        </w:rPr>
      </w:r>
      <w:r>
        <w:rPr>
          <w:color w:val="000000" w:themeColor="text1"/>
        </w:rPr>
      </w:r>
    </w:p>
    <w:p w14:paraId="7D3F4135">
      <w:pPr>
        <w:pBdr/>
        <w:spacing/>
        <w:ind/>
        <w:jc w:val="both"/>
        <w:rPr>
          <w:rFonts w:ascii="Times New Roman" w:hAnsi="Times New Roman" w:cs="Times New Roman"/>
          <w:color w:val="000000"/>
          <w:highlight w:val="yellow"/>
          <w:lang w:val="pt"/>
        </w:rPr>
      </w:pPr>
      <w:r>
        <w:rPr>
          <w:rFonts w:ascii="Times New Roman" w:hAnsi="Times New Roman" w:cs="Times New Roman"/>
          <w:color w:val="000000"/>
          <w:highlight w:val="yellow"/>
          <w:lang w:val="pt"/>
        </w:rPr>
      </w:r>
      <w:r>
        <w:rPr>
          <w:rFonts w:ascii="Times New Roman" w:hAnsi="Times New Roman" w:cs="Times New Roman"/>
          <w:color w:val="000000"/>
          <w:highlight w:val="yellow"/>
          <w:lang w:val="pt"/>
        </w:rPr>
      </w:r>
      <w:r>
        <w:rPr>
          <w:rFonts w:ascii="Times New Roman" w:hAnsi="Times New Roman" w:cs="Times New Roman"/>
          <w:color w:val="000000"/>
          <w:highlight w:val="yellow"/>
          <w:lang w:val="pt"/>
        </w:rPr>
      </w:r>
    </w:p>
    <w:p w14:paraId="106A8E02">
      <w:pPr>
        <w:pBdr/>
        <w:shd w:val="clear" w:color="auto" w:fill="cccccc"/>
        <w:spacing/>
        <w:ind/>
        <w:jc w:val="both"/>
        <w:rPr/>
      </w:pPr>
      <w:r>
        <w:rPr>
          <w:rFonts w:ascii="Times New Roman" w:hAnsi="Times New Roman" w:cs="Times New Roman"/>
          <w:b/>
          <w:bCs/>
        </w:rPr>
        <w:t xml:space="preserve">1 – OBJETO E CONDIÇÕES GERAIS DA CONTRATAÇÃO</w:t>
      </w:r>
      <w:r/>
    </w:p>
    <w:p w14:paraId="69217C08">
      <w:pPr>
        <w:pBdr/>
        <w:spacing/>
        <w:ind/>
        <w:jc w:val="both"/>
        <w:rPr>
          <w:rFonts w:ascii="Times New Roman" w:hAnsi="Times New Roman" w:cs="Times New Roman"/>
          <w:b/>
          <w:bCs/>
          <w:sz w:val="10"/>
          <w:szCs w:val="10"/>
        </w:rPr>
      </w:pPr>
      <w:r>
        <w:rPr>
          <w:rFonts w:ascii="Times New Roman" w:hAnsi="Times New Roman" w:cs="Times New Roman"/>
          <w:b/>
          <w:bCs/>
          <w:sz w:val="10"/>
          <w:szCs w:val="10"/>
        </w:rPr>
      </w:r>
      <w:r>
        <w:rPr>
          <w:rFonts w:ascii="Times New Roman" w:hAnsi="Times New Roman" w:cs="Times New Roman"/>
          <w:b/>
          <w:bCs/>
          <w:sz w:val="10"/>
          <w:szCs w:val="10"/>
        </w:rPr>
      </w:r>
      <w:r>
        <w:rPr>
          <w:rFonts w:ascii="Times New Roman" w:hAnsi="Times New Roman" w:cs="Times New Roman"/>
          <w:b/>
          <w:bCs/>
          <w:sz w:val="10"/>
          <w:szCs w:val="10"/>
        </w:rPr>
      </w:r>
    </w:p>
    <w:p w14:paraId="5623DB43">
      <w:pPr>
        <w:numPr>
          <w:ilvl w:val="1"/>
          <w:numId w:val="19"/>
        </w:numPr>
        <w:pBdr/>
        <w:spacing/>
        <w:ind/>
        <w:jc w:val="both"/>
        <w:rPr/>
      </w:pPr>
      <w:r>
        <w:rPr>
          <w:rFonts w:ascii="Times New Roman" w:hAnsi="Times New Roman" w:cs="Times New Roman"/>
        </w:rPr>
        <w:t xml:space="preserve">O presente Termo de Referência tem por objeto</w:t>
      </w:r>
      <w:r>
        <w:rPr>
          <w:rFonts w:ascii="Times New Roman" w:hAnsi="Times New Roman" w:cs="Times New Roman"/>
          <w:lang w:val="pt-BR"/>
        </w:rPr>
        <w:t xml:space="preserve">, </w:t>
      </w:r>
      <w:r>
        <w:rPr>
          <w:rFonts w:ascii="Times New Roman" w:hAnsi="Times New Roman" w:cs="Times New Roman"/>
          <w:b/>
          <w:bCs/>
          <w:lang w:val="pt-BR"/>
        </w:rPr>
        <w:t xml:space="preserve">A AQUISIÇÃO DE MATERIAIS PARA FISIOTERAPIA</w:t>
      </w:r>
      <w:r>
        <w:rPr>
          <w:rFonts w:ascii="Times New Roman" w:hAnsi="Times New Roman" w:cs="Times New Roman"/>
          <w:lang w:val="pt-BR"/>
        </w:rPr>
        <w:t xml:space="preserve">, por meio de sistema de Registro de Preços, na modalidade Pregão Eletrônico, </w:t>
      </w:r>
      <w:r>
        <w:rPr>
          <w:rFonts w:ascii="Times New Roman" w:hAnsi="Times New Roman" w:cs="Times New Roman"/>
          <w:b/>
          <w:bCs/>
        </w:rPr>
        <w:t xml:space="preserve">PARA ATENDER</w:t>
      </w:r>
      <w:r>
        <w:rPr>
          <w:rFonts w:ascii="Times New Roman" w:hAnsi="Times New Roman" w:cs="Times New Roman"/>
          <w:b/>
          <w:bCs/>
          <w:lang w:val="pt-BR"/>
        </w:rPr>
        <w:t xml:space="preserve">  A DEMANDA </w:t>
      </w:r>
      <w:r>
        <w:rPr>
          <w:rFonts w:ascii="Times New Roman" w:hAnsi="Times New Roman" w:cs="Times New Roman"/>
          <w:b/>
          <w:bCs/>
        </w:rPr>
        <w:t xml:space="preserve">DA </w:t>
      </w:r>
      <w:r>
        <w:rPr>
          <w:rFonts w:ascii="Times New Roman" w:hAnsi="Times New Roman" w:cs="Times New Roman"/>
          <w:b/>
          <w:bCs/>
          <w:lang w:val="pt-BR"/>
        </w:rPr>
        <w:t xml:space="preserve">CER II – CENTRO ESPECIALIZADO EM REABILITAÇÃO NILMO JUNIOR, AÇÕES PROGRAMATICAS E ATENÇÃO ESPECIALIZADA</w:t>
      </w:r>
      <w:r>
        <w:rPr>
          <w:rFonts w:ascii="Times New Roman" w:hAnsi="Times New Roman" w:cs="Times New Roman"/>
        </w:rPr>
        <w:t xml:space="preserve">, conforme condições e exigência estabelecidas neste instrumento.</w:t>
      </w:r>
      <w:r/>
    </w:p>
    <w:p w14:paraId="163EC77C">
      <w:pPr>
        <w:pBdr/>
        <w:spacing/>
        <w:ind/>
        <w:jc w:val="both"/>
        <w:rPr>
          <w:rFonts w:ascii="Times New Roman" w:hAnsi="Times New Roman" w:cs="Times New Roman"/>
          <w:sz w:val="10"/>
          <w:szCs w:val="10"/>
        </w:rPr>
      </w:pPr>
      <w:r>
        <w:rPr>
          <w:rFonts w:ascii="Times New Roman" w:hAnsi="Times New Roman" w:cs="Times New Roman"/>
          <w:sz w:val="10"/>
          <w:szCs w:val="10"/>
        </w:rPr>
      </w:r>
      <w:r>
        <w:rPr>
          <w:rFonts w:ascii="Times New Roman" w:hAnsi="Times New Roman" w:cs="Times New Roman"/>
          <w:sz w:val="10"/>
          <w:szCs w:val="10"/>
        </w:rPr>
      </w:r>
      <w:r>
        <w:rPr>
          <w:rFonts w:ascii="Times New Roman" w:hAnsi="Times New Roman" w:cs="Times New Roman"/>
          <w:sz w:val="10"/>
          <w:szCs w:val="10"/>
        </w:rPr>
      </w:r>
    </w:p>
    <w:tbl>
      <w:tblPr>
        <w:tblInd w:w="178" w:type="dxa"/>
        <w:tblW w:w="10538" w:type="dxa"/>
        <w:tblCellMar>
          <w:left w:w="70" w:type="dxa"/>
          <w:right w:w="70" w:type="dxa"/>
        </w:tblCellMar>
        <w:tblBorders/>
        <w:tblLayout w:type="fixed"/>
        <w:tblLook w:val="04A0" w:firstRow="1" w:lastRow="0" w:firstColumn="1" w:lastColumn="0" w:noHBand="0" w:noVBand="1"/>
      </w:tblPr>
      <w:tblGrid>
        <w:gridCol w:w="526"/>
        <w:gridCol w:w="674"/>
        <w:gridCol w:w="602"/>
        <w:gridCol w:w="3685"/>
        <w:gridCol w:w="709"/>
        <w:gridCol w:w="567"/>
        <w:gridCol w:w="709"/>
        <w:gridCol w:w="709"/>
        <w:gridCol w:w="708"/>
        <w:gridCol w:w="851"/>
        <w:gridCol w:w="798"/>
      </w:tblGrid>
      <w:tr>
        <w:trPr>
          <w:trHeight w:val="342"/>
        </w:trPr>
        <w:tc>
          <w:tcPr>
            <w:shd w:val="clear" w:color="ffffff" w:fill="d9d9d9"/>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6DCC877D">
            <w:pPr>
              <w:pBdr/>
              <w:spacing/>
              <w:ind/>
              <w:jc w:val="center"/>
              <w:rPr>
                <w:rFonts w:ascii="Times New Roman" w:hAnsi="Times New Roman" w:cs="Times New Roman"/>
                <w:b/>
                <w:sz w:val="11"/>
                <w:szCs w:val="11"/>
              </w:rPr>
            </w:pPr>
            <w:r>
              <w:rPr>
                <w:rFonts w:ascii="Times New Roman" w:hAnsi="Times New Roman" w:cs="Times New Roman"/>
                <w:b/>
                <w:sz w:val="11"/>
                <w:szCs w:val="11"/>
              </w:rPr>
              <w:t xml:space="preserve">ITEM</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7C8F476D">
            <w:pPr>
              <w:pBdr/>
              <w:spacing/>
              <w:ind/>
              <w:jc w:val="center"/>
              <w:rPr>
                <w:b/>
                <w:sz w:val="11"/>
                <w:szCs w:val="11"/>
              </w:rPr>
            </w:pPr>
            <w:r>
              <w:rPr>
                <w:rFonts w:ascii="Times New Roman" w:hAnsi="Times New Roman" w:cs="Times New Roman"/>
                <w:b/>
                <w:sz w:val="11"/>
                <w:szCs w:val="11"/>
              </w:rPr>
              <w:t xml:space="preserve">CÓDIGO AGILI</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tcBorders>
            <w:tcW w:w="602" w:type="dxa"/>
            <w:vAlign w:val="center"/>
            <w:textDirection w:val="lrTb"/>
            <w:noWrap w:val="false"/>
          </w:tcPr>
          <w:p w14:paraId="1B0F8D0B">
            <w:pPr>
              <w:pBdr/>
              <w:spacing/>
              <w:ind/>
              <w:jc w:val="center"/>
              <w:rPr>
                <w:b/>
                <w:sz w:val="11"/>
                <w:szCs w:val="11"/>
              </w:rPr>
            </w:pPr>
            <w:r>
              <w:rPr>
                <w:rFonts w:ascii="Times New Roman" w:hAnsi="Times New Roman" w:cs="Times New Roman"/>
                <w:b/>
                <w:sz w:val="11"/>
                <w:szCs w:val="11"/>
              </w:rPr>
              <w:t xml:space="preserve">CÓDIGO TCE</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tcBorders>
            <w:tcW w:w="3685" w:type="dxa"/>
            <w:vAlign w:val="center"/>
            <w:textDirection w:val="lrTb"/>
            <w:noWrap w:val="false"/>
          </w:tcPr>
          <w:p w14:paraId="79E10DC7">
            <w:pPr>
              <w:pBdr/>
              <w:spacing/>
              <w:ind w:left="220"/>
              <w:jc w:val="center"/>
              <w:rPr>
                <w:b/>
                <w:sz w:val="11"/>
                <w:szCs w:val="11"/>
              </w:rPr>
            </w:pPr>
            <w:r>
              <w:rPr>
                <w:rFonts w:ascii="Times New Roman" w:hAnsi="Times New Roman" w:cs="Times New Roman"/>
                <w:b/>
                <w:sz w:val="11"/>
                <w:szCs w:val="11"/>
              </w:rPr>
              <w:t xml:space="preserve">DESCRIÇÃO</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D9C37A0">
            <w:pPr>
              <w:pBdr/>
              <w:spacing/>
              <w:ind/>
              <w:jc w:val="center"/>
              <w:rPr>
                <w:b/>
                <w:bCs/>
                <w:sz w:val="11"/>
                <w:szCs w:val="11"/>
              </w:rPr>
            </w:pPr>
            <w:r>
              <w:rPr>
                <w:rFonts w:ascii="Times New Roman" w:hAnsi="Times New Roman" w:cs="Times New Roman"/>
                <w:b/>
                <w:bCs/>
                <w:sz w:val="11"/>
                <w:szCs w:val="11"/>
              </w:rPr>
              <w:t xml:space="preserve">UNI. MEDIDA</w:t>
            </w:r>
            <w:r>
              <w:rPr>
                <w:b/>
                <w:bCs/>
                <w:sz w:val="11"/>
                <w:szCs w:val="11"/>
              </w:rPr>
            </w:r>
            <w:r>
              <w:rPr>
                <w:b/>
                <w:bCs/>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3BF09C25">
            <w:pPr>
              <w:pBdr/>
              <w:spacing/>
              <w:ind/>
              <w:jc w:val="center"/>
              <w:rPr>
                <w:b/>
                <w:sz w:val="11"/>
                <w:szCs w:val="11"/>
              </w:rPr>
            </w:pPr>
            <w:r>
              <w:rPr>
                <w:rFonts w:ascii="Times New Roman" w:hAnsi="Times New Roman" w:cs="Times New Roman"/>
                <w:b/>
                <w:sz w:val="11"/>
                <w:szCs w:val="11"/>
              </w:rPr>
              <w:t xml:space="preserve">QTD</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18190E9">
            <w:pPr>
              <w:pBdr/>
              <w:tabs>
                <w:tab w:val="left" w:leader="none" w:pos="1035"/>
              </w:tabs>
              <w:spacing/>
              <w:ind/>
              <w:jc w:val="center"/>
              <w:rPr>
                <w:rFonts w:eastAsia="Calibri"/>
                <w:b/>
                <w:color w:val="000000"/>
                <w:sz w:val="11"/>
                <w:szCs w:val="11"/>
              </w:rPr>
            </w:pPr>
            <w:r>
              <w:rPr>
                <w:rFonts w:ascii="Times New Roman" w:hAnsi="Times New Roman" w:eastAsia="Calibri" w:cs="Times New Roman"/>
                <w:b/>
                <w:color w:val="000000"/>
                <w:sz w:val="11"/>
                <w:szCs w:val="11"/>
              </w:rPr>
              <w:t xml:space="preserve">COTAÇÃO 01</w:t>
            </w:r>
            <w:r>
              <w:rPr>
                <w:rFonts w:eastAsia="Calibri"/>
                <w:b/>
                <w:color w:val="000000"/>
                <w:sz w:val="11"/>
                <w:szCs w:val="11"/>
              </w:rPr>
            </w:r>
            <w:r>
              <w:rPr>
                <w:rFonts w:eastAsia="Calibri"/>
                <w:b/>
                <w:color w:val="000000"/>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8015E61">
            <w:pPr>
              <w:pBdr/>
              <w:spacing/>
              <w:ind/>
              <w:jc w:val="center"/>
              <w:rPr>
                <w:b/>
                <w:sz w:val="11"/>
                <w:szCs w:val="11"/>
              </w:rPr>
            </w:pPr>
            <w:r>
              <w:rPr>
                <w:rFonts w:ascii="Times New Roman" w:hAnsi="Times New Roman" w:cs="Times New Roman"/>
                <w:b/>
                <w:sz w:val="11"/>
                <w:szCs w:val="11"/>
              </w:rPr>
              <w:t xml:space="preserve">COTAÇÃO 02</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1E169081">
            <w:pPr>
              <w:pBdr/>
              <w:spacing/>
              <w:ind/>
              <w:jc w:val="center"/>
              <w:rPr>
                <w:b/>
                <w:sz w:val="11"/>
                <w:szCs w:val="11"/>
              </w:rPr>
            </w:pPr>
            <w:r>
              <w:rPr>
                <w:rFonts w:ascii="Times New Roman" w:hAnsi="Times New Roman" w:cs="Times New Roman"/>
                <w:b/>
                <w:sz w:val="11"/>
                <w:szCs w:val="11"/>
              </w:rPr>
              <w:t xml:space="preserve">COTAÇÃO 03</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tcBorders>
            <w:tcW w:w="851" w:type="dxa"/>
            <w:vAlign w:val="center"/>
            <w:textDirection w:val="lrTb"/>
            <w:noWrap w:val="false"/>
          </w:tcPr>
          <w:p w14:paraId="78BDDEE5">
            <w:pPr>
              <w:pBdr/>
              <w:spacing/>
              <w:ind/>
              <w:jc w:val="center"/>
              <w:rPr>
                <w:b/>
                <w:sz w:val="11"/>
                <w:szCs w:val="11"/>
              </w:rPr>
            </w:pPr>
            <w:r>
              <w:rPr>
                <w:rFonts w:ascii="Times New Roman" w:hAnsi="Times New Roman" w:cs="Times New Roman"/>
                <w:b/>
                <w:sz w:val="11"/>
                <w:szCs w:val="11"/>
              </w:rPr>
              <w:t xml:space="preserve">MÉDIA</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6765AF5D">
            <w:pPr>
              <w:pBdr/>
              <w:spacing/>
              <w:ind/>
              <w:jc w:val="center"/>
              <w:rPr>
                <w:b/>
                <w:sz w:val="11"/>
                <w:szCs w:val="11"/>
              </w:rPr>
            </w:pPr>
            <w:r>
              <w:rPr>
                <w:rFonts w:ascii="Times New Roman" w:hAnsi="Times New Roman" w:cs="Times New Roman"/>
                <w:b/>
                <w:sz w:val="11"/>
                <w:szCs w:val="11"/>
              </w:rPr>
              <w:t xml:space="preserve">VALOR TOTAL</w:t>
            </w:r>
            <w:r>
              <w:rPr>
                <w:b/>
                <w:sz w:val="11"/>
                <w:szCs w:val="11"/>
              </w:rPr>
            </w:r>
            <w:r>
              <w:rPr>
                <w:b/>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24AC40D8">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1E5A714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129182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1EDD0D8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00035815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05C597AC">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APARELHO INFRAVERMELHO COM PEDESTAL PARA FISIOTERAPIA - APARELHO PARA TRATAMENTOS DE TERMOTERAPIA, POTÊNCIA MÍNIMA DE 150W FREQUÊNCIA, VOLTAGEM 110V OU BIVOLT, FREQUÊ</w:t>
            </w:r>
            <w:r>
              <w:rPr>
                <w:rFonts w:ascii="Times New Roman" w:hAnsi="Times New Roman" w:cs="Times New Roman"/>
                <w:color w:val="000000"/>
                <w:sz w:val="10"/>
                <w:szCs w:val="10"/>
              </w:rPr>
              <w:t xml:space="preserve">NCIA 60HZ, COM DIMER PARA REGULAGEM DA INTENSIDADE LUMINOSA, DIMENSÕES APROXIMADAS: BASE DE 56 X 56 CM. ALTURA REGULÁVEL, MÍNIMA DE 1M AJUSTÁVEL PARA NO MÍNIMO 1,50 M. POSSUIR RECURSO DE AQUECIMENTO SUPERFICIAL ATRAVÉS DA APLICAÇÃO DE BANHO DE LUZ INFRAVER</w:t>
            </w:r>
            <w:r>
              <w:rPr>
                <w:rFonts w:ascii="Times New Roman" w:hAnsi="Times New Roman" w:cs="Times New Roman"/>
                <w:color w:val="000000"/>
                <w:sz w:val="10"/>
                <w:szCs w:val="10"/>
              </w:rPr>
              <w:t xml:space="preserve">MELHO. APARELHO CONSTITUÍDO POR NO MÍNIMO: LÂMPADA DE INFRA VERMELHO, UM PEDESTAL SOBRE BASE DE POLIETILENO INJETADO DE ALTO IMPACTO, DOTADO DE 4 PÉS DESMONTÁVEIS, COM RODÍZIOS GIRATÓRIOS E HASTE DE SUSTENTAÇÃO FLEXÍVEL E UM REFLETOR DE ALUMÍNIO ANODIZADO.</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C348C98">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20964EBE">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0850F8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R$ 2.162,16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CC4CA5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R$ 2.233,00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67B8079E">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R$ 2.380,32</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5948EBC3">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R$ 2.258,4933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36D815AA">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R$ 27.101,92</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07"/>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2D5CD9CE">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6837CA5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126946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7F6C15D3">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270504-4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71B66236">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BASTÃO PARA GINÁSTICA, MEDINDO: 100 X 3 CM, PESO APROXIMADO DE 3 KG, CONFECCIONADO EM PVC, COM PONTEIRAS DE BORRACHA. PRODUTO PRÓPRIO PARA PRÁTICA DE EXERCÍCIOS.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EE85415">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62BE4D2C">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155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55A847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R$ 41,12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8AAB34D">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R$ 67,00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6183EDBC">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R$ 74,00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0E7566D9">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R$ 60,7067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5CED732E">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R$ 9.409,54</w:t>
            </w:r>
            <w:r>
              <w:rPr>
                <w:rFonts w:ascii="Times New Roman" w:hAnsi="Times New Roman" w:cs="Times New Roman"/>
                <w:sz w:val="11"/>
                <w:szCs w:val="11"/>
              </w:rPr>
            </w:r>
            <w:r>
              <w:rPr>
                <w:rFonts w:ascii="Times New Roman" w:hAnsi="Times New Roman" w:cs="Times New Roman"/>
                <w:sz w:val="11"/>
                <w:szCs w:val="11"/>
              </w:rPr>
            </w:r>
          </w:p>
        </w:tc>
      </w:tr>
      <w:tr>
        <w:trPr>
          <w:trHeight w:val="299"/>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24C65CF2">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70DC1DD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127512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2F3E12C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167780-2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429C7768">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BOLA BOBATH, MEDINDO NO MÍNIMO 75CM DE DIÂMETRO, CONFECCIONADA EM PLÁSTICO INFLÁVEL DE ALTA RESISTÊNCIA. ACONDICIONADA EM EMBALAGEM PLÁSTICA. ACOMPANHA BOMBA DE INFLAR.</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1E99581">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3A86CAED">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90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60B616B">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R$ 190,00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67E6336">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R$ 225,00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091DC5B5">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R$ 228,38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00F0C109">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R$ 214,4600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1DDC8123">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R$ 19.301,40</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3CAB6BCE">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627280D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123639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087B25F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00084399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310787D8">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BOLA OFICIAL PARA VÔLEI 12 GOMOS, LAMINADO CONFECCIONADO EM PU SUPER SOFT, TECNOLOGIA MENOR ABSORÇÃO DE ÁGUA; CIRCUNFERÊNCIA ENTRE 65 A 67 CM, PESO 260 A 280 G, ULTRA FUSION; MIOLO CÁPSULA SIS OU SIMILAR QUE PROTEJA A CÂMARA DE RUPTURAS;</w:t>
            </w:r>
            <w:r>
              <w:rPr>
                <w:rFonts w:ascii="Times New Roman" w:hAnsi="Times New Roman" w:cs="Times New Roman"/>
                <w:color w:val="000000"/>
                <w:sz w:val="10"/>
                <w:szCs w:val="10"/>
              </w:rPr>
              <w:t xml:space="preserve"> CÂMARA COM AMORTECIMENTO INTERNO DE 6 DISCOS; CAMADA INTERNA EVACEL; SISTEMA DE FORRO TERMOFIXO; DUPLA COLAGEM. O PRODUTO DEVERÁ CONTER IDENTIFICAÇÃO, MARCA DO FABRICANTE E GARANTIA DO FORNECEDOR CONTRA DEFEITO DE FABRICAÇÃO.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620F7DB">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1A95AC34">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105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CA0EA2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R$ 169,00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E35BE9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R$ 191,00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047BF559">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R$ 200,00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4396E9ED">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R$ 186,6667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6C317893">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R$ 19.600,00</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5569E67C">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7BA9A93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126286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1653FA6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424594-6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27ACB828">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BOLA PARA FUTEBOL DE CAMPO 12 GOMOS, LAMINADO CONFECCIONADO EM PU POLIURETANO; CIRCUNFERÊNCIA 68 A 70 CM; PESO 410 A 450 G; TECNOLOGIA ULTRA FUSION OU 0% ABSORÇÃO DE ÁGUA; SISTEMA DE FORRO TERMOFIXO, CAMADA INTERNA EVACEL, DUPLA COLAG</w:t>
            </w:r>
            <w:r>
              <w:rPr>
                <w:rFonts w:ascii="Times New Roman" w:hAnsi="Times New Roman" w:cs="Times New Roman"/>
                <w:color w:val="000000"/>
                <w:sz w:val="10"/>
                <w:szCs w:val="10"/>
              </w:rPr>
              <w:t xml:space="preserve">EM, MIOLO CÁPSULA SIS OU SIMILAR QUE PROTEJA A CÂMARA DE RUPTURAS; CÂMARA COM AMORTECIMENTO INTERNO DE 6 DISCOS. O PRODUTO DEVERÁ CONTER IDENTIFICAÇÃO, MARCA DO FABRICANTE E GARANTIA DO FORNECEDOR CONTRA DEFEITO DE FABRICAÇÃO.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9E92952">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5FF24265">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105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B2D4CE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R$ 347,50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E10FBD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R$ 380,00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09E60D3A">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R$ 399,50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4277029E">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R$ 375,6667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7DD76C43">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R$ 39.445,00</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2355ADB7">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16A5D80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126949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4C68E59B">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00060056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1E1EC8A2">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CAMA ELÁSTICA TIPO MINI JUMP. PRODUZIDO COM 36 MOLAS, 6 </w:t>
            </w:r>
            <w:r>
              <w:rPr>
                <w:rFonts w:ascii="Times New Roman" w:hAnsi="Times New Roman" w:cs="Times New Roman"/>
                <w:color w:val="000000"/>
                <w:sz w:val="10"/>
                <w:szCs w:val="10"/>
              </w:rPr>
              <w:t xml:space="preserve">PÉS FIXOS EM AÇO CARBONO COM PONTEIRAS GRANDES EMBORRACHADAS ANTIDERRAPANTES, TELA DE ALTA RESISTÊNCIA, CAPA PROTETORA PARA AS MOLAS. MEDIDAS MÍNIMAS: 98 CM DE COMPRIMENTO, 20 M DE ALTURA, ÁREA DE SALTO DE 78 CM DE DIÂMETRO. DEVE SUPORTAR NO MÍNIMO 180 KG.</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54EED93">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3984B524">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D428B06">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R$ 750,00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815979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R$ 755,00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7B58FAFB">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R$ 756,15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1921738C">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R$ 753,7167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1F9E9BED">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R$ 90.446,00</w:t>
            </w:r>
            <w:r>
              <w:rPr>
                <w:rFonts w:ascii="Times New Roman" w:hAnsi="Times New Roman" w:cs="Times New Roman"/>
                <w:sz w:val="11"/>
                <w:szCs w:val="11"/>
              </w:rPr>
            </w:r>
            <w:r>
              <w:rPr>
                <w:rFonts w:ascii="Times New Roman" w:hAnsi="Times New Roman" w:cs="Times New Roman"/>
                <w:sz w:val="11"/>
                <w:szCs w:val="11"/>
              </w:rPr>
            </w:r>
          </w:p>
        </w:tc>
      </w:tr>
      <w:tr>
        <w:trPr>
          <w:trHeight w:val="237"/>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33425AE0">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37B158C3">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125488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42DED1B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281312-2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68FDAF13">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COLCHONETE, ANTIÁCARO E ANTIALÉRGICO. DENSIDADE MÍNIMA 33, REVESTIMENTO EM NAPA, MATERIAL ESPUMA, MEDIDAS MÍNIMAS: 100 CM DE COMPRIMENTO X 60 CM DE LARGURA E 3 CM DE ESPESSURA.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7B11F5B">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5599DA5F">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375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AA53D43">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R$ 134,99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BEDD4A8">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R$ 136,36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62074C44">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R$ 143,90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29F04281">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R$ 138,4167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04AB55DF">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R$ 51.906,26</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7D5BE5E6">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5611FBF8">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20760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34F8CCC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351448-0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5A72A698">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CONE ESPORTIVO/PRATO DE MARCAÇÃO/CHAPÉU CHINÊS FABRIC</w:t>
            </w:r>
            <w:r>
              <w:rPr>
                <w:rFonts w:ascii="Times New Roman" w:hAnsi="Times New Roman" w:cs="Times New Roman"/>
                <w:color w:val="000000"/>
                <w:sz w:val="10"/>
                <w:szCs w:val="10"/>
              </w:rPr>
              <w:t xml:space="preserve">ADO EM PVC FLEXÍVEL, MEDIDAS APROXIMADAS 19 CM DE DIÂMETRO EXTERNO, 5 CM DE DIÂMETRO DO FURO E DE 8 CM DE ALTURA. O PRODUTO DEVERÁ CONTER IDENTIFICAÇÃO, MARCA DO FABRICANTE E GARANTIA DO FORNECEDOR CONTRA DEFEITO DE FABRICAÇÃO.COR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514396C">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67D3BFBA">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450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7ACA08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B17158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26022538">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R$ 24,00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2F892523">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R$ 19,6667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703854B4">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R$ 8.850,02</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040D36A2">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2E25D95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129566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0CC78EC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352539-2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1BD37240">
            <w:pPr>
              <w:pBdr/>
              <w:spacing/>
              <w:ind/>
              <w:jc w:val="both"/>
              <w:rPr>
                <w:rFonts w:ascii="Times New Roman" w:hAnsi="Times New Roman" w:eastAsia="Calibri" w:cs="Times New Roman"/>
                <w:sz w:val="10"/>
                <w:szCs w:val="10"/>
                <w:lang w:val="pt-BR"/>
              </w:rPr>
            </w:pPr>
            <w:r>
              <w:rPr>
                <w:rFonts w:ascii="Times New Roman" w:hAnsi="Times New Roman" w:cs="Times New Roman"/>
                <w:color w:val="222222"/>
                <w:sz w:val="10"/>
                <w:szCs w:val="10"/>
              </w:rPr>
              <w:t xml:space="preserve">CONE VAGINAL – CONJUNTO COM 5 UNIDADES. EM SILICONE MÉDICO PARA USO INTERNO. HIPOALERGENICO. FÁCIL HIGIENIZAÇÃO. PARA CONES MAIS PESADOS O MATERIAL SERIA PLAS</w:t>
            </w:r>
            <w:r>
              <w:rPr>
                <w:rFonts w:ascii="Times New Roman" w:hAnsi="Times New Roman" w:cs="Times New Roman"/>
                <w:color w:val="222222"/>
                <w:sz w:val="10"/>
                <w:szCs w:val="10"/>
              </w:rPr>
              <w:t xml:space="preserve">TICO ABS. OS PESOS PODEM SER DE CHUMBO ENCAPSULADO, AÇO INOX E LIGA METALICA DE ALTA DENSIDADE. DEVE CONTER UM CORDÃO DE REMOÇÃO COMO ABSORVENTE INTIMO. DEVE APRESENTAR PESOS VARIADOS ENTRE 20G E 100G. COM CORES E NUMERAÇÕES PARA IDENTIFICAÇÃO DOS PESOS.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16DD06B">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70726FD1">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B6E71F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R$ 87,43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0D555D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R$ 121,83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4AB1715D">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R$ 126,15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07494CE1">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R$ 111,8033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5BB73CA8">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R$ 894,43</w:t>
            </w:r>
            <w:r>
              <w:rPr>
                <w:rFonts w:ascii="Times New Roman" w:hAnsi="Times New Roman" w:cs="Times New Roman"/>
                <w:sz w:val="11"/>
                <w:szCs w:val="11"/>
              </w:rPr>
            </w:r>
            <w:r>
              <w:rPr>
                <w:rFonts w:ascii="Times New Roman" w:hAnsi="Times New Roman" w:cs="Times New Roman"/>
                <w:sz w:val="11"/>
                <w:szCs w:val="11"/>
              </w:rPr>
            </w:r>
          </w:p>
        </w:tc>
      </w:tr>
      <w:tr>
        <w:trPr>
          <w:trHeight w:val="169"/>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6ED19688">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19378F9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116773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5829B4C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274201-2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68024850">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CORDA DE PULAR, TAMANHO MÍNIMO DE 03 METROS, CONFECCIONADA EM POLIPROPILENO E PVC, ROLAMENTO AJUSTÁVEL COM CABO. PRODUTO INDICADO PARA PRÁTICAS ESPORTIVAS E LÚDICAS.</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2069E89">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63950966">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A028EC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R$ 65,24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AF6ACD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R$ 74,00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2CB88E25">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066C1021">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R$ 71,7467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2A99A368">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R$ 14.349,34</w:t>
            </w:r>
            <w:r>
              <w:rPr>
                <w:rFonts w:ascii="Times New Roman" w:hAnsi="Times New Roman" w:cs="Times New Roman"/>
                <w:sz w:val="11"/>
                <w:szCs w:val="11"/>
              </w:rPr>
            </w:r>
            <w:r>
              <w:rPr>
                <w:rFonts w:ascii="Times New Roman" w:hAnsi="Times New Roman" w:cs="Times New Roman"/>
                <w:sz w:val="11"/>
                <w:szCs w:val="11"/>
              </w:rPr>
            </w:r>
          </w:p>
        </w:tc>
      </w:tr>
      <w:tr>
        <w:trPr>
          <w:trHeight w:val="383"/>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73D0482F">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206228A6">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129570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27C809E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140759-7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52D5954A">
            <w:pPr>
              <w:pBdr/>
              <w:spacing/>
              <w:ind/>
              <w:jc w:val="both"/>
              <w:rPr>
                <w:rFonts w:ascii="Times New Roman" w:hAnsi="Times New Roman" w:eastAsia="Calibri" w:cs="Times New Roman"/>
                <w:sz w:val="10"/>
                <w:szCs w:val="10"/>
                <w:lang w:val="pt-BR"/>
              </w:rPr>
            </w:pPr>
            <w:r>
              <w:rPr>
                <w:rFonts w:ascii="Times New Roman" w:hAnsi="Times New Roman" w:cs="Times New Roman"/>
                <w:color w:val="222222"/>
                <w:sz w:val="10"/>
                <w:szCs w:val="10"/>
              </w:rPr>
              <w:t xml:space="preserve">DILATADOR VAGINAL- KIT CONTENDO 3 UNIDADES.  DEVE POSSUIR 3 TAMANHOS VARIADOS, PORÉM EM PORÇÕES DIFERENTE NO MESMO EQUIPAMENTO. MATERIAL DE SILICONE DE GRAU MEDICO 100% ATOXICO. COR A ESCOLHA DO FABRICANTE.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59D7B13">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B6382CE">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811C1B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R$ 119,90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AE25A2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R$ 158,06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0DC5DFE5">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R$ 310,00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1AB90C3C">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R$ 195,9867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2D8FD421">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R$ 1.567,89</w:t>
            </w:r>
            <w:r>
              <w:rPr>
                <w:rFonts w:ascii="Times New Roman" w:hAnsi="Times New Roman" w:cs="Times New Roman"/>
                <w:sz w:val="11"/>
                <w:szCs w:val="11"/>
              </w:rPr>
            </w:r>
            <w:r>
              <w:rPr>
                <w:rFonts w:ascii="Times New Roman" w:hAnsi="Times New Roman" w:cs="Times New Roman"/>
                <w:sz w:val="11"/>
                <w:szCs w:val="11"/>
              </w:rPr>
            </w:r>
          </w:p>
        </w:tc>
      </w:tr>
      <w:tr>
        <w:trPr>
          <w:trHeight w:val="70"/>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22FD71A8">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1D9405BD">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eastAsia="Aptos Narrow" w:cs="Times New Roman"/>
                <w:color w:val="000000"/>
                <w:sz w:val="11"/>
                <w:szCs w:val="11"/>
                <w:lang w:val="en-US" w:eastAsia="zh-CN" w:bidi="ar"/>
              </w:rPr>
              <w:t xml:space="preserve">1162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18D8AC7A">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eastAsia="Aptos Narrow" w:cs="Times New Roman"/>
                <w:color w:val="000000"/>
                <w:sz w:val="11"/>
                <w:szCs w:val="11"/>
                <w:lang w:val="en-US" w:eastAsia="zh-CN" w:bidi="ar"/>
              </w:rPr>
              <w:t xml:space="preserve">412499-5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7709C655">
            <w:pPr>
              <w:widowControl w:val="true"/>
              <w:pBdr/>
              <w:spacing/>
              <w:ind/>
              <w:jc w:val="both"/>
              <w:rPr>
                <w:rFonts w:ascii="Times New Roman" w:hAnsi="Times New Roman" w:eastAsia="Calibri" w:cs="Times New Roman"/>
                <w:sz w:val="10"/>
                <w:szCs w:val="10"/>
                <w:lang w:val="pt-BR"/>
              </w:rPr>
            </w:pPr>
            <w:r>
              <w:rPr>
                <w:rFonts w:ascii="Times New Roman" w:hAnsi="Times New Roman" w:eastAsia="Aptos Narrow" w:cs="Times New Roman"/>
                <w:color w:val="000000"/>
                <w:sz w:val="10"/>
                <w:szCs w:val="10"/>
                <w:lang w:val="en-US" w:eastAsia="zh-CN" w:bidi="ar"/>
              </w:rPr>
              <w:t xml:space="preserve">ELETRODO MÉDICO APARELHO PARA MONITORIZAÇÃO CARDÍACA ADULTO, DESCARTÁVEL, COM GEL SÓLIDO, ATÓXICO E HIPOALERGÊNICO.</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5190E54">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3EF4426C">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6540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517B0FC">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R$ 26,80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32C4FB3">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R$ 27,90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2648D594">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R$ 33,32</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296F9D4C">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R$ 29,3400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1C7668AD">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R$ 191.883,60</w:t>
            </w:r>
            <w:r>
              <w:rPr>
                <w:rFonts w:ascii="Times New Roman" w:hAnsi="Times New Roman" w:cs="Times New Roman"/>
                <w:sz w:val="11"/>
                <w:szCs w:val="11"/>
              </w:rPr>
            </w:r>
            <w:r>
              <w:rPr>
                <w:rFonts w:ascii="Times New Roman" w:hAnsi="Times New Roman" w:cs="Times New Roman"/>
                <w:sz w:val="11"/>
                <w:szCs w:val="11"/>
              </w:rPr>
            </w:r>
          </w:p>
        </w:tc>
      </w:tr>
      <w:tr>
        <w:trPr>
          <w:trHeight w:val="25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6F2BBEA9">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509F7061">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117930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015BF16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237008-5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7EEAE905">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EQUIPAMENTO MICRO CONTROLADO DE LASER TERAPEUTICO  EQUIPAMENTO </w:t>
            </w:r>
            <w:r>
              <w:rPr>
                <w:rFonts w:ascii="Times New Roman" w:hAnsi="Times New Roman" w:cs="Times New Roman"/>
                <w:color w:val="000000"/>
                <w:sz w:val="10"/>
                <w:szCs w:val="10"/>
              </w:rPr>
              <w:t xml:space="preserve">MICRO CONTROLADO DE LASER TERAPÊUTICO DE BAIXA POTÊNCIA: DESENVOLVIDO PARA UTILIZAÇÃO NA FISIOTERAPIA. OFERECE A POSSIBILIDADE DE OPERAÇÃO COM TRÊS CANETAS DE LASER, COM COMPRIMENTOS DE 660NM, 830NM, 904NM SENDO OS MODOS DE EMISSÃO DOS FEIXES DO LASER NAS </w:t>
            </w:r>
            <w:r>
              <w:rPr>
                <w:rFonts w:ascii="Times New Roman" w:hAnsi="Times New Roman" w:cs="Times New Roman"/>
                <w:color w:val="000000"/>
                <w:sz w:val="10"/>
                <w:szCs w:val="10"/>
              </w:rPr>
              <w:t xml:space="preserve">CANETAS 660NM E 830NM PODERÁ SER AJUSTADO NOS MODOS CONTÍNUOS E PULSADO COM POSSIBILIDADE ESCOLHA DE 10 FREQUÊNCIAS E MODULAÇÃO. O LASER DE BAIXA POTÊNCIA TEM EFEITOS ANALGÉSICOS CICATRIZANTES E ANTI-INFLAMATÓRIO. OPERAÇÃO MICRO CONTROLADA VIA TECLADO QUE </w:t>
            </w:r>
            <w:r>
              <w:rPr>
                <w:rFonts w:ascii="Times New Roman" w:hAnsi="Times New Roman" w:cs="Times New Roman"/>
                <w:color w:val="000000"/>
                <w:sz w:val="10"/>
                <w:szCs w:val="10"/>
              </w:rPr>
              <w:t xml:space="preserve">GERA INFORMAÇÕES DIGITALIZADAS E OFERECE CONFIABILIDADE NOS DADOS; CLASSIFICAÇÕES DE ENERGIA 1-20 JOULES/CM²; PERMITE QUE FIQUE TRAVADO ENQUANTO NÃO ESTÁ SENDO UTILIZADO.  DEVERÃO ACOMPANHAR O PRODUTO O</w:t>
            </w:r>
            <w:r>
              <w:rPr>
                <w:rFonts w:ascii="Times New Roman" w:hAnsi="Times New Roman" w:cs="Times New Roman"/>
                <w:color w:val="000000"/>
                <w:sz w:val="10"/>
                <w:szCs w:val="10"/>
              </w:rPr>
              <w:t xml:space="preserve">S SEGUINTES ACESSÓRIOS : 01 MANUAL DE INSTRUCOES; 01 CABO DE FORÇA DESCARTAVEL, 02 FUSIVEIS DE PROTECAO SOBRESSALENTE; 01 CANETA TOPOSCOPIO BIVOLT AUTOMATICO;  DIMENSÕES APROXIMADAS: 36.5 X 32.5 X 12,0 (LXPXACM). PESO:1,626KG.  - GARANTIA MÍNIMA: 18 MESES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80A21FE">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1D6438DC">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D8D1EE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R$ 2.180,00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24B121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R$ 2.200,00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17A4E850">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R$ 2.500,00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4CBB03F2">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R$ 2.293,3333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4BFB04B1">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R$ 34.400,00</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2FEB3B04">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3196D231">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125740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788F08C0">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00067003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2090E821">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ESCADA DE AGILIDADE INJETADA. MATERIAL LAVÁVEL, FLEXÍVEL E BEM ADER</w:t>
            </w:r>
            <w:r>
              <w:rPr>
                <w:rFonts w:ascii="Times New Roman" w:hAnsi="Times New Roman" w:cs="Times New Roman"/>
                <w:color w:val="000000"/>
                <w:sz w:val="10"/>
                <w:szCs w:val="10"/>
              </w:rPr>
              <w:t xml:space="preserve">ENTE AO SOLO; FITA DE NYLON ULTRA RESISTENTE E DEGRAUS REGULÁVEIS EM PLÁSTICO INJETÁVEL. TAMANHO MÍNIMO: 3 METROS DE COMPRIMENTO, COM NO MÍNIMO 7 DEGRAUS. PRODUTO INDICADO PARA PRATICA RECREATIVA, ESPORTIVA E TREINO FUNCIONAL.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AEF5DE9">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4B2DE66">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9349A0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R$ 75,10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0DCDCE8">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75867915">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R$ 78,50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4DB87B90">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R$ 76,8667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16320E2E">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R$ 1.537,33</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7FBCEB72">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6858ADE1">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129183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55F1CFE0">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262377-3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45A07197">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ESPALDAR / BARRA FIXA / BARRA DE LING / MÓDULO ALONGAMENTO. ALTURA MÍNIMA DE 2 METROS E LARGURA MÍNIMA DE 90 CM, MÍNIMO DE 08 BARRAS HORIZONTAIS CO</w:t>
            </w:r>
            <w:r>
              <w:rPr>
                <w:rFonts w:ascii="Times New Roman" w:hAnsi="Times New Roman" w:cs="Times New Roman"/>
                <w:color w:val="000000"/>
                <w:sz w:val="10"/>
                <w:szCs w:val="10"/>
              </w:rPr>
              <w:t xml:space="preserve">M DISTANCIA ENTRE VÃOS DE 20 CM, COM CAPACIDADE PARA SUPORTAR NO MÍNIMO 150 KG. ESTRUTURA DE FERRO, PINTURA ELETROSTÁTICA EPÓXI, E BARRAS DE ALUMÍNIO, COM APOIOS DE FIXAÇÃO. APARELHO PARA EXERCÍCIOS DE ALONGAMENTO MUSCULAR GLOBAL. GARANTIA MÍNIMA DE 1 ANO.</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6D6D237">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30E09426">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9496190">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R$ 999,00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0549B6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R$ 1.200,00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717152B0">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R$ 1.230,25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396165BF">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R$ 1.143,0833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22B92C33">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R$ 13.717,00</w:t>
            </w:r>
            <w:r>
              <w:rPr>
                <w:rFonts w:ascii="Times New Roman" w:hAnsi="Times New Roman" w:cs="Times New Roman"/>
                <w:sz w:val="11"/>
                <w:szCs w:val="11"/>
              </w:rPr>
            </w:r>
            <w:r>
              <w:rPr>
                <w:rFonts w:ascii="Times New Roman" w:hAnsi="Times New Roman" w:cs="Times New Roman"/>
                <w:sz w:val="11"/>
                <w:szCs w:val="11"/>
              </w:rPr>
            </w:r>
          </w:p>
        </w:tc>
      </w:tr>
      <w:tr>
        <w:trPr>
          <w:trHeight w:val="53"/>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015FA9FB">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2D09069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129196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0E90B5F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105663-8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2F01FE32">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ESPELHO DE VIDRO, ESPESSURA MÍNIMA 3 MM, SEM MOLDURA.</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80D3AB8">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METRO QUADRADO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10B6E286">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F181F4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R$ 396,67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8CC9E0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R$ 429,94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507F9691">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R$ 465,69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6772E565">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R$ 430,7667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74A2B6A3">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R$ 5.169,20</w:t>
            </w:r>
            <w:r>
              <w:rPr>
                <w:rFonts w:ascii="Times New Roman" w:hAnsi="Times New Roman" w:cs="Times New Roman"/>
                <w:sz w:val="11"/>
                <w:szCs w:val="11"/>
              </w:rPr>
            </w:r>
            <w:r>
              <w:rPr>
                <w:rFonts w:ascii="Times New Roman" w:hAnsi="Times New Roman" w:cs="Times New Roman"/>
                <w:sz w:val="11"/>
                <w:szCs w:val="11"/>
              </w:rPr>
            </w:r>
          </w:p>
        </w:tc>
      </w:tr>
      <w:tr>
        <w:trPr>
          <w:trHeight w:val="576"/>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7DC191A9">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37532D4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126952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29E72D9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270249-5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45AAD562">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FAIXA ELÁSTICA / ELÁSTICO, TAMANHO MÍNIMO DE 1,5 METROS DE COMPRIMENTO POR 13 CM DE LARGURA. INTENSIDADE / RESISTÊNCIA SUAVE. COMPOSIÇÃO LÁTEX NATURAL, NÃO DEFORMA. PRODUTO INDICADO PARA PRÁTICA ESPORTIVA E REABILITAÇÃO MUSCULAR.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CA28BD9">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6A858EB8">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130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525F0C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R$ 38,00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6CAF47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R$ 62,26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0D694577">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R$ 68,98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724E38B3">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R$ 56,4133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6B316704">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R$ 7.333,73</w:t>
            </w:r>
            <w:r>
              <w:rPr>
                <w:rFonts w:ascii="Times New Roman" w:hAnsi="Times New Roman" w:cs="Times New Roman"/>
                <w:sz w:val="11"/>
                <w:szCs w:val="11"/>
              </w:rPr>
            </w:r>
            <w:r>
              <w:rPr>
                <w:rFonts w:ascii="Times New Roman" w:hAnsi="Times New Roman" w:cs="Times New Roman"/>
                <w:sz w:val="11"/>
                <w:szCs w:val="11"/>
              </w:rPr>
            </w:r>
          </w:p>
        </w:tc>
      </w:tr>
      <w:tr>
        <w:trPr>
          <w:trHeight w:val="556"/>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2C8F66C0">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0C44F96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9007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2DB53E66">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348066-6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2CB89ADB">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FLUTUADOR AQUÁTICO/MACARRÃO SPAGUETE, FABRICADO EM ESPUMA POLIETILENO EXPANDIDO E MACIÇO. MEDIDAS APROXIMADAS 65 MM DE DIÂMETRO X 165 CM. O PRODUTO DEVERÁ POSSUIR GARANTIA CONTRA DEFEITO DE FABRICAÇÃO. A COR SERÁ DE ACORDO COM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AFDD79D">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13E4FE27">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370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6CDD186">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R$ 11,90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77BCFF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R$ 14,55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038672D0">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R$ 15,95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70561961">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R$ 14,1333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6374728A">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R$ 5.229,32</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15693C38">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298D8CF6">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8133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29A387A1">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131018-6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052D27D2">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GEL ELETRO CONDUTOR PARA ELETROCARDIOGRAMA EMBALAGEM COM 05 LITROS, ISENTO DE SAL E DE ÁLCOOL, À BASE DE ÁGUA, PH </w:t>
            </w:r>
            <w:r>
              <w:rPr>
                <w:rFonts w:ascii="Times New Roman" w:hAnsi="Times New Roman" w:cs="Times New Roman"/>
                <w:color w:val="000000"/>
                <w:sz w:val="10"/>
                <w:szCs w:val="10"/>
              </w:rPr>
              <w:t xml:space="preserve">NEUTRO, NÃO GORDUROSO, INODORO E EXCELENTE CONDUTIBILIDADE. NÃO IRRITA A PELE E NÃO DANIFICA O ELETRODO. RÓTULO CONTENDO DATA DE FABRICAÇÃO, NÚMERO DO LOTE, IDENTIFICAÇÃO DO FABRICANTE E VALIDADE. DEVERÁ ESTÁ DE ACORDO COM A LEGISLAÇÃO SANITÁRIA VIGENTE.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B4A2065">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48F4022A">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144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BFA333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R$ 69,00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4A5456B">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4572761E">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R$ 80,53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6736403D">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R$ 73,1767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580115D3">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R$ 10.537,44</w:t>
            </w:r>
            <w:r>
              <w:rPr>
                <w:rFonts w:ascii="Times New Roman" w:hAnsi="Times New Roman" w:cs="Times New Roman"/>
                <w:sz w:val="11"/>
                <w:szCs w:val="11"/>
              </w:rPr>
            </w:r>
            <w:r>
              <w:rPr>
                <w:rFonts w:ascii="Times New Roman" w:hAnsi="Times New Roman" w:cs="Times New Roman"/>
                <w:sz w:val="11"/>
                <w:szCs w:val="11"/>
              </w:rPr>
            </w:r>
          </w:p>
        </w:tc>
      </w:tr>
      <w:tr>
        <w:trPr>
          <w:trHeight w:val="593"/>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212665A3">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6272ECF3">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126953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7EAAAFB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00058559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26A3F385">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KIT DE ARGOLAS DE AGILIDADE, CONTENDO NO MÍ</w:t>
            </w:r>
            <w:r>
              <w:rPr>
                <w:rFonts w:ascii="Times New Roman" w:hAnsi="Times New Roman" w:cs="Times New Roman"/>
                <w:color w:val="000000"/>
                <w:sz w:val="10"/>
                <w:szCs w:val="10"/>
              </w:rPr>
              <w:t xml:space="preserve">NIMO 12 UNIDADES, COM NO MÍNIMO 42 CM DE DIÂMETRO E 2,5 CM DE ESPESSURA. DEVE ACOMPANHAR 13 FECHOS EM VELCRO DUPLOS PARA UNIÃO DOS AROS E BOLSA RESISTENTE PARA TRANSPORTE. PRODUZIDO EM MATERIAL PLÁSTICO. PRODUTO INDICADO PARA PRÁTICAS ESPORTIVAS E LÚDICAS.</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56D1860">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42A938CA">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92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2CEF5BD">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R$ 53,79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3F7EA60">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R$ 69,90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31C53D50">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R$ 81,00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5FC4CF06">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R$ 68,2300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40D010E3">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R$ 6.277,16</w:t>
            </w:r>
            <w:r>
              <w:rPr>
                <w:rFonts w:ascii="Times New Roman" w:hAnsi="Times New Roman" w:cs="Times New Roman"/>
                <w:sz w:val="11"/>
                <w:szCs w:val="11"/>
              </w:rPr>
            </w:r>
            <w:r>
              <w:rPr>
                <w:rFonts w:ascii="Times New Roman" w:hAnsi="Times New Roman" w:cs="Times New Roman"/>
                <w:sz w:val="11"/>
                <w:szCs w:val="11"/>
              </w:rPr>
            </w:r>
          </w:p>
        </w:tc>
      </w:tr>
      <w:tr>
        <w:trPr>
          <w:trHeight w:val="46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365D32E7">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237407B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3759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15FDA018">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00065051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111DAC4A">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KIT DE FAIXAS ELÁSTICAS PARA EXERCÍCIOS. EMBALAGEM CONTENDO 3 FAIXAS COM NÍVEIS DE INTENSIDADE DIFERENTES. MATERIAL: BORRACHA FLEXÍVEL DE ALTA RESISTENCIA. TAMANHO MÍNIMO: 120 CM X 12 CM. PRODUTO PARA FORTALECIMENTO MUSCULAR E ARTICULAR.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5E0F31D">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1EDF45D4">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160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811703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R$ 95,50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37C165C">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R$ 96,61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182FE141">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R$ 97,00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68D4219A">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R$ 96,3700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360371F2">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R$ 15.419,20</w:t>
            </w:r>
            <w:r>
              <w:rPr>
                <w:rFonts w:ascii="Times New Roman" w:hAnsi="Times New Roman" w:cs="Times New Roman"/>
                <w:sz w:val="11"/>
                <w:szCs w:val="11"/>
              </w:rPr>
            </w:r>
            <w:r>
              <w:rPr>
                <w:rFonts w:ascii="Times New Roman" w:hAnsi="Times New Roman" w:cs="Times New Roman"/>
                <w:sz w:val="11"/>
                <w:szCs w:val="11"/>
              </w:rPr>
            </w:r>
          </w:p>
        </w:tc>
      </w:tr>
      <w:tr>
        <w:trPr>
          <w:trHeight w:val="454"/>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67779E69">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6A07096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126954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1F07F72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0006638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2A25506C">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KIT TORRE DE HA</w:t>
            </w:r>
            <w:r>
              <w:rPr>
                <w:rFonts w:ascii="Times New Roman" w:hAnsi="Times New Roman" w:cs="Times New Roman"/>
                <w:color w:val="000000"/>
                <w:sz w:val="10"/>
                <w:szCs w:val="10"/>
              </w:rPr>
              <w:t xml:space="preserve">LTERES TIPO BOLA COM 10 PARES DE ALTERES. COMPOSTO POR TORRE / SUPORTE EXPOSITOR PARA GUARDA E ARMAZENAMENTO; E 1 PAR DE HALTERES BOLA EMBORRACHADOS DE CADA PESO DE 1 KG A 10 KG TOTALIZANDO 110 KG. FABRICADO EM FERRO FUNDIDO REVESTIDOS EM PVC EMBORRACHADO.</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8993464">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1625096F">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325343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R$ 2.151,00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7EC3A80">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R$ 2.879,33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359B5A70">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R$ 3.437,99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4CBCC3F0">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R$ 2.822,7733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2E610CB6">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R$ 28.227,73</w:t>
            </w:r>
            <w:r>
              <w:rPr>
                <w:rFonts w:ascii="Times New Roman" w:hAnsi="Times New Roman" w:cs="Times New Roman"/>
                <w:sz w:val="11"/>
                <w:szCs w:val="11"/>
              </w:rPr>
            </w:r>
            <w:r>
              <w:rPr>
                <w:rFonts w:ascii="Times New Roman" w:hAnsi="Times New Roman" w:cs="Times New Roman"/>
                <w:sz w:val="11"/>
                <w:szCs w:val="11"/>
              </w:rPr>
            </w:r>
          </w:p>
        </w:tc>
      </w:tr>
      <w:tr>
        <w:trPr>
          <w:trHeight w:val="354"/>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6F8B33A6">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01C4FFF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117889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6D2416B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88568-1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4C610A92">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LÂMPADA INFRAVERMELHO, POTÊNCIA MÍNIMA 150W, VOLTAGEM 110V, E27. PARA APLICAÇÕES NAS ÁREAS DE SAÚDE, FISIOTERAPIA, RADIAÇÃO INFRAVERMELHA DE ONDA CURTA.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CF269DD">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E9632B1">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FA303FC">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R$ 202,47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9E2D7F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R$ 234,41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3D235E9B">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R$ 241,90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1A3C91AF">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R$ 226,2600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591DA157">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R$ 6.109,02</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3F53175A">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40A2479B">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116582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4289964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188771-8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56939629">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MESA AUXILIAR EM AÇO INOX COM </w:t>
            </w:r>
            <w:r>
              <w:rPr>
                <w:rFonts w:ascii="Times New Roman" w:hAnsi="Times New Roman" w:cs="Times New Roman"/>
                <w:color w:val="000000"/>
                <w:sz w:val="10"/>
                <w:szCs w:val="10"/>
              </w:rPr>
              <w:t xml:space="preserve">RODIZÍOS: DIMENSÕES MÍNIMAS: 40X60X80 CM. ESTRUTUTURA EM TUBOS DE AÇO CROMADO, TAMPO E PRATELEIRA EM CHAPA DE AÇO INOXIDÁVEL, PÉS PROTEGIDOS COM RODÍZIOS DE 2 ½ DE DIÂMETRO, COM PONTEIRAS DE BORRACHA. GARANTIA MÍNIMA DE 01 ANO CONTRA DEFEITO DE FABRICAÇÃO.</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FFE730F">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4044A7A2">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91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60F1E4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R$ 1.720,00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D0E61D6">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R$ 1.733,00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7438C513">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R$ 1.765,00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6BEA6150">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R$ 1.739,3333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551B8179">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R$ 158.279,33</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38F2CBDB">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5EFFBB7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3731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6CFBFC03">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404678-1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451D6F98">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PAR DE TORNOZELEIRA, CONTENDO 1 KG CADA, (PESO DO PAR: 02 KG). FABRICADA EM NYLON E MATERIAL</w:t>
            </w:r>
            <w:r>
              <w:rPr>
                <w:rFonts w:ascii="Times New Roman" w:hAnsi="Times New Roman" w:cs="Times New Roman"/>
                <w:color w:val="000000"/>
                <w:sz w:val="10"/>
                <w:szCs w:val="10"/>
              </w:rPr>
              <w:t xml:space="preserve"> RESISTENTE DE REVESTIMENTO VINÍLICO, QUE PERMITA A HIGIENIZAÇÃO, COM PESO, COM FECHAMENTO AJUSTÁVEL EM VELCRO. INDICADA PARA TREINAMENTO, GANHO DE FORCA, RESISTÊNCIA MUSCULAR E CONDICIONAMENTO FÍSICO. PRODUTO CONTENDO MARCA E IDENTIFICAÇÃO DO FABRICANTE.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EC34AD9">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PAR</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73AB98CD">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95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46B11E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R$ 58,00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E2C588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R$ 60,00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55589F76">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R$ 69,00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40834D2F">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R$ 62,3333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6C5E41FE">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R$ 5.921,66</w:t>
            </w:r>
            <w:r>
              <w:rPr>
                <w:rFonts w:ascii="Times New Roman" w:hAnsi="Times New Roman" w:cs="Times New Roman"/>
                <w:sz w:val="11"/>
                <w:szCs w:val="11"/>
              </w:rPr>
            </w:r>
            <w:r>
              <w:rPr>
                <w:rFonts w:ascii="Times New Roman" w:hAnsi="Times New Roman" w:cs="Times New Roman"/>
                <w:sz w:val="11"/>
                <w:szCs w:val="11"/>
              </w:rPr>
            </w:r>
          </w:p>
        </w:tc>
      </w:tr>
      <w:tr>
        <w:trPr>
          <w:trHeight w:val="212"/>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38B128CC">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0275A743">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3731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2A48B66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00088763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0397A3A8">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PLACA PARA AURICULOTERAPIA. CARTELA COM NO MÍNIMO 60 UNIDADES. PONTO DE SEMENTE, COM ADESIVO DE MICROPORE DE FÁCIL RETIRADA.</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3FD1DFA">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748CA28F">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2110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1E1361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R$ 36,26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FB1353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R$ 42,90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76A686B2">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R$ 64,90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434C9640">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R$ 48,0200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5124CB1B">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R$ 101.322,20</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3165F6EB">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22AB2CDC">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1493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010C1E3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00064362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3B6002AA">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PRESERVATIVO MASCULINO - SEM LUBRIFICAÇÃO. PRODUTO PARA USO MÉDICO EM EXAMES</w:t>
            </w:r>
            <w:r>
              <w:rPr>
                <w:rFonts w:ascii="Times New Roman" w:hAnsi="Times New Roman" w:cs="Times New Roman"/>
                <w:color w:val="000000"/>
                <w:sz w:val="10"/>
                <w:szCs w:val="10"/>
              </w:rPr>
              <w:t xml:space="preserve"> DE ULTRA-SONOGRAFIA. COM ALTA TRANSPARÊNCIA QUE PERMITA MAIOR NITIDEZ NA CAPTAÇÃO DAS IMAGENS. COMPOSIÇÃO: LÁTEX DE BORRACHA NATURAL. EMBALAGEM CONTENDO DADOS DE IDENTIFICAÇÃO DO PRODUTO. DATA DE FABRICAÇÃO E PRAZO DE VALIDADE. EMBALADOS INDIVIDUALMENTE.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D947627">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51882BD5">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7500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DF81023">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R$ 1,07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CCDD55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65942947">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R$ 2,77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0BDAC853">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R$ 2,0800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110A5FDB">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R$ 15.600,00</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0D4FE08E">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3E61D21C">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117870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2BE46D3C">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00025556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7DBB2FBE">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ROLO DE POSICIONAMENTO, TAMANHO GRAN</w:t>
            </w:r>
            <w:r>
              <w:rPr>
                <w:rFonts w:ascii="Times New Roman" w:hAnsi="Times New Roman" w:cs="Times New Roman"/>
                <w:color w:val="000000"/>
                <w:sz w:val="10"/>
                <w:szCs w:val="10"/>
              </w:rPr>
              <w:t xml:space="preserve">DE - MEDIDAS NÃO INFERIOR A: 60 CM DE COMPRIMENTO POR 30 CM DE LARGURA. CONFECCIONADO EM ESPUMA COM DENSIDADE 33 OU SUPERIOR. REVESTIDO EM COURVIN. PRODUTO INDICADO PARA EXERCÍCIOS DE FISIOTERAPIA, GARANTIA MÌNIMA DE 12 MESES.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2CACB08">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00FB297">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2DF163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R$ 89,00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684777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R$ 102,00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3DDA2123">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R$ 105,00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7EF14C1D">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R$ 98,6667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7FCD968F">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R$ 2.466,67</w:t>
            </w:r>
            <w:r>
              <w:rPr>
                <w:rFonts w:ascii="Times New Roman" w:hAnsi="Times New Roman" w:cs="Times New Roman"/>
                <w:sz w:val="11"/>
                <w:szCs w:val="11"/>
              </w:rPr>
            </w:r>
            <w:r>
              <w:rPr>
                <w:rFonts w:ascii="Times New Roman" w:hAnsi="Times New Roman" w:cs="Times New Roman"/>
                <w:sz w:val="11"/>
                <w:szCs w:val="11"/>
              </w:rPr>
            </w:r>
          </w:p>
        </w:tc>
      </w:tr>
      <w:tr>
        <w:trPr>
          <w:trHeight w:val="508"/>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78C358EA">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7A0558C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129204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48F303F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336115-2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1D889329">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ROLO DE POSICIONAMENTO, TAMANHO MÉDIO</w:t>
            </w:r>
            <w:r>
              <w:rPr>
                <w:rFonts w:ascii="Times New Roman" w:hAnsi="Times New Roman" w:cs="Times New Roman"/>
                <w:color w:val="000000"/>
                <w:sz w:val="10"/>
                <w:szCs w:val="10"/>
              </w:rPr>
              <w:t xml:space="preserve"> - MEDIDAS NÃO INFERIORES A: 60 CM DE COMPRIMENTO POR 15 CM DE LARGURA. CONFECCIONADO EM ESPUMA COM DENSIDADE 33 OU SUPERIOR. REVESTIDO EM COURVIN. PRODUTO INDICADO PARA EXERCÍCIOS DE FISIOTERAPIA, GARANTIA MÌNIMA DE 12 MESES.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F8EC53A">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5B65E825">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8CB9738">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R$ 72,70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E2ACC38">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3533F3CC">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R$ 77,90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2FFD5761">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R$ 75,8667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66EB773C">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R$ 1.896,67</w:t>
            </w:r>
            <w:r>
              <w:rPr>
                <w:rFonts w:ascii="Times New Roman" w:hAnsi="Times New Roman" w:cs="Times New Roman"/>
                <w:sz w:val="11"/>
                <w:szCs w:val="11"/>
              </w:rPr>
            </w:r>
            <w:r>
              <w:rPr>
                <w:rFonts w:ascii="Times New Roman" w:hAnsi="Times New Roman" w:cs="Times New Roman"/>
                <w:sz w:val="11"/>
                <w:szCs w:val="11"/>
              </w:rPr>
            </w:r>
          </w:p>
        </w:tc>
      </w:tr>
      <w:tr>
        <w:trPr>
          <w:trHeight w:val="518"/>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6AE90D16">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30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3879802D">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117869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4A2ABA7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404680-3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47934C2A">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ROLO DE POSICIONAMENTO, TAMANHO PEQUENO</w:t>
            </w:r>
            <w:r>
              <w:rPr>
                <w:rFonts w:ascii="Times New Roman" w:hAnsi="Times New Roman" w:cs="Times New Roman"/>
                <w:color w:val="000000"/>
                <w:sz w:val="10"/>
                <w:szCs w:val="10"/>
              </w:rPr>
              <w:t xml:space="preserve"> - MEDIDAS NÃO INFERIORES A: 40 CM DE COMPRIMENTO POR 15 CM DE LARGURA. CONFECCIONADO EM ESPUMA COM DENSIDADE 33 OU SUPERIOR. REVESTIDO EM COURVIN. PRODUTO INDICADO PARA EXERCÍCIOS DE FISIOTERAPIA, GARANTIA MÌNIMA DE 12 MESES.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9DDEC85">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D92618C">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D0F9C3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R$ 187,99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490351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R$ 204,36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656939E3">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R$ 290,00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48190F2C">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R$ 227,4500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5325C4EC">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R$ 5.686,25</w:t>
            </w:r>
            <w:r>
              <w:rPr>
                <w:rFonts w:ascii="Times New Roman" w:hAnsi="Times New Roman" w:cs="Times New Roman"/>
                <w:sz w:val="11"/>
                <w:szCs w:val="11"/>
              </w:rPr>
            </w:r>
            <w:r>
              <w:rPr>
                <w:rFonts w:ascii="Times New Roman" w:hAnsi="Times New Roman" w:cs="Times New Roman"/>
                <w:sz w:val="11"/>
                <w:szCs w:val="11"/>
              </w:rPr>
            </w:r>
          </w:p>
        </w:tc>
      </w:tr>
      <w:tr>
        <w:trPr>
          <w:trHeight w:val="387"/>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06A09D03">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31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4E7DB75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117869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1910E68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00019041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7D46A141">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STEP AERÓBICO / SIMULADOR DE DEGRAU, CONFECCIONADO EM E.V.A, ANTI-IMPACTO DE ALTA RESISTÊNCIA, CANTOS ARREDONDADOS. SUPERFÍCIE ANTIDERRAPANTE. MEDIDAS MÍNIMAS: 90 X 30 X 15 CM (C X L </w:t>
            </w:r>
            <w:r>
              <w:rPr>
                <w:rFonts w:ascii="Times New Roman" w:hAnsi="Times New Roman" w:cs="Times New Roman"/>
                <w:color w:val="000000"/>
                <w:sz w:val="10"/>
                <w:szCs w:val="10"/>
              </w:rPr>
              <w:t xml:space="preserve">X A). PRODUTO INDICADO PARA PRÁTICA ESPORTIVA.</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CCD14D9">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383F832B">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3A4A83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R$ 132,60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17EA48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R$ 249,90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753253ED">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R$ 435,00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76AA6858">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R$ 272,5000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2825B7E0">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R$ 54.500,00</w:t>
            </w:r>
            <w:r>
              <w:rPr>
                <w:rFonts w:ascii="Times New Roman" w:hAnsi="Times New Roman" w:cs="Times New Roman"/>
                <w:sz w:val="11"/>
                <w:szCs w:val="11"/>
              </w:rPr>
            </w:r>
            <w:r>
              <w:rPr>
                <w:rFonts w:ascii="Times New Roman" w:hAnsi="Times New Roman" w:cs="Times New Roman"/>
                <w:sz w:val="11"/>
                <w:szCs w:val="11"/>
              </w:rPr>
            </w:r>
          </w:p>
        </w:tc>
      </w:tr>
    </w:tbl>
    <w:p w14:paraId="04340013">
      <w:pPr>
        <w:pBdr/>
        <w:spacing/>
        <w:ind/>
        <w:jc w:val="both"/>
        <w:rPr>
          <w:sz w:val="10"/>
          <w:szCs w:val="10"/>
        </w:rPr>
      </w:pPr>
      <w:r>
        <w:rPr>
          <w:sz w:val="10"/>
          <w:szCs w:val="10"/>
        </w:rPr>
      </w:r>
      <w:r>
        <w:rPr>
          <w:sz w:val="10"/>
          <w:szCs w:val="10"/>
        </w:rPr>
      </w:r>
      <w:r>
        <w:rPr>
          <w:sz w:val="10"/>
          <w:szCs w:val="10"/>
        </w:rPr>
      </w:r>
    </w:p>
    <w:p w14:paraId="5BE351EF">
      <w:pPr>
        <w:pStyle w:val="2017"/>
        <w:numPr>
          <w:ilvl w:val="1"/>
          <w:numId w:val="19"/>
        </w:numPr>
        <w:pBdr/>
        <w:spacing/>
        <w:ind/>
        <w:jc w:val="both"/>
        <w:rPr>
          <w:rFonts w:ascii="Times New Roman" w:hAnsi="Times New Roman"/>
          <w:sz w:val="22"/>
          <w:szCs w:val="22"/>
        </w:rPr>
      </w:pPr>
      <w:r>
        <w:rPr>
          <w:rFonts w:ascii="Times New Roman" w:hAnsi="Times New Roman"/>
          <w:sz w:val="22"/>
          <w:szCs w:val="22"/>
        </w:rPr>
        <w:t xml:space="preserve">O contrato a ser firmado com o fornecedor registrado será regido pelas disposições da Lei Federal nº 14.133/2021, em especial no que se refere aos contratos decorrentes de Sistema de Registro de Preços. Ressalta-se que </w:t>
      </w:r>
      <w:r>
        <w:rPr>
          <w:rFonts w:ascii="Times New Roman" w:hAnsi="Times New Roman"/>
          <w:b/>
          <w:bCs/>
          <w:sz w:val="22"/>
          <w:szCs w:val="22"/>
        </w:rPr>
        <w:t xml:space="preserve">a natureza do</w:t>
      </w:r>
      <w:r>
        <w:rPr>
          <w:sz w:val="22"/>
          <w:szCs w:val="22"/>
        </w:rPr>
        <w:t xml:space="preserve"> </w:t>
      </w:r>
      <w:r>
        <w:rPr>
          <w:rFonts w:ascii="Times New Roman" w:hAnsi="Times New Roman" w:cs="Times New Roman"/>
          <w:b/>
          <w:bCs/>
          <w:sz w:val="22"/>
          <w:szCs w:val="22"/>
        </w:rPr>
        <w:t xml:space="preserve">o</w:t>
      </w:r>
      <w:r>
        <w:rPr>
          <w:rFonts w:ascii="Times New Roman" w:hAnsi="Times New Roman"/>
          <w:b/>
          <w:bCs/>
          <w:sz w:val="22"/>
          <w:szCs w:val="22"/>
        </w:rPr>
        <w:t xml:space="preserve">bjeto é de bens comum</w:t>
      </w:r>
      <w:r>
        <w:rPr>
          <w:rFonts w:ascii="Times New Roman" w:hAnsi="Times New Roman"/>
          <w:sz w:val="22"/>
          <w:szCs w:val="22"/>
        </w:rPr>
        <w:t xml:space="preserve">, uma vez que se trata de serviços cujos padrões de desempenho e qualidade podem ser definidos objetivamente.</w:t>
      </w:r>
      <w:r>
        <w:rPr>
          <w:rFonts w:ascii="Times New Roman" w:hAnsi="Times New Roman"/>
          <w:sz w:val="22"/>
          <w:szCs w:val="22"/>
        </w:rPr>
      </w:r>
      <w:r>
        <w:rPr>
          <w:rFonts w:ascii="Times New Roman" w:hAnsi="Times New Roman"/>
          <w:sz w:val="22"/>
          <w:szCs w:val="22"/>
        </w:rPr>
      </w:r>
    </w:p>
    <w:p w14:paraId="0E07CBA3">
      <w:pPr>
        <w:numPr>
          <w:ilvl w:val="1"/>
          <w:numId w:val="19"/>
        </w:numPr>
        <w:pBdr/>
        <w:spacing/>
        <w:ind/>
        <w:jc w:val="both"/>
        <w:rPr>
          <w:rFonts w:ascii="Times New Roman" w:hAnsi="Times New Roman"/>
        </w:rPr>
      </w:pPr>
      <w:r>
        <w:rPr>
          <w:rFonts w:ascii="Times New Roman" w:hAnsi="Times New Roman"/>
          <w:b/>
          <w:bCs/>
        </w:rPr>
        <w:t xml:space="preserve">O prazo de vigência da ata de registro de preços será de 12 (doze) meses</w:t>
      </w:r>
      <w:r>
        <w:rPr>
          <w:rFonts w:ascii="Times New Roman" w:hAnsi="Times New Roman"/>
        </w:rPr>
        <w:t xml:space="preserve">, conforme o disposto no art. 84 da Lei nº 14.133/2021, contado a partir de sua assinatura, podendo ser prorrogado, desde que mantidas as condições vantajosas para a Administração.</w:t>
      </w:r>
      <w:r>
        <w:rPr>
          <w:rFonts w:ascii="Times New Roman" w:hAnsi="Times New Roman"/>
        </w:rPr>
      </w:r>
      <w:r>
        <w:rPr>
          <w:rFonts w:ascii="Times New Roman" w:hAnsi="Times New Roman"/>
        </w:rPr>
      </w:r>
    </w:p>
    <w:p w14:paraId="4D26AB31">
      <w:pPr>
        <w:numPr>
          <w:ilvl w:val="1"/>
          <w:numId w:val="19"/>
        </w:numPr>
        <w:pBdr/>
        <w:spacing/>
        <w:ind/>
        <w:jc w:val="both"/>
        <w:rPr>
          <w:rFonts w:ascii="Times New Roman" w:hAnsi="Times New Roman"/>
        </w:rPr>
      </w:pPr>
      <w:r>
        <w:rPr>
          <w:rFonts w:ascii="Times New Roman" w:hAnsi="Times New Roman"/>
        </w:rPr>
        <w:t xml:space="preserve">O prazo de vigência do futuro contrato será de 12 (doze) meses, contados da sua assinatura, podendo o mesmo ser prorrogado</w:t>
      </w:r>
      <w:r>
        <w:rPr>
          <w:rFonts w:ascii="Times New Roman" w:hAnsi="Times New Roman"/>
        </w:rPr>
        <w:t xml:space="preserve"> mediante interesse ou necessidade da Administração, ou a pedido da parte, devidamente justificada, e desde que o motivo apresentado seja aceito pela Administração, conforme disposto no art. 90 da Lei nº 14.133/2021, mantidas as mesmas condições pactuadas.</w:t>
      </w:r>
      <w:r>
        <w:rPr>
          <w:rFonts w:ascii="Times New Roman" w:hAnsi="Times New Roman"/>
        </w:rPr>
      </w:r>
      <w:r>
        <w:rPr>
          <w:rFonts w:ascii="Times New Roman" w:hAnsi="Times New Roman"/>
        </w:rPr>
      </w:r>
    </w:p>
    <w:p w14:paraId="42727E02">
      <w:pPr>
        <w:numPr>
          <w:ilvl w:val="1"/>
          <w:numId w:val="19"/>
        </w:numPr>
        <w:pBdr/>
        <w:spacing/>
        <w:ind/>
        <w:jc w:val="both"/>
        <w:rPr>
          <w:rFonts w:ascii="Times New Roman" w:hAnsi="Times New Roman"/>
        </w:rPr>
      </w:pPr>
      <w:r>
        <w:rPr>
          <w:rFonts w:ascii="Times New Roman" w:hAnsi="Times New Roman"/>
        </w:rPr>
        <w:t xml:space="preserve">O prazo para a liquidação das despesas decorrentes do contrato será de até 30 (trinta) dias, contados da apresentação da nota fiscal devidamente atestada, observadas as disposições legais aplicáveis, em especial os arts. 137 e 141 da Lei nº 14.133/2021.</w:t>
      </w:r>
      <w:r>
        <w:rPr>
          <w:rFonts w:ascii="Times New Roman" w:hAnsi="Times New Roman"/>
        </w:rPr>
      </w:r>
      <w:r>
        <w:rPr>
          <w:rFonts w:ascii="Times New Roman" w:hAnsi="Times New Roman"/>
        </w:rPr>
      </w:r>
    </w:p>
    <w:p w14:paraId="5ACCD3AB">
      <w:pPr>
        <w:pBdr/>
        <w:spacing/>
        <w:ind/>
        <w:jc w:val="both"/>
        <w:rPr>
          <w:sz w:val="10"/>
          <w:szCs w:val="10"/>
        </w:rPr>
      </w:pPr>
      <w:r>
        <w:rPr>
          <w:sz w:val="10"/>
          <w:szCs w:val="10"/>
        </w:rPr>
      </w:r>
      <w:r>
        <w:rPr>
          <w:sz w:val="10"/>
          <w:szCs w:val="10"/>
        </w:rPr>
      </w:r>
      <w:r>
        <w:rPr>
          <w:sz w:val="10"/>
          <w:szCs w:val="10"/>
        </w:rPr>
      </w:r>
    </w:p>
    <w:p w14:paraId="5056BD91">
      <w:pPr>
        <w:pBdr/>
        <w:shd w:val="clear" w:color="auto" w:fill="cccccc"/>
        <w:spacing/>
        <w:ind/>
        <w:jc w:val="both"/>
        <w:rPr/>
      </w:pPr>
      <w:r>
        <w:rPr>
          <w:rFonts w:ascii="Times New Roman" w:hAnsi="Times New Roman" w:cs="Times New Roman"/>
          <w:b/>
          <w:bCs/>
        </w:rPr>
        <w:t xml:space="preserve">2 – FUNDAMENTAÇÃO E DESCRIÇÃO DA NECESSIDADE DA CONTRATAÇÃO</w:t>
      </w:r>
      <w:r/>
    </w:p>
    <w:p w14:paraId="23C2F952">
      <w:pPr>
        <w:pBdr/>
        <w:spacing/>
        <w:ind/>
        <w:jc w:val="both"/>
        <w:rPr>
          <w:rFonts w:ascii="Times New Roman" w:hAnsi="Times New Roman" w:cs="Times New Roman"/>
          <w:b/>
          <w:bCs/>
          <w:sz w:val="10"/>
          <w:szCs w:val="10"/>
          <w:lang w:val="pt-BR"/>
        </w:rPr>
      </w:pPr>
      <w:r>
        <w:rPr>
          <w:rFonts w:ascii="Times New Roman" w:hAnsi="Times New Roman" w:cs="Times New Roman"/>
          <w:b/>
          <w:bCs/>
          <w:sz w:val="10"/>
          <w:szCs w:val="10"/>
          <w:lang w:val="pt-BR"/>
        </w:rPr>
      </w:r>
      <w:r>
        <w:rPr>
          <w:rFonts w:ascii="Times New Roman" w:hAnsi="Times New Roman" w:cs="Times New Roman"/>
          <w:b/>
          <w:bCs/>
          <w:sz w:val="10"/>
          <w:szCs w:val="10"/>
          <w:lang w:val="pt-BR"/>
        </w:rPr>
      </w:r>
      <w:r>
        <w:rPr>
          <w:rFonts w:ascii="Times New Roman" w:hAnsi="Times New Roman" w:cs="Times New Roman"/>
          <w:b/>
          <w:bCs/>
          <w:sz w:val="10"/>
          <w:szCs w:val="10"/>
          <w:lang w:val="pt-BR"/>
        </w:rPr>
      </w:r>
    </w:p>
    <w:p w14:paraId="67F4A428">
      <w:pPr>
        <w:pBdr/>
        <w:spacing/>
        <w:ind/>
        <w:jc w:val="both"/>
        <w:rPr/>
      </w:pPr>
      <w:r>
        <w:rPr>
          <w:rFonts w:ascii="Times New Roman" w:hAnsi="Times New Roman" w:cs="Times New Roman"/>
          <w:b/>
          <w:bCs/>
          <w:lang w:val="pt-BR"/>
        </w:rPr>
        <w:t xml:space="preserve">2.1</w:t>
      </w:r>
      <w:r>
        <w:rPr>
          <w:rFonts w:ascii="Times New Roman" w:hAnsi="Times New Roman" w:cs="Times New Roman"/>
          <w:lang w:val="pt-BR"/>
        </w:rPr>
        <w:t xml:space="preserve">. </w:t>
      </w:r>
      <w:r>
        <w:rPr>
          <w:rFonts w:ascii="Times New Roman" w:hAnsi="Times New Roman" w:cs="Times New Roman"/>
        </w:rPr>
        <w:t xml:space="preserve">A presente contratação está fundamentada nos Estudos Técnicos Preliminares (ETP), elaborados conforme as</w:t>
      </w:r>
      <w:r>
        <w:t xml:space="preserve"> </w:t>
      </w:r>
      <w:r>
        <w:rPr>
          <w:rFonts w:ascii="Times New Roman" w:hAnsi="Times New Roman" w:cs="Times New Roman"/>
        </w:rPr>
        <w:t xml:space="preserve">diretrizes da Lei nº 14.133/2021 e da Instrução Normativa vigente no âmbito desta Administração, os quais demonstram a necessidade, a viabilidade e a adequação da solução escolhida para atender à demanda administrativa.</w:t>
      </w:r>
      <w:r/>
    </w:p>
    <w:p w14:paraId="20AEB6C9">
      <w:pPr>
        <w:pBdr/>
        <w:spacing/>
        <w:ind/>
        <w:jc w:val="both"/>
        <w:rPr/>
      </w:pPr>
      <w:r>
        <w:rPr>
          <w:rFonts w:ascii="Times New Roman" w:hAnsi="Times New Roman" w:cs="Times New Roman"/>
          <w:b/>
          <w:bCs/>
          <w:lang w:val="pt-BR"/>
        </w:rPr>
        <w:t xml:space="preserve">2.2. </w:t>
      </w:r>
      <w:r>
        <w:rPr>
          <w:rFonts w:ascii="Times New Roman" w:hAnsi="Times New Roman" w:cs="Times New Roman"/>
        </w:rPr>
        <w:t xml:space="preserve">Os Estudos Técnicos Preliminares apontaram as seguintes justificativas principais para a contratação:</w:t>
      </w:r>
      <w:r>
        <w:t xml:space="preserve"> </w:t>
      </w:r>
      <w:r>
        <w:rPr>
          <w:rFonts w:ascii="Times New Roman" w:hAnsi="Times New Roman" w:cs="Times New Roman"/>
        </w:rPr>
        <w:t xml:space="preserve">que a contratação é necessária para garantir a continuidade, a regularidade e a qualidade dos atendimentos fisioterapêuticos realizados no âmbito do CER II, da Atenção Especia</w:t>
      </w:r>
      <w:r>
        <w:rPr>
          <w:rFonts w:ascii="Times New Roman" w:hAnsi="Times New Roman" w:cs="Times New Roman"/>
        </w:rPr>
        <w:t xml:space="preserve">lizada e das Ações Programáticas, considerando a ampliação das ações de reabilitação e a implementação de programas de incentivo à saúde, que demandam maior disponibilidade de materiais e equipamentos. Verificou-se, ainda, a insuficiência e o desgaste dos </w:t>
      </w:r>
      <w:r>
        <w:rPr>
          <w:rFonts w:ascii="Times New Roman" w:hAnsi="Times New Roman" w:cs="Times New Roman"/>
          <w:lang w:val="pt-BR"/>
        </w:rPr>
        <w:t xml:space="preserve">materiai</w:t>
      </w:r>
      <w:r>
        <w:rPr>
          <w:rFonts w:ascii="Times New Roman" w:hAnsi="Times New Roman" w:cs="Times New Roman"/>
        </w:rPr>
        <w:t xml:space="preserve">s atualmente disponíveis, bem como a necessidade de padronização dos materiais utilizados, visando assegurar maior segurança aos pac</w:t>
      </w:r>
      <w:r>
        <w:rPr>
          <w:rFonts w:ascii="Times New Roman" w:hAnsi="Times New Roman" w:cs="Times New Roman"/>
        </w:rPr>
        <w:t xml:space="preserve">ientes, melhores condições de trabalho aos profissionais de saúde e maior eficiência na execução dos protocolos assistenciais. Constatou-se também a viabilidade técnica e econômica da solução adotada, com a realização de procedimento licitatório na modalid</w:t>
      </w:r>
      <w:r>
        <w:rPr>
          <w:rFonts w:ascii="Times New Roman" w:hAnsi="Times New Roman" w:cs="Times New Roman"/>
        </w:rPr>
        <w:t xml:space="preserve">ade Pregão Eletrônico, com Sistema de Registro de Preços e critério de julgamento por menor preço, além da compatibilidade da contratação com a infraestrutura existente, não sendo necessárias adaptações estruturais significativas para a execução do objeto.</w:t>
      </w:r>
      <w:r/>
    </w:p>
    <w:p w14:paraId="59ABA63D">
      <w:pPr>
        <w:pBdr/>
        <w:spacing/>
        <w:ind/>
        <w:jc w:val="both"/>
        <w:rPr>
          <w:rFonts w:ascii="Times New Roman" w:hAnsi="Times New Roman" w:cs="Times New Roman"/>
          <w:sz w:val="10"/>
          <w:szCs w:val="10"/>
        </w:rPr>
      </w:pPr>
      <w:r>
        <w:rPr>
          <w:rFonts w:ascii="Times New Roman" w:hAnsi="Times New Roman" w:cs="Times New Roman"/>
          <w:sz w:val="10"/>
          <w:szCs w:val="10"/>
        </w:rPr>
      </w:r>
      <w:r>
        <w:rPr>
          <w:rFonts w:ascii="Times New Roman" w:hAnsi="Times New Roman" w:cs="Times New Roman"/>
          <w:sz w:val="10"/>
          <w:szCs w:val="10"/>
        </w:rPr>
      </w:r>
      <w:r>
        <w:rPr>
          <w:rFonts w:ascii="Times New Roman" w:hAnsi="Times New Roman" w:cs="Times New Roman"/>
          <w:sz w:val="10"/>
          <w:szCs w:val="10"/>
        </w:rPr>
      </w:r>
    </w:p>
    <w:p w14:paraId="4F43166C">
      <w:pPr>
        <w:pBdr/>
        <w:shd w:val="clear" w:color="auto" w:fill="cccccc"/>
        <w:spacing/>
        <w:ind/>
        <w:jc w:val="both"/>
        <w:rPr/>
      </w:pPr>
      <w:r>
        <w:rPr>
          <w:rFonts w:ascii="Times New Roman" w:hAnsi="Times New Roman" w:cs="Times New Roman"/>
          <w:b/>
          <w:bCs/>
        </w:rPr>
        <w:t xml:space="preserve">3 – DESCRIÇÃO DA SOLUÇÃO COM UM TODO CONSIDERANDO O CICLO DE VIDA DO OBJETO</w:t>
      </w:r>
      <w:r/>
    </w:p>
    <w:p w14:paraId="0DD2F136">
      <w:pPr>
        <w:pBdr/>
        <w:spacing/>
        <w:ind/>
        <w:jc w:val="both"/>
        <w:rPr>
          <w:rFonts w:ascii="Times New Roman" w:hAnsi="Times New Roman" w:cs="Times New Roman"/>
          <w:b/>
          <w:bCs/>
          <w:sz w:val="10"/>
          <w:szCs w:val="10"/>
          <w:lang w:val="pt-BR"/>
        </w:rPr>
      </w:pPr>
      <w:r>
        <w:rPr>
          <w:rFonts w:ascii="Times New Roman" w:hAnsi="Times New Roman" w:cs="Times New Roman"/>
          <w:b/>
          <w:bCs/>
          <w:sz w:val="10"/>
          <w:szCs w:val="10"/>
          <w:lang w:val="pt-BR"/>
        </w:rPr>
      </w:r>
      <w:r>
        <w:rPr>
          <w:rFonts w:ascii="Times New Roman" w:hAnsi="Times New Roman" w:cs="Times New Roman"/>
          <w:b/>
          <w:bCs/>
          <w:sz w:val="10"/>
          <w:szCs w:val="10"/>
          <w:lang w:val="pt-BR"/>
        </w:rPr>
      </w:r>
      <w:r>
        <w:rPr>
          <w:rFonts w:ascii="Times New Roman" w:hAnsi="Times New Roman" w:cs="Times New Roman"/>
          <w:b/>
          <w:bCs/>
          <w:sz w:val="10"/>
          <w:szCs w:val="10"/>
          <w:lang w:val="pt-BR"/>
        </w:rPr>
      </w:r>
    </w:p>
    <w:p w14:paraId="62B3A440">
      <w:pPr>
        <w:pBdr/>
        <w:spacing/>
        <w:ind/>
        <w:jc w:val="both"/>
        <w:rPr>
          <w:rFonts w:ascii="Times New Roman" w:hAnsi="Times New Roman" w:cs="Times New Roman"/>
          <w:lang w:val="pt-BR"/>
        </w:rPr>
      </w:pPr>
      <w:r>
        <w:rPr>
          <w:rFonts w:ascii="Times New Roman" w:hAnsi="Times New Roman" w:cs="Times New Roman"/>
          <w:b/>
          <w:bCs/>
          <w:lang w:val="pt-BR"/>
        </w:rPr>
        <w:t xml:space="preserve">3.1. </w:t>
      </w:r>
      <w:r>
        <w:rPr>
          <w:rFonts w:ascii="Times New Roman" w:hAnsi="Times New Roman" w:cs="Times New Roman"/>
          <w:lang w:val="pt-BR"/>
        </w:rPr>
        <w:t xml:space="preserve">A solução proposta consiste na aquisição de materiais e equipamentos de fisioterapia, po</w:t>
      </w:r>
      <w:r>
        <w:rPr>
          <w:rFonts w:ascii="Times New Roman" w:hAnsi="Times New Roman" w:cs="Times New Roman"/>
          <w:lang w:val="pt-BR"/>
        </w:rPr>
        <w:t xml:space="preserve">r meio de procedimento licitatório, considerando-se integralmente o ciclo de vida do objeto, em conformidade com o disposto no art. 6º, inciso XXIII, alínea “c”, da Lei Federal nº 14.133/2021, e no art. 23, §1º, inciso III, do Decreto Municipal nº 11.685/2</w:t>
      </w:r>
      <w:r>
        <w:rPr>
          <w:rFonts w:ascii="Times New Roman" w:hAnsi="Times New Roman" w:cs="Times New Roman"/>
          <w:lang w:val="pt-BR"/>
        </w:rPr>
        <w:t xml:space="preserve">023. A contratação contempla desde a fase de planejamento e seleção dos fornecedores, passando pela aquisição, recebimento, armazenamento, distribuição, utilização e manutenção dos materiais, até a destinação final adequada após o término de sua vida útil.</w:t>
      </w:r>
      <w:r>
        <w:rPr>
          <w:rFonts w:ascii="Times New Roman" w:hAnsi="Times New Roman" w:cs="Times New Roman"/>
          <w:lang w:val="pt-BR"/>
        </w:rPr>
      </w:r>
      <w:r>
        <w:rPr>
          <w:rFonts w:ascii="Times New Roman" w:hAnsi="Times New Roman" w:cs="Times New Roman"/>
          <w:lang w:val="pt-BR"/>
        </w:rPr>
      </w:r>
    </w:p>
    <w:p w14:paraId="2D078984">
      <w:pPr>
        <w:pBdr/>
        <w:spacing/>
        <w:ind/>
        <w:jc w:val="both"/>
        <w:rPr>
          <w:rFonts w:ascii="Times New Roman" w:hAnsi="Times New Roman" w:cs="Times New Roman"/>
          <w:lang w:val="pt-BR"/>
        </w:rPr>
      </w:pPr>
      <w:r>
        <w:rPr>
          <w:rFonts w:ascii="Times New Roman" w:hAnsi="Times New Roman" w:cs="Times New Roman"/>
          <w:b/>
          <w:bCs/>
          <w:lang w:val="pt-BR"/>
        </w:rPr>
        <w:t xml:space="preserve">3.2.</w:t>
      </w:r>
      <w:r>
        <w:rPr>
          <w:rFonts w:ascii="Times New Roman" w:hAnsi="Times New Roman" w:cs="Times New Roman"/>
          <w:lang w:val="pt-BR"/>
        </w:rPr>
        <w:t xml:space="preserve"> Na fase de aquisição, serão observadas especificações técnicas padronizadas, compatíveis com as necessidades assistenciais do Centro Especializado em Reabilitação – CER II, da Atenção Especializada e d</w:t>
      </w:r>
      <w:r>
        <w:rPr>
          <w:rFonts w:ascii="Times New Roman" w:hAnsi="Times New Roman" w:cs="Times New Roman"/>
          <w:lang w:val="pt-BR"/>
        </w:rPr>
        <w:t xml:space="preserve">as Ações Programáticas, bem como com as normas técnicas e sanitárias vigentes, assegurando a obtenção de produtos novos, de qualidade comprovada e com garantia mínima exigida. Durante a etapa de utilização, os materiais e equipamentos serão empregados conf</w:t>
      </w:r>
      <w:r>
        <w:rPr>
          <w:rFonts w:ascii="Times New Roman" w:hAnsi="Times New Roman" w:cs="Times New Roman"/>
          <w:lang w:val="pt-BR"/>
        </w:rPr>
        <w:t xml:space="preserve">orme os protocolos de atendimento fisioterapêutico adotados pela rede municipal de saúde, com observância das orientações do fabricante quanto ao uso, conservação, higienização e segurança, visando prolongar a vida útil e reduzir riscos de falhas ou danos.</w:t>
      </w:r>
      <w:r>
        <w:rPr>
          <w:rFonts w:ascii="Times New Roman" w:hAnsi="Times New Roman" w:cs="Times New Roman"/>
          <w:lang w:val="pt-BR"/>
        </w:rPr>
      </w:r>
      <w:r>
        <w:rPr>
          <w:rFonts w:ascii="Times New Roman" w:hAnsi="Times New Roman" w:cs="Times New Roman"/>
          <w:lang w:val="pt-BR"/>
        </w:rPr>
      </w:r>
    </w:p>
    <w:p w14:paraId="7144F77D">
      <w:pPr>
        <w:pBdr/>
        <w:spacing/>
        <w:ind/>
        <w:jc w:val="both"/>
        <w:rPr>
          <w:rFonts w:ascii="Times New Roman" w:hAnsi="Times New Roman" w:cs="Times New Roman"/>
          <w:lang w:val="pt-BR"/>
        </w:rPr>
      </w:pPr>
      <w:r>
        <w:rPr>
          <w:rFonts w:ascii="Times New Roman" w:hAnsi="Times New Roman" w:cs="Times New Roman"/>
          <w:b/>
          <w:bCs/>
          <w:lang w:val="pt-BR"/>
        </w:rPr>
        <w:t xml:space="preserve">3.3.</w:t>
      </w:r>
      <w:r>
        <w:rPr>
          <w:rFonts w:ascii="Times New Roman" w:hAnsi="Times New Roman" w:cs="Times New Roman"/>
          <w:lang w:val="pt-BR"/>
        </w:rPr>
        <w:t xml:space="preserve"> Quando aplicável, a solução contempla a exigência de garantia, assistência técnica e manutenção corretiva, </w:t>
      </w:r>
      <w:r>
        <w:rPr>
          <w:rFonts w:ascii="Times New Roman" w:hAnsi="Times New Roman" w:cs="Times New Roman"/>
          <w:lang w:val="pt-BR"/>
        </w:rPr>
        <w:t xml:space="preserve">ass</w:t>
      </w:r>
      <w:r>
        <w:rPr>
          <w:rFonts w:ascii="Times New Roman" w:hAnsi="Times New Roman" w:cs="Times New Roman"/>
          <w:lang w:val="pt-BR"/>
        </w:rPr>
        <w:t xml:space="preserve">egurando a continuidade dos serviços e minimizando impactos operacionais e financeiros à Administração. O acompanhamento do uso e do desgaste dos materiais permitirá o controle eficiente dos bens, o planejamento de reposições e a otimização dos recursos pú</w:t>
      </w:r>
      <w:r>
        <w:rPr>
          <w:rFonts w:ascii="Times New Roman" w:hAnsi="Times New Roman" w:cs="Times New Roman"/>
          <w:lang w:val="pt-BR"/>
        </w:rPr>
        <w:t xml:space="preserve">blicos. Ao final do ciclo de vida, a destinação dos materiais será realizada de forma ambientalmente adequada, observando-se a legislação ambiental e sanitária vigente, com adoção de práticas de descarte responsável e, quando cabível, de logística reversa.</w:t>
      </w:r>
      <w:r>
        <w:rPr>
          <w:rFonts w:ascii="Times New Roman" w:hAnsi="Times New Roman" w:cs="Times New Roman"/>
          <w:lang w:val="pt-BR"/>
        </w:rPr>
      </w:r>
      <w:r>
        <w:rPr>
          <w:rFonts w:ascii="Times New Roman" w:hAnsi="Times New Roman" w:cs="Times New Roman"/>
          <w:lang w:val="pt-BR"/>
        </w:rPr>
      </w:r>
    </w:p>
    <w:p w14:paraId="5E2DA104">
      <w:pPr>
        <w:pBdr/>
        <w:spacing/>
        <w:ind/>
        <w:jc w:val="both"/>
        <w:rPr>
          <w:rFonts w:ascii="Times New Roman" w:hAnsi="Times New Roman" w:cs="Times New Roman"/>
          <w:lang w:val="pt-BR"/>
        </w:rPr>
      </w:pPr>
      <w:r>
        <w:rPr>
          <w:rFonts w:ascii="Times New Roman" w:hAnsi="Times New Roman" w:cs="Times New Roman"/>
          <w:b/>
          <w:bCs/>
          <w:lang w:val="pt-BR"/>
        </w:rPr>
        <w:t xml:space="preserve">3.4.</w:t>
      </w:r>
      <w:r>
        <w:rPr>
          <w:rFonts w:ascii="Times New Roman" w:hAnsi="Times New Roman" w:cs="Times New Roman"/>
          <w:lang w:val="pt-BR"/>
        </w:rPr>
        <w:t xml:space="preserve"> Dessa forma, a solução como um todo apresenta-se </w:t>
      </w:r>
      <w:r>
        <w:rPr>
          <w:rFonts w:ascii="Times New Roman" w:hAnsi="Times New Roman" w:cs="Times New Roman"/>
          <w:lang w:val="pt-BR"/>
        </w:rPr>
        <w:t xml:space="preserve">tecnicamente adequada, economicamente vantajosa e alinhada aos princípios da sustentabilidade, eficiência e interesse público, garantindo suporte contínuo e qualificado às ações de fisioterapia desenvolvidas no âmbito da Atenção Especializada do Município.</w:t>
      </w:r>
      <w:r>
        <w:rPr>
          <w:rFonts w:ascii="Times New Roman" w:hAnsi="Times New Roman" w:cs="Times New Roman"/>
          <w:lang w:val="pt-BR"/>
        </w:rPr>
      </w:r>
      <w:r>
        <w:rPr>
          <w:rFonts w:ascii="Times New Roman" w:hAnsi="Times New Roman" w:cs="Times New Roman"/>
          <w:lang w:val="pt-BR"/>
        </w:rPr>
      </w:r>
    </w:p>
    <w:p w14:paraId="50DECFFF">
      <w:pPr>
        <w:pBdr/>
        <w:spacing/>
        <w:ind/>
        <w:jc w:val="both"/>
        <w:rPr>
          <w:rFonts w:ascii="Times New Roman" w:hAnsi="Times New Roman" w:cs="Times New Roman"/>
          <w:sz w:val="10"/>
          <w:szCs w:val="10"/>
        </w:rPr>
      </w:pPr>
      <w:r>
        <w:rPr>
          <w:rFonts w:ascii="Times New Roman" w:hAnsi="Times New Roman" w:cs="Times New Roman"/>
          <w:sz w:val="10"/>
          <w:szCs w:val="10"/>
        </w:rPr>
      </w:r>
      <w:r>
        <w:rPr>
          <w:rFonts w:ascii="Times New Roman" w:hAnsi="Times New Roman" w:cs="Times New Roman"/>
          <w:sz w:val="10"/>
          <w:szCs w:val="10"/>
        </w:rPr>
      </w:r>
      <w:r>
        <w:rPr>
          <w:rFonts w:ascii="Times New Roman" w:hAnsi="Times New Roman" w:cs="Times New Roman"/>
          <w:sz w:val="10"/>
          <w:szCs w:val="10"/>
        </w:rPr>
      </w:r>
    </w:p>
    <w:p w14:paraId="1E95AA20">
      <w:pPr>
        <w:pBdr/>
        <w:shd w:val="clear" w:color="auto" w:fill="cccccc"/>
        <w:spacing/>
        <w:ind/>
        <w:jc w:val="both"/>
        <w:rPr>
          <w:rFonts w:ascii="Times New Roman" w:hAnsi="Times New Roman" w:cs="Times New Roman"/>
          <w:b/>
          <w:bCs/>
        </w:rPr>
      </w:pPr>
      <w:r>
        <w:rPr>
          <w:rFonts w:ascii="Times New Roman" w:hAnsi="Times New Roman" w:cs="Times New Roman"/>
          <w:b/>
          <w:bCs/>
        </w:rPr>
        <w:t xml:space="preserve">4 – REQUISITOS DA CONTRATAÇÃO</w:t>
      </w:r>
      <w:r>
        <w:rPr>
          <w:rFonts w:ascii="Times New Roman" w:hAnsi="Times New Roman" w:cs="Times New Roman"/>
          <w:b/>
          <w:bCs/>
        </w:rPr>
      </w:r>
      <w:r>
        <w:rPr>
          <w:rFonts w:ascii="Times New Roman" w:hAnsi="Times New Roman" w:cs="Times New Roman"/>
          <w:b/>
          <w:bCs/>
        </w:rPr>
      </w:r>
    </w:p>
    <w:p w14:paraId="6F870543">
      <w:pPr>
        <w:pBdr/>
        <w:spacing/>
        <w:ind/>
        <w:jc w:val="both"/>
        <w:rPr>
          <w:rFonts w:ascii="Times New Roman" w:hAnsi="Times New Roman" w:cs="Times New Roman"/>
          <w:b/>
          <w:bCs/>
          <w:sz w:val="10"/>
          <w:szCs w:val="10"/>
          <w:highlight w:val="yellow"/>
        </w:rPr>
      </w:pPr>
      <w:r>
        <w:rPr>
          <w:rFonts w:ascii="Times New Roman" w:hAnsi="Times New Roman" w:cs="Times New Roman"/>
          <w:b/>
          <w:bCs/>
          <w:sz w:val="10"/>
          <w:szCs w:val="10"/>
          <w:highlight w:val="yellow"/>
        </w:rPr>
      </w:r>
      <w:r>
        <w:rPr>
          <w:rFonts w:ascii="Times New Roman" w:hAnsi="Times New Roman" w:cs="Times New Roman"/>
          <w:b/>
          <w:bCs/>
          <w:sz w:val="10"/>
          <w:szCs w:val="10"/>
          <w:highlight w:val="yellow"/>
        </w:rPr>
      </w:r>
      <w:r>
        <w:rPr>
          <w:rFonts w:ascii="Times New Roman" w:hAnsi="Times New Roman" w:cs="Times New Roman"/>
          <w:b/>
          <w:bCs/>
          <w:sz w:val="10"/>
          <w:szCs w:val="10"/>
          <w:highlight w:val="yellow"/>
        </w:rPr>
      </w:r>
    </w:p>
    <w:p w14:paraId="72418706">
      <w:pPr>
        <w:pBdr/>
        <w:spacing/>
        <w:ind/>
        <w:jc w:val="both"/>
        <w:rPr>
          <w:rFonts w:ascii="Times New Roman" w:hAnsi="Times New Roman" w:cs="Times New Roman"/>
          <w:b/>
          <w:bCs/>
        </w:rPr>
      </w:pPr>
      <w:r>
        <w:rPr>
          <w:rFonts w:ascii="Times New Roman" w:hAnsi="Times New Roman" w:cs="Times New Roman"/>
          <w:b/>
          <w:bCs/>
        </w:rPr>
        <w:t xml:space="preserve">4.1. Objeto e Finalidade: </w:t>
      </w:r>
      <w:r>
        <w:rPr>
          <w:rFonts w:ascii="Times New Roman" w:hAnsi="Times New Roman" w:cs="Times New Roman"/>
          <w:b/>
          <w:bCs/>
        </w:rPr>
      </w:r>
      <w:r>
        <w:rPr>
          <w:rFonts w:ascii="Times New Roman" w:hAnsi="Times New Roman" w:cs="Times New Roman"/>
          <w:b/>
          <w:bCs/>
        </w:rPr>
      </w:r>
    </w:p>
    <w:p w14:paraId="5D694581">
      <w:pPr>
        <w:pBdr/>
        <w:spacing/>
        <w:ind/>
        <w:jc w:val="both"/>
        <w:rPr>
          <w:rFonts w:ascii="Times New Roman" w:hAnsi="Times New Roman" w:cs="Times New Roman"/>
        </w:rPr>
      </w:pPr>
      <w:r>
        <w:rPr>
          <w:rFonts w:ascii="Times New Roman" w:hAnsi="Times New Roman" w:cs="Times New Roman"/>
          <w:b/>
          <w:bCs/>
        </w:rPr>
        <w:t xml:space="preserve">4.1.1.</w:t>
      </w:r>
      <w:r>
        <w:t xml:space="preserve"> </w:t>
      </w:r>
      <w:r>
        <w:rPr>
          <w:rFonts w:ascii="Times New Roman" w:hAnsi="Times New Roman" w:cs="Times New Roman"/>
        </w:rPr>
        <w:t xml:space="preserve">O objeto da presente contratação consiste na aquisição de </w:t>
      </w:r>
      <w:r>
        <w:rPr>
          <w:rFonts w:ascii="Times New Roman" w:hAnsi="Times New Roman" w:cs="Times New Roman"/>
        </w:rPr>
        <w:t xml:space="preserve">materiais e equipamentos de fisioterapia, por meio de procedimento licitatório, destinados ao atendimento das demandas do CER II - Centro Especializado em Reabilitação, da Atenção Especializada e das Ações Programáticas do Município. A contratação abrange </w:t>
      </w:r>
      <w:r>
        <w:rPr>
          <w:rFonts w:ascii="Times New Roman" w:hAnsi="Times New Roman" w:cs="Times New Roman"/>
          <w:lang w:val="pt-BR"/>
        </w:rPr>
        <w:t xml:space="preserve">materiai</w:t>
      </w:r>
      <w:r>
        <w:rPr>
          <w:rFonts w:ascii="Times New Roman" w:hAnsi="Times New Roman" w:cs="Times New Roman"/>
        </w:rPr>
        <w:t xml:space="preserve">s novos, de acordo com especificações técnicas padronizadas, compatíveis com as necessidades dos serviços de reabilitação e fisioterapia, observadas as normas técnicas, sanitárias e regulatórias vigentes.</w:t>
      </w:r>
      <w:r>
        <w:rPr>
          <w:rFonts w:ascii="Times New Roman" w:hAnsi="Times New Roman" w:cs="Times New Roman"/>
        </w:rPr>
      </w:r>
      <w:r>
        <w:rPr>
          <w:rFonts w:ascii="Times New Roman" w:hAnsi="Times New Roman" w:cs="Times New Roman"/>
        </w:rPr>
      </w:r>
    </w:p>
    <w:p w14:paraId="1A02E56A">
      <w:pPr>
        <w:pBdr/>
        <w:spacing/>
        <w:ind/>
        <w:jc w:val="both"/>
        <w:rPr>
          <w:rFonts w:ascii="Times New Roman" w:hAnsi="Times New Roman" w:cs="Times New Roman"/>
        </w:rPr>
      </w:pPr>
      <w:r>
        <w:rPr>
          <w:rFonts w:ascii="Times New Roman" w:hAnsi="Times New Roman" w:cs="Times New Roman"/>
          <w:b/>
          <w:bCs/>
        </w:rPr>
        <w:t xml:space="preserve">4.1.2. </w:t>
      </w:r>
      <w:r>
        <w:rPr>
          <w:rFonts w:ascii="Times New Roman" w:hAnsi="Times New Roman" w:cs="Times New Roman"/>
        </w:rPr>
        <w:t xml:space="preserve">A finalidade da contratação é garantir a continuidade, a ampliação e a qualificação dos atendimentos fisioterapêuticos prestados à população, assegurando condições adequadas </w:t>
      </w:r>
      <w:r>
        <w:rPr>
          <w:rFonts w:ascii="Times New Roman" w:hAnsi="Times New Roman" w:cs="Times New Roman"/>
        </w:rPr>
        <w:t xml:space="preserve">de trabalho aos profissionais de saúde e maior segurança e eficácia nos procedimentos realizados. Busca-se, ainda, atender às diretrizes das políticas públicas de saúde, especialmente no âmbito da atenção especializada e da reabilitação, bem como apoiar a </w:t>
      </w:r>
      <w:r>
        <w:rPr>
          <w:rFonts w:ascii="Times New Roman" w:hAnsi="Times New Roman" w:cs="Times New Roman"/>
        </w:rPr>
        <w:t xml:space="preserve">implementação e o fortalecimento de programas e ações programáticas voltadas à promoção, prevenção e recuperação da saúde, contribuindo para a melhoria da qualidade de vida dos usuários do Sistema Único de Saúde – SUS e para a eficiência da gestão pública.</w:t>
      </w:r>
      <w:r>
        <w:rPr>
          <w:rFonts w:ascii="Times New Roman" w:hAnsi="Times New Roman" w:cs="Times New Roman"/>
        </w:rPr>
      </w:r>
      <w:r>
        <w:rPr>
          <w:rFonts w:ascii="Times New Roman" w:hAnsi="Times New Roman" w:cs="Times New Roman"/>
        </w:rPr>
      </w:r>
    </w:p>
    <w:p w14:paraId="0A30789A">
      <w:pPr>
        <w:pBdr/>
        <w:spacing/>
        <w:ind/>
        <w:jc w:val="both"/>
        <w:rPr>
          <w:rFonts w:ascii="Times New Roman" w:hAnsi="Times New Roman" w:cs="Times New Roman"/>
          <w:b/>
          <w:bCs/>
        </w:rPr>
      </w:pPr>
      <w:r>
        <w:rPr>
          <w:rFonts w:ascii="Times New Roman" w:hAnsi="Times New Roman" w:cs="Times New Roman"/>
          <w:b/>
          <w:bCs/>
        </w:rPr>
        <w:t xml:space="preserve">4.2. Condições de Fornceimento e Prazo de Entrega:</w:t>
      </w:r>
      <w:r>
        <w:rPr>
          <w:rFonts w:ascii="Times New Roman" w:hAnsi="Times New Roman" w:cs="Times New Roman"/>
          <w:b/>
          <w:bCs/>
        </w:rPr>
      </w:r>
      <w:r>
        <w:rPr>
          <w:rFonts w:ascii="Times New Roman" w:hAnsi="Times New Roman" w:cs="Times New Roman"/>
          <w:b/>
          <w:bCs/>
        </w:rPr>
      </w:r>
    </w:p>
    <w:p w14:paraId="5E96A39D">
      <w:pPr>
        <w:pBdr/>
        <w:spacing/>
        <w:ind/>
        <w:jc w:val="both"/>
        <w:rPr>
          <w:rFonts w:ascii="Times New Roman" w:hAnsi="Times New Roman" w:cs="Times New Roman"/>
          <w:lang w:val="pt-BR"/>
        </w:rPr>
      </w:pPr>
      <w:r>
        <w:rPr>
          <w:rFonts w:ascii="Times New Roman" w:hAnsi="Times New Roman" w:cs="Times New Roman"/>
          <w:b/>
          <w:bCs/>
        </w:rPr>
        <w:t xml:space="preserve">4.2.1. </w:t>
      </w:r>
      <w:r>
        <w:rPr>
          <w:rFonts w:ascii="Times New Roman" w:hAnsi="Times New Roman" w:cs="Times New Roman"/>
          <w:lang w:val="pt-BR"/>
        </w:rPr>
        <w:t xml:space="preserve">O fornecimento dos mater</w:t>
      </w:r>
      <w:r>
        <w:rPr>
          <w:rFonts w:ascii="Times New Roman" w:hAnsi="Times New Roman" w:cs="Times New Roman"/>
          <w:lang w:val="pt-BR"/>
        </w:rPr>
        <w:t xml:space="preserve">iais e equipamentos de fisioterapia deverá ser realizado de forma parcelada ou conforme a necessidade da Administração, mediante emissão de ordem de fornecimento ou nota de empenho, observadas as quantidades e especificações constantes neste Termo de Refer</w:t>
      </w:r>
      <w:r>
        <w:rPr>
          <w:rFonts w:ascii="Times New Roman" w:hAnsi="Times New Roman" w:cs="Times New Roman"/>
          <w:lang w:val="pt-BR"/>
        </w:rPr>
        <w:t xml:space="preserve">ência. O prazo máximo para entrega dos materiais será de até 20 (vinte) dias corridos, contados a partir do recebimento da ordem de fornecimento ou instrumento equivalente, devendo os produtos ser entregues em local previamente indicado pela Administração.</w:t>
      </w:r>
      <w:r>
        <w:rPr>
          <w:rFonts w:ascii="Times New Roman" w:hAnsi="Times New Roman" w:cs="Times New Roman"/>
          <w:lang w:val="pt-BR"/>
        </w:rPr>
      </w:r>
      <w:r>
        <w:rPr>
          <w:rFonts w:ascii="Times New Roman" w:hAnsi="Times New Roman" w:cs="Times New Roman"/>
          <w:lang w:val="pt-BR"/>
        </w:rPr>
      </w:r>
    </w:p>
    <w:p w14:paraId="62FB706C">
      <w:pPr>
        <w:pBdr/>
        <w:spacing/>
        <w:ind/>
        <w:jc w:val="both"/>
        <w:rPr>
          <w:rFonts w:ascii="Times New Roman" w:hAnsi="Times New Roman" w:cs="Times New Roman"/>
          <w:lang w:val="pt-BR"/>
        </w:rPr>
      </w:pPr>
      <w:r>
        <w:rPr>
          <w:rFonts w:ascii="Times New Roman" w:hAnsi="Times New Roman" w:cs="Times New Roman"/>
          <w:b/>
          <w:bCs/>
          <w:lang w:val="pt-BR"/>
        </w:rPr>
        <w:t xml:space="preserve">4.2.2.</w:t>
      </w:r>
      <w:r>
        <w:rPr>
          <w:rFonts w:ascii="Times New Roman" w:hAnsi="Times New Roman" w:cs="Times New Roman"/>
          <w:lang w:val="pt-BR"/>
        </w:rPr>
        <w:t xml:space="preserve"> Os materiais deverão ser entregues novos, sem uso, em perfeitas condições de funcionamento e acondicionados adequadamente, de modo a garantir sua integridade durante o transporte e o manuseio, acompanhados de nota fiscal e demais documentos e</w:t>
      </w:r>
      <w:r>
        <w:rPr>
          <w:rFonts w:ascii="Times New Roman" w:hAnsi="Times New Roman" w:cs="Times New Roman"/>
          <w:lang w:val="pt-BR"/>
        </w:rPr>
        <w:t xml:space="preserve">xigidos pela legislação vigente. Quando aplicável, os materiais e equipamentos deverão conter identificação do fabricante, lote, data de fabricação, prazo de validade e demais informações obrigatórias, atendendo às normas técnicas e sanitárias pertinentes.</w:t>
      </w:r>
      <w:r>
        <w:rPr>
          <w:rFonts w:ascii="Times New Roman" w:hAnsi="Times New Roman" w:cs="Times New Roman"/>
          <w:lang w:val="pt-BR"/>
        </w:rPr>
      </w:r>
      <w:r>
        <w:rPr>
          <w:rFonts w:ascii="Times New Roman" w:hAnsi="Times New Roman" w:cs="Times New Roman"/>
          <w:lang w:val="pt-BR"/>
        </w:rPr>
      </w:r>
    </w:p>
    <w:p w14:paraId="08F26369">
      <w:pPr>
        <w:pBdr/>
        <w:spacing/>
        <w:ind/>
        <w:jc w:val="both"/>
        <w:rPr>
          <w:rFonts w:ascii="Times New Roman" w:hAnsi="Times New Roman" w:cs="Times New Roman"/>
          <w:lang w:val="pt-BR"/>
        </w:rPr>
      </w:pPr>
      <w:r>
        <w:rPr>
          <w:rFonts w:ascii="Times New Roman" w:hAnsi="Times New Roman" w:cs="Times New Roman"/>
          <w:b/>
          <w:bCs/>
          <w:lang w:val="pt-BR"/>
        </w:rPr>
        <w:t xml:space="preserve">4.2.3. </w:t>
      </w:r>
      <w:r>
        <w:rPr>
          <w:rFonts w:ascii="Times New Roman" w:hAnsi="Times New Roman" w:cs="Times New Roman"/>
          <w:lang w:val="pt-BR"/>
        </w:rPr>
        <w:t xml:space="preserve">O recebimento dos produtos será realiz</w:t>
      </w:r>
      <w:r>
        <w:rPr>
          <w:rFonts w:ascii="Times New Roman" w:hAnsi="Times New Roman" w:cs="Times New Roman"/>
          <w:lang w:val="pt-BR"/>
        </w:rPr>
        <w:t xml:space="preserve">ado de forma provisória e definitiva, conforme disposto na legislação aplicável, ficando condicionado à conferência quantitativa e qualitativa dos materiais, bem como à verificação da conformidade com as especificações técnicas estabelecidas. Caso sejam co</w:t>
      </w:r>
      <w:r>
        <w:rPr>
          <w:rFonts w:ascii="Times New Roman" w:hAnsi="Times New Roman" w:cs="Times New Roman"/>
          <w:lang w:val="pt-BR"/>
        </w:rPr>
        <w:t xml:space="preserve">nstatadas irregularidades, defeitos, inconformidades ou divergências em relação ao objeto contratado, o fornecedor deverá proceder à substituição ou correção dos materiais, sem ônus adicional para a Administração, no prazo a ser definido pela fiscalização.</w:t>
      </w:r>
      <w:r>
        <w:rPr>
          <w:rFonts w:ascii="Times New Roman" w:hAnsi="Times New Roman" w:cs="Times New Roman"/>
          <w:lang w:val="pt-BR"/>
        </w:rPr>
      </w:r>
      <w:r>
        <w:rPr>
          <w:rFonts w:ascii="Times New Roman" w:hAnsi="Times New Roman" w:cs="Times New Roman"/>
          <w:lang w:val="pt-BR"/>
        </w:rPr>
      </w:r>
    </w:p>
    <w:p w14:paraId="64F1451D">
      <w:pPr>
        <w:pBdr/>
        <w:spacing/>
        <w:ind/>
        <w:jc w:val="both"/>
        <w:rPr>
          <w:rFonts w:ascii="Times New Roman" w:hAnsi="Times New Roman" w:cs="Times New Roman"/>
          <w:lang w:val="pt-BR"/>
        </w:rPr>
      </w:pPr>
      <w:r>
        <w:rPr>
          <w:rFonts w:ascii="Times New Roman" w:hAnsi="Times New Roman" w:cs="Times New Roman"/>
          <w:b/>
          <w:bCs/>
          <w:lang w:val="pt-BR"/>
        </w:rPr>
        <w:t xml:space="preserve">4.2.4.</w:t>
      </w:r>
      <w:r>
        <w:rPr>
          <w:rFonts w:ascii="Times New Roman" w:hAnsi="Times New Roman" w:cs="Times New Roman"/>
          <w:lang w:val="pt-BR"/>
        </w:rPr>
        <w:t xml:space="preserve"> O transporte, a carga, a descarga e demais custos necessários para o fornecimento dos materiais correrão por conta exclus</w:t>
      </w:r>
      <w:r>
        <w:rPr>
          <w:rFonts w:ascii="Times New Roman" w:hAnsi="Times New Roman" w:cs="Times New Roman"/>
          <w:lang w:val="pt-BR"/>
        </w:rPr>
        <w:t xml:space="preserve">iva do fornecedor, não sendo admitido qualquer acréscimo de valores em razão dessas despesas. O descumprimento do prazo de entrega ou das condições estabelecidas sujeitará o contratado às sanções previstas na legislação vigente e no instrumento contratual.</w:t>
      </w:r>
      <w:r>
        <w:rPr>
          <w:rFonts w:ascii="Times New Roman" w:hAnsi="Times New Roman" w:cs="Times New Roman"/>
          <w:lang w:val="pt-BR"/>
        </w:rPr>
      </w:r>
      <w:r>
        <w:rPr>
          <w:rFonts w:ascii="Times New Roman" w:hAnsi="Times New Roman" w:cs="Times New Roman"/>
          <w:lang w:val="pt-BR"/>
        </w:rPr>
      </w:r>
    </w:p>
    <w:p w14:paraId="44ABE651">
      <w:pPr>
        <w:pBdr/>
        <w:spacing/>
        <w:ind/>
        <w:rPr/>
      </w:pPr>
      <w:r>
        <w:rPr>
          <w:rFonts w:ascii="Times New Roman" w:hAnsi="Times New Roman" w:cs="Times New Roman"/>
          <w:b/>
          <w:bCs/>
          <w:lang w:val="pt-BR"/>
        </w:rPr>
        <w:t xml:space="preserve">4.3. </w:t>
      </w:r>
      <w:r>
        <w:rPr>
          <w:rFonts w:ascii="Times New Roman" w:hAnsi="Times New Roman" w:cs="Times New Roman"/>
          <w:b/>
          <w:bCs/>
        </w:rPr>
        <w:t xml:space="preserve">Da indicação de marcas ou modelos:</w:t>
      </w:r>
      <w:r/>
    </w:p>
    <w:p w14:paraId="76914EAD">
      <w:pPr>
        <w:pBdr/>
        <w:spacing/>
        <w:ind/>
        <w:rPr/>
      </w:pPr>
      <w:r>
        <w:rPr>
          <w:rFonts w:ascii="Times New Roman" w:hAnsi="Times New Roman" w:cs="Times New Roman"/>
          <w:b/>
          <w:bCs/>
          <w:lang w:val="pt-BR"/>
        </w:rPr>
        <w:t xml:space="preserve">4.3.1. </w:t>
      </w:r>
      <w:r>
        <w:rPr>
          <w:rFonts w:ascii="Times New Roman" w:hAnsi="Times New Roman" w:cs="Times New Roman"/>
        </w:rPr>
        <w:t xml:space="preserve">Não será exigido marcar ou modelos.</w:t>
      </w:r>
      <w:r/>
    </w:p>
    <w:p w14:paraId="558E6CCF">
      <w:pPr>
        <w:pBdr/>
        <w:spacing/>
        <w:ind/>
        <w:rPr/>
      </w:pPr>
      <w:r>
        <w:rPr>
          <w:rFonts w:ascii="Times New Roman" w:hAnsi="Times New Roman" w:cs="Times New Roman"/>
          <w:b/>
          <w:bCs/>
          <w:lang w:val="pt-BR"/>
        </w:rPr>
        <w:t xml:space="preserve">4.4. </w:t>
      </w:r>
      <w:r>
        <w:rPr>
          <w:rFonts w:ascii="Times New Roman" w:hAnsi="Times New Roman" w:cs="Times New Roman"/>
          <w:b/>
          <w:bCs/>
        </w:rPr>
        <w:t xml:space="preserve">Das amostras: </w:t>
      </w:r>
      <w:r/>
    </w:p>
    <w:p w14:paraId="60766886">
      <w:pPr>
        <w:pBdr/>
        <w:spacing/>
        <w:ind/>
        <w:rPr/>
      </w:pPr>
      <w:r>
        <w:rPr>
          <w:rFonts w:ascii="Times New Roman" w:hAnsi="Times New Roman" w:cs="Times New Roman"/>
          <w:b/>
          <w:bCs/>
          <w:lang w:val="pt-BR"/>
        </w:rPr>
        <w:t xml:space="preserve">4.4.1. </w:t>
      </w:r>
      <w:r>
        <w:rPr>
          <w:rFonts w:ascii="Times New Roman" w:hAnsi="Times New Roman" w:cs="Times New Roman"/>
        </w:rPr>
        <w:t xml:space="preserve">Não será exigido amostras</w:t>
      </w:r>
      <w:r/>
    </w:p>
    <w:p w14:paraId="78B9369A">
      <w:pPr>
        <w:pBdr/>
        <w:spacing/>
        <w:ind/>
        <w:rPr/>
      </w:pPr>
      <w:r>
        <w:rPr>
          <w:rFonts w:ascii="Times New Roman" w:hAnsi="Times New Roman" w:cs="Times New Roman"/>
          <w:b/>
          <w:bCs/>
          <w:lang w:val="pt-BR"/>
        </w:rPr>
        <w:t xml:space="preserve">4.5. </w:t>
      </w:r>
      <w:r>
        <w:rPr>
          <w:rFonts w:ascii="Times New Roman" w:hAnsi="Times New Roman" w:cs="Times New Roman"/>
          <w:b/>
          <w:bCs/>
        </w:rPr>
        <w:t xml:space="preserve">Subcontratação:</w:t>
      </w:r>
      <w:r/>
    </w:p>
    <w:p w14:paraId="59911E82">
      <w:pPr>
        <w:pBdr/>
        <w:spacing/>
        <w:ind/>
        <w:jc w:val="both"/>
        <w:rPr>
          <w:rFonts w:ascii="Times New Roman" w:hAnsi="Times New Roman" w:cs="Times New Roman"/>
        </w:rPr>
      </w:pPr>
      <w:r>
        <w:rPr>
          <w:rFonts w:ascii="Times New Roman" w:hAnsi="Times New Roman" w:cs="Times New Roman"/>
          <w:b/>
          <w:bCs/>
          <w:lang w:val="pt-BR"/>
        </w:rPr>
        <w:t xml:space="preserve">4.5.1. </w:t>
      </w:r>
      <w:r>
        <w:rPr>
          <w:rFonts w:ascii="Times New Roman" w:hAnsi="Times New Roman" w:cs="Times New Roman"/>
        </w:rPr>
        <w:t xml:space="preserve">É vedada a subcontratação total ou parcial do objeto, exceto na hipótese de serviço secundário que não integre a essência do objeto, desde que expressamente autorizada pelo Contratante, mantida em qualquer caso a integral responsabilidade da Contratada.</w:t>
      </w:r>
      <w:r>
        <w:rPr>
          <w:rFonts w:ascii="Times New Roman" w:hAnsi="Times New Roman" w:cs="Times New Roman"/>
        </w:rPr>
      </w:r>
      <w:r>
        <w:rPr>
          <w:rFonts w:ascii="Times New Roman" w:hAnsi="Times New Roman" w:cs="Times New Roman"/>
        </w:rPr>
      </w:r>
    </w:p>
    <w:p w14:paraId="20CA9103">
      <w:pPr>
        <w:pBdr/>
        <w:spacing/>
        <w:ind/>
        <w:jc w:val="both"/>
        <w:rPr>
          <w:rFonts w:ascii="Times New Roman" w:hAnsi="Times New Roman" w:cs="Times New Roman"/>
          <w:b/>
          <w:bCs/>
          <w:lang w:val="pt-BR"/>
        </w:rPr>
      </w:pPr>
      <w:r>
        <w:rPr>
          <w:rFonts w:ascii="Times New Roman" w:hAnsi="Times New Roman" w:cs="Times New Roman"/>
          <w:b/>
          <w:bCs/>
          <w:lang w:val="pt-BR"/>
        </w:rPr>
        <w:t xml:space="preserve">4.6. Garantia do serviço/contratação/aquisição: </w:t>
      </w:r>
      <w:r>
        <w:rPr>
          <w:rFonts w:ascii="Times New Roman" w:hAnsi="Times New Roman" w:cs="Times New Roman"/>
          <w:b/>
          <w:bCs/>
          <w:lang w:val="pt-BR"/>
        </w:rPr>
      </w:r>
      <w:r>
        <w:rPr>
          <w:rFonts w:ascii="Times New Roman" w:hAnsi="Times New Roman" w:cs="Times New Roman"/>
          <w:b/>
          <w:bCs/>
          <w:lang w:val="pt-BR"/>
        </w:rPr>
      </w:r>
    </w:p>
    <w:p w14:paraId="42150D76">
      <w:pPr>
        <w:pBdr/>
        <w:spacing/>
        <w:ind/>
        <w:jc w:val="both"/>
        <w:rPr>
          <w:rFonts w:ascii="Times New Roman" w:hAnsi="Times New Roman" w:cs="Times New Roman"/>
          <w:lang w:val="pt-BR"/>
        </w:rPr>
      </w:pPr>
      <w:r>
        <w:rPr>
          <w:rFonts w:ascii="Times New Roman" w:hAnsi="Times New Roman" w:cs="Times New Roman"/>
          <w:b/>
          <w:bCs/>
          <w:lang w:val="pt-BR"/>
        </w:rPr>
        <w:t xml:space="preserve">4.6.1. </w:t>
      </w:r>
      <w:r>
        <w:rPr>
          <w:rFonts w:ascii="Times New Roman" w:hAnsi="Times New Roman" w:cs="Times New Roman"/>
          <w:lang w:val="pt-BR"/>
        </w:rPr>
        <w:t xml:space="preserve">Os materi</w:t>
      </w:r>
      <w:r>
        <w:rPr>
          <w:rFonts w:ascii="Times New Roman" w:hAnsi="Times New Roman" w:cs="Times New Roman"/>
          <w:lang w:val="pt-BR"/>
        </w:rPr>
        <w:t xml:space="preserve">ais e equipamentos de fisioterapia objeto da presente contratação deverão possuir garantia mínima legal contra defeitos de fabricação, conforme previsto no Código de Defesa do Consumidor e demais normas aplicáveis, sem prejuízo da garantia adicional oferec</w:t>
      </w:r>
      <w:r>
        <w:rPr>
          <w:rFonts w:ascii="Times New Roman" w:hAnsi="Times New Roman" w:cs="Times New Roman"/>
          <w:lang w:val="pt-BR"/>
        </w:rPr>
        <w:t xml:space="preserve">ida pelo fabricante ou fornecedor, quando houver. A garantia deverá abranger a substituição, reparo ou correção de quaisquer defeitos, vícios ou falhas de funcionamento constatados durante o período de sua vigência, sem ônus adicional para a Administração.</w:t>
      </w:r>
      <w:r>
        <w:rPr>
          <w:rFonts w:ascii="Times New Roman" w:hAnsi="Times New Roman" w:cs="Times New Roman"/>
          <w:lang w:val="pt-BR"/>
        </w:rPr>
      </w:r>
      <w:r>
        <w:rPr>
          <w:rFonts w:ascii="Times New Roman" w:hAnsi="Times New Roman" w:cs="Times New Roman"/>
          <w:lang w:val="pt-BR"/>
        </w:rPr>
      </w:r>
    </w:p>
    <w:p w14:paraId="0408D9CD">
      <w:pPr>
        <w:pBdr/>
        <w:spacing/>
        <w:ind/>
        <w:jc w:val="both"/>
        <w:rPr>
          <w:rFonts w:ascii="Times New Roman" w:hAnsi="Times New Roman" w:cs="Times New Roman"/>
          <w:lang w:val="pt-BR"/>
        </w:rPr>
      </w:pPr>
      <w:r>
        <w:rPr>
          <w:rFonts w:ascii="Times New Roman" w:hAnsi="Times New Roman" w:cs="Times New Roman"/>
          <w:b/>
          <w:bCs/>
          <w:lang w:val="pt-BR"/>
        </w:rPr>
        <w:t xml:space="preserve">4.6.2.</w:t>
      </w:r>
      <w:r>
        <w:rPr>
          <w:rFonts w:ascii="Times New Roman" w:hAnsi="Times New Roman" w:cs="Times New Roman"/>
          <w:lang w:val="pt-BR"/>
        </w:rPr>
        <w:t xml:space="preserve"> No caso de equipamentos, a garantia deverá contemplar peças, componentes e mão de obra, incluindo, quando aplicável, assistência técn</w:t>
      </w:r>
      <w:r>
        <w:rPr>
          <w:rFonts w:ascii="Times New Roman" w:hAnsi="Times New Roman" w:cs="Times New Roman"/>
          <w:lang w:val="pt-BR"/>
        </w:rPr>
        <w:t xml:space="preserve">ica autorizada, assegurando a continuidade dos serviços e evitando prejuízos às atividades assistenciais. Eventuais custos relacionados ao transporte, retirada, devolução ou substituição dos materiais defeituosos correrão por conta exclusiva do fornecedor.</w:t>
      </w:r>
      <w:r>
        <w:rPr>
          <w:rFonts w:ascii="Times New Roman" w:hAnsi="Times New Roman" w:cs="Times New Roman"/>
          <w:lang w:val="pt-BR"/>
        </w:rPr>
      </w:r>
      <w:r>
        <w:rPr>
          <w:rFonts w:ascii="Times New Roman" w:hAnsi="Times New Roman" w:cs="Times New Roman"/>
          <w:lang w:val="pt-BR"/>
        </w:rPr>
      </w:r>
    </w:p>
    <w:p w14:paraId="472A0302">
      <w:pPr>
        <w:pBdr/>
        <w:spacing/>
        <w:ind/>
        <w:jc w:val="both"/>
        <w:rPr>
          <w:rFonts w:ascii="Times New Roman" w:hAnsi="Times New Roman" w:cs="Times New Roman"/>
          <w:lang w:val="pt-BR"/>
        </w:rPr>
      </w:pPr>
      <w:r>
        <w:rPr>
          <w:rFonts w:ascii="Times New Roman" w:hAnsi="Times New Roman" w:cs="Times New Roman"/>
          <w:b/>
          <w:bCs/>
          <w:lang w:val="pt-BR"/>
        </w:rPr>
        <w:t xml:space="preserve">4.6.3. </w:t>
      </w:r>
      <w:r>
        <w:rPr>
          <w:rFonts w:ascii="Times New Roman" w:hAnsi="Times New Roman" w:cs="Times New Roman"/>
          <w:lang w:val="pt-BR"/>
        </w:rPr>
        <w:t xml:space="preserve">A contagem do prazo de garantia terá início a partir do recebimento definitivo dos materiais, devidamente atestado pela fiscalização do contrato. Caso sejam identificados defeitos ou inconform</w:t>
      </w:r>
      <w:r>
        <w:rPr>
          <w:rFonts w:ascii="Times New Roman" w:hAnsi="Times New Roman" w:cs="Times New Roman"/>
          <w:lang w:val="pt-BR"/>
        </w:rPr>
        <w:t xml:space="preserve">idades durante o período de garantia, o fornecedor deverá adotar as providências necessárias para a solução do problema no prazo estabelecido pela Administração, sob pena de aplicação das sanções previstas no instrumento contratual e na legislação vigente.</w:t>
      </w:r>
      <w:r>
        <w:rPr>
          <w:rFonts w:ascii="Times New Roman" w:hAnsi="Times New Roman" w:cs="Times New Roman"/>
          <w:lang w:val="pt-BR"/>
        </w:rPr>
      </w:r>
      <w:r>
        <w:rPr>
          <w:rFonts w:ascii="Times New Roman" w:hAnsi="Times New Roman" w:cs="Times New Roman"/>
          <w:lang w:val="pt-BR"/>
        </w:rPr>
      </w:r>
    </w:p>
    <w:p w14:paraId="16EBA8AB">
      <w:pPr>
        <w:pStyle w:val="2312"/>
        <w:numPr>
          <w:ilvl w:val="0"/>
          <w:numId w:val="0"/>
        </w:numPr>
        <w:pBdr/>
        <w:tabs>
          <w:tab w:val="left" w:leader="none" w:pos="2271"/>
        </w:tabs>
        <w:spacing/>
        <w:ind/>
        <w:jc w:val="both"/>
        <w:rPr>
          <w:b/>
          <w:bCs/>
          <w:sz w:val="22"/>
          <w:szCs w:val="22"/>
        </w:rPr>
      </w:pPr>
      <w:r>
        <w:rPr>
          <w:b/>
          <w:bCs/>
          <w:szCs w:val="24"/>
        </w:rPr>
        <w:t xml:space="preserve">4.7.</w:t>
      </w:r>
      <w:r>
        <w:rPr>
          <w:b/>
          <w:bCs/>
          <w:sz w:val="22"/>
          <w:szCs w:val="22"/>
        </w:rPr>
        <w:t xml:space="preserve"> Local de entrega:</w:t>
      </w:r>
      <w:r>
        <w:rPr>
          <w:b/>
          <w:bCs/>
          <w:sz w:val="22"/>
          <w:szCs w:val="22"/>
        </w:rPr>
      </w:r>
      <w:r>
        <w:rPr>
          <w:b/>
          <w:bCs/>
          <w:sz w:val="22"/>
          <w:szCs w:val="22"/>
        </w:rPr>
      </w:r>
    </w:p>
    <w:p w14:paraId="40C90A22">
      <w:pPr>
        <w:pStyle w:val="2312"/>
        <w:numPr>
          <w:ilvl w:val="0"/>
          <w:numId w:val="0"/>
        </w:numPr>
        <w:pBdr/>
        <w:tabs>
          <w:tab w:val="left" w:leader="none" w:pos="2271"/>
        </w:tabs>
        <w:spacing/>
        <w:ind/>
        <w:jc w:val="both"/>
        <w:rPr>
          <w:rFonts w:cs="Times New Roman"/>
          <w:b/>
          <w:bCs/>
          <w:sz w:val="22"/>
          <w:szCs w:val="22"/>
        </w:rPr>
      </w:pPr>
      <w:r>
        <w:rPr>
          <w:b/>
          <w:bCs/>
          <w:szCs w:val="24"/>
        </w:rPr>
        <w:t xml:space="preserve">4.7.1. </w:t>
      </w:r>
      <w:r>
        <w:rPr>
          <w:sz w:val="22"/>
          <w:szCs w:val="22"/>
        </w:rPr>
        <w:t xml:space="preserve">A entrega dos produtos deverá ocorrer</w:t>
      </w:r>
      <w:r>
        <w:rPr>
          <w:b/>
          <w:bCs/>
          <w:sz w:val="22"/>
          <w:szCs w:val="22"/>
        </w:rPr>
        <w:t xml:space="preserve"> </w:t>
      </w:r>
      <w:r>
        <w:rPr>
          <w:rFonts w:cs="Times New Roman"/>
          <w:sz w:val="22"/>
          <w:szCs w:val="22"/>
        </w:rPr>
        <w:t xml:space="preserve">no </w:t>
      </w:r>
      <w:r>
        <w:rPr>
          <w:rFonts w:cs="Times New Roman"/>
          <w:b/>
          <w:bCs/>
          <w:sz w:val="22"/>
          <w:szCs w:val="22"/>
        </w:rPr>
        <w:t xml:space="preserve">ALMOXARIFADO DA SECRETARIA MUNCIPAL DE SAÚDE seguindo o itinerário: segunda a sexta feira das 07:00 as 11:00 horas e das 13:00 as 17:00 horas, no endereço: Av. </w:t>
      </w:r>
      <w:r>
        <w:rPr>
          <w:rFonts w:cs="Times New Roman"/>
          <w:b/>
          <w:bCs/>
          <w:sz w:val="22"/>
          <w:szCs w:val="22"/>
        </w:rPr>
        <w:t xml:space="preserve">Angelo</w:t>
      </w:r>
      <w:r>
        <w:rPr>
          <w:rFonts w:cs="Times New Roman"/>
          <w:b/>
          <w:bCs/>
          <w:sz w:val="22"/>
          <w:szCs w:val="22"/>
        </w:rPr>
        <w:t xml:space="preserve"> </w:t>
      </w:r>
      <w:r>
        <w:rPr>
          <w:rFonts w:cs="Times New Roman"/>
          <w:b/>
          <w:bCs/>
          <w:sz w:val="22"/>
          <w:szCs w:val="22"/>
        </w:rPr>
        <w:t xml:space="preserve">Thum</w:t>
      </w:r>
      <w:r>
        <w:rPr>
          <w:rFonts w:cs="Times New Roman"/>
          <w:b/>
          <w:bCs/>
          <w:sz w:val="22"/>
          <w:szCs w:val="22"/>
        </w:rPr>
        <w:t xml:space="preserve">, 181 - Jardim Monte Libano, Rondonópolis - MT, 78710-272.</w:t>
      </w:r>
      <w:r>
        <w:rPr>
          <w:rFonts w:cs="Times New Roman"/>
          <w:b/>
          <w:bCs/>
          <w:sz w:val="22"/>
          <w:szCs w:val="22"/>
        </w:rPr>
      </w:r>
      <w:r>
        <w:rPr>
          <w:rFonts w:cs="Times New Roman"/>
          <w:b/>
          <w:bCs/>
          <w:sz w:val="22"/>
          <w:szCs w:val="22"/>
        </w:rPr>
      </w:r>
    </w:p>
    <w:p w14:paraId="6BE4D87B">
      <w:pPr>
        <w:pStyle w:val="2312"/>
        <w:numPr>
          <w:ilvl w:val="0"/>
          <w:numId w:val="0"/>
        </w:numPr>
        <w:pBdr/>
        <w:tabs>
          <w:tab w:val="left" w:leader="none" w:pos="2271"/>
        </w:tabs>
        <w:spacing/>
        <w:ind/>
        <w:jc w:val="both"/>
        <w:rPr>
          <w:b/>
          <w:bCs/>
          <w:color w:val="000000" w:themeColor="text1"/>
          <w:szCs w:val="24"/>
        </w:rPr>
      </w:pPr>
      <w:r>
        <w:rPr>
          <w:b/>
          <w:bCs/>
          <w:color w:val="000000" w:themeColor="text1"/>
          <w:szCs w:val="24"/>
        </w:rPr>
        <w:t xml:space="preserve">4.8. Critérios de ordem técnica: </w:t>
      </w:r>
      <w:r>
        <w:rPr>
          <w:b/>
          <w:bCs/>
          <w:color w:val="000000" w:themeColor="text1"/>
          <w:szCs w:val="24"/>
        </w:rPr>
      </w:r>
      <w:r>
        <w:rPr>
          <w:b/>
          <w:bCs/>
          <w:color w:val="000000" w:themeColor="text1"/>
          <w:szCs w:val="24"/>
        </w:rPr>
      </w:r>
    </w:p>
    <w:p w14:paraId="3C5C312E">
      <w:pPr>
        <w:pStyle w:val="2312"/>
        <w:numPr>
          <w:ilvl w:val="0"/>
          <w:numId w:val="0"/>
        </w:numPr>
        <w:pBdr/>
        <w:tabs>
          <w:tab w:val="left" w:leader="none" w:pos="2271"/>
        </w:tabs>
        <w:spacing/>
        <w:ind/>
        <w:jc w:val="both"/>
        <w:rPr>
          <w:color w:val="000000" w:themeColor="text1"/>
          <w:sz w:val="22"/>
          <w:szCs w:val="22"/>
        </w:rPr>
      </w:pPr>
      <w:r>
        <w:rPr>
          <w:b/>
          <w:bCs/>
          <w:color w:val="000000" w:themeColor="text1"/>
          <w:szCs w:val="24"/>
        </w:rPr>
        <w:t xml:space="preserve">4.8.1. </w:t>
      </w:r>
      <w:r>
        <w:rPr>
          <w:color w:val="000000" w:themeColor="text1"/>
          <w:sz w:val="22"/>
          <w:szCs w:val="22"/>
        </w:rPr>
        <w:t xml:space="preserve">Os materiais e equipamentos de fisioterapia a serem adquiridos</w:t>
      </w:r>
      <w:r>
        <w:rPr>
          <w:color w:val="000000" w:themeColor="text1"/>
          <w:sz w:val="22"/>
          <w:szCs w:val="22"/>
        </w:rPr>
        <w:t xml:space="preserve"> deverão atender rigorosamente às especificações técnicas estabelecidas neste Termo de Referência, observando padrões de qualidade, desempenho, segurança e durabilidade compatíveis com o uso contínuo em serviços de saúde. Os materiais deverão ser novos, se</w:t>
      </w:r>
      <w:r>
        <w:rPr>
          <w:color w:val="000000" w:themeColor="text1"/>
          <w:sz w:val="22"/>
          <w:szCs w:val="22"/>
        </w:rPr>
        <w:t xml:space="preserve">m uso, fabricados em conformidade com as normas técnicas e regulamentares vigentes, incluindo, quando aplicável, as normas da Agência Nacional de Vigilância Sanitária – ANVISA, da Associação Brasileira de Normas Técnicas – ABNT e demais órgãos competentes.</w:t>
      </w:r>
      <w:r>
        <w:rPr>
          <w:color w:val="000000" w:themeColor="text1"/>
          <w:sz w:val="22"/>
          <w:szCs w:val="22"/>
        </w:rPr>
      </w:r>
      <w:r>
        <w:rPr>
          <w:color w:val="000000" w:themeColor="text1"/>
          <w:sz w:val="22"/>
          <w:szCs w:val="22"/>
        </w:rPr>
      </w:r>
    </w:p>
    <w:p w14:paraId="5174820D">
      <w:pPr>
        <w:pStyle w:val="2312"/>
        <w:numPr>
          <w:ilvl w:val="0"/>
          <w:numId w:val="0"/>
        </w:numPr>
        <w:pBdr/>
        <w:tabs>
          <w:tab w:val="left" w:leader="none" w:pos="2271"/>
        </w:tabs>
        <w:spacing/>
        <w:ind/>
        <w:jc w:val="both"/>
        <w:rPr>
          <w:color w:val="000000" w:themeColor="text1"/>
          <w:sz w:val="22"/>
          <w:szCs w:val="22"/>
        </w:rPr>
      </w:pPr>
      <w:r>
        <w:rPr>
          <w:b/>
          <w:bCs/>
          <w:color w:val="000000" w:themeColor="text1"/>
          <w:sz w:val="22"/>
          <w:szCs w:val="22"/>
        </w:rPr>
        <w:t xml:space="preserve">4.8.2.</w:t>
      </w:r>
      <w:r>
        <w:rPr>
          <w:color w:val="000000" w:themeColor="text1"/>
          <w:sz w:val="22"/>
          <w:szCs w:val="22"/>
        </w:rPr>
        <w:t xml:space="preserve"> As especificações técnicas deverão permitir a comparação objetiva entre as propostas, vedadas exigências excessivas, desnecessárias ou restritivas à competitividade, assegurando a seleção da proposta m</w:t>
      </w:r>
      <w:r>
        <w:rPr>
          <w:color w:val="000000" w:themeColor="text1"/>
          <w:sz w:val="22"/>
          <w:szCs w:val="22"/>
        </w:rPr>
        <w:t xml:space="preserve">ais vantajosa para a Administração. Os materiais deverão ser produzidos com matérias-primas adequadas, apresentar resistência compatível com a finalidade a que se destinam e garantir segurança tanto aos pacientes quanto aos profissionais que os utilizarem.</w:t>
      </w:r>
      <w:r>
        <w:rPr>
          <w:color w:val="000000" w:themeColor="text1"/>
          <w:sz w:val="22"/>
          <w:szCs w:val="22"/>
        </w:rPr>
      </w:r>
      <w:r>
        <w:rPr>
          <w:color w:val="000000" w:themeColor="text1"/>
          <w:sz w:val="22"/>
          <w:szCs w:val="22"/>
        </w:rPr>
      </w:r>
    </w:p>
    <w:p w14:paraId="48A24B4B">
      <w:pPr>
        <w:pStyle w:val="2312"/>
        <w:numPr>
          <w:ilvl w:val="0"/>
          <w:numId w:val="0"/>
        </w:numPr>
        <w:pBdr/>
        <w:tabs>
          <w:tab w:val="left" w:leader="none" w:pos="2271"/>
        </w:tabs>
        <w:spacing/>
        <w:ind/>
        <w:jc w:val="both"/>
        <w:rPr>
          <w:color w:val="000000" w:themeColor="text1"/>
          <w:sz w:val="22"/>
          <w:szCs w:val="22"/>
        </w:rPr>
      </w:pPr>
      <w:r>
        <w:rPr>
          <w:b/>
          <w:bCs/>
          <w:color w:val="000000" w:themeColor="text1"/>
          <w:sz w:val="22"/>
          <w:szCs w:val="22"/>
        </w:rPr>
        <w:t xml:space="preserve">4.8.3.</w:t>
      </w:r>
      <w:r>
        <w:rPr>
          <w:color w:val="000000" w:themeColor="text1"/>
          <w:sz w:val="22"/>
          <w:szCs w:val="22"/>
        </w:rPr>
        <w:t xml:space="preserve"> Quando se tratar de equipamentos, deverão apresentar desempenho adequado, facilidade de operação, compatibilidade com a infraestrutura existente e, quando </w:t>
      </w:r>
      <w:r>
        <w:rPr>
          <w:color w:val="000000" w:themeColor="text1"/>
          <w:sz w:val="22"/>
          <w:szCs w:val="22"/>
        </w:rPr>
        <w:t xml:space="preserve">aplicável, disponibilidade de assistência técnica e peças de reposição no território nacional. Poderá ser exigida a apresentação de catálogos, manuais técnicos ou fichas técnicas dos produtos, a fim de comprovar o atendimento às especificações solicitadas.</w:t>
      </w:r>
      <w:r>
        <w:rPr>
          <w:color w:val="000000" w:themeColor="text1"/>
          <w:sz w:val="22"/>
          <w:szCs w:val="22"/>
        </w:rPr>
      </w:r>
      <w:r>
        <w:rPr>
          <w:color w:val="000000" w:themeColor="text1"/>
          <w:sz w:val="22"/>
          <w:szCs w:val="22"/>
        </w:rPr>
      </w:r>
    </w:p>
    <w:p w14:paraId="2F84256C">
      <w:pPr>
        <w:pStyle w:val="2312"/>
        <w:numPr>
          <w:ilvl w:val="0"/>
          <w:numId w:val="0"/>
        </w:numPr>
        <w:pBdr/>
        <w:tabs>
          <w:tab w:val="left" w:leader="none" w:pos="2271"/>
        </w:tabs>
        <w:spacing/>
        <w:ind/>
        <w:jc w:val="both"/>
        <w:rPr>
          <w:color w:val="000000" w:themeColor="text1"/>
          <w:sz w:val="22"/>
          <w:szCs w:val="22"/>
        </w:rPr>
      </w:pPr>
      <w:r>
        <w:rPr>
          <w:b/>
          <w:bCs/>
          <w:color w:val="000000" w:themeColor="text1"/>
          <w:sz w:val="22"/>
          <w:szCs w:val="22"/>
        </w:rPr>
        <w:t xml:space="preserve">4.8.4.</w:t>
      </w:r>
      <w:r>
        <w:rPr>
          <w:color w:val="000000" w:themeColor="text1"/>
          <w:sz w:val="22"/>
          <w:szCs w:val="22"/>
        </w:rPr>
        <w:t xml:space="preserve"> A Administração reserva-se o direito de realizar a conferência técnica dos materiais entregues, bem como testes ou avaliações, qua</w:t>
      </w:r>
      <w:r>
        <w:rPr>
          <w:color w:val="000000" w:themeColor="text1"/>
          <w:sz w:val="22"/>
          <w:szCs w:val="22"/>
        </w:rPr>
        <w:t xml:space="preserve">ndo necessário, para verificar a conformidade com os critérios técnicos definidos. O não atendimento às exigências técnicas estabelecidas implicará a rejeição do produto, sem prejuízo das sanções previstas na legislação vigente e no instrumento contratual.</w:t>
      </w:r>
      <w:r>
        <w:rPr>
          <w:color w:val="000000" w:themeColor="text1"/>
          <w:sz w:val="22"/>
          <w:szCs w:val="22"/>
        </w:rPr>
      </w:r>
      <w:r>
        <w:rPr>
          <w:color w:val="000000" w:themeColor="text1"/>
          <w:sz w:val="22"/>
          <w:szCs w:val="22"/>
        </w:rPr>
      </w:r>
    </w:p>
    <w:p w14:paraId="083B58DE">
      <w:pPr>
        <w:pStyle w:val="2312"/>
        <w:numPr>
          <w:ilvl w:val="0"/>
          <w:numId w:val="0"/>
        </w:numPr>
        <w:pBdr/>
        <w:tabs>
          <w:tab w:val="left" w:leader="none" w:pos="2271"/>
        </w:tabs>
        <w:spacing/>
        <w:ind/>
        <w:jc w:val="both"/>
        <w:rPr>
          <w:b/>
          <w:bCs/>
          <w:color w:val="ff0000"/>
          <w:sz w:val="10"/>
          <w:szCs w:val="10"/>
          <w:highlight w:val="yellow"/>
        </w:rPr>
      </w:pPr>
      <w:r>
        <w:rPr>
          <w:b/>
          <w:bCs/>
          <w:color w:val="ff0000"/>
          <w:sz w:val="10"/>
          <w:szCs w:val="10"/>
          <w:highlight w:val="yellow"/>
        </w:rPr>
      </w:r>
      <w:r>
        <w:rPr>
          <w:b/>
          <w:bCs/>
          <w:color w:val="ff0000"/>
          <w:sz w:val="10"/>
          <w:szCs w:val="10"/>
          <w:highlight w:val="yellow"/>
        </w:rPr>
      </w:r>
      <w:r>
        <w:rPr>
          <w:b/>
          <w:bCs/>
          <w:color w:val="ff0000"/>
          <w:sz w:val="10"/>
          <w:szCs w:val="10"/>
          <w:highlight w:val="yellow"/>
        </w:rPr>
      </w:r>
    </w:p>
    <w:p w14:paraId="240B3307">
      <w:pPr>
        <w:pBdr/>
        <w:shd w:val="clear" w:color="auto" w:fill="cccccc"/>
        <w:spacing/>
        <w:ind/>
        <w:jc w:val="both"/>
        <w:rPr/>
      </w:pPr>
      <w:r>
        <w:rPr>
          <w:rFonts w:ascii="Times New Roman" w:hAnsi="Times New Roman" w:cs="Times New Roman"/>
          <w:b/>
          <w:bCs/>
        </w:rPr>
        <w:t xml:space="preserve">5 – MODELO DE EXECUÇÃO DO OBJETO</w:t>
      </w:r>
      <w:r/>
    </w:p>
    <w:p w14:paraId="65373192">
      <w:pPr>
        <w:pBdr/>
        <w:spacing/>
        <w:ind/>
        <w:jc w:val="both"/>
        <w:rPr>
          <w:rFonts w:ascii="Times New Roman" w:hAnsi="Times New Roman" w:cs="Times New Roman"/>
          <w:b/>
          <w:bCs/>
          <w:sz w:val="10"/>
          <w:szCs w:val="10"/>
        </w:rPr>
      </w:pPr>
      <w:r>
        <w:rPr>
          <w:rFonts w:ascii="Times New Roman" w:hAnsi="Times New Roman" w:cs="Times New Roman"/>
          <w:b/>
          <w:bCs/>
          <w:sz w:val="10"/>
          <w:szCs w:val="10"/>
        </w:rPr>
      </w:r>
      <w:r>
        <w:rPr>
          <w:rFonts w:ascii="Times New Roman" w:hAnsi="Times New Roman" w:cs="Times New Roman"/>
          <w:b/>
          <w:bCs/>
          <w:sz w:val="10"/>
          <w:szCs w:val="10"/>
        </w:rPr>
      </w:r>
      <w:r>
        <w:rPr>
          <w:rFonts w:ascii="Times New Roman" w:hAnsi="Times New Roman" w:cs="Times New Roman"/>
          <w:b/>
          <w:bCs/>
          <w:sz w:val="10"/>
          <w:szCs w:val="10"/>
        </w:rPr>
      </w:r>
    </w:p>
    <w:p w14:paraId="1F4A11BC">
      <w:pPr>
        <w:pBdr/>
        <w:spacing/>
        <w:ind/>
        <w:jc w:val="both"/>
        <w:rPr>
          <w:rFonts w:ascii="Times New Roman" w:hAnsi="Times New Roman" w:cs="Times New Roman"/>
          <w:b/>
          <w:bCs/>
        </w:rPr>
      </w:pPr>
      <w:r>
        <w:rPr>
          <w:rFonts w:ascii="Times New Roman" w:hAnsi="Times New Roman" w:cs="Times New Roman"/>
          <w:b/>
          <w:bCs/>
          <w:lang w:val="pt-BR"/>
        </w:rPr>
        <w:t xml:space="preserve">5.1. </w:t>
      </w:r>
      <w:r>
        <w:rPr>
          <w:rFonts w:ascii="Times New Roman" w:hAnsi="Times New Roman" w:cs="Times New Roman"/>
          <w:b/>
          <w:bCs/>
        </w:rPr>
        <w:t xml:space="preserve">Forma de fornecimento e condições de entrega: </w:t>
      </w:r>
      <w:r>
        <w:rPr>
          <w:rFonts w:ascii="Times New Roman" w:hAnsi="Times New Roman" w:cs="Times New Roman"/>
          <w:b/>
          <w:bCs/>
        </w:rPr>
      </w:r>
      <w:r>
        <w:rPr>
          <w:rFonts w:ascii="Times New Roman" w:hAnsi="Times New Roman" w:cs="Times New Roman"/>
          <w:b/>
          <w:bCs/>
        </w:rPr>
      </w:r>
    </w:p>
    <w:p w14:paraId="73FBAD13">
      <w:pPr>
        <w:pBdr/>
        <w:spacing/>
        <w:ind/>
        <w:jc w:val="both"/>
        <w:rPr>
          <w:rFonts w:ascii="Times New Roman" w:hAnsi="Times New Roman" w:cs="Times New Roman"/>
        </w:rPr>
      </w:pPr>
      <w:r>
        <w:rPr>
          <w:rFonts w:ascii="Times New Roman" w:hAnsi="Times New Roman" w:cs="Times New Roman"/>
          <w:b/>
          <w:bCs/>
          <w:lang w:val="pt-BR"/>
        </w:rPr>
        <w:t xml:space="preserve">5.1.1</w:t>
      </w:r>
      <w:r>
        <w:rPr>
          <w:rFonts w:ascii="Times New Roman" w:hAnsi="Times New Roman" w:cs="Times New Roman"/>
          <w:lang w:val="pt-BR"/>
        </w:rPr>
        <w:t xml:space="preserve">. </w:t>
      </w:r>
      <w:r>
        <w:rPr>
          <w:rFonts w:ascii="Times New Roman" w:hAnsi="Times New Roman" w:cs="Times New Roman"/>
        </w:rPr>
        <w:t xml:space="preserve">O prazo máximo de entrega do(s) bem(ns) é de 20 (vinte) dias corridos, contados a partir do recebimento do</w:t>
      </w:r>
      <w:r>
        <w:rPr>
          <w:rFonts w:ascii="Times New Roman" w:hAnsi="Times New Roman" w:cs="Times New Roman"/>
          <w:b/>
          <w:bCs/>
        </w:rPr>
        <w:t xml:space="preserve"> </w:t>
      </w:r>
      <w:r>
        <w:rPr>
          <w:rFonts w:ascii="Times New Roman" w:hAnsi="Times New Roman" w:cs="Times New Roman"/>
        </w:rPr>
        <w:t xml:space="preserve">contrato</w:t>
      </w:r>
      <w:r>
        <w:rPr>
          <w:rFonts w:ascii="Times New Roman" w:hAnsi="Times New Roman" w:cs="Times New Roman"/>
          <w:b/>
          <w:bCs/>
        </w:rPr>
        <w:t xml:space="preserve"> </w:t>
      </w:r>
      <w:r>
        <w:rPr>
          <w:rFonts w:ascii="Times New Roman" w:hAnsi="Times New Roman" w:cs="Times New Roman"/>
        </w:rPr>
        <w:t xml:space="preserve">ou outro instrumento hábil pelo Detentor.</w:t>
      </w:r>
      <w:r>
        <w:rPr>
          <w:rFonts w:ascii="Times New Roman" w:hAnsi="Times New Roman" w:cs="Times New Roman"/>
        </w:rPr>
      </w:r>
      <w:r>
        <w:rPr>
          <w:rFonts w:ascii="Times New Roman" w:hAnsi="Times New Roman" w:cs="Times New Roman"/>
        </w:rPr>
      </w:r>
    </w:p>
    <w:p w14:paraId="721D863D">
      <w:pPr>
        <w:pBdr/>
        <w:spacing/>
        <w:ind/>
        <w:jc w:val="both"/>
        <w:rPr>
          <w:rFonts w:ascii="Times New Roman" w:hAnsi="Times New Roman" w:cs="Times New Roman"/>
        </w:rPr>
      </w:pPr>
      <w:r>
        <w:rPr>
          <w:rFonts w:ascii="Times New Roman" w:hAnsi="Times New Roman" w:cs="Times New Roman"/>
          <w:b/>
          <w:bCs/>
          <w:lang w:val="pt-BR"/>
        </w:rPr>
        <w:t xml:space="preserve">5.1.2. </w:t>
      </w:r>
      <w:r>
        <w:rPr>
          <w:rFonts w:ascii="Times New Roman" w:hAnsi="Times New Roman" w:cs="Times New Roman"/>
        </w:rPr>
        <w:t xml:space="preserve">As aqui</w:t>
      </w:r>
      <w:r>
        <w:rPr>
          <w:rFonts w:ascii="Times New Roman" w:hAnsi="Times New Roman" w:cs="Times New Roman"/>
        </w:rPr>
        <w:t xml:space="preserve">sições que, extraordinariamente, extrapolarem o período fixado no cronograma, após autorizadas, deverão ser atendidas pelo Detentor, no prazo máximo discriminado acima deste TR, a partir da data do recebimento da Nota de Empenho ou outro instrumento hábil.</w:t>
      </w:r>
      <w:r>
        <w:rPr>
          <w:rFonts w:ascii="Times New Roman" w:hAnsi="Times New Roman" w:cs="Times New Roman"/>
        </w:rPr>
      </w:r>
      <w:r>
        <w:rPr>
          <w:rFonts w:ascii="Times New Roman" w:hAnsi="Times New Roman" w:cs="Times New Roman"/>
        </w:rPr>
      </w:r>
    </w:p>
    <w:p w14:paraId="57259FAD">
      <w:pPr>
        <w:pBdr/>
        <w:spacing/>
        <w:ind/>
        <w:jc w:val="both"/>
        <w:rPr>
          <w:rFonts w:ascii="Times New Roman" w:hAnsi="Times New Roman" w:cs="Times New Roman"/>
        </w:rPr>
      </w:pPr>
      <w:r>
        <w:rPr>
          <w:rFonts w:ascii="Times New Roman" w:hAnsi="Times New Roman" w:cs="Times New Roman"/>
          <w:b/>
          <w:bCs/>
          <w:lang w:val="pt-BR"/>
        </w:rPr>
        <w:t xml:space="preserve">5.1.3</w:t>
      </w:r>
      <w:r>
        <w:rPr>
          <w:rFonts w:ascii="Times New Roman" w:hAnsi="Times New Roman" w:cs="Times New Roman"/>
          <w:lang w:val="pt-BR"/>
        </w:rPr>
        <w:t xml:space="preserve">. </w:t>
      </w:r>
      <w:r>
        <w:rPr>
          <w:rFonts w:ascii="Times New Roman" w:hAnsi="Times New Roman" w:cs="Times New Roman"/>
        </w:rPr>
        <w:t xml:space="preserve">Os locais de entrega, serão os indicados na Nota de Empenho ou outro instrumento hábil.</w:t>
      </w:r>
      <w:r>
        <w:rPr>
          <w:rFonts w:ascii="Times New Roman" w:hAnsi="Times New Roman" w:cs="Times New Roman"/>
        </w:rPr>
      </w:r>
      <w:r>
        <w:rPr>
          <w:rFonts w:ascii="Times New Roman" w:hAnsi="Times New Roman" w:cs="Times New Roman"/>
        </w:rPr>
      </w:r>
    </w:p>
    <w:p w14:paraId="386BC63A">
      <w:pPr>
        <w:pBdr/>
        <w:spacing/>
        <w:ind/>
        <w:jc w:val="both"/>
        <w:rPr>
          <w:rFonts w:ascii="Times New Roman" w:hAnsi="Times New Roman" w:cs="Times New Roman"/>
        </w:rPr>
      </w:pPr>
      <w:r>
        <w:rPr>
          <w:rFonts w:ascii="Times New Roman" w:hAnsi="Times New Roman" w:cs="Times New Roman"/>
          <w:b/>
          <w:bCs/>
          <w:lang w:val="pt-BR"/>
        </w:rPr>
        <w:t xml:space="preserve">5.1.4. </w:t>
      </w:r>
      <w:r>
        <w:rPr>
          <w:rFonts w:ascii="Times New Roman" w:hAnsi="Times New Roman" w:cs="Times New Roman"/>
        </w:rPr>
        <w:t xml:space="preserve">Durante a execução do fornecimento, os locais de entrega poderão sofrer modificações, a critério da Administração Pública, dentro do perímetro urbano do Município de Rondonópolis, conforme descrito na Nota de Empenho ou outro instrumento hábil.</w:t>
      </w:r>
      <w:r>
        <w:rPr>
          <w:rFonts w:ascii="Times New Roman" w:hAnsi="Times New Roman" w:cs="Times New Roman"/>
        </w:rPr>
      </w:r>
      <w:r>
        <w:rPr>
          <w:rFonts w:ascii="Times New Roman" w:hAnsi="Times New Roman" w:cs="Times New Roman"/>
        </w:rPr>
      </w:r>
    </w:p>
    <w:p w14:paraId="71A9283D">
      <w:pPr>
        <w:pBdr/>
        <w:spacing/>
        <w:ind/>
        <w:jc w:val="both"/>
        <w:rPr>
          <w:rFonts w:ascii="Times New Roman" w:hAnsi="Times New Roman" w:cs="Times New Roman"/>
        </w:rPr>
      </w:pPr>
      <w:r>
        <w:rPr>
          <w:rFonts w:ascii="Times New Roman" w:hAnsi="Times New Roman" w:cs="Times New Roman"/>
          <w:b/>
          <w:bCs/>
          <w:lang w:val="pt-BR"/>
        </w:rPr>
        <w:t xml:space="preserve">5.1.5</w:t>
      </w:r>
      <w:r>
        <w:rPr>
          <w:rFonts w:ascii="Times New Roman" w:hAnsi="Times New Roman" w:cs="Times New Roman"/>
          <w:lang w:val="pt-BR"/>
        </w:rPr>
        <w:t xml:space="preserve">. </w:t>
      </w:r>
      <w:r>
        <w:rPr>
          <w:rFonts w:ascii="Times New Roman" w:hAnsi="Times New Roman" w:cs="Times New Roman"/>
        </w:rPr>
        <w:t xml:space="preserve">O(s) produto(s) deverá(ão) ser descarregado(s) e entregue(s) no </w:t>
      </w:r>
      <w:r>
        <w:rPr>
          <w:rFonts w:ascii="Times New Roman" w:hAnsi="Times New Roman" w:cs="Times New Roman"/>
          <w:b/>
          <w:bCs/>
          <w:sz w:val="20"/>
          <w:szCs w:val="20"/>
        </w:rPr>
        <w:t xml:space="preserve">ALMOXARIFADO DA SECRETARIA MUNCIPAL DE SAÚDE</w:t>
      </w:r>
      <w:r>
        <w:rPr>
          <w:rFonts w:ascii="Times New Roman" w:hAnsi="Times New Roman" w:cs="Times New Roman"/>
          <w:b/>
          <w:bCs/>
        </w:rPr>
        <w:t xml:space="preserve"> seguindo o itinerário: segunda a sexta feira das 07:00 as 11:00 horas e das 13:00 as 17:00 horas, no endereço: Av. Angelo Thum, 181 - Jardim Monte Libano, Rondonópolis - MT, 78710-272. </w:t>
      </w:r>
      <w:r>
        <w:rPr>
          <w:rFonts w:ascii="Times New Roman" w:hAnsi="Times New Roman" w:cs="Times New Roman"/>
        </w:rPr>
      </w:r>
      <w:r>
        <w:rPr>
          <w:rFonts w:ascii="Times New Roman" w:hAnsi="Times New Roman" w:cs="Times New Roman"/>
        </w:rPr>
      </w:r>
    </w:p>
    <w:p w14:paraId="6BD0D244">
      <w:pPr>
        <w:pBdr/>
        <w:spacing/>
        <w:ind/>
        <w:jc w:val="both"/>
        <w:rPr>
          <w:rFonts w:ascii="Times New Roman" w:hAnsi="Times New Roman" w:cs="Times New Roman"/>
        </w:rPr>
      </w:pPr>
      <w:r>
        <w:rPr>
          <w:rFonts w:ascii="Times New Roman" w:hAnsi="Times New Roman" w:cs="Times New Roman"/>
          <w:b/>
          <w:bCs/>
          <w:lang w:val="pt-BR"/>
        </w:rPr>
        <w:t xml:space="preserve">5.1.6.  </w:t>
      </w:r>
      <w:r>
        <w:rPr>
          <w:rFonts w:ascii="Times New Roman" w:hAnsi="Times New Roman" w:cs="Times New Roman"/>
        </w:rPr>
        <w:t xml:space="preserve">O(s) produto(s) deverá(ão) ser entregue(s) em sua(s) embalagem(ns) original(is) e individual(is), dentro da mais perfeita integridade, ou seja, sem avarias e/ou danos no manuseio.</w:t>
      </w:r>
      <w:r>
        <w:rPr>
          <w:rFonts w:ascii="Times New Roman" w:hAnsi="Times New Roman" w:cs="Times New Roman"/>
        </w:rPr>
      </w:r>
      <w:r>
        <w:rPr>
          <w:rFonts w:ascii="Times New Roman" w:hAnsi="Times New Roman" w:cs="Times New Roman"/>
        </w:rPr>
      </w:r>
    </w:p>
    <w:p w14:paraId="37BD645B">
      <w:pPr>
        <w:pBdr/>
        <w:spacing/>
        <w:ind/>
        <w:jc w:val="both"/>
        <w:rPr>
          <w:rFonts w:ascii="Times New Roman" w:hAnsi="Times New Roman" w:cs="Times New Roman"/>
        </w:rPr>
      </w:pPr>
      <w:r>
        <w:rPr>
          <w:rFonts w:ascii="Times New Roman" w:hAnsi="Times New Roman" w:cs="Times New Roman"/>
          <w:b/>
          <w:bCs/>
          <w:lang w:val="pt-BR"/>
        </w:rPr>
        <w:t xml:space="preserve">5.1.7</w:t>
      </w:r>
      <w:r>
        <w:rPr>
          <w:rFonts w:ascii="Times New Roman" w:hAnsi="Times New Roman" w:cs="Times New Roman"/>
          <w:lang w:val="pt-BR"/>
        </w:rPr>
        <w:t xml:space="preserve">. </w:t>
      </w:r>
      <w:r>
        <w:rPr>
          <w:rFonts w:ascii="Times New Roman" w:hAnsi="Times New Roman" w:cs="Times New Roman"/>
        </w:rPr>
        <w:t xml:space="preserve">Os produtos dever</w:t>
      </w:r>
      <w:r>
        <w:rPr>
          <w:rFonts w:ascii="Times New Roman" w:hAnsi="Times New Roman" w:cs="Times New Roman"/>
        </w:rPr>
        <w:t xml:space="preserve">ão ser entregues em embalagens adequadas à natureza do(s) mesmo(s), ou seja, que resistam ao peso, à forma e às condições de transporte, garantindo que seja(m) entregue(s) em perfeito estado de conservação e limpeza. O produto danificado não será recebido.</w:t>
      </w:r>
      <w:r>
        <w:rPr>
          <w:rFonts w:ascii="Times New Roman" w:hAnsi="Times New Roman" w:cs="Times New Roman"/>
        </w:rPr>
      </w:r>
      <w:r>
        <w:rPr>
          <w:rFonts w:ascii="Times New Roman" w:hAnsi="Times New Roman" w:cs="Times New Roman"/>
        </w:rPr>
      </w:r>
    </w:p>
    <w:p w14:paraId="435CBE3E">
      <w:pPr>
        <w:pBdr/>
        <w:spacing/>
        <w:ind/>
        <w:jc w:val="both"/>
        <w:rPr>
          <w:rFonts w:ascii="Times New Roman" w:hAnsi="Times New Roman" w:cs="Times New Roman"/>
        </w:rPr>
      </w:pPr>
      <w:r>
        <w:rPr>
          <w:rFonts w:ascii="Times New Roman" w:hAnsi="Times New Roman" w:cs="Times New Roman"/>
          <w:b/>
          <w:bCs/>
          <w:lang w:val="pt-BR"/>
        </w:rPr>
        <w:t xml:space="preserve">5.1.8</w:t>
      </w:r>
      <w:r>
        <w:rPr>
          <w:rFonts w:ascii="Times New Roman" w:hAnsi="Times New Roman" w:cs="Times New Roman"/>
          <w:lang w:val="pt-BR"/>
        </w:rPr>
        <w:t xml:space="preserve">. </w:t>
      </w:r>
      <w:r>
        <w:rPr>
          <w:rFonts w:ascii="Times New Roman" w:hAnsi="Times New Roman" w:cs="Times New Roman"/>
        </w:rPr>
        <w:t xml:space="preserve">Os grupos dos produtos entregues pelo Detentor poderão ser objetos de análise, por amostragem, a critério da Administração Pública, para verificar, a qualquer tempo, a qualidade do produto adquirido. </w:t>
      </w:r>
      <w:r>
        <w:rPr>
          <w:rFonts w:ascii="Times New Roman" w:hAnsi="Times New Roman" w:cs="Times New Roman"/>
        </w:rPr>
      </w:r>
      <w:r>
        <w:rPr>
          <w:rFonts w:ascii="Times New Roman" w:hAnsi="Times New Roman" w:cs="Times New Roman"/>
        </w:rPr>
      </w:r>
    </w:p>
    <w:p w14:paraId="232B0BAF">
      <w:pPr>
        <w:pBdr/>
        <w:spacing/>
        <w:ind/>
        <w:jc w:val="both"/>
        <w:rPr>
          <w:rFonts w:ascii="Times New Roman" w:hAnsi="Times New Roman" w:cs="Times New Roman"/>
        </w:rPr>
      </w:pPr>
      <w:r>
        <w:rPr>
          <w:rFonts w:ascii="Times New Roman" w:hAnsi="Times New Roman" w:cs="Times New Roman"/>
          <w:b/>
          <w:bCs/>
          <w:lang w:val="pt-BR"/>
        </w:rPr>
        <w:t xml:space="preserve">5.1.9.</w:t>
      </w:r>
      <w:r>
        <w:rPr>
          <w:rFonts w:ascii="Times New Roman" w:hAnsi="Times New Roman" w:cs="Times New Roman"/>
          <w:lang w:val="pt-BR"/>
        </w:rPr>
        <w:t xml:space="preserve"> </w:t>
      </w:r>
      <w:r>
        <w:rPr>
          <w:rFonts w:ascii="Times New Roman" w:hAnsi="Times New Roman" w:cs="Times New Roman"/>
        </w:rPr>
        <w:t xml:space="preserve">É vedada, tanto a entrega do(s) produto(s) por parte do Detentor, quanto o recebimento do(s) mesmo(s) pelos órgãos participantes com marca(s) diferente(s) da(s) aprovada(s) e devidamente publicada(s) no Diário Oficial do Município - DIORONDON. </w:t>
      </w:r>
      <w:r>
        <w:rPr>
          <w:rFonts w:ascii="Times New Roman" w:hAnsi="Times New Roman" w:cs="Times New Roman"/>
        </w:rPr>
      </w:r>
      <w:r>
        <w:rPr>
          <w:rFonts w:ascii="Times New Roman" w:hAnsi="Times New Roman" w:cs="Times New Roman"/>
        </w:rPr>
      </w:r>
    </w:p>
    <w:p w14:paraId="1C5889F8">
      <w:pPr>
        <w:pBdr/>
        <w:spacing/>
        <w:ind/>
        <w:jc w:val="both"/>
        <w:rPr>
          <w:rFonts w:ascii="Times New Roman" w:hAnsi="Times New Roman" w:cs="Times New Roman"/>
        </w:rPr>
      </w:pPr>
      <w:r>
        <w:rPr>
          <w:rFonts w:ascii="Times New Roman" w:hAnsi="Times New Roman" w:cs="Times New Roman"/>
          <w:b/>
          <w:bCs/>
          <w:lang w:val="pt-BR"/>
        </w:rPr>
        <w:t xml:space="preserve">5.1.10</w:t>
      </w:r>
      <w:r>
        <w:rPr>
          <w:rFonts w:ascii="Times New Roman" w:hAnsi="Times New Roman" w:cs="Times New Roman"/>
          <w:lang w:val="pt-BR"/>
        </w:rPr>
        <w:t xml:space="preserve">. </w:t>
      </w:r>
      <w:r>
        <w:rPr>
          <w:rFonts w:ascii="Times New Roman" w:hAnsi="Times New Roman" w:cs="Times New Roman"/>
        </w:rPr>
        <w:t xml:space="preserve">O Detentor soment</w:t>
      </w:r>
      <w:r>
        <w:rPr>
          <w:rFonts w:ascii="Times New Roman" w:hAnsi="Times New Roman" w:cs="Times New Roman"/>
        </w:rPr>
        <w:t xml:space="preserve">e poderá entregar o(s) produto(s) nos horários e locais estabelecidos pelos Órgãos Participantes. Também deverá respeitar todas as condições impostas pela legislação para a comercialização do(s) produto(s), além das exigências e padrões definidos neste TR.</w:t>
      </w:r>
      <w:r>
        <w:rPr>
          <w:rFonts w:ascii="Times New Roman" w:hAnsi="Times New Roman" w:cs="Times New Roman"/>
        </w:rPr>
      </w:r>
      <w:r>
        <w:rPr>
          <w:rFonts w:ascii="Times New Roman" w:hAnsi="Times New Roman" w:cs="Times New Roman"/>
        </w:rPr>
      </w:r>
    </w:p>
    <w:p w14:paraId="1E629942">
      <w:pPr>
        <w:pBdr/>
        <w:spacing/>
        <w:ind/>
        <w:jc w:val="both"/>
        <w:rPr>
          <w:rFonts w:ascii="Times New Roman" w:hAnsi="Times New Roman" w:cs="Times New Roman"/>
        </w:rPr>
      </w:pPr>
      <w:r>
        <w:rPr>
          <w:rFonts w:ascii="Times New Roman" w:hAnsi="Times New Roman" w:cs="Times New Roman"/>
          <w:b/>
          <w:bCs/>
          <w:lang w:val="pt-BR"/>
        </w:rPr>
        <w:t xml:space="preserve">5.1.11.  </w:t>
      </w:r>
      <w:r>
        <w:rPr>
          <w:rFonts w:ascii="Times New Roman" w:hAnsi="Times New Roman" w:cs="Times New Roman"/>
        </w:rPr>
        <w:t xml:space="preserve">Garantia técnica, manutenção e/ou assistência técnica </w:t>
      </w:r>
      <w:r>
        <w:rPr>
          <w:rFonts w:ascii="Times New Roman" w:hAnsi="Times New Roman" w:cs="Times New Roman"/>
        </w:rPr>
      </w:r>
      <w:r>
        <w:rPr>
          <w:rFonts w:ascii="Times New Roman" w:hAnsi="Times New Roman" w:cs="Times New Roman"/>
        </w:rPr>
      </w:r>
    </w:p>
    <w:p w14:paraId="3328EA62">
      <w:pPr>
        <w:pBdr/>
        <w:spacing/>
        <w:ind/>
        <w:jc w:val="both"/>
        <w:rPr>
          <w:rFonts w:ascii="Times New Roman" w:hAnsi="Times New Roman" w:eastAsia="SimSun" w:cs="Times New Roman"/>
        </w:rPr>
      </w:pPr>
      <w:r>
        <w:rPr>
          <w:rFonts w:ascii="Times New Roman" w:hAnsi="Times New Roman" w:cs="Times New Roman"/>
          <w:b/>
          <w:bCs/>
          <w:lang w:val="pt-BR"/>
        </w:rPr>
        <w:t xml:space="preserve">5.1.12.  </w:t>
      </w:r>
      <w:r>
        <w:rPr>
          <w:rFonts w:ascii="Times New Roman" w:hAnsi="Times New Roman" w:eastAsia="SimSun" w:cs="Times New Roman"/>
        </w:rPr>
        <w:t xml:space="preserve">O prazo de garantia técnica aplicável</w:t>
      </w:r>
      <w:r>
        <w:rPr>
          <w:rFonts w:ascii="Times New Roman" w:hAnsi="Times New Roman" w:eastAsia="SimSun" w:cs="Times New Roman"/>
        </w:rPr>
        <w:t xml:space="preserve"> aos bens e/ou serviços fornecidos será aquele previsto na Lei nº 8.078, de 11 de setembro de 1990 (Código de Defesa do Consumidor), devendo a contratada observar integralmente as disposições legais pertinentes, bem como as condições, exigências e prazos e</w:t>
      </w:r>
      <w:r>
        <w:rPr>
          <w:rFonts w:ascii="Times New Roman" w:hAnsi="Times New Roman" w:eastAsia="SimSun" w:cs="Times New Roman"/>
        </w:rPr>
        <w:t xml:space="preserve">stabelecidos no instrumento convocatório do Pregão Eletrônico e no respectivo contrato administrativo, abrangendo, quando cabível, as obrigações relativas à manutenção e à assistência técnica, sem prejuízo das demais responsabilidades legais e contratuais.</w:t>
      </w:r>
      <w:r>
        <w:rPr>
          <w:rFonts w:ascii="Times New Roman" w:hAnsi="Times New Roman" w:eastAsia="SimSun" w:cs="Times New Roman"/>
        </w:rPr>
      </w:r>
      <w:r>
        <w:rPr>
          <w:rFonts w:ascii="Times New Roman" w:hAnsi="Times New Roman" w:eastAsia="SimSun" w:cs="Times New Roman"/>
        </w:rPr>
      </w:r>
    </w:p>
    <w:p w14:paraId="409BA5DB">
      <w:pPr>
        <w:pBdr/>
        <w:spacing/>
        <w:ind/>
        <w:jc w:val="both"/>
        <w:rPr>
          <w:rFonts w:ascii="Times New Roman" w:hAnsi="Times New Roman" w:cs="Times New Roman"/>
        </w:rPr>
      </w:pPr>
      <w:r>
        <w:rPr>
          <w:rFonts w:ascii="Times New Roman" w:hAnsi="Times New Roman" w:cs="Times New Roman"/>
          <w:b/>
          <w:bCs/>
          <w:lang w:val="pt-BR"/>
        </w:rPr>
        <w:t xml:space="preserve">5.1.13</w:t>
      </w:r>
      <w:r>
        <w:rPr>
          <w:rFonts w:ascii="Times New Roman" w:hAnsi="Times New Roman" w:cs="Times New Roman"/>
          <w:lang w:val="pt-BR"/>
        </w:rPr>
        <w:t xml:space="preserve">. </w:t>
      </w:r>
      <w:r>
        <w:rPr>
          <w:rFonts w:ascii="Times New Roman" w:hAnsi="Times New Roman" w:cs="Times New Roman"/>
        </w:rPr>
        <w:t xml:space="preserve">O prazo d</w:t>
      </w:r>
      <w:r>
        <w:rPr>
          <w:rFonts w:ascii="Times New Roman" w:hAnsi="Times New Roman" w:cs="Times New Roman"/>
        </w:rPr>
        <w:t xml:space="preserve">e garantia contratual do(s) bem(ns), complementar à garantia legal, será de, no mínimo, 12 (doze) meses, ou pelo prazo fornecido pelo fabricante, se superior, contado a partir do primeiro dia útil subsequente à data do recebimento definitivo do(s) bem(ns).</w:t>
      </w:r>
      <w:r>
        <w:rPr>
          <w:rFonts w:ascii="Times New Roman" w:hAnsi="Times New Roman" w:cs="Times New Roman"/>
        </w:rPr>
      </w:r>
      <w:r>
        <w:rPr>
          <w:rFonts w:ascii="Times New Roman" w:hAnsi="Times New Roman" w:cs="Times New Roman"/>
        </w:rPr>
      </w:r>
    </w:p>
    <w:p w14:paraId="589C2DB9">
      <w:pPr>
        <w:pBdr/>
        <w:spacing/>
        <w:ind/>
        <w:jc w:val="both"/>
        <w:rPr>
          <w:rFonts w:ascii="Times New Roman" w:hAnsi="Times New Roman" w:cs="Times New Roman"/>
        </w:rPr>
      </w:pPr>
      <w:r>
        <w:rPr>
          <w:rFonts w:ascii="Times New Roman" w:hAnsi="Times New Roman" w:cs="Times New Roman"/>
          <w:b/>
          <w:bCs/>
          <w:lang w:val="pt-BR"/>
        </w:rPr>
        <w:t xml:space="preserve">5.1.14</w:t>
      </w:r>
      <w:r>
        <w:rPr>
          <w:rFonts w:ascii="Times New Roman" w:hAnsi="Times New Roman" w:cs="Times New Roman"/>
          <w:lang w:val="pt-BR"/>
        </w:rPr>
        <w:t xml:space="preserve">. </w:t>
      </w:r>
      <w:r>
        <w:rPr>
          <w:rFonts w:ascii="Times New Roman" w:hAnsi="Times New Roman" w:cs="Times New Roman"/>
        </w:rPr>
        <w:t xml:space="preserve">Caso o prazo da garantia oferecida pelo fabricante seja inferior ao estabelecido nesta cláusula, o fornecedor deverá complementar a garantia do(s) bem(ns) ofertado(s) pelo período restante.</w:t>
      </w:r>
      <w:r>
        <w:rPr>
          <w:rFonts w:ascii="Times New Roman" w:hAnsi="Times New Roman" w:cs="Times New Roman"/>
        </w:rPr>
      </w:r>
      <w:r>
        <w:rPr>
          <w:rFonts w:ascii="Times New Roman" w:hAnsi="Times New Roman" w:cs="Times New Roman"/>
        </w:rPr>
      </w:r>
    </w:p>
    <w:p w14:paraId="2E0AB86B">
      <w:pPr>
        <w:pBdr/>
        <w:spacing/>
        <w:ind/>
        <w:jc w:val="both"/>
        <w:rPr>
          <w:rFonts w:ascii="Times New Roman" w:hAnsi="Times New Roman" w:cs="Times New Roman"/>
        </w:rPr>
      </w:pPr>
      <w:r>
        <w:rPr>
          <w:rFonts w:ascii="Times New Roman" w:hAnsi="Times New Roman" w:cs="Times New Roman"/>
          <w:b/>
          <w:bCs/>
          <w:lang w:val="pt-BR"/>
        </w:rPr>
        <w:t xml:space="preserve">5.1.15. </w:t>
      </w:r>
      <w:r>
        <w:rPr>
          <w:rFonts w:ascii="Times New Roman" w:hAnsi="Times New Roman" w:cs="Times New Roman"/>
        </w:rPr>
        <w:t xml:space="preserve">A garantia será prestada com vistas a manter os equipamentos/bens fornecidos em perfeitas condições de uso, sem qualquer ônus ou custo adicional para o Contratante. </w:t>
      </w:r>
      <w:r>
        <w:rPr>
          <w:rFonts w:ascii="Times New Roman" w:hAnsi="Times New Roman" w:cs="Times New Roman"/>
        </w:rPr>
      </w:r>
      <w:r>
        <w:rPr>
          <w:rFonts w:ascii="Times New Roman" w:hAnsi="Times New Roman" w:cs="Times New Roman"/>
        </w:rPr>
      </w:r>
    </w:p>
    <w:p w14:paraId="150F08C7">
      <w:pPr>
        <w:pBdr/>
        <w:spacing/>
        <w:ind/>
        <w:jc w:val="both"/>
        <w:rPr>
          <w:rFonts w:ascii="Times New Roman" w:hAnsi="Times New Roman" w:cs="Times New Roman"/>
        </w:rPr>
      </w:pPr>
      <w:r>
        <w:rPr>
          <w:rFonts w:ascii="Times New Roman" w:hAnsi="Times New Roman" w:cs="Times New Roman"/>
          <w:b/>
          <w:bCs/>
          <w:lang w:val="pt-BR"/>
        </w:rPr>
        <w:t xml:space="preserve">5.1.16. </w:t>
      </w:r>
      <w:r>
        <w:rPr>
          <w:rFonts w:ascii="Times New Roman" w:hAnsi="Times New Roman" w:cs="Times New Roman"/>
        </w:rPr>
        <w:t xml:space="preserve">A garantia abrange a realização da manutenção corretiva dos bens pelo próprio Contratado, ou, se for o caso, por meio de assistência técnica autorizada, de acordo com as normas técnicas específicas. </w:t>
      </w:r>
      <w:r>
        <w:rPr>
          <w:rFonts w:ascii="Times New Roman" w:hAnsi="Times New Roman" w:cs="Times New Roman"/>
        </w:rPr>
      </w:r>
      <w:r>
        <w:rPr>
          <w:rFonts w:ascii="Times New Roman" w:hAnsi="Times New Roman" w:cs="Times New Roman"/>
        </w:rPr>
      </w:r>
    </w:p>
    <w:p w14:paraId="4A5780E2">
      <w:pPr>
        <w:pBdr/>
        <w:spacing/>
        <w:ind/>
        <w:jc w:val="both"/>
        <w:rPr>
          <w:rFonts w:ascii="Times New Roman" w:hAnsi="Times New Roman" w:cs="Times New Roman"/>
        </w:rPr>
      </w:pPr>
      <w:r>
        <w:rPr>
          <w:rFonts w:ascii="Times New Roman" w:hAnsi="Times New Roman" w:cs="Times New Roman"/>
          <w:b/>
          <w:bCs/>
          <w:lang w:val="pt-BR"/>
        </w:rPr>
        <w:t xml:space="preserve">5.1.17</w:t>
      </w:r>
      <w:r>
        <w:rPr>
          <w:rFonts w:ascii="Times New Roman" w:hAnsi="Times New Roman" w:cs="Times New Roman"/>
          <w:lang w:val="pt-BR"/>
        </w:rPr>
        <w:t xml:space="preserve">. </w:t>
      </w:r>
      <w:r>
        <w:rPr>
          <w:rFonts w:ascii="Times New Roman" w:hAnsi="Times New Roman" w:cs="Times New Roman"/>
        </w:rPr>
        <w:t xml:space="preserve">Entende-se por manutenção corretiva aquela destinada a corrigir os defeitos apresentados pelos bens, compreendendo a substituição de peças, a realização de ajustes, reparos e correções necessárias. </w:t>
      </w:r>
      <w:r>
        <w:rPr>
          <w:rFonts w:ascii="Times New Roman" w:hAnsi="Times New Roman" w:cs="Times New Roman"/>
        </w:rPr>
      </w:r>
      <w:r>
        <w:rPr>
          <w:rFonts w:ascii="Times New Roman" w:hAnsi="Times New Roman" w:cs="Times New Roman"/>
        </w:rPr>
      </w:r>
    </w:p>
    <w:p w14:paraId="38CB3ACF">
      <w:pPr>
        <w:pBdr/>
        <w:spacing/>
        <w:ind/>
        <w:jc w:val="both"/>
        <w:rPr>
          <w:rFonts w:ascii="Times New Roman" w:hAnsi="Times New Roman" w:cs="Times New Roman"/>
        </w:rPr>
      </w:pPr>
      <w:r>
        <w:rPr>
          <w:rFonts w:ascii="Times New Roman" w:hAnsi="Times New Roman" w:cs="Times New Roman"/>
          <w:b/>
          <w:bCs/>
          <w:lang w:val="pt-BR"/>
        </w:rPr>
        <w:t xml:space="preserve">5.1.18</w:t>
      </w:r>
      <w:r>
        <w:rPr>
          <w:rFonts w:ascii="Times New Roman" w:hAnsi="Times New Roman" w:cs="Times New Roman"/>
          <w:lang w:val="pt-BR"/>
        </w:rPr>
        <w:t xml:space="preserve">. </w:t>
      </w:r>
      <w:r>
        <w:rPr>
          <w:rFonts w:ascii="Times New Roman" w:hAnsi="Times New Roman" w:cs="Times New Roman"/>
        </w:rPr>
        <w:t xml:space="preserve">As peças que aprese</w:t>
      </w:r>
      <w:r>
        <w:rPr>
          <w:rFonts w:ascii="Times New Roman" w:hAnsi="Times New Roman" w:cs="Times New Roman"/>
        </w:rPr>
        <w:t xml:space="preserve">ntarem vício ou defeito no período de vigência da garantia deverão ser substituídas por outras novas, de primeiro uso, e originais, que apresentem padrões de qualidade e desempenho iguais ou superiores aos das peças utilizadas na fabricação do equipamento.</w:t>
      </w:r>
      <w:r>
        <w:rPr>
          <w:rFonts w:ascii="Times New Roman" w:hAnsi="Times New Roman" w:cs="Times New Roman"/>
        </w:rPr>
      </w:r>
      <w:r>
        <w:rPr>
          <w:rFonts w:ascii="Times New Roman" w:hAnsi="Times New Roman" w:cs="Times New Roman"/>
        </w:rPr>
      </w:r>
    </w:p>
    <w:p w14:paraId="18160FD5">
      <w:pPr>
        <w:pBdr/>
        <w:spacing/>
        <w:ind/>
        <w:jc w:val="both"/>
        <w:rPr>
          <w:rFonts w:ascii="Times New Roman" w:hAnsi="Times New Roman" w:cs="Times New Roman"/>
          <w:lang w:val="pt-BR"/>
        </w:rPr>
      </w:pPr>
      <w:r>
        <w:rPr>
          <w:rFonts w:ascii="Times New Roman" w:hAnsi="Times New Roman" w:cs="Times New Roman"/>
          <w:b/>
          <w:bCs/>
          <w:lang w:val="pt-BR"/>
        </w:rPr>
        <w:t xml:space="preserve">5.1.19</w:t>
      </w:r>
      <w:r>
        <w:rPr>
          <w:rFonts w:ascii="Times New Roman" w:hAnsi="Times New Roman" w:cs="Times New Roman"/>
          <w:lang w:val="pt-BR"/>
        </w:rPr>
        <w:t xml:space="preserve">. </w:t>
      </w:r>
      <w:r>
        <w:rPr>
          <w:rFonts w:ascii="Times New Roman" w:hAnsi="Times New Roman" w:cs="Times New Roman"/>
        </w:rPr>
        <w:t xml:space="preserve">Uma ve</w:t>
      </w:r>
      <w:r>
        <w:rPr>
          <w:rFonts w:ascii="Times New Roman" w:hAnsi="Times New Roman" w:cs="Times New Roman"/>
        </w:rPr>
        <w:t xml:space="preserve">z notificado, o Contratado realizará a reparação ou substituição do(s) bem(ns) que apresentar(em) vício ou defeito no prazo de até 05 (cinco) dias úteis, contados a partir da data de retirada do(s) bem(ns) das dependências da Administração pelo Contratado </w:t>
      </w:r>
      <w:r>
        <w:rPr>
          <w:rFonts w:ascii="Times New Roman" w:hAnsi="Times New Roman" w:cs="Times New Roman"/>
          <w:lang w:val="pt-BR"/>
        </w:rPr>
        <w:t xml:space="preserve">.</w:t>
      </w:r>
      <w:r>
        <w:rPr>
          <w:rFonts w:ascii="Times New Roman" w:hAnsi="Times New Roman" w:cs="Times New Roman"/>
          <w:lang w:val="pt-BR"/>
        </w:rPr>
      </w:r>
      <w:r>
        <w:rPr>
          <w:rFonts w:ascii="Times New Roman" w:hAnsi="Times New Roman" w:cs="Times New Roman"/>
          <w:lang w:val="pt-BR"/>
        </w:rPr>
      </w:r>
    </w:p>
    <w:p w14:paraId="522621E5">
      <w:pPr>
        <w:pBdr/>
        <w:spacing/>
        <w:ind/>
        <w:jc w:val="both"/>
        <w:rPr>
          <w:rFonts w:ascii="Times New Roman" w:hAnsi="Times New Roman" w:cs="Times New Roman"/>
        </w:rPr>
      </w:pPr>
      <w:r>
        <w:rPr>
          <w:rFonts w:ascii="Times New Roman" w:hAnsi="Times New Roman" w:cs="Times New Roman"/>
          <w:b/>
          <w:bCs/>
          <w:lang w:val="pt-BR"/>
        </w:rPr>
        <w:t xml:space="preserve">5.1.20. </w:t>
      </w:r>
      <w:r>
        <w:rPr>
          <w:rFonts w:ascii="Times New Roman" w:hAnsi="Times New Roman" w:cs="Times New Roman"/>
        </w:rPr>
        <w:t xml:space="preserve">O prazo indicado no subitem anterior, durante seu transcurso, poderá ser prorrogado mediante solicitação escrita e justificada do Contratado, aceita pelo Contratante. </w:t>
      </w:r>
      <w:r>
        <w:rPr>
          <w:rFonts w:ascii="Times New Roman" w:hAnsi="Times New Roman" w:cs="Times New Roman"/>
        </w:rPr>
      </w:r>
      <w:r>
        <w:rPr>
          <w:rFonts w:ascii="Times New Roman" w:hAnsi="Times New Roman" w:cs="Times New Roman"/>
        </w:rPr>
      </w:r>
    </w:p>
    <w:p w14:paraId="4473481C">
      <w:pPr>
        <w:pBdr/>
        <w:spacing/>
        <w:ind/>
        <w:jc w:val="both"/>
        <w:rPr>
          <w:rFonts w:ascii="Times New Roman" w:hAnsi="Times New Roman" w:cs="Times New Roman"/>
        </w:rPr>
      </w:pPr>
      <w:r>
        <w:rPr>
          <w:rFonts w:ascii="Times New Roman" w:hAnsi="Times New Roman" w:cs="Times New Roman"/>
          <w:b/>
          <w:bCs/>
          <w:lang w:val="pt-BR"/>
        </w:rPr>
        <w:t xml:space="preserve">5.1.21</w:t>
      </w:r>
      <w:r>
        <w:rPr>
          <w:rFonts w:ascii="Times New Roman" w:hAnsi="Times New Roman" w:cs="Times New Roman"/>
          <w:lang w:val="pt-BR"/>
        </w:rPr>
        <w:t xml:space="preserve">. </w:t>
      </w:r>
      <w:r>
        <w:rPr>
          <w:rFonts w:ascii="Times New Roman" w:hAnsi="Times New Roman" w:cs="Times New Roman"/>
        </w:rPr>
        <w:t xml:space="preserve">Na hipótese do subitem acima, o Contratado deverá disponibilizar bem(</w:t>
      </w:r>
      <w:r>
        <w:rPr>
          <w:rFonts w:ascii="Times New Roman" w:hAnsi="Times New Roman" w:cs="Times New Roman"/>
        </w:rPr>
        <w:t xml:space="preserve">ns)  equivalente</w:t>
      </w:r>
      <w:r>
        <w:rPr>
          <w:rFonts w:ascii="Times New Roman" w:hAnsi="Times New Roman" w:cs="Times New Roman"/>
        </w:rPr>
        <w:t xml:space="preserve">(s), de especificação igual ou superior ao(s) anteriormente fornecido(s), para utilização em caráter provisório pelo Contratante, de modo a garantir a continuidade dos trabalhos administrativos durante a execução dos reparos. </w:t>
      </w:r>
      <w:r>
        <w:rPr>
          <w:rFonts w:ascii="Times New Roman" w:hAnsi="Times New Roman" w:cs="Times New Roman"/>
        </w:rPr>
      </w:r>
      <w:r>
        <w:rPr>
          <w:rFonts w:ascii="Times New Roman" w:hAnsi="Times New Roman" w:cs="Times New Roman"/>
        </w:rPr>
      </w:r>
    </w:p>
    <w:p w14:paraId="729B74C9">
      <w:pPr>
        <w:pBdr/>
        <w:spacing/>
        <w:ind/>
        <w:jc w:val="both"/>
        <w:rPr>
          <w:rFonts w:ascii="Times New Roman" w:hAnsi="Times New Roman" w:cs="Times New Roman"/>
        </w:rPr>
      </w:pPr>
      <w:r>
        <w:rPr>
          <w:rFonts w:ascii="Times New Roman" w:hAnsi="Times New Roman" w:cs="Times New Roman"/>
          <w:b/>
          <w:bCs/>
          <w:lang w:val="pt-BR"/>
        </w:rPr>
        <w:t xml:space="preserve">5.1.22</w:t>
      </w:r>
      <w:r>
        <w:rPr>
          <w:rFonts w:ascii="Times New Roman" w:hAnsi="Times New Roman" w:cs="Times New Roman"/>
          <w:lang w:val="pt-BR"/>
        </w:rPr>
        <w:t xml:space="preserve">. </w:t>
      </w:r>
      <w:r>
        <w:rPr>
          <w:rFonts w:ascii="Times New Roman" w:hAnsi="Times New Roman" w:cs="Times New Roman"/>
        </w:rPr>
        <w:t xml:space="preserve">Decorrido o prazo para reparos e substituições sem o atendimento da solicitação do Contratante ou a apresentação de justificativas pelo Contratado, fica o Contratante auto</w:t>
      </w:r>
      <w:r>
        <w:rPr>
          <w:rFonts w:ascii="Times New Roman" w:hAnsi="Times New Roman" w:cs="Times New Roman"/>
        </w:rPr>
        <w:t xml:space="preserve">rizado a contratar empresa diversa para executar os reparos, ajustes ou a substituição do(s) bem(ns) ou de seus componentes, bem como a exigir do Contratado o reembolso pelos custos respectivos, sem que tal fato acarrete a perda da garantia do(s) bem(ns). </w:t>
      </w:r>
      <w:r>
        <w:rPr>
          <w:rFonts w:ascii="Times New Roman" w:hAnsi="Times New Roman" w:cs="Times New Roman"/>
        </w:rPr>
      </w:r>
      <w:r>
        <w:rPr>
          <w:rFonts w:ascii="Times New Roman" w:hAnsi="Times New Roman" w:cs="Times New Roman"/>
        </w:rPr>
      </w:r>
    </w:p>
    <w:p w14:paraId="04853B64">
      <w:pPr>
        <w:pBdr/>
        <w:spacing/>
        <w:ind/>
        <w:jc w:val="both"/>
        <w:rPr>
          <w:rFonts w:ascii="Times New Roman" w:hAnsi="Times New Roman" w:cs="Times New Roman"/>
        </w:rPr>
      </w:pPr>
      <w:r>
        <w:rPr>
          <w:rFonts w:ascii="Times New Roman" w:hAnsi="Times New Roman" w:cs="Times New Roman"/>
          <w:b/>
          <w:bCs/>
          <w:lang w:val="pt-BR"/>
        </w:rPr>
        <w:t xml:space="preserve">5.1.23</w:t>
      </w:r>
      <w:r>
        <w:rPr>
          <w:rFonts w:ascii="Times New Roman" w:hAnsi="Times New Roman" w:cs="Times New Roman"/>
          <w:lang w:val="pt-BR"/>
        </w:rPr>
        <w:t xml:space="preserve">. </w:t>
      </w:r>
      <w:r>
        <w:rPr>
          <w:rFonts w:ascii="Times New Roman" w:hAnsi="Times New Roman" w:cs="Times New Roman"/>
        </w:rPr>
        <w:t xml:space="preserve">O custo referente ao transporte do(s) bem(ns) coberto(s) pela garantia será de responsabilidade do Contratado. </w:t>
      </w:r>
      <w:r>
        <w:rPr>
          <w:rFonts w:ascii="Times New Roman" w:hAnsi="Times New Roman" w:cs="Times New Roman"/>
        </w:rPr>
      </w:r>
      <w:r>
        <w:rPr>
          <w:rFonts w:ascii="Times New Roman" w:hAnsi="Times New Roman" w:cs="Times New Roman"/>
        </w:rPr>
      </w:r>
    </w:p>
    <w:p w14:paraId="034479EA">
      <w:pPr>
        <w:pBdr/>
        <w:spacing/>
        <w:ind/>
        <w:jc w:val="both"/>
        <w:rPr>
          <w:rFonts w:ascii="Times New Roman" w:hAnsi="Times New Roman" w:cs="Times New Roman"/>
        </w:rPr>
      </w:pPr>
      <w:r>
        <w:rPr>
          <w:rFonts w:ascii="Times New Roman" w:hAnsi="Times New Roman" w:cs="Times New Roman"/>
          <w:b/>
          <w:bCs/>
          <w:lang w:val="pt-BR"/>
        </w:rPr>
        <w:t xml:space="preserve">5.1.24. </w:t>
      </w:r>
      <w:r>
        <w:rPr>
          <w:rFonts w:ascii="Times New Roman" w:hAnsi="Times New Roman" w:cs="Times New Roman"/>
        </w:rPr>
        <w:t xml:space="preserve">A garanti</w:t>
      </w:r>
      <w:r>
        <w:rPr>
          <w:rFonts w:ascii="Times New Roman" w:hAnsi="Times New Roman" w:cs="Times New Roman"/>
        </w:rPr>
        <w:t xml:space="preserve">a legal ou contratual do(s) bem(ns) tem prazo de vigência próprio e desvinculado daquele fixado no contrato, permitindo eventual aplicação de penalidades em caso de descumprimento de alguma de suas condições, mesmo depois de expirada a vigência contratual.</w:t>
      </w:r>
      <w:r>
        <w:rPr>
          <w:rFonts w:ascii="Times New Roman" w:hAnsi="Times New Roman" w:cs="Times New Roman"/>
        </w:rPr>
      </w:r>
      <w:r>
        <w:rPr>
          <w:rFonts w:ascii="Times New Roman" w:hAnsi="Times New Roman" w:cs="Times New Roman"/>
        </w:rPr>
      </w:r>
    </w:p>
    <w:p w14:paraId="35D88C64">
      <w:pPr>
        <w:pBdr/>
        <w:spacing/>
        <w:ind/>
        <w:jc w:val="both"/>
        <w:rPr>
          <w:rFonts w:ascii="Times New Roman" w:hAnsi="Times New Roman"/>
        </w:rPr>
      </w:pPr>
      <w:r>
        <w:rPr>
          <w:rFonts w:ascii="Times New Roman" w:hAnsi="Times New Roman"/>
          <w:b/>
          <w:bCs/>
        </w:rPr>
        <w:t xml:space="preserve">5.1.25. </w:t>
      </w:r>
      <w:r>
        <w:rPr>
          <w:rFonts w:ascii="Times New Roman" w:hAnsi="Times New Roman"/>
          <w:b/>
          <w:bCs/>
          <w:lang w:val="pt-BR"/>
        </w:rPr>
        <w:t xml:space="preserve"> </w:t>
      </w:r>
      <w:r>
        <w:rPr>
          <w:rFonts w:ascii="Times New Roman" w:hAnsi="Times New Roman"/>
        </w:rPr>
        <w:t xml:space="preserve">Quantidades mínimas a serem cotadas</w:t>
      </w:r>
      <w:r>
        <w:rPr>
          <w:rFonts w:ascii="Times New Roman" w:hAnsi="Times New Roman"/>
        </w:rPr>
      </w:r>
      <w:r>
        <w:rPr>
          <w:rFonts w:ascii="Times New Roman" w:hAnsi="Times New Roman"/>
        </w:rPr>
      </w:r>
    </w:p>
    <w:p w14:paraId="03368C6B">
      <w:pPr>
        <w:pBdr/>
        <w:spacing/>
        <w:ind/>
        <w:jc w:val="both"/>
        <w:rPr>
          <w:rFonts w:ascii="Times New Roman" w:hAnsi="Times New Roman" w:eastAsia="SimSun" w:cs="Times New Roman"/>
        </w:rPr>
      </w:pPr>
      <w:r>
        <w:rPr>
          <w:rFonts w:ascii="Times New Roman" w:hAnsi="Times New Roman"/>
          <w:b/>
          <w:bCs/>
        </w:rPr>
        <w:t xml:space="preserve">5.1.25.1</w:t>
      </w:r>
      <w:r>
        <w:rPr>
          <w:rFonts w:ascii="Times New Roman" w:hAnsi="Times New Roman"/>
          <w:b/>
          <w:bCs/>
          <w:lang w:val="pt-BR"/>
        </w:rPr>
        <w:t xml:space="preserve">.</w:t>
      </w:r>
      <w:r>
        <w:rPr>
          <w:rFonts w:ascii="Times New Roman" w:hAnsi="Times New Roman"/>
        </w:rPr>
        <w:t xml:space="preserve"> </w:t>
      </w:r>
      <w:r>
        <w:rPr>
          <w:rFonts w:ascii="Times New Roman" w:hAnsi="Times New Roman" w:eastAsia="SimSun" w:cs="Times New Roman"/>
        </w:rPr>
        <w:t xml:space="preserve">Em conformidade com o art. 82, inciso II, da Lei nº 14.133/2021, e com o art. 301, inciso VI, do Decreto nº 11.685/2023, ficam definidos os quantitativos mínimos para a presente contratação, cujo objeto é a </w:t>
      </w:r>
      <w:r>
        <w:rPr>
          <w:rStyle w:val="911"/>
          <w:rFonts w:ascii="Times New Roman" w:hAnsi="Times New Roman" w:eastAsia="SimSun" w:cs="Times New Roman"/>
          <w:b w:val="0"/>
          <w:bCs w:val="0"/>
        </w:rPr>
        <w:t xml:space="preserve">aquisição de</w:t>
      </w:r>
      <w:r>
        <w:rPr>
          <w:rStyle w:val="911"/>
          <w:rFonts w:ascii="Times New Roman" w:hAnsi="Times New Roman" w:eastAsia="SimSun" w:cs="Times New Roman"/>
        </w:rPr>
        <w:t xml:space="preserve"> </w:t>
      </w:r>
      <w:r>
        <w:rPr>
          <w:rStyle w:val="911"/>
          <w:rFonts w:ascii="Times New Roman" w:hAnsi="Times New Roman" w:eastAsia="SimSun" w:cs="Times New Roman"/>
          <w:b w:val="0"/>
          <w:bCs w:val="0"/>
        </w:rPr>
        <w:t xml:space="preserve">materiais de fisioterapia</w:t>
      </w:r>
      <w:r>
        <w:rPr>
          <w:rFonts w:ascii="Times New Roman" w:hAnsi="Times New Roman" w:eastAsia="SimSun" w:cs="Times New Roman"/>
        </w:rPr>
        <w:t xml:space="preserve">, destinados a atender às necessidades das unidades da Secretaria Municipal de Saúde, assegurando a continuidade e a qualidade dos serviços prestados à população.</w:t>
      </w:r>
      <w:r>
        <w:rPr>
          <w:rFonts w:ascii="Times New Roman" w:hAnsi="Times New Roman" w:eastAsia="SimSun" w:cs="Times New Roman"/>
        </w:rPr>
      </w:r>
      <w:r>
        <w:rPr>
          <w:rFonts w:ascii="Times New Roman" w:hAnsi="Times New Roman" w:eastAsia="SimSun" w:cs="Times New Roman"/>
        </w:rPr>
      </w:r>
    </w:p>
    <w:p w14:paraId="0A8DB378">
      <w:pPr>
        <w:pBdr/>
        <w:spacing/>
        <w:ind/>
        <w:jc w:val="both"/>
        <w:rPr>
          <w:rFonts w:ascii="Times New Roman" w:hAnsi="Times New Roman" w:eastAsia="SimSun" w:cs="Times New Roman"/>
          <w:lang w:val="pt-BR"/>
        </w:rPr>
      </w:pPr>
      <w:r>
        <w:rPr>
          <w:rFonts w:ascii="Times New Roman" w:hAnsi="Times New Roman"/>
          <w:b/>
          <w:bCs/>
        </w:rPr>
        <w:t xml:space="preserve">5.1.25.2</w:t>
      </w:r>
      <w:r>
        <w:rPr>
          <w:rFonts w:ascii="Times New Roman" w:hAnsi="Times New Roman"/>
          <w:b/>
          <w:bCs/>
          <w:lang w:val="pt-BR"/>
        </w:rPr>
        <w:t xml:space="preserve">.</w:t>
      </w:r>
      <w:r>
        <w:rPr>
          <w:rFonts w:ascii="Times New Roman" w:hAnsi="Times New Roman" w:cs="Times New Roman"/>
        </w:rPr>
        <w:t xml:space="preserve"> </w:t>
      </w:r>
      <w:r>
        <w:rPr>
          <w:rFonts w:ascii="Times New Roman" w:hAnsi="Times New Roman" w:eastAsia="SimSun" w:cs="Times New Roman"/>
        </w:rPr>
        <w:t xml:space="preserve">Os materiais de fisioterapia objeto da presente contratação classificam-se, predominantemente, como </w:t>
      </w:r>
      <w:r>
        <w:rPr>
          <w:rStyle w:val="911"/>
          <w:rFonts w:ascii="Times New Roman" w:hAnsi="Times New Roman" w:eastAsia="SimSun" w:cs="Times New Roman"/>
          <w:b w:val="0"/>
          <w:bCs w:val="0"/>
        </w:rPr>
        <w:t xml:space="preserve">material de consumo</w:t>
      </w:r>
      <w:r>
        <w:rPr>
          <w:rFonts w:ascii="Times New Roman" w:hAnsi="Times New Roman" w:eastAsia="SimSun" w:cs="Times New Roman"/>
        </w:rPr>
        <w:t xml:space="preserve">, nos termos da legislação vigente, considerando seu uso contínuo, desgaste natural e vida útil limitada, sem prejuízo da eventual aquisição de itens enquadráveis como material permanente, quando aplicável, conforme especificação individual de cada item</w:t>
      </w:r>
      <w:r>
        <w:rPr>
          <w:rFonts w:ascii="Times New Roman" w:hAnsi="Times New Roman" w:eastAsia="SimSun" w:cs="Times New Roman"/>
          <w:lang w:val="pt-BR"/>
        </w:rPr>
        <w:t xml:space="preserve">:</w:t>
      </w:r>
      <w:r>
        <w:rPr>
          <w:rFonts w:ascii="Times New Roman" w:hAnsi="Times New Roman" w:eastAsia="SimSun" w:cs="Times New Roman"/>
          <w:lang w:val="pt-BR"/>
        </w:rPr>
      </w:r>
      <w:r>
        <w:rPr>
          <w:rFonts w:ascii="Times New Roman" w:hAnsi="Times New Roman" w:eastAsia="SimSun" w:cs="Times New Roman"/>
          <w:lang w:val="pt-BR"/>
        </w:rPr>
      </w:r>
    </w:p>
    <w:p w14:paraId="0A8B3406">
      <w:pPr>
        <w:pBdr/>
        <w:spacing/>
        <w:ind/>
        <w:jc w:val="both"/>
        <w:rPr>
          <w:rFonts w:ascii="Times New Roman" w:hAnsi="Times New Roman"/>
        </w:rPr>
      </w:pPr>
      <w:r>
        <w:rPr>
          <w:rFonts w:ascii="Times New Roman" w:hAnsi="Times New Roman"/>
        </w:rPr>
        <w:t xml:space="preserve">a) 10% (dez por cento) do quantitativo total estimado para cada item, conforme definido na planilha de estimativas deste Termo de Referência;</w:t>
      </w:r>
      <w:r>
        <w:rPr>
          <w:rFonts w:ascii="Times New Roman" w:hAnsi="Times New Roman"/>
        </w:rPr>
      </w:r>
      <w:r>
        <w:rPr>
          <w:rFonts w:ascii="Times New Roman" w:hAnsi="Times New Roman"/>
        </w:rPr>
      </w:r>
    </w:p>
    <w:p w14:paraId="764091EC">
      <w:pPr>
        <w:pBdr/>
        <w:spacing/>
        <w:ind/>
        <w:jc w:val="both"/>
        <w:rPr>
          <w:rFonts w:ascii="Times New Roman" w:hAnsi="Times New Roman" w:cs="Times New Roman"/>
        </w:rPr>
      </w:pPr>
      <w:r>
        <w:rPr>
          <w:rFonts w:ascii="Times New Roman" w:hAnsi="Times New Roman"/>
        </w:rPr>
        <w:t xml:space="preserve">b</w:t>
      </w:r>
      <w:r>
        <w:rPr>
          <w:rFonts w:ascii="Times New Roman" w:hAnsi="Times New Roman"/>
        </w:rPr>
        <w:t xml:space="preserve">) os quantitativos mínimos ora fixados deverão constar expressamente no edital e no contrato, constituindo parâmetro obrigatório para a execução do fornecimento, garantindo economicidade, eficiência logística e o integral cumprimento da legislação vigente.</w:t>
      </w:r>
      <w:r>
        <w:rPr>
          <w:rFonts w:ascii="Times New Roman" w:hAnsi="Times New Roman" w:cs="Times New Roman"/>
        </w:rPr>
      </w:r>
      <w:r>
        <w:rPr>
          <w:rFonts w:ascii="Times New Roman" w:hAnsi="Times New Roman" w:cs="Times New Roman"/>
        </w:rPr>
      </w:r>
    </w:p>
    <w:p w14:paraId="45F3B472">
      <w:pPr>
        <w:pBdr/>
        <w:spacing/>
        <w:ind/>
        <w:jc w:val="both"/>
        <w:rPr>
          <w:rFonts w:ascii="Times New Roman" w:hAnsi="Times New Roman" w:cs="Times New Roman"/>
          <w:sz w:val="10"/>
          <w:szCs w:val="10"/>
        </w:rPr>
      </w:pPr>
      <w:r>
        <w:rPr>
          <w:rFonts w:ascii="Times New Roman" w:hAnsi="Times New Roman" w:cs="Times New Roman"/>
          <w:sz w:val="10"/>
          <w:szCs w:val="10"/>
        </w:rPr>
      </w:r>
      <w:r>
        <w:rPr>
          <w:rFonts w:ascii="Times New Roman" w:hAnsi="Times New Roman" w:cs="Times New Roman"/>
          <w:sz w:val="10"/>
          <w:szCs w:val="10"/>
        </w:rPr>
      </w:r>
      <w:r>
        <w:rPr>
          <w:rFonts w:ascii="Times New Roman" w:hAnsi="Times New Roman" w:cs="Times New Roman"/>
          <w:sz w:val="10"/>
          <w:szCs w:val="10"/>
        </w:rPr>
      </w:r>
    </w:p>
    <w:p w14:paraId="21DA6E24">
      <w:pPr>
        <w:pBdr/>
        <w:shd w:val="clear" w:color="auto" w:fill="cccccc"/>
        <w:spacing/>
        <w:ind/>
        <w:jc w:val="both"/>
        <w:rPr/>
      </w:pPr>
      <w:r>
        <w:rPr>
          <w:rFonts w:ascii="Times New Roman" w:hAnsi="Times New Roman" w:cs="Times New Roman"/>
          <w:b/>
          <w:bCs/>
        </w:rPr>
        <w:t xml:space="preserve">6. GESTÃO DO CONTRATO </w:t>
      </w:r>
      <w:r/>
    </w:p>
    <w:p w14:paraId="2E788294">
      <w:pPr>
        <w:pBdr/>
        <w:spacing/>
        <w:ind/>
        <w:jc w:val="both"/>
        <w:rPr>
          <w:rFonts w:ascii="Times New Roman" w:hAnsi="Times New Roman" w:cs="Times New Roman"/>
          <w:sz w:val="10"/>
          <w:szCs w:val="10"/>
        </w:rPr>
      </w:pPr>
      <w:r>
        <w:rPr>
          <w:rFonts w:ascii="Times New Roman" w:hAnsi="Times New Roman" w:cs="Times New Roman"/>
          <w:sz w:val="10"/>
          <w:szCs w:val="10"/>
        </w:rPr>
      </w:r>
      <w:r>
        <w:rPr>
          <w:rFonts w:ascii="Times New Roman" w:hAnsi="Times New Roman" w:cs="Times New Roman"/>
          <w:sz w:val="10"/>
          <w:szCs w:val="10"/>
        </w:rPr>
      </w:r>
      <w:r>
        <w:rPr>
          <w:rFonts w:ascii="Times New Roman" w:hAnsi="Times New Roman" w:cs="Times New Roman"/>
          <w:sz w:val="10"/>
          <w:szCs w:val="10"/>
        </w:rPr>
      </w:r>
    </w:p>
    <w:p w14:paraId="12EE993A">
      <w:pPr>
        <w:pBdr/>
        <w:spacing/>
        <w:ind/>
        <w:jc w:val="both"/>
        <w:rPr>
          <w:rFonts w:ascii="Times New Roman" w:hAnsi="Times New Roman"/>
        </w:rPr>
      </w:pPr>
      <w:r>
        <w:rPr>
          <w:rFonts w:ascii="Times New Roman" w:hAnsi="Times New Roman"/>
          <w:b/>
          <w:bCs/>
          <w:lang w:val="pt-BR"/>
        </w:rPr>
        <w:t xml:space="preserve">6.1.  </w:t>
      </w:r>
      <w:r>
        <w:rPr>
          <w:rFonts w:ascii="Times New Roman" w:hAnsi="Times New Roman"/>
        </w:rPr>
        <w:t xml:space="preserve">O contrato deverá ser executado fielmente pelas partes, de acordo com as cláusulas avençadas e as normas da Lei 14.133/2021 e do Decreto Municipal nº 11.685/2023, e cada parte responderá pelas consequências de sua inexecução total ou parcial.</w:t>
      </w:r>
      <w:r>
        <w:rPr>
          <w:rFonts w:ascii="Times New Roman" w:hAnsi="Times New Roman"/>
        </w:rPr>
      </w:r>
      <w:r>
        <w:rPr>
          <w:rFonts w:ascii="Times New Roman" w:hAnsi="Times New Roman"/>
        </w:rPr>
      </w:r>
    </w:p>
    <w:p w14:paraId="38D27608">
      <w:pPr>
        <w:pBdr/>
        <w:spacing/>
        <w:ind/>
        <w:jc w:val="both"/>
        <w:rPr>
          <w:rFonts w:ascii="Times New Roman" w:hAnsi="Times New Roman"/>
        </w:rPr>
      </w:pPr>
      <w:r>
        <w:rPr>
          <w:rFonts w:ascii="Times New Roman" w:hAnsi="Times New Roman"/>
          <w:b/>
          <w:bCs/>
          <w:lang w:val="pt-BR"/>
        </w:rPr>
        <w:t xml:space="preserve">6.2.</w:t>
      </w:r>
      <w:r>
        <w:rPr>
          <w:rFonts w:ascii="Times New Roman" w:hAnsi="Times New Roman"/>
          <w:lang w:val="pt-BR"/>
        </w:rPr>
        <w:t xml:space="preserve"> </w:t>
      </w:r>
      <w:r>
        <w:rPr>
          <w:rFonts w:ascii="Times New Roman" w:hAnsi="Times New Roman"/>
        </w:rPr>
        <w:t xml:space="preserve">Em caso de impedimento, ordem de paralisação ou suspensão do contrato, o cronograma de execução será prorrogado automaticamente pelo tempo correspondente, anotadas tais circunstâncias mediante simples apostila.</w:t>
      </w:r>
      <w:r>
        <w:rPr>
          <w:rFonts w:ascii="Times New Roman" w:hAnsi="Times New Roman"/>
        </w:rPr>
      </w:r>
      <w:r>
        <w:rPr>
          <w:rFonts w:ascii="Times New Roman" w:hAnsi="Times New Roman"/>
        </w:rPr>
      </w:r>
    </w:p>
    <w:p w14:paraId="4C2D3DCC">
      <w:pPr>
        <w:pBdr/>
        <w:spacing/>
        <w:ind/>
        <w:jc w:val="both"/>
        <w:rPr>
          <w:rFonts w:ascii="Times New Roman" w:hAnsi="Times New Roman"/>
        </w:rPr>
      </w:pPr>
      <w:r>
        <w:rPr>
          <w:rFonts w:ascii="Times New Roman" w:hAnsi="Times New Roman"/>
          <w:b/>
          <w:bCs/>
          <w:lang w:val="pt-BR"/>
        </w:rPr>
        <w:t xml:space="preserve">6.3. </w:t>
      </w:r>
      <w:r>
        <w:rPr>
          <w:rFonts w:ascii="Times New Roman" w:hAnsi="Times New Roman"/>
        </w:rPr>
        <w:t xml:space="preserve">As comunicações entre o órgão ou entidade e o Contratado devem ser realizadas por escrito sempre que o ato exigir tal formalidade, admitindo-se o uso de mensagem eletrônica para esse fim.</w:t>
      </w:r>
      <w:r>
        <w:rPr>
          <w:rFonts w:ascii="Times New Roman" w:hAnsi="Times New Roman"/>
        </w:rPr>
      </w:r>
      <w:r>
        <w:rPr>
          <w:rFonts w:ascii="Times New Roman" w:hAnsi="Times New Roman"/>
        </w:rPr>
      </w:r>
    </w:p>
    <w:p w14:paraId="6885C038">
      <w:pPr>
        <w:pBdr/>
        <w:spacing/>
        <w:ind/>
        <w:jc w:val="both"/>
        <w:rPr>
          <w:rFonts w:ascii="Times New Roman" w:hAnsi="Times New Roman"/>
        </w:rPr>
      </w:pPr>
      <w:r>
        <w:rPr>
          <w:rFonts w:ascii="Times New Roman" w:hAnsi="Times New Roman"/>
          <w:b/>
          <w:bCs/>
          <w:lang w:val="pt-BR"/>
        </w:rPr>
        <w:t xml:space="preserve">6.4. </w:t>
      </w:r>
      <w:r>
        <w:rPr>
          <w:rFonts w:ascii="Times New Roman" w:hAnsi="Times New Roman"/>
        </w:rPr>
        <w:t xml:space="preserve">O órgão ou entidade poderá convocar representante da empresa para adoção de providências que devam ser cumpridas de imediato.</w:t>
      </w:r>
      <w:r>
        <w:rPr>
          <w:rFonts w:ascii="Times New Roman" w:hAnsi="Times New Roman"/>
        </w:rPr>
      </w:r>
      <w:r>
        <w:rPr>
          <w:rFonts w:ascii="Times New Roman" w:hAnsi="Times New Roman"/>
        </w:rPr>
      </w:r>
    </w:p>
    <w:p w14:paraId="15260763">
      <w:pPr>
        <w:pBdr/>
        <w:spacing/>
        <w:ind/>
        <w:jc w:val="both"/>
        <w:rPr>
          <w:rFonts w:ascii="Times New Roman" w:hAnsi="Times New Roman"/>
        </w:rPr>
      </w:pPr>
      <w:r>
        <w:rPr>
          <w:rFonts w:ascii="Times New Roman" w:hAnsi="Times New Roman"/>
          <w:b/>
          <w:bCs/>
          <w:lang w:val="pt-BR"/>
        </w:rPr>
        <w:t xml:space="preserve">6.5.</w:t>
      </w:r>
      <w:r>
        <w:rPr>
          <w:rFonts w:ascii="Times New Roman" w:hAnsi="Times New Roman"/>
          <w:lang w:val="pt-BR"/>
        </w:rPr>
        <w:t xml:space="preserve"> </w:t>
      </w:r>
      <w:r>
        <w:rPr>
          <w:rFonts w:ascii="Times New Roman" w:hAnsi="Times New Roman"/>
        </w:rPr>
        <w:t xml:space="preserve">Após a assinatura do contrato ou instrumento equivalente, o órgão ou entidade poderá convocar o representante da empresa contratada para reunião inicial para apresentação do plano de fiscalização, que conterá infor</w:t>
      </w:r>
      <w:r>
        <w:rPr>
          <w:rFonts w:ascii="Times New Roman" w:hAnsi="Times New Roman"/>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Times New Roman" w:hAnsi="Times New Roman"/>
        </w:rPr>
      </w:r>
      <w:r>
        <w:rPr>
          <w:rFonts w:ascii="Times New Roman" w:hAnsi="Times New Roman"/>
        </w:rPr>
      </w:r>
    </w:p>
    <w:p w14:paraId="13380BDD">
      <w:pPr>
        <w:pBdr/>
        <w:spacing/>
        <w:ind/>
        <w:jc w:val="both"/>
        <w:rPr>
          <w:rFonts w:ascii="Times New Roman" w:hAnsi="Times New Roman"/>
        </w:rPr>
      </w:pPr>
      <w:r>
        <w:rPr>
          <w:rFonts w:ascii="Times New Roman" w:hAnsi="Times New Roman"/>
          <w:b/>
          <w:bCs/>
          <w:lang w:val="pt-BR"/>
        </w:rPr>
        <w:t xml:space="preserve">6.6.</w:t>
      </w:r>
      <w:r>
        <w:rPr>
          <w:rFonts w:ascii="Times New Roman" w:hAnsi="Times New Roman"/>
          <w:lang w:val="pt-BR"/>
        </w:rPr>
        <w:t xml:space="preserve"> </w:t>
      </w:r>
      <w:r>
        <w:rPr>
          <w:rFonts w:ascii="Times New Roman" w:hAnsi="Times New Roman"/>
        </w:rPr>
        <w:t xml:space="preserve">A execução do contrato deverá ser acompanhada e fiscalizada pelo(</w:t>
      </w:r>
      <w:r>
        <w:rPr>
          <w:rFonts w:ascii="Times New Roman" w:hAnsi="Times New Roman"/>
        </w:rPr>
        <w:t xml:space="preserve">s) fiscal(is) do contrato, ou pelos respectivos substitutos, observado o disposto nos artigos 11 e 12 do Decreto Municipal nº 11.685/2023 e do artigo 117 da Lei 14.133/2021, consistindo a sua atuação, sem prejuízo de outras previstas em lei ou regulamento:</w:t>
      </w:r>
      <w:r>
        <w:rPr>
          <w:rFonts w:ascii="Times New Roman" w:hAnsi="Times New Roman"/>
        </w:rPr>
      </w:r>
      <w:r>
        <w:rPr>
          <w:rFonts w:ascii="Times New Roman" w:hAnsi="Times New Roman"/>
        </w:rPr>
      </w:r>
    </w:p>
    <w:p w14:paraId="08B8F11D">
      <w:pPr>
        <w:pBdr/>
        <w:spacing/>
        <w:ind/>
        <w:jc w:val="both"/>
        <w:rPr>
          <w:rFonts w:ascii="Times New Roman" w:hAnsi="Times New Roman"/>
        </w:rPr>
      </w:pPr>
      <w:r>
        <w:rPr>
          <w:rFonts w:ascii="Times New Roman" w:hAnsi="Times New Roman"/>
        </w:rPr>
        <w:t xml:space="preserve">a)anotar, em registro, próprio todas as ocorrências relacionadas com a execução e determinará o que for necessário à regularização de falhas ou defeitos observados.</w:t>
      </w:r>
      <w:r>
        <w:rPr>
          <w:rFonts w:ascii="Times New Roman" w:hAnsi="Times New Roman"/>
        </w:rPr>
      </w:r>
      <w:r>
        <w:rPr>
          <w:rFonts w:ascii="Times New Roman" w:hAnsi="Times New Roman"/>
        </w:rPr>
      </w:r>
    </w:p>
    <w:p w14:paraId="23D72D70">
      <w:pPr>
        <w:pBdr/>
        <w:spacing/>
        <w:ind/>
        <w:jc w:val="both"/>
        <w:rPr>
          <w:rFonts w:ascii="Times New Roman" w:hAnsi="Times New Roman"/>
        </w:rPr>
      </w:pPr>
      <w:r>
        <w:rPr>
          <w:rFonts w:ascii="Times New Roman" w:hAnsi="Times New Roman"/>
        </w:rPr>
        <w:t xml:space="preserve">b)informar a seus superiores, em tempo hábil para a adoção das medidas convenientes, a situação que demandar decisão ou providência que ultrapasse sua competência.</w:t>
      </w:r>
      <w:r>
        <w:rPr>
          <w:rFonts w:ascii="Times New Roman" w:hAnsi="Times New Roman"/>
        </w:rPr>
      </w:r>
      <w:r>
        <w:rPr>
          <w:rFonts w:ascii="Times New Roman" w:hAnsi="Times New Roman"/>
        </w:rPr>
      </w:r>
    </w:p>
    <w:p w14:paraId="3664F43A">
      <w:pPr>
        <w:pBdr/>
        <w:spacing/>
        <w:ind/>
        <w:jc w:val="both"/>
        <w:rPr>
          <w:rFonts w:ascii="Times New Roman" w:hAnsi="Times New Roman"/>
        </w:rPr>
      </w:pPr>
      <w:r>
        <w:rPr>
          <w:rFonts w:ascii="Times New Roman" w:hAnsi="Times New Roman"/>
        </w:rPr>
        <w:t xml:space="preserve">c)solicitar, quando necessário, o auxílio dos órgãos de assessoramento jurídico e de controle interno da Administração,</w:t>
      </w:r>
      <w:r>
        <w:rPr>
          <w:rFonts w:ascii="Times New Roman" w:hAnsi="Times New Roman"/>
        </w:rPr>
      </w:r>
      <w:r>
        <w:rPr>
          <w:rFonts w:ascii="Times New Roman" w:hAnsi="Times New Roman"/>
        </w:rPr>
      </w:r>
    </w:p>
    <w:p w14:paraId="09734D39">
      <w:pPr>
        <w:pBdr/>
        <w:spacing/>
        <w:ind/>
        <w:jc w:val="both"/>
        <w:rPr>
          <w:rFonts w:ascii="Times New Roman" w:hAnsi="Times New Roman"/>
        </w:rPr>
      </w:pPr>
      <w:r>
        <w:rPr>
          <w:rFonts w:ascii="Times New Roman" w:hAnsi="Times New Roman"/>
        </w:rPr>
        <w:t xml:space="preserve">que deverão dirimir dúvidas e subsidiá-lo com informações relevantes para prevenir riscos na execução contratual.</w:t>
      </w:r>
      <w:r>
        <w:rPr>
          <w:rFonts w:ascii="Times New Roman" w:hAnsi="Times New Roman"/>
        </w:rPr>
      </w:r>
      <w:r>
        <w:rPr>
          <w:rFonts w:ascii="Times New Roman" w:hAnsi="Times New Roman"/>
        </w:rPr>
      </w:r>
    </w:p>
    <w:p w14:paraId="5D4F4EC4">
      <w:pPr>
        <w:pBdr/>
        <w:spacing/>
        <w:ind/>
        <w:jc w:val="both"/>
        <w:rPr>
          <w:rFonts w:ascii="Times New Roman" w:hAnsi="Times New Roman"/>
        </w:rPr>
      </w:pPr>
      <w:r>
        <w:rPr>
          <w:rFonts w:ascii="Times New Roman" w:hAnsi="Times New Roman"/>
        </w:rPr>
        <w:t xml:space="preserve">d)esclarecer prontamente as dúvidas administrativas e técnicas e divergências surgidas na execução do objeto contratado;</w:t>
      </w:r>
      <w:r>
        <w:rPr>
          <w:rFonts w:ascii="Times New Roman" w:hAnsi="Times New Roman"/>
        </w:rPr>
      </w:r>
      <w:r>
        <w:rPr>
          <w:rFonts w:ascii="Times New Roman" w:hAnsi="Times New Roman"/>
        </w:rPr>
      </w:r>
    </w:p>
    <w:p w14:paraId="38448BD8">
      <w:pPr>
        <w:pBdr/>
        <w:spacing/>
        <w:ind/>
        <w:jc w:val="both"/>
        <w:rPr>
          <w:rFonts w:ascii="Times New Roman" w:hAnsi="Times New Roman"/>
        </w:rPr>
      </w:pPr>
      <w:r>
        <w:rPr>
          <w:rFonts w:ascii="Times New Roman" w:hAnsi="Times New Roman"/>
        </w:rPr>
        <w:t xml:space="preserve">e)expedir, através de notificações e/ou relatório de vistoria, as ocorrências e fazer as determinações e comunicações necessárias à perfeita execução dos serviços;</w:t>
      </w:r>
      <w:r>
        <w:rPr>
          <w:rFonts w:ascii="Times New Roman" w:hAnsi="Times New Roman"/>
        </w:rPr>
      </w:r>
      <w:r>
        <w:rPr>
          <w:rFonts w:ascii="Times New Roman" w:hAnsi="Times New Roman"/>
        </w:rPr>
      </w:r>
    </w:p>
    <w:p w14:paraId="431BC14C">
      <w:pPr>
        <w:pBdr/>
        <w:spacing/>
        <w:ind/>
        <w:jc w:val="both"/>
        <w:rPr>
          <w:rFonts w:ascii="Times New Roman" w:hAnsi="Times New Roman"/>
        </w:rPr>
      </w:pPr>
      <w:r>
        <w:rPr>
          <w:rFonts w:ascii="Times New Roman" w:hAnsi="Times New Roman"/>
        </w:rPr>
        <w:t xml:space="preserve">f)proceder, conforme cronograma físico-financeiro, as medições dos serviços executados e aprovar a planilha de medição emitida pela contratada ou conforme disposto em contrato;</w:t>
      </w:r>
      <w:r>
        <w:rPr>
          <w:rFonts w:ascii="Times New Roman" w:hAnsi="Times New Roman"/>
        </w:rPr>
      </w:r>
      <w:r>
        <w:rPr>
          <w:rFonts w:ascii="Times New Roman" w:hAnsi="Times New Roman"/>
        </w:rPr>
      </w:r>
    </w:p>
    <w:p w14:paraId="60549136">
      <w:pPr>
        <w:pBdr/>
        <w:spacing/>
        <w:ind/>
        <w:jc w:val="both"/>
        <w:rPr>
          <w:rFonts w:ascii="Times New Roman" w:hAnsi="Times New Roman"/>
        </w:rPr>
      </w:pPr>
      <w:r>
        <w:rPr>
          <w:rFonts w:ascii="Times New Roman" w:hAnsi="Times New Roman"/>
        </w:rPr>
        <w:t xml:space="preserve">g)adotar as medidas preventivas de controle dos contratos, inclusive manifestar-se a respeito da suspensão da entrega de bens, a realização de serviços ou a execução de obras;</w:t>
      </w:r>
      <w:r>
        <w:rPr>
          <w:rFonts w:ascii="Times New Roman" w:hAnsi="Times New Roman"/>
        </w:rPr>
      </w:r>
      <w:r>
        <w:rPr>
          <w:rFonts w:ascii="Times New Roman" w:hAnsi="Times New Roman"/>
        </w:rPr>
      </w:r>
    </w:p>
    <w:p w14:paraId="11BB7265">
      <w:pPr>
        <w:pBdr/>
        <w:spacing/>
        <w:ind/>
        <w:jc w:val="both"/>
        <w:rPr>
          <w:rFonts w:ascii="Times New Roman" w:hAnsi="Times New Roman"/>
        </w:rPr>
      </w:pPr>
      <w:r>
        <w:rPr>
          <w:rFonts w:ascii="Times New Roman" w:hAnsi="Times New Roman"/>
        </w:rPr>
        <w:t xml:space="preserve">h)conferir e certificar as faturas relativas às aquisições, serviços ou obras;</w:t>
      </w:r>
      <w:r>
        <w:rPr>
          <w:rFonts w:ascii="Times New Roman" w:hAnsi="Times New Roman"/>
        </w:rPr>
      </w:r>
      <w:r>
        <w:rPr>
          <w:rFonts w:ascii="Times New Roman" w:hAnsi="Times New Roman"/>
        </w:rPr>
      </w:r>
    </w:p>
    <w:p w14:paraId="56F3484E">
      <w:pPr>
        <w:pBdr/>
        <w:spacing/>
        <w:ind/>
        <w:jc w:val="both"/>
        <w:rPr>
          <w:rFonts w:ascii="Times New Roman" w:hAnsi="Times New Roman"/>
        </w:rPr>
      </w:pPr>
      <w:r>
        <w:rPr>
          <w:rFonts w:ascii="Times New Roman" w:hAnsi="Times New Roman"/>
        </w:rPr>
        <w:t xml:space="preserve">i)proceder as avaliações dos serviços executados pela contratada;</w:t>
      </w:r>
      <w:r>
        <w:rPr>
          <w:rFonts w:ascii="Times New Roman" w:hAnsi="Times New Roman"/>
        </w:rPr>
      </w:r>
      <w:r>
        <w:rPr>
          <w:rFonts w:ascii="Times New Roman" w:hAnsi="Times New Roman"/>
        </w:rPr>
      </w:r>
    </w:p>
    <w:p w14:paraId="65A77645">
      <w:pPr>
        <w:pBdr/>
        <w:spacing/>
        <w:ind/>
        <w:jc w:val="both"/>
        <w:rPr>
          <w:rFonts w:ascii="Times New Roman" w:hAnsi="Times New Roman"/>
        </w:rPr>
      </w:pPr>
      <w:r>
        <w:rPr>
          <w:rFonts w:ascii="Times New Roman" w:hAnsi="Times New Roman"/>
        </w:rPr>
        <w:t xml:space="preserve">j)determinar por todos os meios adequados a observância das normas técnicas e legais, especificações e métodos de execução dos serviços exigíveis para a perfeita execução do objeto;</w:t>
      </w:r>
      <w:r>
        <w:rPr>
          <w:rFonts w:ascii="Times New Roman" w:hAnsi="Times New Roman"/>
        </w:rPr>
      </w:r>
      <w:r>
        <w:rPr>
          <w:rFonts w:ascii="Times New Roman" w:hAnsi="Times New Roman"/>
        </w:rPr>
      </w:r>
    </w:p>
    <w:p w14:paraId="00055B66">
      <w:pPr>
        <w:pBdr/>
        <w:spacing/>
        <w:ind/>
        <w:jc w:val="both"/>
        <w:rPr>
          <w:rFonts w:ascii="Times New Roman" w:hAnsi="Times New Roman"/>
        </w:rPr>
      </w:pPr>
      <w:r>
        <w:rPr>
          <w:rFonts w:ascii="Times New Roman" w:hAnsi="Times New Roman"/>
        </w:rPr>
        <w:t xml:space="preserve">k)exigir o uso correto dos equipamentos de proteção individual e coletiva de segurança do trabalho;</w:t>
      </w:r>
      <w:r>
        <w:rPr>
          <w:rFonts w:ascii="Times New Roman" w:hAnsi="Times New Roman"/>
        </w:rPr>
      </w:r>
      <w:r>
        <w:rPr>
          <w:rFonts w:ascii="Times New Roman" w:hAnsi="Times New Roman"/>
        </w:rPr>
      </w:r>
    </w:p>
    <w:p w14:paraId="7072532B">
      <w:pPr>
        <w:pBdr/>
        <w:spacing/>
        <w:ind/>
        <w:jc w:val="both"/>
        <w:rPr>
          <w:rFonts w:ascii="Times New Roman" w:hAnsi="Times New Roman"/>
        </w:rPr>
      </w:pPr>
      <w:r>
        <w:rPr>
          <w:rFonts w:ascii="Times New Roman" w:hAnsi="Times New Roman"/>
        </w:rPr>
        <w:t xml:space="preserve">l)determinar a retirada de qualquer empregado subordinado direta ou indiretamente à contratada, inclusive empregados de eventuais subcontratadas, ou as próprias subcontratadas, que, a seu critério, comprometam o bom andamento dos serviços;</w:t>
      </w:r>
      <w:r>
        <w:rPr>
          <w:rFonts w:ascii="Times New Roman" w:hAnsi="Times New Roman"/>
        </w:rPr>
      </w:r>
      <w:r>
        <w:rPr>
          <w:rFonts w:ascii="Times New Roman" w:hAnsi="Times New Roman"/>
        </w:rPr>
      </w:r>
    </w:p>
    <w:p w14:paraId="30B09081">
      <w:pPr>
        <w:pBdr/>
        <w:spacing/>
        <w:ind/>
        <w:jc w:val="both"/>
        <w:rPr>
          <w:rFonts w:ascii="Times New Roman" w:hAnsi="Times New Roman"/>
        </w:rPr>
      </w:pPr>
      <w:r>
        <w:rPr>
          <w:rFonts w:ascii="Times New Roman" w:hAnsi="Times New Roman"/>
        </w:rPr>
        <w:t xml:space="preserve">m)receber designação e manter contato com o preposto da contratada, e se for necessário, promover reuniões periódicas ou especiais para a resolução de problemas na entrega dos bens ou na execução dos serviços ou das obras;</w:t>
      </w:r>
      <w:r>
        <w:rPr>
          <w:rFonts w:ascii="Times New Roman" w:hAnsi="Times New Roman"/>
        </w:rPr>
      </w:r>
      <w:r>
        <w:rPr>
          <w:rFonts w:ascii="Times New Roman" w:hAnsi="Times New Roman"/>
        </w:rPr>
      </w:r>
    </w:p>
    <w:p w14:paraId="585F2431">
      <w:pPr>
        <w:pBdr/>
        <w:spacing/>
        <w:ind/>
        <w:jc w:val="both"/>
        <w:rPr>
          <w:rFonts w:ascii="Times New Roman" w:hAnsi="Times New Roman"/>
        </w:rPr>
      </w:pPr>
      <w:r>
        <w:rPr>
          <w:rFonts w:ascii="Times New Roman" w:hAnsi="Times New Roman"/>
        </w:rPr>
        <w:t xml:space="preserve">n)dar parecer técnico nos pedidos de alterações contratuais;</w:t>
      </w:r>
      <w:r>
        <w:rPr>
          <w:rFonts w:ascii="Times New Roman" w:hAnsi="Times New Roman"/>
        </w:rPr>
      </w:r>
      <w:r>
        <w:rPr>
          <w:rFonts w:ascii="Times New Roman" w:hAnsi="Times New Roman"/>
        </w:rPr>
      </w:r>
    </w:p>
    <w:p w14:paraId="61823F12">
      <w:pPr>
        <w:pBdr/>
        <w:spacing/>
        <w:ind/>
        <w:jc w:val="both"/>
        <w:rPr>
          <w:rFonts w:ascii="Times New Roman" w:hAnsi="Times New Roman"/>
        </w:rPr>
      </w:pPr>
      <w:r>
        <w:rPr>
          <w:rFonts w:ascii="Times New Roman" w:hAnsi="Times New Roman"/>
        </w:rPr>
        <w:t xml:space="preserve">o)verificar a correta aplicação dos materiais;</w:t>
      </w:r>
      <w:r>
        <w:rPr>
          <w:rFonts w:ascii="Times New Roman" w:hAnsi="Times New Roman"/>
        </w:rPr>
      </w:r>
      <w:r>
        <w:rPr>
          <w:rFonts w:ascii="Times New Roman" w:hAnsi="Times New Roman"/>
        </w:rPr>
      </w:r>
    </w:p>
    <w:p w14:paraId="08F90562">
      <w:pPr>
        <w:pBdr/>
        <w:spacing/>
        <w:ind/>
        <w:jc w:val="both"/>
        <w:rPr>
          <w:rFonts w:ascii="Times New Roman" w:hAnsi="Times New Roman"/>
        </w:rPr>
      </w:pPr>
      <w:r>
        <w:rPr>
          <w:rFonts w:ascii="Times New Roman" w:hAnsi="Times New Roman"/>
        </w:rPr>
        <w:t xml:space="preserve">p)requerer das empresas testes, exames e ensaios quando necessários, no sentido de promoção de controle de qualidade da execução das obras e serviços ou dos bens a serem adquiridos;</w:t>
      </w:r>
      <w:r>
        <w:rPr>
          <w:rFonts w:ascii="Times New Roman" w:hAnsi="Times New Roman"/>
        </w:rPr>
      </w:r>
      <w:r>
        <w:rPr>
          <w:rFonts w:ascii="Times New Roman" w:hAnsi="Times New Roman"/>
        </w:rPr>
      </w:r>
    </w:p>
    <w:p w14:paraId="17FAA8FD">
      <w:pPr>
        <w:pBdr/>
        <w:spacing/>
        <w:ind/>
        <w:jc w:val="both"/>
        <w:rPr>
          <w:rFonts w:ascii="Times New Roman" w:hAnsi="Times New Roman"/>
        </w:rPr>
      </w:pPr>
      <w:r>
        <w:rPr>
          <w:rFonts w:ascii="Times New Roman" w:hAnsi="Times New Roman"/>
        </w:rPr>
        <w:t xml:space="preserve">q)realizar, na forma do art. 140 da Lei Federal n.º 14.133, de 2021, o recebimento do objeto contratado, quando for o caso;</w:t>
      </w:r>
      <w:r>
        <w:rPr>
          <w:rFonts w:ascii="Times New Roman" w:hAnsi="Times New Roman"/>
        </w:rPr>
      </w:r>
      <w:r>
        <w:rPr>
          <w:rFonts w:ascii="Times New Roman" w:hAnsi="Times New Roman"/>
        </w:rPr>
      </w:r>
    </w:p>
    <w:p w14:paraId="375D5550">
      <w:pPr>
        <w:pBdr/>
        <w:spacing/>
        <w:ind/>
        <w:jc w:val="both"/>
        <w:rPr>
          <w:rFonts w:ascii="Times New Roman" w:hAnsi="Times New Roman"/>
        </w:rPr>
      </w:pPr>
      <w:r>
        <w:rPr>
          <w:rFonts w:ascii="Times New Roman" w:hAnsi="Times New Roman"/>
        </w:rPr>
        <w:t xml:space="preserve">r)propor à autoridade competente a abertura de procedimento administrativo para apuração de responsabilidade;</w:t>
      </w:r>
      <w:r>
        <w:rPr>
          <w:rFonts w:ascii="Times New Roman" w:hAnsi="Times New Roman"/>
        </w:rPr>
      </w:r>
      <w:r>
        <w:rPr>
          <w:rFonts w:ascii="Times New Roman" w:hAnsi="Times New Roman"/>
        </w:rPr>
      </w:r>
    </w:p>
    <w:p w14:paraId="537A6AE7">
      <w:pPr>
        <w:pBdr/>
        <w:spacing/>
        <w:ind/>
        <w:jc w:val="both"/>
        <w:rPr>
          <w:rFonts w:ascii="Times New Roman" w:hAnsi="Times New Roman"/>
        </w:rPr>
      </w:pPr>
      <w:r>
        <w:rPr>
          <w:rFonts w:ascii="Times New Roman" w:hAnsi="Times New Roman"/>
        </w:rPr>
        <w:t xml:space="preserve">s)outras atividades compatíveis com a função.</w:t>
      </w:r>
      <w:r>
        <w:rPr>
          <w:rFonts w:ascii="Times New Roman" w:hAnsi="Times New Roman"/>
        </w:rPr>
      </w:r>
      <w:r>
        <w:rPr>
          <w:rFonts w:ascii="Times New Roman" w:hAnsi="Times New Roman"/>
        </w:rPr>
      </w:r>
    </w:p>
    <w:p w14:paraId="36595CA4">
      <w:pPr>
        <w:pBdr/>
        <w:spacing/>
        <w:ind/>
        <w:jc w:val="both"/>
        <w:rPr>
          <w:rFonts w:ascii="Times New Roman" w:hAnsi="Times New Roman"/>
        </w:rPr>
      </w:pPr>
      <w:r>
        <w:rPr>
          <w:rFonts w:ascii="Times New Roman" w:hAnsi="Times New Roman"/>
          <w:b/>
          <w:bCs/>
          <w:lang w:val="pt-BR"/>
        </w:rPr>
        <w:t xml:space="preserve">6.7</w:t>
      </w:r>
      <w:r>
        <w:rPr>
          <w:rFonts w:ascii="Times New Roman" w:hAnsi="Times New Roman"/>
          <w:lang w:val="pt-BR"/>
        </w:rPr>
        <w:t xml:space="preserve">. </w:t>
      </w:r>
      <w:r>
        <w:rPr>
          <w:rFonts w:ascii="Times New Roman" w:hAnsi="Times New Roman"/>
        </w:rPr>
        <w:t xml:space="preserve">Além do disposto acima, a fiscalização contratual obedecerá às seguintes rotinas:</w:t>
      </w:r>
      <w:r>
        <w:rPr>
          <w:rFonts w:ascii="Times New Roman" w:hAnsi="Times New Roman"/>
        </w:rPr>
      </w:r>
      <w:r>
        <w:rPr>
          <w:rFonts w:ascii="Times New Roman" w:hAnsi="Times New Roman"/>
        </w:rPr>
      </w:r>
    </w:p>
    <w:p w14:paraId="2AF48E9F">
      <w:pPr>
        <w:pBdr/>
        <w:spacing/>
        <w:ind/>
        <w:jc w:val="both"/>
        <w:rPr>
          <w:rFonts w:ascii="Times New Roman" w:hAnsi="Times New Roman"/>
        </w:rPr>
      </w:pPr>
      <w:r>
        <w:rPr>
          <w:rFonts w:ascii="Times New Roman" w:hAnsi="Times New Roman"/>
          <w:b/>
          <w:bCs/>
          <w:lang w:val="pt-BR"/>
        </w:rPr>
        <w:t xml:space="preserve">6.8. </w:t>
      </w:r>
      <w:r>
        <w:rPr>
          <w:rFonts w:ascii="Times New Roman" w:hAnsi="Times New Roman"/>
        </w:rPr>
        <w:t xml:space="preserve">A execução do contrato deverá ainda contar com a atuação do Gestor de Contrato, conforme previsão no art. 8º, §3º da Lei 14.133/2021 e dos artigos 10 e 198 do Decreto Municipal n. 11.685/2023, com as seguintes atribuições:</w:t>
      </w:r>
      <w:r>
        <w:rPr>
          <w:rFonts w:ascii="Times New Roman" w:hAnsi="Times New Roman"/>
        </w:rPr>
      </w:r>
      <w:r>
        <w:rPr>
          <w:rFonts w:ascii="Times New Roman" w:hAnsi="Times New Roman"/>
        </w:rPr>
      </w:r>
    </w:p>
    <w:p w14:paraId="0CEC8F20">
      <w:pPr>
        <w:pBdr/>
        <w:spacing/>
        <w:ind/>
        <w:jc w:val="both"/>
        <w:rPr>
          <w:rFonts w:ascii="Times New Roman" w:hAnsi="Times New Roman"/>
        </w:rPr>
      </w:pPr>
      <w:r>
        <w:rPr>
          <w:rFonts w:ascii="Times New Roman" w:hAnsi="Times New Roman"/>
        </w:rPr>
        <w:t xml:space="preserve">a)-determ</w:t>
      </w:r>
      <w:r>
        <w:rPr>
          <w:rFonts w:ascii="Times New Roman" w:hAnsi="Times New Roman"/>
        </w:rPr>
        <w:t xml:space="preserve">inar a elaboração de termo de referência, estudo técnico preliminar, solicitação de aditivos ou apostilamentos, validar os documentos elaborados e garantir que as contratações estejam previstas no plano de contratações anual e no planejamento orçamentário;</w:t>
      </w:r>
      <w:r>
        <w:rPr>
          <w:rFonts w:ascii="Times New Roman" w:hAnsi="Times New Roman"/>
        </w:rPr>
      </w:r>
      <w:r>
        <w:rPr>
          <w:rFonts w:ascii="Times New Roman" w:hAnsi="Times New Roman"/>
        </w:rPr>
      </w:r>
    </w:p>
    <w:p w14:paraId="184BFE7C">
      <w:pPr>
        <w:pBdr/>
        <w:spacing/>
        <w:ind/>
        <w:jc w:val="both"/>
        <w:rPr>
          <w:rFonts w:ascii="Times New Roman" w:hAnsi="Times New Roman"/>
        </w:rPr>
      </w:pPr>
      <w:r>
        <w:rPr>
          <w:rFonts w:ascii="Times New Roman" w:hAnsi="Times New Roman"/>
        </w:rPr>
        <w:t xml:space="preserve">b)emitir, com a ciência dos fiscais de contrato, ordens de fornecimento ou ordens de execução de serviço, ordens de paralisação e reinício, bem como decidir sobre pedidos de prorrogação da execução contratual;</w:t>
      </w:r>
      <w:r>
        <w:rPr>
          <w:rFonts w:ascii="Times New Roman" w:hAnsi="Times New Roman"/>
        </w:rPr>
      </w:r>
      <w:r>
        <w:rPr>
          <w:rFonts w:ascii="Times New Roman" w:hAnsi="Times New Roman"/>
        </w:rPr>
      </w:r>
    </w:p>
    <w:p w14:paraId="0377B12F">
      <w:pPr>
        <w:pBdr/>
        <w:spacing/>
        <w:ind/>
        <w:jc w:val="both"/>
        <w:rPr>
          <w:rFonts w:ascii="Times New Roman" w:hAnsi="Times New Roman"/>
        </w:rPr>
      </w:pPr>
      <w:r>
        <w:rPr>
          <w:rFonts w:ascii="Times New Roman" w:hAnsi="Times New Roman"/>
        </w:rPr>
        <w:t xml:space="preserve">c)indicar os fiscais de contrato e seus substitutos;</w:t>
      </w:r>
      <w:r>
        <w:rPr>
          <w:rFonts w:ascii="Times New Roman" w:hAnsi="Times New Roman"/>
        </w:rPr>
      </w:r>
      <w:r>
        <w:rPr>
          <w:rFonts w:ascii="Times New Roman" w:hAnsi="Times New Roman"/>
        </w:rPr>
      </w:r>
    </w:p>
    <w:p w14:paraId="3528695C">
      <w:pPr>
        <w:pBdr/>
        <w:spacing/>
        <w:ind/>
        <w:jc w:val="both"/>
        <w:rPr>
          <w:rFonts w:ascii="Times New Roman" w:hAnsi="Times New Roman"/>
        </w:rPr>
      </w:pPr>
      <w:r>
        <w:rPr>
          <w:rFonts w:ascii="Times New Roman" w:hAnsi="Times New Roman"/>
        </w:rPr>
        <w:t xml:space="preserve">d)dirimir dúvidas dos fiscais de contrato sobre a correta execução contratual e sua fiscalização;</w:t>
      </w:r>
      <w:r>
        <w:rPr>
          <w:rFonts w:ascii="Times New Roman" w:hAnsi="Times New Roman"/>
        </w:rPr>
      </w:r>
      <w:r>
        <w:rPr>
          <w:rFonts w:ascii="Times New Roman" w:hAnsi="Times New Roman"/>
        </w:rPr>
      </w:r>
    </w:p>
    <w:p w14:paraId="64BCF3A5">
      <w:pPr>
        <w:pBdr/>
        <w:spacing/>
        <w:ind/>
        <w:jc w:val="both"/>
        <w:rPr>
          <w:rFonts w:ascii="Times New Roman" w:hAnsi="Times New Roman"/>
        </w:rPr>
      </w:pPr>
      <w:r>
        <w:rPr>
          <w:rFonts w:ascii="Times New Roman" w:hAnsi="Times New Roman"/>
        </w:rPr>
        <w:t xml:space="preserve">e)quando necessário, convocar e coordenar reuniões, registradas</w:t>
      </w:r>
      <w:r>
        <w:rPr>
          <w:rFonts w:ascii="Times New Roman" w:hAnsi="Times New Roman"/>
        </w:rPr>
        <w:t xml:space="preserve"> em ata, com a participação da contratada e dos fiscais, a fim de serem alinhados os procedimentos de acompanhamento da execução contratual, da forma de apresentação dos documentos exigíveis para realização de pagamentos e conclusão da execução contratual;</w:t>
      </w:r>
      <w:r>
        <w:rPr>
          <w:rFonts w:ascii="Times New Roman" w:hAnsi="Times New Roman"/>
        </w:rPr>
      </w:r>
      <w:r>
        <w:rPr>
          <w:rFonts w:ascii="Times New Roman" w:hAnsi="Times New Roman"/>
        </w:rPr>
      </w:r>
    </w:p>
    <w:p w14:paraId="0F1E35BD">
      <w:pPr>
        <w:pBdr/>
        <w:spacing/>
        <w:ind/>
        <w:jc w:val="both"/>
        <w:rPr>
          <w:rFonts w:ascii="Times New Roman" w:hAnsi="Times New Roman"/>
        </w:rPr>
      </w:pPr>
      <w:r>
        <w:rPr>
          <w:rFonts w:ascii="Times New Roman" w:hAnsi="Times New Roman"/>
        </w:rPr>
        <w:t xml:space="preserve">f)acompanhar a execução do cronograma físico-financeiro e analisar os relatórios de fiscalização de</w:t>
      </w:r>
      <w:r>
        <w:rPr>
          <w:rFonts w:ascii="Times New Roman" w:hAnsi="Times New Roman"/>
        </w:rPr>
        <w:t xml:space="preserve"> contratos, especialmente os relacionados ao cumprimento do cronograma de entrega e recebimento de bens e serviços, bem como os relacionados à execução do cronograma físico-financeiro das obras e reformas, a fim de garantir a perfeita execução do contrato;</w:t>
      </w:r>
      <w:r>
        <w:rPr>
          <w:rFonts w:ascii="Times New Roman" w:hAnsi="Times New Roman"/>
        </w:rPr>
      </w:r>
      <w:r>
        <w:rPr>
          <w:rFonts w:ascii="Times New Roman" w:hAnsi="Times New Roman"/>
        </w:rPr>
      </w:r>
    </w:p>
    <w:p w14:paraId="395378A5">
      <w:pPr>
        <w:pBdr/>
        <w:spacing/>
        <w:ind/>
        <w:jc w:val="both"/>
        <w:rPr>
          <w:rFonts w:ascii="Times New Roman" w:hAnsi="Times New Roman"/>
        </w:rPr>
      </w:pPr>
      <w:r>
        <w:rPr>
          <w:rFonts w:ascii="Times New Roman" w:hAnsi="Times New Roman"/>
        </w:rPr>
        <w:t xml:space="preserve">g)observar os prazos de vigência e execução dos contratos e tomar as medidas necessárias para que sejam executados conforme o contratado, de acordo com as necessidades da administração e planejamento orçamentário e financeiro;</w:t>
      </w:r>
      <w:r>
        <w:rPr>
          <w:rFonts w:ascii="Times New Roman" w:hAnsi="Times New Roman"/>
        </w:rPr>
      </w:r>
      <w:r>
        <w:rPr>
          <w:rFonts w:ascii="Times New Roman" w:hAnsi="Times New Roman"/>
        </w:rPr>
      </w:r>
    </w:p>
    <w:p w14:paraId="5D3DB9D6">
      <w:pPr>
        <w:pBdr/>
        <w:spacing/>
        <w:ind/>
        <w:jc w:val="both"/>
        <w:rPr>
          <w:rFonts w:ascii="Times New Roman" w:hAnsi="Times New Roman"/>
        </w:rPr>
      </w:pPr>
      <w:r>
        <w:rPr>
          <w:rFonts w:ascii="Times New Roman" w:hAnsi="Times New Roman"/>
        </w:rPr>
        <w:t xml:space="preserve">h)decidir sobre a</w:t>
      </w:r>
      <w:r>
        <w:rPr>
          <w:rFonts w:ascii="Times New Roman" w:hAnsi="Times New Roman"/>
        </w:rPr>
        <w:t xml:space="preserve"> renovação, prorrogação ou alteração dos contratos, ou sobre a realização de novo procedimento licitatório ou de contratação direta, bem como sobre a suspensão da entrega de bens ou da realização de serviços, de acordo com as necessidades da administração;</w:t>
      </w:r>
      <w:r>
        <w:rPr>
          <w:rFonts w:ascii="Times New Roman" w:hAnsi="Times New Roman"/>
        </w:rPr>
      </w:r>
      <w:r>
        <w:rPr>
          <w:rFonts w:ascii="Times New Roman" w:hAnsi="Times New Roman"/>
        </w:rPr>
      </w:r>
    </w:p>
    <w:p w14:paraId="62A8340D">
      <w:pPr>
        <w:pBdr/>
        <w:spacing/>
        <w:ind/>
        <w:jc w:val="both"/>
        <w:rPr>
          <w:rFonts w:ascii="Times New Roman" w:hAnsi="Times New Roman"/>
        </w:rPr>
      </w:pPr>
      <w:r>
        <w:rPr>
          <w:rFonts w:ascii="Times New Roman" w:hAnsi="Times New Roman"/>
        </w:rPr>
        <w:t xml:space="preserve">i)quando necessário, negociar com a contratada as condições contratuais;</w:t>
      </w:r>
      <w:r>
        <w:rPr>
          <w:rFonts w:ascii="Times New Roman" w:hAnsi="Times New Roman"/>
        </w:rPr>
      </w:r>
      <w:r>
        <w:rPr>
          <w:rFonts w:ascii="Times New Roman" w:hAnsi="Times New Roman"/>
        </w:rPr>
      </w:r>
    </w:p>
    <w:p w14:paraId="06097E73">
      <w:pPr>
        <w:pBdr/>
        <w:spacing/>
        <w:ind/>
        <w:jc w:val="both"/>
        <w:rPr>
          <w:rFonts w:ascii="Times New Roman" w:hAnsi="Times New Roman"/>
        </w:rPr>
      </w:pPr>
      <w:r>
        <w:rPr>
          <w:rFonts w:ascii="Times New Roman" w:hAnsi="Times New Roman"/>
        </w:rPr>
        <w:t xml:space="preserve">j)encaminhar os processos de pagamento, após o atesto da nota fiscal pelo fiscal do contrato;</w:t>
      </w:r>
      <w:r>
        <w:rPr>
          <w:rFonts w:ascii="Times New Roman" w:hAnsi="Times New Roman"/>
        </w:rPr>
      </w:r>
      <w:r>
        <w:rPr>
          <w:rFonts w:ascii="Times New Roman" w:hAnsi="Times New Roman"/>
        </w:rPr>
      </w:r>
    </w:p>
    <w:p w14:paraId="7753B727">
      <w:pPr>
        <w:pBdr/>
        <w:spacing/>
        <w:ind/>
        <w:jc w:val="both"/>
        <w:rPr>
          <w:rFonts w:ascii="Times New Roman" w:hAnsi="Times New Roman"/>
        </w:rPr>
      </w:pPr>
      <w:r>
        <w:rPr>
          <w:rFonts w:ascii="Times New Roman" w:hAnsi="Times New Roman"/>
        </w:rPr>
        <w:t xml:space="preserve">k)tomar providências para apurar o descumprimento do contrato ou fraude na sua execução;</w:t>
      </w:r>
      <w:r>
        <w:rPr>
          <w:rFonts w:ascii="Times New Roman" w:hAnsi="Times New Roman"/>
        </w:rPr>
      </w:r>
      <w:r>
        <w:rPr>
          <w:rFonts w:ascii="Times New Roman" w:hAnsi="Times New Roman"/>
        </w:rPr>
      </w:r>
    </w:p>
    <w:p w14:paraId="52291546">
      <w:pPr>
        <w:pBdr/>
        <w:spacing/>
        <w:ind/>
        <w:jc w:val="both"/>
        <w:rPr>
          <w:rFonts w:ascii="Times New Roman" w:hAnsi="Times New Roman"/>
        </w:rPr>
      </w:pPr>
      <w:r>
        <w:rPr>
          <w:rFonts w:ascii="Times New Roman" w:hAnsi="Times New Roman"/>
        </w:rPr>
        <w:t xml:space="preserve">l)exigir dos fiscais a inclusão tempestiva das informações relativas à execução do contrato nos sistemas corporativos de controle, publicidade e transparência, inclusive no PNCP;</w:t>
      </w:r>
      <w:r>
        <w:rPr>
          <w:rFonts w:ascii="Times New Roman" w:hAnsi="Times New Roman"/>
        </w:rPr>
      </w:r>
      <w:r>
        <w:rPr>
          <w:rFonts w:ascii="Times New Roman" w:hAnsi="Times New Roman"/>
        </w:rPr>
      </w:r>
    </w:p>
    <w:p w14:paraId="4E1E4BD6">
      <w:pPr>
        <w:pBdr/>
        <w:spacing/>
        <w:ind/>
        <w:jc w:val="both"/>
        <w:rPr>
          <w:rFonts w:ascii="Times New Roman" w:hAnsi="Times New Roman"/>
        </w:rPr>
      </w:pPr>
      <w:r>
        <w:rPr>
          <w:rFonts w:ascii="Times New Roman" w:hAnsi="Times New Roman"/>
        </w:rPr>
        <w:t xml:space="preserve">m)coordenar as atividades relacionadas à fiscalização técnica e administrativa do contrato;</w:t>
      </w:r>
      <w:r>
        <w:rPr>
          <w:rFonts w:ascii="Times New Roman" w:hAnsi="Times New Roman"/>
        </w:rPr>
      </w:r>
      <w:r>
        <w:rPr>
          <w:rFonts w:ascii="Times New Roman" w:hAnsi="Times New Roman"/>
        </w:rPr>
      </w:r>
    </w:p>
    <w:p w14:paraId="2320607E">
      <w:pPr>
        <w:pBdr/>
        <w:spacing/>
        <w:ind/>
        <w:jc w:val="both"/>
        <w:rPr>
          <w:rFonts w:ascii="Times New Roman" w:hAnsi="Times New Roman"/>
        </w:rPr>
      </w:pPr>
      <w:r>
        <w:rPr>
          <w:rFonts w:ascii="Times New Roman" w:hAnsi="Times New Roman"/>
        </w:rPr>
        <w:t xml:space="preserve">n)emitir decisão sobre as solicitações e reclamações relacionadas à execução dos contratos;</w:t>
      </w:r>
      <w:r>
        <w:rPr>
          <w:rFonts w:ascii="Times New Roman" w:hAnsi="Times New Roman"/>
        </w:rPr>
      </w:r>
      <w:r>
        <w:rPr>
          <w:rFonts w:ascii="Times New Roman" w:hAnsi="Times New Roman"/>
        </w:rPr>
      </w:r>
    </w:p>
    <w:p w14:paraId="6D751500">
      <w:pPr>
        <w:pBdr/>
        <w:spacing/>
        <w:ind/>
        <w:jc w:val="both"/>
        <w:rPr>
          <w:rFonts w:ascii="Times New Roman" w:hAnsi="Times New Roman"/>
        </w:rPr>
      </w:pPr>
      <w:r>
        <w:rPr>
          <w:rFonts w:ascii="Times New Roman" w:hAnsi="Times New Roman"/>
        </w:rPr>
        <w:t xml:space="preserve">o)acompanhar os registr</w:t>
      </w:r>
      <w:r>
        <w:rPr>
          <w:rFonts w:ascii="Times New Roman" w:hAnsi="Times New Roman"/>
        </w:rPr>
        <w:t xml:space="preserve">os realizados pelos fiscais do contrato ou dos terceiros contratados a respeito de todas as ocorrências relacionadas à execução do contrato e as medidas adotadas, informando, se for o caso, à autoridade superior àquelas que ultrapassarem a sua competência;</w:t>
      </w:r>
      <w:r>
        <w:rPr>
          <w:rFonts w:ascii="Times New Roman" w:hAnsi="Times New Roman"/>
        </w:rPr>
      </w:r>
      <w:r>
        <w:rPr>
          <w:rFonts w:ascii="Times New Roman" w:hAnsi="Times New Roman"/>
        </w:rPr>
      </w:r>
    </w:p>
    <w:p w14:paraId="28A613CD">
      <w:pPr>
        <w:pBdr/>
        <w:spacing/>
        <w:ind/>
        <w:jc w:val="both"/>
        <w:rPr>
          <w:rFonts w:ascii="Times New Roman" w:hAnsi="Times New Roman"/>
        </w:rPr>
      </w:pPr>
      <w:r>
        <w:rPr>
          <w:rFonts w:ascii="Times New Roman" w:hAnsi="Times New Roman"/>
        </w:rPr>
        <w:t xml:space="preserve">p)c</w:t>
      </w:r>
      <w:r>
        <w:rPr>
          <w:rFonts w:ascii="Times New Roman" w:hAnsi="Times New Roman"/>
        </w:rPr>
        <w:t xml:space="preserve">onstituir relatório final, de que trata a alínea “d” do inciso VI do § 3º do art. 174 da Lei Federal nº 14.133, de 1º de abril de 2021, com as informações obtidas durante a execução do contrato, como forma de aprimoramento das atividades da Administração. </w:t>
      </w:r>
      <w:r>
        <w:rPr>
          <w:rFonts w:ascii="Times New Roman" w:hAnsi="Times New Roman"/>
        </w:rPr>
      </w:r>
      <w:r>
        <w:rPr>
          <w:rFonts w:ascii="Times New Roman" w:hAnsi="Times New Roman"/>
        </w:rPr>
      </w:r>
    </w:p>
    <w:p w14:paraId="7D962470">
      <w:pPr>
        <w:pBdr/>
        <w:spacing/>
        <w:ind/>
        <w:jc w:val="both"/>
        <w:rPr>
          <w:rFonts w:ascii="Times New Roman" w:hAnsi="Times New Roman"/>
        </w:rPr>
      </w:pPr>
      <w:r>
        <w:rPr>
          <w:rFonts w:ascii="Times New Roman" w:hAnsi="Times New Roman"/>
        </w:rPr>
        <w:t xml:space="preserve">q) outras atividades compatíveis com a função, determinadas pela autoridade competente.</w:t>
      </w:r>
      <w:r>
        <w:rPr>
          <w:rFonts w:ascii="Times New Roman" w:hAnsi="Times New Roman"/>
        </w:rPr>
      </w:r>
      <w:r>
        <w:rPr>
          <w:rFonts w:ascii="Times New Roman" w:hAnsi="Times New Roman"/>
        </w:rPr>
      </w:r>
    </w:p>
    <w:p w14:paraId="15FB4FF3">
      <w:pPr>
        <w:pBdr/>
        <w:spacing/>
        <w:ind/>
        <w:jc w:val="both"/>
        <w:rPr>
          <w:rFonts w:ascii="Times New Roman" w:hAnsi="Times New Roman"/>
        </w:rPr>
      </w:pPr>
      <w:r>
        <w:rPr>
          <w:rFonts w:ascii="Times New Roman" w:hAnsi="Times New Roman"/>
        </w:rPr>
        <w:t xml:space="preserve">r)as ausências e impedimentos dos fiscais titulares e substitutos, o gestor de contrato deverá designar fiscal provisório, preferencialmente entre servidores que preencham os requisitos técnicos profissionais aplicáveis.</w:t>
      </w:r>
      <w:r>
        <w:rPr>
          <w:rFonts w:ascii="Times New Roman" w:hAnsi="Times New Roman"/>
        </w:rPr>
      </w:r>
      <w:r>
        <w:rPr>
          <w:rFonts w:ascii="Times New Roman" w:hAnsi="Times New Roman"/>
        </w:rPr>
      </w:r>
    </w:p>
    <w:p w14:paraId="51BB1A7C">
      <w:pPr>
        <w:pBdr/>
        <w:spacing/>
        <w:ind/>
        <w:jc w:val="both"/>
        <w:rPr>
          <w:rFonts w:ascii="Times New Roman" w:hAnsi="Times New Roman"/>
        </w:rPr>
      </w:pPr>
      <w:r>
        <w:rPr>
          <w:rFonts w:ascii="Times New Roman" w:hAnsi="Times New Roman"/>
        </w:rPr>
        <w:t xml:space="preserve">s)Na f</w:t>
      </w:r>
      <w:r>
        <w:rPr>
          <w:rFonts w:ascii="Times New Roman" w:hAnsi="Times New Roman"/>
        </w:rPr>
        <w:t xml:space="preserve">orma do disposto no artigo 107 da Lei Federal n.º 14.133, de 2021, o gestor do contrato poderá negociar condições mais vantajosas com a contratada no procedimento que antecede a prorrogação ou a extinção dos contratos de serviços e fornecimentos contínuos.</w:t>
      </w:r>
      <w:r>
        <w:rPr>
          <w:rFonts w:ascii="Times New Roman" w:hAnsi="Times New Roman"/>
        </w:rPr>
      </w:r>
      <w:r>
        <w:rPr>
          <w:rFonts w:ascii="Times New Roman" w:hAnsi="Times New Roman"/>
        </w:rPr>
      </w:r>
    </w:p>
    <w:p w14:paraId="1735C6A6">
      <w:pPr>
        <w:pBdr/>
        <w:spacing/>
        <w:ind/>
        <w:jc w:val="both"/>
        <w:rPr>
          <w:rFonts w:ascii="Times New Roman" w:hAnsi="Times New Roman"/>
        </w:rPr>
      </w:pPr>
      <w:r>
        <w:rPr>
          <w:rFonts w:ascii="Times New Roman" w:hAnsi="Times New Roman"/>
          <w:b/>
          <w:bCs/>
          <w:lang w:val="pt-BR"/>
        </w:rPr>
        <w:t xml:space="preserve">6.9</w:t>
      </w:r>
      <w:r>
        <w:rPr>
          <w:rFonts w:ascii="Times New Roman" w:hAnsi="Times New Roman"/>
          <w:lang w:val="pt-BR"/>
        </w:rPr>
        <w:t xml:space="preserve">. </w:t>
      </w:r>
      <w:r>
        <w:rPr>
          <w:rFonts w:ascii="Times New Roman" w:hAnsi="Times New Roman"/>
        </w:rPr>
        <w:t xml:space="preserve">Será admitida a repactuação contratual nas hipóteses previstas em lei, especialmente para recomposiç</w:t>
      </w:r>
      <w:r>
        <w:rPr>
          <w:rFonts w:ascii="Times New Roman" w:hAnsi="Times New Roman"/>
        </w:rPr>
        <w:t xml:space="preserve">ão da variação dos custos vinculados à planilha de formação de preços, desde que devidamente justificada pela contratada e aceita pela Administração. O prazo para resposta ao pedido de repactuação será de até 30 (trinta) dias, contados do protocolo formal.</w:t>
      </w:r>
      <w:r>
        <w:rPr>
          <w:rFonts w:ascii="Times New Roman" w:hAnsi="Times New Roman"/>
        </w:rPr>
      </w:r>
      <w:r>
        <w:rPr>
          <w:rFonts w:ascii="Times New Roman" w:hAnsi="Times New Roman"/>
        </w:rPr>
      </w:r>
    </w:p>
    <w:p w14:paraId="71C27F6E">
      <w:pPr>
        <w:pBdr/>
        <w:spacing/>
        <w:ind/>
        <w:jc w:val="both"/>
        <w:rPr>
          <w:rFonts w:ascii="Times New Roman" w:hAnsi="Times New Roman"/>
        </w:rPr>
      </w:pPr>
      <w:r>
        <w:rPr>
          <w:rFonts w:ascii="Times New Roman" w:hAnsi="Times New Roman"/>
          <w:b/>
          <w:bCs/>
          <w:lang w:val="pt-BR"/>
        </w:rPr>
        <w:t xml:space="preserve">6.10.</w:t>
      </w:r>
      <w:r>
        <w:rPr>
          <w:rFonts w:ascii="Times New Roman" w:hAnsi="Times New Roman"/>
          <w:lang w:val="pt-BR"/>
        </w:rPr>
        <w:t xml:space="preserve"> </w:t>
      </w:r>
      <w:r>
        <w:rPr>
          <w:rFonts w:ascii="Times New Roman" w:hAnsi="Times New Roman"/>
        </w:rPr>
        <w:t xml:space="preserve">Ademais, será facultado à contratada solicitar o reequilíbrio econômico-financeiro do contrato, nos termos do art. 124 da Lei n</w:t>
      </w:r>
      <w:r>
        <w:rPr>
          <w:rFonts w:ascii="Times New Roman" w:hAnsi="Times New Roman"/>
        </w:rPr>
        <w:t xml:space="preserve">º 14.133/2021, sempre que ocorrerem fatos imprevisíveis ou previsíveis de consequências incalculáveis que onerem a execução do objeto. O prazo para manifestação da Administração será de até 60 (sessenta) dias, contados do recebimento do pedido formalizado.</w:t>
      </w:r>
      <w:r>
        <w:rPr>
          <w:rFonts w:ascii="Times New Roman" w:hAnsi="Times New Roman"/>
        </w:rPr>
      </w:r>
      <w:r>
        <w:rPr>
          <w:rFonts w:ascii="Times New Roman" w:hAnsi="Times New Roman"/>
        </w:rPr>
      </w:r>
    </w:p>
    <w:p w14:paraId="5A8ADF78">
      <w:pPr>
        <w:pBdr/>
        <w:spacing/>
        <w:ind/>
        <w:jc w:val="both"/>
        <w:rPr>
          <w:rFonts w:ascii="Times New Roman" w:hAnsi="Times New Roman"/>
        </w:rPr>
      </w:pPr>
      <w:r>
        <w:rPr>
          <w:rFonts w:ascii="Times New Roman" w:hAnsi="Times New Roman"/>
          <w:b/>
          <w:bCs/>
          <w:lang w:val="pt-BR"/>
        </w:rPr>
        <w:t xml:space="preserve">6.11. </w:t>
      </w:r>
      <w:r>
        <w:rPr>
          <w:rFonts w:ascii="Times New Roman" w:hAnsi="Times New Roman"/>
        </w:rPr>
        <w:t xml:space="preserve">Na hipótese de inviabilidade legal da repactuação, esta será expressamente fundamentada pela Administração, assegurando-se o princípio da motivação.</w:t>
      </w:r>
      <w:r>
        <w:rPr>
          <w:rFonts w:ascii="Times New Roman" w:hAnsi="Times New Roman"/>
        </w:rPr>
      </w:r>
      <w:r>
        <w:rPr>
          <w:rFonts w:ascii="Times New Roman" w:hAnsi="Times New Roman"/>
        </w:rPr>
      </w:r>
    </w:p>
    <w:p w14:paraId="1903DA64">
      <w:pPr>
        <w:pBdr/>
        <w:spacing/>
        <w:ind/>
        <w:jc w:val="both"/>
        <w:rPr>
          <w:rFonts w:ascii="Times New Roman" w:hAnsi="Times New Roman"/>
          <w:b/>
          <w:bCs/>
        </w:rPr>
      </w:pPr>
      <w:r>
        <w:rPr>
          <w:rFonts w:ascii="Times New Roman" w:hAnsi="Times New Roman"/>
          <w:b/>
          <w:bCs/>
        </w:rPr>
        <w:t xml:space="preserve">6.1</w:t>
      </w:r>
      <w:r>
        <w:rPr>
          <w:rFonts w:ascii="Times New Roman" w:hAnsi="Times New Roman"/>
          <w:b/>
          <w:bCs/>
          <w:lang w:val="pt-BR"/>
        </w:rPr>
        <w:t xml:space="preserve">2.</w:t>
      </w:r>
      <w:r>
        <w:rPr>
          <w:rFonts w:ascii="Times New Roman" w:hAnsi="Times New Roman"/>
          <w:b/>
          <w:bCs/>
        </w:rPr>
        <w:t xml:space="preserve"> DAS OBRIGAÇÕES DA CONTRATANTE:</w:t>
      </w:r>
      <w:r>
        <w:rPr>
          <w:rFonts w:ascii="Times New Roman" w:hAnsi="Times New Roman"/>
          <w:b/>
          <w:bCs/>
        </w:rPr>
      </w:r>
      <w:r>
        <w:rPr>
          <w:rFonts w:ascii="Times New Roman" w:hAnsi="Times New Roman"/>
          <w:b/>
          <w:bCs/>
        </w:rPr>
      </w:r>
    </w:p>
    <w:p w14:paraId="56D89A2A">
      <w:pPr>
        <w:pBdr/>
        <w:spacing/>
        <w:ind/>
        <w:jc w:val="both"/>
        <w:rPr>
          <w:rFonts w:ascii="Times New Roman" w:hAnsi="Times New Roman"/>
        </w:rPr>
      </w:pPr>
      <w:r>
        <w:rPr>
          <w:rFonts w:ascii="Times New Roman" w:hAnsi="Times New Roman"/>
          <w:b/>
          <w:bCs/>
          <w:lang w:val="pt-BR"/>
        </w:rPr>
        <w:t xml:space="preserve">6.12.1.</w:t>
      </w:r>
      <w:r>
        <w:rPr>
          <w:rFonts w:ascii="Times New Roman" w:hAnsi="Times New Roman"/>
          <w:lang w:val="pt-BR"/>
        </w:rPr>
        <w:t xml:space="preserve"> </w:t>
      </w:r>
      <w:r>
        <w:rPr>
          <w:rFonts w:ascii="Times New Roman" w:hAnsi="Times New Roman"/>
        </w:rPr>
        <w:t xml:space="preserve">Notificar a licitante vencedora a assinar o contrato, ou outro documento equivalente, no prazo de até 05 (cinco) dias úteis e comunicar demais informações que achar pertinentes para o bom cumprimento do objeto;</w:t>
      </w:r>
      <w:r>
        <w:rPr>
          <w:rFonts w:ascii="Times New Roman" w:hAnsi="Times New Roman"/>
        </w:rPr>
      </w:r>
      <w:r>
        <w:rPr>
          <w:rFonts w:ascii="Times New Roman" w:hAnsi="Times New Roman"/>
        </w:rPr>
      </w:r>
    </w:p>
    <w:p w14:paraId="6E7A8843">
      <w:pPr>
        <w:pBdr/>
        <w:spacing/>
        <w:ind/>
        <w:jc w:val="both"/>
        <w:rPr>
          <w:rFonts w:ascii="Times New Roman" w:hAnsi="Times New Roman"/>
        </w:rPr>
      </w:pPr>
      <w:r>
        <w:rPr>
          <w:rFonts w:ascii="Times New Roman" w:hAnsi="Times New Roman"/>
          <w:b/>
          <w:bCs/>
          <w:lang w:val="pt-BR"/>
        </w:rPr>
        <w:t xml:space="preserve">6.12.2. </w:t>
      </w:r>
      <w:r>
        <w:rPr>
          <w:rFonts w:ascii="Times New Roman" w:hAnsi="Times New Roman"/>
        </w:rPr>
        <w:t xml:space="preserve">Proporcionar todas as facilidades indispensáveis à boa execução das obrigações contratuais, inclusive permitindo o acesso de empregados, prepostos ou representantes da contratada em suas dependências, quando for o caso.</w:t>
      </w:r>
      <w:r>
        <w:rPr>
          <w:rFonts w:ascii="Times New Roman" w:hAnsi="Times New Roman"/>
        </w:rPr>
      </w:r>
      <w:r>
        <w:rPr>
          <w:rFonts w:ascii="Times New Roman" w:hAnsi="Times New Roman"/>
        </w:rPr>
      </w:r>
    </w:p>
    <w:p w14:paraId="46ADCEFC">
      <w:pPr>
        <w:pBdr/>
        <w:spacing/>
        <w:ind/>
        <w:jc w:val="both"/>
        <w:rPr>
          <w:rFonts w:ascii="Times New Roman" w:hAnsi="Times New Roman"/>
        </w:rPr>
      </w:pPr>
      <w:r>
        <w:rPr>
          <w:rFonts w:ascii="Times New Roman" w:hAnsi="Times New Roman"/>
          <w:b/>
          <w:bCs/>
          <w:lang w:val="pt-BR"/>
        </w:rPr>
        <w:t xml:space="preserve">6.12.3. </w:t>
      </w:r>
      <w:r>
        <w:rPr>
          <w:rFonts w:ascii="Times New Roman" w:hAnsi="Times New Roman"/>
        </w:rPr>
        <w:t xml:space="preserve">Rejeitar, no todo ou em parte, os </w:t>
      </w:r>
      <w:r>
        <w:rPr>
          <w:rFonts w:ascii="Times New Roman" w:hAnsi="Times New Roman"/>
          <w:lang w:val="pt-BR"/>
        </w:rPr>
        <w:t xml:space="preserve">materiais</w:t>
      </w:r>
      <w:r>
        <w:rPr>
          <w:rFonts w:ascii="Times New Roman" w:hAnsi="Times New Roman"/>
        </w:rPr>
        <w:t xml:space="preserve"> entregues em desacordo com as obrigações assumidas pelo fornecedor. </w:t>
      </w:r>
      <w:r>
        <w:rPr>
          <w:rFonts w:ascii="Times New Roman" w:hAnsi="Times New Roman"/>
        </w:rPr>
      </w:r>
      <w:r>
        <w:rPr>
          <w:rFonts w:ascii="Times New Roman" w:hAnsi="Times New Roman"/>
        </w:rPr>
      </w:r>
    </w:p>
    <w:p w14:paraId="1B78FD67">
      <w:pPr>
        <w:pBdr/>
        <w:spacing/>
        <w:ind/>
        <w:jc w:val="both"/>
        <w:rPr>
          <w:rFonts w:ascii="Times New Roman" w:hAnsi="Times New Roman"/>
        </w:rPr>
      </w:pPr>
      <w:r>
        <w:rPr>
          <w:rFonts w:ascii="Times New Roman" w:hAnsi="Times New Roman"/>
          <w:b/>
          <w:bCs/>
          <w:lang w:val="pt-BR"/>
        </w:rPr>
        <w:t xml:space="preserve">6.12.4. </w:t>
      </w:r>
      <w:r>
        <w:rPr>
          <w:rFonts w:ascii="Times New Roman" w:hAnsi="Times New Roman"/>
        </w:rPr>
        <w:t xml:space="preserve">Notificar a CONTRATADA de qualquer irregularidade encontrada nos produtos fornecidos.</w:t>
      </w:r>
      <w:r>
        <w:rPr>
          <w:rFonts w:ascii="Times New Roman" w:hAnsi="Times New Roman"/>
        </w:rPr>
      </w:r>
      <w:r>
        <w:rPr>
          <w:rFonts w:ascii="Times New Roman" w:hAnsi="Times New Roman"/>
        </w:rPr>
      </w:r>
    </w:p>
    <w:p w14:paraId="7C923842">
      <w:pPr>
        <w:pBdr/>
        <w:spacing/>
        <w:ind/>
        <w:jc w:val="both"/>
        <w:rPr>
          <w:rFonts w:ascii="Times New Roman" w:hAnsi="Times New Roman"/>
        </w:rPr>
      </w:pPr>
      <w:r>
        <w:rPr>
          <w:rFonts w:ascii="Times New Roman" w:hAnsi="Times New Roman"/>
          <w:b/>
          <w:bCs/>
          <w:lang w:val="pt-BR"/>
        </w:rPr>
        <w:t xml:space="preserve">6.12.5. </w:t>
      </w:r>
      <w:r>
        <w:rPr>
          <w:rFonts w:ascii="Times New Roman" w:hAnsi="Times New Roman"/>
        </w:rPr>
        <w:t xml:space="preserve">Efetuar o pagamento à CONTRATADA, nas condições estabelecidas no edital.</w:t>
      </w:r>
      <w:r>
        <w:rPr>
          <w:rFonts w:ascii="Times New Roman" w:hAnsi="Times New Roman"/>
        </w:rPr>
      </w:r>
      <w:r>
        <w:rPr>
          <w:rFonts w:ascii="Times New Roman" w:hAnsi="Times New Roman"/>
        </w:rPr>
      </w:r>
    </w:p>
    <w:p w14:paraId="3A0548BB">
      <w:pPr>
        <w:pBdr/>
        <w:spacing/>
        <w:ind/>
        <w:jc w:val="both"/>
        <w:rPr>
          <w:rFonts w:ascii="Times New Roman" w:hAnsi="Times New Roman"/>
        </w:rPr>
      </w:pPr>
      <w:r>
        <w:rPr>
          <w:rFonts w:ascii="Times New Roman" w:hAnsi="Times New Roman"/>
          <w:b/>
          <w:bCs/>
          <w:lang w:val="pt-BR"/>
        </w:rPr>
        <w:t xml:space="preserve">6.12.6. </w:t>
      </w:r>
      <w:r>
        <w:rPr>
          <w:rFonts w:ascii="Times New Roman" w:hAnsi="Times New Roman"/>
        </w:rPr>
        <w:t xml:space="preserve">Nenhum pagamento será efetuado à empresa adjudicatária, enquanto pendente de liquidação qualquer obrigação. Esse fato não será gerador de direito a reajustamento de preços ou a atualização monetária.</w:t>
      </w:r>
      <w:r>
        <w:rPr>
          <w:rFonts w:ascii="Times New Roman" w:hAnsi="Times New Roman"/>
        </w:rPr>
      </w:r>
      <w:r>
        <w:rPr>
          <w:rFonts w:ascii="Times New Roman" w:hAnsi="Times New Roman"/>
        </w:rPr>
      </w:r>
    </w:p>
    <w:p w14:paraId="38D4C6FC">
      <w:pPr>
        <w:pBdr/>
        <w:spacing/>
        <w:ind/>
        <w:jc w:val="both"/>
        <w:rPr>
          <w:rFonts w:ascii="Times New Roman" w:hAnsi="Times New Roman"/>
        </w:rPr>
      </w:pPr>
      <w:r>
        <w:rPr>
          <w:rFonts w:ascii="Times New Roman" w:hAnsi="Times New Roman"/>
          <w:b/>
          <w:bCs/>
          <w:lang w:val="pt-BR"/>
        </w:rPr>
        <w:t xml:space="preserve">6.12.7.</w:t>
      </w:r>
      <w:r>
        <w:rPr>
          <w:rFonts w:ascii="Times New Roman" w:hAnsi="Times New Roman"/>
          <w:lang w:val="pt-BR"/>
        </w:rPr>
        <w:t xml:space="preserve"> </w:t>
      </w:r>
      <w:r>
        <w:rPr>
          <w:rFonts w:ascii="Times New Roman" w:hAnsi="Times New Roman"/>
        </w:rPr>
        <w:t xml:space="preserve">Não haverá, sob hipótese alguma, pagamento antecipado.</w:t>
      </w:r>
      <w:r>
        <w:rPr>
          <w:rFonts w:ascii="Times New Roman" w:hAnsi="Times New Roman"/>
        </w:rPr>
      </w:r>
      <w:r>
        <w:rPr>
          <w:rFonts w:ascii="Times New Roman" w:hAnsi="Times New Roman"/>
        </w:rPr>
      </w:r>
    </w:p>
    <w:p w14:paraId="52C7BCA0">
      <w:pPr>
        <w:pBdr/>
        <w:spacing/>
        <w:ind/>
        <w:jc w:val="both"/>
        <w:rPr>
          <w:rFonts w:ascii="Times New Roman" w:hAnsi="Times New Roman"/>
        </w:rPr>
      </w:pPr>
      <w:r>
        <w:rPr>
          <w:rFonts w:ascii="Times New Roman" w:hAnsi="Times New Roman"/>
          <w:b/>
          <w:bCs/>
          <w:lang w:val="pt-BR"/>
        </w:rPr>
        <w:t xml:space="preserve">6.12.8. </w:t>
      </w:r>
      <w:r>
        <w:rPr>
          <w:rFonts w:ascii="Times New Roman" w:hAnsi="Times New Roman"/>
        </w:rPr>
        <w:t xml:space="preserve">Coordenar e fiscalizar a entrega dos produtos pertinentes à aquisição. Prestar as informações e os esclarecimentos que fizerem necessários.</w:t>
      </w:r>
      <w:r>
        <w:rPr>
          <w:rFonts w:ascii="Times New Roman" w:hAnsi="Times New Roman"/>
        </w:rPr>
      </w:r>
      <w:r>
        <w:rPr>
          <w:rFonts w:ascii="Times New Roman" w:hAnsi="Times New Roman"/>
        </w:rPr>
      </w:r>
    </w:p>
    <w:p w14:paraId="53C34E73">
      <w:pPr>
        <w:pBdr/>
        <w:spacing/>
        <w:ind/>
        <w:jc w:val="both"/>
        <w:rPr>
          <w:rFonts w:ascii="Times New Roman" w:hAnsi="Times New Roman"/>
          <w:b/>
          <w:bCs/>
        </w:rPr>
      </w:pPr>
      <w:r>
        <w:rPr>
          <w:rFonts w:ascii="Times New Roman" w:hAnsi="Times New Roman"/>
          <w:b/>
          <w:bCs/>
        </w:rPr>
        <w:t xml:space="preserve">6.</w:t>
      </w:r>
      <w:r>
        <w:rPr>
          <w:rFonts w:ascii="Times New Roman" w:hAnsi="Times New Roman"/>
          <w:b/>
          <w:bCs/>
          <w:lang w:val="pt-BR"/>
        </w:rPr>
        <w:t xml:space="preserve">13</w:t>
      </w:r>
      <w:r>
        <w:rPr>
          <w:rFonts w:ascii="Times New Roman" w:hAnsi="Times New Roman"/>
          <w:b/>
          <w:bCs/>
        </w:rPr>
        <w:t xml:space="preserve">. DAS OBRIGAÇÕES DA CONTRATADA:</w:t>
      </w:r>
      <w:r>
        <w:rPr>
          <w:rFonts w:ascii="Times New Roman" w:hAnsi="Times New Roman"/>
          <w:b/>
          <w:bCs/>
        </w:rPr>
      </w:r>
      <w:r>
        <w:rPr>
          <w:rFonts w:ascii="Times New Roman" w:hAnsi="Times New Roman"/>
          <w:b/>
          <w:bCs/>
        </w:rPr>
      </w:r>
    </w:p>
    <w:p w14:paraId="39D17071">
      <w:pPr>
        <w:pBdr/>
        <w:spacing/>
        <w:ind/>
        <w:jc w:val="both"/>
        <w:rPr>
          <w:rFonts w:ascii="Times New Roman" w:hAnsi="Times New Roman"/>
        </w:rPr>
      </w:pPr>
      <w:r>
        <w:rPr>
          <w:rFonts w:ascii="Times New Roman" w:hAnsi="Times New Roman"/>
          <w:b/>
          <w:bCs/>
          <w:lang w:val="pt-BR"/>
        </w:rPr>
        <w:t xml:space="preserve">6.13.1.</w:t>
      </w:r>
      <w:r>
        <w:rPr>
          <w:rFonts w:ascii="Times New Roman" w:hAnsi="Times New Roman"/>
          <w:lang w:val="pt-BR"/>
        </w:rPr>
        <w:t xml:space="preserve"> </w:t>
      </w:r>
      <w:r>
        <w:rPr>
          <w:rFonts w:ascii="Times New Roman" w:hAnsi="Times New Roman"/>
        </w:rPr>
        <w:t xml:space="preserve">Após a homologação da licitação, comparecer a Prefeitura Municipal para assinatura do contrato, ou outro documento equivalente, em até 03 (três) dias úteis, contados do recebimento da convocação formal;</w:t>
      </w:r>
      <w:r>
        <w:rPr>
          <w:rFonts w:ascii="Times New Roman" w:hAnsi="Times New Roman"/>
        </w:rPr>
      </w:r>
      <w:r>
        <w:rPr>
          <w:rFonts w:ascii="Times New Roman" w:hAnsi="Times New Roman"/>
        </w:rPr>
      </w:r>
    </w:p>
    <w:p w14:paraId="43B52F53">
      <w:pPr>
        <w:pBdr/>
        <w:spacing/>
        <w:ind/>
        <w:jc w:val="both"/>
        <w:rPr>
          <w:rFonts w:ascii="Times New Roman" w:hAnsi="Times New Roman"/>
        </w:rPr>
      </w:pPr>
      <w:r>
        <w:rPr>
          <w:rFonts w:ascii="Times New Roman" w:hAnsi="Times New Roman"/>
          <w:b/>
          <w:bCs/>
          <w:lang w:val="pt-BR"/>
        </w:rPr>
        <w:t xml:space="preserve">6.13.2.</w:t>
      </w:r>
      <w:r>
        <w:rPr>
          <w:rFonts w:ascii="Times New Roman" w:hAnsi="Times New Roman"/>
          <w:lang w:val="pt-BR"/>
        </w:rPr>
        <w:t xml:space="preserve"> </w:t>
      </w:r>
      <w:r>
        <w:rPr>
          <w:rFonts w:ascii="Times New Roman" w:hAnsi="Times New Roman"/>
        </w:rPr>
        <w:t xml:space="preserve">A Administração, em</w:t>
      </w:r>
      <w:r>
        <w:rPr>
          <w:rFonts w:ascii="Times New Roman" w:hAnsi="Times New Roman"/>
        </w:rPr>
        <w:t xml:space="preserve"> vez de convocar o adjudicatário, poderá encaminhá-lo, o instrumento contratual, mediante correspondência postal com aviso de recebimento (AR) ou meio eletrônico, para que seja assinado no prazo de 03 (três) dias úteis, a contar da data de seu recebimento.</w:t>
      </w:r>
      <w:r>
        <w:rPr>
          <w:rFonts w:ascii="Times New Roman" w:hAnsi="Times New Roman"/>
        </w:rPr>
      </w:r>
      <w:r>
        <w:rPr>
          <w:rFonts w:ascii="Times New Roman" w:hAnsi="Times New Roman"/>
        </w:rPr>
      </w:r>
    </w:p>
    <w:p w14:paraId="2923A9A6">
      <w:pPr>
        <w:pBdr/>
        <w:spacing/>
        <w:ind/>
        <w:jc w:val="both"/>
        <w:rPr>
          <w:rFonts w:ascii="Times New Roman" w:hAnsi="Times New Roman"/>
        </w:rPr>
      </w:pPr>
      <w:r>
        <w:rPr>
          <w:rFonts w:ascii="Times New Roman" w:hAnsi="Times New Roman"/>
          <w:b/>
          <w:bCs/>
          <w:lang w:val="pt-BR"/>
        </w:rPr>
        <w:t xml:space="preserve">6.13.3.</w:t>
      </w:r>
      <w:r>
        <w:rPr>
          <w:rFonts w:ascii="Times New Roman" w:hAnsi="Times New Roman"/>
          <w:lang w:val="pt-BR"/>
        </w:rPr>
        <w:t xml:space="preserve"> </w:t>
      </w:r>
      <w:r>
        <w:rPr>
          <w:rFonts w:ascii="Times New Roman" w:hAnsi="Times New Roman"/>
        </w:rPr>
        <w:t xml:space="preserve">O prazo previsto no subitem anterior poderá ser prorrogado, por igual período, por solicitação justificada do adjudicatário e aceita pela Administração.</w:t>
      </w:r>
      <w:r>
        <w:rPr>
          <w:rFonts w:ascii="Times New Roman" w:hAnsi="Times New Roman"/>
        </w:rPr>
      </w:r>
      <w:r>
        <w:rPr>
          <w:rFonts w:ascii="Times New Roman" w:hAnsi="Times New Roman"/>
        </w:rPr>
      </w:r>
    </w:p>
    <w:p w14:paraId="58C88C64">
      <w:pPr>
        <w:pBdr/>
        <w:spacing/>
        <w:ind/>
        <w:jc w:val="both"/>
        <w:rPr>
          <w:rFonts w:ascii="Times New Roman" w:hAnsi="Times New Roman"/>
        </w:rPr>
      </w:pPr>
      <w:r>
        <w:rPr>
          <w:rFonts w:ascii="Times New Roman" w:hAnsi="Times New Roman"/>
          <w:b/>
          <w:bCs/>
          <w:lang w:val="pt-BR"/>
        </w:rPr>
        <w:t xml:space="preserve">6.13.4.</w:t>
      </w:r>
      <w:r>
        <w:rPr>
          <w:rFonts w:ascii="Times New Roman" w:hAnsi="Times New Roman"/>
          <w:lang w:val="pt-BR"/>
        </w:rPr>
        <w:t xml:space="preserve"> </w:t>
      </w:r>
      <w:r>
        <w:rPr>
          <w:rFonts w:ascii="Times New Roman" w:hAnsi="Times New Roman"/>
        </w:rPr>
        <w:t xml:space="preserve">Executar o fornecimento dentro dos padrões estabelecidos pela administração, de acordo com a especificação do </w:t>
      </w:r>
      <w:r>
        <w:rPr>
          <w:rFonts w:ascii="Times New Roman" w:hAnsi="Times New Roman"/>
        </w:rPr>
        <w:t xml:space="preserve">Edital, responsabilizando-se por eventuais prejuízos decorrentes do descumprimento de condição estabelecida;</w:t>
      </w:r>
      <w:r>
        <w:rPr>
          <w:rFonts w:ascii="Times New Roman" w:hAnsi="Times New Roman"/>
        </w:rPr>
      </w:r>
      <w:r>
        <w:rPr>
          <w:rFonts w:ascii="Times New Roman" w:hAnsi="Times New Roman"/>
        </w:rPr>
      </w:r>
    </w:p>
    <w:p w14:paraId="29F130B0">
      <w:pPr>
        <w:pBdr/>
        <w:spacing/>
        <w:ind/>
        <w:jc w:val="both"/>
        <w:rPr>
          <w:rFonts w:ascii="Times New Roman" w:hAnsi="Times New Roman"/>
        </w:rPr>
      </w:pPr>
      <w:r>
        <w:rPr>
          <w:rFonts w:ascii="Times New Roman" w:hAnsi="Times New Roman"/>
          <w:b/>
          <w:bCs/>
          <w:lang w:val="pt-BR"/>
        </w:rPr>
        <w:t xml:space="preserve">6.13.5. </w:t>
      </w:r>
      <w:r>
        <w:rPr>
          <w:rFonts w:ascii="Times New Roman" w:hAnsi="Times New Roman"/>
        </w:rPr>
        <w:t xml:space="preserve">Dispor-se a toda e qualquer fiscalização da PREFEITURA, no tocante ao fornecimento do objeto contratado, assim como ao cumprimento das obrigações previstas no contrato administrativo decorrente da dispensa de licitação;</w:t>
      </w:r>
      <w:r>
        <w:rPr>
          <w:rFonts w:ascii="Times New Roman" w:hAnsi="Times New Roman"/>
        </w:rPr>
      </w:r>
      <w:r>
        <w:rPr>
          <w:rFonts w:ascii="Times New Roman" w:hAnsi="Times New Roman"/>
        </w:rPr>
      </w:r>
    </w:p>
    <w:p w14:paraId="39116890">
      <w:pPr>
        <w:pBdr/>
        <w:spacing/>
        <w:ind/>
        <w:jc w:val="both"/>
        <w:rPr>
          <w:rFonts w:ascii="Times New Roman" w:hAnsi="Times New Roman"/>
        </w:rPr>
      </w:pPr>
      <w:r>
        <w:rPr>
          <w:rFonts w:ascii="Times New Roman" w:hAnsi="Times New Roman"/>
          <w:b/>
          <w:bCs/>
          <w:lang w:val="pt-BR"/>
        </w:rPr>
        <w:t xml:space="preserve">6.13.6. </w:t>
      </w:r>
      <w:r>
        <w:rPr>
          <w:rFonts w:ascii="Times New Roman" w:hAnsi="Times New Roman"/>
        </w:rPr>
        <w:t xml:space="preserve">Conceder livre acesso aos seus documentos e registros contábeis, administrativo</w:t>
      </w:r>
      <w:r>
        <w:rPr>
          <w:rFonts w:ascii="Times New Roman" w:hAnsi="Times New Roman"/>
        </w:rPr>
        <w:t xml:space="preserve">s e técnicos que tenham relação com o objeto contratual, sempre que solicitados pelos servidores ou empregados do órgão contratante, bem como pelos órgãos de controle interno e externo, nos termos do art. 117, §3º, inciso IV, da Lei Federal nº 14.133/2021.</w:t>
      </w:r>
      <w:r>
        <w:rPr>
          <w:rFonts w:ascii="Times New Roman" w:hAnsi="Times New Roman"/>
        </w:rPr>
      </w:r>
      <w:r>
        <w:rPr>
          <w:rFonts w:ascii="Times New Roman" w:hAnsi="Times New Roman"/>
        </w:rPr>
      </w:r>
    </w:p>
    <w:p w14:paraId="5633638D">
      <w:pPr>
        <w:pBdr/>
        <w:spacing/>
        <w:ind/>
        <w:jc w:val="both"/>
        <w:rPr>
          <w:rFonts w:ascii="Times New Roman" w:hAnsi="Times New Roman"/>
        </w:rPr>
      </w:pPr>
      <w:r>
        <w:rPr>
          <w:rFonts w:ascii="Times New Roman" w:hAnsi="Times New Roman"/>
          <w:b/>
          <w:bCs/>
          <w:lang w:val="pt-BR"/>
        </w:rPr>
        <w:t xml:space="preserve">6.13.7. </w:t>
      </w:r>
      <w:r>
        <w:rPr>
          <w:rFonts w:ascii="Times New Roman" w:hAnsi="Times New Roman"/>
        </w:rPr>
        <w:t xml:space="preserve">Prover todos os meios necessários à garantia da plena operacionalidade do fornecimento, inclusive considerados os casos de greve ou paralisação de qualquer natureza;</w:t>
      </w:r>
      <w:r>
        <w:rPr>
          <w:rFonts w:ascii="Times New Roman" w:hAnsi="Times New Roman"/>
        </w:rPr>
      </w:r>
      <w:r>
        <w:rPr>
          <w:rFonts w:ascii="Times New Roman" w:hAnsi="Times New Roman"/>
        </w:rPr>
      </w:r>
    </w:p>
    <w:p w14:paraId="2709E190">
      <w:pPr>
        <w:pBdr/>
        <w:spacing/>
        <w:ind/>
        <w:jc w:val="both"/>
        <w:rPr>
          <w:rFonts w:ascii="Times New Roman" w:hAnsi="Times New Roman"/>
        </w:rPr>
      </w:pPr>
      <w:r>
        <w:rPr>
          <w:rFonts w:ascii="Times New Roman" w:hAnsi="Times New Roman"/>
          <w:b/>
          <w:bCs/>
          <w:lang w:val="pt-BR"/>
        </w:rPr>
        <w:t xml:space="preserve">6.13.8. </w:t>
      </w:r>
      <w:r>
        <w:rPr>
          <w:rFonts w:ascii="Times New Roman" w:hAnsi="Times New Roman"/>
        </w:rPr>
        <w:t xml:space="preserve">O atraso na entrega do objeto licitado n</w:t>
      </w:r>
      <w:r>
        <w:rPr>
          <w:rFonts w:ascii="Times New Roman" w:hAnsi="Times New Roman"/>
        </w:rPr>
        <w:t xml:space="preserve">o prazo estabelecido em edital, não poderá ser alegado como motivo de força maior, má execução ou inexecução da entrega, objeto do contrato e não a eximirá das penalidades a que está sujeita pelo não cumprimento dos prazos e demais condições estabelecidas;</w:t>
      </w:r>
      <w:r>
        <w:rPr>
          <w:rFonts w:ascii="Times New Roman" w:hAnsi="Times New Roman"/>
        </w:rPr>
      </w:r>
      <w:r>
        <w:rPr>
          <w:rFonts w:ascii="Times New Roman" w:hAnsi="Times New Roman"/>
        </w:rPr>
      </w:r>
    </w:p>
    <w:p w14:paraId="7C18421A">
      <w:pPr>
        <w:pBdr/>
        <w:spacing/>
        <w:ind/>
        <w:jc w:val="both"/>
        <w:rPr>
          <w:rFonts w:ascii="Times New Roman" w:hAnsi="Times New Roman"/>
        </w:rPr>
      </w:pPr>
      <w:r>
        <w:rPr>
          <w:rFonts w:ascii="Times New Roman" w:hAnsi="Times New Roman"/>
          <w:b/>
          <w:bCs/>
          <w:lang w:val="pt-BR"/>
        </w:rPr>
        <w:t xml:space="preserve">6.13.9. </w:t>
      </w:r>
      <w:r>
        <w:rPr>
          <w:rFonts w:ascii="Times New Roman" w:hAnsi="Times New Roman"/>
        </w:rPr>
        <w:t xml:space="preserve">Comunicar imediatamente à PREFEITURA qualquer alteração ocorrida no endereço, conta bancária e outros dados</w:t>
      </w:r>
      <w:r>
        <w:rPr>
          <w:rFonts w:ascii="Times New Roman" w:hAnsi="Times New Roman"/>
          <w:lang w:val="pt-BR"/>
        </w:rPr>
        <w:t xml:space="preserve"> </w:t>
      </w:r>
      <w:r>
        <w:rPr>
          <w:rFonts w:ascii="Times New Roman" w:hAnsi="Times New Roman"/>
        </w:rPr>
        <w:t xml:space="preserve">julgáveis necessários para recebimento de correspondência;</w:t>
      </w:r>
      <w:r>
        <w:rPr>
          <w:rFonts w:ascii="Times New Roman" w:hAnsi="Times New Roman"/>
        </w:rPr>
      </w:r>
      <w:r>
        <w:rPr>
          <w:rFonts w:ascii="Times New Roman" w:hAnsi="Times New Roman"/>
        </w:rPr>
      </w:r>
    </w:p>
    <w:p w14:paraId="072A24B8">
      <w:pPr>
        <w:pBdr/>
        <w:spacing/>
        <w:ind/>
        <w:jc w:val="both"/>
        <w:rPr>
          <w:rFonts w:ascii="Times New Roman" w:hAnsi="Times New Roman"/>
        </w:rPr>
      </w:pPr>
      <w:r>
        <w:rPr>
          <w:rFonts w:ascii="Times New Roman" w:hAnsi="Times New Roman"/>
          <w:b/>
          <w:bCs/>
          <w:lang w:val="pt-BR"/>
        </w:rPr>
        <w:t xml:space="preserve">6.13.10. </w:t>
      </w:r>
      <w:r>
        <w:rPr>
          <w:rFonts w:ascii="Times New Roman" w:hAnsi="Times New Roman"/>
        </w:rPr>
        <w:t xml:space="preserve">Fiscalizar o perfeito cumprimento do fornecimento a que se obrigou, cabendo-lhe, integralmente, os ônus decorrentes. Tal fiscalização dar-se-á independentemente da que será exercida pela PREFEITURA;</w:t>
      </w:r>
      <w:r>
        <w:rPr>
          <w:rFonts w:ascii="Times New Roman" w:hAnsi="Times New Roman"/>
        </w:rPr>
      </w:r>
      <w:r>
        <w:rPr>
          <w:rFonts w:ascii="Times New Roman" w:hAnsi="Times New Roman"/>
        </w:rPr>
      </w:r>
    </w:p>
    <w:p w14:paraId="683C0B26">
      <w:pPr>
        <w:pBdr/>
        <w:spacing/>
        <w:ind/>
        <w:jc w:val="both"/>
        <w:rPr>
          <w:rFonts w:ascii="Times New Roman" w:hAnsi="Times New Roman"/>
        </w:rPr>
      </w:pPr>
      <w:r>
        <w:rPr>
          <w:rFonts w:ascii="Times New Roman" w:hAnsi="Times New Roman"/>
          <w:b/>
          <w:bCs/>
          <w:lang w:val="pt-BR"/>
        </w:rPr>
        <w:t xml:space="preserve">6.13.11.</w:t>
      </w:r>
      <w:r>
        <w:rPr>
          <w:rFonts w:ascii="Times New Roman" w:hAnsi="Times New Roman"/>
          <w:lang w:val="pt-BR"/>
        </w:rPr>
        <w:t xml:space="preserve"> </w:t>
      </w:r>
      <w:r>
        <w:rPr>
          <w:rFonts w:ascii="Times New Roman" w:hAnsi="Times New Roman"/>
        </w:rPr>
        <w:t xml:space="preserve">Indenizar terceiros e/ou ao Órgão/Entidade, mesmo em </w:t>
      </w:r>
      <w:r>
        <w:rPr>
          <w:rFonts w:ascii="Times New Roman" w:hAnsi="Times New Roman"/>
        </w:rPr>
        <w:t xml:space="preserve">caso de ausência ou omissão de fiscalização de sua parte, pelos danos causados por sua culpa ou dolo, devendo a contratada adotar todas as medidas preventivas, com fiel observância às exigências das autoridades competentes e às disposições legais vigentes;</w:t>
      </w:r>
      <w:r>
        <w:rPr>
          <w:rFonts w:ascii="Times New Roman" w:hAnsi="Times New Roman"/>
        </w:rPr>
      </w:r>
      <w:r>
        <w:rPr>
          <w:rFonts w:ascii="Times New Roman" w:hAnsi="Times New Roman"/>
        </w:rPr>
      </w:r>
    </w:p>
    <w:p w14:paraId="7F7B2020">
      <w:pPr>
        <w:pBdr/>
        <w:spacing/>
        <w:ind/>
        <w:jc w:val="both"/>
        <w:rPr>
          <w:rFonts w:ascii="Times New Roman" w:hAnsi="Times New Roman"/>
        </w:rPr>
      </w:pPr>
      <w:r>
        <w:rPr>
          <w:rFonts w:ascii="Times New Roman" w:hAnsi="Times New Roman"/>
          <w:b/>
          <w:bCs/>
          <w:lang w:val="pt-BR"/>
        </w:rPr>
        <w:t xml:space="preserve">6.13.12.</w:t>
      </w:r>
      <w:r>
        <w:rPr>
          <w:rFonts w:ascii="Times New Roman" w:hAnsi="Times New Roman"/>
          <w:lang w:val="pt-BR"/>
        </w:rPr>
        <w:t xml:space="preserve"> </w:t>
      </w:r>
      <w:r>
        <w:rPr>
          <w:rFonts w:ascii="Times New Roman" w:hAnsi="Times New Roman"/>
        </w:rPr>
        <w:t xml:space="preserve">A contratada ficará</w:t>
      </w:r>
      <w:r>
        <w:rPr>
          <w:rFonts w:ascii="Times New Roman" w:hAnsi="Times New Roman"/>
        </w:rPr>
        <w:t xml:space="preserve"> obrigada a aceitar nas mesmas condições deste edital, os acréscimos ou supressões que se fizerem necessários, até 25% (vinte e cinco por cento) do valor do objeto adjudicado, devendo supressões acima desse limite ser resultantes de acordo entre as partes;</w:t>
      </w:r>
      <w:r>
        <w:rPr>
          <w:rFonts w:ascii="Times New Roman" w:hAnsi="Times New Roman"/>
        </w:rPr>
      </w:r>
      <w:r>
        <w:rPr>
          <w:rFonts w:ascii="Times New Roman" w:hAnsi="Times New Roman"/>
        </w:rPr>
      </w:r>
    </w:p>
    <w:p w14:paraId="04A9CA27">
      <w:pPr>
        <w:pBdr/>
        <w:spacing/>
        <w:ind/>
        <w:jc w:val="both"/>
        <w:rPr>
          <w:rFonts w:ascii="Times New Roman" w:hAnsi="Times New Roman"/>
        </w:rPr>
      </w:pPr>
      <w:r>
        <w:rPr>
          <w:rFonts w:ascii="Times New Roman" w:hAnsi="Times New Roman"/>
          <w:b/>
          <w:bCs/>
          <w:lang w:val="pt-BR"/>
        </w:rPr>
        <w:t xml:space="preserve">6.13.13.</w:t>
      </w:r>
      <w:r>
        <w:rPr>
          <w:rFonts w:ascii="Times New Roman" w:hAnsi="Times New Roman"/>
          <w:lang w:val="pt-BR"/>
        </w:rPr>
        <w:t xml:space="preserve"> </w:t>
      </w:r>
      <w:r>
        <w:rPr>
          <w:rFonts w:ascii="Times New Roman" w:hAnsi="Times New Roman"/>
        </w:rPr>
        <w:t xml:space="preserve">Arca</w:t>
      </w:r>
      <w:r>
        <w:rPr>
          <w:rFonts w:ascii="Times New Roman" w:hAnsi="Times New Roman"/>
        </w:rPr>
        <w:t xml:space="preserve">r com todo e qualquer tipo de autuação ou ação que venha a sofrer em decorrência do fornecimento em questão, bem como pelos mesmos nos casos que envolvam eventuais decisões judiciais, eximindo o Órgão/Entidade de qualquer solidariedade ou responsabilidade.</w:t>
      </w:r>
      <w:r>
        <w:rPr>
          <w:rFonts w:ascii="Times New Roman" w:hAnsi="Times New Roman"/>
        </w:rPr>
      </w:r>
      <w:r>
        <w:rPr>
          <w:rFonts w:ascii="Times New Roman" w:hAnsi="Times New Roman"/>
        </w:rPr>
      </w:r>
    </w:p>
    <w:p w14:paraId="1FB98FC8">
      <w:pPr>
        <w:pBdr/>
        <w:spacing/>
        <w:ind/>
        <w:jc w:val="both"/>
        <w:rPr>
          <w:rFonts w:ascii="Times New Roman" w:hAnsi="Times New Roman"/>
        </w:rPr>
      </w:pPr>
      <w:r>
        <w:rPr>
          <w:rFonts w:ascii="Times New Roman" w:hAnsi="Times New Roman"/>
          <w:b/>
          <w:bCs/>
          <w:lang w:val="pt-BR"/>
        </w:rPr>
        <w:t xml:space="preserve">6.13.14. </w:t>
      </w:r>
      <w:r>
        <w:rPr>
          <w:rFonts w:ascii="Times New Roman" w:hAnsi="Times New Roman"/>
        </w:rPr>
        <w:t xml:space="preserve">Todos os impostos e taxas que forem devidos em decorrência das contratações do objeto do Edital correrão por conta exclusiva da contratada.</w:t>
      </w:r>
      <w:r>
        <w:rPr>
          <w:rFonts w:ascii="Times New Roman" w:hAnsi="Times New Roman"/>
        </w:rPr>
      </w:r>
      <w:r>
        <w:rPr>
          <w:rFonts w:ascii="Times New Roman" w:hAnsi="Times New Roman"/>
        </w:rPr>
      </w:r>
    </w:p>
    <w:p w14:paraId="02BBDB33">
      <w:pPr>
        <w:pBdr/>
        <w:spacing/>
        <w:ind/>
        <w:jc w:val="both"/>
        <w:rPr>
          <w:rFonts w:ascii="Times New Roman" w:hAnsi="Times New Roman"/>
        </w:rPr>
      </w:pPr>
      <w:r>
        <w:rPr>
          <w:rFonts w:ascii="Times New Roman" w:hAnsi="Times New Roman"/>
          <w:b/>
          <w:bCs/>
          <w:lang w:val="pt-BR"/>
        </w:rPr>
        <w:t xml:space="preserve">6.13.15. </w:t>
      </w:r>
      <w:r>
        <w:rPr>
          <w:rFonts w:ascii="Times New Roman" w:hAnsi="Times New Roman"/>
        </w:rPr>
        <w:t xml:space="preserve">Como condição para pagamento, a licitante vencedora deverá obrigatoriamente apresentar novamente a documentação que comprova sua regularidade fiscal e trabalhista, conforme apresentado na fase de habilitação.</w:t>
      </w:r>
      <w:r>
        <w:rPr>
          <w:rFonts w:ascii="Times New Roman" w:hAnsi="Times New Roman"/>
        </w:rPr>
      </w:r>
      <w:r>
        <w:rPr>
          <w:rFonts w:ascii="Times New Roman" w:hAnsi="Times New Roman"/>
        </w:rPr>
      </w:r>
    </w:p>
    <w:p w14:paraId="797CBCC8">
      <w:pPr>
        <w:pBdr/>
        <w:spacing/>
        <w:ind/>
        <w:jc w:val="both"/>
        <w:rPr>
          <w:rFonts w:ascii="Times New Roman" w:hAnsi="Times New Roman"/>
        </w:rPr>
      </w:pPr>
      <w:r>
        <w:rPr>
          <w:rFonts w:ascii="Times New Roman" w:hAnsi="Times New Roman"/>
          <w:b/>
          <w:bCs/>
          <w:lang w:val="pt-BR"/>
        </w:rPr>
        <w:t xml:space="preserve">6.13.16. </w:t>
      </w:r>
      <w:r>
        <w:rPr>
          <w:rFonts w:ascii="Times New Roman" w:hAnsi="Times New Roman"/>
        </w:rPr>
        <w:t xml:space="preserve">Cumprir integralmente a legislação trabalhista e previdenciária vigente, em especial as exigências relativas à reserva legal de cargos para pessoas com deficiência (Lei nº 8.213/1991), beneficiários reabilitados da Prev</w:t>
      </w:r>
      <w:r>
        <w:rPr>
          <w:rFonts w:ascii="Times New Roman" w:hAnsi="Times New Roman"/>
        </w:rPr>
        <w:t xml:space="preserve">idência Social e aprendizes (Lei nº 10.097/2000), bem como observar as normas correlatas expedidas pelos órgãos competentes. O não atendimento a essas obrigações poderá ensejar aplicação de sanções administrativas, sem prejuízo das demais medidas cabíveis.</w:t>
      </w:r>
      <w:r>
        <w:rPr>
          <w:rFonts w:ascii="Times New Roman" w:hAnsi="Times New Roman"/>
        </w:rPr>
      </w:r>
      <w:r>
        <w:rPr>
          <w:rFonts w:ascii="Times New Roman" w:hAnsi="Times New Roman"/>
        </w:rPr>
      </w:r>
    </w:p>
    <w:p w14:paraId="0BD8F9E0">
      <w:pPr>
        <w:pBdr/>
        <w:spacing/>
        <w:ind/>
        <w:jc w:val="both"/>
        <w:rPr>
          <w:rFonts w:ascii="Times New Roman" w:hAnsi="Times New Roman"/>
          <w:b/>
          <w:bCs/>
        </w:rPr>
      </w:pPr>
      <w:r>
        <w:rPr>
          <w:rFonts w:ascii="Times New Roman" w:hAnsi="Times New Roman"/>
          <w:b/>
          <w:bCs/>
        </w:rPr>
        <w:t xml:space="preserve">6.</w:t>
      </w:r>
      <w:r>
        <w:rPr>
          <w:rFonts w:ascii="Times New Roman" w:hAnsi="Times New Roman"/>
          <w:b/>
          <w:bCs/>
          <w:lang w:val="pt-BR"/>
        </w:rPr>
        <w:t xml:space="preserve">14</w:t>
      </w:r>
      <w:r>
        <w:rPr>
          <w:rFonts w:ascii="Times New Roman" w:hAnsi="Times New Roman"/>
          <w:b/>
          <w:bCs/>
        </w:rPr>
        <w:t xml:space="preserve">. EXTINÇÃO DO CONTRATO</w:t>
      </w:r>
      <w:r>
        <w:rPr>
          <w:rFonts w:ascii="Times New Roman" w:hAnsi="Times New Roman"/>
          <w:b/>
          <w:bCs/>
        </w:rPr>
      </w:r>
      <w:r>
        <w:rPr>
          <w:rFonts w:ascii="Times New Roman" w:hAnsi="Times New Roman"/>
          <w:b/>
          <w:bCs/>
        </w:rPr>
      </w:r>
    </w:p>
    <w:p w14:paraId="6BBFF832">
      <w:pPr>
        <w:pBdr/>
        <w:spacing/>
        <w:ind/>
        <w:jc w:val="both"/>
        <w:rPr>
          <w:rFonts w:ascii="Times New Roman" w:hAnsi="Times New Roman"/>
        </w:rPr>
      </w:pPr>
      <w:r>
        <w:rPr>
          <w:rFonts w:ascii="Times New Roman" w:hAnsi="Times New Roman"/>
          <w:b/>
          <w:bCs/>
          <w:lang w:val="pt-BR"/>
        </w:rPr>
        <w:t xml:space="preserve">6.14.1. </w:t>
      </w:r>
      <w:r>
        <w:rPr>
          <w:rFonts w:ascii="Times New Roman" w:hAnsi="Times New Roman"/>
        </w:rPr>
        <w:t xml:space="preserve">A inexecução total ou parcial do contrato enseja a sua extinção, com as consequências contratuais e as previstas em lei ou regulamento administrativo;</w:t>
      </w:r>
      <w:r>
        <w:rPr>
          <w:rFonts w:ascii="Times New Roman" w:hAnsi="Times New Roman"/>
        </w:rPr>
      </w:r>
      <w:r>
        <w:rPr>
          <w:rFonts w:ascii="Times New Roman" w:hAnsi="Times New Roman"/>
        </w:rPr>
      </w:r>
    </w:p>
    <w:p w14:paraId="273F178E">
      <w:pPr>
        <w:pBdr/>
        <w:spacing/>
        <w:ind/>
        <w:jc w:val="both"/>
        <w:rPr>
          <w:rFonts w:ascii="Times New Roman" w:hAnsi="Times New Roman"/>
        </w:rPr>
      </w:pPr>
      <w:r>
        <w:rPr>
          <w:rFonts w:ascii="Times New Roman" w:hAnsi="Times New Roman"/>
          <w:b/>
          <w:bCs/>
          <w:lang w:val="pt-BR"/>
        </w:rPr>
        <w:t xml:space="preserve">6.14.2. </w:t>
      </w:r>
      <w:r>
        <w:rPr>
          <w:rFonts w:ascii="Times New Roman" w:hAnsi="Times New Roman"/>
        </w:rPr>
        <w:t xml:space="preserve">Poderão ser motivos de extinção contratual, as hipóteses descritas no Art. 137 da lei 14.133/21, podendo a mesmo ser unilateral, amigável ou judicial, podendo ocorrer nos termos e condições do Art.138 e 139 da referida lei e suas alterações;</w:t>
      </w:r>
      <w:r>
        <w:rPr>
          <w:rFonts w:ascii="Times New Roman" w:hAnsi="Times New Roman"/>
        </w:rPr>
      </w:r>
      <w:r>
        <w:rPr>
          <w:rFonts w:ascii="Times New Roman" w:hAnsi="Times New Roman"/>
        </w:rPr>
      </w:r>
    </w:p>
    <w:p w14:paraId="6099BC58">
      <w:pPr>
        <w:pBdr/>
        <w:spacing/>
        <w:ind/>
        <w:jc w:val="both"/>
        <w:rPr>
          <w:rFonts w:ascii="Times New Roman" w:hAnsi="Times New Roman"/>
        </w:rPr>
      </w:pPr>
      <w:r>
        <w:rPr>
          <w:rFonts w:ascii="Times New Roman" w:hAnsi="Times New Roman"/>
          <w:b/>
          <w:bCs/>
          <w:lang w:val="pt-BR"/>
        </w:rPr>
        <w:t xml:space="preserve">6.14.3.</w:t>
      </w:r>
      <w:r>
        <w:rPr>
          <w:rFonts w:ascii="Times New Roman" w:hAnsi="Times New Roman"/>
          <w:lang w:val="pt-BR"/>
        </w:rPr>
        <w:t xml:space="preserve"> </w:t>
      </w:r>
      <w:r>
        <w:rPr>
          <w:rFonts w:ascii="Times New Roman" w:hAnsi="Times New Roman"/>
        </w:rPr>
        <w:t xml:space="preserve">A CONTRATADA reconhece os direitos da CONTRATANTE nos casos de extinção do § 2º Art. 138 da lei 14.133/21.</w:t>
      </w:r>
      <w:r>
        <w:rPr>
          <w:rFonts w:ascii="Times New Roman" w:hAnsi="Times New Roman"/>
        </w:rPr>
      </w:r>
      <w:r>
        <w:rPr>
          <w:rFonts w:ascii="Times New Roman" w:hAnsi="Times New Roman"/>
        </w:rPr>
      </w:r>
    </w:p>
    <w:p w14:paraId="5CA7A336">
      <w:pPr>
        <w:pBdr/>
        <w:spacing/>
        <w:ind/>
        <w:jc w:val="both"/>
        <w:rPr>
          <w:rFonts w:ascii="Times New Roman" w:hAnsi="Times New Roman"/>
          <w:b/>
          <w:bCs/>
        </w:rPr>
      </w:pPr>
      <w:r>
        <w:rPr>
          <w:rFonts w:ascii="Times New Roman" w:hAnsi="Times New Roman"/>
          <w:b/>
          <w:bCs/>
        </w:rPr>
        <w:t xml:space="preserve">6.</w:t>
      </w:r>
      <w:r>
        <w:rPr>
          <w:rFonts w:ascii="Times New Roman" w:hAnsi="Times New Roman"/>
          <w:b/>
          <w:bCs/>
          <w:lang w:val="pt-BR"/>
        </w:rPr>
        <w:t xml:space="preserve">15</w:t>
      </w:r>
      <w:r>
        <w:rPr>
          <w:rFonts w:ascii="Times New Roman" w:hAnsi="Times New Roman"/>
          <w:b/>
          <w:bCs/>
        </w:rPr>
        <w:t xml:space="preserve">. DO REAJUSTE DO CONTRATO</w:t>
      </w:r>
      <w:r>
        <w:rPr>
          <w:rFonts w:ascii="Times New Roman" w:hAnsi="Times New Roman"/>
          <w:b/>
          <w:bCs/>
        </w:rPr>
      </w:r>
      <w:r>
        <w:rPr>
          <w:rFonts w:ascii="Times New Roman" w:hAnsi="Times New Roman"/>
          <w:b/>
          <w:bCs/>
        </w:rPr>
      </w:r>
    </w:p>
    <w:p w14:paraId="2C127A20">
      <w:pPr>
        <w:pBdr/>
        <w:spacing/>
        <w:ind/>
        <w:jc w:val="both"/>
        <w:rPr>
          <w:rFonts w:ascii="Times New Roman" w:hAnsi="Times New Roman"/>
        </w:rPr>
      </w:pPr>
      <w:r>
        <w:rPr>
          <w:rFonts w:ascii="Times New Roman" w:hAnsi="Times New Roman"/>
          <w:b/>
          <w:bCs/>
          <w:lang w:val="pt-BR"/>
        </w:rPr>
        <w:t xml:space="preserve">6.15.1.</w:t>
      </w:r>
      <w:r>
        <w:rPr>
          <w:rFonts w:ascii="Times New Roman" w:hAnsi="Times New Roman"/>
          <w:lang w:val="pt-BR"/>
        </w:rPr>
        <w:t xml:space="preserve"> </w:t>
      </w:r>
      <w:r>
        <w:rPr>
          <w:rFonts w:ascii="Times New Roman" w:hAnsi="Times New Roman"/>
        </w:rPr>
        <w:t xml:space="preserve">Durante o prazo de vigência do Contrato, os preços serão irreajustáveis.</w:t>
      </w:r>
      <w:r>
        <w:rPr>
          <w:rFonts w:ascii="Times New Roman" w:hAnsi="Times New Roman"/>
        </w:rPr>
      </w:r>
      <w:r>
        <w:rPr>
          <w:rFonts w:ascii="Times New Roman" w:hAnsi="Times New Roman"/>
        </w:rPr>
      </w:r>
    </w:p>
    <w:p w14:paraId="36752F8D">
      <w:pPr>
        <w:pBdr/>
        <w:spacing/>
        <w:ind/>
        <w:jc w:val="both"/>
        <w:rPr>
          <w:rFonts w:ascii="Times New Roman" w:hAnsi="Times New Roman"/>
        </w:rPr>
      </w:pPr>
      <w:r>
        <w:rPr>
          <w:rFonts w:ascii="Times New Roman" w:hAnsi="Times New Roman"/>
          <w:b/>
          <w:bCs/>
          <w:lang w:val="pt-BR"/>
        </w:rPr>
        <w:t xml:space="preserve">6.15.2.</w:t>
      </w:r>
      <w:r>
        <w:rPr>
          <w:rFonts w:ascii="Times New Roman" w:hAnsi="Times New Roman"/>
          <w:lang w:val="pt-BR"/>
        </w:rPr>
        <w:t xml:space="preserve"> </w:t>
      </w:r>
      <w:r>
        <w:rPr>
          <w:rFonts w:ascii="Times New Roman" w:hAnsi="Times New Roman"/>
        </w:rPr>
        <w:t xml:space="preserve">Ao fim dos doze meses iniciais de vig</w:t>
      </w:r>
      <w:r>
        <w:rPr>
          <w:rFonts w:ascii="Times New Roman" w:hAnsi="Times New Roman"/>
        </w:rPr>
        <w:t xml:space="preserve">ência do Contrato, caso decidido pela sua prorrogação, os reajustes serão corrigidos pelo índice do IPCA (Índice Nacional de Preços ao Consumidor Amplo) calculado pelo IBGE (Instituto Brasileiro de Geografia e Estatística), ou outro que venha substituí-lo.</w:t>
      </w:r>
      <w:r>
        <w:rPr>
          <w:rFonts w:ascii="Times New Roman" w:hAnsi="Times New Roman"/>
        </w:rPr>
      </w:r>
      <w:r>
        <w:rPr>
          <w:rFonts w:ascii="Times New Roman" w:hAnsi="Times New Roman"/>
        </w:rPr>
      </w:r>
    </w:p>
    <w:p w14:paraId="00712C34">
      <w:pPr>
        <w:pBdr/>
        <w:spacing/>
        <w:ind/>
        <w:jc w:val="both"/>
        <w:rPr>
          <w:rFonts w:ascii="Times New Roman" w:hAnsi="Times New Roman"/>
          <w:b/>
          <w:bCs/>
          <w:sz w:val="10"/>
          <w:szCs w:val="10"/>
        </w:rPr>
      </w:pPr>
      <w:r>
        <w:rPr>
          <w:rFonts w:ascii="Times New Roman" w:hAnsi="Times New Roman"/>
          <w:b/>
          <w:bCs/>
          <w:sz w:val="10"/>
          <w:szCs w:val="10"/>
        </w:rPr>
      </w:r>
      <w:r>
        <w:rPr>
          <w:rFonts w:ascii="Times New Roman" w:hAnsi="Times New Roman"/>
          <w:b/>
          <w:bCs/>
          <w:sz w:val="10"/>
          <w:szCs w:val="10"/>
        </w:rPr>
      </w:r>
      <w:r>
        <w:rPr>
          <w:rFonts w:ascii="Times New Roman" w:hAnsi="Times New Roman"/>
          <w:b/>
          <w:bCs/>
          <w:sz w:val="10"/>
          <w:szCs w:val="10"/>
        </w:rPr>
      </w:r>
    </w:p>
    <w:p w14:paraId="69C1A9BF">
      <w:pPr>
        <w:pBdr/>
        <w:spacing/>
        <w:ind/>
        <w:jc w:val="both"/>
        <w:rPr>
          <w:rFonts w:ascii="Times New Roman" w:hAnsi="Times New Roman"/>
          <w:b/>
          <w:bCs/>
          <w:sz w:val="10"/>
          <w:szCs w:val="10"/>
        </w:rPr>
      </w:pPr>
      <w:r>
        <w:rPr>
          <w:rFonts w:ascii="Times New Roman" w:hAnsi="Times New Roman"/>
          <w:b/>
          <w:bCs/>
          <w:sz w:val="10"/>
          <w:szCs w:val="10"/>
        </w:rPr>
      </w:r>
      <w:r>
        <w:rPr>
          <w:rFonts w:ascii="Times New Roman" w:hAnsi="Times New Roman"/>
          <w:b/>
          <w:bCs/>
          <w:sz w:val="10"/>
          <w:szCs w:val="10"/>
        </w:rPr>
      </w:r>
      <w:r>
        <w:rPr>
          <w:rFonts w:ascii="Times New Roman" w:hAnsi="Times New Roman"/>
          <w:b/>
          <w:bCs/>
          <w:sz w:val="10"/>
          <w:szCs w:val="10"/>
        </w:rPr>
      </w:r>
    </w:p>
    <w:p w14:paraId="228C1B96">
      <w:pPr>
        <w:pBdr/>
        <w:spacing/>
        <w:ind/>
        <w:jc w:val="both"/>
        <w:rPr>
          <w:rFonts w:ascii="Times New Roman" w:hAnsi="Times New Roman"/>
          <w:b/>
          <w:bCs/>
          <w:sz w:val="10"/>
          <w:szCs w:val="10"/>
        </w:rPr>
      </w:pPr>
      <w:r>
        <w:rPr>
          <w:rFonts w:ascii="Times New Roman" w:hAnsi="Times New Roman"/>
          <w:b/>
          <w:bCs/>
          <w:sz w:val="10"/>
          <w:szCs w:val="10"/>
        </w:rPr>
      </w:r>
      <w:r>
        <w:rPr>
          <w:rFonts w:ascii="Times New Roman" w:hAnsi="Times New Roman"/>
          <w:b/>
          <w:bCs/>
          <w:sz w:val="10"/>
          <w:szCs w:val="10"/>
        </w:rPr>
      </w:r>
      <w:r>
        <w:rPr>
          <w:rFonts w:ascii="Times New Roman" w:hAnsi="Times New Roman"/>
          <w:b/>
          <w:bCs/>
          <w:sz w:val="10"/>
          <w:szCs w:val="10"/>
        </w:rPr>
      </w:r>
    </w:p>
    <w:p w14:paraId="3B492EE0">
      <w:pPr>
        <w:pBdr/>
        <w:spacing/>
        <w:ind/>
        <w:jc w:val="both"/>
        <w:rPr>
          <w:rFonts w:ascii="Times New Roman" w:hAnsi="Times New Roman"/>
          <w:b/>
          <w:bCs/>
          <w:sz w:val="10"/>
          <w:szCs w:val="10"/>
        </w:rPr>
      </w:pPr>
      <w:r>
        <w:rPr>
          <w:rFonts w:ascii="Times New Roman" w:hAnsi="Times New Roman"/>
          <w:b/>
          <w:bCs/>
          <w:sz w:val="10"/>
          <w:szCs w:val="10"/>
        </w:rPr>
      </w:r>
      <w:r>
        <w:rPr>
          <w:rFonts w:ascii="Times New Roman" w:hAnsi="Times New Roman"/>
          <w:b/>
          <w:bCs/>
          <w:sz w:val="10"/>
          <w:szCs w:val="10"/>
        </w:rPr>
      </w:r>
      <w:r>
        <w:rPr>
          <w:rFonts w:ascii="Times New Roman" w:hAnsi="Times New Roman"/>
          <w:b/>
          <w:bCs/>
          <w:sz w:val="10"/>
          <w:szCs w:val="10"/>
        </w:rPr>
      </w:r>
    </w:p>
    <w:p w14:paraId="252E2179">
      <w:pPr>
        <w:pBdr/>
        <w:shd w:val="clear" w:color="auto" w:fill="cccccc"/>
        <w:spacing/>
        <w:ind/>
        <w:jc w:val="both"/>
        <w:rPr/>
      </w:pPr>
      <w:r>
        <w:rPr>
          <w:rFonts w:ascii="Times New Roman" w:hAnsi="Times New Roman" w:cs="Times New Roman"/>
          <w:b/>
          <w:bCs/>
        </w:rPr>
        <w:t xml:space="preserve">7 – CRITÉRIOS DE RECEBIMENTO/ MEDIÇÃO E DE PAGAMENTO</w:t>
      </w:r>
      <w:r/>
    </w:p>
    <w:p w14:paraId="6CCECDE5">
      <w:pPr>
        <w:pBdr/>
        <w:spacing/>
        <w:ind/>
        <w:jc w:val="both"/>
        <w:rPr>
          <w:rFonts w:ascii="Times New Roman" w:hAnsi="Times New Roman" w:cs="Times New Roman"/>
          <w:b/>
          <w:bCs/>
          <w:sz w:val="10"/>
          <w:szCs w:val="10"/>
        </w:rPr>
      </w:pPr>
      <w:r>
        <w:rPr>
          <w:rFonts w:ascii="Times New Roman" w:hAnsi="Times New Roman" w:cs="Times New Roman"/>
          <w:b/>
          <w:bCs/>
          <w:sz w:val="10"/>
          <w:szCs w:val="10"/>
        </w:rPr>
      </w:r>
      <w:r>
        <w:rPr>
          <w:rFonts w:ascii="Times New Roman" w:hAnsi="Times New Roman" w:cs="Times New Roman"/>
          <w:b/>
          <w:bCs/>
          <w:sz w:val="10"/>
          <w:szCs w:val="10"/>
        </w:rPr>
      </w:r>
      <w:r>
        <w:rPr>
          <w:rFonts w:ascii="Times New Roman" w:hAnsi="Times New Roman" w:cs="Times New Roman"/>
          <w:b/>
          <w:bCs/>
          <w:sz w:val="10"/>
          <w:szCs w:val="10"/>
        </w:rPr>
      </w:r>
    </w:p>
    <w:p w14:paraId="14CF59BA">
      <w:pPr>
        <w:pBdr/>
        <w:spacing/>
        <w:ind/>
        <w:jc w:val="both"/>
        <w:rPr/>
      </w:pPr>
      <w:r>
        <w:rPr>
          <w:rFonts w:ascii="Times New Roman" w:hAnsi="Times New Roman" w:cs="Times New Roman"/>
          <w:b/>
          <w:bCs/>
          <w:lang w:val="pt-BR"/>
        </w:rPr>
        <w:t xml:space="preserve">7.1. </w:t>
      </w:r>
      <w:r>
        <w:rPr>
          <w:rFonts w:ascii="Times New Roman" w:hAnsi="Times New Roman" w:cs="Times New Roman"/>
          <w:b/>
          <w:bCs/>
        </w:rPr>
        <w:t xml:space="preserve">Recebimento do Objeto:</w:t>
      </w:r>
      <w:r/>
    </w:p>
    <w:p w14:paraId="424EC174">
      <w:pPr>
        <w:pBdr/>
        <w:spacing/>
        <w:ind/>
        <w:jc w:val="both"/>
        <w:rPr/>
      </w:pPr>
      <w:r>
        <w:rPr>
          <w:rFonts w:ascii="Times New Roman" w:hAnsi="Times New Roman" w:cs="Times New Roman"/>
          <w:b/>
          <w:bCs/>
          <w:lang w:val="pt-BR"/>
        </w:rPr>
        <w:t xml:space="preserve">7.1.1.</w:t>
      </w:r>
      <w:r>
        <w:rPr>
          <w:rFonts w:ascii="Times New Roman" w:hAnsi="Times New Roman" w:cs="Times New Roman"/>
          <w:lang w:val="pt-BR"/>
        </w:rPr>
        <w:t xml:space="preserve"> </w:t>
      </w:r>
      <w:r>
        <w:rPr>
          <w:rFonts w:ascii="Times New Roman" w:hAnsi="Times New Roman" w:cs="Times New Roman"/>
        </w:rPr>
        <w:t xml:space="preserve">O(s) bem(ns) será(ão) recebido(s) provisoriamente, de forma sumária, juntamente com a nota fiscal (</w:t>
      </w:r>
      <w:r>
        <w:rPr>
          <w:rFonts w:ascii="Times New Roman" w:hAnsi="Times New Roman" w:cs="Times New Roman"/>
        </w:rPr>
        <w:t xml:space="preserve">ou instrumento de cobrança equivalente) e a nota de empenho, pelo(a) responsável pelo acompanhamento e fiscalização do contrato, para efeito de posterior verificação de sua conformidade com as especificações constantes no Termo de Referência e na proposta.</w:t>
      </w:r>
      <w:r/>
    </w:p>
    <w:p w14:paraId="3A1034D9">
      <w:pPr>
        <w:pBdr/>
        <w:spacing/>
        <w:ind/>
        <w:jc w:val="both"/>
        <w:rPr/>
      </w:pPr>
      <w:r>
        <w:rPr>
          <w:rFonts w:ascii="Times New Roman" w:hAnsi="Times New Roman" w:cs="Times New Roman"/>
          <w:b/>
          <w:bCs/>
          <w:lang w:val="pt-BR"/>
        </w:rPr>
        <w:t xml:space="preserve">7.1.2.</w:t>
      </w:r>
      <w:r>
        <w:rPr>
          <w:rFonts w:ascii="Times New Roman" w:hAnsi="Times New Roman" w:cs="Times New Roman"/>
          <w:lang w:val="pt-BR"/>
        </w:rPr>
        <w:t xml:space="preserve"> </w:t>
      </w:r>
      <w:r>
        <w:rPr>
          <w:rFonts w:ascii="Times New Roman" w:hAnsi="Times New Roman" w:cs="Times New Roman"/>
        </w:rPr>
        <w:t xml:space="preserve">O(s) bem(ns) poderá(ão) ser rejeitados, no todo ou</w:t>
      </w:r>
      <w:r>
        <w:rPr>
          <w:rFonts w:ascii="Times New Roman" w:hAnsi="Times New Roman" w:cs="Times New Roman"/>
        </w:rPr>
        <w:t xml:space="preserve"> em parte, quando em desacordo com as especificações constantes neste Termo de Referência e na proposta, devendo ser substituídos no prazo de 05 (cinco) dias, a contar da notificação da contratada, às suas custas, sem prejuízo da aplicação das penalidades.</w:t>
      </w:r>
      <w:r/>
    </w:p>
    <w:p w14:paraId="48BC4A61">
      <w:pPr>
        <w:pBdr/>
        <w:spacing/>
        <w:ind/>
        <w:jc w:val="both"/>
        <w:rPr/>
      </w:pPr>
      <w:r>
        <w:rPr>
          <w:rFonts w:ascii="Times New Roman" w:hAnsi="Times New Roman" w:cs="Times New Roman"/>
          <w:b/>
          <w:bCs/>
          <w:lang w:val="pt-BR"/>
        </w:rPr>
        <w:t xml:space="preserve">7.1.3. </w:t>
      </w:r>
      <w:r>
        <w:rPr>
          <w:rFonts w:ascii="Times New Roman" w:hAnsi="Times New Roman" w:cs="Times New Roman"/>
        </w:rPr>
        <w:t xml:space="preserve">O recebimento definitivo ocorrerá no prazo de 05 (cinco) dias úteis, a contar do recebimento da nota fiscal ou inst</w:t>
      </w:r>
      <w:r>
        <w:rPr>
          <w:rFonts w:ascii="Times New Roman" w:hAnsi="Times New Roman" w:cs="Times New Roman"/>
        </w:rPr>
        <w:t xml:space="preserve">rumento de cobrança equivalente pela Administração, após a verificação da qualidade e quantidade do(s) bem(ns) e consequente aceitação mediante recibo aposto na Nota Fiscal respectiva e termo detalhado que comprove o atendimento das exigências contratuais.</w:t>
      </w:r>
      <w:r/>
    </w:p>
    <w:p w14:paraId="6283FD20">
      <w:pPr>
        <w:pBdr/>
        <w:spacing/>
        <w:ind/>
        <w:jc w:val="both"/>
        <w:rPr/>
      </w:pPr>
      <w:r>
        <w:rPr>
          <w:rFonts w:ascii="Times New Roman" w:hAnsi="Times New Roman" w:cs="Times New Roman"/>
          <w:b/>
          <w:bCs/>
          <w:lang w:val="pt-BR"/>
        </w:rPr>
        <w:t xml:space="preserve">7.1.4. </w:t>
      </w:r>
      <w:r>
        <w:rPr>
          <w:rFonts w:ascii="Times New Roman" w:hAnsi="Times New Roman" w:cs="Times New Roman"/>
        </w:rPr>
        <w:t xml:space="preserve">O prazo para o recebimento definitivo poderá ser excepcionalmente prorrogado, de forma justificada, quando houver necessidade de diligências para a aferição do atendimento das exigências contratuais.</w:t>
      </w:r>
      <w:r/>
    </w:p>
    <w:p w14:paraId="0EAEBD49">
      <w:pPr>
        <w:pBdr/>
        <w:spacing/>
        <w:ind/>
        <w:jc w:val="both"/>
        <w:rPr/>
      </w:pPr>
      <w:r>
        <w:rPr>
          <w:rFonts w:ascii="Times New Roman" w:hAnsi="Times New Roman" w:cs="Times New Roman"/>
          <w:b/>
          <w:bCs/>
          <w:lang w:val="pt-BR"/>
        </w:rPr>
        <w:t xml:space="preserve">7.1.5.</w:t>
      </w:r>
      <w:r>
        <w:rPr>
          <w:rFonts w:ascii="Times New Roman" w:hAnsi="Times New Roman" w:cs="Times New Roman"/>
          <w:lang w:val="pt-BR"/>
        </w:rPr>
        <w:t xml:space="preserve"> </w:t>
      </w:r>
      <w:r>
        <w:rPr>
          <w:rFonts w:ascii="Times New Roman" w:hAnsi="Times New Roman" w:cs="Times New Roman"/>
        </w:rPr>
        <w:t xml:space="preserve">No caso de controvérsia sobre a execução do objeto, quanto </w:t>
      </w:r>
      <w:r>
        <w:rPr>
          <w:rFonts w:ascii="Times New Roman" w:hAnsi="Times New Roman" w:cs="Times New Roman"/>
        </w:rPr>
        <w:t xml:space="preserve">à dimensão, qualidade e quantidade, deverá ser observado o teor do art. 143 da Lei 14.133/2021, comunicando-se à empresa para emissão de Nota Fiscal no que for pertinente à parcela incontroversa da execução do objeto, para efeito de liquidação e pagamento.</w:t>
      </w:r>
      <w:r/>
    </w:p>
    <w:p w14:paraId="728E933D">
      <w:pPr>
        <w:pBdr/>
        <w:spacing/>
        <w:ind/>
        <w:jc w:val="both"/>
        <w:rPr/>
      </w:pPr>
      <w:r>
        <w:rPr>
          <w:rFonts w:ascii="Times New Roman" w:hAnsi="Times New Roman" w:cs="Times New Roman"/>
          <w:b/>
          <w:bCs/>
          <w:lang w:val="pt-BR"/>
        </w:rPr>
        <w:t xml:space="preserve">7.1.6.</w:t>
      </w:r>
      <w:r>
        <w:rPr>
          <w:rFonts w:ascii="Times New Roman" w:hAnsi="Times New Roman" w:cs="Times New Roman"/>
          <w:lang w:val="pt-BR"/>
        </w:rPr>
        <w:t xml:space="preserve"> </w:t>
      </w:r>
      <w:r>
        <w:rPr>
          <w:rFonts w:ascii="Times New Roman" w:hAnsi="Times New Roman" w:cs="Times New Roman"/>
        </w:rPr>
        <w:t xml:space="preserve">O prazo para a solução, pelo contratado,</w:t>
      </w:r>
      <w:r>
        <w:rPr>
          <w:rFonts w:ascii="Times New Roman" w:hAnsi="Times New Roman" w:cs="Times New Roman"/>
        </w:rPr>
        <w:t xml:space="preserve"> de inconsistências na execução do objeto ou de saneamento da nota fiscal ou de instrumento de cobrança equivalente, verificadas pela Administração durante a análise prévia à liquidação de despesa, não será computado para os fins do recebimento definitivo.</w:t>
      </w:r>
      <w:r/>
    </w:p>
    <w:p w14:paraId="5D2D6E42">
      <w:pPr>
        <w:pBdr/>
        <w:spacing/>
        <w:ind/>
        <w:jc w:val="both"/>
        <w:rPr/>
      </w:pPr>
      <w:r>
        <w:rPr>
          <w:rFonts w:ascii="Times New Roman" w:hAnsi="Times New Roman" w:cs="Times New Roman"/>
          <w:b/>
          <w:bCs/>
          <w:lang w:val="pt-BR"/>
        </w:rPr>
        <w:t xml:space="preserve">7.2. </w:t>
      </w:r>
      <w:r>
        <w:rPr>
          <w:rFonts w:ascii="Times New Roman" w:hAnsi="Times New Roman" w:cs="Times New Roman"/>
          <w:b/>
          <w:bCs/>
        </w:rPr>
        <w:t xml:space="preserve">Prazo de pagamento </w:t>
      </w:r>
      <w:r/>
    </w:p>
    <w:p w14:paraId="12FAF27A">
      <w:pPr>
        <w:pBdr/>
        <w:spacing/>
        <w:ind/>
        <w:jc w:val="both"/>
        <w:rPr/>
      </w:pPr>
      <w:r>
        <w:rPr>
          <w:rFonts w:ascii="Times New Roman" w:hAnsi="Times New Roman" w:cs="Times New Roman"/>
          <w:b/>
          <w:bCs/>
          <w:lang w:val="pt-BR"/>
        </w:rPr>
        <w:t xml:space="preserve">7.2.1. </w:t>
      </w:r>
      <w:r>
        <w:rPr>
          <w:rFonts w:ascii="Times New Roman" w:hAnsi="Times New Roman" w:cs="Times New Roman"/>
          <w:b/>
          <w:bCs/>
        </w:rPr>
        <w:t xml:space="preserve">O pagamento será efetuado em até 30 (trinta) dias as contados do adimplemento, pela Prefeitura Municipal de Rondonópolis/MT.</w:t>
      </w:r>
      <w:r/>
    </w:p>
    <w:p w14:paraId="023ABE9B">
      <w:pPr>
        <w:pBdr/>
        <w:spacing/>
        <w:ind/>
        <w:jc w:val="both"/>
        <w:rPr/>
      </w:pPr>
      <w:r>
        <w:rPr>
          <w:rFonts w:ascii="Times New Roman" w:hAnsi="Times New Roman" w:cs="Times New Roman"/>
          <w:b/>
          <w:bCs/>
          <w:lang w:val="pt-BR"/>
        </w:rPr>
        <w:t xml:space="preserve">7.2.2.</w:t>
      </w:r>
      <w:r>
        <w:rPr>
          <w:rFonts w:ascii="Times New Roman" w:hAnsi="Times New Roman" w:cs="Times New Roman"/>
          <w:lang w:val="pt-BR"/>
        </w:rPr>
        <w:t xml:space="preserve"> </w:t>
      </w:r>
      <w:r>
        <w:rPr>
          <w:rFonts w:ascii="Times New Roman" w:hAnsi="Times New Roman" w:cs="Times New Roman"/>
        </w:rPr>
        <w:t xml:space="preserve">Os documentos fiscais deverão, obrigatoriamente, discriminar a marca, modelo (se houver) e o quantitativo efetivamente entregue. </w:t>
      </w:r>
      <w:r/>
    </w:p>
    <w:p w14:paraId="46A726AC">
      <w:pPr>
        <w:pBdr/>
        <w:spacing/>
        <w:ind/>
        <w:jc w:val="both"/>
        <w:rPr/>
      </w:pPr>
      <w:r>
        <w:rPr>
          <w:rFonts w:ascii="Times New Roman" w:hAnsi="Times New Roman" w:cs="Times New Roman"/>
          <w:b/>
          <w:bCs/>
          <w:lang w:val="pt-BR"/>
        </w:rPr>
        <w:t xml:space="preserve">7.2.3. </w:t>
      </w:r>
      <w:r>
        <w:rPr>
          <w:rFonts w:ascii="Times New Roman" w:hAnsi="Times New Roman" w:cs="Times New Roman"/>
        </w:rPr>
        <w:t xml:space="preserve">A Contratada deverá emitir a Nota Fiscal/Fatura conforme legislação vigente.</w:t>
      </w:r>
      <w:r/>
    </w:p>
    <w:p w14:paraId="22FAE3CC">
      <w:pPr>
        <w:pBdr/>
        <w:spacing/>
        <w:ind/>
        <w:jc w:val="both"/>
        <w:rPr/>
      </w:pPr>
      <w:r>
        <w:rPr>
          <w:rFonts w:ascii="Times New Roman" w:hAnsi="Times New Roman" w:cs="Times New Roman"/>
          <w:b/>
          <w:bCs/>
          <w:lang w:val="pt-BR"/>
        </w:rPr>
        <w:t xml:space="preserve">7.2.4. </w:t>
      </w:r>
      <w:r>
        <w:rPr>
          <w:rFonts w:ascii="Times New Roman" w:hAnsi="Times New Roman" w:cs="Times New Roman"/>
        </w:rPr>
        <w:t xml:space="preserve">Havendo irregularidades na emissão da nota fiscal/fatura, o prazo para pagamento será contado a partir de sua representação devidamente regularizada.</w:t>
      </w:r>
      <w:r/>
    </w:p>
    <w:p w14:paraId="67CC0107">
      <w:pPr>
        <w:pBdr/>
        <w:spacing/>
        <w:ind/>
        <w:jc w:val="both"/>
        <w:rPr/>
      </w:pPr>
      <w:r>
        <w:rPr>
          <w:rFonts w:ascii="Times New Roman" w:hAnsi="Times New Roman" w:cs="Times New Roman"/>
          <w:b/>
          <w:bCs/>
          <w:lang w:val="pt-BR"/>
        </w:rPr>
        <w:t xml:space="preserve">7.3. </w:t>
      </w:r>
      <w:r>
        <w:rPr>
          <w:rFonts w:ascii="Times New Roman" w:hAnsi="Times New Roman" w:cs="Times New Roman"/>
          <w:b/>
          <w:bCs/>
        </w:rPr>
        <w:t xml:space="preserve">Forma de pagamento</w:t>
      </w:r>
      <w:r/>
    </w:p>
    <w:p w14:paraId="38C2F5FB">
      <w:pPr>
        <w:pBdr/>
        <w:spacing/>
        <w:ind/>
        <w:jc w:val="both"/>
        <w:rPr/>
      </w:pPr>
      <w:r>
        <w:rPr>
          <w:rFonts w:ascii="Times New Roman" w:hAnsi="Times New Roman" w:cs="Times New Roman"/>
          <w:b/>
          <w:bCs/>
          <w:lang w:val="pt-BR"/>
        </w:rPr>
        <w:t xml:space="preserve">7.3.1. </w:t>
      </w:r>
      <w:r>
        <w:rPr>
          <w:rFonts w:ascii="Times New Roman" w:hAnsi="Times New Roman" w:cs="Times New Roman"/>
        </w:rPr>
        <w:t xml:space="preserve">O pagamento será processado com a emissão de ordem de pagamento física ou eletrônica, ou ainda por transferência eletrônica via sistema de internet banking, com assinaturas legais físicas ou eletrônicas dos titulares das contas bancárias.</w:t>
      </w:r>
      <w:r/>
    </w:p>
    <w:p w14:paraId="65431B74">
      <w:pPr>
        <w:pBdr/>
        <w:spacing/>
        <w:ind/>
        <w:jc w:val="both"/>
        <w:rPr/>
      </w:pPr>
      <w:r>
        <w:rPr>
          <w:rFonts w:ascii="Times New Roman" w:hAnsi="Times New Roman" w:cs="Times New Roman"/>
          <w:b/>
          <w:bCs/>
          <w:lang w:val="pt-BR"/>
        </w:rPr>
        <w:t xml:space="preserve">7.3.2. </w:t>
      </w:r>
      <w:r>
        <w:rPr>
          <w:rFonts w:ascii="Times New Roman" w:hAnsi="Times New Roman" w:cs="Times New Roman"/>
        </w:rPr>
        <w:t xml:space="preserve">A retenção do imposto de renda deverá ser destacada no corpo do documento fiscal ou equivalente observando os percentuais estabelecidos na Legislação Vigente.</w:t>
      </w:r>
      <w:r/>
    </w:p>
    <w:p w14:paraId="5004831B">
      <w:pPr>
        <w:pBdr/>
        <w:spacing/>
        <w:ind/>
        <w:jc w:val="both"/>
        <w:rPr>
          <w:rFonts w:ascii="Times New Roman" w:hAnsi="Times New Roman" w:cs="Times New Roman"/>
        </w:rPr>
      </w:pPr>
      <w:r>
        <w:rPr>
          <w:rFonts w:ascii="Times New Roman" w:hAnsi="Times New Roman" w:cs="Times New Roman"/>
          <w:b/>
          <w:bCs/>
          <w:lang w:val="pt-BR"/>
        </w:rPr>
        <w:t xml:space="preserve">7.3.3.</w:t>
      </w:r>
      <w:r>
        <w:rPr>
          <w:rFonts w:ascii="Times New Roman" w:hAnsi="Times New Roman" w:cs="Times New Roman"/>
          <w:lang w:val="pt-BR"/>
        </w:rPr>
        <w:t xml:space="preserve"> </w:t>
      </w:r>
      <w:r>
        <w:rPr>
          <w:rFonts w:ascii="Times New Roman" w:hAnsi="Times New Roman" w:cs="Times New Roman"/>
        </w:rPr>
        <w:t xml:space="preserve">As empresas optantes pelo Simples Nacional ou que se enquadrem em alguma hipótese de isenção ou não incidência DEVERÃO informar essa condição expressamente nos documentos fiscais, de acordo com a Legislação Vigente.</w:t>
      </w:r>
      <w:r>
        <w:rPr>
          <w:rFonts w:ascii="Times New Roman" w:hAnsi="Times New Roman" w:cs="Times New Roman"/>
        </w:rPr>
      </w:r>
      <w:r>
        <w:rPr>
          <w:rFonts w:ascii="Times New Roman" w:hAnsi="Times New Roman" w:cs="Times New Roman"/>
        </w:rPr>
      </w:r>
    </w:p>
    <w:p w14:paraId="5086AFCB">
      <w:pPr>
        <w:pBdr/>
        <w:spacing/>
        <w:ind/>
        <w:jc w:val="both"/>
        <w:rPr>
          <w:rFonts w:ascii="Times New Roman" w:hAnsi="Times New Roman"/>
          <w:b/>
          <w:bCs/>
        </w:rPr>
      </w:pPr>
      <w:r>
        <w:rPr>
          <w:rFonts w:ascii="Times New Roman" w:hAnsi="Times New Roman"/>
          <w:b/>
          <w:bCs/>
          <w:lang w:val="pt-BR"/>
        </w:rPr>
        <w:t xml:space="preserve">7.4. </w:t>
      </w:r>
      <w:r>
        <w:rPr>
          <w:rFonts w:ascii="Times New Roman" w:hAnsi="Times New Roman"/>
          <w:b/>
          <w:bCs/>
        </w:rPr>
        <w:t xml:space="preserve">Reajuste Contratual</w:t>
      </w:r>
      <w:r>
        <w:rPr>
          <w:rFonts w:ascii="Times New Roman" w:hAnsi="Times New Roman"/>
          <w:b/>
          <w:bCs/>
        </w:rPr>
      </w:r>
      <w:r>
        <w:rPr>
          <w:rFonts w:ascii="Times New Roman" w:hAnsi="Times New Roman"/>
          <w:b/>
          <w:bCs/>
        </w:rPr>
      </w:r>
    </w:p>
    <w:p w14:paraId="321E7665">
      <w:pPr>
        <w:pBdr/>
        <w:spacing/>
        <w:ind/>
        <w:jc w:val="both"/>
        <w:rPr>
          <w:rFonts w:ascii="Times New Roman" w:hAnsi="Times New Roman"/>
        </w:rPr>
      </w:pPr>
      <w:r>
        <w:rPr>
          <w:rFonts w:ascii="Times New Roman" w:hAnsi="Times New Roman" w:cs="Times New Roman"/>
          <w:b/>
          <w:bCs/>
          <w:lang w:val="pt-BR"/>
        </w:rPr>
        <w:t xml:space="preserve">7.4.1.</w:t>
      </w:r>
      <w:r>
        <w:rPr>
          <w:rFonts w:ascii="Times New Roman" w:hAnsi="Times New Roman" w:cs="Times New Roman"/>
          <w:lang w:val="pt-BR"/>
        </w:rPr>
        <w:t xml:space="preserve"> </w:t>
      </w:r>
      <w:r>
        <w:rPr>
          <w:rFonts w:ascii="Times New Roman" w:hAnsi="Times New Roman"/>
        </w:rPr>
        <w:t xml:space="preserve">Durante o prazo de vigência do Contrato, os preços serão irreajustáveis.</w:t>
      </w:r>
      <w:r>
        <w:rPr>
          <w:rFonts w:ascii="Times New Roman" w:hAnsi="Times New Roman"/>
        </w:rPr>
      </w:r>
      <w:r>
        <w:rPr>
          <w:rFonts w:ascii="Times New Roman" w:hAnsi="Times New Roman"/>
        </w:rPr>
      </w:r>
    </w:p>
    <w:p w14:paraId="4777624B">
      <w:pPr>
        <w:pBdr/>
        <w:spacing/>
        <w:ind/>
        <w:jc w:val="both"/>
        <w:rPr>
          <w:rFonts w:ascii="Times New Roman" w:hAnsi="Times New Roman"/>
        </w:rPr>
      </w:pPr>
      <w:r>
        <w:rPr>
          <w:rFonts w:ascii="Times New Roman" w:hAnsi="Times New Roman"/>
        </w:rPr>
        <w:t xml:space="preserve">Ao fim dos doze meses iniciais de vig</w:t>
      </w:r>
      <w:r>
        <w:rPr>
          <w:rFonts w:ascii="Times New Roman" w:hAnsi="Times New Roman"/>
        </w:rPr>
        <w:t xml:space="preserve">ência do Contrato, caso decidido pela sua prorrogação, os reajustes serão corrigidos pelo índice do IPCA (Índice Nacional de Preços ao Consumidor Amplo) calculado pelo IBGE (Instituto Brasileiro de Geografia e Estatística), ou outro que venha substituí-lo.</w:t>
      </w:r>
      <w:r>
        <w:rPr>
          <w:rFonts w:ascii="Times New Roman" w:hAnsi="Times New Roman"/>
        </w:rPr>
      </w:r>
      <w:r>
        <w:rPr>
          <w:rFonts w:ascii="Times New Roman" w:hAnsi="Times New Roman"/>
        </w:rPr>
      </w:r>
    </w:p>
    <w:p w14:paraId="432F786C">
      <w:pPr>
        <w:pBdr/>
        <w:spacing/>
        <w:ind/>
        <w:jc w:val="both"/>
        <w:rPr>
          <w:rFonts w:ascii="Times New Roman" w:hAnsi="Times New Roman" w:cs="Times New Roman"/>
          <w:sz w:val="10"/>
          <w:szCs w:val="10"/>
        </w:rPr>
      </w:pPr>
      <w:r>
        <w:rPr>
          <w:rFonts w:ascii="Times New Roman" w:hAnsi="Times New Roman" w:cs="Times New Roman"/>
          <w:sz w:val="10"/>
          <w:szCs w:val="10"/>
        </w:rPr>
      </w:r>
      <w:r>
        <w:rPr>
          <w:rFonts w:ascii="Times New Roman" w:hAnsi="Times New Roman" w:cs="Times New Roman"/>
          <w:sz w:val="10"/>
          <w:szCs w:val="10"/>
        </w:rPr>
      </w:r>
      <w:r>
        <w:rPr>
          <w:rFonts w:ascii="Times New Roman" w:hAnsi="Times New Roman" w:cs="Times New Roman"/>
          <w:sz w:val="10"/>
          <w:szCs w:val="10"/>
        </w:rPr>
      </w:r>
    </w:p>
    <w:p w14:paraId="7C13C69F">
      <w:pPr>
        <w:pBdr/>
        <w:shd w:val="clear" w:color="auto" w:fill="cccccc"/>
        <w:spacing/>
        <w:ind/>
        <w:jc w:val="both"/>
        <w:rPr/>
      </w:pPr>
      <w:r>
        <w:rPr>
          <w:rFonts w:ascii="Times New Roman" w:hAnsi="Times New Roman" w:cs="Times New Roman"/>
          <w:b/>
          <w:bCs/>
        </w:rPr>
        <w:t xml:space="preserve">8 – FORMA E CRITÉRIOS DE SELEÇÃO DO FORNECEDOR</w:t>
      </w:r>
      <w:r/>
    </w:p>
    <w:p w14:paraId="656BD493">
      <w:pPr>
        <w:pBdr/>
        <w:spacing/>
        <w:ind/>
        <w:jc w:val="both"/>
        <w:rPr>
          <w:rFonts w:ascii="Times New Roman" w:hAnsi="Times New Roman" w:cs="Times New Roman"/>
          <w:sz w:val="10"/>
          <w:szCs w:val="10"/>
        </w:rPr>
      </w:pPr>
      <w:r>
        <w:rPr>
          <w:rFonts w:ascii="Times New Roman" w:hAnsi="Times New Roman" w:cs="Times New Roman"/>
          <w:sz w:val="10"/>
          <w:szCs w:val="10"/>
        </w:rPr>
      </w:r>
      <w:r>
        <w:rPr>
          <w:rFonts w:ascii="Times New Roman" w:hAnsi="Times New Roman" w:cs="Times New Roman"/>
          <w:sz w:val="10"/>
          <w:szCs w:val="10"/>
        </w:rPr>
      </w:r>
      <w:r>
        <w:rPr>
          <w:rFonts w:ascii="Times New Roman" w:hAnsi="Times New Roman" w:cs="Times New Roman"/>
          <w:sz w:val="10"/>
          <w:szCs w:val="10"/>
        </w:rPr>
      </w:r>
    </w:p>
    <w:p w14:paraId="7329A9D4">
      <w:pPr>
        <w:pBdr/>
        <w:spacing/>
        <w:ind/>
        <w:jc w:val="both"/>
        <w:rPr/>
      </w:pPr>
      <w:r>
        <w:rPr>
          <w:rFonts w:ascii="Times New Roman" w:hAnsi="Times New Roman" w:cs="Times New Roman"/>
          <w:b/>
          <w:bCs/>
          <w:lang w:val="pt-BR"/>
        </w:rPr>
        <w:t xml:space="preserve">8.1. </w:t>
      </w:r>
      <w:r>
        <w:rPr>
          <w:rFonts w:ascii="Times New Roman" w:hAnsi="Times New Roman" w:cs="Times New Roman"/>
          <w:b/>
          <w:bCs/>
        </w:rPr>
        <w:t xml:space="preserve">Forma de seleção e critério de julgamento da proposta</w:t>
      </w:r>
      <w:r/>
    </w:p>
    <w:p w14:paraId="0C240834">
      <w:pPr>
        <w:pBdr/>
        <w:spacing/>
        <w:ind/>
        <w:jc w:val="both"/>
        <w:rPr>
          <w:rFonts w:ascii="Times New Roman" w:hAnsi="Times New Roman"/>
        </w:rPr>
      </w:pPr>
      <w:r>
        <w:rPr>
          <w:rFonts w:ascii="Times New Roman" w:hAnsi="Times New Roman"/>
          <w:b/>
          <w:bCs/>
          <w:lang w:val="pt-BR"/>
        </w:rPr>
        <w:t xml:space="preserve">8.1.1. </w:t>
      </w:r>
      <w:r>
        <w:rPr>
          <w:rFonts w:ascii="Times New Roman" w:hAnsi="Times New Roman"/>
        </w:rPr>
        <w:t xml:space="preserve">O fornecedor será selecionado por meio de procedimento de licitação na modalidade PREGÃO ELETRÔNICO, com adoção do Sistema de Registro de Preços, conforme previsto na Lei Federal nº 14.133/2021, sendo utilizado o </w:t>
      </w:r>
      <w:r>
        <w:rPr>
          <w:rFonts w:ascii="Times New Roman" w:hAnsi="Times New Roman"/>
        </w:rPr>
        <w:t xml:space="preserve">critério de julgamento por MENOR PREÇO.</w:t>
      </w:r>
      <w:r>
        <w:rPr>
          <w:rFonts w:ascii="Times New Roman" w:hAnsi="Times New Roman"/>
        </w:rPr>
      </w:r>
      <w:r>
        <w:rPr>
          <w:rFonts w:ascii="Times New Roman" w:hAnsi="Times New Roman"/>
        </w:rPr>
      </w:r>
    </w:p>
    <w:p w14:paraId="6209C73A">
      <w:pPr>
        <w:pBdr/>
        <w:spacing/>
        <w:ind/>
        <w:jc w:val="both"/>
        <w:rPr/>
      </w:pPr>
      <w:r>
        <w:rPr>
          <w:rFonts w:ascii="Times New Roman" w:hAnsi="Times New Roman" w:cs="Times New Roman"/>
          <w:b/>
          <w:bCs/>
          <w:lang w:val="pt-BR"/>
        </w:rPr>
        <w:t xml:space="preserve">8.2. </w:t>
      </w:r>
      <w:r>
        <w:rPr>
          <w:rFonts w:ascii="Times New Roman" w:hAnsi="Times New Roman" w:cs="Times New Roman"/>
          <w:b/>
          <w:bCs/>
        </w:rPr>
        <w:t xml:space="preserve">Exigências de habilitação para fins de habilitação, deverá o licitante comprovar os seguintes requisitos:</w:t>
      </w:r>
      <w:r/>
    </w:p>
    <w:p w14:paraId="12222FF8">
      <w:pPr>
        <w:pBdr/>
        <w:spacing/>
        <w:ind/>
        <w:jc w:val="both"/>
        <w:rPr/>
      </w:pPr>
      <w:r>
        <w:rPr>
          <w:rFonts w:ascii="Times New Roman" w:hAnsi="Times New Roman" w:cs="Times New Roman"/>
          <w:b/>
          <w:bCs/>
          <w:lang w:val="pt-BR"/>
        </w:rPr>
        <w:t xml:space="preserve">8.2.1. </w:t>
      </w:r>
      <w:r>
        <w:rPr>
          <w:rFonts w:ascii="Times New Roman" w:hAnsi="Times New Roman" w:cs="Times New Roman"/>
        </w:rPr>
        <w:t xml:space="preserve">Habilitação jurídica</w:t>
      </w:r>
      <w:r/>
    </w:p>
    <w:p w14:paraId="4B6E6776">
      <w:pPr>
        <w:pBdr/>
        <w:spacing/>
        <w:ind/>
        <w:jc w:val="both"/>
        <w:rPr>
          <w:rFonts w:ascii="Times New Roman" w:hAnsi="Times New Roman"/>
        </w:rPr>
      </w:pPr>
      <w:r>
        <w:rPr>
          <w:rFonts w:ascii="Times New Roman" w:hAnsi="Times New Roman"/>
        </w:rPr>
        <w:t xml:space="preserve">a) Pessoa física: cédula de identidade (RG) ou documento equivalente que, por força de lei, tenha validade para fins de identificação em todo o território nacional;</w:t>
      </w:r>
      <w:r>
        <w:rPr>
          <w:rFonts w:ascii="Times New Roman" w:hAnsi="Times New Roman"/>
        </w:rPr>
      </w:r>
      <w:r>
        <w:rPr>
          <w:rFonts w:ascii="Times New Roman" w:hAnsi="Times New Roman"/>
        </w:rPr>
      </w:r>
    </w:p>
    <w:p w14:paraId="421C0E36">
      <w:pPr>
        <w:pBdr/>
        <w:spacing/>
        <w:ind/>
        <w:jc w:val="both"/>
        <w:rPr>
          <w:rFonts w:ascii="Times New Roman" w:hAnsi="Times New Roman"/>
        </w:rPr>
      </w:pPr>
      <w:r>
        <w:rPr>
          <w:rFonts w:ascii="Times New Roman" w:hAnsi="Times New Roman"/>
        </w:rPr>
        <w:t xml:space="preserve">b) Empresário individual: inscrição no Registro Público de Empresas Mercantis, a cargo da Junta Comercial da respectiva sede;</w:t>
      </w:r>
      <w:r>
        <w:rPr>
          <w:rFonts w:ascii="Times New Roman" w:hAnsi="Times New Roman"/>
        </w:rPr>
      </w:r>
      <w:r>
        <w:rPr>
          <w:rFonts w:ascii="Times New Roman" w:hAnsi="Times New Roman"/>
        </w:rPr>
      </w:r>
    </w:p>
    <w:p w14:paraId="7D1C0BE8">
      <w:pPr>
        <w:pBdr/>
        <w:spacing/>
        <w:ind/>
        <w:jc w:val="both"/>
        <w:rPr>
          <w:rFonts w:ascii="Times New Roman" w:hAnsi="Times New Roman"/>
        </w:rPr>
      </w:pPr>
      <w:r>
        <w:rPr>
          <w:rFonts w:ascii="Times New Roman" w:hAnsi="Times New Roman"/>
        </w:rPr>
        <w:t xml:space="preserve">c) Microempreendedor Individual - MEI: Certificado da Condição de Microempreendedor Individual - CCMEI, cuja aceitação ficará condicionada à verificação da autenticidade no sítio https://www.gov.br/empresas-e-negocios/pt-br/empreendedor;</w:t>
      </w:r>
      <w:r>
        <w:rPr>
          <w:rFonts w:ascii="Times New Roman" w:hAnsi="Times New Roman"/>
        </w:rPr>
      </w:r>
      <w:r>
        <w:rPr>
          <w:rFonts w:ascii="Times New Roman" w:hAnsi="Times New Roman"/>
        </w:rPr>
      </w:r>
    </w:p>
    <w:p w14:paraId="111C075C">
      <w:pPr>
        <w:pBdr/>
        <w:spacing/>
        <w:ind/>
        <w:jc w:val="both"/>
        <w:rPr>
          <w:rFonts w:ascii="Times New Roman" w:hAnsi="Times New Roman"/>
        </w:rPr>
      </w:pPr>
      <w:r>
        <w:rPr>
          <w:rFonts w:ascii="Times New Roman" w:hAnsi="Times New Roman"/>
        </w:rPr>
        <w:t xml:space="preserve">d) Sociedade empresária, sociedade limitada unipessoal – SLU ou sociedade identificada como empresa indivi</w:t>
      </w:r>
      <w:r>
        <w:rPr>
          <w:rFonts w:ascii="Times New Roman" w:hAnsi="Times New Roman"/>
        </w:rPr>
        <w:t xml:space="preserve">dual de responsabilidade limitada - EIRELI: inscrição do ato constitutivo, estatuto ou contrato social no Registro Público de Empresas Mercantis, a cargo da Junta Comercial da respectiva sede, acompanhada de documento comprobatório de seus administradores;</w:t>
      </w:r>
      <w:r>
        <w:rPr>
          <w:rFonts w:ascii="Times New Roman" w:hAnsi="Times New Roman"/>
        </w:rPr>
      </w:r>
      <w:r>
        <w:rPr>
          <w:rFonts w:ascii="Times New Roman" w:hAnsi="Times New Roman"/>
        </w:rPr>
      </w:r>
    </w:p>
    <w:p w14:paraId="4C7F6540">
      <w:pPr>
        <w:pBdr/>
        <w:spacing/>
        <w:ind/>
        <w:jc w:val="both"/>
        <w:rPr>
          <w:rFonts w:ascii="Times New Roman" w:hAnsi="Times New Roman"/>
        </w:rPr>
      </w:pPr>
      <w:r>
        <w:rPr>
          <w:rFonts w:ascii="Times New Roman" w:hAnsi="Times New Roman"/>
        </w:rPr>
        <w:t xml:space="preserve">e) Sociedade empresária estrangeira: portaria de autorização de funcionamento no Brasil, publicada no Diário Oficial da União e arquivada na Junta Comercial da unidade federativa onde se localizar a filial, agência, sucursal ou estabelecimento;</w:t>
      </w:r>
      <w:r>
        <w:rPr>
          <w:rFonts w:ascii="Times New Roman" w:hAnsi="Times New Roman"/>
        </w:rPr>
      </w:r>
      <w:r>
        <w:rPr>
          <w:rFonts w:ascii="Times New Roman" w:hAnsi="Times New Roman"/>
        </w:rPr>
      </w:r>
    </w:p>
    <w:p w14:paraId="7B040D4C">
      <w:pPr>
        <w:pBdr/>
        <w:spacing/>
        <w:ind/>
        <w:jc w:val="both"/>
        <w:rPr>
          <w:rFonts w:ascii="Times New Roman" w:hAnsi="Times New Roman"/>
        </w:rPr>
      </w:pPr>
      <w:r>
        <w:rPr>
          <w:rFonts w:ascii="Times New Roman" w:hAnsi="Times New Roman"/>
        </w:rPr>
        <w:t xml:space="preserve">f) Sociedade simples: inscrição do ato constitutivo no Registro Civil de Pessoas Jurídicas do local de sua sede, acompanhada de documento comprobatório de seus administradores;</w:t>
      </w:r>
      <w:r>
        <w:rPr>
          <w:rFonts w:ascii="Times New Roman" w:hAnsi="Times New Roman"/>
        </w:rPr>
      </w:r>
      <w:r>
        <w:rPr>
          <w:rFonts w:ascii="Times New Roman" w:hAnsi="Times New Roman"/>
        </w:rPr>
      </w:r>
    </w:p>
    <w:p w14:paraId="4C7607F6">
      <w:pPr>
        <w:pBdr/>
        <w:spacing/>
        <w:ind/>
        <w:jc w:val="both"/>
        <w:rPr>
          <w:rFonts w:ascii="Times New Roman" w:hAnsi="Times New Roman"/>
        </w:rPr>
      </w:pPr>
      <w:r>
        <w:rPr>
          <w:rFonts w:ascii="Times New Roman" w:hAnsi="Times New Roman"/>
        </w:rPr>
        <w:t xml:space="preserve">g) Filial, sucursal ou agência de sociedade simples ou empresária: inscrição do ato constitutivo da filial, sucursal ou agência, no respectivo Registro competente, com averbação no Registro onde tem sede a matriz;</w:t>
      </w:r>
      <w:r>
        <w:rPr>
          <w:rFonts w:ascii="Times New Roman" w:hAnsi="Times New Roman"/>
        </w:rPr>
      </w:r>
      <w:r>
        <w:rPr>
          <w:rFonts w:ascii="Times New Roman" w:hAnsi="Times New Roman"/>
        </w:rPr>
      </w:r>
    </w:p>
    <w:p w14:paraId="19BCA85D">
      <w:pPr>
        <w:pBdr/>
        <w:spacing/>
        <w:ind/>
        <w:jc w:val="both"/>
        <w:rPr>
          <w:rFonts w:ascii="Times New Roman" w:hAnsi="Times New Roman"/>
        </w:rPr>
      </w:pPr>
      <w:r>
        <w:rPr>
          <w:rFonts w:ascii="Times New Roman" w:hAnsi="Times New Roman"/>
        </w:rPr>
        <w:t xml:space="preserve">h) Sociedade cooper</w:t>
      </w:r>
      <w:r>
        <w:rPr>
          <w:rFonts w:ascii="Times New Roman" w:hAnsi="Times New Roman"/>
        </w:rPr>
        <w:t xml:space="preserve">ativa: ata de fundação e estatuto social, com a ata da assembleia que o aprovou, devidamente arquivado na Junta Comercial ou inscrito no Registro Civil das Pessoas Jurídicas da respectiva sede, além do registro de que trata o art. 107 da Lei nº 5.764/1971.</w:t>
      </w:r>
      <w:r>
        <w:rPr>
          <w:rFonts w:ascii="Times New Roman" w:hAnsi="Times New Roman"/>
        </w:rPr>
      </w:r>
      <w:r>
        <w:rPr>
          <w:rFonts w:ascii="Times New Roman" w:hAnsi="Times New Roman"/>
        </w:rPr>
      </w:r>
    </w:p>
    <w:p w14:paraId="6B01877D">
      <w:pPr>
        <w:pBdr/>
        <w:spacing/>
        <w:ind/>
        <w:jc w:val="both"/>
        <w:rPr>
          <w:rFonts w:ascii="Times New Roman" w:hAnsi="Times New Roman"/>
        </w:rPr>
      </w:pPr>
      <w:r>
        <w:rPr>
          <w:rFonts w:ascii="Times New Roman" w:hAnsi="Times New Roman"/>
          <w:b/>
          <w:bCs/>
        </w:rPr>
        <w:t xml:space="preserve">8.2.1.1.</w:t>
      </w:r>
      <w:r>
        <w:rPr>
          <w:rFonts w:ascii="Times New Roman" w:hAnsi="Times New Roman"/>
        </w:rPr>
        <w:t xml:space="preserve"> Os documentos apresentados deverão estar acompanhados de todas as alterações ou da consolidação respectiva.</w:t>
      </w:r>
      <w:r>
        <w:rPr>
          <w:rFonts w:ascii="Times New Roman" w:hAnsi="Times New Roman"/>
        </w:rPr>
      </w:r>
      <w:r>
        <w:rPr>
          <w:rFonts w:ascii="Times New Roman" w:hAnsi="Times New Roman"/>
        </w:rPr>
      </w:r>
    </w:p>
    <w:p w14:paraId="1372CCC3">
      <w:pPr>
        <w:pBdr/>
        <w:spacing/>
        <w:ind/>
        <w:jc w:val="both"/>
        <w:rPr>
          <w:rFonts w:ascii="Times New Roman" w:hAnsi="Times New Roman"/>
        </w:rPr>
      </w:pPr>
      <w:r>
        <w:rPr>
          <w:rFonts w:ascii="Times New Roman" w:hAnsi="Times New Roman"/>
          <w:b/>
          <w:bCs/>
        </w:rPr>
        <w:t xml:space="preserve">8.2.</w:t>
      </w:r>
      <w:r>
        <w:rPr>
          <w:rFonts w:ascii="Times New Roman" w:hAnsi="Times New Roman"/>
          <w:b/>
          <w:bCs/>
          <w:lang w:val="pt-BR"/>
        </w:rPr>
        <w:t xml:space="preserve">2</w:t>
      </w:r>
      <w:r>
        <w:rPr>
          <w:rFonts w:ascii="Times New Roman" w:hAnsi="Times New Roman"/>
          <w:b/>
          <w:bCs/>
        </w:rPr>
        <w:t xml:space="preserve">. </w:t>
      </w:r>
      <w:r>
        <w:rPr>
          <w:rFonts w:ascii="Times New Roman" w:hAnsi="Times New Roman"/>
        </w:rPr>
        <w:t xml:space="preserve">Habilitação Fiscal, Social e Trabalhista</w:t>
      </w:r>
      <w:r>
        <w:rPr>
          <w:rFonts w:ascii="Times New Roman" w:hAnsi="Times New Roman"/>
        </w:rPr>
      </w:r>
      <w:r>
        <w:rPr>
          <w:rFonts w:ascii="Times New Roman" w:hAnsi="Times New Roman"/>
        </w:rPr>
      </w:r>
    </w:p>
    <w:p w14:paraId="5544165A">
      <w:pPr>
        <w:pBdr/>
        <w:spacing/>
        <w:ind/>
        <w:jc w:val="both"/>
        <w:rPr>
          <w:rFonts w:ascii="Times New Roman" w:hAnsi="Times New Roman"/>
        </w:rPr>
      </w:pPr>
      <w:r>
        <w:rPr>
          <w:rFonts w:ascii="Times New Roman" w:hAnsi="Times New Roman"/>
        </w:rPr>
        <w:t xml:space="preserve">a) Prova de inscrição no Cadastro Nacional de Pessoa Jurídica (CNPJ) ou no Cadastro de Pessoas Físicas, conforme o caso;</w:t>
      </w:r>
      <w:r>
        <w:rPr>
          <w:rFonts w:ascii="Times New Roman" w:hAnsi="Times New Roman"/>
        </w:rPr>
      </w:r>
      <w:r>
        <w:rPr>
          <w:rFonts w:ascii="Times New Roman" w:hAnsi="Times New Roman"/>
        </w:rPr>
      </w:r>
    </w:p>
    <w:p w14:paraId="2894ADDD">
      <w:pPr>
        <w:pBdr/>
        <w:spacing/>
        <w:ind/>
        <w:jc w:val="both"/>
        <w:rPr>
          <w:rFonts w:ascii="Times New Roman" w:hAnsi="Times New Roman"/>
        </w:rPr>
      </w:pPr>
      <w:r>
        <w:rPr>
          <w:rFonts w:ascii="Times New Roman" w:hAnsi="Times New Roman"/>
        </w:rPr>
        <w:t xml:space="preserve">b) Prova de inscrição no cadastro de contribuintes estadual e/ou municipal, se houver, relativo ao domicílio ou sede do licitante, pertinente ao seu ramo de atividade e compatível com o objeto contratual;</w:t>
      </w:r>
      <w:r>
        <w:rPr>
          <w:rFonts w:ascii="Times New Roman" w:hAnsi="Times New Roman"/>
        </w:rPr>
      </w:r>
      <w:r>
        <w:rPr>
          <w:rFonts w:ascii="Times New Roman" w:hAnsi="Times New Roman"/>
        </w:rPr>
      </w:r>
    </w:p>
    <w:p w14:paraId="66C07C36">
      <w:pPr>
        <w:pBdr/>
        <w:spacing/>
        <w:ind/>
        <w:jc w:val="both"/>
        <w:rPr>
          <w:rFonts w:ascii="Times New Roman" w:hAnsi="Times New Roman"/>
        </w:rPr>
      </w:pPr>
      <w:r>
        <w:rPr>
          <w:rFonts w:ascii="Times New Roman" w:hAnsi="Times New Roman"/>
        </w:rPr>
        <w:t xml:space="preserve">c) Prova de regularidade para com as Fazendas federal, estadual/distrital e municipal do domicílio ou sede do licitante, ou outra equivalente, na forma da lei;</w:t>
      </w:r>
      <w:r>
        <w:rPr>
          <w:rFonts w:ascii="Times New Roman" w:hAnsi="Times New Roman"/>
        </w:rPr>
      </w:r>
      <w:r>
        <w:rPr>
          <w:rFonts w:ascii="Times New Roman" w:hAnsi="Times New Roman"/>
        </w:rPr>
      </w:r>
    </w:p>
    <w:p w14:paraId="7C4CEA64">
      <w:pPr>
        <w:pBdr/>
        <w:spacing/>
        <w:ind/>
        <w:jc w:val="both"/>
        <w:rPr>
          <w:rFonts w:ascii="Times New Roman" w:hAnsi="Times New Roman"/>
        </w:rPr>
      </w:pPr>
      <w:r>
        <w:rPr>
          <w:rFonts w:ascii="Times New Roman" w:hAnsi="Times New Roman"/>
        </w:rPr>
        <w:t xml:space="preserve">d) Prova de regularidade relativa à Seguridade Social e ao Fundo de Garantia por Tempo de Serviço (FGTS), demonstrando situação regular;</w:t>
      </w:r>
      <w:r>
        <w:rPr>
          <w:rFonts w:ascii="Times New Roman" w:hAnsi="Times New Roman"/>
        </w:rPr>
      </w:r>
      <w:r>
        <w:rPr>
          <w:rFonts w:ascii="Times New Roman" w:hAnsi="Times New Roman"/>
        </w:rPr>
      </w:r>
    </w:p>
    <w:p w14:paraId="277DA97B">
      <w:pPr>
        <w:pBdr/>
        <w:spacing/>
        <w:ind/>
        <w:jc w:val="both"/>
        <w:rPr>
          <w:rFonts w:ascii="Times New Roman" w:hAnsi="Times New Roman"/>
        </w:rPr>
      </w:pPr>
      <w:r>
        <w:rPr>
          <w:rFonts w:ascii="Times New Roman" w:hAnsi="Times New Roman"/>
        </w:rPr>
        <w:t xml:space="preserve">e) Prova de inexistência de débitos inadimplidos perante a Justiça do Trabalho, mediante apresentação de certidão negativa ou positiva com efeito de negativa;</w:t>
      </w:r>
      <w:r>
        <w:rPr>
          <w:rFonts w:ascii="Times New Roman" w:hAnsi="Times New Roman"/>
        </w:rPr>
      </w:r>
      <w:r>
        <w:rPr>
          <w:rFonts w:ascii="Times New Roman" w:hAnsi="Times New Roman"/>
        </w:rPr>
      </w:r>
    </w:p>
    <w:p w14:paraId="2A87DEE3">
      <w:pPr>
        <w:pBdr/>
        <w:spacing/>
        <w:ind/>
        <w:jc w:val="both"/>
        <w:rPr>
          <w:rFonts w:ascii="Times New Roman" w:hAnsi="Times New Roman"/>
        </w:rPr>
      </w:pPr>
      <w:r>
        <w:rPr>
          <w:rFonts w:ascii="Times New Roman" w:hAnsi="Times New Roman"/>
        </w:rPr>
        <w:t xml:space="preserve">f) Declaração expressa de que o licitante não emprega trabalhador menor nas situações previstas no inciso XXXIII do art. 7º da Constituição.</w:t>
      </w:r>
      <w:r>
        <w:rPr>
          <w:rFonts w:ascii="Times New Roman" w:hAnsi="Times New Roman"/>
        </w:rPr>
      </w:r>
      <w:r>
        <w:rPr>
          <w:rFonts w:ascii="Times New Roman" w:hAnsi="Times New Roman"/>
        </w:rPr>
      </w:r>
    </w:p>
    <w:p w14:paraId="3C221363">
      <w:pPr>
        <w:pBdr/>
        <w:spacing/>
        <w:ind/>
        <w:jc w:val="both"/>
        <w:rPr>
          <w:rFonts w:ascii="Times New Roman" w:hAnsi="Times New Roman"/>
        </w:rPr>
      </w:pPr>
      <w:r>
        <w:rPr>
          <w:rFonts w:ascii="Times New Roman" w:hAnsi="Times New Roman"/>
          <w:b/>
          <w:bCs/>
          <w:lang w:val="pt-BR"/>
        </w:rPr>
        <w:t xml:space="preserve">8.2.2.1.</w:t>
      </w:r>
      <w:r>
        <w:rPr>
          <w:rFonts w:ascii="Times New Roman" w:hAnsi="Times New Roman"/>
          <w:lang w:val="pt-BR"/>
        </w:rPr>
        <w:t xml:space="preserve"> </w:t>
      </w:r>
      <w:r>
        <w:rPr>
          <w:rFonts w:ascii="Times New Roman" w:hAnsi="Times New Roman"/>
        </w:rPr>
        <w:t xml:space="preserve">Comprovação, quando aplicável, do cumprimento das exigências legais de reserva de cargos destinadas </w:t>
      </w:r>
      <w:r>
        <w:rPr>
          <w:rFonts w:ascii="Times New Roman" w:hAnsi="Times New Roman"/>
        </w:rPr>
        <w:t xml:space="preserve">a pessoas com deficiência ou a beneficiários reabilitados pela Previdência Social, bem como do cumprimento da cota mínima de aprendizes, nos termos da legislação vigente (Lei nº 8.213/1991, Decreto nº 3.298/1999, art. 93 da CLT e demais normas correlatas).</w:t>
      </w:r>
      <w:r>
        <w:rPr>
          <w:rFonts w:ascii="Times New Roman" w:hAnsi="Times New Roman"/>
        </w:rPr>
      </w:r>
      <w:r>
        <w:rPr>
          <w:rFonts w:ascii="Times New Roman" w:hAnsi="Times New Roman"/>
        </w:rPr>
      </w:r>
    </w:p>
    <w:p w14:paraId="4874A1BD">
      <w:pPr>
        <w:pBdr/>
        <w:spacing/>
        <w:ind/>
        <w:jc w:val="both"/>
        <w:rPr>
          <w:rFonts w:ascii="Times New Roman" w:hAnsi="Times New Roman"/>
        </w:rPr>
      </w:pPr>
      <w:r>
        <w:rPr>
          <w:rFonts w:ascii="Times New Roman" w:hAnsi="Times New Roman"/>
          <w:b/>
          <w:bCs/>
        </w:rPr>
        <w:t xml:space="preserve">8.2.2.</w:t>
      </w:r>
      <w:r>
        <w:rPr>
          <w:rFonts w:ascii="Times New Roman" w:hAnsi="Times New Roman"/>
          <w:b/>
          <w:bCs/>
          <w:lang w:val="pt-BR"/>
        </w:rPr>
        <w:t xml:space="preserve">2</w:t>
      </w:r>
      <w:r>
        <w:rPr>
          <w:rFonts w:ascii="Times New Roman" w:hAnsi="Times New Roman"/>
          <w:b/>
          <w:bCs/>
        </w:rPr>
        <w:t xml:space="preserve">.</w:t>
      </w:r>
      <w:r>
        <w:rPr>
          <w:rFonts w:ascii="Times New Roman" w:hAnsi="Times New Roman"/>
        </w:rPr>
        <w:t xml:space="preserve"> Os documentos acima poderão ser substituídos ou supridos, no todo ou em parte, por outros meios hábeis a comprovar a regularidade do licitante, inclusive por meio eletrônico.</w:t>
      </w:r>
      <w:r>
        <w:rPr>
          <w:rFonts w:ascii="Times New Roman" w:hAnsi="Times New Roman"/>
        </w:rPr>
      </w:r>
      <w:r>
        <w:rPr>
          <w:rFonts w:ascii="Times New Roman" w:hAnsi="Times New Roman"/>
        </w:rPr>
      </w:r>
    </w:p>
    <w:p w14:paraId="57482846">
      <w:pPr>
        <w:pBdr/>
        <w:spacing/>
        <w:ind/>
        <w:jc w:val="both"/>
        <w:rPr>
          <w:rFonts w:ascii="Times New Roman" w:hAnsi="Times New Roman"/>
          <w:b/>
          <w:bCs/>
        </w:rPr>
      </w:pPr>
      <w:r>
        <w:rPr>
          <w:rFonts w:ascii="Times New Roman" w:hAnsi="Times New Roman"/>
          <w:b/>
          <w:bCs/>
        </w:rPr>
        <w:t xml:space="preserve">8.2.3. Qualificação Econômico-Financeira</w:t>
      </w:r>
      <w:r>
        <w:rPr>
          <w:rFonts w:ascii="Times New Roman" w:hAnsi="Times New Roman"/>
          <w:b/>
          <w:bCs/>
        </w:rPr>
      </w:r>
      <w:r>
        <w:rPr>
          <w:rFonts w:ascii="Times New Roman" w:hAnsi="Times New Roman"/>
          <w:b/>
          <w:bCs/>
        </w:rPr>
      </w:r>
    </w:p>
    <w:p w14:paraId="427CD0BA">
      <w:pPr>
        <w:pBdr/>
        <w:spacing/>
        <w:ind/>
        <w:jc w:val="both"/>
        <w:rPr>
          <w:rFonts w:ascii="Times New Roman" w:hAnsi="Times New Roman"/>
        </w:rPr>
      </w:pPr>
      <w:r>
        <w:rPr>
          <w:rFonts w:ascii="Times New Roman" w:hAnsi="Times New Roman"/>
        </w:rPr>
        <w:t xml:space="preserve">a) Certidão negativa de feitos sobre falência expedida pelo distribuidor da sede do licitante.</w:t>
      </w:r>
      <w:r>
        <w:rPr>
          <w:rFonts w:ascii="Times New Roman" w:hAnsi="Times New Roman"/>
        </w:rPr>
      </w:r>
      <w:r>
        <w:rPr>
          <w:rFonts w:ascii="Times New Roman" w:hAnsi="Times New Roman"/>
        </w:rPr>
      </w:r>
    </w:p>
    <w:p w14:paraId="5F210394">
      <w:pPr>
        <w:pBdr/>
        <w:spacing/>
        <w:ind/>
        <w:jc w:val="both"/>
        <w:rPr>
          <w:rFonts w:ascii="Times New Roman" w:hAnsi="Times New Roman"/>
        </w:rPr>
      </w:pPr>
      <w:r>
        <w:rPr>
          <w:rFonts w:ascii="Times New Roman" w:hAnsi="Times New Roman"/>
        </w:rPr>
        <w:t xml:space="preserve">b) Na hipótese de certidão positiva, em caso de recuperação judicial ou extrajudicial, o licitante deverá apresentar comprovante da homologação ou deferimento do plano de recuperação em vigor.</w:t>
      </w:r>
      <w:r>
        <w:rPr>
          <w:rFonts w:ascii="Times New Roman" w:hAnsi="Times New Roman"/>
        </w:rPr>
      </w:r>
      <w:r>
        <w:rPr>
          <w:rFonts w:ascii="Times New Roman" w:hAnsi="Times New Roman"/>
        </w:rPr>
      </w:r>
    </w:p>
    <w:p w14:paraId="1A1E3F0E">
      <w:pPr>
        <w:pBdr/>
        <w:spacing/>
        <w:ind/>
        <w:jc w:val="both"/>
        <w:rPr>
          <w:rFonts w:ascii="Times New Roman" w:hAnsi="Times New Roman"/>
          <w:b/>
          <w:bCs/>
        </w:rPr>
      </w:pPr>
      <w:r>
        <w:rPr>
          <w:rFonts w:ascii="Times New Roman" w:hAnsi="Times New Roman"/>
          <w:b/>
          <w:bCs/>
        </w:rPr>
        <w:t xml:space="preserve">8.2.4. Qualificação Técnica</w:t>
      </w:r>
      <w:r>
        <w:rPr>
          <w:rFonts w:ascii="Times New Roman" w:hAnsi="Times New Roman"/>
          <w:b/>
          <w:bCs/>
        </w:rPr>
      </w:r>
      <w:r>
        <w:rPr>
          <w:rFonts w:ascii="Times New Roman" w:hAnsi="Times New Roman"/>
          <w:b/>
          <w:bCs/>
        </w:rPr>
      </w:r>
    </w:p>
    <w:p w14:paraId="693F4258">
      <w:pPr>
        <w:pStyle w:val="2040"/>
        <w:pBdr/>
        <w:spacing w:afterAutospacing="0" w:beforeAutospacing="0"/>
        <w:ind/>
        <w:jc w:val="both"/>
        <w:rPr>
          <w:sz w:val="22"/>
          <w:szCs w:val="22"/>
        </w:rPr>
      </w:pPr>
      <w:r>
        <w:rPr>
          <w:sz w:val="22"/>
          <w:szCs w:val="22"/>
        </w:rPr>
        <w:t xml:space="preserve">a) </w:t>
      </w:r>
      <w:r>
        <w:rPr>
          <w:sz w:val="22"/>
          <w:szCs w:val="22"/>
        </w:rPr>
        <w:t xml:space="preserve">Após</w:t>
      </w:r>
      <w:r>
        <w:rPr>
          <w:sz w:val="22"/>
          <w:szCs w:val="22"/>
        </w:rPr>
        <w:t xml:space="preserve"> </w:t>
      </w:r>
      <w:r>
        <w:rPr>
          <w:sz w:val="22"/>
          <w:szCs w:val="22"/>
        </w:rPr>
        <w:t xml:space="preserve">análise</w:t>
      </w:r>
      <w:r>
        <w:rPr>
          <w:sz w:val="22"/>
          <w:szCs w:val="22"/>
        </w:rPr>
        <w:t xml:space="preserve"> das </w:t>
      </w:r>
      <w:r>
        <w:rPr>
          <w:sz w:val="22"/>
          <w:szCs w:val="22"/>
        </w:rPr>
        <w:t xml:space="preserve">especificações</w:t>
      </w:r>
      <w:r>
        <w:rPr>
          <w:sz w:val="22"/>
          <w:szCs w:val="22"/>
        </w:rPr>
        <w:t xml:space="preserve"> </w:t>
      </w:r>
      <w:r>
        <w:rPr>
          <w:sz w:val="22"/>
          <w:szCs w:val="22"/>
        </w:rPr>
        <w:t xml:space="preserve">técnicas</w:t>
      </w:r>
      <w:r>
        <w:rPr>
          <w:sz w:val="22"/>
          <w:szCs w:val="22"/>
        </w:rPr>
        <w:t xml:space="preserve"> dos </w:t>
      </w:r>
      <w:r>
        <w:rPr>
          <w:sz w:val="22"/>
          <w:szCs w:val="22"/>
        </w:rPr>
        <w:t xml:space="preserve">itens</w:t>
      </w:r>
      <w:r>
        <w:rPr>
          <w:sz w:val="22"/>
          <w:szCs w:val="22"/>
        </w:rPr>
        <w:t xml:space="preserve"> </w:t>
      </w:r>
      <w:r>
        <w:rPr>
          <w:sz w:val="22"/>
          <w:szCs w:val="22"/>
        </w:rPr>
        <w:t xml:space="preserve">descritos</w:t>
      </w:r>
      <w:r>
        <w:rPr>
          <w:sz w:val="22"/>
          <w:szCs w:val="22"/>
        </w:rPr>
        <w:t xml:space="preserve">, </w:t>
      </w:r>
      <w:r>
        <w:rPr>
          <w:sz w:val="22"/>
          <w:szCs w:val="22"/>
        </w:rPr>
        <w:t xml:space="preserve">constatou</w:t>
      </w:r>
      <w:r>
        <w:rPr>
          <w:sz w:val="22"/>
          <w:szCs w:val="22"/>
        </w:rPr>
        <w:t xml:space="preserve">-se que </w:t>
      </w:r>
      <w:r>
        <w:rPr>
          <w:sz w:val="22"/>
          <w:szCs w:val="22"/>
        </w:rPr>
        <w:t xml:space="preserve">parte</w:t>
      </w:r>
      <w:r>
        <w:rPr>
          <w:sz w:val="22"/>
          <w:szCs w:val="22"/>
        </w:rPr>
        <w:t xml:space="preserve"> dos </w:t>
      </w:r>
      <w:r>
        <w:rPr>
          <w:sz w:val="22"/>
          <w:szCs w:val="22"/>
        </w:rPr>
        <w:t xml:space="preserve">produtos</w:t>
      </w:r>
      <w:r>
        <w:rPr>
          <w:sz w:val="22"/>
          <w:szCs w:val="22"/>
        </w:rPr>
        <w:t xml:space="preserve"> </w:t>
      </w:r>
      <w:r>
        <w:rPr>
          <w:sz w:val="22"/>
          <w:szCs w:val="22"/>
        </w:rPr>
        <w:t xml:space="preserve">possui</w:t>
      </w:r>
      <w:r>
        <w:rPr>
          <w:sz w:val="22"/>
          <w:szCs w:val="22"/>
        </w:rPr>
        <w:t xml:space="preserve"> </w:t>
      </w:r>
      <w:r>
        <w:rPr>
          <w:sz w:val="22"/>
          <w:szCs w:val="22"/>
        </w:rPr>
        <w:t xml:space="preserve">natureza</w:t>
      </w:r>
      <w:r>
        <w:rPr>
          <w:sz w:val="22"/>
          <w:szCs w:val="22"/>
        </w:rPr>
        <w:t xml:space="preserve"> de </w:t>
      </w:r>
      <w:r>
        <w:rPr>
          <w:sz w:val="22"/>
          <w:szCs w:val="22"/>
        </w:rPr>
        <w:t xml:space="preserve">equipamento</w:t>
      </w:r>
      <w:r>
        <w:rPr>
          <w:sz w:val="22"/>
          <w:szCs w:val="22"/>
        </w:rPr>
        <w:t xml:space="preserve"> </w:t>
      </w:r>
      <w:r>
        <w:rPr>
          <w:sz w:val="22"/>
          <w:szCs w:val="22"/>
        </w:rPr>
        <w:t xml:space="preserve">eletromédico</w:t>
      </w:r>
      <w:r>
        <w:rPr>
          <w:sz w:val="22"/>
          <w:szCs w:val="22"/>
        </w:rPr>
        <w:t xml:space="preserve"> </w:t>
      </w:r>
      <w:r>
        <w:rPr>
          <w:sz w:val="22"/>
          <w:szCs w:val="22"/>
        </w:rPr>
        <w:t xml:space="preserve">ou</w:t>
      </w:r>
      <w:r>
        <w:rPr>
          <w:sz w:val="22"/>
          <w:szCs w:val="22"/>
        </w:rPr>
        <w:t xml:space="preserve"> </w:t>
      </w:r>
      <w:r>
        <w:rPr>
          <w:sz w:val="22"/>
          <w:szCs w:val="22"/>
        </w:rPr>
        <w:t xml:space="preserve">terapêutico</w:t>
      </w:r>
      <w:r>
        <w:rPr>
          <w:sz w:val="22"/>
          <w:szCs w:val="22"/>
        </w:rPr>
        <w:t xml:space="preserve"> </w:t>
      </w:r>
      <w:r>
        <w:rPr>
          <w:sz w:val="22"/>
          <w:szCs w:val="22"/>
        </w:rPr>
        <w:t xml:space="preserve">ativo</w:t>
      </w:r>
      <w:r>
        <w:rPr>
          <w:sz w:val="22"/>
          <w:szCs w:val="22"/>
        </w:rPr>
        <w:t xml:space="preserve">, com </w:t>
      </w:r>
      <w:r>
        <w:rPr>
          <w:sz w:val="22"/>
          <w:szCs w:val="22"/>
        </w:rPr>
        <w:t xml:space="preserve">aplicação</w:t>
      </w:r>
      <w:r>
        <w:rPr>
          <w:sz w:val="22"/>
          <w:szCs w:val="22"/>
        </w:rPr>
        <w:t xml:space="preserve"> </w:t>
      </w:r>
      <w:r>
        <w:rPr>
          <w:sz w:val="22"/>
          <w:szCs w:val="22"/>
        </w:rPr>
        <w:t xml:space="preserve">direta</w:t>
      </w:r>
      <w:r>
        <w:rPr>
          <w:sz w:val="22"/>
          <w:szCs w:val="22"/>
        </w:rPr>
        <w:t xml:space="preserve"> </w:t>
      </w:r>
      <w:r>
        <w:rPr>
          <w:sz w:val="22"/>
          <w:szCs w:val="22"/>
        </w:rPr>
        <w:t xml:space="preserve">em</w:t>
      </w:r>
      <w:r>
        <w:rPr>
          <w:sz w:val="22"/>
          <w:szCs w:val="22"/>
        </w:rPr>
        <w:t xml:space="preserve"> </w:t>
      </w:r>
      <w:r>
        <w:rPr>
          <w:sz w:val="22"/>
          <w:szCs w:val="22"/>
        </w:rPr>
        <w:t xml:space="preserve">procedimentos</w:t>
      </w:r>
      <w:r>
        <w:rPr>
          <w:sz w:val="22"/>
          <w:szCs w:val="22"/>
        </w:rPr>
        <w:t xml:space="preserve"> de </w:t>
      </w:r>
      <w:r>
        <w:rPr>
          <w:sz w:val="22"/>
          <w:szCs w:val="22"/>
        </w:rPr>
        <w:t xml:space="preserve">saúde</w:t>
      </w:r>
      <w:r>
        <w:rPr>
          <w:sz w:val="22"/>
          <w:szCs w:val="22"/>
        </w:rPr>
        <w:t xml:space="preserve">, </w:t>
      </w:r>
      <w:r>
        <w:rPr>
          <w:sz w:val="22"/>
          <w:szCs w:val="22"/>
        </w:rPr>
        <w:t xml:space="preserve">envolvendo</w:t>
      </w:r>
      <w:r>
        <w:rPr>
          <w:sz w:val="22"/>
          <w:szCs w:val="22"/>
        </w:rPr>
        <w:t xml:space="preserve"> </w:t>
      </w:r>
      <w:r>
        <w:rPr>
          <w:sz w:val="22"/>
          <w:szCs w:val="22"/>
        </w:rPr>
        <w:t xml:space="preserve">emissão</w:t>
      </w:r>
      <w:r>
        <w:rPr>
          <w:sz w:val="22"/>
          <w:szCs w:val="22"/>
        </w:rPr>
        <w:t xml:space="preserve"> de </w:t>
      </w:r>
      <w:r>
        <w:rPr>
          <w:sz w:val="22"/>
          <w:szCs w:val="22"/>
        </w:rPr>
        <w:t xml:space="preserve">energia</w:t>
      </w:r>
      <w:r>
        <w:rPr>
          <w:sz w:val="22"/>
          <w:szCs w:val="22"/>
        </w:rPr>
        <w:t xml:space="preserve"> </w:t>
      </w:r>
      <w:r>
        <w:rPr>
          <w:sz w:val="22"/>
          <w:szCs w:val="22"/>
        </w:rPr>
        <w:t xml:space="preserve">térmica</w:t>
      </w:r>
      <w:r>
        <w:rPr>
          <w:sz w:val="22"/>
          <w:szCs w:val="22"/>
        </w:rPr>
        <w:t xml:space="preserve"> </w:t>
      </w:r>
      <w:r>
        <w:rPr>
          <w:sz w:val="22"/>
          <w:szCs w:val="22"/>
        </w:rPr>
        <w:t xml:space="preserve">ou</w:t>
      </w:r>
      <w:r>
        <w:rPr>
          <w:sz w:val="22"/>
          <w:szCs w:val="22"/>
        </w:rPr>
        <w:t xml:space="preserve"> </w:t>
      </w:r>
      <w:r>
        <w:rPr>
          <w:sz w:val="22"/>
          <w:szCs w:val="22"/>
        </w:rPr>
        <w:t xml:space="preserve">radiação</w:t>
      </w:r>
      <w:r>
        <w:rPr>
          <w:sz w:val="22"/>
          <w:szCs w:val="22"/>
        </w:rPr>
        <w:t xml:space="preserve">, o que </w:t>
      </w:r>
      <w:r>
        <w:rPr>
          <w:sz w:val="22"/>
          <w:szCs w:val="22"/>
        </w:rPr>
        <w:t xml:space="preserve">demanda</w:t>
      </w:r>
      <w:r>
        <w:rPr>
          <w:sz w:val="22"/>
          <w:szCs w:val="22"/>
        </w:rPr>
        <w:t xml:space="preserve"> </w:t>
      </w:r>
      <w:r>
        <w:rPr>
          <w:sz w:val="22"/>
          <w:szCs w:val="22"/>
        </w:rPr>
        <w:t xml:space="preserve">maior</w:t>
      </w:r>
      <w:r>
        <w:rPr>
          <w:sz w:val="22"/>
          <w:szCs w:val="22"/>
        </w:rPr>
        <w:t xml:space="preserve"> </w:t>
      </w:r>
      <w:r>
        <w:rPr>
          <w:sz w:val="22"/>
          <w:szCs w:val="22"/>
        </w:rPr>
        <w:t xml:space="preserve">controle</w:t>
      </w:r>
      <w:r>
        <w:rPr>
          <w:sz w:val="22"/>
          <w:szCs w:val="22"/>
        </w:rPr>
        <w:t xml:space="preserve"> </w:t>
      </w:r>
      <w:r>
        <w:rPr>
          <w:sz w:val="22"/>
          <w:szCs w:val="22"/>
        </w:rPr>
        <w:t xml:space="preserve">técnico</w:t>
      </w:r>
      <w:r>
        <w:rPr>
          <w:sz w:val="22"/>
          <w:szCs w:val="22"/>
        </w:rPr>
        <w:t xml:space="preserve"> e </w:t>
      </w:r>
      <w:r>
        <w:rPr>
          <w:sz w:val="22"/>
          <w:szCs w:val="22"/>
        </w:rPr>
        <w:t xml:space="preserve">regulatório</w:t>
      </w:r>
      <w:r>
        <w:rPr>
          <w:sz w:val="22"/>
          <w:szCs w:val="22"/>
        </w:rPr>
        <w:t xml:space="preserve">. </w:t>
      </w:r>
      <w:r>
        <w:rPr>
          <w:sz w:val="22"/>
          <w:szCs w:val="22"/>
        </w:rPr>
        <w:t xml:space="preserve">Enquadram</w:t>
      </w:r>
      <w:r>
        <w:rPr>
          <w:sz w:val="22"/>
          <w:szCs w:val="22"/>
        </w:rPr>
        <w:t xml:space="preserve">-se </w:t>
      </w:r>
      <w:r>
        <w:rPr>
          <w:sz w:val="22"/>
          <w:szCs w:val="22"/>
        </w:rPr>
        <w:t xml:space="preserve">nessa</w:t>
      </w:r>
      <w:r>
        <w:rPr>
          <w:sz w:val="22"/>
          <w:szCs w:val="22"/>
        </w:rPr>
        <w:t xml:space="preserve"> </w:t>
      </w:r>
      <w:r>
        <w:rPr>
          <w:sz w:val="22"/>
          <w:szCs w:val="22"/>
        </w:rPr>
        <w:t xml:space="preserve">condição</w:t>
      </w:r>
      <w:r>
        <w:rPr>
          <w:sz w:val="22"/>
          <w:szCs w:val="22"/>
        </w:rPr>
        <w:t xml:space="preserve"> o </w:t>
      </w:r>
      <w:r>
        <w:rPr>
          <w:sz w:val="22"/>
          <w:szCs w:val="22"/>
        </w:rPr>
        <w:t xml:space="preserve">aparelho</w:t>
      </w:r>
      <w:r>
        <w:rPr>
          <w:sz w:val="22"/>
          <w:szCs w:val="22"/>
        </w:rPr>
        <w:t xml:space="preserve"> </w:t>
      </w:r>
      <w:r>
        <w:rPr>
          <w:sz w:val="22"/>
          <w:szCs w:val="22"/>
        </w:rPr>
        <w:t xml:space="preserve">infravermelho</w:t>
      </w:r>
      <w:r>
        <w:rPr>
          <w:sz w:val="22"/>
          <w:szCs w:val="22"/>
        </w:rPr>
        <w:t xml:space="preserve"> com pedestal para </w:t>
      </w:r>
      <w:r>
        <w:rPr>
          <w:sz w:val="22"/>
          <w:szCs w:val="22"/>
        </w:rPr>
        <w:t xml:space="preserve">fisioterapia</w:t>
      </w:r>
      <w:r>
        <w:rPr>
          <w:sz w:val="22"/>
          <w:szCs w:val="22"/>
        </w:rPr>
        <w:t xml:space="preserve">, a </w:t>
      </w:r>
      <w:r>
        <w:rPr>
          <w:sz w:val="22"/>
          <w:szCs w:val="22"/>
        </w:rPr>
        <w:t xml:space="preserve">lâmpada</w:t>
      </w:r>
      <w:r>
        <w:rPr>
          <w:sz w:val="22"/>
          <w:szCs w:val="22"/>
        </w:rPr>
        <w:t xml:space="preserve"> </w:t>
      </w:r>
      <w:r>
        <w:rPr>
          <w:sz w:val="22"/>
          <w:szCs w:val="22"/>
        </w:rPr>
        <w:t xml:space="preserve">infravermelha</w:t>
      </w:r>
      <w:r>
        <w:rPr>
          <w:sz w:val="22"/>
          <w:szCs w:val="22"/>
        </w:rPr>
        <w:t xml:space="preserve"> </w:t>
      </w:r>
      <w:r>
        <w:rPr>
          <w:sz w:val="22"/>
          <w:szCs w:val="22"/>
        </w:rPr>
        <w:t xml:space="preserve">destinada</w:t>
      </w:r>
      <w:r>
        <w:rPr>
          <w:sz w:val="22"/>
          <w:szCs w:val="22"/>
        </w:rPr>
        <w:t xml:space="preserve"> </w:t>
      </w:r>
      <w:r>
        <w:rPr>
          <w:sz w:val="22"/>
          <w:szCs w:val="22"/>
        </w:rPr>
        <w:t xml:space="preserve">ao</w:t>
      </w:r>
      <w:r>
        <w:rPr>
          <w:sz w:val="22"/>
          <w:szCs w:val="22"/>
        </w:rPr>
        <w:t xml:space="preserve"> </w:t>
      </w:r>
      <w:r>
        <w:rPr>
          <w:sz w:val="22"/>
          <w:szCs w:val="22"/>
        </w:rPr>
        <w:t xml:space="preserve">uso</w:t>
      </w:r>
      <w:r>
        <w:rPr>
          <w:sz w:val="22"/>
          <w:szCs w:val="22"/>
        </w:rPr>
        <w:t xml:space="preserve"> </w:t>
      </w:r>
      <w:r>
        <w:rPr>
          <w:sz w:val="22"/>
          <w:szCs w:val="22"/>
        </w:rPr>
        <w:t xml:space="preserve">em</w:t>
      </w:r>
      <w:r>
        <w:rPr>
          <w:sz w:val="22"/>
          <w:szCs w:val="22"/>
        </w:rPr>
        <w:t xml:space="preserve"> </w:t>
      </w:r>
      <w:r>
        <w:rPr>
          <w:sz w:val="22"/>
          <w:szCs w:val="22"/>
        </w:rPr>
        <w:t xml:space="preserve">saúde</w:t>
      </w:r>
      <w:r>
        <w:rPr>
          <w:sz w:val="22"/>
          <w:szCs w:val="22"/>
        </w:rPr>
        <w:t xml:space="preserve"> e o </w:t>
      </w:r>
      <w:r>
        <w:rPr>
          <w:sz w:val="22"/>
          <w:szCs w:val="22"/>
        </w:rPr>
        <w:t xml:space="preserve">equipamento</w:t>
      </w:r>
      <w:r>
        <w:rPr>
          <w:sz w:val="22"/>
          <w:szCs w:val="22"/>
        </w:rPr>
        <w:t xml:space="preserve"> </w:t>
      </w:r>
      <w:r>
        <w:rPr>
          <w:sz w:val="22"/>
          <w:szCs w:val="22"/>
        </w:rPr>
        <w:t xml:space="preserve">microcontrolado</w:t>
      </w:r>
      <w:r>
        <w:rPr>
          <w:sz w:val="22"/>
          <w:szCs w:val="22"/>
        </w:rPr>
        <w:t xml:space="preserve"> de laser </w:t>
      </w:r>
      <w:r>
        <w:rPr>
          <w:sz w:val="22"/>
          <w:szCs w:val="22"/>
        </w:rPr>
        <w:t xml:space="preserve">terapêutico</w:t>
      </w:r>
      <w:r>
        <w:rPr>
          <w:sz w:val="22"/>
          <w:szCs w:val="22"/>
        </w:rPr>
        <w:t xml:space="preserve"> de </w:t>
      </w:r>
      <w:r>
        <w:rPr>
          <w:sz w:val="22"/>
          <w:szCs w:val="22"/>
        </w:rPr>
        <w:t xml:space="preserve">baixa</w:t>
      </w:r>
      <w:r>
        <w:rPr>
          <w:sz w:val="22"/>
          <w:szCs w:val="22"/>
        </w:rPr>
        <w:t xml:space="preserve"> </w:t>
      </w:r>
      <w:r>
        <w:rPr>
          <w:sz w:val="22"/>
          <w:szCs w:val="22"/>
        </w:rPr>
        <w:t xml:space="preserve">potência</w:t>
      </w:r>
      <w:r>
        <w:rPr>
          <w:sz w:val="22"/>
          <w:szCs w:val="22"/>
        </w:rPr>
        <w:t xml:space="preserve">. Em </w:t>
      </w:r>
      <w:r>
        <w:rPr>
          <w:sz w:val="22"/>
          <w:szCs w:val="22"/>
        </w:rPr>
        <w:t xml:space="preserve">razão</w:t>
      </w:r>
      <w:r>
        <w:rPr>
          <w:sz w:val="22"/>
          <w:szCs w:val="22"/>
        </w:rPr>
        <w:t xml:space="preserve"> do </w:t>
      </w:r>
      <w:r>
        <w:rPr>
          <w:sz w:val="22"/>
          <w:szCs w:val="22"/>
        </w:rPr>
        <w:t xml:space="preserve">potencial</w:t>
      </w:r>
      <w:r>
        <w:rPr>
          <w:sz w:val="22"/>
          <w:szCs w:val="22"/>
        </w:rPr>
        <w:t xml:space="preserve"> </w:t>
      </w:r>
      <w:r>
        <w:rPr>
          <w:sz w:val="22"/>
          <w:szCs w:val="22"/>
        </w:rPr>
        <w:t xml:space="preserve">risco</w:t>
      </w:r>
      <w:r>
        <w:rPr>
          <w:sz w:val="22"/>
          <w:szCs w:val="22"/>
        </w:rPr>
        <w:t xml:space="preserve"> </w:t>
      </w:r>
      <w:r>
        <w:rPr>
          <w:sz w:val="22"/>
          <w:szCs w:val="22"/>
        </w:rPr>
        <w:t xml:space="preserve">assistencial</w:t>
      </w:r>
      <w:r>
        <w:rPr>
          <w:sz w:val="22"/>
          <w:szCs w:val="22"/>
        </w:rPr>
        <w:t xml:space="preserve"> e da </w:t>
      </w:r>
      <w:r>
        <w:rPr>
          <w:sz w:val="22"/>
          <w:szCs w:val="22"/>
        </w:rPr>
        <w:t xml:space="preserve">complexidade</w:t>
      </w:r>
      <w:r>
        <w:rPr>
          <w:sz w:val="22"/>
          <w:szCs w:val="22"/>
        </w:rPr>
        <w:t xml:space="preserve"> </w:t>
      </w:r>
      <w:r>
        <w:rPr>
          <w:sz w:val="22"/>
          <w:szCs w:val="22"/>
        </w:rPr>
        <w:t xml:space="preserve">tecnológica</w:t>
      </w:r>
      <w:r>
        <w:rPr>
          <w:sz w:val="22"/>
          <w:szCs w:val="22"/>
        </w:rPr>
        <w:t xml:space="preserve"> </w:t>
      </w:r>
      <w:r>
        <w:rPr>
          <w:sz w:val="22"/>
          <w:szCs w:val="22"/>
        </w:rPr>
        <w:t xml:space="preserve">desses</w:t>
      </w:r>
      <w:r>
        <w:rPr>
          <w:sz w:val="22"/>
          <w:szCs w:val="22"/>
        </w:rPr>
        <w:t xml:space="preserve"> </w:t>
      </w:r>
      <w:r>
        <w:rPr>
          <w:sz w:val="22"/>
          <w:szCs w:val="22"/>
        </w:rPr>
        <w:t xml:space="preserve">equipamentos</w:t>
      </w:r>
      <w:r>
        <w:rPr>
          <w:sz w:val="22"/>
          <w:szCs w:val="22"/>
        </w:rPr>
        <w:t xml:space="preserve">, é </w:t>
      </w:r>
      <w:r>
        <w:rPr>
          <w:sz w:val="22"/>
          <w:szCs w:val="22"/>
        </w:rPr>
        <w:t xml:space="preserve">tecnicamente</w:t>
      </w:r>
      <w:r>
        <w:rPr>
          <w:sz w:val="22"/>
          <w:szCs w:val="22"/>
        </w:rPr>
        <w:t xml:space="preserve"> </w:t>
      </w:r>
      <w:r>
        <w:rPr>
          <w:sz w:val="22"/>
          <w:szCs w:val="22"/>
        </w:rPr>
        <w:t xml:space="preserve">justificável</w:t>
      </w:r>
      <w:r>
        <w:rPr>
          <w:sz w:val="22"/>
          <w:szCs w:val="22"/>
        </w:rPr>
        <w:t xml:space="preserve"> </w:t>
      </w:r>
      <w:r>
        <w:rPr>
          <w:sz w:val="22"/>
          <w:szCs w:val="22"/>
        </w:rPr>
        <w:t xml:space="preserve">a</w:t>
      </w:r>
      <w:r>
        <w:rPr>
          <w:sz w:val="22"/>
          <w:szCs w:val="22"/>
        </w:rPr>
        <w:t xml:space="preserve"> </w:t>
      </w:r>
      <w:r>
        <w:rPr>
          <w:sz w:val="22"/>
          <w:szCs w:val="22"/>
        </w:rPr>
        <w:t xml:space="preserve">exigência</w:t>
      </w:r>
      <w:r>
        <w:rPr>
          <w:sz w:val="22"/>
          <w:szCs w:val="22"/>
        </w:rPr>
        <w:t xml:space="preserve"> de </w:t>
      </w:r>
      <w:r>
        <w:rPr>
          <w:sz w:val="22"/>
          <w:szCs w:val="22"/>
        </w:rPr>
        <w:t xml:space="preserve">qualificação</w:t>
      </w:r>
      <w:r>
        <w:rPr>
          <w:sz w:val="22"/>
          <w:szCs w:val="22"/>
        </w:rPr>
        <w:t xml:space="preserve"> </w:t>
      </w:r>
      <w:r>
        <w:rPr>
          <w:sz w:val="22"/>
          <w:szCs w:val="22"/>
        </w:rPr>
        <w:t xml:space="preserve">técnica</w:t>
      </w:r>
      <w:r>
        <w:rPr>
          <w:sz w:val="22"/>
          <w:szCs w:val="22"/>
        </w:rPr>
        <w:t xml:space="preserve"> do </w:t>
      </w:r>
      <w:r>
        <w:rPr>
          <w:sz w:val="22"/>
          <w:szCs w:val="22"/>
        </w:rPr>
        <w:t xml:space="preserve">fornecedor</w:t>
      </w:r>
      <w:r>
        <w:rPr>
          <w:sz w:val="22"/>
          <w:szCs w:val="22"/>
        </w:rPr>
        <w:t xml:space="preserve">, </w:t>
      </w:r>
      <w:r>
        <w:rPr>
          <w:sz w:val="22"/>
          <w:szCs w:val="22"/>
        </w:rPr>
        <w:t xml:space="preserve">bem</w:t>
      </w:r>
      <w:r>
        <w:rPr>
          <w:sz w:val="22"/>
          <w:szCs w:val="22"/>
        </w:rPr>
        <w:t xml:space="preserve"> </w:t>
      </w:r>
      <w:r>
        <w:rPr>
          <w:sz w:val="22"/>
          <w:szCs w:val="22"/>
        </w:rPr>
        <w:t xml:space="preserve">como</w:t>
      </w:r>
      <w:r>
        <w:rPr>
          <w:sz w:val="22"/>
          <w:szCs w:val="22"/>
        </w:rPr>
        <w:t xml:space="preserve"> a </w:t>
      </w:r>
      <w:r>
        <w:rPr>
          <w:sz w:val="22"/>
          <w:szCs w:val="22"/>
        </w:rPr>
        <w:t xml:space="preserve">apresentação</w:t>
      </w:r>
      <w:r>
        <w:rPr>
          <w:sz w:val="22"/>
          <w:szCs w:val="22"/>
        </w:rPr>
        <w:t xml:space="preserve"> de </w:t>
      </w:r>
      <w:r>
        <w:rPr>
          <w:sz w:val="22"/>
          <w:szCs w:val="22"/>
        </w:rPr>
        <w:t xml:space="preserve">registro</w:t>
      </w:r>
      <w:r>
        <w:rPr>
          <w:sz w:val="22"/>
          <w:szCs w:val="22"/>
        </w:rPr>
        <w:t xml:space="preserve"> </w:t>
      </w:r>
      <w:r>
        <w:rPr>
          <w:sz w:val="22"/>
          <w:szCs w:val="22"/>
        </w:rPr>
        <w:t xml:space="preserve">ou</w:t>
      </w:r>
      <w:r>
        <w:rPr>
          <w:sz w:val="22"/>
          <w:szCs w:val="22"/>
        </w:rPr>
        <w:t xml:space="preserve"> </w:t>
      </w:r>
      <w:r>
        <w:rPr>
          <w:sz w:val="22"/>
          <w:szCs w:val="22"/>
        </w:rPr>
        <w:t xml:space="preserve">cadastro</w:t>
      </w:r>
      <w:r>
        <w:rPr>
          <w:sz w:val="22"/>
          <w:szCs w:val="22"/>
        </w:rPr>
        <w:t xml:space="preserve"> junto à ANVISA, manual de </w:t>
      </w:r>
      <w:r>
        <w:rPr>
          <w:sz w:val="22"/>
          <w:szCs w:val="22"/>
        </w:rPr>
        <w:t xml:space="preserve">operação</w:t>
      </w:r>
      <w:r>
        <w:rPr>
          <w:sz w:val="22"/>
          <w:szCs w:val="22"/>
        </w:rPr>
        <w:t xml:space="preserve">, </w:t>
      </w:r>
      <w:r>
        <w:rPr>
          <w:sz w:val="22"/>
          <w:szCs w:val="22"/>
        </w:rPr>
        <w:t xml:space="preserve">garantia</w:t>
      </w:r>
      <w:r>
        <w:rPr>
          <w:sz w:val="22"/>
          <w:szCs w:val="22"/>
        </w:rPr>
        <w:t xml:space="preserve">, </w:t>
      </w:r>
      <w:r>
        <w:rPr>
          <w:sz w:val="22"/>
          <w:szCs w:val="22"/>
        </w:rPr>
        <w:t xml:space="preserve">assistência</w:t>
      </w:r>
      <w:r>
        <w:rPr>
          <w:sz w:val="22"/>
          <w:szCs w:val="22"/>
        </w:rPr>
        <w:t xml:space="preserve"> </w:t>
      </w:r>
      <w:r>
        <w:rPr>
          <w:sz w:val="22"/>
          <w:szCs w:val="22"/>
        </w:rPr>
        <w:t xml:space="preserve">técnica</w:t>
      </w:r>
      <w:r>
        <w:rPr>
          <w:sz w:val="22"/>
          <w:szCs w:val="22"/>
        </w:rPr>
        <w:t xml:space="preserve"> </w:t>
      </w:r>
      <w:r>
        <w:rPr>
          <w:sz w:val="22"/>
          <w:szCs w:val="22"/>
        </w:rPr>
        <w:t xml:space="preserve">autorizada</w:t>
      </w:r>
      <w:r>
        <w:rPr>
          <w:sz w:val="22"/>
          <w:szCs w:val="22"/>
        </w:rPr>
        <w:t xml:space="preserve"> e </w:t>
      </w:r>
      <w:r>
        <w:rPr>
          <w:sz w:val="22"/>
          <w:szCs w:val="22"/>
        </w:rPr>
        <w:t xml:space="preserve">comprovação</w:t>
      </w:r>
      <w:r>
        <w:rPr>
          <w:sz w:val="22"/>
          <w:szCs w:val="22"/>
        </w:rPr>
        <w:t xml:space="preserve"> de </w:t>
      </w:r>
      <w:r>
        <w:rPr>
          <w:sz w:val="22"/>
          <w:szCs w:val="22"/>
        </w:rPr>
        <w:t xml:space="preserve">conformidade</w:t>
      </w:r>
      <w:r>
        <w:rPr>
          <w:sz w:val="22"/>
          <w:szCs w:val="22"/>
        </w:rPr>
        <w:t xml:space="preserve"> com </w:t>
      </w:r>
      <w:r>
        <w:rPr>
          <w:sz w:val="22"/>
          <w:szCs w:val="22"/>
        </w:rPr>
        <w:t xml:space="preserve">normas</w:t>
      </w:r>
      <w:r>
        <w:rPr>
          <w:sz w:val="22"/>
          <w:szCs w:val="22"/>
        </w:rPr>
        <w:t xml:space="preserve"> de </w:t>
      </w:r>
      <w:r>
        <w:rPr>
          <w:sz w:val="22"/>
          <w:szCs w:val="22"/>
        </w:rPr>
        <w:t xml:space="preserve">segurança</w:t>
      </w:r>
      <w:r>
        <w:rPr>
          <w:sz w:val="22"/>
          <w:szCs w:val="22"/>
        </w:rPr>
        <w:t xml:space="preserve"> e </w:t>
      </w:r>
      <w:r>
        <w:rPr>
          <w:sz w:val="22"/>
          <w:szCs w:val="22"/>
        </w:rPr>
        <w:t xml:space="preserve">desempenho</w:t>
      </w:r>
      <w:r>
        <w:rPr>
          <w:sz w:val="22"/>
          <w:szCs w:val="22"/>
        </w:rPr>
        <w:t xml:space="preserve"> </w:t>
      </w:r>
      <w:r>
        <w:rPr>
          <w:sz w:val="22"/>
          <w:szCs w:val="22"/>
        </w:rPr>
        <w:t xml:space="preserve">aplicáveis</w:t>
      </w:r>
      <w:r>
        <w:rPr>
          <w:sz w:val="22"/>
          <w:szCs w:val="22"/>
        </w:rPr>
        <w:t xml:space="preserve">, de modo a </w:t>
      </w:r>
      <w:r>
        <w:rPr>
          <w:sz w:val="22"/>
          <w:szCs w:val="22"/>
        </w:rPr>
        <w:t xml:space="preserve">assegurar</w:t>
      </w:r>
      <w:r>
        <w:rPr>
          <w:sz w:val="22"/>
          <w:szCs w:val="22"/>
        </w:rPr>
        <w:t xml:space="preserve"> a </w:t>
      </w:r>
      <w:r>
        <w:rPr>
          <w:sz w:val="22"/>
          <w:szCs w:val="22"/>
        </w:rPr>
        <w:t xml:space="preserve">correta</w:t>
      </w:r>
      <w:r>
        <w:rPr>
          <w:sz w:val="22"/>
          <w:szCs w:val="22"/>
        </w:rPr>
        <w:t xml:space="preserve"> </w:t>
      </w:r>
      <w:r>
        <w:rPr>
          <w:sz w:val="22"/>
          <w:szCs w:val="22"/>
        </w:rPr>
        <w:t xml:space="preserve">utilização</w:t>
      </w:r>
      <w:r>
        <w:rPr>
          <w:sz w:val="22"/>
          <w:szCs w:val="22"/>
        </w:rPr>
        <w:t xml:space="preserve"> e a </w:t>
      </w:r>
      <w:r>
        <w:rPr>
          <w:sz w:val="22"/>
          <w:szCs w:val="22"/>
        </w:rPr>
        <w:t xml:space="preserve">segurança</w:t>
      </w:r>
      <w:r>
        <w:rPr>
          <w:sz w:val="22"/>
          <w:szCs w:val="22"/>
        </w:rPr>
        <w:t xml:space="preserve"> dos </w:t>
      </w:r>
      <w:r>
        <w:rPr>
          <w:sz w:val="22"/>
          <w:szCs w:val="22"/>
        </w:rPr>
        <w:t xml:space="preserve">usuários</w:t>
      </w:r>
      <w:r>
        <w:rPr>
          <w:sz w:val="22"/>
          <w:szCs w:val="22"/>
        </w:rPr>
        <w:t xml:space="preserve">.</w:t>
      </w:r>
      <w:r>
        <w:rPr>
          <w:sz w:val="22"/>
          <w:szCs w:val="22"/>
        </w:rPr>
      </w:r>
      <w:r>
        <w:rPr>
          <w:sz w:val="22"/>
          <w:szCs w:val="22"/>
        </w:rPr>
      </w:r>
    </w:p>
    <w:p w14:paraId="54996D4F">
      <w:pPr>
        <w:pStyle w:val="2040"/>
        <w:pBdr/>
        <w:spacing w:afterAutospacing="0" w:beforeAutospacing="0"/>
        <w:ind/>
        <w:jc w:val="both"/>
        <w:rPr>
          <w:sz w:val="22"/>
          <w:szCs w:val="22"/>
        </w:rPr>
      </w:pPr>
      <w:r>
        <w:rPr>
          <w:sz w:val="22"/>
          <w:szCs w:val="22"/>
          <w:lang w:val="pt-BR"/>
        </w:rPr>
        <w:t xml:space="preserve">b) </w:t>
      </w:r>
      <w:r>
        <w:rPr>
          <w:sz w:val="22"/>
          <w:szCs w:val="22"/>
        </w:rPr>
        <w:t xml:space="preserve">Os</w:t>
      </w:r>
      <w:r>
        <w:rPr>
          <w:sz w:val="22"/>
          <w:szCs w:val="22"/>
        </w:rPr>
        <w:t xml:space="preserve"> </w:t>
      </w:r>
      <w:r>
        <w:rPr>
          <w:sz w:val="22"/>
          <w:szCs w:val="22"/>
        </w:rPr>
        <w:t xml:space="preserve">demais</w:t>
      </w:r>
      <w:r>
        <w:rPr>
          <w:sz w:val="22"/>
          <w:szCs w:val="22"/>
        </w:rPr>
        <w:t xml:space="preserve"> </w:t>
      </w:r>
      <w:r>
        <w:rPr>
          <w:sz w:val="22"/>
          <w:szCs w:val="22"/>
        </w:rPr>
        <w:t xml:space="preserve">itens</w:t>
      </w:r>
      <w:r>
        <w:rPr>
          <w:sz w:val="22"/>
          <w:szCs w:val="22"/>
        </w:rPr>
        <w:t xml:space="preserve"> </w:t>
      </w:r>
      <w:r>
        <w:rPr>
          <w:sz w:val="22"/>
          <w:szCs w:val="22"/>
        </w:rPr>
        <w:t xml:space="preserve">descritos</w:t>
      </w:r>
      <w:r>
        <w:rPr>
          <w:sz w:val="22"/>
          <w:szCs w:val="22"/>
        </w:rPr>
        <w:t xml:space="preserve"> </w:t>
      </w:r>
      <w:r>
        <w:rPr>
          <w:sz w:val="22"/>
          <w:szCs w:val="22"/>
        </w:rPr>
        <w:t xml:space="preserve">caracterizam</w:t>
      </w:r>
      <w:r>
        <w:rPr>
          <w:sz w:val="22"/>
          <w:szCs w:val="22"/>
        </w:rPr>
        <w:t xml:space="preserve">-se </w:t>
      </w:r>
      <w:r>
        <w:rPr>
          <w:sz w:val="22"/>
          <w:szCs w:val="22"/>
        </w:rPr>
        <w:t xml:space="preserve">como</w:t>
      </w:r>
      <w:r>
        <w:rPr>
          <w:sz w:val="22"/>
          <w:szCs w:val="22"/>
        </w:rPr>
        <w:t xml:space="preserve"> </w:t>
      </w:r>
      <w:r>
        <w:rPr>
          <w:sz w:val="22"/>
          <w:szCs w:val="22"/>
        </w:rPr>
        <w:t xml:space="preserve">materiais</w:t>
      </w:r>
      <w:r>
        <w:rPr>
          <w:sz w:val="22"/>
          <w:szCs w:val="22"/>
        </w:rPr>
        <w:t xml:space="preserve"> de </w:t>
      </w:r>
      <w:r>
        <w:rPr>
          <w:sz w:val="22"/>
          <w:szCs w:val="22"/>
        </w:rPr>
        <w:t xml:space="preserve">apoio</w:t>
      </w:r>
      <w:r>
        <w:rPr>
          <w:sz w:val="22"/>
          <w:szCs w:val="22"/>
        </w:rPr>
        <w:t xml:space="preserve">, </w:t>
      </w:r>
      <w:r>
        <w:rPr>
          <w:sz w:val="22"/>
          <w:szCs w:val="22"/>
        </w:rPr>
        <w:t xml:space="preserve">acessórios</w:t>
      </w:r>
      <w:r>
        <w:rPr>
          <w:sz w:val="22"/>
          <w:szCs w:val="22"/>
        </w:rPr>
        <w:t xml:space="preserve">, </w:t>
      </w:r>
      <w:r>
        <w:rPr>
          <w:sz w:val="22"/>
          <w:szCs w:val="22"/>
        </w:rPr>
        <w:t xml:space="preserve">mobiliários</w:t>
      </w:r>
      <w:r>
        <w:rPr>
          <w:sz w:val="22"/>
          <w:szCs w:val="22"/>
        </w:rPr>
        <w:t xml:space="preserve">, </w:t>
      </w:r>
      <w:r>
        <w:rPr>
          <w:sz w:val="22"/>
          <w:szCs w:val="22"/>
        </w:rPr>
        <w:t xml:space="preserve">materiais</w:t>
      </w:r>
      <w:r>
        <w:rPr>
          <w:sz w:val="22"/>
          <w:szCs w:val="22"/>
        </w:rPr>
        <w:t xml:space="preserve"> </w:t>
      </w:r>
      <w:r>
        <w:rPr>
          <w:sz w:val="22"/>
          <w:szCs w:val="22"/>
        </w:rPr>
        <w:t xml:space="preserve">esportivos</w:t>
      </w:r>
      <w:r>
        <w:rPr>
          <w:sz w:val="22"/>
          <w:szCs w:val="22"/>
        </w:rPr>
        <w:t xml:space="preserve"> </w:t>
      </w:r>
      <w:r>
        <w:rPr>
          <w:sz w:val="22"/>
          <w:szCs w:val="22"/>
        </w:rPr>
        <w:t xml:space="preserve">ou</w:t>
      </w:r>
      <w:r>
        <w:rPr>
          <w:sz w:val="22"/>
          <w:szCs w:val="22"/>
        </w:rPr>
        <w:t xml:space="preserve"> de </w:t>
      </w:r>
      <w:r>
        <w:rPr>
          <w:sz w:val="22"/>
          <w:szCs w:val="22"/>
        </w:rPr>
        <w:t xml:space="preserve">fisioterapia</w:t>
      </w:r>
      <w:r>
        <w:rPr>
          <w:sz w:val="22"/>
          <w:szCs w:val="22"/>
        </w:rPr>
        <w:t xml:space="preserve"> </w:t>
      </w:r>
      <w:r>
        <w:rPr>
          <w:sz w:val="22"/>
          <w:szCs w:val="22"/>
        </w:rPr>
        <w:t xml:space="preserve">passiva</w:t>
      </w:r>
      <w:r>
        <w:rPr>
          <w:sz w:val="22"/>
          <w:szCs w:val="22"/>
        </w:rPr>
        <w:t xml:space="preserve">, que </w:t>
      </w:r>
      <w:r>
        <w:rPr>
          <w:sz w:val="22"/>
          <w:szCs w:val="22"/>
        </w:rPr>
        <w:t xml:space="preserve">não</w:t>
      </w:r>
      <w:r>
        <w:rPr>
          <w:sz w:val="22"/>
          <w:szCs w:val="22"/>
        </w:rPr>
        <w:t xml:space="preserve"> </w:t>
      </w:r>
      <w:r>
        <w:rPr>
          <w:sz w:val="22"/>
          <w:szCs w:val="22"/>
        </w:rPr>
        <w:t xml:space="preserve">realizam</w:t>
      </w:r>
      <w:r>
        <w:rPr>
          <w:sz w:val="22"/>
          <w:szCs w:val="22"/>
        </w:rPr>
        <w:t xml:space="preserve"> </w:t>
      </w:r>
      <w:r>
        <w:rPr>
          <w:sz w:val="22"/>
          <w:szCs w:val="22"/>
        </w:rPr>
        <w:t xml:space="preserve">emissão</w:t>
      </w:r>
      <w:r>
        <w:rPr>
          <w:sz w:val="22"/>
          <w:szCs w:val="22"/>
        </w:rPr>
        <w:t xml:space="preserve"> de </w:t>
      </w:r>
      <w:r>
        <w:rPr>
          <w:sz w:val="22"/>
          <w:szCs w:val="22"/>
        </w:rPr>
        <w:t xml:space="preserve">energia</w:t>
      </w:r>
      <w:r>
        <w:rPr>
          <w:sz w:val="22"/>
          <w:szCs w:val="22"/>
        </w:rPr>
        <w:t xml:space="preserve"> </w:t>
      </w:r>
      <w:r>
        <w:rPr>
          <w:sz w:val="22"/>
          <w:szCs w:val="22"/>
        </w:rPr>
        <w:t xml:space="preserve">terapêutica</w:t>
      </w:r>
      <w:r>
        <w:rPr>
          <w:sz w:val="22"/>
          <w:szCs w:val="22"/>
        </w:rPr>
        <w:t xml:space="preserve">, </w:t>
      </w:r>
      <w:r>
        <w:rPr>
          <w:sz w:val="22"/>
          <w:szCs w:val="22"/>
        </w:rPr>
        <w:t xml:space="preserve">não</w:t>
      </w:r>
      <w:r>
        <w:rPr>
          <w:sz w:val="22"/>
          <w:szCs w:val="22"/>
        </w:rPr>
        <w:t xml:space="preserve"> </w:t>
      </w:r>
      <w:r>
        <w:rPr>
          <w:sz w:val="22"/>
          <w:szCs w:val="22"/>
        </w:rPr>
        <w:t xml:space="preserve">possuem</w:t>
      </w:r>
      <w:r>
        <w:rPr>
          <w:sz w:val="22"/>
          <w:szCs w:val="22"/>
        </w:rPr>
        <w:t xml:space="preserve"> </w:t>
      </w:r>
      <w:r>
        <w:rPr>
          <w:sz w:val="22"/>
          <w:szCs w:val="22"/>
        </w:rPr>
        <w:t xml:space="preserve">sistemas</w:t>
      </w:r>
      <w:r>
        <w:rPr>
          <w:sz w:val="22"/>
          <w:szCs w:val="22"/>
        </w:rPr>
        <w:t xml:space="preserve"> </w:t>
      </w:r>
      <w:r>
        <w:rPr>
          <w:sz w:val="22"/>
          <w:szCs w:val="22"/>
        </w:rPr>
        <w:t xml:space="preserve">ativos</w:t>
      </w:r>
      <w:r>
        <w:rPr>
          <w:sz w:val="22"/>
          <w:szCs w:val="22"/>
        </w:rPr>
        <w:t xml:space="preserve"> e </w:t>
      </w:r>
      <w:r>
        <w:rPr>
          <w:sz w:val="22"/>
          <w:szCs w:val="22"/>
        </w:rPr>
        <w:t xml:space="preserve">não</w:t>
      </w:r>
      <w:r>
        <w:rPr>
          <w:sz w:val="22"/>
          <w:szCs w:val="22"/>
        </w:rPr>
        <w:t xml:space="preserve"> </w:t>
      </w:r>
      <w:r>
        <w:rPr>
          <w:sz w:val="22"/>
          <w:szCs w:val="22"/>
        </w:rPr>
        <w:t xml:space="preserve">apresentam</w:t>
      </w:r>
      <w:r>
        <w:rPr>
          <w:sz w:val="22"/>
          <w:szCs w:val="22"/>
        </w:rPr>
        <w:t xml:space="preserve"> </w:t>
      </w:r>
      <w:r>
        <w:rPr>
          <w:sz w:val="22"/>
          <w:szCs w:val="22"/>
        </w:rPr>
        <w:t xml:space="preserve">risco</w:t>
      </w:r>
      <w:r>
        <w:rPr>
          <w:sz w:val="22"/>
          <w:szCs w:val="22"/>
        </w:rPr>
        <w:t xml:space="preserve"> </w:t>
      </w:r>
      <w:r>
        <w:rPr>
          <w:sz w:val="22"/>
          <w:szCs w:val="22"/>
        </w:rPr>
        <w:t xml:space="preserve">técnico</w:t>
      </w:r>
      <w:r>
        <w:rPr>
          <w:sz w:val="22"/>
          <w:szCs w:val="22"/>
        </w:rPr>
        <w:t xml:space="preserve"> </w:t>
      </w:r>
      <w:r>
        <w:rPr>
          <w:sz w:val="22"/>
          <w:szCs w:val="22"/>
        </w:rPr>
        <w:t xml:space="preserve">relevante</w:t>
      </w:r>
      <w:r>
        <w:rPr>
          <w:sz w:val="22"/>
          <w:szCs w:val="22"/>
        </w:rPr>
        <w:t xml:space="preserve"> </w:t>
      </w:r>
      <w:r>
        <w:rPr>
          <w:sz w:val="22"/>
          <w:szCs w:val="22"/>
        </w:rPr>
        <w:t xml:space="preserve">quando</w:t>
      </w:r>
      <w:r>
        <w:rPr>
          <w:sz w:val="22"/>
          <w:szCs w:val="22"/>
        </w:rPr>
        <w:t xml:space="preserve"> </w:t>
      </w:r>
      <w:r>
        <w:rPr>
          <w:sz w:val="22"/>
          <w:szCs w:val="22"/>
        </w:rPr>
        <w:t xml:space="preserve">utilizados</w:t>
      </w:r>
      <w:r>
        <w:rPr>
          <w:sz w:val="22"/>
          <w:szCs w:val="22"/>
        </w:rPr>
        <w:t xml:space="preserve"> </w:t>
      </w:r>
      <w:r>
        <w:rPr>
          <w:sz w:val="22"/>
          <w:szCs w:val="22"/>
        </w:rPr>
        <w:t xml:space="preserve">conforme</w:t>
      </w:r>
      <w:r>
        <w:rPr>
          <w:sz w:val="22"/>
          <w:szCs w:val="22"/>
        </w:rPr>
        <w:t xml:space="preserve"> </w:t>
      </w:r>
      <w:r>
        <w:rPr>
          <w:sz w:val="22"/>
          <w:szCs w:val="22"/>
        </w:rPr>
        <w:t xml:space="preserve">sua</w:t>
      </w:r>
      <w:r>
        <w:rPr>
          <w:sz w:val="22"/>
          <w:szCs w:val="22"/>
        </w:rPr>
        <w:t xml:space="preserve"> </w:t>
      </w:r>
      <w:r>
        <w:rPr>
          <w:sz w:val="22"/>
          <w:szCs w:val="22"/>
        </w:rPr>
        <w:t xml:space="preserve">finalidade</w:t>
      </w:r>
      <w:r>
        <w:rPr>
          <w:sz w:val="22"/>
          <w:szCs w:val="22"/>
        </w:rPr>
        <w:t xml:space="preserve">. Para esses </w:t>
      </w:r>
      <w:r>
        <w:rPr>
          <w:sz w:val="22"/>
          <w:szCs w:val="22"/>
        </w:rPr>
        <w:t xml:space="preserve">produtos</w:t>
      </w:r>
      <w:r>
        <w:rPr>
          <w:sz w:val="22"/>
          <w:szCs w:val="22"/>
        </w:rPr>
        <w:t xml:space="preserve">, </w:t>
      </w:r>
      <w:r>
        <w:rPr>
          <w:sz w:val="22"/>
          <w:szCs w:val="22"/>
        </w:rPr>
        <w:t xml:space="preserve">não</w:t>
      </w:r>
      <w:r>
        <w:rPr>
          <w:sz w:val="22"/>
          <w:szCs w:val="22"/>
        </w:rPr>
        <w:t xml:space="preserve"> se </w:t>
      </w:r>
      <w:r>
        <w:rPr>
          <w:sz w:val="22"/>
          <w:szCs w:val="22"/>
        </w:rPr>
        <w:t xml:space="preserve">justifica</w:t>
      </w:r>
      <w:r>
        <w:rPr>
          <w:sz w:val="22"/>
          <w:szCs w:val="22"/>
        </w:rPr>
        <w:t xml:space="preserve"> </w:t>
      </w:r>
      <w:r>
        <w:rPr>
          <w:sz w:val="22"/>
          <w:szCs w:val="22"/>
        </w:rPr>
        <w:t xml:space="preserve">a</w:t>
      </w:r>
      <w:r>
        <w:rPr>
          <w:sz w:val="22"/>
          <w:szCs w:val="22"/>
        </w:rPr>
        <w:t xml:space="preserve"> </w:t>
      </w:r>
      <w:r>
        <w:rPr>
          <w:sz w:val="22"/>
          <w:szCs w:val="22"/>
        </w:rPr>
        <w:t xml:space="preserve">exigência</w:t>
      </w:r>
      <w:r>
        <w:rPr>
          <w:sz w:val="22"/>
          <w:szCs w:val="22"/>
        </w:rPr>
        <w:t xml:space="preserve"> de </w:t>
      </w:r>
      <w:r>
        <w:rPr>
          <w:sz w:val="22"/>
          <w:szCs w:val="22"/>
        </w:rPr>
        <w:t xml:space="preserve">qualificação</w:t>
      </w:r>
      <w:r>
        <w:rPr>
          <w:sz w:val="22"/>
          <w:szCs w:val="22"/>
        </w:rPr>
        <w:t xml:space="preserve"> </w:t>
      </w:r>
      <w:r>
        <w:rPr>
          <w:sz w:val="22"/>
          <w:szCs w:val="22"/>
        </w:rPr>
        <w:t xml:space="preserve">técnica</w:t>
      </w:r>
      <w:r>
        <w:rPr>
          <w:sz w:val="22"/>
          <w:szCs w:val="22"/>
        </w:rPr>
        <w:t xml:space="preserve"> </w:t>
      </w:r>
      <w:r>
        <w:rPr>
          <w:sz w:val="22"/>
          <w:szCs w:val="22"/>
        </w:rPr>
        <w:t xml:space="preserve">especializada</w:t>
      </w:r>
      <w:r>
        <w:rPr>
          <w:sz w:val="22"/>
          <w:szCs w:val="22"/>
        </w:rPr>
        <w:t xml:space="preserve"> do </w:t>
      </w:r>
      <w:r>
        <w:rPr>
          <w:sz w:val="22"/>
          <w:szCs w:val="22"/>
        </w:rPr>
        <w:t xml:space="preserve">fornecedor</w:t>
      </w:r>
      <w:r>
        <w:rPr>
          <w:sz w:val="22"/>
          <w:szCs w:val="22"/>
        </w:rPr>
        <w:t xml:space="preserve">, </w:t>
      </w:r>
      <w:r>
        <w:rPr>
          <w:sz w:val="22"/>
          <w:szCs w:val="22"/>
        </w:rPr>
        <w:t xml:space="preserve">sendo</w:t>
      </w:r>
      <w:r>
        <w:rPr>
          <w:sz w:val="22"/>
          <w:szCs w:val="22"/>
        </w:rPr>
        <w:t xml:space="preserve"> </w:t>
      </w:r>
      <w:r>
        <w:rPr>
          <w:sz w:val="22"/>
          <w:szCs w:val="22"/>
        </w:rPr>
        <w:t xml:space="preserve">suficiente</w:t>
      </w:r>
      <w:r>
        <w:rPr>
          <w:sz w:val="22"/>
          <w:szCs w:val="22"/>
        </w:rPr>
        <w:t xml:space="preserve"> a </w:t>
      </w:r>
      <w:r>
        <w:rPr>
          <w:sz w:val="22"/>
          <w:szCs w:val="22"/>
        </w:rPr>
        <w:t xml:space="preserve">comprovação</w:t>
      </w:r>
      <w:r>
        <w:rPr>
          <w:sz w:val="22"/>
          <w:szCs w:val="22"/>
        </w:rPr>
        <w:t xml:space="preserve"> de </w:t>
      </w:r>
      <w:r>
        <w:rPr>
          <w:sz w:val="22"/>
          <w:szCs w:val="22"/>
        </w:rPr>
        <w:t xml:space="preserve">conformidade</w:t>
      </w:r>
      <w:r>
        <w:rPr>
          <w:sz w:val="22"/>
          <w:szCs w:val="22"/>
        </w:rPr>
        <w:t xml:space="preserve"> de </w:t>
      </w:r>
      <w:r>
        <w:rPr>
          <w:sz w:val="22"/>
          <w:szCs w:val="22"/>
        </w:rPr>
        <w:t xml:space="preserve">qualidade</w:t>
      </w:r>
      <w:r>
        <w:rPr>
          <w:sz w:val="22"/>
          <w:szCs w:val="22"/>
        </w:rPr>
        <w:t xml:space="preserve">, </w:t>
      </w:r>
      <w:r>
        <w:rPr>
          <w:sz w:val="22"/>
          <w:szCs w:val="22"/>
        </w:rPr>
        <w:t xml:space="preserve">mediante</w:t>
      </w:r>
      <w:r>
        <w:rPr>
          <w:sz w:val="22"/>
          <w:szCs w:val="22"/>
        </w:rPr>
        <w:t xml:space="preserve"> </w:t>
      </w:r>
      <w:r>
        <w:rPr>
          <w:sz w:val="22"/>
          <w:szCs w:val="22"/>
        </w:rPr>
        <w:t xml:space="preserve">atendimento</w:t>
      </w:r>
      <w:r>
        <w:rPr>
          <w:sz w:val="22"/>
          <w:szCs w:val="22"/>
        </w:rPr>
        <w:t xml:space="preserve"> </w:t>
      </w:r>
      <w:r>
        <w:rPr>
          <w:sz w:val="22"/>
          <w:szCs w:val="22"/>
        </w:rPr>
        <w:t xml:space="preserve">às</w:t>
      </w:r>
      <w:r>
        <w:rPr>
          <w:sz w:val="22"/>
          <w:szCs w:val="22"/>
        </w:rPr>
        <w:t xml:space="preserve"> </w:t>
      </w:r>
      <w:r>
        <w:rPr>
          <w:sz w:val="22"/>
          <w:szCs w:val="22"/>
        </w:rPr>
        <w:t xml:space="preserve">especificações</w:t>
      </w:r>
      <w:r>
        <w:rPr>
          <w:sz w:val="22"/>
          <w:szCs w:val="22"/>
        </w:rPr>
        <w:t xml:space="preserve"> </w:t>
      </w:r>
      <w:r>
        <w:rPr>
          <w:sz w:val="22"/>
          <w:szCs w:val="22"/>
        </w:rPr>
        <w:t xml:space="preserve">técnicas</w:t>
      </w:r>
      <w:r>
        <w:rPr>
          <w:sz w:val="22"/>
          <w:szCs w:val="22"/>
        </w:rPr>
        <w:t xml:space="preserve"> </w:t>
      </w:r>
      <w:r>
        <w:rPr>
          <w:sz w:val="22"/>
          <w:szCs w:val="22"/>
        </w:rPr>
        <w:t xml:space="preserve">estabelecidas</w:t>
      </w:r>
      <w:r>
        <w:rPr>
          <w:sz w:val="22"/>
          <w:szCs w:val="22"/>
        </w:rPr>
        <w:t xml:space="preserve">, </w:t>
      </w:r>
      <w:r>
        <w:rPr>
          <w:sz w:val="22"/>
          <w:szCs w:val="22"/>
        </w:rPr>
        <w:t xml:space="preserve">garantia</w:t>
      </w:r>
      <w:r>
        <w:rPr>
          <w:sz w:val="22"/>
          <w:szCs w:val="22"/>
        </w:rPr>
        <w:t xml:space="preserve"> contra </w:t>
      </w:r>
      <w:r>
        <w:rPr>
          <w:sz w:val="22"/>
          <w:szCs w:val="22"/>
        </w:rPr>
        <w:t xml:space="preserve">defeitos</w:t>
      </w:r>
      <w:r>
        <w:rPr>
          <w:sz w:val="22"/>
          <w:szCs w:val="22"/>
        </w:rPr>
        <w:t xml:space="preserve"> de </w:t>
      </w:r>
      <w:r>
        <w:rPr>
          <w:sz w:val="22"/>
          <w:szCs w:val="22"/>
        </w:rPr>
        <w:t xml:space="preserve">fabricação</w:t>
      </w:r>
      <w:r>
        <w:rPr>
          <w:sz w:val="22"/>
          <w:szCs w:val="22"/>
        </w:rPr>
        <w:t xml:space="preserve">, </w:t>
      </w:r>
      <w:r>
        <w:rPr>
          <w:sz w:val="22"/>
          <w:szCs w:val="22"/>
        </w:rPr>
        <w:t xml:space="preserve">identificação</w:t>
      </w:r>
      <w:r>
        <w:rPr>
          <w:sz w:val="22"/>
          <w:szCs w:val="22"/>
        </w:rPr>
        <w:t xml:space="preserve"> do </w:t>
      </w:r>
      <w:r>
        <w:rPr>
          <w:sz w:val="22"/>
          <w:szCs w:val="22"/>
        </w:rPr>
        <w:t xml:space="preserve">fabricante</w:t>
      </w:r>
      <w:r>
        <w:rPr>
          <w:sz w:val="22"/>
          <w:szCs w:val="22"/>
        </w:rPr>
        <w:t xml:space="preserve"> e, </w:t>
      </w:r>
      <w:r>
        <w:rPr>
          <w:sz w:val="22"/>
          <w:szCs w:val="22"/>
        </w:rPr>
        <w:t xml:space="preserve">quando</w:t>
      </w:r>
      <w:r>
        <w:rPr>
          <w:sz w:val="22"/>
          <w:szCs w:val="22"/>
        </w:rPr>
        <w:t xml:space="preserve"> </w:t>
      </w:r>
      <w:r>
        <w:rPr>
          <w:sz w:val="22"/>
          <w:szCs w:val="22"/>
        </w:rPr>
        <w:t xml:space="preserve">legalmente</w:t>
      </w:r>
      <w:r>
        <w:rPr>
          <w:sz w:val="22"/>
          <w:szCs w:val="22"/>
        </w:rPr>
        <w:t xml:space="preserve"> </w:t>
      </w:r>
      <w:r>
        <w:rPr>
          <w:sz w:val="22"/>
          <w:szCs w:val="22"/>
        </w:rPr>
        <w:t xml:space="preserve">aplicável</w:t>
      </w:r>
      <w:r>
        <w:rPr>
          <w:sz w:val="22"/>
          <w:szCs w:val="22"/>
        </w:rPr>
        <w:t xml:space="preserve">, </w:t>
      </w:r>
      <w:r>
        <w:rPr>
          <w:sz w:val="22"/>
          <w:szCs w:val="22"/>
        </w:rPr>
        <w:t xml:space="preserve">regularização</w:t>
      </w:r>
      <w:r>
        <w:rPr>
          <w:sz w:val="22"/>
          <w:szCs w:val="22"/>
        </w:rPr>
        <w:t xml:space="preserve"> </w:t>
      </w:r>
      <w:r>
        <w:rPr>
          <w:sz w:val="22"/>
          <w:szCs w:val="22"/>
        </w:rPr>
        <w:t xml:space="preserve">sanitária</w:t>
      </w:r>
      <w:r>
        <w:rPr>
          <w:sz w:val="22"/>
          <w:szCs w:val="22"/>
        </w:rPr>
        <w:t xml:space="preserve"> do </w:t>
      </w:r>
      <w:r>
        <w:rPr>
          <w:sz w:val="22"/>
          <w:szCs w:val="22"/>
        </w:rPr>
        <w:t xml:space="preserve">produto</w:t>
      </w:r>
      <w:r>
        <w:rPr>
          <w:sz w:val="22"/>
          <w:szCs w:val="22"/>
        </w:rPr>
        <w:t xml:space="preserve">. Dessa forma, a </w:t>
      </w:r>
      <w:r>
        <w:rPr>
          <w:sz w:val="22"/>
          <w:szCs w:val="22"/>
        </w:rPr>
        <w:t xml:space="preserve">diferenciação</w:t>
      </w:r>
      <w:r>
        <w:rPr>
          <w:sz w:val="22"/>
          <w:szCs w:val="22"/>
        </w:rPr>
        <w:t xml:space="preserve"> entre </w:t>
      </w:r>
      <w:r>
        <w:rPr>
          <w:sz w:val="22"/>
          <w:szCs w:val="22"/>
        </w:rPr>
        <w:t xml:space="preserve">os</w:t>
      </w:r>
      <w:r>
        <w:rPr>
          <w:sz w:val="22"/>
          <w:szCs w:val="22"/>
        </w:rPr>
        <w:t xml:space="preserve"> </w:t>
      </w:r>
      <w:r>
        <w:rPr>
          <w:sz w:val="22"/>
          <w:szCs w:val="22"/>
        </w:rPr>
        <w:t xml:space="preserve">grupos</w:t>
      </w:r>
      <w:r>
        <w:rPr>
          <w:sz w:val="22"/>
          <w:szCs w:val="22"/>
        </w:rPr>
        <w:t xml:space="preserve"> de </w:t>
      </w:r>
      <w:r>
        <w:rPr>
          <w:sz w:val="22"/>
          <w:szCs w:val="22"/>
        </w:rPr>
        <w:t xml:space="preserve">itens</w:t>
      </w:r>
      <w:r>
        <w:rPr>
          <w:sz w:val="22"/>
          <w:szCs w:val="22"/>
        </w:rPr>
        <w:t xml:space="preserve"> </w:t>
      </w:r>
      <w:r>
        <w:rPr>
          <w:sz w:val="22"/>
          <w:szCs w:val="22"/>
        </w:rPr>
        <w:t xml:space="preserve">permite</w:t>
      </w:r>
      <w:r>
        <w:rPr>
          <w:sz w:val="22"/>
          <w:szCs w:val="22"/>
        </w:rPr>
        <w:t xml:space="preserve"> </w:t>
      </w:r>
      <w:r>
        <w:rPr>
          <w:sz w:val="22"/>
          <w:szCs w:val="22"/>
        </w:rPr>
        <w:t xml:space="preserve">a</w:t>
      </w:r>
      <w:r>
        <w:rPr>
          <w:sz w:val="22"/>
          <w:szCs w:val="22"/>
        </w:rPr>
        <w:t xml:space="preserve"> </w:t>
      </w:r>
      <w:r>
        <w:rPr>
          <w:sz w:val="22"/>
          <w:szCs w:val="22"/>
        </w:rPr>
        <w:t xml:space="preserve">adoção</w:t>
      </w:r>
      <w:r>
        <w:rPr>
          <w:sz w:val="22"/>
          <w:szCs w:val="22"/>
        </w:rPr>
        <w:t xml:space="preserve"> de </w:t>
      </w:r>
      <w:r>
        <w:rPr>
          <w:sz w:val="22"/>
          <w:szCs w:val="22"/>
        </w:rPr>
        <w:t xml:space="preserve">exigências</w:t>
      </w:r>
      <w:r>
        <w:rPr>
          <w:sz w:val="22"/>
          <w:szCs w:val="22"/>
        </w:rPr>
        <w:t xml:space="preserve"> </w:t>
      </w:r>
      <w:r>
        <w:rPr>
          <w:sz w:val="22"/>
          <w:szCs w:val="22"/>
        </w:rPr>
        <w:t xml:space="preserve">proporcionais</w:t>
      </w:r>
      <w:r>
        <w:rPr>
          <w:sz w:val="22"/>
          <w:szCs w:val="22"/>
        </w:rPr>
        <w:t xml:space="preserve"> e </w:t>
      </w:r>
      <w:r>
        <w:rPr>
          <w:sz w:val="22"/>
          <w:szCs w:val="22"/>
        </w:rPr>
        <w:t xml:space="preserve">adequadas</w:t>
      </w:r>
      <w:r>
        <w:rPr>
          <w:sz w:val="22"/>
          <w:szCs w:val="22"/>
        </w:rPr>
        <w:t xml:space="preserve">, </w:t>
      </w:r>
      <w:r>
        <w:rPr>
          <w:sz w:val="22"/>
          <w:szCs w:val="22"/>
        </w:rPr>
        <w:t xml:space="preserve">preservando</w:t>
      </w:r>
      <w:r>
        <w:rPr>
          <w:sz w:val="22"/>
          <w:szCs w:val="22"/>
        </w:rPr>
        <w:t xml:space="preserve"> a </w:t>
      </w:r>
      <w:r>
        <w:rPr>
          <w:sz w:val="22"/>
          <w:szCs w:val="22"/>
        </w:rPr>
        <w:t xml:space="preserve">segurança</w:t>
      </w:r>
      <w:r>
        <w:rPr>
          <w:sz w:val="22"/>
          <w:szCs w:val="22"/>
        </w:rPr>
        <w:t xml:space="preserve">, a </w:t>
      </w:r>
      <w:r>
        <w:rPr>
          <w:sz w:val="22"/>
          <w:szCs w:val="22"/>
        </w:rPr>
        <w:t xml:space="preserve">competitividade</w:t>
      </w:r>
      <w:r>
        <w:rPr>
          <w:sz w:val="22"/>
          <w:szCs w:val="22"/>
        </w:rPr>
        <w:t xml:space="preserve"> e a </w:t>
      </w:r>
      <w:r>
        <w:rPr>
          <w:sz w:val="22"/>
          <w:szCs w:val="22"/>
        </w:rPr>
        <w:t xml:space="preserve">eficiência</w:t>
      </w:r>
      <w:r>
        <w:rPr>
          <w:sz w:val="22"/>
          <w:szCs w:val="22"/>
        </w:rPr>
        <w:t xml:space="preserve"> do </w:t>
      </w:r>
      <w:r>
        <w:rPr>
          <w:sz w:val="22"/>
          <w:szCs w:val="22"/>
        </w:rPr>
        <w:t xml:space="preserve">processo</w:t>
      </w:r>
      <w:r>
        <w:rPr>
          <w:sz w:val="22"/>
          <w:szCs w:val="22"/>
        </w:rPr>
        <w:t xml:space="preserve"> de </w:t>
      </w:r>
      <w:r>
        <w:rPr>
          <w:sz w:val="22"/>
          <w:szCs w:val="22"/>
        </w:rPr>
        <w:t xml:space="preserve">aquisição</w:t>
      </w:r>
      <w:r>
        <w:rPr>
          <w:sz w:val="22"/>
          <w:szCs w:val="22"/>
        </w:rPr>
        <w:t xml:space="preserve">.</w:t>
      </w:r>
      <w:r>
        <w:rPr>
          <w:sz w:val="22"/>
          <w:szCs w:val="22"/>
        </w:rPr>
      </w:r>
      <w:r>
        <w:rPr>
          <w:sz w:val="22"/>
          <w:szCs w:val="22"/>
        </w:rPr>
      </w:r>
    </w:p>
    <w:p w14:paraId="5C6055C3">
      <w:pPr>
        <w:pBdr/>
        <w:spacing/>
        <w:ind/>
        <w:jc w:val="both"/>
        <w:rPr>
          <w:rFonts w:ascii="Times New Roman" w:hAnsi="Times New Roman"/>
          <w:b/>
          <w:bCs/>
        </w:rPr>
      </w:pPr>
      <w:r>
        <w:rPr>
          <w:rFonts w:ascii="Times New Roman" w:hAnsi="Times New Roman"/>
          <w:b/>
          <w:bCs/>
        </w:rPr>
        <w:t xml:space="preserve">8.3. Dos critérios de aceitabilidade da proposta</w:t>
      </w:r>
      <w:r>
        <w:rPr>
          <w:rFonts w:ascii="Times New Roman" w:hAnsi="Times New Roman"/>
          <w:b/>
          <w:bCs/>
        </w:rPr>
      </w:r>
      <w:r>
        <w:rPr>
          <w:rFonts w:ascii="Times New Roman" w:hAnsi="Times New Roman"/>
          <w:b/>
          <w:bCs/>
        </w:rPr>
      </w:r>
    </w:p>
    <w:p w14:paraId="18CD0A20">
      <w:pPr>
        <w:pBdr/>
        <w:spacing/>
        <w:ind/>
        <w:jc w:val="both"/>
        <w:rPr>
          <w:rFonts w:ascii="Times New Roman" w:hAnsi="Times New Roman"/>
        </w:rPr>
      </w:pPr>
      <w:r>
        <w:rPr>
          <w:rFonts w:ascii="Times New Roman" w:hAnsi="Times New Roman"/>
          <w:b/>
          <w:bCs/>
        </w:rPr>
        <w:t xml:space="preserve">8.3.1. </w:t>
      </w:r>
      <w:r>
        <w:rPr>
          <w:rFonts w:ascii="Times New Roman" w:hAnsi="Times New Roman"/>
        </w:rPr>
        <w:t xml:space="preserve">A proposta de preços deverá conter:</w:t>
      </w:r>
      <w:r>
        <w:rPr>
          <w:rFonts w:ascii="Times New Roman" w:hAnsi="Times New Roman"/>
        </w:rPr>
      </w:r>
      <w:r>
        <w:rPr>
          <w:rFonts w:ascii="Times New Roman" w:hAnsi="Times New Roman"/>
        </w:rPr>
      </w:r>
    </w:p>
    <w:p w14:paraId="3CC0A2F0">
      <w:pPr>
        <w:pBdr/>
        <w:spacing/>
        <w:ind/>
        <w:jc w:val="both"/>
        <w:rPr>
          <w:rFonts w:ascii="Times New Roman" w:hAnsi="Times New Roman"/>
        </w:rPr>
      </w:pPr>
      <w:r>
        <w:rPr>
          <w:rFonts w:ascii="Times New Roman" w:hAnsi="Times New Roman"/>
        </w:rPr>
        <w:t xml:space="preserve">a) Razão social, n.º do CNPJ, endereço, telefone e endereço eletrônico do licitante;</w:t>
      </w:r>
      <w:r>
        <w:rPr>
          <w:rFonts w:ascii="Times New Roman" w:hAnsi="Times New Roman"/>
        </w:rPr>
      </w:r>
      <w:r>
        <w:rPr>
          <w:rFonts w:ascii="Times New Roman" w:hAnsi="Times New Roman"/>
        </w:rPr>
      </w:r>
    </w:p>
    <w:p w14:paraId="0A3FF95C">
      <w:pPr>
        <w:pBdr/>
        <w:spacing/>
        <w:ind/>
        <w:jc w:val="both"/>
        <w:rPr>
          <w:rFonts w:ascii="Times New Roman" w:hAnsi="Times New Roman"/>
        </w:rPr>
      </w:pPr>
      <w:r>
        <w:rPr>
          <w:rFonts w:ascii="Times New Roman" w:hAnsi="Times New Roman"/>
        </w:rPr>
        <w:t xml:space="preserve">b) Modalidade e número da licitação;</w:t>
      </w:r>
      <w:r>
        <w:rPr>
          <w:rFonts w:ascii="Times New Roman" w:hAnsi="Times New Roman"/>
        </w:rPr>
      </w:r>
      <w:r>
        <w:rPr>
          <w:rFonts w:ascii="Times New Roman" w:hAnsi="Times New Roman"/>
        </w:rPr>
      </w:r>
    </w:p>
    <w:p w14:paraId="0EB0D770">
      <w:pPr>
        <w:pBdr/>
        <w:spacing/>
        <w:ind/>
        <w:jc w:val="both"/>
        <w:rPr>
          <w:rFonts w:ascii="Times New Roman" w:hAnsi="Times New Roman"/>
        </w:rPr>
      </w:pPr>
      <w:r>
        <w:rPr>
          <w:rFonts w:ascii="Times New Roman" w:hAnsi="Times New Roman"/>
        </w:rPr>
        <w:t xml:space="preserve">c) Especificação do objeto licitado, sendo obrigatório constar a marca (quando aplicável);</w:t>
      </w:r>
      <w:r>
        <w:rPr>
          <w:rFonts w:ascii="Times New Roman" w:hAnsi="Times New Roman"/>
        </w:rPr>
      </w:r>
      <w:r>
        <w:rPr>
          <w:rFonts w:ascii="Times New Roman" w:hAnsi="Times New Roman"/>
        </w:rPr>
      </w:r>
    </w:p>
    <w:p w14:paraId="5DC9B8B2">
      <w:pPr>
        <w:pBdr/>
        <w:spacing/>
        <w:ind/>
        <w:jc w:val="both"/>
        <w:rPr>
          <w:rFonts w:ascii="Times New Roman" w:hAnsi="Times New Roman"/>
        </w:rPr>
      </w:pPr>
      <w:r>
        <w:rPr>
          <w:rFonts w:ascii="Times New Roman" w:hAnsi="Times New Roman"/>
        </w:rPr>
        <w:t xml:space="preserve">d) Quando a marca possuir mais de um modelo, o licitante deverá especificá-lo;</w:t>
      </w:r>
      <w:r>
        <w:rPr>
          <w:rFonts w:ascii="Times New Roman" w:hAnsi="Times New Roman"/>
        </w:rPr>
      </w:r>
      <w:r>
        <w:rPr>
          <w:rFonts w:ascii="Times New Roman" w:hAnsi="Times New Roman"/>
        </w:rPr>
      </w:r>
    </w:p>
    <w:p w14:paraId="697A2874">
      <w:pPr>
        <w:pBdr/>
        <w:spacing/>
        <w:ind/>
        <w:jc w:val="both"/>
        <w:rPr>
          <w:rFonts w:ascii="Times New Roman" w:hAnsi="Times New Roman"/>
        </w:rPr>
      </w:pPr>
      <w:r>
        <w:rPr>
          <w:rFonts w:ascii="Times New Roman" w:hAnsi="Times New Roman"/>
        </w:rPr>
        <w:t xml:space="preserve">e) Valor global do item/lote, discriminando o valor unitário e total do(s) item(ns);</w:t>
      </w:r>
      <w:r>
        <w:rPr>
          <w:rFonts w:ascii="Times New Roman" w:hAnsi="Times New Roman"/>
        </w:rPr>
      </w:r>
      <w:r>
        <w:rPr>
          <w:rFonts w:ascii="Times New Roman" w:hAnsi="Times New Roman"/>
        </w:rPr>
      </w:r>
    </w:p>
    <w:p w14:paraId="30B89408">
      <w:pPr>
        <w:pBdr/>
        <w:spacing/>
        <w:ind/>
        <w:jc w:val="both"/>
        <w:rPr>
          <w:rFonts w:ascii="Times New Roman" w:hAnsi="Times New Roman"/>
        </w:rPr>
      </w:pPr>
      <w:r>
        <w:rPr>
          <w:rFonts w:ascii="Times New Roman" w:hAnsi="Times New Roman"/>
        </w:rPr>
        <w:t xml:space="preserve">f) O(s) valor(es) unitário(s) e total(is) deverão ser apresentados em moeda corrente nacional e em algarismo com no máximo duas casas decimais;</w:t>
      </w:r>
      <w:r>
        <w:rPr>
          <w:rFonts w:ascii="Times New Roman" w:hAnsi="Times New Roman"/>
        </w:rPr>
      </w:r>
      <w:r>
        <w:rPr>
          <w:rFonts w:ascii="Times New Roman" w:hAnsi="Times New Roman"/>
        </w:rPr>
      </w:r>
    </w:p>
    <w:p w14:paraId="374896DD">
      <w:pPr>
        <w:pBdr/>
        <w:spacing/>
        <w:ind/>
        <w:jc w:val="both"/>
        <w:rPr>
          <w:rFonts w:ascii="Times New Roman" w:hAnsi="Times New Roman"/>
        </w:rPr>
      </w:pPr>
      <w:r>
        <w:rPr>
          <w:rFonts w:ascii="Times New Roman" w:hAnsi="Times New Roman"/>
        </w:rPr>
        <w:t xml:space="preserve">g) O valor global deve ser apresentado em moeda corrente nacional, em algarismo e por extenso, com no máximo duas casas decimais;</w:t>
      </w:r>
      <w:r>
        <w:rPr>
          <w:rFonts w:ascii="Times New Roman" w:hAnsi="Times New Roman"/>
        </w:rPr>
      </w:r>
      <w:r>
        <w:rPr>
          <w:rFonts w:ascii="Times New Roman" w:hAnsi="Times New Roman"/>
        </w:rPr>
      </w:r>
    </w:p>
    <w:p w14:paraId="00EBC30E">
      <w:pPr>
        <w:pBdr/>
        <w:spacing/>
        <w:ind/>
        <w:jc w:val="both"/>
        <w:rPr>
          <w:rFonts w:ascii="Times New Roman" w:hAnsi="Times New Roman"/>
        </w:rPr>
      </w:pPr>
      <w:r>
        <w:rPr>
          <w:rFonts w:ascii="Times New Roman" w:hAnsi="Times New Roman"/>
        </w:rPr>
        <w:t xml:space="preserve">h) Quando a divisão do valor</w:t>
      </w:r>
      <w:r>
        <w:rPr>
          <w:rFonts w:ascii="Times New Roman" w:hAnsi="Times New Roman"/>
        </w:rPr>
        <w:t xml:space="preserve"> total/global pela quantidade licitada resultar em valor com mais de duas casas decimais, o valor unitário deverá ser adequado ao limite de duas casas decimais. O valor global do item/lote, após adequação, deverá ser igual ou inferior ao valor arrematado;</w:t>
      </w:r>
      <w:r>
        <w:rPr>
          <w:rFonts w:ascii="Times New Roman" w:hAnsi="Times New Roman"/>
        </w:rPr>
      </w:r>
      <w:r>
        <w:rPr>
          <w:rFonts w:ascii="Times New Roman" w:hAnsi="Times New Roman"/>
        </w:rPr>
      </w:r>
    </w:p>
    <w:p w14:paraId="7480BA86">
      <w:pPr>
        <w:pBdr/>
        <w:spacing/>
        <w:ind/>
        <w:jc w:val="both"/>
        <w:rPr>
          <w:rFonts w:ascii="Times New Roman" w:hAnsi="Times New Roman"/>
        </w:rPr>
      </w:pPr>
      <w:r>
        <w:rPr>
          <w:rFonts w:ascii="Times New Roman" w:hAnsi="Times New Roman"/>
        </w:rPr>
        <w:t xml:space="preserve">i) Declaração de validade da proposta de 120 (cento e vinte) dias, contados da assinatura.</w:t>
      </w:r>
      <w:r>
        <w:rPr>
          <w:rFonts w:ascii="Times New Roman" w:hAnsi="Times New Roman"/>
        </w:rPr>
      </w:r>
      <w:r>
        <w:rPr>
          <w:rFonts w:ascii="Times New Roman" w:hAnsi="Times New Roman"/>
        </w:rPr>
      </w:r>
    </w:p>
    <w:p w14:paraId="4748C266">
      <w:pPr>
        <w:pBdr/>
        <w:spacing/>
        <w:ind/>
        <w:jc w:val="both"/>
        <w:rPr>
          <w:rFonts w:ascii="Times New Roman" w:hAnsi="Times New Roman"/>
          <w:sz w:val="10"/>
          <w:szCs w:val="10"/>
        </w:rPr>
      </w:pPr>
      <w:r>
        <w:rPr>
          <w:rFonts w:ascii="Times New Roman" w:hAnsi="Times New Roman"/>
          <w:sz w:val="10"/>
          <w:szCs w:val="10"/>
        </w:rPr>
      </w:r>
      <w:r>
        <w:rPr>
          <w:rFonts w:ascii="Times New Roman" w:hAnsi="Times New Roman"/>
          <w:sz w:val="10"/>
          <w:szCs w:val="10"/>
        </w:rPr>
      </w:r>
      <w:r>
        <w:rPr>
          <w:rFonts w:ascii="Times New Roman" w:hAnsi="Times New Roman"/>
          <w:sz w:val="10"/>
          <w:szCs w:val="10"/>
        </w:rPr>
      </w:r>
    </w:p>
    <w:p w14:paraId="0620896B">
      <w:pPr>
        <w:pBdr/>
        <w:shd w:val="clear" w:color="auto" w:fill="cccccc"/>
        <w:spacing/>
        <w:ind/>
        <w:jc w:val="both"/>
        <w:rPr/>
      </w:pPr>
      <w:r>
        <w:rPr>
          <w:rFonts w:ascii="Times New Roman" w:hAnsi="Times New Roman" w:cs="Times New Roman"/>
          <w:b/>
          <w:bCs/>
        </w:rPr>
        <w:t xml:space="preserve">9 – DAS SANÇÕES ADMINISTRATIVAS</w:t>
      </w:r>
      <w:r/>
    </w:p>
    <w:p w14:paraId="42E7FD07">
      <w:pPr>
        <w:pStyle w:val="2311"/>
        <w:pBdr/>
        <w:spacing w:after="0" w:before="0"/>
        <w:ind/>
        <w:jc w:val="both"/>
        <w:rPr>
          <w:sz w:val="10"/>
          <w:szCs w:val="10"/>
        </w:rPr>
      </w:pPr>
      <w:r>
        <w:rPr>
          <w:sz w:val="10"/>
          <w:szCs w:val="10"/>
        </w:rPr>
      </w:r>
      <w:r>
        <w:rPr>
          <w:sz w:val="10"/>
          <w:szCs w:val="10"/>
        </w:rPr>
      </w:r>
      <w:r>
        <w:rPr>
          <w:sz w:val="10"/>
          <w:szCs w:val="10"/>
        </w:rPr>
      </w:r>
    </w:p>
    <w:p w14:paraId="144898A1">
      <w:pPr>
        <w:pStyle w:val="2311"/>
        <w:pBdr/>
        <w:spacing w:after="0" w:before="0"/>
        <w:ind/>
        <w:jc w:val="both"/>
        <w:rPr/>
      </w:pPr>
      <w:r>
        <w:rPr>
          <w:b/>
          <w:bCs/>
          <w:sz w:val="22"/>
          <w:szCs w:val="22"/>
          <w:lang w:val="pt-BR"/>
        </w:rPr>
        <w:t xml:space="preserve">9.1. </w:t>
      </w:r>
      <w:r>
        <w:rPr>
          <w:sz w:val="22"/>
          <w:szCs w:val="22"/>
        </w:rPr>
        <w:t xml:space="preserve">Em </w:t>
      </w:r>
      <w:r>
        <w:rPr>
          <w:sz w:val="22"/>
          <w:szCs w:val="22"/>
        </w:rPr>
        <w:t xml:space="preserve">conformidade</w:t>
      </w:r>
      <w:r>
        <w:rPr>
          <w:sz w:val="22"/>
          <w:szCs w:val="22"/>
        </w:rPr>
        <w:t xml:space="preserve"> com o </w:t>
      </w:r>
      <w:r>
        <w:rPr>
          <w:sz w:val="22"/>
          <w:szCs w:val="22"/>
        </w:rPr>
        <w:t xml:space="preserve">disposto</w:t>
      </w:r>
      <w:r>
        <w:rPr>
          <w:sz w:val="22"/>
          <w:szCs w:val="22"/>
        </w:rPr>
        <w:t xml:space="preserve"> </w:t>
      </w:r>
      <w:r>
        <w:rPr>
          <w:sz w:val="22"/>
          <w:szCs w:val="22"/>
        </w:rPr>
        <w:t xml:space="preserve">nos</w:t>
      </w:r>
      <w:r>
        <w:rPr>
          <w:sz w:val="22"/>
          <w:szCs w:val="22"/>
        </w:rPr>
        <w:t xml:space="preserve"> </w:t>
      </w:r>
      <w:r>
        <w:rPr>
          <w:sz w:val="22"/>
          <w:szCs w:val="22"/>
        </w:rPr>
        <w:t xml:space="preserve">artigos</w:t>
      </w:r>
      <w:r>
        <w:rPr>
          <w:sz w:val="22"/>
          <w:szCs w:val="22"/>
        </w:rPr>
        <w:t xml:space="preserve"> 156 a 163 da Lei Federal nº 14.133, de 1º de </w:t>
      </w:r>
      <w:r>
        <w:rPr>
          <w:sz w:val="22"/>
          <w:szCs w:val="22"/>
        </w:rPr>
        <w:t xml:space="preserve">abril</w:t>
      </w:r>
      <w:r>
        <w:rPr>
          <w:sz w:val="22"/>
          <w:szCs w:val="22"/>
        </w:rPr>
        <w:t xml:space="preserve"> de 2021, o </w:t>
      </w:r>
      <w:r>
        <w:rPr>
          <w:sz w:val="22"/>
          <w:szCs w:val="22"/>
        </w:rPr>
        <w:t xml:space="preserve">contratado</w:t>
      </w:r>
      <w:r>
        <w:rPr>
          <w:sz w:val="22"/>
          <w:szCs w:val="22"/>
        </w:rPr>
        <w:t xml:space="preserve"> </w:t>
      </w:r>
      <w:r>
        <w:rPr>
          <w:sz w:val="22"/>
          <w:szCs w:val="22"/>
        </w:rPr>
        <w:t xml:space="preserve">estará</w:t>
      </w:r>
      <w:r>
        <w:rPr>
          <w:sz w:val="22"/>
          <w:szCs w:val="22"/>
        </w:rPr>
        <w:t xml:space="preserve"> </w:t>
      </w:r>
      <w:r>
        <w:rPr>
          <w:sz w:val="22"/>
          <w:szCs w:val="22"/>
        </w:rPr>
        <w:t xml:space="preserve">sujeito</w:t>
      </w:r>
      <w:r>
        <w:rPr>
          <w:sz w:val="22"/>
          <w:szCs w:val="22"/>
        </w:rPr>
        <w:t xml:space="preserve"> à </w:t>
      </w:r>
      <w:r>
        <w:rPr>
          <w:sz w:val="22"/>
          <w:szCs w:val="22"/>
        </w:rPr>
        <w:t xml:space="preserve">aplicação</w:t>
      </w:r>
      <w:r>
        <w:rPr>
          <w:sz w:val="22"/>
          <w:szCs w:val="22"/>
        </w:rPr>
        <w:t xml:space="preserve"> de </w:t>
      </w:r>
      <w:r>
        <w:rPr>
          <w:sz w:val="22"/>
          <w:szCs w:val="22"/>
        </w:rPr>
        <w:t xml:space="preserve">sanções</w:t>
      </w:r>
      <w:r>
        <w:rPr>
          <w:sz w:val="22"/>
          <w:szCs w:val="22"/>
        </w:rPr>
        <w:t xml:space="preserve"> </w:t>
      </w:r>
      <w:r>
        <w:rPr>
          <w:sz w:val="22"/>
          <w:szCs w:val="22"/>
        </w:rPr>
        <w:t xml:space="preserve">administrativas</w:t>
      </w:r>
      <w:r>
        <w:rPr>
          <w:sz w:val="22"/>
          <w:szCs w:val="22"/>
        </w:rPr>
        <w:t xml:space="preserve">, </w:t>
      </w:r>
      <w:r>
        <w:rPr>
          <w:sz w:val="22"/>
          <w:szCs w:val="22"/>
        </w:rPr>
        <w:t xml:space="preserve">assegurados</w:t>
      </w:r>
      <w:r>
        <w:rPr>
          <w:sz w:val="22"/>
          <w:szCs w:val="22"/>
        </w:rPr>
        <w:t xml:space="preserve"> o </w:t>
      </w:r>
      <w:r>
        <w:rPr>
          <w:sz w:val="22"/>
          <w:szCs w:val="22"/>
        </w:rPr>
        <w:t xml:space="preserve">contraditório</w:t>
      </w:r>
      <w:r>
        <w:rPr>
          <w:sz w:val="22"/>
          <w:szCs w:val="22"/>
        </w:rPr>
        <w:t xml:space="preserve">, </w:t>
      </w:r>
      <w:r>
        <w:rPr>
          <w:sz w:val="22"/>
          <w:szCs w:val="22"/>
        </w:rPr>
        <w:t xml:space="preserve">a</w:t>
      </w:r>
      <w:r>
        <w:rPr>
          <w:sz w:val="22"/>
          <w:szCs w:val="22"/>
        </w:rPr>
        <w:t xml:space="preserve"> </w:t>
      </w:r>
      <w:r>
        <w:rPr>
          <w:sz w:val="22"/>
          <w:szCs w:val="22"/>
        </w:rPr>
        <w:t xml:space="preserve">ampla</w:t>
      </w:r>
      <w:r>
        <w:rPr>
          <w:sz w:val="22"/>
          <w:szCs w:val="22"/>
        </w:rPr>
        <w:t xml:space="preserve"> </w:t>
      </w:r>
      <w:r>
        <w:rPr>
          <w:sz w:val="22"/>
          <w:szCs w:val="22"/>
        </w:rPr>
        <w:t xml:space="preserve">defesa</w:t>
      </w:r>
      <w:r>
        <w:rPr>
          <w:sz w:val="22"/>
          <w:szCs w:val="22"/>
        </w:rPr>
        <w:t xml:space="preserve"> e o </w:t>
      </w:r>
      <w:r>
        <w:rPr>
          <w:sz w:val="22"/>
          <w:szCs w:val="22"/>
        </w:rPr>
        <w:t xml:space="preserve">devido</w:t>
      </w:r>
      <w:r>
        <w:rPr>
          <w:sz w:val="22"/>
          <w:szCs w:val="22"/>
        </w:rPr>
        <w:t xml:space="preserve"> </w:t>
      </w:r>
      <w:r>
        <w:rPr>
          <w:sz w:val="22"/>
          <w:szCs w:val="22"/>
        </w:rPr>
        <w:t xml:space="preserve">processo</w:t>
      </w:r>
      <w:r>
        <w:rPr>
          <w:sz w:val="22"/>
          <w:szCs w:val="22"/>
        </w:rPr>
        <w:t xml:space="preserve"> legal, </w:t>
      </w:r>
      <w:r>
        <w:rPr>
          <w:sz w:val="22"/>
          <w:szCs w:val="22"/>
        </w:rPr>
        <w:t xml:space="preserve">nas</w:t>
      </w:r>
      <w:r>
        <w:rPr>
          <w:sz w:val="22"/>
          <w:szCs w:val="22"/>
        </w:rPr>
        <w:t xml:space="preserve"> </w:t>
      </w:r>
      <w:r>
        <w:rPr>
          <w:sz w:val="22"/>
          <w:szCs w:val="22"/>
        </w:rPr>
        <w:t xml:space="preserve">hipóteses</w:t>
      </w:r>
      <w:r>
        <w:rPr>
          <w:sz w:val="22"/>
          <w:szCs w:val="22"/>
        </w:rPr>
        <w:t xml:space="preserve"> de </w:t>
      </w:r>
      <w:r>
        <w:rPr>
          <w:sz w:val="22"/>
          <w:szCs w:val="22"/>
        </w:rPr>
        <w:t xml:space="preserve">inexecução</w:t>
      </w:r>
      <w:r>
        <w:rPr>
          <w:sz w:val="22"/>
          <w:szCs w:val="22"/>
        </w:rPr>
        <w:t xml:space="preserve"> total </w:t>
      </w:r>
      <w:r>
        <w:rPr>
          <w:sz w:val="22"/>
          <w:szCs w:val="22"/>
        </w:rPr>
        <w:t xml:space="preserve">ou</w:t>
      </w:r>
      <w:r>
        <w:rPr>
          <w:sz w:val="22"/>
          <w:szCs w:val="22"/>
        </w:rPr>
        <w:t xml:space="preserve"> </w:t>
      </w:r>
      <w:r>
        <w:rPr>
          <w:sz w:val="22"/>
          <w:szCs w:val="22"/>
        </w:rPr>
        <w:t xml:space="preserve">parcial</w:t>
      </w:r>
      <w:r>
        <w:rPr>
          <w:sz w:val="22"/>
          <w:szCs w:val="22"/>
        </w:rPr>
        <w:t xml:space="preserve"> das </w:t>
      </w:r>
      <w:r>
        <w:rPr>
          <w:sz w:val="22"/>
          <w:szCs w:val="22"/>
        </w:rPr>
        <w:t xml:space="preserve">obrigações</w:t>
      </w:r>
      <w:r>
        <w:rPr>
          <w:sz w:val="22"/>
          <w:szCs w:val="22"/>
        </w:rPr>
        <w:t xml:space="preserve"> </w:t>
      </w:r>
      <w:r>
        <w:rPr>
          <w:sz w:val="22"/>
          <w:szCs w:val="22"/>
        </w:rPr>
        <w:t xml:space="preserve">assumidas</w:t>
      </w:r>
      <w:r>
        <w:rPr>
          <w:sz w:val="22"/>
          <w:szCs w:val="22"/>
        </w:rPr>
        <w:t xml:space="preserve"> </w:t>
      </w:r>
      <w:r>
        <w:rPr>
          <w:sz w:val="22"/>
          <w:szCs w:val="22"/>
        </w:rPr>
        <w:t xml:space="preserve">ou</w:t>
      </w:r>
      <w:r>
        <w:rPr>
          <w:sz w:val="22"/>
          <w:szCs w:val="22"/>
        </w:rPr>
        <w:t xml:space="preserve"> pela </w:t>
      </w:r>
      <w:r>
        <w:rPr>
          <w:sz w:val="22"/>
          <w:szCs w:val="22"/>
        </w:rPr>
        <w:t xml:space="preserve">prática</w:t>
      </w:r>
      <w:r>
        <w:rPr>
          <w:sz w:val="22"/>
          <w:szCs w:val="22"/>
        </w:rPr>
        <w:t xml:space="preserve"> de </w:t>
      </w:r>
      <w:r>
        <w:rPr>
          <w:sz w:val="22"/>
          <w:szCs w:val="22"/>
        </w:rPr>
        <w:t xml:space="preserve">condutas</w:t>
      </w:r>
      <w:r>
        <w:rPr>
          <w:sz w:val="22"/>
          <w:szCs w:val="22"/>
        </w:rPr>
        <w:t xml:space="preserve"> </w:t>
      </w:r>
      <w:r>
        <w:rPr>
          <w:sz w:val="22"/>
          <w:szCs w:val="22"/>
        </w:rPr>
        <w:t xml:space="preserve">infracionais</w:t>
      </w:r>
      <w:r>
        <w:rPr>
          <w:sz w:val="22"/>
          <w:szCs w:val="22"/>
        </w:rPr>
        <w:t xml:space="preserve"> no </w:t>
      </w:r>
      <w:r>
        <w:rPr>
          <w:sz w:val="22"/>
          <w:szCs w:val="22"/>
        </w:rPr>
        <w:t xml:space="preserve">âmbito</w:t>
      </w:r>
      <w:r>
        <w:rPr>
          <w:sz w:val="22"/>
          <w:szCs w:val="22"/>
        </w:rPr>
        <w:t xml:space="preserve"> da </w:t>
      </w:r>
      <w:r>
        <w:rPr>
          <w:sz w:val="22"/>
          <w:szCs w:val="22"/>
        </w:rPr>
        <w:t xml:space="preserve">execução</w:t>
      </w:r>
      <w:r>
        <w:rPr>
          <w:sz w:val="22"/>
          <w:szCs w:val="22"/>
        </w:rPr>
        <w:t xml:space="preserve"> </w:t>
      </w:r>
      <w:r>
        <w:rPr>
          <w:sz w:val="22"/>
          <w:szCs w:val="22"/>
        </w:rPr>
        <w:t xml:space="preserve">contratual</w:t>
      </w:r>
      <w:r>
        <w:rPr>
          <w:sz w:val="22"/>
          <w:szCs w:val="22"/>
        </w:rPr>
        <w:t xml:space="preserve">.</w:t>
      </w:r>
      <w:r/>
    </w:p>
    <w:p w14:paraId="30A030CC">
      <w:pPr>
        <w:pStyle w:val="2311"/>
        <w:pBdr/>
        <w:spacing w:after="0" w:before="0"/>
        <w:ind/>
        <w:jc w:val="both"/>
        <w:rPr>
          <w:b/>
          <w:bCs/>
          <w:sz w:val="22"/>
          <w:szCs w:val="22"/>
        </w:rPr>
      </w:pPr>
      <w:r>
        <w:rPr>
          <w:b/>
          <w:bCs/>
          <w:sz w:val="22"/>
          <w:szCs w:val="22"/>
          <w:lang w:val="pt-BR"/>
        </w:rPr>
        <w:t xml:space="preserve">9.2. </w:t>
      </w:r>
      <w:r>
        <w:rPr>
          <w:b/>
          <w:bCs/>
          <w:sz w:val="22"/>
          <w:szCs w:val="22"/>
        </w:rPr>
        <w:t xml:space="preserve">As </w:t>
      </w:r>
      <w:r>
        <w:rPr>
          <w:b/>
          <w:bCs/>
          <w:sz w:val="22"/>
          <w:szCs w:val="22"/>
        </w:rPr>
        <w:t xml:space="preserve">sanções</w:t>
      </w:r>
      <w:r>
        <w:rPr>
          <w:b/>
          <w:bCs/>
          <w:sz w:val="22"/>
          <w:szCs w:val="22"/>
        </w:rPr>
        <w:t xml:space="preserve"> </w:t>
      </w:r>
      <w:r>
        <w:rPr>
          <w:b/>
          <w:bCs/>
          <w:sz w:val="22"/>
          <w:szCs w:val="22"/>
        </w:rPr>
        <w:t xml:space="preserve">aplicáveis</w:t>
      </w:r>
      <w:r>
        <w:rPr>
          <w:b/>
          <w:bCs/>
          <w:sz w:val="22"/>
          <w:szCs w:val="22"/>
        </w:rPr>
        <w:t xml:space="preserve"> </w:t>
      </w:r>
      <w:r>
        <w:rPr>
          <w:b/>
          <w:bCs/>
          <w:sz w:val="22"/>
          <w:szCs w:val="22"/>
        </w:rPr>
        <w:t xml:space="preserve">são</w:t>
      </w:r>
      <w:r>
        <w:rPr>
          <w:b/>
          <w:bCs/>
          <w:sz w:val="22"/>
          <w:szCs w:val="22"/>
        </w:rPr>
        <w:t xml:space="preserve"> as </w:t>
      </w:r>
      <w:r>
        <w:rPr>
          <w:b/>
          <w:bCs/>
          <w:sz w:val="22"/>
          <w:szCs w:val="22"/>
        </w:rPr>
        <w:t xml:space="preserve">seguintes</w:t>
      </w:r>
      <w:r>
        <w:rPr>
          <w:b/>
          <w:bCs/>
          <w:sz w:val="22"/>
          <w:szCs w:val="22"/>
        </w:rPr>
        <w:t xml:space="preserve">:</w:t>
      </w:r>
      <w:r>
        <w:rPr>
          <w:b/>
          <w:bCs/>
          <w:sz w:val="22"/>
          <w:szCs w:val="22"/>
        </w:rPr>
      </w:r>
      <w:r>
        <w:rPr>
          <w:b/>
          <w:bCs/>
          <w:sz w:val="22"/>
          <w:szCs w:val="22"/>
        </w:rPr>
      </w:r>
    </w:p>
    <w:p w14:paraId="4B3B89DF">
      <w:pPr>
        <w:pStyle w:val="2311"/>
        <w:pBdr/>
        <w:spacing w:after="0" w:before="0"/>
        <w:ind/>
        <w:jc w:val="both"/>
        <w:rPr/>
      </w:pPr>
      <w:r>
        <w:rPr>
          <w:rStyle w:val="911"/>
          <w:sz w:val="22"/>
          <w:szCs w:val="22"/>
        </w:rPr>
        <w:t xml:space="preserve">I – </w:t>
      </w:r>
      <w:r>
        <w:rPr>
          <w:rStyle w:val="911"/>
          <w:sz w:val="22"/>
          <w:szCs w:val="22"/>
        </w:rPr>
        <w:t xml:space="preserve">Advertência</w:t>
      </w:r>
      <w:r>
        <w:rPr>
          <w:sz w:val="22"/>
          <w:szCs w:val="22"/>
        </w:rPr>
        <w:t xml:space="preserve">, que </w:t>
      </w:r>
      <w:r>
        <w:rPr>
          <w:sz w:val="22"/>
          <w:szCs w:val="22"/>
        </w:rPr>
        <w:t xml:space="preserve">será</w:t>
      </w:r>
      <w:r>
        <w:rPr>
          <w:sz w:val="22"/>
          <w:szCs w:val="22"/>
        </w:rPr>
        <w:t xml:space="preserve"> </w:t>
      </w:r>
      <w:r>
        <w:rPr>
          <w:sz w:val="22"/>
          <w:szCs w:val="22"/>
        </w:rPr>
        <w:t xml:space="preserve">aplicada</w:t>
      </w:r>
      <w:r>
        <w:rPr>
          <w:sz w:val="22"/>
          <w:szCs w:val="22"/>
        </w:rPr>
        <w:t xml:space="preserve"> </w:t>
      </w:r>
      <w:r>
        <w:rPr>
          <w:sz w:val="22"/>
          <w:szCs w:val="22"/>
        </w:rPr>
        <w:t xml:space="preserve">exclusivamente</w:t>
      </w:r>
      <w:r>
        <w:rPr>
          <w:sz w:val="22"/>
          <w:szCs w:val="22"/>
        </w:rPr>
        <w:t xml:space="preserve"> </w:t>
      </w:r>
      <w:r>
        <w:rPr>
          <w:sz w:val="22"/>
          <w:szCs w:val="22"/>
        </w:rPr>
        <w:t xml:space="preserve">nos</w:t>
      </w:r>
      <w:r>
        <w:rPr>
          <w:sz w:val="22"/>
          <w:szCs w:val="22"/>
        </w:rPr>
        <w:t xml:space="preserve"> </w:t>
      </w:r>
      <w:r>
        <w:rPr>
          <w:sz w:val="22"/>
          <w:szCs w:val="22"/>
        </w:rPr>
        <w:t xml:space="preserve">casos</w:t>
      </w:r>
      <w:r>
        <w:rPr>
          <w:sz w:val="22"/>
          <w:szCs w:val="22"/>
        </w:rPr>
        <w:t xml:space="preserve"> de </w:t>
      </w:r>
      <w:r>
        <w:rPr>
          <w:sz w:val="22"/>
          <w:szCs w:val="22"/>
        </w:rPr>
        <w:t xml:space="preserve">infração</w:t>
      </w:r>
      <w:r>
        <w:rPr>
          <w:sz w:val="22"/>
          <w:szCs w:val="22"/>
        </w:rPr>
        <w:t xml:space="preserve"> </w:t>
      </w:r>
      <w:r>
        <w:rPr>
          <w:sz w:val="22"/>
          <w:szCs w:val="22"/>
        </w:rPr>
        <w:t xml:space="preserve">administrativa</w:t>
      </w:r>
      <w:r>
        <w:rPr>
          <w:sz w:val="22"/>
          <w:szCs w:val="22"/>
        </w:rPr>
        <w:t xml:space="preserve"> de </w:t>
      </w:r>
      <w:r>
        <w:rPr>
          <w:sz w:val="22"/>
          <w:szCs w:val="22"/>
        </w:rPr>
        <w:t xml:space="preserve">menor</w:t>
      </w:r>
      <w:r>
        <w:rPr>
          <w:sz w:val="22"/>
          <w:szCs w:val="22"/>
        </w:rPr>
        <w:t xml:space="preserve"> </w:t>
      </w:r>
      <w:r>
        <w:rPr>
          <w:sz w:val="22"/>
          <w:szCs w:val="22"/>
        </w:rPr>
        <w:t xml:space="preserve">gravidade</w:t>
      </w:r>
      <w:r>
        <w:rPr>
          <w:sz w:val="22"/>
          <w:szCs w:val="22"/>
        </w:rPr>
        <w:t xml:space="preserve">, </w:t>
      </w:r>
      <w:r>
        <w:rPr>
          <w:sz w:val="22"/>
          <w:szCs w:val="22"/>
        </w:rPr>
        <w:t xml:space="preserve">nos</w:t>
      </w:r>
      <w:r>
        <w:rPr>
          <w:sz w:val="22"/>
          <w:szCs w:val="22"/>
        </w:rPr>
        <w:t xml:space="preserve"> </w:t>
      </w:r>
      <w:r>
        <w:rPr>
          <w:sz w:val="22"/>
          <w:szCs w:val="22"/>
        </w:rPr>
        <w:t xml:space="preserve">termos</w:t>
      </w:r>
      <w:r>
        <w:rPr>
          <w:sz w:val="22"/>
          <w:szCs w:val="22"/>
        </w:rPr>
        <w:t xml:space="preserve"> do </w:t>
      </w:r>
      <w:r>
        <w:rPr>
          <w:sz w:val="22"/>
          <w:szCs w:val="22"/>
        </w:rPr>
        <w:t xml:space="preserve">inciso</w:t>
      </w:r>
      <w:r>
        <w:rPr>
          <w:sz w:val="22"/>
          <w:szCs w:val="22"/>
        </w:rPr>
        <w:t xml:space="preserve"> I do caput do art. 155 da Lei nº 14.133/2021, </w:t>
      </w:r>
      <w:r>
        <w:rPr>
          <w:sz w:val="22"/>
          <w:szCs w:val="22"/>
        </w:rPr>
        <w:t xml:space="preserve">desde</w:t>
      </w:r>
      <w:r>
        <w:rPr>
          <w:sz w:val="22"/>
          <w:szCs w:val="22"/>
        </w:rPr>
        <w:t xml:space="preserve"> que </w:t>
      </w:r>
      <w:r>
        <w:rPr>
          <w:sz w:val="22"/>
          <w:szCs w:val="22"/>
        </w:rPr>
        <w:t xml:space="preserve">não</w:t>
      </w:r>
      <w:r>
        <w:rPr>
          <w:sz w:val="22"/>
          <w:szCs w:val="22"/>
        </w:rPr>
        <w:t xml:space="preserve"> se </w:t>
      </w:r>
      <w:r>
        <w:rPr>
          <w:sz w:val="22"/>
          <w:szCs w:val="22"/>
        </w:rPr>
        <w:t xml:space="preserve">justifique</w:t>
      </w:r>
      <w:r>
        <w:rPr>
          <w:sz w:val="22"/>
          <w:szCs w:val="22"/>
        </w:rPr>
        <w:t xml:space="preserve"> </w:t>
      </w:r>
      <w:r>
        <w:rPr>
          <w:sz w:val="22"/>
          <w:szCs w:val="22"/>
        </w:rPr>
        <w:t xml:space="preserve">a</w:t>
      </w:r>
      <w:r>
        <w:rPr>
          <w:sz w:val="22"/>
          <w:szCs w:val="22"/>
        </w:rPr>
        <w:t xml:space="preserve"> </w:t>
      </w:r>
      <w:r>
        <w:rPr>
          <w:sz w:val="22"/>
          <w:szCs w:val="22"/>
        </w:rPr>
        <w:t xml:space="preserve">imposição</w:t>
      </w:r>
      <w:r>
        <w:rPr>
          <w:sz w:val="22"/>
          <w:szCs w:val="22"/>
        </w:rPr>
        <w:t xml:space="preserve"> de </w:t>
      </w:r>
      <w:r>
        <w:rPr>
          <w:sz w:val="22"/>
          <w:szCs w:val="22"/>
        </w:rPr>
        <w:t xml:space="preserve">penalidade</w:t>
      </w:r>
      <w:r>
        <w:rPr>
          <w:sz w:val="22"/>
          <w:szCs w:val="22"/>
        </w:rPr>
        <w:t xml:space="preserve"> </w:t>
      </w:r>
      <w:r>
        <w:rPr>
          <w:sz w:val="22"/>
          <w:szCs w:val="22"/>
        </w:rPr>
        <w:t xml:space="preserve">mais</w:t>
      </w:r>
      <w:r>
        <w:rPr>
          <w:sz w:val="22"/>
          <w:szCs w:val="22"/>
        </w:rPr>
        <w:t xml:space="preserve"> </w:t>
      </w:r>
      <w:r>
        <w:rPr>
          <w:sz w:val="22"/>
          <w:szCs w:val="22"/>
        </w:rPr>
        <w:t xml:space="preserve">severa</w:t>
      </w:r>
      <w:r>
        <w:rPr>
          <w:sz w:val="22"/>
          <w:szCs w:val="22"/>
        </w:rPr>
        <w:t xml:space="preserve">;</w:t>
      </w:r>
      <w:r/>
    </w:p>
    <w:p w14:paraId="7F848B08">
      <w:pPr>
        <w:pStyle w:val="2311"/>
        <w:pBdr/>
        <w:spacing w:after="0" w:before="0"/>
        <w:ind/>
        <w:jc w:val="both"/>
        <w:rPr/>
      </w:pPr>
      <w:r>
        <w:rPr>
          <w:rStyle w:val="911"/>
          <w:sz w:val="22"/>
          <w:szCs w:val="22"/>
        </w:rPr>
        <w:t xml:space="preserve">II – </w:t>
      </w:r>
      <w:r>
        <w:rPr>
          <w:rStyle w:val="911"/>
          <w:sz w:val="22"/>
          <w:szCs w:val="22"/>
        </w:rPr>
        <w:t xml:space="preserve">Multa</w:t>
      </w:r>
      <w:r>
        <w:rPr>
          <w:sz w:val="22"/>
          <w:szCs w:val="22"/>
        </w:rPr>
        <w:t xml:space="preserve">, </w:t>
      </w:r>
      <w:r>
        <w:rPr>
          <w:sz w:val="22"/>
          <w:szCs w:val="22"/>
        </w:rPr>
        <w:t xml:space="preserve">calculada</w:t>
      </w:r>
      <w:r>
        <w:rPr>
          <w:sz w:val="22"/>
          <w:szCs w:val="22"/>
        </w:rPr>
        <w:t xml:space="preserve"> </w:t>
      </w:r>
      <w:r>
        <w:rPr>
          <w:sz w:val="22"/>
          <w:szCs w:val="22"/>
        </w:rPr>
        <w:t xml:space="preserve">conforme</w:t>
      </w:r>
      <w:r>
        <w:rPr>
          <w:sz w:val="22"/>
          <w:szCs w:val="22"/>
        </w:rPr>
        <w:t xml:space="preserve"> </w:t>
      </w:r>
      <w:r>
        <w:rPr>
          <w:sz w:val="22"/>
          <w:szCs w:val="22"/>
        </w:rPr>
        <w:t xml:space="preserve">previsto</w:t>
      </w:r>
      <w:r>
        <w:rPr>
          <w:sz w:val="22"/>
          <w:szCs w:val="22"/>
        </w:rPr>
        <w:t xml:space="preserve"> no </w:t>
      </w:r>
      <w:r>
        <w:rPr>
          <w:sz w:val="22"/>
          <w:szCs w:val="22"/>
        </w:rPr>
        <w:t xml:space="preserve">edital</w:t>
      </w:r>
      <w:r>
        <w:rPr>
          <w:sz w:val="22"/>
          <w:szCs w:val="22"/>
        </w:rPr>
        <w:t xml:space="preserve"> </w:t>
      </w:r>
      <w:r>
        <w:rPr>
          <w:sz w:val="22"/>
          <w:szCs w:val="22"/>
        </w:rPr>
        <w:t xml:space="preserve">ou</w:t>
      </w:r>
      <w:r>
        <w:rPr>
          <w:sz w:val="22"/>
          <w:szCs w:val="22"/>
        </w:rPr>
        <w:t xml:space="preserve"> </w:t>
      </w:r>
      <w:r>
        <w:rPr>
          <w:sz w:val="22"/>
          <w:szCs w:val="22"/>
        </w:rPr>
        <w:t xml:space="preserve">contrato</w:t>
      </w:r>
      <w:r>
        <w:rPr>
          <w:sz w:val="22"/>
          <w:szCs w:val="22"/>
        </w:rPr>
        <w:t xml:space="preserve">, com percentual </w:t>
      </w:r>
      <w:r>
        <w:rPr>
          <w:sz w:val="22"/>
          <w:szCs w:val="22"/>
        </w:rPr>
        <w:t xml:space="preserve">não</w:t>
      </w:r>
      <w:r>
        <w:rPr>
          <w:sz w:val="22"/>
          <w:szCs w:val="22"/>
        </w:rPr>
        <w:t xml:space="preserve"> inferior a 0,5% (</w:t>
      </w:r>
      <w:r>
        <w:rPr>
          <w:sz w:val="22"/>
          <w:szCs w:val="22"/>
        </w:rPr>
        <w:t xml:space="preserve">meio</w:t>
      </w:r>
      <w:r>
        <w:rPr>
          <w:sz w:val="22"/>
          <w:szCs w:val="22"/>
        </w:rPr>
        <w:t xml:space="preserve"> </w:t>
      </w:r>
      <w:r>
        <w:rPr>
          <w:sz w:val="22"/>
          <w:szCs w:val="22"/>
        </w:rPr>
        <w:t xml:space="preserve">por</w:t>
      </w:r>
      <w:r>
        <w:rPr>
          <w:sz w:val="22"/>
          <w:szCs w:val="22"/>
        </w:rPr>
        <w:t xml:space="preserve"> cento) </w:t>
      </w:r>
      <w:r>
        <w:rPr>
          <w:sz w:val="22"/>
          <w:szCs w:val="22"/>
        </w:rPr>
        <w:t xml:space="preserve">nem</w:t>
      </w:r>
      <w:r>
        <w:rPr>
          <w:sz w:val="22"/>
          <w:szCs w:val="22"/>
        </w:rPr>
        <w:t xml:space="preserve"> superior a 30% (</w:t>
      </w:r>
      <w:r>
        <w:rPr>
          <w:sz w:val="22"/>
          <w:szCs w:val="22"/>
        </w:rPr>
        <w:t xml:space="preserve">trinta</w:t>
      </w:r>
      <w:r>
        <w:rPr>
          <w:sz w:val="22"/>
          <w:szCs w:val="22"/>
        </w:rPr>
        <w:t xml:space="preserve"> </w:t>
      </w:r>
      <w:r>
        <w:rPr>
          <w:sz w:val="22"/>
          <w:szCs w:val="22"/>
        </w:rPr>
        <w:t xml:space="preserve">por</w:t>
      </w:r>
      <w:r>
        <w:rPr>
          <w:sz w:val="22"/>
          <w:szCs w:val="22"/>
        </w:rPr>
        <w:t xml:space="preserve"> cento) </w:t>
      </w:r>
      <w:r>
        <w:rPr>
          <w:sz w:val="22"/>
          <w:szCs w:val="22"/>
        </w:rPr>
        <w:t xml:space="preserve">sobre</w:t>
      </w:r>
      <w:r>
        <w:rPr>
          <w:sz w:val="22"/>
          <w:szCs w:val="22"/>
        </w:rPr>
        <w:t xml:space="preserve"> o valor do </w:t>
      </w:r>
      <w:r>
        <w:rPr>
          <w:sz w:val="22"/>
          <w:szCs w:val="22"/>
        </w:rPr>
        <w:t xml:space="preserve">contrato</w:t>
      </w:r>
      <w:r>
        <w:rPr>
          <w:sz w:val="22"/>
          <w:szCs w:val="22"/>
        </w:rPr>
        <w:t xml:space="preserve">, </w:t>
      </w:r>
      <w:r>
        <w:rPr>
          <w:sz w:val="22"/>
          <w:szCs w:val="22"/>
        </w:rPr>
        <w:t xml:space="preserve">podendo</w:t>
      </w:r>
      <w:r>
        <w:rPr>
          <w:sz w:val="22"/>
          <w:szCs w:val="22"/>
        </w:rPr>
        <w:t xml:space="preserve"> ser </w:t>
      </w:r>
      <w:r>
        <w:rPr>
          <w:sz w:val="22"/>
          <w:szCs w:val="22"/>
        </w:rPr>
        <w:t xml:space="preserve">aplicada</w:t>
      </w:r>
      <w:r>
        <w:rPr>
          <w:sz w:val="22"/>
          <w:szCs w:val="22"/>
        </w:rPr>
        <w:t xml:space="preserve"> de forma </w:t>
      </w:r>
      <w:r>
        <w:rPr>
          <w:sz w:val="22"/>
          <w:szCs w:val="22"/>
        </w:rPr>
        <w:t xml:space="preserve">isolada</w:t>
      </w:r>
      <w:r>
        <w:rPr>
          <w:sz w:val="22"/>
          <w:szCs w:val="22"/>
        </w:rPr>
        <w:t xml:space="preserve"> </w:t>
      </w:r>
      <w:r>
        <w:rPr>
          <w:sz w:val="22"/>
          <w:szCs w:val="22"/>
        </w:rPr>
        <w:t xml:space="preserve">ou</w:t>
      </w:r>
      <w:r>
        <w:rPr>
          <w:sz w:val="22"/>
          <w:szCs w:val="22"/>
        </w:rPr>
        <w:t xml:space="preserve"> </w:t>
      </w:r>
      <w:r>
        <w:rPr>
          <w:sz w:val="22"/>
          <w:szCs w:val="22"/>
        </w:rPr>
        <w:t xml:space="preserve">cumulativamente</w:t>
      </w:r>
      <w:r>
        <w:rPr>
          <w:sz w:val="22"/>
          <w:szCs w:val="22"/>
        </w:rPr>
        <w:t xml:space="preserve"> com as </w:t>
      </w:r>
      <w:r>
        <w:rPr>
          <w:sz w:val="22"/>
          <w:szCs w:val="22"/>
        </w:rPr>
        <w:t xml:space="preserve">demais</w:t>
      </w:r>
      <w:r>
        <w:rPr>
          <w:sz w:val="22"/>
          <w:szCs w:val="22"/>
        </w:rPr>
        <w:t xml:space="preserve"> </w:t>
      </w:r>
      <w:r>
        <w:rPr>
          <w:sz w:val="22"/>
          <w:szCs w:val="22"/>
        </w:rPr>
        <w:t xml:space="preserve">sanções</w:t>
      </w:r>
      <w:r>
        <w:rPr>
          <w:sz w:val="22"/>
          <w:szCs w:val="22"/>
        </w:rPr>
        <w:t xml:space="preserve">, </w:t>
      </w:r>
      <w:r>
        <w:rPr>
          <w:sz w:val="22"/>
          <w:szCs w:val="22"/>
        </w:rPr>
        <w:t xml:space="preserve">especialmente</w:t>
      </w:r>
      <w:r>
        <w:rPr>
          <w:sz w:val="22"/>
          <w:szCs w:val="22"/>
        </w:rPr>
        <w:t xml:space="preserve"> </w:t>
      </w:r>
      <w:r>
        <w:rPr>
          <w:sz w:val="22"/>
          <w:szCs w:val="22"/>
        </w:rPr>
        <w:t xml:space="preserve">nos</w:t>
      </w:r>
      <w:r>
        <w:rPr>
          <w:sz w:val="22"/>
          <w:szCs w:val="22"/>
        </w:rPr>
        <w:t xml:space="preserve"> </w:t>
      </w:r>
      <w:r>
        <w:rPr>
          <w:sz w:val="22"/>
          <w:szCs w:val="22"/>
        </w:rPr>
        <w:t xml:space="preserve">casos</w:t>
      </w:r>
      <w:r>
        <w:rPr>
          <w:sz w:val="22"/>
          <w:szCs w:val="22"/>
        </w:rPr>
        <w:t xml:space="preserve"> de </w:t>
      </w:r>
      <w:r>
        <w:rPr>
          <w:sz w:val="22"/>
          <w:szCs w:val="22"/>
        </w:rPr>
        <w:t xml:space="preserve">atraso</w:t>
      </w:r>
      <w:r>
        <w:rPr>
          <w:sz w:val="22"/>
          <w:szCs w:val="22"/>
        </w:rPr>
        <w:t xml:space="preserve"> </w:t>
      </w:r>
      <w:r>
        <w:rPr>
          <w:sz w:val="22"/>
          <w:szCs w:val="22"/>
        </w:rPr>
        <w:t xml:space="preserve">injustificado</w:t>
      </w:r>
      <w:r>
        <w:rPr>
          <w:sz w:val="22"/>
          <w:szCs w:val="22"/>
        </w:rPr>
        <w:t xml:space="preserve">, </w:t>
      </w:r>
      <w:r>
        <w:rPr>
          <w:sz w:val="22"/>
          <w:szCs w:val="22"/>
        </w:rPr>
        <w:t xml:space="preserve">execução</w:t>
      </w:r>
      <w:r>
        <w:rPr>
          <w:sz w:val="22"/>
          <w:szCs w:val="22"/>
        </w:rPr>
        <w:t xml:space="preserve"> irregular </w:t>
      </w:r>
      <w:r>
        <w:rPr>
          <w:sz w:val="22"/>
          <w:szCs w:val="22"/>
        </w:rPr>
        <w:t xml:space="preserve">ou</w:t>
      </w:r>
      <w:r>
        <w:rPr>
          <w:sz w:val="22"/>
          <w:szCs w:val="22"/>
        </w:rPr>
        <w:t xml:space="preserve"> </w:t>
      </w:r>
      <w:r>
        <w:rPr>
          <w:sz w:val="22"/>
          <w:szCs w:val="22"/>
        </w:rPr>
        <w:t xml:space="preserve">descumprimento</w:t>
      </w:r>
      <w:r>
        <w:rPr>
          <w:sz w:val="22"/>
          <w:szCs w:val="22"/>
        </w:rPr>
        <w:t xml:space="preserve"> de </w:t>
      </w:r>
      <w:r>
        <w:rPr>
          <w:sz w:val="22"/>
          <w:szCs w:val="22"/>
        </w:rPr>
        <w:t xml:space="preserve">cláusulas</w:t>
      </w:r>
      <w:r>
        <w:rPr>
          <w:sz w:val="22"/>
          <w:szCs w:val="22"/>
        </w:rPr>
        <w:t xml:space="preserve"> </w:t>
      </w:r>
      <w:r>
        <w:rPr>
          <w:sz w:val="22"/>
          <w:szCs w:val="22"/>
        </w:rPr>
        <w:t xml:space="preserve">contratuais</w:t>
      </w:r>
      <w:r>
        <w:rPr>
          <w:sz w:val="22"/>
          <w:szCs w:val="22"/>
        </w:rPr>
        <w:t xml:space="preserve">;</w:t>
      </w:r>
      <w:r/>
    </w:p>
    <w:p w14:paraId="225A182D">
      <w:pPr>
        <w:pStyle w:val="2311"/>
        <w:pBdr/>
        <w:spacing w:after="0" w:before="0"/>
        <w:ind/>
        <w:jc w:val="both"/>
        <w:rPr/>
      </w:pPr>
      <w:r>
        <w:rPr>
          <w:rStyle w:val="911"/>
          <w:sz w:val="22"/>
          <w:szCs w:val="22"/>
        </w:rPr>
        <w:t xml:space="preserve">III – </w:t>
      </w:r>
      <w:r>
        <w:rPr>
          <w:rStyle w:val="911"/>
          <w:sz w:val="22"/>
          <w:szCs w:val="22"/>
        </w:rPr>
        <w:t xml:space="preserve">Impedimento</w:t>
      </w:r>
      <w:r>
        <w:rPr>
          <w:rStyle w:val="911"/>
          <w:sz w:val="22"/>
          <w:szCs w:val="22"/>
        </w:rPr>
        <w:t xml:space="preserve"> de </w:t>
      </w:r>
      <w:r>
        <w:rPr>
          <w:rStyle w:val="911"/>
          <w:sz w:val="22"/>
          <w:szCs w:val="22"/>
        </w:rPr>
        <w:t xml:space="preserve">licitar</w:t>
      </w:r>
      <w:r>
        <w:rPr>
          <w:rStyle w:val="911"/>
          <w:sz w:val="22"/>
          <w:szCs w:val="22"/>
        </w:rPr>
        <w:t xml:space="preserve"> e </w:t>
      </w:r>
      <w:r>
        <w:rPr>
          <w:rStyle w:val="911"/>
          <w:sz w:val="22"/>
          <w:szCs w:val="22"/>
        </w:rPr>
        <w:t xml:space="preserve">contratar</w:t>
      </w:r>
      <w:r>
        <w:rPr>
          <w:rStyle w:val="911"/>
          <w:sz w:val="22"/>
          <w:szCs w:val="22"/>
        </w:rPr>
        <w:t xml:space="preserve"> com a </w:t>
      </w:r>
      <w:r>
        <w:rPr>
          <w:rStyle w:val="911"/>
          <w:sz w:val="22"/>
          <w:szCs w:val="22"/>
        </w:rPr>
        <w:t xml:space="preserve">Administração</w:t>
      </w:r>
      <w:r>
        <w:rPr>
          <w:rStyle w:val="911"/>
          <w:sz w:val="22"/>
          <w:szCs w:val="22"/>
        </w:rPr>
        <w:t xml:space="preserve"> </w:t>
      </w:r>
      <w:r>
        <w:rPr>
          <w:rStyle w:val="911"/>
          <w:sz w:val="22"/>
          <w:szCs w:val="22"/>
        </w:rPr>
        <w:t xml:space="preserve">Pública</w:t>
      </w:r>
      <w:r>
        <w:rPr>
          <w:sz w:val="22"/>
          <w:szCs w:val="22"/>
        </w:rPr>
        <w:t xml:space="preserve">, no </w:t>
      </w:r>
      <w:r>
        <w:rPr>
          <w:sz w:val="22"/>
          <w:szCs w:val="22"/>
        </w:rPr>
        <w:t xml:space="preserve">âmbito</w:t>
      </w:r>
      <w:r>
        <w:rPr>
          <w:sz w:val="22"/>
          <w:szCs w:val="22"/>
        </w:rPr>
        <w:t xml:space="preserve"> do </w:t>
      </w:r>
      <w:r>
        <w:rPr>
          <w:sz w:val="22"/>
          <w:szCs w:val="22"/>
        </w:rPr>
        <w:t xml:space="preserve">ente</w:t>
      </w:r>
      <w:r>
        <w:rPr>
          <w:sz w:val="22"/>
          <w:szCs w:val="22"/>
        </w:rPr>
        <w:t xml:space="preserve"> </w:t>
      </w:r>
      <w:r>
        <w:rPr>
          <w:sz w:val="22"/>
          <w:szCs w:val="22"/>
        </w:rPr>
        <w:t xml:space="preserve">federativo</w:t>
      </w:r>
      <w:r>
        <w:rPr>
          <w:sz w:val="22"/>
          <w:szCs w:val="22"/>
        </w:rPr>
        <w:t xml:space="preserve"> que </w:t>
      </w:r>
      <w:r>
        <w:rPr>
          <w:sz w:val="22"/>
          <w:szCs w:val="22"/>
        </w:rPr>
        <w:t xml:space="preserve">aplicar</w:t>
      </w:r>
      <w:r>
        <w:rPr>
          <w:sz w:val="22"/>
          <w:szCs w:val="22"/>
        </w:rPr>
        <w:t xml:space="preserve"> a </w:t>
      </w:r>
      <w:r>
        <w:rPr>
          <w:sz w:val="22"/>
          <w:szCs w:val="22"/>
        </w:rPr>
        <w:t xml:space="preserve">sanção</w:t>
      </w:r>
      <w:r>
        <w:rPr>
          <w:sz w:val="22"/>
          <w:szCs w:val="22"/>
        </w:rPr>
        <w:t xml:space="preserve">, </w:t>
      </w:r>
      <w:r>
        <w:rPr>
          <w:sz w:val="22"/>
          <w:szCs w:val="22"/>
        </w:rPr>
        <w:t xml:space="preserve">pelo</w:t>
      </w:r>
      <w:r>
        <w:rPr>
          <w:sz w:val="22"/>
          <w:szCs w:val="22"/>
        </w:rPr>
        <w:t xml:space="preserve"> </w:t>
      </w:r>
      <w:r>
        <w:rPr>
          <w:sz w:val="22"/>
          <w:szCs w:val="22"/>
        </w:rPr>
        <w:t xml:space="preserve">prazo</w:t>
      </w:r>
      <w:r>
        <w:rPr>
          <w:sz w:val="22"/>
          <w:szCs w:val="22"/>
        </w:rPr>
        <w:t xml:space="preserve"> </w:t>
      </w:r>
      <w:r>
        <w:rPr>
          <w:sz w:val="22"/>
          <w:szCs w:val="22"/>
        </w:rPr>
        <w:t xml:space="preserve">máximo</w:t>
      </w:r>
      <w:r>
        <w:rPr>
          <w:sz w:val="22"/>
          <w:szCs w:val="22"/>
        </w:rPr>
        <w:t xml:space="preserve"> de 3 (</w:t>
      </w:r>
      <w:r>
        <w:rPr>
          <w:sz w:val="22"/>
          <w:szCs w:val="22"/>
        </w:rPr>
        <w:t xml:space="preserve">três</w:t>
      </w:r>
      <w:r>
        <w:rPr>
          <w:sz w:val="22"/>
          <w:szCs w:val="22"/>
        </w:rPr>
        <w:t xml:space="preserve">) </w:t>
      </w:r>
      <w:r>
        <w:rPr>
          <w:sz w:val="22"/>
          <w:szCs w:val="22"/>
        </w:rPr>
        <w:t xml:space="preserve">anos</w:t>
      </w:r>
      <w:r>
        <w:rPr>
          <w:sz w:val="22"/>
          <w:szCs w:val="22"/>
        </w:rPr>
        <w:t xml:space="preserve">, </w:t>
      </w:r>
      <w:r>
        <w:rPr>
          <w:sz w:val="22"/>
          <w:szCs w:val="22"/>
        </w:rPr>
        <w:t xml:space="preserve">nos</w:t>
      </w:r>
      <w:r>
        <w:rPr>
          <w:sz w:val="22"/>
          <w:szCs w:val="22"/>
        </w:rPr>
        <w:t xml:space="preserve"> </w:t>
      </w:r>
      <w:r>
        <w:rPr>
          <w:sz w:val="22"/>
          <w:szCs w:val="22"/>
        </w:rPr>
        <w:t xml:space="preserve">casos</w:t>
      </w:r>
      <w:r>
        <w:rPr>
          <w:sz w:val="22"/>
          <w:szCs w:val="22"/>
        </w:rPr>
        <w:t xml:space="preserve"> </w:t>
      </w:r>
      <w:r>
        <w:rPr>
          <w:sz w:val="22"/>
          <w:szCs w:val="22"/>
        </w:rPr>
        <w:t xml:space="preserve">previstos</w:t>
      </w:r>
      <w:r>
        <w:rPr>
          <w:sz w:val="22"/>
          <w:szCs w:val="22"/>
        </w:rPr>
        <w:t xml:space="preserve"> </w:t>
      </w:r>
      <w:r>
        <w:rPr>
          <w:sz w:val="22"/>
          <w:szCs w:val="22"/>
        </w:rPr>
        <w:t xml:space="preserve">nos</w:t>
      </w:r>
      <w:r>
        <w:rPr>
          <w:sz w:val="22"/>
          <w:szCs w:val="22"/>
        </w:rPr>
        <w:t xml:space="preserve"> </w:t>
      </w:r>
      <w:r>
        <w:rPr>
          <w:sz w:val="22"/>
          <w:szCs w:val="22"/>
        </w:rPr>
        <w:t xml:space="preserve">incisos</w:t>
      </w:r>
      <w:r>
        <w:rPr>
          <w:sz w:val="22"/>
          <w:szCs w:val="22"/>
        </w:rPr>
        <w:t xml:space="preserve"> II a VII do caput do art. 155 da Lei nº 14.133/2021, </w:t>
      </w:r>
      <w:r>
        <w:rPr>
          <w:sz w:val="22"/>
          <w:szCs w:val="22"/>
        </w:rPr>
        <w:t xml:space="preserve">quando</w:t>
      </w:r>
      <w:r>
        <w:rPr>
          <w:sz w:val="22"/>
          <w:szCs w:val="22"/>
        </w:rPr>
        <w:t xml:space="preserve"> </w:t>
      </w:r>
      <w:r>
        <w:rPr>
          <w:sz w:val="22"/>
          <w:szCs w:val="22"/>
        </w:rPr>
        <w:t xml:space="preserve">não</w:t>
      </w:r>
      <w:r>
        <w:rPr>
          <w:sz w:val="22"/>
          <w:szCs w:val="22"/>
        </w:rPr>
        <w:t xml:space="preserve"> se </w:t>
      </w:r>
      <w:r>
        <w:rPr>
          <w:sz w:val="22"/>
          <w:szCs w:val="22"/>
        </w:rPr>
        <w:t xml:space="preserve">justificar</w:t>
      </w:r>
      <w:r>
        <w:rPr>
          <w:sz w:val="22"/>
          <w:szCs w:val="22"/>
        </w:rPr>
        <w:t xml:space="preserve"> </w:t>
      </w:r>
      <w:r>
        <w:rPr>
          <w:sz w:val="22"/>
          <w:szCs w:val="22"/>
        </w:rPr>
        <w:t xml:space="preserve">penalidade</w:t>
      </w:r>
      <w:r>
        <w:rPr>
          <w:sz w:val="22"/>
          <w:szCs w:val="22"/>
        </w:rPr>
        <w:t xml:space="preserve"> </w:t>
      </w:r>
      <w:r>
        <w:rPr>
          <w:sz w:val="22"/>
          <w:szCs w:val="22"/>
        </w:rPr>
        <w:t xml:space="preserve">mais</w:t>
      </w:r>
      <w:r>
        <w:rPr>
          <w:sz w:val="22"/>
          <w:szCs w:val="22"/>
        </w:rPr>
        <w:t xml:space="preserve"> </w:t>
      </w:r>
      <w:r>
        <w:rPr>
          <w:sz w:val="22"/>
          <w:szCs w:val="22"/>
        </w:rPr>
        <w:t xml:space="preserve">gravosa</w:t>
      </w:r>
      <w:r>
        <w:rPr>
          <w:sz w:val="22"/>
          <w:szCs w:val="22"/>
        </w:rPr>
        <w:t xml:space="preserve">;</w:t>
      </w:r>
      <w:r/>
    </w:p>
    <w:p w14:paraId="46CB8936">
      <w:pPr>
        <w:pStyle w:val="2311"/>
        <w:pBdr/>
        <w:spacing w:after="0" w:before="0"/>
        <w:ind/>
        <w:jc w:val="both"/>
        <w:rPr/>
      </w:pPr>
      <w:r>
        <w:rPr>
          <w:rStyle w:val="911"/>
          <w:sz w:val="22"/>
          <w:szCs w:val="22"/>
        </w:rPr>
        <w:t xml:space="preserve">IV – </w:t>
      </w:r>
      <w:r>
        <w:rPr>
          <w:rStyle w:val="911"/>
          <w:sz w:val="22"/>
          <w:szCs w:val="22"/>
        </w:rPr>
        <w:t xml:space="preserve">Declaração</w:t>
      </w:r>
      <w:r>
        <w:rPr>
          <w:rStyle w:val="911"/>
          <w:sz w:val="22"/>
          <w:szCs w:val="22"/>
        </w:rPr>
        <w:t xml:space="preserve"> de </w:t>
      </w:r>
      <w:r>
        <w:rPr>
          <w:rStyle w:val="911"/>
          <w:sz w:val="22"/>
          <w:szCs w:val="22"/>
        </w:rPr>
        <w:t xml:space="preserve">inidoneidade</w:t>
      </w:r>
      <w:r>
        <w:rPr>
          <w:rStyle w:val="911"/>
          <w:sz w:val="22"/>
          <w:szCs w:val="22"/>
        </w:rPr>
        <w:t xml:space="preserve"> para </w:t>
      </w:r>
      <w:r>
        <w:rPr>
          <w:rStyle w:val="911"/>
          <w:sz w:val="22"/>
          <w:szCs w:val="22"/>
        </w:rPr>
        <w:t xml:space="preserve">licitar</w:t>
      </w:r>
      <w:r>
        <w:rPr>
          <w:rStyle w:val="911"/>
          <w:sz w:val="22"/>
          <w:szCs w:val="22"/>
        </w:rPr>
        <w:t xml:space="preserve"> </w:t>
      </w:r>
      <w:r>
        <w:rPr>
          <w:rStyle w:val="911"/>
          <w:sz w:val="22"/>
          <w:szCs w:val="22"/>
        </w:rPr>
        <w:t xml:space="preserve">ou</w:t>
      </w:r>
      <w:r>
        <w:rPr>
          <w:rStyle w:val="911"/>
          <w:sz w:val="22"/>
          <w:szCs w:val="22"/>
        </w:rPr>
        <w:t xml:space="preserve"> </w:t>
      </w:r>
      <w:r>
        <w:rPr>
          <w:rStyle w:val="911"/>
          <w:sz w:val="22"/>
          <w:szCs w:val="22"/>
        </w:rPr>
        <w:t xml:space="preserve">contratar</w:t>
      </w:r>
      <w:r>
        <w:rPr>
          <w:rStyle w:val="911"/>
          <w:sz w:val="22"/>
          <w:szCs w:val="22"/>
        </w:rPr>
        <w:t xml:space="preserve"> com a </w:t>
      </w:r>
      <w:r>
        <w:rPr>
          <w:rStyle w:val="911"/>
          <w:sz w:val="22"/>
          <w:szCs w:val="22"/>
        </w:rPr>
        <w:t xml:space="preserve">Administração</w:t>
      </w:r>
      <w:r>
        <w:rPr>
          <w:rStyle w:val="911"/>
          <w:sz w:val="22"/>
          <w:szCs w:val="22"/>
        </w:rPr>
        <w:t xml:space="preserve"> </w:t>
      </w:r>
      <w:r>
        <w:rPr>
          <w:rStyle w:val="911"/>
          <w:sz w:val="22"/>
          <w:szCs w:val="22"/>
        </w:rPr>
        <w:t xml:space="preserve">Pública</w:t>
      </w:r>
      <w:r>
        <w:rPr>
          <w:sz w:val="22"/>
          <w:szCs w:val="22"/>
        </w:rPr>
        <w:t xml:space="preserve">, de </w:t>
      </w:r>
      <w:r>
        <w:rPr>
          <w:sz w:val="22"/>
          <w:szCs w:val="22"/>
        </w:rPr>
        <w:t xml:space="preserve">todos</w:t>
      </w:r>
      <w:r>
        <w:rPr>
          <w:sz w:val="22"/>
          <w:szCs w:val="22"/>
        </w:rPr>
        <w:t xml:space="preserve"> </w:t>
      </w:r>
      <w:r>
        <w:rPr>
          <w:sz w:val="22"/>
          <w:szCs w:val="22"/>
        </w:rPr>
        <w:t xml:space="preserve">os</w:t>
      </w:r>
      <w:r>
        <w:rPr>
          <w:sz w:val="22"/>
          <w:szCs w:val="22"/>
        </w:rPr>
        <w:t xml:space="preserve"> </w:t>
      </w:r>
      <w:r>
        <w:rPr>
          <w:sz w:val="22"/>
          <w:szCs w:val="22"/>
        </w:rPr>
        <w:t xml:space="preserve">entes</w:t>
      </w:r>
      <w:r>
        <w:rPr>
          <w:sz w:val="22"/>
          <w:szCs w:val="22"/>
        </w:rPr>
        <w:t xml:space="preserve"> </w:t>
      </w:r>
      <w:r>
        <w:rPr>
          <w:sz w:val="22"/>
          <w:szCs w:val="22"/>
        </w:rPr>
        <w:t xml:space="preserve">federativos</w:t>
      </w:r>
      <w:r>
        <w:rPr>
          <w:sz w:val="22"/>
          <w:szCs w:val="22"/>
        </w:rPr>
        <w:t xml:space="preserve">, </w:t>
      </w:r>
      <w:r>
        <w:rPr>
          <w:sz w:val="22"/>
          <w:szCs w:val="22"/>
        </w:rPr>
        <w:t xml:space="preserve">pelo</w:t>
      </w:r>
      <w:r>
        <w:rPr>
          <w:sz w:val="22"/>
          <w:szCs w:val="22"/>
        </w:rPr>
        <w:t xml:space="preserve"> </w:t>
      </w:r>
      <w:r>
        <w:rPr>
          <w:sz w:val="22"/>
          <w:szCs w:val="22"/>
        </w:rPr>
        <w:t xml:space="preserve">prazo</w:t>
      </w:r>
      <w:r>
        <w:rPr>
          <w:sz w:val="22"/>
          <w:szCs w:val="22"/>
        </w:rPr>
        <w:t xml:space="preserve"> </w:t>
      </w:r>
      <w:r>
        <w:rPr>
          <w:sz w:val="22"/>
          <w:szCs w:val="22"/>
        </w:rPr>
        <w:t xml:space="preserve">mínimo</w:t>
      </w:r>
      <w:r>
        <w:rPr>
          <w:sz w:val="22"/>
          <w:szCs w:val="22"/>
        </w:rPr>
        <w:t xml:space="preserve"> de 3 (</w:t>
      </w:r>
      <w:r>
        <w:rPr>
          <w:sz w:val="22"/>
          <w:szCs w:val="22"/>
        </w:rPr>
        <w:t xml:space="preserve">três</w:t>
      </w:r>
      <w:r>
        <w:rPr>
          <w:sz w:val="22"/>
          <w:szCs w:val="22"/>
        </w:rPr>
        <w:t xml:space="preserve">) </w:t>
      </w:r>
      <w:r>
        <w:rPr>
          <w:sz w:val="22"/>
          <w:szCs w:val="22"/>
        </w:rPr>
        <w:t xml:space="preserve">anos</w:t>
      </w:r>
      <w:r>
        <w:rPr>
          <w:sz w:val="22"/>
          <w:szCs w:val="22"/>
        </w:rPr>
        <w:t xml:space="preserve"> e </w:t>
      </w:r>
      <w:r>
        <w:rPr>
          <w:sz w:val="22"/>
          <w:szCs w:val="22"/>
        </w:rPr>
        <w:t xml:space="preserve">máximo</w:t>
      </w:r>
      <w:r>
        <w:rPr>
          <w:sz w:val="22"/>
          <w:szCs w:val="22"/>
        </w:rPr>
        <w:t xml:space="preserve"> de 6 (seis) </w:t>
      </w:r>
      <w:r>
        <w:rPr>
          <w:sz w:val="22"/>
          <w:szCs w:val="22"/>
        </w:rPr>
        <w:t xml:space="preserve">anos</w:t>
      </w:r>
      <w:r>
        <w:rPr>
          <w:sz w:val="22"/>
          <w:szCs w:val="22"/>
        </w:rPr>
        <w:t xml:space="preserve">, </w:t>
      </w:r>
      <w:r>
        <w:rPr>
          <w:sz w:val="22"/>
          <w:szCs w:val="22"/>
        </w:rPr>
        <w:t xml:space="preserve">aplicável</w:t>
      </w:r>
      <w:r>
        <w:rPr>
          <w:sz w:val="22"/>
          <w:szCs w:val="22"/>
        </w:rPr>
        <w:t xml:space="preserve"> </w:t>
      </w:r>
      <w:r>
        <w:rPr>
          <w:sz w:val="22"/>
          <w:szCs w:val="22"/>
        </w:rPr>
        <w:t xml:space="preserve">nas</w:t>
      </w:r>
      <w:r>
        <w:rPr>
          <w:sz w:val="22"/>
          <w:szCs w:val="22"/>
        </w:rPr>
        <w:t xml:space="preserve"> </w:t>
      </w:r>
      <w:r>
        <w:rPr>
          <w:sz w:val="22"/>
          <w:szCs w:val="22"/>
        </w:rPr>
        <w:t xml:space="preserve">hipóteses</w:t>
      </w:r>
      <w:r>
        <w:rPr>
          <w:sz w:val="22"/>
          <w:szCs w:val="22"/>
        </w:rPr>
        <w:t xml:space="preserve"> de </w:t>
      </w:r>
      <w:r>
        <w:rPr>
          <w:sz w:val="22"/>
          <w:szCs w:val="22"/>
        </w:rPr>
        <w:t xml:space="preserve">infrações</w:t>
      </w:r>
      <w:r>
        <w:rPr>
          <w:sz w:val="22"/>
          <w:szCs w:val="22"/>
        </w:rPr>
        <w:t xml:space="preserve"> graves </w:t>
      </w:r>
      <w:r>
        <w:rPr>
          <w:sz w:val="22"/>
          <w:szCs w:val="22"/>
        </w:rPr>
        <w:t xml:space="preserve">previstas</w:t>
      </w:r>
      <w:r>
        <w:rPr>
          <w:sz w:val="22"/>
          <w:szCs w:val="22"/>
        </w:rPr>
        <w:t xml:space="preserve"> </w:t>
      </w:r>
      <w:r>
        <w:rPr>
          <w:sz w:val="22"/>
          <w:szCs w:val="22"/>
        </w:rPr>
        <w:t xml:space="preserve">nos</w:t>
      </w:r>
      <w:r>
        <w:rPr>
          <w:sz w:val="22"/>
          <w:szCs w:val="22"/>
        </w:rPr>
        <w:t xml:space="preserve"> </w:t>
      </w:r>
      <w:r>
        <w:rPr>
          <w:sz w:val="22"/>
          <w:szCs w:val="22"/>
        </w:rPr>
        <w:t xml:space="preserve">incisos</w:t>
      </w:r>
      <w:r>
        <w:rPr>
          <w:sz w:val="22"/>
          <w:szCs w:val="22"/>
        </w:rPr>
        <w:t xml:space="preserve"> VIII a XII do caput do art. 155 da </w:t>
      </w:r>
      <w:r>
        <w:rPr>
          <w:sz w:val="22"/>
          <w:szCs w:val="22"/>
        </w:rPr>
        <w:t xml:space="preserve">referida</w:t>
      </w:r>
      <w:r>
        <w:rPr>
          <w:sz w:val="22"/>
          <w:szCs w:val="22"/>
        </w:rPr>
        <w:t xml:space="preserve"> lei, </w:t>
      </w:r>
      <w:r>
        <w:rPr>
          <w:sz w:val="22"/>
          <w:szCs w:val="22"/>
        </w:rPr>
        <w:t xml:space="preserve">bem</w:t>
      </w:r>
      <w:r>
        <w:rPr>
          <w:sz w:val="22"/>
          <w:szCs w:val="22"/>
        </w:rPr>
        <w:t xml:space="preserve"> </w:t>
      </w:r>
      <w:r>
        <w:rPr>
          <w:sz w:val="22"/>
          <w:szCs w:val="22"/>
        </w:rPr>
        <w:t xml:space="preserve">como</w:t>
      </w:r>
      <w:r>
        <w:rPr>
          <w:sz w:val="22"/>
          <w:szCs w:val="22"/>
        </w:rPr>
        <w:t xml:space="preserve"> </w:t>
      </w:r>
      <w:r>
        <w:rPr>
          <w:sz w:val="22"/>
          <w:szCs w:val="22"/>
        </w:rPr>
        <w:t xml:space="preserve">quando</w:t>
      </w:r>
      <w:r>
        <w:rPr>
          <w:sz w:val="22"/>
          <w:szCs w:val="22"/>
        </w:rPr>
        <w:t xml:space="preserve"> as </w:t>
      </w:r>
      <w:r>
        <w:rPr>
          <w:sz w:val="22"/>
          <w:szCs w:val="22"/>
        </w:rPr>
        <w:t xml:space="preserve">infrações</w:t>
      </w:r>
      <w:r>
        <w:rPr>
          <w:sz w:val="22"/>
          <w:szCs w:val="22"/>
        </w:rPr>
        <w:t xml:space="preserve"> dos </w:t>
      </w:r>
      <w:r>
        <w:rPr>
          <w:sz w:val="22"/>
          <w:szCs w:val="22"/>
        </w:rPr>
        <w:t xml:space="preserve">incisos</w:t>
      </w:r>
      <w:r>
        <w:rPr>
          <w:sz w:val="22"/>
          <w:szCs w:val="22"/>
        </w:rPr>
        <w:t xml:space="preserve"> II a VII </w:t>
      </w:r>
      <w:r>
        <w:rPr>
          <w:sz w:val="22"/>
          <w:szCs w:val="22"/>
        </w:rPr>
        <w:t xml:space="preserve">justificarem</w:t>
      </w:r>
      <w:r>
        <w:rPr>
          <w:sz w:val="22"/>
          <w:szCs w:val="22"/>
        </w:rPr>
        <w:t xml:space="preserve"> </w:t>
      </w:r>
      <w:r>
        <w:rPr>
          <w:sz w:val="22"/>
          <w:szCs w:val="22"/>
        </w:rPr>
        <w:t xml:space="preserve">penalidade</w:t>
      </w:r>
      <w:r>
        <w:rPr>
          <w:sz w:val="22"/>
          <w:szCs w:val="22"/>
        </w:rPr>
        <w:t xml:space="preserve"> </w:t>
      </w:r>
      <w:r>
        <w:rPr>
          <w:sz w:val="22"/>
          <w:szCs w:val="22"/>
        </w:rPr>
        <w:t xml:space="preserve">mais</w:t>
      </w:r>
      <w:r>
        <w:rPr>
          <w:sz w:val="22"/>
          <w:szCs w:val="22"/>
        </w:rPr>
        <w:t xml:space="preserve"> </w:t>
      </w:r>
      <w:r>
        <w:rPr>
          <w:sz w:val="22"/>
          <w:szCs w:val="22"/>
        </w:rPr>
        <w:t xml:space="preserve">severa</w:t>
      </w:r>
      <w:r>
        <w:rPr>
          <w:sz w:val="22"/>
          <w:szCs w:val="22"/>
        </w:rPr>
        <w:t xml:space="preserve">.</w:t>
      </w:r>
      <w:r/>
    </w:p>
    <w:p w14:paraId="31C17EAA">
      <w:pPr>
        <w:pStyle w:val="2311"/>
        <w:pBdr/>
        <w:spacing w:after="0" w:before="0"/>
        <w:ind/>
        <w:jc w:val="both"/>
        <w:rPr/>
      </w:pPr>
      <w:r>
        <w:rPr>
          <w:b/>
          <w:bCs/>
          <w:sz w:val="22"/>
          <w:szCs w:val="22"/>
          <w:lang w:val="pt-BR"/>
        </w:rPr>
        <w:t xml:space="preserve">9.3. </w:t>
      </w:r>
      <w:r>
        <w:rPr>
          <w:sz w:val="22"/>
          <w:szCs w:val="22"/>
        </w:rPr>
        <w:t xml:space="preserve">Na </w:t>
      </w:r>
      <w:r>
        <w:rPr>
          <w:sz w:val="22"/>
          <w:szCs w:val="22"/>
        </w:rPr>
        <w:t xml:space="preserve">aplicação</w:t>
      </w:r>
      <w:r>
        <w:rPr>
          <w:sz w:val="22"/>
          <w:szCs w:val="22"/>
        </w:rPr>
        <w:t xml:space="preserve"> das </w:t>
      </w:r>
      <w:r>
        <w:rPr>
          <w:sz w:val="22"/>
          <w:szCs w:val="22"/>
        </w:rPr>
        <w:t xml:space="preserve">sanções</w:t>
      </w:r>
      <w:r>
        <w:rPr>
          <w:sz w:val="22"/>
          <w:szCs w:val="22"/>
        </w:rPr>
        <w:t xml:space="preserve">, </w:t>
      </w:r>
      <w:r>
        <w:rPr>
          <w:sz w:val="22"/>
          <w:szCs w:val="22"/>
        </w:rPr>
        <w:t xml:space="preserve">serão</w:t>
      </w:r>
      <w:r>
        <w:rPr>
          <w:sz w:val="22"/>
          <w:szCs w:val="22"/>
        </w:rPr>
        <w:t xml:space="preserve"> </w:t>
      </w:r>
      <w:r>
        <w:rPr>
          <w:sz w:val="22"/>
          <w:szCs w:val="22"/>
        </w:rPr>
        <w:t xml:space="preserve">observados</w:t>
      </w:r>
      <w:r>
        <w:rPr>
          <w:sz w:val="22"/>
          <w:szCs w:val="22"/>
        </w:rPr>
        <w:t xml:space="preserve"> </w:t>
      </w:r>
      <w:r>
        <w:rPr>
          <w:sz w:val="22"/>
          <w:szCs w:val="22"/>
        </w:rPr>
        <w:t xml:space="preserve">os</w:t>
      </w:r>
      <w:r>
        <w:rPr>
          <w:sz w:val="22"/>
          <w:szCs w:val="22"/>
        </w:rPr>
        <w:t xml:space="preserve"> </w:t>
      </w:r>
      <w:r>
        <w:rPr>
          <w:sz w:val="22"/>
          <w:szCs w:val="22"/>
        </w:rPr>
        <w:t xml:space="preserve">seguintes</w:t>
      </w:r>
      <w:r>
        <w:rPr>
          <w:sz w:val="22"/>
          <w:szCs w:val="22"/>
        </w:rPr>
        <w:t xml:space="preserve"> </w:t>
      </w:r>
      <w:r>
        <w:rPr>
          <w:sz w:val="22"/>
          <w:szCs w:val="22"/>
        </w:rPr>
        <w:t xml:space="preserve">critérios</w:t>
      </w:r>
      <w:r>
        <w:rPr>
          <w:sz w:val="22"/>
          <w:szCs w:val="22"/>
        </w:rPr>
        <w:t xml:space="preserve">, </w:t>
      </w:r>
      <w:r>
        <w:rPr>
          <w:sz w:val="22"/>
          <w:szCs w:val="22"/>
        </w:rPr>
        <w:t xml:space="preserve">conforme</w:t>
      </w:r>
      <w:r>
        <w:rPr>
          <w:sz w:val="22"/>
          <w:szCs w:val="22"/>
        </w:rPr>
        <w:t xml:space="preserve"> § 1º do art. 156 da Lei nº 14.133/2021:</w:t>
      </w:r>
      <w:r/>
    </w:p>
    <w:p w14:paraId="2ED4CFB3">
      <w:pPr>
        <w:pStyle w:val="2311"/>
        <w:pBdr/>
        <w:spacing w:after="0" w:before="0"/>
        <w:ind/>
        <w:jc w:val="both"/>
        <w:rPr/>
      </w:pPr>
      <w:r>
        <w:rPr>
          <w:b/>
          <w:bCs/>
          <w:sz w:val="22"/>
          <w:szCs w:val="22"/>
          <w:lang w:val="pt-BR"/>
        </w:rPr>
        <w:t xml:space="preserve">9.3.1.</w:t>
      </w:r>
      <w:r>
        <w:rPr>
          <w:sz w:val="22"/>
          <w:szCs w:val="22"/>
          <w:lang w:val="pt-BR"/>
        </w:rPr>
        <w:t xml:space="preserve"> </w:t>
      </w:r>
      <w:r>
        <w:rPr>
          <w:sz w:val="22"/>
          <w:szCs w:val="22"/>
        </w:rPr>
        <w:t xml:space="preserve">A </w:t>
      </w:r>
      <w:r>
        <w:rPr>
          <w:sz w:val="22"/>
          <w:szCs w:val="22"/>
        </w:rPr>
        <w:t xml:space="preserve">natureza</w:t>
      </w:r>
      <w:r>
        <w:rPr>
          <w:sz w:val="22"/>
          <w:szCs w:val="22"/>
        </w:rPr>
        <w:t xml:space="preserve"> e a </w:t>
      </w:r>
      <w:r>
        <w:rPr>
          <w:sz w:val="22"/>
          <w:szCs w:val="22"/>
        </w:rPr>
        <w:t xml:space="preserve">gravidade</w:t>
      </w:r>
      <w:r>
        <w:rPr>
          <w:sz w:val="22"/>
          <w:szCs w:val="22"/>
        </w:rPr>
        <w:t xml:space="preserve"> da </w:t>
      </w:r>
      <w:r>
        <w:rPr>
          <w:sz w:val="22"/>
          <w:szCs w:val="22"/>
        </w:rPr>
        <w:t xml:space="preserve">infração</w:t>
      </w:r>
      <w:r>
        <w:rPr>
          <w:sz w:val="22"/>
          <w:szCs w:val="22"/>
        </w:rPr>
        <w:t xml:space="preserve"> </w:t>
      </w:r>
      <w:r>
        <w:rPr>
          <w:sz w:val="22"/>
          <w:szCs w:val="22"/>
        </w:rPr>
        <w:t xml:space="preserve">cometida</w:t>
      </w:r>
      <w:r>
        <w:rPr>
          <w:sz w:val="22"/>
          <w:szCs w:val="22"/>
        </w:rPr>
        <w:t xml:space="preserve">;</w:t>
      </w:r>
      <w:r/>
    </w:p>
    <w:p w14:paraId="11EC1F1D">
      <w:pPr>
        <w:pStyle w:val="2311"/>
        <w:pBdr/>
        <w:spacing w:after="0" w:before="0"/>
        <w:ind/>
        <w:jc w:val="both"/>
        <w:rPr/>
      </w:pPr>
      <w:r>
        <w:rPr>
          <w:b/>
          <w:bCs/>
          <w:sz w:val="22"/>
          <w:szCs w:val="22"/>
          <w:lang w:val="pt-BR"/>
        </w:rPr>
        <w:t xml:space="preserve">9.3.2. </w:t>
      </w:r>
      <w:r>
        <w:rPr>
          <w:sz w:val="22"/>
          <w:szCs w:val="22"/>
        </w:rPr>
        <w:t xml:space="preserve">As </w:t>
      </w:r>
      <w:r>
        <w:rPr>
          <w:sz w:val="22"/>
          <w:szCs w:val="22"/>
        </w:rPr>
        <w:t xml:space="preserve">peculiaridades</w:t>
      </w:r>
      <w:r>
        <w:rPr>
          <w:sz w:val="22"/>
          <w:szCs w:val="22"/>
        </w:rPr>
        <w:t xml:space="preserve"> do </w:t>
      </w:r>
      <w:r>
        <w:rPr>
          <w:sz w:val="22"/>
          <w:szCs w:val="22"/>
        </w:rPr>
        <w:t xml:space="preserve">caso</w:t>
      </w:r>
      <w:r>
        <w:rPr>
          <w:sz w:val="22"/>
          <w:szCs w:val="22"/>
        </w:rPr>
        <w:t xml:space="preserve"> </w:t>
      </w:r>
      <w:r>
        <w:rPr>
          <w:sz w:val="22"/>
          <w:szCs w:val="22"/>
        </w:rPr>
        <w:t xml:space="preserve">concreto</w:t>
      </w:r>
      <w:r>
        <w:rPr>
          <w:sz w:val="22"/>
          <w:szCs w:val="22"/>
        </w:rPr>
        <w:t xml:space="preserve">;</w:t>
      </w:r>
      <w:r/>
    </w:p>
    <w:p w14:paraId="1A75AB4A">
      <w:pPr>
        <w:pStyle w:val="2311"/>
        <w:pBdr/>
        <w:spacing w:after="0" w:before="0"/>
        <w:ind/>
        <w:jc w:val="both"/>
        <w:rPr/>
      </w:pPr>
      <w:r>
        <w:rPr>
          <w:b/>
          <w:bCs/>
          <w:sz w:val="22"/>
          <w:szCs w:val="22"/>
          <w:lang w:val="pt-BR"/>
        </w:rPr>
        <w:t xml:space="preserve">9.3.3. </w:t>
      </w:r>
      <w:r>
        <w:rPr>
          <w:sz w:val="22"/>
          <w:szCs w:val="22"/>
        </w:rPr>
        <w:t xml:space="preserve">As </w:t>
      </w:r>
      <w:r>
        <w:rPr>
          <w:sz w:val="22"/>
          <w:szCs w:val="22"/>
        </w:rPr>
        <w:t xml:space="preserve">circunstâncias</w:t>
      </w:r>
      <w:r>
        <w:rPr>
          <w:sz w:val="22"/>
          <w:szCs w:val="22"/>
        </w:rPr>
        <w:t xml:space="preserve"> </w:t>
      </w:r>
      <w:r>
        <w:rPr>
          <w:sz w:val="22"/>
          <w:szCs w:val="22"/>
        </w:rPr>
        <w:t xml:space="preserve">atenuantes</w:t>
      </w:r>
      <w:r>
        <w:rPr>
          <w:sz w:val="22"/>
          <w:szCs w:val="22"/>
        </w:rPr>
        <w:t xml:space="preserve"> </w:t>
      </w:r>
      <w:r>
        <w:rPr>
          <w:sz w:val="22"/>
          <w:szCs w:val="22"/>
        </w:rPr>
        <w:t xml:space="preserve">ou</w:t>
      </w:r>
      <w:r>
        <w:rPr>
          <w:sz w:val="22"/>
          <w:szCs w:val="22"/>
        </w:rPr>
        <w:t xml:space="preserve"> </w:t>
      </w:r>
      <w:r>
        <w:rPr>
          <w:sz w:val="22"/>
          <w:szCs w:val="22"/>
        </w:rPr>
        <w:t xml:space="preserve">agravantes</w:t>
      </w:r>
      <w:r>
        <w:rPr>
          <w:sz w:val="22"/>
          <w:szCs w:val="22"/>
        </w:rPr>
        <w:t xml:space="preserve">;</w:t>
      </w:r>
      <w:r/>
    </w:p>
    <w:p w14:paraId="3C95666E">
      <w:pPr>
        <w:pStyle w:val="2311"/>
        <w:pBdr/>
        <w:spacing w:after="0" w:before="0"/>
        <w:ind/>
        <w:jc w:val="both"/>
        <w:rPr/>
      </w:pPr>
      <w:r>
        <w:rPr>
          <w:b/>
          <w:bCs/>
          <w:sz w:val="22"/>
          <w:szCs w:val="22"/>
          <w:lang w:val="pt-BR"/>
        </w:rPr>
        <w:t xml:space="preserve">9.3.4. </w:t>
      </w:r>
      <w:r>
        <w:rPr>
          <w:sz w:val="22"/>
          <w:szCs w:val="22"/>
        </w:rPr>
        <w:t xml:space="preserve">Os</w:t>
      </w:r>
      <w:r>
        <w:rPr>
          <w:sz w:val="22"/>
          <w:szCs w:val="22"/>
        </w:rPr>
        <w:t xml:space="preserve"> </w:t>
      </w:r>
      <w:r>
        <w:rPr>
          <w:sz w:val="22"/>
          <w:szCs w:val="22"/>
        </w:rPr>
        <w:t xml:space="preserve">danos</w:t>
      </w:r>
      <w:r>
        <w:rPr>
          <w:sz w:val="22"/>
          <w:szCs w:val="22"/>
        </w:rPr>
        <w:t xml:space="preserve"> </w:t>
      </w:r>
      <w:r>
        <w:rPr>
          <w:sz w:val="22"/>
          <w:szCs w:val="22"/>
        </w:rPr>
        <w:t xml:space="preserve">causados</w:t>
      </w:r>
      <w:r>
        <w:rPr>
          <w:sz w:val="22"/>
          <w:szCs w:val="22"/>
        </w:rPr>
        <w:t xml:space="preserve"> à </w:t>
      </w:r>
      <w:r>
        <w:rPr>
          <w:sz w:val="22"/>
          <w:szCs w:val="22"/>
        </w:rPr>
        <w:t xml:space="preserve">Administração</w:t>
      </w:r>
      <w:r>
        <w:rPr>
          <w:sz w:val="22"/>
          <w:szCs w:val="22"/>
        </w:rPr>
        <w:t xml:space="preserve"> </w:t>
      </w:r>
      <w:r>
        <w:rPr>
          <w:sz w:val="22"/>
          <w:szCs w:val="22"/>
        </w:rPr>
        <w:t xml:space="preserve">Pública</w:t>
      </w:r>
      <w:r>
        <w:rPr>
          <w:sz w:val="22"/>
          <w:szCs w:val="22"/>
        </w:rPr>
        <w:t xml:space="preserve">;</w:t>
      </w:r>
      <w:r/>
    </w:p>
    <w:p w14:paraId="572B9FE3">
      <w:pPr>
        <w:pStyle w:val="2311"/>
        <w:pBdr/>
        <w:spacing w:after="0" w:before="0"/>
        <w:ind/>
        <w:jc w:val="both"/>
        <w:rPr/>
      </w:pPr>
      <w:r>
        <w:rPr>
          <w:b/>
          <w:bCs/>
          <w:sz w:val="22"/>
          <w:szCs w:val="22"/>
          <w:lang w:val="pt-BR"/>
        </w:rPr>
        <w:t xml:space="preserve">9.3.5. </w:t>
      </w:r>
      <w:r>
        <w:rPr>
          <w:sz w:val="22"/>
          <w:szCs w:val="22"/>
        </w:rPr>
        <w:t xml:space="preserve">A </w:t>
      </w:r>
      <w:r>
        <w:rPr>
          <w:sz w:val="22"/>
          <w:szCs w:val="22"/>
        </w:rPr>
        <w:t xml:space="preserve">existência</w:t>
      </w:r>
      <w:r>
        <w:rPr>
          <w:sz w:val="22"/>
          <w:szCs w:val="22"/>
        </w:rPr>
        <w:t xml:space="preserve">, </w:t>
      </w:r>
      <w:r>
        <w:rPr>
          <w:sz w:val="22"/>
          <w:szCs w:val="22"/>
        </w:rPr>
        <w:t xml:space="preserve">implantação</w:t>
      </w:r>
      <w:r>
        <w:rPr>
          <w:sz w:val="22"/>
          <w:szCs w:val="22"/>
        </w:rPr>
        <w:t xml:space="preserve"> </w:t>
      </w:r>
      <w:r>
        <w:rPr>
          <w:sz w:val="22"/>
          <w:szCs w:val="22"/>
        </w:rPr>
        <w:t xml:space="preserve">ou</w:t>
      </w:r>
      <w:r>
        <w:rPr>
          <w:sz w:val="22"/>
          <w:szCs w:val="22"/>
        </w:rPr>
        <w:t xml:space="preserve"> </w:t>
      </w:r>
      <w:r>
        <w:rPr>
          <w:sz w:val="22"/>
          <w:szCs w:val="22"/>
        </w:rPr>
        <w:t xml:space="preserve">aperfeiçoamento</w:t>
      </w:r>
      <w:r>
        <w:rPr>
          <w:sz w:val="22"/>
          <w:szCs w:val="22"/>
        </w:rPr>
        <w:t xml:space="preserve"> de </w:t>
      </w:r>
      <w:r>
        <w:rPr>
          <w:sz w:val="22"/>
          <w:szCs w:val="22"/>
        </w:rPr>
        <w:t xml:space="preserve">programa</w:t>
      </w:r>
      <w:r>
        <w:rPr>
          <w:sz w:val="22"/>
          <w:szCs w:val="22"/>
        </w:rPr>
        <w:t xml:space="preserve"> de </w:t>
      </w:r>
      <w:r>
        <w:rPr>
          <w:sz w:val="22"/>
          <w:szCs w:val="22"/>
        </w:rPr>
        <w:t xml:space="preserve">integridade</w:t>
      </w:r>
      <w:r>
        <w:rPr>
          <w:sz w:val="22"/>
          <w:szCs w:val="22"/>
        </w:rPr>
        <w:t xml:space="preserve"> </w:t>
      </w:r>
      <w:r>
        <w:rPr>
          <w:sz w:val="22"/>
          <w:szCs w:val="22"/>
        </w:rPr>
        <w:t xml:space="preserve">pelo</w:t>
      </w:r>
      <w:r>
        <w:rPr>
          <w:sz w:val="22"/>
          <w:szCs w:val="22"/>
        </w:rPr>
        <w:t xml:space="preserve"> </w:t>
      </w:r>
      <w:r>
        <w:rPr>
          <w:sz w:val="22"/>
          <w:szCs w:val="22"/>
        </w:rPr>
        <w:t xml:space="preserve">contratado</w:t>
      </w:r>
      <w:r>
        <w:rPr>
          <w:sz w:val="22"/>
          <w:szCs w:val="22"/>
        </w:rPr>
        <w:t xml:space="preserve">.</w:t>
      </w:r>
      <w:r/>
    </w:p>
    <w:p w14:paraId="63CE7810">
      <w:pPr>
        <w:pStyle w:val="2311"/>
        <w:pBdr/>
        <w:spacing w:after="0" w:before="0"/>
        <w:ind/>
        <w:jc w:val="both"/>
        <w:rPr/>
      </w:pPr>
      <w:r>
        <w:rPr>
          <w:b/>
          <w:bCs/>
          <w:sz w:val="22"/>
          <w:szCs w:val="22"/>
          <w:lang w:val="pt-BR"/>
        </w:rPr>
        <w:t xml:space="preserve">9.4.</w:t>
      </w:r>
      <w:r>
        <w:rPr>
          <w:sz w:val="22"/>
          <w:szCs w:val="22"/>
          <w:lang w:val="pt-BR"/>
        </w:rPr>
        <w:t xml:space="preserve"> </w:t>
      </w:r>
      <w:r>
        <w:rPr>
          <w:sz w:val="22"/>
          <w:szCs w:val="22"/>
        </w:rPr>
        <w:t xml:space="preserve">Nos </w:t>
      </w:r>
      <w:r>
        <w:rPr>
          <w:sz w:val="22"/>
          <w:szCs w:val="22"/>
        </w:rPr>
        <w:t xml:space="preserve">termos</w:t>
      </w:r>
      <w:r>
        <w:rPr>
          <w:sz w:val="22"/>
          <w:szCs w:val="22"/>
        </w:rPr>
        <w:t xml:space="preserve"> do art. 157 da Lei nº 14.133/2021, </w:t>
      </w:r>
      <w:r>
        <w:rPr>
          <w:sz w:val="22"/>
          <w:szCs w:val="22"/>
        </w:rPr>
        <w:t xml:space="preserve">a</w:t>
      </w:r>
      <w:r>
        <w:rPr>
          <w:sz w:val="22"/>
          <w:szCs w:val="22"/>
        </w:rPr>
        <w:t xml:space="preserve"> </w:t>
      </w:r>
      <w:r>
        <w:rPr>
          <w:sz w:val="22"/>
          <w:szCs w:val="22"/>
        </w:rPr>
        <w:t xml:space="preserve">aplicação</w:t>
      </w:r>
      <w:r>
        <w:rPr>
          <w:sz w:val="22"/>
          <w:szCs w:val="22"/>
        </w:rPr>
        <w:t xml:space="preserve"> da </w:t>
      </w:r>
      <w:r>
        <w:rPr>
          <w:sz w:val="22"/>
          <w:szCs w:val="22"/>
        </w:rPr>
        <w:t xml:space="preserve">multa</w:t>
      </w:r>
      <w:r>
        <w:rPr>
          <w:sz w:val="22"/>
          <w:szCs w:val="22"/>
        </w:rPr>
        <w:t xml:space="preserve"> </w:t>
      </w:r>
      <w:r>
        <w:rPr>
          <w:sz w:val="22"/>
          <w:szCs w:val="22"/>
        </w:rPr>
        <w:t xml:space="preserve">será</w:t>
      </w:r>
      <w:r>
        <w:rPr>
          <w:sz w:val="22"/>
          <w:szCs w:val="22"/>
        </w:rPr>
        <w:t xml:space="preserve"> </w:t>
      </w:r>
      <w:r>
        <w:rPr>
          <w:sz w:val="22"/>
          <w:szCs w:val="22"/>
        </w:rPr>
        <w:t xml:space="preserve">precedida</w:t>
      </w:r>
      <w:r>
        <w:rPr>
          <w:sz w:val="22"/>
          <w:szCs w:val="22"/>
        </w:rPr>
        <w:t xml:space="preserve"> de </w:t>
      </w:r>
      <w:r>
        <w:rPr>
          <w:rStyle w:val="911"/>
          <w:b w:val="0"/>
          <w:bCs w:val="0"/>
          <w:sz w:val="22"/>
          <w:szCs w:val="22"/>
        </w:rPr>
        <w:t xml:space="preserve">intimação</w:t>
      </w:r>
      <w:r>
        <w:rPr>
          <w:rStyle w:val="911"/>
          <w:b w:val="0"/>
          <w:bCs w:val="0"/>
          <w:sz w:val="22"/>
          <w:szCs w:val="22"/>
        </w:rPr>
        <w:t xml:space="preserve"> do </w:t>
      </w:r>
      <w:r>
        <w:rPr>
          <w:rStyle w:val="911"/>
          <w:b w:val="0"/>
          <w:bCs w:val="0"/>
          <w:sz w:val="22"/>
          <w:szCs w:val="22"/>
        </w:rPr>
        <w:t xml:space="preserve">interessado</w:t>
      </w:r>
      <w:r>
        <w:rPr>
          <w:sz w:val="22"/>
          <w:szCs w:val="22"/>
        </w:rPr>
        <w:t xml:space="preserve">, </w:t>
      </w:r>
      <w:r>
        <w:rPr>
          <w:sz w:val="22"/>
          <w:szCs w:val="22"/>
        </w:rPr>
        <w:t xml:space="preserve">facultando</w:t>
      </w:r>
      <w:r>
        <w:rPr>
          <w:sz w:val="22"/>
          <w:szCs w:val="22"/>
        </w:rPr>
        <w:t xml:space="preserve">-</w:t>
      </w:r>
      <w:r>
        <w:rPr>
          <w:sz w:val="22"/>
          <w:szCs w:val="22"/>
        </w:rPr>
        <w:t xml:space="preserve">se a</w:t>
      </w:r>
      <w:r>
        <w:rPr>
          <w:sz w:val="22"/>
          <w:szCs w:val="22"/>
        </w:rPr>
        <w:t xml:space="preserve"> </w:t>
      </w:r>
      <w:r>
        <w:rPr>
          <w:sz w:val="22"/>
          <w:szCs w:val="22"/>
        </w:rPr>
        <w:t xml:space="preserve">apresentação</w:t>
      </w:r>
      <w:r>
        <w:rPr>
          <w:sz w:val="22"/>
          <w:szCs w:val="22"/>
        </w:rPr>
        <w:t xml:space="preserve"> de </w:t>
      </w:r>
      <w:r>
        <w:rPr>
          <w:sz w:val="22"/>
          <w:szCs w:val="22"/>
        </w:rPr>
        <w:t xml:space="preserve">defesa</w:t>
      </w:r>
      <w:r>
        <w:rPr>
          <w:sz w:val="22"/>
          <w:szCs w:val="22"/>
        </w:rPr>
        <w:t xml:space="preserve"> no </w:t>
      </w:r>
      <w:r>
        <w:rPr>
          <w:sz w:val="22"/>
          <w:szCs w:val="22"/>
        </w:rPr>
        <w:t xml:space="preserve">prazo</w:t>
      </w:r>
      <w:r>
        <w:rPr>
          <w:sz w:val="22"/>
          <w:szCs w:val="22"/>
        </w:rPr>
        <w:t xml:space="preserve"> de 15 (quinze) </w:t>
      </w:r>
      <w:r>
        <w:rPr>
          <w:sz w:val="22"/>
          <w:szCs w:val="22"/>
        </w:rPr>
        <w:t xml:space="preserve">dias</w:t>
      </w:r>
      <w:r>
        <w:rPr>
          <w:sz w:val="22"/>
          <w:szCs w:val="22"/>
        </w:rPr>
        <w:t xml:space="preserve"> </w:t>
      </w:r>
      <w:r>
        <w:rPr>
          <w:sz w:val="22"/>
          <w:szCs w:val="22"/>
        </w:rPr>
        <w:t xml:space="preserve">úteis</w:t>
      </w:r>
      <w:r>
        <w:rPr>
          <w:sz w:val="22"/>
          <w:szCs w:val="22"/>
        </w:rPr>
        <w:t xml:space="preserve">.</w:t>
      </w:r>
      <w:r/>
    </w:p>
    <w:p w14:paraId="25DD6922">
      <w:pPr>
        <w:pStyle w:val="2311"/>
        <w:pBdr/>
        <w:spacing w:after="0" w:before="0"/>
        <w:ind/>
        <w:jc w:val="both"/>
        <w:rPr/>
      </w:pPr>
      <w:r>
        <w:rPr>
          <w:b/>
          <w:bCs/>
          <w:sz w:val="22"/>
          <w:szCs w:val="22"/>
          <w:lang w:val="pt-BR"/>
        </w:rPr>
        <w:t xml:space="preserve">9.5.</w:t>
      </w:r>
      <w:r>
        <w:rPr>
          <w:sz w:val="22"/>
          <w:szCs w:val="22"/>
          <w:lang w:val="pt-BR"/>
        </w:rPr>
        <w:t xml:space="preserve"> </w:t>
      </w:r>
      <w:r>
        <w:rPr>
          <w:sz w:val="22"/>
          <w:szCs w:val="22"/>
        </w:rPr>
        <w:t xml:space="preserve">As </w:t>
      </w:r>
      <w:r>
        <w:rPr>
          <w:sz w:val="22"/>
          <w:szCs w:val="22"/>
        </w:rPr>
        <w:t xml:space="preserve">penalidades</w:t>
      </w:r>
      <w:r>
        <w:rPr>
          <w:sz w:val="22"/>
          <w:szCs w:val="22"/>
        </w:rPr>
        <w:t xml:space="preserve"> de </w:t>
      </w:r>
      <w:r>
        <w:rPr>
          <w:sz w:val="22"/>
          <w:szCs w:val="22"/>
        </w:rPr>
        <w:t xml:space="preserve">impedimento</w:t>
      </w:r>
      <w:r>
        <w:rPr>
          <w:sz w:val="22"/>
          <w:szCs w:val="22"/>
        </w:rPr>
        <w:t xml:space="preserve"> de </w:t>
      </w:r>
      <w:r>
        <w:rPr>
          <w:sz w:val="22"/>
          <w:szCs w:val="22"/>
        </w:rPr>
        <w:t xml:space="preserve">licitar</w:t>
      </w:r>
      <w:r>
        <w:rPr>
          <w:sz w:val="22"/>
          <w:szCs w:val="22"/>
        </w:rPr>
        <w:t xml:space="preserve">/</w:t>
      </w:r>
      <w:r>
        <w:rPr>
          <w:sz w:val="22"/>
          <w:szCs w:val="22"/>
        </w:rPr>
        <w:t xml:space="preserve">contratar</w:t>
      </w:r>
      <w:r>
        <w:rPr>
          <w:sz w:val="22"/>
          <w:szCs w:val="22"/>
        </w:rPr>
        <w:t xml:space="preserve"> e de </w:t>
      </w:r>
      <w:r>
        <w:rPr>
          <w:sz w:val="22"/>
          <w:szCs w:val="22"/>
        </w:rPr>
        <w:t xml:space="preserve">declaração</w:t>
      </w:r>
      <w:r>
        <w:rPr>
          <w:sz w:val="22"/>
          <w:szCs w:val="22"/>
        </w:rPr>
        <w:t xml:space="preserve"> de </w:t>
      </w:r>
      <w:r>
        <w:rPr>
          <w:sz w:val="22"/>
          <w:szCs w:val="22"/>
        </w:rPr>
        <w:t xml:space="preserve">inidoneidade</w:t>
      </w:r>
      <w:r>
        <w:rPr>
          <w:sz w:val="22"/>
          <w:szCs w:val="22"/>
        </w:rPr>
        <w:t xml:space="preserve"> </w:t>
      </w:r>
      <w:r>
        <w:rPr>
          <w:sz w:val="22"/>
          <w:szCs w:val="22"/>
        </w:rPr>
        <w:t xml:space="preserve">exigirão</w:t>
      </w:r>
      <w:r>
        <w:rPr>
          <w:sz w:val="22"/>
          <w:szCs w:val="22"/>
        </w:rPr>
        <w:t xml:space="preserve"> </w:t>
      </w:r>
      <w:r>
        <w:rPr>
          <w:sz w:val="22"/>
          <w:szCs w:val="22"/>
        </w:rPr>
        <w:t xml:space="preserve">a</w:t>
      </w:r>
      <w:r>
        <w:rPr>
          <w:sz w:val="22"/>
          <w:szCs w:val="22"/>
        </w:rPr>
        <w:t xml:space="preserve"> </w:t>
      </w:r>
      <w:r>
        <w:rPr>
          <w:rStyle w:val="911"/>
          <w:b w:val="0"/>
          <w:bCs w:val="0"/>
          <w:sz w:val="22"/>
          <w:szCs w:val="22"/>
        </w:rPr>
        <w:t xml:space="preserve">instauração</w:t>
      </w:r>
      <w:r>
        <w:rPr>
          <w:rStyle w:val="911"/>
          <w:b w:val="0"/>
          <w:bCs w:val="0"/>
          <w:sz w:val="22"/>
          <w:szCs w:val="22"/>
        </w:rPr>
        <w:t xml:space="preserve"> de </w:t>
      </w:r>
      <w:r>
        <w:rPr>
          <w:rStyle w:val="911"/>
          <w:b w:val="0"/>
          <w:bCs w:val="0"/>
          <w:sz w:val="22"/>
          <w:szCs w:val="22"/>
        </w:rPr>
        <w:t xml:space="preserve">processo</w:t>
      </w:r>
      <w:r>
        <w:rPr>
          <w:rStyle w:val="911"/>
          <w:b w:val="0"/>
          <w:bCs w:val="0"/>
          <w:sz w:val="22"/>
          <w:szCs w:val="22"/>
        </w:rPr>
        <w:t xml:space="preserve"> de </w:t>
      </w:r>
      <w:r>
        <w:rPr>
          <w:rStyle w:val="911"/>
          <w:b w:val="0"/>
          <w:bCs w:val="0"/>
          <w:sz w:val="22"/>
          <w:szCs w:val="22"/>
        </w:rPr>
        <w:t xml:space="preserve">responsabilização</w:t>
      </w:r>
      <w:r>
        <w:rPr>
          <w:sz w:val="22"/>
          <w:szCs w:val="22"/>
        </w:rPr>
        <w:t xml:space="preserve">, </w:t>
      </w:r>
      <w:r>
        <w:rPr>
          <w:sz w:val="22"/>
          <w:szCs w:val="22"/>
        </w:rPr>
        <w:t xml:space="preserve">conduzido</w:t>
      </w:r>
      <w:r>
        <w:rPr>
          <w:sz w:val="22"/>
          <w:szCs w:val="22"/>
        </w:rPr>
        <w:t xml:space="preserve"> </w:t>
      </w:r>
      <w:r>
        <w:rPr>
          <w:sz w:val="22"/>
          <w:szCs w:val="22"/>
        </w:rPr>
        <w:t xml:space="preserve">por</w:t>
      </w:r>
      <w:r>
        <w:rPr>
          <w:sz w:val="22"/>
          <w:szCs w:val="22"/>
        </w:rPr>
        <w:t xml:space="preserve"> </w:t>
      </w:r>
      <w:r>
        <w:rPr>
          <w:sz w:val="22"/>
          <w:szCs w:val="22"/>
        </w:rPr>
        <w:t xml:space="preserve">comissão</w:t>
      </w:r>
      <w:r>
        <w:rPr>
          <w:sz w:val="22"/>
          <w:szCs w:val="22"/>
        </w:rPr>
        <w:t xml:space="preserve"> </w:t>
      </w:r>
      <w:r>
        <w:rPr>
          <w:sz w:val="22"/>
          <w:szCs w:val="22"/>
        </w:rPr>
        <w:t xml:space="preserve">composta</w:t>
      </w:r>
      <w:r>
        <w:rPr>
          <w:sz w:val="22"/>
          <w:szCs w:val="22"/>
        </w:rPr>
        <w:t xml:space="preserve"> </w:t>
      </w:r>
      <w:r>
        <w:rPr>
          <w:sz w:val="22"/>
          <w:szCs w:val="22"/>
        </w:rPr>
        <w:t xml:space="preserve">por</w:t>
      </w:r>
      <w:r>
        <w:rPr>
          <w:sz w:val="22"/>
          <w:szCs w:val="22"/>
        </w:rPr>
        <w:t xml:space="preserve">, no </w:t>
      </w:r>
      <w:r>
        <w:rPr>
          <w:sz w:val="22"/>
          <w:szCs w:val="22"/>
        </w:rPr>
        <w:t xml:space="preserve">mínimo</w:t>
      </w:r>
      <w:r>
        <w:rPr>
          <w:sz w:val="22"/>
          <w:szCs w:val="22"/>
        </w:rPr>
        <w:t xml:space="preserve">, </w:t>
      </w:r>
      <w:r>
        <w:rPr>
          <w:sz w:val="22"/>
          <w:szCs w:val="22"/>
        </w:rPr>
        <w:t xml:space="preserve">dois</w:t>
      </w:r>
      <w:r>
        <w:rPr>
          <w:sz w:val="22"/>
          <w:szCs w:val="22"/>
        </w:rPr>
        <w:t xml:space="preserve"> </w:t>
      </w:r>
      <w:r>
        <w:rPr>
          <w:sz w:val="22"/>
          <w:szCs w:val="22"/>
        </w:rPr>
        <w:t xml:space="preserve">servidores</w:t>
      </w:r>
      <w:r>
        <w:rPr>
          <w:sz w:val="22"/>
          <w:szCs w:val="22"/>
        </w:rPr>
        <w:t xml:space="preserve"> </w:t>
      </w:r>
      <w:r>
        <w:rPr>
          <w:sz w:val="22"/>
          <w:szCs w:val="22"/>
        </w:rPr>
        <w:t xml:space="preserve">estáveis</w:t>
      </w:r>
      <w:r>
        <w:rPr>
          <w:sz w:val="22"/>
          <w:szCs w:val="22"/>
        </w:rPr>
        <w:t xml:space="preserve">, </w:t>
      </w:r>
      <w:r>
        <w:rPr>
          <w:sz w:val="22"/>
          <w:szCs w:val="22"/>
        </w:rPr>
        <w:t xml:space="preserve">garantindo</w:t>
      </w:r>
      <w:r>
        <w:rPr>
          <w:sz w:val="22"/>
          <w:szCs w:val="22"/>
        </w:rPr>
        <w:t xml:space="preserve">-se o </w:t>
      </w:r>
      <w:r>
        <w:rPr>
          <w:sz w:val="22"/>
          <w:szCs w:val="22"/>
        </w:rPr>
        <w:t xml:space="preserve">contraditório</w:t>
      </w:r>
      <w:r>
        <w:rPr>
          <w:sz w:val="22"/>
          <w:szCs w:val="22"/>
        </w:rPr>
        <w:t xml:space="preserve"> e a </w:t>
      </w:r>
      <w:r>
        <w:rPr>
          <w:sz w:val="22"/>
          <w:szCs w:val="22"/>
        </w:rPr>
        <w:t xml:space="preserve">ampla</w:t>
      </w:r>
      <w:r>
        <w:rPr>
          <w:sz w:val="22"/>
          <w:szCs w:val="22"/>
        </w:rPr>
        <w:t xml:space="preserve"> </w:t>
      </w:r>
      <w:r>
        <w:rPr>
          <w:sz w:val="22"/>
          <w:szCs w:val="22"/>
        </w:rPr>
        <w:t xml:space="preserve">defesa</w:t>
      </w:r>
      <w:r>
        <w:rPr>
          <w:sz w:val="22"/>
          <w:szCs w:val="22"/>
        </w:rPr>
        <w:t xml:space="preserve">, </w:t>
      </w:r>
      <w:r>
        <w:rPr>
          <w:sz w:val="22"/>
          <w:szCs w:val="22"/>
        </w:rPr>
        <w:t xml:space="preserve">conforme</w:t>
      </w:r>
      <w:r>
        <w:rPr>
          <w:sz w:val="22"/>
          <w:szCs w:val="22"/>
        </w:rPr>
        <w:t xml:space="preserve"> art. 158 da </w:t>
      </w:r>
      <w:r>
        <w:rPr>
          <w:sz w:val="22"/>
          <w:szCs w:val="22"/>
        </w:rPr>
        <w:t xml:space="preserve">referida</w:t>
      </w:r>
      <w:r>
        <w:rPr>
          <w:sz w:val="22"/>
          <w:szCs w:val="22"/>
        </w:rPr>
        <w:t xml:space="preserve"> norma.</w:t>
      </w:r>
      <w:r/>
    </w:p>
    <w:p w14:paraId="60BFB34D">
      <w:pPr>
        <w:pStyle w:val="2311"/>
        <w:pBdr/>
        <w:spacing w:after="0" w:before="0"/>
        <w:ind/>
        <w:jc w:val="both"/>
        <w:rPr/>
      </w:pPr>
      <w:r>
        <w:rPr>
          <w:b/>
          <w:bCs/>
          <w:sz w:val="22"/>
          <w:szCs w:val="22"/>
          <w:lang w:val="pt-BR"/>
        </w:rPr>
        <w:t xml:space="preserve">9.6. </w:t>
      </w:r>
      <w:r>
        <w:rPr>
          <w:sz w:val="22"/>
          <w:szCs w:val="22"/>
        </w:rPr>
        <w:t xml:space="preserve">A </w:t>
      </w:r>
      <w:r>
        <w:rPr>
          <w:sz w:val="22"/>
          <w:szCs w:val="22"/>
        </w:rPr>
        <w:t xml:space="preserve">sanção</w:t>
      </w:r>
      <w:r>
        <w:rPr>
          <w:sz w:val="22"/>
          <w:szCs w:val="22"/>
        </w:rPr>
        <w:t xml:space="preserve"> de </w:t>
      </w:r>
      <w:r>
        <w:rPr>
          <w:sz w:val="22"/>
          <w:szCs w:val="22"/>
        </w:rPr>
        <w:t xml:space="preserve">declaração</w:t>
      </w:r>
      <w:r>
        <w:rPr>
          <w:sz w:val="22"/>
          <w:szCs w:val="22"/>
        </w:rPr>
        <w:t xml:space="preserve"> de </w:t>
      </w:r>
      <w:r>
        <w:rPr>
          <w:sz w:val="22"/>
          <w:szCs w:val="22"/>
        </w:rPr>
        <w:t xml:space="preserve">inidoneidade</w:t>
      </w:r>
      <w:r>
        <w:rPr>
          <w:sz w:val="22"/>
          <w:szCs w:val="22"/>
        </w:rPr>
        <w:t xml:space="preserve"> </w:t>
      </w:r>
      <w:r>
        <w:rPr>
          <w:sz w:val="22"/>
          <w:szCs w:val="22"/>
        </w:rPr>
        <w:t xml:space="preserve">deverá</w:t>
      </w:r>
      <w:r>
        <w:rPr>
          <w:sz w:val="22"/>
          <w:szCs w:val="22"/>
        </w:rPr>
        <w:t xml:space="preserve"> ser </w:t>
      </w:r>
      <w:r>
        <w:rPr>
          <w:sz w:val="22"/>
          <w:szCs w:val="22"/>
        </w:rPr>
        <w:t xml:space="preserve">precedida</w:t>
      </w:r>
      <w:r>
        <w:rPr>
          <w:sz w:val="22"/>
          <w:szCs w:val="22"/>
        </w:rPr>
        <w:t xml:space="preserve"> de </w:t>
      </w:r>
      <w:r>
        <w:rPr>
          <w:sz w:val="22"/>
          <w:szCs w:val="22"/>
        </w:rPr>
        <w:t xml:space="preserve">análise</w:t>
      </w:r>
      <w:r>
        <w:rPr>
          <w:sz w:val="22"/>
          <w:szCs w:val="22"/>
        </w:rPr>
        <w:t xml:space="preserve"> </w:t>
      </w:r>
      <w:r>
        <w:rPr>
          <w:sz w:val="22"/>
          <w:szCs w:val="22"/>
        </w:rPr>
        <w:t xml:space="preserve">jurídica</w:t>
      </w:r>
      <w:r>
        <w:rPr>
          <w:sz w:val="22"/>
          <w:szCs w:val="22"/>
        </w:rPr>
        <w:t xml:space="preserve"> e </w:t>
      </w:r>
      <w:r>
        <w:rPr>
          <w:sz w:val="22"/>
          <w:szCs w:val="22"/>
        </w:rPr>
        <w:t xml:space="preserve">será</w:t>
      </w:r>
      <w:r>
        <w:rPr>
          <w:sz w:val="22"/>
          <w:szCs w:val="22"/>
        </w:rPr>
        <w:t xml:space="preserve"> de </w:t>
      </w:r>
      <w:r>
        <w:rPr>
          <w:sz w:val="22"/>
          <w:szCs w:val="22"/>
        </w:rPr>
        <w:t xml:space="preserve">competência</w:t>
      </w:r>
      <w:r>
        <w:rPr>
          <w:sz w:val="22"/>
          <w:szCs w:val="22"/>
        </w:rPr>
        <w:t xml:space="preserve"> </w:t>
      </w:r>
      <w:r>
        <w:rPr>
          <w:sz w:val="22"/>
          <w:szCs w:val="22"/>
        </w:rPr>
        <w:t xml:space="preserve">exclusiva</w:t>
      </w:r>
      <w:r>
        <w:rPr>
          <w:sz w:val="22"/>
          <w:szCs w:val="22"/>
        </w:rPr>
        <w:t xml:space="preserve"> do </w:t>
      </w:r>
      <w:r>
        <w:rPr>
          <w:sz w:val="22"/>
          <w:szCs w:val="22"/>
        </w:rPr>
        <w:t xml:space="preserve">Secretário</w:t>
      </w:r>
      <w:r>
        <w:rPr>
          <w:sz w:val="22"/>
          <w:szCs w:val="22"/>
        </w:rPr>
        <w:t xml:space="preserve"> Municipal de </w:t>
      </w:r>
      <w:r>
        <w:rPr>
          <w:sz w:val="22"/>
          <w:szCs w:val="22"/>
        </w:rPr>
        <w:t xml:space="preserve">Saúde</w:t>
      </w:r>
      <w:r>
        <w:rPr>
          <w:sz w:val="22"/>
          <w:szCs w:val="22"/>
        </w:rPr>
        <w:t xml:space="preserve">, </w:t>
      </w:r>
      <w:r>
        <w:rPr>
          <w:sz w:val="22"/>
          <w:szCs w:val="22"/>
        </w:rPr>
        <w:t xml:space="preserve">nos</w:t>
      </w:r>
      <w:r>
        <w:rPr>
          <w:sz w:val="22"/>
          <w:szCs w:val="22"/>
        </w:rPr>
        <w:t xml:space="preserve"> </w:t>
      </w:r>
      <w:r>
        <w:rPr>
          <w:sz w:val="22"/>
          <w:szCs w:val="22"/>
        </w:rPr>
        <w:t xml:space="preserve">termos</w:t>
      </w:r>
      <w:r>
        <w:rPr>
          <w:sz w:val="22"/>
          <w:szCs w:val="22"/>
        </w:rPr>
        <w:t xml:space="preserve"> do § 6º do art. 156.</w:t>
      </w:r>
      <w:r/>
    </w:p>
    <w:p w14:paraId="2FE86AD5">
      <w:pPr>
        <w:pStyle w:val="2311"/>
        <w:pBdr/>
        <w:spacing w:after="0" w:before="0"/>
        <w:ind/>
        <w:jc w:val="both"/>
        <w:rPr/>
      </w:pPr>
      <w:r>
        <w:rPr>
          <w:b/>
          <w:bCs/>
          <w:sz w:val="22"/>
          <w:szCs w:val="22"/>
          <w:lang w:val="pt-BR"/>
        </w:rPr>
        <w:t xml:space="preserve">9.7.</w:t>
      </w:r>
      <w:r>
        <w:rPr>
          <w:sz w:val="22"/>
          <w:szCs w:val="22"/>
          <w:lang w:val="pt-BR"/>
        </w:rPr>
        <w:t xml:space="preserve"> </w:t>
      </w:r>
      <w:r>
        <w:rPr>
          <w:sz w:val="22"/>
          <w:szCs w:val="22"/>
        </w:rPr>
        <w:t xml:space="preserve">As </w:t>
      </w:r>
      <w:r>
        <w:rPr>
          <w:sz w:val="22"/>
          <w:szCs w:val="22"/>
        </w:rPr>
        <w:t xml:space="preserve">sanções</w:t>
      </w:r>
      <w:r>
        <w:rPr>
          <w:sz w:val="22"/>
          <w:szCs w:val="22"/>
        </w:rPr>
        <w:t xml:space="preserve"> </w:t>
      </w:r>
      <w:r>
        <w:rPr>
          <w:sz w:val="22"/>
          <w:szCs w:val="22"/>
        </w:rPr>
        <w:t xml:space="preserve">previstas</w:t>
      </w:r>
      <w:r>
        <w:rPr>
          <w:sz w:val="22"/>
          <w:szCs w:val="22"/>
        </w:rPr>
        <w:t xml:space="preserve"> </w:t>
      </w:r>
      <w:r>
        <w:rPr>
          <w:sz w:val="22"/>
          <w:szCs w:val="22"/>
        </w:rPr>
        <w:t xml:space="preserve">nos</w:t>
      </w:r>
      <w:r>
        <w:rPr>
          <w:sz w:val="22"/>
          <w:szCs w:val="22"/>
        </w:rPr>
        <w:t xml:space="preserve"> </w:t>
      </w:r>
      <w:r>
        <w:rPr>
          <w:sz w:val="22"/>
          <w:szCs w:val="22"/>
        </w:rPr>
        <w:t xml:space="preserve">incisos</w:t>
      </w:r>
      <w:r>
        <w:rPr>
          <w:sz w:val="22"/>
          <w:szCs w:val="22"/>
        </w:rPr>
        <w:t xml:space="preserve"> I, III e IV do art. 156 </w:t>
      </w:r>
      <w:r>
        <w:rPr>
          <w:sz w:val="22"/>
          <w:szCs w:val="22"/>
        </w:rPr>
        <w:t xml:space="preserve">poderão</w:t>
      </w:r>
      <w:r>
        <w:rPr>
          <w:sz w:val="22"/>
          <w:szCs w:val="22"/>
        </w:rPr>
        <w:t xml:space="preserve"> ser </w:t>
      </w:r>
      <w:r>
        <w:rPr>
          <w:sz w:val="22"/>
          <w:szCs w:val="22"/>
        </w:rPr>
        <w:t xml:space="preserve">aplicadas</w:t>
      </w:r>
      <w:r>
        <w:rPr>
          <w:sz w:val="22"/>
          <w:szCs w:val="22"/>
        </w:rPr>
        <w:t xml:space="preserve"> </w:t>
      </w:r>
      <w:r>
        <w:rPr>
          <w:rStyle w:val="911"/>
          <w:b w:val="0"/>
          <w:bCs w:val="0"/>
          <w:sz w:val="22"/>
          <w:szCs w:val="22"/>
        </w:rPr>
        <w:t xml:space="preserve">cumulativamente</w:t>
      </w:r>
      <w:r>
        <w:rPr>
          <w:sz w:val="22"/>
          <w:szCs w:val="22"/>
        </w:rPr>
        <w:t xml:space="preserve"> com a </w:t>
      </w:r>
      <w:r>
        <w:rPr>
          <w:sz w:val="22"/>
          <w:szCs w:val="22"/>
        </w:rPr>
        <w:t xml:space="preserve">sanção</w:t>
      </w:r>
      <w:r>
        <w:rPr>
          <w:sz w:val="22"/>
          <w:szCs w:val="22"/>
        </w:rPr>
        <w:t xml:space="preserve"> de </w:t>
      </w:r>
      <w:r>
        <w:rPr>
          <w:sz w:val="22"/>
          <w:szCs w:val="22"/>
        </w:rPr>
        <w:t xml:space="preserve">multa</w:t>
      </w:r>
      <w:r>
        <w:rPr>
          <w:sz w:val="22"/>
          <w:szCs w:val="22"/>
        </w:rPr>
        <w:t xml:space="preserve">, </w:t>
      </w:r>
      <w:r>
        <w:rPr>
          <w:sz w:val="22"/>
          <w:szCs w:val="22"/>
        </w:rPr>
        <w:t xml:space="preserve">conforme</w:t>
      </w:r>
      <w:r>
        <w:rPr>
          <w:sz w:val="22"/>
          <w:szCs w:val="22"/>
        </w:rPr>
        <w:t xml:space="preserve"> § 7º do </w:t>
      </w:r>
      <w:r>
        <w:rPr>
          <w:sz w:val="22"/>
          <w:szCs w:val="22"/>
        </w:rPr>
        <w:t xml:space="preserve">mesmo</w:t>
      </w:r>
      <w:r>
        <w:rPr>
          <w:sz w:val="22"/>
          <w:szCs w:val="22"/>
        </w:rPr>
        <w:t xml:space="preserve"> </w:t>
      </w:r>
      <w:r>
        <w:rPr>
          <w:sz w:val="22"/>
          <w:szCs w:val="22"/>
        </w:rPr>
        <w:t xml:space="preserve">artigo</w:t>
      </w:r>
      <w:r>
        <w:rPr>
          <w:sz w:val="22"/>
          <w:szCs w:val="22"/>
        </w:rPr>
        <w:t xml:space="preserve">.</w:t>
      </w:r>
      <w:r/>
    </w:p>
    <w:p w14:paraId="4122EE1C">
      <w:pPr>
        <w:pStyle w:val="2311"/>
        <w:pBdr/>
        <w:spacing w:after="0" w:before="0"/>
        <w:ind/>
        <w:jc w:val="both"/>
        <w:rPr/>
      </w:pPr>
      <w:r>
        <w:rPr>
          <w:b/>
          <w:bCs/>
          <w:sz w:val="22"/>
          <w:szCs w:val="22"/>
          <w:lang w:val="pt-BR"/>
        </w:rPr>
        <w:t xml:space="preserve">9.8. </w:t>
      </w:r>
      <w:r>
        <w:rPr>
          <w:sz w:val="22"/>
          <w:szCs w:val="22"/>
        </w:rPr>
        <w:t xml:space="preserve">Caso a </w:t>
      </w:r>
      <w:r>
        <w:rPr>
          <w:sz w:val="22"/>
          <w:szCs w:val="22"/>
        </w:rPr>
        <w:t xml:space="preserve">multa</w:t>
      </w:r>
      <w:r>
        <w:rPr>
          <w:sz w:val="22"/>
          <w:szCs w:val="22"/>
        </w:rPr>
        <w:t xml:space="preserve"> e as </w:t>
      </w:r>
      <w:r>
        <w:rPr>
          <w:sz w:val="22"/>
          <w:szCs w:val="22"/>
        </w:rPr>
        <w:t xml:space="preserve">indenizações</w:t>
      </w:r>
      <w:r>
        <w:rPr>
          <w:sz w:val="22"/>
          <w:szCs w:val="22"/>
        </w:rPr>
        <w:t xml:space="preserve"> </w:t>
      </w:r>
      <w:r>
        <w:rPr>
          <w:sz w:val="22"/>
          <w:szCs w:val="22"/>
        </w:rPr>
        <w:t xml:space="preserve">cabíveis</w:t>
      </w:r>
      <w:r>
        <w:rPr>
          <w:sz w:val="22"/>
          <w:szCs w:val="22"/>
        </w:rPr>
        <w:t xml:space="preserve"> </w:t>
      </w:r>
      <w:r>
        <w:rPr>
          <w:sz w:val="22"/>
          <w:szCs w:val="22"/>
        </w:rPr>
        <w:t xml:space="preserve">sejam</w:t>
      </w:r>
      <w:r>
        <w:rPr>
          <w:sz w:val="22"/>
          <w:szCs w:val="22"/>
        </w:rPr>
        <w:t xml:space="preserve"> </w:t>
      </w:r>
      <w:r>
        <w:rPr>
          <w:sz w:val="22"/>
          <w:szCs w:val="22"/>
        </w:rPr>
        <w:t xml:space="preserve">superiores</w:t>
      </w:r>
      <w:r>
        <w:rPr>
          <w:sz w:val="22"/>
          <w:szCs w:val="22"/>
        </w:rPr>
        <w:t xml:space="preserve"> </w:t>
      </w:r>
      <w:r>
        <w:rPr>
          <w:sz w:val="22"/>
          <w:szCs w:val="22"/>
        </w:rPr>
        <w:t xml:space="preserve">ao</w:t>
      </w:r>
      <w:r>
        <w:rPr>
          <w:sz w:val="22"/>
          <w:szCs w:val="22"/>
        </w:rPr>
        <w:t xml:space="preserve"> valor </w:t>
      </w:r>
      <w:r>
        <w:rPr>
          <w:sz w:val="22"/>
          <w:szCs w:val="22"/>
        </w:rPr>
        <w:t xml:space="preserve">devido</w:t>
      </w:r>
      <w:r>
        <w:rPr>
          <w:sz w:val="22"/>
          <w:szCs w:val="22"/>
        </w:rPr>
        <w:t xml:space="preserve"> pela </w:t>
      </w:r>
      <w:r>
        <w:rPr>
          <w:sz w:val="22"/>
          <w:szCs w:val="22"/>
        </w:rPr>
        <w:t xml:space="preserve">Administração</w:t>
      </w:r>
      <w:r>
        <w:rPr>
          <w:sz w:val="22"/>
          <w:szCs w:val="22"/>
        </w:rPr>
        <w:t xml:space="preserve"> </w:t>
      </w:r>
      <w:r>
        <w:rPr>
          <w:sz w:val="22"/>
          <w:szCs w:val="22"/>
        </w:rPr>
        <w:t xml:space="preserve">ao</w:t>
      </w:r>
      <w:r>
        <w:rPr>
          <w:sz w:val="22"/>
          <w:szCs w:val="22"/>
        </w:rPr>
        <w:t xml:space="preserve"> </w:t>
      </w:r>
      <w:r>
        <w:rPr>
          <w:sz w:val="22"/>
          <w:szCs w:val="22"/>
        </w:rPr>
        <w:t xml:space="preserve">contratado</w:t>
      </w:r>
      <w:r>
        <w:rPr>
          <w:sz w:val="22"/>
          <w:szCs w:val="22"/>
        </w:rPr>
        <w:t xml:space="preserve">, a </w:t>
      </w:r>
      <w:r>
        <w:rPr>
          <w:sz w:val="22"/>
          <w:szCs w:val="22"/>
        </w:rPr>
        <w:t xml:space="preserve">diferença</w:t>
      </w:r>
      <w:r>
        <w:rPr>
          <w:sz w:val="22"/>
          <w:szCs w:val="22"/>
        </w:rPr>
        <w:t xml:space="preserve"> </w:t>
      </w:r>
      <w:r>
        <w:rPr>
          <w:sz w:val="22"/>
          <w:szCs w:val="22"/>
        </w:rPr>
        <w:t xml:space="preserve">será</w:t>
      </w:r>
      <w:r>
        <w:rPr>
          <w:sz w:val="22"/>
          <w:szCs w:val="22"/>
        </w:rPr>
        <w:t xml:space="preserve"> </w:t>
      </w:r>
      <w:r>
        <w:rPr>
          <w:sz w:val="22"/>
          <w:szCs w:val="22"/>
        </w:rPr>
        <w:t xml:space="preserve">descontada</w:t>
      </w:r>
      <w:r>
        <w:rPr>
          <w:sz w:val="22"/>
          <w:szCs w:val="22"/>
        </w:rPr>
        <w:t xml:space="preserve"> da </w:t>
      </w:r>
      <w:r>
        <w:rPr>
          <w:sz w:val="22"/>
          <w:szCs w:val="22"/>
        </w:rPr>
        <w:t xml:space="preserve">garantia</w:t>
      </w:r>
      <w:r>
        <w:rPr>
          <w:sz w:val="22"/>
          <w:szCs w:val="22"/>
        </w:rPr>
        <w:t xml:space="preserve"> </w:t>
      </w:r>
      <w:r>
        <w:rPr>
          <w:sz w:val="22"/>
          <w:szCs w:val="22"/>
        </w:rPr>
        <w:t xml:space="preserve">prestada</w:t>
      </w:r>
      <w:r>
        <w:rPr>
          <w:sz w:val="22"/>
          <w:szCs w:val="22"/>
        </w:rPr>
        <w:t xml:space="preserve"> </w:t>
      </w:r>
      <w:r>
        <w:rPr>
          <w:sz w:val="22"/>
          <w:szCs w:val="22"/>
        </w:rPr>
        <w:t xml:space="preserve">ou</w:t>
      </w:r>
      <w:r>
        <w:rPr>
          <w:sz w:val="22"/>
          <w:szCs w:val="22"/>
        </w:rPr>
        <w:t xml:space="preserve"> </w:t>
      </w:r>
      <w:r>
        <w:rPr>
          <w:sz w:val="22"/>
          <w:szCs w:val="22"/>
        </w:rPr>
        <w:t xml:space="preserve">cobrada</w:t>
      </w:r>
      <w:r>
        <w:rPr>
          <w:sz w:val="22"/>
          <w:szCs w:val="22"/>
        </w:rPr>
        <w:t xml:space="preserve"> </w:t>
      </w:r>
      <w:r>
        <w:rPr>
          <w:sz w:val="22"/>
          <w:szCs w:val="22"/>
        </w:rPr>
        <w:t xml:space="preserve">judicialmente</w:t>
      </w:r>
      <w:r>
        <w:rPr>
          <w:sz w:val="22"/>
          <w:szCs w:val="22"/>
        </w:rPr>
        <w:t xml:space="preserve">, </w:t>
      </w:r>
      <w:r>
        <w:rPr>
          <w:sz w:val="22"/>
          <w:szCs w:val="22"/>
        </w:rPr>
        <w:t xml:space="preserve">conforme</w:t>
      </w:r>
      <w:r>
        <w:rPr>
          <w:sz w:val="22"/>
          <w:szCs w:val="22"/>
        </w:rPr>
        <w:t xml:space="preserve"> § 8º do art. 156.</w:t>
      </w:r>
      <w:r/>
    </w:p>
    <w:p w14:paraId="57598373">
      <w:pPr>
        <w:pStyle w:val="2311"/>
        <w:pBdr/>
        <w:spacing w:after="0" w:before="0"/>
        <w:ind/>
        <w:jc w:val="both"/>
        <w:rPr/>
      </w:pPr>
      <w:r>
        <w:rPr>
          <w:b/>
          <w:bCs/>
          <w:sz w:val="22"/>
          <w:szCs w:val="22"/>
          <w:lang w:val="pt-BR"/>
        </w:rPr>
        <w:t xml:space="preserve">9.9 </w:t>
      </w:r>
      <w:r>
        <w:rPr>
          <w:sz w:val="22"/>
          <w:szCs w:val="22"/>
        </w:rPr>
        <w:t xml:space="preserve">A </w:t>
      </w:r>
      <w:r>
        <w:rPr>
          <w:sz w:val="22"/>
          <w:szCs w:val="22"/>
        </w:rPr>
        <w:t xml:space="preserve">aplicação</w:t>
      </w:r>
      <w:r>
        <w:rPr>
          <w:sz w:val="22"/>
          <w:szCs w:val="22"/>
        </w:rPr>
        <w:t xml:space="preserve"> das </w:t>
      </w:r>
      <w:r>
        <w:rPr>
          <w:sz w:val="22"/>
          <w:szCs w:val="22"/>
        </w:rPr>
        <w:t xml:space="preserve">penalidades</w:t>
      </w:r>
      <w:r>
        <w:rPr>
          <w:sz w:val="22"/>
          <w:szCs w:val="22"/>
        </w:rPr>
        <w:t xml:space="preserve"> </w:t>
      </w:r>
      <w:r>
        <w:rPr>
          <w:rStyle w:val="911"/>
          <w:b w:val="0"/>
          <w:bCs w:val="0"/>
          <w:sz w:val="22"/>
          <w:szCs w:val="22"/>
        </w:rPr>
        <w:t xml:space="preserve">não</w:t>
      </w:r>
      <w:r>
        <w:rPr>
          <w:rStyle w:val="911"/>
          <w:b w:val="0"/>
          <w:bCs w:val="0"/>
          <w:sz w:val="22"/>
          <w:szCs w:val="22"/>
        </w:rPr>
        <w:t xml:space="preserve"> </w:t>
      </w:r>
      <w:r>
        <w:rPr>
          <w:rStyle w:val="911"/>
          <w:b w:val="0"/>
          <w:bCs w:val="0"/>
          <w:sz w:val="22"/>
          <w:szCs w:val="22"/>
        </w:rPr>
        <w:t xml:space="preserve">exime</w:t>
      </w:r>
      <w:r>
        <w:rPr>
          <w:rStyle w:val="911"/>
          <w:b w:val="0"/>
          <w:bCs w:val="0"/>
          <w:sz w:val="22"/>
          <w:szCs w:val="22"/>
        </w:rPr>
        <w:t xml:space="preserve"> o </w:t>
      </w:r>
      <w:r>
        <w:rPr>
          <w:rStyle w:val="911"/>
          <w:b w:val="0"/>
          <w:bCs w:val="0"/>
          <w:sz w:val="22"/>
          <w:szCs w:val="22"/>
        </w:rPr>
        <w:t xml:space="preserve">contratado</w:t>
      </w:r>
      <w:r>
        <w:rPr>
          <w:rStyle w:val="911"/>
          <w:b w:val="0"/>
          <w:bCs w:val="0"/>
          <w:sz w:val="22"/>
          <w:szCs w:val="22"/>
        </w:rPr>
        <w:t xml:space="preserve"> da </w:t>
      </w:r>
      <w:r>
        <w:rPr>
          <w:rStyle w:val="911"/>
          <w:b w:val="0"/>
          <w:bCs w:val="0"/>
          <w:sz w:val="22"/>
          <w:szCs w:val="22"/>
        </w:rPr>
        <w:t xml:space="preserve">obrigação</w:t>
      </w:r>
      <w:r>
        <w:rPr>
          <w:rStyle w:val="911"/>
          <w:b w:val="0"/>
          <w:bCs w:val="0"/>
          <w:sz w:val="22"/>
          <w:szCs w:val="22"/>
        </w:rPr>
        <w:t xml:space="preserve"> de </w:t>
      </w:r>
      <w:r>
        <w:rPr>
          <w:rStyle w:val="911"/>
          <w:b w:val="0"/>
          <w:bCs w:val="0"/>
          <w:sz w:val="22"/>
          <w:szCs w:val="22"/>
        </w:rPr>
        <w:t xml:space="preserve">reparação</w:t>
      </w:r>
      <w:r>
        <w:rPr>
          <w:rStyle w:val="911"/>
          <w:b w:val="0"/>
          <w:bCs w:val="0"/>
          <w:sz w:val="22"/>
          <w:szCs w:val="22"/>
        </w:rPr>
        <w:t xml:space="preserve"> integral dos </w:t>
      </w:r>
      <w:r>
        <w:rPr>
          <w:rStyle w:val="911"/>
          <w:b w:val="0"/>
          <w:bCs w:val="0"/>
          <w:sz w:val="22"/>
          <w:szCs w:val="22"/>
        </w:rPr>
        <w:t xml:space="preserve">danos</w:t>
      </w:r>
      <w:r>
        <w:rPr>
          <w:sz w:val="22"/>
          <w:szCs w:val="22"/>
        </w:rPr>
        <w:t xml:space="preserve"> </w:t>
      </w:r>
      <w:r>
        <w:rPr>
          <w:sz w:val="22"/>
          <w:szCs w:val="22"/>
        </w:rPr>
        <w:t xml:space="preserve">causados</w:t>
      </w:r>
      <w:r>
        <w:rPr>
          <w:sz w:val="22"/>
          <w:szCs w:val="22"/>
        </w:rPr>
        <w:t xml:space="preserve"> à </w:t>
      </w:r>
      <w:r>
        <w:rPr>
          <w:sz w:val="22"/>
          <w:szCs w:val="22"/>
        </w:rPr>
        <w:t xml:space="preserve">Administração</w:t>
      </w:r>
      <w:r>
        <w:rPr>
          <w:sz w:val="22"/>
          <w:szCs w:val="22"/>
        </w:rPr>
        <w:t xml:space="preserve">, </w:t>
      </w:r>
      <w:r>
        <w:rPr>
          <w:sz w:val="22"/>
          <w:szCs w:val="22"/>
        </w:rPr>
        <w:t xml:space="preserve">nos</w:t>
      </w:r>
      <w:r>
        <w:rPr>
          <w:sz w:val="22"/>
          <w:szCs w:val="22"/>
        </w:rPr>
        <w:t xml:space="preserve"> </w:t>
      </w:r>
      <w:r>
        <w:rPr>
          <w:sz w:val="22"/>
          <w:szCs w:val="22"/>
        </w:rPr>
        <w:t xml:space="preserve">termos</w:t>
      </w:r>
      <w:r>
        <w:rPr>
          <w:sz w:val="22"/>
          <w:szCs w:val="22"/>
        </w:rPr>
        <w:t xml:space="preserve"> do § 9º do art. 156 da Lei nº 14.133/2021.</w:t>
      </w:r>
      <w:r/>
    </w:p>
    <w:p w14:paraId="161A6F00">
      <w:pPr>
        <w:pStyle w:val="2311"/>
        <w:pBdr/>
        <w:spacing w:after="0" w:before="0"/>
        <w:ind/>
        <w:jc w:val="both"/>
        <w:rPr/>
      </w:pPr>
      <w:r>
        <w:rPr>
          <w:b/>
          <w:bCs/>
          <w:sz w:val="22"/>
          <w:szCs w:val="22"/>
          <w:lang w:val="pt-BR"/>
        </w:rPr>
        <w:t xml:space="preserve">9.10.</w:t>
      </w:r>
      <w:r>
        <w:rPr>
          <w:sz w:val="22"/>
          <w:szCs w:val="22"/>
          <w:lang w:val="pt-BR"/>
        </w:rPr>
        <w:t xml:space="preserve"> </w:t>
      </w:r>
      <w:r>
        <w:rPr>
          <w:sz w:val="22"/>
          <w:szCs w:val="22"/>
        </w:rPr>
        <w:t xml:space="preserve">Nos </w:t>
      </w:r>
      <w:r>
        <w:rPr>
          <w:sz w:val="22"/>
          <w:szCs w:val="22"/>
        </w:rPr>
        <w:t xml:space="preserve">termos</w:t>
      </w:r>
      <w:r>
        <w:rPr>
          <w:sz w:val="22"/>
          <w:szCs w:val="22"/>
        </w:rPr>
        <w:t xml:space="preserve"> do art. 163 da </w:t>
      </w:r>
      <w:r>
        <w:rPr>
          <w:sz w:val="22"/>
          <w:szCs w:val="22"/>
        </w:rPr>
        <w:t xml:space="preserve">referida</w:t>
      </w:r>
      <w:r>
        <w:rPr>
          <w:sz w:val="22"/>
          <w:szCs w:val="22"/>
        </w:rPr>
        <w:t xml:space="preserve"> Lei, </w:t>
      </w:r>
      <w:r>
        <w:rPr>
          <w:sz w:val="22"/>
          <w:szCs w:val="22"/>
        </w:rPr>
        <w:t xml:space="preserve">admite</w:t>
      </w:r>
      <w:r>
        <w:rPr>
          <w:sz w:val="22"/>
          <w:szCs w:val="22"/>
        </w:rPr>
        <w:t xml:space="preserve">-</w:t>
      </w:r>
      <w:r>
        <w:rPr>
          <w:sz w:val="22"/>
          <w:szCs w:val="22"/>
        </w:rPr>
        <w:t xml:space="preserve">se a</w:t>
      </w:r>
      <w:r>
        <w:rPr>
          <w:sz w:val="22"/>
          <w:szCs w:val="22"/>
        </w:rPr>
        <w:t xml:space="preserve"> </w:t>
      </w:r>
      <w:r>
        <w:rPr>
          <w:rStyle w:val="911"/>
          <w:b w:val="0"/>
          <w:bCs w:val="0"/>
          <w:sz w:val="22"/>
          <w:szCs w:val="22"/>
        </w:rPr>
        <w:t xml:space="preserve">reabilitação</w:t>
      </w:r>
      <w:r>
        <w:rPr>
          <w:rStyle w:val="911"/>
          <w:b w:val="0"/>
          <w:bCs w:val="0"/>
          <w:sz w:val="22"/>
          <w:szCs w:val="22"/>
        </w:rPr>
        <w:t xml:space="preserve"> do </w:t>
      </w:r>
      <w:r>
        <w:rPr>
          <w:rStyle w:val="911"/>
          <w:b w:val="0"/>
          <w:bCs w:val="0"/>
          <w:sz w:val="22"/>
          <w:szCs w:val="22"/>
        </w:rPr>
        <w:t xml:space="preserve">contratado</w:t>
      </w:r>
      <w:r>
        <w:rPr>
          <w:sz w:val="22"/>
          <w:szCs w:val="22"/>
        </w:rPr>
        <w:t xml:space="preserve">, </w:t>
      </w:r>
      <w:r>
        <w:rPr>
          <w:sz w:val="22"/>
          <w:szCs w:val="22"/>
        </w:rPr>
        <w:t xml:space="preserve">mediante</w:t>
      </w:r>
      <w:r>
        <w:rPr>
          <w:sz w:val="22"/>
          <w:szCs w:val="22"/>
        </w:rPr>
        <w:t xml:space="preserve"> o </w:t>
      </w:r>
      <w:r>
        <w:rPr>
          <w:sz w:val="22"/>
          <w:szCs w:val="22"/>
        </w:rPr>
        <w:t xml:space="preserve">cumprimento</w:t>
      </w:r>
      <w:r>
        <w:rPr>
          <w:sz w:val="22"/>
          <w:szCs w:val="22"/>
        </w:rPr>
        <w:t xml:space="preserve"> </w:t>
      </w:r>
      <w:r>
        <w:rPr>
          <w:sz w:val="22"/>
          <w:szCs w:val="22"/>
        </w:rPr>
        <w:t xml:space="preserve">cumulativo</w:t>
      </w:r>
      <w:r>
        <w:rPr>
          <w:sz w:val="22"/>
          <w:szCs w:val="22"/>
        </w:rPr>
        <w:t xml:space="preserve"> das </w:t>
      </w:r>
      <w:r>
        <w:rPr>
          <w:sz w:val="22"/>
          <w:szCs w:val="22"/>
        </w:rPr>
        <w:t xml:space="preserve">seguintes</w:t>
      </w:r>
      <w:r>
        <w:rPr>
          <w:sz w:val="22"/>
          <w:szCs w:val="22"/>
        </w:rPr>
        <w:t xml:space="preserve"> </w:t>
      </w:r>
      <w:r>
        <w:rPr>
          <w:sz w:val="22"/>
          <w:szCs w:val="22"/>
        </w:rPr>
        <w:t xml:space="preserve">condições</w:t>
      </w:r>
      <w:r>
        <w:rPr>
          <w:sz w:val="22"/>
          <w:szCs w:val="22"/>
        </w:rPr>
        <w:t xml:space="preserve">:</w:t>
      </w:r>
      <w:r/>
    </w:p>
    <w:p w14:paraId="7A5C0D76">
      <w:pPr>
        <w:pStyle w:val="2311"/>
        <w:pBdr/>
        <w:spacing w:after="0" w:before="0"/>
        <w:ind/>
        <w:jc w:val="both"/>
        <w:rPr/>
      </w:pPr>
      <w:r>
        <w:rPr>
          <w:b/>
          <w:bCs/>
          <w:sz w:val="22"/>
          <w:szCs w:val="22"/>
          <w:lang w:val="pt-BR"/>
        </w:rPr>
        <w:t xml:space="preserve">9.10.1. </w:t>
      </w:r>
      <w:r>
        <w:rPr>
          <w:sz w:val="22"/>
          <w:szCs w:val="22"/>
        </w:rPr>
        <w:t xml:space="preserve">Reparação</w:t>
      </w:r>
      <w:r>
        <w:rPr>
          <w:sz w:val="22"/>
          <w:szCs w:val="22"/>
        </w:rPr>
        <w:t xml:space="preserve"> integral do </w:t>
      </w:r>
      <w:r>
        <w:rPr>
          <w:sz w:val="22"/>
          <w:szCs w:val="22"/>
        </w:rPr>
        <w:t xml:space="preserve">dano</w:t>
      </w:r>
      <w:r>
        <w:rPr>
          <w:sz w:val="22"/>
          <w:szCs w:val="22"/>
        </w:rPr>
        <w:t xml:space="preserve">;</w:t>
      </w:r>
      <w:r/>
    </w:p>
    <w:p w14:paraId="332DDE47">
      <w:pPr>
        <w:pStyle w:val="2311"/>
        <w:pBdr/>
        <w:spacing w:after="0" w:before="0"/>
        <w:ind/>
        <w:jc w:val="both"/>
        <w:rPr/>
      </w:pPr>
      <w:r>
        <w:rPr>
          <w:b/>
          <w:bCs/>
          <w:sz w:val="22"/>
          <w:szCs w:val="22"/>
          <w:lang w:val="pt-BR"/>
        </w:rPr>
        <w:t xml:space="preserve">9.10.2. </w:t>
      </w:r>
      <w:r>
        <w:rPr>
          <w:sz w:val="22"/>
          <w:szCs w:val="22"/>
        </w:rPr>
        <w:t xml:space="preserve">Pagamento</w:t>
      </w:r>
      <w:r>
        <w:rPr>
          <w:sz w:val="22"/>
          <w:szCs w:val="22"/>
        </w:rPr>
        <w:t xml:space="preserve"> da </w:t>
      </w:r>
      <w:r>
        <w:rPr>
          <w:sz w:val="22"/>
          <w:szCs w:val="22"/>
        </w:rPr>
        <w:t xml:space="preserve">multa</w:t>
      </w:r>
      <w:r>
        <w:rPr>
          <w:sz w:val="22"/>
          <w:szCs w:val="22"/>
        </w:rPr>
        <w:t xml:space="preserve">;</w:t>
      </w:r>
      <w:r/>
    </w:p>
    <w:p w14:paraId="05884A7F">
      <w:pPr>
        <w:pStyle w:val="2311"/>
        <w:pBdr/>
        <w:spacing w:after="0" w:before="0"/>
        <w:ind/>
        <w:jc w:val="both"/>
        <w:rPr/>
      </w:pPr>
      <w:r>
        <w:rPr>
          <w:b/>
          <w:bCs/>
          <w:sz w:val="22"/>
          <w:szCs w:val="22"/>
          <w:lang w:val="pt-BR"/>
        </w:rPr>
        <w:t xml:space="preserve">9.10.3. </w:t>
      </w:r>
      <w:r>
        <w:rPr>
          <w:sz w:val="22"/>
          <w:szCs w:val="22"/>
        </w:rPr>
        <w:t xml:space="preserve">Decurso</w:t>
      </w:r>
      <w:r>
        <w:rPr>
          <w:sz w:val="22"/>
          <w:szCs w:val="22"/>
        </w:rPr>
        <w:t xml:space="preserve"> de, no </w:t>
      </w:r>
      <w:r>
        <w:rPr>
          <w:sz w:val="22"/>
          <w:szCs w:val="22"/>
        </w:rPr>
        <w:t xml:space="preserve">mínimo</w:t>
      </w:r>
      <w:r>
        <w:rPr>
          <w:sz w:val="22"/>
          <w:szCs w:val="22"/>
        </w:rPr>
        <w:t xml:space="preserve">, 1 (um) </w:t>
      </w:r>
      <w:r>
        <w:rPr>
          <w:sz w:val="22"/>
          <w:szCs w:val="22"/>
        </w:rPr>
        <w:t xml:space="preserve">ano</w:t>
      </w:r>
      <w:r>
        <w:rPr>
          <w:sz w:val="22"/>
          <w:szCs w:val="22"/>
        </w:rPr>
        <w:t xml:space="preserve"> da </w:t>
      </w:r>
      <w:r>
        <w:rPr>
          <w:sz w:val="22"/>
          <w:szCs w:val="22"/>
        </w:rPr>
        <w:t xml:space="preserve">aplicação</w:t>
      </w:r>
      <w:r>
        <w:rPr>
          <w:sz w:val="22"/>
          <w:szCs w:val="22"/>
        </w:rPr>
        <w:t xml:space="preserve"> do </w:t>
      </w:r>
      <w:r>
        <w:rPr>
          <w:sz w:val="22"/>
          <w:szCs w:val="22"/>
        </w:rPr>
        <w:t xml:space="preserve">impedimento</w:t>
      </w:r>
      <w:r>
        <w:rPr>
          <w:sz w:val="22"/>
          <w:szCs w:val="22"/>
        </w:rPr>
        <w:t xml:space="preserve"> </w:t>
      </w:r>
      <w:r>
        <w:rPr>
          <w:sz w:val="22"/>
          <w:szCs w:val="22"/>
        </w:rPr>
        <w:t xml:space="preserve">ou</w:t>
      </w:r>
      <w:r>
        <w:rPr>
          <w:sz w:val="22"/>
          <w:szCs w:val="22"/>
        </w:rPr>
        <w:t xml:space="preserve"> 3 (</w:t>
      </w:r>
      <w:r>
        <w:rPr>
          <w:sz w:val="22"/>
          <w:szCs w:val="22"/>
        </w:rPr>
        <w:t xml:space="preserve">três</w:t>
      </w:r>
      <w:r>
        <w:rPr>
          <w:sz w:val="22"/>
          <w:szCs w:val="22"/>
        </w:rPr>
        <w:t xml:space="preserve">) </w:t>
      </w:r>
      <w:r>
        <w:rPr>
          <w:sz w:val="22"/>
          <w:szCs w:val="22"/>
        </w:rPr>
        <w:t xml:space="preserve">anos</w:t>
      </w:r>
      <w:r>
        <w:rPr>
          <w:sz w:val="22"/>
          <w:szCs w:val="22"/>
        </w:rPr>
        <w:t xml:space="preserve"> da </w:t>
      </w:r>
      <w:r>
        <w:rPr>
          <w:sz w:val="22"/>
          <w:szCs w:val="22"/>
        </w:rPr>
        <w:t xml:space="preserve">inidoneidade</w:t>
      </w:r>
      <w:r>
        <w:rPr>
          <w:sz w:val="22"/>
          <w:szCs w:val="22"/>
        </w:rPr>
        <w:t xml:space="preserve">;</w:t>
      </w:r>
      <w:r/>
    </w:p>
    <w:p w14:paraId="223FDD29">
      <w:pPr>
        <w:pStyle w:val="2311"/>
        <w:pBdr/>
        <w:spacing w:after="0" w:before="0"/>
        <w:ind/>
        <w:jc w:val="both"/>
        <w:rPr/>
      </w:pPr>
      <w:r>
        <w:rPr>
          <w:b/>
          <w:bCs/>
          <w:sz w:val="22"/>
          <w:szCs w:val="22"/>
          <w:lang w:val="pt-BR"/>
        </w:rPr>
        <w:t xml:space="preserve">9.10.4.</w:t>
      </w:r>
      <w:r>
        <w:rPr>
          <w:sz w:val="22"/>
          <w:szCs w:val="22"/>
          <w:lang w:val="pt-BR"/>
        </w:rPr>
        <w:t xml:space="preserve"> </w:t>
      </w:r>
      <w:r>
        <w:rPr>
          <w:sz w:val="22"/>
          <w:szCs w:val="22"/>
        </w:rPr>
        <w:t xml:space="preserve">Cumprimento</w:t>
      </w:r>
      <w:r>
        <w:rPr>
          <w:sz w:val="22"/>
          <w:szCs w:val="22"/>
        </w:rPr>
        <w:t xml:space="preserve"> das </w:t>
      </w:r>
      <w:r>
        <w:rPr>
          <w:sz w:val="22"/>
          <w:szCs w:val="22"/>
        </w:rPr>
        <w:t xml:space="preserve">condições</w:t>
      </w:r>
      <w:r>
        <w:rPr>
          <w:sz w:val="22"/>
          <w:szCs w:val="22"/>
        </w:rPr>
        <w:t xml:space="preserve"> </w:t>
      </w:r>
      <w:r>
        <w:rPr>
          <w:sz w:val="22"/>
          <w:szCs w:val="22"/>
        </w:rPr>
        <w:t xml:space="preserve">estipuladas</w:t>
      </w:r>
      <w:r>
        <w:rPr>
          <w:sz w:val="22"/>
          <w:szCs w:val="22"/>
        </w:rPr>
        <w:t xml:space="preserve"> no </w:t>
      </w:r>
      <w:r>
        <w:rPr>
          <w:sz w:val="22"/>
          <w:szCs w:val="22"/>
        </w:rPr>
        <w:t xml:space="preserve">ato</w:t>
      </w:r>
      <w:r>
        <w:rPr>
          <w:sz w:val="22"/>
          <w:szCs w:val="22"/>
        </w:rPr>
        <w:t xml:space="preserve"> </w:t>
      </w:r>
      <w:r>
        <w:rPr>
          <w:sz w:val="22"/>
          <w:szCs w:val="22"/>
        </w:rPr>
        <w:t xml:space="preserve">sancionador</w:t>
      </w:r>
      <w:r>
        <w:rPr>
          <w:sz w:val="22"/>
          <w:szCs w:val="22"/>
        </w:rPr>
        <w:t xml:space="preserve">;</w:t>
      </w:r>
      <w:r/>
    </w:p>
    <w:p w14:paraId="49FF80DC">
      <w:pPr>
        <w:pStyle w:val="2311"/>
        <w:pBdr/>
        <w:spacing w:after="0" w:before="0"/>
        <w:ind/>
        <w:jc w:val="both"/>
        <w:rPr/>
      </w:pPr>
      <w:r>
        <w:rPr>
          <w:b/>
          <w:bCs/>
          <w:sz w:val="22"/>
          <w:szCs w:val="22"/>
          <w:lang w:val="pt-BR"/>
        </w:rPr>
        <w:t xml:space="preserve">9.10.5</w:t>
      </w:r>
      <w:r>
        <w:rPr>
          <w:sz w:val="22"/>
          <w:szCs w:val="22"/>
          <w:lang w:val="pt-BR"/>
        </w:rPr>
        <w:t xml:space="preserve">. </w:t>
      </w:r>
      <w:r>
        <w:rPr>
          <w:sz w:val="22"/>
          <w:szCs w:val="22"/>
        </w:rPr>
        <w:t xml:space="preserve">Parecer</w:t>
      </w:r>
      <w:r>
        <w:rPr>
          <w:sz w:val="22"/>
          <w:szCs w:val="22"/>
        </w:rPr>
        <w:t xml:space="preserve"> </w:t>
      </w:r>
      <w:r>
        <w:rPr>
          <w:sz w:val="22"/>
          <w:szCs w:val="22"/>
        </w:rPr>
        <w:t xml:space="preserve">jurídico</w:t>
      </w:r>
      <w:r>
        <w:rPr>
          <w:sz w:val="22"/>
          <w:szCs w:val="22"/>
        </w:rPr>
        <w:t xml:space="preserve"> </w:t>
      </w:r>
      <w:r>
        <w:rPr>
          <w:sz w:val="22"/>
          <w:szCs w:val="22"/>
        </w:rPr>
        <w:t xml:space="preserve">conclusivo</w:t>
      </w:r>
      <w:r>
        <w:rPr>
          <w:sz w:val="22"/>
          <w:szCs w:val="22"/>
        </w:rPr>
        <w:t xml:space="preserve"> </w:t>
      </w:r>
      <w:r>
        <w:rPr>
          <w:sz w:val="22"/>
          <w:szCs w:val="22"/>
        </w:rPr>
        <w:t xml:space="preserve">favorável</w:t>
      </w:r>
      <w:r>
        <w:rPr>
          <w:sz w:val="22"/>
          <w:szCs w:val="22"/>
        </w:rPr>
        <w:t xml:space="preserve"> à </w:t>
      </w:r>
      <w:r>
        <w:rPr>
          <w:sz w:val="22"/>
          <w:szCs w:val="22"/>
        </w:rPr>
        <w:t xml:space="preserve">reabilitação</w:t>
      </w:r>
      <w:r>
        <w:rPr>
          <w:sz w:val="22"/>
          <w:szCs w:val="22"/>
        </w:rPr>
        <w:t xml:space="preserve">.</w:t>
      </w:r>
      <w:r/>
    </w:p>
    <w:p w14:paraId="11EF87F4">
      <w:pPr>
        <w:pStyle w:val="2311"/>
        <w:pBdr/>
        <w:spacing w:after="0" w:before="0"/>
        <w:ind/>
        <w:jc w:val="both"/>
        <w:rPr>
          <w:sz w:val="22"/>
          <w:szCs w:val="22"/>
        </w:rPr>
      </w:pPr>
      <w:r>
        <w:rPr>
          <w:b/>
          <w:bCs/>
          <w:sz w:val="22"/>
          <w:szCs w:val="22"/>
          <w:lang w:val="pt-BR"/>
        </w:rPr>
        <w:t xml:space="preserve">9.11. </w:t>
      </w:r>
      <w:r>
        <w:rPr>
          <w:sz w:val="22"/>
          <w:szCs w:val="22"/>
        </w:rPr>
        <w:t xml:space="preserve">Por </w:t>
      </w:r>
      <w:r>
        <w:rPr>
          <w:sz w:val="22"/>
          <w:szCs w:val="22"/>
        </w:rPr>
        <w:t xml:space="preserve">fim</w:t>
      </w:r>
      <w:r>
        <w:rPr>
          <w:sz w:val="22"/>
          <w:szCs w:val="22"/>
        </w:rPr>
        <w:t xml:space="preserve">, </w:t>
      </w:r>
      <w:r>
        <w:rPr>
          <w:sz w:val="22"/>
          <w:szCs w:val="22"/>
        </w:rPr>
        <w:t xml:space="preserve">conforme</w:t>
      </w:r>
      <w:r>
        <w:rPr>
          <w:sz w:val="22"/>
          <w:szCs w:val="22"/>
        </w:rPr>
        <w:t xml:space="preserve"> art. 161 da Lei nº 14.133/2021, as </w:t>
      </w:r>
      <w:r>
        <w:rPr>
          <w:sz w:val="22"/>
          <w:szCs w:val="22"/>
        </w:rPr>
        <w:t xml:space="preserve">penalidades</w:t>
      </w:r>
      <w:r>
        <w:rPr>
          <w:sz w:val="22"/>
          <w:szCs w:val="22"/>
        </w:rPr>
        <w:t xml:space="preserve"> </w:t>
      </w:r>
      <w:r>
        <w:rPr>
          <w:sz w:val="22"/>
          <w:szCs w:val="22"/>
        </w:rPr>
        <w:t xml:space="preserve">aplicadas</w:t>
      </w:r>
      <w:r>
        <w:rPr>
          <w:sz w:val="22"/>
          <w:szCs w:val="22"/>
        </w:rPr>
        <w:t xml:space="preserve"> </w:t>
      </w:r>
      <w:r>
        <w:rPr>
          <w:sz w:val="22"/>
          <w:szCs w:val="22"/>
        </w:rPr>
        <w:t xml:space="preserve">deverão</w:t>
      </w:r>
      <w:r>
        <w:rPr>
          <w:sz w:val="22"/>
          <w:szCs w:val="22"/>
        </w:rPr>
        <w:t xml:space="preserve"> ser </w:t>
      </w:r>
      <w:r>
        <w:rPr>
          <w:sz w:val="22"/>
          <w:szCs w:val="22"/>
        </w:rPr>
        <w:t xml:space="preserve">devidamente</w:t>
      </w:r>
      <w:r>
        <w:rPr>
          <w:sz w:val="22"/>
          <w:szCs w:val="22"/>
        </w:rPr>
        <w:t xml:space="preserve"> </w:t>
      </w:r>
      <w:r>
        <w:rPr>
          <w:sz w:val="22"/>
          <w:szCs w:val="22"/>
        </w:rPr>
        <w:t xml:space="preserve">informadas</w:t>
      </w:r>
      <w:r>
        <w:rPr>
          <w:sz w:val="22"/>
          <w:szCs w:val="22"/>
        </w:rPr>
        <w:t xml:space="preserve"> e </w:t>
      </w:r>
      <w:r>
        <w:rPr>
          <w:sz w:val="22"/>
          <w:szCs w:val="22"/>
        </w:rPr>
        <w:t xml:space="preserve">atualizadas</w:t>
      </w:r>
      <w:r>
        <w:rPr>
          <w:sz w:val="22"/>
          <w:szCs w:val="22"/>
        </w:rPr>
        <w:t xml:space="preserve"> no </w:t>
      </w:r>
      <w:r>
        <w:rPr>
          <w:sz w:val="22"/>
          <w:szCs w:val="22"/>
        </w:rPr>
        <w:t xml:space="preserve">prazo</w:t>
      </w:r>
      <w:r>
        <w:rPr>
          <w:sz w:val="22"/>
          <w:szCs w:val="22"/>
        </w:rPr>
        <w:t xml:space="preserve"> de </w:t>
      </w:r>
      <w:r>
        <w:rPr>
          <w:sz w:val="22"/>
          <w:szCs w:val="22"/>
        </w:rPr>
        <w:t xml:space="preserve">até</w:t>
      </w:r>
      <w:r>
        <w:rPr>
          <w:sz w:val="22"/>
          <w:szCs w:val="22"/>
        </w:rPr>
        <w:t xml:space="preserve"> 15 (quinze) </w:t>
      </w:r>
      <w:r>
        <w:rPr>
          <w:sz w:val="22"/>
          <w:szCs w:val="22"/>
        </w:rPr>
        <w:t xml:space="preserve">dias</w:t>
      </w:r>
      <w:r>
        <w:rPr>
          <w:sz w:val="22"/>
          <w:szCs w:val="22"/>
        </w:rPr>
        <w:t xml:space="preserve"> </w:t>
      </w:r>
      <w:r>
        <w:rPr>
          <w:sz w:val="22"/>
          <w:szCs w:val="22"/>
        </w:rPr>
        <w:t xml:space="preserve">úteis</w:t>
      </w:r>
      <w:r>
        <w:rPr>
          <w:sz w:val="22"/>
          <w:szCs w:val="22"/>
        </w:rPr>
        <w:t xml:space="preserve"> </w:t>
      </w:r>
      <w:r>
        <w:rPr>
          <w:sz w:val="22"/>
          <w:szCs w:val="22"/>
        </w:rPr>
        <w:t xml:space="preserve">nos</w:t>
      </w:r>
      <w:r>
        <w:rPr>
          <w:sz w:val="22"/>
          <w:szCs w:val="22"/>
        </w:rPr>
        <w:t xml:space="preserve"> </w:t>
      </w:r>
      <w:r>
        <w:rPr>
          <w:sz w:val="22"/>
          <w:szCs w:val="22"/>
        </w:rPr>
        <w:t xml:space="preserve">sistemas</w:t>
      </w:r>
      <w:r>
        <w:rPr>
          <w:sz w:val="22"/>
          <w:szCs w:val="22"/>
        </w:rPr>
        <w:t xml:space="preserve"> de </w:t>
      </w:r>
      <w:r>
        <w:rPr>
          <w:sz w:val="22"/>
          <w:szCs w:val="22"/>
        </w:rPr>
        <w:t xml:space="preserve">controle</w:t>
      </w:r>
      <w:r>
        <w:rPr>
          <w:sz w:val="22"/>
          <w:szCs w:val="22"/>
        </w:rPr>
        <w:t xml:space="preserve"> da </w:t>
      </w:r>
      <w:r>
        <w:rPr>
          <w:sz w:val="22"/>
          <w:szCs w:val="22"/>
        </w:rPr>
        <w:t xml:space="preserve">Administração</w:t>
      </w:r>
      <w:r>
        <w:rPr>
          <w:sz w:val="22"/>
          <w:szCs w:val="22"/>
        </w:rPr>
        <w:t xml:space="preserve"> </w:t>
      </w:r>
      <w:r>
        <w:rPr>
          <w:sz w:val="22"/>
          <w:szCs w:val="22"/>
        </w:rPr>
        <w:t xml:space="preserve">Pública</w:t>
      </w:r>
      <w:r>
        <w:rPr>
          <w:sz w:val="22"/>
          <w:szCs w:val="22"/>
        </w:rPr>
        <w:t xml:space="preserve">, tais </w:t>
      </w:r>
      <w:r>
        <w:rPr>
          <w:sz w:val="22"/>
          <w:szCs w:val="22"/>
        </w:rPr>
        <w:t xml:space="preserve">como</w:t>
      </w:r>
      <w:r>
        <w:rPr>
          <w:sz w:val="22"/>
          <w:szCs w:val="22"/>
        </w:rPr>
        <w:t xml:space="preserve"> o </w:t>
      </w:r>
      <w:r>
        <w:rPr>
          <w:sz w:val="22"/>
          <w:szCs w:val="22"/>
        </w:rPr>
        <w:t xml:space="preserve">Cadastro</w:t>
      </w:r>
      <w:r>
        <w:rPr>
          <w:sz w:val="22"/>
          <w:szCs w:val="22"/>
        </w:rPr>
        <w:t xml:space="preserve"> Nacional de </w:t>
      </w:r>
      <w:r>
        <w:rPr>
          <w:sz w:val="22"/>
          <w:szCs w:val="22"/>
        </w:rPr>
        <w:t xml:space="preserve">Empresas</w:t>
      </w:r>
      <w:r>
        <w:rPr>
          <w:sz w:val="22"/>
          <w:szCs w:val="22"/>
        </w:rPr>
        <w:t xml:space="preserve"> </w:t>
      </w:r>
      <w:r>
        <w:rPr>
          <w:sz w:val="22"/>
          <w:szCs w:val="22"/>
        </w:rPr>
        <w:t xml:space="preserve">Inidôneas</w:t>
      </w:r>
      <w:r>
        <w:rPr>
          <w:sz w:val="22"/>
          <w:szCs w:val="22"/>
        </w:rPr>
        <w:t xml:space="preserve"> e </w:t>
      </w:r>
      <w:r>
        <w:rPr>
          <w:sz w:val="22"/>
          <w:szCs w:val="22"/>
        </w:rPr>
        <w:t xml:space="preserve">Suspensas</w:t>
      </w:r>
      <w:r>
        <w:rPr>
          <w:sz w:val="22"/>
          <w:szCs w:val="22"/>
        </w:rPr>
        <w:t xml:space="preserve"> (CEIS) e o </w:t>
      </w:r>
      <w:r>
        <w:rPr>
          <w:sz w:val="22"/>
          <w:szCs w:val="22"/>
        </w:rPr>
        <w:t xml:space="preserve">Cadastro</w:t>
      </w:r>
      <w:r>
        <w:rPr>
          <w:sz w:val="22"/>
          <w:szCs w:val="22"/>
        </w:rPr>
        <w:t xml:space="preserve"> Nacional de </w:t>
      </w:r>
      <w:r>
        <w:rPr>
          <w:sz w:val="22"/>
          <w:szCs w:val="22"/>
        </w:rPr>
        <w:t xml:space="preserve">Empresas</w:t>
      </w:r>
      <w:r>
        <w:rPr>
          <w:sz w:val="22"/>
          <w:szCs w:val="22"/>
        </w:rPr>
        <w:t xml:space="preserve"> </w:t>
      </w:r>
      <w:r>
        <w:rPr>
          <w:sz w:val="22"/>
          <w:szCs w:val="22"/>
        </w:rPr>
        <w:t xml:space="preserve">Punidas</w:t>
      </w:r>
      <w:r>
        <w:rPr>
          <w:sz w:val="22"/>
          <w:szCs w:val="22"/>
        </w:rPr>
        <w:t xml:space="preserve"> (CNEP), a </w:t>
      </w:r>
      <w:r>
        <w:rPr>
          <w:sz w:val="22"/>
          <w:szCs w:val="22"/>
        </w:rPr>
        <w:t xml:space="preserve">fim</w:t>
      </w:r>
      <w:r>
        <w:rPr>
          <w:sz w:val="22"/>
          <w:szCs w:val="22"/>
        </w:rPr>
        <w:t xml:space="preserve"> de </w:t>
      </w:r>
      <w:r>
        <w:rPr>
          <w:sz w:val="22"/>
          <w:szCs w:val="22"/>
        </w:rPr>
        <w:t xml:space="preserve">garantir</w:t>
      </w:r>
      <w:r>
        <w:rPr>
          <w:sz w:val="22"/>
          <w:szCs w:val="22"/>
        </w:rPr>
        <w:t xml:space="preserve"> a </w:t>
      </w:r>
      <w:r>
        <w:rPr>
          <w:sz w:val="22"/>
          <w:szCs w:val="22"/>
        </w:rPr>
        <w:t xml:space="preserve">devida</w:t>
      </w:r>
      <w:r>
        <w:rPr>
          <w:sz w:val="22"/>
          <w:szCs w:val="22"/>
        </w:rPr>
        <w:t xml:space="preserve"> </w:t>
      </w:r>
      <w:r>
        <w:rPr>
          <w:sz w:val="22"/>
          <w:szCs w:val="22"/>
        </w:rPr>
        <w:t xml:space="preserve">publicidade</w:t>
      </w:r>
      <w:r>
        <w:rPr>
          <w:sz w:val="22"/>
          <w:szCs w:val="22"/>
        </w:rPr>
        <w:t xml:space="preserve"> e </w:t>
      </w:r>
      <w:r>
        <w:rPr>
          <w:sz w:val="22"/>
          <w:szCs w:val="22"/>
        </w:rPr>
        <w:t xml:space="preserve">transparência</w:t>
      </w:r>
      <w:r>
        <w:rPr>
          <w:sz w:val="22"/>
          <w:szCs w:val="22"/>
        </w:rPr>
        <w:t xml:space="preserve">.</w:t>
      </w:r>
      <w:r>
        <w:rPr>
          <w:sz w:val="22"/>
          <w:szCs w:val="22"/>
        </w:rPr>
      </w:r>
      <w:r>
        <w:rPr>
          <w:sz w:val="22"/>
          <w:szCs w:val="22"/>
        </w:rPr>
      </w:r>
    </w:p>
    <w:p w14:paraId="600EB970">
      <w:pPr>
        <w:pStyle w:val="2311"/>
        <w:pBdr/>
        <w:spacing w:after="0" w:before="0"/>
        <w:ind/>
        <w:jc w:val="both"/>
        <w:rPr>
          <w:sz w:val="10"/>
          <w:szCs w:val="10"/>
        </w:rPr>
      </w:pPr>
      <w:r>
        <w:rPr>
          <w:sz w:val="10"/>
          <w:szCs w:val="10"/>
        </w:rPr>
      </w:r>
      <w:r>
        <w:rPr>
          <w:sz w:val="10"/>
          <w:szCs w:val="10"/>
        </w:rPr>
      </w:r>
      <w:r>
        <w:rPr>
          <w:sz w:val="10"/>
          <w:szCs w:val="10"/>
        </w:rPr>
      </w:r>
    </w:p>
    <w:p w14:paraId="0F49B7FD">
      <w:pPr>
        <w:pBdr/>
        <w:shd w:val="clear" w:color="auto" w:fill="cccccc"/>
        <w:spacing/>
        <w:ind/>
        <w:jc w:val="both"/>
        <w:rPr/>
      </w:pPr>
      <w:r>
        <w:rPr>
          <w:rFonts w:ascii="Times New Roman" w:hAnsi="Times New Roman" w:cs="Times New Roman"/>
          <w:b/>
          <w:bCs/>
        </w:rPr>
        <w:t xml:space="preserve">10 – ESTIMATIVAS DO VALOR DA CONTRATAÇÃO </w:t>
      </w:r>
      <w:r/>
    </w:p>
    <w:p w14:paraId="54D16F77">
      <w:pPr>
        <w:pBdr/>
        <w:spacing/>
        <w:ind/>
        <w:jc w:val="both"/>
        <w:rPr>
          <w:rFonts w:ascii="Times New Roman" w:hAnsi="Times New Roman" w:cs="Times New Roman"/>
          <w:sz w:val="10"/>
          <w:szCs w:val="10"/>
        </w:rPr>
      </w:pPr>
      <w:r>
        <w:rPr>
          <w:rFonts w:ascii="Times New Roman" w:hAnsi="Times New Roman" w:cs="Times New Roman"/>
          <w:sz w:val="10"/>
          <w:szCs w:val="10"/>
        </w:rPr>
      </w:r>
      <w:r>
        <w:rPr>
          <w:rFonts w:ascii="Times New Roman" w:hAnsi="Times New Roman" w:cs="Times New Roman"/>
          <w:sz w:val="10"/>
          <w:szCs w:val="10"/>
        </w:rPr>
      </w:r>
      <w:r>
        <w:rPr>
          <w:rFonts w:ascii="Times New Roman" w:hAnsi="Times New Roman" w:cs="Times New Roman"/>
          <w:sz w:val="10"/>
          <w:szCs w:val="10"/>
        </w:rPr>
      </w:r>
    </w:p>
    <w:p w14:paraId="12DAAB92">
      <w:pPr>
        <w:pBdr/>
        <w:spacing/>
        <w:ind/>
        <w:jc w:val="both"/>
        <w:rPr>
          <w:rFonts w:ascii="Times New Roman" w:hAnsi="Times New Roman" w:cs="Times New Roman"/>
          <w:sz w:val="10"/>
          <w:szCs w:val="10"/>
        </w:rPr>
      </w:pPr>
      <w:r>
        <w:rPr>
          <w:rFonts w:ascii="Times New Roman" w:hAnsi="Times New Roman" w:cs="Times New Roman"/>
          <w:sz w:val="10"/>
          <w:szCs w:val="10"/>
        </w:rPr>
      </w:r>
      <w:r>
        <w:rPr>
          <w:rFonts w:ascii="Times New Roman" w:hAnsi="Times New Roman" w:cs="Times New Roman"/>
          <w:sz w:val="10"/>
          <w:szCs w:val="10"/>
        </w:rPr>
      </w:r>
      <w:r>
        <w:rPr>
          <w:rFonts w:ascii="Times New Roman" w:hAnsi="Times New Roman" w:cs="Times New Roman"/>
          <w:sz w:val="10"/>
          <w:szCs w:val="10"/>
        </w:rPr>
      </w:r>
    </w:p>
    <w:p w14:paraId="4D20C316">
      <w:pPr>
        <w:pBdr/>
        <w:spacing/>
        <w:ind/>
        <w:jc w:val="both"/>
        <w:rPr/>
      </w:pPr>
      <w:r>
        <w:rPr>
          <w:rFonts w:ascii="Times New Roman" w:hAnsi="Times New Roman" w:cs="Times New Roman"/>
          <w:b/>
          <w:bCs/>
          <w:lang w:val="pt-BR"/>
        </w:rPr>
        <w:t xml:space="preserve">10.1. </w:t>
      </w:r>
      <w:r>
        <w:rPr>
          <w:rFonts w:ascii="Times New Roman" w:hAnsi="Times New Roman" w:cs="Times New Roman"/>
        </w:rPr>
        <w:t xml:space="preserve">O custo estimado total da contratação é de</w:t>
      </w:r>
      <w:r>
        <w:rPr>
          <w:rFonts w:ascii="Times New Roman" w:hAnsi="Times New Roman" w:cs="Times New Roman"/>
          <w:color w:val="ff0000"/>
        </w:rPr>
        <w:t xml:space="preserve"> </w:t>
      </w:r>
      <w:r>
        <w:rPr>
          <w:rFonts w:ascii="Times New Roman" w:hAnsi="Times New Roman" w:cs="Times New Roman"/>
          <w:b/>
          <w:bCs/>
        </w:rPr>
        <w:t xml:space="preserve">R$ </w:t>
      </w:r>
      <w:r>
        <w:rPr>
          <w:rFonts w:ascii="Times New Roman" w:hAnsi="Times New Roman" w:cs="Times New Roman"/>
          <w:b/>
          <w:bCs/>
          <w:lang w:val="pt-BR"/>
        </w:rPr>
        <w:t xml:space="preserve">954.385,33</w:t>
      </w:r>
      <w:r>
        <w:rPr>
          <w:rFonts w:ascii="Times New Roman" w:hAnsi="Times New Roman" w:cs="Times New Roman"/>
          <w:b/>
          <w:bCs/>
        </w:rPr>
        <w:t xml:space="preserve"> </w:t>
      </w:r>
      <w:r>
        <w:rPr>
          <w:rFonts w:ascii="Times New Roman" w:hAnsi="Times New Roman" w:cs="Times New Roman"/>
          <w:b/>
          <w:bCs/>
        </w:rPr>
        <w:t xml:space="preserve">( NOVECENTOS</w:t>
      </w:r>
      <w:r>
        <w:rPr>
          <w:rFonts w:ascii="Times New Roman" w:hAnsi="Times New Roman" w:cs="Times New Roman"/>
          <w:b/>
          <w:bCs/>
        </w:rPr>
        <w:t xml:space="preserve"> E CINQUENTA E QUATRO MIL E TREZENTOS E OITENTA E CINCO REAIS E TRINTA E TRÊS CENTAVOS</w:t>
      </w:r>
      <w:r>
        <w:rPr>
          <w:rFonts w:ascii="Times New Roman" w:hAnsi="Times New Roman" w:cs="Times New Roman"/>
          <w:b/>
          <w:bCs/>
        </w:rPr>
        <w:t xml:space="preserve">)</w:t>
      </w:r>
      <w:r>
        <w:rPr>
          <w:rFonts w:ascii="Times New Roman" w:hAnsi="Times New Roman" w:cs="Times New Roman"/>
        </w:rPr>
        <w:t xml:space="preserve">, conforme valores apostos na tabela disposta no item 1.</w:t>
      </w:r>
      <w:r/>
    </w:p>
    <w:p w14:paraId="0179F7BD">
      <w:pPr>
        <w:pStyle w:val="2010"/>
        <w:pBdr/>
        <w:spacing/>
        <w:ind w:right="330"/>
        <w:jc w:val="both"/>
        <w:rPr/>
      </w:pPr>
      <w:r>
        <w:rPr>
          <w:rFonts w:ascii="Times New Roman" w:hAnsi="Times New Roman" w:cs="Times New Roman"/>
          <w:b/>
          <w:bCs/>
          <w:sz w:val="22"/>
          <w:szCs w:val="22"/>
          <w:lang w:val="pt-BR"/>
        </w:rPr>
        <w:t xml:space="preserve">10.2. </w:t>
      </w:r>
      <w:r>
        <w:rPr>
          <w:rFonts w:ascii="Times New Roman" w:hAnsi="Times New Roman" w:cs="Times New Roman"/>
          <w:sz w:val="22"/>
          <w:szCs w:val="22"/>
        </w:rPr>
        <w:t xml:space="preserve">Foi realizado pesquisa de preços em sites públicos como,</w:t>
      </w:r>
      <w:r>
        <w:rPr>
          <w:rFonts w:ascii="Times New Roman" w:hAnsi="Times New Roman" w:cs="Times New Roman"/>
          <w:sz w:val="22"/>
          <w:szCs w:val="22"/>
        </w:rPr>
        <w:t xml:space="preserve"> Banco</w:t>
      </w:r>
      <w:r>
        <w:rPr>
          <w:rFonts w:ascii="Times New Roman" w:hAnsi="Times New Roman" w:cs="Times New Roman"/>
          <w:sz w:val="22"/>
          <w:szCs w:val="22"/>
          <w:lang w:val="pt-BR"/>
        </w:rPr>
        <w:t xml:space="preserve"> </w:t>
      </w:r>
      <w:r>
        <w:rPr>
          <w:rFonts w:ascii="Times New Roman" w:hAnsi="Times New Roman" w:cs="Times New Roman"/>
          <w:sz w:val="22"/>
          <w:szCs w:val="22"/>
        </w:rPr>
        <w:t xml:space="preserve">de Preços,</w:t>
      </w:r>
      <w:r>
        <w:rPr>
          <w:rFonts w:ascii="Times New Roman" w:hAnsi="Times New Roman" w:cs="Times New Roman"/>
          <w:sz w:val="22"/>
          <w:szCs w:val="22"/>
          <w:lang w:val="pt-BR"/>
        </w:rPr>
        <w:t xml:space="preserve"> o</w:t>
      </w:r>
      <w:r>
        <w:rPr>
          <w:rFonts w:ascii="Times New Roman" w:hAnsi="Times New Roman" w:cs="Times New Roman"/>
          <w:sz w:val="22"/>
          <w:szCs w:val="22"/>
        </w:rPr>
        <w:t xml:space="preserve">nde obtivemos os seguintes valores:</w:t>
      </w:r>
      <w:r/>
    </w:p>
    <w:p w14:paraId="021A199C">
      <w:pPr>
        <w:pStyle w:val="2010"/>
        <w:pBdr/>
        <w:spacing/>
        <w:ind w:right="330"/>
        <w:jc w:val="both"/>
        <w:rPr>
          <w:rFonts w:ascii="Times New Roman" w:hAnsi="Times New Roman" w:cs="Times New Roman"/>
          <w:sz w:val="10"/>
          <w:szCs w:val="10"/>
        </w:rPr>
      </w:pPr>
      <w:r>
        <w:rPr>
          <w:rFonts w:ascii="Times New Roman" w:hAnsi="Times New Roman" w:cs="Times New Roman"/>
          <w:sz w:val="10"/>
          <w:szCs w:val="10"/>
        </w:rPr>
      </w:r>
      <w:r>
        <w:rPr>
          <w:rFonts w:ascii="Times New Roman" w:hAnsi="Times New Roman" w:cs="Times New Roman"/>
          <w:sz w:val="10"/>
          <w:szCs w:val="10"/>
        </w:rPr>
      </w:r>
      <w:r>
        <w:rPr>
          <w:rFonts w:ascii="Times New Roman" w:hAnsi="Times New Roman" w:cs="Times New Roman"/>
          <w:sz w:val="10"/>
          <w:szCs w:val="10"/>
        </w:rPr>
      </w:r>
    </w:p>
    <w:p w14:paraId="3A8BB373">
      <w:pPr>
        <w:pStyle w:val="2010"/>
        <w:pBdr/>
        <w:spacing/>
        <w:ind w:right="330"/>
        <w:jc w:val="both"/>
        <w:rPr>
          <w:rFonts w:ascii="Times New Roman" w:hAnsi="Times New Roman" w:cs="Times New Roman"/>
          <w:sz w:val="10"/>
          <w:szCs w:val="10"/>
        </w:rPr>
      </w:pPr>
      <w:r>
        <w:rPr>
          <w:rFonts w:ascii="Times New Roman" w:hAnsi="Times New Roman" w:cs="Times New Roman"/>
          <w:sz w:val="10"/>
          <w:szCs w:val="10"/>
        </w:rPr>
      </w:r>
      <w:r>
        <w:rPr>
          <w:rFonts w:ascii="Times New Roman" w:hAnsi="Times New Roman" w:cs="Times New Roman"/>
          <w:sz w:val="10"/>
          <w:szCs w:val="10"/>
        </w:rPr>
      </w:r>
      <w:r>
        <w:rPr>
          <w:rFonts w:ascii="Times New Roman" w:hAnsi="Times New Roman" w:cs="Times New Roman"/>
          <w:sz w:val="10"/>
          <w:szCs w:val="10"/>
        </w:rPr>
      </w:r>
    </w:p>
    <w:p w14:paraId="16DBB55C">
      <w:pPr>
        <w:pStyle w:val="2010"/>
        <w:pBdr/>
        <w:spacing/>
        <w:ind w:right="330"/>
        <w:jc w:val="both"/>
        <w:rPr>
          <w:rFonts w:ascii="Times New Roman" w:hAnsi="Times New Roman" w:cs="Times New Roman"/>
          <w:sz w:val="10"/>
          <w:szCs w:val="10"/>
        </w:rPr>
      </w:pPr>
      <w:r>
        <w:rPr>
          <w:rFonts w:ascii="Times New Roman" w:hAnsi="Times New Roman" w:cs="Times New Roman"/>
          <w:sz w:val="10"/>
          <w:szCs w:val="10"/>
        </w:rPr>
      </w:r>
      <w:r>
        <w:rPr>
          <w:rFonts w:ascii="Times New Roman" w:hAnsi="Times New Roman" w:cs="Times New Roman"/>
          <w:sz w:val="10"/>
          <w:szCs w:val="10"/>
        </w:rPr>
      </w:r>
      <w:r>
        <w:rPr>
          <w:rFonts w:ascii="Times New Roman" w:hAnsi="Times New Roman" w:cs="Times New Roman"/>
          <w:sz w:val="10"/>
          <w:szCs w:val="10"/>
        </w:rPr>
      </w:r>
    </w:p>
    <w:p w14:paraId="38F3F929">
      <w:pPr>
        <w:pStyle w:val="2010"/>
        <w:pBdr/>
        <w:spacing/>
        <w:ind w:right="330"/>
        <w:jc w:val="both"/>
        <w:rPr>
          <w:rFonts w:ascii="Times New Roman" w:hAnsi="Times New Roman" w:cs="Times New Roman"/>
          <w:sz w:val="10"/>
          <w:szCs w:val="10"/>
        </w:rPr>
      </w:pPr>
      <w:r>
        <w:rPr>
          <w:rFonts w:ascii="Times New Roman" w:hAnsi="Times New Roman" w:cs="Times New Roman"/>
          <w:sz w:val="10"/>
          <w:szCs w:val="10"/>
        </w:rPr>
      </w:r>
      <w:r>
        <w:rPr>
          <w:rFonts w:ascii="Times New Roman" w:hAnsi="Times New Roman" w:cs="Times New Roman"/>
          <w:sz w:val="10"/>
          <w:szCs w:val="10"/>
        </w:rPr>
      </w:r>
      <w:r>
        <w:rPr>
          <w:rFonts w:ascii="Times New Roman" w:hAnsi="Times New Roman" w:cs="Times New Roman"/>
          <w:sz w:val="10"/>
          <w:szCs w:val="10"/>
        </w:rPr>
      </w:r>
    </w:p>
    <w:p w14:paraId="0C0D9544">
      <w:pPr>
        <w:pStyle w:val="2010"/>
        <w:pBdr/>
        <w:spacing/>
        <w:ind w:right="330"/>
        <w:jc w:val="both"/>
        <w:rPr>
          <w:rFonts w:ascii="Times New Roman" w:hAnsi="Times New Roman" w:cs="Times New Roman"/>
          <w:sz w:val="10"/>
          <w:szCs w:val="10"/>
        </w:rPr>
      </w:pPr>
      <w:r>
        <w:rPr>
          <w:rFonts w:ascii="Times New Roman" w:hAnsi="Times New Roman" w:cs="Times New Roman"/>
          <w:sz w:val="10"/>
          <w:szCs w:val="10"/>
        </w:rPr>
      </w:r>
      <w:r>
        <w:rPr>
          <w:rFonts w:ascii="Times New Roman" w:hAnsi="Times New Roman" w:cs="Times New Roman"/>
          <w:sz w:val="10"/>
          <w:szCs w:val="10"/>
        </w:rPr>
      </w:r>
      <w:r>
        <w:rPr>
          <w:rFonts w:ascii="Times New Roman" w:hAnsi="Times New Roman" w:cs="Times New Roman"/>
          <w:sz w:val="10"/>
          <w:szCs w:val="10"/>
        </w:rPr>
      </w:r>
    </w:p>
    <w:p w14:paraId="5AACEFDC">
      <w:pPr>
        <w:pStyle w:val="2010"/>
        <w:pBdr/>
        <w:spacing/>
        <w:ind w:right="330"/>
        <w:jc w:val="both"/>
        <w:rPr>
          <w:rFonts w:ascii="Times New Roman" w:hAnsi="Times New Roman" w:cs="Times New Roman"/>
          <w:sz w:val="10"/>
          <w:szCs w:val="10"/>
        </w:rPr>
      </w:pPr>
      <w:r>
        <w:rPr>
          <w:rFonts w:ascii="Times New Roman" w:hAnsi="Times New Roman" w:cs="Times New Roman"/>
          <w:sz w:val="10"/>
          <w:szCs w:val="10"/>
        </w:rPr>
      </w:r>
      <w:r>
        <w:rPr>
          <w:rFonts w:ascii="Times New Roman" w:hAnsi="Times New Roman" w:cs="Times New Roman"/>
          <w:sz w:val="10"/>
          <w:szCs w:val="10"/>
        </w:rPr>
      </w:r>
      <w:r>
        <w:rPr>
          <w:rFonts w:ascii="Times New Roman" w:hAnsi="Times New Roman" w:cs="Times New Roman"/>
          <w:sz w:val="10"/>
          <w:szCs w:val="10"/>
        </w:rPr>
      </w:r>
    </w:p>
    <w:p w14:paraId="7EAEEC50">
      <w:pPr>
        <w:pStyle w:val="2010"/>
        <w:pBdr/>
        <w:spacing/>
        <w:ind w:right="330"/>
        <w:jc w:val="both"/>
        <w:rPr>
          <w:rFonts w:ascii="Times New Roman" w:hAnsi="Times New Roman" w:cs="Times New Roman"/>
          <w:sz w:val="10"/>
          <w:szCs w:val="10"/>
        </w:rPr>
      </w:pPr>
      <w:r>
        <w:rPr>
          <w:rFonts w:ascii="Times New Roman" w:hAnsi="Times New Roman" w:cs="Times New Roman"/>
          <w:sz w:val="10"/>
          <w:szCs w:val="10"/>
        </w:rPr>
      </w:r>
      <w:r>
        <w:rPr>
          <w:rFonts w:ascii="Times New Roman" w:hAnsi="Times New Roman" w:cs="Times New Roman"/>
          <w:sz w:val="10"/>
          <w:szCs w:val="10"/>
        </w:rPr>
      </w:r>
      <w:r>
        <w:rPr>
          <w:rFonts w:ascii="Times New Roman" w:hAnsi="Times New Roman" w:cs="Times New Roman"/>
          <w:sz w:val="10"/>
          <w:szCs w:val="10"/>
        </w:rPr>
      </w:r>
    </w:p>
    <w:p w14:paraId="4E8BC4D5">
      <w:pPr>
        <w:pStyle w:val="2010"/>
        <w:pBdr/>
        <w:spacing/>
        <w:ind w:right="330"/>
        <w:jc w:val="both"/>
        <w:rPr>
          <w:rFonts w:ascii="Times New Roman" w:hAnsi="Times New Roman" w:cs="Times New Roman"/>
          <w:sz w:val="10"/>
          <w:szCs w:val="10"/>
        </w:rPr>
      </w:pPr>
      <w:r>
        <w:rPr>
          <w:rFonts w:ascii="Times New Roman" w:hAnsi="Times New Roman" w:cs="Times New Roman"/>
          <w:sz w:val="10"/>
          <w:szCs w:val="10"/>
        </w:rPr>
      </w:r>
      <w:r>
        <w:rPr>
          <w:rFonts w:ascii="Times New Roman" w:hAnsi="Times New Roman" w:cs="Times New Roman"/>
          <w:sz w:val="10"/>
          <w:szCs w:val="10"/>
        </w:rPr>
      </w:r>
      <w:r>
        <w:rPr>
          <w:rFonts w:ascii="Times New Roman" w:hAnsi="Times New Roman" w:cs="Times New Roman"/>
          <w:sz w:val="10"/>
          <w:szCs w:val="10"/>
        </w:rPr>
      </w:r>
    </w:p>
    <w:tbl>
      <w:tblPr>
        <w:tblInd w:w="178" w:type="dxa"/>
        <w:tblW w:w="10538" w:type="dxa"/>
        <w:tblCellMar>
          <w:left w:w="70" w:type="dxa"/>
          <w:right w:w="70" w:type="dxa"/>
        </w:tblCellMar>
        <w:tblBorders/>
        <w:tblLayout w:type="fixed"/>
        <w:tblLook w:val="04A0" w:firstRow="1" w:lastRow="0" w:firstColumn="1" w:lastColumn="0" w:noHBand="0" w:noVBand="1"/>
      </w:tblPr>
      <w:tblGrid>
        <w:gridCol w:w="526"/>
        <w:gridCol w:w="674"/>
        <w:gridCol w:w="602"/>
        <w:gridCol w:w="3685"/>
        <w:gridCol w:w="709"/>
        <w:gridCol w:w="567"/>
        <w:gridCol w:w="709"/>
        <w:gridCol w:w="709"/>
        <w:gridCol w:w="708"/>
        <w:gridCol w:w="851"/>
        <w:gridCol w:w="798"/>
      </w:tblGrid>
      <w:tr>
        <w:trPr>
          <w:trHeight w:val="342"/>
        </w:trPr>
        <w:tc>
          <w:tcPr>
            <w:shd w:val="clear" w:color="ffffff" w:fill="d9d9d9"/>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15A8F50C">
            <w:pPr>
              <w:pBdr/>
              <w:spacing/>
              <w:ind/>
              <w:jc w:val="center"/>
              <w:rPr>
                <w:rFonts w:ascii="Times New Roman" w:hAnsi="Times New Roman" w:cs="Times New Roman"/>
                <w:b/>
                <w:sz w:val="11"/>
                <w:szCs w:val="11"/>
              </w:rPr>
            </w:pPr>
            <w:r>
              <w:rPr>
                <w:rFonts w:ascii="Times New Roman" w:hAnsi="Times New Roman" w:cs="Times New Roman"/>
                <w:b/>
                <w:sz w:val="11"/>
                <w:szCs w:val="11"/>
              </w:rPr>
              <w:t xml:space="preserve">ITEM</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02D6EA5C">
            <w:pPr>
              <w:pBdr/>
              <w:spacing/>
              <w:ind/>
              <w:jc w:val="center"/>
              <w:rPr>
                <w:b/>
                <w:sz w:val="11"/>
                <w:szCs w:val="11"/>
              </w:rPr>
            </w:pPr>
            <w:r>
              <w:rPr>
                <w:rFonts w:ascii="Times New Roman" w:hAnsi="Times New Roman" w:cs="Times New Roman"/>
                <w:b/>
                <w:sz w:val="11"/>
                <w:szCs w:val="11"/>
              </w:rPr>
              <w:t xml:space="preserve">CÓDIGO AGILI</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tcBorders>
            <w:tcW w:w="602" w:type="dxa"/>
            <w:vAlign w:val="center"/>
            <w:textDirection w:val="lrTb"/>
            <w:noWrap w:val="false"/>
          </w:tcPr>
          <w:p w14:paraId="7FF8078A">
            <w:pPr>
              <w:pBdr/>
              <w:spacing/>
              <w:ind/>
              <w:jc w:val="center"/>
              <w:rPr>
                <w:b/>
                <w:sz w:val="11"/>
                <w:szCs w:val="11"/>
              </w:rPr>
            </w:pPr>
            <w:r>
              <w:rPr>
                <w:rFonts w:ascii="Times New Roman" w:hAnsi="Times New Roman" w:cs="Times New Roman"/>
                <w:b/>
                <w:sz w:val="11"/>
                <w:szCs w:val="11"/>
              </w:rPr>
              <w:t xml:space="preserve">CÓDIGO TCE</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tcBorders>
            <w:tcW w:w="3685" w:type="dxa"/>
            <w:vAlign w:val="center"/>
            <w:textDirection w:val="lrTb"/>
            <w:noWrap w:val="false"/>
          </w:tcPr>
          <w:p w14:paraId="2BCDBA38">
            <w:pPr>
              <w:pBdr/>
              <w:spacing/>
              <w:ind w:left="220"/>
              <w:jc w:val="center"/>
              <w:rPr>
                <w:b/>
                <w:sz w:val="11"/>
                <w:szCs w:val="11"/>
              </w:rPr>
            </w:pPr>
            <w:r>
              <w:rPr>
                <w:rFonts w:ascii="Times New Roman" w:hAnsi="Times New Roman" w:cs="Times New Roman"/>
                <w:b/>
                <w:sz w:val="11"/>
                <w:szCs w:val="11"/>
              </w:rPr>
              <w:t xml:space="preserve">DESCRIÇÃO</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D7EBC7D">
            <w:pPr>
              <w:pBdr/>
              <w:spacing/>
              <w:ind/>
              <w:jc w:val="center"/>
              <w:rPr>
                <w:b/>
                <w:bCs/>
                <w:sz w:val="11"/>
                <w:szCs w:val="11"/>
              </w:rPr>
            </w:pPr>
            <w:r>
              <w:rPr>
                <w:rFonts w:ascii="Times New Roman" w:hAnsi="Times New Roman" w:cs="Times New Roman"/>
                <w:b/>
                <w:bCs/>
                <w:sz w:val="11"/>
                <w:szCs w:val="11"/>
              </w:rPr>
              <w:t xml:space="preserve">UNI. MEDIDA</w:t>
            </w:r>
            <w:r>
              <w:rPr>
                <w:b/>
                <w:bCs/>
                <w:sz w:val="11"/>
                <w:szCs w:val="11"/>
              </w:rPr>
            </w:r>
            <w:r>
              <w:rPr>
                <w:b/>
                <w:bCs/>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21924920">
            <w:pPr>
              <w:pBdr/>
              <w:spacing/>
              <w:ind/>
              <w:jc w:val="center"/>
              <w:rPr>
                <w:b/>
                <w:sz w:val="11"/>
                <w:szCs w:val="11"/>
              </w:rPr>
            </w:pPr>
            <w:r>
              <w:rPr>
                <w:rFonts w:ascii="Times New Roman" w:hAnsi="Times New Roman" w:cs="Times New Roman"/>
                <w:b/>
                <w:sz w:val="11"/>
                <w:szCs w:val="11"/>
              </w:rPr>
              <w:t xml:space="preserve">QTD</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D2A3AA9">
            <w:pPr>
              <w:pBdr/>
              <w:tabs>
                <w:tab w:val="left" w:leader="none" w:pos="1035"/>
              </w:tabs>
              <w:spacing/>
              <w:ind/>
              <w:jc w:val="center"/>
              <w:rPr>
                <w:rFonts w:eastAsia="Calibri"/>
                <w:b/>
                <w:color w:val="000000"/>
                <w:sz w:val="11"/>
                <w:szCs w:val="11"/>
              </w:rPr>
            </w:pPr>
            <w:r>
              <w:rPr>
                <w:rFonts w:ascii="Times New Roman" w:hAnsi="Times New Roman" w:eastAsia="Calibri" w:cs="Times New Roman"/>
                <w:b/>
                <w:color w:val="000000"/>
                <w:sz w:val="11"/>
                <w:szCs w:val="11"/>
              </w:rPr>
              <w:t xml:space="preserve">COTAÇÃO 01</w:t>
            </w:r>
            <w:r>
              <w:rPr>
                <w:rFonts w:eastAsia="Calibri"/>
                <w:b/>
                <w:color w:val="000000"/>
                <w:sz w:val="11"/>
                <w:szCs w:val="11"/>
              </w:rPr>
            </w:r>
            <w:r>
              <w:rPr>
                <w:rFonts w:eastAsia="Calibri"/>
                <w:b/>
                <w:color w:val="000000"/>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9EAEBB1">
            <w:pPr>
              <w:pBdr/>
              <w:spacing/>
              <w:ind/>
              <w:jc w:val="center"/>
              <w:rPr>
                <w:b/>
                <w:sz w:val="11"/>
                <w:szCs w:val="11"/>
              </w:rPr>
            </w:pPr>
            <w:r>
              <w:rPr>
                <w:rFonts w:ascii="Times New Roman" w:hAnsi="Times New Roman" w:cs="Times New Roman"/>
                <w:b/>
                <w:sz w:val="11"/>
                <w:szCs w:val="11"/>
              </w:rPr>
              <w:t xml:space="preserve">COTAÇÃO 02</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64F13B95">
            <w:pPr>
              <w:pBdr/>
              <w:spacing/>
              <w:ind/>
              <w:jc w:val="center"/>
              <w:rPr>
                <w:b/>
                <w:sz w:val="11"/>
                <w:szCs w:val="11"/>
              </w:rPr>
            </w:pPr>
            <w:r>
              <w:rPr>
                <w:rFonts w:ascii="Times New Roman" w:hAnsi="Times New Roman" w:cs="Times New Roman"/>
                <w:b/>
                <w:sz w:val="11"/>
                <w:szCs w:val="11"/>
              </w:rPr>
              <w:t xml:space="preserve">COTAÇÃO 03</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tcBorders>
            <w:tcW w:w="851" w:type="dxa"/>
            <w:vAlign w:val="center"/>
            <w:textDirection w:val="lrTb"/>
            <w:noWrap w:val="false"/>
          </w:tcPr>
          <w:p w14:paraId="636C259D">
            <w:pPr>
              <w:pBdr/>
              <w:spacing/>
              <w:ind/>
              <w:jc w:val="center"/>
              <w:rPr>
                <w:b/>
                <w:sz w:val="11"/>
                <w:szCs w:val="11"/>
              </w:rPr>
            </w:pPr>
            <w:r>
              <w:rPr>
                <w:rFonts w:ascii="Times New Roman" w:hAnsi="Times New Roman" w:cs="Times New Roman"/>
                <w:b/>
                <w:sz w:val="11"/>
                <w:szCs w:val="11"/>
              </w:rPr>
              <w:t xml:space="preserve">MÉDIA</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01DDF794">
            <w:pPr>
              <w:pBdr/>
              <w:spacing/>
              <w:ind/>
              <w:jc w:val="center"/>
              <w:rPr>
                <w:b/>
                <w:sz w:val="11"/>
                <w:szCs w:val="11"/>
              </w:rPr>
            </w:pPr>
            <w:r>
              <w:rPr>
                <w:rFonts w:ascii="Times New Roman" w:hAnsi="Times New Roman" w:cs="Times New Roman"/>
                <w:b/>
                <w:sz w:val="11"/>
                <w:szCs w:val="11"/>
              </w:rPr>
              <w:t xml:space="preserve">VALOR TOTAL</w:t>
            </w:r>
            <w:r>
              <w:rPr>
                <w:b/>
                <w:sz w:val="11"/>
                <w:szCs w:val="11"/>
              </w:rPr>
            </w:r>
            <w:r>
              <w:rPr>
                <w:b/>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6CA9560A">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4E9CBF5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129182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142C3F2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00035815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255FFB54">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APARELHO INFRAVERMELHO COM PEDESTAL PARA FISIOTERAPIA - APARELHO PARA TRATAMENTOS DE TERMOTERAPIA, POTÊNCIA MÍNIMA DE 150W FREQUÊNCIA, VOLTAGEM 110V OU BIVOLT, FREQUÊ</w:t>
            </w:r>
            <w:r>
              <w:rPr>
                <w:rFonts w:ascii="Times New Roman" w:hAnsi="Times New Roman" w:cs="Times New Roman"/>
                <w:color w:val="000000"/>
                <w:sz w:val="10"/>
                <w:szCs w:val="10"/>
              </w:rPr>
              <w:t xml:space="preserve">NCIA 60HZ, COM DIMER PARA REGULAGEM DA INTENSIDADE LUMINOSA, DIMENSÕES APROXIMADAS: BASE DE 56 X 56 CM. ALTURA REGULÁVEL, MÍNIMA DE 1M AJUSTÁVEL PARA NO MÍNIMO 1,50 M. POSSUIR RECURSO DE AQUECIMENTO SUPERFICIAL ATRAVÉS DA APLICAÇÃO DE BANHO DE LUZ INFRAVER</w:t>
            </w:r>
            <w:r>
              <w:rPr>
                <w:rFonts w:ascii="Times New Roman" w:hAnsi="Times New Roman" w:cs="Times New Roman"/>
                <w:color w:val="000000"/>
                <w:sz w:val="10"/>
                <w:szCs w:val="10"/>
              </w:rPr>
              <w:t xml:space="preserve">MELHO. APARELHO CONSTITUÍDO POR NO MÍNIMO: LÂMPADA DE INFRA VERMELHO, UM PEDESTAL SOBRE BASE DE POLIETILENO INJETADO DE ALTO IMPACTO, DOTADO DE 4 PÉS DESMONTÁVEIS, COM RODÍZIOS GIRATÓRIOS E HASTE DE SUSTENTAÇÃO FLEXÍVEL E UM REFLETOR DE ALUMÍNIO ANODIZADO.</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9C5D96F">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7911D074">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9D3D3A3">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R$ 2.162,16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E84287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R$ 2.233,00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7F850D64">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R$ 2.380,32</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765C8B75">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R$ 2.258,4933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635DFC9E">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R$ 27.101,92</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07"/>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7CB2B0CC">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401DA91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126946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741F3463">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270504-4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2DAFB933">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BASTÃO PARA GINÁSTICA, MEDINDO: 100 X 3 CM, PESO APROXIMADO DE 3 KG, CONFECCIONADO EM PVC, COM PONTEIRAS DE BORRACHA. PRODUTO PRÓPRIO PARA PRÁTICA DE EXERCÍCIOS.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1B86682">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EE96E4C">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155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A39248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R$ 41,12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621839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R$ 67,00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15045511">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R$ 74,00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7113FFAC">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R$ 60,7067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65C51463">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R$ 9.409,54</w:t>
            </w:r>
            <w:r>
              <w:rPr>
                <w:rFonts w:ascii="Times New Roman" w:hAnsi="Times New Roman" w:cs="Times New Roman"/>
                <w:sz w:val="11"/>
                <w:szCs w:val="11"/>
              </w:rPr>
            </w:r>
            <w:r>
              <w:rPr>
                <w:rFonts w:ascii="Times New Roman" w:hAnsi="Times New Roman" w:cs="Times New Roman"/>
                <w:sz w:val="11"/>
                <w:szCs w:val="11"/>
              </w:rPr>
            </w:r>
          </w:p>
        </w:tc>
      </w:tr>
      <w:tr>
        <w:trPr>
          <w:trHeight w:val="299"/>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3BA39180">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32EDFFA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127512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0461A4B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167780-2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5FC4F1D9">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BOLA BOBATH, MEDINDO NO MÍNIMO 75CM DE DIÂMETRO, CONFECCIONADA EM PLÁSTICO INFLÁVEL DE ALTA RESISTÊNCIA. ACONDICIONADA EM EMBALAGEM PLÁSTICA. ACOMPANHA BOMBA DE INFLAR.</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EDE9269">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3F668B2E">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90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A13F75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R$ 190,00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E16D2B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R$ 225,00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3B23CE1A">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R$ 228,38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7D534E4F">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R$ 214,4600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677A5220">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R$ 19.301,40</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3C3D19AA">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46D63F7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123639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21F8E2BB">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00084399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7A888C95">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BOLA OFICIAL PARA VÔLEI 12 GOMOS, LAMINADO CONFECCIONADO EM PU SUPER SOFT, TECNOLOGIA MENOR ABSORÇÃO DE ÁGUA; CIRCUNFERÊNCIA ENTRE 65 A 67 CM, PESO 260 A 280 G, ULTRA FUSION; MIOLO CÁPSULA SIS OU SIMILAR QUE PROTEJA A CÂMARA DE RUPTURAS;</w:t>
            </w:r>
            <w:r>
              <w:rPr>
                <w:rFonts w:ascii="Times New Roman" w:hAnsi="Times New Roman" w:cs="Times New Roman"/>
                <w:color w:val="000000"/>
                <w:sz w:val="10"/>
                <w:szCs w:val="10"/>
              </w:rPr>
              <w:t xml:space="preserve"> CÂMARA COM AMORTECIMENTO INTERNO DE 6 DISCOS; CAMADA INTERNA EVACEL; SISTEMA DE FORRO TERMOFIXO; DUPLA COLAGEM. O PRODUTO DEVERÁ CONTER IDENTIFICAÇÃO, MARCA DO FABRICANTE E GARANTIA DO FORNECEDOR CONTRA DEFEITO DE FABRICAÇÃO.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773D92E">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7910F0CB">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105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7ADE383">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R$ 169,00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6D4D70D">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R$ 191,00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12A31FF1">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R$ 200,00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19DD56CF">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R$ 186,6667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0EE75D67">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R$ 19.600,00</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34602CB3">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3C2A7F50">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126286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49100D6C">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424594-6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7780191E">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BOLA PARA FUTEBOL DE CAMPO 12 GOMOS, LAMINADO CONFECCIONADO EM PU POLIURETANO; CIRCUNFERÊNCIA 68 A 70 CM; PESO 410 A 450 G; TECNOLOGIA ULTRA FUSION OU 0% ABSORÇÃO DE ÁGUA; SISTEMA DE FORRO TERMOFIXO, CAMADA INTERNA EVACEL, DUPLA COLAG</w:t>
            </w:r>
            <w:r>
              <w:rPr>
                <w:rFonts w:ascii="Times New Roman" w:hAnsi="Times New Roman" w:cs="Times New Roman"/>
                <w:color w:val="000000"/>
                <w:sz w:val="10"/>
                <w:szCs w:val="10"/>
              </w:rPr>
              <w:t xml:space="preserve">EM, MIOLO CÁPSULA SIS OU SIMILAR QUE PROTEJA A CÂMARA DE RUPTURAS; CÂMARA COM AMORTECIMENTO INTERNO DE 6 DISCOS. O PRODUTO DEVERÁ CONTER IDENTIFICAÇÃO, MARCA DO FABRICANTE E GARANTIA DO FORNECEDOR CONTRA DEFEITO DE FABRICAÇÃO.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DF26D57">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1546ECF8">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105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809F2F3">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R$ 347,50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293DCEB">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R$ 380,00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2F718A9C">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R$ 399,50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5E47876C">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R$ 375,6667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096C26D3">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R$ 39.445,00</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17D45CEA">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58F52A8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126949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40097DD1">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00060056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790D34C3">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CAMA ELÁSTICA TIPO MINI JUMP. PRODUZIDO COM 36 MOLAS, 6 </w:t>
            </w:r>
            <w:r>
              <w:rPr>
                <w:rFonts w:ascii="Times New Roman" w:hAnsi="Times New Roman" w:cs="Times New Roman"/>
                <w:color w:val="000000"/>
                <w:sz w:val="10"/>
                <w:szCs w:val="10"/>
              </w:rPr>
              <w:t xml:space="preserve">PÉS FIXOS EM AÇO CARBONO COM PONTEIRAS GRANDES EMBORRACHADAS ANTIDERRAPANTES, TELA DE ALTA RESISTÊNCIA, CAPA PROTETORA PARA AS MOLAS. MEDIDAS MÍNIMAS: 98 CM DE COMPRIMENTO, 20 M DE ALTURA, ÁREA DE SALTO DE 78 CM DE DIÂMETRO. DEVE SUPORTAR NO MÍNIMO 180 KG.</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6210F07">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F968278">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E01119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R$ 750,00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B32E888">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R$ 755,00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30CC2514">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R$ 756,15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100B2770">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R$ 753,7167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45C95A37">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R$ 90.446,00</w:t>
            </w:r>
            <w:r>
              <w:rPr>
                <w:rFonts w:ascii="Times New Roman" w:hAnsi="Times New Roman" w:cs="Times New Roman"/>
                <w:sz w:val="11"/>
                <w:szCs w:val="11"/>
              </w:rPr>
            </w:r>
            <w:r>
              <w:rPr>
                <w:rFonts w:ascii="Times New Roman" w:hAnsi="Times New Roman" w:cs="Times New Roman"/>
                <w:sz w:val="11"/>
                <w:szCs w:val="11"/>
              </w:rPr>
            </w:r>
          </w:p>
        </w:tc>
      </w:tr>
      <w:tr>
        <w:trPr>
          <w:trHeight w:val="237"/>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4CE9E0D3">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25BC4D11">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125488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6B06BAD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281312-2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094DAA2B">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COLCHONETE, ANTIÁCARO E ANTIALÉRGICO. DENSIDADE MÍNIMA 33, REVESTIMENTO EM NAPA, MATERIAL ESPUMA, MEDIDAS MÍNIMAS: 100 CM DE COMPRIMENTO X 60 CM DE LARGURA E 3 CM DE ESPESSURA.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8B02082">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61915AC9">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375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CEC361D">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R$ 134,99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4586BFB">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R$ 136,36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6D13F102">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R$ 143,90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1A4722D1">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R$ 138,4167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6F9E25F6">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R$ 51.906,26</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7184A13B">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392D0B8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20760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36F2717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351448-0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47B7F16A">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CONE ESPORTIVO/PRATO DE MARCAÇÃO/CHAPÉU CHINÊS FABRIC</w:t>
            </w:r>
            <w:r>
              <w:rPr>
                <w:rFonts w:ascii="Times New Roman" w:hAnsi="Times New Roman" w:cs="Times New Roman"/>
                <w:color w:val="000000"/>
                <w:sz w:val="10"/>
                <w:szCs w:val="10"/>
              </w:rPr>
              <w:t xml:space="preserve">ADO EM PVC FLEXÍVEL, MEDIDAS APROXIMADAS 19 CM DE DIÂMETRO EXTERNO, 5 CM DE DIÂMETRO DO FURO E DE 8 CM DE ALTURA. O PRODUTO DEVERÁ CONTER IDENTIFICAÇÃO, MARCA DO FABRICANTE E GARANTIA DO FORNECEDOR CONTRA DEFEITO DE FABRICAÇÃO.COR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1DB35BA">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42140B11">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450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22D689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D9131F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78193A6E">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R$ 24,00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5C12E898">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R$ 19,6667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7C759043">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R$ 8.850,02</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1019E829">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0155B8E0">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129566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15572876">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352539-2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4F9C174B">
            <w:pPr>
              <w:pBdr/>
              <w:spacing/>
              <w:ind/>
              <w:jc w:val="both"/>
              <w:rPr>
                <w:rFonts w:ascii="Times New Roman" w:hAnsi="Times New Roman" w:eastAsia="Calibri" w:cs="Times New Roman"/>
                <w:sz w:val="10"/>
                <w:szCs w:val="10"/>
                <w:lang w:val="pt-BR"/>
              </w:rPr>
            </w:pPr>
            <w:r>
              <w:rPr>
                <w:rFonts w:ascii="Times New Roman" w:hAnsi="Times New Roman" w:cs="Times New Roman"/>
                <w:color w:val="222222"/>
                <w:sz w:val="10"/>
                <w:szCs w:val="10"/>
              </w:rPr>
              <w:t xml:space="preserve">CONE VAGINAL – CONJUNTO COM 5 UNIDADES. EM SILICONE MÉDICO PARA USO INTERNO. HIPOALERGENICO. FÁCIL HIGIENIZAÇÃO. PARA CONES MAIS PESADOS O MATERIAL SERIA PLAS</w:t>
            </w:r>
            <w:r>
              <w:rPr>
                <w:rFonts w:ascii="Times New Roman" w:hAnsi="Times New Roman" w:cs="Times New Roman"/>
                <w:color w:val="222222"/>
                <w:sz w:val="10"/>
                <w:szCs w:val="10"/>
              </w:rPr>
              <w:t xml:space="preserve">TICO ABS. OS PESOS PODEM SER DE CHUMBO ENCAPSULADO, AÇO INOX E LIGA METALICA DE ALTA DENSIDADE. DEVE CONTER UM CORDÃO DE REMOÇÃO COMO ABSORVENTE INTIMO. DEVE APRESENTAR PESOS VARIADOS ENTRE 20G E 100G. COM CORES E NUMERAÇÕES PARA IDENTIFICAÇÃO DOS PESOS.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2BE60DD">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4B5FF58C">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1D826AC">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R$ 87,43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42F3E06">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R$ 121,83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05E5A989">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R$ 126,15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4DB570DD">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R$ 111,8033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42C5C791">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R$ 894,43</w:t>
            </w:r>
            <w:r>
              <w:rPr>
                <w:rFonts w:ascii="Times New Roman" w:hAnsi="Times New Roman" w:cs="Times New Roman"/>
                <w:sz w:val="11"/>
                <w:szCs w:val="11"/>
              </w:rPr>
            </w:r>
            <w:r>
              <w:rPr>
                <w:rFonts w:ascii="Times New Roman" w:hAnsi="Times New Roman" w:cs="Times New Roman"/>
                <w:sz w:val="11"/>
                <w:szCs w:val="11"/>
              </w:rPr>
            </w:r>
          </w:p>
        </w:tc>
      </w:tr>
      <w:tr>
        <w:trPr>
          <w:trHeight w:val="169"/>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63BDB5D0">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4B67D4B8">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116773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4016650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274201-2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7A74EF72">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CORDA DE PULAR, TAMANHO MÍNIMO DE 03 METROS, CONFECCIONADA EM POLIPROPILENO E PVC, ROLAMENTO AJUSTÁVEL COM CABO. PRODUTO INDICADO PARA PRÁTICAS ESPORTIVAS E LÚDICAS.</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51C2097">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19F53036">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AE7DEB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R$ 65,24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D498D8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R$ 74,00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2F9DC446">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269A6AFA">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R$ 71,7467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377C679E">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R$ 14.349,34</w:t>
            </w:r>
            <w:r>
              <w:rPr>
                <w:rFonts w:ascii="Times New Roman" w:hAnsi="Times New Roman" w:cs="Times New Roman"/>
                <w:sz w:val="11"/>
                <w:szCs w:val="11"/>
              </w:rPr>
            </w:r>
            <w:r>
              <w:rPr>
                <w:rFonts w:ascii="Times New Roman" w:hAnsi="Times New Roman" w:cs="Times New Roman"/>
                <w:sz w:val="11"/>
                <w:szCs w:val="11"/>
              </w:rPr>
            </w:r>
          </w:p>
        </w:tc>
      </w:tr>
      <w:tr>
        <w:trPr>
          <w:trHeight w:val="383"/>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0A0493B1">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4C2CB3A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129570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7A9D69F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140759-7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1B678D50">
            <w:pPr>
              <w:pBdr/>
              <w:spacing/>
              <w:ind/>
              <w:jc w:val="both"/>
              <w:rPr>
                <w:rFonts w:ascii="Times New Roman" w:hAnsi="Times New Roman" w:eastAsia="Calibri" w:cs="Times New Roman"/>
                <w:sz w:val="10"/>
                <w:szCs w:val="10"/>
                <w:lang w:val="pt-BR"/>
              </w:rPr>
            </w:pPr>
            <w:r>
              <w:rPr>
                <w:rFonts w:ascii="Times New Roman" w:hAnsi="Times New Roman" w:cs="Times New Roman"/>
                <w:color w:val="222222"/>
                <w:sz w:val="10"/>
                <w:szCs w:val="10"/>
              </w:rPr>
              <w:t xml:space="preserve">DILATADOR VAGINAL- KIT CONTENDO 3 UNIDADES.  DEVE POSSUIR 3 TAMANHOS VARIADOS, PORÉM EM PORÇÕES DIFERENTE NO MESMO EQUIPAMENTO. MATERIAL DE SILICONE DE GRAU MEDICO 100% ATOXICO. COR A ESCOLHA DO FABRICANTE.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07C20F6">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64B7F576">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81C808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R$ 119,90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19EE7A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R$ 158,06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0C718E91">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R$ 310,00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64EBDE2F">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R$ 195,9867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6CB62D39">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R$ 1.567,89</w:t>
            </w:r>
            <w:r>
              <w:rPr>
                <w:rFonts w:ascii="Times New Roman" w:hAnsi="Times New Roman" w:cs="Times New Roman"/>
                <w:sz w:val="11"/>
                <w:szCs w:val="11"/>
              </w:rPr>
            </w:r>
            <w:r>
              <w:rPr>
                <w:rFonts w:ascii="Times New Roman" w:hAnsi="Times New Roman" w:cs="Times New Roman"/>
                <w:sz w:val="11"/>
                <w:szCs w:val="11"/>
              </w:rPr>
            </w:r>
          </w:p>
        </w:tc>
      </w:tr>
      <w:tr>
        <w:trPr>
          <w:trHeight w:val="70"/>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58F355F1">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0EF9BCFB">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eastAsia="Aptos Narrow" w:cs="Times New Roman"/>
                <w:color w:val="000000"/>
                <w:sz w:val="11"/>
                <w:szCs w:val="11"/>
                <w:lang w:val="en-US" w:eastAsia="zh-CN" w:bidi="ar"/>
              </w:rPr>
              <w:t xml:space="preserve">1162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63374A76">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eastAsia="Aptos Narrow" w:cs="Times New Roman"/>
                <w:color w:val="000000"/>
                <w:sz w:val="11"/>
                <w:szCs w:val="11"/>
                <w:lang w:val="en-US" w:eastAsia="zh-CN" w:bidi="ar"/>
              </w:rPr>
              <w:t xml:space="preserve">412499-5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6829F2D0">
            <w:pPr>
              <w:widowControl w:val="true"/>
              <w:pBdr/>
              <w:spacing/>
              <w:ind/>
              <w:jc w:val="both"/>
              <w:rPr>
                <w:rFonts w:ascii="Times New Roman" w:hAnsi="Times New Roman" w:eastAsia="Calibri" w:cs="Times New Roman"/>
                <w:sz w:val="10"/>
                <w:szCs w:val="10"/>
                <w:lang w:val="pt-BR"/>
              </w:rPr>
            </w:pPr>
            <w:r>
              <w:rPr>
                <w:rFonts w:ascii="Times New Roman" w:hAnsi="Times New Roman" w:eastAsia="Aptos Narrow" w:cs="Times New Roman"/>
                <w:color w:val="000000"/>
                <w:sz w:val="10"/>
                <w:szCs w:val="10"/>
                <w:lang w:val="en-US" w:eastAsia="zh-CN" w:bidi="ar"/>
              </w:rPr>
              <w:t xml:space="preserve">ELETRODO MÉDICO APARELHO PARA MONITORIZAÇÃO CARDÍACA ADULTO, DESCARTÁVEL, COM GEL SÓLIDO, ATÓXICO E HIPOALERGÊNICO.</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CE4CA8D">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6420161D">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6540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7197F36">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R$ 26,80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6B9C14C">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R$ 27,90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5811A693">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R$ 33,32</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6C8F0B5F">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R$ 29,3400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4A8FBBE4">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R$ 191.883,60</w:t>
            </w:r>
            <w:r>
              <w:rPr>
                <w:rFonts w:ascii="Times New Roman" w:hAnsi="Times New Roman" w:cs="Times New Roman"/>
                <w:sz w:val="11"/>
                <w:szCs w:val="11"/>
              </w:rPr>
            </w:r>
            <w:r>
              <w:rPr>
                <w:rFonts w:ascii="Times New Roman" w:hAnsi="Times New Roman" w:cs="Times New Roman"/>
                <w:sz w:val="11"/>
                <w:szCs w:val="11"/>
              </w:rPr>
            </w:r>
          </w:p>
        </w:tc>
      </w:tr>
      <w:tr>
        <w:trPr>
          <w:trHeight w:val="25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12A6E256">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0131FEA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117930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775C98F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237008-5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4769B129">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EQUIPAMEN</w:t>
            </w:r>
            <w:r>
              <w:rPr>
                <w:rFonts w:ascii="Times New Roman" w:hAnsi="Times New Roman" w:cs="Times New Roman"/>
                <w:color w:val="000000"/>
                <w:sz w:val="10"/>
                <w:szCs w:val="10"/>
              </w:rPr>
              <w:t xml:space="preserve">TO MICRO CONTROLADO DE LASER TERAPEUTICO  EQUIPAMENTO MICRO CONTROLADO DE LASER TERAPÊUTICO DE BAIXA POTÊNCIA: DESENVOLVIDO PARA UTILIZAÇÃO NA FISIOTERAPIA. OFERECE A POSSIBILIDADE DE OPERAÇÃO COM TRÊS CANETAS DE LASER, COM COMPRIMENTOS DE 660NM, 830NM, 90</w:t>
            </w:r>
            <w:r>
              <w:rPr>
                <w:rFonts w:ascii="Times New Roman" w:hAnsi="Times New Roman" w:cs="Times New Roman"/>
                <w:color w:val="000000"/>
                <w:sz w:val="10"/>
                <w:szCs w:val="10"/>
              </w:rPr>
              <w:t xml:space="preserve">4NM SENDO OS MODOS DE EMISSÃO DOS FEIXES DO LASER NAS CANETAS 660NM E 830NM PODERÁ SER AJUSTADO NOS MODOS CONTÍNUOS E PULSADO COM POSSIBILIDADE ESCOLHA DE 10 FREQUÊNCIAS E MODULAÇÃO. O LASER DE BAIXA POTÊNCIA TEM EFEITOS ANALGÉSICOS CICATRIZANTES E ANTI-IN</w:t>
            </w:r>
            <w:r>
              <w:rPr>
                <w:rFonts w:ascii="Times New Roman" w:hAnsi="Times New Roman" w:cs="Times New Roman"/>
                <w:color w:val="000000"/>
                <w:sz w:val="10"/>
                <w:szCs w:val="10"/>
              </w:rPr>
              <w:t xml:space="preserve">FLAMATÓRIO. OPERAÇÃO MICRO CONTROLADA VIA TECLADO QUE GERA INFORMAÇÕES DIGITALIZADAS E OFERECE CONFIABILIDADE NOS DADOS; CLASSIFICAÇÕES DE ENERGIA 1-20 JOULES/CM²; PERMITE QUE FIQUE TRAVADO ENQUANTO NÃO ESTÁ SENDO UTILIZADO.  DEVERÃO ACOMPANHAR O PRODUTO O</w:t>
            </w:r>
            <w:r>
              <w:rPr>
                <w:rFonts w:ascii="Times New Roman" w:hAnsi="Times New Roman" w:cs="Times New Roman"/>
                <w:color w:val="000000"/>
                <w:sz w:val="10"/>
                <w:szCs w:val="10"/>
              </w:rPr>
              <w:t xml:space="preserve">S SEGUINTES ACESSÓRIOS : 01 MANUAL DE INSTRUCOES; 01 CABO DE FORÇA DESCARTAVEL, 02 FUSIVEIS DE PROTECAO SOBRESSALENTE; 01 CANETA TOPOSCOPIO BIVOLT AUTOMATICO;  DIMENSÕES APROXIMADAS: 36.5 X 32.5 X 12,0 (LXPXACM). PESO:1,626KG.  - GARANTIA MÍNIMA: 18 MESES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0CF5766">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1CCFF5E8">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AA0380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R$ 2.180,00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1ADC053">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R$ 2.200,00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2FFDEF7D">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R$ 2.500,00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3FD3530E">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R$ 2.293,3333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7C81A5CB">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R$ 34.400,00</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1D9E235E">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6D36A26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125740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2F04C0B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00067003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014BB917">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ESCADA DE AGILIDADE INJETADA. MATERIAL LAVÁVEL, FLEXÍVEL E BEM ADER</w:t>
            </w:r>
            <w:r>
              <w:rPr>
                <w:rFonts w:ascii="Times New Roman" w:hAnsi="Times New Roman" w:cs="Times New Roman"/>
                <w:color w:val="000000"/>
                <w:sz w:val="10"/>
                <w:szCs w:val="10"/>
              </w:rPr>
              <w:t xml:space="preserve">ENTE AO SOLO; FITA DE NYLON ULTRA RESISTENTE E DEGRAUS REGULÁVEIS EM PLÁSTICO INJETÁVEL. TAMANHO MÍNIMO: 3 METROS DE COMPRIMENTO, COM NO MÍNIMO 7 DEGRAUS. PRODUTO INDICADO PARA PRATICA RECREATIVA, ESPORTIVA E TREINO FUNCIONAL.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83BE974">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641B5586">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AD33C8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R$ 75,10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AE798F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5330A430">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R$ 78,50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609BD617">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R$ 76,8667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57537A51">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R$ 1.537,33</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765A0AAA">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385A8B8B">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129183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18CDEFD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262377-3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53C02C36">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ESPALDAR / BARRA FIXA / BARRA DE LING / MÓDULO ALONGAMENTO. ALTURA MÍNIMA DE 2 METROS E LARGURA MÍNIMA DE 90 CM, MÍNIMO DE 08 BARRAS HORIZONTAIS CO</w:t>
            </w:r>
            <w:r>
              <w:rPr>
                <w:rFonts w:ascii="Times New Roman" w:hAnsi="Times New Roman" w:cs="Times New Roman"/>
                <w:color w:val="000000"/>
                <w:sz w:val="10"/>
                <w:szCs w:val="10"/>
              </w:rPr>
              <w:t xml:space="preserve">M DISTANCIA ENTRE VÃOS DE 20 CM, COM CAPACIDADE PARA SUPORTAR NO MÍNIMO 150 KG. ESTRUTURA DE FERRO, PINTURA ELETROSTÁTICA EPÓXI, E BARRAS DE ALUMÍNIO, COM APOIOS DE FIXAÇÃO. APARELHO PARA EXERCÍCIOS DE ALONGAMENTO MUSCULAR GLOBAL. GARANTIA MÍNIMA DE 1 ANO.</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7F6861F">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9A9BE70">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172946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R$ 999,00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AF1205D">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R$ 1.200,00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12042D32">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R$ 1.230,25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77421E1E">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R$ 1.143,0833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33EAF37B">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R$ 13.717,00</w:t>
            </w:r>
            <w:r>
              <w:rPr>
                <w:rFonts w:ascii="Times New Roman" w:hAnsi="Times New Roman" w:cs="Times New Roman"/>
                <w:sz w:val="11"/>
                <w:szCs w:val="11"/>
              </w:rPr>
            </w:r>
            <w:r>
              <w:rPr>
                <w:rFonts w:ascii="Times New Roman" w:hAnsi="Times New Roman" w:cs="Times New Roman"/>
                <w:sz w:val="11"/>
                <w:szCs w:val="11"/>
              </w:rPr>
            </w:r>
          </w:p>
        </w:tc>
      </w:tr>
      <w:tr>
        <w:trPr>
          <w:trHeight w:val="53"/>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0ABB5172">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2BFCE240">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129196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2B69F548">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105663-8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5C22445F">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ESPELHO DE VIDRO, ESPESSURA MÍNIMA 3 MM, SEM MOLDURA.</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397AAA4">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METRO QUADRADO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68A204DE">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E85498B">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R$ 396,67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53EB6E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R$ 429,94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582EB9A8">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R$ 465,69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3C82AC27">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R$ 430,7667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0E59316A">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R$ 5.169,20</w:t>
            </w:r>
            <w:r>
              <w:rPr>
                <w:rFonts w:ascii="Times New Roman" w:hAnsi="Times New Roman" w:cs="Times New Roman"/>
                <w:sz w:val="11"/>
                <w:szCs w:val="11"/>
              </w:rPr>
            </w:r>
            <w:r>
              <w:rPr>
                <w:rFonts w:ascii="Times New Roman" w:hAnsi="Times New Roman" w:cs="Times New Roman"/>
                <w:sz w:val="11"/>
                <w:szCs w:val="11"/>
              </w:rPr>
            </w:r>
          </w:p>
        </w:tc>
      </w:tr>
      <w:tr>
        <w:trPr>
          <w:trHeight w:val="576"/>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085822A9">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069589A0">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126952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366FD8B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270249-5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6580507E">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FAIXA ELÁSTICA / ELÁSTICO, TAMANHO MÍNIMO DE 1,5 METROS DE COMPRIMENTO POR 13 CM DE LARGURA. INTENSIDADE / RESISTÊNCIA SUAVE. COMPOSIÇÃO LÁTEX NATURAL, NÃO DEFORMA. PRODUTO INDICADO PARA PRÁTICA ESPORTIVA E REABILITAÇÃO MUSCULAR.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38A2C1C">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1B30AFED">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130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49969DD">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R$ 38,00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D1376F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R$ 62,26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59F54DF1">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R$ 68,98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5F103B03">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R$ 56,4133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2581386F">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R$ 7.333,73</w:t>
            </w:r>
            <w:r>
              <w:rPr>
                <w:rFonts w:ascii="Times New Roman" w:hAnsi="Times New Roman" w:cs="Times New Roman"/>
                <w:sz w:val="11"/>
                <w:szCs w:val="11"/>
              </w:rPr>
            </w:r>
            <w:r>
              <w:rPr>
                <w:rFonts w:ascii="Times New Roman" w:hAnsi="Times New Roman" w:cs="Times New Roman"/>
                <w:sz w:val="11"/>
                <w:szCs w:val="11"/>
              </w:rPr>
            </w:r>
          </w:p>
        </w:tc>
      </w:tr>
      <w:tr>
        <w:trPr>
          <w:trHeight w:val="556"/>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349A8F47">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206C800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9007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163D0BC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348066-6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4784EC1A">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FLUTUADOR AQUÁTICO/MACARRÃO SPAGUETE, FABRICADO EM ESPUMA POLIETILENO EXPANDIDO E MACIÇO. MEDIDAS APROXIMADAS 65 MM DE DIÂMETRO X 165 CM. O PRODUTO DEVERÁ POSSUIR GARANTIA CONTRA DEFEITO DE FABRICAÇÃO. A COR SERÁ DE ACORDO COM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FD31C64">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C7B088E">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370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D260A0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R$ 11,90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83CB7E0">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R$ 14,55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4DAD287D">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R$ 15,95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5B3E7598">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R$ 14,1333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788FEB8D">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R$ 5.229,32</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2995B627">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1523415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8133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46C0294C">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131018-6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4368CA1E">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GEL ELETRO CONDUTOR PARA ELETROCARDIOGRAMA EMBALAGEM COM 05 LITROS, ISENTO DE SAL E DE ÁLCOOL, À BASE DE ÁGUA, PH </w:t>
            </w:r>
            <w:r>
              <w:rPr>
                <w:rFonts w:ascii="Times New Roman" w:hAnsi="Times New Roman" w:cs="Times New Roman"/>
                <w:color w:val="000000"/>
                <w:sz w:val="10"/>
                <w:szCs w:val="10"/>
              </w:rPr>
              <w:t xml:space="preserve">NEUTRO, NÃO GORDUROSO, INODORO E EXCELENTE CONDUTIBILIDADE. NÃO IRRITA A PELE E NÃO DANIFICA O ELETRODO. RÓTULO CONTENDO DATA DE FABRICAÇÃO, NÚMERO DO LOTE, IDENTIFICAÇÃO DO FABRICANTE E VALIDADE. DEVERÁ ESTÁ DE ACORDO COM A LEGISLAÇÃO SANITÁRIA VIGENTE.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08C938E">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45E5C02A">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144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2B6C07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R$ 69,00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D924691">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7EA6C724">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R$ 80,53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233A7728">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R$ 73,1767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782B7A1C">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R$ 10.537,44</w:t>
            </w:r>
            <w:r>
              <w:rPr>
                <w:rFonts w:ascii="Times New Roman" w:hAnsi="Times New Roman" w:cs="Times New Roman"/>
                <w:sz w:val="11"/>
                <w:szCs w:val="11"/>
              </w:rPr>
            </w:r>
            <w:r>
              <w:rPr>
                <w:rFonts w:ascii="Times New Roman" w:hAnsi="Times New Roman" w:cs="Times New Roman"/>
                <w:sz w:val="11"/>
                <w:szCs w:val="11"/>
              </w:rPr>
            </w:r>
          </w:p>
        </w:tc>
      </w:tr>
      <w:tr>
        <w:trPr>
          <w:trHeight w:val="593"/>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10EB8651">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78B2B7A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126953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04EDCEC0">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00058559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276058C4">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KIT DE ARGOLAS DE AGILIDADE, CONTENDO NO MÍ</w:t>
            </w:r>
            <w:r>
              <w:rPr>
                <w:rFonts w:ascii="Times New Roman" w:hAnsi="Times New Roman" w:cs="Times New Roman"/>
                <w:color w:val="000000"/>
                <w:sz w:val="10"/>
                <w:szCs w:val="10"/>
              </w:rPr>
              <w:t xml:space="preserve">NIMO 12 UNIDADES, COM NO MÍNIMO 42 CM DE DIÂMETRO E 2,5 CM DE ESPESSURA. DEVE ACOMPANHAR 13 FECHOS EM VELCRO DUPLOS PARA UNIÃO DOS AROS E BOLSA RESISTENTE PARA TRANSPORTE. PRODUZIDO EM MATERIAL PLÁSTICO. PRODUTO INDICADO PARA PRÁTICAS ESPORTIVAS E LÚDICAS.</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8F7A64E">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5398BFEE">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92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C66A43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R$ 53,79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F5B040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R$ 69,90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11DC5B94">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R$ 81,00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29547622">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R$ 68,2300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4E7DE4FD">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R$ 6.277,16</w:t>
            </w:r>
            <w:r>
              <w:rPr>
                <w:rFonts w:ascii="Times New Roman" w:hAnsi="Times New Roman" w:cs="Times New Roman"/>
                <w:sz w:val="11"/>
                <w:szCs w:val="11"/>
              </w:rPr>
            </w:r>
            <w:r>
              <w:rPr>
                <w:rFonts w:ascii="Times New Roman" w:hAnsi="Times New Roman" w:cs="Times New Roman"/>
                <w:sz w:val="11"/>
                <w:szCs w:val="11"/>
              </w:rPr>
            </w:r>
          </w:p>
        </w:tc>
      </w:tr>
      <w:tr>
        <w:trPr>
          <w:trHeight w:val="46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69E010E0">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01B897F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3759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4314654C">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00065051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18ABF17C">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KIT DE FAIXAS ELÁSTICAS PARA EXERCÍCIOS. EMBALAGEM CONTENDO 3 FAIXAS COM NÍVEIS DE INTENSIDADE DIFERENTES. MATERIAL: BORRACHA FLEXÍVEL DE ALTA RESISTENCIA. TAMANHO MÍNIMO: 120 CM X 12 CM. PRODUTO PARA FORTALECIMENTO MUSCULAR E ARTICULAR.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C239D99">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BE2EF06">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160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4F3B6F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R$ 95,50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8FE152D">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R$ 96,61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6915CE24">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R$ 97,00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3787B23D">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R$ 96,3700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36555CFB">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R$ 15.419,20</w:t>
            </w:r>
            <w:r>
              <w:rPr>
                <w:rFonts w:ascii="Times New Roman" w:hAnsi="Times New Roman" w:cs="Times New Roman"/>
                <w:sz w:val="11"/>
                <w:szCs w:val="11"/>
              </w:rPr>
            </w:r>
            <w:r>
              <w:rPr>
                <w:rFonts w:ascii="Times New Roman" w:hAnsi="Times New Roman" w:cs="Times New Roman"/>
                <w:sz w:val="11"/>
                <w:szCs w:val="11"/>
              </w:rPr>
            </w:r>
          </w:p>
        </w:tc>
      </w:tr>
      <w:tr>
        <w:trPr>
          <w:trHeight w:val="454"/>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18F6EA7C">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208F3100">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126954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2770F4D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0006638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544D633C">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KIT TORRE DE HA</w:t>
            </w:r>
            <w:r>
              <w:rPr>
                <w:rFonts w:ascii="Times New Roman" w:hAnsi="Times New Roman" w:cs="Times New Roman"/>
                <w:color w:val="000000"/>
                <w:sz w:val="10"/>
                <w:szCs w:val="10"/>
              </w:rPr>
              <w:t xml:space="preserve">LTERES TIPO BOLA COM 10 PARES DE ALTERES. COMPOSTO POR TORRE / SUPORTE EXPOSITOR PARA GUARDA E ARMAZENAMENTO; E 1 PAR DE HALTERES BOLA EMBORRACHADOS DE CADA PESO DE 1 KG A 10 KG TOTALIZANDO 110 KG. FABRICADO EM FERRO FUNDIDO REVESTIDOS EM PVC EMBORRACHADO.</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37EEE8A">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403B2AE6">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A2A2F0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R$ 2.151,00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6E77B7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R$ 2.879,33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4C2D9085">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R$ 3.437,99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05E9FCC5">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R$ 2.822,7733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7EDC227C">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R$ 28.227,73</w:t>
            </w:r>
            <w:r>
              <w:rPr>
                <w:rFonts w:ascii="Times New Roman" w:hAnsi="Times New Roman" w:cs="Times New Roman"/>
                <w:sz w:val="11"/>
                <w:szCs w:val="11"/>
              </w:rPr>
            </w:r>
            <w:r>
              <w:rPr>
                <w:rFonts w:ascii="Times New Roman" w:hAnsi="Times New Roman" w:cs="Times New Roman"/>
                <w:sz w:val="11"/>
                <w:szCs w:val="11"/>
              </w:rPr>
            </w:r>
          </w:p>
        </w:tc>
      </w:tr>
      <w:tr>
        <w:trPr>
          <w:trHeight w:val="354"/>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6F08DF00">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36632A4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117889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6F35A8A3">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88568-1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1E748363">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LÂMPADA INFRAVERMELHO, POTÊNCIA MÍNIMA 150W, VOLTAGEM 110V, E27. PARA APLICAÇÕES NAS ÁREAS DE SAÚDE, FISIOTERAPIA, RADIAÇÃO INFRAVERMELHA DE ONDA CURTA.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B84FD5D">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5CAE461C">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F926B9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R$ 202,47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EDA34A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R$ 234,41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05108213">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R$ 241,90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1CD88D86">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R$ 226,2600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3340C0C6">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R$ 6.109,02</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44B4E458">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3DBB73F8">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116582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3D14FD96">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188771-8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7BAEA116">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MESA AUXILIAR EM AÇO INOX COM </w:t>
            </w:r>
            <w:r>
              <w:rPr>
                <w:rFonts w:ascii="Times New Roman" w:hAnsi="Times New Roman" w:cs="Times New Roman"/>
                <w:color w:val="000000"/>
                <w:sz w:val="10"/>
                <w:szCs w:val="10"/>
              </w:rPr>
              <w:t xml:space="preserve">RODIZÍOS: DIMENSÕES MÍNIMAS: 40X60X80 CM. ESTRUTUTURA EM TUBOS DE AÇO CROMADO, TAMPO E PRATELEIRA EM CHAPA DE AÇO INOXIDÁVEL, PÉS PROTEGIDOS COM RODÍZIOS DE 2 ½ DE DIÂMETRO, COM PONTEIRAS DE BORRACHA. GARANTIA MÍNIMA DE 01 ANO CONTRA DEFEITO DE FABRICAÇÃO.</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076D7B6">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5D2EF619">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91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C1A6F68">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R$ 1.720,00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2873C9D">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R$ 1.733,00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0D3DBE55">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R$ 1.765,00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6926DA56">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R$ 1.739,3333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59F3353F">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R$ 158.279,33</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196E6779">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1C96C2E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3731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36AF174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404678-1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77546C66">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PAR DE TORNOZELEIRA, CONTENDO 1 KG CADA, (PESO DO PAR: 02 KG). FABRICADA EM NYLON E MATERIAL</w:t>
            </w:r>
            <w:r>
              <w:rPr>
                <w:rFonts w:ascii="Times New Roman" w:hAnsi="Times New Roman" w:cs="Times New Roman"/>
                <w:color w:val="000000"/>
                <w:sz w:val="10"/>
                <w:szCs w:val="10"/>
              </w:rPr>
              <w:t xml:space="preserve"> RESISTENTE DE REVESTIMENTO VINÍLICO, QUE PERMITA A HIGIENIZAÇÃO, COM PESO, COM FECHAMENTO AJUSTÁVEL EM VELCRO. INDICADA PARA TREINAMENTO, GANHO DE FORCA, RESISTÊNCIA MUSCULAR E CONDICIONAMENTO FÍSICO. PRODUTO CONTENDO MARCA E IDENTIFICAÇÃO DO FABRICANTE.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D7EE0D6">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PAR</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30569FF9">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95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5889121">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R$ 58,00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9EFA12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R$ 60,00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0A3E20DF">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R$ 69,00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4C0BE8AE">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R$ 62,3333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1C3D00DE">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R$ 5.921,66</w:t>
            </w:r>
            <w:r>
              <w:rPr>
                <w:rFonts w:ascii="Times New Roman" w:hAnsi="Times New Roman" w:cs="Times New Roman"/>
                <w:sz w:val="11"/>
                <w:szCs w:val="11"/>
              </w:rPr>
            </w:r>
            <w:r>
              <w:rPr>
                <w:rFonts w:ascii="Times New Roman" w:hAnsi="Times New Roman" w:cs="Times New Roman"/>
                <w:sz w:val="11"/>
                <w:szCs w:val="11"/>
              </w:rPr>
            </w:r>
          </w:p>
        </w:tc>
      </w:tr>
      <w:tr>
        <w:trPr>
          <w:trHeight w:val="212"/>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318D9756">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7BA3DCB1">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3731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798721B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00088763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16EE2F7B">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PLACA PARA AURICULOTERAPIA. CARTELA COM NO MÍNIMO 60 UNIDADES. PONTO DE SEMENTE, COM ADESIVO DE MICROPORE DE FÁCIL RETIRADA.</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C818FE6">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26B5F66">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2110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8059ED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R$ 36,26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D419F1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R$ 42,90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2B54B9CF">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R$ 64,90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3F800610">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R$ 48,0200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73A7DB91">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R$ 101.322,20</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7378A328">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70B8E03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1493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67018C98">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00064362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1B91D83B">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PRESERVATIVO MASCULINO - SEM LUBRIFICAÇÃO. PRODUTO PARA USO MÉDICO EM EXAMES</w:t>
            </w:r>
            <w:r>
              <w:rPr>
                <w:rFonts w:ascii="Times New Roman" w:hAnsi="Times New Roman" w:cs="Times New Roman"/>
                <w:color w:val="000000"/>
                <w:sz w:val="10"/>
                <w:szCs w:val="10"/>
              </w:rPr>
              <w:t xml:space="preserve"> DE ULTRA-SONOGRAFIA. COM ALTA TRANSPARÊNCIA QUE PERMITA MAIOR NITIDEZ NA CAPTAÇÃO DAS IMAGENS. COMPOSIÇÃO: LÁTEX DE BORRACHA NATURAL. EMBALAGEM CONTENDO DADOS DE IDENTIFICAÇÃO DO PRODUTO. DATA DE FABRICAÇÃO E PRAZO DE VALIDADE. EMBALADOS INDIVIDUALMENTE.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5141481">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30F3A086">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7500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8BF8BE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R$ 1,07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99DFA9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7CF095EF">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R$ 2,77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403331AE">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R$ 2,0800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2A0E7F7B">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R$ 15.600,00</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1194FD76">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129BD58C">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117870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2806CFF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00025556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106070C1">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ROLO DE POSICIONAMENTO, TAMANHO GRAN</w:t>
            </w:r>
            <w:r>
              <w:rPr>
                <w:rFonts w:ascii="Times New Roman" w:hAnsi="Times New Roman" w:cs="Times New Roman"/>
                <w:color w:val="000000"/>
                <w:sz w:val="10"/>
                <w:szCs w:val="10"/>
              </w:rPr>
              <w:t xml:space="preserve">DE - MEDIDAS NÃO INFERIOR A: 60 CM DE COMPRIMENTO POR 30 CM DE LARGURA. CONFECCIONADO EM ESPUMA COM DENSIDADE 33 OU SUPERIOR. REVESTIDO EM COURVIN. PRODUTO INDICADO PARA EXERCÍCIOS DE FISIOTERAPIA, GARANTIA MÌNIMA DE 12 MESES.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4DAD7AB">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150BD92E">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59C1FC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R$ 89,00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459990C">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R$ 102,00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78289EB1">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R$ 105,00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5ED1338C">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R$ 98,6667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30C1AC7E">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R$ 2.466,67</w:t>
            </w:r>
            <w:r>
              <w:rPr>
                <w:rFonts w:ascii="Times New Roman" w:hAnsi="Times New Roman" w:cs="Times New Roman"/>
                <w:sz w:val="11"/>
                <w:szCs w:val="11"/>
              </w:rPr>
            </w:r>
            <w:r>
              <w:rPr>
                <w:rFonts w:ascii="Times New Roman" w:hAnsi="Times New Roman" w:cs="Times New Roman"/>
                <w:sz w:val="11"/>
                <w:szCs w:val="11"/>
              </w:rPr>
            </w:r>
          </w:p>
        </w:tc>
      </w:tr>
      <w:tr>
        <w:trPr>
          <w:trHeight w:val="508"/>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4B0185DE">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60D7EC8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129204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58E3842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336115-2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244F7923">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ROLO DE POSICIONAMENTO, TAMANHO MÉDIO</w:t>
            </w:r>
            <w:r>
              <w:rPr>
                <w:rFonts w:ascii="Times New Roman" w:hAnsi="Times New Roman" w:cs="Times New Roman"/>
                <w:color w:val="000000"/>
                <w:sz w:val="10"/>
                <w:szCs w:val="10"/>
              </w:rPr>
              <w:t xml:space="preserve"> - MEDIDAS NÃO INFERIORES A: 60 CM DE COMPRIMENTO POR 15 CM DE LARGURA. CONFECCIONADO EM ESPUMA COM DENSIDADE 33 OU SUPERIOR. REVESTIDO EM COURVIN. PRODUTO INDICADO PARA EXERCÍCIOS DE FISIOTERAPIA, GARANTIA MÌNIMA DE 12 MESES.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1FBC7CA">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56E8630C">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2A11C9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R$ 72,70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41744B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413943A0">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R$ 77,90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7A5699AD">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R$ 75,8667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74B3CF66">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R$ 1.896,67</w:t>
            </w:r>
            <w:r>
              <w:rPr>
                <w:rFonts w:ascii="Times New Roman" w:hAnsi="Times New Roman" w:cs="Times New Roman"/>
                <w:sz w:val="11"/>
                <w:szCs w:val="11"/>
              </w:rPr>
            </w:r>
            <w:r>
              <w:rPr>
                <w:rFonts w:ascii="Times New Roman" w:hAnsi="Times New Roman" w:cs="Times New Roman"/>
                <w:sz w:val="11"/>
                <w:szCs w:val="11"/>
              </w:rPr>
            </w:r>
          </w:p>
        </w:tc>
      </w:tr>
      <w:tr>
        <w:trPr>
          <w:trHeight w:val="518"/>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4B1A4630">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30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3DFA14B3">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117869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5EAA2133">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404680-3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2DEE7B88">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ROLO DE POSICIONAMENTO, TAMANHO PEQUENO</w:t>
            </w:r>
            <w:r>
              <w:rPr>
                <w:rFonts w:ascii="Times New Roman" w:hAnsi="Times New Roman" w:cs="Times New Roman"/>
                <w:color w:val="000000"/>
                <w:sz w:val="10"/>
                <w:szCs w:val="10"/>
              </w:rPr>
              <w:t xml:space="preserve"> - MEDIDAS NÃO INFERIORES A: 40 CM DE COMPRIMENTO POR 15 CM DE LARGURA. CONFECCIONADO EM ESPUMA COM DENSIDADE 33 OU SUPERIOR. REVESTIDO EM COURVIN. PRODUTO INDICADO PARA EXERCÍCIOS DE FISIOTERAPIA, GARANTIA MÌNIMA DE 12 MESES.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D3C1101">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5059D055">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7207551">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R$ 187,99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7740A88">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R$ 204,36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2AC4AC4F">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R$ 290,00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6A1C4969">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R$ 227,4500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6E0EAD1D">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R$ 5.686,25</w:t>
            </w:r>
            <w:r>
              <w:rPr>
                <w:rFonts w:ascii="Times New Roman" w:hAnsi="Times New Roman" w:cs="Times New Roman"/>
                <w:sz w:val="11"/>
                <w:szCs w:val="11"/>
              </w:rPr>
            </w:r>
            <w:r>
              <w:rPr>
                <w:rFonts w:ascii="Times New Roman" w:hAnsi="Times New Roman" w:cs="Times New Roman"/>
                <w:sz w:val="11"/>
                <w:szCs w:val="11"/>
              </w:rPr>
            </w:r>
          </w:p>
        </w:tc>
      </w:tr>
      <w:tr>
        <w:trPr>
          <w:trHeight w:val="387"/>
        </w:trPr>
        <w:tc>
          <w:tcPr>
            <w:shd w:val="clear" w:color="ffffff" w:fill="ffffff"/>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14:paraId="07811237">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31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14:paraId="229C680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117869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602" w:type="dxa"/>
            <w:vAlign w:val="center"/>
            <w:textDirection w:val="lrTb"/>
            <w:noWrap w:val="false"/>
          </w:tcPr>
          <w:p w14:paraId="16F19E5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00019041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6B38A77D">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STEP AERÓBICO / SIMULADOR DE DEGRAU, CONFECCIONADO EM E.V.A, ANTI-IMPACTO DE ALTA RESISTÊNCIA, CANTOS ARREDONDADOS. SUPERFÍCIE ANTIDERRAPANTE. MEDIDAS MÍNIMAS: 90 X 30 X 15 CM (C X L X A). PRODUTO INDICADO PARA PRÁTICA ESPORTIVA.</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D20509F">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3F336DDB">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5EB2B1D">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R$ 132,60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E9EEF43">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R$ 249,90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0962C922">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R$ 435,00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249E51DE">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R$ 272,5000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451C8EFB">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R$ 54.500,00</w:t>
            </w:r>
            <w:r>
              <w:rPr>
                <w:rFonts w:ascii="Times New Roman" w:hAnsi="Times New Roman" w:cs="Times New Roman"/>
                <w:sz w:val="11"/>
                <w:szCs w:val="11"/>
              </w:rPr>
            </w:r>
            <w:r>
              <w:rPr>
                <w:rFonts w:ascii="Times New Roman" w:hAnsi="Times New Roman" w:cs="Times New Roman"/>
                <w:sz w:val="11"/>
                <w:szCs w:val="11"/>
              </w:rPr>
            </w:r>
          </w:p>
        </w:tc>
      </w:tr>
    </w:tbl>
    <w:p w14:paraId="6F40FE6C">
      <w:pPr>
        <w:pBdr/>
        <w:spacing/>
        <w:ind/>
        <w:jc w:val="both"/>
        <w:rPr>
          <w:rFonts w:ascii="Times New Roman" w:hAnsi="Times New Roman" w:eastAsia="SimSun" w:cs="Times New Roman"/>
          <w:b/>
          <w:bCs/>
          <w:lang w:val="pt-BR"/>
        </w:rPr>
      </w:pPr>
      <w:r>
        <w:rPr>
          <w:rFonts w:ascii="Times New Roman" w:hAnsi="Times New Roman" w:eastAsia="SimSun" w:cs="Times New Roman"/>
          <w:b/>
          <w:bCs/>
          <w:lang w:val="pt-BR"/>
        </w:rPr>
      </w:r>
      <w:r>
        <w:rPr>
          <w:rFonts w:ascii="Times New Roman" w:hAnsi="Times New Roman" w:eastAsia="SimSun" w:cs="Times New Roman"/>
          <w:b/>
          <w:bCs/>
          <w:lang w:val="pt-BR"/>
        </w:rPr>
      </w:r>
      <w:r>
        <w:rPr>
          <w:rFonts w:ascii="Times New Roman" w:hAnsi="Times New Roman" w:eastAsia="SimSun" w:cs="Times New Roman"/>
          <w:b/>
          <w:bCs/>
          <w:lang w:val="pt-BR"/>
        </w:rPr>
      </w:r>
    </w:p>
    <w:p w14:paraId="60BCC595">
      <w:pPr>
        <w:pBdr/>
        <w:spacing/>
        <w:ind/>
        <w:jc w:val="both"/>
        <w:rPr>
          <w:rFonts w:ascii="Times New Roman" w:hAnsi="Times New Roman" w:cs="Times New Roman"/>
          <w:b/>
          <w:bCs/>
          <w:lang w:val="pt-BR"/>
        </w:rPr>
      </w:pPr>
      <w:r>
        <w:rPr>
          <w:rFonts w:ascii="Times New Roman" w:hAnsi="Times New Roman" w:cs="Times New Roman"/>
          <w:b/>
          <w:bCs/>
          <w:lang w:val="pt-BR"/>
        </w:rPr>
        <w:t xml:space="preserve">10</w:t>
      </w:r>
      <w:r>
        <w:rPr>
          <w:rFonts w:ascii="Times New Roman" w:hAnsi="Times New Roman" w:cs="Times New Roman"/>
          <w:b/>
          <w:bCs/>
          <w:lang w:val="pt-BR"/>
        </w:rPr>
        <w:t xml:space="preserve">.</w:t>
      </w:r>
      <w:r>
        <w:rPr>
          <w:rFonts w:ascii="Times New Roman" w:hAnsi="Times New Roman" w:cs="Times New Roman"/>
          <w:b/>
          <w:bCs/>
          <w:lang w:val="pt-BR"/>
        </w:rPr>
        <w:t xml:space="preserve">3.</w:t>
      </w:r>
      <w:r>
        <w:rPr>
          <w:rFonts w:ascii="Times New Roman" w:hAnsi="Times New Roman" w:cs="Times New Roman"/>
          <w:b/>
          <w:bCs/>
          <w:lang w:val="pt-BR"/>
        </w:rPr>
        <w:t xml:space="preserve"> </w:t>
      </w:r>
      <w:r>
        <w:rPr>
          <w:rFonts w:ascii="Times New Roman" w:hAnsi="Times New Roman" w:cs="Times New Roman"/>
          <w:lang w:val="pt-BR"/>
        </w:rPr>
        <w:t xml:space="preserve">As unidades e especificações dos materiais constant</w:t>
      </w:r>
      <w:r>
        <w:rPr>
          <w:rFonts w:ascii="Times New Roman" w:hAnsi="Times New Roman" w:cs="Times New Roman"/>
          <w:lang w:val="pt-BR"/>
        </w:rPr>
        <w:t xml:space="preserve">es na tabela foram definidas a partir do levantamento das necessidades encaminhadas pelos setores demandantes, considerando o planejamento assistencial atualizado. Ressalta-se que, por se tratar de contratação na modalidade pregão, as quantidades estimadas</w:t>
      </w:r>
      <w:r>
        <w:rPr>
          <w:rFonts w:ascii="Times New Roman" w:hAnsi="Times New Roman" w:cs="Times New Roman"/>
          <w:lang w:val="pt-BR"/>
        </w:rPr>
        <w:t xml:space="preserve"> foram propositalmente ampliadas de forma significativa, a fim de assegurar o atendimento contínuo das demandas durante toda a vigência do contrato, bem como prevenir desabastecimentos decorrentes de eventuais ampliações dos serviços ou aumento da procura.</w:t>
      </w:r>
      <w:r>
        <w:rPr>
          <w:rFonts w:ascii="Times New Roman" w:hAnsi="Times New Roman" w:cs="Times New Roman"/>
          <w:b/>
          <w:bCs/>
          <w:lang w:val="pt-BR"/>
        </w:rPr>
      </w:r>
      <w:r>
        <w:rPr>
          <w:rFonts w:ascii="Times New Roman" w:hAnsi="Times New Roman" w:cs="Times New Roman"/>
          <w:b/>
          <w:bCs/>
          <w:lang w:val="pt-BR"/>
        </w:rPr>
      </w:r>
    </w:p>
    <w:p w14:paraId="41C2609C">
      <w:pPr>
        <w:pBdr/>
        <w:spacing/>
        <w:ind/>
        <w:jc w:val="both"/>
        <w:rPr>
          <w:rFonts w:ascii="Times New Roman" w:hAnsi="Times New Roman" w:cs="Times New Roman"/>
          <w:lang w:val="pt-BR"/>
        </w:rPr>
      </w:pPr>
      <w:r>
        <w:rPr>
          <w:rFonts w:ascii="Times New Roman" w:hAnsi="Times New Roman" w:cs="Times New Roman"/>
          <w:b/>
          <w:bCs/>
          <w:lang w:val="pt-BR"/>
        </w:rPr>
        <w:t xml:space="preserve">10.3.1.</w:t>
      </w:r>
      <w:r>
        <w:rPr>
          <w:rFonts w:ascii="Times New Roman" w:hAnsi="Times New Roman" w:cs="Times New Roman"/>
          <w:b/>
          <w:bCs/>
          <w:lang w:val="pt-BR"/>
        </w:rPr>
        <w:t xml:space="preserve"> </w:t>
      </w:r>
      <w:r>
        <w:rPr>
          <w:rFonts w:ascii="Times New Roman" w:hAnsi="Times New Roman" w:cs="Times New Roman"/>
          <w:lang w:val="pt-BR"/>
        </w:rPr>
        <w:t xml:space="preserve">As quantidades zeradas registradas nos exercícios anteriores não refletem </w:t>
      </w:r>
      <w:r>
        <w:rPr>
          <w:rFonts w:ascii="Times New Roman" w:hAnsi="Times New Roman" w:cs="Times New Roman"/>
          <w:lang w:val="pt-BR"/>
        </w:rPr>
        <w:t xml:space="preserve">a inexistência de necessidade dos materiais ora demandados, mas decorrem de fatores administrativos e operacionais vigentes à época, tais como limitações orçamentárias, priorização de outras demandas assistenciais, utilização de estoques remanescentes e a </w:t>
      </w:r>
      <w:r>
        <w:rPr>
          <w:rFonts w:ascii="Times New Roman" w:hAnsi="Times New Roman" w:cs="Times New Roman"/>
          <w:lang w:val="pt-BR"/>
        </w:rPr>
        <w:t xml:space="preserve">inexistência de programas específicos que demandassem a aquisição regular desses materiais.</w:t>
      </w:r>
      <w:r>
        <w:rPr>
          <w:rFonts w:ascii="Times New Roman" w:hAnsi="Times New Roman" w:cs="Times New Roman"/>
          <w:lang w:val="pt-BR"/>
        </w:rPr>
      </w:r>
      <w:r>
        <w:rPr>
          <w:rFonts w:ascii="Times New Roman" w:hAnsi="Times New Roman" w:cs="Times New Roman"/>
          <w:lang w:val="pt-BR"/>
        </w:rPr>
      </w:r>
    </w:p>
    <w:p w14:paraId="775DE4AC">
      <w:pPr>
        <w:pBdr/>
        <w:spacing/>
        <w:ind/>
        <w:jc w:val="both"/>
        <w:rPr>
          <w:rFonts w:ascii="Times New Roman" w:hAnsi="Times New Roman" w:cs="Times New Roman"/>
          <w:lang w:val="pt-BR"/>
        </w:rPr>
      </w:pPr>
      <w:r>
        <w:rPr>
          <w:rFonts w:ascii="Times New Roman" w:hAnsi="Times New Roman" w:cs="Times New Roman"/>
          <w:b/>
          <w:bCs/>
          <w:lang w:val="pt-BR"/>
        </w:rPr>
        <w:t xml:space="preserve">10.3.2.</w:t>
      </w:r>
      <w:r>
        <w:rPr>
          <w:rFonts w:ascii="Times New Roman" w:hAnsi="Times New Roman" w:cs="Times New Roman"/>
          <w:b/>
          <w:bCs/>
          <w:lang w:val="pt-BR"/>
        </w:rPr>
        <w:t xml:space="preserve"> </w:t>
      </w:r>
      <w:r>
        <w:rPr>
          <w:rFonts w:ascii="Times New Roman" w:hAnsi="Times New Roman" w:cs="Times New Roman"/>
          <w:lang w:val="pt-BR"/>
        </w:rPr>
        <w:t xml:space="preserve">Destaca-se que, nos exercícios anteriores, os atendimentos fisioterapêuticos realizados no âmbito do CER II – Centro Especializado em Reabilitação, da Atenção Especializada e das Ações Programática</w:t>
      </w:r>
      <w:r>
        <w:rPr>
          <w:rFonts w:ascii="Times New Roman" w:hAnsi="Times New Roman" w:cs="Times New Roman"/>
          <w:lang w:val="pt-BR"/>
        </w:rPr>
        <w:t xml:space="preserve">s ocorriam sob estrutura organizacional e fluxos assistenciais distintos dos atualmente planejados, não havendo, naquele período, a implementação de ações sistematizadas que justificassem aquisições contínuas ou em maior escala dos materiais ora previstos.</w:t>
      </w:r>
      <w:r>
        <w:rPr>
          <w:rFonts w:ascii="Times New Roman" w:hAnsi="Times New Roman" w:cs="Times New Roman"/>
          <w:lang w:val="pt-BR"/>
        </w:rPr>
      </w:r>
      <w:r>
        <w:rPr>
          <w:rFonts w:ascii="Times New Roman" w:hAnsi="Times New Roman" w:cs="Times New Roman"/>
          <w:lang w:val="pt-BR"/>
        </w:rPr>
      </w:r>
    </w:p>
    <w:p w14:paraId="4DFE3EF6">
      <w:pPr>
        <w:pBdr/>
        <w:spacing/>
        <w:ind/>
        <w:jc w:val="both"/>
        <w:rPr>
          <w:rFonts w:ascii="Times New Roman" w:hAnsi="Times New Roman" w:cs="Times New Roman"/>
          <w:b/>
          <w:bCs/>
          <w:lang w:val="pt-BR"/>
        </w:rPr>
      </w:pPr>
      <w:r>
        <w:rPr>
          <w:rFonts w:ascii="Times New Roman" w:hAnsi="Times New Roman" w:cs="Times New Roman"/>
          <w:b/>
          <w:bCs/>
          <w:lang w:val="pt-BR"/>
        </w:rPr>
        <w:t xml:space="preserve">10.3.3. </w:t>
      </w:r>
      <w:r>
        <w:rPr>
          <w:rFonts w:ascii="Times New Roman" w:hAnsi="Times New Roman" w:cs="Times New Roman"/>
          <w:b/>
          <w:bCs/>
          <w:lang w:val="pt-BR"/>
        </w:rPr>
        <w:t xml:space="preserve"> </w:t>
      </w:r>
      <w:r>
        <w:rPr>
          <w:rFonts w:ascii="Times New Roman" w:hAnsi="Times New Roman" w:cs="Times New Roman"/>
          <w:lang w:val="pt-BR"/>
        </w:rPr>
        <w:t xml:space="preserve">No cenário </w:t>
      </w:r>
      <w:r>
        <w:rPr>
          <w:rFonts w:ascii="Times New Roman" w:hAnsi="Times New Roman" w:cs="Times New Roman"/>
          <w:lang w:val="pt-BR"/>
        </w:rPr>
        <w:t xml:space="preserve">atual, observa-se uma mudança significativa no planejamento das ações de saúde, com a implantação e ampliação de programas de incentivo à saúde, o fortalecimento das ações programáticas, a ampliação da cobertura assistencial e a reorganização da Rede de At</w:t>
      </w:r>
      <w:r>
        <w:rPr>
          <w:rFonts w:ascii="Times New Roman" w:hAnsi="Times New Roman" w:cs="Times New Roman"/>
          <w:lang w:val="pt-BR"/>
        </w:rPr>
        <w:t xml:space="preserve">enção à Saúde, especialmente no eixo da reabilitação. Tais iniciativas demandam maior disponibilidade de materiais e equipamentos de fisioterapia, em quantitativo compatível com a nova realidade assistencial e com o aumento do número de usuários atendidos.</w:t>
      </w:r>
      <w:r>
        <w:rPr>
          <w:rFonts w:ascii="Times New Roman" w:hAnsi="Times New Roman" w:cs="Times New Roman"/>
          <w:b/>
          <w:bCs/>
          <w:lang w:val="pt-BR"/>
        </w:rPr>
      </w:r>
      <w:r>
        <w:rPr>
          <w:rFonts w:ascii="Times New Roman" w:hAnsi="Times New Roman" w:cs="Times New Roman"/>
          <w:b/>
          <w:bCs/>
          <w:lang w:val="pt-BR"/>
        </w:rPr>
      </w:r>
    </w:p>
    <w:p w14:paraId="11F77656">
      <w:pPr>
        <w:pBdr/>
        <w:spacing/>
        <w:ind/>
        <w:jc w:val="both"/>
        <w:rPr>
          <w:rFonts w:ascii="Times New Roman" w:hAnsi="Times New Roman" w:cs="Times New Roman"/>
          <w:lang w:val="pt-BR"/>
        </w:rPr>
      </w:pPr>
      <w:r>
        <w:rPr>
          <w:rFonts w:ascii="Times New Roman" w:hAnsi="Times New Roman" w:cs="Times New Roman"/>
          <w:b/>
          <w:bCs/>
          <w:lang w:val="pt-BR"/>
        </w:rPr>
        <w:t xml:space="preserve">10.3.4.</w:t>
      </w:r>
      <w:r>
        <w:rPr>
          <w:rFonts w:ascii="Times New Roman" w:hAnsi="Times New Roman" w:cs="Times New Roman"/>
          <w:b/>
          <w:bCs/>
          <w:lang w:val="pt-BR"/>
        </w:rPr>
        <w:t xml:space="preserve"> </w:t>
      </w:r>
      <w:r>
        <w:rPr>
          <w:rFonts w:ascii="Times New Roman" w:hAnsi="Times New Roman" w:cs="Times New Roman"/>
          <w:lang w:val="pt-BR"/>
        </w:rPr>
        <w:t xml:space="preserve">Dessa forma, as quantidades estimadas para a presente contratação foram estabelec</w:t>
      </w:r>
      <w:r>
        <w:rPr>
          <w:rFonts w:ascii="Times New Roman" w:hAnsi="Times New Roman" w:cs="Times New Roman"/>
          <w:lang w:val="pt-BR"/>
        </w:rPr>
        <w:t xml:space="preserve">idas com base nas informações fornecidas pelos setores demandantes, no planejamento atualizado das ações de saúde, na ampliação dos serviços ofertados, na necessidade de recomposição e padronização dos materiais utilizados e na previsão de aumento da deman</w:t>
      </w:r>
      <w:r>
        <w:rPr>
          <w:rFonts w:ascii="Times New Roman" w:hAnsi="Times New Roman" w:cs="Times New Roman"/>
          <w:lang w:val="pt-BR"/>
        </w:rPr>
        <w:t xml:space="preserve">da. Considerou-se, ainda, a natureza do pregão, que exige previsão quantitativa suficiente para atender possíveis variações de consumo ao longo da vigência, não sendo possível utilizar como parâmetro exclusivo os dados históricos dos exercícios anteriores.</w:t>
      </w:r>
      <w:r>
        <w:rPr>
          <w:rFonts w:ascii="Times New Roman" w:hAnsi="Times New Roman" w:cs="Times New Roman"/>
          <w:lang w:val="pt-BR"/>
        </w:rPr>
      </w:r>
      <w:r>
        <w:rPr>
          <w:rFonts w:ascii="Times New Roman" w:hAnsi="Times New Roman" w:cs="Times New Roman"/>
          <w:lang w:val="pt-BR"/>
        </w:rPr>
      </w:r>
    </w:p>
    <w:p w14:paraId="149EB891">
      <w:pPr>
        <w:pBdr/>
        <w:spacing/>
        <w:ind/>
        <w:jc w:val="both"/>
        <w:rPr>
          <w:rFonts w:ascii="Times New Roman" w:hAnsi="Times New Roman" w:cs="Times New Roman"/>
          <w:b/>
          <w:bCs/>
          <w:lang w:val="pt-BR"/>
        </w:rPr>
      </w:pPr>
      <w:r>
        <w:rPr>
          <w:rFonts w:ascii="Times New Roman" w:hAnsi="Times New Roman" w:cs="Times New Roman"/>
          <w:b/>
          <w:bCs/>
          <w:lang w:val="pt-BR"/>
        </w:rPr>
        <w:t xml:space="preserve">10.3.5.</w:t>
      </w:r>
      <w:r>
        <w:rPr>
          <w:rFonts w:ascii="Times New Roman" w:hAnsi="Times New Roman" w:cs="Times New Roman"/>
          <w:b/>
          <w:bCs/>
          <w:lang w:val="pt-BR"/>
        </w:rPr>
        <w:t xml:space="preserve"> </w:t>
      </w:r>
      <w:r>
        <w:rPr>
          <w:rFonts w:ascii="Times New Roman" w:hAnsi="Times New Roman" w:cs="Times New Roman"/>
          <w:lang w:val="pt-BR"/>
        </w:rPr>
        <w:t xml:space="preserve">Assim, as quantidades anteriormente zeradas encontram-se devidamente justificadas, uma vez que </w:t>
      </w:r>
      <w:r>
        <w:rPr>
          <w:rFonts w:ascii="Times New Roman" w:hAnsi="Times New Roman" w:cs="Times New Roman"/>
          <w:lang w:val="pt-BR"/>
        </w:rPr>
        <w:t xml:space="preserve">a presente demanda reflete uma nova realidade assistencial e institucional, alinhada às diretrizes atuais da política pública de saúde e ao interesse público, visando assegurar a qualidade, a continuidade e a efetividade dos serviços prestados à população.</w:t>
      </w:r>
      <w:r>
        <w:rPr>
          <w:rFonts w:ascii="Times New Roman" w:hAnsi="Times New Roman" w:cs="Times New Roman"/>
          <w:b/>
          <w:bCs/>
          <w:lang w:val="pt-BR"/>
        </w:rPr>
      </w:r>
      <w:r>
        <w:rPr>
          <w:rFonts w:ascii="Times New Roman" w:hAnsi="Times New Roman" w:cs="Times New Roman"/>
          <w:b/>
          <w:bCs/>
          <w:lang w:val="pt-BR"/>
        </w:rPr>
      </w:r>
    </w:p>
    <w:p w14:paraId="402E218A">
      <w:pPr>
        <w:pBdr/>
        <w:spacing/>
        <w:ind/>
        <w:jc w:val="both"/>
        <w:rPr>
          <w:rFonts w:ascii="Times New Roman" w:hAnsi="Times New Roman" w:cs="Times New Roman"/>
          <w:b/>
          <w:bCs/>
          <w:lang w:val="pt-BR"/>
        </w:rPr>
      </w:pPr>
      <w:r>
        <w:rPr>
          <w:rFonts w:ascii="Times New Roman" w:hAnsi="Times New Roman" w:cs="Times New Roman"/>
          <w:b/>
          <w:bCs/>
          <w:lang w:val="pt-BR"/>
        </w:rPr>
      </w:r>
      <w:r>
        <w:rPr>
          <w:rFonts w:ascii="Times New Roman" w:hAnsi="Times New Roman" w:cs="Times New Roman"/>
          <w:b/>
          <w:bCs/>
          <w:lang w:val="pt-BR"/>
        </w:rPr>
      </w:r>
      <w:r>
        <w:rPr>
          <w:rFonts w:ascii="Times New Roman" w:hAnsi="Times New Roman" w:cs="Times New Roman"/>
          <w:b/>
          <w:bCs/>
          <w:lang w:val="pt-BR"/>
        </w:rPr>
      </w:r>
    </w:p>
    <w:tbl>
      <w:tblPr>
        <w:tblInd w:w="3" w:type="dxa"/>
        <w:tblW w:w="10593" w:type="dxa"/>
        <w:tblCellMar>
          <w:left w:w="55" w:type="dxa"/>
          <w:top w:w="55" w:type="dxa"/>
          <w:right w:w="55" w:type="dxa"/>
          <w:bottom w:w="55" w:type="dxa"/>
        </w:tblCellMar>
        <w:tblBorders/>
        <w:tblLayout w:type="fixed"/>
        <w:tblLook w:val="04A0" w:firstRow="1" w:lastRow="0" w:firstColumn="1" w:lastColumn="0" w:noHBand="0" w:noVBand="1"/>
      </w:tblPr>
      <w:tblGrid>
        <w:gridCol w:w="492"/>
        <w:gridCol w:w="5454"/>
        <w:gridCol w:w="425"/>
        <w:gridCol w:w="567"/>
        <w:gridCol w:w="567"/>
        <w:gridCol w:w="425"/>
        <w:gridCol w:w="567"/>
        <w:gridCol w:w="567"/>
        <w:gridCol w:w="426"/>
        <w:gridCol w:w="485"/>
        <w:gridCol w:w="618"/>
      </w:tblGrid>
      <w:tr>
        <w:trPr>
          <w:trHeight w:val="19"/>
        </w:trPr>
        <w:tc>
          <w:tcPr>
            <w:shd w:val="clear" w:color="ffffff" w:fill="cccccc"/>
            <w:tcBorders>
              <w:top w:val="single" w:color="000000" w:sz="4" w:space="0"/>
              <w:left w:val="single" w:color="000000" w:sz="4" w:space="0"/>
              <w:bottom w:val="single" w:color="000000" w:sz="4" w:space="0"/>
            </w:tcBorders>
            <w:tcW w:w="492" w:type="dxa"/>
            <w:vAlign w:val="center"/>
            <w:textDirection w:val="lrTb"/>
            <w:noWrap w:val="false"/>
          </w:tcPr>
          <w:p w14:paraId="6D853681">
            <w:pPr>
              <w:pStyle w:val="2066"/>
              <w:pBdr/>
              <w:spacing/>
              <w:ind/>
              <w:jc w:val="center"/>
              <w:rPr>
                <w:rFonts w:ascii="Times New Roman" w:hAnsi="Times New Roman" w:cs="Times New Roman"/>
                <w:b/>
                <w:bCs/>
                <w:sz w:val="10"/>
                <w:szCs w:val="10"/>
              </w:rPr>
            </w:pPr>
            <w:r>
              <w:rPr>
                <w:rFonts w:ascii="Times New Roman" w:hAnsi="Times New Roman" w:eastAsia="SimSun" w:cs="Times New Roman"/>
                <w:b/>
                <w:bCs/>
                <w:sz w:val="10"/>
                <w:szCs w:val="10"/>
                <w:lang w:val="pt-BR" w:eastAsia="zh-CN" w:bidi="hi-IN"/>
              </w:rPr>
              <w:t xml:space="preserve">ITEM</w:t>
            </w:r>
            <w:r>
              <w:rPr>
                <w:rFonts w:ascii="Times New Roman" w:hAnsi="Times New Roman" w:cs="Times New Roman"/>
                <w:b/>
                <w:bCs/>
                <w:sz w:val="10"/>
                <w:szCs w:val="10"/>
              </w:rPr>
            </w:r>
            <w:r>
              <w:rPr>
                <w:rFonts w:ascii="Times New Roman" w:hAnsi="Times New Roman" w:cs="Times New Roman"/>
                <w:b/>
                <w:bCs/>
                <w:sz w:val="10"/>
                <w:szCs w:val="10"/>
              </w:rPr>
            </w:r>
          </w:p>
        </w:tc>
        <w:tc>
          <w:tcPr>
            <w:shd w:val="clear" w:color="ffffff" w:fill="cccccc"/>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5D5A2A77">
            <w:pPr>
              <w:pStyle w:val="2066"/>
              <w:pBdr/>
              <w:spacing/>
              <w:ind/>
              <w:jc w:val="center"/>
              <w:rPr>
                <w:rFonts w:ascii="Times New Roman" w:hAnsi="Times New Roman" w:cs="Times New Roman"/>
                <w:b/>
                <w:bCs/>
                <w:sz w:val="10"/>
                <w:szCs w:val="10"/>
              </w:rPr>
            </w:pPr>
            <w:r>
              <w:rPr>
                <w:rFonts w:ascii="Times New Roman" w:hAnsi="Times New Roman" w:eastAsia="Calibri" w:cs="Times New Roman"/>
                <w:b/>
                <w:bCs/>
                <w:sz w:val="10"/>
                <w:szCs w:val="10"/>
                <w:lang w:val="pt-BR"/>
              </w:rPr>
              <w:t xml:space="preserve">DESCRIÇÃO</w:t>
            </w:r>
            <w:r>
              <w:rPr>
                <w:rFonts w:ascii="Times New Roman" w:hAnsi="Times New Roman" w:cs="Times New Roman"/>
                <w:b/>
                <w:bCs/>
                <w:sz w:val="10"/>
                <w:szCs w:val="10"/>
              </w:rPr>
            </w:r>
            <w:r>
              <w:rPr>
                <w:rFonts w:ascii="Times New Roman" w:hAnsi="Times New Roman" w:cs="Times New Roman"/>
                <w:b/>
                <w:bCs/>
                <w:sz w:val="10"/>
                <w:szCs w:val="10"/>
              </w:rPr>
            </w:r>
          </w:p>
        </w:tc>
        <w:tc>
          <w:tcPr>
            <w:shd w:val="clear" w:color="ffffff" w:fill="cccccc"/>
            <w:tcBorders>
              <w:top w:val="single" w:color="000000" w:sz="4" w:space="0"/>
              <w:left w:val="single" w:color="000000" w:sz="4" w:space="0"/>
              <w:bottom w:val="single" w:color="000000" w:sz="4" w:space="0"/>
            </w:tcBorders>
            <w:tcW w:w="425" w:type="dxa"/>
            <w:vAlign w:val="center"/>
            <w:textDirection w:val="lrTb"/>
            <w:noWrap w:val="false"/>
          </w:tcPr>
          <w:p w14:paraId="25205986">
            <w:pPr>
              <w:pStyle w:val="2066"/>
              <w:pBdr/>
              <w:spacing/>
              <w:ind/>
              <w:jc w:val="center"/>
              <w:rPr>
                <w:rFonts w:ascii="Times New Roman" w:hAnsi="Times New Roman" w:cs="Times New Roman"/>
                <w:b/>
                <w:bCs/>
                <w:sz w:val="10"/>
                <w:szCs w:val="10"/>
                <w:lang w:val="pt-BR"/>
              </w:rPr>
            </w:pPr>
            <w:r>
              <w:rPr>
                <w:rFonts w:ascii="Times New Roman" w:hAnsi="Times New Roman" w:eastAsia="SimSun" w:cs="Times New Roman"/>
                <w:b/>
                <w:bCs/>
                <w:sz w:val="10"/>
                <w:szCs w:val="10"/>
                <w:lang w:val="pt-BR" w:eastAsia="zh-CN" w:bidi="hi-IN"/>
              </w:rPr>
              <w:t xml:space="preserve">QTD 2023</w:t>
            </w:r>
            <w:r>
              <w:rPr>
                <w:rFonts w:ascii="Times New Roman" w:hAnsi="Times New Roman" w:cs="Times New Roman"/>
                <w:b/>
                <w:bCs/>
                <w:sz w:val="10"/>
                <w:szCs w:val="10"/>
                <w:lang w:val="pt-BR"/>
              </w:rPr>
            </w:r>
            <w:r>
              <w:rPr>
                <w:rFonts w:ascii="Times New Roman" w:hAnsi="Times New Roman" w:cs="Times New Roman"/>
                <w:b/>
                <w:bCs/>
                <w:sz w:val="10"/>
                <w:szCs w:val="10"/>
                <w:lang w:val="pt-BR"/>
              </w:rPr>
            </w:r>
          </w:p>
        </w:tc>
        <w:tc>
          <w:tcPr>
            <w:shd w:val="clear" w:color="ffffff" w:fill="cccccc"/>
            <w:tcBorders>
              <w:top w:val="single" w:color="000000" w:sz="4" w:space="0"/>
              <w:left w:val="single" w:color="000000" w:sz="4" w:space="0"/>
              <w:bottom w:val="single" w:color="000000" w:sz="4" w:space="0"/>
            </w:tcBorders>
            <w:tcW w:w="567" w:type="dxa"/>
            <w:vAlign w:val="center"/>
            <w:textDirection w:val="lrTb"/>
            <w:noWrap w:val="false"/>
          </w:tcPr>
          <w:p w14:paraId="58587A52">
            <w:pPr>
              <w:pStyle w:val="2066"/>
              <w:pBdr/>
              <w:spacing/>
              <w:ind/>
              <w:jc w:val="center"/>
              <w:rPr>
                <w:rFonts w:ascii="Times New Roman" w:hAnsi="Times New Roman" w:cs="Times New Roman"/>
                <w:b/>
                <w:bCs/>
                <w:sz w:val="10"/>
                <w:szCs w:val="10"/>
                <w:lang w:val="pt-BR"/>
              </w:rPr>
            </w:pPr>
            <w:r>
              <w:rPr>
                <w:rFonts w:ascii="Times New Roman" w:hAnsi="Times New Roman" w:eastAsia="SimSun" w:cs="Times New Roman"/>
                <w:b/>
                <w:bCs/>
                <w:sz w:val="10"/>
                <w:szCs w:val="10"/>
                <w:lang w:val="pt-BR" w:eastAsia="zh-CN" w:bidi="hi-IN"/>
              </w:rPr>
              <w:t xml:space="preserve">VALOR UNT 20223</w:t>
            </w:r>
            <w:r>
              <w:rPr>
                <w:rFonts w:ascii="Times New Roman" w:hAnsi="Times New Roman" w:cs="Times New Roman"/>
                <w:b/>
                <w:bCs/>
                <w:sz w:val="10"/>
                <w:szCs w:val="10"/>
                <w:lang w:val="pt-BR"/>
              </w:rPr>
            </w:r>
            <w:r>
              <w:rPr>
                <w:rFonts w:ascii="Times New Roman" w:hAnsi="Times New Roman" w:cs="Times New Roman"/>
                <w:b/>
                <w:bCs/>
                <w:sz w:val="10"/>
                <w:szCs w:val="10"/>
                <w:lang w:val="pt-BR"/>
              </w:rPr>
            </w:r>
          </w:p>
        </w:tc>
        <w:tc>
          <w:tcPr>
            <w:shd w:val="clear" w:color="ffffff" w:fill="cccccc"/>
            <w:tcBorders>
              <w:top w:val="single" w:color="000000" w:sz="4" w:space="0"/>
              <w:left w:val="single" w:color="000000" w:sz="4" w:space="0"/>
              <w:bottom w:val="single" w:color="000000" w:sz="4" w:space="0"/>
            </w:tcBorders>
            <w:tcW w:w="567" w:type="dxa"/>
            <w:vAlign w:val="center"/>
            <w:textDirection w:val="lrTb"/>
            <w:noWrap w:val="false"/>
          </w:tcPr>
          <w:p w14:paraId="72510DA2">
            <w:pPr>
              <w:pStyle w:val="2066"/>
              <w:pBdr/>
              <w:spacing/>
              <w:ind/>
              <w:jc w:val="center"/>
              <w:rPr>
                <w:rFonts w:ascii="Times New Roman" w:hAnsi="Times New Roman" w:cs="Times New Roman"/>
                <w:b/>
                <w:bCs/>
                <w:sz w:val="10"/>
                <w:szCs w:val="10"/>
                <w:lang w:val="pt-BR"/>
              </w:rPr>
            </w:pPr>
            <w:r>
              <w:rPr>
                <w:rFonts w:ascii="Times New Roman" w:hAnsi="Times New Roman" w:eastAsia="SimSun" w:cs="Times New Roman"/>
                <w:b/>
                <w:bCs/>
                <w:sz w:val="10"/>
                <w:szCs w:val="10"/>
                <w:lang w:val="pt-BR" w:eastAsia="zh-CN" w:bidi="hi-IN"/>
              </w:rPr>
              <w:t xml:space="preserve">VALOR TOTAL 2023</w:t>
            </w:r>
            <w:r>
              <w:rPr>
                <w:rFonts w:ascii="Times New Roman" w:hAnsi="Times New Roman" w:cs="Times New Roman"/>
                <w:b/>
                <w:bCs/>
                <w:sz w:val="10"/>
                <w:szCs w:val="10"/>
                <w:lang w:val="pt-BR"/>
              </w:rPr>
            </w:r>
            <w:r>
              <w:rPr>
                <w:rFonts w:ascii="Times New Roman" w:hAnsi="Times New Roman" w:cs="Times New Roman"/>
                <w:b/>
                <w:bCs/>
                <w:sz w:val="10"/>
                <w:szCs w:val="10"/>
                <w:lang w:val="pt-BR"/>
              </w:rPr>
            </w:r>
          </w:p>
        </w:tc>
        <w:tc>
          <w:tcPr>
            <w:shd w:val="clear" w:color="ffffff" w:fill="cccccc"/>
            <w:tcBorders>
              <w:top w:val="single" w:color="000000" w:sz="4" w:space="0"/>
              <w:left w:val="single" w:color="000000" w:sz="4" w:space="0"/>
              <w:bottom w:val="single" w:color="000000" w:sz="4" w:space="0"/>
            </w:tcBorders>
            <w:tcW w:w="425" w:type="dxa"/>
            <w:vAlign w:val="center"/>
            <w:textDirection w:val="lrTb"/>
            <w:noWrap w:val="false"/>
          </w:tcPr>
          <w:p w14:paraId="4E74F317">
            <w:pPr>
              <w:pStyle w:val="2066"/>
              <w:pBdr/>
              <w:spacing/>
              <w:ind/>
              <w:jc w:val="center"/>
              <w:rPr>
                <w:rFonts w:ascii="Times New Roman" w:hAnsi="Times New Roman" w:cs="Times New Roman"/>
                <w:b/>
                <w:bCs/>
                <w:sz w:val="10"/>
                <w:szCs w:val="10"/>
                <w:lang w:val="pt-BR"/>
              </w:rPr>
            </w:pPr>
            <w:r>
              <w:rPr>
                <w:rFonts w:ascii="Times New Roman" w:hAnsi="Times New Roman" w:eastAsia="SimSun" w:cs="Times New Roman"/>
                <w:b/>
                <w:bCs/>
                <w:sz w:val="10"/>
                <w:szCs w:val="10"/>
                <w:lang w:val="pt-BR" w:eastAsia="zh-CN" w:bidi="hi-IN"/>
              </w:rPr>
              <w:t xml:space="preserve">QTD 2024</w:t>
            </w:r>
            <w:r>
              <w:rPr>
                <w:rFonts w:ascii="Times New Roman" w:hAnsi="Times New Roman" w:cs="Times New Roman"/>
                <w:b/>
                <w:bCs/>
                <w:sz w:val="10"/>
                <w:szCs w:val="10"/>
                <w:lang w:val="pt-BR"/>
              </w:rPr>
            </w:r>
            <w:r>
              <w:rPr>
                <w:rFonts w:ascii="Times New Roman" w:hAnsi="Times New Roman" w:cs="Times New Roman"/>
                <w:b/>
                <w:bCs/>
                <w:sz w:val="10"/>
                <w:szCs w:val="10"/>
                <w:lang w:val="pt-BR"/>
              </w:rPr>
            </w:r>
          </w:p>
        </w:tc>
        <w:tc>
          <w:tcPr>
            <w:shd w:val="clear" w:color="ffffff" w:fill="cccccc"/>
            <w:tcBorders>
              <w:top w:val="single" w:color="000000" w:sz="4" w:space="0"/>
              <w:left w:val="single" w:color="000000" w:sz="4" w:space="0"/>
              <w:bottom w:val="single" w:color="000000" w:sz="4" w:space="0"/>
            </w:tcBorders>
            <w:tcW w:w="567" w:type="dxa"/>
            <w:vAlign w:val="center"/>
            <w:textDirection w:val="lrTb"/>
            <w:noWrap w:val="false"/>
          </w:tcPr>
          <w:p w14:paraId="61203AF0">
            <w:pPr>
              <w:pStyle w:val="2066"/>
              <w:pBdr/>
              <w:spacing/>
              <w:ind/>
              <w:jc w:val="center"/>
              <w:rPr>
                <w:rFonts w:ascii="Times New Roman" w:hAnsi="Times New Roman" w:cs="Times New Roman"/>
                <w:b/>
                <w:bCs/>
                <w:sz w:val="10"/>
                <w:szCs w:val="10"/>
                <w:lang w:val="pt-BR"/>
              </w:rPr>
            </w:pPr>
            <w:r>
              <w:rPr>
                <w:rFonts w:ascii="Times New Roman" w:hAnsi="Times New Roman" w:eastAsia="SimSun" w:cs="Times New Roman"/>
                <w:b/>
                <w:bCs/>
                <w:sz w:val="10"/>
                <w:szCs w:val="10"/>
                <w:lang w:val="pt-BR" w:eastAsia="zh-CN" w:bidi="hi-IN"/>
              </w:rPr>
              <w:t xml:space="preserve">VALOR UNT 2024</w:t>
            </w:r>
            <w:r>
              <w:rPr>
                <w:rFonts w:ascii="Times New Roman" w:hAnsi="Times New Roman" w:cs="Times New Roman"/>
                <w:b/>
                <w:bCs/>
                <w:sz w:val="10"/>
                <w:szCs w:val="10"/>
                <w:lang w:val="pt-BR"/>
              </w:rPr>
            </w:r>
            <w:r>
              <w:rPr>
                <w:rFonts w:ascii="Times New Roman" w:hAnsi="Times New Roman" w:cs="Times New Roman"/>
                <w:b/>
                <w:bCs/>
                <w:sz w:val="10"/>
                <w:szCs w:val="10"/>
                <w:lang w:val="pt-BR"/>
              </w:rPr>
            </w:r>
          </w:p>
        </w:tc>
        <w:tc>
          <w:tcPr>
            <w:shd w:val="clear" w:color="ffffff" w:fill="cccccc"/>
            <w:tcBorders>
              <w:top w:val="single" w:color="000000" w:sz="4" w:space="0"/>
              <w:left w:val="single" w:color="000000" w:sz="4" w:space="0"/>
              <w:bottom w:val="single" w:color="000000" w:sz="4" w:space="0"/>
            </w:tcBorders>
            <w:tcW w:w="567" w:type="dxa"/>
            <w:vAlign w:val="center"/>
            <w:textDirection w:val="lrTb"/>
            <w:noWrap w:val="false"/>
          </w:tcPr>
          <w:p w14:paraId="352D7F14">
            <w:pPr>
              <w:pStyle w:val="2066"/>
              <w:pBdr/>
              <w:spacing/>
              <w:ind/>
              <w:jc w:val="center"/>
              <w:rPr>
                <w:rFonts w:ascii="Times New Roman" w:hAnsi="Times New Roman" w:eastAsia="SimSun" w:cs="Times New Roman"/>
                <w:b/>
                <w:bCs/>
                <w:sz w:val="10"/>
                <w:szCs w:val="10"/>
                <w:lang w:val="pt-BR" w:eastAsia="zh-CN" w:bidi="hi-IN"/>
              </w:rPr>
            </w:pPr>
            <w:r>
              <w:rPr>
                <w:rFonts w:ascii="Times New Roman" w:hAnsi="Times New Roman" w:eastAsia="SimSun" w:cs="Times New Roman"/>
                <w:b/>
                <w:bCs/>
                <w:sz w:val="10"/>
                <w:szCs w:val="10"/>
                <w:lang w:val="pt-BR" w:eastAsia="zh-CN" w:bidi="hi-IN"/>
              </w:rPr>
              <w:t xml:space="preserve">VALOR TOTAL 2024</w:t>
            </w:r>
            <w:r>
              <w:rPr>
                <w:rFonts w:ascii="Times New Roman" w:hAnsi="Times New Roman" w:eastAsia="SimSun" w:cs="Times New Roman"/>
                <w:b/>
                <w:bCs/>
                <w:sz w:val="10"/>
                <w:szCs w:val="10"/>
                <w:lang w:val="pt-BR" w:eastAsia="zh-CN" w:bidi="hi-IN"/>
              </w:rPr>
            </w:r>
            <w:r>
              <w:rPr>
                <w:rFonts w:ascii="Times New Roman" w:hAnsi="Times New Roman" w:eastAsia="SimSun" w:cs="Times New Roman"/>
                <w:b/>
                <w:bCs/>
                <w:sz w:val="10"/>
                <w:szCs w:val="10"/>
                <w:lang w:val="pt-BR" w:eastAsia="zh-CN" w:bidi="hi-IN"/>
              </w:rPr>
            </w:r>
          </w:p>
        </w:tc>
        <w:tc>
          <w:tcPr>
            <w:shd w:val="clear" w:color="ffffff" w:fill="cccccc"/>
            <w:tcBorders>
              <w:top w:val="single" w:color="000000" w:sz="4" w:space="0"/>
              <w:left w:val="single" w:color="000000" w:sz="4" w:space="0"/>
              <w:bottom w:val="single" w:color="000000" w:sz="4" w:space="0"/>
            </w:tcBorders>
            <w:tcW w:w="426" w:type="dxa"/>
            <w:vAlign w:val="center"/>
            <w:textDirection w:val="lrTb"/>
            <w:noWrap w:val="false"/>
          </w:tcPr>
          <w:p w14:paraId="230DF19B">
            <w:pPr>
              <w:pStyle w:val="2066"/>
              <w:pBdr/>
              <w:spacing/>
              <w:ind/>
              <w:jc w:val="center"/>
              <w:rPr>
                <w:rFonts w:ascii="Times New Roman" w:hAnsi="Times New Roman" w:eastAsia="SimSun" w:cs="Times New Roman"/>
                <w:b/>
                <w:bCs/>
                <w:sz w:val="10"/>
                <w:szCs w:val="10"/>
                <w:lang w:val="pt-BR" w:eastAsia="zh-CN" w:bidi="hi-IN"/>
              </w:rPr>
            </w:pPr>
            <w:r>
              <w:rPr>
                <w:rFonts w:ascii="Times New Roman" w:hAnsi="Times New Roman" w:eastAsia="SimSun" w:cs="Times New Roman"/>
                <w:b/>
                <w:bCs/>
                <w:sz w:val="10"/>
                <w:szCs w:val="10"/>
                <w:lang w:val="pt-BR" w:eastAsia="zh-CN" w:bidi="hi-IN"/>
              </w:rPr>
              <w:t xml:space="preserve">QTD 2025</w:t>
            </w:r>
            <w:r>
              <w:rPr>
                <w:rFonts w:ascii="Times New Roman" w:hAnsi="Times New Roman" w:eastAsia="SimSun" w:cs="Times New Roman"/>
                <w:b/>
                <w:bCs/>
                <w:sz w:val="10"/>
                <w:szCs w:val="10"/>
                <w:lang w:val="pt-BR" w:eastAsia="zh-CN" w:bidi="hi-IN"/>
              </w:rPr>
            </w:r>
            <w:r>
              <w:rPr>
                <w:rFonts w:ascii="Times New Roman" w:hAnsi="Times New Roman" w:eastAsia="SimSun" w:cs="Times New Roman"/>
                <w:b/>
                <w:bCs/>
                <w:sz w:val="10"/>
                <w:szCs w:val="10"/>
                <w:lang w:val="pt-BR" w:eastAsia="zh-CN" w:bidi="hi-IN"/>
              </w:rPr>
            </w:r>
          </w:p>
        </w:tc>
        <w:tc>
          <w:tcPr>
            <w:shd w:val="clear" w:color="ffffff" w:fill="cccccc"/>
            <w:tcBorders>
              <w:top w:val="single" w:color="000000" w:sz="4" w:space="0"/>
              <w:left w:val="single" w:color="000000" w:sz="4" w:space="0"/>
              <w:bottom w:val="single" w:color="000000" w:sz="4" w:space="0"/>
            </w:tcBorders>
            <w:tcW w:w="485" w:type="dxa"/>
            <w:vAlign w:val="center"/>
            <w:textDirection w:val="lrTb"/>
            <w:noWrap w:val="false"/>
          </w:tcPr>
          <w:p w14:paraId="5E42DC93">
            <w:pPr>
              <w:pStyle w:val="2066"/>
              <w:pBdr/>
              <w:spacing/>
              <w:ind/>
              <w:jc w:val="center"/>
              <w:rPr>
                <w:rFonts w:ascii="Times New Roman" w:hAnsi="Times New Roman" w:cs="Times New Roman"/>
                <w:b/>
                <w:bCs/>
                <w:sz w:val="10"/>
                <w:szCs w:val="10"/>
                <w:lang w:val="pt-BR"/>
              </w:rPr>
            </w:pPr>
            <w:r>
              <w:rPr>
                <w:rFonts w:ascii="Times New Roman" w:hAnsi="Times New Roman" w:eastAsia="SimSun" w:cs="Times New Roman"/>
                <w:b/>
                <w:bCs/>
                <w:sz w:val="10"/>
                <w:szCs w:val="10"/>
                <w:lang w:val="pt-BR" w:eastAsia="zh-CN" w:bidi="hi-IN"/>
              </w:rPr>
              <w:t xml:space="preserve">VALOR UNT 2025</w:t>
            </w:r>
            <w:r>
              <w:rPr>
                <w:rFonts w:ascii="Times New Roman" w:hAnsi="Times New Roman" w:cs="Times New Roman"/>
                <w:b/>
                <w:bCs/>
                <w:sz w:val="10"/>
                <w:szCs w:val="10"/>
                <w:lang w:val="pt-BR"/>
              </w:rPr>
            </w:r>
            <w:r>
              <w:rPr>
                <w:rFonts w:ascii="Times New Roman" w:hAnsi="Times New Roman" w:cs="Times New Roman"/>
                <w:b/>
                <w:bCs/>
                <w:sz w:val="10"/>
                <w:szCs w:val="10"/>
                <w:lang w:val="pt-BR"/>
              </w:rPr>
            </w:r>
          </w:p>
        </w:tc>
        <w:tc>
          <w:tcPr>
            <w:shd w:val="clear" w:color="ffffff" w:fill="cccccc"/>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73B45FAC">
            <w:pPr>
              <w:pStyle w:val="2066"/>
              <w:pBdr/>
              <w:spacing/>
              <w:ind/>
              <w:jc w:val="center"/>
              <w:rPr>
                <w:rFonts w:ascii="Times New Roman" w:hAnsi="Times New Roman" w:cs="Times New Roman"/>
                <w:b/>
                <w:bCs/>
                <w:sz w:val="10"/>
                <w:szCs w:val="10"/>
                <w:lang w:val="pt-BR"/>
              </w:rPr>
            </w:pPr>
            <w:r>
              <w:rPr>
                <w:rFonts w:ascii="Times New Roman" w:hAnsi="Times New Roman" w:eastAsia="SimSun" w:cs="Times New Roman"/>
                <w:b/>
                <w:bCs/>
                <w:sz w:val="10"/>
                <w:szCs w:val="10"/>
                <w:lang w:val="pt-BR" w:eastAsia="zh-CN" w:bidi="hi-IN"/>
              </w:rPr>
              <w:t xml:space="preserve">VALOR TOTAL 2025</w:t>
            </w:r>
            <w:r>
              <w:rPr>
                <w:rFonts w:ascii="Times New Roman" w:hAnsi="Times New Roman" w:cs="Times New Roman"/>
                <w:b/>
                <w:bCs/>
                <w:sz w:val="10"/>
                <w:szCs w:val="10"/>
                <w:lang w:val="pt-BR"/>
              </w:rPr>
            </w:r>
            <w:r>
              <w:rPr>
                <w:rFonts w:ascii="Times New Roman" w:hAnsi="Times New Roman" w:cs="Times New Roman"/>
                <w:b/>
                <w:bCs/>
                <w:sz w:val="10"/>
                <w:szCs w:val="10"/>
                <w:lang w:val="pt-BR"/>
              </w:rPr>
            </w:r>
          </w:p>
        </w:tc>
      </w:tr>
      <w:tr>
        <w:trPr/>
        <w:tc>
          <w:tcPr>
            <w:tcBorders>
              <w:left w:val="single" w:color="000000" w:sz="4" w:space="0"/>
              <w:bottom w:val="single" w:color="000000" w:sz="4" w:space="0"/>
            </w:tcBorders>
            <w:tcW w:w="492" w:type="dxa"/>
            <w:vAlign w:val="center"/>
            <w:textDirection w:val="lrTb"/>
            <w:noWrap w:val="false"/>
          </w:tcPr>
          <w:p w14:paraId="2CAAA66E">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1</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left w:val="single" w:color="000000" w:sz="4" w:space="0"/>
              <w:bottom w:val="single" w:color="000000" w:sz="4" w:space="0"/>
              <w:right w:val="single" w:color="000000" w:sz="4" w:space="0"/>
            </w:tcBorders>
            <w:tcW w:w="5454" w:type="dxa"/>
            <w:vAlign w:val="center"/>
            <w:textDirection w:val="lrTb"/>
            <w:noWrap w:val="false"/>
          </w:tcPr>
          <w:p w14:paraId="18CEB7C8">
            <w:pPr>
              <w:widowControl w:val="true"/>
              <w:pBdr/>
              <w:spacing/>
              <w:ind/>
              <w:jc w:val="both"/>
              <w:rPr>
                <w:rFonts w:ascii="Times New Roman" w:hAnsi="Times New Roman" w:cs="Times New Roman"/>
                <w:color w:val="000000"/>
                <w:sz w:val="10"/>
                <w:szCs w:val="10"/>
              </w:rPr>
            </w:pPr>
            <w:r>
              <w:rPr>
                <w:rFonts w:ascii="Times New Roman" w:hAnsi="Times New Roman" w:cs="Times New Roman"/>
                <w:color w:val="000000"/>
                <w:sz w:val="10"/>
                <w:szCs w:val="10"/>
              </w:rPr>
              <w:t xml:space="preserve">APARELHO INFRAVERMELHO COM PEDESTAL PARA FISIOTERAPIA - APARELHO PARA TRATAMENTOS DE TERMOTERAPIA, POTÊNCIA MÍNIMA DE 150W FREQUÊNCIA, VOLTAGEM 110V OU BIVOLT, FREQUÊ</w:t>
            </w:r>
            <w:r>
              <w:rPr>
                <w:rFonts w:ascii="Times New Roman" w:hAnsi="Times New Roman" w:cs="Times New Roman"/>
                <w:color w:val="000000"/>
                <w:sz w:val="10"/>
                <w:szCs w:val="10"/>
              </w:rPr>
              <w:t xml:space="preserve">NCIA 60HZ, COM DIMER PARA REGULAGEM DA INTENSIDADE LUMINOSA, DIMENSÕES APROXIMADAS: BASE DE 56 X 56 CM. ALTURA REGULÁVEL, MÍNIMA DE 1M AJUSTÁVEL PARA NO MÍNIMO 1,50 M. POSSUIR RECURSO DE AQUECIMENTO SUPERFICIAL ATRAVÉS DA APLICAÇÃO DE BANHO DE LUZ INFRAVER</w:t>
            </w:r>
            <w:r>
              <w:rPr>
                <w:rFonts w:ascii="Times New Roman" w:hAnsi="Times New Roman" w:cs="Times New Roman"/>
                <w:color w:val="000000"/>
                <w:sz w:val="10"/>
                <w:szCs w:val="10"/>
              </w:rPr>
              <w:t xml:space="preserve">MELHO. APARELHO CONSTITUÍDO POR NO MÍNIMO: LÂMPADA DE INFRA VERMELHO, UM PEDESTAL SOBRE BASE DE POLIETILENO INJETADO DE ALTO IMPACTO, DOTADO DE 4 PÉS DESMONTÁVEIS, COM RODÍZIOS GIRATÓRIOS E HASTE DE SUSTENTAÇÃO FLEXÍVEL E UM REFLETOR DE ALUMÍNIO ANODIZADO.</w:t>
            </w:r>
            <w:r>
              <w:rPr>
                <w:rFonts w:ascii="Times New Roman" w:hAnsi="Times New Roman" w:cs="Times New Roman"/>
                <w:color w:val="000000"/>
                <w:sz w:val="10"/>
                <w:szCs w:val="10"/>
              </w:rPr>
            </w:r>
            <w:r>
              <w:rPr>
                <w:rFonts w:ascii="Times New Roman" w:hAnsi="Times New Roman" w:cs="Times New Roman"/>
                <w:color w:val="000000"/>
                <w:sz w:val="10"/>
                <w:szCs w:val="10"/>
              </w:rPr>
            </w:r>
          </w:p>
        </w:tc>
        <w:tc>
          <w:tcPr>
            <w:shd w:val="clear" w:color="ffffff" w:fill="ffffff" w:themeFill="background1"/>
            <w:tcBorders>
              <w:left w:val="single" w:color="000000" w:sz="4" w:space="0"/>
              <w:bottom w:val="single" w:color="000000" w:sz="4" w:space="0"/>
            </w:tcBorders>
            <w:tcW w:w="425" w:type="dxa"/>
            <w:vAlign w:val="center"/>
            <w:textDirection w:val="lrTb"/>
            <w:noWrap w:val="false"/>
          </w:tcPr>
          <w:p w14:paraId="163CAFE0">
            <w:pPr>
              <w:widowControl w:val="true"/>
              <w:pBdr/>
              <w:spacing/>
              <w:ind/>
              <w:jc w:val="center"/>
              <w:rPr>
                <w:rFonts w:ascii="Times New Roman" w:hAnsi="Times New Roman" w:cs="Times New Roman"/>
                <w:sz w:val="10"/>
                <w:szCs w:val="10"/>
                <w:lang w:val="pt-B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left w:val="single" w:color="000000" w:sz="4" w:space="0"/>
              <w:bottom w:val="single" w:color="000000" w:sz="4" w:space="0"/>
            </w:tcBorders>
            <w:tcW w:w="567" w:type="dxa"/>
            <w:vAlign w:val="center"/>
            <w:textDirection w:val="lrTb"/>
            <w:noWrap w:val="false"/>
          </w:tcPr>
          <w:p w14:paraId="45865EB0">
            <w:pPr>
              <w:widowControl w:val="true"/>
              <w:pBdr/>
              <w:spacing/>
              <w:ind/>
              <w:jc w:val="center"/>
              <w:rPr>
                <w:rFonts w:ascii="Times New Roman" w:hAnsi="Times New Roman" w:cs="Times New Roman"/>
                <w:sz w:val="10"/>
                <w:szCs w:val="10"/>
                <w:lang w:val="pt-B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rPr>
            </w:r>
            <w:r>
              <w:rPr>
                <w:rFonts w:ascii="Times New Roman" w:hAnsi="Times New Roman" w:cs="Times New Roman"/>
                <w:sz w:val="10"/>
                <w:szCs w:val="10"/>
                <w:lang w:val="pt-BR"/>
              </w:rPr>
            </w:r>
          </w:p>
        </w:tc>
        <w:tc>
          <w:tcPr>
            <w:tcBorders>
              <w:left w:val="single" w:color="000000" w:sz="4" w:space="0"/>
              <w:bottom w:val="single" w:color="000000" w:sz="4" w:space="0"/>
            </w:tcBorders>
            <w:tcW w:w="567" w:type="dxa"/>
            <w:vAlign w:val="center"/>
            <w:textDirection w:val="lrTb"/>
            <w:noWrap w:val="false"/>
          </w:tcPr>
          <w:p w14:paraId="3F26AFA4">
            <w:pPr>
              <w:widowControl w:val="true"/>
              <w:pBdr/>
              <w:spacing/>
              <w:ind/>
              <w:jc w:val="center"/>
              <w:rPr>
                <w:rFonts w:ascii="Times New Roman" w:hAnsi="Times New Roman" w:cs="Times New Roman"/>
                <w:sz w:val="10"/>
                <w:szCs w:val="10"/>
                <w:lang w:val="pt-B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rPr>
            </w:r>
            <w:r>
              <w:rPr>
                <w:rFonts w:ascii="Times New Roman" w:hAnsi="Times New Roman" w:cs="Times New Roman"/>
                <w:sz w:val="10"/>
                <w:szCs w:val="10"/>
                <w:lang w:val="pt-BR"/>
              </w:rPr>
            </w:r>
          </w:p>
        </w:tc>
        <w:tc>
          <w:tcPr>
            <w:tcBorders>
              <w:left w:val="single" w:color="000000" w:sz="4" w:space="0"/>
              <w:bottom w:val="single" w:color="000000" w:sz="4" w:space="0"/>
            </w:tcBorders>
            <w:tcW w:w="425" w:type="dxa"/>
            <w:vAlign w:val="center"/>
            <w:textDirection w:val="lrTb"/>
            <w:noWrap w:val="false"/>
          </w:tcPr>
          <w:p w14:paraId="49DBCA1D">
            <w:pPr>
              <w:widowControl w:val="true"/>
              <w:pBdr/>
              <w:spacing/>
              <w:ind/>
              <w:jc w:val="center"/>
              <w:rPr>
                <w:rFonts w:ascii="Times New Roman" w:hAnsi="Times New Roman" w:cs="Times New Roman"/>
                <w:sz w:val="10"/>
                <w:szCs w:val="10"/>
                <w:lang w:val="pt-B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cBorders>
              <w:left w:val="single" w:color="000000" w:sz="4" w:space="0"/>
              <w:bottom w:val="single" w:color="000000" w:sz="4" w:space="0"/>
            </w:tcBorders>
            <w:tcW w:w="567" w:type="dxa"/>
            <w:vAlign w:val="center"/>
            <w:textDirection w:val="lrTb"/>
            <w:noWrap w:val="false"/>
          </w:tcPr>
          <w:p w14:paraId="01609390">
            <w:pPr>
              <w:widowControl w:val="true"/>
              <w:pBdr/>
              <w:spacing/>
              <w:ind/>
              <w:jc w:val="center"/>
              <w:rPr>
                <w:rFonts w:ascii="Times New Roman" w:hAnsi="Times New Roman" w:cs="Times New Roman"/>
                <w:color w:val="000000"/>
                <w:sz w:val="10"/>
                <w:szCs w:val="10"/>
                <w:lang w:val="pt-B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color w:val="000000"/>
                <w:sz w:val="10"/>
                <w:szCs w:val="10"/>
                <w:lang w:val="pt-BR"/>
              </w:rPr>
            </w:r>
            <w:r>
              <w:rPr>
                <w:rFonts w:ascii="Times New Roman" w:hAnsi="Times New Roman" w:cs="Times New Roman"/>
                <w:color w:val="000000"/>
                <w:sz w:val="10"/>
                <w:szCs w:val="10"/>
                <w:lang w:val="pt-BR"/>
              </w:rPr>
            </w:r>
          </w:p>
        </w:tc>
        <w:tc>
          <w:tcPr>
            <w:shd w:val="clear" w:color="ffffff" w:fill="ffffff"/>
            <w:tcBorders>
              <w:left w:val="single" w:color="000000" w:sz="4" w:space="0"/>
              <w:bottom w:val="single" w:color="000000" w:sz="4" w:space="0"/>
            </w:tcBorders>
            <w:tcW w:w="567" w:type="dxa"/>
            <w:vAlign w:val="center"/>
            <w:textDirection w:val="lrTb"/>
            <w:noWrap w:val="false"/>
          </w:tcPr>
          <w:p w14:paraId="6572631A">
            <w:pPr>
              <w:widowControl w:val="true"/>
              <w:pBdr/>
              <w:spacing/>
              <w:ind/>
              <w:jc w:val="center"/>
              <w:rPr>
                <w:rFonts w:ascii="Times New Roman" w:hAnsi="Times New Roman" w:cs="Times New Roman"/>
                <w:color w:val="000000"/>
                <w:sz w:val="10"/>
                <w:szCs w:val="10"/>
                <w:lang w:val="pt-B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color w:val="000000"/>
                <w:sz w:val="10"/>
                <w:szCs w:val="10"/>
                <w:lang w:val="pt-BR"/>
              </w:rPr>
            </w:r>
            <w:r>
              <w:rPr>
                <w:rFonts w:ascii="Times New Roman" w:hAnsi="Times New Roman" w:cs="Times New Roman"/>
                <w:color w:val="000000"/>
                <w:sz w:val="10"/>
                <w:szCs w:val="10"/>
                <w:lang w:val="pt-BR"/>
              </w:rPr>
            </w:r>
          </w:p>
        </w:tc>
        <w:tc>
          <w:tcPr>
            <w:tcBorders>
              <w:left w:val="single" w:color="000000" w:sz="4" w:space="0"/>
              <w:bottom w:val="single" w:color="000000" w:sz="4" w:space="0"/>
            </w:tcBorders>
            <w:tcW w:w="426" w:type="dxa"/>
            <w:vAlign w:val="center"/>
            <w:textDirection w:val="lrTb"/>
            <w:noWrap w:val="false"/>
          </w:tcPr>
          <w:p w14:paraId="15226D0B">
            <w:pPr>
              <w:widowControl w:val="true"/>
              <w:pBdr/>
              <w:spacing/>
              <w:ind/>
              <w:jc w:val="center"/>
              <w:rPr>
                <w:rFonts w:ascii="Times New Roman" w:hAnsi="Times New Roman" w:cs="Times New Roman"/>
                <w:sz w:val="10"/>
                <w:szCs w:val="10"/>
                <w:lang w:val="pt-B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pt-BR"/>
              </w:rPr>
            </w:r>
            <w:r>
              <w:rPr>
                <w:rFonts w:ascii="Times New Roman" w:hAnsi="Times New Roman" w:cs="Times New Roman"/>
                <w:sz w:val="10"/>
                <w:szCs w:val="10"/>
                <w:lang w:val="pt-BR"/>
              </w:rPr>
            </w:r>
          </w:p>
        </w:tc>
        <w:tc>
          <w:tcPr>
            <w:tcBorders>
              <w:left w:val="single" w:color="000000" w:sz="4" w:space="0"/>
              <w:bottom w:val="single" w:color="000000" w:sz="4" w:space="0"/>
            </w:tcBorders>
            <w:tcW w:w="485" w:type="dxa"/>
            <w:vAlign w:val="center"/>
            <w:textDirection w:val="lrTb"/>
            <w:noWrap w:val="false"/>
          </w:tcPr>
          <w:p w14:paraId="152B4C0D">
            <w:pPr>
              <w:widowControl w:val="true"/>
              <w:pBdr/>
              <w:spacing/>
              <w:ind/>
              <w:jc w:val="center"/>
              <w:rPr>
                <w:rFonts w:ascii="Times New Roman" w:hAnsi="Times New Roman" w:cs="Times New Roman"/>
                <w:sz w:val="10"/>
                <w:szCs w:val="10"/>
                <w:lang w:val="pt-B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rPr>
            </w:r>
            <w:r>
              <w:rPr>
                <w:rFonts w:ascii="Times New Roman" w:hAnsi="Times New Roman" w:cs="Times New Roman"/>
                <w:sz w:val="10"/>
                <w:szCs w:val="10"/>
                <w:lang w:val="pt-BR"/>
              </w:rPr>
            </w:r>
          </w:p>
        </w:tc>
        <w:tc>
          <w:tcPr>
            <w:tcBorders>
              <w:left w:val="single" w:color="000000" w:sz="4" w:space="0"/>
              <w:bottom w:val="single" w:color="000000" w:sz="4" w:space="0"/>
              <w:right w:val="single" w:color="000000" w:sz="4" w:space="0"/>
            </w:tcBorders>
            <w:tcW w:w="618" w:type="dxa"/>
            <w:vAlign w:val="center"/>
            <w:textDirection w:val="lrTb"/>
            <w:noWrap w:val="false"/>
          </w:tcPr>
          <w:p w14:paraId="15D83016">
            <w:pPr>
              <w:widowControl w:val="true"/>
              <w:pBdr/>
              <w:spacing/>
              <w:ind/>
              <w:jc w:val="center"/>
              <w:rPr>
                <w:rFonts w:ascii="Times New Roman" w:hAnsi="Times New Roman" w:cs="Times New Roman"/>
                <w:sz w:val="10"/>
                <w:szCs w:val="10"/>
                <w:lang w:val="pt-B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rPr>
            </w:r>
            <w:r>
              <w:rPr>
                <w:rFonts w:ascii="Times New Roman" w:hAnsi="Times New Roman" w:cs="Times New Roman"/>
                <w:sz w:val="10"/>
                <w:szCs w:val="10"/>
                <w:lang w:val="pt-BR"/>
              </w:rPr>
            </w:r>
          </w:p>
        </w:tc>
      </w:tr>
      <w:tr>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0AEBA428">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2</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7A7F5B24">
            <w:pPr>
              <w:widowControl w:val="true"/>
              <w:pBdr/>
              <w:spacing/>
              <w:ind/>
              <w:jc w:val="both"/>
              <w:rPr>
                <w:rFonts w:ascii="Times New Roman" w:hAnsi="Times New Roman" w:eastAsia="SimSun" w:cs="Times New Roman"/>
                <w:color w:val="000000" w:themeColor="text1"/>
                <w:sz w:val="10"/>
                <w:szCs w:val="10"/>
                <w:lang w:val="en-US" w:eastAsia="zh-CN" w:bidi="ar"/>
              </w:rPr>
            </w:pPr>
            <w:r>
              <w:rPr>
                <w:rFonts w:ascii="Times New Roman" w:hAnsi="Times New Roman" w:cs="Times New Roman"/>
                <w:color w:val="000000"/>
                <w:sz w:val="10"/>
                <w:szCs w:val="10"/>
              </w:rPr>
              <w:t xml:space="preserve">BASTÃO PARA GINÁSTICA, MEDINDO: 100 X 3 CM, PESO APROXIMADO DE 3 KG, CONFECCIONADO EM PVC, COM PONTEIRAS DE BORRACHA. PRODUTO PRÓPRIO PARA PRÁTICA DE EXERCÍCIOS. </w:t>
            </w:r>
            <w:r>
              <w:rPr>
                <w:rFonts w:ascii="Times New Roman" w:hAnsi="Times New Roman" w:eastAsia="SimSun" w:cs="Times New Roman"/>
                <w:color w:val="000000" w:themeColor="text1"/>
                <w:sz w:val="10"/>
                <w:szCs w:val="10"/>
                <w:lang w:val="en-US" w:eastAsia="zh-CN" w:bidi="ar"/>
              </w:rPr>
            </w:r>
            <w:r>
              <w:rPr>
                <w:rFonts w:ascii="Times New Roman" w:hAnsi="Times New Roman" w:eastAsia="SimSun" w:cs="Times New Roman"/>
                <w:color w:val="000000" w:themeColor="text1"/>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44765C2F">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005D7BE6">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1A1FA232">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216E45E8">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5E0DD906">
            <w:pPr>
              <w:widowControl w:val="true"/>
              <w:pBdr/>
              <w:spacing/>
              <w:ind/>
              <w:jc w:val="center"/>
              <w:rPr>
                <w:rFonts w:ascii="Times New Roman" w:hAnsi="Times New Roman" w:cs="Times New Roman"/>
                <w:color w:val="000000"/>
                <w:sz w:val="10"/>
                <w:szCs w:val="10"/>
                <w:lang w:val="en-US"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color w:val="000000"/>
                <w:sz w:val="10"/>
                <w:szCs w:val="10"/>
                <w:lang w:val="en-US" w:eastAsia="zh-CN"/>
              </w:rPr>
            </w:r>
            <w:r>
              <w:rPr>
                <w:rFonts w:ascii="Times New Roman" w:hAnsi="Times New Roman" w:cs="Times New Roman"/>
                <w:color w:val="000000"/>
                <w:sz w:val="10"/>
                <w:szCs w:val="10"/>
                <w:lang w:val="en-US"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1E8985C9">
            <w:pPr>
              <w:widowControl w:val="true"/>
              <w:pBdr/>
              <w:spacing/>
              <w:ind/>
              <w:jc w:val="center"/>
              <w:rPr>
                <w:rFonts w:ascii="Times New Roman" w:hAnsi="Times New Roman" w:cs="Times New Roman"/>
                <w:color w:val="000000"/>
                <w:sz w:val="10"/>
                <w:szCs w:val="10"/>
                <w:lang w:val="en-US"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color w:val="000000"/>
                <w:sz w:val="10"/>
                <w:szCs w:val="10"/>
                <w:lang w:val="en-US" w:eastAsia="zh-CN"/>
              </w:rPr>
            </w:r>
            <w:r>
              <w:rPr>
                <w:rFonts w:ascii="Times New Roman" w:hAnsi="Times New Roman" w:cs="Times New Roman"/>
                <w:color w:val="000000"/>
                <w:sz w:val="10"/>
                <w:szCs w:val="10"/>
                <w:lang w:val="en-US" w:eastAsia="zh-CN"/>
              </w:rPr>
            </w:r>
          </w:p>
        </w:tc>
        <w:tc>
          <w:tcPr>
            <w:shd w:val="clear" w:color="ffffff" w:fill="ffffff"/>
            <w:tcBorders>
              <w:top w:val="single" w:color="000000" w:sz="4" w:space="0"/>
              <w:left w:val="single" w:color="000000" w:sz="4" w:space="0"/>
              <w:bottom w:val="single" w:color="000000" w:sz="4" w:space="0"/>
            </w:tcBorders>
            <w:tcW w:w="426" w:type="dxa"/>
            <w:vAlign w:val="center"/>
            <w:textDirection w:val="lrTb"/>
            <w:noWrap w:val="false"/>
          </w:tcPr>
          <w:p w14:paraId="36870AC5">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cBorders>
              <w:top w:val="single" w:color="000000" w:sz="4" w:space="0"/>
              <w:left w:val="single" w:color="000000" w:sz="4" w:space="0"/>
              <w:bottom w:val="single" w:color="000000" w:sz="4" w:space="0"/>
            </w:tcBorders>
            <w:tcW w:w="485" w:type="dxa"/>
            <w:vAlign w:val="center"/>
            <w:textDirection w:val="lrTb"/>
            <w:noWrap w:val="false"/>
          </w:tcPr>
          <w:p w14:paraId="4B8DD0F3">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44189482">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r>
      <w:tr>
        <w:trPr>
          <w:trHeight w:val="18"/>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2C4EBF89">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3</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2315FC22">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BOLA BOBATH, MEDINDO NO MÍNIMO 75CM DE DIÂMETRO, CONFECCIONADA EM PLÁSTICO INFLÁVEL DE ALTA RESISTÊNCIA. ACONDICIONADA EM EMBALAGEM PLÁSTICA. ACOMPANHA BOMBA DE INFLAR.</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5105F93E">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7302BD33">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17140478">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45250682">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72926A97">
            <w:pPr>
              <w:widowControl w:val="true"/>
              <w:pBdr/>
              <w:spacing/>
              <w:ind/>
              <w:jc w:val="center"/>
              <w:rPr>
                <w:rFonts w:ascii="Times New Roman" w:hAnsi="Times New Roman" w:cs="Times New Roman"/>
                <w:color w:val="000000"/>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color w:val="000000"/>
                <w:sz w:val="10"/>
                <w:szCs w:val="10"/>
                <w:lang w:val="pt-BR" w:eastAsia="zh-CN"/>
              </w:rPr>
            </w:r>
            <w:r>
              <w:rPr>
                <w:rFonts w:ascii="Times New Roman" w:hAnsi="Times New Roman" w:cs="Times New Roman"/>
                <w:color w:val="000000"/>
                <w:sz w:val="10"/>
                <w:szCs w:val="10"/>
                <w:lang w:val="pt-BR"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16FD7C18">
            <w:pPr>
              <w:widowControl w:val="true"/>
              <w:pBdr/>
              <w:spacing/>
              <w:ind/>
              <w:jc w:val="center"/>
              <w:rPr>
                <w:rFonts w:ascii="Times New Roman" w:hAnsi="Times New Roman" w:cs="Times New Roman"/>
                <w:color w:val="000000"/>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color w:val="000000"/>
                <w:sz w:val="10"/>
                <w:szCs w:val="10"/>
                <w:lang w:val="pt-BR" w:eastAsia="zh-CN"/>
              </w:rPr>
            </w:r>
            <w:r>
              <w:rPr>
                <w:rFonts w:ascii="Times New Roman" w:hAnsi="Times New Roman" w:cs="Times New Roman"/>
                <w:color w:val="000000"/>
                <w:sz w:val="10"/>
                <w:szCs w:val="10"/>
                <w:lang w:val="pt-BR" w:eastAsia="zh-CN"/>
              </w:rPr>
            </w:r>
          </w:p>
        </w:tc>
        <w:tc>
          <w:tcPr>
            <w:shd w:val="clear" w:color="ffffff" w:fill="ffffff"/>
            <w:tcBorders>
              <w:top w:val="single" w:color="000000" w:sz="4" w:space="0"/>
              <w:left w:val="single" w:color="000000" w:sz="4" w:space="0"/>
              <w:bottom w:val="single" w:color="000000" w:sz="4" w:space="0"/>
            </w:tcBorders>
            <w:tcW w:w="426" w:type="dxa"/>
            <w:vAlign w:val="center"/>
            <w:textDirection w:val="lrTb"/>
            <w:noWrap w:val="false"/>
          </w:tcPr>
          <w:p w14:paraId="5C21C33B">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cBorders>
              <w:top w:val="single" w:color="000000" w:sz="4" w:space="0"/>
              <w:left w:val="single" w:color="000000" w:sz="4" w:space="0"/>
              <w:bottom w:val="single" w:color="000000" w:sz="4" w:space="0"/>
            </w:tcBorders>
            <w:tcW w:w="485" w:type="dxa"/>
            <w:vAlign w:val="center"/>
            <w:textDirection w:val="lrTb"/>
            <w:noWrap w:val="false"/>
          </w:tcPr>
          <w:p w14:paraId="58354F15">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5D065EF1">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r>
      <w:tr>
        <w:trPr>
          <w:trHeight w:val="171"/>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00386F56">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4</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145996EC">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BOLA OFICIAL PARA VÔLEI 12 GOMOS, LAMINADO CONFECCIONADO EM PU SUPER SOFT, TECNOLOGIA MENOR ABSORÇÃO DE ÁGUA; CIRCUNFERÊNCIA ENTRE 65 A 67 CM, PESO 260 A 280 G, ULTRA FUSION; MIOLO CÁPSULA SIS OU SIMILAR QUE PROTEJA A CÂMARA DE RUPTURAS;</w:t>
            </w:r>
            <w:r>
              <w:rPr>
                <w:rFonts w:ascii="Times New Roman" w:hAnsi="Times New Roman" w:cs="Times New Roman"/>
                <w:color w:val="000000"/>
                <w:sz w:val="10"/>
                <w:szCs w:val="10"/>
              </w:rPr>
              <w:t xml:space="preserve"> CÂMARA COM AMORTECIMENTO INTERNO DE 6 DISCOS; CAMADA INTERNA EVACEL; SISTEMA DE FORRO TERMOFIXO; DUPLA COLAGEM. O PRODUTO DEVERÁ CONTER IDENTIFICAÇÃO, MARCA DO FABRICANTE E GARANTIA DO FORNECEDOR CONTRA DEFEITO DE FABRICAÇÃO. COR A ESCOLHA DO SOLICITANTE.</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11B4AB30">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795E4A97">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1F62440F">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438B6A2C">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6EA634F8">
            <w:pPr>
              <w:widowControl w:val="true"/>
              <w:pBdr/>
              <w:spacing/>
              <w:ind/>
              <w:jc w:val="center"/>
              <w:rPr>
                <w:rFonts w:ascii="Times New Roman" w:hAnsi="Times New Roman" w:cs="Times New Roman"/>
                <w:color w:val="000000"/>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color w:val="000000"/>
                <w:sz w:val="10"/>
                <w:szCs w:val="10"/>
                <w:lang w:val="pt-BR" w:eastAsia="zh-CN"/>
              </w:rPr>
            </w:r>
            <w:r>
              <w:rPr>
                <w:rFonts w:ascii="Times New Roman" w:hAnsi="Times New Roman" w:cs="Times New Roman"/>
                <w:color w:val="000000"/>
                <w:sz w:val="10"/>
                <w:szCs w:val="10"/>
                <w:lang w:val="pt-BR"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3C21DBCB">
            <w:pPr>
              <w:widowControl w:val="true"/>
              <w:pBdr/>
              <w:spacing/>
              <w:ind/>
              <w:jc w:val="center"/>
              <w:rPr>
                <w:rFonts w:ascii="Times New Roman" w:hAnsi="Times New Roman" w:cs="Times New Roman"/>
                <w:color w:val="000000"/>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color w:val="000000"/>
                <w:sz w:val="10"/>
                <w:szCs w:val="10"/>
                <w:lang w:val="pt-BR" w:eastAsia="zh-CN"/>
              </w:rPr>
            </w:r>
            <w:r>
              <w:rPr>
                <w:rFonts w:ascii="Times New Roman" w:hAnsi="Times New Roman" w:cs="Times New Roman"/>
                <w:color w:val="000000"/>
                <w:sz w:val="10"/>
                <w:szCs w:val="10"/>
                <w:lang w:val="pt-BR" w:eastAsia="zh-CN"/>
              </w:rPr>
            </w:r>
          </w:p>
        </w:tc>
        <w:tc>
          <w:tcPr>
            <w:shd w:val="clear" w:color="ffffff" w:fill="ffffff"/>
            <w:tcBorders>
              <w:top w:val="single" w:color="000000" w:sz="4" w:space="0"/>
              <w:left w:val="single" w:color="000000" w:sz="4" w:space="0"/>
              <w:bottom w:val="single" w:color="000000" w:sz="4" w:space="0"/>
            </w:tcBorders>
            <w:tcW w:w="426" w:type="dxa"/>
            <w:vAlign w:val="center"/>
            <w:textDirection w:val="lrTb"/>
            <w:noWrap w:val="false"/>
          </w:tcPr>
          <w:p w14:paraId="36397AE6">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cBorders>
              <w:top w:val="single" w:color="000000" w:sz="4" w:space="0"/>
              <w:left w:val="single" w:color="000000" w:sz="4" w:space="0"/>
              <w:bottom w:val="single" w:color="000000" w:sz="4" w:space="0"/>
            </w:tcBorders>
            <w:tcW w:w="485" w:type="dxa"/>
            <w:vAlign w:val="center"/>
            <w:textDirection w:val="lrTb"/>
            <w:noWrap w:val="false"/>
          </w:tcPr>
          <w:p w14:paraId="06D92C5F">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64FABDD1">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r>
      <w:tr>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6B7DD27A">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5</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15ADBA90">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BOLA PARA FUTEBOL DE CAMPO 12 GOMOS, LAMINADO CONFECCIONADO EM PU POLIURETANO; CIRCUNFERÊNCIA 68 A 70 CM; PESO 410 A 450 G; TECNOLOGIA ULTRA FUSION OU 0% ABSORÇÃO DE ÁGUA; SISTEMA DE FORRO TERMOFIXO, CAMADA INTERNA EVACEL, DUPLA COLAG</w:t>
            </w:r>
            <w:r>
              <w:rPr>
                <w:rFonts w:ascii="Times New Roman" w:hAnsi="Times New Roman" w:cs="Times New Roman"/>
                <w:color w:val="000000"/>
                <w:sz w:val="10"/>
                <w:szCs w:val="10"/>
              </w:rPr>
              <w:t xml:space="preserve">EM, MIOLO CÁPSULA SIS OU SIMILAR QUE PROTEJA A CÂMARA DE RUPTURAS; CÂMARA COM AMORTECIMENTO INTERNO DE 6 DISCOS. O PRODUTO DEVERÁ CONTER IDENTIFICAÇÃO, MARCA DO FABRICANTE E GARANTIA DO FORNECEDOR CONTRA DEFEITO DE FABRICAÇÃO. COR A ESCOLHA DO SOLICITANTE.</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4910859F">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1C2CEBDF">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50B93749">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7CCAB2C8">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6CC9CA99">
            <w:pPr>
              <w:widowControl w:val="true"/>
              <w:pBdr/>
              <w:spacing/>
              <w:ind/>
              <w:jc w:val="center"/>
              <w:rPr>
                <w:rFonts w:ascii="Times New Roman" w:hAnsi="Times New Roman" w:cs="Times New Roman"/>
                <w:color w:val="000000"/>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color w:val="000000"/>
                <w:sz w:val="10"/>
                <w:szCs w:val="10"/>
                <w:lang w:val="pt-BR" w:eastAsia="zh-CN"/>
              </w:rPr>
            </w:r>
            <w:r>
              <w:rPr>
                <w:rFonts w:ascii="Times New Roman" w:hAnsi="Times New Roman" w:cs="Times New Roman"/>
                <w:color w:val="000000"/>
                <w:sz w:val="10"/>
                <w:szCs w:val="10"/>
                <w:lang w:val="pt-BR"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664B64B4">
            <w:pPr>
              <w:widowControl w:val="true"/>
              <w:pBdr/>
              <w:spacing/>
              <w:ind/>
              <w:jc w:val="center"/>
              <w:rPr>
                <w:rFonts w:ascii="Times New Roman" w:hAnsi="Times New Roman" w:cs="Times New Roman"/>
                <w:color w:val="000000"/>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color w:val="000000"/>
                <w:sz w:val="10"/>
                <w:szCs w:val="10"/>
                <w:lang w:val="pt-BR" w:eastAsia="zh-CN"/>
              </w:rPr>
            </w:r>
            <w:r>
              <w:rPr>
                <w:rFonts w:ascii="Times New Roman" w:hAnsi="Times New Roman" w:cs="Times New Roman"/>
                <w:color w:val="000000"/>
                <w:sz w:val="10"/>
                <w:szCs w:val="10"/>
                <w:lang w:val="pt-BR" w:eastAsia="zh-CN"/>
              </w:rPr>
            </w:r>
          </w:p>
        </w:tc>
        <w:tc>
          <w:tcPr>
            <w:shd w:val="clear" w:color="ffffff" w:fill="ffffff"/>
            <w:tcBorders>
              <w:top w:val="single" w:color="000000" w:sz="4" w:space="0"/>
              <w:left w:val="single" w:color="000000" w:sz="4" w:space="0"/>
              <w:bottom w:val="single" w:color="000000" w:sz="4" w:space="0"/>
            </w:tcBorders>
            <w:tcW w:w="426" w:type="dxa"/>
            <w:vAlign w:val="center"/>
            <w:textDirection w:val="lrTb"/>
            <w:noWrap w:val="false"/>
          </w:tcPr>
          <w:p w14:paraId="279C34A9">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cBorders>
              <w:top w:val="single" w:color="000000" w:sz="4" w:space="0"/>
              <w:left w:val="single" w:color="000000" w:sz="4" w:space="0"/>
              <w:bottom w:val="single" w:color="000000" w:sz="4" w:space="0"/>
            </w:tcBorders>
            <w:tcW w:w="485" w:type="dxa"/>
            <w:vAlign w:val="center"/>
            <w:textDirection w:val="lrTb"/>
            <w:noWrap w:val="false"/>
          </w:tcPr>
          <w:p w14:paraId="57E25BC3">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77CC10FE">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r>
      <w:tr>
        <w:trPr>
          <w:trHeight w:val="460"/>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7D7D36EB">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6</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061AD6F0">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CAMA ELÁSTICA TIPO MINI JUMP. PRODUZIDO COM 36 MOLAS, 6 </w:t>
            </w:r>
            <w:r>
              <w:rPr>
                <w:rFonts w:ascii="Times New Roman" w:hAnsi="Times New Roman" w:cs="Times New Roman"/>
                <w:color w:val="000000"/>
                <w:sz w:val="10"/>
                <w:szCs w:val="10"/>
              </w:rPr>
              <w:t xml:space="preserve">PÉS FIXOS EM AÇO CARBONO COM PONTEIRAS GRANDES EMBORRACHADAS ANTIDERRAPANTES, TELA DE ALTA RESISTÊNCIA, CAPA PROTETORA PARA AS MOLAS. MEDIDAS MÍNIMAS: 98 CM DE COMPRIMENTO, 20 M DE ALTURA, ÁREA DE SALTO DE 78 CM DE DIÂMETRO. DEVE SUPORTAR NO MÍNIMO 180 KG.</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6D46013F">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439029A7">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69E55542">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191161DC">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21005569">
            <w:pPr>
              <w:widowControl w:val="true"/>
              <w:pBdr/>
              <w:spacing/>
              <w:ind/>
              <w:jc w:val="center"/>
              <w:rPr>
                <w:rFonts w:ascii="Times New Roman" w:hAnsi="Times New Roman" w:cs="Times New Roman"/>
                <w:color w:val="000000"/>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color w:val="000000"/>
                <w:sz w:val="10"/>
                <w:szCs w:val="10"/>
                <w:lang w:val="pt-BR" w:eastAsia="zh-CN"/>
              </w:rPr>
            </w:r>
            <w:r>
              <w:rPr>
                <w:rFonts w:ascii="Times New Roman" w:hAnsi="Times New Roman" w:cs="Times New Roman"/>
                <w:color w:val="000000"/>
                <w:sz w:val="10"/>
                <w:szCs w:val="10"/>
                <w:lang w:val="pt-BR"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4952C7E7">
            <w:pPr>
              <w:widowControl w:val="true"/>
              <w:pBdr/>
              <w:spacing/>
              <w:ind/>
              <w:jc w:val="center"/>
              <w:rPr>
                <w:rFonts w:ascii="Times New Roman" w:hAnsi="Times New Roman" w:cs="Times New Roman"/>
                <w:color w:val="000000"/>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color w:val="000000"/>
                <w:sz w:val="10"/>
                <w:szCs w:val="10"/>
                <w:lang w:val="pt-BR" w:eastAsia="zh-CN"/>
              </w:rPr>
            </w:r>
            <w:r>
              <w:rPr>
                <w:rFonts w:ascii="Times New Roman" w:hAnsi="Times New Roman" w:cs="Times New Roman"/>
                <w:color w:val="000000"/>
                <w:sz w:val="10"/>
                <w:szCs w:val="10"/>
                <w:lang w:val="pt-BR" w:eastAsia="zh-CN"/>
              </w:rPr>
            </w:r>
          </w:p>
        </w:tc>
        <w:tc>
          <w:tcPr>
            <w:shd w:val="clear" w:color="ffffff" w:fill="ffffff"/>
            <w:tcBorders>
              <w:top w:val="single" w:color="000000" w:sz="4" w:space="0"/>
              <w:left w:val="single" w:color="000000" w:sz="4" w:space="0"/>
              <w:bottom w:val="single" w:color="000000" w:sz="4" w:space="0"/>
            </w:tcBorders>
            <w:tcW w:w="426" w:type="dxa"/>
            <w:vAlign w:val="center"/>
            <w:textDirection w:val="lrTb"/>
            <w:noWrap w:val="false"/>
          </w:tcPr>
          <w:p w14:paraId="7DF21F1A">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cBorders>
              <w:top w:val="single" w:color="000000" w:sz="4" w:space="0"/>
              <w:left w:val="single" w:color="000000" w:sz="4" w:space="0"/>
              <w:bottom w:val="single" w:color="000000" w:sz="4" w:space="0"/>
            </w:tcBorders>
            <w:tcW w:w="485" w:type="dxa"/>
            <w:vAlign w:val="center"/>
            <w:textDirection w:val="lrTb"/>
            <w:noWrap w:val="false"/>
          </w:tcPr>
          <w:p w14:paraId="0DF2259C">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6F864F5A">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r>
      <w:tr>
        <w:trPr>
          <w:trHeight w:val="170"/>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17DDC165">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7</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0256F7B6">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COLCHONETE, ANTIÁCARO E ANTIALÉRGICO. DENSIDADE MÍNIMA 33, REVESTIMENTO EM NAPA, MATERIAL ESPUMA, MEDIDAS MÍNIMAS: 100 CM DE COMPRIMENTO X 60 CM DE LARGURA E 3 CM DE ESPESSURA. COR A ESCOLHA DO SOLICITANTE.</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17C6DE2C">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7FC5A3B7">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26BAE43F">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22E8E456">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1C8676B2">
            <w:pPr>
              <w:widowControl w:val="true"/>
              <w:pBdr/>
              <w:spacing/>
              <w:ind/>
              <w:jc w:val="center"/>
              <w:rPr>
                <w:rFonts w:ascii="Times New Roman" w:hAnsi="Times New Roman" w:cs="Times New Roman"/>
                <w:color w:val="000000"/>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color w:val="000000"/>
                <w:sz w:val="10"/>
                <w:szCs w:val="10"/>
                <w:lang w:val="pt-BR" w:eastAsia="zh-CN"/>
              </w:rPr>
            </w:r>
            <w:r>
              <w:rPr>
                <w:rFonts w:ascii="Times New Roman" w:hAnsi="Times New Roman" w:cs="Times New Roman"/>
                <w:color w:val="000000"/>
                <w:sz w:val="10"/>
                <w:szCs w:val="10"/>
                <w:lang w:val="pt-BR"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0561CFDE">
            <w:pPr>
              <w:widowControl w:val="true"/>
              <w:pBdr/>
              <w:spacing/>
              <w:ind/>
              <w:jc w:val="center"/>
              <w:rPr>
                <w:rFonts w:ascii="Times New Roman" w:hAnsi="Times New Roman" w:cs="Times New Roman"/>
                <w:color w:val="000000"/>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color w:val="000000"/>
                <w:sz w:val="10"/>
                <w:szCs w:val="10"/>
                <w:lang w:val="pt-BR" w:eastAsia="zh-CN"/>
              </w:rPr>
            </w:r>
            <w:r>
              <w:rPr>
                <w:rFonts w:ascii="Times New Roman" w:hAnsi="Times New Roman" w:cs="Times New Roman"/>
                <w:color w:val="000000"/>
                <w:sz w:val="10"/>
                <w:szCs w:val="10"/>
                <w:lang w:val="pt-BR" w:eastAsia="zh-CN"/>
              </w:rPr>
            </w:r>
          </w:p>
        </w:tc>
        <w:tc>
          <w:tcPr>
            <w:shd w:val="clear" w:color="ffffff" w:fill="ffffff"/>
            <w:tcBorders>
              <w:top w:val="single" w:color="000000" w:sz="4" w:space="0"/>
              <w:left w:val="single" w:color="000000" w:sz="4" w:space="0"/>
              <w:bottom w:val="single" w:color="000000" w:sz="4" w:space="0"/>
            </w:tcBorders>
            <w:tcW w:w="426" w:type="dxa"/>
            <w:vAlign w:val="center"/>
            <w:textDirection w:val="lrTb"/>
            <w:noWrap w:val="false"/>
          </w:tcPr>
          <w:p w14:paraId="74517535">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cBorders>
              <w:top w:val="single" w:color="000000" w:sz="4" w:space="0"/>
              <w:left w:val="single" w:color="000000" w:sz="4" w:space="0"/>
              <w:bottom w:val="single" w:color="000000" w:sz="4" w:space="0"/>
            </w:tcBorders>
            <w:tcW w:w="485" w:type="dxa"/>
            <w:vAlign w:val="center"/>
            <w:textDirection w:val="lrTb"/>
            <w:noWrap w:val="false"/>
          </w:tcPr>
          <w:p w14:paraId="47F4AE49">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305B6FBE">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r>
      <w:tr>
        <w:trPr>
          <w:trHeight w:val="374"/>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25BE9D44">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8</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14688EC7">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CONE ESPORTIVO/PRATO DE MARCAÇÃO/CHAPÉU CHINÊS FABRIC</w:t>
            </w:r>
            <w:r>
              <w:rPr>
                <w:rFonts w:ascii="Times New Roman" w:hAnsi="Times New Roman" w:cs="Times New Roman"/>
                <w:color w:val="000000"/>
                <w:sz w:val="10"/>
                <w:szCs w:val="10"/>
              </w:rPr>
              <w:t xml:space="preserve">ADO EM PVC FLEXÍVEL, MEDIDAS APROXIMADAS 19 CM DE DIÂMETRO EXTERNO, 5 CM DE DIÂMETRO DO FURO E DE 8 CM DE ALTURA. O PRODUTO DEVERÁ CONTER IDENTIFICAÇÃO, MARCA DO FABRICANTE E GARANTIA DO FORNECEDOR CONTRA DEFEITO DE FABRICAÇÃO.COR A ESCOLHA DO SOLICITANTE.</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40889D63">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2DAABD21">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08921655">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595E5F54">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36D9AD19">
            <w:pPr>
              <w:widowControl w:val="true"/>
              <w:pBdr/>
              <w:spacing/>
              <w:ind/>
              <w:jc w:val="center"/>
              <w:rPr>
                <w:rFonts w:ascii="Times New Roman" w:hAnsi="Times New Roman" w:cs="Times New Roman"/>
                <w:color w:val="000000"/>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color w:val="000000"/>
                <w:sz w:val="10"/>
                <w:szCs w:val="10"/>
                <w:lang w:val="pt-BR" w:eastAsia="zh-CN"/>
              </w:rPr>
            </w:r>
            <w:r>
              <w:rPr>
                <w:rFonts w:ascii="Times New Roman" w:hAnsi="Times New Roman" w:cs="Times New Roman"/>
                <w:color w:val="000000"/>
                <w:sz w:val="10"/>
                <w:szCs w:val="10"/>
                <w:lang w:val="pt-BR"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285CA696">
            <w:pPr>
              <w:widowControl w:val="true"/>
              <w:pBdr/>
              <w:spacing/>
              <w:ind/>
              <w:jc w:val="center"/>
              <w:rPr>
                <w:rFonts w:ascii="Times New Roman" w:hAnsi="Times New Roman" w:cs="Times New Roman"/>
                <w:color w:val="000000"/>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color w:val="000000"/>
                <w:sz w:val="10"/>
                <w:szCs w:val="10"/>
                <w:lang w:val="pt-BR" w:eastAsia="zh-CN"/>
              </w:rPr>
            </w:r>
            <w:r>
              <w:rPr>
                <w:rFonts w:ascii="Times New Roman" w:hAnsi="Times New Roman" w:cs="Times New Roman"/>
                <w:color w:val="000000"/>
                <w:sz w:val="10"/>
                <w:szCs w:val="10"/>
                <w:lang w:val="pt-BR" w:eastAsia="zh-CN"/>
              </w:rPr>
            </w:r>
          </w:p>
        </w:tc>
        <w:tc>
          <w:tcPr>
            <w:shd w:val="clear" w:color="ffffff" w:fill="ffffff"/>
            <w:tcBorders>
              <w:top w:val="single" w:color="000000" w:sz="4" w:space="0"/>
              <w:left w:val="single" w:color="000000" w:sz="4" w:space="0"/>
              <w:bottom w:val="single" w:color="000000" w:sz="4" w:space="0"/>
            </w:tcBorders>
            <w:tcW w:w="426" w:type="dxa"/>
            <w:vAlign w:val="center"/>
            <w:textDirection w:val="lrTb"/>
            <w:noWrap w:val="false"/>
          </w:tcPr>
          <w:p w14:paraId="194726F2">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cBorders>
              <w:top w:val="single" w:color="000000" w:sz="4" w:space="0"/>
              <w:left w:val="single" w:color="000000" w:sz="4" w:space="0"/>
              <w:bottom w:val="single" w:color="000000" w:sz="4" w:space="0"/>
            </w:tcBorders>
            <w:tcW w:w="485" w:type="dxa"/>
            <w:vAlign w:val="center"/>
            <w:textDirection w:val="lrTb"/>
            <w:noWrap w:val="false"/>
          </w:tcPr>
          <w:p w14:paraId="3364658C">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6A8F9EE8">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r>
      <w:tr>
        <w:trPr>
          <w:trHeight w:val="204"/>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39B82163">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9</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4E49ADBE">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222222"/>
                <w:sz w:val="10"/>
                <w:szCs w:val="10"/>
              </w:rPr>
              <w:t xml:space="preserve">CONE VAGINAL – CONJUNTO COM 5 UNIDADES. EM SILICONE MÉDICO PARA USO INTERNO. HIPOALERGENICO. FÁCIL HIGIENIZAÇÃO. PARA CONES MAIS PESADOS O MATERIAL SERIA PLAS</w:t>
            </w:r>
            <w:r>
              <w:rPr>
                <w:rFonts w:ascii="Times New Roman" w:hAnsi="Times New Roman" w:cs="Times New Roman"/>
                <w:color w:val="222222"/>
                <w:sz w:val="10"/>
                <w:szCs w:val="10"/>
              </w:rPr>
              <w:t xml:space="preserve">TICO ABS. OS PESOS PODEM SER DE CHUMBO ENCAPSULADO, AÇO INOX E LIGA METALICA DE ALTA DENSIDADE. DEVE CONTER UM CORDÃO DE REMOÇÃO COMO ABSORVENTE INTIMO. DEVE APRESENTAR PESOS VARIADOS ENTRE 20G E 100G. COM CORES E NUMERAÇÕES PARA IDENTIFICAÇÃO DOS PESOS.  </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281FCD0F">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0A7C6939">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4216B06F">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6BBACEC2">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5026C169">
            <w:pPr>
              <w:widowControl w:val="true"/>
              <w:pBdr/>
              <w:spacing/>
              <w:ind/>
              <w:jc w:val="center"/>
              <w:rPr>
                <w:rFonts w:ascii="Times New Roman" w:hAnsi="Times New Roman" w:cs="Times New Roman"/>
                <w:color w:val="000000"/>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color w:val="000000"/>
                <w:sz w:val="10"/>
                <w:szCs w:val="10"/>
                <w:lang w:val="pt-BR" w:eastAsia="zh-CN"/>
              </w:rPr>
            </w:r>
            <w:r>
              <w:rPr>
                <w:rFonts w:ascii="Times New Roman" w:hAnsi="Times New Roman" w:cs="Times New Roman"/>
                <w:color w:val="000000"/>
                <w:sz w:val="10"/>
                <w:szCs w:val="10"/>
                <w:lang w:val="pt-BR" w:eastAsia="zh-CN"/>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0D15600C">
            <w:pPr>
              <w:widowControl w:val="true"/>
              <w:pBdr/>
              <w:spacing/>
              <w:ind/>
              <w:jc w:val="center"/>
              <w:rPr>
                <w:rFonts w:ascii="Times New Roman" w:hAnsi="Times New Roman" w:cs="Times New Roman"/>
                <w:color w:val="000000"/>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color w:val="000000"/>
                <w:sz w:val="10"/>
                <w:szCs w:val="10"/>
                <w:lang w:val="pt-BR" w:eastAsia="zh-CN"/>
              </w:rPr>
            </w:r>
            <w:r>
              <w:rPr>
                <w:rFonts w:ascii="Times New Roman" w:hAnsi="Times New Roman" w:cs="Times New Roman"/>
                <w:color w:val="000000"/>
                <w:sz w:val="10"/>
                <w:szCs w:val="10"/>
                <w:lang w:val="pt-BR" w:eastAsia="zh-CN"/>
              </w:rPr>
            </w:r>
          </w:p>
        </w:tc>
        <w:tc>
          <w:tcPr>
            <w:shd w:val="clear" w:color="ffffff" w:fill="ffffff"/>
            <w:tcBorders>
              <w:top w:val="single" w:color="000000" w:sz="4" w:space="0"/>
              <w:left w:val="single" w:color="000000" w:sz="4" w:space="0"/>
              <w:bottom w:val="single" w:color="000000" w:sz="4" w:space="0"/>
            </w:tcBorders>
            <w:tcW w:w="426" w:type="dxa"/>
            <w:vAlign w:val="center"/>
            <w:textDirection w:val="lrTb"/>
            <w:noWrap w:val="false"/>
          </w:tcPr>
          <w:p w14:paraId="0503F61B">
            <w:pPr>
              <w:widowControl w:val="true"/>
              <w:pBdr/>
              <w:spacing/>
              <w:ind/>
              <w:jc w:val="center"/>
              <w:rPr>
                <w:rFonts w:ascii="Times New Roman" w:hAnsi="Times New Roman" w:cs="Times New Roman"/>
                <w:sz w:val="10"/>
                <w:szCs w:val="10"/>
                <w:lang w:val="en-US" w:eastAsia="zh-CN"/>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cs="Times New Roman"/>
                <w:sz w:val="10"/>
                <w:szCs w:val="10"/>
                <w:lang w:val="en-US" w:eastAsia="zh-CN"/>
              </w:rPr>
            </w:r>
            <w:r>
              <w:rPr>
                <w:rFonts w:ascii="Times New Roman" w:hAnsi="Times New Roman" w:cs="Times New Roman"/>
                <w:sz w:val="10"/>
                <w:szCs w:val="10"/>
                <w:lang w:val="en-US" w:eastAsia="zh-CN"/>
              </w:rPr>
            </w:r>
          </w:p>
        </w:tc>
        <w:tc>
          <w:tcPr>
            <w:shd w:val="clear" w:color="ffffff" w:fill="ffffff"/>
            <w:tcBorders>
              <w:top w:val="single" w:color="000000" w:sz="4" w:space="0"/>
              <w:left w:val="single" w:color="000000" w:sz="4" w:space="0"/>
              <w:bottom w:val="single" w:color="000000" w:sz="4" w:space="0"/>
            </w:tcBorders>
            <w:tcW w:w="485" w:type="dxa"/>
            <w:vAlign w:val="center"/>
            <w:textDirection w:val="lrTb"/>
            <w:noWrap w:val="false"/>
          </w:tcPr>
          <w:p w14:paraId="16387661">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5B4D28C3">
            <w:pPr>
              <w:widowControl w:val="true"/>
              <w:pBdr/>
              <w:spacing/>
              <w:ind/>
              <w:jc w:val="center"/>
              <w:rPr>
                <w:rFonts w:ascii="Times New Roman" w:hAnsi="Times New Roman" w:cs="Times New Roman"/>
                <w:sz w:val="10"/>
                <w:szCs w:val="10"/>
                <w:lang w:val="pt-BR" w:eastAsia="zh-CN"/>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cs="Times New Roman"/>
                <w:sz w:val="10"/>
                <w:szCs w:val="10"/>
                <w:lang w:val="pt-BR" w:eastAsia="zh-CN"/>
              </w:rPr>
            </w:r>
            <w:r>
              <w:rPr>
                <w:rFonts w:ascii="Times New Roman" w:hAnsi="Times New Roman" w:cs="Times New Roman"/>
                <w:sz w:val="10"/>
                <w:szCs w:val="10"/>
                <w:lang w:val="pt-BR" w:eastAsia="zh-CN"/>
              </w:rPr>
            </w:r>
          </w:p>
        </w:tc>
      </w:tr>
      <w:tr>
        <w:trPr>
          <w:trHeight w:val="362"/>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572F0EE9">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10</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15E60385">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CORDA DE PULAR, TAMANHO MÍNIMO DE 03 METROS, CONFECCIONADA EM POLIPROPILENO E PVC, ROLAMENTO AJUSTÁVEL COM CABO. PRODUTO INDICADO PARA PRÁTICAS ESPORTIVAS E LÚDICAS.</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317D2379">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11CD6276">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062F44E3">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7157E43D">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7EF99A77">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0E45F0CD">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6282A10E">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292CE213">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67B0E314">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r>
      <w:tr>
        <w:trPr>
          <w:trHeight w:val="312"/>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1001B218">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11</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5357743A">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222222"/>
                <w:sz w:val="10"/>
                <w:szCs w:val="10"/>
              </w:rPr>
              <w:t xml:space="preserve">DILATADOR VAGINAL- KIT CONTENDO 3 UNIDADES.  DEVE POSSUIR 3 TAMANHOS VARIADOS, PORÉM EM PORÇÕES DIFERENTE NO MESMO EQUIPAMENTO. MATERIAL DE SILICONE DE GRAU MEDICO 100% ATOXICO. COR A ESCOLHA DO FABRICANTE.</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41211397">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647A128C">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7DA09DD5">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61462E40">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6AF04D75">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63B93C87">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6AD39E37">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5A7F1893">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4EF4841F">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r>
      <w:tr>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3628A5B6">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12</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3B6E7289">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olor w:val="000000"/>
                <w:sz w:val="10"/>
                <w:szCs w:val="10"/>
              </w:rPr>
              <w:t xml:space="preserve">ELETRODO MÉDICO APARELHO PARA MONITORIZAÇÃO CARDÍACA,  ADULTO, DESCARTÁVEL, COM GEL SÓLIDO, ATÓXICO E HIPOALERGÊNICO.</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46F9EB9E">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7F6E87F5">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5E389F5F">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0CA5DCBD">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120000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5C8FE144">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R$0,10</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53DD9812">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R$12.000,00</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728EE0E1">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50579331">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1E8448B6">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r>
      <w:tr>
        <w:trPr>
          <w:trHeight w:val="24"/>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282A6758">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13</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0C2C224B">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EQUIPAMENTO </w:t>
            </w:r>
            <w:r>
              <w:rPr>
                <w:rFonts w:ascii="Times New Roman" w:hAnsi="Times New Roman" w:cs="Times New Roman"/>
                <w:color w:val="000000"/>
                <w:sz w:val="10"/>
                <w:szCs w:val="10"/>
              </w:rPr>
              <w:t xml:space="preserve">MICRO CONTROLADO DE LASER TERAPEUTICO  EQUIPAMENTO MICRO CONTROLADO DE LASER TERAPÊUTICO DE BAIXA POTÊNCIA: DESENVOLVIDO PARA UTILIZAÇÃO NA FISIOTERAPIA. OFERECE A POSSIBILIDADE DE OPERAÇÃO COM TRÊS CANETAS DE LASER, COM COMPRIMENTOS DE 660NM, 830NM, 904NM</w:t>
            </w:r>
            <w:r>
              <w:rPr>
                <w:rFonts w:ascii="Times New Roman" w:hAnsi="Times New Roman" w:cs="Times New Roman"/>
                <w:color w:val="000000"/>
                <w:sz w:val="10"/>
                <w:szCs w:val="10"/>
              </w:rPr>
              <w:t xml:space="preserve"> SENDO OS MODOS DE EMISSÃO DOS FEIXES DO LASER NAS CANETAS 660NM E 830NM PODERÁ SER AJUSTADO NOS MODOS CONTÍNUOS E PULSADO COM POSSIBILIDADE DE ESCOLHA DE 10 FREQUÊNCIAS E MODULAÇÃO. O LASER DE BAIXA POTÊNCIA TEM EFEITOS ANALGÉSICOS CICATRIZANTES E ANTI-IN</w:t>
            </w:r>
            <w:r>
              <w:rPr>
                <w:rFonts w:ascii="Times New Roman" w:hAnsi="Times New Roman" w:cs="Times New Roman"/>
                <w:color w:val="000000"/>
                <w:sz w:val="10"/>
                <w:szCs w:val="10"/>
              </w:rPr>
              <w:t xml:space="preserve">FLAMATÓRIO. OPERAÇÃO MICRO CONTROLADA VIA TECLADO QUE GERA INFORMAÇÕES DIGITALIZADAS E OFERECE CONFIABILIDADE NOS DADOS; CLASSIFICAÇÕES DE ENERGIA 1-20 JOULES/CM²; PERMITE QUE FIQUE TRAVADO ENQUANTO NÃO ESTÁ SENDO UTILIZADO.  DEVERÃO ACOMPANHAR O PRODUTO O</w:t>
            </w:r>
            <w:r>
              <w:rPr>
                <w:rFonts w:ascii="Times New Roman" w:hAnsi="Times New Roman" w:cs="Times New Roman"/>
                <w:color w:val="000000"/>
                <w:sz w:val="10"/>
                <w:szCs w:val="10"/>
              </w:rPr>
              <w:t xml:space="preserve">S SEGUINTES ACESSÓRIOS : 01 MANUAL DE INSTRUCOES; 01 CABO DE FORÇA DESCARTAVEL, 02 FUSIVEIS DE PROTECAO SOBRESSALENTE; 01 CANETA TOPOSCOPIO BIVOLT AUTOMATICO;  DIMENSÕES APROXIMADAS: 36.5 X 32.5 X 12,0 (LXPXACM). PESO:1,626KG.  - GARANTIA MÍNIMA: 18 MESES </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07A75DBD">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50282529">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0EB2B7A2">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3A0A1406">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49674B74">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7971C4F6">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699B3C66">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3E5162DF">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536F0FFF">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r>
      <w:tr>
        <w:trPr>
          <w:trHeight w:val="173"/>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51D4F619">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14</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3442A230">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ESCADA DE AGILIDADE INJETADA. MATERIAL LAVÁVEL, FLEXÍVEL E BEM ADER</w:t>
            </w:r>
            <w:r>
              <w:rPr>
                <w:rFonts w:ascii="Times New Roman" w:hAnsi="Times New Roman" w:cs="Times New Roman"/>
                <w:color w:val="000000"/>
                <w:sz w:val="10"/>
                <w:szCs w:val="10"/>
              </w:rPr>
              <w:t xml:space="preserve">ENTE AO SOLO; FITA DE NYLON ULTRA RESISTENTE E DEGRAUS REGULÁVEIS EM PLÁSTICO INJETÁVEL. TAMANHO MÍNIMO: 3 METROS DE COMPRIMENTO, COM NO MÍNIMO 7 DEGRAUS. PRODUTO INDICADO PARA PRATICA RECREATIVA, ESPORTIVA E TREINO FUNCIONAL. COR A ESCOLHA DO SOLICITANTE.</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4F842ABA">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14ECBC2D">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060A5BA0">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7440A676">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6398E8CE">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4766A403">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0E2EB9FF">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3E78A4A2">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06C8F870">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r>
      <w:tr>
        <w:trPr>
          <w:trHeight w:val="173"/>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13F571E4">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15</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773BC857">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ESPALDAR / BARRA FIXA / BARRA DE LING / MÓDULO ALONGAMENTO. ALTURA MÍNIMA DE 2 METROS E LARGURA MÍNIMA DE 90 CM, MÍNIMO DE 08 BARRAS HORIZONTAIS CO</w:t>
            </w:r>
            <w:r>
              <w:rPr>
                <w:rFonts w:ascii="Times New Roman" w:hAnsi="Times New Roman" w:cs="Times New Roman"/>
                <w:color w:val="000000"/>
                <w:sz w:val="10"/>
                <w:szCs w:val="10"/>
              </w:rPr>
              <w:t xml:space="preserve">M DISTANCIA ENTRE VÃOS DE 20 CM, COM CAPACIDADE PARA SUPORTAR NO MÍNIMO 150 KG. ESTRUTURA DE FERRO, PINTURA ELETROSTÁTICA EPÓXI, E BARRAS DE ALUMÍNIO, COM APOIOS DE FIXAÇÃO. APARELHO PARA EXERCÍCIOS DE ALONGAMENTO MUSCULAR GLOBAL. GARANTIA MÍNIMA DE 1 ANO.</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48B743AD">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215E6659">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4E4426B2">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593945B8">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0AE9E95E">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4ABECE3E">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3C8C34A5">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15BD6983">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4E03D0AE">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r>
      <w:tr>
        <w:trPr>
          <w:trHeight w:val="91"/>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658488A0">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16</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4FC006B3">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ESPELHO DE VIDRO, ESPESSURA MÍNIMA 3 MM, SEM MOLDURA.</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100E75C4">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3A797D2C">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76B3988F">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0F4DAF43">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32594058">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6E5EFD43">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7E8E5B61">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4BCD27CF">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4CC55019">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r>
      <w:tr>
        <w:trPr>
          <w:trHeight w:val="313"/>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069435A3">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17</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708C7E01">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FAIXA ELÁSTICA / ELÁSTICO, TAMANHO MÍNIMO DE 1,5 METROS DE COMPRIMENTO POR 13 CM DE LARGURA. INTENSIDADE / RESISTÊNCIA SUAVE. COMPOSIÇÃO LÁTEX NATURAL, NÃO DEFORMA. PRODUTO INDICADO PARA PRÁTICA ESPORTIVA E REABILITAÇÃO MUSCULAR. </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4F53DA44">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18A88D9B">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49E78793">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39778BDF">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0C346F7A">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1EC1D667">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04E59D14">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5376D39E">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693DE0DC">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r>
      <w:tr>
        <w:trPr>
          <w:trHeight w:val="173"/>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666CF663">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18</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16F9F962">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FLUTUADOR AQUÁTICO/MACARRÃO SPAGUETE, FABRICADO EM ESPUMA POLIETILENO EXPANDIDO E MACIÇO. MEDIDAS APROXIMADAS 65 MM DE DIÂMETRO X 165 CM. O PRODUTO DEVERÁ POSSUIR GARANTIA CONTRA DEFEITO DE FABRICAÇÃO. A COR SERÁ DE ACORDO COM A ESCOLHA DO SOLICITANTE.</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74674890">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62C909FC">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6D4A43FB">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7C46F304">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66EF48A8">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1BA4EA9C">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520066F8">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1B112578">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2F8CA3F7">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r>
      <w:tr>
        <w:trPr>
          <w:trHeight w:val="349"/>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4CFAB8EB">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19</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631BE264">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GEL ELETRO CONDUTOR PARA ELETROCARDIOGRAMA EMBALAGEM COM 05 LITROS, ISENTO DE SAL E DE ÁLCOOL, À BASE DE ÁGUA, PH </w:t>
            </w:r>
            <w:r>
              <w:rPr>
                <w:rFonts w:ascii="Times New Roman" w:hAnsi="Times New Roman" w:cs="Times New Roman"/>
                <w:color w:val="000000"/>
                <w:sz w:val="10"/>
                <w:szCs w:val="10"/>
              </w:rPr>
              <w:t xml:space="preserve">NEUTRO, NÃO GORDUROSO, INODORO E EXCELENTE CONDUTIBILIDADE. NÃO IRRITA A PELE E NÃO DANIFICA O ELETRODO. RÓTULO CONTENDO DATA DE FABRICAÇÃO, NÚMERO DO LOTE, IDENTIFICAÇÃO DO FABRICANTE E VALIDADE. DEVERÁ ESTÁ DE ACORDO COM A LEGISLAÇÃO SANITÁRIA VIGENTE.  </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3B631792">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3DF43732">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7D029AD3">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0229E70F">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589122A3">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5826C6C7">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4C5A62F0">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44ABF29C">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6A40028B">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r>
      <w:tr>
        <w:trPr>
          <w:trHeight w:val="173"/>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16F4EC62">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20</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27B448C2">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KIT DE ARGOLAS DE AGILIDADE, CONTENDO NO MÍ</w:t>
            </w:r>
            <w:r>
              <w:rPr>
                <w:rFonts w:ascii="Times New Roman" w:hAnsi="Times New Roman" w:cs="Times New Roman"/>
                <w:color w:val="000000"/>
                <w:sz w:val="10"/>
                <w:szCs w:val="10"/>
              </w:rPr>
              <w:t xml:space="preserve">NIMO 12 UNIDADES, COM NO MÍNIMO 42 CM DE DIÂMETRO E 2,5 CM DE ESPESSURA. DEVE ACOMPANHAR 13 FECHOS EM VELCRO DUPLOS PARA UNIÃO DOS AROS E BOLSA RESISTENTE PARA TRANSPORTE. PRODUZIDO EM MATERIAL PLÁSTICO. PRODUTO INDICADO PARA PRÁTICAS ESPORTIVAS E LÚDICAS.</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56788201">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71072795">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3B56F212">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7B09DAA1">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434993BB">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719320C1">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7E2D5B11">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2D3EFD43">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2EB51FFC">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r>
      <w:tr>
        <w:trPr>
          <w:trHeight w:val="173"/>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7C2612BA">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21</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63B13B77">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KIT DE FAIXAS ELÁSTICAS PARA EXERCÍCIOS. EMBALAGEM CONTENDO 3 FAIXAS COM NÍVEIS DE INTENSIDADE DIFERENTES. MATERIAL: BORRACHA FLEXÍVEL DE ALTA RESISTENCIA. TAMANHO MÍNIMO: 120 CM X 12 CM. PRODUTO PARA FORTALECIMENTO MUSCULAR E ARTICULAR. </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7752DE94">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7407CC7E">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1304BD79">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38BFF877">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39AB1D56">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7B1595E1">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0AD3F470">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1170C189">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46C8F556">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r>
      <w:tr>
        <w:trPr>
          <w:trHeight w:val="173"/>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2BC818F2">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22</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07C18018">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KIT TORRE DE HA</w:t>
            </w:r>
            <w:r>
              <w:rPr>
                <w:rFonts w:ascii="Times New Roman" w:hAnsi="Times New Roman" w:cs="Times New Roman"/>
                <w:color w:val="000000"/>
                <w:sz w:val="10"/>
                <w:szCs w:val="10"/>
              </w:rPr>
              <w:t xml:space="preserve">LTERES TIPO BOLA COM 10 PARES DE ALTERES. COMPOSTO POR TORRE / SUPORTE EXPOSITOR PARA GUARDA E ARMAZENAMENTO; E 1 PAR DE HALTERES BOLA EMBORRACHADOS DE CADA PESO DE 1 KG A 10 KG TOTALIZANDO 110 KG. FABRICADO EM FERRO FUNDIDO REVESTIDOS EM PVC EMBORRACHADO.</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1D039F8E">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621875F7">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7E0949FC">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019EE026">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42AA7537">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23F50927">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7A3538A7">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3A0257FD">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00BFC54F">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r>
      <w:tr>
        <w:trPr>
          <w:trHeight w:val="173"/>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6A1DB3FA">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23</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217CE519">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LÂMPADA INFRAVERMELHO, POTÊNCIA MÍNIMA 150W, VOLTAGEM 110V, E27. PARA APLICAÇÕES NAS ÁREAS DE SAÚDE, FISIOTERAPIA, RADIAÇÃO INFRAVERMELHA DE ONDA CURTA.  </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450BA343">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412B6B7E">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51087EF2">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637480AA">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5443604C">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23E665C8">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66B38424">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60011188">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6B903FAF">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r>
      <w:tr>
        <w:trPr>
          <w:trHeight w:val="173"/>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068A88BD">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24</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173A0123">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MESA AUXILIAR EM AÇO INOX COM </w:t>
            </w:r>
            <w:r>
              <w:rPr>
                <w:rFonts w:ascii="Times New Roman" w:hAnsi="Times New Roman" w:cs="Times New Roman"/>
                <w:color w:val="000000"/>
                <w:sz w:val="10"/>
                <w:szCs w:val="10"/>
              </w:rPr>
              <w:t xml:space="preserve">RODIZÍOS: DIMENSÕES MÍNIMAS: 40X60X80 CM. ESTRUTUTURA EM TUBOS DE AÇO CROMADO, TAMPO E PRATELEIRA EM CHAPA DE AÇO INOXIDÁVEL, PÉS PROTEGIDOS COM RODÍZIOS DE 2 ½ DE DIÂMETRO, COM PONTEIRAS DE BORRACHA. GARANTIA MÍNIMA DE 01 ANO CONTRA DEFEITO DE FABRICAÇÃO.</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1384C9DA">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5F179C89">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223816A1">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17A00451">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40FBE031">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78D04304">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204C2569">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1AE5A046">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4505446C">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r>
      <w:tr>
        <w:trPr>
          <w:trHeight w:val="173"/>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3ECD68C3">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25</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0656BC4E">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PAR DE TORNOZELEIRA, CONTENDO 1 KG CADA, (PESO DO PAR: 02 KG). FABRICADA EM NYLON E MATERIAL</w:t>
            </w:r>
            <w:r>
              <w:rPr>
                <w:rFonts w:ascii="Times New Roman" w:hAnsi="Times New Roman" w:cs="Times New Roman"/>
                <w:color w:val="000000"/>
                <w:sz w:val="10"/>
                <w:szCs w:val="10"/>
              </w:rPr>
              <w:t xml:space="preserve"> RESISTENTE DE REVESTIMENTO VINÍLICO, QUE PERMITA A HIGIENIZAÇÃO, COM PESO, COM FECHAMENTO AJUSTÁVEL EM VELCRO. INDICADA PARA TREINAMENTO, GANHO DE FORCA, RESISTÊNCIA MUSCULAR E CONDICIONAMENTO FÍSICO. PRODUTO CONTENDO MARCA E IDENTIFICAÇÃO DO FABRICANTE. </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713855A3">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2890EEDA">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3EE63F86">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451E17E4">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5F99F00B">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6DF9B19F">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6DB33D44">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11EEB84D">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660263E4">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r>
      <w:tr>
        <w:trPr>
          <w:trHeight w:val="173"/>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273A9D34">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26</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25E219DB">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PLACA PARA AURICULOTERAPIA. CARTELA COM NO MÍNIMO 60 UNIDADES. PONTO DE SEMENTE, COM ADESIVO DE MICROPORE DE FÁCIL RETIRADA.</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5EA4CA47">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20E3EE64">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73DC729E">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58FEFCC5">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5ED3637C">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257685D7">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1179363D">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65BAC991">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434A0951">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r>
      <w:tr>
        <w:trPr>
          <w:trHeight w:val="173"/>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1386C2A9">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27</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5379F09C">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PRESERVATIVO MASCULINO - SEM LUBRIFICAÇÃO. PRODUTO PARA USO MÉDICO EM EXAMES</w:t>
            </w:r>
            <w:r>
              <w:rPr>
                <w:rFonts w:ascii="Times New Roman" w:hAnsi="Times New Roman" w:cs="Times New Roman"/>
                <w:color w:val="000000"/>
                <w:sz w:val="10"/>
                <w:szCs w:val="10"/>
              </w:rPr>
              <w:t xml:space="preserve"> DE ULTRA-SONOGRAFIA. COM ALTA TRANSPARÊNCIA QUE PERMITA MAIOR NITIDEZ NA CAPTAÇÃO DAS IMAGENS. COMPOSIÇÃO: LÁTEX DE BORRACHA NATURAL. EMBALAGEM CONTENDO DADOS DE IDENTIFICAÇÃO DO PRODUTO. DATA DE FABRICAÇÃO E PRAZO DE VALIDADE. EMBALADOS INDIVIDUALMENTE. </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352995C3">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0135649E">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03BD87ED">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7D7376C1">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7446698F">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0683D130">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135206CF">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46C9F291">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38A3CAAF">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r>
      <w:tr>
        <w:trPr>
          <w:trHeight w:val="173"/>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325D48DF">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28</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27CB3EFD">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ROLO DE POSICIONAMENTO, TAMANHO GRAN</w:t>
            </w:r>
            <w:r>
              <w:rPr>
                <w:rFonts w:ascii="Times New Roman" w:hAnsi="Times New Roman" w:cs="Times New Roman"/>
                <w:color w:val="000000"/>
                <w:sz w:val="10"/>
                <w:szCs w:val="10"/>
              </w:rPr>
              <w:t xml:space="preserve">DE - MEDIDAS NÃO INFERIOR A: 60 CM DE COMPRIMENTO POR 30 CM DE LARGURA. CONFECCIONADO EM ESPUMA COM DENSIDADE 33 OU SUPERIOR. REVESTIDO EM COURVIN. PRODUTO INDICADO PARA EXERCÍCIOS DE FISIOTERAPIA, GARANTIA MÌNIMA DE 12 MESES. COR A ESCOLHA DO SOLICITANTE.</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6F0CD991">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4A165A01">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020A4E06">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5A2200F4">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19C52C9F">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3D7099C1">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554E60EE">
            <w:pPr>
              <w:widowControl w:val="true"/>
              <w:pBdr/>
              <w:spacing/>
              <w:ind/>
              <w:jc w:val="center"/>
              <w:rPr>
                <w:rFonts w:ascii="Times New Roman" w:hAnsi="Times New Roman" w:eastAsia="SimSun"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SimSun" w:cs="Times New Roman"/>
                <w:color w:val="000000"/>
                <w:sz w:val="10"/>
                <w:szCs w:val="10"/>
                <w:lang w:val="en-US" w:eastAsia="zh-CN" w:bidi="ar"/>
              </w:rPr>
            </w:r>
            <w:r>
              <w:rPr>
                <w:rFonts w:ascii="Times New Roman" w:hAnsi="Times New Roman" w:eastAsia="SimSun"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138B4535">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0218F393">
            <w:pPr>
              <w:widowControl w:val="true"/>
              <w:pBdr/>
              <w:spacing/>
              <w:ind/>
              <w:jc w:val="center"/>
              <w:rPr>
                <w:rFonts w:ascii="Times New Roman" w:hAnsi="Times New Roman" w:eastAsia="SimSun" w:cs="Times New Roman"/>
                <w:color w:val="000000"/>
                <w:sz w:val="10"/>
                <w:szCs w:val="10"/>
                <w:lang w:val="pt-BR"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SimSun" w:cs="Times New Roman"/>
                <w:color w:val="000000"/>
                <w:sz w:val="10"/>
                <w:szCs w:val="10"/>
                <w:lang w:val="pt-BR" w:eastAsia="zh-CN" w:bidi="ar"/>
              </w:rPr>
            </w:r>
            <w:r>
              <w:rPr>
                <w:rFonts w:ascii="Times New Roman" w:hAnsi="Times New Roman" w:eastAsia="SimSun" w:cs="Times New Roman"/>
                <w:color w:val="000000"/>
                <w:sz w:val="10"/>
                <w:szCs w:val="10"/>
                <w:lang w:val="pt-BR" w:eastAsia="zh-CN" w:bidi="ar"/>
              </w:rPr>
            </w:r>
          </w:p>
        </w:tc>
      </w:tr>
      <w:tr>
        <w:trPr>
          <w:trHeight w:val="224"/>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1DA37B9C">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29</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0CBF4684">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ROLO DE POSICIONAMENTO, TAMANHO MÉDIO</w:t>
            </w:r>
            <w:r>
              <w:rPr>
                <w:rFonts w:ascii="Times New Roman" w:hAnsi="Times New Roman" w:cs="Times New Roman"/>
                <w:color w:val="000000"/>
                <w:sz w:val="10"/>
                <w:szCs w:val="10"/>
              </w:rPr>
              <w:t xml:space="preserve"> - MEDIDAS NÃO INFERIORES A: 60 CM DE COMPRIMENTO POR 15 CM DE LARGURA. CONFECCIONADO EM ESPUMA COM DENSIDADE 33 OU SUPERIOR. REVESTIDO EM COURVIN. PRODUTO INDICADO PARA EXERCÍCIOS DE FISIOTERAPIA, GARANTIA MÌNIMA DE 12 MESES. COR A ESCOLHA DO SOLICITANTE.</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3EFBE609">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12E1F6EE">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479B3DBB">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64CC7B04">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22F0E9BE">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00C51ABB">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2511D84D">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072B288C">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55247B04">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r>
      <w:tr>
        <w:trPr>
          <w:trHeight w:val="76"/>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102E1190">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30</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21F3762F">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ROLO DE POSICIONAMENTO, TAMANHO PEQUENO</w:t>
            </w:r>
            <w:r>
              <w:rPr>
                <w:rFonts w:ascii="Times New Roman" w:hAnsi="Times New Roman" w:cs="Times New Roman"/>
                <w:color w:val="000000"/>
                <w:sz w:val="10"/>
                <w:szCs w:val="10"/>
              </w:rPr>
              <w:t xml:space="preserve"> - MEDIDAS NÃO INFERIORES A: 40 CM DE COMPRIMENTO POR 15 CM DE LARGURA. CONFECCIONADO EM ESPUMA COM DENSIDADE 33 OU SUPERIOR. REVESTIDO EM COURVIN. PRODUTO INDICADO PARA EXERCÍCIOS DE FISIOTERAPIA, GARANTIA MÌNIMA DE 12 MESES. COR A ESCOLHA DO SOLICITANTE.</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7AF40A3C">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54062684">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186E1651">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44D37BF2">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7443A5B5">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0C62220F">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17530025">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7816F930">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4A63650A">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r>
      <w:tr>
        <w:trPr>
          <w:trHeight w:val="173"/>
        </w:trPr>
        <w:tc>
          <w:tcPr>
            <w:shd w:val="clear" w:color="ffffff" w:fill="ffffff" w:themeFill="background1"/>
            <w:tcBorders>
              <w:top w:val="single" w:color="000000" w:sz="4" w:space="0"/>
              <w:left w:val="single" w:color="000000" w:sz="4" w:space="0"/>
              <w:bottom w:val="single" w:color="000000" w:sz="4" w:space="0"/>
            </w:tcBorders>
            <w:tcW w:w="492" w:type="dxa"/>
            <w:vAlign w:val="center"/>
            <w:textDirection w:val="lrTb"/>
            <w:noWrap w:val="false"/>
          </w:tcPr>
          <w:p w14:paraId="64453CFC">
            <w:pPr>
              <w:pStyle w:val="2066"/>
              <w:pBdr/>
              <w:spacing/>
              <w:ind/>
              <w:jc w:val="center"/>
              <w:rPr>
                <w:rFonts w:ascii="Times New Roman" w:hAnsi="Times New Roman" w:cs="Times New Roman"/>
                <w:sz w:val="10"/>
                <w:szCs w:val="10"/>
                <w:lang w:val="pt-BR"/>
              </w:rPr>
            </w:pPr>
            <w:r>
              <w:rPr>
                <w:rFonts w:ascii="Times New Roman" w:hAnsi="Times New Roman" w:cs="Times New Roman"/>
                <w:sz w:val="10"/>
                <w:szCs w:val="10"/>
                <w:lang w:val="pt-BR"/>
              </w:rPr>
              <w:t xml:space="preserve">31</w:t>
            </w:r>
            <w:r>
              <w:rPr>
                <w:rFonts w:ascii="Times New Roman" w:hAnsi="Times New Roman" w:cs="Times New Roman"/>
                <w:sz w:val="10"/>
                <w:szCs w:val="10"/>
                <w:lang w:val="pt-BR"/>
              </w:rPr>
            </w:r>
            <w:r>
              <w:rPr>
                <w:rFonts w:ascii="Times New Roman" w:hAnsi="Times New Roman" w:cs="Times New Roman"/>
                <w:sz w:val="10"/>
                <w:szCs w:val="10"/>
                <w:lang w:val="pt-BR"/>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5454" w:type="dxa"/>
            <w:vAlign w:val="center"/>
            <w:textDirection w:val="lrTb"/>
            <w:noWrap w:val="false"/>
          </w:tcPr>
          <w:p w14:paraId="6CEC9D99">
            <w:pPr>
              <w:widowControl w:val="true"/>
              <w:pBdr/>
              <w:spacing/>
              <w:ind/>
              <w:jc w:val="both"/>
              <w:rPr>
                <w:rFonts w:ascii="Times New Roman" w:hAnsi="Times New Roman" w:eastAsia="SimSun" w:cs="Times New Roman"/>
                <w:color w:val="000000" w:themeColor="text1"/>
                <w:sz w:val="10"/>
                <w:szCs w:val="10"/>
                <w:shd w:val="clear" w:color="auto" w:fill="ffffff" w:themeFill="background1"/>
                <w:lang w:val="en-US" w:eastAsia="zh-CN" w:bidi="ar"/>
              </w:rPr>
            </w:pPr>
            <w:r>
              <w:rPr>
                <w:rFonts w:ascii="Times New Roman" w:hAnsi="Times New Roman" w:cs="Times New Roman"/>
                <w:color w:val="000000"/>
                <w:sz w:val="10"/>
                <w:szCs w:val="10"/>
              </w:rPr>
              <w:t xml:space="preserve">STEP AERÓBICO / SIMULADOR DE DEGRAU, CONFECCIONADO EM E.V.A, ANTI-IMPACTO DE ALTA RESISTÊNCIA, CANTOS ARREDONDADOS. SUPERFÍCIE ANTIDERRAPANTE. MEDIDAS MÍNIMAS: 90 X 30 X 15 CM (C X L X A). PRODUTO INDICADO PARA PRÁTICA ESPORTIVA.</w:t>
            </w:r>
            <w:r>
              <w:rPr>
                <w:rFonts w:ascii="Times New Roman" w:hAnsi="Times New Roman" w:eastAsia="SimSun" w:cs="Times New Roman"/>
                <w:color w:val="000000" w:themeColor="text1"/>
                <w:sz w:val="10"/>
                <w:szCs w:val="10"/>
                <w:shd w:val="clear" w:color="auto" w:fill="ffffff" w:themeFill="background1"/>
                <w:lang w:val="en-US" w:eastAsia="zh-CN" w:bidi="ar"/>
              </w:rPr>
            </w:r>
            <w:r>
              <w:rPr>
                <w:rFonts w:ascii="Times New Roman" w:hAnsi="Times New Roman" w:eastAsia="SimSun" w:cs="Times New Roman"/>
                <w:color w:val="000000" w:themeColor="text1"/>
                <w:sz w:val="10"/>
                <w:szCs w:val="10"/>
                <w:shd w:val="clear" w:color="auto" w:fill="ffffff" w:themeFill="background1"/>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425" w:type="dxa"/>
            <w:vAlign w:val="center"/>
            <w:textDirection w:val="lrTb"/>
            <w:noWrap w:val="false"/>
          </w:tcPr>
          <w:p w14:paraId="20352DE6">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shd w:val="clear" w:color="ffffff" w:fill="ffffff" w:themeFill="background1"/>
            <w:tcBorders>
              <w:top w:val="single" w:color="000000" w:sz="4" w:space="0"/>
              <w:left w:val="single" w:color="000000" w:sz="4" w:space="0"/>
              <w:bottom w:val="single" w:color="000000" w:sz="4" w:space="0"/>
            </w:tcBorders>
            <w:tcW w:w="567" w:type="dxa"/>
            <w:vAlign w:val="center"/>
            <w:textDirection w:val="lrTb"/>
            <w:noWrap w:val="false"/>
          </w:tcPr>
          <w:p w14:paraId="6B279828">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567" w:type="dxa"/>
            <w:vAlign w:val="center"/>
            <w:textDirection w:val="lrTb"/>
            <w:noWrap w:val="false"/>
          </w:tcPr>
          <w:p w14:paraId="2AA05D0E">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425" w:type="dxa"/>
            <w:vAlign w:val="center"/>
            <w:textDirection w:val="lrTb"/>
            <w:noWrap w:val="false"/>
          </w:tcPr>
          <w:p w14:paraId="6D42C182">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4F6BA06F">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shd w:val="clear" w:color="ffffff" w:fill="ffffff"/>
            <w:tcBorders>
              <w:top w:val="single" w:color="000000" w:sz="4" w:space="0"/>
              <w:left w:val="single" w:color="000000" w:sz="4" w:space="0"/>
              <w:bottom w:val="single" w:color="000000" w:sz="4" w:space="0"/>
            </w:tcBorders>
            <w:tcW w:w="567" w:type="dxa"/>
            <w:vAlign w:val="center"/>
            <w:textDirection w:val="lrTb"/>
            <w:noWrap w:val="false"/>
          </w:tcPr>
          <w:p w14:paraId="495E66B3">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26" w:type="dxa"/>
            <w:vAlign w:val="center"/>
            <w:textDirection w:val="lrTb"/>
            <w:noWrap w:val="false"/>
          </w:tcPr>
          <w:p w14:paraId="704C32A6">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0</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tcBorders>
              <w:top w:val="single" w:color="000000" w:sz="4" w:space="0"/>
              <w:left w:val="single" w:color="000000" w:sz="4" w:space="0"/>
              <w:bottom w:val="single" w:color="000000" w:sz="4" w:space="0"/>
            </w:tcBorders>
            <w:tcW w:w="485" w:type="dxa"/>
            <w:vAlign w:val="center"/>
            <w:textDirection w:val="lrTb"/>
            <w:noWrap w:val="false"/>
          </w:tcPr>
          <w:p w14:paraId="64C3D87D">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14:paraId="6C873660">
            <w:pPr>
              <w:widowControl w:val="true"/>
              <w:pBdr/>
              <w:spacing/>
              <w:ind/>
              <w:jc w:val="center"/>
              <w:rPr>
                <w:rFonts w:ascii="Times New Roman" w:hAnsi="Times New Roman" w:eastAsia="Aptos Narrow" w:cs="Times New Roman"/>
                <w:color w:val="000000"/>
                <w:sz w:val="10"/>
                <w:szCs w:val="10"/>
                <w:lang w:val="en-US" w:eastAsia="zh-CN" w:bidi="ar"/>
              </w:rPr>
            </w:pPr>
            <w:r>
              <w:rPr>
                <w:rFonts w:ascii="Times New Roman" w:hAnsi="Times New Roman" w:eastAsia="Aptos Narrow" w:cs="Times New Roman"/>
                <w:color w:val="000000"/>
                <w:sz w:val="10"/>
                <w:szCs w:val="10"/>
                <w:lang w:val="en-US" w:eastAsia="zh-CN" w:bidi="ar"/>
              </w:rPr>
              <w:t xml:space="preserve">R$ 0,00 </w:t>
            </w:r>
            <w:r>
              <w:rPr>
                <w:rFonts w:ascii="Times New Roman" w:hAnsi="Times New Roman" w:eastAsia="Aptos Narrow" w:cs="Times New Roman"/>
                <w:color w:val="000000"/>
                <w:sz w:val="10"/>
                <w:szCs w:val="10"/>
                <w:lang w:val="en-US" w:eastAsia="zh-CN" w:bidi="ar"/>
              </w:rPr>
            </w:r>
            <w:r>
              <w:rPr>
                <w:rFonts w:ascii="Times New Roman" w:hAnsi="Times New Roman" w:eastAsia="Aptos Narrow" w:cs="Times New Roman"/>
                <w:color w:val="000000"/>
                <w:sz w:val="10"/>
                <w:szCs w:val="10"/>
                <w:lang w:val="en-US" w:eastAsia="zh-CN" w:bidi="ar"/>
              </w:rPr>
            </w:r>
          </w:p>
        </w:tc>
      </w:tr>
    </w:tbl>
    <w:p w14:paraId="264D53E5">
      <w:pPr>
        <w:pBdr/>
        <w:spacing/>
        <w:ind/>
        <w:jc w:val="both"/>
        <w:rPr>
          <w:rFonts w:ascii="Times New Roman" w:hAnsi="Times New Roman" w:cs="Times New Roman"/>
          <w:sz w:val="10"/>
          <w:szCs w:val="10"/>
          <w:highlight w:val="magenta"/>
        </w:rPr>
      </w:pPr>
      <w:r>
        <w:rPr>
          <w:rFonts w:ascii="Times New Roman" w:hAnsi="Times New Roman" w:cs="Times New Roman"/>
          <w:sz w:val="10"/>
          <w:szCs w:val="10"/>
          <w:highlight w:val="magenta"/>
        </w:rPr>
      </w:r>
      <w:r>
        <w:rPr>
          <w:rFonts w:ascii="Times New Roman" w:hAnsi="Times New Roman" w:cs="Times New Roman"/>
          <w:sz w:val="10"/>
          <w:szCs w:val="10"/>
          <w:highlight w:val="magenta"/>
        </w:rPr>
      </w:r>
      <w:r>
        <w:rPr>
          <w:rFonts w:ascii="Times New Roman" w:hAnsi="Times New Roman" w:cs="Times New Roman"/>
          <w:sz w:val="10"/>
          <w:szCs w:val="10"/>
          <w:highlight w:val="magenta"/>
        </w:rPr>
      </w:r>
    </w:p>
    <w:p w14:paraId="765A1F79">
      <w:pPr>
        <w:pBdr/>
        <w:spacing/>
        <w:ind/>
        <w:jc w:val="both"/>
        <w:rPr>
          <w:rFonts w:ascii="Times New Roman" w:hAnsi="Times New Roman" w:cs="Times New Roman"/>
          <w:sz w:val="10"/>
          <w:szCs w:val="10"/>
          <w:highlight w:val="magenta"/>
        </w:rPr>
      </w:pPr>
      <w:r>
        <w:rPr>
          <w:rFonts w:ascii="Times New Roman" w:hAnsi="Times New Roman" w:cs="Times New Roman"/>
          <w:sz w:val="10"/>
          <w:szCs w:val="10"/>
          <w:highlight w:val="magenta"/>
        </w:rPr>
      </w:r>
      <w:r>
        <w:rPr>
          <w:rFonts w:ascii="Times New Roman" w:hAnsi="Times New Roman" w:cs="Times New Roman"/>
          <w:sz w:val="10"/>
          <w:szCs w:val="10"/>
          <w:highlight w:val="magenta"/>
        </w:rPr>
      </w:r>
      <w:r>
        <w:rPr>
          <w:rFonts w:ascii="Times New Roman" w:hAnsi="Times New Roman" w:cs="Times New Roman"/>
          <w:sz w:val="10"/>
          <w:szCs w:val="10"/>
          <w:highlight w:val="magenta"/>
        </w:rPr>
      </w:r>
    </w:p>
    <w:p w14:paraId="70CECB41">
      <w:pPr>
        <w:pBdr/>
        <w:spacing/>
        <w:ind/>
        <w:jc w:val="both"/>
        <w:rPr>
          <w:rFonts w:ascii="Times New Roman" w:hAnsi="Times New Roman" w:cs="Times New Roman"/>
          <w:sz w:val="10"/>
          <w:szCs w:val="10"/>
          <w:highlight w:val="magenta"/>
        </w:rPr>
      </w:pPr>
      <w:r>
        <w:rPr>
          <w:rFonts w:ascii="Times New Roman" w:hAnsi="Times New Roman" w:cs="Times New Roman"/>
          <w:sz w:val="10"/>
          <w:szCs w:val="10"/>
          <w:highlight w:val="magenta"/>
        </w:rPr>
      </w:r>
      <w:r>
        <w:rPr>
          <w:rFonts w:ascii="Times New Roman" w:hAnsi="Times New Roman" w:cs="Times New Roman"/>
          <w:sz w:val="10"/>
          <w:szCs w:val="10"/>
          <w:highlight w:val="magenta"/>
        </w:rPr>
      </w:r>
      <w:r>
        <w:rPr>
          <w:rFonts w:ascii="Times New Roman" w:hAnsi="Times New Roman" w:cs="Times New Roman"/>
          <w:sz w:val="10"/>
          <w:szCs w:val="10"/>
          <w:highlight w:val="magenta"/>
        </w:rPr>
      </w:r>
    </w:p>
    <w:p w14:paraId="65362DC7">
      <w:pPr>
        <w:pBdr/>
        <w:spacing/>
        <w:ind/>
        <w:jc w:val="both"/>
        <w:rPr>
          <w:rFonts w:ascii="Times New Roman" w:hAnsi="Times New Roman" w:cs="Times New Roman"/>
          <w:sz w:val="10"/>
          <w:szCs w:val="10"/>
          <w:highlight w:val="magenta"/>
        </w:rPr>
      </w:pPr>
      <w:r>
        <w:rPr>
          <w:rFonts w:ascii="Times New Roman" w:hAnsi="Times New Roman" w:cs="Times New Roman"/>
          <w:sz w:val="10"/>
          <w:szCs w:val="10"/>
          <w:highlight w:val="magenta"/>
        </w:rPr>
      </w:r>
      <w:r>
        <w:rPr>
          <w:rFonts w:ascii="Times New Roman" w:hAnsi="Times New Roman" w:cs="Times New Roman"/>
          <w:sz w:val="10"/>
          <w:szCs w:val="10"/>
          <w:highlight w:val="magenta"/>
        </w:rPr>
      </w:r>
      <w:r>
        <w:rPr>
          <w:rFonts w:ascii="Times New Roman" w:hAnsi="Times New Roman" w:cs="Times New Roman"/>
          <w:sz w:val="10"/>
          <w:szCs w:val="10"/>
          <w:highlight w:val="magenta"/>
        </w:rPr>
      </w:r>
    </w:p>
    <w:p w14:paraId="24EAA462">
      <w:pPr>
        <w:pBdr/>
        <w:spacing/>
        <w:ind/>
        <w:jc w:val="both"/>
        <w:rPr>
          <w:rFonts w:ascii="Times New Roman" w:hAnsi="Times New Roman"/>
          <w:b/>
        </w:rPr>
      </w:pPr>
      <w:r>
        <w:rPr>
          <w:rFonts w:ascii="Times New Roman" w:hAnsi="Times New Roman" w:cs="Times New Roman"/>
          <w:b/>
          <w:bCs/>
        </w:rPr>
        <w:t xml:space="preserve">10.3. </w:t>
      </w:r>
      <w:r>
        <w:rPr>
          <w:rFonts w:ascii="Times New Roman" w:hAnsi="Times New Roman"/>
          <w:b/>
        </w:rPr>
        <w:t xml:space="preserve">MEMORANDO DE CALCULOS</w:t>
      </w:r>
      <w:r>
        <w:rPr>
          <w:rFonts w:ascii="Times New Roman" w:hAnsi="Times New Roman"/>
          <w:b/>
        </w:rPr>
      </w:r>
      <w:r>
        <w:rPr>
          <w:rFonts w:ascii="Times New Roman" w:hAnsi="Times New Roman"/>
          <w:b/>
        </w:rPr>
      </w:r>
    </w:p>
    <w:p w14:paraId="373557ED">
      <w:pPr>
        <w:pBdr/>
        <w:spacing/>
        <w:ind/>
        <w:jc w:val="both"/>
        <w:rPr>
          <w:rFonts w:ascii="Times New Roman" w:hAnsi="Times New Roman"/>
          <w:b/>
          <w:sz w:val="10"/>
          <w:szCs w:val="10"/>
        </w:rPr>
      </w:pPr>
      <w:r>
        <w:rPr>
          <w:rFonts w:ascii="Times New Roman" w:hAnsi="Times New Roman"/>
          <w:b/>
          <w:sz w:val="10"/>
          <w:szCs w:val="10"/>
        </w:rPr>
      </w:r>
      <w:r>
        <w:rPr>
          <w:rFonts w:ascii="Times New Roman" w:hAnsi="Times New Roman"/>
          <w:b/>
          <w:sz w:val="10"/>
          <w:szCs w:val="10"/>
        </w:rPr>
      </w:r>
      <w:r>
        <w:rPr>
          <w:rFonts w:ascii="Times New Roman" w:hAnsi="Times New Roman"/>
          <w:b/>
          <w:sz w:val="10"/>
          <w:szCs w:val="10"/>
        </w:rPr>
      </w:r>
    </w:p>
    <w:tbl>
      <w:tblPr>
        <w:tblStyle w:val="2313"/>
        <w:tblW w:w="0" w:type="auto"/>
        <w:tblBorders/>
        <w:tblLayout w:type="fixed"/>
        <w:tblLook w:val="04A0" w:firstRow="1" w:lastRow="0" w:firstColumn="1" w:lastColumn="0" w:noHBand="0" w:noVBand="1"/>
      </w:tblPr>
      <w:tblGrid>
        <w:gridCol w:w="484"/>
        <w:gridCol w:w="645"/>
        <w:gridCol w:w="707"/>
        <w:gridCol w:w="4822"/>
        <w:gridCol w:w="708"/>
        <w:gridCol w:w="1134"/>
        <w:gridCol w:w="822"/>
        <w:gridCol w:w="1150"/>
      </w:tblGrid>
      <w:tr>
        <w:trPr/>
        <w:tc>
          <w:tcPr>
            <w:shd w:val="clear" w:color="ffffff" w:fill="d0cece" w:themeFill="background2" w:themeFillShade="E6"/>
            <w:tcBorders/>
            <w:tcW w:w="484" w:type="dxa"/>
            <w:vAlign w:val="center"/>
            <w:textDirection w:val="lrTb"/>
            <w:noWrap w:val="false"/>
          </w:tcPr>
          <w:p w14:paraId="34369846">
            <w:pPr>
              <w:pBdr/>
              <w:spacing/>
              <w:ind/>
              <w:jc w:val="center"/>
              <w:rPr>
                <w:rFonts w:ascii="Times New Roman" w:hAnsi="Times New Roman" w:cs="Times New Roman"/>
                <w:highlight w:val="magenta"/>
              </w:rPr>
            </w:pPr>
            <w:r>
              <w:rPr>
                <w:rFonts w:ascii="Times New Roman" w:hAnsi="Times New Roman" w:cs="Times New Roman"/>
                <w:b/>
                <w:bCs/>
                <w:sz w:val="10"/>
                <w:szCs w:val="10"/>
              </w:rPr>
              <w:t xml:space="preserve">ITEM</w:t>
            </w:r>
            <w:r>
              <w:rPr>
                <w:rFonts w:ascii="Times New Roman" w:hAnsi="Times New Roman" w:cs="Times New Roman"/>
                <w:highlight w:val="magenta"/>
              </w:rPr>
            </w:r>
            <w:r>
              <w:rPr>
                <w:rFonts w:ascii="Times New Roman" w:hAnsi="Times New Roman" w:cs="Times New Roman"/>
                <w:highlight w:val="magenta"/>
              </w:rPr>
            </w:r>
          </w:p>
        </w:tc>
        <w:tc>
          <w:tcPr>
            <w:shd w:val="clear" w:color="ffffff" w:fill="d0cece" w:themeFill="background2" w:themeFillShade="E6"/>
            <w:tcBorders/>
            <w:tcW w:w="645" w:type="dxa"/>
            <w:vAlign w:val="center"/>
            <w:textDirection w:val="lrTb"/>
            <w:noWrap w:val="false"/>
          </w:tcPr>
          <w:p w14:paraId="1EB730AE">
            <w:pPr>
              <w:pBdr/>
              <w:spacing/>
              <w:ind/>
              <w:jc w:val="center"/>
              <w:rPr>
                <w:rFonts w:ascii="Times New Roman" w:hAnsi="Times New Roman" w:cs="Times New Roman"/>
                <w:highlight w:val="magenta"/>
              </w:rPr>
            </w:pPr>
            <w:r>
              <w:rPr>
                <w:rFonts w:ascii="Times New Roman" w:hAnsi="Times New Roman" w:cs="Times New Roman"/>
                <w:b/>
                <w:bCs/>
                <w:sz w:val="10"/>
                <w:szCs w:val="10"/>
              </w:rPr>
              <w:t xml:space="preserve">CÓDIGO AGILI</w:t>
            </w:r>
            <w:r>
              <w:rPr>
                <w:rFonts w:ascii="Times New Roman" w:hAnsi="Times New Roman" w:cs="Times New Roman"/>
                <w:highlight w:val="magenta"/>
              </w:rPr>
            </w:r>
            <w:r>
              <w:rPr>
                <w:rFonts w:ascii="Times New Roman" w:hAnsi="Times New Roman" w:cs="Times New Roman"/>
                <w:highlight w:val="magenta"/>
              </w:rPr>
            </w:r>
          </w:p>
        </w:tc>
        <w:tc>
          <w:tcPr>
            <w:shd w:val="clear" w:color="ffffff" w:fill="d0cece" w:themeFill="background2" w:themeFillShade="E6"/>
            <w:tcBorders/>
            <w:tcW w:w="707" w:type="dxa"/>
            <w:vAlign w:val="center"/>
            <w:textDirection w:val="lrTb"/>
            <w:noWrap w:val="false"/>
          </w:tcPr>
          <w:p w14:paraId="0447F785">
            <w:pPr>
              <w:pBdr/>
              <w:spacing/>
              <w:ind/>
              <w:jc w:val="center"/>
              <w:rPr>
                <w:rFonts w:ascii="Times New Roman" w:hAnsi="Times New Roman" w:cs="Times New Roman"/>
                <w:highlight w:val="magenta"/>
              </w:rPr>
            </w:pPr>
            <w:r>
              <w:rPr>
                <w:rFonts w:ascii="Times New Roman" w:hAnsi="Times New Roman" w:cs="Times New Roman"/>
                <w:b/>
                <w:bCs/>
                <w:sz w:val="10"/>
                <w:szCs w:val="10"/>
              </w:rPr>
              <w:t xml:space="preserve">CÓDIGO TCE</w:t>
            </w:r>
            <w:r>
              <w:rPr>
                <w:rFonts w:ascii="Times New Roman" w:hAnsi="Times New Roman" w:cs="Times New Roman"/>
                <w:highlight w:val="magenta"/>
              </w:rPr>
            </w:r>
            <w:r>
              <w:rPr>
                <w:rFonts w:ascii="Times New Roman" w:hAnsi="Times New Roman" w:cs="Times New Roman"/>
                <w:highlight w:val="magenta"/>
              </w:rPr>
            </w:r>
          </w:p>
        </w:tc>
        <w:tc>
          <w:tcPr>
            <w:shd w:val="clear" w:color="ffffff" w:fill="d0cece" w:themeFill="background2" w:themeFillShade="E6"/>
            <w:tcBorders/>
            <w:tcW w:w="4822" w:type="dxa"/>
            <w:vAlign w:val="center"/>
            <w:textDirection w:val="lrTb"/>
            <w:noWrap w:val="false"/>
          </w:tcPr>
          <w:p w14:paraId="1284FDC1">
            <w:pPr>
              <w:pBdr/>
              <w:spacing/>
              <w:ind/>
              <w:jc w:val="center"/>
              <w:rPr>
                <w:rFonts w:ascii="Times New Roman" w:hAnsi="Times New Roman" w:cs="Times New Roman"/>
                <w:highlight w:val="magenta"/>
              </w:rPr>
            </w:pPr>
            <w:r>
              <w:rPr>
                <w:rFonts w:ascii="Times New Roman" w:hAnsi="Times New Roman" w:cs="Times New Roman"/>
                <w:b/>
                <w:bCs/>
                <w:sz w:val="10"/>
                <w:szCs w:val="10"/>
              </w:rPr>
              <w:t xml:space="preserve">DESCRIÇÃO</w:t>
            </w:r>
            <w:r>
              <w:rPr>
                <w:rFonts w:ascii="Times New Roman" w:hAnsi="Times New Roman" w:cs="Times New Roman"/>
                <w:highlight w:val="magenta"/>
              </w:rPr>
            </w:r>
            <w:r>
              <w:rPr>
                <w:rFonts w:ascii="Times New Roman" w:hAnsi="Times New Roman" w:cs="Times New Roman"/>
                <w:highlight w:val="magenta"/>
              </w:rPr>
            </w:r>
          </w:p>
        </w:tc>
        <w:tc>
          <w:tcPr>
            <w:shd w:val="clear" w:color="ffffff" w:fill="d0cece" w:themeFill="background2" w:themeFillShade="E6"/>
            <w:tcBorders/>
            <w:tcW w:w="708" w:type="dxa"/>
            <w:vAlign w:val="center"/>
            <w:textDirection w:val="lrTb"/>
            <w:noWrap w:val="false"/>
          </w:tcPr>
          <w:p w14:paraId="33CBC921">
            <w:pPr>
              <w:pBdr/>
              <w:spacing/>
              <w:ind/>
              <w:jc w:val="center"/>
              <w:rPr>
                <w:rFonts w:ascii="Times New Roman" w:hAnsi="Times New Roman" w:cs="Times New Roman"/>
                <w:highlight w:val="magenta"/>
              </w:rPr>
            </w:pPr>
            <w:r>
              <w:rPr>
                <w:rFonts w:ascii="Times New Roman" w:hAnsi="Times New Roman" w:cs="Times New Roman"/>
                <w:b/>
                <w:bCs/>
                <w:sz w:val="10"/>
                <w:szCs w:val="10"/>
              </w:rPr>
              <w:t xml:space="preserve">UND DE MEDIDA</w:t>
            </w:r>
            <w:r>
              <w:rPr>
                <w:rFonts w:ascii="Times New Roman" w:hAnsi="Times New Roman" w:cs="Times New Roman"/>
                <w:highlight w:val="magenta"/>
              </w:rPr>
            </w:r>
            <w:r>
              <w:rPr>
                <w:rFonts w:ascii="Times New Roman" w:hAnsi="Times New Roman" w:cs="Times New Roman"/>
                <w:highlight w:val="magenta"/>
              </w:rPr>
            </w:r>
          </w:p>
        </w:tc>
        <w:tc>
          <w:tcPr>
            <w:shd w:val="clear" w:color="ffffff" w:fill="d0cece" w:themeFill="background2" w:themeFillShade="E6"/>
            <w:tcBorders/>
            <w:tcW w:w="1134" w:type="dxa"/>
            <w:vAlign w:val="center"/>
            <w:textDirection w:val="lrTb"/>
            <w:noWrap w:val="false"/>
          </w:tcPr>
          <w:p w14:paraId="01C6EE3C">
            <w:pPr>
              <w:pBdr/>
              <w:spacing/>
              <w:ind/>
              <w:jc w:val="center"/>
              <w:rPr>
                <w:rFonts w:ascii="Times New Roman" w:hAnsi="Times New Roman" w:cs="Times New Roman"/>
                <w:sz w:val="11"/>
                <w:szCs w:val="11"/>
              </w:rPr>
            </w:pPr>
            <w:r>
              <w:rPr>
                <w:rFonts w:ascii="Times New Roman" w:hAnsi="Times New Roman" w:cs="Times New Roman"/>
                <w:sz w:val="11"/>
                <w:szCs w:val="11"/>
              </w:rPr>
              <w:t xml:space="preserve">CER II –</w:t>
            </w:r>
            <w:r>
              <w:rPr>
                <w:rFonts w:ascii="Times New Roman" w:hAnsi="Times New Roman" w:cs="Times New Roman"/>
                <w:sz w:val="11"/>
                <w:szCs w:val="11"/>
              </w:rPr>
            </w:r>
            <w:r>
              <w:rPr>
                <w:rFonts w:ascii="Times New Roman" w:hAnsi="Times New Roman" w:cs="Times New Roman"/>
                <w:sz w:val="11"/>
                <w:szCs w:val="11"/>
              </w:rPr>
            </w:r>
          </w:p>
          <w:p w14:paraId="4334D7DD">
            <w:pPr>
              <w:pBdr/>
              <w:spacing/>
              <w:ind/>
              <w:jc w:val="center"/>
              <w:rPr>
                <w:rFonts w:ascii="Times New Roman" w:hAnsi="Times New Roman" w:cs="Times New Roman"/>
                <w:sz w:val="11"/>
                <w:szCs w:val="11"/>
              </w:rPr>
            </w:pPr>
            <w:r>
              <w:rPr>
                <w:rFonts w:ascii="Times New Roman" w:hAnsi="Times New Roman" w:cs="Times New Roman"/>
                <w:sz w:val="11"/>
                <w:szCs w:val="11"/>
              </w:rPr>
              <w:t xml:space="preserve">NILMO JUNIOR</w:t>
            </w:r>
            <w:r>
              <w:rPr>
                <w:rFonts w:ascii="Times New Roman" w:hAnsi="Times New Roman" w:cs="Times New Roman"/>
                <w:sz w:val="11"/>
                <w:szCs w:val="11"/>
              </w:rPr>
            </w:r>
            <w:r>
              <w:rPr>
                <w:rFonts w:ascii="Times New Roman" w:hAnsi="Times New Roman" w:cs="Times New Roman"/>
                <w:sz w:val="11"/>
                <w:szCs w:val="11"/>
              </w:rPr>
            </w:r>
          </w:p>
        </w:tc>
        <w:tc>
          <w:tcPr>
            <w:shd w:val="clear" w:color="ffffff" w:fill="d0cece" w:themeFill="background2" w:themeFillShade="E6"/>
            <w:tcBorders/>
            <w:tcW w:w="822" w:type="dxa"/>
            <w:textDirection w:val="lrTb"/>
            <w:noWrap w:val="false"/>
          </w:tcPr>
          <w:p w14:paraId="1B767398">
            <w:pPr>
              <w:pBdr/>
              <w:spacing/>
              <w:ind/>
              <w:jc w:val="center"/>
              <w:rPr>
                <w:rFonts w:ascii="Times New Roman" w:hAnsi="Times New Roman" w:cs="Times New Roman"/>
                <w:sz w:val="12"/>
                <w:szCs w:val="12"/>
                <w:highlight w:val="magenta"/>
              </w:rPr>
            </w:pPr>
            <w:r>
              <w:rPr>
                <w:rFonts w:ascii="Times New Roman" w:hAnsi="Times New Roman" w:cs="Times New Roman"/>
                <w:sz w:val="12"/>
                <w:szCs w:val="12"/>
              </w:rPr>
              <w:t xml:space="preserve">ATENÇÃO PRIMARIA</w:t>
            </w:r>
            <w:r>
              <w:rPr>
                <w:rFonts w:ascii="Times New Roman" w:hAnsi="Times New Roman" w:cs="Times New Roman"/>
                <w:sz w:val="12"/>
                <w:szCs w:val="12"/>
                <w:highlight w:val="magenta"/>
              </w:rPr>
            </w:r>
            <w:r>
              <w:rPr>
                <w:rFonts w:ascii="Times New Roman" w:hAnsi="Times New Roman" w:cs="Times New Roman"/>
                <w:sz w:val="12"/>
                <w:szCs w:val="12"/>
                <w:highlight w:val="magenta"/>
              </w:rPr>
            </w:r>
          </w:p>
        </w:tc>
        <w:tc>
          <w:tcPr>
            <w:shd w:val="clear" w:color="ffffff" w:fill="d0cece" w:themeFill="background2" w:themeFillShade="E6"/>
            <w:tcBorders/>
            <w:tcW w:w="1150" w:type="dxa"/>
            <w:textDirection w:val="lrTb"/>
            <w:noWrap w:val="false"/>
          </w:tcPr>
          <w:p w14:paraId="35D251EF">
            <w:pPr>
              <w:pBdr/>
              <w:spacing/>
              <w:ind/>
              <w:jc w:val="center"/>
              <w:rPr>
                <w:rFonts w:ascii="Times New Roman" w:hAnsi="Times New Roman" w:cs="Times New Roman"/>
                <w:sz w:val="12"/>
                <w:szCs w:val="12"/>
              </w:rPr>
            </w:pPr>
            <w:r>
              <w:rPr>
                <w:rFonts w:ascii="Times New Roman" w:hAnsi="Times New Roman" w:cs="Times New Roman"/>
                <w:sz w:val="12"/>
                <w:szCs w:val="12"/>
              </w:rPr>
              <w:t xml:space="preserve">ATENÇÃO ESPECIALIZADA</w:t>
            </w:r>
            <w:r>
              <w:rPr>
                <w:rFonts w:ascii="Times New Roman" w:hAnsi="Times New Roman" w:cs="Times New Roman"/>
                <w:sz w:val="12"/>
                <w:szCs w:val="12"/>
              </w:rPr>
            </w:r>
            <w:r>
              <w:rPr>
                <w:rFonts w:ascii="Times New Roman" w:hAnsi="Times New Roman" w:cs="Times New Roman"/>
                <w:sz w:val="12"/>
                <w:szCs w:val="12"/>
              </w:rPr>
            </w:r>
          </w:p>
        </w:tc>
      </w:tr>
      <w:tr>
        <w:trPr/>
        <w:tc>
          <w:tcPr>
            <w:tcBorders/>
            <w:tcW w:w="484" w:type="dxa"/>
            <w:vAlign w:val="center"/>
            <w:textDirection w:val="lrTb"/>
            <w:noWrap w:val="false"/>
          </w:tcPr>
          <w:p w14:paraId="3C1322AF">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1</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0FF74CBB">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129182</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2BC11AD4">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00035815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66713545">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APARELHO INFRAVERMELHO COM PEDESTAL PARA FISIOTERAPIA - APARELHO PARA TRATAMENTOS DE TERMOTERAPIA, POTÊNCIA MÍNIMA DE 150W FREQUÊNCIA, VOLTAGEM 110V OU BIVOLT, FREQUÊ</w:t>
            </w:r>
            <w:r>
              <w:rPr>
                <w:rFonts w:ascii="Times New Roman" w:hAnsi="Times New Roman" w:cs="Times New Roman"/>
                <w:color w:val="000000"/>
                <w:sz w:val="10"/>
                <w:szCs w:val="10"/>
              </w:rPr>
              <w:t xml:space="preserve">NCIA 60HZ, COM DIMER PARA REGULAGEM DA INTENSIDADE LUMINOSA, DIMENSÕES APROXIMADAS: BASE DE 56 X 56 CM. ALTURA REGULÁVEL, MÍNIMA DE 1M AJUSTÁVEL PARA NO MÍNIMO 1,50 M. POSSUIR RECURSO DE AQUECIMENTO SUPERFICIAL ATRAVÉS DA APLICAÇÃO DE BANHO DE LUZ INFRAVER</w:t>
            </w:r>
            <w:r>
              <w:rPr>
                <w:rFonts w:ascii="Times New Roman" w:hAnsi="Times New Roman" w:cs="Times New Roman"/>
                <w:color w:val="000000"/>
                <w:sz w:val="10"/>
                <w:szCs w:val="10"/>
              </w:rPr>
              <w:t xml:space="preserve">MELHO. APARELHO CONSTITUÍDO POR NO MÍNIMO: LÂMPADA DE INFRA VERMELHO, UM PEDESTAL SOBRE BASE DE POLIETILENO INJETADO DE ALTO IMPACTO, DOTADO DE 4 PÉS DESMONTÁVEIS, COM RODÍZIOS GIRATÓRIOS E HASTE DE SUSTENTAÇÃO FLEXÍVEL E UM REFLETOR DE ALUMÍNIO ANODIZADO.</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6838C277">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0C89C919">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6</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63F0AB05">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7210B51E">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6DB7732F">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2</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33328741">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126946</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30FB1EAE">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270504-4</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4B45380A">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BASTÃO PARA GINÁSTICA, MEDINDO: 100 X 3 CM, PESO APROXIMADO DE 3 KG, CONFECCIONADO EM PVC, COM PONTEIRAS DE BORRACHA. PRODUTO PRÓPRIO PARA PRÁTICA DE EXERCÍCIOS. </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18EAEB76">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4597DFFD">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5C6B4C25">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100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2F05CB7F">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25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78D00708">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3</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52F91FC1">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127512</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104C0D06">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167780-2</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7A95E735">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BOLA BOBATH, MEDINDO NO MÍNIMO 75CM DE DIÂMETRO, CONFECCIONADA EM PLÁSTICO INFLÁVEL DE ALTA RESISTÊNCIA. ACONDICIONADA EM EMBALAGEM PLÁSTICA. ACOMPANHA BOMBA DE INFLAR.</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55FB6596">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4529AB3A">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787D4B80">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60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3C5B5639">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18</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01F8CA60">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4</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7F8A27E8">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123639</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1E5CEC06">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00084399</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518D851C">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BOLA OFICIAL PARA VÔLEI 12 GOMOS, LAMINADO CONFECCIONADO EM PU SUPER SOFT, TECNOLOGIA MENOR ABSORÇÃO DE ÁGUA; CIRCUNFERÊNCIA ENTRE 65 A 67 CM, PESO 260 A 280 G, ULTRA FUSION; MIOLO CÁPSULA SIS OU SIMILAR QUE PROTEJA A CÂMARA DE RUPTURAS;</w:t>
            </w:r>
            <w:r>
              <w:rPr>
                <w:rFonts w:ascii="Times New Roman" w:hAnsi="Times New Roman" w:cs="Times New Roman"/>
                <w:color w:val="000000"/>
                <w:sz w:val="10"/>
                <w:szCs w:val="10"/>
              </w:rPr>
              <w:t xml:space="preserve"> CÂMARA COM AMORTECIMENTO INTERNO DE 6 DISCOS; CAMADA INTERNA EVACEL; SISTEMA DE FORRO TERMOFIXO; DUPLA COLAGEM. O PRODUTO DEVERÁ CONTER IDENTIFICAÇÃO, MARCA DO FABRICANTE E GARANTIA DO FORNECEDOR CONTRA DEFEITO DE FABRICAÇÃO. COR A ESCOLHA DO SOLICITANTE.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66796C4E">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1AC2D00E">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67A2B4DC">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50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5346B729">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50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5E3BD0F6">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5C294A95">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126286</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36EB5C21">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424594-6</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4B10B23D">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BOLA PARA FUTEBOL DE CAMPO 12 GOMOS, LAMINADO CONFECCIONADO EM PU POLIURETANO; CIRCUNFERÊNCIA 68 A 70 CM; PESO 410 A 450 G; TECNOLOGIA ULTRA FUSION OU 0% ABSORÇÃO DE ÁGUA; SISTEMA DE FORRO TERMOFIXO, CAMADA INTERNA EVACEL, DUPLA COLAG</w:t>
            </w:r>
            <w:r>
              <w:rPr>
                <w:rFonts w:ascii="Times New Roman" w:hAnsi="Times New Roman" w:cs="Times New Roman"/>
                <w:color w:val="000000"/>
                <w:sz w:val="10"/>
                <w:szCs w:val="10"/>
              </w:rPr>
              <w:t xml:space="preserve">EM, MIOLO CÁPSULA SIS OU SIMILAR QUE PROTEJA A CÂMARA DE RUPTURAS; CÂMARA COM AMORTECIMENTO INTERNO DE 6 DISCOS. O PRODUTO DEVERÁ CONTER IDENTIFICAÇÃO, MARCA DO FABRICANTE E GARANTIA DO FORNECEDOR CONTRA DEFEITO DE FABRICAÇÃO. COR A ESCOLHA DO SOLICITANTE.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7F06CACF">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702AA9FD">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4DC2EAEB">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50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4453C95C">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50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6E6E6924">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6</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67D72849">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126949</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0D635EF3">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00060056</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36352737">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CAMA ELÁSTICA TIPO MINI JUMP. PRODUZIDO COM 36 MOLAS, 6 </w:t>
            </w:r>
            <w:r>
              <w:rPr>
                <w:rFonts w:ascii="Times New Roman" w:hAnsi="Times New Roman" w:cs="Times New Roman"/>
                <w:color w:val="000000"/>
                <w:sz w:val="10"/>
                <w:szCs w:val="10"/>
              </w:rPr>
              <w:t xml:space="preserve">PÉS FIXOS EM AÇO CARBONO COM PONTEIRAS GRANDES EMBORRACHADAS ANTIDERRAPANTES, TELA DE ALTA RESISTÊNCIA, CAPA PROTETORA PARA AS MOLAS. MEDIDAS MÍNIMAS: 98 CM DE COMPRIMENTO, 20 M DE ALTURA, ÁREA DE SALTO DE 78 CM DE DIÂMETRO. DEVE SUPORTAR NO MÍNIMO 180 KG.</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6D7DA0F6">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016B9FA3">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203ED098">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100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3CB3AB97">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3AA74EF0">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7</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2BD9BA9C">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125488</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1F5B9DB4">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281312-2</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32B3E8FC">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COLCHONETE, ANTIÁCARO E ANTIALÉRGICO. DENSIDADE MÍNIMA 33, REVESTIMENTO EM NAPA, MATERIAL ESPUMA, MEDIDAS MÍNIMAS: 100 CM DE COMPRIMENTO X 60 CM DE LARGURA E 3 CM DE ESPESSURA. COR A ESCOLHA DO SOLICITANTE.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2E24DB41">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34F65A69">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3851048C">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325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7C2DF695">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40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42636281">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8</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504E6471">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20760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27AE2DC9">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351448-0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04B2D6E3">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CONE ESPORTIVO/PRATO DE MARCAÇÃO/CHAPÉU CHINÊS FABRIC</w:t>
            </w:r>
            <w:r>
              <w:rPr>
                <w:rFonts w:ascii="Times New Roman" w:hAnsi="Times New Roman" w:cs="Times New Roman"/>
                <w:color w:val="000000"/>
                <w:sz w:val="10"/>
                <w:szCs w:val="10"/>
              </w:rPr>
              <w:t xml:space="preserve">ADO EM PVC FLEXÍVEL, MEDIDAS APROXIMADAS 19 CM DE DIÂMETRO EXTERNO, 5 CM DE DIÂMETRO DO FURO E DE 8 CM DE ALTURA. O PRODUTO DEVERÁ CONTER IDENTIFICAÇÃO, MARCA DO FABRICANTE E GARANTIA DO FORNECEDOR CONTRA DEFEITO DE FABRICAÇÃO.COR A ESCOLHA DO SOLICITANTE.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3DC4DFA1">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3E98F0D6">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76ABC0CE">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400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248E0A9D">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40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3E5D284E">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9</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2DC07CAF">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129566</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35D97C26">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352539-2</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27EC395E">
            <w:pPr>
              <w:pBdr/>
              <w:spacing/>
              <w:ind/>
              <w:jc w:val="both"/>
              <w:rPr>
                <w:rFonts w:ascii="Times New Roman" w:hAnsi="Times New Roman" w:cs="Times New Roman"/>
                <w:sz w:val="10"/>
                <w:szCs w:val="10"/>
                <w:highlight w:val="magenta"/>
              </w:rPr>
            </w:pPr>
            <w:r>
              <w:rPr>
                <w:rFonts w:ascii="Times New Roman" w:hAnsi="Times New Roman" w:cs="Times New Roman"/>
                <w:color w:val="222222"/>
                <w:sz w:val="10"/>
                <w:szCs w:val="10"/>
              </w:rPr>
              <w:t xml:space="preserve">CONE VAGINAL – CONJUNTO COM 5 UNIDADES. EM SILICONE MÉDICO PARA USO INTERNO. HIPOALERGENICO. FÁCIL HIGIENIZAÇÃO. PARA CONES MAIS PESADOS O MATERIAL SERIA PLAS</w:t>
            </w:r>
            <w:r>
              <w:rPr>
                <w:rFonts w:ascii="Times New Roman" w:hAnsi="Times New Roman" w:cs="Times New Roman"/>
                <w:color w:val="222222"/>
                <w:sz w:val="10"/>
                <w:szCs w:val="10"/>
              </w:rPr>
              <w:t xml:space="preserve">TICO ABS. OS PESOS PODEM SER DE CHUMBO ENCAPSULADO, AÇO INOX E LIGA METALICA DE ALTA DENSIDADE. DEVE CONTER UM CORDÃO DE REMOÇÃO COMO ABSORVENTE INTIMO. DEVE APRESENTAR PESOS VARIADOS ENTRE 20G E 100G. COM CORES E NUMERAÇÕES PARA IDENTIFICAÇÃO DOS PESOS.  </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26E2EF22">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4949F989">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6FADBE9D">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6F9B20F5">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60075F7B">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10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2E417A4F">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116773</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3D098EDD">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274201-2</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2B71FAD2">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CORDA DE PULAR, TAMANHO MÍNIMO DE 03 METROS, CONFECCIONADA EM POLIPROPILENO E PVC, ROLAMENTO AJUSTÁVEL COM CABO. PRODUTO INDICADO PARA PRÁTICAS ESPORTIVAS E LÚDICAS.</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5C04674E">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413D1E28">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4C5AD293">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160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0264E692">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4A2EEB23">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11</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7F685375">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129570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4174EA47">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140759-7</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3CB3D864">
            <w:pPr>
              <w:pBdr/>
              <w:spacing/>
              <w:ind/>
              <w:jc w:val="both"/>
              <w:rPr>
                <w:rFonts w:ascii="Times New Roman" w:hAnsi="Times New Roman" w:cs="Times New Roman"/>
                <w:sz w:val="10"/>
                <w:szCs w:val="10"/>
                <w:highlight w:val="magenta"/>
              </w:rPr>
            </w:pPr>
            <w:r>
              <w:rPr>
                <w:rFonts w:ascii="Times New Roman" w:hAnsi="Times New Roman" w:cs="Times New Roman"/>
                <w:color w:val="222222"/>
                <w:sz w:val="10"/>
                <w:szCs w:val="10"/>
              </w:rPr>
              <w:t xml:space="preserve">DILATADOR VAGINAL- KIT CONTENDO 3 UNIDADES.  DEVE POSSUIR 3 TAMANHOS VARIADOS, PORÉM EM PORÇÕES DIFERENTE NO MESMO EQUIPAMENTO. MATERIAL DE SILICONE DE GRAU MEDICO 100% ATOXICO. COR A ESCOLHA DO FABRICANTE.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5A05F3D3">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72F89C84">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3EE2DB71">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65966047">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10716753">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12</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3BDBA7E2">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1162</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310BB00D">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412499-5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58E2F2F7">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ELETRODO MÉDICO APARELHO PARA MONITORIZAÇÃO CARDÍACA,  ADULTO, DESCARTÁVEL, COM GEL SÓLIDO, ATÓXICO E HIPOALERGÊNICO.</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5B862D47">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784D6DA1">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500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1FA1FC54">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40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6CCCEF17">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6.000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1EB85BD2">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13</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32A89945">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117930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76C23FE7">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237008-5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4620C856">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EQUIPAMENTO </w:t>
            </w:r>
            <w:r>
              <w:rPr>
                <w:rFonts w:ascii="Times New Roman" w:hAnsi="Times New Roman" w:cs="Times New Roman"/>
                <w:color w:val="000000"/>
                <w:sz w:val="10"/>
                <w:szCs w:val="10"/>
              </w:rPr>
              <w:t xml:space="preserve">MICRO CONTROLADO DE LASER TERAPEUTICO  EQUIPAMENTO MICRO CONTROLADO DE LASER TERAPÊUTICO DE BAIXA POTÊNCIA: DESENVOLVIDO PARA UTILIZAÇÃO NA FISIOTERAPIA. OFERECE A POSSIBILIDADE DE OPERAÇÃO COM TRÊS CANETAS DE LASER, COM COMPRIMENTOS DE 660NM, 830NM, 904NM</w:t>
            </w:r>
            <w:r>
              <w:rPr>
                <w:rFonts w:ascii="Times New Roman" w:hAnsi="Times New Roman" w:cs="Times New Roman"/>
                <w:color w:val="000000"/>
                <w:sz w:val="10"/>
                <w:szCs w:val="10"/>
              </w:rPr>
              <w:t xml:space="preserve"> SENDO OS MODOS DE EMISSÃO DOS FEIXES DO LASER NAS CANETAS 660NM E 830NM PODERÁ SER AJUSTADO NOS MODOS CONTÍNUOS E PULSADO COM POSSIBILIDADE DE ESCOLHA DE 10 FREQUÊNCIAS E MODULAÇÃO. O LASER DE BAIXA POTÊNCIA TEM EFEITOS ANALGÉSICOS CICATRIZANTES E ANTI-IN</w:t>
            </w:r>
            <w:r>
              <w:rPr>
                <w:rFonts w:ascii="Times New Roman" w:hAnsi="Times New Roman" w:cs="Times New Roman"/>
                <w:color w:val="000000"/>
                <w:sz w:val="10"/>
                <w:szCs w:val="10"/>
              </w:rPr>
              <w:t xml:space="preserve">FLAMATÓRIO. OPERAÇÃO MICRO CONTROLADA VIA TECLADO QUE GERA INFORMAÇÕES DIGITALIZADAS E OFERECE CONFIABILIDADE NOS DADOS; CLASSIFICAÇÕES DE ENERGIA 1-20 JOULES/CM²; PERMITE QUE FIQUE TRAVADO ENQUANTO NÃO ESTÁ SENDO UTILIZADO.  DEVERÃO ACOMPANHAR O PRODUTO O</w:t>
            </w:r>
            <w:r>
              <w:rPr>
                <w:rFonts w:ascii="Times New Roman" w:hAnsi="Times New Roman" w:cs="Times New Roman"/>
                <w:color w:val="000000"/>
                <w:sz w:val="10"/>
                <w:szCs w:val="10"/>
              </w:rPr>
              <w:t xml:space="preserve">S SEGUINTES ACESSÓRIOS : 01 MANUAL DE INSTRUCOES; 01 CABO DE FORÇA DESCARTAVEL, 02 FUSIVEIS DE PROTECAO SOBRESSALENTE; 01 CANETA TOPOSCOPIO BIVOLT AUTOMATICO;  DIMENSÕES APROXIMADAS: 36.5 X 32.5 X 12,0 (LXPXACM). PESO:1,626KG.  - GARANTIA MÍNIMA: 18 MESES </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0FAF8EF7">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355B5419">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8</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2870876C">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48D4FBB1">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2</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41C6226E">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14</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6149FA86">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125740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0C2AAAB7">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00067003</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4072D928">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ESCADA DE AGILIDADE INJETADA. MATERIAL LAVÁVEL, FLEXÍVEL E BEM ADER</w:t>
            </w:r>
            <w:r>
              <w:rPr>
                <w:rFonts w:ascii="Times New Roman" w:hAnsi="Times New Roman" w:cs="Times New Roman"/>
                <w:color w:val="000000"/>
                <w:sz w:val="10"/>
                <w:szCs w:val="10"/>
              </w:rPr>
              <w:t xml:space="preserve">ENTE AO SOLO; FITA DE NYLON ULTRA RESISTENTE E DEGRAUS REGULÁVEIS EM PLÁSTICO INJETÁVEL. TAMANHO MÍNIMO: 3 METROS DE COMPRIMENTO, COM NO MÍNIMO 7 DEGRAUS. PRODUTO INDICADO PARA PRATICA RECREATIVA, ESPORTIVA E TREINO FUNCIONAL. COR A ESCOLHA DO SOLICITANTE.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74FC4728">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0178241E">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01A0B77C">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5C6A613B">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37786392">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15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48D91FD8">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129183</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50C150D7">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262377-3</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6691605C">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ESPALDAR / BARRA FIXA / BARRA DE LING / MÓDULO ALONGAMENTO. ALTURA MÍNIMA DE 2 METROS E LARGURA MÍNIMA DE 90 CM, MÍNIMO DE 08 BARRAS HORIZONTAIS CO</w:t>
            </w:r>
            <w:r>
              <w:rPr>
                <w:rFonts w:ascii="Times New Roman" w:hAnsi="Times New Roman" w:cs="Times New Roman"/>
                <w:color w:val="000000"/>
                <w:sz w:val="10"/>
                <w:szCs w:val="10"/>
              </w:rPr>
              <w:t xml:space="preserve">M DISTANCIA ENTRE VÃOS DE 20 CM, COM CAPACIDADE PARA SUPORTAR NO MÍNIMO 150 KG. ESTRUTURA DE FERRO, PINTURA ELETROSTÁTICA EPÓXI, E BARRAS DE ALUMÍNIO, COM APOIOS DE FIXAÇÃO. APARELHO PARA EXERCÍCIOS DE ALONGAMENTO MUSCULAR GLOBAL. GARANTIA MÍNIMA DE 1 ANO.</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5AF77F94">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3ED89A61">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7BF8B481">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5E4C4407">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6</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56471679">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16</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0C4E36ED">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129196</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4639E62E">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105663-8</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73176685">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ESPELHO DE VIDRO, ESPESSURA MÍNIMA 3 MM, SEM MOLDURA.</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4F32DEC2">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METRO QUADRADO</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018618A8">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40427151">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2BDB2093">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4</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776076C3">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17</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42B3D78E">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126952</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67FE7919">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270249-5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14B52A38">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FAIXA ELÁSTICA / ELÁSTICO, TAMANHO MÍNIMO DE 1,5 METROS DE COMPRIMENTO POR 13 CM DE LARGURA. INTENSIDADE / RESISTÊNCIA SUAVE. COMPOSIÇÃO LÁTEX NATURAL, NÃO DEFORMA. PRODUTO INDICADO PARA PRÁTICA ESPORTIVA E REABILITAÇÃO MUSCULAR. </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7589DAF9">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15F2E8D8">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33B15BD1">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80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13BB3960">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20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4F200105">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18</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3C0C9CEE">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9007</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50E3A9FC">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348066-6</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104B01EA">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FLUTUADOR AQUÁTICO/MACARRÃO SPAGUETE, FABRICADO EM ESPUMA POLIETILENO EXPANDIDO E MACIÇO. MEDIDAS APROXIMADAS 65 MM DE DIÂMETRO X 165 CM. O PRODUTO DEVERÁ POSSUIR GARANTIA CONTRA DEFEITO DE FABRICAÇÃO. A COR SERÁ DE ACORDO COM A ESCOLHA DO SOLICITANTE.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77BFF0C3">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0994AFEA">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0FD469BB">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300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18ABB007">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60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7033D951">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19</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5C48DB09">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8133</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112E0AE9">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131018-6</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21681ABA">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GEL ELETRO CONDUTOR PARA ELETROCARDIOGRAMA EMBALAGEM COM 05 LITROS, ISENTO DE SAL E DE ÁLCOOL, À BASE DE ÁGUA, PH </w:t>
            </w:r>
            <w:r>
              <w:rPr>
                <w:rFonts w:ascii="Times New Roman" w:hAnsi="Times New Roman" w:cs="Times New Roman"/>
                <w:color w:val="000000"/>
                <w:sz w:val="10"/>
                <w:szCs w:val="10"/>
              </w:rPr>
              <w:t xml:space="preserve">NEUTRO, NÃO GORDUROSO, INODORO E EXCELENTE CONDUTIBILIDADE. NÃO IRRITA A PELE E NÃO DANIFICA O ELETRODO. RÓTULO CONTENDO DATA DE FABRICAÇÃO, NÚMERO DO LOTE, IDENTIFICAÇÃO DO FABRICANTE E VALIDADE. DEVERÁ ESTÁ DE ACORDO COM A LEGISLAÇÃO SANITÁRIA VIGENTE.  </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237331DC">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2FB44810">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8</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5868D746">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3CDC66E8">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136</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48875C58">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20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02163EB7">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126953</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27B41113">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00058559</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6F332B3D">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KIT DE ARGOLAS DE AGILIDADE, CONTENDO NO MÍ</w:t>
            </w:r>
            <w:r>
              <w:rPr>
                <w:rFonts w:ascii="Times New Roman" w:hAnsi="Times New Roman" w:cs="Times New Roman"/>
                <w:color w:val="000000"/>
                <w:sz w:val="10"/>
                <w:szCs w:val="10"/>
              </w:rPr>
              <w:t xml:space="preserve">NIMO 12 UNIDADES, COM NO MÍNIMO 42 CM DE DIÂMETRO E 2,5 CM DE ESPESSURA. DEVE ACOMPANHAR 13 FECHOS EM VELCRO DUPLOS PARA UNIÃO DOS AROS E BOLSA RESISTENTE PARA TRANSPORTE. PRODUZIDO EM MATERIAL PLÁSTICO. PRODUTO INDICADO PARA PRÁTICAS ESPORTIVAS E LÚDICAS.</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5926E3BC">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265EE7F5">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1BDFA3BC">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80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21D23B73">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9</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63BF8A11">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21</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3167C5A7">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3759</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4C30289C">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00065051</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305BD1B2">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KIT DE FAIXAS ELÁSTICAS PARA EXERCÍCIOS. EMBALAGEM CONTENDO 3 FAIXAS COM NÍVEIS </w:t>
            </w:r>
            <w:r>
              <w:rPr>
                <w:rFonts w:ascii="Times New Roman" w:hAnsi="Times New Roman" w:cs="Times New Roman"/>
                <w:color w:val="000000"/>
                <w:sz w:val="10"/>
                <w:szCs w:val="10"/>
              </w:rPr>
              <w:t xml:space="preserve">DE INTENSIDADE DIFERENTES. MATERIAL: BORRACHA FLEXÍVEL DE ALTA RESISTENCIA. TAMANHO MÍNIMO: 120 CM X 12 CM. PRODUTO PARA FORTALECIMENTO MUSCULAR E ARTICULAR. </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2BBC168D">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17AD30CA">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2FEF3151">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80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7945D2B0">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50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0FA78DEF">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22</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1032BAA6">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126954</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15866C2F">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0006638</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5F5E76CB">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KIT TORRE DE HA</w:t>
            </w:r>
            <w:r>
              <w:rPr>
                <w:rFonts w:ascii="Times New Roman" w:hAnsi="Times New Roman" w:cs="Times New Roman"/>
                <w:color w:val="000000"/>
                <w:sz w:val="10"/>
                <w:szCs w:val="10"/>
              </w:rPr>
              <w:t xml:space="preserve">LTERES TIPO BOLA COM 10 PARES DE ALTERES. COMPOSTO POR TORRE / SUPORTE EXPOSITOR PARA GUARDA E ARMAZENAMENTO; E 1 PAR DE HALTERES BOLA EMBORRACHADOS DE CADA PESO DE 1 KG A 10 KG TOTALIZANDO 110 KG. FABRICADO EM FERRO FUNDIDO REVESTIDOS EM PVC EMBORRACHADO.</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2376595E">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076956C7">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45F3A799">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2D650C9B">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4</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66F9475D">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23</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791174D9">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117889</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5875F2DC">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88568-1</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3153C164">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LÂMPADA INFRAVERMELHO, POTÊNCIA MÍNIMA 150W, VOLTAGEM 110V, E27. PARA APLICAÇÕES NAS ÁREAS DE SAÚDE, FISIOTERAPIA, RADIAÇÃO INFRAVERMELHA DE ONDA CURTA.  </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482585B9">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41F08991">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20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62E55CAB">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068679EF">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2</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11052F4E">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24</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212D81D4">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116582</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2C4EB1C4">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188771-8</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72F91725">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MESA AUXILIAR EM AÇO INOX COM </w:t>
            </w:r>
            <w:r>
              <w:rPr>
                <w:rFonts w:ascii="Times New Roman" w:hAnsi="Times New Roman" w:cs="Times New Roman"/>
                <w:color w:val="000000"/>
                <w:sz w:val="10"/>
                <w:szCs w:val="10"/>
              </w:rPr>
              <w:t xml:space="preserve">RODIZÍOS: DIMENSÕES MÍNIMAS: 40X60X80 CM. ESTRUTUTURA EM TUBOS DE AÇO CROMADO, TAMPO E PRATELEIRA EM CHAPA DE AÇO INOXIDÁVEL, PÉS PROTEGIDOS COM RODÍZIOS DE 2 ½ DE DIÂMETRO, COM PONTEIRAS DE BORRACHA. GARANTIA MÍNIMA DE 01 ANO CONTRA DEFEITO DE FABRICAÇÃO.</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084FD118">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170F7C04">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7355ABC1">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80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05281FA6">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742BA04C">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25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7B6B3EBA">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3731</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761E251C">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404678-1</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218FDB27">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TORNOZELEIRA INDICADA PARA TREINAMENTO -  GANHO DE FORÇA, RESISTÊNCIA MUSCULAR E CONDICIONAMENTO FÍSICO.  PAR. CONTENDO</w:t>
            </w:r>
            <w:r>
              <w:rPr>
                <w:rFonts w:ascii="Times New Roman" w:hAnsi="Times New Roman" w:cs="Times New Roman"/>
                <w:color w:val="000000"/>
                <w:sz w:val="10"/>
                <w:szCs w:val="10"/>
              </w:rPr>
              <w:t xml:space="preserve"> 1 KG CADA, (PESO DO PAR: 2 KG) FABRICADA EM NYLON E MATERIAL RESISTENTE DE REVESTIMENTO VINÍLICO, SENDO PREENCHIDA COM PEQUENAS ESFERAS ACHATADAS DE FERRO, NA COR: A ESCOLHER. COM FECHAMENTO EM VELCRO. PRODUTO CONTENDO MARCA E IDENTIFICAÇÃO DO FABRICANTE.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743020FA">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PAR</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314BF0BE">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388D99BF">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80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5C91FD0D">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0B2A1065">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26</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5D36F7AE">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129221</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03D3CB84">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00088763</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12FCED16">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PLACA PARA AURICULOTERAPIA. CARTELA COM NO MÍNIMO 60 UNIDADES. PONTO DE SEMENTE, COM ADESIVO DE MICROPORE DE FÁCIL RETIRADA.</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486A15BC">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1518F5C9">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2000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01F87335">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0A482944">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100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62C3DE92">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27</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0BEB31FD">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1493</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4898DDED">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00064362</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36080699">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PRESERVATIVO MASCULINO - SEM LUBRIFICAÇÃO. PRODUTO PARA USO MÉDICO EM EXAMES</w:t>
            </w:r>
            <w:r>
              <w:rPr>
                <w:rFonts w:ascii="Times New Roman" w:hAnsi="Times New Roman" w:cs="Times New Roman"/>
                <w:color w:val="000000"/>
                <w:sz w:val="10"/>
                <w:szCs w:val="10"/>
              </w:rPr>
              <w:t xml:space="preserve"> DE ULTRA-SONOGRAFIA. COM ALTA TRANSPARÊNCIA QUE PERMITA MAIOR NITIDEZ NA CAPTAÇÃO DAS IMAGENS. COMPOSIÇÃO: LÁTEX DE BORRACHA NATURAL. EMBALAGEM CONTENDO DADOS DE IDENTIFICAÇÃO DO PRODUTO. DATA DE FABRICAÇÃO E PRAZO DE VALIDADE. EMBALADOS INDIVIDUALMENTE. </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53B28AD6">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67E9DE3F">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3000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6D8C54E3">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05B4EFAC">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4.500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77E2547E">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28</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3F6A239D">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117870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003D7A06">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00025556</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5E45F538">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ROLO DE POSICIONAMENTO, TAMANHO GRAN</w:t>
            </w:r>
            <w:r>
              <w:rPr>
                <w:rFonts w:ascii="Times New Roman" w:hAnsi="Times New Roman" w:cs="Times New Roman"/>
                <w:color w:val="000000"/>
                <w:sz w:val="10"/>
                <w:szCs w:val="10"/>
              </w:rPr>
              <w:t xml:space="preserve">DE - MEDIDAS NÃO INFERIOR A: 60 CM DE COMPRIMENTO POR 30 CM DE LARGURA. CONFECCIONADO EM ESPUMA COM DENSIDADE 33 OU SUPERIOR. REVESTIDO EM COURVIN. PRODUTO INDICADO PARA EXERCÍCIOS DE FISIOTERAPIA, GARANTIA MÌNIMA DE 12 MESES. COR A ESCOLHA DO SOLICITANTE.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23784785">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12EC496B">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9</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3CC5D0BD">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4963EDAF">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11</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7684F2F5">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29</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6002D4B6">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129204</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15401665">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336115-2</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05E014F7">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ROLO DE POSICIONAMENTO, TAMANHO MÉDIO</w:t>
            </w:r>
            <w:r>
              <w:rPr>
                <w:rFonts w:ascii="Times New Roman" w:hAnsi="Times New Roman" w:cs="Times New Roman"/>
                <w:color w:val="000000"/>
                <w:sz w:val="10"/>
                <w:szCs w:val="10"/>
              </w:rPr>
              <w:t xml:space="preserve"> - MEDIDAS NÃO INFERIORES A: 60 CM DE COMPRIMENTO POR 15 CM DE LARGURA. CONFECCIONADO EM ESPUMA COM DENSIDADE 33 OU SUPERIOR. REVESTIDO EM COURVIN. PRODUTO INDICADO PARA EXERCÍCIOS DE FISIOTERAPIA, GARANTIA MÌNIMA DE 12 MESES. COR A ESCOLHA DO SOLICITANTE.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0AD81B20">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44D0DA45">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8</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5F3A9EF7">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250572E1">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6AE222FC">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30</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7449B881">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117869</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4484C356">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404680-3</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3EAC239D">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ROLO DE POSICIONAMENTO, TAMANHO PEQUENO</w:t>
            </w:r>
            <w:r>
              <w:rPr>
                <w:rFonts w:ascii="Times New Roman" w:hAnsi="Times New Roman" w:cs="Times New Roman"/>
                <w:color w:val="000000"/>
                <w:sz w:val="10"/>
                <w:szCs w:val="10"/>
              </w:rPr>
              <w:t xml:space="preserve"> - MEDIDAS NÃO INFERIORES A: 40 CM DE COMPRIMENTO POR 15 CM DE LARGURA. CONFECCIONADO EM ESPUMA COM DENSIDADE 33 OU SUPERIOR. REVESTIDO EM COURVIN. PRODUTO INDICADO PARA EXERCÍCIOS DE FISIOTERAPIA, GARANTIA MÌNIMA DE 12 MESES. COR A ESCOLHA DO SOLICITANTE.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5A58BB97">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3B936DA3">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8</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0E5A6B14">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2E6CA69F">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r>
        <w:trPr/>
        <w:tc>
          <w:tcPr>
            <w:tcBorders/>
            <w:tcW w:w="484" w:type="dxa"/>
            <w:vAlign w:val="center"/>
            <w:textDirection w:val="lrTb"/>
            <w:noWrap w:val="false"/>
          </w:tcPr>
          <w:p w14:paraId="4606B62F">
            <w:pPr>
              <w:pBdr/>
              <w:spacing/>
              <w:ind/>
              <w:jc w:val="center"/>
              <w:rPr>
                <w:rFonts w:ascii="Times New Roman" w:hAnsi="Times New Roman" w:cs="Times New Roman"/>
                <w:sz w:val="10"/>
                <w:szCs w:val="10"/>
                <w:highlight w:val="magenta"/>
              </w:rPr>
            </w:pPr>
            <w:r>
              <w:rPr>
                <w:rFonts w:ascii="Times New Roman" w:hAnsi="Times New Roman" w:cs="Times New Roman"/>
                <w:sz w:val="10"/>
                <w:szCs w:val="10"/>
              </w:rPr>
              <w:t xml:space="preserve">31</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645" w:type="dxa"/>
            <w:vAlign w:val="center"/>
            <w:textDirection w:val="lrTb"/>
            <w:noWrap w:val="false"/>
          </w:tcPr>
          <w:p w14:paraId="18C40535">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126968</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7" w:type="dxa"/>
            <w:vAlign w:val="center"/>
            <w:textDirection w:val="lrTb"/>
            <w:noWrap w:val="false"/>
          </w:tcPr>
          <w:p w14:paraId="61E41ED0">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00019041</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4822" w:type="dxa"/>
            <w:vAlign w:val="center"/>
            <w:textDirection w:val="lrTb"/>
            <w:noWrap w:val="false"/>
          </w:tcPr>
          <w:p w14:paraId="2FF0389F">
            <w:pPr>
              <w:pBdr/>
              <w:spacing/>
              <w:ind/>
              <w:jc w:val="both"/>
              <w:rPr>
                <w:rFonts w:ascii="Times New Roman" w:hAnsi="Times New Roman" w:cs="Times New Roman"/>
                <w:sz w:val="10"/>
                <w:szCs w:val="10"/>
                <w:highlight w:val="magenta"/>
              </w:rPr>
            </w:pPr>
            <w:r>
              <w:rPr>
                <w:rFonts w:ascii="Times New Roman" w:hAnsi="Times New Roman" w:cs="Times New Roman"/>
                <w:color w:val="000000"/>
                <w:sz w:val="10"/>
                <w:szCs w:val="10"/>
              </w:rPr>
              <w:t xml:space="preserve">STEP AERÓBICO / SIMULADOR DE DEGRAU, CONFECCIONADO EM E.V.A, ANTI-IMPACTO DE ALTA RESISTÊNCIA, CANTOS ARREDONDADOS. SUPERFÍCIE ANTIDERRAPANTE. MEDIDAS MÍNIMAS: 90 X 30 X 15 CM (C X L X A). PRODUTO INDICADO PARA PRÁTICA ESPORTIVA.</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708" w:type="dxa"/>
            <w:vAlign w:val="center"/>
            <w:textDirection w:val="lrTb"/>
            <w:noWrap w:val="false"/>
          </w:tcPr>
          <w:p w14:paraId="73E15A00">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UNIDADE</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34" w:type="dxa"/>
            <w:vAlign w:val="center"/>
            <w:textDirection w:val="lrTb"/>
            <w:noWrap w:val="false"/>
          </w:tcPr>
          <w:p w14:paraId="495D0DBC">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11</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822" w:type="dxa"/>
            <w:vAlign w:val="center"/>
            <w:textDirection w:val="lrTb"/>
            <w:noWrap w:val="false"/>
          </w:tcPr>
          <w:p w14:paraId="1B5FECB1">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164</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c>
          <w:tcPr>
            <w:tcBorders/>
            <w:tcW w:w="1150" w:type="dxa"/>
            <w:vAlign w:val="center"/>
            <w:textDirection w:val="lrTb"/>
            <w:noWrap w:val="false"/>
          </w:tcPr>
          <w:p w14:paraId="4DAD9210">
            <w:pPr>
              <w:pBdr/>
              <w:spacing/>
              <w:ind/>
              <w:jc w:val="center"/>
              <w:rPr>
                <w:rFonts w:ascii="Times New Roman" w:hAnsi="Times New Roman" w:cs="Times New Roman"/>
                <w:sz w:val="10"/>
                <w:szCs w:val="10"/>
                <w:highlight w:val="magenta"/>
              </w:rPr>
            </w:pPr>
            <w:r>
              <w:rPr>
                <w:rFonts w:ascii="Times New Roman" w:hAnsi="Times New Roman" w:cs="Times New Roman"/>
                <w:color w:val="000000"/>
                <w:sz w:val="10"/>
                <w:szCs w:val="10"/>
              </w:rPr>
              <w:t xml:space="preserve">25</w:t>
            </w:r>
            <w:r>
              <w:rPr>
                <w:rFonts w:ascii="Times New Roman" w:hAnsi="Times New Roman" w:cs="Times New Roman"/>
                <w:sz w:val="10"/>
                <w:szCs w:val="10"/>
                <w:highlight w:val="magenta"/>
              </w:rPr>
            </w:r>
            <w:r>
              <w:rPr>
                <w:rFonts w:ascii="Times New Roman" w:hAnsi="Times New Roman" w:cs="Times New Roman"/>
                <w:sz w:val="10"/>
                <w:szCs w:val="10"/>
                <w:highlight w:val="magenta"/>
              </w:rPr>
            </w:r>
          </w:p>
        </w:tc>
      </w:tr>
    </w:tbl>
    <w:p w14:paraId="49FD4DB5">
      <w:pPr>
        <w:pBdr/>
        <w:spacing/>
        <w:ind/>
        <w:jc w:val="both"/>
        <w:rPr>
          <w:rFonts w:ascii="Times New Roman" w:hAnsi="Times New Roman" w:cs="Times New Roman"/>
          <w:b/>
          <w:bCs/>
          <w:sz w:val="10"/>
          <w:szCs w:val="10"/>
        </w:rPr>
      </w:pPr>
      <w:r>
        <w:rPr>
          <w:rFonts w:ascii="Times New Roman" w:hAnsi="Times New Roman" w:cs="Times New Roman"/>
          <w:b/>
          <w:bCs/>
          <w:sz w:val="10"/>
          <w:szCs w:val="10"/>
        </w:rPr>
      </w:r>
      <w:r>
        <w:rPr>
          <w:rFonts w:ascii="Times New Roman" w:hAnsi="Times New Roman" w:cs="Times New Roman"/>
          <w:b/>
          <w:bCs/>
          <w:sz w:val="10"/>
          <w:szCs w:val="10"/>
        </w:rPr>
      </w:r>
      <w:r>
        <w:rPr>
          <w:rFonts w:ascii="Times New Roman" w:hAnsi="Times New Roman" w:cs="Times New Roman"/>
          <w:b/>
          <w:bCs/>
          <w:sz w:val="10"/>
          <w:szCs w:val="10"/>
        </w:rPr>
      </w:r>
    </w:p>
    <w:p w14:paraId="52F751AD">
      <w:pPr>
        <w:pBdr/>
        <w:shd w:val="clear" w:color="auto" w:fill="cccccc"/>
        <w:spacing/>
        <w:ind/>
        <w:jc w:val="both"/>
        <w:rPr/>
      </w:pPr>
      <w:r>
        <w:rPr>
          <w:rFonts w:ascii="Times New Roman" w:hAnsi="Times New Roman" w:cs="Times New Roman"/>
          <w:b/>
          <w:bCs/>
        </w:rPr>
        <w:t xml:space="preserve">1</w:t>
      </w:r>
      <w:r>
        <w:rPr>
          <w:rFonts w:ascii="Times New Roman" w:hAnsi="Times New Roman" w:cs="Times New Roman"/>
          <w:b/>
          <w:bCs/>
          <w:lang w:val="pt-BR"/>
        </w:rPr>
        <w:t xml:space="preserve">1</w:t>
      </w:r>
      <w:r>
        <w:rPr>
          <w:rFonts w:ascii="Times New Roman" w:hAnsi="Times New Roman" w:cs="Times New Roman"/>
          <w:b/>
          <w:bCs/>
        </w:rPr>
        <w:t xml:space="preserve"> – </w:t>
      </w:r>
      <w:r>
        <w:rPr>
          <w:rFonts w:ascii="Times New Roman" w:hAnsi="Times New Roman" w:cs="Times New Roman"/>
          <w:b/>
          <w:bCs/>
          <w:lang w:val="pt-BR"/>
        </w:rPr>
        <w:t xml:space="preserve">DA GARANTIA EXIGIDA</w:t>
      </w:r>
      <w:r/>
    </w:p>
    <w:p w14:paraId="3C48604E">
      <w:pPr>
        <w:pStyle w:val="2311"/>
        <w:pBdr/>
        <w:spacing w:after="0" w:before="0"/>
        <w:ind/>
        <w:jc w:val="both"/>
        <w:rPr>
          <w:b/>
          <w:bCs/>
          <w:color w:val="auto"/>
          <w:sz w:val="10"/>
          <w:szCs w:val="10"/>
          <w:lang w:val="pt-BR"/>
        </w:rPr>
      </w:pPr>
      <w:r>
        <w:rPr>
          <w:b/>
          <w:bCs/>
          <w:color w:val="auto"/>
          <w:sz w:val="10"/>
          <w:szCs w:val="10"/>
          <w:lang w:val="pt-BR"/>
        </w:rPr>
      </w:r>
      <w:r>
        <w:rPr>
          <w:b/>
          <w:bCs/>
          <w:color w:val="auto"/>
          <w:sz w:val="10"/>
          <w:szCs w:val="10"/>
          <w:lang w:val="pt-BR"/>
        </w:rPr>
      </w:r>
      <w:r>
        <w:rPr>
          <w:b/>
          <w:bCs/>
          <w:color w:val="auto"/>
          <w:sz w:val="10"/>
          <w:szCs w:val="10"/>
          <w:lang w:val="pt-BR"/>
        </w:rPr>
      </w:r>
    </w:p>
    <w:p w14:paraId="26575391">
      <w:pPr>
        <w:pStyle w:val="2311"/>
        <w:pBdr/>
        <w:spacing w:after="0" w:before="0"/>
        <w:ind/>
        <w:jc w:val="both"/>
        <w:rPr>
          <w:color w:val="auto"/>
        </w:rPr>
      </w:pPr>
      <w:r>
        <w:rPr>
          <w:b/>
          <w:bCs/>
          <w:color w:val="auto"/>
          <w:sz w:val="22"/>
          <w:szCs w:val="22"/>
          <w:lang w:val="pt-BR"/>
        </w:rPr>
        <w:t xml:space="preserve">11.1. GARANTIA CONTRATUAL </w:t>
      </w:r>
      <w:r>
        <w:rPr>
          <w:color w:val="auto"/>
        </w:rPr>
      </w:r>
      <w:r>
        <w:rPr>
          <w:color w:val="auto"/>
        </w:rPr>
      </w:r>
    </w:p>
    <w:p w14:paraId="02C38631">
      <w:pPr>
        <w:pStyle w:val="2311"/>
        <w:pBdr/>
        <w:spacing w:after="0" w:before="0"/>
        <w:ind/>
        <w:jc w:val="both"/>
        <w:rPr>
          <w:sz w:val="22"/>
          <w:szCs w:val="22"/>
          <w:lang w:val="pt-BR"/>
        </w:rPr>
      </w:pPr>
      <w:r>
        <w:rPr>
          <w:b/>
          <w:bCs/>
          <w:sz w:val="22"/>
          <w:szCs w:val="22"/>
          <w:lang w:val="pt-BR"/>
        </w:rPr>
        <w:t xml:space="preserve">11.1.1.</w:t>
      </w:r>
      <w:r>
        <w:rPr>
          <w:sz w:val="22"/>
          <w:szCs w:val="22"/>
          <w:lang w:val="pt-BR"/>
        </w:rPr>
        <w:t xml:space="preserve"> </w:t>
      </w:r>
      <w:r>
        <w:rPr>
          <w:sz w:val="22"/>
          <w:szCs w:val="22"/>
          <w:lang w:val="pt-BR"/>
        </w:rPr>
        <w:t xml:space="preserve">Nos termos do </w:t>
      </w:r>
      <w:r>
        <w:rPr>
          <w:b/>
          <w:bCs/>
          <w:sz w:val="22"/>
          <w:szCs w:val="22"/>
          <w:lang w:val="pt-BR"/>
        </w:rPr>
        <w:t xml:space="preserve">art. 96 da Lei nº 14.133/2021</w:t>
      </w:r>
      <w:r>
        <w:rPr>
          <w:sz w:val="22"/>
          <w:szCs w:val="22"/>
          <w:lang w:val="pt-BR"/>
        </w:rPr>
        <w:t xml:space="preserve">, a Administração poderá exigir do contratado a prestação de </w:t>
      </w:r>
      <w:r>
        <w:rPr>
          <w:b/>
          <w:bCs/>
          <w:sz w:val="22"/>
          <w:szCs w:val="22"/>
          <w:lang w:val="pt-BR"/>
        </w:rPr>
        <w:t xml:space="preserve">garantia de execução contratual</w:t>
      </w:r>
      <w:r>
        <w:rPr>
          <w:sz w:val="22"/>
          <w:szCs w:val="22"/>
          <w:lang w:val="pt-BR"/>
        </w:rPr>
        <w:t xml:space="preserve">, com a finalidade de assegurar o fiel cumprimento das obrigações assumidas no contrato.</w:t>
      </w:r>
      <w:r>
        <w:rPr>
          <w:sz w:val="22"/>
          <w:szCs w:val="22"/>
          <w:lang w:val="pt-BR"/>
        </w:rPr>
      </w:r>
      <w:r>
        <w:rPr>
          <w:sz w:val="22"/>
          <w:szCs w:val="22"/>
          <w:lang w:val="pt-BR"/>
        </w:rPr>
      </w:r>
    </w:p>
    <w:p w14:paraId="04AF6840">
      <w:pPr>
        <w:pStyle w:val="2311"/>
        <w:pBdr/>
        <w:spacing w:after="0" w:before="0"/>
        <w:ind/>
        <w:jc w:val="both"/>
        <w:rPr>
          <w:sz w:val="22"/>
          <w:szCs w:val="22"/>
          <w:lang w:val="pt-BR"/>
        </w:rPr>
      </w:pPr>
      <w:r>
        <w:rPr>
          <w:b/>
          <w:bCs/>
          <w:sz w:val="22"/>
          <w:szCs w:val="22"/>
          <w:lang w:val="pt-BR"/>
        </w:rPr>
        <w:t xml:space="preserve">11.1.2. </w:t>
      </w:r>
      <w:r>
        <w:rPr>
          <w:sz w:val="22"/>
          <w:szCs w:val="22"/>
          <w:lang w:val="pt-BR"/>
        </w:rPr>
        <w:t xml:space="preserve">Considerando que a presente contratação </w:t>
      </w:r>
      <w:r>
        <w:rPr>
          <w:sz w:val="22"/>
          <w:szCs w:val="22"/>
          <w:lang w:val="pt-BR"/>
        </w:rPr>
        <w:t xml:space="preserve">refere-se</w:t>
      </w:r>
      <w:r>
        <w:rPr>
          <w:sz w:val="22"/>
          <w:szCs w:val="22"/>
          <w:lang w:val="pt-BR"/>
        </w:rPr>
        <w:t xml:space="preserve"> à aquisição de materiais para fisioterapia, destinados ao atendimento das demandas assistenciais da rede de saúde, a exigência de garantia de execução </w:t>
      </w:r>
      <w:r>
        <w:rPr>
          <w:sz w:val="22"/>
          <w:szCs w:val="22"/>
          <w:lang w:val="pt-BR"/>
        </w:rPr>
        <w:t xml:space="preserve">contratual mostra-se adequada como instrumento de mitigação de riscos, especialmente quanto ao cumprimento dos prazos de entrega, à conformidade dos materiais fornecidos e à observância das especificações técnicas estabelecidas no instrumento convocatório.</w:t>
      </w:r>
      <w:r>
        <w:rPr>
          <w:sz w:val="22"/>
          <w:szCs w:val="22"/>
          <w:lang w:val="pt-BR"/>
        </w:rPr>
      </w:r>
      <w:r>
        <w:rPr>
          <w:sz w:val="22"/>
          <w:szCs w:val="22"/>
          <w:lang w:val="pt-BR"/>
        </w:rPr>
      </w:r>
    </w:p>
    <w:p w14:paraId="525FCEA8">
      <w:pPr>
        <w:pStyle w:val="2311"/>
        <w:pBdr/>
        <w:spacing w:after="0" w:before="0"/>
        <w:ind/>
        <w:jc w:val="both"/>
        <w:rPr>
          <w:sz w:val="22"/>
          <w:szCs w:val="22"/>
          <w:lang w:val="pt-BR"/>
        </w:rPr>
      </w:pPr>
      <w:r>
        <w:rPr>
          <w:b/>
          <w:bCs/>
          <w:sz w:val="22"/>
          <w:szCs w:val="22"/>
          <w:lang w:val="pt-BR"/>
        </w:rPr>
        <w:t xml:space="preserve">11.1.3. </w:t>
      </w:r>
      <w:r>
        <w:rPr>
          <w:sz w:val="22"/>
          <w:szCs w:val="22"/>
          <w:lang w:val="pt-BR"/>
        </w:rPr>
        <w:t xml:space="preserve">A garantia, quando exigida, deverá corresponder a até 5% (cinco por cento) do valor inicial do contrato, conforme limite legal, e deverá ser apre</w:t>
      </w:r>
      <w:r>
        <w:rPr>
          <w:sz w:val="22"/>
          <w:szCs w:val="22"/>
          <w:lang w:val="pt-BR"/>
        </w:rPr>
        <w:t xml:space="preserve">sentada pela contratada no prazo máximo de 5 (cinco) dias úteis, contados a partir da data de assinatura do contrato, podendo ser prestada, a critério do contratado, em qualquer das modalidades previstas no art. 96, §1º, da Lei nº 14.133/2021, quais sejam:</w:t>
      </w:r>
      <w:r>
        <w:rPr>
          <w:sz w:val="22"/>
          <w:szCs w:val="22"/>
          <w:lang w:val="pt-BR"/>
        </w:rPr>
        <w:br/>
        <w:t xml:space="preserve">I – caução em dinheiro ou em títulos da dívida pública;</w:t>
      </w:r>
      <w:r>
        <w:rPr>
          <w:sz w:val="22"/>
          <w:szCs w:val="22"/>
          <w:lang w:val="pt-BR"/>
        </w:rPr>
        <w:br/>
        <w:t xml:space="preserve">II – seguro-garantia; ou</w:t>
      </w:r>
      <w:r>
        <w:rPr>
          <w:sz w:val="22"/>
          <w:szCs w:val="22"/>
          <w:lang w:val="pt-BR"/>
        </w:rPr>
        <w:br/>
        <w:t xml:space="preserve">III – fiança bancária.</w:t>
      </w:r>
      <w:r>
        <w:rPr>
          <w:sz w:val="22"/>
          <w:szCs w:val="22"/>
          <w:lang w:val="pt-BR"/>
        </w:rPr>
      </w:r>
      <w:r>
        <w:rPr>
          <w:sz w:val="22"/>
          <w:szCs w:val="22"/>
          <w:lang w:val="pt-BR"/>
        </w:rPr>
      </w:r>
    </w:p>
    <w:p w14:paraId="401FD92D">
      <w:pPr>
        <w:pStyle w:val="2311"/>
        <w:pBdr/>
        <w:spacing w:after="0" w:before="0"/>
        <w:ind/>
        <w:jc w:val="both"/>
        <w:rPr>
          <w:sz w:val="22"/>
          <w:szCs w:val="22"/>
          <w:lang w:val="pt-BR"/>
        </w:rPr>
      </w:pPr>
      <w:r>
        <w:rPr>
          <w:b/>
          <w:bCs/>
          <w:sz w:val="22"/>
          <w:szCs w:val="22"/>
          <w:lang w:val="pt-BR"/>
        </w:rPr>
        <w:t xml:space="preserve">11.1.4.</w:t>
      </w:r>
      <w:r>
        <w:rPr>
          <w:sz w:val="22"/>
          <w:szCs w:val="22"/>
          <w:lang w:val="pt-BR"/>
        </w:rPr>
        <w:t xml:space="preserve"> </w:t>
      </w:r>
      <w:r>
        <w:rPr>
          <w:sz w:val="22"/>
          <w:szCs w:val="22"/>
          <w:lang w:val="pt-BR"/>
        </w:rPr>
        <w:t xml:space="preserve">Ressalta-se que a exigência da garantia não tem caráter restritivo à competitividade do certame, mas visa resguardar o inte</w:t>
      </w:r>
      <w:r>
        <w:rPr>
          <w:sz w:val="22"/>
          <w:szCs w:val="22"/>
          <w:lang w:val="pt-BR"/>
        </w:rPr>
        <w:t xml:space="preserve">resse público, assegurando maior segurança à Administração quanto à adequada execução contratual, especialmente diante da relevância dos materiais e equipamentos adquiridos para a continuidade e qualidade dos serviços de fisioterapia prestados à população.</w:t>
      </w:r>
      <w:r>
        <w:rPr>
          <w:sz w:val="22"/>
          <w:szCs w:val="22"/>
          <w:lang w:val="pt-BR"/>
        </w:rPr>
      </w:r>
      <w:r>
        <w:rPr>
          <w:sz w:val="22"/>
          <w:szCs w:val="22"/>
          <w:lang w:val="pt-BR"/>
        </w:rPr>
      </w:r>
    </w:p>
    <w:p w14:paraId="5FB83F9B">
      <w:pPr>
        <w:pStyle w:val="2311"/>
        <w:pBdr/>
        <w:spacing w:after="0" w:before="0"/>
        <w:ind/>
        <w:jc w:val="both"/>
        <w:rPr>
          <w:b/>
          <w:bCs/>
          <w:color w:val="auto"/>
          <w:sz w:val="22"/>
          <w:szCs w:val="22"/>
          <w:lang w:val="pt-BR"/>
        </w:rPr>
      </w:pPr>
      <w:r>
        <w:rPr>
          <w:b/>
          <w:bCs/>
          <w:color w:val="auto"/>
          <w:sz w:val="22"/>
          <w:szCs w:val="22"/>
          <w:lang w:val="pt-BR"/>
        </w:rPr>
        <w:t xml:space="preserve">11.2. GARANTIA TECNICA DE PRODUTOS OU SERVIÇOS</w:t>
      </w:r>
      <w:r>
        <w:rPr>
          <w:b/>
          <w:bCs/>
          <w:color w:val="auto"/>
          <w:sz w:val="22"/>
          <w:szCs w:val="22"/>
          <w:lang w:val="pt-BR"/>
        </w:rPr>
      </w:r>
      <w:r>
        <w:rPr>
          <w:b/>
          <w:bCs/>
          <w:color w:val="auto"/>
          <w:sz w:val="22"/>
          <w:szCs w:val="22"/>
          <w:lang w:val="pt-BR"/>
        </w:rPr>
      </w:r>
    </w:p>
    <w:p w14:paraId="4E344FA3">
      <w:pPr>
        <w:pStyle w:val="2311"/>
        <w:pBdr/>
        <w:spacing w:after="0" w:before="0"/>
        <w:ind/>
        <w:jc w:val="both"/>
        <w:rPr>
          <w:sz w:val="22"/>
          <w:szCs w:val="22"/>
          <w:lang w:val="pt-BR"/>
        </w:rPr>
      </w:pPr>
      <w:r>
        <w:rPr>
          <w:b/>
          <w:bCs/>
          <w:sz w:val="22"/>
          <w:szCs w:val="22"/>
          <w:lang w:val="pt-BR"/>
        </w:rPr>
        <w:t xml:space="preserve">11.2.1. </w:t>
      </w:r>
      <w:r>
        <w:rPr>
          <w:sz w:val="22"/>
          <w:szCs w:val="22"/>
          <w:lang w:val="pt-BR"/>
        </w:rPr>
        <w:t xml:space="preserve">A contratada deverá assegurar a garantia técnica mínima dos materiais e equipamentos para fisioterapia fornecidos, pelo prazo mínimo estabelecido pelo fabricante, </w:t>
      </w:r>
      <w:r>
        <w:rPr>
          <w:b/>
          <w:bCs/>
          <w:sz w:val="22"/>
          <w:szCs w:val="22"/>
          <w:lang w:val="pt-BR"/>
        </w:rPr>
        <w:t xml:space="preserve">não inferior a 12 (doze) meses</w:t>
      </w:r>
      <w:r>
        <w:rPr>
          <w:sz w:val="22"/>
          <w:szCs w:val="22"/>
          <w:lang w:val="pt-BR"/>
        </w:rPr>
        <w:t xml:space="preserve">, contado a partir do recebimento definitivo, abrangendo defeitos de fabricação, falhas de funcionamento, vícios de qualidade ou quaisquer desconformidades em relação às especificações técnicas exigidas.</w:t>
      </w:r>
      <w:r>
        <w:rPr>
          <w:sz w:val="22"/>
          <w:szCs w:val="22"/>
          <w:lang w:val="pt-BR"/>
        </w:rPr>
      </w:r>
      <w:r>
        <w:rPr>
          <w:sz w:val="22"/>
          <w:szCs w:val="22"/>
          <w:lang w:val="pt-BR"/>
        </w:rPr>
      </w:r>
    </w:p>
    <w:p w14:paraId="5A798D97">
      <w:pPr>
        <w:pStyle w:val="2311"/>
        <w:pBdr/>
        <w:spacing w:after="0" w:before="0"/>
        <w:ind/>
        <w:jc w:val="both"/>
        <w:rPr>
          <w:sz w:val="22"/>
          <w:szCs w:val="22"/>
          <w:lang w:val="pt-BR"/>
        </w:rPr>
      </w:pPr>
      <w:r>
        <w:rPr>
          <w:b/>
          <w:bCs/>
          <w:sz w:val="22"/>
          <w:szCs w:val="22"/>
          <w:lang w:val="pt-BR"/>
        </w:rPr>
        <w:t xml:space="preserve">11.2.2. </w:t>
      </w:r>
      <w:r>
        <w:rPr>
          <w:sz w:val="22"/>
          <w:szCs w:val="22"/>
          <w:lang w:val="pt-BR"/>
        </w:rPr>
        <w:t xml:space="preserve">Durante o período de garantia, a contratada deverá prestar suporte técnico adequado aos </w:t>
      </w:r>
      <w:r>
        <w:rPr>
          <w:sz w:val="22"/>
          <w:szCs w:val="22"/>
          <w:lang w:val="pt-BR"/>
        </w:rPr>
        <w:t xml:space="preserve">equipamentos adquiridos, incluindo, quando aplicável, orientação técnica, atendimento para esclarecimento de dúvidas, manutenção corretiva e substituição de componentes, sempre que constatada a necessidade, sem qualquer ônus adicional para a Administração.</w:t>
      </w:r>
      <w:r>
        <w:rPr>
          <w:sz w:val="22"/>
          <w:szCs w:val="22"/>
          <w:lang w:val="pt-BR"/>
        </w:rPr>
      </w:r>
      <w:r>
        <w:rPr>
          <w:sz w:val="22"/>
          <w:szCs w:val="22"/>
          <w:lang w:val="pt-BR"/>
        </w:rPr>
      </w:r>
    </w:p>
    <w:p w14:paraId="1C7FAB10">
      <w:pPr>
        <w:pStyle w:val="2311"/>
        <w:pBdr/>
        <w:spacing w:after="0" w:before="0"/>
        <w:ind/>
        <w:jc w:val="both"/>
        <w:rPr>
          <w:sz w:val="22"/>
          <w:szCs w:val="22"/>
          <w:lang w:val="pt-BR"/>
        </w:rPr>
      </w:pPr>
      <w:r>
        <w:rPr>
          <w:b/>
          <w:bCs/>
          <w:sz w:val="22"/>
          <w:szCs w:val="22"/>
          <w:lang w:val="pt-BR"/>
        </w:rPr>
        <w:t xml:space="preserve">11.2.3. </w:t>
      </w:r>
      <w:r>
        <w:rPr>
          <w:sz w:val="22"/>
          <w:szCs w:val="22"/>
          <w:lang w:val="pt-BR"/>
        </w:rPr>
        <w:t xml:space="preserve">Nos casos em que os materiais ou equipamentos apresentarem defeitos, avarias ou mau funcionamento, a contratada deverá proceder ao reparo ou à substituição integral do item, conforme o caso, no prazo máximo de até </w:t>
      </w:r>
      <w:r>
        <w:rPr>
          <w:b/>
          <w:bCs/>
          <w:sz w:val="22"/>
          <w:szCs w:val="22"/>
          <w:lang w:val="pt-BR"/>
        </w:rPr>
        <w:t xml:space="preserve">5 (cinco) dias úteis</w:t>
      </w:r>
      <w:r>
        <w:rPr>
          <w:sz w:val="22"/>
          <w:szCs w:val="22"/>
          <w:lang w:val="pt-BR"/>
        </w:rPr>
        <w:t xml:space="preserve">, contados a partir da formal comunicação da Administração, observada a natureza do bem e a criticidade do uso assistencial, de modo a não comprometer a continuidade dos serviços de fisioterapia prestados à população.</w:t>
      </w:r>
      <w:r>
        <w:rPr>
          <w:sz w:val="22"/>
          <w:szCs w:val="22"/>
          <w:lang w:val="pt-BR"/>
        </w:rPr>
      </w:r>
      <w:r>
        <w:rPr>
          <w:sz w:val="22"/>
          <w:szCs w:val="22"/>
          <w:lang w:val="pt-BR"/>
        </w:rPr>
      </w:r>
    </w:p>
    <w:p w14:paraId="67B44E43">
      <w:pPr>
        <w:pStyle w:val="2311"/>
        <w:pBdr/>
        <w:spacing w:after="0" w:before="0"/>
        <w:ind/>
        <w:jc w:val="both"/>
        <w:rPr>
          <w:sz w:val="22"/>
          <w:szCs w:val="22"/>
          <w:lang w:val="pt-BR"/>
        </w:rPr>
      </w:pPr>
      <w:r>
        <w:rPr>
          <w:b/>
          <w:bCs/>
          <w:sz w:val="22"/>
          <w:szCs w:val="22"/>
          <w:lang w:val="pt-BR"/>
        </w:rPr>
        <w:t xml:space="preserve">11.2.4. </w:t>
      </w:r>
      <w:r>
        <w:rPr>
          <w:sz w:val="22"/>
          <w:szCs w:val="22"/>
          <w:lang w:val="pt-BR"/>
        </w:rPr>
        <w:t xml:space="preserve">O suporte técnico dev</w:t>
      </w:r>
      <w:r>
        <w:rPr>
          <w:sz w:val="22"/>
          <w:szCs w:val="22"/>
          <w:lang w:val="pt-BR"/>
        </w:rPr>
        <w:t xml:space="preserve">erá ser prestado por assistência técnica autorizada pelo fabricante, com cobertura compatível com a localidade da Administração, garantindo atendimento eficiente e tempestivo, inclusive com fornecimento de peças originais ou compatíveis, quando necessário.</w:t>
      </w:r>
      <w:r>
        <w:rPr>
          <w:sz w:val="22"/>
          <w:szCs w:val="22"/>
          <w:lang w:val="pt-BR"/>
        </w:rPr>
      </w:r>
      <w:r>
        <w:rPr>
          <w:sz w:val="22"/>
          <w:szCs w:val="22"/>
          <w:lang w:val="pt-BR"/>
        </w:rPr>
      </w:r>
    </w:p>
    <w:p w14:paraId="424F9A73">
      <w:pPr>
        <w:pStyle w:val="2311"/>
        <w:pBdr/>
        <w:spacing w:after="0" w:before="0"/>
        <w:ind/>
        <w:jc w:val="both"/>
        <w:rPr>
          <w:sz w:val="22"/>
          <w:szCs w:val="22"/>
          <w:lang w:val="pt-BR"/>
        </w:rPr>
      </w:pPr>
      <w:r>
        <w:rPr>
          <w:b/>
          <w:bCs/>
          <w:sz w:val="22"/>
          <w:szCs w:val="22"/>
          <w:lang w:val="pt-BR"/>
        </w:rPr>
        <w:t xml:space="preserve">11.2.5. </w:t>
      </w:r>
      <w:r>
        <w:rPr>
          <w:sz w:val="22"/>
          <w:szCs w:val="22"/>
          <w:lang w:val="pt-BR"/>
        </w:rPr>
        <w:t xml:space="preserve">A garantia técnica inclui, ainda, a responsabilidade da contratada quanto à conformidade, durabilidade, segurança e desempenho dos materiais e</w:t>
      </w:r>
      <w:r>
        <w:rPr>
          <w:sz w:val="22"/>
          <w:szCs w:val="22"/>
          <w:lang w:val="pt-BR"/>
        </w:rPr>
        <w:t xml:space="preserve"> equipamentos fornecidos, não excluindo nem reduzindo a responsabilidade por eventuais danos decorrentes de defeitos ou inadequações, nos termos da legislação vigente, especialmente a Lei nº 14.133/2021 e o Código de Defesa do Consumidor, quando aplicável.</w:t>
      </w:r>
      <w:r>
        <w:rPr>
          <w:sz w:val="22"/>
          <w:szCs w:val="22"/>
          <w:lang w:val="pt-BR"/>
        </w:rPr>
      </w:r>
      <w:r>
        <w:rPr>
          <w:sz w:val="22"/>
          <w:szCs w:val="22"/>
          <w:lang w:val="pt-BR"/>
        </w:rPr>
      </w:r>
    </w:p>
    <w:p w14:paraId="45B98BC0">
      <w:pPr>
        <w:pStyle w:val="2311"/>
        <w:pBdr/>
        <w:spacing w:after="0" w:before="0"/>
        <w:ind/>
        <w:jc w:val="both"/>
        <w:rPr>
          <w:sz w:val="22"/>
          <w:szCs w:val="22"/>
          <w:lang w:val="pt-BR"/>
        </w:rPr>
      </w:pPr>
      <w:r>
        <w:rPr>
          <w:b/>
          <w:bCs/>
          <w:sz w:val="22"/>
          <w:szCs w:val="22"/>
          <w:lang w:val="pt-BR"/>
        </w:rPr>
        <w:t xml:space="preserve">11.2.6. </w:t>
      </w:r>
      <w:r>
        <w:rPr>
          <w:sz w:val="22"/>
          <w:szCs w:val="22"/>
          <w:lang w:val="pt-BR"/>
        </w:rPr>
        <w:t xml:space="preserve">A exigência de garantia mí</w:t>
      </w:r>
      <w:r>
        <w:rPr>
          <w:sz w:val="22"/>
          <w:szCs w:val="22"/>
          <w:lang w:val="pt-BR"/>
        </w:rPr>
        <w:t xml:space="preserve">nima e de suporte técnico adequado constitui medida essencial para resguardar o interesse público, assegurar a continuidade do atendimento assistencial e garantir a adequada utilização dos materiais e equipamentos de fisioterapia ao longo de sua vida útil.</w:t>
      </w:r>
      <w:r>
        <w:rPr>
          <w:sz w:val="22"/>
          <w:szCs w:val="22"/>
          <w:lang w:val="pt-BR"/>
        </w:rPr>
      </w:r>
      <w:r>
        <w:rPr>
          <w:sz w:val="22"/>
          <w:szCs w:val="22"/>
          <w:lang w:val="pt-BR"/>
        </w:rPr>
      </w:r>
    </w:p>
    <w:p w14:paraId="5AA93ABA">
      <w:pPr>
        <w:pStyle w:val="2311"/>
        <w:pBdr/>
        <w:spacing w:after="0" w:before="0"/>
        <w:ind/>
        <w:jc w:val="both"/>
        <w:rPr>
          <w:b/>
          <w:bCs/>
          <w:color w:val="ff0000"/>
          <w:sz w:val="22"/>
          <w:szCs w:val="22"/>
          <w:lang w:val="pt-BR"/>
        </w:rPr>
      </w:pPr>
      <w:r>
        <w:rPr>
          <w:b/>
          <w:bCs/>
          <w:color w:val="auto"/>
          <w:sz w:val="22"/>
          <w:szCs w:val="22"/>
          <w:lang w:val="pt-BR"/>
        </w:rPr>
        <w:t xml:space="preserve">11.3. CONDIÇÕES DE MANUTENÇÃO E ASSISTÊNCIA TÉCNICA.</w:t>
      </w:r>
      <w:r>
        <w:rPr>
          <w:b/>
          <w:bCs/>
          <w:color w:val="ff0000"/>
          <w:sz w:val="22"/>
          <w:szCs w:val="22"/>
          <w:lang w:val="pt-BR"/>
        </w:rPr>
      </w:r>
      <w:r>
        <w:rPr>
          <w:b/>
          <w:bCs/>
          <w:color w:val="ff0000"/>
          <w:sz w:val="22"/>
          <w:szCs w:val="22"/>
          <w:lang w:val="pt-BR"/>
        </w:rPr>
      </w:r>
    </w:p>
    <w:p w14:paraId="2044C57E">
      <w:pPr>
        <w:pStyle w:val="2311"/>
        <w:pBdr/>
        <w:spacing w:after="0" w:before="0"/>
        <w:ind/>
        <w:jc w:val="both"/>
        <w:rPr>
          <w:sz w:val="22"/>
          <w:szCs w:val="22"/>
          <w:lang w:val="pt-PT"/>
        </w:rPr>
      </w:pPr>
      <w:r>
        <w:rPr>
          <w:b/>
          <w:bCs/>
          <w:sz w:val="22"/>
          <w:szCs w:val="22"/>
          <w:lang w:val="pt-BR"/>
        </w:rPr>
        <w:t xml:space="preserve">11.3.1.</w:t>
      </w:r>
      <w:r>
        <w:rPr>
          <w:sz w:val="22"/>
          <w:szCs w:val="22"/>
          <w:lang w:val="pt-BR"/>
        </w:rPr>
        <w:t xml:space="preserve"> </w:t>
      </w:r>
      <w:r>
        <w:rPr>
          <w:sz w:val="22"/>
          <w:szCs w:val="22"/>
          <w:lang w:val="pt-PT"/>
        </w:rPr>
        <w:t xml:space="preserve">A contratada deverá assegurar condições adequadas de manutenção e assistência técnica para os materiais, insumos e equipamentos de fisioterapia adquiridos, de modo a garantir sua qualidade, segurança, desempenho e continuidade de u</w:t>
      </w:r>
      <w:r>
        <w:rPr>
          <w:sz w:val="22"/>
          <w:szCs w:val="22"/>
          <w:lang w:val="pt-PT"/>
        </w:rPr>
        <w:t xml:space="preserve">so nos serviços assistenciais. Para os equipamentos, a contratada deverá disponibilizar assistência técnica especializada, preferencialmente por meio de rede autorizada pelo fabricante, responsabilizando-se pela manutenção corretiva, reparo de falhas, defe</w:t>
      </w:r>
      <w:r>
        <w:rPr>
          <w:sz w:val="22"/>
          <w:szCs w:val="22"/>
          <w:lang w:val="pt-PT"/>
        </w:rPr>
        <w:t xml:space="preserve">itos de fabricação ou mau funcionamento, bem como pela substituição de peças, componentes ou do próprio equipamento quando constatada a impossibilidade de reparo, utilizando peças originais ou compatíveis, sem qualquer ônus adicional para a Administração. </w:t>
      </w:r>
      <w:r>
        <w:rPr>
          <w:sz w:val="22"/>
          <w:szCs w:val="22"/>
          <w:lang w:val="pt-PT"/>
        </w:rPr>
      </w:r>
      <w:r>
        <w:rPr>
          <w:sz w:val="22"/>
          <w:szCs w:val="22"/>
          <w:lang w:val="pt-PT"/>
        </w:rPr>
      </w:r>
    </w:p>
    <w:p w14:paraId="04262FFD">
      <w:pPr>
        <w:pStyle w:val="2311"/>
        <w:pBdr/>
        <w:spacing w:after="0" w:before="0"/>
        <w:ind/>
        <w:jc w:val="both"/>
        <w:rPr>
          <w:sz w:val="22"/>
          <w:szCs w:val="22"/>
          <w:lang w:val="pt-PT"/>
        </w:rPr>
      </w:pPr>
      <w:r>
        <w:rPr>
          <w:b/>
          <w:bCs/>
          <w:sz w:val="22"/>
          <w:szCs w:val="22"/>
          <w:lang w:val="pt-PT"/>
        </w:rPr>
        <w:t xml:space="preserve">11.3.2.</w:t>
      </w:r>
      <w:r>
        <w:rPr>
          <w:sz w:val="22"/>
          <w:szCs w:val="22"/>
          <w:lang w:val="pt-PT"/>
        </w:rPr>
        <w:t xml:space="preserve"> </w:t>
      </w:r>
      <w:r>
        <w:rPr>
          <w:sz w:val="22"/>
          <w:szCs w:val="22"/>
          <w:lang w:val="pt-PT"/>
        </w:rPr>
        <w:t xml:space="preserve">O atendimento técnico deverá ocorrer em prazo compatível com a </w:t>
      </w:r>
      <w:r>
        <w:rPr>
          <w:sz w:val="22"/>
          <w:szCs w:val="22"/>
          <w:lang w:val="pt-PT"/>
        </w:rPr>
        <w:t xml:space="preserve">natureza dos equipamentos e com a criticidade do uso assistencial, de forma a minimizar períodos de indisponibilidade e evitar prejuízos à continuidade dos atendimentos fisioterapêuticos. Em relação aos materiais e insumos, a contratada deverá garantir a c</w:t>
      </w:r>
      <w:r>
        <w:rPr>
          <w:sz w:val="22"/>
          <w:szCs w:val="22"/>
          <w:lang w:val="pt-PT"/>
        </w:rPr>
        <w:t xml:space="preserve">onformidade, integridade e qualidade dos produtos fornecidos, responsabilizando-se pela substituição imediata daqueles que apresentarem defeitos, avarias, vícios de qualidade, desconformidade com as especificações técnicas ou prazo de validade inadequado. </w:t>
      </w:r>
      <w:r>
        <w:rPr>
          <w:sz w:val="22"/>
          <w:szCs w:val="22"/>
          <w:lang w:val="pt-PT"/>
        </w:rPr>
      </w:r>
      <w:r>
        <w:rPr>
          <w:sz w:val="22"/>
          <w:szCs w:val="22"/>
          <w:lang w:val="pt-PT"/>
        </w:rPr>
      </w:r>
    </w:p>
    <w:p w14:paraId="11DA076B">
      <w:pPr>
        <w:pStyle w:val="2311"/>
        <w:pBdr/>
        <w:spacing w:after="0" w:before="0"/>
        <w:ind/>
        <w:jc w:val="both"/>
        <w:rPr>
          <w:sz w:val="22"/>
          <w:szCs w:val="22"/>
          <w:lang w:val="pt-PT"/>
        </w:rPr>
      </w:pPr>
      <w:r>
        <w:rPr>
          <w:b/>
          <w:bCs/>
          <w:sz w:val="22"/>
          <w:szCs w:val="22"/>
          <w:lang w:val="pt-PT"/>
        </w:rPr>
        <w:t xml:space="preserve">11.3.3.</w:t>
      </w:r>
      <w:r>
        <w:rPr>
          <w:sz w:val="22"/>
          <w:szCs w:val="22"/>
          <w:lang w:val="pt-PT"/>
        </w:rPr>
        <w:t xml:space="preserve"> </w:t>
      </w:r>
      <w:r>
        <w:rPr>
          <w:sz w:val="22"/>
          <w:szCs w:val="22"/>
          <w:lang w:val="pt-PT"/>
        </w:rPr>
        <w:t xml:space="preserve">A contrata</w:t>
      </w:r>
      <w:r>
        <w:rPr>
          <w:sz w:val="22"/>
          <w:szCs w:val="22"/>
          <w:lang w:val="pt-PT"/>
        </w:rPr>
        <w:t xml:space="preserve">da deverá, ainda, prestar suporte técnico e orientações quanto ao uso, armazenamento, conservação e manuseio adequados dos equipamentos e insumos sempre que solicitado, contribuindo para a correta utilização dos produtos e para a maximização de sua vida út</w:t>
      </w:r>
      <w:r>
        <w:rPr>
          <w:sz w:val="22"/>
          <w:szCs w:val="22"/>
          <w:lang w:val="pt-PT"/>
        </w:rPr>
        <w:t xml:space="preserve">il. As condições de manutenção e assistência técnica aqui estabelecidas não excluem nem reduzem a responsabilidade da contratada por eventuais danos decorrentes de defeitos, falhas técnicas ou inadequações dos produtos fornecidos, nos termos da legislação </w:t>
      </w:r>
      <w:r>
        <w:rPr>
          <w:sz w:val="22"/>
          <w:szCs w:val="22"/>
          <w:lang w:val="pt-PT"/>
        </w:rPr>
        <w:t xml:space="preserve">vigente, especialmente a Lei nº 14.133/2021 e o Código de Defesa do Consumidor, quando aplicável, constituindo medida essencial para resguardar o interesse público e assegurar a qualidade e a continuidade dos serviços de fisioterapia prestados à população.</w:t>
      </w:r>
      <w:r>
        <w:rPr>
          <w:sz w:val="22"/>
          <w:szCs w:val="22"/>
          <w:lang w:val="pt-PT"/>
        </w:rPr>
      </w:r>
      <w:r>
        <w:rPr>
          <w:sz w:val="22"/>
          <w:szCs w:val="22"/>
          <w:lang w:val="pt-PT"/>
        </w:rPr>
      </w:r>
    </w:p>
    <w:p w14:paraId="1A9CEB1E">
      <w:pPr>
        <w:pStyle w:val="2311"/>
        <w:pBdr/>
        <w:spacing w:after="0" w:before="0"/>
        <w:ind/>
        <w:jc w:val="both"/>
        <w:rPr>
          <w:sz w:val="10"/>
          <w:szCs w:val="10"/>
        </w:rPr>
      </w:pPr>
      <w:r>
        <w:rPr>
          <w:sz w:val="10"/>
          <w:szCs w:val="10"/>
        </w:rPr>
      </w:r>
      <w:r>
        <w:rPr>
          <w:sz w:val="10"/>
          <w:szCs w:val="10"/>
        </w:rPr>
      </w:r>
      <w:r>
        <w:rPr>
          <w:sz w:val="10"/>
          <w:szCs w:val="10"/>
        </w:rPr>
      </w:r>
    </w:p>
    <w:p w14:paraId="1FC37E29">
      <w:pPr>
        <w:pBdr/>
        <w:shd w:val="clear" w:color="auto" w:fill="cccccc"/>
        <w:spacing/>
        <w:ind/>
        <w:jc w:val="both"/>
        <w:rPr>
          <w:lang w:val="pt-BR"/>
        </w:rPr>
      </w:pPr>
      <w:r>
        <w:rPr>
          <w:rFonts w:ascii="Times New Roman" w:hAnsi="Times New Roman" w:cs="Times New Roman"/>
          <w:b/>
          <w:bCs/>
        </w:rPr>
        <w:t xml:space="preserve">1</w:t>
      </w:r>
      <w:r>
        <w:rPr>
          <w:rFonts w:ascii="Times New Roman" w:hAnsi="Times New Roman" w:cs="Times New Roman"/>
          <w:b/>
          <w:bCs/>
          <w:lang w:val="pt-BR"/>
        </w:rPr>
        <w:t xml:space="preserve">2</w:t>
      </w:r>
      <w:r>
        <w:rPr>
          <w:rFonts w:ascii="Times New Roman" w:hAnsi="Times New Roman" w:cs="Times New Roman"/>
          <w:b/>
          <w:bCs/>
        </w:rPr>
        <w:t xml:space="preserve"> – </w:t>
      </w:r>
      <w:r>
        <w:rPr>
          <w:rFonts w:ascii="Times New Roman" w:hAnsi="Times New Roman" w:cs="Times New Roman"/>
          <w:b/>
          <w:bCs/>
          <w:lang w:val="pt-BR"/>
        </w:rPr>
        <w:t xml:space="preserve">ESPECIFICAÇÕES DO PRODUTO/SERVIÇO</w:t>
      </w:r>
      <w:r>
        <w:rPr>
          <w:lang w:val="pt-BR"/>
        </w:rPr>
      </w:r>
      <w:r>
        <w:rPr>
          <w:lang w:val="pt-BR"/>
        </w:rPr>
      </w:r>
    </w:p>
    <w:p w14:paraId="1394492D">
      <w:pPr>
        <w:pStyle w:val="2311"/>
        <w:pBdr/>
        <w:spacing w:after="0" w:before="0"/>
        <w:ind/>
        <w:jc w:val="both"/>
        <w:rPr>
          <w:b/>
          <w:bCs/>
          <w:color w:val="auto"/>
          <w:sz w:val="10"/>
          <w:szCs w:val="10"/>
          <w:lang w:val="pt-BR"/>
        </w:rPr>
      </w:pPr>
      <w:r>
        <w:rPr>
          <w:b/>
          <w:bCs/>
          <w:color w:val="auto"/>
          <w:sz w:val="10"/>
          <w:szCs w:val="10"/>
          <w:lang w:val="pt-BR"/>
        </w:rPr>
      </w:r>
      <w:r>
        <w:rPr>
          <w:b/>
          <w:bCs/>
          <w:color w:val="auto"/>
          <w:sz w:val="10"/>
          <w:szCs w:val="10"/>
          <w:lang w:val="pt-BR"/>
        </w:rPr>
      </w:r>
      <w:r>
        <w:rPr>
          <w:b/>
          <w:bCs/>
          <w:color w:val="auto"/>
          <w:sz w:val="10"/>
          <w:szCs w:val="10"/>
          <w:lang w:val="pt-BR"/>
        </w:rPr>
      </w:r>
    </w:p>
    <w:p w14:paraId="42D9339D">
      <w:pPr>
        <w:pStyle w:val="2311"/>
        <w:pBdr/>
        <w:spacing w:after="0" w:before="0"/>
        <w:ind/>
        <w:jc w:val="both"/>
        <w:rPr>
          <w:sz w:val="22"/>
          <w:szCs w:val="22"/>
          <w:lang w:val="pt-BR"/>
        </w:rPr>
      </w:pPr>
      <w:r>
        <w:rPr>
          <w:b/>
          <w:bCs/>
          <w:color w:val="auto"/>
          <w:sz w:val="22"/>
          <w:szCs w:val="22"/>
          <w:lang w:val="pt-BR"/>
        </w:rPr>
        <w:t xml:space="preserve">12.</w:t>
      </w:r>
      <w:r>
        <w:rPr>
          <w:b/>
          <w:bCs/>
          <w:color w:val="auto"/>
          <w:sz w:val="22"/>
          <w:szCs w:val="22"/>
          <w:lang w:val="pt-BR"/>
        </w:rPr>
        <w:t xml:space="preserve">1</w:t>
      </w:r>
      <w:r>
        <w:rPr>
          <w:b/>
          <w:bCs/>
          <w:sz w:val="22"/>
          <w:szCs w:val="22"/>
          <w:lang w:val="pt-BR"/>
        </w:rPr>
        <w:t xml:space="preserve">.</w:t>
      </w:r>
      <w:r>
        <w:rPr>
          <w:sz w:val="22"/>
          <w:szCs w:val="22"/>
          <w:lang w:val="pt-BR"/>
        </w:rPr>
        <w:t xml:space="preserve"> </w:t>
      </w:r>
      <w:r>
        <w:rPr>
          <w:sz w:val="22"/>
          <w:szCs w:val="22"/>
          <w:lang w:val="pt-BR"/>
        </w:rPr>
        <w:t xml:space="preserve">Em co</w:t>
      </w:r>
      <w:r>
        <w:rPr>
          <w:sz w:val="22"/>
          <w:szCs w:val="22"/>
          <w:lang w:val="pt-BR"/>
        </w:rPr>
        <w:t xml:space="preserve">nformidade com o artigo 23, § 1º, inciso XI, do Decreto Municipal nº 11.685/2023, que dispõe sobre a necessidade de descrição detalhada dos bens a serem adquiridos, preferencialmente com base em catálogo eletrônico de padronização, observando critérios de </w:t>
      </w:r>
      <w:r>
        <w:rPr>
          <w:b/>
          <w:bCs/>
          <w:sz w:val="22"/>
          <w:szCs w:val="22"/>
          <w:lang w:val="pt-BR"/>
        </w:rPr>
        <w:t xml:space="preserve">qualidade, rendimento, compatibilidade, durabilidade e segurança</w:t>
      </w:r>
      <w:r>
        <w:rPr>
          <w:sz w:val="22"/>
          <w:szCs w:val="22"/>
          <w:lang w:val="pt-BR"/>
        </w:rPr>
        <w:t xml:space="preserve">, os materiais objeto desta aquisição foram especificados de forma </w:t>
      </w:r>
      <w:r>
        <w:rPr>
          <w:b/>
          <w:bCs/>
          <w:sz w:val="22"/>
          <w:szCs w:val="22"/>
          <w:lang w:val="pt-BR"/>
        </w:rPr>
        <w:t xml:space="preserve">técnica, criteriosa e padronizada</w:t>
      </w:r>
      <w:r>
        <w:rPr>
          <w:sz w:val="22"/>
          <w:szCs w:val="22"/>
          <w:lang w:val="pt-BR"/>
        </w:rPr>
        <w:t xml:space="preserve">.</w:t>
      </w:r>
      <w:r>
        <w:rPr>
          <w:sz w:val="22"/>
          <w:szCs w:val="22"/>
          <w:lang w:val="pt-BR"/>
        </w:rPr>
      </w:r>
      <w:r>
        <w:rPr>
          <w:sz w:val="22"/>
          <w:szCs w:val="22"/>
          <w:lang w:val="pt-BR"/>
        </w:rPr>
      </w:r>
    </w:p>
    <w:p w14:paraId="2B07A1F4">
      <w:pPr>
        <w:pStyle w:val="2311"/>
        <w:pBdr/>
        <w:spacing w:after="0" w:before="0"/>
        <w:ind/>
        <w:jc w:val="both"/>
        <w:rPr>
          <w:sz w:val="22"/>
          <w:szCs w:val="22"/>
          <w:lang w:val="pt-BR"/>
        </w:rPr>
      </w:pPr>
      <w:r>
        <w:rPr>
          <w:b/>
          <w:bCs/>
          <w:sz w:val="22"/>
          <w:szCs w:val="22"/>
          <w:lang w:val="pt-BR"/>
        </w:rPr>
        <w:t xml:space="preserve">12.2.</w:t>
      </w:r>
      <w:r>
        <w:rPr>
          <w:sz w:val="22"/>
          <w:szCs w:val="22"/>
          <w:lang w:val="pt-BR"/>
        </w:rPr>
        <w:t xml:space="preserve"> </w:t>
      </w:r>
      <w:r>
        <w:rPr>
          <w:sz w:val="22"/>
          <w:szCs w:val="22"/>
          <w:lang w:val="pt-BR"/>
        </w:rPr>
        <w:t xml:space="preserve">Os itens destinados à área de </w:t>
      </w:r>
      <w:r>
        <w:rPr>
          <w:b/>
          <w:bCs/>
          <w:sz w:val="22"/>
          <w:szCs w:val="22"/>
          <w:lang w:val="pt-BR"/>
        </w:rPr>
        <w:t xml:space="preserve">fisioterapia</w:t>
      </w:r>
      <w:r>
        <w:rPr>
          <w:sz w:val="22"/>
          <w:szCs w:val="22"/>
          <w:lang w:val="pt-BR"/>
        </w:rPr>
        <w:t xml:space="preserve">, incluindo equipamentos com </w:t>
      </w:r>
      <w:r>
        <w:rPr>
          <w:b/>
          <w:bCs/>
          <w:sz w:val="22"/>
          <w:szCs w:val="22"/>
          <w:lang w:val="pt-BR"/>
        </w:rPr>
        <w:t xml:space="preserve">emissão de infravermelho</w:t>
      </w:r>
      <w:r>
        <w:rPr>
          <w:sz w:val="22"/>
          <w:szCs w:val="22"/>
          <w:lang w:val="pt-BR"/>
        </w:rPr>
        <w:t xml:space="preserve">, deverão atender às </w:t>
      </w:r>
      <w:r>
        <w:rPr>
          <w:b/>
          <w:bCs/>
          <w:sz w:val="22"/>
          <w:szCs w:val="22"/>
          <w:lang w:val="pt-BR"/>
        </w:rPr>
        <w:t xml:space="preserve">normas técnicas vigentes</w:t>
      </w:r>
      <w:r>
        <w:rPr>
          <w:sz w:val="22"/>
          <w:szCs w:val="22"/>
          <w:lang w:val="pt-BR"/>
        </w:rPr>
        <w:t xml:space="preserve">, possuir </w:t>
      </w:r>
      <w:r>
        <w:rPr>
          <w:b/>
          <w:bCs/>
          <w:sz w:val="22"/>
          <w:szCs w:val="22"/>
          <w:lang w:val="pt-BR"/>
        </w:rPr>
        <w:t xml:space="preserve">registro, cadastro ou autorização junto à Agência Nacional de Vigilância Sanitária – ANVISA</w:t>
      </w:r>
      <w:r>
        <w:rPr>
          <w:sz w:val="22"/>
          <w:szCs w:val="22"/>
          <w:lang w:val="pt-BR"/>
        </w:rPr>
        <w:t xml:space="preserve">, quando aplicável, bem como apresentar comprovação de procedência, qualidade e conformidade sanitária.</w:t>
      </w:r>
      <w:r>
        <w:rPr>
          <w:sz w:val="22"/>
          <w:szCs w:val="22"/>
          <w:lang w:val="pt-BR"/>
        </w:rPr>
      </w:r>
      <w:r>
        <w:rPr>
          <w:sz w:val="22"/>
          <w:szCs w:val="22"/>
          <w:lang w:val="pt-BR"/>
        </w:rPr>
      </w:r>
    </w:p>
    <w:p w14:paraId="018F88D0">
      <w:pPr>
        <w:pStyle w:val="2311"/>
        <w:pBdr/>
        <w:spacing w:after="0" w:before="0"/>
        <w:ind/>
        <w:jc w:val="both"/>
        <w:rPr>
          <w:sz w:val="22"/>
          <w:szCs w:val="22"/>
          <w:lang w:val="pt-BR"/>
        </w:rPr>
      </w:pPr>
      <w:r>
        <w:rPr>
          <w:b/>
          <w:bCs/>
          <w:sz w:val="22"/>
          <w:szCs w:val="22"/>
          <w:lang w:val="pt-BR"/>
        </w:rPr>
        <w:t xml:space="preserve">12.3.</w:t>
      </w:r>
      <w:r>
        <w:rPr>
          <w:sz w:val="22"/>
          <w:szCs w:val="22"/>
          <w:lang w:val="pt-BR"/>
        </w:rPr>
        <w:t xml:space="preserve"> </w:t>
      </w:r>
      <w:r>
        <w:rPr>
          <w:sz w:val="22"/>
          <w:szCs w:val="22"/>
          <w:lang w:val="pt-BR"/>
        </w:rPr>
        <w:t xml:space="preserve">As especificações técnicas contemplam </w:t>
      </w:r>
      <w:r>
        <w:rPr>
          <w:b/>
          <w:bCs/>
          <w:sz w:val="22"/>
          <w:szCs w:val="22"/>
          <w:lang w:val="pt-BR"/>
        </w:rPr>
        <w:t xml:space="preserve">dimensões, desempenho funcional, características construtivas, requisitos mínimos de qualidade, normas de segurança elétrica e operacional</w:t>
      </w:r>
      <w:r>
        <w:rPr>
          <w:sz w:val="22"/>
          <w:szCs w:val="22"/>
          <w:lang w:val="pt-BR"/>
        </w:rPr>
        <w:t xml:space="preserve">, além da </w:t>
      </w:r>
      <w:r>
        <w:rPr>
          <w:b/>
          <w:bCs/>
          <w:sz w:val="22"/>
          <w:szCs w:val="22"/>
          <w:lang w:val="pt-BR"/>
        </w:rPr>
        <w:t xml:space="preserve">compatibilidade com os </w:t>
      </w:r>
      <w:r>
        <w:rPr>
          <w:b/>
          <w:bCs/>
          <w:sz w:val="22"/>
          <w:szCs w:val="22"/>
          <w:lang w:val="pt-BR"/>
        </w:rPr>
        <w:t xml:space="preserve">procedimentos fisioterapêuticos</w:t>
      </w:r>
      <w:r>
        <w:rPr>
          <w:sz w:val="22"/>
          <w:szCs w:val="22"/>
          <w:lang w:val="pt-BR"/>
        </w:rPr>
        <w:t xml:space="preserve"> adotados pela rede de atendimento. Dessa forma, assegura-se a </w:t>
      </w:r>
      <w:r>
        <w:rPr>
          <w:b/>
          <w:bCs/>
          <w:sz w:val="22"/>
          <w:szCs w:val="22"/>
          <w:lang w:val="pt-BR"/>
        </w:rPr>
        <w:t xml:space="preserve">padronização dos materiais</w:t>
      </w:r>
      <w:r>
        <w:rPr>
          <w:sz w:val="22"/>
          <w:szCs w:val="22"/>
          <w:lang w:val="pt-BR"/>
        </w:rPr>
        <w:t xml:space="preserve">, a </w:t>
      </w:r>
      <w:r>
        <w:rPr>
          <w:b/>
          <w:bCs/>
          <w:sz w:val="22"/>
          <w:szCs w:val="22"/>
          <w:lang w:val="pt-BR"/>
        </w:rPr>
        <w:t xml:space="preserve">eficiência operacional</w:t>
      </w:r>
      <w:r>
        <w:rPr>
          <w:sz w:val="22"/>
          <w:szCs w:val="22"/>
          <w:lang w:val="pt-BR"/>
        </w:rPr>
        <w:t xml:space="preserve">, a </w:t>
      </w:r>
      <w:r>
        <w:rPr>
          <w:b/>
          <w:bCs/>
          <w:sz w:val="22"/>
          <w:szCs w:val="22"/>
          <w:lang w:val="pt-BR"/>
        </w:rPr>
        <w:t xml:space="preserve">segurança dos usuários e profissionais</w:t>
      </w:r>
      <w:r>
        <w:rPr>
          <w:sz w:val="22"/>
          <w:szCs w:val="22"/>
          <w:lang w:val="pt-BR"/>
        </w:rPr>
        <w:t xml:space="preserve">, bem como a plena </w:t>
      </w:r>
      <w:r>
        <w:rPr>
          <w:b/>
          <w:bCs/>
          <w:sz w:val="22"/>
          <w:szCs w:val="22"/>
          <w:lang w:val="pt-BR"/>
        </w:rPr>
        <w:t xml:space="preserve">adequação dos produtos às exigências normativas, técnicas e sanitárias aplicáveis</w:t>
      </w:r>
      <w:r>
        <w:rPr>
          <w:sz w:val="22"/>
          <w:szCs w:val="22"/>
          <w:lang w:val="pt-BR"/>
        </w:rPr>
        <w:t xml:space="preserve">.</w:t>
      </w:r>
      <w:r>
        <w:rPr>
          <w:sz w:val="22"/>
          <w:szCs w:val="22"/>
          <w:lang w:val="pt-BR"/>
        </w:rPr>
      </w:r>
      <w:r>
        <w:rPr>
          <w:sz w:val="22"/>
          <w:szCs w:val="22"/>
          <w:lang w:val="pt-BR"/>
        </w:rPr>
      </w:r>
    </w:p>
    <w:p w14:paraId="4DA648CE">
      <w:pPr>
        <w:pStyle w:val="2311"/>
        <w:pBdr/>
        <w:spacing w:after="0" w:before="0"/>
        <w:ind/>
        <w:jc w:val="both"/>
        <w:rPr>
          <w:sz w:val="10"/>
          <w:szCs w:val="10"/>
        </w:rPr>
      </w:pPr>
      <w:r>
        <w:rPr>
          <w:sz w:val="10"/>
          <w:szCs w:val="10"/>
        </w:rPr>
      </w:r>
      <w:r>
        <w:rPr>
          <w:sz w:val="10"/>
          <w:szCs w:val="10"/>
        </w:rPr>
      </w:r>
      <w:r>
        <w:rPr>
          <w:sz w:val="10"/>
          <w:szCs w:val="10"/>
        </w:rPr>
      </w:r>
    </w:p>
    <w:p w14:paraId="1DBEFBA3">
      <w:pPr>
        <w:pBdr/>
        <w:shd w:val="clear" w:color="auto" w:fill="cccccc"/>
        <w:spacing/>
        <w:ind/>
        <w:jc w:val="both"/>
        <w:rPr/>
      </w:pPr>
      <w:r>
        <w:rPr>
          <w:rFonts w:ascii="Times New Roman" w:hAnsi="Times New Roman" w:cs="Times New Roman"/>
          <w:b/>
          <w:bCs/>
        </w:rPr>
        <w:t xml:space="preserve">1</w:t>
      </w:r>
      <w:r>
        <w:rPr>
          <w:rFonts w:ascii="Times New Roman" w:hAnsi="Times New Roman" w:cs="Times New Roman"/>
          <w:b/>
          <w:bCs/>
          <w:lang w:val="pt-BR"/>
        </w:rPr>
        <w:t xml:space="preserve">3</w:t>
      </w:r>
      <w:r>
        <w:rPr>
          <w:rFonts w:ascii="Times New Roman" w:hAnsi="Times New Roman" w:cs="Times New Roman"/>
          <w:b/>
          <w:bCs/>
        </w:rPr>
        <w:t xml:space="preserve"> – </w:t>
      </w:r>
      <w:r>
        <w:rPr>
          <w:rFonts w:ascii="Times New Roman" w:hAnsi="Times New Roman" w:cs="Times New Roman"/>
          <w:b/>
          <w:bCs/>
          <w:lang w:val="pt-BR"/>
        </w:rPr>
        <w:t xml:space="preserve">DA PESQUISA DE PREÇO</w:t>
      </w:r>
      <w:r/>
    </w:p>
    <w:p w14:paraId="0D27B4BA">
      <w:pPr>
        <w:pStyle w:val="2010"/>
        <w:pBdr/>
        <w:spacing w:before="38"/>
        <w:ind w:right="330" w:firstLine="105" w:left="220"/>
        <w:jc w:val="both"/>
        <w:rPr>
          <w:rFonts w:ascii="Times New Roman" w:hAnsi="Times New Roman" w:cs="Times New Roman"/>
          <w:b/>
          <w:bCs/>
          <w:sz w:val="10"/>
          <w:szCs w:val="10"/>
          <w:highlight w:val="magenta"/>
          <w:lang w:val="pt-BR"/>
        </w:rPr>
      </w:pPr>
      <w:r>
        <w:rPr>
          <w:rFonts w:ascii="Times New Roman" w:hAnsi="Times New Roman" w:cs="Times New Roman"/>
          <w:b/>
          <w:bCs/>
          <w:sz w:val="10"/>
          <w:szCs w:val="10"/>
          <w:highlight w:val="magenta"/>
          <w:lang w:val="pt-BR"/>
        </w:rPr>
      </w:r>
      <w:r>
        <w:rPr>
          <w:rFonts w:ascii="Times New Roman" w:hAnsi="Times New Roman" w:cs="Times New Roman"/>
          <w:b/>
          <w:bCs/>
          <w:sz w:val="10"/>
          <w:szCs w:val="10"/>
          <w:highlight w:val="magenta"/>
          <w:lang w:val="pt-BR"/>
        </w:rPr>
      </w:r>
      <w:r>
        <w:rPr>
          <w:rFonts w:ascii="Times New Roman" w:hAnsi="Times New Roman" w:cs="Times New Roman"/>
          <w:b/>
          <w:bCs/>
          <w:sz w:val="10"/>
          <w:szCs w:val="10"/>
          <w:highlight w:val="magenta"/>
          <w:lang w:val="pt-BR"/>
        </w:rPr>
      </w:r>
    </w:p>
    <w:p w14:paraId="10079E01">
      <w:pPr>
        <w:pStyle w:val="2010"/>
        <w:pBdr/>
        <w:spacing/>
        <w:ind/>
        <w:jc w:val="both"/>
        <w:rPr/>
      </w:pPr>
      <w:r>
        <w:rPr>
          <w:rFonts w:ascii="Times New Roman" w:hAnsi="Times New Roman" w:cs="Times New Roman"/>
          <w:b/>
          <w:bCs/>
          <w:sz w:val="22"/>
          <w:szCs w:val="22"/>
          <w:lang w:val="pt-BR"/>
        </w:rPr>
        <w:t xml:space="preserve">13.1. </w:t>
      </w:r>
      <w:r>
        <w:rPr>
          <w:rFonts w:ascii="Times New Roman" w:hAnsi="Times New Roman" w:cs="Times New Roman"/>
          <w:sz w:val="22"/>
          <w:szCs w:val="22"/>
        </w:rPr>
        <w:t xml:space="preserve">Em conformidade com o disposto no art. 23, §</w:t>
      </w:r>
      <w:r>
        <w:rPr>
          <w:rFonts w:ascii="Times New Roman" w:hAnsi="Times New Roman" w:cs="Times New Roman"/>
          <w:sz w:val="22"/>
          <w:szCs w:val="22"/>
          <w:lang w:val="pt-BR"/>
        </w:rPr>
        <w:t xml:space="preserve">1°</w:t>
      </w:r>
      <w:r>
        <w:rPr>
          <w:rFonts w:ascii="Times New Roman" w:hAnsi="Times New Roman" w:cs="Times New Roman"/>
          <w:sz w:val="22"/>
          <w:szCs w:val="22"/>
        </w:rPr>
        <w:t xml:space="preserve">, e no art. 61 da Lei Federal nº 14.133/2021,</w:t>
      </w:r>
      <w:r>
        <w:rPr>
          <w:rFonts w:ascii="Times New Roman" w:hAnsi="Times New Roman" w:cs="Times New Roman"/>
          <w:sz w:val="22"/>
          <w:szCs w:val="22"/>
          <w:lang w:val="pt-BR"/>
        </w:rPr>
        <w:t xml:space="preserve">e n</w:t>
      </w:r>
      <w:r>
        <w:rPr>
          <w:rFonts w:ascii="Times New Roman" w:hAnsi="Times New Roman" w:cs="Times New Roman"/>
          <w:sz w:val="22"/>
          <w:szCs w:val="22"/>
        </w:rPr>
        <w:t xml:space="preserve">o Decreto Municipal nº 11.685, de 14 de agosto de 2023, a estimativa de preços</w:t>
      </w:r>
      <w:r>
        <w:rPr>
          <w:rFonts w:ascii="Times New Roman" w:hAnsi="Times New Roman" w:cs="Times New Roman"/>
          <w:sz w:val="22"/>
          <w:szCs w:val="22"/>
        </w:rPr>
        <w:t xml:space="preserve"> para a presente contratação foi elaborada de forma criteriosa, técnica e fundamentada, com o objetivo de subsidiar a escolha da proposta mais vantajosa à Administração Pública, garantindo o adequado planejamento orçamentário e a eficiência da contratação.</w:t>
      </w:r>
      <w:r/>
    </w:p>
    <w:p w14:paraId="454EE2B0">
      <w:pPr>
        <w:pStyle w:val="2010"/>
        <w:pBdr/>
        <w:spacing/>
        <w:ind/>
        <w:jc w:val="both"/>
        <w:rPr/>
      </w:pPr>
      <w:r>
        <w:rPr>
          <w:rFonts w:ascii="Times New Roman" w:hAnsi="Times New Roman" w:cs="Times New Roman"/>
          <w:b/>
          <w:bCs/>
          <w:sz w:val="22"/>
          <w:szCs w:val="22"/>
          <w:lang w:val="pt-BR"/>
        </w:rPr>
        <w:t xml:space="preserve">13.2. </w:t>
      </w:r>
      <w:r>
        <w:rPr>
          <w:rFonts w:ascii="Times New Roman" w:hAnsi="Times New Roman" w:cs="Times New Roman"/>
          <w:b/>
          <w:bCs/>
          <w:sz w:val="22"/>
          <w:szCs w:val="22"/>
        </w:rPr>
        <w:t xml:space="preserve">A pesquisa de preços considerou, prioritariamente, fontes formais e fidedignas de mercado, sendo realizada por meio de:</w:t>
      </w:r>
      <w:r/>
    </w:p>
    <w:p w14:paraId="29C115B0">
      <w:pPr>
        <w:pStyle w:val="2010"/>
        <w:pBdr/>
        <w:spacing/>
        <w:ind/>
        <w:jc w:val="both"/>
        <w:rPr/>
      </w:pPr>
      <w:r>
        <w:rPr>
          <w:rFonts w:ascii="Times New Roman" w:hAnsi="Times New Roman" w:cs="Times New Roman"/>
          <w:b/>
          <w:bCs/>
          <w:sz w:val="22"/>
          <w:szCs w:val="22"/>
          <w:lang w:val="pt-BR"/>
        </w:rPr>
        <w:t xml:space="preserve">13.2.1.</w:t>
      </w:r>
      <w:r>
        <w:rPr>
          <w:rFonts w:ascii="Times New Roman" w:hAnsi="Times New Roman" w:cs="Times New Roman"/>
          <w:sz w:val="22"/>
          <w:szCs w:val="22"/>
          <w:lang w:val="pt-BR"/>
        </w:rPr>
        <w:t xml:space="preserve"> </w:t>
      </w:r>
      <w:r>
        <w:rPr>
          <w:rFonts w:ascii="Times New Roman" w:hAnsi="Times New Roman" w:cs="Times New Roman"/>
          <w:sz w:val="22"/>
          <w:szCs w:val="22"/>
        </w:rPr>
        <w:t xml:space="preserve">Consultas em plataformas oficiais de compras públicas, especialmente:</w:t>
      </w:r>
      <w:r/>
    </w:p>
    <w:p w14:paraId="65C50B80">
      <w:pPr>
        <w:pStyle w:val="2010"/>
        <w:pBdr/>
        <w:spacing/>
        <w:ind/>
        <w:jc w:val="both"/>
        <w:rPr/>
      </w:pPr>
      <w:r>
        <w:rPr>
          <w:rFonts w:ascii="Times New Roman" w:hAnsi="Times New Roman" w:cs="Times New Roman"/>
          <w:b/>
          <w:bCs/>
          <w:sz w:val="22"/>
          <w:szCs w:val="22"/>
          <w:lang w:val="pt-BR"/>
        </w:rPr>
        <w:t xml:space="preserve">13.2.1.1. </w:t>
      </w:r>
      <w:r>
        <w:rPr>
          <w:rFonts w:ascii="Times New Roman" w:hAnsi="Times New Roman" w:cs="Times New Roman"/>
          <w:sz w:val="22"/>
          <w:szCs w:val="22"/>
        </w:rPr>
        <w:t xml:space="preserve">Banco de Preços (consulta a contratações públicas anteriores com objetos similares);</w:t>
      </w:r>
      <w:r/>
    </w:p>
    <w:p w14:paraId="36E9C2F5">
      <w:pPr>
        <w:pStyle w:val="2010"/>
        <w:pBdr/>
        <w:spacing/>
        <w:ind/>
        <w:jc w:val="both"/>
        <w:rPr>
          <w:color w:val="000000"/>
        </w:rPr>
      </w:pPr>
      <w:r>
        <w:rPr>
          <w:rFonts w:ascii="Times New Roman" w:hAnsi="Times New Roman" w:cs="Times New Roman"/>
          <w:b/>
          <w:bCs/>
          <w:color w:val="000000"/>
          <w:sz w:val="22"/>
          <w:szCs w:val="22"/>
          <w:lang w:val="pt-BR"/>
        </w:rPr>
        <w:t xml:space="preserve">13.3.</w:t>
      </w:r>
      <w:r>
        <w:rPr>
          <w:rFonts w:ascii="Times New Roman" w:hAnsi="Times New Roman" w:cs="Times New Roman"/>
          <w:color w:val="000000"/>
          <w:sz w:val="22"/>
          <w:szCs w:val="22"/>
          <w:lang w:val="pt-BR"/>
        </w:rPr>
        <w:t xml:space="preserve"> </w:t>
      </w:r>
      <w:r>
        <w:rPr>
          <w:rFonts w:ascii="Times New Roman" w:hAnsi="Times New Roman" w:cs="Times New Roman"/>
          <w:color w:val="000000"/>
          <w:sz w:val="22"/>
          <w:szCs w:val="22"/>
        </w:rPr>
        <w:t xml:space="preserve">O levantamento seguiu os critérios estabelecidos n</w:t>
      </w:r>
      <w:r>
        <w:rPr>
          <w:rFonts w:ascii="Times New Roman" w:hAnsi="Times New Roman" w:cs="Times New Roman"/>
          <w:color w:val="000000"/>
          <w:sz w:val="22"/>
          <w:szCs w:val="22"/>
          <w:lang w:val="pt-BR"/>
        </w:rPr>
        <w:t xml:space="preserve">a</w:t>
      </w:r>
      <w:r>
        <w:rPr>
          <w:rFonts w:ascii="Times New Roman" w:hAnsi="Times New Roman" w:cs="Times New Roman"/>
          <w:color w:val="000000"/>
          <w:sz w:val="22"/>
          <w:szCs w:val="22"/>
        </w:rPr>
        <w:t xml:space="preserve"> Lei nº 14.133/2021, especialmente no que diz respeito à padronização das unidades de medida, especificações e condições de execução contratual, de modo a garantir a compatibilidade entre os </w:t>
      </w:r>
      <w:r>
        <w:rPr>
          <w:rFonts w:ascii="Times New Roman" w:hAnsi="Times New Roman" w:cs="Times New Roman"/>
          <w:color w:val="000000"/>
          <w:sz w:val="22"/>
          <w:szCs w:val="22"/>
          <w:lang w:val="pt-BR"/>
        </w:rPr>
        <w:t xml:space="preserve">materiais</w:t>
      </w:r>
      <w:r>
        <w:rPr>
          <w:rFonts w:ascii="Times New Roman" w:hAnsi="Times New Roman" w:cs="Times New Roman"/>
          <w:color w:val="000000"/>
          <w:sz w:val="22"/>
          <w:szCs w:val="22"/>
        </w:rPr>
        <w:t xml:space="preserve"> cotados. Foram desconsideradas as cotações que apresentaram valores excessivamente discrepantes da média, bem como aquelas que não atenderam aos requisitos formais de validade ou que apresentaram indícios de inexequibilidade.</w:t>
      </w:r>
      <w:r>
        <w:rPr>
          <w:color w:val="000000"/>
        </w:rPr>
      </w:r>
      <w:r>
        <w:rPr>
          <w:color w:val="000000"/>
        </w:rPr>
      </w:r>
    </w:p>
    <w:p w14:paraId="42FBD423">
      <w:pPr>
        <w:pStyle w:val="2010"/>
        <w:pBdr/>
        <w:spacing/>
        <w:ind/>
        <w:jc w:val="both"/>
        <w:rPr/>
      </w:pPr>
      <w:r>
        <w:rPr>
          <w:rFonts w:ascii="Times New Roman" w:hAnsi="Times New Roman" w:cs="Times New Roman"/>
          <w:b/>
          <w:bCs/>
          <w:sz w:val="22"/>
          <w:szCs w:val="22"/>
          <w:lang w:val="pt-BR"/>
        </w:rPr>
        <w:t xml:space="preserve">13.4. </w:t>
      </w:r>
      <w:r>
        <w:rPr>
          <w:rFonts w:ascii="Times New Roman" w:hAnsi="Times New Roman" w:cs="Times New Roman"/>
          <w:sz w:val="22"/>
          <w:szCs w:val="22"/>
        </w:rPr>
        <w:t xml:space="preserve">A média a</w:t>
      </w:r>
      <w:r>
        <w:rPr>
          <w:rFonts w:ascii="Times New Roman" w:hAnsi="Times New Roman" w:cs="Times New Roman"/>
          <w:sz w:val="22"/>
          <w:szCs w:val="22"/>
        </w:rPr>
        <w:t xml:space="preserve">ritmética dos valores obtidos, após análise técnica, foi utilizada como base para compor o valor estimado da contratação, conforme planilha anexa, assegurando-se a transparência e a razoabilidade da estimativa, em observância ao princípio da economicidade.</w:t>
      </w:r>
      <w:r/>
    </w:p>
    <w:p w14:paraId="23C7EBAF">
      <w:pPr>
        <w:pStyle w:val="2010"/>
        <w:pBdr/>
        <w:spacing/>
        <w:ind/>
        <w:jc w:val="both"/>
        <w:rPr/>
      </w:pPr>
      <w:r>
        <w:rPr>
          <w:rFonts w:ascii="Times New Roman" w:hAnsi="Times New Roman" w:cs="Times New Roman"/>
          <w:b/>
          <w:bCs/>
          <w:sz w:val="22"/>
          <w:szCs w:val="22"/>
          <w:lang w:val="pt-BR"/>
        </w:rPr>
        <w:t xml:space="preserve">13.5.</w:t>
      </w:r>
      <w:r>
        <w:rPr>
          <w:rFonts w:ascii="Times New Roman" w:hAnsi="Times New Roman" w:cs="Times New Roman"/>
          <w:sz w:val="22"/>
          <w:szCs w:val="22"/>
          <w:lang w:val="pt-BR"/>
        </w:rPr>
        <w:t xml:space="preserve"> </w:t>
      </w:r>
      <w:r>
        <w:rPr>
          <w:rFonts w:ascii="Times New Roman" w:hAnsi="Times New Roman" w:cs="Times New Roman"/>
          <w:sz w:val="22"/>
          <w:szCs w:val="22"/>
        </w:rPr>
        <w:t xml:space="preserve">A utilização de múltiplas fontes</w:t>
      </w:r>
      <w:r>
        <w:rPr>
          <w:rFonts w:ascii="Times New Roman" w:hAnsi="Times New Roman" w:cs="Times New Roman"/>
          <w:sz w:val="22"/>
          <w:szCs w:val="22"/>
        </w:rPr>
        <w:t xml:space="preserve">, como sites </w:t>
      </w:r>
      <w:r>
        <w:rPr>
          <w:rFonts w:ascii="Times New Roman" w:hAnsi="Times New Roman" w:cs="Times New Roman"/>
          <w:sz w:val="22"/>
          <w:szCs w:val="22"/>
        </w:rPr>
        <w:t xml:space="preserve">públic</w:t>
      </w:r>
      <w:r>
        <w:rPr>
          <w:rFonts w:ascii="Times New Roman" w:hAnsi="Times New Roman" w:cs="Times New Roman"/>
          <w:sz w:val="22"/>
          <w:szCs w:val="22"/>
        </w:rPr>
        <w:t xml:space="preserve">o</w:t>
      </w:r>
      <w:r>
        <w:rPr>
          <w:rFonts w:ascii="Times New Roman" w:hAnsi="Times New Roman" w:cs="Times New Roman"/>
          <w:sz w:val="22"/>
          <w:szCs w:val="22"/>
        </w:rPr>
        <w:t xml:space="preserve">s</w:t>
      </w:r>
      <w:r>
        <w:rPr>
          <w:rFonts w:ascii="Times New Roman" w:hAnsi="Times New Roman" w:cs="Times New Roman"/>
          <w:sz w:val="22"/>
          <w:szCs w:val="22"/>
        </w:rPr>
        <w:t xml:space="preserve">, </w:t>
      </w:r>
      <w:r>
        <w:rPr>
          <w:rFonts w:ascii="Times New Roman" w:hAnsi="Times New Roman" w:cs="Times New Roman"/>
          <w:sz w:val="22"/>
          <w:szCs w:val="22"/>
        </w:rPr>
        <w:t xml:space="preserve">reforça a robustez </w:t>
      </w:r>
      <w:r>
        <w:rPr>
          <w:rFonts w:ascii="Times New Roman" w:hAnsi="Times New Roman" w:cs="Times New Roman"/>
          <w:sz w:val="22"/>
          <w:szCs w:val="22"/>
        </w:rPr>
        <w:t xml:space="preserve">metodológica da pesquisa, contribuindo para uma tomada de decisão pautada em dados concretos, atualizados e verificáveis, em consonância com os princípios da legalidade, isonomia, planejamento, eficiência e vantajosidade que regem a Nova Lei de Licitações.</w:t>
      </w:r>
      <w:r/>
    </w:p>
    <w:p w14:paraId="4A7F8F56">
      <w:pPr>
        <w:pStyle w:val="2010"/>
        <w:pBdr/>
        <w:spacing/>
        <w:ind/>
        <w:jc w:val="both"/>
        <w:rPr>
          <w:rFonts w:ascii="Times New Roman" w:hAnsi="Times New Roman" w:cs="Times New Roman"/>
          <w:sz w:val="22"/>
          <w:szCs w:val="22"/>
        </w:rPr>
      </w:pPr>
      <w:r>
        <w:rPr>
          <w:rFonts w:ascii="Times New Roman" w:hAnsi="Times New Roman" w:cs="Times New Roman"/>
          <w:b/>
          <w:bCs/>
          <w:sz w:val="22"/>
          <w:szCs w:val="22"/>
          <w:lang w:val="pt-BR"/>
        </w:rPr>
        <w:t xml:space="preserve">13.6. </w:t>
      </w:r>
      <w:r>
        <w:rPr>
          <w:rFonts w:ascii="Times New Roman" w:hAnsi="Times New Roman" w:cs="Times New Roman"/>
          <w:sz w:val="22"/>
          <w:szCs w:val="22"/>
        </w:rPr>
        <w:t xml:space="preserve">Foi realizado pesquisa de preços em sites públicos com: </w:t>
      </w:r>
      <w:r>
        <w:rPr>
          <w:rFonts w:ascii="Times New Roman" w:hAnsi="Times New Roman" w:cs="Times New Roman"/>
          <w:sz w:val="22"/>
          <w:szCs w:val="22"/>
        </w:rPr>
      </w:r>
      <w:r>
        <w:rPr>
          <w:rFonts w:ascii="Times New Roman" w:hAnsi="Times New Roman" w:cs="Times New Roman"/>
          <w:sz w:val="22"/>
          <w:szCs w:val="22"/>
        </w:rPr>
      </w:r>
    </w:p>
    <w:p w14:paraId="76622B3F">
      <w:pPr>
        <w:pStyle w:val="2010"/>
        <w:pBdr/>
        <w:spacing/>
        <w:ind/>
        <w:jc w:val="both"/>
        <w:rPr/>
      </w:pPr>
      <w:r>
        <w:rPr>
          <w:rFonts w:ascii="Times New Roman" w:hAnsi="Times New Roman" w:cs="Times New Roman"/>
          <w:b/>
          <w:bCs/>
          <w:sz w:val="22"/>
          <w:szCs w:val="22"/>
          <w:lang w:val="pt-BR"/>
        </w:rPr>
        <w:t xml:space="preserve">13.6.1</w:t>
      </w:r>
      <w:r>
        <w:rPr>
          <w:rFonts w:ascii="Times New Roman" w:hAnsi="Times New Roman" w:cs="Times New Roman"/>
          <w:sz w:val="22"/>
          <w:szCs w:val="22"/>
          <w:lang w:val="pt-BR"/>
        </w:rPr>
        <w:t xml:space="preserve">. </w:t>
      </w:r>
      <w:r>
        <w:rPr>
          <w:rFonts w:ascii="Times New Roman" w:hAnsi="Times New Roman" w:cs="Times New Roman"/>
          <w:sz w:val="22"/>
          <w:szCs w:val="22"/>
        </w:rPr>
        <w:t xml:space="preserve">Banco de Preços (consulta a contratações públicas anteriores com objetos similares);</w:t>
      </w:r>
      <w:r/>
    </w:p>
    <w:p w14:paraId="4E381AE4">
      <w:pPr>
        <w:pStyle w:val="2010"/>
        <w:pBdr/>
        <w:spacing/>
        <w:ind/>
        <w:jc w:val="both"/>
        <w:rPr>
          <w:sz w:val="10"/>
          <w:szCs w:val="10"/>
        </w:rPr>
      </w:pPr>
      <w:r>
        <w:rPr>
          <w:sz w:val="10"/>
          <w:szCs w:val="10"/>
        </w:rPr>
      </w:r>
      <w:r>
        <w:rPr>
          <w:sz w:val="10"/>
          <w:szCs w:val="10"/>
        </w:rPr>
      </w:r>
      <w:r>
        <w:rPr>
          <w:sz w:val="10"/>
          <w:szCs w:val="10"/>
        </w:rPr>
      </w:r>
    </w:p>
    <w:tbl>
      <w:tblPr>
        <w:tblInd w:w="-5" w:type="dxa"/>
        <w:tblW w:w="10721" w:type="dxa"/>
        <w:tblCellMar>
          <w:left w:w="70" w:type="dxa"/>
          <w:right w:w="70" w:type="dxa"/>
        </w:tblCellMar>
        <w:tblBorders/>
        <w:tblLayout w:type="fixed"/>
        <w:tblLook w:val="04A0" w:firstRow="1" w:lastRow="0" w:firstColumn="1" w:lastColumn="0" w:noHBand="0" w:noVBand="1"/>
      </w:tblPr>
      <w:tblGrid>
        <w:gridCol w:w="567"/>
        <w:gridCol w:w="709"/>
        <w:gridCol w:w="709"/>
        <w:gridCol w:w="3685"/>
        <w:gridCol w:w="709"/>
        <w:gridCol w:w="567"/>
        <w:gridCol w:w="709"/>
        <w:gridCol w:w="709"/>
        <w:gridCol w:w="708"/>
        <w:gridCol w:w="851"/>
        <w:gridCol w:w="798"/>
      </w:tblGrid>
      <w:tr>
        <w:trPr>
          <w:trHeight w:val="342"/>
        </w:trPr>
        <w:tc>
          <w:tcPr>
            <w:shd w:val="clear" w:color="ffffff" w:fill="d9d9d9"/>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97B7288">
            <w:pPr>
              <w:pBdr/>
              <w:spacing/>
              <w:ind/>
              <w:jc w:val="center"/>
              <w:rPr>
                <w:rFonts w:ascii="Times New Roman" w:hAnsi="Times New Roman" w:cs="Times New Roman"/>
                <w:b/>
                <w:sz w:val="11"/>
                <w:szCs w:val="11"/>
              </w:rPr>
            </w:pPr>
            <w:r>
              <w:rPr>
                <w:rFonts w:ascii="Times New Roman" w:hAnsi="Times New Roman" w:cs="Times New Roman"/>
                <w:b/>
                <w:sz w:val="11"/>
                <w:szCs w:val="11"/>
              </w:rPr>
              <w:t xml:space="preserve">ITEM</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3052659">
            <w:pPr>
              <w:pBdr/>
              <w:spacing/>
              <w:ind/>
              <w:jc w:val="center"/>
              <w:rPr>
                <w:b/>
                <w:sz w:val="11"/>
                <w:szCs w:val="11"/>
              </w:rPr>
            </w:pPr>
            <w:r>
              <w:rPr>
                <w:rFonts w:ascii="Times New Roman" w:hAnsi="Times New Roman" w:cs="Times New Roman"/>
                <w:b/>
                <w:sz w:val="11"/>
                <w:szCs w:val="11"/>
              </w:rPr>
              <w:t xml:space="preserve">CÓDIGO AGILI</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tcBorders>
            <w:tcW w:w="709" w:type="dxa"/>
            <w:vAlign w:val="center"/>
            <w:textDirection w:val="lrTb"/>
            <w:noWrap w:val="false"/>
          </w:tcPr>
          <w:p w14:paraId="67716603">
            <w:pPr>
              <w:pBdr/>
              <w:spacing/>
              <w:ind/>
              <w:jc w:val="center"/>
              <w:rPr>
                <w:b/>
                <w:sz w:val="11"/>
                <w:szCs w:val="11"/>
              </w:rPr>
            </w:pPr>
            <w:r>
              <w:rPr>
                <w:rFonts w:ascii="Times New Roman" w:hAnsi="Times New Roman" w:cs="Times New Roman"/>
                <w:b/>
                <w:sz w:val="11"/>
                <w:szCs w:val="11"/>
              </w:rPr>
              <w:t xml:space="preserve">CÓDIGO TCE</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tcBorders>
            <w:tcW w:w="3685" w:type="dxa"/>
            <w:vAlign w:val="center"/>
            <w:textDirection w:val="lrTb"/>
            <w:noWrap w:val="false"/>
          </w:tcPr>
          <w:p w14:paraId="534802AD">
            <w:pPr>
              <w:pBdr/>
              <w:spacing/>
              <w:ind w:left="220"/>
              <w:jc w:val="center"/>
              <w:rPr>
                <w:b/>
                <w:sz w:val="11"/>
                <w:szCs w:val="11"/>
              </w:rPr>
            </w:pPr>
            <w:r>
              <w:rPr>
                <w:rFonts w:ascii="Times New Roman" w:hAnsi="Times New Roman" w:cs="Times New Roman"/>
                <w:b/>
                <w:sz w:val="11"/>
                <w:szCs w:val="11"/>
              </w:rPr>
              <w:t xml:space="preserve">DESCRIÇÃO</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A19B9DA">
            <w:pPr>
              <w:pBdr/>
              <w:spacing/>
              <w:ind/>
              <w:jc w:val="center"/>
              <w:rPr>
                <w:b/>
                <w:bCs/>
                <w:sz w:val="11"/>
                <w:szCs w:val="11"/>
              </w:rPr>
            </w:pPr>
            <w:r>
              <w:rPr>
                <w:rFonts w:ascii="Times New Roman" w:hAnsi="Times New Roman" w:cs="Times New Roman"/>
                <w:b/>
                <w:bCs/>
                <w:sz w:val="11"/>
                <w:szCs w:val="11"/>
              </w:rPr>
              <w:t xml:space="preserve">UNI. MEDIDA</w:t>
            </w:r>
            <w:r>
              <w:rPr>
                <w:b/>
                <w:bCs/>
                <w:sz w:val="11"/>
                <w:szCs w:val="11"/>
              </w:rPr>
            </w:r>
            <w:r>
              <w:rPr>
                <w:b/>
                <w:bCs/>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23A5AAA1">
            <w:pPr>
              <w:pBdr/>
              <w:spacing/>
              <w:ind/>
              <w:jc w:val="center"/>
              <w:rPr>
                <w:b/>
                <w:sz w:val="11"/>
                <w:szCs w:val="11"/>
              </w:rPr>
            </w:pPr>
            <w:r>
              <w:rPr>
                <w:rFonts w:ascii="Times New Roman" w:hAnsi="Times New Roman" w:cs="Times New Roman"/>
                <w:b/>
                <w:sz w:val="11"/>
                <w:szCs w:val="11"/>
              </w:rPr>
              <w:t xml:space="preserve">QTD</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6D2D7E4">
            <w:pPr>
              <w:pBdr/>
              <w:tabs>
                <w:tab w:val="left" w:leader="none" w:pos="1035"/>
              </w:tabs>
              <w:spacing/>
              <w:ind/>
              <w:jc w:val="center"/>
              <w:rPr>
                <w:rFonts w:eastAsia="Calibri"/>
                <w:b/>
                <w:color w:val="000000"/>
                <w:sz w:val="11"/>
                <w:szCs w:val="11"/>
              </w:rPr>
            </w:pPr>
            <w:r>
              <w:rPr>
                <w:rFonts w:ascii="Times New Roman" w:hAnsi="Times New Roman" w:eastAsia="Calibri" w:cs="Times New Roman"/>
                <w:b/>
                <w:color w:val="000000"/>
                <w:sz w:val="11"/>
                <w:szCs w:val="11"/>
              </w:rPr>
              <w:t xml:space="preserve">COTAÇÃO 01</w:t>
            </w:r>
            <w:r>
              <w:rPr>
                <w:rFonts w:eastAsia="Calibri"/>
                <w:b/>
                <w:color w:val="000000"/>
                <w:sz w:val="11"/>
                <w:szCs w:val="11"/>
              </w:rPr>
            </w:r>
            <w:r>
              <w:rPr>
                <w:rFonts w:eastAsia="Calibri"/>
                <w:b/>
                <w:color w:val="000000"/>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8DD8A8E">
            <w:pPr>
              <w:pBdr/>
              <w:spacing/>
              <w:ind/>
              <w:jc w:val="center"/>
              <w:rPr>
                <w:b/>
                <w:sz w:val="11"/>
                <w:szCs w:val="11"/>
              </w:rPr>
            </w:pPr>
            <w:r>
              <w:rPr>
                <w:rFonts w:ascii="Times New Roman" w:hAnsi="Times New Roman" w:cs="Times New Roman"/>
                <w:b/>
                <w:sz w:val="11"/>
                <w:szCs w:val="11"/>
              </w:rPr>
              <w:t xml:space="preserve">COTAÇÃO 02</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7BCA7554">
            <w:pPr>
              <w:pBdr/>
              <w:spacing/>
              <w:ind/>
              <w:jc w:val="center"/>
              <w:rPr>
                <w:b/>
                <w:sz w:val="11"/>
                <w:szCs w:val="11"/>
              </w:rPr>
            </w:pPr>
            <w:r>
              <w:rPr>
                <w:rFonts w:ascii="Times New Roman" w:hAnsi="Times New Roman" w:cs="Times New Roman"/>
                <w:b/>
                <w:sz w:val="11"/>
                <w:szCs w:val="11"/>
              </w:rPr>
              <w:t xml:space="preserve">COTAÇÃO 03</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tcBorders>
            <w:tcW w:w="851" w:type="dxa"/>
            <w:vAlign w:val="center"/>
            <w:textDirection w:val="lrTb"/>
            <w:noWrap w:val="false"/>
          </w:tcPr>
          <w:p w14:paraId="3764CA72">
            <w:pPr>
              <w:pBdr/>
              <w:spacing/>
              <w:ind/>
              <w:jc w:val="center"/>
              <w:rPr>
                <w:b/>
                <w:sz w:val="11"/>
                <w:szCs w:val="11"/>
              </w:rPr>
            </w:pPr>
            <w:r>
              <w:rPr>
                <w:rFonts w:ascii="Times New Roman" w:hAnsi="Times New Roman" w:cs="Times New Roman"/>
                <w:b/>
                <w:sz w:val="11"/>
                <w:szCs w:val="11"/>
              </w:rPr>
              <w:t xml:space="preserve">MÉDIA</w:t>
            </w:r>
            <w:r>
              <w:rPr>
                <w:b/>
                <w:sz w:val="11"/>
                <w:szCs w:val="11"/>
              </w:rPr>
            </w:r>
            <w:r>
              <w:rPr>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024BCF06">
            <w:pPr>
              <w:pBdr/>
              <w:spacing/>
              <w:ind/>
              <w:jc w:val="center"/>
              <w:rPr>
                <w:b/>
                <w:sz w:val="11"/>
                <w:szCs w:val="11"/>
              </w:rPr>
            </w:pPr>
            <w:r>
              <w:rPr>
                <w:rFonts w:ascii="Times New Roman" w:hAnsi="Times New Roman" w:cs="Times New Roman"/>
                <w:b/>
                <w:sz w:val="11"/>
                <w:szCs w:val="11"/>
              </w:rPr>
              <w:t xml:space="preserve">VALOR TOTAL</w:t>
            </w:r>
            <w:r>
              <w:rPr>
                <w:b/>
                <w:sz w:val="11"/>
                <w:szCs w:val="11"/>
              </w:rPr>
            </w:r>
            <w:r>
              <w:rPr>
                <w:b/>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3160F2C4">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7EE56F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129182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2E26B76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00035815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7C2F381B">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APARELHO INFRAVERMELHO COM PEDESTAL PARA FISIOTERAPIA - APARELHO PARA TRATAMENTOS DE TERMOTERAPIA, POTÊNCIA MÍNIMA DE 150W FREQUÊNCIA, VOLTAGEM 110V OU BIVOLT, FREQUÊ</w:t>
            </w:r>
            <w:r>
              <w:rPr>
                <w:rFonts w:ascii="Times New Roman" w:hAnsi="Times New Roman" w:cs="Times New Roman"/>
                <w:color w:val="000000"/>
                <w:sz w:val="10"/>
                <w:szCs w:val="10"/>
              </w:rPr>
              <w:t xml:space="preserve">NCIA 60HZ, COM DIMER PARA REGULAGEM DA INTENSIDADE LUMINOSA, DIMENSÕES APROXIMADAS: BASE DE 56 X 56 CM. ALTURA REGULÁVEL, MÍNIMA DE 1M AJUSTÁVEL PARA NO MÍNIMO 1,50 M. POSSUIR RECURSO DE AQUECIMENTO SUPERFICIAL ATRAVÉS DA APLICAÇÃO DE BANHO DE LUZ INFRAVER</w:t>
            </w:r>
            <w:r>
              <w:rPr>
                <w:rFonts w:ascii="Times New Roman" w:hAnsi="Times New Roman" w:cs="Times New Roman"/>
                <w:color w:val="000000"/>
                <w:sz w:val="10"/>
                <w:szCs w:val="10"/>
              </w:rPr>
              <w:t xml:space="preserve">MELHO. APARELHO CONSTITUÍDO POR NO MÍNIMO: LÂMPADA DE INFRA VERMELHO, UM PEDESTAL SOBRE BASE DE POLIETILENO INJETADO DE ALTO IMPACTO, DOTADO DE 4 PÉS DESMONTÁVEIS, COM RODÍZIOS GIRATÓRIOS E HASTE DE SUSTENTAÇÃO FLEXÍVEL E UM REFLETOR DE ALUMÍNIO ANODIZADO.</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1714C44">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4CDCB038">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4D6146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R$ 2.162,16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01701E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R$ 2.233,00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4F757218">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R$ 2.380,32</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066D15CB">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R$ 2.258,4933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49F418DE">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R$ 27.101,92</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0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7BF450F">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256D51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126946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45AEAE8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270504-4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2478CE4C">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BASTÃO PARA GINÁSTICA, MEDINDO: 100 X 3 CM, PESO APROXIMADO DE 3 KG, CONFECCIONADO EM PVC, COM PONTEIRAS DE BORRACHA. PRODUTO PRÓPRIO PARA PRÁTICA DE EXERCÍCIOS.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50C3F9B">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53C05B36">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155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8C85CE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R$ 41,12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215771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R$ 67,00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0ABF0860">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R$ 74,00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0C93DD16">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R$ 60,7067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6DAE8526">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R$ 9.409,54</w:t>
            </w:r>
            <w:r>
              <w:rPr>
                <w:rFonts w:ascii="Times New Roman" w:hAnsi="Times New Roman" w:cs="Times New Roman"/>
                <w:sz w:val="11"/>
                <w:szCs w:val="11"/>
              </w:rPr>
            </w:r>
            <w:r>
              <w:rPr>
                <w:rFonts w:ascii="Times New Roman" w:hAnsi="Times New Roman" w:cs="Times New Roman"/>
                <w:sz w:val="11"/>
                <w:szCs w:val="11"/>
              </w:rPr>
            </w:r>
          </w:p>
        </w:tc>
      </w:tr>
      <w:tr>
        <w:trPr>
          <w:trHeight w:val="299"/>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44A665FB">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2FE504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127512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0CE4510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167780-2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6CF67B03">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BOLA BOBATH, MEDINDO NO MÍNIMO 75CM DE DIÂMETRO, CONFECCIONADA EM PLÁSTICO INFLÁVEL DE ALTA RESISTÊNCIA. ACONDICIONADA EM EMBALAGEM PLÁSTICA. ACOMPANHA BOMBA DE INFLAR.</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F68D439">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55EAC21F">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90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3EF31AC">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R$ 190,00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4C48BC8">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R$ 225,00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19B9C543">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R$ 228,38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5FC3F46A">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R$ 214,4600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593A5FCA">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R$ 19.301,40</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1ECC5B30">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AABCFB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123639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174898B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00084399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7A8F05C0">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BOLA OFICIAL PARA VÔLEI 12 GOMOS, LAMINADO CONFECCIONADO EM PU SUPER SOFT, TECNOLOGIA MENOR ABSORÇÃO DE ÁGUA; CIRCUNFERÊNCIA ENTRE 65 A 67 CM, PESO 260 A 280 G, ULTRA FUSION; MIOLO CÁPSULA SIS OU SIMILAR QUE PROTEJA A CÂMARA DE RUPTURAS;</w:t>
            </w:r>
            <w:r>
              <w:rPr>
                <w:rFonts w:ascii="Times New Roman" w:hAnsi="Times New Roman" w:cs="Times New Roman"/>
                <w:color w:val="000000"/>
                <w:sz w:val="10"/>
                <w:szCs w:val="10"/>
              </w:rPr>
              <w:t xml:space="preserve"> CÂMARA COM AMORTECIMENTO INTERNO DE 6 DISCOS; CAMADA INTERNA EVACEL; SISTEMA DE FORRO TERMOFIXO; DUPLA COLAGEM. O PRODUTO DEVERÁ CONTER IDENTIFICAÇÃO, MARCA DO FABRICANTE E GARANTIA DO FORNECEDOR CONTRA DEFEITO DE FABRICAÇÃO.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AE04B17">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1659BAA8">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105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1EC5A1D">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R$ 169,00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DD7FA4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R$ 191,00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76033272">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R$ 200,00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235782D5">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R$ 186,6667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36600A9C">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R$ 19.600,00</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46E9AFF0">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FA3652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126286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4428B15B">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424594-6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793C1AAD">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BOLA PARA FUTEBOL DE CAMPO 12 GOMOS, LAMINADO CONFECCIONADO EM PU POLIURETANO; CIRCUNFERÊNCIA 68 A 70 CM; PESO 410 A 450 G; TECNOLOGIA ULTRA FUSION OU 0% ABSORÇÃO DE ÁGUA; SISTEMA DE FORRO TERMOFIXO, CAMADA INTERNA EVACEL, DUPLA COLAG</w:t>
            </w:r>
            <w:r>
              <w:rPr>
                <w:rFonts w:ascii="Times New Roman" w:hAnsi="Times New Roman" w:cs="Times New Roman"/>
                <w:color w:val="000000"/>
                <w:sz w:val="10"/>
                <w:szCs w:val="10"/>
              </w:rPr>
              <w:t xml:space="preserve">EM, MIOLO CÁPSULA SIS OU SIMILAR QUE PROTEJA A CÂMARA DE RUPTURAS; CÂMARA COM AMORTECIMENTO INTERNO DE 6 DISCOS. O PRODUTO DEVERÁ CONTER IDENTIFICAÇÃO, MARCA DO FABRICANTE E GARANTIA DO FORNECEDOR CONTRA DEFEITO DE FABRICAÇÃO.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C404111">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2186A5B4">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105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484BA83">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R$ 347,50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C1DCAB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R$ 380,00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3917C856">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R$ 399,50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1A19DAF7">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R$ 375,6667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47EA6459">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R$ 39.445,00</w:t>
            </w:r>
            <w:r>
              <w:rPr>
                <w:rFonts w:ascii="Times New Roman" w:hAnsi="Times New Roman" w:cs="Times New Roman"/>
                <w:sz w:val="11"/>
                <w:szCs w:val="11"/>
              </w:rPr>
            </w:r>
            <w:r>
              <w:rPr>
                <w:rFonts w:ascii="Times New Roman" w:hAnsi="Times New Roman" w:cs="Times New Roman"/>
                <w:sz w:val="11"/>
                <w:szCs w:val="11"/>
              </w:rPr>
            </w:r>
          </w:p>
        </w:tc>
      </w:tr>
      <w:tr>
        <w:trPr>
          <w:trHeight w:val="614"/>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5C3262AC">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A443BE0">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126949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07515BC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00060056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5173132E">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CAMA ELÁSTICA TIPO MINI JUMP. PRODUZIDO COM 36 MOLAS, 6 </w:t>
            </w:r>
            <w:r>
              <w:rPr>
                <w:rFonts w:ascii="Times New Roman" w:hAnsi="Times New Roman" w:cs="Times New Roman"/>
                <w:color w:val="000000"/>
                <w:sz w:val="10"/>
                <w:szCs w:val="10"/>
              </w:rPr>
              <w:t xml:space="preserve">PÉS FIXOS EM AÇO CARBONO COM PONTEIRAS GRANDES EMBORRACHADAS ANTIDERRAPANTES, TELA DE ALTA RESISTÊNCIA, CAPA PROTETORA PARA AS MOLAS. MEDIDAS MÍNIMAS: 98 CM DE COMPRIMENTO, 20 M DE ALTURA, ÁREA DE SALTO DE 78 CM DE DIÂMETRO. DEVE SUPORTAR NO MÍNIMO 180 KG.</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5D946F0">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7D2A5DE5">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B3FE55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R$ 750,00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A5B623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R$ 755,00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00B03287">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R$ 756,15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249EC621">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R$ 753,7167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38BA497B">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R$ 90.446,00</w:t>
            </w:r>
            <w:r>
              <w:rPr>
                <w:rFonts w:ascii="Times New Roman" w:hAnsi="Times New Roman" w:cs="Times New Roman"/>
                <w:sz w:val="11"/>
                <w:szCs w:val="11"/>
              </w:rPr>
            </w:r>
            <w:r>
              <w:rPr>
                <w:rFonts w:ascii="Times New Roman" w:hAnsi="Times New Roman" w:cs="Times New Roman"/>
                <w:sz w:val="11"/>
                <w:szCs w:val="11"/>
              </w:rPr>
            </w:r>
          </w:p>
        </w:tc>
      </w:tr>
      <w:tr>
        <w:trPr>
          <w:trHeight w:val="23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21D8760F">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215C25B">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125488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7700F68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281312-2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473E0E4E">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COLCHONETE, ANTIÁCARO E ANTIALÉRGICO. DENSIDADE MÍNIMA 33, REVESTIMENTO EM NAPA, MATERIAL ESPUMA, MEDIDAS MÍNIMAS: 100 CM </w:t>
            </w:r>
            <w:r>
              <w:rPr>
                <w:rFonts w:ascii="Times New Roman" w:hAnsi="Times New Roman" w:cs="Times New Roman"/>
                <w:color w:val="000000"/>
                <w:sz w:val="10"/>
                <w:szCs w:val="10"/>
              </w:rPr>
              <w:t xml:space="preserve">DE COMPRIMENTO X 60 CM DE LARGURA E 3 CM DE ESPESSURA.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D858F0B">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3AE47A8C">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375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B800946">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R$ 134,99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9CF12B0">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R$ 136,36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2520864B">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R$ 143,90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481BEABD">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R$ 138,4167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308F9355">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R$ 51.906,26</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34D7D520">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EA16A2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20760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61575941">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351448-0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2E39FEC2">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CONE ESPORTIVO/PRATO DE MARCAÇÃO/CHAPÉU CHINÊS FABRIC</w:t>
            </w:r>
            <w:r>
              <w:rPr>
                <w:rFonts w:ascii="Times New Roman" w:hAnsi="Times New Roman" w:cs="Times New Roman"/>
                <w:color w:val="000000"/>
                <w:sz w:val="10"/>
                <w:szCs w:val="10"/>
              </w:rPr>
              <w:t xml:space="preserve">ADO EM PVC FLEXÍVEL, MEDIDAS APROXIMADAS 19 CM DE DIÂMETRO EXTERNO, 5 CM DE DIÂMETRO DO FURO E DE 8 CM DE ALTURA. O PRODUTO DEVERÁ CONTER IDENTIFICAÇÃO, MARCA DO FABRICANTE E GARANTIA DO FORNECEDOR CONTRA DEFEITO DE FABRICAÇÃO.COR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450CE98">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C44E061">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450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777C55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44CFA2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03190DD6">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R$ 24,00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1558B549">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R$ 19,6667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3EBAE9E1">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R$ 8.850,02</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338DADB9">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B0D21D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129566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7D0F676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352539-2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6B063A60">
            <w:pPr>
              <w:pBdr/>
              <w:spacing/>
              <w:ind/>
              <w:jc w:val="both"/>
              <w:rPr>
                <w:rFonts w:ascii="Times New Roman" w:hAnsi="Times New Roman" w:eastAsia="Calibri" w:cs="Times New Roman"/>
                <w:sz w:val="10"/>
                <w:szCs w:val="10"/>
                <w:lang w:val="pt-BR"/>
              </w:rPr>
            </w:pPr>
            <w:r>
              <w:rPr>
                <w:rFonts w:ascii="Times New Roman" w:hAnsi="Times New Roman" w:cs="Times New Roman"/>
                <w:color w:val="222222"/>
                <w:sz w:val="10"/>
                <w:szCs w:val="10"/>
              </w:rPr>
              <w:t xml:space="preserve">CONE VAGINAL – CONJUNTO COM 5 UNIDADES. EM SILICONE MÉDICO PARA USO INTERNO. HIPOALERGENICO. FÁCIL HIGIENIZAÇÃO. PARA CONES MAIS PESADOS O MATERIAL SERIA PLAS</w:t>
            </w:r>
            <w:r>
              <w:rPr>
                <w:rFonts w:ascii="Times New Roman" w:hAnsi="Times New Roman" w:cs="Times New Roman"/>
                <w:color w:val="222222"/>
                <w:sz w:val="10"/>
                <w:szCs w:val="10"/>
              </w:rPr>
              <w:t xml:space="preserve">TICO ABS. OS PESOS PODEM SER DE CHUMBO ENCAPSULADO, AÇO INOX E LIGA METALICA DE ALTA DENSIDADE. DEVE CONTER UM CORDÃO DE REMOÇÃO COMO ABSORVENTE INTIMO. DEVE APRESENTAR PESOS VARIADOS ENTRE 20G E 100G. COM CORES E NUMERAÇÕES PARA IDENTIFICAÇÃO DOS PESOS.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A09AD95">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7838D10B">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490AAEB">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R$ 87,43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2B79E5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R$ 121,83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2796CD1F">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R$ 126,15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16BB5AE5">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R$ 111,8033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5175EB14">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R$ 894,43</w:t>
            </w:r>
            <w:r>
              <w:rPr>
                <w:rFonts w:ascii="Times New Roman" w:hAnsi="Times New Roman" w:cs="Times New Roman"/>
                <w:sz w:val="11"/>
                <w:szCs w:val="11"/>
              </w:rPr>
            </w:r>
            <w:r>
              <w:rPr>
                <w:rFonts w:ascii="Times New Roman" w:hAnsi="Times New Roman" w:cs="Times New Roman"/>
                <w:sz w:val="11"/>
                <w:szCs w:val="11"/>
              </w:rPr>
            </w:r>
          </w:p>
        </w:tc>
      </w:tr>
      <w:tr>
        <w:trPr>
          <w:trHeight w:val="169"/>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7A888CBC">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A924063">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116773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1A88D590">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274201-2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08288D89">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CORDA DE PULAR, TAMANHO MÍNIMO DE 03 METROS, CONFECCIONADA EM POLIPROPILENO E PVC, ROLAMENTO AJUSTÁVEL COM CABO. PRODUTO INDICADO PARA PRÁTICAS ESPORTIVAS E LÚDICAS.</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74319D0">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05B234A">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0DB832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R$ 65,24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7E05531">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R$ 74,00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27810045">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7F6BD2B7">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R$ 71,7467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22ED8022">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R$ 14.349,34</w:t>
            </w:r>
            <w:r>
              <w:rPr>
                <w:rFonts w:ascii="Times New Roman" w:hAnsi="Times New Roman" w:cs="Times New Roman"/>
                <w:sz w:val="11"/>
                <w:szCs w:val="11"/>
              </w:rPr>
            </w:r>
            <w:r>
              <w:rPr>
                <w:rFonts w:ascii="Times New Roman" w:hAnsi="Times New Roman" w:cs="Times New Roman"/>
                <w:sz w:val="11"/>
                <w:szCs w:val="11"/>
              </w:rPr>
            </w:r>
          </w:p>
        </w:tc>
      </w:tr>
      <w:tr>
        <w:trPr>
          <w:trHeight w:val="38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32A99FAE">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BB65906">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129570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701CA97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140759-7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35366035">
            <w:pPr>
              <w:pBdr/>
              <w:spacing/>
              <w:ind/>
              <w:jc w:val="both"/>
              <w:rPr>
                <w:rFonts w:ascii="Times New Roman" w:hAnsi="Times New Roman" w:eastAsia="Calibri" w:cs="Times New Roman"/>
                <w:sz w:val="10"/>
                <w:szCs w:val="10"/>
                <w:lang w:val="pt-BR"/>
              </w:rPr>
            </w:pPr>
            <w:r>
              <w:rPr>
                <w:rFonts w:ascii="Times New Roman" w:hAnsi="Times New Roman" w:cs="Times New Roman"/>
                <w:color w:val="222222"/>
                <w:sz w:val="10"/>
                <w:szCs w:val="10"/>
              </w:rPr>
              <w:t xml:space="preserve">DILATADOR VAGINAL- KIT CONTENDO 3 UNIDADES.  DEVE POSSUIR 3 TAMANHOS VARIADOS, PORÉM EM PORÇÕES DIFERENTE NO MESMO EQUIPAMENTO. MATERIAL DE SILICONE DE GRAU MEDICO 100% ATOXICO. COR A ESCOLHA DO FABRICANTE.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DA46853">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5D2758AA">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811996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R$ 119,90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4E6A66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R$ 158,06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518F6144">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R$ 310,00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6FCF96D6">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R$ 195,9867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13CFE132">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R$ 1.567,89</w:t>
            </w:r>
            <w:r>
              <w:rPr>
                <w:rFonts w:ascii="Times New Roman" w:hAnsi="Times New Roman" w:cs="Times New Roman"/>
                <w:sz w:val="11"/>
                <w:szCs w:val="11"/>
              </w:rPr>
            </w:r>
            <w:r>
              <w:rPr>
                <w:rFonts w:ascii="Times New Roman" w:hAnsi="Times New Roman" w:cs="Times New Roman"/>
                <w:sz w:val="11"/>
                <w:szCs w:val="11"/>
              </w:rPr>
            </w:r>
          </w:p>
        </w:tc>
      </w:tr>
      <w:tr>
        <w:trPr>
          <w:trHeight w:val="7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7FBDAAE6">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12C3E97">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eastAsia="Aptos Narrow" w:cs="Times New Roman"/>
                <w:color w:val="000000"/>
                <w:sz w:val="11"/>
                <w:szCs w:val="11"/>
                <w:lang w:val="en-US" w:eastAsia="zh-CN" w:bidi="ar"/>
              </w:rPr>
              <w:t xml:space="preserve">1162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09F23079">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eastAsia="Aptos Narrow" w:cs="Times New Roman"/>
                <w:color w:val="000000"/>
                <w:sz w:val="11"/>
                <w:szCs w:val="11"/>
                <w:lang w:val="en-US" w:eastAsia="zh-CN" w:bidi="ar"/>
              </w:rPr>
              <w:t xml:space="preserve">412499-5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676B88D5">
            <w:pPr>
              <w:widowControl w:val="true"/>
              <w:pBdr/>
              <w:spacing/>
              <w:ind/>
              <w:jc w:val="both"/>
              <w:rPr>
                <w:rFonts w:ascii="Times New Roman" w:hAnsi="Times New Roman" w:eastAsia="Calibri" w:cs="Times New Roman"/>
                <w:sz w:val="10"/>
                <w:szCs w:val="10"/>
                <w:lang w:val="pt-BR"/>
              </w:rPr>
            </w:pPr>
            <w:r>
              <w:rPr>
                <w:rFonts w:ascii="Times New Roman" w:hAnsi="Times New Roman" w:eastAsia="Aptos Narrow" w:cs="Times New Roman"/>
                <w:color w:val="000000"/>
                <w:sz w:val="10"/>
                <w:szCs w:val="10"/>
                <w:lang w:val="en-US" w:eastAsia="zh-CN" w:bidi="ar"/>
              </w:rPr>
              <w:t xml:space="preserve">ELETRODO MÉDICO APARELHO PARA MONITORIZAÇÃO CARDÍACA ADULTO, DESCARTÁVEL, COM GEL SÓLIDO, ATÓXICO E HIPOALERGÊNICO.</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B0ECA75">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51BD5378">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6540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566EA2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R$ 26,80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BE79FD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R$ 27,90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7B2DE6E6">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R$ 33,32</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78122C1A">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R$ 29,3400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6BC9E0C6">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R$ 191.883,60</w:t>
            </w:r>
            <w:r>
              <w:rPr>
                <w:rFonts w:ascii="Times New Roman" w:hAnsi="Times New Roman" w:cs="Times New Roman"/>
                <w:sz w:val="11"/>
                <w:szCs w:val="11"/>
              </w:rPr>
            </w:r>
            <w:r>
              <w:rPr>
                <w:rFonts w:ascii="Times New Roman" w:hAnsi="Times New Roman" w:cs="Times New Roman"/>
                <w:sz w:val="11"/>
                <w:szCs w:val="11"/>
              </w:rPr>
            </w:r>
          </w:p>
        </w:tc>
      </w:tr>
      <w:tr>
        <w:trPr>
          <w:trHeight w:val="25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47B4CED8">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2A29BC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117930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0AF3F91B">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237008-5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74DE7611">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EQUIPAMEN</w:t>
            </w:r>
            <w:r>
              <w:rPr>
                <w:rFonts w:ascii="Times New Roman" w:hAnsi="Times New Roman" w:cs="Times New Roman"/>
                <w:color w:val="000000"/>
                <w:sz w:val="10"/>
                <w:szCs w:val="10"/>
              </w:rPr>
              <w:t xml:space="preserve">TO MICRO CONTROLADO DE LASER TERAPEUTICO  EQUIPAMENTO MICRO CONTROLADO DE LASER TERAPÊUTICO DE BAIXA POTÊNCIA: DESENVOLVIDO PARA UTILIZAÇÃO NA FISIOTERAPIA. OFERECE A POSSIBILIDADE DE OPERAÇÃO COM TRÊS CANETAS DE LASER, COM COMPRIMENTOS DE 660NM, 830NM, 90</w:t>
            </w:r>
            <w:r>
              <w:rPr>
                <w:rFonts w:ascii="Times New Roman" w:hAnsi="Times New Roman" w:cs="Times New Roman"/>
                <w:color w:val="000000"/>
                <w:sz w:val="10"/>
                <w:szCs w:val="10"/>
              </w:rPr>
              <w:t xml:space="preserve">4NM SENDO OS MODOS DE EMISSÃO DOS FEIXES DO LASER NAS CANETAS 660NM E 830NM PODERÁ SER AJUSTADO NOS MODOS CONTÍNUOS E PULSADO COM POSSIBILIDADE ESCOLHA DE 10 FREQUÊNCIAS E MODULAÇÃO. O LASER DE BAIXA POTÊNCIA TEM EFEITOS ANALGÉSICOS CICATRIZANTES E ANTI-IN</w:t>
            </w:r>
            <w:r>
              <w:rPr>
                <w:rFonts w:ascii="Times New Roman" w:hAnsi="Times New Roman" w:cs="Times New Roman"/>
                <w:color w:val="000000"/>
                <w:sz w:val="10"/>
                <w:szCs w:val="10"/>
              </w:rPr>
              <w:t xml:space="preserve">FLAMATÓRIO. OPERAÇÃO MICRO CONTROLADA VIA TECLADO QUE GERA INFORMAÇÕES DIGITALIZADAS E OFERECE CONFIABILIDADE NOS DADOS; CLASSIFICAÇÕES DE ENERGIA 1-20 JOULES/CM²; PERMITE QUE FIQUE TRAVADO ENQUANTO NÃO ESTÁ SENDO UTILIZADO.  DEVERÃO ACOMPANHAR O PRODUTO O</w:t>
            </w:r>
            <w:r>
              <w:rPr>
                <w:rFonts w:ascii="Times New Roman" w:hAnsi="Times New Roman" w:cs="Times New Roman"/>
                <w:color w:val="000000"/>
                <w:sz w:val="10"/>
                <w:szCs w:val="10"/>
              </w:rPr>
              <w:t xml:space="preserve">S SEGUINTES ACESSÓRIOS : 01 MANUAL DE INSTRUCOES; 01 CABO DE FORÇA DESCARTAVEL, 02 FUSIVEIS DE PROTECAO SOBRESSALENTE; 01 CANETA TOPOSCOPIO BIVOLT AUTOMATICO;  DIMENSÕES APROXIMADAS: 36.5 X 32.5 X 12,0 (LXPXACM). PESO:1,626KG.  - GARANTIA MÍNIMA: 18 MESES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2400FCB">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C4D6D9D">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3FF654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R$ 2.180,00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A981DA8">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R$ 2.200,00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52474E73">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R$ 2.500,00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4098A8CA">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R$ 2.293,3333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55C67597">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R$ 34.400,00</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1756E10C">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8353AA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125740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38931C7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00067003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08DDACF0">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ESCADA DE AGILIDADE INJETADA. MATERIAL LAVÁVEL, FLEXÍVEL E BEM ADER</w:t>
            </w:r>
            <w:r>
              <w:rPr>
                <w:rFonts w:ascii="Times New Roman" w:hAnsi="Times New Roman" w:cs="Times New Roman"/>
                <w:color w:val="000000"/>
                <w:sz w:val="10"/>
                <w:szCs w:val="10"/>
              </w:rPr>
              <w:t xml:space="preserve">ENTE AO SOLO; FITA DE NYLON ULTRA RESISTENTE E DEGRAUS REGULÁVEIS EM PLÁSTICO INJETÁVEL. TAMANHO MÍNIMO: 3 METROS DE COMPRIMENTO, COM NO MÍNIMO 7 DEGRAUS. PRODUTO INDICADO PARA PRATICA RECREATIVA, ESPORTIVA E TREINO FUNCIONAL.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0FFECF8">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43BF4430">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6593F0C">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R$ 75,10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EFE8F21">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68CF2A41">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R$ 78,50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34704B84">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R$ 76,8667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229D0074">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R$ 1.537,33</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3267DDAB">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15E9C6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129183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6C0E65A0">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262377-3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1B4308B1">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ESPALDAR / BARRA FIXA / BARRA DE LING / MÓDULO ALONGAMENTO. ALTURA MÍNIMA DE 2 METROS E LARGURA MÍNIMA DE 90 CM, MÍNIMO DE 08 BARRAS HORIZONTAIS CO</w:t>
            </w:r>
            <w:r>
              <w:rPr>
                <w:rFonts w:ascii="Times New Roman" w:hAnsi="Times New Roman" w:cs="Times New Roman"/>
                <w:color w:val="000000"/>
                <w:sz w:val="10"/>
                <w:szCs w:val="10"/>
              </w:rPr>
              <w:t xml:space="preserve">M DISTANCIA ENTRE VÃOS DE 20 CM, COM CAPACIDADE PARA SUPORTAR NO MÍNIMO 150 KG. ESTRUTURA DE FERRO, PINTURA ELETROSTÁTICA EPÓXI, E BARRAS DE ALUMÍNIO, COM APOIOS DE FIXAÇÃO. APARELHO PARA EXERCÍCIOS DE ALONGAMENTO MUSCULAR GLOBAL. GARANTIA MÍNIMA DE 1 ANO.</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35AEA46">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23D0FAF5">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8CC6BE6">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R$ 999,00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B2CC98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R$ 1.200,00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597647E2">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R$ 1.230,25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54F9E6C7">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R$ 1.143,0833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0E218EC6">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R$ 13.717,00</w:t>
            </w:r>
            <w:r>
              <w:rPr>
                <w:rFonts w:ascii="Times New Roman" w:hAnsi="Times New Roman" w:cs="Times New Roman"/>
                <w:sz w:val="11"/>
                <w:szCs w:val="11"/>
              </w:rPr>
            </w:r>
            <w:r>
              <w:rPr>
                <w:rFonts w:ascii="Times New Roman" w:hAnsi="Times New Roman" w:cs="Times New Roman"/>
                <w:sz w:val="11"/>
                <w:szCs w:val="11"/>
              </w:rPr>
            </w:r>
          </w:p>
        </w:tc>
      </w:tr>
      <w:tr>
        <w:trPr>
          <w:trHeight w:val="5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2AEBF537">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C475B9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129196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202CF8ED">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105663-8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57C913C1">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ESPELHO DE VIDRO, ESPESSURA MÍNIMA 3 MM, SEM MOLDURA.</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373770D">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METRO QUADRADO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210F4F24">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48EDF7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R$ 396,67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C8BF726">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R$ 429,94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04D3E8C5">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R$ 465,69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1D530B8D">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R$ 430,7667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090BD42E">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R$ 5.169,20</w:t>
            </w:r>
            <w:r>
              <w:rPr>
                <w:rFonts w:ascii="Times New Roman" w:hAnsi="Times New Roman" w:cs="Times New Roman"/>
                <w:sz w:val="11"/>
                <w:szCs w:val="11"/>
              </w:rPr>
            </w:r>
            <w:r>
              <w:rPr>
                <w:rFonts w:ascii="Times New Roman" w:hAnsi="Times New Roman" w:cs="Times New Roman"/>
                <w:sz w:val="11"/>
                <w:szCs w:val="11"/>
              </w:rPr>
            </w:r>
          </w:p>
        </w:tc>
      </w:tr>
      <w:tr>
        <w:trPr>
          <w:trHeight w:val="576"/>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4CDAB802">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3A79D5B">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126952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5B907C0D">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270249-5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30AFBDF1">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FAIXA ELÁSTICA / ELÁSTICO, TAMANHO MÍNIMO DE 1,5 METROS DE COMPRIMENTO POR 13 CM DE LARGURA. INTENSIDADE / RESISTÊNCIA SUAVE. COMPOSIÇÃO LÁTEX NATURAL, NÃO DEFORMA. PRODUTO INDICADO PARA PRÁTICA ESPORTIVA E REABILITAÇÃO MUSCULAR.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0FB5E32">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74423569">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130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73005E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R$ 38,00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C1660A0">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R$ 62,26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1DEB4C23">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R$ 68,98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3E59C0F8">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R$ 56,4133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471174AF">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R$ 7.333,73</w:t>
            </w:r>
            <w:r>
              <w:rPr>
                <w:rFonts w:ascii="Times New Roman" w:hAnsi="Times New Roman" w:cs="Times New Roman"/>
                <w:sz w:val="11"/>
                <w:szCs w:val="11"/>
              </w:rPr>
            </w:r>
            <w:r>
              <w:rPr>
                <w:rFonts w:ascii="Times New Roman" w:hAnsi="Times New Roman" w:cs="Times New Roman"/>
                <w:sz w:val="11"/>
                <w:szCs w:val="11"/>
              </w:rPr>
            </w:r>
          </w:p>
        </w:tc>
      </w:tr>
      <w:tr>
        <w:trPr>
          <w:trHeight w:val="556"/>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E88D46A">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346D86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9007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5FFEACE3">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348066-6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623BC961">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FLUTUADOR AQUÁTICO/MACARRÃO SPAGUETE, FABRICADO EM ESPUMA POLIETILENO EXPANDIDO E MACIÇO. MEDIDAS APROXIMADAS 65 MM DE DIÂMETRO X 165 CM. O PRODUTO DEVERÁ POSSUIR GARANTIA CONTRA DEFEITO DE FABRICAÇÃO. A COR SERÁ DE ACORDO COM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FB5E5E2">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9973469">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370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2E3C3E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R$ 11,90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4A216A7">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R$ 14,55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6F535B86">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R$ 15,95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6B2C7A97">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R$ 14,1333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30CE706F">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R$ 5.229,32</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48FEB997">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C91C478">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8133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359F5AAD">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131018-6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5B368728">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GEL ELETRO CONDUTOR PARA ELETROCARDIOGRAMA EMBALAGEM COM 05 LITROS, ISENTO DE SAL E DE ÁLCOOL, À BASE DE ÁGUA, PH </w:t>
            </w:r>
            <w:r>
              <w:rPr>
                <w:rFonts w:ascii="Times New Roman" w:hAnsi="Times New Roman" w:cs="Times New Roman"/>
                <w:color w:val="000000"/>
                <w:sz w:val="10"/>
                <w:szCs w:val="10"/>
              </w:rPr>
              <w:t xml:space="preserve">NEUTRO, NÃO GORDUROSO, INODORO E EXCELENTE CONDUTIBILIDADE. NÃO IRRITA A PELE E NÃO DANIFICA O ELETRODO. RÓTULO CONTENDO DATA DE FABRICAÇÃO, NÚMERO DO LOTE, IDENTIFICAÇÃO DO FABRICANTE E VALIDADE. DEVERÁ ESTÁ DE ACORDO COM A LEGISLAÇÃO SANITÁRIA VIGENTE.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D855E4F">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36780FD2">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144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4BE610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R$ 69,00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7C8171D">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018CD3EF">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R$ 80,53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0C62CD5B">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R$ 73,1767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30DEDC53">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R$ 10.537,44</w:t>
            </w:r>
            <w:r>
              <w:rPr>
                <w:rFonts w:ascii="Times New Roman" w:hAnsi="Times New Roman" w:cs="Times New Roman"/>
                <w:sz w:val="11"/>
                <w:szCs w:val="11"/>
              </w:rPr>
            </w:r>
            <w:r>
              <w:rPr>
                <w:rFonts w:ascii="Times New Roman" w:hAnsi="Times New Roman" w:cs="Times New Roman"/>
                <w:sz w:val="11"/>
                <w:szCs w:val="11"/>
              </w:rPr>
            </w:r>
          </w:p>
        </w:tc>
      </w:tr>
      <w:tr>
        <w:trPr>
          <w:trHeight w:val="59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5744E185">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5706258">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126953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4D841626">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00058559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66C58DAF">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KIT DE ARGOLAS DE AGILIDADE, CONTENDO NO MÍ</w:t>
            </w:r>
            <w:r>
              <w:rPr>
                <w:rFonts w:ascii="Times New Roman" w:hAnsi="Times New Roman" w:cs="Times New Roman"/>
                <w:color w:val="000000"/>
                <w:sz w:val="10"/>
                <w:szCs w:val="10"/>
              </w:rPr>
              <w:t xml:space="preserve">NIMO 12 UNIDADES, COM NO MÍNIMO 42 CM DE DIÂMETRO E 2,5 CM DE ESPESSURA. DEVE ACOMPANHAR 13 FECHOS EM VELCRO DUPLOS PARA UNIÃO DOS AROS E BOLSA RESISTENTE PARA TRANSPORTE. PRODUZIDO EM MATERIAL PLÁSTICO. PRODUTO INDICADO PARA PRÁTICAS ESPORTIVAS E LÚDICAS.</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75E0025">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10CA4315">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92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69358BB">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R$ 53,79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12D6AF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R$ 69,90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45E5972E">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R$ 81,00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637DF70C">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R$ 68,2300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4C8625CD">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R$ 6.277,16</w:t>
            </w:r>
            <w:r>
              <w:rPr>
                <w:rFonts w:ascii="Times New Roman" w:hAnsi="Times New Roman" w:cs="Times New Roman"/>
                <w:sz w:val="11"/>
                <w:szCs w:val="11"/>
              </w:rPr>
            </w:r>
            <w:r>
              <w:rPr>
                <w:rFonts w:ascii="Times New Roman" w:hAnsi="Times New Roman" w:cs="Times New Roman"/>
                <w:sz w:val="11"/>
                <w:szCs w:val="11"/>
              </w:rPr>
            </w:r>
          </w:p>
        </w:tc>
      </w:tr>
      <w:tr>
        <w:trPr>
          <w:trHeight w:val="46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7C021419">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E19265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3759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6D514A9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00065051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41957D2B">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KIT DE FAIXAS ELÁSTICAS PARA EXERCÍCIOS. EMBALAGEM CONTENDO 3 FAIXAS COM NÍVEIS DE INTENSIDADE DIFERENTES. MATERIAL: BORRACHA FLEXÍVEL DE ALTA RESISTENCIA. TAMANHO MÍNIMO: 120 CM X 12 CM. PRODUTO PARA FORTALECIMENTO MUSCULAR E ARTICULAR.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F97E906">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654D2AC4">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160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855D8B6">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R$ 95,50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10D5606">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R$ 96,61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66828438">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R$ 97,00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461EDF52">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R$ 96,3700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2A2F0CB1">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R$ 15.419,20</w:t>
            </w:r>
            <w:r>
              <w:rPr>
                <w:rFonts w:ascii="Times New Roman" w:hAnsi="Times New Roman" w:cs="Times New Roman"/>
                <w:sz w:val="11"/>
                <w:szCs w:val="11"/>
              </w:rPr>
            </w:r>
            <w:r>
              <w:rPr>
                <w:rFonts w:ascii="Times New Roman" w:hAnsi="Times New Roman" w:cs="Times New Roman"/>
                <w:sz w:val="11"/>
                <w:szCs w:val="11"/>
              </w:rPr>
            </w:r>
          </w:p>
        </w:tc>
      </w:tr>
      <w:tr>
        <w:trPr>
          <w:trHeight w:val="454"/>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19365C41">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36202CC">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126954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321162A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0006638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14259857">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KIT TORRE DE HA</w:t>
            </w:r>
            <w:r>
              <w:rPr>
                <w:rFonts w:ascii="Times New Roman" w:hAnsi="Times New Roman" w:cs="Times New Roman"/>
                <w:color w:val="000000"/>
                <w:sz w:val="10"/>
                <w:szCs w:val="10"/>
              </w:rPr>
              <w:t xml:space="preserve">LTERES TIPO BOLA COM 10 PARES DE ALTERES. COMPOSTO POR TORRE / SUPORTE EXPOSITOR PARA GUARDA E ARMAZENAMENTO; E 1 PAR DE HALTERES BOLA EMBORRACHADOS DE CADA PESO DE 1 KG A 10 KG TOTALIZANDO 110 KG. FABRICADO EM FERRO FUNDIDO REVESTIDOS EM PVC EMBORRACHADO.</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FED1A36">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22C5B2C2">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50B9E1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R$ 2.151,00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9B5301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R$ 2.879,33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62365083">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R$ 3.437,99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0D71393C">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R$ 2.822,7733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6161F5E4">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R$ 28.227,73</w:t>
            </w:r>
            <w:r>
              <w:rPr>
                <w:rFonts w:ascii="Times New Roman" w:hAnsi="Times New Roman" w:cs="Times New Roman"/>
                <w:sz w:val="11"/>
                <w:szCs w:val="11"/>
              </w:rPr>
            </w:r>
            <w:r>
              <w:rPr>
                <w:rFonts w:ascii="Times New Roman" w:hAnsi="Times New Roman" w:cs="Times New Roman"/>
                <w:sz w:val="11"/>
                <w:szCs w:val="11"/>
              </w:rPr>
            </w:r>
          </w:p>
        </w:tc>
      </w:tr>
      <w:tr>
        <w:trPr>
          <w:trHeight w:val="354"/>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29EFE45D">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95C217B">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117889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2AE32B20">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88568-1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32C14C12">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LÂMPADA INFRAVERMELHO, POTÊNCIA MÍNIMA 150W, VOLTAGEM 110V, E27. PARA APLICAÇÕES NAS ÁREAS DE SAÚDE, FISIOTERAPIA, RADIAÇÃO INFRAVERMELHA DE ONDA CURTA.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352C747">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6B9ECCDB">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637F44C">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R$ 202,47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7AC60D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R$ 234,41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62AC321B">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R$ 241,90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43AAE63C">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R$ 226,2600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2399E59B">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R$ 6.109,02</w:t>
            </w:r>
            <w:r>
              <w:rPr>
                <w:rFonts w:ascii="Times New Roman" w:hAnsi="Times New Roman" w:cs="Times New Roman"/>
                <w:sz w:val="11"/>
                <w:szCs w:val="11"/>
              </w:rPr>
            </w:r>
            <w:r>
              <w:rPr>
                <w:rFonts w:ascii="Times New Roman" w:hAnsi="Times New Roman" w:cs="Times New Roman"/>
                <w:sz w:val="11"/>
                <w:szCs w:val="11"/>
              </w:rPr>
            </w:r>
          </w:p>
        </w:tc>
      </w:tr>
      <w:tr>
        <w:trPr>
          <w:trHeight w:val="54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23EE0C6F">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6B08D8E">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116582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4FB38CAD">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188771-8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15D7C3E4">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MESA AUXILIAR EM AÇO INOX COM </w:t>
            </w:r>
            <w:r>
              <w:rPr>
                <w:rFonts w:ascii="Times New Roman" w:hAnsi="Times New Roman" w:cs="Times New Roman"/>
                <w:color w:val="000000"/>
                <w:sz w:val="10"/>
                <w:szCs w:val="10"/>
              </w:rPr>
              <w:t xml:space="preserve">RODIZÍOS: DIMENSÕES MÍNIMAS: 40X60X80 CM. ESTRUTUTURA EM TUBOS DE AÇO CROMADO, TAMPO E PRATELEIRA EM CHAPA DE AÇO INOXIDÁVEL, PÉS PROTEGIDOS COM RODÍZIOS DE 2 ½ DE DIÂMETRO, COM PONTEIRAS DE BORRACHA. GARANTIA MÍNIMA DE 01 ANO CONTRA DEFEITO DE FABRICAÇÃO.</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CC8481C">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351A7937">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91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0010CB5">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R$ 1.720,00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2675CF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R$ 1.733,00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5B4A9E01">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R$ 1.765,00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58EFB09C">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R$ 1.739,3333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63AF3930">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R$ 158.279,33</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2E07FA7E">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2C19E8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3731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0D0569F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404678-1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4D25775C">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PAR DE TORNOZELEIRA, CONTENDO 1 KG CADA, (PESO DO PAR: 02 KG). FABRICADA EM NYLON E MATERIAL</w:t>
            </w:r>
            <w:r>
              <w:rPr>
                <w:rFonts w:ascii="Times New Roman" w:hAnsi="Times New Roman" w:cs="Times New Roman"/>
                <w:color w:val="000000"/>
                <w:sz w:val="10"/>
                <w:szCs w:val="10"/>
              </w:rPr>
              <w:t xml:space="preserve"> RESISTENTE DE REVESTIMENTO VINÍLICO, QUE PERMITA A HIGIENIZAÇÃO, COM PESO, COM FECHAMENTO AJUSTÁVEL EM VELCRO. INDICADA PARA TREINAMENTO, GANHO DE FORCA, RESISTÊNCIA MUSCULAR E CONDICIONAMENTO FÍSICO. PRODUTO CONTENDO MARCA E IDENTIFICAÇÃO DO FABRICANTE.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5E4A0F5">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PAR</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561959B2">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95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B2CE2F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R$ 58,00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72F4AD6">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R$ 60,00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1C68F571">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R$ 69,00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0905CAA2">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R$ 62,3333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2F1E44DD">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R$ 5.921,66</w:t>
            </w:r>
            <w:r>
              <w:rPr>
                <w:rFonts w:ascii="Times New Roman" w:hAnsi="Times New Roman" w:cs="Times New Roman"/>
                <w:sz w:val="11"/>
                <w:szCs w:val="11"/>
              </w:rPr>
            </w:r>
            <w:r>
              <w:rPr>
                <w:rFonts w:ascii="Times New Roman" w:hAnsi="Times New Roman" w:cs="Times New Roman"/>
                <w:sz w:val="11"/>
                <w:szCs w:val="11"/>
              </w:rPr>
            </w:r>
          </w:p>
        </w:tc>
      </w:tr>
      <w:tr>
        <w:trPr>
          <w:trHeight w:val="212"/>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1C17345B">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A856580">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3731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3DC3550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00088763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010B8054">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PLACA PARA AURICULOTERAPIA. CARTELA COM NO MÍNIMO 60 UNIDADES. PONTO DE SEMENTE, COM ADESIVO DE MICROPORE DE FÁCIL RETIRADA.</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7336058">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6E7634E8">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2110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7E00811">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R$ 36,26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C0C493F">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R$ 42,90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661278AE">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R$ 64,90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0D00ED9F">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R$ 48,0200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60C3A6D7">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R$ 101.322,20</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7DD1BDD2">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D30A9E0">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1493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6E81CA3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00064362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32ED205C">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PRESERVATIVO MASCULINO - SEM LUBRIFICAÇÃO. PRODUTO PARA USO MÉDICO EM EXAMES</w:t>
            </w:r>
            <w:r>
              <w:rPr>
                <w:rFonts w:ascii="Times New Roman" w:hAnsi="Times New Roman" w:cs="Times New Roman"/>
                <w:color w:val="000000"/>
                <w:sz w:val="10"/>
                <w:szCs w:val="10"/>
              </w:rPr>
              <w:t xml:space="preserve"> DE ULTRA-SONOGRAFIA. COM ALTA TRANSPARÊNCIA QUE PERMITA MAIOR NITIDEZ NA CAPTAÇÃO DAS IMAGENS. COMPOSIÇÃO: LÁTEX DE BORRACHA NATURAL. EMBALAGEM CONTENDO DADOS DE IDENTIFICAÇÃO DO PRODUTO. DATA DE FABRICAÇÃO E PRAZO DE VALIDADE. EMBALADOS INDIVIDUALMENTE. </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9B1C627">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45291EA5">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7500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0F755D5D">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R$ 1,07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84AD65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4B61FC1C">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R$ 2,77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086D092F">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R$ 2,0800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01AA9BE2">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R$ 15.600,00</w:t>
            </w:r>
            <w:r>
              <w:rPr>
                <w:rFonts w:ascii="Times New Roman" w:hAnsi="Times New Roman" w:cs="Times New Roman"/>
                <w:sz w:val="11"/>
                <w:szCs w:val="11"/>
              </w:rPr>
            </w:r>
            <w:r>
              <w:rPr>
                <w:rFonts w:ascii="Times New Roman" w:hAnsi="Times New Roman" w:cs="Times New Roman"/>
                <w:sz w:val="11"/>
                <w:szCs w:val="11"/>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708C1465">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B11640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117870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76CEEA41">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00025556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4553C87A">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ROLO DE POSICIONAMENTO, TAMANHO GRAN</w:t>
            </w:r>
            <w:r>
              <w:rPr>
                <w:rFonts w:ascii="Times New Roman" w:hAnsi="Times New Roman" w:cs="Times New Roman"/>
                <w:color w:val="000000"/>
                <w:sz w:val="10"/>
                <w:szCs w:val="10"/>
              </w:rPr>
              <w:t xml:space="preserve">DE - MEDIDAS NÃO INFERIOR A: 60 CM DE COMPRIMENTO POR 30 CM DE LARGURA. CONFECCIONADO EM ESPUMA COM DENSIDADE 33 OU SUPERIOR. REVESTIDO EM COURVIN. PRODUTO INDICADO PARA EXERCÍCIOS DE FISIOTERAPIA, GARANTIA MÌNIMA DE 12 MESES.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0A2EA4F">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1B2E9332">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21CFF8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R$ 89,00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B588D5B">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R$ 102,00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6FBF6233">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R$ 105,00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0792AD3C">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R$ 98,6667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1208495E">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R$ 2.466,67</w:t>
            </w:r>
            <w:r>
              <w:rPr>
                <w:rFonts w:ascii="Times New Roman" w:hAnsi="Times New Roman" w:cs="Times New Roman"/>
                <w:sz w:val="11"/>
                <w:szCs w:val="11"/>
              </w:rPr>
            </w:r>
            <w:r>
              <w:rPr>
                <w:rFonts w:ascii="Times New Roman" w:hAnsi="Times New Roman" w:cs="Times New Roman"/>
                <w:sz w:val="11"/>
                <w:szCs w:val="11"/>
              </w:rPr>
            </w:r>
          </w:p>
        </w:tc>
      </w:tr>
      <w:tr>
        <w:trPr>
          <w:trHeight w:val="508"/>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469E6C26">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520CEFD">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129204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4B74C61D">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336115-2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0E5E2240">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ROLO DE POSICIONAMENTO, TAMANHO MÉDIO</w:t>
            </w:r>
            <w:r>
              <w:rPr>
                <w:rFonts w:ascii="Times New Roman" w:hAnsi="Times New Roman" w:cs="Times New Roman"/>
                <w:color w:val="000000"/>
                <w:sz w:val="10"/>
                <w:szCs w:val="10"/>
              </w:rPr>
              <w:t xml:space="preserve"> - MEDIDAS NÃO INFERIORES A: 60 CM DE COMPRIMENTO POR 15 CM DE LARGURA. CONFECCIONADO EM ESPUMA COM DENSIDADE 33 OU SUPERIOR. REVESTIDO EM COURVIN. PRODUTO INDICADO PARA EXERCÍCIOS DE FISIOTERAPIA, GARANTIA MÌNIMA DE 12 MESES.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78AD21DA">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7A9BAB2">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6A29C01">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R$ 72,70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D5ACF4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R$ 77,00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6CB5588E">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R$ 77,90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6638A9AE">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R$ 75,8667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5E9B1088">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R$ 1.896,67</w:t>
            </w:r>
            <w:r>
              <w:rPr>
                <w:rFonts w:ascii="Times New Roman" w:hAnsi="Times New Roman" w:cs="Times New Roman"/>
                <w:sz w:val="11"/>
                <w:szCs w:val="11"/>
              </w:rPr>
            </w:r>
            <w:r>
              <w:rPr>
                <w:rFonts w:ascii="Times New Roman" w:hAnsi="Times New Roman" w:cs="Times New Roman"/>
                <w:sz w:val="11"/>
                <w:szCs w:val="11"/>
              </w:rPr>
            </w:r>
          </w:p>
        </w:tc>
      </w:tr>
      <w:tr>
        <w:trPr>
          <w:trHeight w:val="518"/>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7507EA23">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30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58398DDB">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117869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254271DD">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404680-3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29876E03">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ROLO DE POSICIONAMENTO, TAMANHO PEQUENO</w:t>
            </w:r>
            <w:r>
              <w:rPr>
                <w:rFonts w:ascii="Times New Roman" w:hAnsi="Times New Roman" w:cs="Times New Roman"/>
                <w:color w:val="000000"/>
                <w:sz w:val="10"/>
                <w:szCs w:val="10"/>
              </w:rPr>
              <w:t xml:space="preserve"> - MEDIDAS NÃO INFERIORES A: 40 CM DE COMPRIMENTO POR 15 CM DE LARGURA. CONFECCIONADO EM ESPUMA COM DENSIDADE 33 OU SUPERIOR. REVESTIDO EM COURVIN. PRODUTO INDICADO PARA EXERCÍCIOS DE FISIOTERAPIA, GARANTIA MÌNIMA DE 12 MESES. COR A ESCOLHA DO SOLICITANTE.</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C82DD8A">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1FE181F">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AB4FFFA">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R$ 187,99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611D3521">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R$ 204,36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56E58CE5">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R$ 290,00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35EE774A">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R$ 227,4500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480B0FC0">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R$ 5.686,25</w:t>
            </w:r>
            <w:r>
              <w:rPr>
                <w:rFonts w:ascii="Times New Roman" w:hAnsi="Times New Roman" w:cs="Times New Roman"/>
                <w:sz w:val="11"/>
                <w:szCs w:val="11"/>
              </w:rPr>
            </w:r>
            <w:r>
              <w:rPr>
                <w:rFonts w:ascii="Times New Roman" w:hAnsi="Times New Roman" w:cs="Times New Roman"/>
                <w:sz w:val="11"/>
                <w:szCs w:val="11"/>
              </w:rPr>
            </w:r>
          </w:p>
        </w:tc>
      </w:tr>
      <w:tr>
        <w:trPr>
          <w:trHeight w:val="38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346B5EFD">
            <w:pPr>
              <w:pBdr/>
              <w:tabs>
                <w:tab w:val="left" w:leader="none" w:pos="0"/>
                <w:tab w:val="left" w:leader="none" w:pos="312"/>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31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24952461">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117869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14:paraId="1C0144E4">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00019041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685" w:type="dxa"/>
            <w:vAlign w:val="center"/>
            <w:textDirection w:val="lrTb"/>
            <w:noWrap w:val="false"/>
          </w:tcPr>
          <w:p w14:paraId="1574A157">
            <w:pPr>
              <w:pBdr/>
              <w:spacing/>
              <w:ind/>
              <w:jc w:val="both"/>
              <w:rPr>
                <w:rFonts w:ascii="Times New Roman" w:hAnsi="Times New Roman" w:eastAsia="Calibri" w:cs="Times New Roman"/>
                <w:sz w:val="10"/>
                <w:szCs w:val="10"/>
                <w:lang w:val="pt-BR"/>
              </w:rPr>
            </w:pPr>
            <w:r>
              <w:rPr>
                <w:rFonts w:ascii="Times New Roman" w:hAnsi="Times New Roman" w:cs="Times New Roman"/>
                <w:color w:val="000000"/>
                <w:sz w:val="10"/>
                <w:szCs w:val="10"/>
              </w:rPr>
              <w:t xml:space="preserve">STEP AERÓBICO / SIMULADOR DE DEGRAU, CONFECCIONADO EM E.V.A, ANTI-IMPACTO DE ALTA RESISTÊNCIA, CANTOS ARREDONDADOS. SUPERFÍCIE ANTIDERRAPANTE. MEDIDAS MÍNIMAS: 90 X 30 X 15 CM (C X L X A). PRODUTO INDICADO PARA PRÁTICA ESPORTIVA.</w:t>
            </w:r>
            <w:r>
              <w:rPr>
                <w:rFonts w:ascii="Times New Roman" w:hAnsi="Times New Roman" w:eastAsia="Calibri" w:cs="Times New Roman"/>
                <w:sz w:val="10"/>
                <w:szCs w:val="10"/>
                <w:lang w:val="pt-BR"/>
              </w:rPr>
            </w:r>
            <w:r>
              <w:rPr>
                <w:rFonts w:ascii="Times New Roman" w:hAnsi="Times New Roman" w:eastAsia="Calibri" w:cs="Times New Roman"/>
                <w:sz w:val="10"/>
                <w:szCs w:val="10"/>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4A7E393D">
            <w:pPr>
              <w:pBdr/>
              <w:tabs>
                <w:tab w:val="left" w:leader="none" w:pos="-142"/>
              </w:tabs>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3863A20">
            <w:pPr>
              <w:pBdr/>
              <w:spacing/>
              <w:ind/>
              <w:jc w:val="center"/>
              <w:rPr>
                <w:rFonts w:ascii="Times New Roman" w:hAnsi="Times New Roman" w:eastAsia="Calibri" w:cs="Times New Roman"/>
                <w:sz w:val="11"/>
                <w:szCs w:val="11"/>
                <w:lang w:val="pt-BR"/>
              </w:rPr>
            </w:pPr>
            <w:r>
              <w:rPr>
                <w:rFonts w:ascii="Times New Roman" w:hAnsi="Times New Roman" w:cs="Times New Roman"/>
                <w:color w:val="000000"/>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12550772">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R$ 132,60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14:paraId="37C599B9">
            <w:pPr>
              <w:pBdr/>
              <w:spacing/>
              <w:ind/>
              <w:jc w:val="center"/>
              <w:rPr>
                <w:rFonts w:ascii="Times New Roman" w:hAnsi="Times New Roman" w:eastAsia="SimSun" w:cs="Times New Roman"/>
                <w:sz w:val="11"/>
                <w:szCs w:val="11"/>
                <w:lang w:val="pt-BR" w:eastAsia="zh-CN"/>
              </w:rPr>
            </w:pPr>
            <w:r>
              <w:rPr>
                <w:rFonts w:ascii="Times New Roman" w:hAnsi="Times New Roman" w:cs="Times New Roman"/>
                <w:color w:val="000000"/>
                <w:sz w:val="11"/>
                <w:szCs w:val="11"/>
              </w:rPr>
              <w:t xml:space="preserve">R$ 249,90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14:paraId="4F5626E0">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R$ 435,00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1" w:type="dxa"/>
            <w:vAlign w:val="center"/>
            <w:textDirection w:val="lrTb"/>
            <w:noWrap w:val="false"/>
          </w:tcPr>
          <w:p w14:paraId="6CFFAA03">
            <w:pPr>
              <w:pBdr/>
              <w:spacing/>
              <w:ind/>
              <w:jc w:val="center"/>
              <w:rPr>
                <w:rFonts w:ascii="Times New Roman" w:hAnsi="Times New Roman" w:cs="Times New Roman"/>
                <w:sz w:val="11"/>
                <w:szCs w:val="11"/>
                <w:lang w:val="pt-BR"/>
              </w:rPr>
            </w:pPr>
            <w:r>
              <w:rPr>
                <w:rFonts w:ascii="Times New Roman" w:hAnsi="Times New Roman" w:cs="Times New Roman"/>
                <w:color w:val="000000"/>
                <w:sz w:val="11"/>
                <w:szCs w:val="11"/>
              </w:rPr>
              <w:t xml:space="preserve">R$ 272,5000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3C14B29D">
            <w:pPr>
              <w:pBdr/>
              <w:spacing/>
              <w:ind/>
              <w:jc w:val="center"/>
              <w:rPr>
                <w:rFonts w:ascii="Times New Roman" w:hAnsi="Times New Roman" w:cs="Times New Roman"/>
                <w:sz w:val="11"/>
                <w:szCs w:val="11"/>
              </w:rPr>
            </w:pPr>
            <w:r>
              <w:rPr>
                <w:rFonts w:ascii="Times New Roman" w:hAnsi="Times New Roman" w:cs="Times New Roman"/>
                <w:color w:val="000000"/>
                <w:sz w:val="11"/>
                <w:szCs w:val="11"/>
              </w:rPr>
              <w:t xml:space="preserve">R$ 54.500,00</w:t>
            </w:r>
            <w:r>
              <w:rPr>
                <w:rFonts w:ascii="Times New Roman" w:hAnsi="Times New Roman" w:cs="Times New Roman"/>
                <w:sz w:val="11"/>
                <w:szCs w:val="11"/>
              </w:rPr>
            </w:r>
            <w:r>
              <w:rPr>
                <w:rFonts w:ascii="Times New Roman" w:hAnsi="Times New Roman" w:cs="Times New Roman"/>
                <w:sz w:val="11"/>
                <w:szCs w:val="11"/>
              </w:rPr>
            </w:r>
          </w:p>
        </w:tc>
      </w:tr>
      <w:tr>
        <w:trPr>
          <w:trHeight w:val="387"/>
        </w:trPr>
        <w:tc>
          <w:tcPr>
            <w:gridSpan w:val="10"/>
            <w:shd w:val="clear" w:color="ffffff" w:fill="ffffff"/>
            <w:tcBorders>
              <w:top w:val="single" w:color="000000" w:sz="4" w:space="0"/>
              <w:left w:val="single" w:color="000000" w:sz="4" w:space="0"/>
              <w:bottom w:val="single" w:color="000000" w:sz="4" w:space="0"/>
            </w:tcBorders>
            <w:tcW w:w="9923" w:type="dxa"/>
            <w:vAlign w:val="center"/>
            <w:textDirection w:val="lrTb"/>
            <w:noWrap w:val="false"/>
          </w:tcPr>
          <w:p w14:paraId="6B5ECC7D">
            <w:pPr>
              <w:pBdr/>
              <w:spacing/>
              <w:ind/>
              <w:jc w:val="right"/>
              <w:rPr>
                <w:rFonts w:ascii="Times New Roman" w:hAnsi="Times New Roman" w:cs="Times New Roman"/>
                <w:b/>
                <w:bCs/>
                <w:color w:val="000000"/>
                <w:sz w:val="14"/>
                <w:szCs w:val="14"/>
              </w:rPr>
            </w:pPr>
            <w:r>
              <w:rPr>
                <w:rFonts w:ascii="Times New Roman" w:hAnsi="Times New Roman" w:cs="Times New Roman"/>
                <w:b/>
                <w:bCs/>
                <w:color w:val="000000"/>
                <w:sz w:val="14"/>
                <w:szCs w:val="14"/>
              </w:rPr>
              <w:t xml:space="preserve">VALOR TOTAL</w:t>
            </w:r>
            <w:r>
              <w:rPr>
                <w:rFonts w:ascii="Times New Roman" w:hAnsi="Times New Roman" w:cs="Times New Roman"/>
                <w:b/>
                <w:bCs/>
                <w:color w:val="000000"/>
                <w:sz w:val="14"/>
                <w:szCs w:val="14"/>
              </w:rPr>
            </w:r>
            <w:r>
              <w:rPr>
                <w:rFonts w:ascii="Times New Roman" w:hAnsi="Times New Roman" w:cs="Times New Roman"/>
                <w:b/>
                <w:bCs/>
                <w:color w:val="000000"/>
                <w:sz w:val="14"/>
                <w:szCs w:val="14"/>
              </w:rPr>
            </w:r>
          </w:p>
        </w:tc>
        <w:tc>
          <w:tcPr>
            <w:shd w:val="clear" w:color="ffffff" w:fill="ffffff"/>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14:paraId="299090B5">
            <w:pPr>
              <w:pBdr/>
              <w:spacing/>
              <w:ind/>
              <w:jc w:val="center"/>
              <w:rPr>
                <w:rFonts w:ascii="Times New Roman" w:hAnsi="Times New Roman" w:cs="Times New Roman"/>
                <w:b/>
                <w:bCs/>
                <w:color w:val="000000"/>
                <w:sz w:val="11"/>
                <w:szCs w:val="11"/>
              </w:rPr>
            </w:pPr>
            <w:r>
              <w:rPr>
                <w:rFonts w:ascii="Times New Roman" w:hAnsi="Times New Roman" w:cs="Times New Roman"/>
                <w:b/>
                <w:bCs/>
                <w:color w:val="000000"/>
                <w:sz w:val="11"/>
                <w:szCs w:val="11"/>
              </w:rPr>
              <w:t xml:space="preserve">R$ 954.385,33</w:t>
            </w:r>
            <w:r>
              <w:rPr>
                <w:rFonts w:ascii="Times New Roman" w:hAnsi="Times New Roman" w:cs="Times New Roman"/>
                <w:b/>
                <w:bCs/>
                <w:color w:val="000000"/>
                <w:sz w:val="11"/>
                <w:szCs w:val="11"/>
              </w:rPr>
            </w:r>
            <w:r>
              <w:rPr>
                <w:rFonts w:ascii="Times New Roman" w:hAnsi="Times New Roman" w:cs="Times New Roman"/>
                <w:b/>
                <w:bCs/>
                <w:color w:val="000000"/>
                <w:sz w:val="11"/>
                <w:szCs w:val="11"/>
              </w:rPr>
            </w:r>
          </w:p>
        </w:tc>
      </w:tr>
    </w:tbl>
    <w:p w14:paraId="43F9A6E4">
      <w:pPr>
        <w:pBdr/>
        <w:spacing/>
        <w:ind/>
        <w:jc w:val="both"/>
        <w:rPr>
          <w:rFonts w:ascii="Times New Roman" w:hAnsi="Times New Roman" w:cs="Times New Roman"/>
          <w:sz w:val="10"/>
          <w:szCs w:val="10"/>
          <w:highlight w:val="magenta"/>
        </w:rPr>
      </w:pPr>
      <w:r>
        <w:rPr>
          <w:rFonts w:ascii="Times New Roman" w:hAnsi="Times New Roman" w:cs="Times New Roman"/>
          <w:sz w:val="10"/>
          <w:szCs w:val="10"/>
          <w:highlight w:val="magenta"/>
        </w:rPr>
      </w:r>
      <w:r>
        <w:rPr>
          <w:rFonts w:ascii="Times New Roman" w:hAnsi="Times New Roman" w:cs="Times New Roman"/>
          <w:sz w:val="10"/>
          <w:szCs w:val="10"/>
          <w:highlight w:val="magenta"/>
        </w:rPr>
      </w:r>
      <w:r>
        <w:rPr>
          <w:rFonts w:ascii="Times New Roman" w:hAnsi="Times New Roman" w:cs="Times New Roman"/>
          <w:sz w:val="10"/>
          <w:szCs w:val="10"/>
          <w:highlight w:val="magenta"/>
        </w:rPr>
      </w:r>
    </w:p>
    <w:p w14:paraId="61B32117">
      <w:pPr>
        <w:pBdr/>
        <w:shd w:val="clear" w:color="auto" w:fill="cccccc"/>
        <w:spacing/>
        <w:ind/>
        <w:jc w:val="both"/>
        <w:rPr>
          <w:lang w:val="pt-BR"/>
        </w:rPr>
      </w:pPr>
      <w:r>
        <w:rPr>
          <w:rFonts w:ascii="Times New Roman" w:hAnsi="Times New Roman" w:cs="Times New Roman"/>
          <w:b/>
          <w:bCs/>
        </w:rPr>
        <w:t xml:space="preserve">1</w:t>
      </w:r>
      <w:r>
        <w:rPr>
          <w:rFonts w:ascii="Times New Roman" w:hAnsi="Times New Roman" w:cs="Times New Roman"/>
          <w:b/>
          <w:bCs/>
          <w:lang w:val="pt-BR"/>
        </w:rPr>
        <w:t xml:space="preserve">4</w:t>
      </w:r>
      <w:r>
        <w:rPr>
          <w:rFonts w:ascii="Times New Roman" w:hAnsi="Times New Roman" w:cs="Times New Roman"/>
          <w:b/>
          <w:bCs/>
        </w:rPr>
        <w:t xml:space="preserve"> – </w:t>
      </w:r>
      <w:r>
        <w:rPr>
          <w:rFonts w:ascii="Times New Roman" w:hAnsi="Times New Roman" w:cs="Times New Roman"/>
          <w:b/>
          <w:bCs/>
          <w:lang w:val="pt-BR"/>
        </w:rPr>
        <w:t xml:space="preserve">DO SISTEMA DE REGISTRO DE PREÇO</w:t>
      </w:r>
      <w:r>
        <w:rPr>
          <w:lang w:val="pt-BR"/>
        </w:rPr>
      </w:r>
      <w:r>
        <w:rPr>
          <w:lang w:val="pt-BR"/>
        </w:rPr>
      </w:r>
    </w:p>
    <w:p w14:paraId="6A61F390">
      <w:pPr>
        <w:pBdr/>
        <w:spacing/>
        <w:ind/>
        <w:jc w:val="both"/>
        <w:rPr>
          <w:rFonts w:ascii="Times New Roman" w:hAnsi="Times New Roman" w:cs="Times New Roman"/>
          <w:sz w:val="10"/>
          <w:szCs w:val="10"/>
          <w:highlight w:val="magenta"/>
        </w:rPr>
      </w:pPr>
      <w:r>
        <w:rPr>
          <w:rFonts w:ascii="Times New Roman" w:hAnsi="Times New Roman" w:cs="Times New Roman"/>
          <w:sz w:val="10"/>
          <w:szCs w:val="10"/>
          <w:highlight w:val="magenta"/>
        </w:rPr>
      </w:r>
      <w:r>
        <w:rPr>
          <w:rFonts w:ascii="Times New Roman" w:hAnsi="Times New Roman" w:cs="Times New Roman"/>
          <w:sz w:val="10"/>
          <w:szCs w:val="10"/>
          <w:highlight w:val="magenta"/>
        </w:rPr>
      </w:r>
      <w:r>
        <w:rPr>
          <w:rFonts w:ascii="Times New Roman" w:hAnsi="Times New Roman" w:cs="Times New Roman"/>
          <w:sz w:val="10"/>
          <w:szCs w:val="10"/>
          <w:highlight w:val="magenta"/>
        </w:rPr>
      </w:r>
    </w:p>
    <w:p w14:paraId="00F93316">
      <w:pPr>
        <w:pBdr/>
        <w:spacing/>
        <w:ind/>
        <w:jc w:val="both"/>
        <w:rPr>
          <w:rFonts w:ascii="Times New Roman" w:hAnsi="Times New Roman" w:eastAsia="SimSun" w:cs="Times New Roman"/>
        </w:rPr>
      </w:pPr>
      <w:r>
        <w:rPr>
          <w:rFonts w:ascii="Times New Roman" w:hAnsi="Times New Roman"/>
          <w:b/>
          <w:bCs/>
          <w:lang w:val="pt-BR"/>
        </w:rPr>
        <w:t xml:space="preserve">14.1. </w:t>
      </w:r>
      <w:r>
        <w:rPr>
          <w:rFonts w:ascii="Times New Roman" w:hAnsi="Times New Roman" w:eastAsia="SimSun" w:cs="Times New Roman"/>
        </w:rPr>
        <w:t xml:space="preserve">A adoção do Sistema de Registro de Preços (SRP) para a contratação de empresa especializada em fornecimento de materiais e equipamentos de </w:t>
      </w:r>
      <w:r>
        <w:rPr>
          <w:rFonts w:ascii="Times New Roman" w:hAnsi="Times New Roman" w:eastAsia="SimSun" w:cs="Times New Roman"/>
        </w:rPr>
        <w:t xml:space="preserve">fisioterapia, incluindo aparelhos com infravermelho, justifica-se pela natureza contínua dos serviços e pela imprevisibilidade quanto à demanda exata ao longo do tempo, bem como pela necessidade de atendimento ágil e eficiente às diversas unidades da Super</w:t>
      </w:r>
      <w:r>
        <w:rPr>
          <w:rFonts w:ascii="Times New Roman" w:hAnsi="Times New Roman" w:eastAsia="SimSun" w:cs="Times New Roman"/>
        </w:rPr>
        <w:t xml:space="preserve">intendência de Saúde da Secretaria Municipal de Saúde. O SRP permite a padronização, a racionalização de recursos e a garantia de disponibilidade imediata dos produtos e serviços, assegurando a continuidade e a qualidade dos atendimentos fisioterapêuticos.</w:t>
      </w:r>
      <w:r>
        <w:rPr>
          <w:rFonts w:ascii="Times New Roman" w:hAnsi="Times New Roman" w:eastAsia="SimSun" w:cs="Times New Roman"/>
        </w:rPr>
      </w:r>
      <w:r>
        <w:rPr>
          <w:rFonts w:ascii="Times New Roman" w:hAnsi="Times New Roman" w:eastAsia="SimSun" w:cs="Times New Roman"/>
        </w:rPr>
      </w:r>
    </w:p>
    <w:p w14:paraId="7814E025">
      <w:pPr>
        <w:pBdr/>
        <w:spacing/>
        <w:ind/>
        <w:jc w:val="both"/>
        <w:rPr>
          <w:rFonts w:ascii="Times New Roman" w:hAnsi="Times New Roman"/>
        </w:rPr>
      </w:pPr>
      <w:r>
        <w:rPr>
          <w:rFonts w:ascii="Times New Roman" w:hAnsi="Times New Roman"/>
          <w:b/>
          <w:bCs/>
          <w:lang w:val="pt-BR"/>
        </w:rPr>
        <w:t xml:space="preserve">14.2.</w:t>
      </w:r>
      <w:r>
        <w:rPr>
          <w:rFonts w:ascii="Times New Roman" w:hAnsi="Times New Roman"/>
          <w:lang w:val="pt-BR"/>
        </w:rPr>
        <w:t xml:space="preserve"> </w:t>
      </w:r>
      <w:r>
        <w:rPr>
          <w:rFonts w:ascii="Times New Roman" w:hAnsi="Times New Roman"/>
        </w:rPr>
        <w:t xml:space="preserve">A contratação por meio do SRP pe</w:t>
      </w:r>
      <w:r>
        <w:rPr>
          <w:rFonts w:ascii="Times New Roman" w:hAnsi="Times New Roman"/>
        </w:rPr>
        <w:t xml:space="preserve">rmite à Administração Pública registrar propostas vantajosas, assegurando maior eficiência, economicidade e agilidade na contratação futura, sem comprometer a qualidade dos serviços prestados. Essa sistemática viabiliza a convocação da empresa registrada s</w:t>
      </w:r>
      <w:r>
        <w:rPr>
          <w:rFonts w:ascii="Times New Roman" w:hAnsi="Times New Roman"/>
        </w:rPr>
        <w:t xml:space="preserve">empre que houver necessidade, dentro da validade da ata, respeitando a estimativa de consumo previamente definida no termo de referência, otimizando a gestão dos recursos públicos e evitando contratações emergenciais que poderiam onerar os cofres públicos.</w:t>
      </w:r>
      <w:r>
        <w:rPr>
          <w:rFonts w:ascii="Times New Roman" w:hAnsi="Times New Roman"/>
        </w:rPr>
      </w:r>
      <w:r>
        <w:rPr>
          <w:rFonts w:ascii="Times New Roman" w:hAnsi="Times New Roman"/>
        </w:rPr>
      </w:r>
    </w:p>
    <w:p w14:paraId="6641D43D">
      <w:pPr>
        <w:pBdr/>
        <w:spacing/>
        <w:ind/>
        <w:jc w:val="both"/>
        <w:rPr>
          <w:rFonts w:ascii="SimSun" w:hAnsi="SimSun" w:eastAsia="SimSun" w:cs="SimSun"/>
          <w:sz w:val="24"/>
          <w:szCs w:val="24"/>
        </w:rPr>
      </w:pPr>
      <w:r>
        <w:rPr>
          <w:rFonts w:ascii="Times New Roman" w:hAnsi="Times New Roman"/>
          <w:b/>
          <w:bCs/>
          <w:lang w:val="pt-BR"/>
        </w:rPr>
        <w:t xml:space="preserve">14.3. </w:t>
      </w:r>
      <w:r>
        <w:rPr>
          <w:rFonts w:ascii="Times New Roman" w:hAnsi="Times New Roman" w:eastAsia="SimSun" w:cs="Times New Roman"/>
        </w:rPr>
        <w:t xml:space="preserve">Nos termos do art. 294, incis</w:t>
      </w:r>
      <w:r>
        <w:rPr>
          <w:rFonts w:ascii="Times New Roman" w:hAnsi="Times New Roman" w:eastAsia="SimSun" w:cs="Times New Roman"/>
        </w:rPr>
        <w:t xml:space="preserve">os II e IV, do Decreto Municipal nº 11.685/2023, o Sistema de Registro de Preços mostra-se adequado quando a aquisição de bens demandar entregas parceladas ou contratações frequentes. No presente caso, a aquisição de materiais e equipamentos de fisioterapi</w:t>
      </w:r>
      <w:r>
        <w:rPr>
          <w:rFonts w:ascii="Times New Roman" w:hAnsi="Times New Roman" w:eastAsia="SimSun" w:cs="Times New Roman"/>
        </w:rPr>
        <w:t xml:space="preserve">a, inclusive aparelhos com tecnologia de infravermelho, essenciais à manutenção e à qualidade dos atendimentos prestados à população, exige reposições periódicas e atendimento contínuo, o que inviabiliza a adoção de contratação por demanda fixa e unitária.</w:t>
      </w:r>
      <w:r>
        <w:rPr>
          <w:rFonts w:ascii="SimSun" w:hAnsi="SimSun" w:eastAsia="SimSun" w:cs="SimSun"/>
          <w:sz w:val="24"/>
          <w:szCs w:val="24"/>
        </w:rPr>
      </w:r>
      <w:r>
        <w:rPr>
          <w:rFonts w:ascii="SimSun" w:hAnsi="SimSun" w:eastAsia="SimSun" w:cs="SimSun"/>
          <w:sz w:val="24"/>
          <w:szCs w:val="24"/>
        </w:rPr>
      </w:r>
    </w:p>
    <w:p w14:paraId="654DE5F6">
      <w:pPr>
        <w:pBdr/>
        <w:spacing/>
        <w:ind/>
        <w:jc w:val="both"/>
        <w:rPr>
          <w:rFonts w:ascii="Times New Roman" w:hAnsi="Times New Roman" w:cs="Times New Roman"/>
          <w:color w:val="ff0000"/>
        </w:rPr>
      </w:pPr>
      <w:r>
        <w:rPr>
          <w:rFonts w:ascii="Times New Roman" w:hAnsi="Times New Roman"/>
          <w:b/>
          <w:bCs/>
          <w:lang w:val="pt-BR"/>
        </w:rPr>
        <w:t xml:space="preserve">14.4. </w:t>
      </w:r>
      <w:r>
        <w:rPr>
          <w:rFonts w:ascii="Times New Roman" w:hAnsi="Times New Roman" w:eastAsia="SimSun" w:cs="Times New Roman"/>
        </w:rPr>
        <w:t xml:space="preserve">A flexibilidade operacional proporcionada pelo Sistema de Registro de Preços é essencial para assegurar a continuidade dos serviços de fisioterapia, considerando que os materiais e equipament</w:t>
      </w:r>
      <w:r>
        <w:rPr>
          <w:rFonts w:ascii="Times New Roman" w:hAnsi="Times New Roman" w:eastAsia="SimSun" w:cs="Times New Roman"/>
        </w:rPr>
        <w:t xml:space="preserve">os utilizados nas unidades de saúde demandam reposição e manutenção contínuas, tanto preventivas quanto corretivas, inclusive de forma imediata, sob pena de interrupção dos atendimentos, prejuízo aos usuários e comprometimento da política pública de saúde.</w:t>
      </w:r>
      <w:r>
        <w:rPr>
          <w:rFonts w:ascii="Times New Roman" w:hAnsi="Times New Roman" w:cs="Times New Roman"/>
          <w:color w:val="ff0000"/>
        </w:rPr>
      </w:r>
      <w:r>
        <w:rPr>
          <w:rFonts w:ascii="Times New Roman" w:hAnsi="Times New Roman" w:cs="Times New Roman"/>
          <w:color w:val="ff0000"/>
        </w:rPr>
      </w:r>
    </w:p>
    <w:p w14:paraId="3BF3F471">
      <w:pPr>
        <w:pBdr/>
        <w:spacing/>
        <w:ind/>
        <w:jc w:val="both"/>
        <w:rPr>
          <w:rFonts w:ascii="Times New Roman" w:hAnsi="Times New Roman"/>
          <w:highlight w:val="yellow"/>
        </w:rPr>
      </w:pPr>
      <w:r>
        <w:rPr>
          <w:rFonts w:ascii="Times New Roman" w:hAnsi="Times New Roman"/>
          <w:b/>
          <w:bCs/>
          <w:lang w:val="pt-BR"/>
        </w:rPr>
        <w:t xml:space="preserve">14.5.</w:t>
      </w:r>
      <w:r>
        <w:rPr>
          <w:rFonts w:ascii="Times New Roman" w:hAnsi="Times New Roman"/>
          <w:lang w:val="pt-BR"/>
        </w:rPr>
        <w:t xml:space="preserve"> </w:t>
      </w:r>
      <w:r>
        <w:rPr>
          <w:rFonts w:ascii="Times New Roman" w:hAnsi="Times New Roman"/>
        </w:rPr>
        <w:t xml:space="preserve">Portanto, a escolha pelo Sistema de Registro de Preços coaduna-se com os princípios da eficiência, economicidade e planejamen</w:t>
      </w:r>
      <w:r>
        <w:rPr>
          <w:rFonts w:ascii="Times New Roman" w:hAnsi="Times New Roman"/>
        </w:rPr>
        <w:t xml:space="preserve">to, conforme previsto nos artigos 11 e 18 da Lei nº 14.133/2021, e atende às diretrizes de racionalização das contratações públicas, possibilitando uma gestão mais eficaz dos contratos administrativos, diante da necessidade real e pontual da Administração.</w:t>
      </w:r>
      <w:r>
        <w:rPr>
          <w:rFonts w:ascii="Times New Roman" w:hAnsi="Times New Roman"/>
          <w:highlight w:val="yellow"/>
        </w:rPr>
      </w:r>
      <w:r>
        <w:rPr>
          <w:rFonts w:ascii="Times New Roman" w:hAnsi="Times New Roman"/>
          <w:highlight w:val="yellow"/>
        </w:rPr>
      </w:r>
    </w:p>
    <w:p w14:paraId="4B51E72B">
      <w:pPr>
        <w:pBdr/>
        <w:spacing/>
        <w:ind/>
        <w:jc w:val="both"/>
        <w:rPr>
          <w:rFonts w:ascii="Times New Roman" w:hAnsi="Times New Roman" w:cs="Times New Roman"/>
          <w:sz w:val="10"/>
          <w:szCs w:val="10"/>
          <w:highlight w:val="magenta"/>
        </w:rPr>
      </w:pPr>
      <w:r>
        <w:rPr>
          <w:rFonts w:ascii="Times New Roman" w:hAnsi="Times New Roman" w:cs="Times New Roman"/>
          <w:sz w:val="10"/>
          <w:szCs w:val="10"/>
          <w:highlight w:val="magenta"/>
        </w:rPr>
      </w:r>
      <w:r>
        <w:rPr>
          <w:rFonts w:ascii="Times New Roman" w:hAnsi="Times New Roman" w:cs="Times New Roman"/>
          <w:sz w:val="10"/>
          <w:szCs w:val="10"/>
          <w:highlight w:val="magenta"/>
        </w:rPr>
      </w:r>
      <w:r>
        <w:rPr>
          <w:rFonts w:ascii="Times New Roman" w:hAnsi="Times New Roman" w:cs="Times New Roman"/>
          <w:sz w:val="10"/>
          <w:szCs w:val="10"/>
          <w:highlight w:val="magenta"/>
        </w:rPr>
      </w:r>
    </w:p>
    <w:p w14:paraId="4EC3047C">
      <w:pPr>
        <w:pBdr/>
        <w:shd w:val="clear" w:color="auto" w:fill="cccccc"/>
        <w:spacing/>
        <w:ind/>
        <w:jc w:val="both"/>
        <w:rPr/>
      </w:pPr>
      <w:r>
        <w:rPr>
          <w:rFonts w:ascii="Times New Roman" w:hAnsi="Times New Roman" w:cs="Times New Roman"/>
          <w:b/>
          <w:bCs/>
        </w:rPr>
        <w:t xml:space="preserve">1</w:t>
      </w:r>
      <w:r>
        <w:rPr>
          <w:rFonts w:ascii="Times New Roman" w:hAnsi="Times New Roman" w:cs="Times New Roman"/>
          <w:b/>
          <w:bCs/>
          <w:lang w:val="pt-BR"/>
        </w:rPr>
        <w:t xml:space="preserve">5</w:t>
      </w:r>
      <w:r>
        <w:rPr>
          <w:rFonts w:ascii="Times New Roman" w:hAnsi="Times New Roman" w:cs="Times New Roman"/>
          <w:b/>
          <w:bCs/>
        </w:rPr>
        <w:t xml:space="preserve"> – ADEQUAÇÃO ORÇAMENTÁRIA</w:t>
      </w:r>
      <w:r/>
    </w:p>
    <w:p w14:paraId="7775D4E5">
      <w:pPr>
        <w:pBdr/>
        <w:spacing/>
        <w:ind/>
        <w:jc w:val="both"/>
        <w:rPr>
          <w:rFonts w:ascii="Times New Roman" w:hAnsi="Times New Roman" w:cs="Times New Roman"/>
          <w:sz w:val="10"/>
          <w:szCs w:val="10"/>
        </w:rPr>
      </w:pPr>
      <w:r>
        <w:rPr>
          <w:rFonts w:ascii="Times New Roman" w:hAnsi="Times New Roman" w:cs="Times New Roman"/>
          <w:sz w:val="10"/>
          <w:szCs w:val="10"/>
        </w:rPr>
      </w:r>
      <w:r>
        <w:rPr>
          <w:rFonts w:ascii="Times New Roman" w:hAnsi="Times New Roman" w:cs="Times New Roman"/>
          <w:sz w:val="10"/>
          <w:szCs w:val="10"/>
        </w:rPr>
      </w:r>
      <w:r>
        <w:rPr>
          <w:rFonts w:ascii="Times New Roman" w:hAnsi="Times New Roman" w:cs="Times New Roman"/>
          <w:sz w:val="10"/>
          <w:szCs w:val="10"/>
        </w:rPr>
      </w:r>
    </w:p>
    <w:p w14:paraId="2C56732B">
      <w:pPr>
        <w:pBdr/>
        <w:spacing/>
        <w:ind/>
        <w:jc w:val="both"/>
        <w:rPr/>
      </w:pPr>
      <w:r>
        <w:rPr>
          <w:rFonts w:ascii="Times New Roman" w:hAnsi="Times New Roman" w:cs="Times New Roman"/>
          <w:b/>
          <w:bCs/>
          <w:lang w:val="pt-BR"/>
        </w:rPr>
        <w:t xml:space="preserve">15.1.</w:t>
      </w:r>
      <w:r>
        <w:rPr>
          <w:rFonts w:ascii="Times New Roman" w:hAnsi="Times New Roman" w:cs="Times New Roman"/>
          <w:lang w:val="pt-BR"/>
        </w:rPr>
        <w:t xml:space="preserve"> </w:t>
      </w:r>
      <w:r>
        <w:rPr>
          <w:rFonts w:ascii="Times New Roman" w:hAnsi="Times New Roman" w:cs="Times New Roman"/>
        </w:rPr>
        <w:t xml:space="preserve">Esta </w:t>
      </w:r>
      <w:r>
        <w:rPr>
          <w:rFonts w:ascii="Times New Roman" w:hAnsi="Times New Roman" w:eastAsia="Times New Roman" w:cs="Times New Roman"/>
          <w:color w:val="000000"/>
          <w:lang w:val="pt-BR" w:eastAsia="pt-BR"/>
        </w:rPr>
        <w:t xml:space="preserve">aquisição</w:t>
      </w:r>
      <w:r>
        <w:rPr>
          <w:rFonts w:ascii="Times New Roman" w:hAnsi="Times New Roman" w:cs="Times New Roman"/>
        </w:rPr>
        <w:t xml:space="preserve"> está adequada financeiramente e em conformidade com a lei de diretrizes orçamentarias e com o </w:t>
      </w:r>
      <w:r>
        <w:rPr>
          <w:rFonts w:ascii="Times New Roman" w:hAnsi="Times New Roman" w:cs="Times New Roman"/>
          <w:b/>
          <w:bCs/>
          <w:lang w:val="pt-BR"/>
        </w:rPr>
        <w:t xml:space="preserve">15.2. </w:t>
      </w:r>
      <w:r>
        <w:rPr>
          <w:rFonts w:ascii="Times New Roman" w:hAnsi="Times New Roman" w:cs="Times New Roman"/>
        </w:rPr>
        <w:t xml:space="preserve">Plano Plurianual:</w:t>
      </w:r>
      <w:r/>
    </w:p>
    <w:p w14:paraId="4226DB32">
      <w:pPr>
        <w:pBdr/>
        <w:spacing/>
        <w:ind/>
        <w:jc w:val="both"/>
        <w:rPr>
          <w:rFonts w:ascii="Times New Roman" w:hAnsi="Times New Roman" w:cs="Times New Roman"/>
        </w:rPr>
      </w:pPr>
      <w:r>
        <w:rPr>
          <w:rFonts w:ascii="Times New Roman" w:hAnsi="Times New Roman" w:cs="Times New Roman"/>
          <w:b/>
          <w:bCs/>
          <w:lang w:val="pt-BR"/>
        </w:rPr>
        <w:t xml:space="preserve">15.2.1. </w:t>
      </w:r>
      <w:r>
        <w:rPr>
          <w:rFonts w:ascii="Times New Roman" w:hAnsi="Times New Roman" w:cs="Times New Roman"/>
        </w:rPr>
        <w:t xml:space="preserve">Plano Plurianual (PPA): </w:t>
      </w:r>
      <w:r>
        <w:rPr>
          <w:rFonts w:ascii="Times New Roman" w:hAnsi="Times New Roman" w:eastAsia="Times New Roman" w:cs="Times New Roman"/>
          <w:color w:val="000000"/>
          <w:lang w:val="pt-BR" w:eastAsia="pt-BR"/>
        </w:rPr>
        <w:t xml:space="preserve">A aquisição</w:t>
      </w:r>
      <w:r>
        <w:rPr>
          <w:rFonts w:ascii="Times New Roman" w:hAnsi="Times New Roman" w:cs="Times New Roman"/>
        </w:rPr>
        <w:t xml:space="preserve"> se alinha com as metas do governo para quatro anos.</w:t>
      </w:r>
      <w:r>
        <w:rPr>
          <w:rFonts w:ascii="Times New Roman" w:hAnsi="Times New Roman" w:cs="Times New Roman"/>
        </w:rPr>
      </w:r>
      <w:r>
        <w:rPr>
          <w:rFonts w:ascii="Times New Roman" w:hAnsi="Times New Roman" w:cs="Times New Roman"/>
        </w:rPr>
      </w:r>
    </w:p>
    <w:p w14:paraId="7D396626">
      <w:pPr>
        <w:pBdr/>
        <w:spacing/>
        <w:ind/>
        <w:jc w:val="both"/>
        <w:rPr/>
      </w:pPr>
      <w:r/>
      <w:r/>
    </w:p>
    <w:p w14:paraId="27194730">
      <w:pPr>
        <w:pBdr/>
        <w:spacing/>
        <w:ind/>
        <w:jc w:val="both"/>
        <w:rPr/>
      </w:pPr>
      <w:r>
        <w:rPr>
          <w:rFonts w:ascii="Times New Roman" w:hAnsi="Times New Roman" w:cs="Times New Roman"/>
          <w:b/>
          <w:bCs/>
          <w:lang w:val="pt-BR"/>
        </w:rPr>
        <w:t xml:space="preserve">15.3. </w:t>
      </w:r>
      <w:r>
        <w:rPr>
          <w:rFonts w:ascii="Times New Roman" w:hAnsi="Times New Roman" w:cs="Times New Roman"/>
        </w:rPr>
        <w:t xml:space="preserve">Uso Eficiente dos Recursos: Os recursos </w:t>
      </w:r>
      <w:r>
        <w:rPr>
          <w:rFonts w:ascii="Times New Roman" w:hAnsi="Times New Roman" w:eastAsia="Times New Roman" w:cs="Times New Roman"/>
          <w:color w:val="000000"/>
          <w:lang w:val="pt-BR" w:eastAsia="pt-BR"/>
        </w:rPr>
        <w:t xml:space="preserve">estão sendo </w:t>
      </w:r>
      <w:r>
        <w:rPr>
          <w:rFonts w:ascii="Times New Roman" w:hAnsi="Times New Roman" w:cs="Times New Roman"/>
        </w:rPr>
        <w:t xml:space="preserve">aplicados de forma transparente e eficiente, considerando custos e benefícios.</w:t>
      </w:r>
      <w:r/>
    </w:p>
    <w:p w14:paraId="009AF3B5">
      <w:pPr>
        <w:pBdr/>
        <w:spacing/>
        <w:ind/>
        <w:jc w:val="both"/>
        <w:rPr/>
      </w:pPr>
      <w:r>
        <w:rPr>
          <w:rFonts w:ascii="Times New Roman" w:hAnsi="Times New Roman" w:cs="Times New Roman"/>
          <w:b/>
          <w:bCs/>
          <w:lang w:val="pt-BR"/>
        </w:rPr>
        <w:t xml:space="preserve">15.4.</w:t>
      </w:r>
      <w:r>
        <w:rPr>
          <w:rFonts w:ascii="Times New Roman" w:hAnsi="Times New Roman" w:cs="Times New Roman"/>
          <w:lang w:val="pt-BR"/>
        </w:rPr>
        <w:t xml:space="preserve"> </w:t>
      </w:r>
      <w:r>
        <w:rPr>
          <w:rFonts w:ascii="Times New Roman" w:hAnsi="Times New Roman" w:cs="Times New Roman"/>
        </w:rPr>
        <w:t xml:space="preserve">Da Classificação Orçamentária:</w:t>
      </w:r>
      <w:r/>
    </w:p>
    <w:p w14:paraId="3C373237">
      <w:pPr>
        <w:pBdr/>
        <w:spacing/>
        <w:ind/>
        <w:jc w:val="both"/>
        <w:rPr>
          <w:rFonts w:ascii="Times New Roman" w:hAnsi="Times New Roman" w:cs="Times New Roman"/>
          <w:iCs/>
          <w:lang w:val="pt-BR" w:eastAsia="pt-BR"/>
        </w:rPr>
      </w:pPr>
      <w:r>
        <w:rPr>
          <w:rFonts w:ascii="Times New Roman" w:hAnsi="Times New Roman" w:cs="Times New Roman"/>
          <w:iCs/>
          <w:lang w:val="pt-BR" w:eastAsia="pt-BR"/>
        </w:rPr>
        <w:t xml:space="preserve">ÓRGÃO: 02 – Prefeitura Municipal de Rondonópolis UNIDADE: 14 – Fundo Municipal de Saúde </w:t>
      </w:r>
      <w:r>
        <w:rPr>
          <w:rFonts w:ascii="Times New Roman" w:hAnsi="Times New Roman" w:cs="Times New Roman"/>
          <w:iCs/>
          <w:lang w:val="pt-BR" w:eastAsia="pt-BR"/>
        </w:rPr>
      </w:r>
      <w:r>
        <w:rPr>
          <w:rFonts w:ascii="Times New Roman" w:hAnsi="Times New Roman" w:cs="Times New Roman"/>
          <w:iCs/>
          <w:lang w:val="pt-BR" w:eastAsia="pt-BR"/>
        </w:rPr>
      </w:r>
    </w:p>
    <w:p w14:paraId="6D0F6DA3">
      <w:pPr>
        <w:pBdr/>
        <w:spacing/>
        <w:ind/>
        <w:jc w:val="both"/>
        <w:rPr>
          <w:rFonts w:ascii="Times New Roman" w:hAnsi="Times New Roman"/>
          <w:iCs/>
          <w:sz w:val="12"/>
          <w:szCs w:val="12"/>
          <w:lang w:val="pt-BR" w:eastAsia="pt-BR"/>
        </w:rPr>
      </w:pPr>
      <w:r>
        <w:rPr>
          <w:rFonts w:ascii="Times New Roman" w:hAnsi="Times New Roman"/>
          <w:iCs/>
          <w:sz w:val="12"/>
          <w:szCs w:val="12"/>
          <w:lang w:val="pt-BR" w:eastAsia="pt-BR"/>
        </w:rPr>
      </w:r>
      <w:r>
        <w:rPr>
          <w:rFonts w:ascii="Times New Roman" w:hAnsi="Times New Roman"/>
          <w:iCs/>
          <w:sz w:val="12"/>
          <w:szCs w:val="12"/>
          <w:lang w:val="pt-BR" w:eastAsia="pt-BR"/>
        </w:rPr>
      </w:r>
      <w:r>
        <w:rPr>
          <w:rFonts w:ascii="Times New Roman" w:hAnsi="Times New Roman"/>
          <w:iCs/>
          <w:sz w:val="12"/>
          <w:szCs w:val="12"/>
          <w:lang w:val="pt-BR" w:eastAsia="pt-BR"/>
        </w:rPr>
      </w:r>
    </w:p>
    <w:tbl>
      <w:tblPr>
        <w:tblInd w:w="846" w:type="dxa"/>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23"/>
        <w:gridCol w:w="7224"/>
      </w:tblGrid>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02B6442C">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Órgão: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24" w:type="dxa"/>
            <w:textDirection w:val="lrTb"/>
            <w:noWrap w:val="false"/>
          </w:tcPr>
          <w:p w14:paraId="6420E776">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02 – PREFEITURA MUNICIPAL DE RONDONÓPOLIS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4CE77287">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Unidade: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24" w:type="dxa"/>
            <w:textDirection w:val="lrTb"/>
            <w:noWrap w:val="false"/>
          </w:tcPr>
          <w:p w14:paraId="0C22973B">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014 – FUNDO MUNICIPAL DE SAÚDE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15376DE5">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Função Programática: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24" w:type="dxa"/>
            <w:textDirection w:val="lrTb"/>
            <w:noWrap w:val="false"/>
          </w:tcPr>
          <w:p w14:paraId="5E666D6A">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10.301.2202.2180 - MANUTENÇÃO E CONSERVAÇÃO DA ATENÇÃO PRIMÁRIA À SAÚDE - APS E PROGRAMAS ESPECIAIS.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3D39156C">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Elemento da Despesa: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24" w:type="dxa"/>
            <w:textDirection w:val="lrTb"/>
            <w:noWrap w:val="false"/>
          </w:tcPr>
          <w:p w14:paraId="62A3168C">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3.3.90.30.00.00 – MATERIAL DE CONSUMO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2087BEC0">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Reduzido: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24" w:type="dxa"/>
            <w:textDirection w:val="lrTb"/>
            <w:noWrap w:val="false"/>
          </w:tcPr>
          <w:p w14:paraId="3B0626BE">
            <w:pPr>
              <w:pBdr/>
              <w:spacing/>
              <w:ind/>
              <w:jc w:val="both"/>
              <w:rPr>
                <w:rFonts w:ascii="Times New Roman" w:hAnsi="Times New Roman" w:eastAsia="Times New Roman" w:cs="Times New Roman"/>
                <w:b/>
                <w:color w:val="000000"/>
                <w:sz w:val="13"/>
                <w:szCs w:val="13"/>
                <w:lang w:val="pt-BR" w:eastAsia="pt-BR"/>
              </w:rPr>
            </w:pPr>
            <w:r>
              <w:rPr>
                <w:rFonts w:ascii="Times New Roman" w:hAnsi="Times New Roman" w:eastAsia="Times New Roman" w:cs="Times New Roman"/>
                <w:b/>
                <w:color w:val="000000"/>
                <w:sz w:val="13"/>
                <w:szCs w:val="13"/>
                <w:lang w:val="pt-BR" w:eastAsia="pt-BR"/>
              </w:rPr>
              <w:t xml:space="preserve">674</w:t>
            </w:r>
            <w:r>
              <w:rPr>
                <w:rFonts w:ascii="Times New Roman" w:hAnsi="Times New Roman" w:eastAsia="Times New Roman" w:cs="Times New Roman"/>
                <w:b/>
                <w:color w:val="000000"/>
                <w:sz w:val="13"/>
                <w:szCs w:val="13"/>
                <w:lang w:val="pt-BR" w:eastAsia="pt-BR"/>
              </w:rPr>
            </w:r>
            <w:r>
              <w:rPr>
                <w:rFonts w:ascii="Times New Roman" w:hAnsi="Times New Roman" w:eastAsia="Times New Roman" w:cs="Times New Roman"/>
                <w:b/>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1F5B2179">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Fonte de Recursos: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24" w:type="dxa"/>
            <w:textDirection w:val="lrTb"/>
            <w:noWrap w:val="false"/>
          </w:tcPr>
          <w:p w14:paraId="49F1477F">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1.600.0000600</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bl>
    <w:p w14:paraId="10F63860">
      <w:pPr>
        <w:pBdr/>
        <w:spacing/>
        <w:ind/>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bl>
      <w:tblPr>
        <w:tblInd w:w="846" w:type="dxa"/>
        <w:tblW w:w="86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23"/>
        <w:gridCol w:w="7258"/>
      </w:tblGrid>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7615A59C">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Órgão: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18CC85CC">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02 – PREFEITURA MUNICIPAL DE RONDONÓPOLIS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148"/>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447BE3CF">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Unidade: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7ABAB4FB">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014 – FUNDO MUNICIPAL DE SAÚDE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69B7A2DC">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Função </w:t>
            </w:r>
            <w:r>
              <w:rPr>
                <w:rFonts w:ascii="Times New Roman" w:hAnsi="Times New Roman" w:eastAsia="Times New Roman" w:cs="Times New Roman"/>
                <w:color w:val="000000"/>
                <w:sz w:val="13"/>
                <w:szCs w:val="13"/>
                <w:lang w:val="pt-BR" w:eastAsia="pt-BR"/>
              </w:rPr>
              <w:t xml:space="preserve">P</w:t>
            </w:r>
            <w:r>
              <w:rPr>
                <w:rFonts w:ascii="Times New Roman" w:hAnsi="Times New Roman" w:eastAsia="Times New Roman" w:cs="Times New Roman"/>
                <w:color w:val="000000"/>
                <w:sz w:val="13"/>
                <w:szCs w:val="13"/>
                <w:lang w:val="pt-BR" w:eastAsia="pt-BR"/>
              </w:rPr>
              <w:t xml:space="preserve">rogramática: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16D70CC9">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10.302.2203.2200 - MANUTENÇÃO E AMPLIAÇÃO DOS SERVIÇOS PSICOSSOCIAL - CAPS AD, CAPS ADIII, CAPS I E CAPS TRANSTORNO.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0B7D9705">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Elemento da Despesa: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537594D7">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3.3.90.30.00.00 – MATERIAL DE CONSUMO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543AD4B2">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Reduzido: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3468FA47">
            <w:pPr>
              <w:pBdr/>
              <w:spacing/>
              <w:ind/>
              <w:jc w:val="both"/>
              <w:rPr>
                <w:rFonts w:ascii="Times New Roman" w:hAnsi="Times New Roman" w:eastAsia="Times New Roman" w:cs="Times New Roman"/>
                <w:b/>
                <w:color w:val="000000"/>
                <w:sz w:val="13"/>
                <w:szCs w:val="13"/>
                <w:lang w:val="pt-BR" w:eastAsia="pt-BR"/>
              </w:rPr>
            </w:pPr>
            <w:r>
              <w:rPr>
                <w:rFonts w:ascii="Times New Roman" w:hAnsi="Times New Roman" w:eastAsia="Times New Roman" w:cs="Times New Roman"/>
                <w:b/>
                <w:color w:val="000000"/>
                <w:sz w:val="13"/>
                <w:szCs w:val="13"/>
                <w:lang w:val="pt-BR" w:eastAsia="pt-BR"/>
              </w:rPr>
              <w:t xml:space="preserve">581</w:t>
            </w:r>
            <w:r>
              <w:rPr>
                <w:rFonts w:ascii="Times New Roman" w:hAnsi="Times New Roman" w:eastAsia="Times New Roman" w:cs="Times New Roman"/>
                <w:b/>
                <w:color w:val="000000"/>
                <w:sz w:val="13"/>
                <w:szCs w:val="13"/>
                <w:lang w:val="pt-BR" w:eastAsia="pt-BR"/>
              </w:rPr>
            </w:r>
            <w:r>
              <w:rPr>
                <w:rFonts w:ascii="Times New Roman" w:hAnsi="Times New Roman" w:eastAsia="Times New Roman" w:cs="Times New Roman"/>
                <w:b/>
                <w:color w:val="000000"/>
                <w:sz w:val="13"/>
                <w:szCs w:val="13"/>
                <w:lang w:val="pt-BR" w:eastAsia="pt-BR"/>
              </w:rPr>
            </w:r>
          </w:p>
        </w:tc>
      </w:tr>
      <w:tr>
        <w:trPr>
          <w:trHeight w:val="98"/>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1842D101">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Fonte de Recursos: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4B28D2D4">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1.500.1002000</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bl>
    <w:p w14:paraId="19ED2DD7">
      <w:pPr>
        <w:pBdr/>
        <w:spacing/>
        <w:ind/>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bl>
      <w:tblPr>
        <w:tblInd w:w="846" w:type="dxa"/>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9"/>
        <w:gridCol w:w="7258"/>
      </w:tblGrid>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60A41226">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Órgão: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49920E0C">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02 – PREFEITURA MUNICIPAL DE RONDONÓPOLIS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1CB01ACC">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Unidade: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38D1A0E7">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014 – FUNDO MUNICIPAL DE SAÚDE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74C341F0">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Função Programática: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605A0665">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10.302.2203.2200 - MANUTENÇÃO E AMPLIAÇÃO DOS SERVIÇOS PSICOSSOCIAL - CAPS AD, CAPS ADIII, CAPS I E CAPS TRANSTORNO.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72"/>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744EFCE0">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Elemento da Despesa: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0755C229">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3.3.90.30.00.00 – MATERIAL DE CONSUMO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5640A4C2">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Reduzido: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7E55FC9D">
            <w:pPr>
              <w:pBdr/>
              <w:spacing/>
              <w:ind/>
              <w:jc w:val="both"/>
              <w:rPr>
                <w:rFonts w:ascii="Times New Roman" w:hAnsi="Times New Roman" w:eastAsia="Times New Roman" w:cs="Times New Roman"/>
                <w:b/>
                <w:color w:val="000000"/>
                <w:sz w:val="13"/>
                <w:szCs w:val="13"/>
                <w:lang w:val="pt-BR" w:eastAsia="pt-BR"/>
              </w:rPr>
            </w:pPr>
            <w:r>
              <w:rPr>
                <w:rFonts w:ascii="Times New Roman" w:hAnsi="Times New Roman" w:eastAsia="Times New Roman" w:cs="Times New Roman"/>
                <w:b/>
                <w:color w:val="000000"/>
                <w:sz w:val="13"/>
                <w:szCs w:val="13"/>
                <w:lang w:val="pt-BR" w:eastAsia="pt-BR"/>
              </w:rPr>
              <w:t xml:space="preserve">582</w:t>
            </w:r>
            <w:r>
              <w:rPr>
                <w:rFonts w:ascii="Times New Roman" w:hAnsi="Times New Roman" w:eastAsia="Times New Roman" w:cs="Times New Roman"/>
                <w:b/>
                <w:color w:val="000000"/>
                <w:sz w:val="13"/>
                <w:szCs w:val="13"/>
                <w:lang w:val="pt-BR" w:eastAsia="pt-BR"/>
              </w:rPr>
            </w:r>
            <w:r>
              <w:rPr>
                <w:rFonts w:ascii="Times New Roman" w:hAnsi="Times New Roman" w:eastAsia="Times New Roman" w:cs="Times New Roman"/>
                <w:b/>
                <w:color w:val="000000"/>
                <w:sz w:val="13"/>
                <w:szCs w:val="13"/>
                <w:lang w:val="pt-BR" w:eastAsia="pt-BR"/>
              </w:rPr>
            </w:r>
          </w:p>
        </w:tc>
      </w:tr>
      <w:tr>
        <w:trPr>
          <w:trHeight w:val="9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3DEF3C07">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Fonte de Recursos: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01E5C923">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1.600.0000603</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bl>
    <w:p w14:paraId="31BBF73B">
      <w:pPr>
        <w:pBdr/>
        <w:spacing w:line="360" w:lineRule="auto"/>
        <w:ind/>
        <w:jc w:val="both"/>
        <w:rPr>
          <w:rFonts w:ascii="Times New Roman" w:hAnsi="Times New Roman" w:eastAsia="Times New Roman" w:cs="Times New Roman"/>
          <w:color w:val="000000"/>
          <w:sz w:val="6"/>
          <w:szCs w:val="6"/>
          <w:lang w:val="pt-BR" w:eastAsia="pt-BR"/>
        </w:rPr>
      </w:pPr>
      <w:r>
        <w:rPr>
          <w:rFonts w:ascii="Times New Roman" w:hAnsi="Times New Roman" w:eastAsia="Times New Roman" w:cs="Times New Roman"/>
          <w:color w:val="000000"/>
          <w:sz w:val="6"/>
          <w:szCs w:val="6"/>
          <w:lang w:val="pt-BR" w:eastAsia="pt-BR"/>
        </w:rPr>
      </w:r>
      <w:r>
        <w:rPr>
          <w:rFonts w:ascii="Times New Roman" w:hAnsi="Times New Roman" w:eastAsia="Times New Roman" w:cs="Times New Roman"/>
          <w:color w:val="000000"/>
          <w:sz w:val="6"/>
          <w:szCs w:val="6"/>
          <w:lang w:val="pt-BR" w:eastAsia="pt-BR"/>
        </w:rPr>
      </w:r>
      <w:r>
        <w:rPr>
          <w:rFonts w:ascii="Times New Roman" w:hAnsi="Times New Roman" w:eastAsia="Times New Roman" w:cs="Times New Roman"/>
          <w:color w:val="000000"/>
          <w:sz w:val="6"/>
          <w:szCs w:val="6"/>
          <w:lang w:val="pt-BR" w:eastAsia="pt-BR"/>
        </w:rPr>
      </w:r>
    </w:p>
    <w:tbl>
      <w:tblPr>
        <w:tblInd w:w="846" w:type="dxa"/>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9"/>
        <w:gridCol w:w="7258"/>
      </w:tblGrid>
      <w:tr>
        <w:trPr>
          <w:trHeight w:val="72"/>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51292E92">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Órgão: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25DABA50">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02 – PREFEITURA MUNICIPAL DE RONDONÓPOLIS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14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14457DF1">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Unidade: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10FFB44C">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014 – FUNDO MUNICIPAL DE SAÚDE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3A8DECBB">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Função Programática: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72F8E4EF">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10.302.2203. 2201 - MANUTENÇÃO E AMPLIAÇÃO DOS SERVIÇOS DO CENTRO ESPECIALIZADO EM REABILITAÇÃO NILMO JÚNIOR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79"/>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53AC879D">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Elemento da Despesa: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6B60B26A">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3.3.90.30.00.00 – MATERIAL DE CONSUMO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23E83901">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Reduzido: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3AB0CD4B">
            <w:pPr>
              <w:pBdr/>
              <w:spacing/>
              <w:ind/>
              <w:jc w:val="both"/>
              <w:rPr>
                <w:rFonts w:ascii="Times New Roman" w:hAnsi="Times New Roman" w:eastAsia="Times New Roman" w:cs="Times New Roman"/>
                <w:b/>
                <w:color w:val="000000"/>
                <w:sz w:val="13"/>
                <w:szCs w:val="13"/>
                <w:lang w:val="pt-BR" w:eastAsia="pt-BR"/>
              </w:rPr>
            </w:pPr>
            <w:r>
              <w:rPr>
                <w:rFonts w:ascii="Times New Roman" w:hAnsi="Times New Roman" w:eastAsia="Times New Roman" w:cs="Times New Roman"/>
                <w:b/>
                <w:color w:val="000000"/>
                <w:sz w:val="13"/>
                <w:szCs w:val="13"/>
                <w:lang w:val="pt-BR" w:eastAsia="pt-BR"/>
              </w:rPr>
              <w:t xml:space="preserve">650</w:t>
            </w:r>
            <w:r>
              <w:rPr>
                <w:rFonts w:ascii="Times New Roman" w:hAnsi="Times New Roman" w:eastAsia="Times New Roman" w:cs="Times New Roman"/>
                <w:b/>
                <w:color w:val="000000"/>
                <w:sz w:val="13"/>
                <w:szCs w:val="13"/>
                <w:lang w:val="pt-BR" w:eastAsia="pt-BR"/>
              </w:rPr>
            </w:r>
            <w:r>
              <w:rPr>
                <w:rFonts w:ascii="Times New Roman" w:hAnsi="Times New Roman" w:eastAsia="Times New Roman" w:cs="Times New Roman"/>
                <w:b/>
                <w:color w:val="000000"/>
                <w:sz w:val="13"/>
                <w:szCs w:val="13"/>
                <w:lang w:val="pt-BR" w:eastAsia="pt-BR"/>
              </w:rPr>
            </w:r>
          </w:p>
        </w:tc>
      </w:tr>
      <w:tr>
        <w:trPr>
          <w:trHeight w:val="9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20573654">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Fonte de Recursos: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04361E3B">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1.500.1002000</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bl>
    <w:p w14:paraId="339C87B3">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bl>
      <w:tblPr>
        <w:tblInd w:w="846" w:type="dxa"/>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9"/>
        <w:gridCol w:w="7258"/>
      </w:tblGrid>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54DA9799">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Órgão: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5FD991C2">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02 – PREFEITURA MUNICIPAL DE RONDONÓPOLIS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14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130E6EF9">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Unidade: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652168A8">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014 – FUNDO MUNICIPAL DE SAÚDE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9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0684090E">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Função Programática: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240C5013">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10.302.2203. 2201 - MANUTENÇÃO E AMPLIAÇÃO DOS SERVIÇOS DO CENTRO ESPECIALIZADO EM REABILITAÇÃO NILMO JÚNIOR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73D8CAEB">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Elemento da Despesa: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7023E155">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3.3.90.30.00.00 – MATERIAL DE CONSUMO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4B3CAB7C">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Reduzido: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05716B09">
            <w:pPr>
              <w:pBdr/>
              <w:spacing/>
              <w:ind/>
              <w:jc w:val="both"/>
              <w:rPr>
                <w:rFonts w:ascii="Times New Roman" w:hAnsi="Times New Roman" w:eastAsia="Times New Roman" w:cs="Times New Roman"/>
                <w:b/>
                <w:color w:val="000000"/>
                <w:sz w:val="13"/>
                <w:szCs w:val="13"/>
                <w:lang w:val="pt-BR" w:eastAsia="pt-BR"/>
              </w:rPr>
            </w:pPr>
            <w:r>
              <w:rPr>
                <w:rFonts w:ascii="Times New Roman" w:hAnsi="Times New Roman" w:eastAsia="Times New Roman" w:cs="Times New Roman"/>
                <w:b/>
                <w:color w:val="000000"/>
                <w:sz w:val="13"/>
                <w:szCs w:val="13"/>
                <w:lang w:val="pt-BR" w:eastAsia="pt-BR"/>
              </w:rPr>
              <w:t xml:space="preserve">651</w:t>
            </w:r>
            <w:r>
              <w:rPr>
                <w:rFonts w:ascii="Times New Roman" w:hAnsi="Times New Roman" w:eastAsia="Times New Roman" w:cs="Times New Roman"/>
                <w:b/>
                <w:color w:val="000000"/>
                <w:sz w:val="13"/>
                <w:szCs w:val="13"/>
                <w:lang w:val="pt-BR" w:eastAsia="pt-BR"/>
              </w:rPr>
            </w:r>
            <w:r>
              <w:rPr>
                <w:rFonts w:ascii="Times New Roman" w:hAnsi="Times New Roman" w:eastAsia="Times New Roman" w:cs="Times New Roman"/>
                <w:b/>
                <w:color w:val="000000"/>
                <w:sz w:val="13"/>
                <w:szCs w:val="13"/>
                <w:lang w:val="pt-BR" w:eastAsia="pt-BR"/>
              </w:rPr>
            </w:r>
          </w:p>
        </w:tc>
      </w:tr>
      <w:tr>
        <w:trPr>
          <w:trHeight w:val="9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4420750A">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Fonte de Recursos: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3E78CB7F">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1.600.0000603</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bl>
    <w:p w14:paraId="1D3765CD">
      <w:pPr>
        <w:pBdr/>
        <w:spacing w:line="360" w:lineRule="auto"/>
        <w:ind/>
        <w:rPr>
          <w:rFonts w:eastAsia="Times New Roman"/>
          <w:b/>
          <w:color w:val="000000"/>
          <w:sz w:val="6"/>
          <w:szCs w:val="6"/>
          <w:u w:val="single"/>
          <w:lang w:val="pt-BR" w:eastAsia="pt-BR"/>
        </w:rPr>
      </w:pPr>
      <w:r>
        <w:rPr>
          <w:rFonts w:eastAsia="Times New Roman"/>
          <w:b/>
          <w:color w:val="000000"/>
          <w:sz w:val="6"/>
          <w:szCs w:val="6"/>
          <w:u w:val="single"/>
          <w:lang w:val="pt-BR" w:eastAsia="pt-BR"/>
        </w:rPr>
      </w:r>
      <w:r>
        <w:rPr>
          <w:rFonts w:eastAsia="Times New Roman"/>
          <w:b/>
          <w:color w:val="000000"/>
          <w:sz w:val="6"/>
          <w:szCs w:val="6"/>
          <w:u w:val="single"/>
          <w:lang w:val="pt-BR" w:eastAsia="pt-BR"/>
        </w:rPr>
      </w:r>
      <w:r>
        <w:rPr>
          <w:rFonts w:eastAsia="Times New Roman"/>
          <w:b/>
          <w:color w:val="000000"/>
          <w:sz w:val="6"/>
          <w:szCs w:val="6"/>
          <w:u w:val="single"/>
          <w:lang w:val="pt-BR" w:eastAsia="pt-BR"/>
        </w:rPr>
      </w:r>
    </w:p>
    <w:tbl>
      <w:tblPr>
        <w:tblInd w:w="846" w:type="dxa"/>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17"/>
        <w:gridCol w:w="7230"/>
      </w:tblGrid>
      <w:tr>
        <w:trPr>
          <w:trHeight w:val="123"/>
        </w:trPr>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14:paraId="009D0DAC">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Órgão: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30" w:type="dxa"/>
            <w:textDirection w:val="lrTb"/>
            <w:noWrap w:val="false"/>
          </w:tcPr>
          <w:p w14:paraId="0279A7E7">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02 – PREFEITURA MUNICIPAL DE RONDONÓPOLIS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83"/>
        </w:trPr>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14:paraId="32FA83C0">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Unidade: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30" w:type="dxa"/>
            <w:textDirection w:val="lrTb"/>
            <w:noWrap w:val="false"/>
          </w:tcPr>
          <w:p w14:paraId="29B1EDC2">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014 – FUNDO MUNICIPAL DE SAÚDE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174"/>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14:paraId="287332EE">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Função Programática: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14:paraId="51B8336C">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10.301.2202.1036 - EQUIPAR A ATENÇÃO PRIMÁRIA À SAÚDE - APS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64"/>
        </w:trPr>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14:paraId="04D7B377">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Elemento da Despesa: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30" w:type="dxa"/>
            <w:textDirection w:val="lrTb"/>
            <w:noWrap w:val="false"/>
          </w:tcPr>
          <w:p w14:paraId="0F37316C">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4.4.90.52 – EQUIPAMENTOS E MATERIAL PERMANENTE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14:paraId="3483DB51">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Reduzido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30" w:type="dxa"/>
            <w:textDirection w:val="lrTb"/>
            <w:noWrap w:val="false"/>
          </w:tcPr>
          <w:p w14:paraId="04A107A6">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688</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14:paraId="3F92CF88">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Fonte de Recursos: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30" w:type="dxa"/>
            <w:textDirection w:val="lrTb"/>
            <w:noWrap w:val="false"/>
          </w:tcPr>
          <w:p w14:paraId="59E04839">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1.500.1002000</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bl>
    <w:p w14:paraId="7CAB56BF">
      <w:pPr>
        <w:pBdr/>
        <w:spacing/>
        <w:ind/>
        <w:rPr>
          <w:rFonts w:ascii="Calibri" w:hAnsi="Calibri"/>
          <w:b/>
          <w:sz w:val="13"/>
          <w:szCs w:val="13"/>
          <w:u w:val="single"/>
        </w:rPr>
      </w:pPr>
      <w:r>
        <w:rPr>
          <w:rFonts w:ascii="Calibri" w:hAnsi="Calibri"/>
          <w:b/>
          <w:sz w:val="13"/>
          <w:szCs w:val="13"/>
          <w:u w:val="single"/>
        </w:rPr>
      </w:r>
      <w:r>
        <w:rPr>
          <w:rFonts w:ascii="Calibri" w:hAnsi="Calibri"/>
          <w:b/>
          <w:sz w:val="13"/>
          <w:szCs w:val="13"/>
          <w:u w:val="single"/>
        </w:rPr>
      </w:r>
      <w:r>
        <w:rPr>
          <w:rFonts w:ascii="Calibri" w:hAnsi="Calibri"/>
          <w:b/>
          <w:sz w:val="13"/>
          <w:szCs w:val="13"/>
          <w:u w:val="single"/>
        </w:rPr>
      </w:r>
    </w:p>
    <w:tbl>
      <w:tblPr>
        <w:tblInd w:w="846" w:type="dxa"/>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9"/>
        <w:gridCol w:w="7258"/>
      </w:tblGrid>
      <w:tr>
        <w:trPr>
          <w:trHeight w:val="132"/>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1FFE015E">
            <w:pPr>
              <w:pBdr/>
              <w:spacing/>
              <w:ind/>
              <w:jc w:val="right"/>
              <w:rPr>
                <w:rFonts w:ascii="Times New Roman" w:hAnsi="Times New Roman" w:cs="Times New Roman"/>
                <w:sz w:val="13"/>
                <w:szCs w:val="13"/>
              </w:rPr>
            </w:pPr>
            <w:r>
              <w:rPr>
                <w:rFonts w:ascii="Times New Roman" w:hAnsi="Times New Roman" w:cs="Times New Roman"/>
                <w:sz w:val="13"/>
                <w:szCs w:val="13"/>
              </w:rPr>
              <w:t xml:space="preserve">Órgão:</w:t>
            </w:r>
            <w:r>
              <w:rPr>
                <w:rFonts w:ascii="Times New Roman" w:hAnsi="Times New Roman" w:cs="Times New Roman"/>
                <w:sz w:val="13"/>
                <w:szCs w:val="13"/>
              </w:rPr>
            </w:r>
            <w:r>
              <w:rPr>
                <w:rFonts w:ascii="Times New Roman" w:hAnsi="Times New Roman" w:cs="Times New Roman"/>
                <w:sz w:val="13"/>
                <w:szCs w:val="13"/>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41FF35BB">
            <w:pPr>
              <w:pBdr/>
              <w:spacing/>
              <w:ind/>
              <w:jc w:val="both"/>
              <w:rPr>
                <w:rFonts w:ascii="Times New Roman" w:hAnsi="Times New Roman" w:cs="Times New Roman"/>
                <w:sz w:val="13"/>
                <w:szCs w:val="13"/>
              </w:rPr>
            </w:pPr>
            <w:r>
              <w:rPr>
                <w:rFonts w:ascii="Times New Roman" w:hAnsi="Times New Roman" w:cs="Times New Roman"/>
                <w:sz w:val="13"/>
                <w:szCs w:val="13"/>
              </w:rPr>
              <w:t xml:space="preserve">02 – PREFEITURA MUNICIPAL DE RONDONÓPOLIS</w:t>
            </w:r>
            <w:r>
              <w:rPr>
                <w:rFonts w:ascii="Times New Roman" w:hAnsi="Times New Roman" w:cs="Times New Roman"/>
                <w:sz w:val="13"/>
                <w:szCs w:val="13"/>
              </w:rPr>
            </w:r>
            <w:r>
              <w:rPr>
                <w:rFonts w:ascii="Times New Roman" w:hAnsi="Times New Roman" w:cs="Times New Roman"/>
                <w:sz w:val="13"/>
                <w:szCs w:val="13"/>
              </w:rPr>
            </w:r>
          </w:p>
        </w:tc>
      </w:tr>
      <w:tr>
        <w:trPr>
          <w:trHeight w:val="14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02385C6A">
            <w:pPr>
              <w:pBdr/>
              <w:spacing/>
              <w:ind/>
              <w:jc w:val="right"/>
              <w:rPr>
                <w:rFonts w:ascii="Times New Roman" w:hAnsi="Times New Roman" w:cs="Times New Roman"/>
                <w:sz w:val="13"/>
                <w:szCs w:val="13"/>
              </w:rPr>
            </w:pPr>
            <w:r>
              <w:rPr>
                <w:rFonts w:ascii="Times New Roman" w:hAnsi="Times New Roman" w:cs="Times New Roman"/>
                <w:sz w:val="13"/>
                <w:szCs w:val="13"/>
              </w:rPr>
              <w:t xml:space="preserve">Unidade:</w:t>
            </w:r>
            <w:r>
              <w:rPr>
                <w:rFonts w:ascii="Times New Roman" w:hAnsi="Times New Roman" w:cs="Times New Roman"/>
                <w:sz w:val="13"/>
                <w:szCs w:val="13"/>
              </w:rPr>
            </w:r>
            <w:r>
              <w:rPr>
                <w:rFonts w:ascii="Times New Roman" w:hAnsi="Times New Roman" w:cs="Times New Roman"/>
                <w:sz w:val="13"/>
                <w:szCs w:val="13"/>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26AA5B8D">
            <w:pPr>
              <w:pBdr/>
              <w:spacing/>
              <w:ind/>
              <w:jc w:val="both"/>
              <w:rPr>
                <w:rFonts w:ascii="Times New Roman" w:hAnsi="Times New Roman" w:cs="Times New Roman"/>
                <w:sz w:val="13"/>
                <w:szCs w:val="13"/>
              </w:rPr>
            </w:pPr>
            <w:r>
              <w:rPr>
                <w:rFonts w:ascii="Times New Roman" w:hAnsi="Times New Roman" w:cs="Times New Roman"/>
                <w:sz w:val="13"/>
                <w:szCs w:val="13"/>
              </w:rPr>
              <w:t xml:space="preserve">014 – FUNDO MUNICIPAL DE SAÚDE </w:t>
            </w:r>
            <w:r>
              <w:rPr>
                <w:rFonts w:ascii="Times New Roman" w:hAnsi="Times New Roman" w:cs="Times New Roman"/>
                <w:sz w:val="13"/>
                <w:szCs w:val="13"/>
              </w:rPr>
            </w:r>
            <w:r>
              <w:rPr>
                <w:rFonts w:ascii="Times New Roman" w:hAnsi="Times New Roman" w:cs="Times New Roman"/>
                <w:sz w:val="13"/>
                <w:szCs w:val="13"/>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14:paraId="6D8FFA01">
            <w:pPr>
              <w:pBdr/>
              <w:spacing/>
              <w:ind/>
              <w:jc w:val="right"/>
              <w:rPr>
                <w:rFonts w:ascii="Times New Roman" w:hAnsi="Times New Roman" w:cs="Times New Roman"/>
                <w:sz w:val="13"/>
                <w:szCs w:val="13"/>
              </w:rPr>
            </w:pPr>
            <w:r>
              <w:rPr>
                <w:rFonts w:ascii="Times New Roman" w:hAnsi="Times New Roman" w:cs="Times New Roman"/>
                <w:sz w:val="13"/>
                <w:szCs w:val="13"/>
              </w:rPr>
              <w:t xml:space="preserve">Função Programática:</w:t>
            </w:r>
            <w:r>
              <w:rPr>
                <w:rFonts w:ascii="Times New Roman" w:hAnsi="Times New Roman" w:cs="Times New Roman"/>
                <w:sz w:val="13"/>
                <w:szCs w:val="13"/>
              </w:rPr>
            </w:r>
            <w:r>
              <w:rPr>
                <w:rFonts w:ascii="Times New Roman" w:hAnsi="Times New Roman" w:cs="Times New Roman"/>
                <w:sz w:val="13"/>
                <w:szCs w:val="13"/>
              </w:rPr>
            </w:r>
          </w:p>
        </w:tc>
        <w:tc>
          <w:tcPr>
            <w:tcBorders>
              <w:top w:val="single" w:color="000000" w:sz="4" w:space="0"/>
              <w:left w:val="single" w:color="000000" w:sz="4" w:space="0"/>
              <w:bottom w:val="single" w:color="000000" w:sz="4" w:space="0"/>
              <w:right w:val="single" w:color="000000" w:sz="4" w:space="0"/>
            </w:tcBorders>
            <w:tcW w:w="7258" w:type="dxa"/>
            <w:vAlign w:val="center"/>
            <w:textDirection w:val="lrTb"/>
            <w:noWrap w:val="false"/>
          </w:tcPr>
          <w:p w14:paraId="01E0DAD4">
            <w:pPr>
              <w:pBdr/>
              <w:spacing/>
              <w:ind/>
              <w:jc w:val="both"/>
              <w:rPr>
                <w:rFonts w:ascii="Times New Roman" w:hAnsi="Times New Roman" w:cs="Times New Roman"/>
                <w:sz w:val="13"/>
                <w:szCs w:val="13"/>
              </w:rPr>
            </w:pPr>
            <w:r>
              <w:rPr>
                <w:rFonts w:ascii="Times New Roman" w:hAnsi="Times New Roman" w:cs="Times New Roman"/>
                <w:sz w:val="13"/>
                <w:szCs w:val="13"/>
              </w:rPr>
              <w:t xml:space="preserve">10.302.2203.1037 - EQUIPAR A MEDIA E ALTA COMPLEXIDADE </w:t>
            </w:r>
            <w:r>
              <w:rPr>
                <w:rFonts w:ascii="Times New Roman" w:hAnsi="Times New Roman" w:cs="Times New Roman"/>
                <w:sz w:val="13"/>
                <w:szCs w:val="13"/>
              </w:rPr>
            </w:r>
            <w:r>
              <w:rPr>
                <w:rFonts w:ascii="Times New Roman" w:hAnsi="Times New Roman" w:cs="Times New Roman"/>
                <w:sz w:val="13"/>
                <w:szCs w:val="13"/>
              </w:rPr>
            </w:r>
          </w:p>
        </w:tc>
      </w:tr>
      <w:tr>
        <w:trPr>
          <w:trHeight w:val="123"/>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3EEF9F8F">
            <w:pPr>
              <w:pBdr/>
              <w:spacing/>
              <w:ind/>
              <w:jc w:val="right"/>
              <w:rPr>
                <w:rFonts w:ascii="Times New Roman" w:hAnsi="Times New Roman" w:cs="Times New Roman"/>
                <w:sz w:val="13"/>
                <w:szCs w:val="13"/>
              </w:rPr>
            </w:pPr>
            <w:r>
              <w:rPr>
                <w:rFonts w:ascii="Times New Roman" w:hAnsi="Times New Roman" w:cs="Times New Roman"/>
                <w:sz w:val="13"/>
                <w:szCs w:val="13"/>
              </w:rPr>
              <w:t xml:space="preserve">Elemento da Despesa:</w:t>
            </w:r>
            <w:r>
              <w:rPr>
                <w:rFonts w:ascii="Times New Roman" w:hAnsi="Times New Roman" w:cs="Times New Roman"/>
                <w:sz w:val="13"/>
                <w:szCs w:val="13"/>
              </w:rPr>
            </w:r>
            <w:r>
              <w:rPr>
                <w:rFonts w:ascii="Times New Roman" w:hAnsi="Times New Roman" w:cs="Times New Roman"/>
                <w:sz w:val="13"/>
                <w:szCs w:val="13"/>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22851B6C">
            <w:pPr>
              <w:pBdr/>
              <w:spacing/>
              <w:ind/>
              <w:jc w:val="both"/>
              <w:rPr>
                <w:rFonts w:ascii="Times New Roman" w:hAnsi="Times New Roman" w:cs="Times New Roman"/>
                <w:sz w:val="13"/>
                <w:szCs w:val="13"/>
              </w:rPr>
            </w:pPr>
            <w:r>
              <w:rPr>
                <w:rFonts w:ascii="Times New Roman" w:hAnsi="Times New Roman" w:cs="Times New Roman"/>
                <w:sz w:val="13"/>
                <w:szCs w:val="13"/>
              </w:rPr>
              <w:t xml:space="preserve">4.4.90.52 – EQUIPAMENTOS E MATERIAL PERMANENTE</w:t>
            </w:r>
            <w:r>
              <w:rPr>
                <w:rFonts w:ascii="Times New Roman" w:hAnsi="Times New Roman" w:cs="Times New Roman"/>
                <w:sz w:val="13"/>
                <w:szCs w:val="13"/>
              </w:rPr>
            </w:r>
            <w:r>
              <w:rPr>
                <w:rFonts w:ascii="Times New Roman" w:hAnsi="Times New Roman" w:cs="Times New Roman"/>
                <w:sz w:val="13"/>
                <w:szCs w:val="13"/>
              </w:rPr>
            </w:r>
          </w:p>
        </w:tc>
      </w:tr>
      <w:tr>
        <w:trPr>
          <w:trHeight w:val="9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6FA31DDB">
            <w:pPr>
              <w:pBdr/>
              <w:spacing/>
              <w:ind/>
              <w:jc w:val="right"/>
              <w:rPr>
                <w:rFonts w:ascii="Times New Roman" w:hAnsi="Times New Roman" w:cs="Times New Roman"/>
                <w:sz w:val="13"/>
                <w:szCs w:val="13"/>
              </w:rPr>
            </w:pPr>
            <w:r>
              <w:rPr>
                <w:rFonts w:ascii="Times New Roman" w:hAnsi="Times New Roman" w:cs="Times New Roman"/>
                <w:sz w:val="13"/>
                <w:szCs w:val="13"/>
              </w:rPr>
              <w:t xml:space="preserve">Reduzido</w:t>
            </w:r>
            <w:r>
              <w:rPr>
                <w:rFonts w:ascii="Times New Roman" w:hAnsi="Times New Roman" w:cs="Times New Roman"/>
                <w:sz w:val="13"/>
                <w:szCs w:val="13"/>
              </w:rPr>
            </w:r>
            <w:r>
              <w:rPr>
                <w:rFonts w:ascii="Times New Roman" w:hAnsi="Times New Roman" w:cs="Times New Roman"/>
                <w:sz w:val="13"/>
                <w:szCs w:val="13"/>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0C04493E">
            <w:pPr>
              <w:pBdr/>
              <w:spacing/>
              <w:ind/>
              <w:jc w:val="both"/>
              <w:rPr>
                <w:rFonts w:ascii="Times New Roman" w:hAnsi="Times New Roman" w:cs="Times New Roman"/>
                <w:sz w:val="13"/>
                <w:szCs w:val="13"/>
              </w:rPr>
            </w:pPr>
            <w:r>
              <w:rPr>
                <w:rFonts w:ascii="Times New Roman" w:hAnsi="Times New Roman" w:cs="Times New Roman"/>
                <w:sz w:val="13"/>
                <w:szCs w:val="13"/>
              </w:rPr>
              <w:t xml:space="preserve">568</w:t>
            </w:r>
            <w:r>
              <w:rPr>
                <w:rFonts w:ascii="Times New Roman" w:hAnsi="Times New Roman" w:cs="Times New Roman"/>
                <w:sz w:val="13"/>
                <w:szCs w:val="13"/>
              </w:rPr>
            </w:r>
            <w:r>
              <w:rPr>
                <w:rFonts w:ascii="Times New Roman" w:hAnsi="Times New Roman" w:cs="Times New Roman"/>
                <w:sz w:val="13"/>
                <w:szCs w:val="13"/>
              </w:rPr>
            </w:r>
          </w:p>
        </w:tc>
      </w:tr>
      <w:tr>
        <w:trPr>
          <w:trHeight w:val="9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49F6D0FD">
            <w:pPr>
              <w:pBdr/>
              <w:spacing/>
              <w:ind/>
              <w:jc w:val="right"/>
              <w:rPr>
                <w:rFonts w:ascii="Times New Roman" w:hAnsi="Times New Roman" w:cs="Times New Roman"/>
                <w:sz w:val="13"/>
                <w:szCs w:val="13"/>
              </w:rPr>
            </w:pPr>
            <w:r>
              <w:rPr>
                <w:rFonts w:ascii="Times New Roman" w:hAnsi="Times New Roman" w:cs="Times New Roman"/>
                <w:sz w:val="13"/>
                <w:szCs w:val="13"/>
              </w:rPr>
              <w:t xml:space="preserve">Fonte de Recursos:</w:t>
            </w:r>
            <w:r>
              <w:rPr>
                <w:rFonts w:ascii="Times New Roman" w:hAnsi="Times New Roman" w:cs="Times New Roman"/>
                <w:sz w:val="13"/>
                <w:szCs w:val="13"/>
              </w:rPr>
            </w:r>
            <w:r>
              <w:rPr>
                <w:rFonts w:ascii="Times New Roman" w:hAnsi="Times New Roman" w:cs="Times New Roman"/>
                <w:sz w:val="13"/>
                <w:szCs w:val="13"/>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41D80069">
            <w:pPr>
              <w:pBdr/>
              <w:spacing/>
              <w:ind/>
              <w:jc w:val="both"/>
              <w:rPr>
                <w:rFonts w:ascii="Times New Roman" w:hAnsi="Times New Roman" w:cs="Times New Roman"/>
                <w:sz w:val="13"/>
                <w:szCs w:val="13"/>
              </w:rPr>
            </w:pPr>
            <w:r>
              <w:rPr>
                <w:rFonts w:ascii="Times New Roman" w:hAnsi="Times New Roman" w:cs="Times New Roman"/>
                <w:sz w:val="13"/>
                <w:szCs w:val="13"/>
              </w:rPr>
              <w:t xml:space="preserve">1.500.1002000</w:t>
            </w:r>
            <w:r>
              <w:rPr>
                <w:rFonts w:ascii="Times New Roman" w:hAnsi="Times New Roman" w:cs="Times New Roman"/>
                <w:sz w:val="13"/>
                <w:szCs w:val="13"/>
              </w:rPr>
            </w:r>
            <w:r>
              <w:rPr>
                <w:rFonts w:ascii="Times New Roman" w:hAnsi="Times New Roman" w:cs="Times New Roman"/>
                <w:sz w:val="13"/>
                <w:szCs w:val="13"/>
              </w:rPr>
            </w:r>
          </w:p>
        </w:tc>
      </w:tr>
    </w:tbl>
    <w:p w14:paraId="4925DD68">
      <w:pPr>
        <w:pBdr/>
        <w:spacing/>
        <w:ind/>
        <w:jc w:val="both"/>
        <w:rPr>
          <w:rFonts w:ascii="Times New Roman" w:hAnsi="Times New Roman" w:cs="Times New Roman"/>
          <w:sz w:val="12"/>
          <w:szCs w:val="12"/>
        </w:rPr>
      </w:pPr>
      <w:r>
        <w:rPr>
          <w:rFonts w:ascii="Times New Roman" w:hAnsi="Times New Roman" w:cs="Times New Roman"/>
          <w:sz w:val="12"/>
          <w:szCs w:val="12"/>
        </w:rPr>
      </w:r>
      <w:r>
        <w:rPr>
          <w:rFonts w:ascii="Times New Roman" w:hAnsi="Times New Roman" w:cs="Times New Roman"/>
          <w:sz w:val="12"/>
          <w:szCs w:val="12"/>
        </w:rPr>
      </w:r>
      <w:r>
        <w:rPr>
          <w:rFonts w:ascii="Times New Roman" w:hAnsi="Times New Roman" w:cs="Times New Roman"/>
          <w:sz w:val="12"/>
          <w:szCs w:val="12"/>
        </w:rPr>
      </w:r>
    </w:p>
    <w:p w14:paraId="12283835">
      <w:pPr>
        <w:pBdr/>
        <w:spacing/>
        <w:ind/>
        <w:jc w:val="both"/>
        <w:rPr/>
      </w:pPr>
      <w:r>
        <w:rPr>
          <w:rFonts w:ascii="Times New Roman" w:hAnsi="Times New Roman" w:cs="Times New Roman"/>
          <w:b/>
          <w:bCs/>
          <w:iCs/>
          <w:lang w:val="en-US" w:eastAsia="pt-BR"/>
        </w:rPr>
        <w:t xml:space="preserve">15.5. </w:t>
      </w:r>
      <w:r>
        <w:rPr>
          <w:rFonts w:ascii="Times New Roman" w:hAnsi="Times New Roman" w:cs="Times New Roman"/>
          <w:iCs/>
          <w:lang w:val="pt-BR" w:eastAsia="pt-BR"/>
        </w:rPr>
        <w:t xml:space="preserve">É possível encontrar o Plano Anual de Contratação no site:</w:t>
      </w:r>
      <w:r/>
    </w:p>
    <w:p w14:paraId="6C8AFD6F">
      <w:pPr>
        <w:pBdr/>
        <w:spacing/>
        <w:ind/>
        <w:jc w:val="both"/>
        <w:rPr>
          <w:rFonts w:ascii="Times New Roman" w:hAnsi="Times New Roman" w:cs="Times New Roman"/>
          <w:iCs/>
          <w:lang w:val="pt-BR" w:eastAsia="pt-BR"/>
        </w:rPr>
      </w:pPr>
      <w:r/>
      <w:hyperlink r:id="rId42" w:tooltip="https://transparencia.rondonopolis.mt.gov.br/rondonopolis/publicacoes/23" w:history="1">
        <w:r>
          <w:rPr>
            <w:rStyle w:val="863"/>
            <w:rFonts w:ascii="Times New Roman" w:hAnsi="Times New Roman" w:cs="Times New Roman"/>
            <w:iCs/>
            <w:lang w:val="pt-BR" w:eastAsia="pt-BR"/>
          </w:rPr>
          <w:t xml:space="preserve">https://transparencia.rondonopolis.mt.gov.br/rondonopolis/publicacoes/23</w:t>
        </w:r>
      </w:hyperlink>
      <w:r>
        <w:rPr>
          <w:rFonts w:ascii="Times New Roman" w:hAnsi="Times New Roman" w:cs="Times New Roman"/>
          <w:iCs/>
          <w:lang w:val="pt-BR" w:eastAsia="pt-BR"/>
        </w:rPr>
        <w:t xml:space="preserve"> </w:t>
      </w:r>
      <w:r>
        <w:rPr>
          <w:rFonts w:ascii="Times New Roman" w:hAnsi="Times New Roman" w:cs="Times New Roman"/>
          <w:iCs/>
          <w:lang w:val="pt-BR" w:eastAsia="pt-BR"/>
        </w:rPr>
      </w:r>
      <w:r>
        <w:rPr>
          <w:rFonts w:ascii="Times New Roman" w:hAnsi="Times New Roman" w:cs="Times New Roman"/>
          <w:iCs/>
          <w:lang w:val="pt-BR" w:eastAsia="pt-BR"/>
        </w:rPr>
      </w:r>
    </w:p>
    <w:p w14:paraId="5B497D4B">
      <w:pPr>
        <w:pBdr/>
        <w:spacing/>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14:paraId="17A0BA40">
      <w:pPr>
        <w:pBdr/>
        <w:spacing/>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14:paraId="74DC4E70">
      <w:pPr>
        <w:pBdr/>
        <w:spacing/>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14:paraId="7A3DAE32">
      <w:pPr>
        <w:pBdr/>
        <w:spacing/>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14:paraId="3CA3D564">
      <w:pPr>
        <w:pBdr/>
        <w:spacing/>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14:paraId="3F2976F3">
      <w:pPr>
        <w:pBdr/>
        <w:shd w:val="clear" w:color="auto" w:fill="cccccc"/>
        <w:spacing/>
        <w:ind/>
        <w:jc w:val="both"/>
        <w:rPr/>
      </w:pPr>
      <w:r>
        <w:rPr>
          <w:rFonts w:ascii="Times New Roman" w:hAnsi="Times New Roman" w:cs="Times New Roman"/>
          <w:b/>
          <w:bCs/>
        </w:rPr>
        <w:t xml:space="preserve">1</w:t>
      </w:r>
      <w:r>
        <w:rPr>
          <w:rFonts w:ascii="Times New Roman" w:hAnsi="Times New Roman" w:cs="Times New Roman"/>
          <w:b/>
          <w:bCs/>
          <w:lang w:val="pt-BR"/>
        </w:rPr>
        <w:t xml:space="preserve">6</w:t>
      </w:r>
      <w:r>
        <w:rPr>
          <w:rFonts w:ascii="Times New Roman" w:hAnsi="Times New Roman" w:cs="Times New Roman"/>
          <w:b/>
          <w:bCs/>
        </w:rPr>
        <w:t xml:space="preserve"> – UNIDADE RESPONSÁVEL PELO ACOMPANHAMENTO/ FISCALIZAÇÃO </w:t>
      </w:r>
      <w:r/>
    </w:p>
    <w:p w14:paraId="3E83077A">
      <w:pPr>
        <w:pBdr/>
        <w:spacing/>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14:paraId="52514EA7">
      <w:pPr>
        <w:pBdr/>
        <w:spacing/>
        <w:ind/>
        <w:jc w:val="both"/>
        <w:rPr>
          <w:rFonts w:ascii="Times New Roman" w:hAnsi="Times New Roman" w:cs="Times New Roman"/>
          <w:b/>
          <w:bCs/>
          <w:lang w:val="pt-BR"/>
        </w:rPr>
      </w:pPr>
      <w:r>
        <w:rPr>
          <w:rFonts w:ascii="Times New Roman" w:hAnsi="Times New Roman" w:cs="Times New Roman"/>
          <w:b/>
          <w:bCs/>
          <w:lang w:val="pt-BR"/>
        </w:rPr>
        <w:t xml:space="preserve">16.1. CER II – CENTRO ESPECIALIZADO EM REABILITAÇÃO NILMO JUNIOR.</w:t>
      </w:r>
      <w:r>
        <w:rPr>
          <w:rFonts w:ascii="Times New Roman" w:hAnsi="Times New Roman" w:cs="Times New Roman"/>
          <w:b/>
          <w:bCs/>
          <w:lang w:val="pt-BR"/>
        </w:rPr>
      </w:r>
      <w:r>
        <w:rPr>
          <w:rFonts w:ascii="Times New Roman" w:hAnsi="Times New Roman" w:cs="Times New Roman"/>
          <w:b/>
          <w:bCs/>
          <w:lang w:val="pt-BR"/>
        </w:rPr>
      </w:r>
    </w:p>
    <w:p w14:paraId="36E464B4">
      <w:pPr>
        <w:pBdr/>
        <w:spacing/>
        <w:ind/>
        <w:jc w:val="both"/>
        <w:rPr>
          <w:rFonts w:ascii="Times New Roman" w:hAnsi="Times New Roman" w:cs="Times New Roman"/>
          <w:b/>
          <w:bCs/>
          <w:lang w:val="pt-BR"/>
        </w:rPr>
      </w:pPr>
      <w:r>
        <w:rPr>
          <w:rFonts w:ascii="Times New Roman" w:hAnsi="Times New Roman" w:cs="Times New Roman"/>
          <w:b/>
          <w:bCs/>
          <w:lang w:val="pt-BR"/>
        </w:rPr>
        <w:t xml:space="preserve">16.2. AÇÕES PROGRAMATICAS.</w:t>
      </w:r>
      <w:r>
        <w:rPr>
          <w:rFonts w:ascii="Times New Roman" w:hAnsi="Times New Roman" w:cs="Times New Roman"/>
          <w:b/>
          <w:bCs/>
          <w:lang w:val="pt-BR"/>
        </w:rPr>
      </w:r>
      <w:r>
        <w:rPr>
          <w:rFonts w:ascii="Times New Roman" w:hAnsi="Times New Roman" w:cs="Times New Roman"/>
          <w:b/>
          <w:bCs/>
          <w:lang w:val="pt-BR"/>
        </w:rPr>
      </w:r>
    </w:p>
    <w:p w14:paraId="6852E119">
      <w:pPr>
        <w:pBdr/>
        <w:spacing/>
        <w:ind/>
        <w:jc w:val="both"/>
        <w:rPr>
          <w:rFonts w:ascii="Times New Roman" w:hAnsi="Times New Roman" w:cs="Times New Roman"/>
          <w:b/>
          <w:bCs/>
          <w:lang w:val="pt-BR"/>
        </w:rPr>
      </w:pPr>
      <w:r>
        <w:rPr>
          <w:rFonts w:ascii="Times New Roman" w:hAnsi="Times New Roman" w:cs="Times New Roman"/>
          <w:b/>
          <w:bCs/>
          <w:lang w:val="pt-BR"/>
        </w:rPr>
        <w:t xml:space="preserve">16.3. ATENÇÃO ESPECIALIZADA.</w:t>
      </w:r>
      <w:r>
        <w:rPr>
          <w:rFonts w:ascii="Times New Roman" w:hAnsi="Times New Roman" w:cs="Times New Roman"/>
          <w:b/>
          <w:bCs/>
          <w:lang w:val="pt-BR"/>
        </w:rPr>
      </w:r>
      <w:r>
        <w:rPr>
          <w:rFonts w:ascii="Times New Roman" w:hAnsi="Times New Roman" w:cs="Times New Roman"/>
          <w:b/>
          <w:bCs/>
          <w:lang w:val="pt-BR"/>
        </w:rPr>
      </w:r>
    </w:p>
    <w:p w14:paraId="15A92796">
      <w:pPr>
        <w:pBdr/>
        <w:spacing/>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14:paraId="5436B553">
      <w:pPr>
        <w:pBdr/>
        <w:shd w:val="clear" w:color="auto" w:fill="cccccc"/>
        <w:spacing/>
        <w:ind/>
        <w:jc w:val="both"/>
        <w:rPr/>
      </w:pPr>
      <w:r>
        <w:rPr>
          <w:rFonts w:ascii="Times New Roman" w:hAnsi="Times New Roman" w:cs="Times New Roman"/>
          <w:b/>
          <w:bCs/>
        </w:rPr>
        <w:t xml:space="preserve">1</w:t>
      </w:r>
      <w:r>
        <w:rPr>
          <w:rFonts w:ascii="Times New Roman" w:hAnsi="Times New Roman" w:cs="Times New Roman"/>
          <w:b/>
          <w:bCs/>
          <w:lang w:val="pt-BR"/>
        </w:rPr>
        <w:t xml:space="preserve">7</w:t>
      </w:r>
      <w:r>
        <w:rPr>
          <w:rFonts w:ascii="Times New Roman" w:hAnsi="Times New Roman" w:cs="Times New Roman"/>
          <w:b/>
          <w:bCs/>
        </w:rPr>
        <w:t xml:space="preserve"> –</w:t>
      </w:r>
      <w:r>
        <w:rPr>
          <w:rFonts w:ascii="Times New Roman" w:hAnsi="Times New Roman" w:cs="Times New Roman"/>
          <w:b/>
          <w:bCs/>
          <w:lang w:val="pt-BR"/>
        </w:rPr>
        <w:t xml:space="preserve">INTEGRAM O PRESENTE TERMO O(S) SEGUINTE(S) ANEXO(S):</w:t>
      </w:r>
      <w:r/>
    </w:p>
    <w:p w14:paraId="4A2A2317">
      <w:pPr>
        <w:pBdr/>
        <w:spacing/>
        <w:ind/>
        <w:jc w:val="both"/>
        <w:rPr>
          <w:rFonts w:ascii="Times New Roman" w:hAnsi="Times New Roman" w:cs="Times New Roman"/>
          <w:lang w:val="pt-BR"/>
        </w:rPr>
      </w:pPr>
      <w:r>
        <w:rPr>
          <w:rFonts w:ascii="Times New Roman" w:hAnsi="Times New Roman" w:cs="Times New Roman"/>
          <w:lang w:val="pt-BR"/>
        </w:rPr>
      </w:r>
      <w:r>
        <w:rPr>
          <w:rFonts w:ascii="Times New Roman" w:hAnsi="Times New Roman" w:cs="Times New Roman"/>
          <w:lang w:val="pt-BR"/>
        </w:rPr>
      </w:r>
      <w:r>
        <w:rPr>
          <w:rFonts w:ascii="Times New Roman" w:hAnsi="Times New Roman" w:cs="Times New Roman"/>
          <w:lang w:val="pt-BR"/>
        </w:rPr>
      </w:r>
    </w:p>
    <w:p w14:paraId="07E35F33">
      <w:pPr>
        <w:pBdr/>
        <w:spacing/>
        <w:ind/>
        <w:jc w:val="both"/>
        <w:rPr/>
      </w:pPr>
      <w:r>
        <w:rPr>
          <w:rFonts w:ascii="Times New Roman" w:hAnsi="Times New Roman" w:cs="Times New Roman"/>
          <w:b/>
          <w:bCs/>
          <w:lang w:val="pt-BR"/>
        </w:rPr>
        <w:t xml:space="preserve">17.1. </w:t>
      </w:r>
      <w:r>
        <w:rPr>
          <w:rFonts w:ascii="Times New Roman" w:hAnsi="Times New Roman" w:cs="Times New Roman"/>
          <w:lang w:val="pt-BR"/>
        </w:rPr>
        <w:t xml:space="preserve">Cotações.</w:t>
      </w:r>
      <w:r/>
    </w:p>
    <w:p w14:paraId="43CC161C">
      <w:pPr>
        <w:pBdr/>
        <w:spacing/>
        <w:ind/>
        <w:jc w:val="right"/>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14:paraId="78D52179">
      <w:pPr>
        <w:pBdr/>
        <w:spacing/>
        <w:ind/>
        <w:jc w:val="right"/>
        <w:rPr/>
      </w:pPr>
      <w:r>
        <w:rPr>
          <w:rFonts w:ascii="Times New Roman" w:hAnsi="Times New Roman" w:cs="Times New Roman"/>
        </w:rPr>
        <w:t xml:space="preserve">Rondonópolis-MT, </w:t>
      </w:r>
      <w:r>
        <w:rPr>
          <w:rFonts w:ascii="Times New Roman" w:hAnsi="Times New Roman" w:cs="Times New Roman"/>
          <w:lang w:val="pt-BR"/>
        </w:rPr>
        <w:t xml:space="preserve">20</w:t>
      </w:r>
      <w:r>
        <w:rPr>
          <w:rFonts w:ascii="Times New Roman" w:hAnsi="Times New Roman" w:cs="Times New Roman"/>
        </w:rPr>
        <w:t xml:space="preserve"> de janeiro de 2026.</w:t>
      </w:r>
      <w:r/>
    </w:p>
    <w:p w14:paraId="6EB8F5AB">
      <w:pPr>
        <w:pBdr/>
        <w:spacing/>
        <w:ind/>
        <w:jc w:val="both"/>
        <w:rPr/>
      </w:pPr>
      <w:r/>
      <w:r/>
    </w:p>
    <w:p w14:paraId="5B52EB9A">
      <w:pPr>
        <w:pBdr/>
        <w:spacing/>
        <w:ind/>
        <w:jc w:val="both"/>
        <w:rPr/>
      </w:pPr>
      <w:r/>
      <w:r/>
    </w:p>
    <w:p w14:paraId="30800E0A">
      <w:pPr>
        <w:pBdr/>
        <w:spacing/>
        <w:ind/>
        <w:jc w:val="both"/>
        <w:rPr/>
      </w:pPr>
      <w:r/>
      <w:r/>
    </w:p>
    <w:p w14:paraId="531FBA71">
      <w:pPr>
        <w:pBdr/>
        <w:spacing/>
        <w:ind/>
        <w:jc w:val="right"/>
        <w:rPr/>
      </w:pPr>
      <w:r/>
      <w:bookmarkStart w:id="0" w:name="_Hlk219969022"/>
      <w:r/>
      <w:r/>
    </w:p>
    <w:p w14:paraId="77EFBA28">
      <w:pPr>
        <w:pBdr/>
        <w:spacing/>
        <w:ind/>
        <w:rPr>
          <w:rFonts w:ascii="Times New Roman" w:hAnsi="Times New Roman" w:cs="Times New Roman"/>
          <w:b/>
          <w:bCs/>
          <w:lang w:val="pt-BR"/>
        </w:rPr>
      </w:pPr>
      <w:r>
        <w:rPr>
          <w:rFonts w:ascii="Times New Roman" w:hAnsi="Times New Roman" w:cs="Times New Roman"/>
          <w:b/>
          <w:bCs/>
          <w:lang w:val="pt-BR"/>
        </w:rPr>
        <w:t xml:space="preserve">ELABORADO POR:</w:t>
      </w:r>
      <w:r>
        <w:rPr>
          <w:rFonts w:ascii="Times New Roman" w:hAnsi="Times New Roman" w:cs="Times New Roman"/>
          <w:b/>
          <w:bCs/>
          <w:lang w:val="pt-BR"/>
        </w:rPr>
      </w:r>
      <w:r>
        <w:rPr>
          <w:rFonts w:ascii="Times New Roman" w:hAnsi="Times New Roman" w:cs="Times New Roman"/>
          <w:b/>
          <w:bCs/>
          <w:lang w:val="pt-BR"/>
        </w:rPr>
      </w:r>
    </w:p>
    <w:p w14:paraId="4B4AB7DF">
      <w:pPr>
        <w:pBdr/>
        <w:spacing/>
        <w:ind/>
        <w:jc w:val="center"/>
        <w:rPr>
          <w:rFonts w:ascii="Times New Roman" w:hAnsi="Times New Roman" w:cs="Times New Roman"/>
          <w:b/>
          <w:bCs/>
          <w:lang w:val="pt-BR"/>
        </w:rPr>
      </w:pPr>
      <w:r>
        <w:rPr>
          <w:rFonts w:ascii="Times New Roman" w:hAnsi="Times New Roman" w:cs="Times New Roman"/>
          <w:b/>
          <w:bCs/>
          <w:lang w:val="pt-BR"/>
        </w:rPr>
        <w:t xml:space="preserve">_______________________________________________</w:t>
      </w:r>
      <w:r>
        <w:rPr>
          <w:rFonts w:ascii="Times New Roman" w:hAnsi="Times New Roman" w:cs="Times New Roman"/>
          <w:b/>
          <w:bCs/>
          <w:lang w:val="pt-BR"/>
        </w:rPr>
      </w:r>
      <w:r>
        <w:rPr>
          <w:rFonts w:ascii="Times New Roman" w:hAnsi="Times New Roman" w:cs="Times New Roman"/>
          <w:b/>
          <w:bCs/>
          <w:lang w:val="pt-BR"/>
        </w:rPr>
      </w:r>
    </w:p>
    <w:p w14:paraId="42C632FC">
      <w:pPr>
        <w:pBdr/>
        <w:spacing/>
        <w:ind/>
        <w:jc w:val="center"/>
        <w:rPr>
          <w:rFonts w:ascii="Times New Roman" w:hAnsi="Times New Roman" w:eastAsia="Times New Roman" w:cs="Times New Roman"/>
          <w:b/>
          <w:iCs/>
          <w:lang w:val="en-US" w:eastAsia="pt-BR"/>
        </w:rPr>
      </w:pPr>
      <w:r>
        <w:rPr>
          <w:rFonts w:ascii="Times New Roman" w:hAnsi="Times New Roman" w:eastAsia="Times New Roman" w:cs="Times New Roman"/>
          <w:b/>
          <w:iCs/>
          <w:lang w:val="en-US" w:eastAsia="pt-BR"/>
        </w:rPr>
        <w:t xml:space="preserve">BRUNA LEAL BRITO</w:t>
      </w:r>
      <w:r>
        <w:rPr>
          <w:rFonts w:ascii="Times New Roman" w:hAnsi="Times New Roman" w:eastAsia="Times New Roman" w:cs="Times New Roman"/>
          <w:b/>
          <w:iCs/>
          <w:lang w:val="en-US" w:eastAsia="pt-BR"/>
        </w:rPr>
      </w:r>
      <w:r>
        <w:rPr>
          <w:rFonts w:ascii="Times New Roman" w:hAnsi="Times New Roman" w:eastAsia="Times New Roman" w:cs="Times New Roman"/>
          <w:b/>
          <w:iCs/>
          <w:lang w:val="en-US" w:eastAsia="pt-BR"/>
        </w:rPr>
      </w:r>
    </w:p>
    <w:p w14:paraId="24C6B65A">
      <w:pPr>
        <w:pBdr/>
        <w:spacing/>
        <w:ind/>
        <w:jc w:val="center"/>
        <w:rPr>
          <w:rFonts w:ascii="Times New Roman" w:hAnsi="Times New Roman" w:eastAsia="Times New Roman" w:cs="Times New Roman"/>
          <w:bCs/>
          <w:iCs/>
          <w:lang w:val="en-US" w:eastAsia="pt-BR"/>
        </w:rPr>
      </w:pPr>
      <w:r>
        <w:rPr>
          <w:rFonts w:ascii="Times New Roman" w:hAnsi="Times New Roman" w:eastAsia="Times New Roman" w:cs="Times New Roman"/>
          <w:bCs/>
          <w:iCs/>
          <w:lang w:val="en-US" w:eastAsia="pt-BR"/>
        </w:rPr>
        <w:t xml:space="preserve">Coordenadora</w:t>
      </w:r>
      <w:r>
        <w:rPr>
          <w:rFonts w:ascii="Times New Roman" w:hAnsi="Times New Roman" w:eastAsia="Times New Roman" w:cs="Times New Roman"/>
          <w:bCs/>
          <w:iCs/>
          <w:lang w:val="en-US" w:eastAsia="pt-BR"/>
        </w:rPr>
        <w:t xml:space="preserve"> de </w:t>
      </w:r>
      <w:r>
        <w:rPr>
          <w:rFonts w:ascii="Times New Roman" w:hAnsi="Times New Roman" w:eastAsia="Times New Roman" w:cs="Times New Roman"/>
          <w:bCs/>
          <w:iCs/>
          <w:lang w:val="en-US" w:eastAsia="pt-BR"/>
        </w:rPr>
        <w:t xml:space="preserve">Atenção</w:t>
      </w:r>
      <w:r>
        <w:rPr>
          <w:rFonts w:ascii="Times New Roman" w:hAnsi="Times New Roman" w:eastAsia="Times New Roman" w:cs="Times New Roman"/>
          <w:bCs/>
          <w:iCs/>
          <w:lang w:val="en-US" w:eastAsia="pt-BR"/>
        </w:rPr>
        <w:t xml:space="preserve"> </w:t>
      </w:r>
      <w:r>
        <w:rPr>
          <w:rFonts w:ascii="Times New Roman" w:hAnsi="Times New Roman" w:eastAsia="Times New Roman" w:cs="Times New Roman"/>
          <w:bCs/>
          <w:iCs/>
          <w:lang w:val="en-US" w:eastAsia="pt-BR"/>
        </w:rPr>
        <w:t xml:space="preserve">Primária</w:t>
      </w:r>
      <w:r>
        <w:rPr>
          <w:rFonts w:ascii="Times New Roman" w:hAnsi="Times New Roman" w:eastAsia="Times New Roman" w:cs="Times New Roman"/>
          <w:bCs/>
          <w:iCs/>
          <w:lang w:val="en-US" w:eastAsia="pt-BR"/>
        </w:rPr>
      </w:r>
      <w:r>
        <w:rPr>
          <w:rFonts w:ascii="Times New Roman" w:hAnsi="Times New Roman" w:eastAsia="Times New Roman" w:cs="Times New Roman"/>
          <w:bCs/>
          <w:iCs/>
          <w:lang w:val="en-US" w:eastAsia="pt-BR"/>
        </w:rPr>
      </w:r>
    </w:p>
    <w:p w14:paraId="4152144E">
      <w:pPr>
        <w:pBdr/>
        <w:spacing/>
        <w:ind/>
        <w:jc w:val="center"/>
        <w:rPr>
          <w:rFonts w:ascii="Times New Roman" w:hAnsi="Times New Roman" w:eastAsia="Times New Roman" w:cs="Times New Roman"/>
          <w:bCs/>
          <w:iCs/>
          <w:lang w:val="en-US" w:eastAsia="pt-BR"/>
        </w:rPr>
      </w:pPr>
      <w:r>
        <w:rPr>
          <w:rFonts w:ascii="Times New Roman" w:hAnsi="Times New Roman" w:eastAsia="Times New Roman" w:cs="Times New Roman"/>
          <w:b/>
          <w:iCs/>
          <w:lang w:val="en-US" w:eastAsia="pt-BR"/>
        </w:rPr>
        <w:t xml:space="preserve">Portaria</w:t>
      </w:r>
      <w:r>
        <w:rPr>
          <w:rFonts w:ascii="Times New Roman" w:hAnsi="Times New Roman" w:eastAsia="Times New Roman" w:cs="Times New Roman"/>
          <w:b/>
          <w:iCs/>
          <w:lang w:val="en-US" w:eastAsia="pt-BR"/>
        </w:rPr>
        <w:t xml:space="preserve"> n° </w:t>
      </w:r>
      <w:r>
        <w:rPr>
          <w:rFonts w:ascii="Times New Roman" w:hAnsi="Times New Roman" w:eastAsia="Times New Roman" w:cs="Times New Roman"/>
          <w:b/>
          <w:iCs/>
          <w:lang w:val="en-US" w:eastAsia="pt-BR"/>
        </w:rPr>
        <w:t xml:space="preserve">38.354, de 10 de </w:t>
      </w:r>
      <w:r>
        <w:rPr>
          <w:rFonts w:ascii="Times New Roman" w:hAnsi="Times New Roman" w:eastAsia="Times New Roman" w:cs="Times New Roman"/>
          <w:b/>
          <w:iCs/>
          <w:lang w:val="en-US" w:eastAsia="pt-BR"/>
        </w:rPr>
        <w:t xml:space="preserve">março</w:t>
      </w:r>
      <w:r>
        <w:rPr>
          <w:rFonts w:ascii="Times New Roman" w:hAnsi="Times New Roman" w:eastAsia="Times New Roman" w:cs="Times New Roman"/>
          <w:b/>
          <w:iCs/>
          <w:lang w:val="en-US" w:eastAsia="pt-BR"/>
        </w:rPr>
        <w:t xml:space="preserve"> de 2025.</w:t>
      </w:r>
      <w:r>
        <w:rPr>
          <w:rFonts w:ascii="Times New Roman" w:hAnsi="Times New Roman" w:eastAsia="Times New Roman" w:cs="Times New Roman"/>
          <w:bCs/>
          <w:iCs/>
          <w:lang w:val="en-US" w:eastAsia="pt-BR"/>
        </w:rPr>
      </w:r>
      <w:r>
        <w:rPr>
          <w:rFonts w:ascii="Times New Roman" w:hAnsi="Times New Roman" w:eastAsia="Times New Roman" w:cs="Times New Roman"/>
          <w:bCs/>
          <w:iCs/>
          <w:lang w:val="en-US" w:eastAsia="pt-BR"/>
        </w:rPr>
      </w:r>
    </w:p>
    <w:p w14:paraId="20E4B58A">
      <w:pPr>
        <w:pBdr/>
        <w:spacing/>
        <w:ind/>
        <w:jc w:val="center"/>
        <w:rPr>
          <w:rFonts w:ascii="Times New Roman" w:hAnsi="Times New Roman" w:eastAsia="Times New Roman" w:cs="Times New Roman"/>
          <w:bCs/>
          <w:iCs/>
          <w:lang w:val="en-US" w:eastAsia="pt-BR"/>
        </w:rPr>
      </w:pPr>
      <w:r>
        <w:rPr>
          <w:rFonts w:ascii="Times New Roman" w:hAnsi="Times New Roman" w:eastAsia="Times New Roman" w:cs="Times New Roman"/>
          <w:bCs/>
          <w:iCs/>
          <w:lang w:val="en-US" w:eastAsia="pt-BR"/>
        </w:rPr>
      </w:r>
      <w:r>
        <w:rPr>
          <w:rFonts w:ascii="Times New Roman" w:hAnsi="Times New Roman" w:eastAsia="Times New Roman" w:cs="Times New Roman"/>
          <w:bCs/>
          <w:iCs/>
          <w:lang w:val="en-US" w:eastAsia="pt-BR"/>
        </w:rPr>
      </w:r>
      <w:r>
        <w:rPr>
          <w:rFonts w:ascii="Times New Roman" w:hAnsi="Times New Roman" w:eastAsia="Times New Roman" w:cs="Times New Roman"/>
          <w:bCs/>
          <w:iCs/>
          <w:lang w:val="en-US" w:eastAsia="pt-BR"/>
        </w:rPr>
      </w:r>
    </w:p>
    <w:p w14:paraId="16BF84EE">
      <w:pPr>
        <w:pBdr/>
        <w:spacing/>
        <w:ind/>
        <w:jc w:val="center"/>
        <w:rPr>
          <w:rFonts w:ascii="Times New Roman" w:hAnsi="Times New Roman" w:eastAsia="Times New Roman" w:cs="Times New Roman"/>
          <w:bCs/>
          <w:iCs/>
          <w:lang w:val="en-US" w:eastAsia="pt-BR"/>
        </w:rPr>
      </w:pPr>
      <w:r>
        <w:rPr>
          <w:rFonts w:ascii="Times New Roman" w:hAnsi="Times New Roman" w:eastAsia="Times New Roman" w:cs="Times New Roman"/>
          <w:bCs/>
          <w:iCs/>
          <w:lang w:val="en-US" w:eastAsia="pt-BR"/>
        </w:rPr>
      </w:r>
      <w:r>
        <w:rPr>
          <w:rFonts w:ascii="Times New Roman" w:hAnsi="Times New Roman" w:eastAsia="Times New Roman" w:cs="Times New Roman"/>
          <w:bCs/>
          <w:iCs/>
          <w:lang w:val="en-US" w:eastAsia="pt-BR"/>
        </w:rPr>
      </w:r>
      <w:r>
        <w:rPr>
          <w:rFonts w:ascii="Times New Roman" w:hAnsi="Times New Roman" w:eastAsia="Times New Roman" w:cs="Times New Roman"/>
          <w:bCs/>
          <w:iCs/>
          <w:lang w:val="en-US" w:eastAsia="pt-BR"/>
        </w:rPr>
      </w:r>
    </w:p>
    <w:p w14:paraId="193F395E">
      <w:pPr>
        <w:pBdr/>
        <w:spacing/>
        <w:ind/>
        <w:jc w:val="center"/>
        <w:rPr>
          <w:rFonts w:ascii="Times New Roman" w:hAnsi="Times New Roman" w:eastAsia="Times New Roman" w:cs="Times New Roman"/>
          <w:bCs/>
          <w:iCs/>
          <w:lang w:val="en-US" w:eastAsia="pt-BR"/>
        </w:rPr>
      </w:pPr>
      <w:r>
        <w:rPr>
          <w:rFonts w:ascii="Times New Roman" w:hAnsi="Times New Roman" w:eastAsia="Times New Roman" w:cs="Times New Roman"/>
          <w:bCs/>
          <w:iCs/>
          <w:lang w:val="en-US" w:eastAsia="pt-BR"/>
        </w:rPr>
      </w:r>
      <w:r>
        <w:rPr>
          <w:rFonts w:ascii="Times New Roman" w:hAnsi="Times New Roman" w:eastAsia="Times New Roman" w:cs="Times New Roman"/>
          <w:bCs/>
          <w:iCs/>
          <w:lang w:val="en-US" w:eastAsia="pt-BR"/>
        </w:rPr>
      </w:r>
      <w:r>
        <w:rPr>
          <w:rFonts w:ascii="Times New Roman" w:hAnsi="Times New Roman" w:eastAsia="Times New Roman" w:cs="Times New Roman"/>
          <w:bCs/>
          <w:iCs/>
          <w:lang w:val="en-US" w:eastAsia="pt-BR"/>
        </w:rPr>
      </w:r>
    </w:p>
    <w:p w14:paraId="19960E2C">
      <w:pPr>
        <w:pBdr/>
        <w:spacing/>
        <w:ind/>
        <w:jc w:val="center"/>
        <w:rPr>
          <w:rFonts w:ascii="Times New Roman" w:hAnsi="Times New Roman" w:eastAsia="Times New Roman" w:cs="Times New Roman"/>
          <w:bCs/>
          <w:iCs/>
          <w:lang w:val="en-US" w:eastAsia="pt-BR"/>
        </w:rPr>
      </w:pPr>
      <w:r>
        <w:rPr>
          <w:rFonts w:ascii="Times New Roman" w:hAnsi="Times New Roman" w:eastAsia="Times New Roman" w:cs="Times New Roman"/>
          <w:bCs/>
          <w:iCs/>
          <w:lang w:val="en-US" w:eastAsia="pt-BR"/>
        </w:rPr>
      </w:r>
      <w:r>
        <w:rPr>
          <w:rFonts w:ascii="Times New Roman" w:hAnsi="Times New Roman" w:eastAsia="Times New Roman" w:cs="Times New Roman"/>
          <w:bCs/>
          <w:iCs/>
          <w:lang w:val="en-US" w:eastAsia="pt-BR"/>
        </w:rPr>
      </w:r>
      <w:r>
        <w:rPr>
          <w:rFonts w:ascii="Times New Roman" w:hAnsi="Times New Roman" w:eastAsia="Times New Roman" w:cs="Times New Roman"/>
          <w:bCs/>
          <w:iCs/>
          <w:lang w:val="en-US" w:eastAsia="pt-BR"/>
        </w:rPr>
      </w:r>
    </w:p>
    <w:p w14:paraId="557D11AB">
      <w:pPr>
        <w:pBdr/>
        <w:spacing/>
        <w:ind/>
        <w:jc w:val="center"/>
        <w:rPr>
          <w:rFonts w:ascii="Times New Roman" w:hAnsi="Times New Roman" w:eastAsia="Times New Roman" w:cs="Times New Roman"/>
          <w:bCs/>
          <w:iCs/>
          <w:lang w:val="en-US" w:eastAsia="pt-BR"/>
        </w:rPr>
      </w:pPr>
      <w:r>
        <w:rPr>
          <w:rFonts w:ascii="Times New Roman" w:hAnsi="Times New Roman" w:eastAsia="Times New Roman" w:cs="Times New Roman"/>
          <w:bCs/>
          <w:iCs/>
          <w:lang w:val="en-US" w:eastAsia="pt-BR"/>
        </w:rPr>
      </w:r>
      <w:r>
        <w:rPr>
          <w:rFonts w:ascii="Times New Roman" w:hAnsi="Times New Roman" w:eastAsia="Times New Roman" w:cs="Times New Roman"/>
          <w:bCs/>
          <w:iCs/>
          <w:lang w:val="en-US" w:eastAsia="pt-BR"/>
        </w:rPr>
      </w:r>
      <w:r>
        <w:rPr>
          <w:rFonts w:ascii="Times New Roman" w:hAnsi="Times New Roman" w:eastAsia="Times New Roman" w:cs="Times New Roman"/>
          <w:bCs/>
          <w:iCs/>
          <w:lang w:val="en-US" w:eastAsia="pt-BR"/>
        </w:rPr>
      </w:r>
    </w:p>
    <w:p w14:paraId="3589B8F2">
      <w:pPr>
        <w:pBdr/>
        <w:spacing/>
        <w:ind/>
        <w:jc w:val="center"/>
        <w:rPr>
          <w:rFonts w:ascii="Times New Roman" w:hAnsi="Times New Roman" w:eastAsia="Times New Roman" w:cs="Times New Roman"/>
          <w:bCs/>
          <w:iCs/>
          <w:lang w:val="en-US" w:eastAsia="pt-BR"/>
        </w:rPr>
      </w:pPr>
      <w:r>
        <w:rPr>
          <w:rFonts w:ascii="Times New Roman" w:hAnsi="Times New Roman" w:eastAsia="Times New Roman" w:cs="Times New Roman"/>
          <w:bCs/>
          <w:iCs/>
          <w:lang w:val="en-US" w:eastAsia="pt-BR"/>
        </w:rPr>
        <w:t xml:space="preserve">________________________________________</w:t>
      </w:r>
      <w:r>
        <w:rPr>
          <w:rFonts w:ascii="Times New Roman" w:hAnsi="Times New Roman" w:eastAsia="Times New Roman" w:cs="Times New Roman"/>
          <w:bCs/>
          <w:iCs/>
          <w:lang w:val="en-US" w:eastAsia="pt-BR"/>
        </w:rPr>
      </w:r>
      <w:r>
        <w:rPr>
          <w:rFonts w:ascii="Times New Roman" w:hAnsi="Times New Roman" w:eastAsia="Times New Roman" w:cs="Times New Roman"/>
          <w:bCs/>
          <w:iCs/>
          <w:lang w:val="en-US" w:eastAsia="pt-BR"/>
        </w:rPr>
      </w:r>
    </w:p>
    <w:p w14:paraId="7B87C236">
      <w:pPr>
        <w:pBdr/>
        <w:spacing/>
        <w:ind/>
        <w:jc w:val="center"/>
        <w:rPr>
          <w:rFonts w:ascii="Times New Roman" w:hAnsi="Times New Roman" w:eastAsia="Times New Roman" w:cs="Times New Roman"/>
          <w:b/>
          <w:iCs/>
          <w:lang w:val="en-US" w:eastAsia="pt-BR"/>
        </w:rPr>
      </w:pPr>
      <w:r>
        <w:rPr>
          <w:rFonts w:ascii="Times New Roman" w:hAnsi="Times New Roman" w:eastAsia="Times New Roman" w:cs="Times New Roman"/>
          <w:b/>
          <w:iCs/>
          <w:lang w:val="en-US" w:eastAsia="pt-BR"/>
        </w:rPr>
        <w:t xml:space="preserve">FLAVIA RENATA TOLOSA DINIZ</w:t>
      </w:r>
      <w:r>
        <w:rPr>
          <w:rFonts w:ascii="Times New Roman" w:hAnsi="Times New Roman" w:eastAsia="Times New Roman" w:cs="Times New Roman"/>
          <w:b/>
          <w:iCs/>
          <w:lang w:val="en-US" w:eastAsia="pt-BR"/>
        </w:rPr>
      </w:r>
      <w:r>
        <w:rPr>
          <w:rFonts w:ascii="Times New Roman" w:hAnsi="Times New Roman" w:eastAsia="Times New Roman" w:cs="Times New Roman"/>
          <w:b/>
          <w:iCs/>
          <w:lang w:val="en-US" w:eastAsia="pt-BR"/>
        </w:rPr>
      </w:r>
    </w:p>
    <w:p w14:paraId="3C8240E5">
      <w:pPr>
        <w:pBdr/>
        <w:spacing/>
        <w:ind/>
        <w:jc w:val="center"/>
        <w:rPr>
          <w:rFonts w:ascii="Times New Roman" w:hAnsi="Times New Roman" w:eastAsia="Times New Roman" w:cs="Times New Roman"/>
          <w:bCs/>
          <w:iCs/>
          <w:lang w:val="en-US" w:eastAsia="pt-BR"/>
        </w:rPr>
      </w:pPr>
      <w:r>
        <w:rPr>
          <w:rFonts w:ascii="Times New Roman" w:hAnsi="Times New Roman" w:eastAsia="Times New Roman" w:cs="Times New Roman"/>
          <w:bCs/>
          <w:iCs/>
          <w:lang w:val="en-US" w:eastAsia="pt-BR"/>
        </w:rPr>
        <w:t xml:space="preserve">Diretora</w:t>
      </w:r>
      <w:r>
        <w:rPr>
          <w:rFonts w:ascii="Times New Roman" w:hAnsi="Times New Roman" w:eastAsia="Times New Roman" w:cs="Times New Roman"/>
          <w:bCs/>
          <w:iCs/>
          <w:lang w:val="en-US" w:eastAsia="pt-BR"/>
        </w:rPr>
        <w:t xml:space="preserve"> de </w:t>
      </w:r>
      <w:r>
        <w:rPr>
          <w:rFonts w:ascii="Times New Roman" w:hAnsi="Times New Roman" w:eastAsia="Times New Roman" w:cs="Times New Roman"/>
          <w:bCs/>
          <w:iCs/>
          <w:lang w:val="en-US" w:eastAsia="pt-BR"/>
        </w:rPr>
        <w:t xml:space="preserve">Atenção</w:t>
      </w:r>
      <w:r>
        <w:rPr>
          <w:rFonts w:ascii="Times New Roman" w:hAnsi="Times New Roman" w:eastAsia="Times New Roman" w:cs="Times New Roman"/>
          <w:bCs/>
          <w:iCs/>
          <w:lang w:val="en-US" w:eastAsia="pt-BR"/>
        </w:rPr>
        <w:t xml:space="preserve"> </w:t>
      </w:r>
      <w:r>
        <w:rPr>
          <w:rFonts w:ascii="Times New Roman" w:hAnsi="Times New Roman" w:eastAsia="Times New Roman" w:cs="Times New Roman"/>
          <w:bCs/>
          <w:iCs/>
          <w:lang w:val="en-US" w:eastAsia="pt-BR"/>
        </w:rPr>
        <w:t xml:space="preserve">Especializada</w:t>
      </w:r>
      <w:r>
        <w:rPr>
          <w:rFonts w:ascii="Times New Roman" w:hAnsi="Times New Roman" w:eastAsia="Times New Roman" w:cs="Times New Roman"/>
          <w:bCs/>
          <w:iCs/>
          <w:lang w:val="en-US" w:eastAsia="pt-BR"/>
        </w:rPr>
      </w:r>
      <w:r>
        <w:rPr>
          <w:rFonts w:ascii="Times New Roman" w:hAnsi="Times New Roman" w:eastAsia="Times New Roman" w:cs="Times New Roman"/>
          <w:bCs/>
          <w:iCs/>
          <w:lang w:val="en-US" w:eastAsia="pt-BR"/>
        </w:rPr>
      </w:r>
    </w:p>
    <w:p w14:paraId="37AFB0E1">
      <w:pPr>
        <w:pBdr/>
        <w:spacing/>
        <w:ind/>
        <w:jc w:val="center"/>
        <w:rPr>
          <w:rFonts w:ascii="Times New Roman" w:hAnsi="Times New Roman" w:eastAsia="Times New Roman" w:cs="Times New Roman"/>
          <w:b/>
          <w:iCs/>
          <w:lang w:val="en-US" w:eastAsia="pt-BR"/>
        </w:rPr>
      </w:pPr>
      <w:r>
        <w:rPr>
          <w:rFonts w:ascii="Times New Roman" w:hAnsi="Times New Roman" w:eastAsia="Times New Roman" w:cs="Times New Roman"/>
          <w:b/>
          <w:iCs/>
          <w:lang w:val="en-US" w:eastAsia="pt-BR"/>
        </w:rPr>
        <w:t xml:space="preserve">Portaria</w:t>
      </w:r>
      <w:r>
        <w:rPr>
          <w:rFonts w:ascii="Times New Roman" w:hAnsi="Times New Roman" w:eastAsia="Times New Roman" w:cs="Times New Roman"/>
          <w:b/>
          <w:iCs/>
          <w:lang w:val="en-US" w:eastAsia="pt-BR"/>
        </w:rPr>
        <w:t xml:space="preserve"> n° 39.030, de 09 de Maio de 2025.</w:t>
      </w:r>
      <w:r>
        <w:rPr>
          <w:rFonts w:ascii="Times New Roman" w:hAnsi="Times New Roman" w:eastAsia="Times New Roman" w:cs="Times New Roman"/>
          <w:b/>
          <w:iCs/>
          <w:lang w:val="en-US" w:eastAsia="pt-BR"/>
        </w:rPr>
      </w:r>
      <w:r>
        <w:rPr>
          <w:rFonts w:ascii="Times New Roman" w:hAnsi="Times New Roman" w:eastAsia="Times New Roman" w:cs="Times New Roman"/>
          <w:b/>
          <w:iCs/>
          <w:lang w:val="en-US" w:eastAsia="pt-BR"/>
        </w:rPr>
      </w:r>
    </w:p>
    <w:p w14:paraId="66F668DB">
      <w:pPr>
        <w:pBdr/>
        <w:spacing/>
        <w:ind/>
        <w:jc w:val="center"/>
        <w:rPr>
          <w:rFonts w:ascii="Times New Roman" w:hAnsi="Times New Roman" w:cs="Times New Roman"/>
          <w:bCs/>
          <w:lang w:val="pt-BR"/>
        </w:rPr>
      </w:pPr>
      <w:r>
        <w:rPr>
          <w:rFonts w:ascii="Times New Roman" w:hAnsi="Times New Roman" w:cs="Times New Roman"/>
          <w:bCs/>
          <w:lang w:val="pt-BR"/>
        </w:rPr>
      </w:r>
      <w:r>
        <w:rPr>
          <w:rFonts w:ascii="Times New Roman" w:hAnsi="Times New Roman" w:cs="Times New Roman"/>
          <w:bCs/>
          <w:lang w:val="pt-BR"/>
        </w:rPr>
      </w:r>
      <w:r>
        <w:rPr>
          <w:rFonts w:ascii="Times New Roman" w:hAnsi="Times New Roman" w:cs="Times New Roman"/>
          <w:bCs/>
          <w:lang w:val="pt-BR"/>
        </w:rPr>
      </w:r>
    </w:p>
    <w:p w14:paraId="16231A8E">
      <w:pPr>
        <w:pBdr/>
        <w:spacing/>
        <w:ind/>
        <w:rPr>
          <w:rFonts w:ascii="Times New Roman" w:hAnsi="Times New Roman" w:cs="Times New Roman"/>
          <w:lang w:val="pt-BR"/>
        </w:rPr>
      </w:pPr>
      <w:r>
        <w:rPr>
          <w:rFonts w:ascii="Times New Roman" w:hAnsi="Times New Roman" w:cs="Times New Roman"/>
          <w:lang w:val="pt-BR"/>
        </w:rPr>
      </w:r>
      <w:r>
        <w:rPr>
          <w:rFonts w:ascii="Times New Roman" w:hAnsi="Times New Roman" w:cs="Times New Roman"/>
          <w:lang w:val="pt-BR"/>
        </w:rPr>
      </w:r>
      <w:r>
        <w:rPr>
          <w:rFonts w:ascii="Times New Roman" w:hAnsi="Times New Roman" w:cs="Times New Roman"/>
          <w:lang w:val="pt-BR"/>
        </w:rPr>
      </w:r>
    </w:p>
    <w:p w14:paraId="2A3598B5">
      <w:pPr>
        <w:pBdr/>
        <w:spacing/>
        <w:ind/>
        <w:rPr>
          <w:rFonts w:ascii="Times New Roman" w:hAnsi="Times New Roman" w:cs="Times New Roman"/>
          <w:lang w:val="pt-BR"/>
        </w:rPr>
      </w:pPr>
      <w:r>
        <w:rPr>
          <w:rFonts w:ascii="Times New Roman" w:hAnsi="Times New Roman" w:cs="Times New Roman"/>
          <w:lang w:val="pt-BR"/>
        </w:rPr>
      </w:r>
      <w:r>
        <w:rPr>
          <w:rFonts w:ascii="Times New Roman" w:hAnsi="Times New Roman" w:cs="Times New Roman"/>
          <w:lang w:val="pt-BR"/>
        </w:rPr>
      </w:r>
      <w:r>
        <w:rPr>
          <w:rFonts w:ascii="Times New Roman" w:hAnsi="Times New Roman" w:cs="Times New Roman"/>
          <w:lang w:val="pt-BR"/>
        </w:rPr>
      </w:r>
    </w:p>
    <w:p w14:paraId="37BE9917">
      <w:pPr>
        <w:pBdr/>
        <w:spacing/>
        <w:ind/>
        <w:rPr>
          <w:rFonts w:ascii="Times New Roman" w:hAnsi="Times New Roman" w:cs="Times New Roman"/>
          <w:lang w:val="pt-BR"/>
        </w:rPr>
      </w:pPr>
      <w:r>
        <w:rPr>
          <w:rFonts w:ascii="Times New Roman" w:hAnsi="Times New Roman" w:cs="Times New Roman"/>
          <w:lang w:val="pt-BR"/>
        </w:rPr>
      </w:r>
      <w:r>
        <w:rPr>
          <w:rFonts w:ascii="Times New Roman" w:hAnsi="Times New Roman" w:cs="Times New Roman"/>
          <w:lang w:val="pt-BR"/>
        </w:rPr>
      </w:r>
      <w:r>
        <w:rPr>
          <w:rFonts w:ascii="Times New Roman" w:hAnsi="Times New Roman" w:cs="Times New Roman"/>
          <w:lang w:val="pt-BR"/>
        </w:rPr>
      </w:r>
    </w:p>
    <w:p w14:paraId="27B1D174">
      <w:pPr>
        <w:pBdr/>
        <w:spacing/>
        <w:ind/>
        <w:rPr>
          <w:rFonts w:ascii="Times New Roman" w:hAnsi="Times New Roman" w:cs="Times New Roman"/>
          <w:b/>
          <w:bCs/>
          <w:lang w:val="pt-BR"/>
        </w:rPr>
      </w:pPr>
      <w:r>
        <w:rPr>
          <w:rFonts w:ascii="Times New Roman" w:hAnsi="Times New Roman" w:cs="Times New Roman"/>
          <w:b/>
          <w:bCs/>
          <w:lang w:val="pt-BR"/>
        </w:rPr>
        <w:t xml:space="preserve">APROVADO POR:</w:t>
      </w:r>
      <w:r>
        <w:rPr>
          <w:rFonts w:ascii="Times New Roman" w:hAnsi="Times New Roman" w:cs="Times New Roman"/>
          <w:b/>
          <w:bCs/>
          <w:lang w:val="pt-BR"/>
        </w:rPr>
      </w:r>
      <w:r>
        <w:rPr>
          <w:rFonts w:ascii="Times New Roman" w:hAnsi="Times New Roman" w:cs="Times New Roman"/>
          <w:b/>
          <w:bCs/>
          <w:lang w:val="pt-BR"/>
        </w:rPr>
      </w:r>
    </w:p>
    <w:p w14:paraId="1145B202">
      <w:pPr>
        <w:pBdr/>
        <w:spacing/>
        <w:ind/>
        <w:jc w:val="center"/>
        <w:rPr>
          <w:lang w:val="pt-BR"/>
        </w:rPr>
      </w:pPr>
      <w:r>
        <w:rPr>
          <w:lang w:val="pt-BR"/>
        </w:rPr>
        <w:t xml:space="preserve">______________________________________________</w:t>
      </w:r>
      <w:r>
        <w:rPr>
          <w:lang w:val="pt-BR"/>
        </w:rPr>
      </w:r>
      <w:r>
        <w:rPr>
          <w:lang w:val="pt-BR"/>
        </w:rPr>
      </w:r>
    </w:p>
    <w:p w14:paraId="3B87A81A">
      <w:pPr>
        <w:pBdr/>
        <w:spacing/>
        <w:ind/>
        <w:jc w:val="center"/>
        <w:rPr>
          <w:rFonts w:ascii="Times New Roman" w:hAnsi="Times New Roman"/>
          <w:b/>
          <w:lang w:val="pt"/>
        </w:rPr>
      </w:pPr>
      <w:r>
        <w:rPr>
          <w:rFonts w:ascii="Times New Roman" w:hAnsi="Times New Roman"/>
          <w:b/>
          <w:lang w:val="pt"/>
        </w:rPr>
        <w:t xml:space="preserve">VILMAR RODRIGUES PARANHOS JÚNIOR </w:t>
      </w:r>
      <w:r>
        <w:rPr>
          <w:rFonts w:ascii="Times New Roman" w:hAnsi="Times New Roman"/>
          <w:b/>
          <w:lang w:val="pt"/>
        </w:rPr>
      </w:r>
      <w:r>
        <w:rPr>
          <w:rFonts w:ascii="Times New Roman" w:hAnsi="Times New Roman"/>
          <w:b/>
          <w:lang w:val="pt"/>
        </w:rPr>
      </w:r>
    </w:p>
    <w:p w14:paraId="58FFC5E4">
      <w:pPr>
        <w:pBdr/>
        <w:spacing/>
        <w:ind/>
        <w:jc w:val="center"/>
        <w:rPr>
          <w:rFonts w:ascii="Times New Roman" w:hAnsi="Times New Roman"/>
          <w:bCs/>
          <w:lang w:val="pt"/>
        </w:rPr>
      </w:pPr>
      <w:r>
        <w:rPr>
          <w:rFonts w:ascii="Times New Roman" w:hAnsi="Times New Roman"/>
          <w:b/>
          <w:lang w:val="pt"/>
        </w:rPr>
        <w:t xml:space="preserve"> </w:t>
      </w:r>
      <w:r>
        <w:rPr>
          <w:rFonts w:ascii="Times New Roman" w:hAnsi="Times New Roman"/>
          <w:bCs/>
          <w:lang w:val="pt"/>
        </w:rPr>
        <w:t xml:space="preserve">Secretário Municipal de Saúde </w:t>
      </w:r>
      <w:r>
        <w:rPr>
          <w:rFonts w:ascii="Times New Roman" w:hAnsi="Times New Roman"/>
          <w:bCs/>
          <w:lang w:val="pt-BR"/>
        </w:rPr>
        <w:t xml:space="preserve">- I</w:t>
      </w:r>
      <w:r>
        <w:rPr>
          <w:rFonts w:ascii="Times New Roman" w:hAnsi="Times New Roman"/>
          <w:bCs/>
          <w:lang w:val="pt"/>
        </w:rPr>
        <w:t xml:space="preserve">nterino</w:t>
      </w:r>
      <w:r>
        <w:rPr>
          <w:rFonts w:ascii="Times New Roman" w:hAnsi="Times New Roman"/>
          <w:bCs/>
          <w:lang w:val="pt"/>
        </w:rPr>
      </w:r>
      <w:r>
        <w:rPr>
          <w:rFonts w:ascii="Times New Roman" w:hAnsi="Times New Roman"/>
          <w:bCs/>
          <w:lang w:val="pt"/>
        </w:rPr>
      </w:r>
    </w:p>
    <w:p w14:paraId="56066B6A">
      <w:pPr>
        <w:pBdr/>
        <w:spacing/>
        <w:ind/>
        <w:jc w:val="center"/>
        <w:rPr>
          <w:rFonts w:ascii="Times New Roman" w:hAnsi="Times New Roman" w:cs="Times New Roman"/>
          <w:sz w:val="24"/>
          <w:szCs w:val="24"/>
          <w:lang w:val="pt-BR"/>
        </w:rPr>
      </w:pPr>
      <w:r>
        <w:rPr>
          <w:rFonts w:ascii="Times New Roman" w:hAnsi="Times New Roman"/>
          <w:b/>
          <w:lang w:val="pt"/>
        </w:rPr>
        <w:t xml:space="preserve">Portaria nº 40.585, de 1</w:t>
      </w:r>
      <w:r>
        <w:rPr>
          <w:rFonts w:ascii="Times New Roman" w:hAnsi="Times New Roman"/>
          <w:b/>
          <w:lang w:val="pt"/>
        </w:rPr>
        <w:t xml:space="preserve">5</w:t>
      </w:r>
      <w:r>
        <w:rPr>
          <w:rFonts w:ascii="Times New Roman" w:hAnsi="Times New Roman"/>
          <w:b/>
          <w:lang w:val="pt"/>
        </w:rPr>
        <w:t xml:space="preserve"> de janeiro de 2026.</w:t>
      </w: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r>
      <w:r>
        <w:rPr>
          <w:rFonts w:ascii="Times New Roman" w:hAnsi="Times New Roman" w:cs="Times New Roman"/>
          <w:sz w:val="24"/>
          <w:szCs w:val="24"/>
          <w:lang w:val="pt-BR"/>
        </w:rPr>
      </w:r>
    </w:p>
    <w:p w14:paraId="733028FB">
      <w:pPr>
        <w:pStyle w:val="2311"/>
        <w:pBdr/>
        <w:spacing w:after="0" w:before="0" w:line="0" w:lineRule="atLeast"/>
        <w:ind/>
        <w:jc w:val="both"/>
        <w:rPr/>
      </w:pPr>
      <w:r/>
      <w:bookmarkEnd w:id="0"/>
      <w:r/>
      <w:r/>
    </w:p>
    <w:p w14:paraId="61AD2F89">
      <w:pPr>
        <w:pBdr/>
        <w:spacing/>
        <w:ind/>
        <w:jc w:val="center"/>
        <w:rPr>
          <w:rFonts w:ascii="Times New Roman" w:hAnsi="Times New Roman"/>
        </w:rPr>
      </w:pPr>
      <w:r>
        <w:rPr>
          <w:rFonts w:ascii="Times New Roman" w:hAnsi="Times New Roman"/>
        </w:rPr>
      </w:r>
      <w:r>
        <w:rPr>
          <w:rFonts w:ascii="Times New Roman" w:hAnsi="Times New Roman"/>
        </w:rPr>
      </w:r>
      <w:r>
        <w:rPr>
          <w:rFonts w:ascii="Times New Roman" w:hAnsi="Times New Roman"/>
        </w:rPr>
      </w:r>
    </w:p>
    <w:p w14:paraId="00E2C9C7">
      <w:pPr>
        <w:pStyle w:val="864"/>
        <w:pBdr/>
        <w:spacing/>
        <w:ind/>
        <w:jc w:val="center"/>
        <w:rPr>
          <w:rFonts w:ascii="Arial" w:hAnsi="Arial" w:cs="Arial"/>
          <w:b/>
          <w:bCs/>
        </w:rPr>
      </w:pPr>
      <w:r>
        <w:rPr>
          <w:rFonts w:ascii="Arial" w:hAnsi="Arial" w:cs="Arial"/>
          <w:b/>
          <w:bCs/>
        </w:rPr>
      </w:r>
      <w:r>
        <w:rPr>
          <w:rFonts w:ascii="Arial" w:hAnsi="Arial" w:cs="Arial"/>
          <w:b/>
          <w:bCs/>
        </w:rPr>
      </w:r>
      <w:r>
        <w:rPr>
          <w:rFonts w:ascii="Arial" w:hAnsi="Arial" w:cs="Arial"/>
          <w:b/>
          <w:bCs/>
        </w:rPr>
      </w:r>
    </w:p>
    <w:p w14:paraId="29887D2E">
      <w:pPr>
        <w:pBdr/>
        <w:spacing/>
        <w:ind/>
        <w:jc w:val="center"/>
        <w:rPr>
          <w:rFonts w:ascii="Arial" w:hAnsi="Arial"/>
          <w:b/>
          <w:bCs/>
        </w:rPr>
      </w:pPr>
      <w:r>
        <w:rPr>
          <w:rFonts w:ascii="Arial" w:hAnsi="Arial"/>
          <w:b/>
          <w:bCs/>
        </w:rPr>
      </w:r>
      <w:r>
        <w:rPr>
          <w:rFonts w:ascii="Arial" w:hAnsi="Arial"/>
          <w:b/>
          <w:bCs/>
        </w:rPr>
      </w:r>
      <w:r>
        <w:rPr>
          <w:rFonts w:ascii="Arial" w:hAnsi="Arial"/>
          <w:b/>
          <w:bCs/>
        </w:rPr>
      </w:r>
    </w:p>
    <w:p w14:paraId="5B6DC6DF">
      <w:pPr>
        <w:pBdr/>
        <w:spacing/>
        <w:ind/>
        <w:jc w:val="center"/>
        <w:rPr>
          <w:rFonts w:ascii="Arial" w:hAnsi="Arial"/>
          <w:b/>
          <w:bCs/>
        </w:rPr>
      </w:pPr>
      <w:r>
        <w:rPr>
          <w:rFonts w:ascii="Arial" w:hAnsi="Arial"/>
          <w:b/>
          <w:bCs/>
        </w:rPr>
      </w:r>
      <w:r>
        <w:rPr>
          <w:rFonts w:ascii="Arial" w:hAnsi="Arial"/>
          <w:b/>
          <w:bCs/>
        </w:rPr>
      </w:r>
      <w:r>
        <w:rPr>
          <w:rFonts w:ascii="Arial" w:hAnsi="Arial"/>
          <w:b/>
          <w:bCs/>
        </w:rPr>
      </w:r>
    </w:p>
    <w:p w14:paraId="73BBA302">
      <w:pPr>
        <w:pBdr/>
        <w:spacing/>
        <w:ind/>
        <w:jc w:val="center"/>
        <w:rPr>
          <w:rFonts w:ascii="Arial" w:hAnsi="Arial"/>
          <w:b/>
          <w:bCs/>
        </w:rPr>
      </w:pPr>
      <w:r>
        <w:rPr>
          <w:rFonts w:ascii="Arial" w:hAnsi="Arial"/>
          <w:b/>
          <w:bCs/>
        </w:rPr>
      </w:r>
      <w:r>
        <w:rPr>
          <w:rFonts w:ascii="Arial" w:hAnsi="Arial"/>
          <w:b/>
          <w:bCs/>
        </w:rPr>
      </w:r>
      <w:r>
        <w:rPr>
          <w:rFonts w:ascii="Arial" w:hAnsi="Arial"/>
          <w:b/>
          <w:bCs/>
        </w:rPr>
      </w:r>
    </w:p>
    <w:p w14:paraId="0D1C5D4B">
      <w:pPr>
        <w:pBdr/>
        <w:spacing/>
        <w:ind/>
        <w:jc w:val="center"/>
        <w:rPr>
          <w:rFonts w:ascii="Arial" w:hAnsi="Arial"/>
          <w:b/>
          <w:bCs/>
        </w:rPr>
      </w:pPr>
      <w:r>
        <w:rPr>
          <w:rFonts w:ascii="Arial" w:hAnsi="Arial"/>
          <w:b/>
          <w:bCs/>
        </w:rPr>
      </w:r>
      <w:r>
        <w:rPr>
          <w:rFonts w:ascii="Arial" w:hAnsi="Arial"/>
          <w:b/>
          <w:bCs/>
        </w:rPr>
      </w:r>
      <w:r>
        <w:rPr>
          <w:rFonts w:ascii="Arial" w:hAnsi="Arial"/>
          <w:b/>
          <w:bCs/>
        </w:rPr>
      </w:r>
    </w:p>
    <w:p w14:paraId="3C000185">
      <w:pPr>
        <w:pBdr/>
        <w:spacing/>
        <w:ind/>
        <w:jc w:val="center"/>
        <w:rPr>
          <w:rFonts w:ascii="Arial" w:hAnsi="Arial"/>
          <w:b/>
          <w:bCs/>
        </w:rPr>
      </w:pPr>
      <w:r>
        <w:rPr>
          <w:rFonts w:ascii="Arial" w:hAnsi="Arial"/>
          <w:b/>
          <w:bCs/>
        </w:rPr>
      </w:r>
      <w:r>
        <w:rPr>
          <w:rFonts w:ascii="Arial" w:hAnsi="Arial"/>
          <w:b/>
          <w:bCs/>
        </w:rPr>
      </w:r>
      <w:r>
        <w:rPr>
          <w:rFonts w:ascii="Arial" w:hAnsi="Arial"/>
          <w:b/>
          <w:bCs/>
        </w:rPr>
      </w:r>
    </w:p>
    <w:p w14:paraId="5B1BF3D4">
      <w:pPr>
        <w:pBdr/>
        <w:spacing/>
        <w:ind/>
        <w:jc w:val="center"/>
        <w:rPr>
          <w:rFonts w:ascii="Arial" w:hAnsi="Arial"/>
          <w:b/>
          <w:bCs/>
        </w:rPr>
      </w:pPr>
      <w:r>
        <w:rPr>
          <w:rFonts w:ascii="Arial" w:hAnsi="Arial"/>
          <w:b/>
          <w:bCs/>
        </w:rPr>
      </w:r>
      <w:r>
        <w:rPr>
          <w:rFonts w:ascii="Arial" w:hAnsi="Arial"/>
          <w:b/>
          <w:bCs/>
        </w:rPr>
      </w:r>
      <w:r>
        <w:rPr>
          <w:rFonts w:ascii="Arial" w:hAnsi="Arial"/>
          <w:b/>
          <w:bCs/>
        </w:rPr>
      </w:r>
    </w:p>
    <w:p w14:paraId="643DFA06">
      <w:pPr>
        <w:pBdr/>
        <w:spacing/>
        <w:ind/>
        <w:jc w:val="center"/>
        <w:rPr>
          <w:rFonts w:ascii="Arial" w:hAnsi="Arial"/>
          <w:b/>
          <w:bCs/>
        </w:rPr>
      </w:pPr>
      <w:r>
        <w:rPr>
          <w:rFonts w:ascii="Arial" w:hAnsi="Arial"/>
          <w:b/>
          <w:bCs/>
        </w:rPr>
      </w:r>
      <w:r>
        <w:rPr>
          <w:rFonts w:ascii="Arial" w:hAnsi="Arial"/>
          <w:b/>
          <w:bCs/>
        </w:rPr>
      </w:r>
      <w:r>
        <w:rPr>
          <w:rFonts w:ascii="Arial" w:hAnsi="Arial"/>
          <w:b/>
          <w:bCs/>
        </w:rPr>
      </w:r>
    </w:p>
    <w:p w14:paraId="14747B56">
      <w:pPr>
        <w:pBdr/>
        <w:spacing/>
        <w:ind/>
        <w:jc w:val="center"/>
        <w:rPr>
          <w:rFonts w:ascii="Arial" w:hAnsi="Arial"/>
          <w:b/>
          <w:bCs/>
        </w:rPr>
      </w:pPr>
      <w:r>
        <w:rPr>
          <w:rFonts w:ascii="Arial" w:hAnsi="Arial"/>
          <w:b/>
          <w:bCs/>
        </w:rPr>
      </w:r>
      <w:r>
        <w:rPr>
          <w:rFonts w:ascii="Arial" w:hAnsi="Arial"/>
          <w:b/>
          <w:bCs/>
        </w:rPr>
      </w:r>
      <w:r>
        <w:rPr>
          <w:rFonts w:ascii="Arial" w:hAnsi="Arial"/>
          <w:b/>
          <w:bCs/>
        </w:rPr>
      </w:r>
    </w:p>
    <w:p w14:paraId="2DE2BCBB">
      <w:pPr>
        <w:pBdr/>
        <w:spacing/>
        <w:ind/>
        <w:jc w:val="center"/>
        <w:rPr>
          <w:rFonts w:ascii="Arial" w:hAnsi="Arial"/>
          <w:b/>
          <w:bCs/>
        </w:rPr>
      </w:pPr>
      <w:r>
        <w:rPr>
          <w:rFonts w:ascii="Arial" w:hAnsi="Arial"/>
          <w:b/>
          <w:bCs/>
        </w:rPr>
      </w:r>
      <w:r>
        <w:rPr>
          <w:rFonts w:ascii="Arial" w:hAnsi="Arial"/>
          <w:b/>
          <w:bCs/>
        </w:rPr>
      </w:r>
      <w:r>
        <w:rPr>
          <w:rFonts w:ascii="Arial" w:hAnsi="Arial"/>
          <w:b/>
          <w:bCs/>
        </w:rPr>
      </w:r>
    </w:p>
    <w:p w14:paraId="3E71670F">
      <w:pPr>
        <w:pBdr/>
        <w:spacing/>
        <w:ind/>
        <w:jc w:val="center"/>
        <w:rPr>
          <w:rFonts w:ascii="Arial" w:hAnsi="Arial"/>
          <w:b/>
          <w:bCs/>
        </w:rPr>
      </w:pPr>
      <w:r>
        <w:rPr>
          <w:rFonts w:ascii="Arial" w:hAnsi="Arial"/>
          <w:b/>
          <w:bCs/>
        </w:rPr>
      </w:r>
      <w:r>
        <w:rPr>
          <w:rFonts w:ascii="Arial" w:hAnsi="Arial"/>
          <w:b/>
          <w:bCs/>
        </w:rPr>
      </w:r>
      <w:r>
        <w:rPr>
          <w:rFonts w:ascii="Arial" w:hAnsi="Arial"/>
          <w:b/>
          <w:bCs/>
        </w:rPr>
      </w:r>
    </w:p>
    <w:p w14:paraId="67A0DBE8">
      <w:pPr>
        <w:pBdr/>
        <w:spacing/>
        <w:ind/>
        <w:jc w:val="center"/>
        <w:rPr>
          <w:rFonts w:ascii="Arial" w:hAnsi="Arial"/>
          <w:b/>
          <w:bCs/>
        </w:rPr>
      </w:pPr>
      <w:r>
        <w:rPr>
          <w:rFonts w:ascii="Arial" w:hAnsi="Arial"/>
          <w:b/>
          <w:bCs/>
        </w:rPr>
      </w:r>
      <w:r>
        <w:rPr>
          <w:rFonts w:ascii="Arial" w:hAnsi="Arial"/>
          <w:b/>
          <w:bCs/>
        </w:rPr>
      </w:r>
      <w:r>
        <w:rPr>
          <w:rFonts w:ascii="Arial" w:hAnsi="Arial"/>
          <w:b/>
          <w:bCs/>
        </w:rPr>
      </w:r>
    </w:p>
    <w:p w14:paraId="10CE2E77">
      <w:pPr>
        <w:pBdr/>
        <w:spacing/>
        <w:ind/>
        <w:jc w:val="center"/>
        <w:rPr>
          <w:rFonts w:ascii="Arial" w:hAnsi="Arial"/>
          <w:b/>
          <w:bCs/>
        </w:rPr>
      </w:pPr>
      <w:r>
        <w:rPr>
          <w:rFonts w:ascii="Arial" w:hAnsi="Arial"/>
          <w:b/>
          <w:bCs/>
        </w:rPr>
      </w:r>
      <w:r>
        <w:rPr>
          <w:rFonts w:ascii="Arial" w:hAnsi="Arial"/>
          <w:b/>
          <w:bCs/>
        </w:rPr>
      </w:r>
      <w:r>
        <w:rPr>
          <w:rFonts w:ascii="Arial" w:hAnsi="Arial"/>
          <w:b/>
          <w:bCs/>
        </w:rPr>
      </w:r>
    </w:p>
    <w:p w14:paraId="62A66B9C">
      <w:pPr>
        <w:pBdr/>
        <w:spacing/>
        <w:ind/>
        <w:jc w:val="center"/>
        <w:rPr>
          <w:rFonts w:ascii="Arial" w:hAnsi="Arial"/>
          <w:b/>
          <w:bCs/>
        </w:rPr>
      </w:pPr>
      <w:r>
        <w:rPr>
          <w:rFonts w:ascii="Arial" w:hAnsi="Arial"/>
          <w:b/>
          <w:bCs/>
        </w:rPr>
      </w:r>
      <w:r>
        <w:rPr>
          <w:rFonts w:ascii="Arial" w:hAnsi="Arial"/>
          <w:b/>
          <w:bCs/>
        </w:rPr>
      </w:r>
      <w:r>
        <w:rPr>
          <w:rFonts w:ascii="Arial" w:hAnsi="Arial"/>
          <w:b/>
          <w:bCs/>
        </w:rPr>
      </w:r>
    </w:p>
    <w:p w14:paraId="0D313364">
      <w:pPr>
        <w:pBdr/>
        <w:spacing/>
        <w:ind/>
        <w:jc w:val="center"/>
        <w:rPr>
          <w:rFonts w:ascii="Arial" w:hAnsi="Arial"/>
          <w:b/>
          <w:bCs/>
        </w:rPr>
      </w:pPr>
      <w:r>
        <w:rPr>
          <w:rFonts w:ascii="Arial" w:hAnsi="Arial"/>
          <w:b/>
          <w:bCs/>
        </w:rPr>
      </w:r>
      <w:r>
        <w:rPr>
          <w:rFonts w:ascii="Arial" w:hAnsi="Arial"/>
          <w:b/>
          <w:bCs/>
        </w:rPr>
      </w:r>
      <w:r>
        <w:rPr>
          <w:rFonts w:ascii="Arial" w:hAnsi="Arial"/>
          <w:b/>
          <w:bCs/>
        </w:rPr>
      </w:r>
    </w:p>
    <w:p w14:paraId="7168FB51">
      <w:pPr>
        <w:pBdr/>
        <w:spacing/>
        <w:ind/>
        <w:jc w:val="center"/>
        <w:rPr>
          <w:rFonts w:ascii="Arial" w:hAnsi="Arial"/>
          <w:b/>
          <w:bCs/>
        </w:rPr>
      </w:pPr>
      <w:r>
        <w:rPr>
          <w:rFonts w:ascii="Arial" w:hAnsi="Arial"/>
          <w:b/>
          <w:bCs/>
        </w:rPr>
      </w:r>
      <w:r>
        <w:rPr>
          <w:rFonts w:ascii="Arial" w:hAnsi="Arial"/>
          <w:b/>
          <w:bCs/>
        </w:rPr>
      </w:r>
      <w:r>
        <w:rPr>
          <w:rFonts w:ascii="Arial" w:hAnsi="Arial"/>
          <w:b/>
          <w:bCs/>
        </w:rPr>
      </w:r>
    </w:p>
    <w:p>
      <w:pPr>
        <w:pStyle w:val="865"/>
        <w:pBdr/>
        <w:spacing w:after="0" w:before="0"/>
        <w:ind/>
        <w:rPr>
          <w:rFonts w:eastAsia="Arial"/>
          <w:b w:val="0"/>
          <w:bCs w:val="0"/>
          <w:sz w:val="20"/>
          <w:szCs w:val="20"/>
        </w:rPr>
      </w:pPr>
      <w:r/>
      <w:bookmarkStart w:id="95" w:name="_Toc39"/>
      <w:r>
        <w:rPr>
          <w:rFonts w:eastAsia="Arial"/>
          <w:b w:val="0"/>
          <w:bCs w:val="0"/>
          <w:sz w:val="20"/>
          <w:szCs w:val="20"/>
        </w:rPr>
        <w:t xml:space="preserve">ANEXO II: MINUTA DA ATA DE REGISTRO DE PREÇOS.</w:t>
      </w:r>
      <w:r>
        <w:rPr>
          <w:rFonts w:eastAsia="Arial"/>
          <w:b w:val="0"/>
          <w:bCs w:val="0"/>
          <w:sz w:val="20"/>
          <w:szCs w:val="20"/>
        </w:rPr>
      </w:r>
      <w:bookmarkEnd w:id="95"/>
      <w:r>
        <w:rPr>
          <w:rFonts w:eastAsia="Arial"/>
          <w:b w:val="0"/>
          <w:bCs w:val="0"/>
          <w:sz w:val="20"/>
          <w:szCs w:val="20"/>
        </w:rPr>
      </w:r>
      <w:r>
        <w:rPr>
          <w:rFonts w:eastAsia="Arial"/>
          <w:b w:val="0"/>
          <w:bCs w:val="0"/>
          <w:sz w:val="20"/>
          <w:szCs w:val="20"/>
        </w:rPr>
      </w:r>
    </w:p>
    <w:p>
      <w:pPr>
        <w:pBdr/>
        <w:spacing/>
        <w:ind/>
        <w:jc w:val="center"/>
        <w:rPr/>
      </w:pPr>
      <w:r/>
      <w:r/>
    </w:p>
    <w:p>
      <w:pPr>
        <w:pBdr/>
        <w:spacing/>
        <w:ind/>
        <w:jc w:val="center"/>
        <w:rPr/>
      </w:pPr>
      <w:r>
        <w:rPr>
          <w:rFonts w:ascii="Arial" w:hAnsi="Arial"/>
          <w:b/>
          <w:bCs/>
          <w:iCs/>
          <w:color w:val="000000"/>
        </w:rPr>
        <w:t xml:space="preserve">ATA DE REGISTRO DE PREÇOS Nº. XX/2026.</w:t>
      </w:r>
      <w:r/>
    </w:p>
    <w:p>
      <w:pPr>
        <w:pBdr/>
        <w:spacing/>
        <w:ind/>
        <w:jc w:val="center"/>
        <w:rPr>
          <w:rFonts w:ascii="Arial" w:hAnsi="Arial"/>
          <w:b/>
          <w:bCs/>
          <w:iCs/>
          <w:color w:val="000000"/>
        </w:rPr>
      </w:pPr>
      <w:r>
        <w:rPr>
          <w:rFonts w:ascii="Arial" w:hAnsi="Arial"/>
          <w:b/>
          <w:bCs/>
          <w:iCs/>
          <w:color w:val="000000"/>
        </w:rPr>
      </w:r>
      <w:r>
        <w:rPr>
          <w:rFonts w:ascii="Arial" w:hAnsi="Arial"/>
          <w:b/>
          <w:bCs/>
          <w:iCs/>
          <w:color w:val="000000"/>
        </w:rPr>
      </w:r>
      <w:r>
        <w:rPr>
          <w:rFonts w:ascii="Arial" w:hAnsi="Arial"/>
          <w:b/>
          <w:bCs/>
          <w:iCs/>
          <w:color w:val="000000"/>
        </w:rPr>
      </w:r>
    </w:p>
    <w:p>
      <w:pPr>
        <w:pBdr/>
        <w:spacing w:line="276" w:lineRule="auto"/>
        <w:ind/>
        <w:rPr/>
      </w:pPr>
      <w:r>
        <w:rPr>
          <w:rFonts w:ascii="Arial" w:hAnsi="Arial"/>
          <w:b/>
          <w:bCs/>
          <w:iCs/>
          <w:color w:val="000000"/>
        </w:rPr>
        <w:t xml:space="preserve">PREGÃO ELETRÔNICO Nº. 18/2026.</w:t>
      </w:r>
      <w:r/>
    </w:p>
    <w:p>
      <w:pPr>
        <w:pBdr/>
        <w:spacing w:line="276" w:lineRule="auto"/>
        <w:ind/>
        <w:rPr/>
      </w:pPr>
      <w:r>
        <w:rPr>
          <w:rFonts w:ascii="Arial" w:hAnsi="Arial"/>
          <w:b/>
          <w:bCs/>
          <w:iCs/>
          <w:color w:val="000000"/>
        </w:rPr>
        <w:t xml:space="preserve">PROCESSO DE COMPRA Nº. 102/2026.</w:t>
      </w:r>
      <w:r/>
    </w:p>
    <w:p>
      <w:pPr>
        <w:pBdr/>
        <w:spacing w:line="276" w:lineRule="auto"/>
        <w:ind/>
        <w:rPr>
          <w:rFonts w:ascii="Arial" w:hAnsi="Arial"/>
          <w:b/>
          <w:bCs/>
          <w:iCs/>
          <w:color w:val="000000"/>
        </w:rPr>
      </w:pPr>
      <w:r>
        <w:rPr>
          <w:rFonts w:ascii="Arial" w:hAnsi="Arial"/>
          <w:b/>
          <w:bCs/>
          <w:iCs/>
          <w:color w:val="000000"/>
        </w:rPr>
      </w:r>
      <w:r>
        <w:rPr>
          <w:rFonts w:ascii="Arial" w:hAnsi="Arial"/>
          <w:b/>
          <w:bCs/>
          <w:iCs/>
          <w:color w:val="000000"/>
        </w:rPr>
      </w:r>
      <w:r>
        <w:rPr>
          <w:rFonts w:ascii="Arial" w:hAnsi="Arial"/>
          <w:b/>
          <w:bCs/>
          <w:iCs/>
          <w:color w:val="000000"/>
        </w:rPr>
      </w:r>
    </w:p>
    <w:p>
      <w:pPr>
        <w:widowControl w:val="false"/>
        <w:pBdr/>
        <w:tabs>
          <w:tab w:val="center" w:leader="none" w:pos="4779"/>
          <w:tab w:val="right" w:leader="none" w:pos="9198"/>
        </w:tabs>
        <w:spacing w:line="276" w:lineRule="auto"/>
        <w:ind w:right="-28"/>
        <w:jc w:val="both"/>
        <w:rPr/>
      </w:pPr>
      <w:r>
        <w:rPr>
          <w:rFonts w:ascii="Arial" w:hAnsi="Arial"/>
          <w:b/>
        </w:rPr>
        <w:t xml:space="preserve">O Município de Rondonópolis-Estado de Mato Grosso,</w:t>
      </w:r>
      <w:r>
        <w:rPr>
          <w:rFonts w:ascii="Arial" w:hAnsi="Arial"/>
        </w:rPr>
        <w:t xml:space="preserve"> pessoa jurídica de direito público, com sede à Avenida Duque de Caxias n.º 1000, Bairro: Vila Aurora, inscrita no CNPJ/MF. sob nº 03.347.101/0001-21, através da </w:t>
      </w:r>
      <w:r>
        <w:rPr>
          <w:rFonts w:ascii="Arial" w:hAnsi="Arial"/>
          <w:b/>
        </w:rPr>
        <w:t xml:space="preserve">Secretaria Municipal de XXXXXX</w:t>
      </w:r>
      <w:r>
        <w:rPr>
          <w:rFonts w:ascii="Arial" w:hAnsi="Arial"/>
        </w:rPr>
        <w:t xml:space="preserve">, neste ato representada pela </w:t>
      </w:r>
      <w:r>
        <w:rPr>
          <w:rFonts w:ascii="Arial" w:hAnsi="Arial"/>
          <w:b/>
        </w:rPr>
        <w:t xml:space="preserve">Sr.(a) XXXXXXXXX</w:t>
      </w:r>
      <w:r>
        <w:rPr>
          <w:rFonts w:ascii="Arial" w:hAnsi="Arial"/>
        </w:rPr>
        <w:t xml:space="preserve">, doravante denomi</w:t>
      </w:r>
      <w:r>
        <w:rPr>
          <w:rFonts w:ascii="Arial" w:hAnsi="Arial"/>
        </w:rPr>
        <w:t xml:space="preserve">nada simplesmente </w:t>
      </w:r>
      <w:r>
        <w:rPr>
          <w:rFonts w:ascii="Arial" w:hAnsi="Arial"/>
          <w:b/>
        </w:rPr>
        <w:t xml:space="preserve">Órgão Gerenciador</w:t>
      </w:r>
      <w:r>
        <w:rPr>
          <w:rFonts w:ascii="Arial" w:hAnsi="Arial"/>
        </w:rPr>
        <w:t xml:space="preserve">, </w:t>
      </w:r>
      <w:r>
        <w:rPr>
          <w:rFonts w:ascii="Arial" w:hAnsi="Arial"/>
          <w:b/>
        </w:rPr>
        <w:t xml:space="preserve">Resolve registrar os preços</w:t>
      </w:r>
      <w:r>
        <w:rPr>
          <w:rFonts w:ascii="Arial" w:hAnsi="Arial"/>
        </w:rPr>
        <w:t xml:space="preserve"> das empresas abaixo relacionadas, doravante denominadas simplesmente </w:t>
      </w:r>
      <w:r>
        <w:rPr>
          <w:rFonts w:ascii="Arial" w:hAnsi="Arial"/>
          <w:b/>
        </w:rPr>
        <w:t xml:space="preserve">Fornecedores Registrados</w:t>
      </w:r>
      <w:r>
        <w:rPr>
          <w:rFonts w:ascii="Arial" w:hAnsi="Arial"/>
        </w:rPr>
        <w:t xml:space="preserve">, de acordo com a classificação por elas alcançadas nos itens abaixo relacionados, tendo em vista </w:t>
      </w:r>
      <w:r>
        <w:rPr>
          <w:rFonts w:ascii="Arial" w:hAnsi="Arial"/>
        </w:rPr>
        <w:t xml:space="preserve">que, atenderam todas as condições previstas no edital e seus anexos</w:t>
      </w:r>
      <w:r>
        <w:rPr>
          <w:rFonts w:ascii="Arial" w:hAnsi="Arial"/>
          <w:b/>
        </w:rPr>
        <w:t xml:space="preserve">, </w:t>
      </w:r>
      <w:r>
        <w:rPr>
          <w:rFonts w:ascii="Arial" w:hAnsi="Arial"/>
        </w:rPr>
        <w:t xml:space="preserve">com fundamento na Lei nº 14.133/2021, Decreto Municipal n.º 11.685, de 18 de setembro de 2023, Lei Complementar n.º 123/2006 e demais legislações correlatadas, resolvem celebrar o present</w:t>
      </w:r>
      <w:r>
        <w:rPr>
          <w:rFonts w:ascii="Arial" w:hAnsi="Arial"/>
        </w:rPr>
        <w:t xml:space="preserve">e instrumento, mediante as cláusulas e condições a seguir:</w:t>
      </w:r>
      <w:r/>
    </w:p>
    <w:p>
      <w:pPr>
        <w:pBdr/>
        <w:tabs>
          <w:tab w:val="left" w:leader="none" w:pos="5387"/>
        </w:tabs>
        <w:spacing w:line="276" w:lineRule="auto"/>
        <w:ind/>
        <w:jc w:val="both"/>
        <w:rPr>
          <w:rFonts w:ascii="Arial" w:hAnsi="Arial"/>
        </w:rPr>
      </w:pPr>
      <w:r>
        <w:rPr>
          <w:rFonts w:ascii="Arial" w:hAnsi="Arial"/>
        </w:rPr>
      </w:r>
      <w:r>
        <w:rPr>
          <w:rFonts w:ascii="Arial" w:hAnsi="Arial"/>
        </w:rPr>
      </w:r>
      <w:r>
        <w:rPr>
          <w:rFonts w:ascii="Arial" w:hAnsi="Arial"/>
        </w:rPr>
      </w:r>
    </w:p>
    <w:p>
      <w:pPr>
        <w:pBdr/>
        <w:tabs>
          <w:tab w:val="left" w:leader="none" w:pos="5387"/>
        </w:tabs>
        <w:spacing w:line="276" w:lineRule="auto"/>
        <w:ind/>
        <w:jc w:val="both"/>
        <w:rPr>
          <w:rFonts w:ascii="Arial" w:hAnsi="Arial"/>
          <w:b/>
        </w:rPr>
      </w:pPr>
      <w:r>
        <w:rPr>
          <w:rFonts w:ascii="Arial" w:hAnsi="Arial"/>
          <w:b/>
        </w:rPr>
        <w:t xml:space="preserve">CLÁUSULA PRIMEIRA – DO OBJETO</w:t>
      </w:r>
      <w:r>
        <w:rPr>
          <w:rFonts w:ascii="Arial" w:hAnsi="Arial"/>
          <w:b/>
        </w:rPr>
      </w:r>
      <w:r>
        <w:rPr>
          <w:rFonts w:ascii="Arial" w:hAnsi="Arial"/>
          <w:b/>
        </w:rPr>
      </w:r>
    </w:p>
    <w:p>
      <w:pPr>
        <w:pBdr/>
        <w:tabs>
          <w:tab w:val="left" w:leader="none" w:pos="5387"/>
        </w:tabs>
        <w:spacing w:line="276" w:lineRule="auto"/>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1.1.</w:t>
      </w:r>
      <w:r>
        <w:rPr>
          <w:rFonts w:ascii="Arial" w:hAnsi="Arial"/>
        </w:rPr>
        <w:t xml:space="preserve"> A presente Ata tem por objeto o </w:t>
      </w:r>
      <w:r>
        <w:rPr>
          <w:rFonts w:ascii="Arial" w:hAnsi="Arial"/>
          <w:b/>
          <w:bCs/>
          <w:color w:val="000000"/>
        </w:rPr>
        <w:t xml:space="preserve"> REGISTRO DE PREÇOS PARA FUTURA E EVENTUAL AQUIS</w:t>
      </w:r>
      <w:r>
        <w:rPr>
          <w:rFonts w:ascii="Arial" w:hAnsi="Arial"/>
          <w:b/>
          <w:bCs/>
          <w:color w:val="000000"/>
        </w:rPr>
        <w:t xml:space="preserve">IÇÃO DE MATERIAIS, INSUMOS E EQUIPAMENTOS DESTINADOS À FISIOTERAPIA, REABILITAÇÃO E AÇÕES TERAPÊUTICAS CORRELATAS, PARA ATENDER AS NECESSIDADES DA SECRETARIA MUNICIPAL SAÚDE, CONFORME ESPECIFICAÇÕES E QUANTITATIVOS ESTABELECIDOS NESTE EDITAL E SEUS ANEXOS.</w:t>
      </w:r>
      <w:r>
        <w:rPr>
          <w:rFonts w:ascii="Arial" w:hAnsi="Arial"/>
          <w:b/>
          <w:bCs/>
          <w:color w:val="000000"/>
        </w:rPr>
      </w:r>
      <w:r/>
    </w:p>
    <w:p>
      <w:pPr>
        <w:pBdr/>
        <w:spacing/>
        <w:ind w:left="284"/>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b/>
          <w:bCs/>
          <w:color w:val="000000"/>
        </w:rPr>
      </w:pPr>
      <w:r>
        <w:rPr>
          <w:rFonts w:ascii="Arial" w:hAnsi="Arial"/>
          <w:b/>
          <w:bCs/>
          <w:color w:val="000000"/>
        </w:rPr>
        <w:t xml:space="preserve">CLÁUSULA SEGUNDA – DA VIGÊNCIA DA ARP E DO CONTRATO </w:t>
      </w:r>
      <w:r>
        <w:rPr>
          <w:rFonts w:ascii="Arial" w:hAnsi="Arial"/>
          <w:b/>
          <w:bCs/>
          <w:color w:val="000000"/>
        </w:rPr>
      </w:r>
      <w:r>
        <w:rPr>
          <w:rFonts w:ascii="Arial" w:hAnsi="Arial"/>
          <w:b/>
          <w:bCs/>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2.1.</w:t>
      </w:r>
      <w:r>
        <w:rPr>
          <w:rFonts w:ascii="Arial" w:hAnsi="Arial"/>
          <w:color w:val="000000"/>
        </w:rPr>
        <w:t xml:space="preserve"> Em conformidade com o disposto no Decreto Municipal nº 11.685/2023, espe</w:t>
      </w:r>
      <w:r>
        <w:rPr>
          <w:rFonts w:ascii="Arial" w:hAnsi="Arial"/>
          <w:color w:val="000000"/>
        </w:rPr>
        <w:t xml:space="preserve">cialmente após a alteração promovida pelo art. 1º, que conferiu nova redação ao art. 303 do Decreto Municipal n.º 11.685, a vigência da Ata de Registro de Preços será de 01 (um) ano, podendo ser prorrogada por igual período, desde que comprovada a vantajos</w:t>
      </w:r>
      <w:r>
        <w:rPr>
          <w:rFonts w:ascii="Arial" w:hAnsi="Arial"/>
          <w:color w:val="000000"/>
        </w:rPr>
        <w:t xml:space="preserve">idade dos preços registrados para a Administração. Ainda, nos termos do §2º-A do referido artigo, havendo prorrogação da vigência da Ata, fica autorizada a renovação do quantitativo originalmente registrado, mediante comprovação de que os preços permanecem</w:t>
      </w:r>
      <w:r>
        <w:rPr>
          <w:rFonts w:ascii="Arial" w:hAnsi="Arial"/>
          <w:color w:val="000000"/>
        </w:rPr>
        <w:t xml:space="preserve"> vantajosos e desde que haja anuência expressa do fornecedor detentor do registro.</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color w:val="000000"/>
        </w:rPr>
      </w:pPr>
      <w:r>
        <w:rPr>
          <w:rFonts w:ascii="Arial" w:hAnsi="Arial"/>
          <w:b/>
          <w:color w:val="000000"/>
        </w:rPr>
        <w:t xml:space="preserve">2.2.</w:t>
      </w:r>
      <w:r>
        <w:rPr>
          <w:rFonts w:ascii="Arial" w:hAnsi="Arial"/>
          <w:color w:val="000000"/>
        </w:rPr>
        <w:t xml:space="preserve">  O contrato decorrente da presente ata terá a vigência, modelo de gestão e demais aspectos alusivos à contratos estipulados, conforme Edital e todos seus anexos. </w:t>
      </w:r>
      <w:r>
        <w:rPr>
          <w:color w:val="000000"/>
        </w:rPr>
      </w:r>
      <w:r>
        <w:rPr>
          <w:color w:val="000000"/>
        </w:rPr>
      </w:r>
    </w:p>
    <w:p>
      <w:pPr>
        <w:pBdr/>
        <w:spacing/>
        <w:ind/>
        <w:jc w:val="both"/>
        <w:rPr>
          <w:rFonts w:ascii="Arial" w:hAnsi="Arial"/>
          <w:color w:val="000000"/>
          <w:shd w:val="clear" w:color="auto" w:fill="b4c7dc"/>
        </w:rPr>
      </w:pPr>
      <w:r>
        <w:rPr>
          <w:rFonts w:ascii="Arial" w:hAnsi="Arial"/>
          <w:color w:val="000000"/>
          <w:shd w:val="clear" w:color="auto" w:fill="b4c7dc"/>
        </w:rPr>
      </w:r>
      <w:r>
        <w:rPr>
          <w:rFonts w:ascii="Arial" w:hAnsi="Arial"/>
          <w:color w:val="000000"/>
          <w:shd w:val="clear" w:color="auto" w:fill="b4c7dc"/>
        </w:rPr>
      </w:r>
      <w:r>
        <w:rPr>
          <w:rFonts w:ascii="Arial" w:hAnsi="Arial"/>
          <w:color w:val="000000"/>
          <w:shd w:val="clear" w:color="auto" w:fill="b4c7dc"/>
        </w:rPr>
      </w:r>
    </w:p>
    <w:p>
      <w:pPr>
        <w:pBdr/>
        <w:spacing/>
        <w:ind/>
        <w:jc w:val="both"/>
        <w:rPr>
          <w:rFonts w:ascii="Arial" w:hAnsi="Arial"/>
          <w:b/>
        </w:rPr>
      </w:pPr>
      <w:r>
        <w:rPr>
          <w:rFonts w:ascii="Arial" w:hAnsi="Arial"/>
          <w:b/>
        </w:rPr>
        <w:t xml:space="preserve">CLÁUSULA TERCEIRA – DO PREÇO REGISTRADO E DA DIFERENÇA PERCENTUAL</w:t>
      </w:r>
      <w:r>
        <w:rPr>
          <w:rFonts w:ascii="Arial" w:hAnsi="Arial"/>
          <w:b/>
        </w:rPr>
      </w:r>
      <w:r>
        <w:rPr>
          <w:rFonts w:ascii="Arial" w:hAnsi="Arial"/>
          <w:b/>
        </w:rP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rPr>
        <w:t xml:space="preserve">3.1. O(s) preço(s), a(s) marca(s), a(s) quantidade(s) e a(s) especificação(ões) do(s) produto(s) a ser(em) fornecido(s) encontram-se indicados no Anexo Informações sobre os produtos registr</w:t>
      </w:r>
      <w:r>
        <w:rPr>
          <w:rFonts w:ascii="Arial" w:hAnsi="Arial"/>
        </w:rPr>
        <w:t xml:space="preserve">ados (gerado pelo sistema de informação “ÁGILI”), que é parte integrante da presente ARP.</w:t>
      </w:r>
      <w:r>
        <w:rPr>
          <w:rFonts w:ascii="Arial" w:hAnsi="Arial"/>
        </w:rPr>
      </w:r>
      <w:r>
        <w:rPr>
          <w:rFonts w:ascii="Arial" w:hAnsi="Arial"/>
        </w:rPr>
      </w:r>
    </w:p>
    <w:p>
      <w:pPr>
        <w:pBdr/>
        <w:spacing/>
        <w:ind/>
        <w:jc w:val="both"/>
        <w:rPr>
          <w:rFonts w:ascii="Arial" w:hAnsi="Arial"/>
        </w:rPr>
      </w:pPr>
      <w:r>
        <w:rPr>
          <w:rFonts w:ascii="Arial" w:hAnsi="Arial"/>
        </w:rPr>
      </w:r>
      <w:r>
        <w:rPr>
          <w:rFonts w:ascii="Arial" w:hAnsi="Arial"/>
        </w:rPr>
      </w:r>
      <w:r>
        <w:rPr>
          <w:rFonts w:ascii="Arial" w:hAnsi="Arial"/>
        </w:rPr>
      </w:r>
    </w:p>
    <w:p>
      <w:pPr>
        <w:pBdr/>
        <w:tabs>
          <w:tab w:val="left" w:leader="none" w:pos="284"/>
          <w:tab w:val="left" w:leader="none" w:pos="426"/>
        </w:tabs>
        <w:spacing/>
        <w:ind/>
        <w:jc w:val="both"/>
        <w:rPr>
          <w:rFonts w:ascii="Arial" w:hAnsi="Arial"/>
        </w:rPr>
      </w:pPr>
      <w:r>
        <w:rPr>
          <w:rFonts w:ascii="Arial" w:hAnsi="Arial"/>
          <w:b/>
        </w:rPr>
        <w:t xml:space="preserve">3.2.</w:t>
      </w:r>
      <w:r>
        <w:rPr>
          <w:rFonts w:ascii="Arial" w:hAnsi="Arial"/>
        </w:rPr>
        <w:t xml:space="preserve"> A(s) diferença(s) percentual(is) entre o(s) valor(es) unitário(s) registrado(s) e o(s) valor(es) pesquisado(s) de cada produto, a(s) qual(is) deve(m), preferenc</w:t>
      </w:r>
      <w:r>
        <w:rPr>
          <w:rFonts w:ascii="Arial" w:hAnsi="Arial"/>
        </w:rPr>
        <w:t xml:space="preserve">ialmente, ser(em) mantida(s) durante a vigência desta Ata, também está(ão) especificada(s) no Anexo </w:t>
      </w:r>
      <w:r>
        <w:rPr>
          <w:rFonts w:ascii="Arial" w:hAnsi="Arial"/>
          <w:color w:val="231f20"/>
        </w:rPr>
        <w:t xml:space="preserve">Informações sobre os produtos registrados</w:t>
      </w:r>
      <w:r>
        <w:rPr>
          <w:rFonts w:ascii="Arial" w:hAnsi="Arial"/>
        </w:rPr>
        <w:t xml:space="preserve"> (gerado pelo sistema de informação “ÁGILI” desta ARP.</w:t>
      </w:r>
      <w:r>
        <w:rPr>
          <w:rFonts w:ascii="Arial" w:hAnsi="Arial"/>
        </w:rPr>
      </w:r>
      <w:r>
        <w:rPr>
          <w:rFonts w:ascii="Arial" w:hAnsi="Arial"/>
        </w:rPr>
      </w:r>
    </w:p>
    <w:p>
      <w:pPr>
        <w:pBdr/>
        <w:tabs>
          <w:tab w:val="left" w:leader="none" w:pos="284"/>
          <w:tab w:val="left" w:leader="none" w:pos="426"/>
        </w:tabs>
        <w:spacing/>
        <w:ind/>
        <w:jc w:val="both"/>
        <w:rPr>
          <w:rFonts w:ascii="Arial" w:hAnsi="Arial"/>
        </w:rPr>
      </w:pPr>
      <w:r>
        <w:rPr>
          <w:rFonts w:ascii="Arial" w:hAnsi="Arial"/>
        </w:rPr>
      </w:r>
      <w:r>
        <w:rPr>
          <w:rFonts w:ascii="Arial" w:hAnsi="Arial"/>
        </w:rPr>
      </w:r>
      <w:r>
        <w:rPr>
          <w:rFonts w:ascii="Arial" w:hAnsi="Arial"/>
        </w:rPr>
      </w:r>
    </w:p>
    <w:p>
      <w:pPr>
        <w:pBdr/>
        <w:tabs>
          <w:tab w:val="left" w:leader="none" w:pos="284"/>
          <w:tab w:val="left" w:leader="none" w:pos="426"/>
        </w:tabs>
        <w:spacing/>
        <w:ind/>
        <w:jc w:val="both"/>
        <w:rPr>
          <w:rFonts w:ascii="Arial" w:hAnsi="Arial"/>
          <w:b/>
        </w:rPr>
      </w:pPr>
      <w:r>
        <w:rPr>
          <w:rFonts w:ascii="Arial" w:hAnsi="Arial"/>
          <w:b/>
        </w:rPr>
        <w:t xml:space="preserve">CLÁUSULA QUARTA – DO VALOR</w:t>
      </w:r>
      <w:r>
        <w:rPr>
          <w:rFonts w:ascii="Arial" w:hAnsi="Arial"/>
          <w:b/>
        </w:rPr>
      </w:r>
      <w:r>
        <w:rPr>
          <w:rFonts w:ascii="Arial" w:hAnsi="Arial"/>
          <w:b/>
        </w:rPr>
      </w:r>
    </w:p>
    <w:p>
      <w:pPr>
        <w:pBdr/>
        <w:tabs>
          <w:tab w:val="left" w:leader="none" w:pos="284"/>
          <w:tab w:val="left" w:leader="none" w:pos="426"/>
        </w:tabs>
        <w:spacing/>
        <w:ind/>
        <w:jc w:val="both"/>
        <w:rPr>
          <w:rFonts w:ascii="Arial" w:hAnsi="Arial"/>
        </w:rPr>
      </w:pPr>
      <w:r>
        <w:rPr>
          <w:rFonts w:ascii="Arial" w:hAnsi="Arial"/>
        </w:rPr>
      </w:r>
      <w:r>
        <w:rPr>
          <w:rFonts w:ascii="Arial" w:hAnsi="Arial"/>
        </w:rPr>
      </w:r>
      <w:r>
        <w:rPr>
          <w:rFonts w:ascii="Arial" w:hAnsi="Arial"/>
        </w:rPr>
      </w:r>
    </w:p>
    <w:p>
      <w:pPr>
        <w:pBdr/>
        <w:tabs>
          <w:tab w:val="left" w:leader="none" w:pos="284"/>
          <w:tab w:val="left" w:leader="none" w:pos="426"/>
        </w:tabs>
        <w:spacing/>
        <w:ind/>
        <w:jc w:val="both"/>
        <w:rPr>
          <w:rFonts w:ascii="Arial" w:hAnsi="Arial"/>
        </w:rPr>
      </w:pPr>
      <w:r>
        <w:rPr>
          <w:rFonts w:ascii="Arial" w:hAnsi="Arial"/>
          <w:b/>
        </w:rPr>
        <w:t xml:space="preserve">4.1.</w:t>
      </w:r>
      <w:r>
        <w:rPr>
          <w:rFonts w:ascii="Arial" w:hAnsi="Arial"/>
        </w:rPr>
        <w:t xml:space="preserve"> O valor total estimado par</w:t>
      </w:r>
      <w:r>
        <w:rPr>
          <w:rFonts w:ascii="Arial" w:hAnsi="Arial"/>
        </w:rPr>
        <w:t xml:space="preserve">a as aquisições decorrentes do presente ARP perfaz o montante de R$ ..................</w:t>
      </w:r>
      <w:r>
        <w:rPr>
          <w:rFonts w:ascii="Arial" w:hAnsi="Arial"/>
        </w:rPr>
      </w:r>
      <w:r>
        <w:rPr>
          <w:rFonts w:ascii="Arial" w:hAnsi="Arial"/>
        </w:rPr>
      </w:r>
    </w:p>
    <w:p>
      <w:pPr>
        <w:pBdr/>
        <w:tabs>
          <w:tab w:val="left" w:leader="none" w:pos="284"/>
          <w:tab w:val="left" w:leader="none" w:pos="426"/>
        </w:tabs>
        <w:spacing/>
        <w:ind/>
        <w:jc w:val="both"/>
        <w:rPr>
          <w:rFonts w:ascii="Arial" w:hAnsi="Arial"/>
        </w:rPr>
      </w:pPr>
      <w:r>
        <w:rPr>
          <w:rFonts w:ascii="Arial" w:hAnsi="Arial"/>
        </w:rPr>
      </w:r>
      <w:r>
        <w:rPr>
          <w:rFonts w:ascii="Arial" w:hAnsi="Arial"/>
        </w:rPr>
      </w:r>
      <w:r>
        <w:rPr>
          <w:rFonts w:ascii="Arial" w:hAnsi="Arial"/>
        </w:rPr>
      </w:r>
    </w:p>
    <w:p>
      <w:pPr>
        <w:pBdr/>
        <w:tabs>
          <w:tab w:val="left" w:leader="none" w:pos="284"/>
          <w:tab w:val="left" w:leader="none" w:pos="426"/>
        </w:tabs>
        <w:spacing/>
        <w:ind/>
        <w:jc w:val="both"/>
        <w:rPr>
          <w:rFonts w:ascii="Arial" w:hAnsi="Arial"/>
          <w:b/>
        </w:rPr>
      </w:pPr>
      <w:r>
        <w:rPr>
          <w:rFonts w:ascii="Arial" w:hAnsi="Arial"/>
          <w:b/>
        </w:rPr>
        <w:t xml:space="preserve">CLÁUSULA QUINTA – DO(S) ÓRGÃO(S) PARTICIPANTE(S) </w:t>
      </w:r>
      <w:r>
        <w:rPr>
          <w:rFonts w:ascii="Arial" w:hAnsi="Arial"/>
          <w:b/>
        </w:rPr>
      </w:r>
      <w:r>
        <w:rPr>
          <w:rFonts w:ascii="Arial" w:hAnsi="Arial"/>
          <w:b/>
        </w:rPr>
      </w:r>
    </w:p>
    <w:p>
      <w:pPr>
        <w:pBdr/>
        <w:tabs>
          <w:tab w:val="left" w:leader="none" w:pos="284"/>
          <w:tab w:val="left" w:leader="none" w:pos="426"/>
        </w:tabs>
        <w:spacing/>
        <w:ind/>
        <w:jc w:val="both"/>
        <w:rPr>
          <w:rFonts w:ascii="Arial" w:hAnsi="Arial"/>
        </w:rPr>
      </w:pPr>
      <w:r>
        <w:rPr>
          <w:rFonts w:ascii="Arial" w:hAnsi="Arial"/>
        </w:rPr>
      </w:r>
      <w:r>
        <w:rPr>
          <w:rFonts w:ascii="Arial" w:hAnsi="Arial"/>
        </w:rPr>
      </w:r>
      <w:r>
        <w:rPr>
          <w:rFonts w:ascii="Arial" w:hAnsi="Arial"/>
        </w:rPr>
      </w:r>
    </w:p>
    <w:p>
      <w:pPr>
        <w:pBdr/>
        <w:tabs>
          <w:tab w:val="center" w:leader="none" w:pos="4779"/>
          <w:tab w:val="right" w:leader="none" w:pos="9198"/>
        </w:tabs>
        <w:spacing w:line="276" w:lineRule="auto"/>
        <w:ind/>
        <w:jc w:val="both"/>
        <w:rPr>
          <w:rFonts w:ascii="Arial" w:hAnsi="Arial" w:eastAsia="Arial"/>
        </w:rPr>
      </w:pPr>
      <w:r>
        <w:rPr>
          <w:rFonts w:ascii="Arial" w:hAnsi="Arial"/>
          <w:b/>
        </w:rPr>
        <w:t xml:space="preserve">5.1.1.</w:t>
      </w:r>
      <w:r>
        <w:rPr>
          <w:rFonts w:ascii="Arial" w:hAnsi="Arial"/>
        </w:rPr>
        <w:t xml:space="preserve"> </w:t>
      </w:r>
      <w:r>
        <w:rPr>
          <w:rFonts w:ascii="Arial" w:hAnsi="Arial" w:eastAsia="Arial"/>
        </w:rPr>
        <w:t xml:space="preserve">As presente ARP é para suprir demandas dos órgãos e entidades municipal, abaixo citados:</w:t>
      </w:r>
      <w:r>
        <w:rPr>
          <w:rFonts w:ascii="Arial" w:hAnsi="Arial" w:eastAsia="Arial"/>
        </w:rPr>
      </w:r>
      <w:r>
        <w:rPr>
          <w:rFonts w:ascii="Arial" w:hAnsi="Arial" w:eastAsia="Arial"/>
        </w:rPr>
      </w:r>
    </w:p>
    <w:tbl>
      <w:tblPr>
        <w:tblInd w:w="507" w:type="dxa"/>
        <w:tblW w:w="9240" w:type="dxa"/>
        <w:tblBorders/>
        <w:tblLayout w:type="fixed"/>
        <w:tblLook w:val="04A0" w:firstRow="1" w:lastRow="0" w:firstColumn="1" w:lastColumn="0" w:noHBand="0" w:noVBand="1"/>
      </w:tblPr>
      <w:tblGrid>
        <w:gridCol w:w="4583"/>
        <w:gridCol w:w="4657"/>
      </w:tblGrid>
      <w:tr>
        <w:trPr>
          <w:trHeight w:val="240"/>
        </w:trPr>
        <w:tc>
          <w:tcPr>
            <w:tcBorders>
              <w:top w:val="single" w:color="000000" w:sz="2" w:space="0"/>
              <w:left w:val="single" w:color="000000" w:sz="2" w:space="0"/>
              <w:bottom w:val="single" w:color="000000" w:sz="2" w:space="0"/>
              <w:right w:val="single" w:color="000000" w:sz="2" w:space="0"/>
            </w:tcBorders>
            <w:tcW w:w="4583" w:type="dxa"/>
            <w:vAlign w:val="center"/>
            <w:textDirection w:val="lrTb"/>
            <w:noWrap w:val="false"/>
          </w:tcPr>
          <w:p>
            <w:pPr>
              <w:pBdr/>
              <w:spacing/>
              <w:ind/>
              <w:jc w:val="center"/>
              <w:rPr>
                <w:rFonts w:ascii="Calibri" w:hAnsi="Calibri" w:eastAsia="Calibri" w:cs="Calibri"/>
                <w:color w:val="000000"/>
              </w:rPr>
            </w:pPr>
            <w:r>
              <w:rPr>
                <w:rFonts w:ascii="Calibri" w:hAnsi="Calibri" w:eastAsia="Calibri" w:cs="Calibri"/>
                <w:color w:val="000000"/>
              </w:rPr>
              <w:t xml:space="preserve">SECRETARIA</w:t>
            </w:r>
            <w:r>
              <w:rPr>
                <w:rFonts w:ascii="Calibri" w:hAnsi="Calibri" w:eastAsia="Calibri" w:cs="Calibri"/>
                <w:color w:val="000000"/>
              </w:rPr>
            </w:r>
            <w:r>
              <w:rPr>
                <w:rFonts w:ascii="Calibri" w:hAnsi="Calibri" w:eastAsia="Calibri" w:cs="Calibri"/>
                <w:color w:val="000000"/>
              </w:rPr>
            </w:r>
          </w:p>
        </w:tc>
        <w:tc>
          <w:tcPr>
            <w:tcBorders>
              <w:top w:val="single" w:color="000000" w:sz="2" w:space="0"/>
              <w:left w:val="single" w:color="000000" w:sz="2" w:space="0"/>
              <w:bottom w:val="single" w:color="000000" w:sz="2" w:space="0"/>
              <w:right w:val="single" w:color="000000" w:sz="2" w:space="0"/>
            </w:tcBorders>
            <w:tcW w:w="4656" w:type="dxa"/>
            <w:vAlign w:val="center"/>
            <w:textDirection w:val="lrTb"/>
            <w:noWrap w:val="false"/>
          </w:tcPr>
          <w:p>
            <w:pPr>
              <w:pBdr/>
              <w:spacing/>
              <w:ind/>
              <w:jc w:val="center"/>
              <w:rPr>
                <w:rFonts w:ascii="Calibri" w:hAnsi="Calibri" w:eastAsia="Calibri" w:cs="Calibri"/>
                <w:color w:val="000000"/>
              </w:rPr>
            </w:pPr>
            <w:r>
              <w:rPr>
                <w:rFonts w:ascii="Calibri" w:hAnsi="Calibri" w:eastAsia="Calibri" w:cs="Calibri"/>
                <w:color w:val="000000"/>
              </w:rPr>
              <w:t xml:space="preserve">RESPONSÁVEL</w:t>
            </w:r>
            <w:r>
              <w:rPr>
                <w:rFonts w:ascii="Calibri" w:hAnsi="Calibri" w:eastAsia="Calibri" w:cs="Calibri"/>
                <w:color w:val="000000"/>
              </w:rPr>
            </w:r>
            <w:r>
              <w:rPr>
                <w:rFonts w:ascii="Calibri" w:hAnsi="Calibri" w:eastAsia="Calibri" w:cs="Calibri"/>
                <w:color w:val="000000"/>
              </w:rPr>
            </w:r>
          </w:p>
        </w:tc>
      </w:tr>
      <w:tr>
        <w:trPr>
          <w:trHeight w:val="142"/>
        </w:trPr>
        <w:tc>
          <w:tcPr>
            <w:tcBorders>
              <w:top w:val="single" w:color="000000" w:sz="2" w:space="0"/>
              <w:left w:val="single" w:color="000000" w:sz="2" w:space="0"/>
              <w:bottom w:val="single" w:color="000000" w:sz="2" w:space="0"/>
              <w:right w:val="single" w:color="000000" w:sz="2" w:space="0"/>
            </w:tcBorders>
            <w:tcW w:w="4583" w:type="dxa"/>
            <w:vAlign w:val="center"/>
            <w:textDirection w:val="lrTb"/>
            <w:noWrap w:val="false"/>
          </w:tcPr>
          <w:p w14:paraId="574DCD04">
            <w:pPr>
              <w:pStyle w:val="864"/>
              <w:pBdr/>
              <w:tabs>
                <w:tab w:val="right" w:leader="none" w:pos="9072"/>
              </w:tabs>
              <w:spacing/>
              <w:ind/>
              <w:jc w:val="center"/>
              <w:rPr>
                <w:rFonts w:ascii="Arial" w:hAnsi="Arial" w:eastAsia="Times New Roman" w:cs="Arial"/>
                <w:lang w:val="pt-BR"/>
              </w:rPr>
            </w:pPr>
            <w:r>
              <w:rPr>
                <w:rFonts w:ascii="Arial" w:hAnsi="Arial" w:eastAsia="Times New Roman" w:cs="Arial"/>
                <w:lang w:val="pt-BR"/>
              </w:rPr>
            </w:r>
            <w:r>
              <w:rPr>
                <w:rFonts w:ascii="Times New Roman" w:hAnsi="Times New Roman"/>
                <w:bCs/>
                <w:lang w:val="pt"/>
              </w:rPr>
              <w:t xml:space="preserve">Secretário Municipal de Saúde </w:t>
            </w:r>
            <w:r>
              <w:rPr>
                <w:rFonts w:ascii="Times New Roman" w:hAnsi="Times New Roman"/>
                <w:bCs/>
                <w:lang w:val="pt-BR"/>
              </w:rPr>
              <w:t xml:space="preserve">- I</w:t>
            </w:r>
            <w:r>
              <w:rPr>
                <w:rFonts w:ascii="Times New Roman" w:hAnsi="Times New Roman"/>
                <w:bCs/>
                <w:lang w:val="pt"/>
              </w:rPr>
              <w:t xml:space="preserve">nterino</w:t>
            </w:r>
            <w:r>
              <w:rPr>
                <w:rFonts w:ascii="Arial" w:hAnsi="Arial" w:eastAsia="Times New Roman" w:cs="Arial"/>
                <w:lang w:val="pt-BR"/>
              </w:rPr>
            </w:r>
            <w:r>
              <w:rPr>
                <w:rFonts w:ascii="Arial" w:hAnsi="Arial" w:eastAsia="Times New Roman" w:cs="Arial"/>
                <w:lang w:val="pt-BR"/>
              </w:rPr>
            </w:r>
          </w:p>
        </w:tc>
        <w:tc>
          <w:tcPr>
            <w:tcBorders>
              <w:top w:val="single" w:color="000000" w:sz="2" w:space="0"/>
              <w:left w:val="single" w:color="000000" w:sz="2" w:space="0"/>
              <w:bottom w:val="single" w:color="000000" w:sz="2" w:space="0"/>
              <w:right w:val="single" w:color="000000" w:sz="2" w:space="0"/>
            </w:tcBorders>
            <w:tcW w:w="4656" w:type="dxa"/>
            <w:vAlign w:val="center"/>
            <w:textDirection w:val="lrTb"/>
            <w:noWrap w:val="false"/>
          </w:tcPr>
          <w:p w14:paraId="045A0350">
            <w:pPr>
              <w:pStyle w:val="864"/>
              <w:pBdr/>
              <w:tabs>
                <w:tab w:val="right" w:leader="none" w:pos="9072"/>
              </w:tabs>
              <w:spacing/>
              <w:ind/>
              <w:jc w:val="center"/>
              <w:rPr>
                <w:rFonts w:ascii="Arial" w:hAnsi="Arial" w:eastAsia="Times New Roman" w:cs="Arial"/>
                <w:b/>
                <w:lang w:val="pt-BR"/>
              </w:rPr>
            </w:pPr>
            <w:r>
              <w:rPr>
                <w:rFonts w:ascii="Arial" w:hAnsi="Arial" w:eastAsia="Times New Roman" w:cs="Arial"/>
                <w:b/>
                <w:lang w:val="pt-BR"/>
              </w:rPr>
            </w:r>
            <w:r>
              <w:rPr>
                <w:rFonts w:ascii="Times New Roman" w:hAnsi="Times New Roman"/>
                <w:b/>
                <w:lang w:val="pt"/>
              </w:rPr>
              <w:t xml:space="preserve">VILMAR RODRIGUES PARANHOS JÚNIOR</w:t>
            </w:r>
            <w:r>
              <w:rPr>
                <w:rFonts w:ascii="Arial" w:hAnsi="Arial" w:eastAsia="Times New Roman" w:cs="Arial"/>
                <w:b/>
                <w:lang w:val="pt-BR"/>
              </w:rPr>
            </w:r>
            <w:r>
              <w:rPr>
                <w:rFonts w:ascii="Arial" w:hAnsi="Arial" w:eastAsia="Times New Roman" w:cs="Arial"/>
                <w:b/>
                <w:lang w:val="pt-BR"/>
              </w:rPr>
            </w:r>
          </w:p>
        </w:tc>
      </w:tr>
    </w:tbl>
    <w:p>
      <w:pPr>
        <w:pBdr/>
        <w:spacing/>
        <w:ind w:hanging="426" w:left="426"/>
        <w:jc w:val="both"/>
        <w:rPr>
          <w:rFonts w:ascii="Arial" w:hAnsi="Arial"/>
          <w:b/>
        </w:rPr>
      </w:pPr>
      <w:r>
        <w:rPr>
          <w:rFonts w:ascii="Arial" w:hAnsi="Arial"/>
          <w:b/>
        </w:rPr>
      </w:r>
      <w:r>
        <w:rPr>
          <w:rFonts w:ascii="Arial" w:hAnsi="Arial"/>
          <w:b/>
        </w:rPr>
      </w:r>
      <w:r>
        <w:rPr>
          <w:rFonts w:ascii="Arial" w:hAnsi="Arial"/>
          <w:b/>
        </w:rPr>
      </w:r>
    </w:p>
    <w:p>
      <w:pPr>
        <w:pBdr/>
        <w:spacing/>
        <w:ind w:hanging="426" w:left="426"/>
        <w:jc w:val="both"/>
        <w:rPr>
          <w:rFonts w:ascii="Arial" w:hAnsi="Arial"/>
          <w:b/>
          <w:bCs/>
        </w:rPr>
      </w:pPr>
      <w:r>
        <w:rPr>
          <w:rFonts w:ascii="Arial" w:hAnsi="Arial"/>
          <w:b/>
        </w:rPr>
        <w:t xml:space="preserve">CLÁUSULA SEXTA – DO SISTEMA DO REGISTRO DE PREÇOS:</w:t>
      </w:r>
      <w:r>
        <w:rPr>
          <w:rFonts w:ascii="Arial" w:hAnsi="Arial"/>
          <w:b/>
          <w:bCs/>
        </w:rPr>
      </w:r>
      <w:r>
        <w:rPr>
          <w:rFonts w:ascii="Arial" w:hAnsi="Arial"/>
          <w:b/>
          <w:bCs/>
        </w:rPr>
      </w:r>
    </w:p>
    <w:p>
      <w:pPr>
        <w:pBdr/>
        <w:spacing/>
        <w:ind w:hanging="426" w:left="426"/>
        <w:jc w:val="both"/>
        <w:rPr/>
      </w:pPr>
      <w:r/>
      <w:r/>
    </w:p>
    <w:p>
      <w:pPr>
        <w:pBdr/>
        <w:spacing/>
        <w:ind/>
        <w:jc w:val="both"/>
        <w:rPr/>
      </w:pPr>
      <w:r>
        <w:rPr>
          <w:rFonts w:ascii="Arial" w:hAnsi="Arial"/>
          <w:b/>
        </w:rPr>
        <w:t xml:space="preserve">6.1. </w:t>
      </w:r>
      <w:r>
        <w:rPr>
          <w:rFonts w:ascii="Arial" w:hAnsi="Arial"/>
        </w:rPr>
        <w:t xml:space="preserve">O Sistema de Registro de Preços regula-se pelas normas e procedimentos previstos na Lei Federal nº 14.133/2021, no Decreto Municipal n° 11.685/2023 e nas demais normas complementares.</w:t>
      </w:r>
      <w:r/>
    </w:p>
    <w:p>
      <w:pPr>
        <w:pBdr/>
        <w:spacing/>
        <w:ind w:hanging="426" w:left="426"/>
        <w:jc w:val="both"/>
        <w:rPr>
          <w:rFonts w:ascii="Arial" w:hAnsi="Arial"/>
        </w:rPr>
      </w:pPr>
      <w:r>
        <w:rPr>
          <w:rFonts w:ascii="Arial" w:hAnsi="Arial"/>
        </w:rPr>
      </w:r>
      <w:r>
        <w:rPr>
          <w:rFonts w:ascii="Arial" w:hAnsi="Arial"/>
        </w:rPr>
      </w:r>
      <w:r>
        <w:rPr>
          <w:rFonts w:ascii="Arial" w:hAnsi="Arial"/>
        </w:rPr>
      </w:r>
    </w:p>
    <w:p>
      <w:pPr>
        <w:pBdr/>
        <w:tabs>
          <w:tab w:val="left" w:leader="none" w:pos="426"/>
        </w:tabs>
        <w:spacing/>
        <w:ind/>
        <w:jc w:val="both"/>
        <w:rPr/>
      </w:pPr>
      <w:r>
        <w:rPr>
          <w:rFonts w:ascii="Arial" w:hAnsi="Arial"/>
          <w:b/>
        </w:rPr>
        <w:t xml:space="preserve">6.2.</w:t>
      </w:r>
      <w:r>
        <w:rPr>
          <w:rFonts w:ascii="Arial" w:hAnsi="Arial"/>
        </w:rPr>
        <w:tab/>
        <w:t xml:space="preserve">Uma vez registrados o(s) preço(s), a Administração poderá convocar</w:t>
      </w:r>
      <w:r>
        <w:rPr>
          <w:rFonts w:ascii="Arial" w:hAnsi="Arial"/>
        </w:rPr>
        <w:t xml:space="preserve"> o Detentor a fornecer o(s) produto(s) respectivo(s), na forma e condições fixadas no edital, anexos e nesta ARP.</w:t>
      </w:r>
      <w:r/>
    </w:p>
    <w:p>
      <w:pPr>
        <w:pBdr/>
        <w:spacing/>
        <w:ind w:hanging="567" w:left="567"/>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6.3.</w:t>
      </w:r>
      <w:r>
        <w:rPr>
          <w:rFonts w:ascii="Arial" w:hAnsi="Arial"/>
        </w:rPr>
        <w:t xml:space="preserve">  A existência de preço(s) registrado</w:t>
      </w:r>
      <w:r>
        <w:rPr>
          <w:rFonts w:ascii="Arial" w:hAnsi="Arial"/>
        </w:rPr>
        <w:t xml:space="preserve">(s) implicará compromisso de fornecimento nas condições estabelecidas no instrumento convocatório e na sua proposta, mas não obrigará a contratação, facultada a realização de licitação específica para a aquisição pretendida, desde que devidamente motivada.</w:t>
      </w:r>
      <w:r/>
    </w:p>
    <w:p>
      <w:pPr>
        <w:pBdr/>
        <w:spacing/>
        <w:ind w:hanging="426" w:left="426"/>
        <w:jc w:val="both"/>
        <w:rPr>
          <w:rFonts w:ascii="Arial" w:hAnsi="Arial"/>
          <w:strike/>
        </w:rPr>
      </w:pPr>
      <w:r>
        <w:rPr>
          <w:rFonts w:ascii="Arial" w:hAnsi="Arial"/>
          <w:strike/>
        </w:rPr>
      </w:r>
      <w:r>
        <w:rPr>
          <w:rFonts w:ascii="Arial" w:hAnsi="Arial"/>
          <w:strike/>
        </w:rPr>
      </w:r>
      <w:r>
        <w:rPr>
          <w:rFonts w:ascii="Arial" w:hAnsi="Arial"/>
          <w:strike/>
        </w:rPr>
      </w:r>
    </w:p>
    <w:p>
      <w:pPr>
        <w:pBdr/>
        <w:spacing/>
        <w:ind/>
        <w:jc w:val="both"/>
        <w:rPr/>
      </w:pPr>
      <w:r>
        <w:rPr>
          <w:rFonts w:ascii="Arial" w:hAnsi="Arial"/>
          <w:b/>
        </w:rPr>
        <w:t xml:space="preserve">6.4.</w:t>
      </w:r>
      <w:r>
        <w:rPr>
          <w:rFonts w:ascii="Arial" w:hAnsi="Arial"/>
        </w:rPr>
        <w:t xml:space="preserve"> É vedada a aquisição do(s) produto(s) por valor(es) superior(es) ao(s) registrado(s) vigente(s).</w:t>
      </w:r>
      <w:r/>
    </w:p>
    <w:p>
      <w:pPr>
        <w:pBdr/>
        <w:spacing/>
        <w:ind w:hanging="426" w:left="426"/>
        <w:jc w:val="both"/>
        <w:rPr>
          <w:rFonts w:ascii="Arial" w:hAnsi="Arial"/>
        </w:rPr>
      </w:pPr>
      <w:r>
        <w:rPr>
          <w:rFonts w:ascii="Arial" w:hAnsi="Arial"/>
        </w:rPr>
      </w:r>
      <w:r>
        <w:rPr>
          <w:rFonts w:ascii="Arial" w:hAnsi="Arial"/>
        </w:rPr>
      </w:r>
      <w:r>
        <w:rPr>
          <w:rFonts w:ascii="Arial" w:hAnsi="Arial"/>
        </w:rPr>
      </w:r>
    </w:p>
    <w:p>
      <w:pPr>
        <w:pBdr/>
        <w:tabs>
          <w:tab w:val="left" w:leader="none" w:pos="426"/>
        </w:tabs>
        <w:spacing/>
        <w:ind/>
        <w:jc w:val="both"/>
        <w:rPr/>
      </w:pPr>
      <w:r>
        <w:rPr>
          <w:rFonts w:ascii="Arial" w:hAnsi="Arial"/>
          <w:b/>
        </w:rPr>
        <w:t xml:space="preserve">6.5.</w:t>
      </w:r>
      <w:r>
        <w:rPr>
          <w:rFonts w:ascii="Arial" w:hAnsi="Arial"/>
        </w:rPr>
        <w:tab/>
        <w:t xml:space="preserve">O Detentor fica obrigado a atender a todos os pedidos de fornecimento efetuados durante a vigência do Registro de Preços.</w:t>
      </w:r>
      <w:r/>
    </w:p>
    <w:p>
      <w:pPr>
        <w:pBdr/>
        <w:spacing/>
        <w:ind w:hanging="426" w:left="426"/>
        <w:jc w:val="both"/>
        <w:rPr>
          <w:rFonts w:ascii="Arial" w:hAnsi="Arial"/>
        </w:rPr>
      </w:pPr>
      <w:r>
        <w:rPr>
          <w:rFonts w:ascii="Arial" w:hAnsi="Arial"/>
        </w:rPr>
      </w:r>
      <w:r>
        <w:rPr>
          <w:rFonts w:ascii="Arial" w:hAnsi="Arial"/>
        </w:rPr>
      </w:r>
      <w:r>
        <w:rPr>
          <w:rFonts w:ascii="Arial" w:hAnsi="Arial"/>
        </w:rPr>
      </w:r>
    </w:p>
    <w:p>
      <w:pPr>
        <w:pBdr/>
        <w:tabs>
          <w:tab w:val="left" w:leader="none" w:pos="426"/>
        </w:tabs>
        <w:spacing/>
        <w:ind/>
        <w:jc w:val="both"/>
        <w:rPr/>
      </w:pPr>
      <w:r>
        <w:rPr>
          <w:rFonts w:ascii="Arial" w:hAnsi="Arial"/>
          <w:b/>
        </w:rPr>
        <w:t xml:space="preserve">6.6.</w:t>
      </w:r>
      <w:r>
        <w:rPr>
          <w:rFonts w:ascii="Arial" w:hAnsi="Arial"/>
        </w:rPr>
        <w:tab/>
        <w:t xml:space="preserve">O Detentor deverá </w:t>
      </w:r>
      <w:r>
        <w:rPr>
          <w:rFonts w:ascii="Arial" w:hAnsi="Arial"/>
        </w:rPr>
        <w:t xml:space="preserve">garantir a qualidade do(s) produto(s) entregue(s) mesmo após o vencimento da ARP.</w:t>
      </w:r>
      <w:r/>
    </w:p>
    <w:p>
      <w:pPr>
        <w:pBdr/>
        <w:spacing/>
        <w:ind w:hanging="426" w:left="426"/>
        <w:jc w:val="both"/>
        <w:rPr>
          <w:rFonts w:ascii="Arial" w:hAnsi="Arial"/>
        </w:rPr>
      </w:pPr>
      <w:r>
        <w:rPr>
          <w:rFonts w:ascii="Arial" w:hAnsi="Arial"/>
        </w:rPr>
      </w:r>
      <w:r>
        <w:rPr>
          <w:rFonts w:ascii="Arial" w:hAnsi="Arial"/>
        </w:rPr>
      </w:r>
      <w:r>
        <w:rPr>
          <w:rFonts w:ascii="Arial" w:hAnsi="Arial"/>
        </w:rPr>
      </w:r>
    </w:p>
    <w:p>
      <w:pPr>
        <w:pBdr/>
        <w:spacing/>
        <w:ind w:hanging="426" w:left="426"/>
        <w:jc w:val="both"/>
        <w:rPr>
          <w:rFonts w:ascii="Arial" w:hAnsi="Arial"/>
          <w:b/>
        </w:rPr>
      </w:pPr>
      <w:r>
        <w:rPr>
          <w:rFonts w:ascii="Arial" w:hAnsi="Arial"/>
          <w:b/>
        </w:rPr>
        <w:t xml:space="preserve">CLÁUSULA SÉTIMA – DA EXECUÇÃO DA ATA:   </w:t>
      </w:r>
      <w:r>
        <w:rPr>
          <w:rFonts w:ascii="Arial" w:hAnsi="Arial"/>
          <w:b/>
        </w:rPr>
      </w:r>
      <w:r>
        <w:rPr>
          <w:rFonts w:ascii="Arial" w:hAnsi="Arial"/>
          <w:b/>
        </w:rPr>
      </w:r>
    </w:p>
    <w:p>
      <w:pPr>
        <w:pBdr/>
        <w:spacing/>
        <w:ind w:hanging="426" w:left="426"/>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7.1.</w:t>
      </w:r>
      <w:r>
        <w:rPr>
          <w:rFonts w:ascii="Arial" w:hAnsi="Arial"/>
        </w:rPr>
        <w:t xml:space="preserve"> A contratação do objeto licitado será efetivada mediante formalização de contrato, vinculado à presente Ata de Registro de Preços e em conformidade com a legislação pertinente, bem como Decreto Municipal nº 11.685/2023.</w:t>
      </w:r>
      <w:r/>
    </w:p>
    <w:p>
      <w:pPr>
        <w:pBdr/>
        <w:spacing/>
        <w:ind w:hanging="426" w:left="426"/>
        <w:jc w:val="both"/>
        <w:rPr>
          <w:rFonts w:ascii="Arial" w:hAnsi="Arial"/>
        </w:rPr>
      </w:pPr>
      <w:r>
        <w:rPr>
          <w:rFonts w:ascii="Arial" w:hAnsi="Arial"/>
        </w:rPr>
      </w:r>
      <w:r>
        <w:rPr>
          <w:rFonts w:ascii="Arial" w:hAnsi="Arial"/>
        </w:rPr>
      </w:r>
      <w:r>
        <w:rPr>
          <w:rFonts w:ascii="Arial" w:hAnsi="Arial"/>
        </w:rPr>
      </w:r>
    </w:p>
    <w:p>
      <w:pPr>
        <w:pBdr/>
        <w:tabs>
          <w:tab w:val="left" w:leader="none" w:pos="284"/>
          <w:tab w:val="left" w:leader="none" w:pos="426"/>
        </w:tabs>
        <w:spacing/>
        <w:ind/>
        <w:jc w:val="both"/>
        <w:rPr>
          <w:rFonts w:ascii="Arial" w:hAnsi="Arial"/>
        </w:rPr>
      </w:pPr>
      <w:r>
        <w:rPr>
          <w:rFonts w:ascii="Arial" w:hAnsi="Arial"/>
          <w:b/>
        </w:rPr>
        <w:t xml:space="preserve">7.2. </w:t>
      </w:r>
      <w:r>
        <w:rPr>
          <w:rFonts w:ascii="Arial" w:hAnsi="Arial"/>
        </w:rPr>
        <w:t xml:space="preserve">Após autorização, a Gerência </w:t>
      </w:r>
      <w:r>
        <w:rPr>
          <w:rFonts w:ascii="Arial" w:hAnsi="Arial"/>
        </w:rPr>
        <w:t xml:space="preserve">................. ou equivalente de cada um dos Órgãos Participantes do Registro encaminhará Nota de Empenho ou outro instrumento equivalente ao Detentor da ARP, via e-mail ou outro meio de comunicação eficaz. </w:t>
      </w:r>
      <w:r>
        <w:rPr>
          <w:rFonts w:ascii="Arial" w:hAnsi="Arial"/>
        </w:rPr>
      </w:r>
      <w:r>
        <w:rPr>
          <w:rFonts w:ascii="Arial" w:hAnsi="Arial"/>
        </w:rPr>
      </w:r>
    </w:p>
    <w:p>
      <w:pPr>
        <w:pBdr/>
        <w:tabs>
          <w:tab w:val="left" w:leader="none" w:pos="284"/>
          <w:tab w:val="left" w:leader="none" w:pos="426"/>
        </w:tabs>
        <w:spacing/>
        <w:ind/>
        <w:jc w:val="both"/>
        <w:rPr>
          <w:rFonts w:ascii="Arial" w:hAnsi="Arial"/>
        </w:rPr>
      </w:pPr>
      <w:r>
        <w:rPr>
          <w:rFonts w:ascii="Arial" w:hAnsi="Arial"/>
        </w:rPr>
      </w:r>
      <w:r>
        <w:rPr>
          <w:rFonts w:ascii="Arial" w:hAnsi="Arial"/>
        </w:rPr>
      </w:r>
      <w:r>
        <w:rPr>
          <w:rFonts w:ascii="Arial" w:hAnsi="Arial"/>
        </w:rPr>
      </w:r>
    </w:p>
    <w:p>
      <w:pPr>
        <w:pBdr/>
        <w:tabs>
          <w:tab w:val="left" w:leader="none" w:pos="851"/>
          <w:tab w:val="left" w:leader="none" w:pos="993"/>
        </w:tabs>
        <w:spacing/>
        <w:ind/>
        <w:jc w:val="both"/>
        <w:rPr/>
      </w:pPr>
      <w:r>
        <w:rPr>
          <w:rFonts w:ascii="Arial" w:hAnsi="Arial"/>
          <w:b/>
        </w:rPr>
        <w:t xml:space="preserve">7.2.1. </w:t>
      </w:r>
      <w:r>
        <w:rPr>
          <w:rFonts w:ascii="Arial" w:hAnsi="Arial"/>
        </w:rPr>
        <w:t xml:space="preserve">A comprovação de que o Detentor receb</w:t>
      </w:r>
      <w:r>
        <w:rPr>
          <w:rFonts w:ascii="Arial" w:hAnsi="Arial"/>
        </w:rPr>
        <w:t xml:space="preserve">eu a Nota de Empenho ou outro instrumento equivalente deverá ocorrer via e-mail ou outro meio de comunicação eficaz.</w:t>
      </w:r>
      <w:r/>
    </w:p>
    <w:p>
      <w:pPr>
        <w:pBdr/>
        <w:tabs>
          <w:tab w:val="left" w:leader="none" w:pos="851"/>
          <w:tab w:val="left" w:leader="none" w:pos="993"/>
        </w:tabs>
        <w:spacing/>
        <w:ind w:left="426"/>
        <w:jc w:val="both"/>
        <w:rPr>
          <w:rFonts w:ascii="Arial" w:hAnsi="Arial"/>
        </w:rPr>
      </w:pPr>
      <w:r>
        <w:rPr>
          <w:rFonts w:ascii="Arial" w:hAnsi="Arial"/>
        </w:rPr>
      </w:r>
      <w:r>
        <w:rPr>
          <w:rFonts w:ascii="Arial" w:hAnsi="Arial"/>
        </w:rPr>
      </w:r>
      <w:r>
        <w:rPr>
          <w:rFonts w:ascii="Arial" w:hAnsi="Arial"/>
        </w:rPr>
      </w:r>
    </w:p>
    <w:p>
      <w:pPr>
        <w:pBdr/>
        <w:tabs>
          <w:tab w:val="left" w:leader="none" w:pos="284"/>
          <w:tab w:val="left" w:leader="none" w:pos="426"/>
        </w:tabs>
        <w:spacing/>
        <w:ind/>
        <w:jc w:val="both"/>
        <w:rPr/>
      </w:pPr>
      <w:r>
        <w:rPr>
          <w:rFonts w:ascii="Arial" w:hAnsi="Arial"/>
          <w:b/>
        </w:rPr>
        <w:t xml:space="preserve">7.3. </w:t>
      </w:r>
      <w:r>
        <w:rPr>
          <w:rFonts w:ascii="Arial" w:hAnsi="Arial"/>
        </w:rPr>
        <w:t xml:space="preserve">Na hipótese de as Gerências ................. ou equivalentes dos Órgãos Participantes não conseguirem um meio eficaz para envio da N</w:t>
      </w:r>
      <w:r>
        <w:rPr>
          <w:rFonts w:ascii="Arial" w:hAnsi="Arial"/>
        </w:rPr>
        <w:t xml:space="preserve">ota de Empenho ou outro instrumento equivalente ao Detentor, deverá ser publicado um aviso no Diário Oficial do Município - DIORONDON, para que o Detentor retire a Nota de Empenho ou outro instrumento hábil no prazo máximo de 03 (três) dias úteis contados </w:t>
      </w:r>
      <w:r>
        <w:rPr>
          <w:rFonts w:ascii="Arial" w:hAnsi="Arial"/>
        </w:rPr>
        <w:t xml:space="preserve">da convocação.</w:t>
      </w:r>
      <w:r/>
    </w:p>
    <w:p>
      <w:pPr>
        <w:pBdr/>
        <w:tabs>
          <w:tab w:val="left" w:leader="none" w:pos="284"/>
          <w:tab w:val="left" w:leader="none" w:pos="426"/>
        </w:tabs>
        <w:spacing/>
        <w:ind/>
        <w:jc w:val="both"/>
        <w:rPr>
          <w:rFonts w:ascii="Arial" w:hAnsi="Arial"/>
        </w:rPr>
      </w:pPr>
      <w:r>
        <w:rPr>
          <w:rFonts w:ascii="Arial" w:hAnsi="Arial"/>
        </w:rPr>
      </w:r>
      <w:r>
        <w:rPr>
          <w:rFonts w:ascii="Arial" w:hAnsi="Arial"/>
        </w:rPr>
      </w:r>
      <w:r>
        <w:rPr>
          <w:rFonts w:ascii="Arial" w:hAnsi="Arial"/>
        </w:rPr>
      </w:r>
    </w:p>
    <w:p>
      <w:pPr>
        <w:pBdr/>
        <w:tabs>
          <w:tab w:val="left" w:leader="none" w:pos="426"/>
        </w:tabs>
        <w:spacing/>
        <w:ind/>
        <w:jc w:val="both"/>
        <w:rPr/>
      </w:pPr>
      <w:r>
        <w:rPr>
          <w:rFonts w:ascii="Arial" w:hAnsi="Arial"/>
          <w:b/>
        </w:rPr>
        <w:t xml:space="preserve">7.4. </w:t>
      </w:r>
      <w:r>
        <w:rPr>
          <w:rFonts w:ascii="Arial" w:hAnsi="Arial"/>
        </w:rPr>
        <w:t xml:space="preserve">A critério da Gerência solicitante, quando se fizer necessária a verificação da qualidade e do atendimento às legislações específicas pertinentes, a Administração determinará as análises necessárias e prazos para a entrega do(s) produt</w:t>
      </w:r>
      <w:r>
        <w:rPr>
          <w:rFonts w:ascii="Arial" w:hAnsi="Arial"/>
        </w:rPr>
        <w:t xml:space="preserve">o(s), com ônus para o Detentor, ficando suspenso o pagamento da Nota Fiscal/Fatura correspondente.</w:t>
      </w:r>
      <w:r/>
    </w:p>
    <w:p>
      <w:pPr>
        <w:pBdr/>
        <w:spacing/>
        <w:ind/>
        <w:jc w:val="both"/>
        <w:rPr>
          <w:rFonts w:ascii="Arial" w:hAnsi="Arial"/>
          <w:b/>
          <w:highlight w:val="yellow"/>
        </w:rPr>
      </w:pPr>
      <w:r>
        <w:rPr>
          <w:rFonts w:ascii="Arial" w:hAnsi="Arial"/>
          <w:b/>
          <w:highlight w:val="yellow"/>
        </w:rPr>
      </w:r>
      <w:r>
        <w:rPr>
          <w:rFonts w:ascii="Arial" w:hAnsi="Arial"/>
          <w:b/>
          <w:highlight w:val="yellow"/>
        </w:rPr>
      </w:r>
      <w:r>
        <w:rPr>
          <w:rFonts w:ascii="Arial" w:hAnsi="Arial"/>
          <w:b/>
          <w:highlight w:val="yellow"/>
        </w:rPr>
      </w:r>
    </w:p>
    <w:p>
      <w:pPr>
        <w:pBdr/>
        <w:spacing/>
        <w:ind/>
        <w:jc w:val="both"/>
        <w:rPr>
          <w:rFonts w:ascii="Arial" w:hAnsi="Arial"/>
          <w:color w:val="000000"/>
        </w:rPr>
      </w:pPr>
      <w:r>
        <w:rPr>
          <w:rFonts w:ascii="Arial" w:hAnsi="Arial"/>
          <w:b/>
        </w:rPr>
        <w:t xml:space="preserve">CLÁUSULA OITAVA – </w:t>
      </w:r>
      <w:r>
        <w:rPr>
          <w:rFonts w:ascii="Arial" w:hAnsi="Arial"/>
          <w:b/>
          <w:color w:val="000000"/>
        </w:rPr>
        <w:t xml:space="preserve">DO REGIME DE EXECUÇÃO</w:t>
      </w:r>
      <w:r>
        <w:rPr>
          <w:rFonts w:ascii="Arial" w:hAnsi="Arial"/>
          <w:b/>
        </w:rPr>
        <w:t xml:space="preserve"> DO CONTRATO E RESULTADOS (</w:t>
      </w:r>
      <w:r>
        <w:rPr>
          <w:rFonts w:ascii="Arial" w:hAnsi="Arial"/>
          <w:b/>
          <w:color w:val="000000"/>
        </w:rPr>
        <w:t xml:space="preserve">Art. 40, Inciso II, Lei 14.133/2021):</w:t>
      </w:r>
      <w:r>
        <w:rPr>
          <w:rFonts w:ascii="Arial" w:hAnsi="Arial"/>
          <w:color w:val="000000"/>
        </w:rPr>
      </w:r>
      <w:r>
        <w:rPr>
          <w:rFonts w:ascii="Arial" w:hAnsi="Arial"/>
          <w:color w:val="000000"/>
        </w:rPr>
      </w:r>
    </w:p>
    <w:p>
      <w:pPr>
        <w:pStyle w:val="2038"/>
        <w:pBdr/>
        <w:spacing/>
        <w:ind/>
        <w:jc w:val="both"/>
        <w:rPr>
          <w:rFonts w:ascii="Arial" w:hAnsi="Arial"/>
          <w:b/>
          <w:bCs/>
          <w:sz w:val="20"/>
          <w:szCs w:val="20"/>
        </w:rPr>
      </w:pPr>
      <w:r>
        <w:rPr>
          <w:rFonts w:ascii="Arial" w:hAnsi="Arial"/>
          <w:b/>
          <w:bCs/>
          <w:sz w:val="20"/>
          <w:szCs w:val="20"/>
        </w:rPr>
      </w:r>
      <w:r>
        <w:rPr>
          <w:rFonts w:ascii="Arial" w:hAnsi="Arial"/>
          <w:b/>
          <w:bCs/>
          <w:sz w:val="20"/>
          <w:szCs w:val="20"/>
        </w:rPr>
      </w:r>
      <w:r>
        <w:rPr>
          <w:rFonts w:ascii="Arial" w:hAnsi="Arial"/>
          <w:b/>
          <w:bCs/>
          <w:sz w:val="20"/>
          <w:szCs w:val="20"/>
        </w:rPr>
      </w:r>
    </w:p>
    <w:p>
      <w:pPr>
        <w:pBdr/>
        <w:spacing/>
        <w:ind/>
        <w:jc w:val="both"/>
        <w:rPr>
          <w:rFonts w:ascii="Arial" w:hAnsi="Arial"/>
          <w:b/>
        </w:rPr>
      </w:pPr>
      <w:r>
        <w:rPr>
          <w:rFonts w:ascii="Arial" w:hAnsi="Arial"/>
          <w:b/>
        </w:rPr>
        <w:t xml:space="preserve">8.1. INDICAÇÃO DO LOCAL DE ENTREGA DOS MATERIAIS:</w:t>
      </w:r>
      <w:r>
        <w:rPr>
          <w:rFonts w:ascii="Arial" w:hAnsi="Arial"/>
          <w:b/>
        </w:rPr>
      </w:r>
      <w:r>
        <w:rPr>
          <w:rFonts w:ascii="Arial" w:hAnsi="Arial"/>
          <w:b/>
        </w:rP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bCs/>
        </w:rPr>
        <w:t xml:space="preserve">8.1.1. </w:t>
      </w:r>
      <w:r>
        <w:rPr>
          <w:rFonts w:ascii="Arial" w:hAnsi="Arial"/>
          <w:sz w:val="21"/>
          <w:szCs w:val="16"/>
          <w:lang w:val="pt-BR"/>
        </w:rPr>
        <w:t xml:space="preserve">A entrega dos p</w:t>
      </w:r>
      <w:r>
        <w:rPr>
          <w:rFonts w:ascii="Arial" w:hAnsi="Arial"/>
          <w:sz w:val="21"/>
          <w:szCs w:val="16"/>
          <w:lang w:val="pt-BR"/>
        </w:rPr>
        <w:t xml:space="preserve">rodutos deverá ser realizada em local designado no ato da solicitação, todas dentro do perímetro urbano de Rondonópolis-MT, mediante a apresentação das solicitações parciais por ordem de fornecimento ou instrumento equivalente emitido pelo Órgão Licitante.</w:t>
      </w:r>
      <w:r>
        <w:rPr>
          <w:rFonts w:ascii="Arial" w:hAnsi="Arial"/>
        </w:rPr>
      </w:r>
      <w:r>
        <w:rPr>
          <w:rFonts w:ascii="Arial" w:hAnsi="Arial"/>
        </w:rPr>
      </w:r>
    </w:p>
    <w:p>
      <w:pPr>
        <w:pStyle w:val="2038"/>
        <w:pBdr/>
        <w:spacing/>
        <w:ind/>
        <w:jc w:val="both"/>
        <w:rPr>
          <w:rFonts w:ascii="Arial" w:hAnsi="Arial" w:eastAsia="SimSun"/>
          <w:b/>
          <w:sz w:val="20"/>
          <w:szCs w:val="20"/>
          <w:lang w:bidi="ar-SA"/>
        </w:rPr>
      </w:pPr>
      <w:r>
        <w:rPr>
          <w:rFonts w:ascii="Arial" w:hAnsi="Arial" w:eastAsia="SimSun"/>
          <w:b/>
          <w:sz w:val="20"/>
          <w:szCs w:val="20"/>
          <w:lang w:bidi="ar-SA"/>
        </w:rPr>
      </w:r>
      <w:r>
        <w:rPr>
          <w:rFonts w:ascii="Arial" w:hAnsi="Arial" w:eastAsia="SimSun"/>
          <w:b/>
          <w:sz w:val="20"/>
          <w:szCs w:val="20"/>
          <w:lang w:bidi="ar-SA"/>
        </w:rPr>
      </w:r>
      <w:r>
        <w:rPr>
          <w:rFonts w:ascii="Arial" w:hAnsi="Arial" w:eastAsia="SimSun"/>
          <w:b/>
          <w:sz w:val="20"/>
          <w:szCs w:val="20"/>
          <w:lang w:bidi="ar-SA"/>
        </w:rPr>
      </w:r>
    </w:p>
    <w:p>
      <w:pPr>
        <w:pStyle w:val="2038"/>
        <w:pBdr/>
        <w:spacing/>
        <w:ind/>
        <w:jc w:val="both"/>
        <w:rPr>
          <w:rFonts w:ascii="Arial" w:hAnsi="Arial" w:eastAsia="SimSun"/>
          <w:b/>
          <w:sz w:val="20"/>
          <w:szCs w:val="20"/>
          <w:lang w:bidi="ar-SA"/>
        </w:rPr>
      </w:pPr>
      <w:r>
        <w:rPr>
          <w:rFonts w:ascii="Arial" w:hAnsi="Arial" w:eastAsia="SimSun"/>
          <w:b/>
          <w:sz w:val="20"/>
          <w:szCs w:val="20"/>
          <w:lang w:bidi="ar-SA"/>
        </w:rPr>
        <w:t xml:space="preserve">8.2. DAS REGRAS PARA RECEBIMENTOS PROVISÓRIO E DEFI</w:t>
      </w:r>
      <w:r>
        <w:rPr>
          <w:rFonts w:ascii="Arial" w:hAnsi="Arial" w:eastAsia="SimSun"/>
          <w:b/>
          <w:sz w:val="20"/>
          <w:szCs w:val="20"/>
          <w:lang w:bidi="ar-SA"/>
        </w:rPr>
        <w:t xml:space="preserve">NITIVO:</w:t>
      </w:r>
      <w:r>
        <w:rPr>
          <w:rFonts w:ascii="Arial" w:hAnsi="Arial" w:eastAsia="SimSun"/>
          <w:b/>
          <w:sz w:val="20"/>
          <w:szCs w:val="20"/>
          <w:lang w:bidi="ar-SA"/>
        </w:rPr>
      </w:r>
      <w:r>
        <w:rPr>
          <w:rFonts w:ascii="Arial" w:hAnsi="Arial" w:eastAsia="SimSun"/>
          <w:b/>
          <w:sz w:val="20"/>
          <w:szCs w:val="20"/>
          <w:lang w:bidi="ar-SA"/>
        </w:rPr>
      </w:r>
    </w:p>
    <w:p>
      <w:pPr>
        <w:pBdr/>
        <w:spacing/>
        <w:ind/>
        <w:jc w:val="both"/>
        <w:rPr>
          <w:rFonts w:ascii="Arial" w:hAnsi="Arial"/>
          <w:color w:val="000000"/>
          <w:sz w:val="16"/>
          <w:szCs w:val="16"/>
        </w:rPr>
      </w:pPr>
      <w:r>
        <w:rPr>
          <w:rFonts w:ascii="Arial" w:hAnsi="Arial"/>
          <w:color w:val="000000"/>
          <w:sz w:val="16"/>
          <w:szCs w:val="16"/>
        </w:rPr>
      </w:r>
      <w:r>
        <w:rPr>
          <w:rFonts w:ascii="Arial" w:hAnsi="Arial"/>
          <w:color w:val="000000"/>
          <w:sz w:val="16"/>
          <w:szCs w:val="16"/>
        </w:rPr>
      </w:r>
      <w:r>
        <w:rPr>
          <w:rFonts w:ascii="Arial" w:hAnsi="Arial"/>
          <w:color w:val="000000"/>
          <w:sz w:val="16"/>
          <w:szCs w:val="16"/>
        </w:rPr>
      </w:r>
    </w:p>
    <w:p>
      <w:pPr>
        <w:pBdr/>
        <w:spacing/>
        <w:ind/>
        <w:jc w:val="both"/>
        <w:rPr>
          <w:rFonts w:ascii="Arial" w:hAnsi="Arial"/>
        </w:rPr>
      </w:pPr>
      <w:r>
        <w:rPr>
          <w:rFonts w:ascii="Arial" w:hAnsi="Arial"/>
          <w:b/>
          <w:bCs/>
        </w:rPr>
        <w:t xml:space="preserve">8.2.1. Recebimento Provisório: </w:t>
      </w:r>
      <w:r>
        <w:rPr>
          <w:rFonts w:ascii="Arial" w:hAnsi="Arial"/>
        </w:rPr>
        <w:t xml:space="preserve">Os produtos objeto da presente contratação serão recebidos provisoriamente no ato da entrega, mediante apresentação da Nota Fiscal ou outro instrumento de cobrança equivalente, pelo responsável pelo acompanhamento e</w:t>
      </w:r>
      <w:r>
        <w:rPr>
          <w:rFonts w:ascii="Arial" w:hAnsi="Arial"/>
        </w:rPr>
        <w:t xml:space="preserve"> fiscalização do contrato. Este recebimento terá caráter </w:t>
      </w:r>
      <w:r>
        <w:rPr>
          <w:rFonts w:ascii="Arial" w:hAnsi="Arial"/>
          <w:b/>
          <w:bCs/>
        </w:rPr>
        <w:t xml:space="preserve">provisório</w:t>
      </w:r>
      <w:r>
        <w:rPr>
          <w:rFonts w:ascii="Arial" w:hAnsi="Arial"/>
        </w:rPr>
        <w:t xml:space="preserve">, servindo para verificação inicial da conformidade com as especificações do Termo de Referência e da proposta vencedora.</w:t>
      </w:r>
      <w:r>
        <w:rPr>
          <w:rFonts w:ascii="Arial" w:hAnsi="Arial"/>
        </w:rPr>
      </w:r>
      <w:r>
        <w:rPr>
          <w:rFonts w:ascii="Arial" w:hAnsi="Arial"/>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14:ligatures w14:val="none"/>
        </w:rPr>
      </w:pPr>
      <w:r>
        <w:rPr>
          <w:rFonts w:ascii="Arial" w:hAnsi="Arial"/>
          <w:b/>
          <w:bCs/>
        </w:rPr>
        <w:t xml:space="preserve">8.2.2. </w:t>
      </w:r>
      <w:r>
        <w:rPr>
          <w:rFonts w:ascii="Arial" w:hAnsi="Arial"/>
        </w:rPr>
        <w:t xml:space="preserve"> </w:t>
      </w:r>
      <w:r>
        <w:rPr>
          <w:rFonts w:ascii="Arial" w:hAnsi="Arial"/>
          <w:b/>
          <w:bCs/>
          <w:lang w:val="pt-BR"/>
        </w:rPr>
        <w:t xml:space="preserve">R</w:t>
      </w:r>
      <w:r>
        <w:rPr>
          <w:rFonts w:ascii="Arial" w:hAnsi="Arial"/>
          <w:b/>
          <w:bCs/>
        </w:rPr>
        <w:t xml:space="preserve">ecebimento definitivo</w:t>
      </w:r>
      <w:r>
        <w:rPr>
          <w:rFonts w:ascii="Arial" w:hAnsi="Arial"/>
        </w:rPr>
        <w:t xml:space="preserve"> ocorrerá após a verificação da conformidade do produto com as especificações do Edital, do Termo de Referência e da proposta contratada, especialmente quanto à descrição, volume, integridade das embalagens, identificação do lote, da</w:t>
      </w:r>
      <w:r>
        <w:rPr>
          <w:rFonts w:ascii="Arial" w:hAnsi="Arial"/>
        </w:rPr>
        <w:t xml:space="preserve">ta de fabricação, prazo de validade e demais requisitos técnicos exigidos.</w:t>
      </w:r>
      <w:r>
        <w:rPr>
          <w:rFonts w:ascii="Arial" w:hAnsi="Arial"/>
          <w14:ligatures w14:val="none"/>
        </w:rPr>
      </w:r>
      <w:r>
        <w:rPr>
          <w:rFonts w:ascii="Arial" w:hAnsi="Arial"/>
          <w14:ligatures w14:val="none"/>
        </w:rPr>
      </w:r>
    </w:p>
    <w:p>
      <w:pPr>
        <w:pBdr/>
        <w:tabs>
          <w:tab w:val="left" w:leader="none" w:pos="720"/>
        </w:tabs>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14:ligatures w14:val="none"/>
        </w:rPr>
      </w:pPr>
      <w:r>
        <w:rPr>
          <w:rFonts w:ascii="Arial" w:hAnsi="Arial"/>
        </w:rPr>
      </w:r>
      <w:r>
        <w:rPr>
          <w:rFonts w:ascii="Arial" w:hAnsi="Arial"/>
          <w:b/>
          <w:bCs/>
        </w:rPr>
        <w:t xml:space="preserve">8.2.3.</w:t>
      </w:r>
      <w:r>
        <w:rPr>
          <w:rFonts w:ascii="Arial" w:hAnsi="Arial"/>
        </w:rPr>
        <w:t xml:space="preserve"> Caso o produto não atenda, total ou parcialmente, às exigências contratuais, será recusado e deverá ser substituído integralmente pela contratada, sem ônus para a Administração, no prazo máximo de 1 (um) dia útil, contado da notificação.</w:t>
      </w:r>
      <w:r>
        <w:rPr>
          <w:rFonts w:ascii="Arial" w:hAnsi="Arial"/>
          <w14:ligatures w14:val="none"/>
        </w:rPr>
      </w:r>
      <w:r>
        <w:rPr>
          <w:rFonts w:ascii="Arial" w:hAnsi="Arial"/>
          <w14:ligatures w14:val="none"/>
        </w:rPr>
      </w:r>
    </w:p>
    <w:p w14:paraId="20729C16">
      <w:pPr>
        <w:pBdr/>
        <w:spacing/>
        <w:ind/>
        <w:jc w:val="both"/>
        <w:rPr>
          <w:rFonts w:ascii="Arial" w:hAnsi="Arial"/>
          <w14:ligatures w14:val="none"/>
        </w:rPr>
      </w:pPr>
      <w:r>
        <w:rPr>
          <w:rFonts w:ascii="Arial" w:hAnsi="Arial"/>
        </w:rPr>
        <w:br/>
      </w:r>
      <w:r>
        <w:rPr>
          <w:rFonts w:ascii="Arial" w:hAnsi="Arial"/>
          <w:b/>
          <w:bCs/>
        </w:rPr>
        <w:t xml:space="preserve">8.2.4.</w:t>
      </w:r>
      <w:r>
        <w:rPr>
          <w:rFonts w:ascii="Arial" w:hAnsi="Arial"/>
        </w:rPr>
        <w:t xml:space="preserve"> O pa</w:t>
      </w:r>
      <w:r>
        <w:rPr>
          <w:rFonts w:ascii="Arial" w:hAnsi="Arial"/>
        </w:rPr>
        <w:t xml:space="preserve">gamento será devido exclusivamente em relação aos produtos efetivamente entregues e definitivamente recebidos, conforme os valores unitários contratados.</w:t>
      </w:r>
      <w:r>
        <w:rPr>
          <w:rFonts w:ascii="Arial" w:hAnsi="Arial"/>
          <w14:ligatures w14:val="none"/>
        </w:rPr>
      </w:r>
      <w:r>
        <w:rPr>
          <w:rFonts w:ascii="Arial" w:hAnsi="Arial"/>
          <w14:ligatures w14:val="none"/>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color w:val="000000" w:themeColor="text1"/>
        </w:rPr>
      </w:pPr>
      <w:r>
        <w:rPr>
          <w:rFonts w:ascii="Arial" w:hAnsi="Arial"/>
          <w:b/>
          <w:color w:val="000000" w:themeColor="text1"/>
          <w:u w:val="single"/>
        </w:rPr>
        <w:t xml:space="preserve">8.3. DAS CARACTERÍSTICAS DOS </w:t>
      </w:r>
      <w:r>
        <w:rPr>
          <w:rFonts w:ascii="Arial" w:hAnsi="Arial"/>
          <w:b/>
          <w:color w:val="000000" w:themeColor="text1"/>
          <w:u w:val="single"/>
        </w:rPr>
        <w:t xml:space="preserve">PRODUTOS</w:t>
      </w:r>
      <w:r>
        <w:rPr>
          <w:rFonts w:ascii="Arial" w:hAnsi="Arial"/>
          <w:b/>
          <w:color w:val="000000" w:themeColor="text1"/>
        </w:rPr>
        <w:t xml:space="preserve">:</w:t>
      </w:r>
      <w:r>
        <w:rPr>
          <w:color w:val="000000" w:themeColor="text1"/>
        </w:rPr>
      </w:r>
      <w:r>
        <w:rPr>
          <w:color w:val="000000" w:themeColor="text1"/>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iCs/>
        </w:rPr>
      </w:pPr>
      <w:r>
        <w:rPr>
          <w:rFonts w:ascii="Arial" w:hAnsi="Arial"/>
          <w:b/>
          <w:bCs/>
        </w:rPr>
        <w:t xml:space="preserve">8.3.1.</w:t>
      </w:r>
      <w:r>
        <w:rPr>
          <w:rFonts w:ascii="Arial" w:hAnsi="Arial"/>
        </w:rPr>
        <w:t xml:space="preserve"> Os produtos </w:t>
      </w:r>
      <w:r>
        <w:rPr>
          <w:rFonts w:ascii="Arial" w:hAnsi="Arial"/>
          <w:iCs/>
        </w:rPr>
        <w:t xml:space="preserve">referidos deverão atender integralmente às especificações técnicas constantes no edital e em seus anexos, em conformidade com a legislação vigente e a literatura técnica de referência aplicável.</w:t>
      </w:r>
      <w:r>
        <w:rPr>
          <w:rFonts w:ascii="Arial" w:hAnsi="Arial"/>
          <w:iCs/>
        </w:rPr>
      </w:r>
      <w:r>
        <w:rPr>
          <w:rFonts w:ascii="Arial" w:hAnsi="Arial"/>
          <w:iCs/>
        </w:rPr>
      </w:r>
    </w:p>
    <w:p>
      <w:pPr>
        <w:pBdr/>
        <w:spacing/>
        <w:ind/>
        <w:jc w:val="both"/>
        <w:rPr>
          <w:rFonts w:ascii="Arial" w:hAnsi="Arial"/>
          <w:iCs/>
        </w:rPr>
      </w:pPr>
      <w:r>
        <w:rPr>
          <w:rFonts w:ascii="Arial" w:hAnsi="Arial"/>
          <w:iCs/>
        </w:rPr>
      </w:r>
      <w:r>
        <w:rPr>
          <w:rFonts w:ascii="Arial" w:hAnsi="Arial"/>
          <w:iCs/>
        </w:rPr>
      </w:r>
      <w:r>
        <w:rPr>
          <w:rFonts w:ascii="Arial" w:hAnsi="Arial"/>
          <w:iCs/>
        </w:rPr>
      </w:r>
    </w:p>
    <w:p>
      <w:pPr>
        <w:pBdr/>
        <w:spacing/>
        <w:ind/>
        <w:jc w:val="both"/>
        <w:rPr>
          <w:rFonts w:ascii="Arial" w:hAnsi="Arial"/>
          <w14:ligatures w14:val="none"/>
        </w:rPr>
      </w:pPr>
      <w:r>
        <w:rPr>
          <w:rFonts w:ascii="Arial" w:hAnsi="Arial"/>
        </w:rPr>
      </w:r>
      <w:r>
        <w:rPr>
          <w:rFonts w:ascii="Arial" w:hAnsi="Arial"/>
          <w:b/>
          <w:bCs/>
        </w:rPr>
        <w:t xml:space="preserve">8.3.2.</w:t>
      </w:r>
      <w:r>
        <w:rPr>
          <w:rFonts w:ascii="Arial" w:hAnsi="Arial"/>
        </w:rPr>
        <w:t xml:space="preserve"> Os produtos deverão ser novos, de primeiro fornecimento, acondicionados em embalagens íntegras, adequadas ao transporte e armazenamento, e com prazo de validade mínimo exigido no Termo de Referência.</w:t>
        <w:br/>
      </w:r>
      <w:r>
        <w:rPr>
          <w:rFonts w:ascii="Arial" w:hAnsi="Arial"/>
          <w14:ligatures w14:val="none"/>
        </w:rPr>
      </w:r>
      <w:r>
        <w:rPr>
          <w:rFonts w:ascii="Arial" w:hAnsi="Arial"/>
          <w14:ligatures w14:val="none"/>
        </w:rPr>
      </w:r>
    </w:p>
    <w:p w14:paraId="33B3F448">
      <w:pPr>
        <w:pBdr/>
        <w:spacing/>
        <w:ind/>
        <w:jc w:val="both"/>
        <w:rPr>
          <w:rFonts w:ascii="Arial" w:hAnsi="Arial"/>
          <w14:ligatures w14:val="none"/>
        </w:rPr>
      </w:pPr>
      <w:r>
        <w:rPr>
          <w:rFonts w:ascii="Arial" w:hAnsi="Arial"/>
          <w:b/>
          <w:bCs/>
        </w:rPr>
        <w:t xml:space="preserve">8.3.3.</w:t>
      </w:r>
      <w:r>
        <w:rPr>
          <w:rFonts w:ascii="Arial" w:hAnsi="Arial"/>
        </w:rPr>
        <w:t xml:space="preserve"> Sempre que cabível, os produtos deverão ap</w:t>
      </w:r>
      <w:r>
        <w:rPr>
          <w:rFonts w:ascii="Arial" w:hAnsi="Arial"/>
        </w:rPr>
        <w:t xml:space="preserve">resentar identificação clara do fabricante, lote, data de fabricação, prazo de validade e demais informações obrigatórias para sua rastreabilidade e conferência no recebimento.”</w:t>
      </w:r>
      <w:r>
        <w:rPr>
          <w:rFonts w:ascii="Arial" w:hAnsi="Arial"/>
          <w14:ligatures w14:val="none"/>
        </w:rPr>
      </w:r>
      <w:r>
        <w:rPr>
          <w:rFonts w:ascii="Arial" w:hAnsi="Arial"/>
          <w14:ligatures w14:val="none"/>
        </w:rPr>
      </w:r>
    </w:p>
    <w:p>
      <w:pPr>
        <w:pBdr/>
        <w:spacing/>
        <w:ind/>
        <w:jc w:val="both"/>
        <w:rPr>
          <w:rFonts w:ascii="Arial" w:hAnsi="Arial"/>
          <w14:ligatures w14:val="none"/>
        </w:rPr>
      </w:pPr>
      <w:r>
        <w:rPr>
          <w:rFonts w:ascii="Arial" w:hAnsi="Arial"/>
        </w:rPr>
      </w:r>
      <w:r>
        <w:rPr>
          <w:rFonts w:ascii="Arial" w:hAnsi="Arial"/>
          <w14:ligatures w14:val="none"/>
        </w:rPr>
      </w:r>
      <w:r>
        <w:rPr>
          <w:rFonts w:ascii="Arial" w:hAnsi="Arial"/>
          <w14:ligatures w14:val="none"/>
        </w:rPr>
      </w:r>
    </w:p>
    <w:p>
      <w:pPr>
        <w:pBdr/>
        <w:spacing/>
        <w:ind/>
        <w:jc w:val="both"/>
        <w:rPr>
          <w:rFonts w:ascii="Arial" w:hAnsi="Arial"/>
          <w14:ligatures w14:val="none"/>
        </w:rPr>
      </w:pPr>
      <w:r>
        <w:rPr>
          <w:rFonts w:ascii="Arial" w:hAnsi="Arial"/>
          <w:b/>
          <w:bCs/>
        </w:rPr>
        <w:t xml:space="preserve">8.3.4.</w:t>
      </w:r>
      <w:r>
        <w:rPr>
          <w:rFonts w:ascii="Arial" w:hAnsi="Arial"/>
        </w:rPr>
        <w:t xml:space="preserve"> Sempre que aplicável, os</w:t>
      </w:r>
      <w:r>
        <w:rPr>
          <w:rFonts w:ascii="Arial" w:hAnsi="Arial"/>
          <w:lang w:val="pt-BR"/>
        </w:rPr>
        <w:t xml:space="preserve"> produtos</w:t>
      </w:r>
      <w:r>
        <w:rPr>
          <w:rFonts w:ascii="Arial" w:hAnsi="Arial"/>
        </w:rPr>
        <w:t xml:space="preserve"> deverão apresentar certificações de conformidade técnica emitidas por órgãos oficialmente reconhecidos, tais como o INMETRO ou equivalente, bem como atender às Normas Reg</w:t>
      </w:r>
      <w:r>
        <w:rPr>
          <w:rFonts w:ascii="Arial" w:hAnsi="Arial"/>
        </w:rPr>
        <w:t xml:space="preserve">ulamentadoras (NRs) do Ministério do Trabalho, especialmente aquelas relacionadas à segurança do operador.</w:t>
      </w:r>
      <w:r>
        <w:rPr>
          <w:rFonts w:ascii="Arial" w:hAnsi="Arial"/>
          <w14:ligatures w14:val="none"/>
        </w:rPr>
      </w:r>
      <w:r>
        <w:rPr>
          <w:rFonts w:ascii="Arial" w:hAnsi="Arial"/>
          <w14:ligatures w14:val="none"/>
        </w:rPr>
      </w:r>
    </w:p>
    <w:p>
      <w:pPr>
        <w:pBdr/>
        <w:spacing/>
        <w:ind/>
        <w:jc w:val="both"/>
        <w:rPr>
          <w:rFonts w:ascii="Arial" w:hAnsi="Arial"/>
        </w:rPr>
      </w:pPr>
      <w:r>
        <w:rPr>
          <w:rFonts w:ascii="Arial" w:hAnsi="Arial"/>
        </w:rPr>
      </w:r>
      <w:r>
        <w:rPr>
          <w:rFonts w:ascii="Arial" w:hAnsi="Arial"/>
        </w:rPr>
      </w:r>
      <w:r>
        <w:rPr>
          <w:rFonts w:ascii="Arial" w:hAnsi="Arial"/>
        </w:rPr>
      </w:r>
    </w:p>
    <w:p>
      <w:pPr>
        <w:pStyle w:val="2038"/>
        <w:pBdr/>
        <w:spacing/>
        <w:ind/>
        <w:jc w:val="both"/>
        <w:rPr>
          <w:rFonts w:ascii="Arial" w:hAnsi="Arial"/>
          <w:b/>
          <w:sz w:val="20"/>
          <w:szCs w:val="20"/>
        </w:rPr>
      </w:pPr>
      <w:r>
        <w:rPr>
          <w:rFonts w:ascii="Arial" w:hAnsi="Arial"/>
          <w:b/>
          <w:bCs/>
          <w:sz w:val="20"/>
          <w:szCs w:val="20"/>
          <w:u w:val="single"/>
        </w:rPr>
        <w:t xml:space="preserve">8.4.</w:t>
      </w:r>
      <w:r>
        <w:rPr>
          <w:rFonts w:ascii="Arial" w:hAnsi="Arial"/>
          <w:b/>
          <w:sz w:val="20"/>
          <w:szCs w:val="20"/>
          <w:u w:val="single"/>
        </w:rPr>
        <w:t xml:space="preserve"> DO TRANSPORTE</w:t>
      </w:r>
      <w:r>
        <w:rPr>
          <w:rFonts w:ascii="Arial" w:hAnsi="Arial"/>
          <w:b/>
          <w:sz w:val="20"/>
          <w:szCs w:val="20"/>
        </w:rPr>
        <w:t xml:space="preserve">: </w:t>
      </w:r>
      <w:r>
        <w:rPr>
          <w:rFonts w:ascii="Arial" w:hAnsi="Arial"/>
          <w:b/>
          <w:sz w:val="20"/>
          <w:szCs w:val="20"/>
        </w:rPr>
      </w:r>
      <w:r>
        <w:rPr>
          <w:rFonts w:ascii="Arial" w:hAnsi="Arial"/>
          <w:b/>
          <w:sz w:val="20"/>
          <w:szCs w:val="20"/>
        </w:rPr>
      </w:r>
    </w:p>
    <w:p>
      <w:pPr>
        <w:pStyle w:val="2038"/>
        <w:pBdr/>
        <w:spacing/>
        <w:ind/>
        <w:jc w:val="both"/>
        <w:rPr>
          <w:rFonts w:ascii="Arial" w:hAnsi="Arial"/>
          <w:b/>
          <w:sz w:val="20"/>
          <w:szCs w:val="20"/>
          <w:u w:val="single"/>
        </w:rPr>
      </w:pPr>
      <w:r>
        <w:rPr>
          <w:rFonts w:ascii="Arial" w:hAnsi="Arial"/>
          <w:b/>
          <w:sz w:val="20"/>
          <w:szCs w:val="20"/>
          <w:u w:val="single"/>
        </w:rPr>
      </w:r>
      <w:r>
        <w:rPr>
          <w:rFonts w:ascii="Arial" w:hAnsi="Arial"/>
          <w:b/>
          <w:sz w:val="20"/>
          <w:szCs w:val="20"/>
          <w:u w:val="single"/>
        </w:rPr>
      </w:r>
      <w:r>
        <w:rPr>
          <w:rFonts w:ascii="Arial" w:hAnsi="Arial"/>
          <w:b/>
          <w:sz w:val="20"/>
          <w:szCs w:val="20"/>
          <w:u w:val="single"/>
        </w:rPr>
      </w:r>
    </w:p>
    <w:p>
      <w:pPr>
        <w:pStyle w:val="2038"/>
        <w:pBdr/>
        <w:spacing/>
        <w:ind/>
        <w:jc w:val="both"/>
        <w:rPr>
          <w:rFonts w:ascii="Arial" w:hAnsi="Arial"/>
          <w:color w:val="000000"/>
          <w:sz w:val="20"/>
          <w:szCs w:val="20"/>
        </w:rPr>
      </w:pPr>
      <w:r>
        <w:rPr>
          <w:rFonts w:ascii="Arial" w:hAnsi="Arial"/>
          <w:b/>
          <w:bCs/>
          <w:color w:val="000000"/>
          <w:sz w:val="20"/>
          <w:szCs w:val="20"/>
        </w:rPr>
        <w:t xml:space="preserve">8.4.1.</w:t>
      </w:r>
      <w:r>
        <w:rPr>
          <w:rFonts w:ascii="Arial" w:hAnsi="Arial"/>
          <w:color w:val="000000"/>
          <w:sz w:val="20"/>
          <w:szCs w:val="20"/>
        </w:rPr>
        <w:t xml:space="preserve"> A contratada será responsável pelo transporte dos bens, desde o local de origem até o endereço indicado pela contratante.</w:t>
      </w:r>
      <w:r>
        <w:rPr>
          <w:rFonts w:ascii="Arial" w:hAnsi="Arial"/>
          <w:color w:val="000000"/>
          <w:sz w:val="20"/>
          <w:szCs w:val="20"/>
        </w:rPr>
      </w:r>
      <w:r>
        <w:rPr>
          <w:rFonts w:ascii="Arial" w:hAnsi="Arial"/>
          <w:color w:val="000000"/>
          <w:sz w:val="20"/>
          <w:szCs w:val="20"/>
        </w:rPr>
      </w:r>
    </w:p>
    <w:p>
      <w:pPr>
        <w:pStyle w:val="2038"/>
        <w:pBdr/>
        <w:spacing/>
        <w:ind/>
        <w:jc w:val="both"/>
        <w:rPr>
          <w:rFonts w:ascii="Arial" w:hAnsi="Arial"/>
          <w:b/>
          <w:bCs/>
          <w:color w:val="000000"/>
          <w:sz w:val="20"/>
          <w:szCs w:val="20"/>
        </w:rPr>
      </w:pPr>
      <w:r>
        <w:rPr>
          <w:rFonts w:ascii="Arial" w:hAnsi="Arial"/>
          <w:b/>
          <w:bCs/>
          <w:color w:val="000000"/>
          <w:sz w:val="20"/>
          <w:szCs w:val="20"/>
        </w:rPr>
      </w:r>
      <w:r>
        <w:rPr>
          <w:rFonts w:ascii="Arial" w:hAnsi="Arial"/>
          <w:b/>
          <w:bCs/>
          <w:color w:val="000000"/>
          <w:sz w:val="20"/>
          <w:szCs w:val="20"/>
        </w:rPr>
      </w:r>
      <w:r>
        <w:rPr>
          <w:rFonts w:ascii="Arial" w:hAnsi="Arial"/>
          <w:b/>
          <w:bCs/>
          <w:color w:val="000000"/>
          <w:sz w:val="20"/>
          <w:szCs w:val="20"/>
        </w:rPr>
      </w:r>
    </w:p>
    <w:p>
      <w:pPr>
        <w:pStyle w:val="2038"/>
        <w:pBdr/>
        <w:spacing/>
        <w:ind/>
        <w:jc w:val="both"/>
        <w:rPr>
          <w:rFonts w:ascii="Arial" w:hAnsi="Arial"/>
          <w:color w:val="000000"/>
          <w:sz w:val="20"/>
          <w:szCs w:val="20"/>
        </w:rPr>
      </w:pPr>
      <w:r>
        <w:rPr>
          <w:rFonts w:ascii="Arial" w:hAnsi="Arial"/>
          <w:b/>
          <w:bCs/>
          <w:color w:val="000000"/>
          <w:sz w:val="20"/>
          <w:szCs w:val="20"/>
        </w:rPr>
        <w:t xml:space="preserve">8.4.2.</w:t>
      </w:r>
      <w:r>
        <w:rPr>
          <w:rFonts w:ascii="Arial" w:hAnsi="Arial"/>
          <w:color w:val="000000"/>
          <w:sz w:val="20"/>
          <w:szCs w:val="20"/>
        </w:rPr>
        <w:t xml:space="preserve"> O transporte deverá ser realizado em conformidade com as normas técnicas e regulamentações vigentes aplicáveis ao deslocament</w:t>
      </w:r>
      <w:r>
        <w:rPr>
          <w:rFonts w:ascii="Arial" w:hAnsi="Arial"/>
          <w:color w:val="000000"/>
          <w:sz w:val="20"/>
          <w:szCs w:val="20"/>
        </w:rPr>
        <w:t xml:space="preserve">o do objeto apresentado em sua proposta, observando integralmente a legislação pertinente ao objeto contratual.</w:t>
      </w:r>
      <w:r>
        <w:rPr>
          <w:rFonts w:ascii="Arial" w:hAnsi="Arial"/>
          <w:color w:val="000000"/>
          <w:sz w:val="20"/>
          <w:szCs w:val="20"/>
        </w:rPr>
      </w:r>
      <w:r>
        <w:rPr>
          <w:rFonts w:ascii="Arial" w:hAnsi="Arial"/>
          <w:color w:val="000000"/>
          <w:sz w:val="20"/>
          <w:szCs w:val="20"/>
        </w:rPr>
      </w:r>
    </w:p>
    <w:p>
      <w:pPr>
        <w:pStyle w:val="2038"/>
        <w:pBdr/>
        <w:spacing/>
        <w:ind/>
        <w:jc w:val="both"/>
        <w:rPr>
          <w:rFonts w:ascii="Arial" w:hAnsi="Arial"/>
          <w:b/>
          <w:bCs/>
          <w:color w:val="000000"/>
          <w:sz w:val="20"/>
          <w:szCs w:val="20"/>
        </w:rPr>
      </w:pPr>
      <w:r>
        <w:rPr>
          <w:rFonts w:ascii="Arial" w:hAnsi="Arial"/>
          <w:b/>
          <w:bCs/>
          <w:color w:val="000000"/>
          <w:sz w:val="20"/>
          <w:szCs w:val="20"/>
        </w:rPr>
      </w:r>
      <w:r>
        <w:rPr>
          <w:rFonts w:ascii="Arial" w:hAnsi="Arial"/>
          <w:b/>
          <w:bCs/>
          <w:color w:val="000000"/>
          <w:sz w:val="20"/>
          <w:szCs w:val="20"/>
        </w:rPr>
      </w:r>
      <w:r>
        <w:rPr>
          <w:rFonts w:ascii="Arial" w:hAnsi="Arial"/>
          <w:b/>
          <w:bCs/>
          <w:color w:val="000000"/>
          <w:sz w:val="20"/>
          <w:szCs w:val="20"/>
        </w:rPr>
      </w:r>
    </w:p>
    <w:p>
      <w:pPr>
        <w:pStyle w:val="2038"/>
        <w:pBdr/>
        <w:spacing/>
        <w:ind/>
        <w:jc w:val="both"/>
        <w:rPr>
          <w:rFonts w:ascii="Arial" w:hAnsi="Arial"/>
          <w:color w:val="000000"/>
          <w:sz w:val="20"/>
          <w:szCs w:val="20"/>
        </w:rPr>
      </w:pPr>
      <w:r>
        <w:rPr>
          <w:rFonts w:ascii="Arial" w:hAnsi="Arial"/>
          <w:b/>
          <w:bCs/>
          <w:color w:val="000000"/>
          <w:sz w:val="20"/>
          <w:szCs w:val="20"/>
        </w:rPr>
        <w:t xml:space="preserve">8.4.3.</w:t>
      </w:r>
      <w:r>
        <w:rPr>
          <w:rFonts w:ascii="Arial" w:hAnsi="Arial"/>
          <w:color w:val="000000"/>
          <w:sz w:val="20"/>
          <w:szCs w:val="20"/>
        </w:rPr>
        <w:t xml:space="preserve"> Compete à contratada assegurar que os bens sejam entregues em perfeitas condições de conservação, livres de danos, avari</w:t>
      </w:r>
      <w:r>
        <w:rPr>
          <w:rFonts w:ascii="Arial" w:hAnsi="Arial"/>
          <w:color w:val="000000"/>
          <w:sz w:val="20"/>
          <w:szCs w:val="20"/>
        </w:rPr>
        <w:t xml:space="preserve">as ou prejuízos, em estrita observância às disposições constantes no edital e seus anexos, bem como aos princípios de segurança, eficiência e integridade da carga.</w:t>
      </w:r>
      <w:r>
        <w:rPr>
          <w:rFonts w:ascii="Arial" w:hAnsi="Arial"/>
          <w:color w:val="000000"/>
          <w:sz w:val="20"/>
          <w:szCs w:val="20"/>
        </w:rPr>
      </w:r>
      <w:r>
        <w:rPr>
          <w:rFonts w:ascii="Arial" w:hAnsi="Arial"/>
          <w:color w:val="000000"/>
          <w:sz w:val="20"/>
          <w:szCs w:val="20"/>
        </w:rPr>
      </w:r>
    </w:p>
    <w:p>
      <w:pPr>
        <w:pStyle w:val="2038"/>
        <w:pBdr/>
        <w:spacing/>
        <w:ind/>
        <w:jc w:val="both"/>
        <w:rPr>
          <w:rFonts w:ascii="Arial" w:hAnsi="Arial"/>
          <w:b/>
          <w:bCs/>
          <w:color w:val="000000"/>
          <w:sz w:val="20"/>
          <w:szCs w:val="20"/>
        </w:rPr>
      </w:pPr>
      <w:r>
        <w:rPr>
          <w:rFonts w:ascii="Arial" w:hAnsi="Arial"/>
          <w:b/>
          <w:bCs/>
          <w:color w:val="000000"/>
          <w:sz w:val="20"/>
          <w:szCs w:val="20"/>
        </w:rPr>
      </w:r>
      <w:r>
        <w:rPr>
          <w:rFonts w:ascii="Arial" w:hAnsi="Arial"/>
          <w:b/>
          <w:bCs/>
          <w:color w:val="000000"/>
          <w:sz w:val="20"/>
          <w:szCs w:val="20"/>
        </w:rPr>
      </w:r>
      <w:r>
        <w:rPr>
          <w:rFonts w:ascii="Arial" w:hAnsi="Arial"/>
          <w:b/>
          <w:bCs/>
          <w:color w:val="000000"/>
          <w:sz w:val="20"/>
          <w:szCs w:val="20"/>
        </w:rPr>
      </w:r>
    </w:p>
    <w:p>
      <w:pPr>
        <w:pStyle w:val="2038"/>
        <w:pBdr/>
        <w:spacing/>
        <w:ind/>
        <w:jc w:val="both"/>
        <w:rPr>
          <w:rFonts w:ascii="Arial" w:hAnsi="Arial"/>
          <w:color w:val="000000"/>
          <w:sz w:val="20"/>
          <w:szCs w:val="20"/>
        </w:rPr>
      </w:pPr>
      <w:r>
        <w:rPr>
          <w:rFonts w:ascii="Arial" w:hAnsi="Arial"/>
          <w:b/>
          <w:bCs/>
          <w:color w:val="000000"/>
          <w:sz w:val="20"/>
          <w:szCs w:val="20"/>
        </w:rPr>
        <w:t xml:space="preserve">8.4.3.1.</w:t>
      </w:r>
      <w:r>
        <w:rPr>
          <w:rFonts w:ascii="Arial" w:hAnsi="Arial"/>
          <w:color w:val="000000"/>
          <w:sz w:val="20"/>
          <w:szCs w:val="20"/>
        </w:rPr>
        <w:t xml:space="preserve"> A carga deverá ser devidamente acondicionada e fixada de modo a evitar qualquer ti</w:t>
      </w:r>
      <w:r>
        <w:rPr>
          <w:rFonts w:ascii="Arial" w:hAnsi="Arial"/>
          <w:color w:val="000000"/>
          <w:sz w:val="20"/>
          <w:szCs w:val="20"/>
        </w:rPr>
        <w:t xml:space="preserve">po de dano durante o transporte. Caso sejam constatadas avarias no momento da entrega, os bens poderão ser recusados pela contratante, sem prejuízo das demais penalidades cabíveis.</w:t>
      </w:r>
      <w:r>
        <w:rPr>
          <w:rFonts w:ascii="Arial" w:hAnsi="Arial"/>
          <w:color w:val="000000"/>
          <w:sz w:val="20"/>
          <w:szCs w:val="20"/>
        </w:rPr>
      </w:r>
      <w:r>
        <w:rPr>
          <w:rFonts w:ascii="Arial" w:hAnsi="Arial"/>
          <w:color w:val="000000"/>
          <w:sz w:val="20"/>
          <w:szCs w:val="20"/>
        </w:rPr>
      </w:r>
    </w:p>
    <w:p>
      <w:pPr>
        <w:pStyle w:val="2038"/>
        <w:pBdr/>
        <w:spacing/>
        <w:ind/>
        <w:jc w:val="both"/>
        <w:rPr>
          <w:rFonts w:ascii="Arial" w:hAnsi="Arial"/>
          <w:b/>
          <w:bCs/>
          <w:color w:val="000000"/>
          <w:sz w:val="20"/>
          <w:szCs w:val="20"/>
        </w:rPr>
      </w:pPr>
      <w:r>
        <w:rPr>
          <w:rFonts w:ascii="Arial" w:hAnsi="Arial"/>
          <w:b/>
          <w:bCs/>
          <w:color w:val="000000"/>
          <w:sz w:val="20"/>
          <w:szCs w:val="20"/>
        </w:rPr>
      </w:r>
      <w:r>
        <w:rPr>
          <w:rFonts w:ascii="Arial" w:hAnsi="Arial"/>
          <w:b/>
          <w:bCs/>
          <w:color w:val="000000"/>
          <w:sz w:val="20"/>
          <w:szCs w:val="20"/>
        </w:rPr>
      </w:r>
      <w:r>
        <w:rPr>
          <w:rFonts w:ascii="Arial" w:hAnsi="Arial"/>
          <w:b/>
          <w:bCs/>
          <w:color w:val="000000"/>
          <w:sz w:val="20"/>
          <w:szCs w:val="20"/>
        </w:rPr>
      </w:r>
    </w:p>
    <w:p>
      <w:pPr>
        <w:pStyle w:val="2038"/>
        <w:pBdr/>
        <w:spacing/>
        <w:ind/>
        <w:jc w:val="both"/>
        <w:rPr>
          <w:rFonts w:ascii="Arial" w:hAnsi="Arial"/>
          <w:color w:val="000000"/>
          <w:sz w:val="20"/>
          <w:szCs w:val="20"/>
        </w:rPr>
      </w:pPr>
      <w:r>
        <w:rPr>
          <w:rFonts w:ascii="Arial" w:hAnsi="Arial"/>
          <w:b/>
          <w:bCs/>
          <w:color w:val="000000"/>
          <w:sz w:val="20"/>
          <w:szCs w:val="20"/>
        </w:rPr>
        <w:t xml:space="preserve">8.4.4.</w:t>
      </w:r>
      <w:r>
        <w:rPr>
          <w:rFonts w:ascii="Arial" w:hAnsi="Arial"/>
          <w:color w:val="000000"/>
          <w:sz w:val="20"/>
          <w:szCs w:val="20"/>
        </w:rPr>
        <w:t xml:space="preserve"> A contratada deverá utilizar o meio de transporte mais adequado à n</w:t>
      </w:r>
      <w:r>
        <w:rPr>
          <w:rFonts w:ascii="Arial" w:hAnsi="Arial"/>
          <w:color w:val="000000"/>
          <w:sz w:val="20"/>
          <w:szCs w:val="20"/>
        </w:rPr>
        <w:t xml:space="preserve">atureza, peso e dimensões dos bens, atendendo às exigências técnicas, legais e de segurança previstas na legislação aplicável.</w:t>
      </w:r>
      <w:r>
        <w:rPr>
          <w:rFonts w:ascii="Arial" w:hAnsi="Arial"/>
          <w:color w:val="000000"/>
          <w:sz w:val="20"/>
          <w:szCs w:val="20"/>
        </w:rPr>
      </w:r>
      <w:r>
        <w:rPr>
          <w:rFonts w:ascii="Arial" w:hAnsi="Arial"/>
          <w:color w:val="000000"/>
          <w:sz w:val="20"/>
          <w:szCs w:val="20"/>
        </w:rPr>
      </w:r>
    </w:p>
    <w:p>
      <w:pPr>
        <w:pStyle w:val="2038"/>
        <w:pBdr/>
        <w:spacing/>
        <w:ind/>
        <w:jc w:val="both"/>
        <w:rPr>
          <w:rFonts w:ascii="Arial" w:hAnsi="Arial"/>
          <w:b/>
          <w:color w:val="000000"/>
          <w:sz w:val="20"/>
          <w:szCs w:val="20"/>
        </w:rPr>
      </w:pPr>
      <w:r>
        <w:rPr>
          <w:rFonts w:ascii="Arial" w:hAnsi="Arial"/>
          <w:b/>
          <w:color w:val="000000"/>
          <w:sz w:val="20"/>
          <w:szCs w:val="20"/>
        </w:rPr>
      </w:r>
      <w:r>
        <w:rPr>
          <w:rFonts w:ascii="Arial" w:hAnsi="Arial"/>
          <w:b/>
          <w:color w:val="000000"/>
          <w:sz w:val="20"/>
          <w:szCs w:val="20"/>
        </w:rPr>
      </w:r>
      <w:r>
        <w:rPr>
          <w:rFonts w:ascii="Arial" w:hAnsi="Arial"/>
          <w:b/>
          <w:color w:val="000000"/>
          <w:sz w:val="20"/>
          <w:szCs w:val="20"/>
        </w:rPr>
      </w:r>
    </w:p>
    <w:p>
      <w:pPr>
        <w:pStyle w:val="2038"/>
        <w:pBdr/>
        <w:spacing/>
        <w:ind/>
        <w:jc w:val="both"/>
        <w:rPr>
          <w:rFonts w:ascii="Arial" w:hAnsi="Arial"/>
          <w:color w:val="000000"/>
          <w:sz w:val="20"/>
          <w:szCs w:val="20"/>
        </w:rPr>
      </w:pPr>
      <w:r>
        <w:rPr>
          <w:rFonts w:ascii="Arial" w:hAnsi="Arial"/>
          <w:b/>
          <w:color w:val="000000"/>
          <w:sz w:val="20"/>
          <w:szCs w:val="20"/>
        </w:rPr>
        <w:t xml:space="preserve">CLÁUSULA NONA </w:t>
      </w:r>
      <w:bookmarkStart w:id="56" w:name="_Hlk205306773"/>
      <w:r>
        <w:rPr>
          <w:rFonts w:ascii="Arial" w:hAnsi="Arial"/>
          <w:b/>
          <w:bCs/>
          <w:color w:val="000000"/>
          <w:sz w:val="20"/>
          <w:szCs w:val="20"/>
        </w:rPr>
        <w:t xml:space="preserve">DOS BENS ENTREGUES EM DESACORDO COM AS REGRAS ESTABELECIDAS:</w:t>
      </w:r>
      <w:r>
        <w:rPr>
          <w:rFonts w:ascii="Arial" w:hAnsi="Arial"/>
          <w:color w:val="000000"/>
          <w:sz w:val="20"/>
          <w:szCs w:val="20"/>
        </w:rPr>
      </w:r>
      <w:r>
        <w:rPr>
          <w:rFonts w:ascii="Arial" w:hAnsi="Arial"/>
          <w:color w:val="000000"/>
          <w:sz w:val="20"/>
          <w:szCs w:val="20"/>
        </w:rPr>
      </w:r>
    </w:p>
    <w:p>
      <w:pPr>
        <w:pStyle w:val="2038"/>
        <w:pBdr/>
        <w:spacing/>
        <w:ind/>
        <w:jc w:val="both"/>
        <w:rPr>
          <w:rFonts w:ascii="Arial" w:hAnsi="Arial"/>
          <w:b/>
          <w:bCs/>
          <w:color w:val="000000"/>
          <w:sz w:val="20"/>
          <w:szCs w:val="20"/>
        </w:rPr>
      </w:pPr>
      <w:r>
        <w:rPr>
          <w:rFonts w:ascii="Arial" w:hAnsi="Arial"/>
          <w:b/>
          <w:bCs/>
          <w:color w:val="000000"/>
          <w:sz w:val="20"/>
          <w:szCs w:val="20"/>
        </w:rPr>
      </w:r>
      <w:r>
        <w:rPr>
          <w:rFonts w:ascii="Arial" w:hAnsi="Arial"/>
          <w:b/>
          <w:bCs/>
          <w:color w:val="000000"/>
          <w:sz w:val="20"/>
          <w:szCs w:val="20"/>
        </w:rPr>
      </w:r>
      <w:r>
        <w:rPr>
          <w:rFonts w:ascii="Arial" w:hAnsi="Arial"/>
          <w:b/>
          <w:bCs/>
          <w:color w:val="000000"/>
          <w:sz w:val="20"/>
          <w:szCs w:val="20"/>
        </w:rPr>
      </w:r>
    </w:p>
    <w:p>
      <w:pPr>
        <w:pStyle w:val="2038"/>
        <w:pBdr/>
        <w:spacing/>
        <w:ind/>
        <w:jc w:val="both"/>
        <w:rPr>
          <w:rFonts w:ascii="Arial" w:hAnsi="Arial"/>
          <w:sz w:val="20"/>
          <w:szCs w:val="20"/>
        </w:rPr>
      </w:pPr>
      <w:r>
        <w:rPr>
          <w:rFonts w:ascii="Arial" w:hAnsi="Arial"/>
          <w:b/>
          <w:bCs/>
          <w:sz w:val="20"/>
          <w:szCs w:val="20"/>
        </w:rPr>
        <w:t xml:space="preserve">9.1.</w:t>
      </w:r>
      <w:r>
        <w:rPr>
          <w:rFonts w:ascii="Arial" w:hAnsi="Arial"/>
          <w:sz w:val="20"/>
          <w:szCs w:val="20"/>
        </w:rPr>
        <w:t xml:space="preserve"> Os materiais já referenciados</w:t>
      </w:r>
      <w:r>
        <w:rPr>
          <w:rFonts w:ascii="Arial" w:hAnsi="Arial"/>
        </w:rPr>
        <w:t xml:space="preserve"> </w:t>
      </w:r>
      <w:r>
        <w:rPr>
          <w:rFonts w:ascii="Arial" w:hAnsi="Arial"/>
          <w:sz w:val="20"/>
          <w:szCs w:val="20"/>
        </w:rPr>
        <w:t xml:space="preserve">deverão ser entre</w:t>
      </w:r>
      <w:r>
        <w:rPr>
          <w:rFonts w:ascii="Arial" w:hAnsi="Arial"/>
          <w:sz w:val="20"/>
          <w:szCs w:val="20"/>
        </w:rPr>
        <w:t xml:space="preserve">gues no </w:t>
      </w:r>
      <w:r>
        <w:rPr>
          <w:rFonts w:ascii="Arial" w:hAnsi="Arial"/>
          <w:sz w:val="20"/>
          <w:szCs w:val="20"/>
          <w:highlight w:val="white"/>
        </w:rPr>
        <w:t xml:space="preserve">prazo máximo de 20 (vinte) dias</w:t>
      </w:r>
      <w:r>
        <w:rPr>
          <w:rFonts w:ascii="Arial" w:hAnsi="Arial"/>
          <w:sz w:val="20"/>
          <w:szCs w:val="20"/>
          <w:highlight w:val="none"/>
        </w:rPr>
        <w:t xml:space="preserve"> corridos</w:t>
      </w:r>
      <w:r>
        <w:rPr>
          <w:rFonts w:ascii="Arial" w:hAnsi="Arial"/>
          <w:sz w:val="20"/>
          <w:szCs w:val="20"/>
        </w:rPr>
        <w:t xml:space="preserve">, contados a partir do recebimento da solicitação formal de entrega. Caso sejam entregues em desacordo com as especificações técnicas previstas no Edital, Termo de Referência ou demais documentos contratuais, a contr</w:t>
      </w:r>
      <w:r>
        <w:rPr>
          <w:rFonts w:ascii="Arial" w:hAnsi="Arial"/>
          <w:sz w:val="20"/>
          <w:szCs w:val="20"/>
        </w:rPr>
        <w:t xml:space="preserve">atada deverá substituí-los obrigatoriamente no prazo de até 05 (cinco) dias uteis, contados do recebimento da notificação expedida pela Administração.</w:t>
      </w:r>
      <w:r>
        <w:rPr>
          <w:rFonts w:ascii="Arial" w:hAnsi="Arial"/>
          <w:sz w:val="20"/>
          <w:szCs w:val="20"/>
        </w:rPr>
      </w:r>
      <w:r>
        <w:rPr>
          <w:rFonts w:ascii="Arial" w:hAnsi="Arial"/>
          <w:sz w:val="20"/>
          <w:szCs w:val="20"/>
        </w:rPr>
      </w:r>
    </w:p>
    <w:p>
      <w:pPr>
        <w:pStyle w:val="2038"/>
        <w:pBdr/>
        <w:spacing/>
        <w:ind/>
        <w:jc w:val="both"/>
        <w:rPr>
          <w:rFonts w:ascii="Arial" w:hAnsi="Arial"/>
          <w:b/>
          <w:bCs/>
          <w:sz w:val="20"/>
          <w:szCs w:val="20"/>
        </w:rPr>
      </w:pPr>
      <w:r>
        <w:rPr>
          <w:rFonts w:ascii="Arial" w:hAnsi="Arial"/>
          <w:b/>
          <w:bCs/>
          <w:sz w:val="20"/>
          <w:szCs w:val="20"/>
        </w:rPr>
      </w:r>
      <w:r>
        <w:rPr>
          <w:rFonts w:ascii="Arial" w:hAnsi="Arial"/>
          <w:b/>
          <w:bCs/>
          <w:sz w:val="20"/>
          <w:szCs w:val="20"/>
        </w:rPr>
      </w:r>
      <w:r>
        <w:rPr>
          <w:rFonts w:ascii="Arial" w:hAnsi="Arial"/>
          <w:b/>
          <w:bCs/>
          <w:sz w:val="20"/>
          <w:szCs w:val="20"/>
        </w:rPr>
      </w:r>
    </w:p>
    <w:p>
      <w:pPr>
        <w:pStyle w:val="2038"/>
        <w:pBdr/>
        <w:spacing/>
        <w:ind/>
        <w:jc w:val="both"/>
        <w:rPr>
          <w:rFonts w:ascii="Arial" w:hAnsi="Arial"/>
          <w:sz w:val="20"/>
          <w:szCs w:val="20"/>
        </w:rPr>
      </w:pPr>
      <w:r>
        <w:rPr>
          <w:rFonts w:ascii="Arial" w:hAnsi="Arial"/>
          <w:b/>
          <w:bCs/>
          <w:sz w:val="20"/>
          <w:szCs w:val="20"/>
        </w:rPr>
        <w:t xml:space="preserve">9.2.</w:t>
      </w:r>
      <w:r>
        <w:rPr>
          <w:rFonts w:ascii="Arial" w:hAnsi="Arial"/>
          <w:sz w:val="20"/>
          <w:szCs w:val="20"/>
        </w:rPr>
        <w:t xml:space="preserve"> O descumprimento do prazo de substituição implicará a aplicação das sanções previstas no Edital, no Termo de Referência, na Minuta do Contrato e na legislação aplicável, especialmente a Lei nº 14.133/2021, incluindo, mas não se limitando a: advertência, m</w:t>
      </w:r>
      <w:r>
        <w:rPr>
          <w:rFonts w:ascii="Arial" w:hAnsi="Arial"/>
          <w:sz w:val="20"/>
          <w:szCs w:val="20"/>
        </w:rPr>
        <w:t xml:space="preserve">ulta, suspensão temporária de participação em licitações, impedimento de contratar com a Administração ou declaração de inidoneidade.</w:t>
      </w:r>
      <w:r>
        <w:rPr>
          <w:rFonts w:ascii="Arial" w:hAnsi="Arial"/>
          <w:sz w:val="20"/>
          <w:szCs w:val="20"/>
        </w:rPr>
      </w:r>
      <w:r>
        <w:rPr>
          <w:rFonts w:ascii="Arial" w:hAnsi="Arial"/>
          <w:sz w:val="20"/>
          <w:szCs w:val="20"/>
        </w:rPr>
      </w:r>
    </w:p>
    <w:p>
      <w:pPr>
        <w:pStyle w:val="2038"/>
        <w:pBdr/>
        <w:spacing/>
        <w:ind/>
        <w:jc w:val="both"/>
        <w:rPr>
          <w:rFonts w:ascii="Arial" w:hAnsi="Arial"/>
          <w:b/>
          <w:bCs/>
          <w:sz w:val="20"/>
          <w:szCs w:val="20"/>
        </w:rPr>
      </w:pPr>
      <w:r>
        <w:rPr>
          <w:rFonts w:ascii="Arial" w:hAnsi="Arial"/>
          <w:b/>
          <w:bCs/>
          <w:sz w:val="20"/>
          <w:szCs w:val="20"/>
        </w:rPr>
      </w:r>
      <w:r>
        <w:rPr>
          <w:rFonts w:ascii="Arial" w:hAnsi="Arial"/>
          <w:b/>
          <w:bCs/>
          <w:sz w:val="20"/>
          <w:szCs w:val="20"/>
        </w:rPr>
      </w:r>
      <w:r>
        <w:rPr>
          <w:rFonts w:ascii="Arial" w:hAnsi="Arial"/>
          <w:b/>
          <w:bCs/>
          <w:sz w:val="20"/>
          <w:szCs w:val="20"/>
        </w:rPr>
      </w:r>
    </w:p>
    <w:p>
      <w:pPr>
        <w:pStyle w:val="2038"/>
        <w:pBdr/>
        <w:spacing/>
        <w:ind/>
        <w:jc w:val="both"/>
        <w:rPr>
          <w:rFonts w:ascii="Arial" w:hAnsi="Arial"/>
          <w:sz w:val="20"/>
          <w:szCs w:val="20"/>
        </w:rPr>
      </w:pPr>
      <w:r>
        <w:rPr>
          <w:rFonts w:ascii="Arial" w:hAnsi="Arial"/>
          <w:b/>
          <w:bCs/>
          <w:sz w:val="20"/>
          <w:szCs w:val="20"/>
        </w:rPr>
        <w:t xml:space="preserve">9.3.</w:t>
      </w:r>
      <w:r>
        <w:rPr>
          <w:rFonts w:ascii="Arial" w:hAnsi="Arial"/>
          <w:sz w:val="20"/>
          <w:szCs w:val="20"/>
        </w:rPr>
        <w:t xml:space="preserve"> Constatada, por laudo técnico ou perícia, a entrega de produtos em desconformidade com as especificações exigidas, a</w:t>
      </w:r>
      <w:r>
        <w:rPr>
          <w:rFonts w:ascii="Arial" w:hAnsi="Arial"/>
          <w:sz w:val="20"/>
          <w:szCs w:val="20"/>
        </w:rPr>
        <w:t xml:space="preserve"> contratada ficará obrigada a ressarcir integralmente a Administração Pública Municipal por todos os custos decorrentes da realização da perícia, além de indenizar eventuais prejuízos e danos materiais ou morais causados ao erário ou a terceiros, nos termo</w:t>
      </w:r>
      <w:r>
        <w:rPr>
          <w:rFonts w:ascii="Arial" w:hAnsi="Arial"/>
          <w:sz w:val="20"/>
          <w:szCs w:val="20"/>
        </w:rPr>
        <w:t xml:space="preserve">s da legislação vigente.</w:t>
      </w:r>
      <w:r>
        <w:rPr>
          <w:rFonts w:ascii="Arial" w:hAnsi="Arial"/>
          <w:sz w:val="20"/>
          <w:szCs w:val="20"/>
        </w:rPr>
      </w:r>
      <w:r>
        <w:rPr>
          <w:rFonts w:ascii="Arial" w:hAnsi="Arial"/>
          <w:sz w:val="20"/>
          <w:szCs w:val="20"/>
        </w:rPr>
      </w:r>
    </w:p>
    <w:p>
      <w:pPr>
        <w:pStyle w:val="2038"/>
        <w:pBdr/>
        <w:spacing/>
        <w:ind/>
        <w:jc w:val="both"/>
        <w:rPr>
          <w:rFonts w:ascii="Arial" w:hAnsi="Arial"/>
          <w:b/>
          <w:bCs/>
          <w:sz w:val="20"/>
          <w:szCs w:val="20"/>
        </w:rPr>
      </w:pPr>
      <w:r>
        <w:rPr>
          <w:rFonts w:ascii="Arial" w:hAnsi="Arial"/>
          <w:b/>
          <w:bCs/>
          <w:sz w:val="20"/>
          <w:szCs w:val="20"/>
        </w:rPr>
      </w:r>
      <w:r>
        <w:rPr>
          <w:rFonts w:ascii="Arial" w:hAnsi="Arial"/>
          <w:b/>
          <w:bCs/>
          <w:sz w:val="20"/>
          <w:szCs w:val="20"/>
        </w:rPr>
      </w:r>
      <w:r>
        <w:rPr>
          <w:rFonts w:ascii="Arial" w:hAnsi="Arial"/>
          <w:b/>
          <w:bCs/>
          <w:sz w:val="20"/>
          <w:szCs w:val="20"/>
        </w:rPr>
      </w:r>
    </w:p>
    <w:p>
      <w:pPr>
        <w:pStyle w:val="2038"/>
        <w:pBdr/>
        <w:spacing/>
        <w:ind/>
        <w:jc w:val="both"/>
        <w:rPr>
          <w:rFonts w:ascii="Arial" w:hAnsi="Arial"/>
          <w:sz w:val="20"/>
          <w:szCs w:val="20"/>
        </w:rPr>
      </w:pPr>
      <w:r>
        <w:rPr>
          <w:rFonts w:ascii="Arial" w:hAnsi="Arial"/>
          <w:b/>
          <w:bCs/>
          <w:sz w:val="20"/>
          <w:szCs w:val="20"/>
        </w:rPr>
        <w:t xml:space="preserve">9.4.</w:t>
      </w:r>
      <w:r>
        <w:rPr>
          <w:rFonts w:ascii="Arial" w:hAnsi="Arial"/>
          <w:sz w:val="20"/>
          <w:szCs w:val="20"/>
        </w:rPr>
        <w:t xml:space="preserve"> A substituição deverá obedecer integralmente aos padrões de qualidade e características técnicas inicialmente exigidos, sendo vedada a entrega de produtos recondicionados, usados ou com especificações inferiores, sob pena de </w:t>
      </w:r>
      <w:r>
        <w:rPr>
          <w:rFonts w:ascii="Arial" w:hAnsi="Arial"/>
          <w:sz w:val="20"/>
          <w:szCs w:val="20"/>
        </w:rPr>
        <w:t xml:space="preserve">rejeição imediata pela Administração.</w:t>
      </w:r>
      <w:r>
        <w:rPr>
          <w:rFonts w:ascii="Arial" w:hAnsi="Arial"/>
          <w:sz w:val="20"/>
          <w:szCs w:val="20"/>
        </w:rPr>
      </w:r>
      <w:r>
        <w:rPr>
          <w:rFonts w:ascii="Arial" w:hAnsi="Arial"/>
          <w:sz w:val="20"/>
          <w:szCs w:val="20"/>
        </w:rPr>
      </w:r>
    </w:p>
    <w:p>
      <w:pPr>
        <w:pStyle w:val="2038"/>
        <w:pBdr/>
        <w:spacing/>
        <w:ind/>
        <w:jc w:val="both"/>
        <w:rPr>
          <w:rFonts w:ascii="Arial" w:hAnsi="Arial"/>
          <w:b/>
          <w:bCs/>
          <w:sz w:val="20"/>
          <w:szCs w:val="20"/>
        </w:rPr>
      </w:pPr>
      <w:r>
        <w:rPr>
          <w:rFonts w:ascii="Arial" w:hAnsi="Arial"/>
          <w:b/>
          <w:bCs/>
          <w:sz w:val="20"/>
          <w:szCs w:val="20"/>
        </w:rPr>
      </w:r>
      <w:r>
        <w:rPr>
          <w:rFonts w:ascii="Arial" w:hAnsi="Arial"/>
          <w:b/>
          <w:bCs/>
          <w:sz w:val="20"/>
          <w:szCs w:val="20"/>
        </w:rPr>
      </w:r>
      <w:r>
        <w:rPr>
          <w:rFonts w:ascii="Arial" w:hAnsi="Arial"/>
          <w:b/>
          <w:bCs/>
          <w:sz w:val="20"/>
          <w:szCs w:val="20"/>
        </w:rPr>
      </w:r>
    </w:p>
    <w:p>
      <w:pPr>
        <w:pStyle w:val="2038"/>
        <w:pBdr/>
        <w:spacing/>
        <w:ind/>
        <w:jc w:val="both"/>
        <w:rPr>
          <w:rFonts w:ascii="Arial" w:hAnsi="Arial"/>
          <w:sz w:val="20"/>
          <w:szCs w:val="20"/>
        </w:rPr>
      </w:pPr>
      <w:r>
        <w:rPr>
          <w:rFonts w:ascii="Arial" w:hAnsi="Arial"/>
          <w:b/>
          <w:bCs/>
          <w:sz w:val="20"/>
          <w:szCs w:val="20"/>
        </w:rPr>
        <w:t xml:space="preserve">9.5.</w:t>
      </w:r>
      <w:r>
        <w:rPr>
          <w:rFonts w:ascii="Arial" w:hAnsi="Arial"/>
          <w:sz w:val="20"/>
          <w:szCs w:val="20"/>
        </w:rPr>
        <w:t xml:space="preserve"> A Administração reserva-se o direito de recusar o recebimento definitivo dos produtos até a plena regularização da entrega, sem prejuízo da aplicação das penalidades administrativas cabíveis.</w:t>
      </w:r>
      <w:bookmarkEnd w:id="56"/>
      <w:r>
        <w:rPr>
          <w:rFonts w:ascii="Arial" w:hAnsi="Arial"/>
          <w:sz w:val="20"/>
          <w:szCs w:val="20"/>
        </w:rPr>
      </w:r>
      <w:r>
        <w:rPr>
          <w:rFonts w:ascii="Arial" w:hAnsi="Arial"/>
          <w:sz w:val="20"/>
          <w:szCs w:val="20"/>
        </w:rPr>
      </w:r>
    </w:p>
    <w:p>
      <w:pPr>
        <w:pBdr/>
        <w:spacing/>
        <w:ind/>
        <w:jc w:val="both"/>
        <w:rPr>
          <w:rFonts w:ascii="Arial" w:hAnsi="Arial" w:eastAsia="SimSun"/>
          <w:b/>
        </w:rPr>
      </w:pPr>
      <w:r>
        <w:rPr>
          <w:rFonts w:ascii="Arial" w:hAnsi="Arial" w:eastAsia="SimSun"/>
          <w:b/>
        </w:rPr>
      </w:r>
      <w:r>
        <w:rPr>
          <w:rFonts w:ascii="Arial" w:hAnsi="Arial" w:eastAsia="SimSun"/>
          <w:b/>
        </w:rPr>
      </w:r>
      <w:r>
        <w:rPr>
          <w:rFonts w:ascii="Arial" w:hAnsi="Arial" w:eastAsia="SimSun"/>
          <w:b/>
        </w:rPr>
      </w:r>
    </w:p>
    <w:p>
      <w:pPr>
        <w:pStyle w:val="2038"/>
        <w:pBdr/>
        <w:spacing/>
        <w:ind/>
        <w:jc w:val="both"/>
        <w:rPr>
          <w:rFonts w:ascii="Arial" w:hAnsi="Arial"/>
          <w:b/>
          <w:sz w:val="20"/>
          <w:szCs w:val="20"/>
        </w:rPr>
      </w:pPr>
      <w:r>
        <w:rPr>
          <w:rFonts w:ascii="Arial" w:hAnsi="Arial"/>
          <w:b/>
          <w:sz w:val="20"/>
          <w:szCs w:val="20"/>
        </w:rPr>
        <w:t xml:space="preserve">CLÁUSULA DÉCIMA</w:t>
      </w:r>
      <w:r>
        <w:rPr>
          <w:rFonts w:ascii="Arial" w:hAnsi="Arial"/>
          <w:b/>
          <w:sz w:val="20"/>
          <w:szCs w:val="20"/>
        </w:rPr>
        <w:t xml:space="preserve"> – DAS CONDIÇÕES DE PAGAMENTO</w:t>
      </w:r>
      <w:r>
        <w:rPr>
          <w:rFonts w:ascii="Arial" w:hAnsi="Arial"/>
          <w:b/>
          <w:sz w:val="20"/>
          <w:szCs w:val="20"/>
        </w:rPr>
      </w:r>
      <w:r>
        <w:rPr>
          <w:rFonts w:ascii="Arial" w:hAnsi="Arial"/>
          <w:b/>
          <w:sz w:val="20"/>
          <w:szCs w:val="20"/>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color w:val="000000"/>
          <w:sz w:val="19"/>
          <w:szCs w:val="19"/>
        </w:rPr>
        <w:t xml:space="preserve">10. DA FORMA, CONDIÇÕES, PRAZOS DE PAGAMENTO, E CRITÉRIO DE REAJUSTE, QUANDO FOR O CASO: </w:t>
      </w:r>
      <w:r/>
    </w:p>
    <w:p>
      <w:pPr>
        <w:pStyle w:val="2069"/>
        <w:pBdr/>
        <w:tabs>
          <w:tab w:val="left" w:leader="none" w:pos="0"/>
        </w:tabs>
        <w:spacing w:before="0" w:line="240" w:lineRule="auto"/>
        <w:ind/>
        <w:jc w:val="both"/>
        <w:rPr>
          <w:rFonts w:cs="Arial"/>
          <w:b/>
          <w:sz w:val="20"/>
          <w:szCs w:val="20"/>
        </w:rPr>
      </w:pPr>
      <w:r>
        <w:rPr>
          <w:rFonts w:cs="Arial"/>
          <w:b/>
          <w:sz w:val="20"/>
          <w:szCs w:val="20"/>
        </w:rPr>
      </w:r>
      <w:r>
        <w:rPr>
          <w:rFonts w:cs="Arial"/>
          <w:b/>
          <w:sz w:val="20"/>
          <w:szCs w:val="20"/>
        </w:rPr>
      </w:r>
      <w:r>
        <w:rPr>
          <w:rFonts w:cs="Arial"/>
          <w:b/>
          <w:sz w:val="20"/>
          <w:szCs w:val="20"/>
        </w:rPr>
      </w:r>
    </w:p>
    <w:p>
      <w:pPr>
        <w:pBdr/>
        <w:spacing/>
        <w:ind/>
        <w:jc w:val="both"/>
        <w:rPr>
          <w:rFonts w:ascii="Arial" w:hAnsi="Arial"/>
          <w:b/>
          <w:bCs/>
          <w:color w:val="000000"/>
        </w:rPr>
      </w:pPr>
      <w:r>
        <w:rPr>
          <w:rFonts w:ascii="Arial" w:hAnsi="Arial"/>
          <w:b/>
          <w:color w:val="000000"/>
        </w:rPr>
        <w:t xml:space="preserve">10.1. </w:t>
      </w:r>
      <w:r>
        <w:rPr>
          <w:rFonts w:ascii="Arial" w:hAnsi="Arial" w:eastAsia="SimSun"/>
          <w:b/>
        </w:rPr>
        <w:t xml:space="preserve">FORMAS:</w:t>
      </w:r>
      <w:r>
        <w:rPr>
          <w:rFonts w:ascii="Arial" w:hAnsi="Arial"/>
          <w:b/>
          <w:bCs/>
          <w:color w:val="000000"/>
        </w:rPr>
      </w:r>
      <w:r>
        <w:rPr>
          <w:rFonts w:ascii="Arial" w:hAnsi="Arial"/>
          <w:b/>
          <w:bCs/>
          <w:color w:val="000000"/>
        </w:rPr>
      </w:r>
    </w:p>
    <w:p>
      <w:pPr>
        <w:pBdr/>
        <w:spacing/>
        <w:ind/>
        <w:jc w:val="both"/>
        <w:rPr>
          <w:rFonts w:ascii="Arial" w:hAnsi="Arial"/>
          <w:b/>
          <w:bCs/>
          <w:color w:val="000000"/>
        </w:rPr>
      </w:pPr>
      <w:r>
        <w:rPr>
          <w:rFonts w:ascii="Arial" w:hAnsi="Arial"/>
          <w:b/>
          <w:bCs/>
          <w:color w:val="000000"/>
        </w:rPr>
      </w:r>
      <w:r>
        <w:rPr>
          <w:rFonts w:ascii="Arial" w:hAnsi="Arial"/>
          <w:b/>
          <w:bCs/>
          <w:color w:val="000000"/>
        </w:rPr>
      </w:r>
      <w:r>
        <w:rPr>
          <w:rFonts w:ascii="Arial" w:hAnsi="Arial"/>
          <w:b/>
          <w:bCs/>
          <w:color w:val="000000"/>
        </w:rPr>
      </w:r>
    </w:p>
    <w:p>
      <w:pPr>
        <w:pBdr/>
        <w:spacing/>
        <w:ind/>
        <w:jc w:val="both"/>
        <w:rPr>
          <w:rFonts w:ascii="Arial" w:hAnsi="Arial"/>
        </w:rPr>
      </w:pPr>
      <w:r>
        <w:rPr>
          <w:rFonts w:ascii="Arial" w:hAnsi="Arial"/>
          <w:b/>
        </w:rPr>
        <w:t xml:space="preserve">10.1.1.</w:t>
      </w:r>
      <w:r>
        <w:rPr>
          <w:rFonts w:ascii="Arial" w:hAnsi="Arial"/>
        </w:rPr>
        <w:t xml:space="preserve"> O Município de Rondonópolis efetuará os pagamentos por meio de ordens bancárias, tomada junto ao Banco ou Cooperativa, endereçada ao banco discriminado na nota fiscal;</w:t>
      </w:r>
      <w:r>
        <w:rPr>
          <w:rFonts w:ascii="Arial" w:hAnsi="Arial"/>
        </w:rPr>
      </w:r>
      <w:r>
        <w:rPr>
          <w:rFonts w:ascii="Arial" w:hAnsi="Arial"/>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b/>
        </w:rPr>
      </w:pPr>
      <w:r>
        <w:rPr>
          <w:rFonts w:ascii="Arial" w:hAnsi="Arial"/>
          <w:b/>
        </w:rPr>
        <w:t xml:space="preserve">10.2. CONDIÇÕES:</w:t>
      </w:r>
      <w:r>
        <w:rPr>
          <w:rFonts w:ascii="Arial" w:hAnsi="Arial"/>
          <w:b/>
        </w:rPr>
      </w:r>
      <w:r>
        <w:rPr>
          <w:rFonts w:ascii="Arial" w:hAnsi="Arial"/>
          <w:b/>
        </w:rPr>
      </w:r>
    </w:p>
    <w:p>
      <w:pPr>
        <w:pStyle w:val="2069"/>
        <w:pBdr/>
        <w:spacing w:before="0" w:line="240" w:lineRule="auto"/>
        <w:ind w:left="284"/>
        <w:jc w:val="both"/>
        <w:rPr>
          <w:rFonts w:cs="Arial"/>
          <w:sz w:val="20"/>
          <w:szCs w:val="20"/>
        </w:rPr>
      </w:pPr>
      <w:r>
        <w:rPr>
          <w:rFonts w:cs="Arial"/>
          <w:sz w:val="20"/>
          <w:szCs w:val="20"/>
        </w:rPr>
      </w:r>
      <w:r>
        <w:rPr>
          <w:rFonts w:cs="Arial"/>
          <w:sz w:val="20"/>
          <w:szCs w:val="20"/>
        </w:rPr>
      </w:r>
      <w:r>
        <w:rPr>
          <w:rFonts w:cs="Arial"/>
          <w:sz w:val="20"/>
          <w:szCs w:val="20"/>
        </w:rPr>
      </w:r>
    </w:p>
    <w:p>
      <w:pPr>
        <w:pStyle w:val="2069"/>
        <w:pBdr/>
        <w:spacing w:before="0" w:line="240" w:lineRule="auto"/>
        <w:ind/>
        <w:jc w:val="both"/>
        <w:rPr>
          <w:rFonts w:cs="Arial"/>
          <w:b/>
          <w:bCs/>
          <w:sz w:val="20"/>
          <w:szCs w:val="20"/>
        </w:rPr>
      </w:pPr>
      <w:r>
        <w:rPr>
          <w:rFonts w:cs="Arial"/>
          <w:b/>
          <w:sz w:val="20"/>
          <w:szCs w:val="20"/>
        </w:rPr>
        <w:t xml:space="preserve">10.2.1.</w:t>
      </w:r>
      <w:r>
        <w:rPr>
          <w:rFonts w:cs="Arial"/>
          <w:sz w:val="20"/>
          <w:szCs w:val="20"/>
        </w:rPr>
        <w:t xml:space="preserve"> A contratada deverá indicar no corpo da nota fiscal, n.º do contrato, mês de referência, descrição dos produtos, o número e nome do banco, agência e número da conta, na qual deverá ser feito o pagamento, via ordem bancária;</w:t>
      </w:r>
      <w:r>
        <w:rPr>
          <w:rFonts w:cs="Arial"/>
          <w:b/>
          <w:bCs/>
          <w:sz w:val="20"/>
          <w:szCs w:val="20"/>
        </w:rPr>
      </w:r>
      <w:r>
        <w:rPr>
          <w:rFonts w:cs="Arial"/>
          <w:b/>
          <w:bCs/>
          <w:sz w:val="20"/>
          <w:szCs w:val="20"/>
        </w:rPr>
      </w:r>
    </w:p>
    <w:p>
      <w:pPr>
        <w:pStyle w:val="2069"/>
        <w:pBdr/>
        <w:spacing w:before="0" w:line="240" w:lineRule="auto"/>
        <w:ind/>
        <w:jc w:val="both"/>
        <w:rPr>
          <w:rFonts w:cs="Arial"/>
          <w:b/>
          <w:bCs/>
          <w:sz w:val="20"/>
          <w:szCs w:val="20"/>
        </w:rPr>
      </w:pPr>
      <w:r>
        <w:rPr>
          <w:rFonts w:cs="Arial"/>
          <w:b/>
          <w:bCs/>
          <w:sz w:val="20"/>
          <w:szCs w:val="20"/>
        </w:rPr>
      </w:r>
      <w:r>
        <w:rPr>
          <w:rFonts w:cs="Arial"/>
          <w:b/>
          <w:bCs/>
          <w:sz w:val="20"/>
          <w:szCs w:val="20"/>
        </w:rPr>
      </w:r>
      <w:r>
        <w:rPr>
          <w:rFonts w:cs="Arial"/>
          <w:b/>
          <w:bCs/>
          <w:sz w:val="20"/>
          <w:szCs w:val="20"/>
        </w:rPr>
      </w:r>
    </w:p>
    <w:p>
      <w:pPr>
        <w:pStyle w:val="2069"/>
        <w:pBdr/>
        <w:spacing w:before="0" w:line="240" w:lineRule="auto"/>
        <w:ind/>
        <w:jc w:val="both"/>
        <w:rPr>
          <w:rFonts w:cs="Arial"/>
          <w:b/>
          <w:sz w:val="20"/>
          <w:szCs w:val="20"/>
        </w:rPr>
      </w:pPr>
      <w:r>
        <w:rPr>
          <w:rFonts w:cs="Arial"/>
          <w:b/>
          <w:sz w:val="20"/>
          <w:szCs w:val="20"/>
        </w:rPr>
        <w:t xml:space="preserve">10.2.2.</w:t>
      </w:r>
      <w:r>
        <w:rPr>
          <w:rFonts w:cs="Arial"/>
          <w:sz w:val="20"/>
          <w:szCs w:val="20"/>
        </w:rPr>
        <w:t xml:space="preserve"> As despesas bancárias </w:t>
      </w:r>
      <w:r>
        <w:rPr>
          <w:rFonts w:cs="Arial"/>
          <w:sz w:val="20"/>
          <w:szCs w:val="20"/>
        </w:rPr>
        <w:t xml:space="preserve">decorrentes de transferências de valores para outras praças serão de responsabilidade da contratada;</w:t>
      </w:r>
      <w:r>
        <w:rPr>
          <w:rFonts w:cs="Arial"/>
          <w:b/>
          <w:sz w:val="20"/>
          <w:szCs w:val="20"/>
        </w:rPr>
      </w:r>
      <w:r>
        <w:rPr>
          <w:rFonts w:cs="Arial"/>
          <w:b/>
          <w:sz w:val="20"/>
          <w:szCs w:val="20"/>
        </w:rPr>
      </w:r>
    </w:p>
    <w:p>
      <w:pPr>
        <w:pStyle w:val="2069"/>
        <w:pBdr/>
        <w:spacing w:before="0" w:line="240" w:lineRule="auto"/>
        <w:ind w:left="284"/>
        <w:jc w:val="both"/>
        <w:rPr>
          <w:rFonts w:eastAsia="Times New Roman" w:cs="Arial"/>
          <w:b/>
          <w:sz w:val="20"/>
          <w:szCs w:val="20"/>
        </w:rPr>
      </w:pPr>
      <w:r>
        <w:rPr>
          <w:rFonts w:eastAsia="Times New Roman" w:cs="Arial"/>
          <w:b/>
          <w:sz w:val="20"/>
          <w:szCs w:val="20"/>
        </w:rPr>
      </w:r>
      <w:r>
        <w:rPr>
          <w:rFonts w:eastAsia="Times New Roman" w:cs="Arial"/>
          <w:b/>
          <w:sz w:val="20"/>
          <w:szCs w:val="20"/>
        </w:rPr>
      </w:r>
      <w:r>
        <w:rPr>
          <w:rFonts w:eastAsia="Times New Roman" w:cs="Arial"/>
          <w:b/>
          <w:sz w:val="20"/>
          <w:szCs w:val="20"/>
        </w:rPr>
      </w:r>
    </w:p>
    <w:p>
      <w:pPr>
        <w:pStyle w:val="2069"/>
        <w:pBdr/>
        <w:spacing w:before="0" w:line="240" w:lineRule="auto"/>
        <w:ind/>
        <w:jc w:val="both"/>
        <w:rPr>
          <w:rFonts w:eastAsia="Times New Roman" w:cs="Arial"/>
          <w:sz w:val="20"/>
          <w:szCs w:val="20"/>
        </w:rPr>
      </w:pPr>
      <w:r>
        <w:rPr>
          <w:rFonts w:eastAsia="Times New Roman" w:cs="Arial"/>
          <w:b/>
          <w:sz w:val="20"/>
          <w:szCs w:val="20"/>
        </w:rPr>
        <w:t xml:space="preserve">10.2.3.</w:t>
      </w:r>
      <w:r>
        <w:rPr>
          <w:rFonts w:eastAsia="Times New Roman" w:cs="Arial"/>
          <w:sz w:val="20"/>
          <w:szCs w:val="20"/>
        </w:rPr>
        <w:t xml:space="preserve"> Pelo fiel e perfeito fornecimento do objeto desta licitação, o município de Rondonópolis-MT., pagará o valor total, em Reais (R$), à Contratada, m</w:t>
      </w:r>
      <w:r>
        <w:rPr>
          <w:rFonts w:eastAsia="Times New Roman" w:cs="Arial"/>
          <w:sz w:val="20"/>
          <w:szCs w:val="20"/>
        </w:rPr>
        <w:t xml:space="preserve">ediante a entrega da Nota Fiscal, devidamente atestada pela Secretaria solicitante, que corresponderá ao valor do objeto licitado entregue, após verificação;</w:t>
      </w:r>
      <w:r>
        <w:rPr>
          <w:rFonts w:eastAsia="Times New Roman" w:cs="Arial"/>
          <w:sz w:val="20"/>
          <w:szCs w:val="20"/>
        </w:rPr>
      </w:r>
      <w:r>
        <w:rPr>
          <w:rFonts w:eastAsia="Times New Roman" w:cs="Arial"/>
          <w:sz w:val="20"/>
          <w:szCs w:val="20"/>
        </w:rPr>
      </w:r>
    </w:p>
    <w:p>
      <w:pPr>
        <w:pStyle w:val="2069"/>
        <w:pBdr/>
        <w:spacing w:before="0" w:line="240" w:lineRule="auto"/>
        <w:ind w:left="284"/>
        <w:jc w:val="both"/>
        <w:rPr>
          <w:rFonts w:cs="Arial"/>
          <w:b/>
          <w:sz w:val="20"/>
          <w:szCs w:val="20"/>
        </w:rPr>
      </w:pPr>
      <w:r>
        <w:rPr>
          <w:rFonts w:cs="Arial"/>
          <w:b/>
          <w:sz w:val="20"/>
          <w:szCs w:val="20"/>
        </w:rPr>
      </w:r>
      <w:r>
        <w:rPr>
          <w:rFonts w:cs="Arial"/>
          <w:b/>
          <w:sz w:val="20"/>
          <w:szCs w:val="20"/>
        </w:rPr>
      </w:r>
      <w:r>
        <w:rPr>
          <w:rFonts w:cs="Arial"/>
          <w:b/>
          <w:sz w:val="20"/>
          <w:szCs w:val="20"/>
        </w:rPr>
      </w:r>
    </w:p>
    <w:p>
      <w:pPr>
        <w:pStyle w:val="2069"/>
        <w:pBdr/>
        <w:spacing w:before="0" w:line="240" w:lineRule="auto"/>
        <w:ind/>
        <w:jc w:val="both"/>
        <w:rPr>
          <w:rFonts w:eastAsia="Times New Roman" w:cs="Arial"/>
          <w:b/>
          <w:sz w:val="20"/>
          <w:szCs w:val="20"/>
        </w:rPr>
      </w:pPr>
      <w:r>
        <w:rPr>
          <w:rFonts w:cs="Arial"/>
          <w:b/>
          <w:sz w:val="20"/>
          <w:szCs w:val="20"/>
        </w:rPr>
        <w:t xml:space="preserve">10.2.4. </w:t>
      </w:r>
      <w:r>
        <w:rPr>
          <w:rFonts w:cs="Arial"/>
          <w:sz w:val="20"/>
          <w:szCs w:val="20"/>
        </w:rPr>
        <w:t xml:space="preserve">As Notas Fiscais deverão ser emitidas até o dia 25 de cada mês, conforme disposto no arti</w:t>
      </w:r>
      <w:r>
        <w:rPr>
          <w:rFonts w:cs="Arial"/>
          <w:sz w:val="20"/>
          <w:szCs w:val="20"/>
        </w:rPr>
        <w:t xml:space="preserve">go 3º, § 1º da Instrução Normativa n. 03/2008.</w:t>
      </w:r>
      <w:r>
        <w:rPr>
          <w:rFonts w:eastAsia="Times New Roman" w:cs="Arial"/>
          <w:b/>
          <w:sz w:val="20"/>
          <w:szCs w:val="20"/>
        </w:rPr>
      </w:r>
      <w:r>
        <w:rPr>
          <w:rFonts w:eastAsia="Times New Roman" w:cs="Arial"/>
          <w:b/>
          <w:sz w:val="20"/>
          <w:szCs w:val="20"/>
        </w:rPr>
      </w:r>
    </w:p>
    <w:p>
      <w:pPr>
        <w:pStyle w:val="2069"/>
        <w:pBdr/>
        <w:spacing w:before="0" w:line="240" w:lineRule="auto"/>
        <w:ind w:left="284"/>
        <w:jc w:val="both"/>
        <w:rPr>
          <w:rFonts w:cs="Arial"/>
          <w:b/>
          <w:sz w:val="20"/>
          <w:szCs w:val="20"/>
        </w:rPr>
      </w:pPr>
      <w:r>
        <w:rPr>
          <w:rFonts w:cs="Arial"/>
          <w:b/>
          <w:sz w:val="20"/>
          <w:szCs w:val="20"/>
        </w:rPr>
      </w:r>
      <w:r>
        <w:rPr>
          <w:rFonts w:cs="Arial"/>
          <w:b/>
          <w:sz w:val="20"/>
          <w:szCs w:val="20"/>
        </w:rPr>
      </w:r>
      <w:r>
        <w:rPr>
          <w:rFonts w:cs="Arial"/>
          <w:b/>
          <w:sz w:val="20"/>
          <w:szCs w:val="20"/>
        </w:rPr>
      </w:r>
    </w:p>
    <w:p>
      <w:pPr>
        <w:pStyle w:val="2069"/>
        <w:pBdr/>
        <w:spacing w:before="0" w:line="240" w:lineRule="auto"/>
        <w:ind/>
        <w:jc w:val="both"/>
        <w:rPr>
          <w:rFonts w:cs="Arial"/>
          <w:b/>
          <w:sz w:val="20"/>
          <w:szCs w:val="20"/>
        </w:rPr>
      </w:pPr>
      <w:r>
        <w:rPr>
          <w:rFonts w:cs="Arial"/>
          <w:b/>
          <w:sz w:val="20"/>
          <w:szCs w:val="20"/>
        </w:rPr>
        <w:t xml:space="preserve">10.2.5.</w:t>
      </w:r>
      <w:r>
        <w:rPr>
          <w:rFonts w:cs="Arial"/>
          <w:sz w:val="20"/>
          <w:szCs w:val="20"/>
        </w:rPr>
        <w:t xml:space="preserve"> </w:t>
      </w:r>
      <w:r>
        <w:rPr>
          <w:rStyle w:val="989"/>
          <w:rFonts w:eastAsia="NSimSun"/>
          <w:sz w:val="20"/>
          <w:szCs w:val="20"/>
          <w:lang w:eastAsia="pt-BR"/>
        </w:rPr>
        <w:t xml:space="preserve">Nas Notas Fiscais deverão constar o número do processo e da modalidade da licitação, bem como a Secretaria solicitante. </w:t>
      </w:r>
      <w:r>
        <w:rPr>
          <w:rFonts w:cs="Arial"/>
          <w:b/>
          <w:sz w:val="20"/>
          <w:szCs w:val="20"/>
        </w:rPr>
      </w:r>
      <w:r>
        <w:rPr>
          <w:rFonts w:cs="Arial"/>
          <w:b/>
          <w:sz w:val="20"/>
          <w:szCs w:val="20"/>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color w:val="000000"/>
        </w:rPr>
        <w:t xml:space="preserve">10.2.6. </w:t>
      </w:r>
      <w:r>
        <w:rPr>
          <w:rFonts w:ascii="Arial" w:hAnsi="Arial"/>
          <w:color w:val="000000"/>
        </w:rPr>
        <w:t xml:space="preserve">O Município de Rondonópolis-MT., só autorizará a realização dos pagame</w:t>
      </w:r>
      <w:r>
        <w:rPr>
          <w:rFonts w:ascii="Arial" w:hAnsi="Arial"/>
          <w:color w:val="000000"/>
        </w:rPr>
        <w:t xml:space="preserve">ntos, se houver por parte do setor requisitante dos produtos, o necessário ATESTO dos produtos entregues pela empresa vencedora, no verso da Nota Fiscal.</w:t>
      </w:r>
      <w:r>
        <w:rPr>
          <w:rFonts w:ascii="Arial" w:hAnsi="Arial"/>
        </w:rPr>
      </w:r>
      <w:r>
        <w:rPr>
          <w:rFonts w:ascii="Arial" w:hAnsi="Arial"/>
        </w:rPr>
      </w:r>
    </w:p>
    <w:p>
      <w:pPr>
        <w:pStyle w:val="2069"/>
        <w:pBdr/>
        <w:spacing w:before="0" w:line="240" w:lineRule="auto"/>
        <w:ind w:left="284"/>
        <w:jc w:val="both"/>
        <w:rPr>
          <w:rFonts w:eastAsia="Times New Roman" w:cs="Arial"/>
          <w:b/>
          <w:sz w:val="20"/>
          <w:szCs w:val="20"/>
        </w:rPr>
      </w:pPr>
      <w:r>
        <w:rPr>
          <w:rFonts w:eastAsia="Times New Roman" w:cs="Arial"/>
          <w:b/>
          <w:sz w:val="20"/>
          <w:szCs w:val="20"/>
        </w:rPr>
      </w:r>
      <w:r>
        <w:rPr>
          <w:rFonts w:eastAsia="Times New Roman" w:cs="Arial"/>
          <w:b/>
          <w:sz w:val="20"/>
          <w:szCs w:val="20"/>
        </w:rPr>
      </w:r>
      <w:r>
        <w:rPr>
          <w:rFonts w:eastAsia="Times New Roman" w:cs="Arial"/>
          <w:b/>
          <w:sz w:val="20"/>
          <w:szCs w:val="20"/>
        </w:rPr>
      </w:r>
    </w:p>
    <w:p>
      <w:pPr>
        <w:pStyle w:val="2069"/>
        <w:pBdr/>
        <w:spacing w:before="0" w:line="240" w:lineRule="auto"/>
        <w:ind/>
        <w:jc w:val="both"/>
        <w:rPr>
          <w:rFonts w:eastAsia="Times New Roman" w:cs="Arial"/>
          <w:sz w:val="20"/>
          <w:szCs w:val="20"/>
        </w:rPr>
      </w:pPr>
      <w:r>
        <w:rPr>
          <w:rFonts w:eastAsia="Times New Roman" w:cs="Arial"/>
          <w:b/>
          <w:sz w:val="20"/>
          <w:szCs w:val="20"/>
        </w:rPr>
        <w:t xml:space="preserve">10.2.7.</w:t>
      </w:r>
      <w:r>
        <w:rPr>
          <w:rFonts w:eastAsia="Times New Roman" w:cs="Arial"/>
          <w:sz w:val="20"/>
          <w:szCs w:val="20"/>
        </w:rPr>
        <w:t xml:space="preserve"> Nos preços a ser pago deverão estar inclusas todas as despesas inerentes a: salários, encargo</w:t>
      </w:r>
      <w:r>
        <w:rPr>
          <w:rFonts w:eastAsia="Times New Roman" w:cs="Arial"/>
          <w:sz w:val="20"/>
          <w:szCs w:val="20"/>
        </w:rPr>
        <w:t xml:space="preserve">s sociais, tributários, trabalhistas, comerciais (inclusive frete), materiais, enfim todas as despesas necessárias ao fornecimento do objeto deste Pregão a ser entregue no município de Rondonópolis-MT;</w:t>
      </w:r>
      <w:r>
        <w:rPr>
          <w:rFonts w:eastAsia="Times New Roman" w:cs="Arial"/>
          <w:sz w:val="20"/>
          <w:szCs w:val="20"/>
        </w:rPr>
      </w:r>
      <w:r>
        <w:rPr>
          <w:rFonts w:eastAsia="Times New Roman" w:cs="Arial"/>
          <w:sz w:val="20"/>
          <w:szCs w:val="20"/>
        </w:rPr>
      </w:r>
    </w:p>
    <w:p>
      <w:pPr>
        <w:pStyle w:val="2069"/>
        <w:pBdr/>
        <w:spacing w:before="0" w:line="240" w:lineRule="auto"/>
        <w:ind w:left="284"/>
        <w:jc w:val="both"/>
        <w:rPr>
          <w:rFonts w:eastAsia="Times New Roman" w:cs="Arial"/>
          <w:b/>
          <w:sz w:val="20"/>
          <w:szCs w:val="20"/>
        </w:rPr>
      </w:pPr>
      <w:r>
        <w:rPr>
          <w:rFonts w:eastAsia="Times New Roman" w:cs="Arial"/>
          <w:b/>
          <w:sz w:val="20"/>
          <w:szCs w:val="20"/>
        </w:rPr>
      </w:r>
      <w:r>
        <w:rPr>
          <w:rFonts w:eastAsia="Times New Roman" w:cs="Arial"/>
          <w:b/>
          <w:sz w:val="20"/>
          <w:szCs w:val="20"/>
        </w:rPr>
      </w:r>
      <w:r>
        <w:rPr>
          <w:rFonts w:eastAsia="Times New Roman" w:cs="Arial"/>
          <w:b/>
          <w:sz w:val="20"/>
          <w:szCs w:val="20"/>
        </w:rPr>
      </w:r>
    </w:p>
    <w:p>
      <w:pPr>
        <w:pStyle w:val="2069"/>
        <w:pBdr/>
        <w:spacing w:before="0" w:line="240" w:lineRule="auto"/>
        <w:ind/>
        <w:jc w:val="both"/>
        <w:rPr>
          <w:rFonts w:eastAsia="Times New Roman" w:cs="Arial"/>
          <w:sz w:val="20"/>
          <w:szCs w:val="20"/>
        </w:rPr>
      </w:pPr>
      <w:r>
        <w:rPr>
          <w:rFonts w:eastAsia="Times New Roman" w:cs="Arial"/>
          <w:b/>
          <w:sz w:val="20"/>
          <w:szCs w:val="20"/>
        </w:rPr>
        <w:t xml:space="preserve">10.2.8. </w:t>
      </w:r>
      <w:r>
        <w:rPr>
          <w:rFonts w:eastAsia="Times New Roman" w:cs="Arial"/>
          <w:sz w:val="20"/>
          <w:szCs w:val="20"/>
        </w:rPr>
        <w:t xml:space="preserve">O pagamento será realizado conforme contrato,</w:t>
      </w:r>
      <w:r>
        <w:rPr>
          <w:rFonts w:eastAsia="Times New Roman" w:cs="Arial"/>
          <w:sz w:val="20"/>
          <w:szCs w:val="20"/>
        </w:rPr>
        <w:t xml:space="preserve"> devendo ainda atender aos termos do art. 60 da Lei federal n.º 4.320, de 17/03/1964, em até 30 (trinta) dias após entrega e atesto de recebimento definitivo do objeto licitado, mediante apresentação da Nota Fiscal, atestada pelo servidor da secretaria dem</w:t>
      </w:r>
      <w:r>
        <w:rPr>
          <w:rFonts w:eastAsia="Times New Roman" w:cs="Arial"/>
          <w:sz w:val="20"/>
          <w:szCs w:val="20"/>
        </w:rPr>
        <w:t xml:space="preserve">andante responsável pelo recebimento, devidamente acompanhada dos documentos estabelecidos na Legislação Vigente ou o que venha a substituí-los, através de boleto ou transferência bancaria em conta jurídica da empresa contratada.</w:t>
      </w:r>
      <w:r>
        <w:rPr>
          <w:rFonts w:eastAsia="Times New Roman" w:cs="Arial"/>
          <w:sz w:val="20"/>
          <w:szCs w:val="20"/>
        </w:rPr>
      </w:r>
      <w:r>
        <w:rPr>
          <w:rFonts w:eastAsia="Times New Roman" w:cs="Arial"/>
          <w:sz w:val="20"/>
          <w:szCs w:val="20"/>
        </w:rPr>
      </w:r>
    </w:p>
    <w:p>
      <w:pPr>
        <w:pStyle w:val="2069"/>
        <w:pBdr/>
        <w:spacing w:before="0" w:line="240" w:lineRule="auto"/>
        <w:ind/>
        <w:jc w:val="both"/>
        <w:rPr>
          <w:rFonts w:cs="Arial"/>
          <w:b/>
          <w:sz w:val="20"/>
          <w:szCs w:val="20"/>
        </w:rPr>
      </w:pPr>
      <w:r>
        <w:rPr>
          <w:rFonts w:cs="Arial"/>
          <w:b/>
          <w:sz w:val="20"/>
          <w:szCs w:val="20"/>
        </w:rPr>
      </w:r>
      <w:r>
        <w:rPr>
          <w:rFonts w:cs="Arial"/>
          <w:b/>
          <w:sz w:val="20"/>
          <w:szCs w:val="20"/>
        </w:rPr>
      </w:r>
      <w:r>
        <w:rPr>
          <w:rFonts w:cs="Arial"/>
          <w:b/>
          <w:sz w:val="20"/>
          <w:szCs w:val="20"/>
        </w:rPr>
      </w:r>
    </w:p>
    <w:p>
      <w:pPr>
        <w:pStyle w:val="2069"/>
        <w:pBdr/>
        <w:spacing w:before="0" w:line="240" w:lineRule="auto"/>
        <w:ind/>
        <w:jc w:val="both"/>
        <w:rPr>
          <w:rFonts w:cs="Arial"/>
          <w:sz w:val="20"/>
          <w:szCs w:val="20"/>
        </w:rPr>
      </w:pPr>
      <w:r>
        <w:rPr>
          <w:rFonts w:cs="Arial"/>
          <w:b/>
          <w:sz w:val="20"/>
          <w:szCs w:val="20"/>
        </w:rPr>
        <w:t xml:space="preserve">10.2.9.</w:t>
      </w:r>
      <w:r>
        <w:rPr>
          <w:rFonts w:cs="Arial"/>
          <w:sz w:val="20"/>
          <w:szCs w:val="20"/>
        </w:rPr>
        <w:t xml:space="preserve"> Constando qualquer incorreção na nota fiscal, bem como, outra circunstância que desaconselhe o seu pagamento, o prazo para pagamento constante fluirá a partir da respectiva regularização;</w:t>
      </w:r>
      <w:r>
        <w:rPr>
          <w:rFonts w:cs="Arial"/>
          <w:sz w:val="20"/>
          <w:szCs w:val="20"/>
        </w:rPr>
      </w:r>
      <w:r>
        <w:rPr>
          <w:rFonts w:cs="Arial"/>
          <w:sz w:val="20"/>
          <w:szCs w:val="20"/>
        </w:rPr>
      </w:r>
    </w:p>
    <w:p>
      <w:pPr>
        <w:pStyle w:val="2069"/>
        <w:pBdr/>
        <w:spacing w:before="0" w:line="240" w:lineRule="auto"/>
        <w:ind w:left="284"/>
        <w:jc w:val="both"/>
        <w:rPr>
          <w:rFonts w:cs="Arial"/>
          <w:b/>
          <w:sz w:val="20"/>
          <w:szCs w:val="20"/>
        </w:rPr>
      </w:pPr>
      <w:r>
        <w:rPr>
          <w:rFonts w:cs="Arial"/>
          <w:b/>
          <w:sz w:val="20"/>
          <w:szCs w:val="20"/>
        </w:rPr>
      </w:r>
      <w:r>
        <w:rPr>
          <w:rFonts w:cs="Arial"/>
          <w:b/>
          <w:sz w:val="20"/>
          <w:szCs w:val="20"/>
        </w:rPr>
      </w:r>
      <w:r>
        <w:rPr>
          <w:rFonts w:cs="Arial"/>
          <w:b/>
          <w:sz w:val="20"/>
          <w:szCs w:val="20"/>
        </w:rPr>
      </w:r>
    </w:p>
    <w:p>
      <w:pPr>
        <w:pStyle w:val="2069"/>
        <w:pBdr/>
        <w:spacing w:before="0" w:line="240" w:lineRule="auto"/>
        <w:ind/>
        <w:jc w:val="both"/>
        <w:rPr>
          <w:rFonts w:cs="Arial"/>
          <w:sz w:val="20"/>
          <w:szCs w:val="20"/>
        </w:rPr>
      </w:pPr>
      <w:r>
        <w:rPr>
          <w:rFonts w:cs="Arial"/>
          <w:b/>
          <w:sz w:val="20"/>
          <w:szCs w:val="20"/>
        </w:rPr>
        <w:t xml:space="preserve">10.2.10.</w:t>
      </w:r>
      <w:r>
        <w:rPr>
          <w:rFonts w:cs="Arial"/>
          <w:sz w:val="20"/>
          <w:szCs w:val="20"/>
        </w:rPr>
        <w:t xml:space="preserve"> Qua</w:t>
      </w:r>
      <w:r>
        <w:rPr>
          <w:rFonts w:cs="Arial"/>
          <w:sz w:val="20"/>
          <w:szCs w:val="20"/>
        </w:rPr>
        <w:t xml:space="preserve">ndo do pagamento a ser efetuado ficará condicionado à apresentação pela empresa dos comprobatórios de quitação das obrigações para com o INSS e FGTS, referente ao mês anterior. Portanto, será efetuada a retenção tributária prevista na legislação aplicável.</w:t>
      </w:r>
      <w:r>
        <w:rPr>
          <w:rFonts w:cs="Arial"/>
          <w:sz w:val="20"/>
          <w:szCs w:val="20"/>
        </w:rPr>
      </w:r>
      <w:r>
        <w:rPr>
          <w:rFonts w:cs="Arial"/>
          <w:sz w:val="20"/>
          <w:szCs w:val="20"/>
        </w:rPr>
      </w:r>
    </w:p>
    <w:p>
      <w:pPr>
        <w:pStyle w:val="2069"/>
        <w:pBdr/>
        <w:spacing w:before="0" w:line="240" w:lineRule="auto"/>
        <w:ind/>
        <w:jc w:val="both"/>
        <w:rPr>
          <w:rFonts w:cs="Arial"/>
          <w:b/>
          <w:sz w:val="20"/>
          <w:szCs w:val="20"/>
        </w:rPr>
      </w:pPr>
      <w:r>
        <w:rPr>
          <w:rFonts w:cs="Arial"/>
          <w:b/>
          <w:sz w:val="20"/>
          <w:szCs w:val="20"/>
        </w:rPr>
      </w:r>
      <w:r>
        <w:rPr>
          <w:rFonts w:cs="Arial"/>
          <w:b/>
          <w:sz w:val="20"/>
          <w:szCs w:val="20"/>
        </w:rPr>
      </w:r>
      <w:r>
        <w:rPr>
          <w:rFonts w:cs="Arial"/>
          <w:b/>
          <w:sz w:val="20"/>
          <w:szCs w:val="20"/>
        </w:rPr>
      </w:r>
    </w:p>
    <w:p>
      <w:pPr>
        <w:pStyle w:val="2069"/>
        <w:pBdr/>
        <w:spacing w:before="0" w:line="240" w:lineRule="auto"/>
        <w:ind/>
        <w:jc w:val="both"/>
        <w:rPr>
          <w:rFonts w:cs="Arial"/>
          <w:sz w:val="20"/>
          <w:szCs w:val="20"/>
        </w:rPr>
      </w:pPr>
      <w:r>
        <w:rPr>
          <w:rFonts w:cs="Arial"/>
          <w:b/>
          <w:sz w:val="20"/>
          <w:szCs w:val="20"/>
        </w:rPr>
        <w:t xml:space="preserve">10.2.11.</w:t>
      </w:r>
      <w:r>
        <w:rPr>
          <w:rFonts w:cs="Arial"/>
          <w:sz w:val="20"/>
          <w:szCs w:val="20"/>
        </w:rPr>
        <w:t xml:space="preserve"> Quando do pagamento, será efetuada a retenção tributária prevista na legislação aplicável.</w:t>
      </w:r>
      <w:r>
        <w:rPr>
          <w:rFonts w:cs="Arial"/>
          <w:sz w:val="20"/>
          <w:szCs w:val="20"/>
        </w:rPr>
      </w:r>
      <w:r>
        <w:rPr>
          <w:rFonts w:cs="Arial"/>
          <w:sz w:val="20"/>
          <w:szCs w:val="20"/>
        </w:rPr>
      </w:r>
    </w:p>
    <w:p>
      <w:pPr>
        <w:pStyle w:val="2069"/>
        <w:pBdr/>
        <w:spacing w:before="0" w:line="240" w:lineRule="auto"/>
        <w:ind w:left="284"/>
        <w:jc w:val="both"/>
        <w:rPr>
          <w:rFonts w:cs="Arial"/>
          <w:sz w:val="20"/>
          <w:szCs w:val="20"/>
        </w:rPr>
      </w:pPr>
      <w:r>
        <w:rPr>
          <w:rFonts w:cs="Arial"/>
          <w:sz w:val="20"/>
          <w:szCs w:val="20"/>
        </w:rPr>
      </w:r>
      <w:r>
        <w:rPr>
          <w:rFonts w:cs="Arial"/>
          <w:sz w:val="20"/>
          <w:szCs w:val="20"/>
        </w:rPr>
      </w:r>
      <w:r>
        <w:rPr>
          <w:rFonts w:cs="Arial"/>
          <w:sz w:val="20"/>
          <w:szCs w:val="20"/>
        </w:rPr>
      </w:r>
    </w:p>
    <w:p>
      <w:pPr>
        <w:pStyle w:val="2069"/>
        <w:pBdr/>
        <w:spacing w:before="0" w:line="240" w:lineRule="auto"/>
        <w:ind/>
        <w:jc w:val="both"/>
        <w:rPr>
          <w:rFonts w:eastAsia="Times New Roman" w:cs="Arial"/>
          <w:sz w:val="20"/>
          <w:szCs w:val="20"/>
        </w:rPr>
      </w:pPr>
      <w:r>
        <w:rPr>
          <w:rFonts w:cs="Arial"/>
          <w:b/>
          <w:sz w:val="20"/>
          <w:szCs w:val="20"/>
        </w:rPr>
        <w:t xml:space="preserve">10.2.12.</w:t>
      </w:r>
      <w:r>
        <w:rPr>
          <w:rFonts w:cs="Arial"/>
          <w:sz w:val="20"/>
          <w:szCs w:val="20"/>
        </w:rPr>
        <w:t xml:space="preserve"> O pagamento efetuado não isentará a contratada de suas responsabilidades vinculadas ao fornecimento, especialmente àquelas relacionadas com a qu</w:t>
      </w:r>
      <w:r>
        <w:rPr>
          <w:rFonts w:cs="Arial"/>
          <w:sz w:val="20"/>
          <w:szCs w:val="20"/>
        </w:rPr>
        <w:t xml:space="preserve">alidade e garantia dos bens fornecidos;</w:t>
      </w:r>
      <w:r>
        <w:rPr>
          <w:rFonts w:eastAsia="Times New Roman" w:cs="Arial"/>
          <w:sz w:val="20"/>
          <w:szCs w:val="20"/>
        </w:rPr>
      </w:r>
      <w:r>
        <w:rPr>
          <w:rFonts w:eastAsia="Times New Roman" w:cs="Arial"/>
          <w:sz w:val="20"/>
          <w:szCs w:val="20"/>
        </w:rPr>
      </w:r>
    </w:p>
    <w:p>
      <w:pPr>
        <w:pStyle w:val="2069"/>
        <w:pBdr/>
        <w:spacing w:before="0" w:line="240" w:lineRule="auto"/>
        <w:ind w:left="284"/>
        <w:jc w:val="both"/>
        <w:rPr>
          <w:rFonts w:cs="Arial"/>
          <w:b/>
          <w:sz w:val="19"/>
          <w:szCs w:val="19"/>
        </w:rPr>
      </w:pPr>
      <w:r>
        <w:rPr>
          <w:rFonts w:cs="Arial"/>
          <w:b/>
          <w:sz w:val="19"/>
          <w:szCs w:val="19"/>
        </w:rPr>
      </w:r>
      <w:r>
        <w:rPr>
          <w:rFonts w:cs="Arial"/>
          <w:b/>
          <w:sz w:val="19"/>
          <w:szCs w:val="19"/>
        </w:rPr>
      </w:r>
      <w:r>
        <w:rPr>
          <w:rFonts w:cs="Arial"/>
          <w:b/>
          <w:sz w:val="19"/>
          <w:szCs w:val="19"/>
        </w:rPr>
      </w:r>
    </w:p>
    <w:p>
      <w:pPr>
        <w:pStyle w:val="2069"/>
        <w:pBdr/>
        <w:spacing w:before="0" w:line="240" w:lineRule="auto"/>
        <w:ind/>
        <w:jc w:val="both"/>
        <w:rPr>
          <w:rFonts w:cs="Arial"/>
          <w:b/>
          <w:sz w:val="19"/>
          <w:szCs w:val="19"/>
        </w:rPr>
      </w:pPr>
      <w:r>
        <w:rPr>
          <w:rFonts w:cs="Arial"/>
          <w:b/>
          <w:sz w:val="19"/>
          <w:szCs w:val="19"/>
        </w:rPr>
        <w:t xml:space="preserve">10.2</w:t>
      </w:r>
      <w:r>
        <w:rPr>
          <w:rStyle w:val="989"/>
          <w:b/>
          <w:sz w:val="19"/>
          <w:szCs w:val="19"/>
          <w:lang w:eastAsia="pt-BR" w:bidi="ar-SA"/>
        </w:rPr>
        <w:t xml:space="preserve">.13.</w:t>
      </w:r>
      <w:r>
        <w:rPr>
          <w:rStyle w:val="989"/>
          <w:sz w:val="19"/>
          <w:szCs w:val="19"/>
          <w:lang w:eastAsia="pt-BR" w:bidi="ar-SA"/>
        </w:rPr>
        <w:t xml:space="preserve"> Ocorrendo umas das hipóteses previstas na alínea “d” do inciso II do artigo 124 da Lei n. 14.133/2021, poderá haver a repactuação, reajuste, revisão ou realinhamento, onde deverão ser precedidos de demonstr</w:t>
      </w:r>
      <w:r>
        <w:rPr>
          <w:rStyle w:val="989"/>
          <w:sz w:val="19"/>
          <w:szCs w:val="19"/>
          <w:lang w:eastAsia="pt-BR" w:bidi="ar-SA"/>
        </w:rPr>
        <w:t xml:space="preserve">ação analítica do aumento dos custos, bem como análise Técnico Contábil do setor Financeiro e da Assessoria Jurídica deste Município.</w:t>
      </w:r>
      <w:r>
        <w:rPr>
          <w:rFonts w:cs="Arial"/>
          <w:b/>
          <w:sz w:val="19"/>
          <w:szCs w:val="19"/>
        </w:rPr>
      </w:r>
      <w:r>
        <w:rPr>
          <w:rFonts w:cs="Arial"/>
          <w:b/>
          <w:sz w:val="19"/>
          <w:szCs w:val="19"/>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eastAsia="SimSun"/>
          <w:b/>
        </w:rPr>
      </w:pPr>
      <w:r>
        <w:rPr>
          <w:rFonts w:ascii="Arial" w:hAnsi="Arial" w:eastAsia="SimSun"/>
          <w:b/>
        </w:rPr>
        <w:t xml:space="preserve">10.3. PRAZOS DE PAGAMENTO:</w:t>
      </w:r>
      <w:r>
        <w:rPr>
          <w:rFonts w:ascii="Arial" w:hAnsi="Arial" w:eastAsia="SimSun"/>
          <w:b/>
        </w:rPr>
      </w:r>
      <w:r>
        <w:rPr>
          <w:rFonts w:ascii="Arial" w:hAnsi="Arial" w:eastAsia="SimSun"/>
          <w:b/>
        </w:rPr>
      </w:r>
    </w:p>
    <w:p>
      <w:pPr>
        <w:pBdr/>
        <w:spacing/>
        <w:ind/>
        <w:jc w:val="both"/>
        <w:rPr>
          <w:rFonts w:ascii="Arial" w:hAnsi="Arial" w:eastAsia="SimSun"/>
          <w:b/>
        </w:rPr>
      </w:pPr>
      <w:r>
        <w:rPr>
          <w:rFonts w:ascii="Arial" w:hAnsi="Arial" w:eastAsia="SimSun"/>
          <w:b/>
        </w:rPr>
      </w:r>
      <w:r>
        <w:rPr>
          <w:rFonts w:ascii="Arial" w:hAnsi="Arial" w:eastAsia="SimSun"/>
          <w:b/>
        </w:rPr>
      </w:r>
      <w:r>
        <w:rPr>
          <w:rFonts w:ascii="Arial" w:hAnsi="Arial" w:eastAsia="SimSun"/>
          <w:b/>
        </w:rPr>
      </w:r>
    </w:p>
    <w:p>
      <w:pPr>
        <w:pBdr/>
        <w:spacing/>
        <w:ind/>
        <w:jc w:val="both"/>
        <w:rPr>
          <w:rFonts w:ascii="Arial" w:hAnsi="Arial"/>
          <w:color w:val="000000"/>
        </w:rPr>
      </w:pPr>
      <w:r>
        <w:rPr>
          <w:rFonts w:ascii="Arial" w:hAnsi="Arial"/>
          <w:b/>
          <w:color w:val="000000"/>
        </w:rPr>
        <w:t xml:space="preserve">10.3.1.</w:t>
      </w:r>
      <w:r>
        <w:rPr>
          <w:rFonts w:ascii="Arial" w:hAnsi="Arial"/>
          <w:color w:val="000000"/>
        </w:rPr>
        <w:t xml:space="preserve"> O pagamento será realizado conforme contrato, devendo ainda atender aos termos do art</w:t>
      </w:r>
      <w:r>
        <w:rPr>
          <w:rFonts w:ascii="Arial" w:hAnsi="Arial"/>
          <w:color w:val="000000"/>
        </w:rPr>
        <w:t xml:space="preserve">. 60 da Lei federal n.º 4.320, de 17/03/1964, em até 30 (trinta) dias após entrega e atesto de recebimento definitivo do objeto licitado, mediante apresentação da Nota Fiscal, atestada pelo servidor da secretaria demandante responsável pelo recebimento, de</w:t>
      </w:r>
      <w:r>
        <w:rPr>
          <w:rFonts w:ascii="Arial" w:hAnsi="Arial"/>
          <w:color w:val="000000"/>
        </w:rPr>
        <w:t xml:space="preserve">vidamente acompanhada dos documentos estabelecidos na Legislação Vigente ou o que venha a substituí-los, através de boleto ou transferência bancaria em conta jurídica da empresa contratada.</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10.3.2.</w:t>
      </w:r>
      <w:r>
        <w:rPr>
          <w:rFonts w:ascii="Arial" w:hAnsi="Arial"/>
          <w:color w:val="000000"/>
        </w:rPr>
        <w:t xml:space="preserve"> O(s) pagamento(s) não realizado(s) dentro do prazo por ev</w:t>
      </w:r>
      <w:r>
        <w:rPr>
          <w:rFonts w:ascii="Arial" w:hAnsi="Arial"/>
          <w:color w:val="000000"/>
        </w:rPr>
        <w:t xml:space="preserve">entos decorrentes do contratado, não será(ão) gerador(es) de direito a qualquer acréscimo financeiro; A efetivação dos pagamentos não isentará o contratado das suas responsabilidades e das suas obrigações contratuais, especialmente aquelas relacionadas à q</w:t>
      </w:r>
      <w:r>
        <w:rPr>
          <w:rFonts w:ascii="Arial" w:hAnsi="Arial"/>
          <w:color w:val="000000"/>
        </w:rPr>
        <w:t xml:space="preserve">ualidade e à garantia dos produtos entregues.</w:t>
      </w:r>
      <w:r>
        <w:rPr>
          <w:rFonts w:ascii="Arial" w:hAnsi="Arial"/>
          <w:color w:val="000000"/>
        </w:rPr>
      </w:r>
      <w:r>
        <w:rPr>
          <w:rFonts w:ascii="Arial" w:hAnsi="Arial"/>
          <w:color w:val="000000"/>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rPr>
      </w:pPr>
      <w:r>
        <w:rPr>
          <w:rFonts w:ascii="Arial" w:hAnsi="Arial"/>
          <w:b/>
          <w:color w:val="000000"/>
        </w:rPr>
        <w:t xml:space="preserve">10.3.3.</w:t>
      </w:r>
      <w:r>
        <w:rPr>
          <w:rFonts w:ascii="Arial" w:hAnsi="Arial"/>
          <w:color w:val="000000"/>
        </w:rPr>
        <w:t xml:space="preserve"> O Município de Rondonópolis-MT., só autorizará a realização dos pagamentos, se houver por parte do setor requisitante dos produtos, o necessário ATESTO dos produtos entregues pela empresa vencedora, no</w:t>
      </w:r>
      <w:r>
        <w:rPr>
          <w:rFonts w:ascii="Arial" w:hAnsi="Arial"/>
          <w:color w:val="000000"/>
        </w:rPr>
        <w:t xml:space="preserve"> verso da Nota Fiscal.</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10.3.4.</w:t>
      </w:r>
      <w:r>
        <w:rPr>
          <w:rFonts w:ascii="Arial" w:hAnsi="Arial"/>
          <w:color w:val="000000"/>
        </w:rPr>
        <w:t xml:space="preserve"> Nos preços a ser pago deverão estar inclusas todas as despesas inerentes a: salários, encargos sociais, tributários, trabalhistas, comerciais (inclusive frete), materiais, enfim todas as despesas necessárias ao fornecimento </w:t>
      </w:r>
      <w:r>
        <w:rPr>
          <w:rFonts w:ascii="Arial" w:hAnsi="Arial"/>
          <w:color w:val="000000"/>
        </w:rPr>
        <w:t xml:space="preserve">do objeto deste Pregão a ser entregue no município de Rondonópolis-MT;</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10.3.5.</w:t>
      </w:r>
      <w:r>
        <w:rPr>
          <w:rFonts w:ascii="Arial" w:hAnsi="Arial"/>
          <w:color w:val="000000"/>
        </w:rPr>
        <w:t xml:space="preserve"> Constando qualquer incorreção na nota fiscal, bem como, outra circunstância que desaconselhe o seu pagamento, o prazo para pagamento constante fluirá a partir da respectiva regularização;</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10.3.6.</w:t>
      </w:r>
      <w:r>
        <w:rPr>
          <w:rFonts w:ascii="Arial" w:hAnsi="Arial"/>
          <w:color w:val="000000"/>
        </w:rPr>
        <w:t xml:space="preserve"> Quando do pagamento a ser efetuado ficará condicionado à a</w:t>
      </w:r>
      <w:r>
        <w:rPr>
          <w:rFonts w:ascii="Arial" w:hAnsi="Arial"/>
          <w:color w:val="000000"/>
        </w:rPr>
        <w:t xml:space="preserve">presentação pela empresa dos comprobatórios de quitação das obrigações para com o INSS e FGTS, referente ao mês anterior. Portanto, será efetuada a retenção tributária prevista na legislação aplicável.</w:t>
      </w:r>
      <w:r>
        <w:rPr>
          <w:rFonts w:ascii="Arial" w:hAnsi="Arial"/>
          <w:color w:val="000000"/>
        </w:rPr>
      </w:r>
      <w:r>
        <w:rPr>
          <w:rFonts w:ascii="Arial" w:hAnsi="Arial"/>
          <w:color w:val="000000"/>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rPr>
      </w:pPr>
      <w:r>
        <w:rPr>
          <w:rFonts w:ascii="Arial" w:hAnsi="Arial"/>
          <w:b/>
          <w:color w:val="000000"/>
        </w:rPr>
        <w:t xml:space="preserve">10.3.7.</w:t>
      </w:r>
      <w:r>
        <w:rPr>
          <w:rFonts w:ascii="Arial" w:hAnsi="Arial"/>
          <w:color w:val="000000"/>
        </w:rPr>
        <w:t xml:space="preserve"> Quando do pagamento, será efetuada a retenção</w:t>
      </w:r>
      <w:r>
        <w:rPr>
          <w:rFonts w:ascii="Arial" w:hAnsi="Arial"/>
          <w:color w:val="000000"/>
        </w:rPr>
        <w:t xml:space="preserve"> tributária prevista na legislação aplicável.</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10.3.8.</w:t>
      </w:r>
      <w:r>
        <w:rPr>
          <w:rFonts w:ascii="Arial" w:hAnsi="Arial"/>
          <w:color w:val="000000"/>
        </w:rPr>
        <w:t xml:space="preserve"> O pagamento efetuado não isentará a contratada de suas responsabilidades vinculadas ao fornecimento, especialmente àquelas relacionadas com a qualidade e garantia dos bens fornecidos;</w:t>
      </w:r>
      <w:r>
        <w:rPr>
          <w:rFonts w:ascii="Arial" w:hAnsi="Arial"/>
          <w:color w:val="000000"/>
        </w:rPr>
      </w:r>
      <w:r>
        <w:rPr>
          <w:rFonts w:ascii="Arial" w:hAnsi="Arial"/>
          <w:color w:val="000000"/>
        </w:rP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CLÁUSULA DÉCIMA PRIMEIRA – DA ALTERAÇÃO DE MARCA E DE PREÇO</w:t>
      </w:r>
      <w:r/>
    </w:p>
    <w:p>
      <w:pPr>
        <w:pBdr/>
        <w:spacing/>
        <w:ind/>
        <w:jc w:val="both"/>
        <w:rPr>
          <w:rFonts w:ascii="Arial" w:hAnsi="Arial"/>
          <w:b/>
        </w:rPr>
      </w:pPr>
      <w:r>
        <w:rPr>
          <w:rFonts w:ascii="Arial" w:hAnsi="Arial"/>
          <w:b/>
        </w:rPr>
      </w:r>
      <w:r>
        <w:rPr>
          <w:rFonts w:ascii="Arial" w:hAnsi="Arial"/>
          <w:b/>
        </w:rPr>
      </w:r>
      <w:r>
        <w:rPr>
          <w:rFonts w:ascii="Arial" w:hAnsi="Arial"/>
          <w:b/>
        </w:rPr>
      </w:r>
    </w:p>
    <w:p>
      <w:pPr>
        <w:pBdr/>
        <w:shd w:val="clear" w:color="auto" w:fill="ffffff"/>
        <w:spacing/>
        <w:ind/>
        <w:jc w:val="both"/>
        <w:rPr/>
      </w:pPr>
      <w:r>
        <w:rPr>
          <w:rFonts w:ascii="Arial" w:hAnsi="Arial"/>
          <w:b/>
        </w:rPr>
        <w:t xml:space="preserve">11.1.</w:t>
      </w:r>
      <w:r>
        <w:rPr>
          <w:rFonts w:ascii="Arial" w:hAnsi="Arial"/>
        </w:rPr>
        <w:t xml:space="preserve">  A ARP poderá ser alterada mediante a substituição de marca nas seguintes condições:</w:t>
      </w:r>
      <w:r/>
    </w:p>
    <w:p>
      <w:pPr>
        <w:pBdr/>
        <w:shd w:val="clear" w:color="auto" w:fill="ffffff"/>
        <w:spacing/>
        <w:ind w:hanging="567" w:left="567"/>
        <w:jc w:val="both"/>
        <w:rPr/>
      </w:pPr>
      <w:r/>
      <w:r/>
    </w:p>
    <w:p>
      <w:pPr>
        <w:pBdr/>
        <w:shd w:val="clear" w:color="auto" w:fill="ffffff"/>
        <w:spacing/>
        <w:ind/>
        <w:jc w:val="both"/>
        <w:rPr/>
      </w:pPr>
      <w:r>
        <w:rPr>
          <w:rFonts w:ascii="Arial" w:hAnsi="Arial"/>
          <w:b/>
        </w:rPr>
        <w:t xml:space="preserve">I </w:t>
      </w:r>
      <w:r>
        <w:rPr>
          <w:rFonts w:ascii="Arial" w:hAnsi="Arial"/>
        </w:rPr>
        <w:t xml:space="preserve">- Por solicitação do Órgão ou da Entidade Gerenciadora, se comprovado que a marca não mais atende às </w:t>
      </w:r>
      <w:r>
        <w:rPr>
          <w:rFonts w:ascii="Arial" w:hAnsi="Arial"/>
        </w:rPr>
        <w:t xml:space="preserve">especificações exigidas ou se encontra fora da legislação aplicável;</w:t>
      </w:r>
      <w:r/>
    </w:p>
    <w:p>
      <w:pPr>
        <w:pBdr/>
        <w:shd w:val="clear" w:color="auto" w:fill="ffffff"/>
        <w:spacing/>
        <w:ind w:firstLine="709"/>
        <w:jc w:val="both"/>
        <w:rPr>
          <w:rFonts w:ascii="Arial" w:hAnsi="Arial"/>
        </w:rPr>
      </w:pPr>
      <w:r>
        <w:rPr>
          <w:rFonts w:ascii="Arial" w:hAnsi="Arial"/>
        </w:rPr>
      </w:r>
      <w:r>
        <w:rPr>
          <w:rFonts w:ascii="Arial" w:hAnsi="Arial"/>
        </w:rPr>
      </w:r>
      <w:r>
        <w:rPr>
          <w:rFonts w:ascii="Arial" w:hAnsi="Arial"/>
        </w:rPr>
      </w:r>
    </w:p>
    <w:p>
      <w:pPr>
        <w:pBdr/>
        <w:shd w:val="clear" w:color="auto" w:fill="ffffff"/>
        <w:spacing/>
        <w:ind/>
        <w:jc w:val="both"/>
        <w:rPr/>
      </w:pPr>
      <w:r>
        <w:rPr>
          <w:rFonts w:ascii="Arial" w:hAnsi="Arial"/>
          <w:b/>
        </w:rPr>
        <w:t xml:space="preserve">II</w:t>
      </w:r>
      <w:r>
        <w:rPr>
          <w:rFonts w:ascii="Arial" w:hAnsi="Arial"/>
        </w:rPr>
        <w:t xml:space="preserve"> - Por requerimento do Detentor, que deve ser apreciado pelo Órgão ou Entidade Gerenciadora, em hipótese que comprove a impossibilidade de fornecimento.</w:t>
      </w:r>
      <w:r/>
    </w:p>
    <w:p>
      <w:pPr>
        <w:pBdr/>
        <w:shd w:val="clear" w:color="auto" w:fill="ffffff"/>
        <w:spacing/>
        <w:ind w:firstLine="709"/>
        <w:jc w:val="both"/>
        <w:rPr/>
      </w:pPr>
      <w:r/>
      <w:r/>
    </w:p>
    <w:p>
      <w:pPr>
        <w:pBdr/>
        <w:shd w:val="clear" w:color="auto" w:fill="ffffff"/>
        <w:spacing/>
        <w:ind/>
        <w:jc w:val="both"/>
        <w:rPr/>
      </w:pPr>
      <w:r>
        <w:rPr>
          <w:rFonts w:ascii="Arial" w:hAnsi="Arial"/>
          <w:b/>
        </w:rPr>
        <w:t xml:space="preserve">11.1.1.</w:t>
      </w:r>
      <w:r>
        <w:rPr>
          <w:rFonts w:ascii="Arial" w:hAnsi="Arial"/>
        </w:rPr>
        <w:t xml:space="preserve"> O Órgão ou Entidade Ge</w:t>
      </w:r>
      <w:r>
        <w:rPr>
          <w:rFonts w:ascii="Arial" w:hAnsi="Arial"/>
        </w:rPr>
        <w:t xml:space="preserve">renciadora somente poderá aquiescer com a substituição requerida pelo Detentor se comprovadamente houver igualdade de condições ou vantagem para o interesse público.</w:t>
      </w:r>
      <w:r/>
    </w:p>
    <w:p>
      <w:pPr>
        <w:pBdr/>
        <w:shd w:val="clear" w:color="auto" w:fill="ffffff"/>
        <w:spacing/>
        <w:ind w:firstLine="709"/>
        <w:jc w:val="both"/>
        <w:rPr/>
      </w:pPr>
      <w:r/>
      <w:r/>
    </w:p>
    <w:p>
      <w:pPr>
        <w:pBdr/>
        <w:tabs>
          <w:tab w:val="left" w:leader="none" w:pos="7740"/>
        </w:tabs>
        <w:spacing/>
        <w:ind/>
        <w:jc w:val="both"/>
        <w:rPr/>
      </w:pPr>
      <w:r>
        <w:rPr>
          <w:rFonts w:ascii="Arial" w:hAnsi="Arial"/>
          <w:b/>
        </w:rPr>
        <w:t xml:space="preserve">11.1.2.</w:t>
      </w:r>
      <w:r>
        <w:rPr>
          <w:rFonts w:ascii="Arial" w:hAnsi="Arial"/>
        </w:rPr>
        <w:t xml:space="preserve"> A substituição de marca implicará em nova análise do produto, conforme previsto n</w:t>
      </w:r>
      <w:r>
        <w:rPr>
          <w:rFonts w:ascii="Arial" w:hAnsi="Arial"/>
        </w:rPr>
        <w:t xml:space="preserve">o edital, anexos e na legislação aplicável. </w:t>
      </w:r>
      <w:r/>
    </w:p>
    <w:p>
      <w:pPr>
        <w:pBdr/>
        <w:tabs>
          <w:tab w:val="left" w:leader="none" w:pos="1276"/>
          <w:tab w:val="left" w:leader="none" w:pos="7740"/>
        </w:tabs>
        <w:spacing/>
        <w:ind w:hanging="709" w:left="1276"/>
        <w:jc w:val="both"/>
        <w:rPr>
          <w:rFonts w:ascii="Arial" w:hAnsi="Arial"/>
          <w:b/>
        </w:rPr>
      </w:pPr>
      <w:r>
        <w:rPr>
          <w:rFonts w:ascii="Arial" w:hAnsi="Arial"/>
          <w:b/>
        </w:rPr>
      </w:r>
      <w:r>
        <w:rPr>
          <w:rFonts w:ascii="Arial" w:hAnsi="Arial"/>
          <w:b/>
        </w:rPr>
      </w:r>
      <w:r>
        <w:rPr>
          <w:rFonts w:ascii="Arial" w:hAnsi="Arial"/>
          <w:b/>
        </w:rPr>
      </w:r>
    </w:p>
    <w:p>
      <w:pPr>
        <w:pBdr/>
        <w:tabs>
          <w:tab w:val="left" w:leader="none" w:pos="1276"/>
          <w:tab w:val="left" w:leader="none" w:pos="7740"/>
        </w:tabs>
        <w:spacing/>
        <w:ind/>
        <w:jc w:val="both"/>
        <w:rPr/>
      </w:pPr>
      <w:r>
        <w:rPr>
          <w:rFonts w:ascii="Arial" w:hAnsi="Arial"/>
          <w:b/>
        </w:rPr>
        <w:t xml:space="preserve">11.1.3.</w:t>
      </w:r>
      <w:r>
        <w:rPr>
          <w:rFonts w:ascii="Arial" w:hAnsi="Arial"/>
        </w:rPr>
        <w:t xml:space="preserve"> A substituição de marca deverá ser publicada obrigatoriamente no DIORONDON.</w:t>
      </w:r>
      <w:r/>
    </w:p>
    <w:p>
      <w:pPr>
        <w:pBdr/>
        <w:shd w:val="clear" w:color="auto" w:fill="ffffff"/>
        <w:spacing/>
        <w:ind/>
        <w:jc w:val="both"/>
        <w:rPr>
          <w:rFonts w:ascii="Arial" w:hAnsi="Arial"/>
        </w:rPr>
      </w:pPr>
      <w:r>
        <w:rPr>
          <w:rFonts w:ascii="Arial" w:hAnsi="Arial"/>
        </w:rPr>
      </w:r>
      <w:r>
        <w:rPr>
          <w:rFonts w:ascii="Arial" w:hAnsi="Arial"/>
        </w:rPr>
      </w:r>
      <w:r>
        <w:rPr>
          <w:rFonts w:ascii="Arial" w:hAnsi="Arial"/>
        </w:rPr>
      </w:r>
    </w:p>
    <w:p>
      <w:pPr>
        <w:pBdr/>
        <w:shd w:val="clear" w:color="auto" w:fill="ffffff"/>
        <w:spacing/>
        <w:ind/>
        <w:jc w:val="both"/>
        <w:rPr/>
      </w:pPr>
      <w:r>
        <w:rPr>
          <w:rFonts w:ascii="Arial" w:hAnsi="Arial"/>
          <w:b/>
        </w:rPr>
        <w:t xml:space="preserve">11.2.</w:t>
      </w:r>
      <w:r>
        <w:rPr>
          <w:rFonts w:ascii="Arial" w:hAnsi="Arial"/>
        </w:rPr>
        <w:t xml:space="preserve"> As alterações de preços em ata decorrentes de SRP obedecerão às seguintes regras:</w:t>
      </w:r>
      <w:r/>
    </w:p>
    <w:p>
      <w:pPr>
        <w:pBdr/>
        <w:shd w:val="clear" w:color="auto" w:fill="ffffff"/>
        <w:spacing/>
        <w:ind w:firstLine="709"/>
        <w:jc w:val="both"/>
        <w:rPr/>
      </w:pPr>
      <w:r/>
      <w:r/>
    </w:p>
    <w:p>
      <w:pPr>
        <w:pBdr/>
        <w:shd w:val="clear" w:color="auto" w:fill="ffffff"/>
        <w:spacing/>
        <w:ind/>
        <w:jc w:val="both"/>
        <w:rPr/>
      </w:pPr>
      <w:r>
        <w:rPr>
          <w:rFonts w:ascii="Arial" w:hAnsi="Arial"/>
        </w:rPr>
        <w:t xml:space="preserve">I - O preço registrado na ata não po</w:t>
      </w:r>
      <w:r>
        <w:rPr>
          <w:rFonts w:ascii="Arial" w:hAnsi="Arial"/>
        </w:rPr>
        <w:t xml:space="preserve">derá ultrapassar o praticado no mercado.</w:t>
      </w:r>
      <w:r/>
    </w:p>
    <w:p>
      <w:pPr>
        <w:pBdr/>
        <w:shd w:val="clear" w:color="auto" w:fill="ffffff"/>
        <w:spacing/>
        <w:ind w:hanging="425" w:left="1134"/>
        <w:jc w:val="both"/>
        <w:rPr>
          <w:rFonts w:ascii="Arial" w:hAnsi="Arial"/>
        </w:rPr>
      </w:pPr>
      <w:r>
        <w:rPr>
          <w:rFonts w:ascii="Arial" w:hAnsi="Arial"/>
        </w:rPr>
      </w:r>
      <w:r>
        <w:rPr>
          <w:rFonts w:ascii="Arial" w:hAnsi="Arial"/>
        </w:rPr>
      </w:r>
      <w:r>
        <w:rPr>
          <w:rFonts w:ascii="Arial" w:hAnsi="Arial"/>
        </w:rPr>
      </w:r>
    </w:p>
    <w:p>
      <w:pPr>
        <w:pBdr/>
        <w:shd w:val="clear" w:color="auto" w:fill="ffffff"/>
        <w:spacing/>
        <w:ind/>
        <w:jc w:val="both"/>
        <w:rPr/>
      </w:pPr>
      <w:r>
        <w:rPr>
          <w:rFonts w:ascii="Arial" w:hAnsi="Arial"/>
        </w:rPr>
        <w:t xml:space="preserve">II</w:t>
      </w:r>
      <w:r>
        <w:rPr>
          <w:rFonts w:ascii="Arial" w:hAnsi="Arial"/>
        </w:rPr>
        <w:t xml:space="preserve"> - O Órgão ou Entidade Gerenciadora poderá conceder aumento do preço registrado na ata, mediante pedido fundamentado do Detentor da ARP, devidamente instruído com os documentos necessários à comprovação dos fatos alegados, devendo obedecer ao que se segue:</w:t>
      </w:r>
      <w:r/>
    </w:p>
    <w:p>
      <w:pPr>
        <w:pBdr/>
        <w:shd w:val="clear" w:color="auto" w:fill="ffffff"/>
        <w:spacing/>
        <w:ind w:firstLine="709"/>
        <w:jc w:val="both"/>
        <w:rPr>
          <w:rFonts w:ascii="Arial" w:hAnsi="Arial"/>
        </w:rPr>
      </w:pPr>
      <w:r>
        <w:rPr>
          <w:rFonts w:ascii="Arial" w:hAnsi="Arial"/>
        </w:rPr>
      </w:r>
      <w:r>
        <w:rPr>
          <w:rFonts w:ascii="Arial" w:hAnsi="Arial"/>
        </w:rPr>
      </w:r>
      <w:r>
        <w:rPr>
          <w:rFonts w:ascii="Arial" w:hAnsi="Arial"/>
        </w:rPr>
      </w:r>
    </w:p>
    <w:p>
      <w:pPr>
        <w:pBdr/>
        <w:shd w:val="clear" w:color="auto" w:fill="ffffff"/>
        <w:spacing/>
        <w:ind/>
        <w:jc w:val="both"/>
        <w:rPr>
          <w:rFonts w:ascii="Arial" w:hAnsi="Arial"/>
        </w:rPr>
      </w:pPr>
      <w:r>
        <w:rPr>
          <w:rFonts w:ascii="Arial" w:hAnsi="Arial"/>
          <w:b/>
        </w:rPr>
        <w:t xml:space="preserve">a)</w:t>
      </w:r>
      <w:r>
        <w:rPr>
          <w:rFonts w:ascii="Arial" w:hAnsi="Arial"/>
        </w:rPr>
        <w:t xml:space="preserve"> manter, preferencialmente, a diferença percentual apurada na época da licitação entre o preço ofertado pelo licitante e o preço vigente no mercado à época do registro;</w:t>
      </w:r>
      <w:r>
        <w:rPr>
          <w:rFonts w:ascii="Arial" w:hAnsi="Arial"/>
        </w:rPr>
      </w:r>
      <w:r>
        <w:rPr>
          <w:rFonts w:ascii="Arial" w:hAnsi="Arial"/>
        </w:rPr>
      </w:r>
    </w:p>
    <w:p>
      <w:pPr>
        <w:pBdr/>
        <w:shd w:val="clear" w:color="auto" w:fill="ffffff"/>
        <w:spacing/>
        <w:ind/>
        <w:jc w:val="both"/>
        <w:rPr/>
      </w:pPr>
      <w:r/>
      <w:r/>
    </w:p>
    <w:p>
      <w:pPr>
        <w:pBdr/>
        <w:shd w:val="clear" w:color="auto" w:fill="ffffff"/>
        <w:spacing/>
        <w:ind/>
        <w:jc w:val="both"/>
        <w:rPr/>
      </w:pPr>
      <w:r>
        <w:rPr>
          <w:rFonts w:ascii="Arial" w:hAnsi="Arial"/>
          <w:b/>
        </w:rPr>
        <w:t xml:space="preserve">b)</w:t>
      </w:r>
      <w:r>
        <w:rPr>
          <w:rFonts w:ascii="Arial" w:hAnsi="Arial"/>
        </w:rPr>
        <w:t xml:space="preserve"> considerar o valor solicitado pelo Detentor como o máximo a ser concedido para </w:t>
      </w:r>
      <w:r>
        <w:rPr>
          <w:rFonts w:ascii="Arial" w:hAnsi="Arial"/>
        </w:rPr>
        <w:t xml:space="preserve">a alteração;</w:t>
      </w:r>
      <w:r/>
    </w:p>
    <w:p>
      <w:pPr>
        <w:pBdr/>
        <w:shd w:val="clear" w:color="auto" w:fill="ffffff"/>
        <w:spacing/>
        <w:ind/>
        <w:jc w:val="both"/>
        <w:rPr>
          <w:rFonts w:ascii="Arial" w:hAnsi="Arial"/>
        </w:rPr>
      </w:pPr>
      <w:r>
        <w:rPr>
          <w:rFonts w:ascii="Arial" w:hAnsi="Arial"/>
        </w:rPr>
      </w:r>
      <w:r>
        <w:rPr>
          <w:rFonts w:ascii="Arial" w:hAnsi="Arial"/>
        </w:rPr>
      </w:r>
      <w:r>
        <w:rPr>
          <w:rFonts w:ascii="Arial" w:hAnsi="Arial"/>
        </w:rPr>
      </w:r>
    </w:p>
    <w:p>
      <w:pPr>
        <w:pBdr/>
        <w:shd w:val="clear" w:color="auto" w:fill="ffffff"/>
        <w:spacing/>
        <w:ind/>
        <w:jc w:val="both"/>
        <w:rPr/>
      </w:pPr>
      <w:r>
        <w:rPr>
          <w:rFonts w:ascii="Arial" w:hAnsi="Arial"/>
          <w:b/>
        </w:rPr>
        <w:t xml:space="preserve">c)</w:t>
      </w:r>
      <w:r>
        <w:rPr>
          <w:rFonts w:ascii="Arial" w:hAnsi="Arial"/>
        </w:rPr>
        <w:t xml:space="preserve"> poderá deferir valor menor daquele solicitado pelo Detentor.</w:t>
      </w:r>
      <w:r/>
    </w:p>
    <w:p>
      <w:pPr>
        <w:pBdr/>
        <w:shd w:val="clear" w:color="auto" w:fill="ffffff"/>
        <w:spacing/>
        <w:ind/>
        <w:jc w:val="both"/>
        <w:rPr>
          <w:rFonts w:ascii="Arial" w:hAnsi="Arial"/>
          <w:b/>
        </w:rPr>
      </w:pPr>
      <w:r>
        <w:rPr>
          <w:rFonts w:ascii="Arial" w:hAnsi="Arial"/>
          <w:b/>
        </w:rPr>
      </w:r>
      <w:r>
        <w:rPr>
          <w:rFonts w:ascii="Arial" w:hAnsi="Arial"/>
          <w:b/>
        </w:rPr>
      </w:r>
      <w:r>
        <w:rPr>
          <w:rFonts w:ascii="Arial" w:hAnsi="Arial"/>
          <w:b/>
        </w:rPr>
      </w:r>
    </w:p>
    <w:p>
      <w:pPr>
        <w:pBdr/>
        <w:shd w:val="clear" w:color="auto" w:fill="ffffff"/>
        <w:spacing/>
        <w:ind/>
        <w:jc w:val="both"/>
        <w:rPr>
          <w:rFonts w:ascii="Arial" w:hAnsi="Arial"/>
        </w:rPr>
      </w:pPr>
      <w:r>
        <w:rPr>
          <w:rFonts w:ascii="Arial" w:hAnsi="Arial"/>
          <w:b/>
        </w:rPr>
        <w:t xml:space="preserve">11.2.1.</w:t>
      </w:r>
      <w:r>
        <w:rPr>
          <w:rFonts w:ascii="Arial" w:hAnsi="Arial"/>
        </w:rPr>
        <w:t xml:space="preserve"> A exceção à regra prevista na alínea “a” do subitem 11.2, deverá ser devidamente justificada no processo administrativo.</w:t>
      </w:r>
      <w:r>
        <w:rPr>
          <w:rFonts w:ascii="Arial" w:hAnsi="Arial"/>
        </w:rPr>
      </w:r>
      <w:r>
        <w:rPr>
          <w:rFonts w:ascii="Arial" w:hAnsi="Arial"/>
        </w:rPr>
      </w:r>
    </w:p>
    <w:p>
      <w:pPr>
        <w:pBdr/>
        <w:shd w:val="clear" w:color="auto" w:fill="ffffff"/>
        <w:spacing/>
        <w:ind/>
        <w:jc w:val="both"/>
        <w:rPr/>
      </w:pPr>
      <w:r/>
      <w:r/>
    </w:p>
    <w:p>
      <w:pPr>
        <w:pBdr/>
        <w:shd w:val="clear" w:color="auto" w:fill="ffffff"/>
        <w:spacing/>
        <w:ind/>
        <w:jc w:val="both"/>
        <w:rPr/>
      </w:pPr>
      <w:r>
        <w:rPr>
          <w:rFonts w:ascii="Arial" w:hAnsi="Arial"/>
          <w:b/>
        </w:rPr>
        <w:t xml:space="preserve">11.2.2.</w:t>
      </w:r>
      <w:r>
        <w:rPr>
          <w:rFonts w:ascii="Arial" w:hAnsi="Arial"/>
        </w:rPr>
        <w:t xml:space="preserve"> O indeferimento total ou parcial do ped</w:t>
      </w:r>
      <w:r>
        <w:rPr>
          <w:rFonts w:ascii="Arial" w:hAnsi="Arial"/>
        </w:rPr>
        <w:t xml:space="preserve">ido de alteração não desobriga o Detentor do compromisso assumido nem o exime de eventuais penalidades por descumprimento contratual.</w:t>
      </w:r>
      <w:r/>
    </w:p>
    <w:p>
      <w:pPr>
        <w:pBdr/>
        <w:shd w:val="clear" w:color="auto" w:fill="ffffff"/>
        <w:spacing/>
        <w:ind/>
        <w:jc w:val="both"/>
        <w:rPr>
          <w:rFonts w:ascii="Arial" w:hAnsi="Arial"/>
        </w:rPr>
      </w:pPr>
      <w:r>
        <w:rPr>
          <w:rFonts w:ascii="Arial" w:hAnsi="Arial"/>
        </w:rPr>
      </w:r>
      <w:r>
        <w:rPr>
          <w:rFonts w:ascii="Arial" w:hAnsi="Arial"/>
        </w:rPr>
      </w:r>
      <w:r>
        <w:rPr>
          <w:rFonts w:ascii="Arial" w:hAnsi="Arial"/>
        </w:rPr>
      </w:r>
    </w:p>
    <w:p>
      <w:pPr>
        <w:pBdr/>
        <w:shd w:val="clear" w:color="auto" w:fill="ffffff"/>
        <w:spacing/>
        <w:ind/>
        <w:jc w:val="both"/>
        <w:rPr/>
      </w:pPr>
      <w:r>
        <w:rPr>
          <w:rFonts w:ascii="Arial" w:hAnsi="Arial"/>
          <w:b/>
        </w:rPr>
        <w:t xml:space="preserve">11.2.3.</w:t>
      </w:r>
      <w:r>
        <w:rPr>
          <w:rFonts w:ascii="Arial" w:hAnsi="Arial"/>
        </w:rPr>
        <w:t xml:space="preserve"> O Detentor não será liberado do compromisso assumido ainda que os preços de mercado se tornem superior ao registrado.</w:t>
      </w:r>
      <w:r/>
    </w:p>
    <w:p>
      <w:pPr>
        <w:pBdr/>
        <w:shd w:val="clear" w:color="auto" w:fill="ffffff"/>
        <w:spacing/>
        <w:ind/>
        <w:jc w:val="both"/>
        <w:rPr>
          <w:rFonts w:ascii="Arial" w:hAnsi="Arial"/>
          <w:b/>
        </w:rPr>
      </w:pPr>
      <w:r>
        <w:rPr>
          <w:rFonts w:ascii="Arial" w:hAnsi="Arial"/>
          <w:b/>
        </w:rPr>
      </w:r>
      <w:r>
        <w:rPr>
          <w:rFonts w:ascii="Arial" w:hAnsi="Arial"/>
          <w:b/>
        </w:rPr>
      </w:r>
      <w:r>
        <w:rPr>
          <w:rFonts w:ascii="Arial" w:hAnsi="Arial"/>
          <w:b/>
        </w:rPr>
      </w:r>
    </w:p>
    <w:p>
      <w:pPr>
        <w:pBdr/>
        <w:shd w:val="clear" w:color="auto" w:fill="ffffff"/>
        <w:spacing/>
        <w:ind/>
        <w:jc w:val="both"/>
        <w:rPr/>
      </w:pPr>
      <w:r>
        <w:rPr>
          <w:rFonts w:ascii="Arial" w:hAnsi="Arial"/>
          <w:b/>
        </w:rPr>
        <w:t xml:space="preserve">11.2.4.</w:t>
      </w:r>
      <w:r>
        <w:rPr>
          <w:rFonts w:ascii="Arial" w:hAnsi="Arial"/>
        </w:rPr>
        <w:tab/>
        <w:t xml:space="preserve">O preço registrado poderá ser revisto de ofício pelo Órgão ou Entidade Gerenciadora em decorrência de eventual redução do valor </w:t>
      </w:r>
      <w:r>
        <w:rPr>
          <w:rFonts w:ascii="Arial" w:hAnsi="Arial"/>
        </w:rPr>
        <w:t xml:space="preserve">praticado no mercado, ou de fato que eleve o custo do item registrado.</w:t>
      </w:r>
      <w:r/>
    </w:p>
    <w:p>
      <w:pPr>
        <w:pBdr/>
        <w:tabs>
          <w:tab w:val="left" w:leader="none" w:pos="7740"/>
        </w:tabs>
        <w:spacing/>
        <w:ind/>
        <w:jc w:val="both"/>
        <w:rPr>
          <w:rFonts w:ascii="Arial" w:hAnsi="Arial"/>
        </w:rPr>
      </w:pPr>
      <w:r>
        <w:rPr>
          <w:rFonts w:ascii="Arial" w:hAnsi="Arial"/>
        </w:rPr>
      </w:r>
      <w:r>
        <w:rPr>
          <w:rFonts w:ascii="Arial" w:hAnsi="Arial"/>
        </w:rPr>
      </w:r>
      <w:r>
        <w:rPr>
          <w:rFonts w:ascii="Arial" w:hAnsi="Arial"/>
        </w:rPr>
      </w:r>
    </w:p>
    <w:p>
      <w:pPr>
        <w:pBdr/>
        <w:tabs>
          <w:tab w:val="left" w:leader="none" w:pos="7740"/>
        </w:tabs>
        <w:spacing/>
        <w:ind/>
        <w:jc w:val="both"/>
        <w:rPr/>
      </w:pPr>
      <w:r>
        <w:rPr>
          <w:rFonts w:ascii="Arial" w:hAnsi="Arial"/>
          <w:b/>
        </w:rPr>
        <w:t xml:space="preserve">11.2.5.</w:t>
      </w:r>
      <w:r>
        <w:rPr>
          <w:rFonts w:ascii="Arial" w:hAnsi="Arial"/>
        </w:rPr>
        <w:t xml:space="preserve"> Não havendo êxito nas negociações, o órgão ou a entidade gerenciadora poderá convocar os licitantes remanescentes ou integrantes do cadastro de reserva, se houver, ou proceder </w:t>
      </w:r>
      <w:r>
        <w:rPr>
          <w:rFonts w:ascii="Arial" w:hAnsi="Arial"/>
        </w:rPr>
        <w:t xml:space="preserve">à revogação do item, ou de toda a ARP, conforme o caso, adotando as medidas cabíveis para obter a contratação mais vantajosa.</w:t>
      </w:r>
      <w:r/>
    </w:p>
    <w:p>
      <w:pPr>
        <w:pBdr/>
        <w:tabs>
          <w:tab w:val="left" w:leader="none" w:pos="567"/>
          <w:tab w:val="left" w:leader="none" w:pos="7740"/>
        </w:tabs>
        <w:spacing/>
        <w:ind/>
        <w:jc w:val="both"/>
        <w:rPr>
          <w:rFonts w:ascii="Arial" w:hAnsi="Arial"/>
          <w:b/>
        </w:rPr>
      </w:pPr>
      <w:r>
        <w:rPr>
          <w:rFonts w:ascii="Arial" w:hAnsi="Arial"/>
          <w:b/>
        </w:rPr>
      </w:r>
      <w:r>
        <w:rPr>
          <w:rFonts w:ascii="Arial" w:hAnsi="Arial"/>
          <w:b/>
        </w:rPr>
      </w:r>
      <w:r>
        <w:rPr>
          <w:rFonts w:ascii="Arial" w:hAnsi="Arial"/>
          <w:b/>
        </w:rPr>
      </w:r>
    </w:p>
    <w:p>
      <w:pPr>
        <w:pBdr/>
        <w:tabs>
          <w:tab w:val="left" w:leader="none" w:pos="567"/>
          <w:tab w:val="left" w:leader="none" w:pos="7740"/>
        </w:tabs>
        <w:spacing/>
        <w:ind/>
        <w:jc w:val="both"/>
        <w:rPr/>
      </w:pPr>
      <w:r>
        <w:rPr>
          <w:rFonts w:ascii="Arial" w:hAnsi="Arial"/>
          <w:b/>
        </w:rPr>
        <w:t xml:space="preserve">11.2.6.</w:t>
      </w:r>
      <w:r>
        <w:rPr>
          <w:rFonts w:ascii="Arial" w:hAnsi="Arial"/>
        </w:rPr>
        <w:t xml:space="preserve"> A solicitação de revisão de preço (s) deverá ser devidamente justificada e acompanhada de documentos comprobatórios da su</w:t>
      </w:r>
      <w:r>
        <w:rPr>
          <w:rFonts w:ascii="Arial" w:hAnsi="Arial"/>
        </w:rPr>
        <w:t xml:space="preserve">a necessidade, originais ou cópias autenticadas, para análise em aproximadamente 30 (trinta) dias úteis, contados a partir da entrega da documentação completa pelo Detentor. </w:t>
      </w:r>
      <w:r/>
    </w:p>
    <w:p>
      <w:pPr>
        <w:pBdr/>
        <w:tabs>
          <w:tab w:val="left" w:leader="none" w:pos="0"/>
          <w:tab w:val="left" w:leader="none" w:pos="7740"/>
        </w:tabs>
        <w:spacing/>
        <w:ind/>
        <w:jc w:val="both"/>
        <w:rPr>
          <w:rFonts w:ascii="Arial" w:hAnsi="Arial"/>
          <w:b/>
        </w:rPr>
      </w:pPr>
      <w:r>
        <w:rPr>
          <w:rFonts w:ascii="Arial" w:hAnsi="Arial"/>
          <w:b/>
        </w:rPr>
      </w:r>
      <w:r>
        <w:rPr>
          <w:rFonts w:ascii="Arial" w:hAnsi="Arial"/>
          <w:b/>
        </w:rPr>
      </w:r>
      <w:r>
        <w:rPr>
          <w:rFonts w:ascii="Arial" w:hAnsi="Arial"/>
          <w:b/>
        </w:rPr>
      </w:r>
    </w:p>
    <w:p>
      <w:pPr>
        <w:pBdr/>
        <w:tabs>
          <w:tab w:val="left" w:leader="none" w:pos="0"/>
          <w:tab w:val="left" w:leader="none" w:pos="7740"/>
        </w:tabs>
        <w:spacing/>
        <w:ind/>
        <w:jc w:val="both"/>
        <w:rPr/>
      </w:pPr>
      <w:r>
        <w:rPr>
          <w:rFonts w:ascii="Arial" w:hAnsi="Arial"/>
          <w:b/>
        </w:rPr>
        <w:t xml:space="preserve">11.3.</w:t>
      </w:r>
      <w:r>
        <w:rPr>
          <w:rFonts w:ascii="Arial" w:hAnsi="Arial"/>
        </w:rPr>
        <w:t xml:space="preserve"> Os pedidos para revisão de preço ou substituição de marca deverão ser solicitados diretamente a Secretaria demandante.</w:t>
      </w:r>
      <w:r/>
    </w:p>
    <w:p>
      <w:pPr>
        <w:pBdr/>
        <w:tabs>
          <w:tab w:val="left" w:leader="none" w:pos="7740"/>
        </w:tabs>
        <w:spacing/>
        <w:ind/>
        <w:jc w:val="both"/>
        <w:rPr>
          <w:rFonts w:ascii="Arial" w:hAnsi="Arial"/>
        </w:rPr>
      </w:pPr>
      <w:r>
        <w:rPr>
          <w:rFonts w:ascii="Arial" w:hAnsi="Arial"/>
        </w:rPr>
      </w:r>
      <w:r>
        <w:rPr>
          <w:rFonts w:ascii="Arial" w:hAnsi="Arial"/>
        </w:rPr>
      </w:r>
      <w:r>
        <w:rPr>
          <w:rFonts w:ascii="Arial" w:hAnsi="Arial"/>
        </w:rPr>
      </w:r>
    </w:p>
    <w:p>
      <w:pPr>
        <w:pBdr/>
        <w:tabs>
          <w:tab w:val="left" w:leader="none" w:pos="0"/>
          <w:tab w:val="left" w:leader="none" w:pos="7740"/>
        </w:tabs>
        <w:spacing/>
        <w:ind/>
        <w:jc w:val="both"/>
        <w:rPr/>
      </w:pPr>
      <w:r>
        <w:rPr>
          <w:rFonts w:ascii="Arial" w:hAnsi="Arial"/>
          <w:b/>
        </w:rPr>
        <w:t xml:space="preserve">11.4.</w:t>
      </w:r>
      <w:r>
        <w:rPr>
          <w:rFonts w:ascii="Arial" w:hAnsi="Arial"/>
        </w:rPr>
        <w:t xml:space="preserve"> Os pedidos de revisão de preço e de alteração de marca, enquanto não deferidos total ou parcialmente, não isentam o Detentor a da</w:t>
      </w:r>
      <w:r>
        <w:rPr>
          <w:rFonts w:ascii="Arial" w:hAnsi="Arial"/>
        </w:rPr>
        <w:t xml:space="preserve">r continuidade às entregas nas condições vigentes.</w:t>
      </w:r>
      <w:r/>
    </w:p>
    <w:p>
      <w:pPr>
        <w:pBdr/>
        <w:tabs>
          <w:tab w:val="left" w:leader="none" w:pos="7740"/>
        </w:tabs>
        <w:spacing/>
        <w:ind/>
        <w:jc w:val="both"/>
        <w:rPr>
          <w:rFonts w:ascii="Arial" w:hAnsi="Arial"/>
          <w:b/>
        </w:rPr>
      </w:pPr>
      <w:r>
        <w:rPr>
          <w:rFonts w:ascii="Arial" w:hAnsi="Arial"/>
          <w:b/>
        </w:rPr>
      </w:r>
      <w:r>
        <w:rPr>
          <w:rFonts w:ascii="Arial" w:hAnsi="Arial"/>
          <w:b/>
        </w:rPr>
      </w:r>
      <w:r>
        <w:rPr>
          <w:rFonts w:ascii="Arial" w:hAnsi="Arial"/>
          <w:b/>
        </w:rPr>
      </w:r>
    </w:p>
    <w:p>
      <w:pPr>
        <w:pBdr/>
        <w:tabs>
          <w:tab w:val="left" w:leader="none" w:pos="0"/>
          <w:tab w:val="left" w:leader="none" w:pos="7740"/>
        </w:tabs>
        <w:spacing/>
        <w:ind/>
        <w:jc w:val="both"/>
        <w:rPr/>
      </w:pPr>
      <w:r>
        <w:rPr>
          <w:rFonts w:ascii="Arial" w:hAnsi="Arial"/>
          <w:b/>
        </w:rPr>
        <w:t xml:space="preserve">11.5.</w:t>
      </w:r>
      <w:r>
        <w:rPr>
          <w:rFonts w:ascii="Arial" w:hAnsi="Arial"/>
        </w:rPr>
        <w:t xml:space="preserve"> A alteração de preço e a substituição de marca somente terão validade a partir da publicação no Diário Oficial do Município - DIORONDON, produzindo todos os efeitos legais, não se exigindo nenhum ou</w:t>
      </w:r>
      <w:r>
        <w:rPr>
          <w:rFonts w:ascii="Arial" w:hAnsi="Arial"/>
        </w:rPr>
        <w:t xml:space="preserve">tro instrumento jurídico formal para a sua efetivação. </w:t>
      </w:r>
      <w:r/>
    </w:p>
    <w:p>
      <w:pPr>
        <w:pBdr/>
        <w:tabs>
          <w:tab w:val="left" w:leader="none" w:pos="7740"/>
        </w:tabs>
        <w:spacing/>
        <w:ind/>
        <w:jc w:val="both"/>
        <w:rPr>
          <w:rFonts w:ascii="Arial" w:hAnsi="Arial"/>
        </w:rPr>
      </w:pPr>
      <w:r>
        <w:rPr>
          <w:rFonts w:ascii="Arial" w:hAnsi="Arial"/>
        </w:rPr>
      </w:r>
      <w:r>
        <w:rPr>
          <w:rFonts w:ascii="Arial" w:hAnsi="Arial"/>
        </w:rPr>
      </w:r>
      <w:r>
        <w:rPr>
          <w:rFonts w:ascii="Arial" w:hAnsi="Arial"/>
        </w:rPr>
      </w:r>
    </w:p>
    <w:p>
      <w:pPr>
        <w:pBdr/>
        <w:tabs>
          <w:tab w:val="left" w:leader="none" w:pos="7740"/>
        </w:tabs>
        <w:spacing/>
        <w:ind/>
        <w:jc w:val="both"/>
        <w:rPr/>
      </w:pPr>
      <w:r>
        <w:rPr>
          <w:rFonts w:ascii="Arial" w:hAnsi="Arial"/>
          <w:b/>
        </w:rPr>
        <w:t xml:space="preserve">11.5.1.</w:t>
      </w:r>
      <w:r>
        <w:rPr>
          <w:rFonts w:ascii="Arial" w:hAnsi="Arial"/>
        </w:rPr>
        <w:t xml:space="preserve"> As alterações citadas no subitem anterior, valerão somente para as futuras contratações e não para as contratações já realizadas.</w:t>
      </w:r>
      <w:r/>
    </w:p>
    <w:p>
      <w:pPr>
        <w:pBdr/>
        <w:tabs>
          <w:tab w:val="left" w:leader="none" w:pos="7740"/>
        </w:tabs>
        <w:spacing/>
        <w:ind/>
        <w:jc w:val="both"/>
        <w:rPr>
          <w:rFonts w:ascii="Arial" w:hAnsi="Arial"/>
        </w:rPr>
      </w:pPr>
      <w:r>
        <w:rPr>
          <w:rFonts w:ascii="Arial" w:hAnsi="Arial"/>
        </w:rPr>
      </w:r>
      <w:r>
        <w:rPr>
          <w:rFonts w:ascii="Arial" w:hAnsi="Arial"/>
        </w:rPr>
      </w:r>
      <w:r>
        <w:rPr>
          <w:rFonts w:ascii="Arial" w:hAnsi="Arial"/>
        </w:rPr>
      </w:r>
    </w:p>
    <w:p>
      <w:pPr>
        <w:pBdr/>
        <w:tabs>
          <w:tab w:val="left" w:leader="none" w:pos="1276"/>
          <w:tab w:val="left" w:leader="none" w:pos="7740"/>
        </w:tabs>
        <w:spacing/>
        <w:ind/>
        <w:jc w:val="both"/>
        <w:rPr/>
      </w:pPr>
      <w:r>
        <w:rPr>
          <w:rFonts w:ascii="Arial" w:hAnsi="Arial"/>
          <w:b/>
        </w:rPr>
        <w:t xml:space="preserve">11.6.</w:t>
      </w:r>
      <w:r>
        <w:rPr>
          <w:rFonts w:ascii="Arial" w:hAnsi="Arial"/>
        </w:rPr>
        <w:t xml:space="preserve"> A alteração dos preços registrados não altera automati</w:t>
      </w:r>
      <w:r>
        <w:rPr>
          <w:rFonts w:ascii="Arial" w:hAnsi="Arial"/>
        </w:rPr>
        <w:t xml:space="preserve">camente os preços dos contratos decorrentes do SRP, cuja revisão deverá ser feita pelo órgão contratante, observadas as disposições legais incidentes sobre os contratos.</w:t>
      </w:r>
      <w:r/>
    </w:p>
    <w:p>
      <w:pPr>
        <w:pBdr/>
        <w:tabs>
          <w:tab w:val="left" w:leader="none" w:pos="7740"/>
        </w:tabs>
        <w:spacing/>
        <w:ind/>
        <w:jc w:val="both"/>
        <w:rPr>
          <w:rFonts w:ascii="Arial" w:hAnsi="Arial"/>
        </w:rPr>
      </w:pPr>
      <w:r>
        <w:rPr>
          <w:rFonts w:ascii="Arial" w:hAnsi="Arial"/>
        </w:rPr>
      </w:r>
      <w:r>
        <w:rPr>
          <w:rFonts w:ascii="Arial" w:hAnsi="Arial"/>
        </w:rPr>
      </w:r>
      <w:r>
        <w:rPr>
          <w:rFonts w:ascii="Arial" w:hAnsi="Arial"/>
        </w:rPr>
      </w:r>
    </w:p>
    <w:p>
      <w:pPr>
        <w:pBdr/>
        <w:tabs>
          <w:tab w:val="left" w:leader="none" w:pos="7740"/>
        </w:tabs>
        <w:spacing/>
        <w:ind/>
        <w:jc w:val="both"/>
        <w:rPr/>
      </w:pPr>
      <w:r>
        <w:rPr>
          <w:rFonts w:ascii="Arial" w:hAnsi="Arial"/>
          <w:b/>
        </w:rPr>
        <w:t xml:space="preserve">11.7.</w:t>
      </w:r>
      <w:r>
        <w:rPr>
          <w:rFonts w:ascii="Arial" w:hAnsi="Arial"/>
        </w:rPr>
        <w:t xml:space="preserve"> Será pago o preço vigente na data em que as Notas de Empenho ou outros instrume</w:t>
      </w:r>
      <w:r>
        <w:rPr>
          <w:rFonts w:ascii="Arial" w:hAnsi="Arial"/>
        </w:rPr>
        <w:t xml:space="preserve">ntos equivalentes forem entregues ao Detentor, independentemente da data de entrega do(s) produto(s) na unidade requisitante, ou de qualquer revisão de preços deferida nesse intervalo de tempo.</w:t>
      </w:r>
      <w:r/>
    </w:p>
    <w:p>
      <w:pPr>
        <w:pBdr/>
        <w:tabs>
          <w:tab w:val="left" w:leader="none" w:pos="7740"/>
        </w:tabs>
        <w:spacing/>
        <w:ind/>
        <w:jc w:val="both"/>
        <w:rPr>
          <w:rFonts w:ascii="Arial" w:hAnsi="Arial"/>
        </w:rPr>
      </w:pPr>
      <w:r>
        <w:rPr>
          <w:rFonts w:ascii="Arial" w:hAnsi="Arial"/>
        </w:rPr>
      </w:r>
      <w:r>
        <w:rPr>
          <w:rFonts w:ascii="Arial" w:hAnsi="Arial"/>
        </w:rPr>
      </w:r>
      <w:r>
        <w:rPr>
          <w:rFonts w:ascii="Arial" w:hAnsi="Arial"/>
        </w:rPr>
      </w:r>
    </w:p>
    <w:p>
      <w:pPr>
        <w:pBdr/>
        <w:spacing/>
        <w:ind w:hanging="567" w:left="567"/>
        <w:jc w:val="both"/>
        <w:rPr/>
      </w:pPr>
      <w:r>
        <w:rPr>
          <w:rFonts w:ascii="Arial" w:hAnsi="Arial"/>
          <w:b/>
        </w:rPr>
        <w:t xml:space="preserve">CLÁUSULA DÉCIMA SEGUNDA – DA PESQUISA DE PREÇOS</w:t>
      </w:r>
      <w:r/>
    </w:p>
    <w:p>
      <w:pPr>
        <w:pBdr/>
        <w:spacing/>
        <w:ind w:hanging="567" w:left="567"/>
        <w:jc w:val="both"/>
        <w:rPr>
          <w:rFonts w:ascii="Arial" w:hAnsi="Arial"/>
          <w:b/>
        </w:rPr>
      </w:pPr>
      <w:r>
        <w:rPr>
          <w:rFonts w:ascii="Arial" w:hAnsi="Arial"/>
          <w:b/>
        </w:rPr>
      </w:r>
      <w:r>
        <w:rPr>
          <w:rFonts w:ascii="Arial" w:hAnsi="Arial"/>
          <w:b/>
        </w:rPr>
      </w:r>
      <w:r>
        <w:rPr>
          <w:rFonts w:ascii="Arial" w:hAnsi="Arial"/>
          <w:b/>
        </w:rPr>
      </w:r>
    </w:p>
    <w:p>
      <w:pPr>
        <w:pBdr/>
        <w:tabs>
          <w:tab w:val="left" w:leader="none" w:pos="426"/>
          <w:tab w:val="left" w:leader="none" w:pos="567"/>
        </w:tabs>
        <w:spacing/>
        <w:ind/>
        <w:jc w:val="both"/>
        <w:rPr/>
      </w:pPr>
      <w:r>
        <w:rPr>
          <w:rFonts w:ascii="Arial" w:hAnsi="Arial"/>
          <w:b/>
        </w:rPr>
        <w:t xml:space="preserve">12.1.</w:t>
      </w:r>
      <w:r>
        <w:rPr>
          <w:rFonts w:ascii="Arial" w:hAnsi="Arial"/>
        </w:rPr>
        <w:tab/>
        <w:t xml:space="preserve">As pes</w:t>
      </w:r>
      <w:r>
        <w:rPr>
          <w:rFonts w:ascii="Arial" w:hAnsi="Arial"/>
        </w:rPr>
        <w:t xml:space="preserve">quisas de mercado deverão observar as disposições do Decreto nº 11.685, de 18 de setembro de 2023, podendo consistir em consultas ao mercado, publicações especializadas, preços praticados no âmbito da administração pública, listas de instituições privadas </w:t>
      </w:r>
      <w:r>
        <w:rPr>
          <w:rFonts w:ascii="Arial" w:hAnsi="Arial"/>
        </w:rPr>
        <w:t xml:space="preserve">e públicas de formação de preços ou outros meios praticados no mercado, ressalvadas as especificidades aplicáveis a obras e serviços de engenharia.</w:t>
      </w:r>
      <w:r/>
    </w:p>
    <w:p>
      <w:pPr>
        <w:pBdr/>
        <w:spacing/>
        <w:ind w:hanging="709" w:left="1276"/>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12.1.1.</w:t>
      </w:r>
      <w:r>
        <w:rPr>
          <w:rFonts w:ascii="Arial" w:hAnsi="Arial"/>
        </w:rPr>
        <w:tab/>
        <w:t xml:space="preserve">As consultas referidas no subitem anterior poderão ser realizadas por qualquer meio de comunicação,</w:t>
      </w:r>
      <w:r>
        <w:rPr>
          <w:rFonts w:ascii="Arial" w:hAnsi="Arial"/>
        </w:rPr>
        <w:t xml:space="preserve"> devendo ser certificadas pela autoridade competente.</w:t>
      </w:r>
      <w:r>
        <w:rPr>
          <w:rFonts w:ascii="Arial" w:hAnsi="Arial"/>
        </w:rPr>
      </w:r>
      <w:r>
        <w:rPr>
          <w:rFonts w:ascii="Arial" w:hAnsi="Arial"/>
        </w:rPr>
      </w:r>
    </w:p>
    <w:p>
      <w:pPr>
        <w:pBdr/>
        <w:spacing/>
        <w:ind/>
        <w:jc w:val="both"/>
        <w:rPr/>
      </w:pPr>
      <w:r/>
      <w:r/>
    </w:p>
    <w:p>
      <w:pPr>
        <w:pBdr/>
        <w:spacing/>
        <w:ind/>
        <w:jc w:val="both"/>
        <w:rPr/>
      </w:pPr>
      <w:r>
        <w:rPr>
          <w:rFonts w:ascii="Arial" w:hAnsi="Arial"/>
          <w:b/>
        </w:rPr>
        <w:t xml:space="preserve">12.1.2. </w:t>
      </w:r>
      <w:r>
        <w:rPr>
          <w:rFonts w:ascii="Arial" w:hAnsi="Arial"/>
        </w:rPr>
        <w:t xml:space="preserve">A pesquisa de preços, a critério do Órgão ou Entidade Gerenciadora ou da Autoridade competente para autorizar a contratação, poderá ser repetida sempre que necessário à preservação do interesse</w:t>
      </w:r>
      <w:r>
        <w:rPr>
          <w:rFonts w:ascii="Arial" w:hAnsi="Arial"/>
        </w:rPr>
        <w:t xml:space="preserve"> público, na forma do Decreto nº 11.685, de 18 de setembro de 2023, considerado o tempo decorrido, a sazonalidade de mercado ou outras condições específicas.</w:t>
      </w:r>
      <w:r/>
    </w:p>
    <w:p>
      <w:pPr>
        <w:pBdr/>
        <w:spacing/>
        <w:ind w:hanging="709" w:left="1276"/>
        <w:jc w:val="both"/>
        <w:rPr/>
      </w:pPr>
      <w:r>
        <w:rPr>
          <w:rFonts w:ascii="Arial" w:hAnsi="Arial" w:eastAsia="Arial"/>
        </w:rPr>
        <w:t xml:space="preserve"> </w:t>
      </w:r>
      <w:r/>
    </w:p>
    <w:p>
      <w:pPr>
        <w:pBdr/>
        <w:spacing/>
        <w:ind/>
        <w:jc w:val="both"/>
        <w:rPr/>
      </w:pPr>
      <w:r>
        <w:rPr>
          <w:rFonts w:ascii="Arial" w:hAnsi="Arial"/>
          <w:b/>
        </w:rPr>
        <w:t xml:space="preserve">12.1.3. </w:t>
      </w:r>
      <w:r>
        <w:rPr>
          <w:rFonts w:ascii="Arial" w:hAnsi="Arial"/>
        </w:rPr>
        <w:t xml:space="preserve">Será utilizada, preferencialmente, a média aritmética simples dos preços pesquisados como referência.</w:t>
      </w:r>
      <w:r/>
    </w:p>
    <w:p>
      <w:pPr>
        <w:pBdr/>
        <w:spacing/>
        <w:ind w:hanging="709" w:left="1276"/>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12.1.4.</w:t>
      </w:r>
      <w:r>
        <w:rPr>
          <w:rFonts w:ascii="Arial" w:hAnsi="Arial"/>
        </w:rPr>
        <w:t xml:space="preserve"> Qualquer alteração na forma da pesquisa de preço deverá ser devidamente motivada.</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color w:val="000000"/>
        </w:rPr>
      </w:pPr>
      <w:r>
        <w:rPr>
          <w:rFonts w:ascii="Arial" w:hAnsi="Arial"/>
          <w:b/>
          <w:color w:val="000000"/>
        </w:rPr>
        <w:t xml:space="preserve">CLÁUSULA DÉCIMA TERCEIRA – DAS OBRIGAÇÕES DO ÓRGÃO GERENCIADOR</w:t>
      </w:r>
      <w:r>
        <w:rPr>
          <w:rFonts w:ascii="Arial" w:hAnsi="Arial"/>
          <w:b/>
          <w:color w:val="000000"/>
        </w:rPr>
        <w:t xml:space="preserve"> DETENTOR DA ARP.</w:t>
      </w:r>
      <w:r>
        <w:rPr>
          <w:color w:val="000000"/>
        </w:rPr>
      </w:r>
      <w:r>
        <w:rPr>
          <w:color w:val="000000"/>
        </w:rPr>
      </w:r>
    </w:p>
    <w:p>
      <w:pPr>
        <w:numPr>
          <w:ilvl w:val="0"/>
          <w:numId w:val="2"/>
        </w:numPr>
        <w:pBdr/>
        <w:spacing/>
        <w:ind/>
        <w:jc w:val="both"/>
        <w:rPr/>
      </w:pPr>
      <w:r/>
      <w:r/>
    </w:p>
    <w:p>
      <w:pPr>
        <w:numPr>
          <w:ilvl w:val="0"/>
          <w:numId w:val="2"/>
        </w:numPr>
        <w:pBdr/>
        <w:spacing/>
        <w:ind/>
        <w:jc w:val="both"/>
        <w:rPr/>
      </w:pPr>
      <w:r>
        <w:rPr>
          <w:rFonts w:ascii="Arial" w:hAnsi="Arial"/>
          <w:b/>
        </w:rPr>
        <w:t xml:space="preserve">13.1.</w:t>
      </w:r>
      <w:r>
        <w:rPr>
          <w:rFonts w:ascii="Arial" w:hAnsi="Arial"/>
        </w:rPr>
        <w:t xml:space="preserve"> As obrigações do Órgão ou da Entidade Gerenciadora, e do Detentor da ARP constam do Edital.</w:t>
      </w:r>
      <w:r/>
    </w:p>
    <w:p>
      <w:pPr>
        <w:numPr>
          <w:ilvl w:val="0"/>
          <w:numId w:val="2"/>
        </w:numPr>
        <w:pBdr/>
        <w:spacing/>
        <w:ind/>
        <w:jc w:val="both"/>
        <w:rPr>
          <w:rFonts w:ascii="Arial" w:hAnsi="Arial"/>
        </w:rPr>
      </w:pPr>
      <w:r>
        <w:rPr>
          <w:rFonts w:ascii="Arial" w:hAnsi="Arial"/>
        </w:rPr>
      </w:r>
      <w:r>
        <w:rPr>
          <w:rFonts w:ascii="Arial" w:hAnsi="Arial"/>
        </w:rPr>
      </w:r>
      <w:r>
        <w:rPr>
          <w:rFonts w:ascii="Arial" w:hAnsi="Arial"/>
        </w:rPr>
      </w:r>
    </w:p>
    <w:p>
      <w:pPr>
        <w:numPr>
          <w:ilvl w:val="0"/>
          <w:numId w:val="2"/>
        </w:numPr>
        <w:pBdr/>
        <w:spacing/>
        <w:ind/>
        <w:jc w:val="both"/>
        <w:rPr>
          <w:rFonts w:ascii="Arial" w:hAnsi="Arial"/>
          <w:color w:val="000000"/>
        </w:rPr>
      </w:pPr>
      <w:r>
        <w:rPr>
          <w:rFonts w:ascii="Arial" w:hAnsi="Arial"/>
          <w:b/>
        </w:rPr>
        <w:t xml:space="preserve">13</w:t>
      </w:r>
      <w:r>
        <w:rPr>
          <w:rFonts w:ascii="Arial" w:hAnsi="Arial"/>
          <w:b/>
          <w:color w:val="000000"/>
          <w:shd w:val="clear" w:color="auto" w:fill="ffffff"/>
        </w:rPr>
        <w:t xml:space="preserve">.2.</w:t>
      </w:r>
      <w:r>
        <w:rPr>
          <w:rFonts w:ascii="Arial" w:hAnsi="Arial"/>
          <w:color w:val="000000"/>
          <w:shd w:val="clear" w:color="auto" w:fill="ffffff"/>
        </w:rPr>
        <w:t xml:space="preserve"> Co</w:t>
      </w:r>
      <w:r>
        <w:rPr>
          <w:rFonts w:ascii="Arial" w:hAnsi="Arial"/>
          <w:color w:val="000000"/>
          <w:shd w:val="clear" w:color="auto" w:fill="ffffff"/>
        </w:rPr>
        <w:t xml:space="preserve">nceder livre acesso aos documentos e registros contábeis da empresa, referente ao objeto da licitação, para os servidores ou empregados do órgão ou entidade contratante e dos órgãos de controle interno e externo, conforme Art. 169, § 2º da Lei 14.133/2021.</w:t>
      </w:r>
      <w:r>
        <w:rPr>
          <w:rFonts w:ascii="Arial" w:hAnsi="Arial"/>
          <w:color w:val="000000"/>
        </w:rPr>
      </w:r>
      <w:r>
        <w:rPr>
          <w:rFonts w:ascii="Arial" w:hAnsi="Arial"/>
          <w:color w:val="000000"/>
        </w:rPr>
      </w:r>
    </w:p>
    <w:p>
      <w:pPr>
        <w:numPr>
          <w:ilvl w:val="0"/>
          <w:numId w:val="2"/>
        </w:numPr>
        <w:pBdr/>
        <w:spacing/>
        <w:ind/>
        <w:jc w:val="both"/>
        <w:rPr/>
      </w:pPr>
      <w:r/>
      <w:r/>
    </w:p>
    <w:p>
      <w:pPr>
        <w:numPr>
          <w:ilvl w:val="0"/>
          <w:numId w:val="2"/>
        </w:numPr>
        <w:pBdr/>
        <w:spacing/>
        <w:ind/>
        <w:jc w:val="both"/>
        <w:rPr/>
      </w:pPr>
      <w:r>
        <w:rPr>
          <w:b/>
          <w:bCs/>
        </w:rPr>
        <w:t xml:space="preserve">CLÁUSULA DÉCIMA QUARTA – DO CANCELAMENTO DO REGISTRO DE PREÇOS</w:t>
      </w:r>
      <w:r>
        <w:t xml:space="preserve"> </w:t>
      </w:r>
      <w:r/>
    </w:p>
    <w:p>
      <w:pPr>
        <w:pBdr/>
        <w:spacing/>
        <w:ind/>
        <w:jc w:val="both"/>
        <w:rPr>
          <w:rFonts w:ascii="Arial" w:hAnsi="Arial"/>
        </w:rPr>
      </w:pPr>
      <w:r>
        <w:rPr>
          <w:rFonts w:ascii="Arial" w:hAnsi="Arial"/>
        </w:rPr>
      </w:r>
      <w:r>
        <w:rPr>
          <w:rFonts w:ascii="Arial" w:hAnsi="Arial"/>
        </w:rPr>
      </w:r>
      <w:r>
        <w:rPr>
          <w:rFonts w:ascii="Arial" w:hAnsi="Arial"/>
        </w:rPr>
      </w:r>
    </w:p>
    <w:p>
      <w:pPr>
        <w:pBdr/>
        <w:tabs>
          <w:tab w:val="left" w:leader="none" w:pos="567"/>
        </w:tabs>
        <w:spacing/>
        <w:ind/>
        <w:jc w:val="both"/>
        <w:rPr/>
      </w:pPr>
      <w:r>
        <w:rPr>
          <w:rFonts w:ascii="Arial" w:hAnsi="Arial"/>
          <w:b/>
          <w:color w:val="000000"/>
        </w:rPr>
        <w:t xml:space="preserve">14.1. </w:t>
      </w:r>
      <w:r>
        <w:rPr>
          <w:rFonts w:ascii="Arial" w:hAnsi="Arial"/>
          <w:color w:val="000000"/>
        </w:rPr>
        <w:t xml:space="preserve">O Órgão ou Entidade Gerenciadora poderá cancelar o registro de preços do </w:t>
      </w:r>
      <w:r>
        <w:rPr>
          <w:rFonts w:ascii="Arial" w:hAnsi="Arial"/>
        </w:rPr>
        <w:t xml:space="preserve">Detentor, total ou parcialmente,</w:t>
      </w:r>
      <w:r>
        <w:rPr>
          <w:rFonts w:ascii="Arial" w:hAnsi="Arial"/>
          <w:color w:val="000000"/>
        </w:rPr>
        <w:t xml:space="preserve"> observados o contraditório e a ampla defesa, nos seguintes casos:</w:t>
      </w: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pPr>
      <w:r>
        <w:rPr>
          <w:rFonts w:ascii="Arial" w:hAnsi="Arial"/>
          <w:b/>
          <w:color w:val="000000"/>
        </w:rPr>
        <w:t xml:space="preserve">I </w:t>
      </w:r>
      <w:r>
        <w:rPr>
          <w:rFonts w:ascii="Arial" w:hAnsi="Arial"/>
          <w:color w:val="000000"/>
        </w:rPr>
        <w:t xml:space="preserve">– Descum</w:t>
      </w:r>
      <w:r>
        <w:rPr>
          <w:rFonts w:ascii="Arial" w:hAnsi="Arial"/>
          <w:color w:val="000000"/>
        </w:rPr>
        <w:t xml:space="preserve">primento parcial ou total, por parte do detentor, das condições da ARP;</w:t>
      </w: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pPr>
      <w:r>
        <w:rPr>
          <w:rFonts w:ascii="Arial" w:hAnsi="Arial"/>
          <w:b/>
          <w:color w:val="000000"/>
        </w:rPr>
        <w:t xml:space="preserve">II</w:t>
      </w:r>
      <w:r>
        <w:rPr>
          <w:rFonts w:ascii="Arial" w:hAnsi="Arial"/>
          <w:color w:val="000000"/>
        </w:rPr>
        <w:t xml:space="preserve"> – Quando o detentor não atender à convocação para firmar as obrigações contratuais decorrentes do registro de preços, não retirar ou não aceitar o instrumento equivalente no prazo </w:t>
      </w:r>
      <w:r>
        <w:rPr>
          <w:rFonts w:ascii="Arial" w:hAnsi="Arial"/>
          <w:color w:val="000000"/>
        </w:rPr>
        <w:t xml:space="preserve">estabelecido pelo órgão ou entidade gerenciadora;</w:t>
      </w: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pPr>
      <w:r>
        <w:rPr>
          <w:rFonts w:ascii="Arial" w:hAnsi="Arial"/>
          <w:b/>
          <w:color w:val="000000"/>
        </w:rPr>
        <w:t xml:space="preserve">III</w:t>
      </w:r>
      <w:r>
        <w:rPr>
          <w:rFonts w:ascii="Arial" w:hAnsi="Arial"/>
          <w:color w:val="000000"/>
        </w:rPr>
        <w:t xml:space="preserve"> – Nas hipóteses de inexecução parcial ou total do contrato decorrente da ARP;</w:t>
      </w: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pPr>
      <w:r>
        <w:rPr>
          <w:rFonts w:ascii="Arial" w:hAnsi="Arial"/>
          <w:b/>
          <w:color w:val="000000"/>
        </w:rPr>
        <w:t xml:space="preserve">IV</w:t>
      </w:r>
      <w:r>
        <w:rPr>
          <w:rFonts w:ascii="Arial" w:hAnsi="Arial"/>
          <w:color w:val="000000"/>
        </w:rPr>
        <w:t xml:space="preserve"> – Nas hipóteses dos preços registrados não estiverem compatíveis com os praticados no mercado e o detentor se recusar a</w:t>
      </w:r>
      <w:r>
        <w:rPr>
          <w:rFonts w:ascii="Arial" w:hAnsi="Arial"/>
          <w:color w:val="000000"/>
        </w:rPr>
        <w:t xml:space="preserve"> adequá-los na forma solicitada pelo órgão ou pela entidade </w:t>
      </w:r>
      <w:r>
        <w:rPr>
          <w:rFonts w:ascii="Arial" w:hAnsi="Arial"/>
        </w:rPr>
        <w:t xml:space="preserve">gerenciadora, prevista no edital e na ARP, </w:t>
      </w:r>
      <w:r>
        <w:rPr>
          <w:rFonts w:ascii="Arial" w:hAnsi="Arial"/>
          <w:color w:val="000000"/>
        </w:rPr>
        <w:t xml:space="preserve">observado o disposto nos arts. 309 e 310 do Decreto Municipal nº 11.685/2023;</w:t>
      </w: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pPr>
      <w:r>
        <w:rPr>
          <w:rFonts w:ascii="Arial" w:hAnsi="Arial"/>
          <w:b/>
          <w:color w:val="000000"/>
        </w:rPr>
        <w:t xml:space="preserve">V</w:t>
      </w:r>
      <w:r>
        <w:rPr>
          <w:rFonts w:ascii="Arial" w:hAnsi="Arial"/>
          <w:color w:val="000000"/>
        </w:rPr>
        <w:t xml:space="preserve"> – Por razões de interesse público, reduzida a termo no processo;</w:t>
      </w: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pPr>
      <w:r>
        <w:rPr>
          <w:rFonts w:ascii="Arial" w:hAnsi="Arial"/>
          <w:b/>
          <w:color w:val="000000"/>
        </w:rPr>
        <w:t xml:space="preserve">VI</w:t>
      </w:r>
      <w:r>
        <w:rPr>
          <w:rFonts w:ascii="Arial" w:hAnsi="Arial"/>
          <w:color w:val="000000"/>
        </w:rPr>
        <w:t xml:space="preserve"> – P</w:t>
      </w:r>
      <w:r>
        <w:rPr>
          <w:rFonts w:ascii="Arial" w:hAnsi="Arial"/>
          <w:color w:val="000000"/>
        </w:rPr>
        <w:t xml:space="preserve">or fato superveniente, decorrente de caso de força maior, caso fortuito ou fato do príncipe ou em decorrência de fatos imprevisíveis ou previsíveis de consequências incalculáveis, que inviabilizem a execução das obrigações previstas na ata, devidamente dem</w:t>
      </w:r>
      <w:r>
        <w:rPr>
          <w:rFonts w:ascii="Arial" w:hAnsi="Arial"/>
          <w:color w:val="000000"/>
        </w:rPr>
        <w:t xml:space="preserve">onstrado;</w:t>
      </w: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pPr>
      <w:r>
        <w:rPr>
          <w:rFonts w:ascii="Arial" w:hAnsi="Arial"/>
          <w:b/>
          <w:color w:val="000000"/>
        </w:rPr>
        <w:t xml:space="preserve">VII</w:t>
      </w:r>
      <w:r>
        <w:rPr>
          <w:rFonts w:ascii="Arial" w:hAnsi="Arial"/>
          <w:color w:val="000000"/>
        </w:rPr>
        <w:t xml:space="preserve"> – Quando o detentor for </w:t>
      </w:r>
      <w:r>
        <w:rPr>
          <w:rFonts w:ascii="Arial" w:hAnsi="Arial"/>
        </w:rPr>
        <w:t xml:space="preserve">suspenso ou </w:t>
      </w:r>
      <w:r>
        <w:rPr>
          <w:rFonts w:ascii="Arial" w:hAnsi="Arial"/>
          <w:color w:val="000000"/>
        </w:rPr>
        <w:t xml:space="preserve">impedido de licitar e contratar com a administração municipal;</w:t>
      </w: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pPr>
      <w:r>
        <w:rPr>
          <w:rFonts w:ascii="Arial" w:hAnsi="Arial"/>
          <w:b/>
          <w:color w:val="000000"/>
        </w:rPr>
        <w:t xml:space="preserve">VIII</w:t>
      </w:r>
      <w:r>
        <w:rPr>
          <w:rFonts w:ascii="Arial" w:hAnsi="Arial"/>
          <w:color w:val="000000"/>
        </w:rPr>
        <w:t xml:space="preserve"> – Quando o detentor for declarado inidôneo para licitar ou contratar com a administração pública;</w:t>
      </w: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pPr>
      <w:r>
        <w:rPr>
          <w:rFonts w:ascii="Arial" w:hAnsi="Arial"/>
          <w:b/>
          <w:color w:val="000000"/>
        </w:rPr>
        <w:t xml:space="preserve">IX</w:t>
      </w:r>
      <w:r>
        <w:rPr>
          <w:rFonts w:ascii="Arial" w:hAnsi="Arial"/>
          <w:color w:val="000000"/>
        </w:rPr>
        <w:t xml:space="preserve"> – Amigavelmente, por acordo entre as partes, reduzida a termo no processo, desde que haja conveniência para a administração;</w:t>
      </w:r>
      <w:r/>
    </w:p>
    <w:p>
      <w:pPr>
        <w:pBdr/>
        <w:spacing/>
        <w:ind/>
        <w:jc w:val="both"/>
        <w:rPr/>
      </w:pPr>
      <w:r>
        <w:rPr>
          <w:rFonts w:ascii="Arial" w:hAnsi="Arial"/>
          <w:b/>
          <w:color w:val="000000"/>
        </w:rPr>
        <w:t xml:space="preserve">X</w:t>
      </w:r>
      <w:r>
        <w:rPr>
          <w:rFonts w:ascii="Arial" w:hAnsi="Arial"/>
          <w:color w:val="000000"/>
        </w:rPr>
        <w:t xml:space="preserve"> – Por ordem judicial.</w:t>
      </w:r>
      <w:r/>
    </w:p>
    <w:p>
      <w:pPr>
        <w:pBdr/>
        <w:tabs>
          <w:tab w:val="left" w:leader="none" w:pos="1276"/>
        </w:tabs>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tabs>
          <w:tab w:val="left" w:leader="none" w:pos="1276"/>
        </w:tabs>
        <w:spacing/>
        <w:ind/>
        <w:jc w:val="both"/>
        <w:rPr/>
      </w:pPr>
      <w:r>
        <w:rPr>
          <w:rFonts w:ascii="Arial" w:hAnsi="Arial"/>
          <w:b/>
        </w:rPr>
        <w:t xml:space="preserve">XI</w:t>
      </w:r>
      <w:r>
        <w:rPr>
          <w:rFonts w:ascii="Arial" w:hAnsi="Arial"/>
        </w:rPr>
        <w:t xml:space="preserve"> - No caso de alteração social ou modificação da finalidade ou da estrutura da empresa que restrinja sua capacidade de concluir o contrato.</w:t>
      </w:r>
      <w:r/>
    </w:p>
    <w:p>
      <w:pPr>
        <w:pBdr/>
        <w:tabs>
          <w:tab w:val="left" w:leader="none" w:pos="1276"/>
        </w:tabs>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pPr>
      <w:r>
        <w:rPr>
          <w:rFonts w:ascii="Arial" w:hAnsi="Arial"/>
          <w:b/>
        </w:rPr>
        <w:t xml:space="preserve">XII</w:t>
      </w:r>
      <w:r>
        <w:rPr>
          <w:rFonts w:ascii="Arial" w:hAnsi="Arial"/>
        </w:rPr>
        <w:t xml:space="preserve"> - Nos casos em que o Detentor estiver envolvido em casos de corrupção, nos termos da Lei Federal nº 12.846, de </w:t>
      </w:r>
      <w:r>
        <w:rPr>
          <w:rFonts w:ascii="Arial" w:hAnsi="Arial"/>
        </w:rPr>
        <w:t xml:space="preserve">1º de agosto de 2013. </w:t>
      </w:r>
      <w:r/>
    </w:p>
    <w:p>
      <w:pPr>
        <w:pBdr/>
        <w:tabs>
          <w:tab w:val="left" w:leader="none" w:pos="1276"/>
        </w:tabs>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pPr>
      <w:r>
        <w:rPr>
          <w:rFonts w:ascii="Arial" w:hAnsi="Arial"/>
          <w:b/>
        </w:rPr>
        <w:t xml:space="preserve">XIII</w:t>
      </w:r>
      <w:r>
        <w:rPr>
          <w:rFonts w:ascii="Arial" w:hAnsi="Arial"/>
        </w:rPr>
        <w:t xml:space="preserve"> – No caso de não cumprimento da regra referente à subcontratação prevista no Edital.</w:t>
      </w:r>
      <w:r/>
    </w:p>
    <w:p>
      <w:pPr>
        <w:pBdr/>
        <w:tabs>
          <w:tab w:val="left" w:leader="none" w:pos="567"/>
          <w:tab w:val="left" w:leader="none" w:pos="709"/>
        </w:tabs>
        <w:spacing/>
        <w:ind/>
        <w:jc w:val="both"/>
        <w:rPr>
          <w:rFonts w:ascii="Arial" w:hAnsi="Arial"/>
          <w:b/>
        </w:rPr>
      </w:pPr>
      <w:r>
        <w:rPr>
          <w:rFonts w:ascii="Arial" w:hAnsi="Arial"/>
          <w:b/>
        </w:rPr>
      </w:r>
      <w:r>
        <w:rPr>
          <w:rFonts w:ascii="Arial" w:hAnsi="Arial"/>
          <w:b/>
        </w:rPr>
      </w:r>
      <w:r>
        <w:rPr>
          <w:rFonts w:ascii="Arial" w:hAnsi="Arial"/>
          <w:b/>
        </w:rPr>
      </w:r>
    </w:p>
    <w:p>
      <w:pPr>
        <w:pBdr/>
        <w:tabs>
          <w:tab w:val="left" w:leader="none" w:pos="567"/>
          <w:tab w:val="left" w:leader="none" w:pos="709"/>
        </w:tabs>
        <w:spacing/>
        <w:ind/>
        <w:jc w:val="both"/>
        <w:rPr/>
      </w:pPr>
      <w:r>
        <w:rPr>
          <w:rFonts w:ascii="Arial" w:hAnsi="Arial"/>
          <w:b/>
        </w:rPr>
        <w:t xml:space="preserve">14.2. </w:t>
      </w:r>
      <w:r>
        <w:rPr>
          <w:rFonts w:ascii="Arial" w:hAnsi="Arial"/>
        </w:rPr>
        <w:t xml:space="preserve">A notificação do Órgão ou Entidade Gerenciadora para o cancelamento do preço registrado será enviada diretamente ao Detentor da ARP por</w:t>
      </w:r>
      <w:r>
        <w:rPr>
          <w:rFonts w:ascii="Arial" w:hAnsi="Arial"/>
        </w:rPr>
        <w:t xml:space="preserve"> ofício, correspondência eletrônica ou por outro meio eficaz, e no caso da ausência do recebimento, a notificação será publicada no DIORONDON.</w:t>
      </w:r>
      <w:r/>
    </w:p>
    <w:p>
      <w:pPr>
        <w:pBdr/>
        <w:tabs>
          <w:tab w:val="left" w:leader="none" w:pos="1276"/>
        </w:tabs>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tabs>
          <w:tab w:val="left" w:leader="none" w:pos="1211"/>
        </w:tabs>
        <w:spacing/>
        <w:ind/>
        <w:jc w:val="both"/>
        <w:rPr/>
      </w:pPr>
      <w:r>
        <w:rPr>
          <w:rFonts w:ascii="Arial" w:hAnsi="Arial"/>
          <w:b/>
        </w:rPr>
        <w:t xml:space="preserve">14.3.</w:t>
      </w:r>
      <w:r>
        <w:rPr>
          <w:rFonts w:ascii="Arial" w:hAnsi="Arial"/>
        </w:rPr>
        <w:t xml:space="preserve"> A solicitação do Detentor para cancelamento do registro de preço deverá ser formulada por escrito, assegur</w:t>
      </w:r>
      <w:r>
        <w:rPr>
          <w:rFonts w:ascii="Arial" w:hAnsi="Arial"/>
        </w:rPr>
        <w:t xml:space="preserve">ando-se o fornecimento do bem registrado por prazo mínimo de quarenta e cinco dias, contado a partir da comprovação do recebimento da solicitação do cancelamento, salvo na hipótese da impossibilidade de seu cumprimento, devidamente justificada e aprovada p</w:t>
      </w:r>
      <w:r>
        <w:rPr>
          <w:rFonts w:ascii="Arial" w:hAnsi="Arial"/>
        </w:rPr>
        <w:t xml:space="preserve">elo Órgão ou Entidade Gerenciadora.</w:t>
      </w:r>
      <w:r/>
    </w:p>
    <w:p>
      <w:pPr>
        <w:pBdr/>
        <w:shd w:val="clear" w:color="auto" w:fill="ffffff"/>
        <w:tabs>
          <w:tab w:val="left" w:leader="none" w:pos="567"/>
        </w:tabs>
        <w:spacing/>
        <w:ind/>
        <w:jc w:val="both"/>
        <w:rPr>
          <w:rFonts w:ascii="Arial" w:hAnsi="Arial"/>
          <w:b/>
        </w:rPr>
      </w:pPr>
      <w:r>
        <w:rPr>
          <w:rFonts w:ascii="Arial" w:hAnsi="Arial"/>
          <w:b/>
        </w:rPr>
      </w:r>
      <w:r>
        <w:rPr>
          <w:rFonts w:ascii="Arial" w:hAnsi="Arial"/>
          <w:b/>
        </w:rPr>
      </w:r>
      <w:r>
        <w:rPr>
          <w:rFonts w:ascii="Arial" w:hAnsi="Arial"/>
          <w:b/>
        </w:rPr>
      </w:r>
    </w:p>
    <w:p>
      <w:pPr>
        <w:pBdr/>
        <w:shd w:val="clear" w:color="auto" w:fill="ffffff"/>
        <w:tabs>
          <w:tab w:val="left" w:leader="none" w:pos="567"/>
        </w:tabs>
        <w:spacing/>
        <w:ind/>
        <w:jc w:val="both"/>
        <w:rPr/>
      </w:pPr>
      <w:r>
        <w:rPr>
          <w:rFonts w:ascii="Arial" w:hAnsi="Arial"/>
          <w:b/>
        </w:rPr>
        <w:t xml:space="preserve">14.4. </w:t>
      </w:r>
      <w:r>
        <w:rPr>
          <w:rFonts w:ascii="Arial" w:hAnsi="Arial"/>
        </w:rPr>
        <w:t xml:space="preserve">O Detentor poderá solicitar o cancelamento do seu preço registrado na ocorrência de fato superveniente decorrente de caso fortuito ou de força maior, devidamente comprovados, bem como nas hipóteses compreendidas n</w:t>
      </w:r>
      <w:r>
        <w:rPr>
          <w:rFonts w:ascii="Arial" w:hAnsi="Arial"/>
        </w:rPr>
        <w:t xml:space="preserve">a legislação aplicável a que venham comprometer o fornecimento do bem.</w:t>
      </w:r>
      <w:r/>
    </w:p>
    <w:p>
      <w:pPr>
        <w:pBdr/>
        <w:tabs>
          <w:tab w:val="left" w:leader="none" w:pos="1276"/>
        </w:tabs>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tabs>
          <w:tab w:val="left" w:leader="none" w:pos="142"/>
          <w:tab w:val="left" w:leader="none" w:pos="567"/>
          <w:tab w:val="left" w:leader="none" w:pos="709"/>
        </w:tabs>
        <w:spacing/>
        <w:ind/>
        <w:jc w:val="both"/>
        <w:rPr/>
      </w:pPr>
      <w:r>
        <w:rPr>
          <w:rFonts w:ascii="Arial" w:hAnsi="Arial"/>
          <w:b/>
        </w:rPr>
        <w:t xml:space="preserve">14.5. </w:t>
      </w:r>
      <w:r>
        <w:rPr>
          <w:rFonts w:ascii="Arial" w:hAnsi="Arial"/>
        </w:rPr>
        <w:t xml:space="preserve">O cancelamento da ARP não afasta a possibilidade de aplicação de sanções, observadas as competências previstas no Decreto Municipal nº 11.685/2023.</w:t>
      </w:r>
      <w:r/>
    </w:p>
    <w:p>
      <w:pPr>
        <w:pBdr/>
        <w:tabs>
          <w:tab w:val="left" w:leader="none" w:pos="1276"/>
        </w:tabs>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tabs>
          <w:tab w:val="left" w:leader="none" w:pos="426"/>
          <w:tab w:val="left" w:leader="none" w:pos="567"/>
          <w:tab w:val="left" w:leader="none" w:pos="1260"/>
        </w:tabs>
        <w:spacing/>
        <w:ind/>
        <w:jc w:val="both"/>
        <w:rPr/>
      </w:pPr>
      <w:r>
        <w:rPr>
          <w:rFonts w:ascii="Arial" w:hAnsi="Arial"/>
          <w:b/>
        </w:rPr>
        <w:t xml:space="preserve">14.6.</w:t>
      </w:r>
      <w:r>
        <w:rPr>
          <w:rFonts w:ascii="Arial" w:hAnsi="Arial"/>
        </w:rPr>
        <w:t xml:space="preserve"> O cancelamento do Registro, nas hipóteses previstas, será formalizado por despacho da Autoridade Superior do Órgão ou Entidade Gerenciadora e publicado no DIORONDON</w:t>
      </w:r>
      <w:r/>
    </w:p>
    <w:p>
      <w:pPr>
        <w:pBdr/>
        <w:tabs>
          <w:tab w:val="left" w:leader="none" w:pos="426"/>
          <w:tab w:val="left" w:leader="none" w:pos="567"/>
          <w:tab w:val="left" w:leader="none" w:pos="1260"/>
        </w:tabs>
        <w:spacing/>
        <w:ind/>
        <w:jc w:val="both"/>
        <w:rPr/>
      </w:pPr>
      <w:r/>
      <w:r/>
    </w:p>
    <w:p>
      <w:pPr>
        <w:pBdr/>
        <w:tabs>
          <w:tab w:val="left" w:leader="none" w:pos="426"/>
          <w:tab w:val="left" w:leader="none" w:pos="567"/>
          <w:tab w:val="left" w:leader="none" w:pos="1260"/>
        </w:tabs>
        <w:spacing/>
        <w:ind/>
        <w:jc w:val="both"/>
        <w:rPr/>
      </w:pPr>
      <w:r>
        <w:rPr>
          <w:rFonts w:ascii="Arial" w:hAnsi="Arial"/>
          <w:b/>
          <w:smallCaps/>
          <w:color w:val="000000"/>
        </w:rPr>
        <w:t xml:space="preserve">CLÁUSULA DÉCIMA QUINTA </w:t>
      </w:r>
      <w:r>
        <w:rPr>
          <w:rFonts w:ascii="Arial" w:hAnsi="Arial"/>
          <w:b/>
        </w:rPr>
        <w:t xml:space="preserve">–</w:t>
      </w:r>
      <w:r>
        <w:rPr>
          <w:rFonts w:ascii="Arial" w:hAnsi="Arial"/>
          <w:b/>
          <w:smallCaps/>
          <w:color w:val="000000"/>
        </w:rPr>
        <w:t xml:space="preserve"> DA PROTEÇÃO E TRANSMISSÃO DE INFORMAÇÃO, DADOS PESSOAIS E/OU BAS</w:t>
      </w:r>
      <w:r>
        <w:rPr>
          <w:rFonts w:ascii="Arial" w:hAnsi="Arial"/>
          <w:b/>
          <w:smallCaps/>
          <w:color w:val="000000"/>
        </w:rPr>
        <w:t xml:space="preserve">E DE DADOS</w:t>
      </w:r>
      <w:r/>
    </w:p>
    <w:p>
      <w:pPr>
        <w:pBdr/>
        <w:tabs>
          <w:tab w:val="left" w:leader="none" w:pos="1276"/>
        </w:tabs>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tabs>
          <w:tab w:val="left" w:leader="none" w:pos="426"/>
          <w:tab w:val="left" w:leader="none" w:pos="567"/>
        </w:tabs>
        <w:spacing/>
        <w:ind/>
        <w:jc w:val="both"/>
        <w:rPr/>
      </w:pPr>
      <w:r>
        <w:rPr>
          <w:rFonts w:ascii="Arial" w:hAnsi="Arial"/>
          <w:b/>
        </w:rPr>
        <w:t xml:space="preserve">15.1. </w:t>
      </w:r>
      <w:r>
        <w:rPr>
          <w:rFonts w:ascii="Arial" w:hAnsi="Arial"/>
        </w:rPr>
        <w:t xml:space="preserve">O Detentor obriga-se ao dever de proteção, confidencialidade e sigilo de toda informação, dados pessoais e/ou base de dados a que tenha acesso, inclusive em razão de licenciamento ou da operação dos progra</w:t>
      </w:r>
      <w:r>
        <w:rPr>
          <w:rFonts w:ascii="Arial" w:hAnsi="Arial"/>
        </w:rPr>
        <w:t xml:space="preserve">mas/sistemas, nos termos da Lei n</w:t>
      </w:r>
      <w:r>
        <w:rPr>
          <w:rFonts w:ascii="Arial" w:hAnsi="Arial"/>
        </w:rPr>
        <w:t xml:space="preserve">º 13.709/2018, suas alterações e regulamentações posteriores, durante o cumprimento do objeto descrito no presente instrumento contratual.</w:t>
      </w:r>
      <w:r/>
    </w:p>
    <w:p>
      <w:pPr>
        <w:pBdr/>
        <w:tabs>
          <w:tab w:val="left" w:leader="none" w:pos="1276"/>
        </w:tabs>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tabs>
          <w:tab w:val="left" w:leader="none" w:pos="927"/>
          <w:tab w:val="left" w:leader="none" w:pos="1276"/>
          <w:tab w:val="left" w:leader="none" w:pos="1418"/>
        </w:tabs>
        <w:spacing/>
        <w:ind/>
        <w:jc w:val="both"/>
        <w:rPr/>
      </w:pPr>
      <w:r>
        <w:rPr>
          <w:rFonts w:ascii="Arial" w:hAnsi="Arial"/>
          <w:b/>
        </w:rPr>
        <w:t xml:space="preserve">15.1.1.</w:t>
      </w:r>
      <w:r>
        <w:rPr>
          <w:rFonts w:ascii="Arial" w:hAnsi="Arial"/>
        </w:rPr>
        <w:t xml:space="preserve"> O Detentor obriga-se a implementar medidas técnicas e administrativas suficientes visando a segurança, a pro</w:t>
      </w:r>
      <w:r>
        <w:rPr>
          <w:rFonts w:ascii="Arial" w:hAnsi="Arial"/>
        </w:rPr>
        <w:t xml:space="preserve">teção, a confidencialidade e o sigilo de toda informação, dados pessoais e/ou base de dados a que tenha acesso a fim de evitar acessos não autorizados, acidentes, vazamentos acidentais ou ilícitos que causem destruição, perda, alteração, comunicação ou qua</w:t>
      </w:r>
      <w:r>
        <w:rPr>
          <w:rFonts w:ascii="Arial" w:hAnsi="Arial"/>
        </w:rPr>
        <w:t xml:space="preserve">lquer outra forma de tratamento não previstos.</w:t>
      </w:r>
      <w:r/>
    </w:p>
    <w:p>
      <w:pPr>
        <w:pBdr/>
        <w:tabs>
          <w:tab w:val="left" w:leader="none" w:pos="1276"/>
        </w:tabs>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tabs>
          <w:tab w:val="left" w:leader="none" w:pos="927"/>
          <w:tab w:val="left" w:leader="none" w:pos="1276"/>
        </w:tabs>
        <w:spacing/>
        <w:ind/>
        <w:jc w:val="both"/>
        <w:rPr/>
      </w:pPr>
      <w:r>
        <w:rPr>
          <w:rFonts w:ascii="Arial" w:hAnsi="Arial"/>
          <w:b/>
        </w:rPr>
        <w:t xml:space="preserve">15.1.2.</w:t>
      </w:r>
      <w:r>
        <w:rPr>
          <w:rFonts w:ascii="Arial" w:hAnsi="Arial"/>
        </w:rPr>
        <w:t xml:space="preserve"> O Detentor deve assegurar-se de que todos os seus colaboradores, consultores e/ou prestadores de serviços que, no exercício das suas atividades, tenham acesso e/ou conhecimento da informação e/ou dos </w:t>
      </w:r>
      <w:r>
        <w:rPr>
          <w:rFonts w:ascii="Arial" w:hAnsi="Arial"/>
        </w:rPr>
        <w:t xml:space="preserve">dados pessoais, respeitem o dever de proteção, confidencialidade e sigilo.</w:t>
      </w:r>
      <w:r/>
    </w:p>
    <w:p>
      <w:pPr>
        <w:pBdr/>
        <w:tabs>
          <w:tab w:val="left" w:leader="none" w:pos="1276"/>
        </w:tabs>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tabs>
          <w:tab w:val="left" w:leader="none" w:pos="927"/>
        </w:tabs>
        <w:spacing/>
        <w:ind/>
        <w:jc w:val="both"/>
        <w:rPr/>
      </w:pPr>
      <w:r>
        <w:rPr>
          <w:rFonts w:ascii="Arial" w:hAnsi="Arial"/>
          <w:b/>
        </w:rPr>
        <w:t xml:space="preserve">15.1.3.</w:t>
      </w:r>
      <w:r>
        <w:rPr>
          <w:rFonts w:ascii="Arial" w:hAnsi="Arial"/>
        </w:rPr>
        <w:t xml:space="preserve"> O Detentor não poderá utilizar-se de informação, dados pessoais e/ou base de dados a que tenha acesso, para fins distintos ao cumprimento do objeto deste instrumento contra</w:t>
      </w:r>
      <w:r>
        <w:rPr>
          <w:rFonts w:ascii="Arial" w:hAnsi="Arial"/>
        </w:rPr>
        <w:t xml:space="preserve">tual.</w:t>
      </w:r>
      <w:r/>
    </w:p>
    <w:p>
      <w:pPr>
        <w:pBdr/>
        <w:tabs>
          <w:tab w:val="left" w:leader="none" w:pos="927"/>
        </w:tabs>
        <w:spacing/>
        <w:ind w:hanging="709" w:left="1276"/>
        <w:jc w:val="both"/>
        <w:rPr/>
      </w:pPr>
      <w:r/>
      <w:r/>
    </w:p>
    <w:p>
      <w:pPr>
        <w:pBdr/>
        <w:tabs>
          <w:tab w:val="left" w:leader="none" w:pos="927"/>
          <w:tab w:val="left" w:leader="none" w:pos="1276"/>
          <w:tab w:val="left" w:leader="none" w:pos="1418"/>
        </w:tabs>
        <w:spacing/>
        <w:ind/>
        <w:jc w:val="both"/>
        <w:rPr/>
      </w:pPr>
      <w:r>
        <w:rPr>
          <w:rFonts w:ascii="Arial" w:hAnsi="Arial"/>
          <w:b/>
        </w:rPr>
        <w:t xml:space="preserve">15.1.4.</w:t>
      </w:r>
      <w:r>
        <w:rPr>
          <w:rFonts w:ascii="Arial" w:hAnsi="Arial"/>
        </w:rPr>
        <w:t xml:space="preserve"> O Detentor não poderá disponibilizar e/ou transmitir a terceiros, sem prévia autorização escrita, informação, dados pessoais e/ou base de dados a que tenha acesso em razão do cumprimento do objeto deste instrumento contratual. </w:t>
      </w:r>
      <w:r/>
    </w:p>
    <w:p>
      <w:pPr>
        <w:pBdr/>
        <w:tabs>
          <w:tab w:val="left" w:leader="none" w:pos="927"/>
        </w:tabs>
        <w:spacing/>
        <w:ind w:hanging="851" w:left="2127"/>
        <w:jc w:val="both"/>
        <w:rPr>
          <w:rFonts w:ascii="Arial" w:hAnsi="Arial"/>
        </w:rPr>
      </w:pPr>
      <w:r>
        <w:rPr>
          <w:rFonts w:ascii="Arial" w:hAnsi="Arial"/>
        </w:rPr>
      </w:r>
      <w:r>
        <w:rPr>
          <w:rFonts w:ascii="Arial" w:hAnsi="Arial"/>
        </w:rPr>
      </w:r>
      <w:r>
        <w:rPr>
          <w:rFonts w:ascii="Arial" w:hAnsi="Arial"/>
        </w:rPr>
      </w:r>
    </w:p>
    <w:p>
      <w:pPr>
        <w:pBdr/>
        <w:tabs>
          <w:tab w:val="left" w:leader="none" w:pos="927"/>
        </w:tabs>
        <w:spacing/>
        <w:ind/>
        <w:jc w:val="both"/>
        <w:rPr/>
      </w:pPr>
      <w:r>
        <w:rPr>
          <w:rFonts w:ascii="Arial" w:hAnsi="Arial"/>
          <w:b/>
        </w:rPr>
        <w:t xml:space="preserve">15.1.4.1. </w:t>
      </w:r>
      <w:r>
        <w:rPr>
          <w:rFonts w:ascii="Arial" w:hAnsi="Arial"/>
        </w:rPr>
        <w:t xml:space="preserve">O </w:t>
      </w:r>
      <w:r>
        <w:rPr>
          <w:rFonts w:ascii="Arial" w:hAnsi="Arial"/>
        </w:rPr>
        <w:t xml:space="preserve">Detentor obriga-se a fornecer informação, dados pessoais e/ou base de dados estritamente necessários caso quando da transmissão autorizada a terceiros durante o cumprimento do objeto descrito neste instrumento contratual.</w:t>
      </w:r>
      <w:r/>
    </w:p>
    <w:p>
      <w:pPr>
        <w:pBdr/>
        <w:shd w:val="clear" w:color="auto" w:fill="ffffff"/>
        <w:spacing/>
        <w:ind w:left="993"/>
        <w:jc w:val="both"/>
        <w:rPr/>
      </w:pPr>
      <w:r/>
      <w:r/>
    </w:p>
    <w:p>
      <w:pPr>
        <w:pBdr/>
        <w:tabs>
          <w:tab w:val="left" w:leader="none" w:pos="927"/>
        </w:tabs>
        <w:spacing/>
        <w:ind/>
        <w:jc w:val="both"/>
        <w:rPr/>
      </w:pPr>
      <w:r>
        <w:rPr>
          <w:rFonts w:ascii="Arial" w:hAnsi="Arial"/>
          <w:b/>
        </w:rPr>
        <w:t xml:space="preserve">15.1.5.</w:t>
      </w:r>
      <w:r>
        <w:rPr>
          <w:rFonts w:ascii="Arial" w:hAnsi="Arial"/>
        </w:rPr>
        <w:t xml:space="preserve"> O Detentor fica obrigado a devolver todos os documentos, registros e cópias que contenham informação, dados pessoais e/ou base de dados a que tenha tido acesso durante a execução do cumprimento do objeto deste instrumento contratual no prazo de 30 (trinta</w:t>
      </w:r>
      <w:r>
        <w:rPr>
          <w:rFonts w:ascii="Arial" w:hAnsi="Arial"/>
        </w:rPr>
        <w:t xml:space="preserve">) dias corridos contados da rescisão contratual, restando autorizada a conservação apenas nas hipóteses legalmente previstas.</w:t>
      </w:r>
      <w:r/>
    </w:p>
    <w:p>
      <w:pPr>
        <w:pBdr/>
        <w:shd w:val="clear" w:color="auto" w:fill="ffffff"/>
        <w:spacing/>
        <w:ind w:left="993"/>
        <w:jc w:val="both"/>
        <w:rPr/>
      </w:pPr>
      <w:r/>
      <w:r/>
    </w:p>
    <w:p>
      <w:pPr>
        <w:pBdr/>
        <w:tabs>
          <w:tab w:val="left" w:leader="none" w:pos="927"/>
        </w:tabs>
        <w:spacing/>
        <w:ind/>
        <w:jc w:val="both"/>
        <w:rPr/>
      </w:pPr>
      <w:r>
        <w:rPr>
          <w:rFonts w:ascii="Arial" w:hAnsi="Arial"/>
          <w:b/>
        </w:rPr>
        <w:t xml:space="preserve">15.1.5.1.</w:t>
      </w:r>
      <w:r>
        <w:rPr>
          <w:rFonts w:ascii="Arial" w:hAnsi="Arial"/>
        </w:rPr>
        <w:t xml:space="preserve"> Ao Detentor não será permitido deter cópias ou backups, informação, dados pessoais e/ou base de dados a que tenha tido </w:t>
      </w:r>
      <w:r>
        <w:rPr>
          <w:rFonts w:ascii="Arial" w:hAnsi="Arial"/>
        </w:rPr>
        <w:t xml:space="preserve">acesso durante a execução do cumprimento do objeto deste instrumento contratual.</w:t>
      </w:r>
      <w:r/>
    </w:p>
    <w:p>
      <w:pPr>
        <w:pBdr/>
        <w:shd w:val="clear" w:color="auto" w:fill="ffffff"/>
        <w:spacing/>
        <w:ind/>
        <w:jc w:val="both"/>
        <w:rPr/>
      </w:pPr>
      <w:r>
        <w:rPr>
          <w:rFonts w:ascii="Arial" w:hAnsi="Arial"/>
          <w:b/>
        </w:rPr>
        <w:t xml:space="preserve">15.1.5.1.1.</w:t>
      </w:r>
      <w:r>
        <w:rPr>
          <w:rFonts w:ascii="Arial" w:hAnsi="Arial"/>
        </w:rPr>
        <w:t xml:space="preserve"> O Detentor deverá eliminar os dados pessoais a que tiver conhecimento ou posse em razão do cumprimento do objeto deste instrumento contratual tão logo não haja nec</w:t>
      </w:r>
      <w:r>
        <w:rPr>
          <w:rFonts w:ascii="Arial" w:hAnsi="Arial"/>
        </w:rPr>
        <w:t xml:space="preserve">essidade de realizar seu tratamento.</w:t>
      </w:r>
      <w:r/>
    </w:p>
    <w:p>
      <w:pPr>
        <w:pBdr/>
        <w:tabs>
          <w:tab w:val="left" w:leader="none" w:pos="927"/>
        </w:tabs>
        <w:spacing/>
        <w:ind/>
        <w:jc w:val="both"/>
        <w:rPr>
          <w:rFonts w:ascii="Arial" w:hAnsi="Arial"/>
          <w:b/>
        </w:rPr>
      </w:pPr>
      <w:r>
        <w:rPr>
          <w:rFonts w:ascii="Arial" w:hAnsi="Arial"/>
          <w:b/>
        </w:rPr>
      </w:r>
      <w:r>
        <w:rPr>
          <w:rFonts w:ascii="Arial" w:hAnsi="Arial"/>
          <w:b/>
        </w:rPr>
      </w:r>
      <w:r>
        <w:rPr>
          <w:rFonts w:ascii="Arial" w:hAnsi="Arial"/>
          <w:b/>
        </w:rPr>
      </w:r>
    </w:p>
    <w:p>
      <w:pPr>
        <w:pBdr/>
        <w:tabs>
          <w:tab w:val="left" w:leader="none" w:pos="927"/>
        </w:tabs>
        <w:spacing/>
        <w:ind/>
        <w:jc w:val="both"/>
        <w:rPr/>
      </w:pPr>
      <w:r>
        <w:rPr>
          <w:rFonts w:ascii="Arial" w:hAnsi="Arial"/>
          <w:b/>
        </w:rPr>
        <w:t xml:space="preserve">15.1.6.</w:t>
      </w:r>
      <w:r>
        <w:rPr>
          <w:rFonts w:ascii="Arial" w:hAnsi="Arial"/>
        </w:rPr>
        <w:t xml:space="preserve"> O Detentor deverá notificar, imediatamente, o Órgão ou Entidade Gerenciadora/Órgãos Participantes no caso de vazamento, perda parcial ou total de informação, dados pessoais e/ou base de dados.</w:t>
      </w:r>
      <w:r/>
    </w:p>
    <w:p>
      <w:pPr>
        <w:pBdr/>
        <w:tabs>
          <w:tab w:val="left" w:leader="none" w:pos="927"/>
        </w:tabs>
        <w:spacing/>
        <w:ind/>
        <w:jc w:val="both"/>
        <w:rPr>
          <w:rFonts w:ascii="Arial" w:hAnsi="Arial"/>
          <w:b/>
        </w:rPr>
      </w:pPr>
      <w:r>
        <w:rPr>
          <w:rFonts w:ascii="Arial" w:hAnsi="Arial"/>
          <w:b/>
        </w:rPr>
      </w:r>
      <w:r>
        <w:rPr>
          <w:rFonts w:ascii="Arial" w:hAnsi="Arial"/>
          <w:b/>
        </w:rPr>
      </w:r>
      <w:r>
        <w:rPr>
          <w:rFonts w:ascii="Arial" w:hAnsi="Arial"/>
          <w:b/>
        </w:rPr>
      </w:r>
    </w:p>
    <w:p>
      <w:pPr>
        <w:pBdr/>
        <w:tabs>
          <w:tab w:val="left" w:leader="none" w:pos="927"/>
        </w:tabs>
        <w:spacing/>
        <w:ind/>
        <w:jc w:val="both"/>
        <w:rPr/>
      </w:pPr>
      <w:r>
        <w:rPr>
          <w:rFonts w:ascii="Arial" w:hAnsi="Arial"/>
          <w:b/>
        </w:rPr>
        <w:t xml:space="preserve">15.1.6.1.</w:t>
      </w:r>
      <w:r>
        <w:rPr>
          <w:rFonts w:ascii="Arial" w:hAnsi="Arial"/>
        </w:rPr>
        <w:t xml:space="preserve"> A noti</w:t>
      </w:r>
      <w:r>
        <w:rPr>
          <w:rFonts w:ascii="Arial" w:hAnsi="Arial"/>
        </w:rPr>
        <w:t xml:space="preserve">ficação não eximirá o Detentor das obrigações e/ou sanções que possam incidir em razão da perda de informação, dados pessoais e/ou base de dados.</w:t>
      </w:r>
      <w:r/>
    </w:p>
    <w:p>
      <w:pPr>
        <w:pBdr/>
        <w:shd w:val="clear" w:color="auto" w:fill="ffffff"/>
        <w:spacing/>
        <w:ind w:left="1701"/>
        <w:jc w:val="both"/>
        <w:rPr/>
      </w:pPr>
      <w:r/>
      <w:r/>
    </w:p>
    <w:p>
      <w:pPr>
        <w:pBdr/>
        <w:tabs>
          <w:tab w:val="left" w:leader="none" w:pos="927"/>
        </w:tabs>
        <w:spacing/>
        <w:ind/>
        <w:jc w:val="both"/>
        <w:rPr/>
      </w:pPr>
      <w:r>
        <w:rPr>
          <w:rFonts w:ascii="Arial" w:hAnsi="Arial"/>
          <w:b/>
        </w:rPr>
        <w:t xml:space="preserve">15.1.6.2.</w:t>
      </w:r>
      <w:r>
        <w:rPr>
          <w:rFonts w:ascii="Arial" w:hAnsi="Arial"/>
        </w:rPr>
        <w:t xml:space="preserve"> O Detentor que descumprir nos termos da Lei nº 13.709/2018 suas alterações e regulamentações poster</w:t>
      </w:r>
      <w:r>
        <w:rPr>
          <w:rFonts w:ascii="Arial" w:hAnsi="Arial"/>
        </w:rPr>
        <w:t xml:space="preserve">iores, durante ou após a execução do objeto descrito no presente instrumento contratual fica obrigado a assumir total responsabilidade e ao ressarcimento por todo e qualquer dano e/ou prejuízo sofrido, incluindo sanções aplicadas pela autoridade competente</w:t>
      </w:r>
      <w:r>
        <w:rPr>
          <w:rFonts w:ascii="Arial" w:hAnsi="Arial"/>
        </w:rPr>
        <w:t xml:space="preserve">.</w:t>
      </w:r>
      <w:r/>
    </w:p>
    <w:p>
      <w:pPr>
        <w:pBdr/>
        <w:shd w:val="clear" w:color="auto" w:fill="ffffff"/>
        <w:spacing/>
        <w:ind w:left="993"/>
        <w:jc w:val="both"/>
        <w:rPr/>
      </w:pPr>
      <w:r/>
      <w:r/>
    </w:p>
    <w:p>
      <w:pPr>
        <w:pBdr/>
        <w:tabs>
          <w:tab w:val="left" w:leader="none" w:pos="927"/>
        </w:tabs>
        <w:spacing/>
        <w:ind/>
        <w:jc w:val="both"/>
        <w:rPr/>
      </w:pPr>
      <w:r>
        <w:rPr>
          <w:rFonts w:ascii="Arial" w:hAnsi="Arial"/>
          <w:b/>
        </w:rPr>
        <w:t xml:space="preserve">15.1.7.</w:t>
      </w:r>
      <w:r>
        <w:rPr>
          <w:rFonts w:ascii="Arial" w:hAnsi="Arial"/>
        </w:rPr>
        <w:t xml:space="preserve"> O Detentor fica obrigado a manter preposto para comunicação com o Órgão ou Entidade Gerenciadora/ para os assuntos pertinentes à Lei nº 13.709/2018 suas alterações e regulamentações posteriores.</w:t>
      </w:r>
      <w:r/>
    </w:p>
    <w:p>
      <w:pPr>
        <w:pBdr/>
        <w:tabs>
          <w:tab w:val="left" w:leader="none" w:pos="927"/>
        </w:tabs>
        <w:spacing/>
        <w:ind/>
        <w:jc w:val="both"/>
        <w:rPr>
          <w:rFonts w:ascii="Arial" w:hAnsi="Arial"/>
          <w:b/>
        </w:rPr>
      </w:pPr>
      <w:r>
        <w:rPr>
          <w:rFonts w:ascii="Arial" w:hAnsi="Arial"/>
          <w:b/>
        </w:rPr>
      </w:r>
      <w:r>
        <w:rPr>
          <w:rFonts w:ascii="Arial" w:hAnsi="Arial"/>
          <w:b/>
        </w:rPr>
      </w:r>
      <w:r>
        <w:rPr>
          <w:rFonts w:ascii="Arial" w:hAnsi="Arial"/>
          <w:b/>
        </w:rPr>
      </w:r>
    </w:p>
    <w:p>
      <w:pPr>
        <w:pBdr/>
        <w:tabs>
          <w:tab w:val="left" w:leader="none" w:pos="927"/>
        </w:tabs>
        <w:spacing/>
        <w:ind/>
        <w:jc w:val="both"/>
        <w:rPr/>
      </w:pPr>
      <w:r>
        <w:rPr>
          <w:rFonts w:ascii="Arial" w:hAnsi="Arial"/>
          <w:b/>
        </w:rPr>
        <w:t xml:space="preserve">15.1.8.</w:t>
      </w:r>
      <w:r>
        <w:rPr>
          <w:rFonts w:ascii="Arial" w:hAnsi="Arial"/>
        </w:rPr>
        <w:t xml:space="preserve"> O dever de sigilo e confidencialidade, e as demais obrigações descritas na presente cláusula, permanecerão em vigor após a extinção das relações entre o Detentor e o Órgão ou Entidade Gerenciadora/Órgãos Participantes, bem como, entre o Detentor e os seus</w:t>
      </w:r>
      <w:r>
        <w:rPr>
          <w:rFonts w:ascii="Arial" w:hAnsi="Arial"/>
        </w:rPr>
        <w:t xml:space="preserve"> colaboradores, subcontratados, consultores e/ou prestadores de serviços sob pena das sanções previstas na Lei nº 13.709/2018, suas alterações e regulamentações posteriores, salvo decisão judicial contrária.</w:t>
      </w:r>
      <w:r/>
    </w:p>
    <w:p>
      <w:pPr>
        <w:pBdr/>
        <w:tabs>
          <w:tab w:val="left" w:leader="none" w:pos="927"/>
        </w:tabs>
        <w:spacing/>
        <w:ind/>
        <w:jc w:val="both"/>
        <w:rPr>
          <w:rFonts w:ascii="Arial" w:hAnsi="Arial"/>
          <w:b/>
        </w:rPr>
      </w:pPr>
      <w:r>
        <w:rPr>
          <w:rFonts w:ascii="Arial" w:hAnsi="Arial"/>
          <w:b/>
        </w:rPr>
      </w:r>
      <w:r>
        <w:rPr>
          <w:rFonts w:ascii="Arial" w:hAnsi="Arial"/>
          <w:b/>
        </w:rPr>
      </w:r>
      <w:r>
        <w:rPr>
          <w:rFonts w:ascii="Arial" w:hAnsi="Arial"/>
          <w:b/>
        </w:rPr>
      </w:r>
    </w:p>
    <w:p>
      <w:pPr>
        <w:pBdr/>
        <w:tabs>
          <w:tab w:val="left" w:leader="none" w:pos="927"/>
        </w:tabs>
        <w:spacing/>
        <w:ind/>
        <w:jc w:val="both"/>
        <w:rPr/>
      </w:pPr>
      <w:r>
        <w:rPr>
          <w:rFonts w:ascii="Arial" w:hAnsi="Arial"/>
          <w:b/>
        </w:rPr>
        <w:t xml:space="preserve">15.1.9.</w:t>
      </w:r>
      <w:r>
        <w:rPr>
          <w:rFonts w:ascii="Arial" w:hAnsi="Arial"/>
        </w:rPr>
        <w:t xml:space="preserve"> O não cumprimento de quaisquer das obri</w:t>
      </w:r>
      <w:r>
        <w:rPr>
          <w:rFonts w:ascii="Arial" w:hAnsi="Arial"/>
        </w:rPr>
        <w:t xml:space="preserve">gações descritas nesta cláusula sujeitará o Detentor a processo administrativo para apuração de responsabilidade e, consequente, sanção, sem prejuízo de outras cominações cíveis e penais.</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CLÁUSULA DÉCIMA SEXTA - DAS SANÇÕES ADMINISTRATIVAS</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16.1.</w:t>
      </w:r>
      <w:r>
        <w:rPr>
          <w:rFonts w:ascii="Arial" w:hAnsi="Arial"/>
        </w:rPr>
        <w:t xml:space="preserve"> O descum</w:t>
      </w:r>
      <w:r>
        <w:rPr>
          <w:rFonts w:ascii="Arial" w:hAnsi="Arial"/>
        </w:rPr>
        <w:t xml:space="preserve">primento das obrigações assumidas caracterizará a inadimplência do Detentor, sujeitando-o às seguintes penalidades, na forma do Decreto nº 11.685/2023:</w:t>
      </w:r>
      <w:r/>
    </w:p>
    <w:p>
      <w:pPr>
        <w:pBdr/>
        <w:spacing/>
        <w:ind w:hanging="567" w:left="567"/>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16.1.1.</w:t>
      </w:r>
      <w:r>
        <w:rPr>
          <w:rFonts w:ascii="Arial" w:hAnsi="Arial"/>
        </w:rPr>
        <w:t xml:space="preserve"> advertência;</w:t>
      </w:r>
      <w:r/>
    </w:p>
    <w:p>
      <w:pPr>
        <w:pBdr/>
        <w:spacing/>
        <w:ind w:hanging="567" w:left="567"/>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16.1.2.</w:t>
      </w:r>
      <w:r>
        <w:rPr>
          <w:rFonts w:ascii="Arial" w:hAnsi="Arial"/>
        </w:rPr>
        <w:t xml:space="preserve"> multas nos seguintes percentuais:</w:t>
      </w:r>
      <w:r/>
    </w:p>
    <w:p>
      <w:pPr>
        <w:pBdr/>
        <w:spacing/>
        <w:ind w:hanging="567" w:left="567"/>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rPr>
        <w:t xml:space="preserve">a</w:t>
      </w:r>
      <w:r>
        <w:rPr>
          <w:rFonts w:ascii="Arial" w:hAnsi="Arial"/>
        </w:rPr>
        <w:t xml:space="preserve">) multa moratória de 0,5% (cinco décimos por cento) por dia de atraso na entrega de material ou execução de serviços, recaindo o cálculo sobre o valor da parcela inadimplida, até o limite de 30% (trinta por cento) do contrato ou do instrumento equivalente.</w:t>
      </w:r>
      <w:r/>
    </w:p>
    <w:p>
      <w:pPr>
        <w:pBdr/>
        <w:spacing/>
        <w:ind w:left="1276"/>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rPr>
        <w:t xml:space="preserve">b) multa compensatória de até 3% (três por cento) sobre o valor de referência ao contratado que retardar o procedimento de contratação, descumprir preceito normativo ou obrigações assumidas.</w:t>
      </w:r>
      <w:r/>
    </w:p>
    <w:p>
      <w:pPr>
        <w:pBdr/>
        <w:spacing/>
        <w:ind w:hanging="284" w:left="993"/>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rPr>
        <w:t xml:space="preserve">c) multa compensatória de até 5% (cinco por cento) sobre o val</w:t>
      </w:r>
      <w:r>
        <w:rPr>
          <w:rFonts w:ascii="Arial" w:hAnsi="Arial"/>
        </w:rPr>
        <w:t xml:space="preserve">or da parcela inadimplida ao contratado que entregar o objeto contratual em desacordo com as especificações, condições e qualidade contratadas ou com irregularidades ou defeitos ocultos que o tornem impróprio para o fim a que se destina.</w:t>
      </w:r>
      <w:r/>
    </w:p>
    <w:p>
      <w:pPr>
        <w:pBdr/>
        <w:spacing/>
        <w:ind w:left="1276"/>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rPr>
        <w:t xml:space="preserve">d) multa compensa</w:t>
      </w:r>
      <w:r>
        <w:rPr>
          <w:rFonts w:ascii="Arial" w:hAnsi="Arial"/>
        </w:rPr>
        <w:t xml:space="preserve">tória de até 30% (trinta por cento) do valor do contrato em razão do cometimento das infrações administrativas previstas no Decreto Municipal nº 11.685/2023</w:t>
      </w:r>
      <w:r/>
    </w:p>
    <w:p>
      <w:pPr>
        <w:pBdr/>
        <w:spacing/>
        <w:ind w:hanging="567" w:left="567"/>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16.1.3.</w:t>
      </w:r>
      <w:r>
        <w:rPr>
          <w:rFonts w:ascii="Arial" w:hAnsi="Arial"/>
        </w:rPr>
        <w:t xml:space="preserve"> impedimento de licitar e contratar;</w:t>
      </w:r>
      <w:r/>
    </w:p>
    <w:p>
      <w:pPr>
        <w:pBdr/>
        <w:spacing/>
        <w:ind w:left="567"/>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16.1.4.</w:t>
      </w:r>
      <w:r>
        <w:rPr>
          <w:rFonts w:ascii="Arial" w:hAnsi="Arial"/>
        </w:rPr>
        <w:t xml:space="preserve"> declaração de inidoneidade para licitar e con</w:t>
      </w:r>
      <w:r>
        <w:rPr>
          <w:rFonts w:ascii="Arial" w:hAnsi="Arial"/>
        </w:rPr>
        <w:t xml:space="preserve">tratar.</w:t>
      </w:r>
      <w:r/>
    </w:p>
    <w:p>
      <w:pPr>
        <w:pBdr/>
        <w:spacing/>
        <w:ind w:hanging="567" w:left="567"/>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16.2.</w:t>
      </w:r>
      <w:r>
        <w:rPr>
          <w:rFonts w:ascii="Arial" w:hAnsi="Arial"/>
        </w:rPr>
        <w:t xml:space="preserve"> A multa moratória pode ser aplicada cumulativamente com as demais multas previstas.</w:t>
      </w:r>
      <w:r>
        <w:rPr>
          <w:rFonts w:ascii="Arial" w:hAnsi="Arial"/>
        </w:rPr>
      </w:r>
      <w:r>
        <w:rPr>
          <w:rFonts w:ascii="Arial" w:hAnsi="Arial"/>
        </w:rPr>
      </w:r>
    </w:p>
    <w:p>
      <w:pPr>
        <w:pBdr/>
        <w:spacing/>
        <w:ind/>
        <w:jc w:val="both"/>
        <w:rPr/>
      </w:pPr>
      <w:r/>
      <w:r/>
    </w:p>
    <w:p>
      <w:pPr>
        <w:pBdr/>
        <w:spacing/>
        <w:ind w:hanging="567" w:left="567"/>
        <w:jc w:val="both"/>
        <w:rPr/>
      </w:pPr>
      <w:r>
        <w:rPr>
          <w:rFonts w:ascii="Arial" w:hAnsi="Arial"/>
          <w:b/>
        </w:rPr>
        <w:t xml:space="preserve">16.3.</w:t>
      </w:r>
      <w:r>
        <w:rPr>
          <w:rFonts w:ascii="Arial" w:hAnsi="Arial"/>
        </w:rPr>
        <w:t xml:space="preserve"> As penalidades de advertência e multa serão aplicadas pelo Diretor competente.</w:t>
      </w:r>
      <w:r/>
    </w:p>
    <w:p>
      <w:pPr>
        <w:pBdr/>
        <w:spacing/>
        <w:ind w:hanging="567" w:left="567"/>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16.4.</w:t>
      </w:r>
      <w:r>
        <w:rPr>
          <w:rFonts w:ascii="Arial" w:hAnsi="Arial"/>
        </w:rPr>
        <w:t xml:space="preserve"> A penalidade de impedimento de licitar e contratar será aplicada</w:t>
      </w:r>
      <w:r>
        <w:rPr>
          <w:rFonts w:ascii="Arial" w:hAnsi="Arial"/>
        </w:rPr>
        <w:t xml:space="preserve"> pelo Secretário Municipal ou ocupante de cargo equivalente, nos demais órgãos e entidades da administração direta ou indireta.</w:t>
      </w:r>
      <w:r/>
    </w:p>
    <w:p>
      <w:pPr>
        <w:pBdr/>
        <w:spacing/>
        <w:ind w:hanging="567" w:left="567"/>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16.5.</w:t>
      </w:r>
      <w:r>
        <w:rPr>
          <w:rFonts w:ascii="Arial" w:hAnsi="Arial"/>
        </w:rPr>
        <w:t xml:space="preserve"> A penalidade de declaração de inidoneidade será aplicada pelo Secretário ou autoridade máxima da entidade, nos demais órg</w:t>
      </w:r>
      <w:r>
        <w:rPr>
          <w:rFonts w:ascii="Arial" w:hAnsi="Arial"/>
        </w:rPr>
        <w:t xml:space="preserve">ãos e entidades da administração direta ou indireta.</w:t>
      </w:r>
      <w:r>
        <w:rPr>
          <w:rFonts w:ascii="Arial" w:hAnsi="Arial"/>
        </w:rPr>
      </w:r>
      <w:r>
        <w:rPr>
          <w:rFonts w:ascii="Arial" w:hAnsi="Arial"/>
        </w:rPr>
      </w:r>
    </w:p>
    <w:p>
      <w:pPr>
        <w:pBdr/>
        <w:spacing/>
        <w:ind/>
        <w:jc w:val="both"/>
        <w:rPr/>
      </w:pPr>
      <w:r/>
      <w:r/>
    </w:p>
    <w:p>
      <w:pPr>
        <w:pBdr/>
        <w:spacing/>
        <w:ind/>
        <w:jc w:val="both"/>
        <w:rPr>
          <w:rFonts w:ascii="Arial" w:hAnsi="Arial"/>
        </w:rPr>
      </w:pPr>
      <w:r>
        <w:rPr>
          <w:rFonts w:ascii="Arial" w:hAnsi="Arial"/>
          <w:b/>
        </w:rPr>
        <w:t xml:space="preserve">16.6.</w:t>
      </w:r>
      <w:r>
        <w:rPr>
          <w:rFonts w:ascii="Arial" w:hAnsi="Arial"/>
        </w:rPr>
        <w:t xml:space="preserve"> A notificada poderá apresentar defesa escrita, no prazo de 15 (quinze) dias úteis, cujo termo inicial será:</w:t>
      </w:r>
      <w:r>
        <w:rPr>
          <w:rFonts w:ascii="Arial" w:hAnsi="Arial"/>
        </w:rPr>
      </w:r>
      <w:r>
        <w:rPr>
          <w:rFonts w:ascii="Arial" w:hAnsi="Arial"/>
        </w:rPr>
      </w:r>
    </w:p>
    <w:p>
      <w:pPr>
        <w:pBdr/>
        <w:spacing/>
        <w:ind/>
        <w:jc w:val="both"/>
        <w:rPr/>
      </w:pPr>
      <w:r/>
      <w:r/>
    </w:p>
    <w:p>
      <w:pPr>
        <w:pBdr/>
        <w:spacing/>
        <w:ind/>
        <w:jc w:val="both"/>
        <w:rPr/>
      </w:pPr>
      <w:r>
        <w:rPr>
          <w:rFonts w:ascii="Arial" w:hAnsi="Arial"/>
        </w:rPr>
        <w:t xml:space="preserve">a) o primeiro dia após a confirmação do recebimento da notificação por e-mail;</w:t>
      </w:r>
      <w:r/>
    </w:p>
    <w:p>
      <w:pPr>
        <w:pBdr/>
        <w:spacing/>
        <w:ind/>
        <w:jc w:val="both"/>
        <w:rPr/>
      </w:pPr>
      <w:r>
        <w:rPr>
          <w:rFonts w:ascii="Arial" w:hAnsi="Arial"/>
        </w:rPr>
        <w:t xml:space="preserve">b) o primeiro dia após a juntada ao processo do Aviso de Recebimento da correspondência em que a notificação foi enviada;</w:t>
      </w:r>
      <w:r/>
    </w:p>
    <w:p>
      <w:pPr>
        <w:pBdr/>
        <w:spacing/>
        <w:ind/>
        <w:jc w:val="both"/>
        <w:rPr/>
      </w:pPr>
      <w:r>
        <w:rPr>
          <w:rFonts w:ascii="Arial" w:hAnsi="Arial"/>
        </w:rPr>
        <w:t xml:space="preserve">c) o primeiro dia após o fim do prazo de 5 (cinco) dias, quando a notificação for publicada no DIORONDON.</w:t>
      </w:r>
      <w:r/>
    </w:p>
    <w:p>
      <w:pPr>
        <w:pBdr/>
        <w:spacing/>
        <w:ind w:hanging="567" w:left="567"/>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16.7.</w:t>
      </w:r>
      <w:r>
        <w:rPr>
          <w:rFonts w:ascii="Arial" w:hAnsi="Arial"/>
        </w:rPr>
        <w:t xml:space="preserve"> No caso de aplicação </w:t>
      </w:r>
      <w:r>
        <w:rPr>
          <w:rFonts w:ascii="Arial" w:hAnsi="Arial"/>
        </w:rPr>
        <w:t xml:space="preserve">das penalidades de advertência, multa ou impedimento de licitar e contratar será concedido prazo de 15 (quinze) dias para apresentação de recurso a contar da publicação da decisão condenatória no DIORONDON.</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16.8.</w:t>
      </w:r>
      <w:r>
        <w:rPr>
          <w:rFonts w:ascii="Arial" w:hAnsi="Arial"/>
        </w:rPr>
        <w:t xml:space="preserve"> Da aplicação de sanção de declaração de in</w:t>
      </w:r>
      <w:r>
        <w:rPr>
          <w:rFonts w:ascii="Arial" w:hAnsi="Arial"/>
        </w:rPr>
        <w:t xml:space="preserve">idoneidade para licitar ou contratar caberá apenas pedido de reconsideração, que deverá ser apresentado no prazo de 15 (quinze) dias úteis, contado da data da publicação da decisão no DIORONDON.</w:t>
      </w:r>
      <w:r/>
    </w:p>
    <w:p>
      <w:pPr>
        <w:pBdr/>
        <w:spacing/>
        <w:ind w:hanging="567" w:left="567"/>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16.9.</w:t>
      </w:r>
      <w:r>
        <w:rPr>
          <w:rFonts w:ascii="Arial" w:hAnsi="Arial"/>
        </w:rPr>
        <w:t xml:space="preserve"> As sanções de advertência, impedimento de licitar e co</w:t>
      </w:r>
      <w:r>
        <w:rPr>
          <w:rFonts w:ascii="Arial" w:hAnsi="Arial"/>
        </w:rPr>
        <w:t xml:space="preserve">ntratar e declaração de inidoneidade para licitar ou contratar poderão ser aplicadas, cumulativamente ou não, à penalidade de multa.</w:t>
      </w:r>
      <w:r/>
    </w:p>
    <w:p>
      <w:pPr>
        <w:pBdr/>
        <w:spacing/>
        <w:ind w:hanging="567" w:left="567"/>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16.10.</w:t>
      </w:r>
      <w:r>
        <w:rPr>
          <w:rFonts w:ascii="Arial" w:hAnsi="Arial"/>
        </w:rPr>
        <w:t xml:space="preserve"> O </w:t>
      </w:r>
      <w:r>
        <w:rPr>
          <w:rFonts w:ascii="Arial" w:hAnsi="Arial"/>
          <w:b/>
        </w:rPr>
        <w:t xml:space="preserve">recurso</w:t>
      </w:r>
      <w:r>
        <w:rPr>
          <w:rFonts w:ascii="Arial" w:hAnsi="Arial"/>
        </w:rPr>
        <w:t xml:space="preserve"> e o pedido de reconsideração terão efeito suspensivo do ato ou da decisão recorrida até que sobrevenha de</w:t>
      </w:r>
      <w:r>
        <w:rPr>
          <w:rFonts w:ascii="Arial" w:hAnsi="Arial"/>
        </w:rPr>
        <w:t xml:space="preserve">cisão final da autoridade competente.</w:t>
      </w:r>
      <w:r/>
    </w:p>
    <w:p>
      <w:pPr>
        <w:pBdr/>
        <w:spacing/>
        <w:ind w:hanging="567" w:left="567"/>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16.11.</w:t>
      </w:r>
      <w:r>
        <w:rPr>
          <w:rFonts w:ascii="Arial" w:hAnsi="Arial"/>
        </w:rPr>
        <w:t xml:space="preserve"> A aplicação das sanções previstas não exclui, em hipótese alguma, a obrigação de reparação integral dos danos causados, aplicando-se no que couber o disposto na Lei 14.133/2021 e Decreto Municipal 11.685/2023. </w:t>
      </w:r>
      <w:r/>
    </w:p>
    <w:p>
      <w:pPr>
        <w:pBdr/>
        <w:spacing/>
        <w:ind/>
        <w:jc w:val="both"/>
        <w:rPr/>
      </w:pPr>
      <w:r/>
      <w:r/>
    </w:p>
    <w:p>
      <w:pPr>
        <w:pBdr/>
        <w:spacing/>
        <w:ind/>
        <w:jc w:val="both"/>
        <w:rPr>
          <w:b/>
          <w:bCs/>
        </w:rPr>
      </w:pPr>
      <w:r>
        <w:rPr>
          <w:b/>
          <w:bCs/>
        </w:rPr>
        <w:t xml:space="preserve">CLÁUSULA DÉCIMA SÉTIMA – DAS DISPOSIÇÕES FINAIS</w:t>
      </w:r>
      <w:r>
        <w:rPr>
          <w:b/>
          <w:bCs/>
        </w:rPr>
      </w:r>
      <w:r>
        <w:rPr>
          <w:b/>
          <w:bCs/>
        </w:rPr>
      </w:r>
    </w:p>
    <w:p>
      <w:pPr>
        <w:pBdr/>
        <w:spacing/>
        <w:ind/>
        <w:jc w:val="both"/>
        <w:rPr/>
      </w:pPr>
      <w:r/>
      <w:r/>
    </w:p>
    <w:p>
      <w:pPr>
        <w:pBdr/>
        <w:spacing/>
        <w:ind/>
        <w:jc w:val="both"/>
        <w:rPr>
          <w:rFonts w:ascii="Arial" w:hAnsi="Arial"/>
        </w:rPr>
      </w:pPr>
      <w:r>
        <w:rPr>
          <w:rFonts w:ascii="Arial" w:hAnsi="Arial"/>
          <w:b/>
        </w:rPr>
        <w:t xml:space="preserve">17.1.</w:t>
      </w:r>
      <w:r>
        <w:rPr>
          <w:rFonts w:ascii="Arial" w:hAnsi="Arial"/>
        </w:rPr>
        <w:t xml:space="preserve"> Aplicam-se aos produtos todas as normas e exigências do Código de Defesa do Consumidor.  </w:t>
      </w:r>
      <w:r>
        <w:rPr>
          <w:rFonts w:ascii="Arial" w:hAnsi="Arial"/>
        </w:rPr>
      </w:r>
      <w:r>
        <w:rPr>
          <w:rFonts w:ascii="Arial" w:hAnsi="Arial"/>
        </w:rPr>
      </w:r>
    </w:p>
    <w:p>
      <w:pPr>
        <w:pBdr/>
        <w:spacing/>
        <w:ind/>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17.2.</w:t>
      </w:r>
      <w:r>
        <w:rPr>
          <w:rFonts w:ascii="Arial" w:hAnsi="Arial"/>
        </w:rPr>
        <w:t xml:space="preserve"> A tolerância do Município com qualquer atraso ou inadimplência por parte do Detentor não importará de </w:t>
      </w:r>
      <w:r>
        <w:rPr>
          <w:rFonts w:ascii="Arial" w:hAnsi="Arial"/>
        </w:rPr>
        <w:t xml:space="preserve">forma alguma em alteração ou novação.</w:t>
      </w:r>
      <w:r/>
    </w:p>
    <w:p>
      <w:pPr>
        <w:pBdr/>
        <w:spacing/>
        <w:ind w:hanging="567" w:left="567"/>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17.3.</w:t>
      </w:r>
      <w:r>
        <w:rPr>
          <w:rFonts w:ascii="Arial" w:hAnsi="Arial"/>
        </w:rPr>
        <w:t xml:space="preserve"> Para ciência dos interessados e efeitos legais, a publicação do extrato da presente ARP no Diário Oficial do Município - DIORONDON - será providenciada e correrá por conta e ônus do Município.</w:t>
      </w: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rPr>
      </w:pPr>
      <w:r>
        <w:rPr>
          <w:rFonts w:ascii="Arial" w:hAnsi="Arial"/>
          <w:b/>
          <w:color w:val="000000"/>
        </w:rPr>
        <w:t xml:space="preserve">17.4.</w:t>
      </w:r>
      <w:r>
        <w:rPr>
          <w:rFonts w:ascii="Arial" w:hAnsi="Arial"/>
          <w:color w:val="000000"/>
        </w:rPr>
        <w:t xml:space="preserve"> A presente </w:t>
      </w:r>
      <w:r>
        <w:rPr>
          <w:rFonts w:ascii="Arial" w:hAnsi="Arial"/>
          <w:color w:val="000000"/>
        </w:rPr>
        <w:t xml:space="preserve">ARP está vinculada, independentemente de transcrição, ao Edital e seus </w:t>
      </w:r>
      <w:r>
        <w:rPr>
          <w:rFonts w:ascii="Arial" w:hAnsi="Arial"/>
        </w:rPr>
        <w:t xml:space="preserve">Anexos, bem como a proposta do Detentor, e </w:t>
      </w:r>
      <w:r>
        <w:rPr>
          <w:rFonts w:ascii="Arial" w:hAnsi="Arial"/>
          <w:color w:val="000000"/>
        </w:rPr>
        <w:t xml:space="preserve">integram o presente instrumento os seguintes anexos:</w:t>
      </w:r>
      <w:r>
        <w:rPr>
          <w:rFonts w:ascii="Arial" w:hAnsi="Arial"/>
          <w:color w:val="000000"/>
        </w:rPr>
      </w:r>
      <w:r>
        <w:rPr>
          <w:rFonts w:ascii="Arial" w:hAnsi="Arial"/>
          <w:color w:val="000000"/>
        </w:rPr>
      </w:r>
    </w:p>
    <w:p>
      <w:pPr>
        <w:pBdr/>
        <w:spacing/>
        <w:ind/>
        <w:jc w:val="both"/>
        <w:rPr/>
      </w:pPr>
      <w:r/>
      <w:r/>
    </w:p>
    <w:p>
      <w:pPr>
        <w:pBdr/>
        <w:spacing/>
        <w:ind/>
        <w:jc w:val="both"/>
        <w:rPr>
          <w:rFonts w:ascii="Arial" w:hAnsi="Arial"/>
        </w:rPr>
      </w:pPr>
      <w:r>
        <w:rPr>
          <w:rFonts w:ascii="Arial" w:hAnsi="Arial"/>
          <w:b/>
        </w:rPr>
        <w:t xml:space="preserve">a)</w:t>
      </w:r>
      <w:r>
        <w:rPr>
          <w:rFonts w:ascii="Arial" w:hAnsi="Arial"/>
        </w:rPr>
        <w:t xml:space="preserve"> Anexo I – Informações sobre os produtos registrados;</w:t>
      </w:r>
      <w:r>
        <w:rPr>
          <w:rFonts w:ascii="Arial" w:hAnsi="Arial"/>
        </w:rPr>
      </w:r>
      <w:r>
        <w:rPr>
          <w:rFonts w:ascii="Arial" w:hAnsi="Arial"/>
        </w:rPr>
      </w:r>
    </w:p>
    <w:p>
      <w:pPr>
        <w:pBdr/>
        <w:spacing/>
        <w:ind/>
        <w:jc w:val="both"/>
        <w:rPr/>
      </w:pPr>
      <w:r/>
      <w:r/>
    </w:p>
    <w:p>
      <w:pPr>
        <w:pBdr/>
        <w:spacing/>
        <w:ind/>
        <w:jc w:val="both"/>
        <w:rPr>
          <w:rFonts w:ascii="Arial" w:hAnsi="Arial"/>
        </w:rPr>
      </w:pPr>
      <w:r>
        <w:rPr>
          <w:rFonts w:ascii="Arial" w:hAnsi="Arial"/>
          <w:b/>
        </w:rPr>
        <w:t xml:space="preserve">b)</w:t>
      </w:r>
      <w:r>
        <w:rPr>
          <w:rFonts w:ascii="Arial" w:hAnsi="Arial"/>
        </w:rPr>
        <w:t xml:space="preserve"> Anexo II – Relação dos endereços dos participantes deste Registro;</w:t>
      </w:r>
      <w:r>
        <w:rPr>
          <w:rFonts w:ascii="Arial" w:hAnsi="Arial"/>
        </w:rPr>
      </w:r>
      <w:r>
        <w:rPr>
          <w:rFonts w:ascii="Arial" w:hAnsi="Arial"/>
        </w:rPr>
      </w:r>
    </w:p>
    <w:p>
      <w:pPr>
        <w:pBdr/>
        <w:spacing/>
        <w:ind/>
        <w:jc w:val="both"/>
        <w:rPr/>
      </w:pPr>
      <w:r/>
      <w:r/>
    </w:p>
    <w:p>
      <w:pPr>
        <w:pBdr/>
        <w:spacing/>
        <w:ind/>
        <w:jc w:val="both"/>
        <w:rPr>
          <w:rFonts w:ascii="Arial" w:hAnsi="Arial"/>
        </w:rPr>
      </w:pPr>
      <w:r>
        <w:rPr>
          <w:rFonts w:ascii="Arial" w:hAnsi="Arial"/>
          <w:b/>
        </w:rPr>
        <w:t xml:space="preserve">c)</w:t>
      </w:r>
      <w:r>
        <w:rPr>
          <w:rFonts w:ascii="Arial" w:hAnsi="Arial"/>
        </w:rPr>
        <w:t xml:space="preserve"> Anexo III – Minuta de Contrato</w:t>
      </w:r>
      <w:r>
        <w:rPr>
          <w:rFonts w:ascii="Arial" w:hAnsi="Arial"/>
        </w:rPr>
      </w:r>
      <w:r>
        <w:rPr>
          <w:rFonts w:ascii="Arial" w:hAnsi="Arial"/>
        </w:rPr>
      </w:r>
    </w:p>
    <w:p>
      <w:pPr>
        <w:pBdr/>
        <w:spacing/>
        <w:ind/>
        <w:jc w:val="both"/>
        <w:rPr/>
      </w:pPr>
      <w:r/>
      <w:r/>
    </w:p>
    <w:p>
      <w:pPr>
        <w:pBdr/>
        <w:spacing/>
        <w:ind/>
        <w:jc w:val="both"/>
        <w:rPr/>
      </w:pPr>
      <w:r>
        <w:rPr>
          <w:rFonts w:ascii="Arial" w:hAnsi="Arial"/>
          <w:b/>
        </w:rPr>
        <w:t xml:space="preserve">17.5.</w:t>
      </w:r>
      <w:r>
        <w:rPr>
          <w:rFonts w:ascii="Arial" w:hAnsi="Arial"/>
        </w:rPr>
        <w:t xml:space="preserve"> As questões decorrentes da utilização da presente Ata que não possam ser dirimidas administrativamente serão processadas e julgadas no foro da cid</w:t>
      </w:r>
      <w:r>
        <w:rPr>
          <w:rFonts w:ascii="Arial" w:hAnsi="Arial"/>
        </w:rPr>
        <w:t xml:space="preserve">ade de RONDONÓPOLIS/MT, eleito pelas partes com exclusão de qualquer outro.</w:t>
      </w:r>
      <w:r/>
    </w:p>
    <w:p>
      <w:pPr>
        <w:pBdr/>
        <w:spacing w:line="360" w:lineRule="auto"/>
        <w:ind/>
        <w:jc w:val="right"/>
        <w:rPr/>
      </w:pPr>
      <w:r>
        <w:rPr>
          <w:rFonts w:ascii="Arial" w:hAnsi="Arial"/>
        </w:rPr>
        <w:t xml:space="preserve">Rondonópolis-MT., XX de XXXXXX de 2026</w:t>
      </w:r>
      <w:r/>
    </w:p>
    <w:p>
      <w:pPr>
        <w:pStyle w:val="868"/>
        <w:pBdr/>
        <w:spacing/>
        <w:ind/>
        <w:rPr/>
      </w:pPr>
      <w:r>
        <w:rPr>
          <w:rFonts w:ascii="Arial" w:hAnsi="Arial"/>
          <w:sz w:val="20"/>
          <w:szCs w:val="20"/>
        </w:rPr>
        <w:t xml:space="preserve">Secretária Municipal de XXXXXXX</w:t>
      </w:r>
      <w:r/>
    </w:p>
    <w:p>
      <w:pPr>
        <w:pBdr/>
        <w:spacing/>
        <w:ind/>
        <w:rPr/>
      </w:pPr>
      <w:r>
        <w:rPr>
          <w:rFonts w:ascii="Arial" w:hAnsi="Arial"/>
        </w:rPr>
        <w:t xml:space="preserve">Representante Legal do Órgão Gerenciador</w:t>
      </w:r>
      <w:r/>
    </w:p>
    <w:p>
      <w:pPr>
        <w:pBdr/>
        <w:spacing/>
        <w:ind/>
        <w:rPr>
          <w:rFonts w:ascii="Arial" w:hAnsi="Arial"/>
        </w:rPr>
      </w:pPr>
      <w:r>
        <w:rPr>
          <w:rFonts w:ascii="Arial" w:hAnsi="Arial"/>
        </w:rPr>
      </w:r>
      <w:r>
        <w:rPr>
          <w:rFonts w:ascii="Arial" w:hAnsi="Arial"/>
        </w:rPr>
      </w:r>
      <w:r>
        <w:rPr>
          <w:rFonts w:ascii="Arial" w:hAnsi="Arial"/>
        </w:rPr>
      </w:r>
    </w:p>
    <w:p>
      <w:pPr>
        <w:pBdr/>
        <w:spacing w:line="360" w:lineRule="auto"/>
        <w:ind w:left="-142"/>
        <w:jc w:val="center"/>
        <w:rPr>
          <w:rFonts w:ascii="Arial" w:hAnsi="Arial"/>
        </w:rPr>
      </w:pPr>
      <w:r>
        <w:rPr>
          <w:rFonts w:ascii="Arial" w:hAnsi="Arial"/>
        </w:rPr>
      </w:r>
      <w:r>
        <w:rPr>
          <w:rFonts w:ascii="Arial" w:hAnsi="Arial"/>
        </w:rPr>
      </w:r>
      <w:r>
        <w:rPr>
          <w:rFonts w:ascii="Arial" w:hAnsi="Arial"/>
        </w:rPr>
      </w:r>
    </w:p>
    <w:p>
      <w:pPr>
        <w:pBdr/>
        <w:spacing w:line="360" w:lineRule="auto"/>
        <w:ind w:left="-142"/>
        <w:jc w:val="center"/>
        <w:rPr>
          <w:rFonts w:ascii="Arial" w:hAnsi="Arial"/>
        </w:rPr>
      </w:pPr>
      <w:r>
        <w:rPr>
          <w:rFonts w:ascii="Arial" w:hAnsi="Arial"/>
        </w:rPr>
      </w:r>
      <w:r>
        <w:rPr>
          <w:rFonts w:ascii="Arial" w:hAnsi="Arial"/>
        </w:rPr>
      </w:r>
      <w:r>
        <w:rPr>
          <w:rFonts w:ascii="Arial" w:hAnsi="Arial"/>
        </w:rPr>
      </w:r>
    </w:p>
    <w:p>
      <w:pPr>
        <w:pBdr/>
        <w:spacing w:line="360" w:lineRule="auto"/>
        <w:ind w:left="-142"/>
        <w:jc w:val="center"/>
        <w:rPr>
          <w:rFonts w:ascii="Arial" w:hAnsi="Arial"/>
          <w:b/>
          <w:bCs/>
        </w:rPr>
      </w:pPr>
      <w:r>
        <w:rPr>
          <w:rFonts w:ascii="Arial" w:hAnsi="Arial"/>
          <w:b/>
          <w:bCs/>
        </w:rPr>
        <w:t xml:space="preserve">Fornecedor</w:t>
      </w:r>
      <w:r>
        <w:rPr>
          <w:rFonts w:ascii="Arial" w:hAnsi="Arial"/>
          <w:b/>
          <w:bCs/>
          <w:color w:val="c0504d"/>
        </w:rPr>
        <w:t xml:space="preserve"> </w:t>
      </w:r>
      <w:r>
        <w:rPr>
          <w:rFonts w:ascii="Arial" w:hAnsi="Arial"/>
          <w:b/>
          <w:bCs/>
        </w:rPr>
        <w:t xml:space="preserve">da Ata de Registro de Preços</w:t>
      </w:r>
      <w:r>
        <w:rPr>
          <w:rFonts w:ascii="Arial" w:hAnsi="Arial"/>
          <w:b/>
          <w:bCs/>
        </w:rPr>
      </w:r>
      <w:r>
        <w:rPr>
          <w:rFonts w:ascii="Arial" w:hAnsi="Arial"/>
          <w:b/>
          <w:bCs/>
        </w:rPr>
      </w:r>
    </w:p>
    <w:p>
      <w:pPr>
        <w:pBdr/>
        <w:spacing w:line="360" w:lineRule="auto"/>
        <w:ind w:left="-142"/>
        <w:jc w:val="center"/>
        <w:rPr>
          <w:rFonts w:ascii="Arial" w:hAnsi="Arial"/>
        </w:rPr>
      </w:pPr>
      <w:r>
        <w:rPr>
          <w:rFonts w:ascii="Arial" w:hAnsi="Arial"/>
        </w:rPr>
      </w:r>
      <w:r>
        <w:rPr>
          <w:rFonts w:ascii="Arial" w:hAnsi="Arial"/>
        </w:rPr>
      </w:r>
      <w:r>
        <w:rPr>
          <w:rFonts w:ascii="Arial" w:hAnsi="Arial"/>
        </w:rPr>
      </w:r>
    </w:p>
    <w:p>
      <w:pPr>
        <w:pBdr/>
        <w:spacing w:line="360" w:lineRule="auto"/>
        <w:ind w:left="-142"/>
        <w:jc w:val="center"/>
        <w:rPr>
          <w:rFonts w:ascii="Arial" w:hAnsi="Arial"/>
        </w:rPr>
      </w:pPr>
      <w:r>
        <w:rPr>
          <w:rFonts w:ascii="Arial" w:hAnsi="Arial"/>
        </w:rPr>
      </w:r>
      <w:r>
        <w:rPr>
          <w:rFonts w:ascii="Arial" w:hAnsi="Arial"/>
        </w:rPr>
      </w:r>
      <w:r>
        <w:rPr>
          <w:rFonts w:ascii="Arial" w:hAnsi="Arial"/>
        </w:rPr>
      </w:r>
    </w:p>
    <w:p>
      <w:pPr>
        <w:pBdr/>
        <w:spacing w:line="360" w:lineRule="auto"/>
        <w:ind w:left="-142"/>
        <w:jc w:val="center"/>
        <w:rPr>
          <w:rFonts w:ascii="Arial" w:hAnsi="Arial"/>
        </w:rPr>
      </w:pPr>
      <w:r>
        <w:rPr>
          <w:rFonts w:ascii="Arial" w:hAnsi="Arial"/>
        </w:rPr>
      </w:r>
      <w:r>
        <w:rPr>
          <w:rFonts w:ascii="Arial" w:hAnsi="Arial"/>
        </w:rPr>
      </w:r>
      <w:r>
        <w:rPr>
          <w:rFonts w:ascii="Arial" w:hAnsi="Arial"/>
        </w:rPr>
      </w:r>
    </w:p>
    <w:p>
      <w:pPr>
        <w:pBdr/>
        <w:spacing w:line="360" w:lineRule="auto"/>
        <w:ind w:left="-142"/>
        <w:jc w:val="center"/>
        <w:rPr>
          <w:rFonts w:ascii="Arial" w:hAnsi="Arial"/>
        </w:rPr>
      </w:pPr>
      <w:r>
        <w:rPr>
          <w:rFonts w:ascii="Arial" w:hAnsi="Arial"/>
        </w:rPr>
      </w:r>
      <w:r>
        <w:rPr>
          <w:rFonts w:ascii="Arial" w:hAnsi="Arial"/>
        </w:rPr>
      </w:r>
      <w:r>
        <w:rPr>
          <w:rFonts w:ascii="Arial" w:hAnsi="Arial"/>
        </w:rPr>
      </w:r>
    </w:p>
    <w:p>
      <w:pPr>
        <w:pBdr/>
        <w:spacing w:line="360" w:lineRule="auto"/>
        <w:ind w:left="-142"/>
        <w:jc w:val="center"/>
        <w:rPr>
          <w:rFonts w:ascii="Arial" w:hAnsi="Arial"/>
        </w:rPr>
      </w:pPr>
      <w:r>
        <w:rPr>
          <w:rFonts w:ascii="Arial" w:hAnsi="Arial"/>
        </w:rPr>
      </w:r>
      <w:r>
        <w:rPr>
          <w:rFonts w:ascii="Arial" w:hAnsi="Arial"/>
        </w:rPr>
      </w:r>
      <w:r>
        <w:rPr>
          <w:rFonts w:ascii="Arial" w:hAnsi="Arial"/>
        </w:rPr>
      </w:r>
    </w:p>
    <w:p>
      <w:pPr>
        <w:pBdr/>
        <w:spacing w:line="360" w:lineRule="auto"/>
        <w:ind w:left="-142"/>
        <w:jc w:val="center"/>
        <w:rPr>
          <w:rFonts w:ascii="Arial" w:hAnsi="Arial"/>
        </w:rPr>
      </w:pPr>
      <w:r>
        <w:rPr>
          <w:rFonts w:ascii="Arial" w:hAnsi="Arial"/>
        </w:rPr>
      </w:r>
      <w:r>
        <w:rPr>
          <w:rFonts w:ascii="Arial" w:hAnsi="Arial"/>
        </w:rPr>
      </w:r>
      <w:r>
        <w:rPr>
          <w:rFonts w:ascii="Arial" w:hAnsi="Arial"/>
        </w:rPr>
      </w:r>
    </w:p>
    <w:p>
      <w:pPr>
        <w:pBdr/>
        <w:spacing w:line="360" w:lineRule="auto"/>
        <w:ind w:left="-142"/>
        <w:jc w:val="center"/>
        <w:rPr>
          <w:rFonts w:ascii="Arial" w:hAnsi="Arial"/>
        </w:rPr>
      </w:pPr>
      <w:r>
        <w:rPr>
          <w:rFonts w:ascii="Arial" w:hAnsi="Arial"/>
        </w:rPr>
      </w:r>
      <w:r>
        <w:rPr>
          <w:rFonts w:ascii="Arial" w:hAnsi="Arial"/>
        </w:rPr>
      </w:r>
      <w:r>
        <w:rPr>
          <w:rFonts w:ascii="Arial" w:hAnsi="Arial"/>
        </w:rPr>
      </w:r>
    </w:p>
    <w:p>
      <w:pPr>
        <w:pBdr/>
        <w:spacing w:line="360" w:lineRule="auto"/>
        <w:ind w:left="-142"/>
        <w:jc w:val="center"/>
        <w:rPr>
          <w:rFonts w:ascii="Arial" w:hAnsi="Arial"/>
        </w:rPr>
      </w:pPr>
      <w:r>
        <w:rPr>
          <w:rFonts w:ascii="Arial" w:hAnsi="Arial"/>
        </w:rPr>
      </w:r>
      <w:r>
        <w:rPr>
          <w:rFonts w:ascii="Arial" w:hAnsi="Arial"/>
        </w:rPr>
      </w:r>
      <w:r>
        <w:rPr>
          <w:rFonts w:ascii="Arial" w:hAnsi="Arial"/>
        </w:rPr>
      </w:r>
    </w:p>
    <w:p>
      <w:pPr>
        <w:pBdr/>
        <w:spacing w:line="360" w:lineRule="auto"/>
        <w:ind w:left="-142"/>
        <w:jc w:val="center"/>
        <w:rPr>
          <w:rFonts w:ascii="Arial" w:hAnsi="Arial"/>
        </w:rPr>
      </w:pPr>
      <w:r>
        <w:rPr>
          <w:rFonts w:ascii="Arial" w:hAnsi="Arial"/>
        </w:rPr>
      </w:r>
      <w:r>
        <w:rPr>
          <w:rFonts w:ascii="Arial" w:hAnsi="Arial"/>
        </w:rPr>
      </w:r>
      <w:r>
        <w:rPr>
          <w:rFonts w:ascii="Arial" w:hAnsi="Arial"/>
        </w:rPr>
      </w:r>
    </w:p>
    <w:p>
      <w:pPr>
        <w:pBdr/>
        <w:spacing w:line="360" w:lineRule="auto"/>
        <w:ind w:left="-142"/>
        <w:jc w:val="center"/>
        <w:rPr>
          <w:rFonts w:ascii="Arial" w:hAnsi="Arial"/>
        </w:rPr>
      </w:pPr>
      <w:r>
        <w:rPr>
          <w:rFonts w:ascii="Arial" w:hAnsi="Arial"/>
        </w:rPr>
      </w:r>
      <w:r>
        <w:rPr>
          <w:rFonts w:ascii="Arial" w:hAnsi="Arial"/>
        </w:rPr>
      </w:r>
      <w:r>
        <w:rPr>
          <w:rFonts w:ascii="Arial" w:hAnsi="Arial"/>
        </w:rPr>
      </w:r>
    </w:p>
    <w:p>
      <w:pPr>
        <w:pBdr/>
        <w:spacing w:line="360" w:lineRule="auto"/>
        <w:ind w:left="-142"/>
        <w:jc w:val="center"/>
        <w:rPr>
          <w:rFonts w:ascii="Arial" w:hAnsi="Arial"/>
        </w:rPr>
      </w:pPr>
      <w:r>
        <w:rPr>
          <w:rFonts w:ascii="Arial" w:hAnsi="Arial"/>
        </w:rPr>
      </w:r>
      <w:r>
        <w:rPr>
          <w:rFonts w:ascii="Arial" w:hAnsi="Arial"/>
        </w:rPr>
      </w:r>
      <w:r>
        <w:rPr>
          <w:rFonts w:ascii="Arial" w:hAnsi="Arial"/>
        </w:rPr>
      </w:r>
    </w:p>
    <w:p>
      <w:pPr>
        <w:pBdr/>
        <w:spacing w:line="360" w:lineRule="auto"/>
        <w:ind w:left="-142"/>
        <w:jc w:val="center"/>
        <w:rPr>
          <w:rFonts w:ascii="Arial" w:hAnsi="Arial"/>
        </w:rPr>
      </w:pPr>
      <w:r>
        <w:rPr>
          <w:rFonts w:ascii="Arial" w:hAnsi="Arial"/>
        </w:rPr>
      </w:r>
      <w:r>
        <w:rPr>
          <w:rFonts w:ascii="Arial" w:hAnsi="Arial"/>
        </w:rPr>
      </w:r>
      <w:r>
        <w:rPr>
          <w:rFonts w:ascii="Arial" w:hAnsi="Arial"/>
        </w:rPr>
      </w:r>
    </w:p>
    <w:p>
      <w:pPr>
        <w:pBdr/>
        <w:spacing w:line="360" w:lineRule="auto"/>
        <w:ind w:left="-142"/>
        <w:jc w:val="center"/>
        <w:rPr>
          <w:rFonts w:ascii="Arial" w:hAnsi="Arial"/>
        </w:rPr>
      </w:pPr>
      <w:r>
        <w:rPr>
          <w:rFonts w:ascii="Arial" w:hAnsi="Arial"/>
        </w:rPr>
      </w:r>
      <w:r>
        <w:rPr>
          <w:rFonts w:ascii="Arial" w:hAnsi="Arial"/>
        </w:rPr>
      </w:r>
      <w:r>
        <w:rPr>
          <w:rFonts w:ascii="Arial" w:hAnsi="Arial"/>
        </w:rPr>
      </w:r>
    </w:p>
    <w:p>
      <w:pPr>
        <w:pBdr/>
        <w:spacing w:line="360" w:lineRule="auto"/>
        <w:ind w:left="-142"/>
        <w:jc w:val="center"/>
        <w:rPr>
          <w:rFonts w:ascii="Arial" w:hAnsi="Arial"/>
        </w:rPr>
      </w:pPr>
      <w:r>
        <w:rPr>
          <w:rFonts w:ascii="Arial" w:hAnsi="Arial"/>
        </w:rPr>
      </w:r>
      <w:r>
        <w:rPr>
          <w:rFonts w:ascii="Arial" w:hAnsi="Arial"/>
        </w:rPr>
      </w:r>
      <w:r>
        <w:rPr>
          <w:rFonts w:ascii="Arial" w:hAnsi="Arial"/>
        </w:rPr>
      </w:r>
    </w:p>
    <w:p w14:paraId="1F664215">
      <w:pPr>
        <w:pBdr/>
        <w:spacing w:line="360" w:lineRule="auto"/>
        <w:ind w:left="-142"/>
        <w:jc w:val="center"/>
        <w:rPr>
          <w:rFonts w:ascii="Arial" w:hAnsi="Arial"/>
        </w:rPr>
      </w:pPr>
      <w:r>
        <w:rPr>
          <w:rFonts w:ascii="Arial" w:hAnsi="Arial"/>
        </w:rPr>
      </w:r>
      <w:r>
        <w:rPr>
          <w:rFonts w:ascii="Arial" w:hAnsi="Arial"/>
        </w:rPr>
      </w:r>
      <w:r>
        <w:rPr>
          <w:rFonts w:ascii="Arial" w:hAnsi="Arial"/>
        </w:rPr>
      </w:r>
    </w:p>
    <w:p w14:paraId="2AA66154">
      <w:pPr>
        <w:pBdr/>
        <w:spacing w:line="360" w:lineRule="auto"/>
        <w:ind w:left="-142"/>
        <w:jc w:val="center"/>
        <w:rPr>
          <w:rFonts w:ascii="Arial" w:hAnsi="Arial"/>
        </w:rPr>
      </w:pPr>
      <w:r>
        <w:rPr>
          <w:rFonts w:ascii="Arial" w:hAnsi="Arial"/>
        </w:rPr>
      </w:r>
      <w:r>
        <w:rPr>
          <w:rFonts w:ascii="Arial" w:hAnsi="Arial"/>
        </w:rPr>
      </w:r>
      <w:r>
        <w:rPr>
          <w:rFonts w:ascii="Arial" w:hAnsi="Arial"/>
        </w:rPr>
      </w:r>
    </w:p>
    <w:p w14:paraId="701E018B">
      <w:pPr>
        <w:pBdr/>
        <w:spacing w:line="360" w:lineRule="auto"/>
        <w:ind w:left="-142"/>
        <w:jc w:val="center"/>
        <w:rPr>
          <w:rFonts w:ascii="Arial" w:hAnsi="Arial"/>
        </w:rPr>
      </w:pPr>
      <w:r>
        <w:rPr>
          <w:rFonts w:ascii="Arial" w:hAnsi="Arial"/>
        </w:rPr>
      </w:r>
      <w:r>
        <w:rPr>
          <w:rFonts w:ascii="Arial" w:hAnsi="Arial"/>
        </w:rPr>
      </w:r>
      <w:r>
        <w:rPr>
          <w:rFonts w:ascii="Arial" w:hAnsi="Arial"/>
        </w:rPr>
      </w:r>
    </w:p>
    <w:p w14:paraId="797BD347">
      <w:pPr>
        <w:pBdr/>
        <w:spacing w:line="360" w:lineRule="auto"/>
        <w:ind w:left="-142"/>
        <w:jc w:val="center"/>
        <w:rPr>
          <w:rFonts w:ascii="Arial" w:hAnsi="Arial"/>
        </w:rPr>
      </w:pPr>
      <w:r>
        <w:rPr>
          <w:rFonts w:ascii="Arial" w:hAnsi="Arial"/>
        </w:rPr>
      </w:r>
      <w:r>
        <w:rPr>
          <w:rFonts w:ascii="Arial" w:hAnsi="Arial"/>
        </w:rPr>
      </w:r>
      <w:r>
        <w:rPr>
          <w:rFonts w:ascii="Arial" w:hAnsi="Arial"/>
        </w:rPr>
      </w:r>
    </w:p>
    <w:p w14:paraId="33DC3FE7">
      <w:pPr>
        <w:pBdr/>
        <w:spacing w:line="360" w:lineRule="auto"/>
        <w:ind w:left="-142"/>
        <w:jc w:val="center"/>
        <w:rPr>
          <w:rFonts w:ascii="Arial" w:hAnsi="Arial"/>
        </w:rPr>
      </w:pPr>
      <w:r>
        <w:rPr>
          <w:rFonts w:ascii="Arial" w:hAnsi="Arial"/>
        </w:rPr>
      </w:r>
      <w:r>
        <w:rPr>
          <w:rFonts w:ascii="Arial" w:hAnsi="Arial"/>
        </w:rPr>
      </w:r>
      <w:r>
        <w:rPr>
          <w:rFonts w:ascii="Arial" w:hAnsi="Arial"/>
        </w:rPr>
      </w:r>
    </w:p>
    <w:p w14:paraId="74897EF4">
      <w:pPr>
        <w:pBdr/>
        <w:spacing w:line="360" w:lineRule="auto"/>
        <w:ind w:left="-142"/>
        <w:jc w:val="center"/>
        <w:rPr>
          <w:rFonts w:ascii="Arial" w:hAnsi="Arial"/>
        </w:rPr>
      </w:pPr>
      <w:r>
        <w:rPr>
          <w:rFonts w:ascii="Arial" w:hAnsi="Arial"/>
        </w:rPr>
      </w:r>
      <w:r>
        <w:rPr>
          <w:rFonts w:ascii="Arial" w:hAnsi="Arial"/>
        </w:rPr>
      </w:r>
      <w:r>
        <w:rPr>
          <w:rFonts w:ascii="Arial" w:hAnsi="Arial"/>
        </w:rPr>
      </w:r>
    </w:p>
    <w:p w14:paraId="6F814351">
      <w:pPr>
        <w:pBdr/>
        <w:spacing w:line="360" w:lineRule="auto"/>
        <w:ind w:left="-142"/>
        <w:jc w:val="center"/>
        <w:rPr>
          <w:rFonts w:ascii="Arial" w:hAnsi="Arial"/>
        </w:rPr>
      </w:pPr>
      <w:r>
        <w:rPr>
          <w:rFonts w:ascii="Arial" w:hAnsi="Arial"/>
        </w:rPr>
      </w:r>
      <w:r>
        <w:rPr>
          <w:rFonts w:ascii="Arial" w:hAnsi="Arial"/>
        </w:rPr>
      </w:r>
      <w:r>
        <w:rPr>
          <w:rFonts w:ascii="Arial" w:hAnsi="Arial"/>
        </w:rPr>
      </w:r>
    </w:p>
    <w:p w14:paraId="0F95F429">
      <w:pPr>
        <w:pBdr/>
        <w:spacing w:line="360" w:lineRule="auto"/>
        <w:ind w:left="-142"/>
        <w:jc w:val="center"/>
        <w:rPr>
          <w:rFonts w:ascii="Arial" w:hAnsi="Arial"/>
        </w:rPr>
      </w:pPr>
      <w:r>
        <w:rPr>
          <w:rFonts w:ascii="Arial" w:hAnsi="Arial"/>
        </w:rPr>
      </w:r>
      <w:r>
        <w:rPr>
          <w:rFonts w:ascii="Arial" w:hAnsi="Arial"/>
        </w:rPr>
      </w:r>
      <w:r>
        <w:rPr>
          <w:rFonts w:ascii="Arial" w:hAnsi="Arial"/>
        </w:rPr>
      </w:r>
    </w:p>
    <w:p w14:paraId="70881AF3">
      <w:pPr>
        <w:pBdr/>
        <w:spacing w:line="360" w:lineRule="auto"/>
        <w:ind w:left="-142"/>
        <w:jc w:val="center"/>
        <w:rPr>
          <w:rFonts w:ascii="Arial" w:hAnsi="Arial"/>
        </w:rPr>
      </w:pPr>
      <w:r>
        <w:rPr>
          <w:rFonts w:ascii="Arial" w:hAnsi="Arial"/>
        </w:rPr>
      </w:r>
      <w:r>
        <w:rPr>
          <w:rFonts w:ascii="Arial" w:hAnsi="Arial"/>
        </w:rPr>
      </w:r>
      <w:r>
        <w:rPr>
          <w:rFonts w:ascii="Arial" w:hAnsi="Arial"/>
        </w:rPr>
      </w:r>
    </w:p>
    <w:p w14:paraId="1C87082A">
      <w:pPr>
        <w:pBdr/>
        <w:spacing w:line="360" w:lineRule="auto"/>
        <w:ind w:left="-142"/>
        <w:jc w:val="center"/>
        <w:rPr>
          <w:rFonts w:ascii="Arial" w:hAnsi="Arial"/>
        </w:rPr>
      </w:pPr>
      <w:r>
        <w:rPr>
          <w:rFonts w:ascii="Arial" w:hAnsi="Arial"/>
        </w:rPr>
      </w:r>
      <w:r>
        <w:rPr>
          <w:rFonts w:ascii="Arial" w:hAnsi="Arial"/>
        </w:rPr>
      </w:r>
      <w:r>
        <w:rPr>
          <w:rFonts w:ascii="Arial" w:hAnsi="Arial"/>
        </w:rPr>
      </w:r>
    </w:p>
    <w:p>
      <w:pPr>
        <w:pStyle w:val="865"/>
        <w:pBdr/>
        <w:spacing w:after="0" w:before="0"/>
        <w:ind/>
        <w:rPr>
          <w:rFonts w:eastAsia="Arial"/>
          <w:b w:val="0"/>
          <w:bCs w:val="0"/>
          <w:sz w:val="20"/>
          <w:szCs w:val="20"/>
        </w:rPr>
      </w:pPr>
      <w:r/>
      <w:bookmarkStart w:id="96" w:name="_Toc40"/>
      <w:r>
        <w:rPr>
          <w:rFonts w:eastAsia="Arial"/>
          <w:b w:val="0"/>
          <w:bCs w:val="0"/>
          <w:sz w:val="20"/>
          <w:szCs w:val="20"/>
        </w:rPr>
        <w:t xml:space="preserve">ANEXO III: MINUTA DO CONTRATO.</w:t>
      </w:r>
      <w:r>
        <w:rPr>
          <w:rFonts w:eastAsia="Arial"/>
          <w:b w:val="0"/>
          <w:bCs w:val="0"/>
          <w:sz w:val="20"/>
          <w:szCs w:val="20"/>
        </w:rPr>
      </w:r>
      <w:bookmarkEnd w:id="96"/>
      <w:r>
        <w:rPr>
          <w:rFonts w:eastAsia="Arial"/>
          <w:b w:val="0"/>
          <w:bCs w:val="0"/>
          <w:sz w:val="20"/>
          <w:szCs w:val="20"/>
        </w:rPr>
      </w:r>
      <w:r>
        <w:rPr>
          <w:rFonts w:eastAsia="Arial"/>
          <w:b w:val="0"/>
          <w:bCs w:val="0"/>
          <w:sz w:val="20"/>
          <w:szCs w:val="20"/>
        </w:rPr>
      </w:r>
    </w:p>
    <w:p>
      <w:pPr>
        <w:pBdr/>
        <w:spacing/>
        <w:ind/>
        <w:jc w:val="center"/>
        <w:rPr/>
      </w:pPr>
      <w:r/>
      <w:r/>
    </w:p>
    <w:p>
      <w:pPr>
        <w:pBdr/>
        <w:spacing/>
        <w:ind/>
        <w:jc w:val="center"/>
        <w:rPr/>
      </w:pPr>
      <w:r>
        <w:rPr>
          <w:rFonts w:ascii="Arial" w:hAnsi="Arial"/>
          <w:b/>
          <w:bCs/>
        </w:rPr>
        <w:t xml:space="preserve">MINUTA DO CONTRATO</w:t>
      </w:r>
      <w:r/>
    </w:p>
    <w:p>
      <w:pPr>
        <w:pBdr/>
        <w:spacing/>
        <w:ind/>
        <w:jc w:val="center"/>
        <w:rPr>
          <w:rFonts w:ascii="Arial" w:hAnsi="Arial"/>
          <w:b/>
          <w:bCs/>
        </w:rPr>
      </w:pPr>
      <w:r>
        <w:rPr>
          <w:rFonts w:ascii="Arial" w:hAnsi="Arial"/>
          <w:b/>
          <w:bCs/>
        </w:rPr>
      </w:r>
      <w:r>
        <w:rPr>
          <w:rFonts w:ascii="Arial" w:hAnsi="Arial"/>
          <w:b/>
          <w:bCs/>
        </w:rPr>
      </w:r>
      <w:r>
        <w:rPr>
          <w:rFonts w:ascii="Arial" w:hAnsi="Arial"/>
          <w:b/>
          <w:bCs/>
        </w:rPr>
      </w:r>
    </w:p>
    <w:p>
      <w:pPr>
        <w:pBdr/>
        <w:spacing/>
        <w:ind w:left="4820"/>
        <w:jc w:val="both"/>
        <w:rPr/>
      </w:pPr>
      <w:r>
        <w:rPr>
          <w:rFonts w:ascii="Arial" w:hAnsi="Arial"/>
          <w:b/>
        </w:rPr>
        <w:t xml:space="preserve">CONTRATO Nº XX, QUE ENTRE SI, CELEBRAM O MUNICÍPIO DE RONDONÓPOLIS-ESTADO DE MATO GROSSO E A EMPRESA XXX, PARA OS FINS QUE SE ESPECIFICA.</w:t>
      </w:r>
      <w:r/>
    </w:p>
    <w:p>
      <w:pPr>
        <w:pBdr/>
        <w:spacing/>
        <w:ind w:left="4820"/>
        <w:jc w:val="both"/>
        <w:rPr>
          <w:rFonts w:ascii="Arial" w:hAnsi="Arial"/>
          <w:b/>
          <w:bCs/>
        </w:rPr>
      </w:pPr>
      <w:r>
        <w:rPr>
          <w:rFonts w:ascii="Arial" w:hAnsi="Arial"/>
          <w:b/>
          <w:bCs/>
        </w:rPr>
      </w:r>
      <w:r>
        <w:rPr>
          <w:rFonts w:ascii="Arial" w:hAnsi="Arial"/>
          <w:b/>
          <w:bCs/>
        </w:rPr>
      </w:r>
      <w:r>
        <w:rPr>
          <w:rFonts w:ascii="Arial" w:hAnsi="Arial"/>
          <w:b/>
          <w:bCs/>
        </w:rPr>
      </w:r>
    </w:p>
    <w:p>
      <w:pPr>
        <w:pBdr/>
        <w:spacing w:line="276" w:lineRule="auto"/>
        <w:ind/>
        <w:jc w:val="both"/>
        <w:rPr/>
      </w:pPr>
      <w:r>
        <w:rPr>
          <w:rFonts w:ascii="Arial" w:hAnsi="Arial"/>
          <w:b/>
          <w:bCs/>
        </w:rPr>
        <w:t xml:space="preserve">O</w:t>
      </w:r>
      <w:r>
        <w:rPr>
          <w:rFonts w:ascii="Arial" w:hAnsi="Arial"/>
          <w:b/>
        </w:rPr>
        <w:t xml:space="preserve"> MUNICÍPIO DE RONDONÓPOLIS</w:t>
      </w:r>
      <w:r>
        <w:rPr>
          <w:rFonts w:ascii="Arial" w:hAnsi="Arial"/>
        </w:rPr>
        <w:t xml:space="preserve">, pessoa jurídica de direito público, </w:t>
      </w:r>
      <w:r>
        <w:rPr>
          <w:rFonts w:ascii="Arial" w:hAnsi="Arial"/>
        </w:rPr>
        <w:t xml:space="preserve">com sede na cidade de Rondonópolis, Estado de Mato Grosso, na Avenida Duque de Caxias n.º 1000, Bairro: Vila Aurora, inscrita no CNPJ/MF. sob nº 03.347.101/0001-21, neste ato representada pelo Prefeito Municipal, Sr. </w:t>
      </w:r>
      <w:r>
        <w:rPr>
          <w:rFonts w:ascii="Arial" w:hAnsi="Arial"/>
          <w:b/>
        </w:rPr>
        <w:t xml:space="preserve">xxxxxxxxxxxxxxxx</w:t>
      </w:r>
      <w:r>
        <w:rPr>
          <w:rFonts w:ascii="Arial" w:hAnsi="Arial"/>
        </w:rPr>
        <w:t xml:space="preserve">, brasileiro, casado, x</w:t>
      </w:r>
      <w:r>
        <w:rPr>
          <w:rFonts w:ascii="Arial" w:hAnsi="Arial"/>
        </w:rPr>
        <w:t xml:space="preserve">xxxxxxxxxxxx, portador do RG. n.º xxxxxx- SSP/xx, inscrito no CPF/MF. sob n.ºxxxxxxxxxxxxx, residente e domiciliado na cidade de Rondonópolis-MT., à Rua xxxxxxxxxxxx, Casa n.º xx, Quadra n.º xxx, Bairro xxxxxxx, doravante denominada simplesmente </w:t>
      </w:r>
      <w:r>
        <w:rPr>
          <w:rFonts w:ascii="Arial" w:hAnsi="Arial"/>
          <w:b/>
        </w:rPr>
        <w:t xml:space="preserve">CONTRATANT</w:t>
      </w:r>
      <w:r>
        <w:rPr>
          <w:rFonts w:ascii="Arial" w:hAnsi="Arial"/>
          <w:b/>
        </w:rPr>
        <w:t xml:space="preserve">E</w:t>
      </w:r>
      <w:r>
        <w:rPr>
          <w:rFonts w:ascii="Arial" w:hAnsi="Arial"/>
        </w:rPr>
        <w:t xml:space="preserve">; e de outro lado, a empresa </w:t>
      </w:r>
      <w:r>
        <w:rPr>
          <w:rFonts w:ascii="Arial" w:hAnsi="Arial"/>
          <w:b/>
        </w:rPr>
        <w:t xml:space="preserve">xxxxxxxxxxxx</w:t>
      </w:r>
      <w:r>
        <w:rPr>
          <w:rFonts w:ascii="Arial" w:hAnsi="Arial"/>
        </w:rPr>
        <w:t xml:space="preserve">, inscrita no CNPJ/MF. sob nº xx.xxx.xxx/xxxx-xx, Inscrição Estadual nº xxx.xxx.xxx.xxx, com sede na cidade de xxxxxxxxxx, Estado de xxxxxxxxxx, com sede na Rua xxxxxxxxxxxxx nº x.xxx, xxxxxxxx, neste ato represent</w:t>
      </w:r>
      <w:r>
        <w:rPr>
          <w:rFonts w:ascii="Arial" w:hAnsi="Arial"/>
        </w:rPr>
        <w:t xml:space="preserve">ada pelo xxxxxxxx, Sr. </w:t>
      </w:r>
      <w:r>
        <w:rPr>
          <w:rFonts w:ascii="Arial" w:hAnsi="Arial"/>
          <w:b/>
        </w:rPr>
        <w:t xml:space="preserve">xxxxxxxxx</w:t>
      </w:r>
      <w:r>
        <w:rPr>
          <w:rFonts w:ascii="Arial" w:hAnsi="Arial"/>
        </w:rPr>
        <w:t xml:space="preserve">, xxxxxxxxx, xxxxxxx, xxxxxxxxxx, portador do RG. nº x.xxx.xxx-x SSP/xx., inscrito no CPF/MF. sob nº xxx.xxx.xxx-xx, residente e domiciliado na cidade de xxxxxxxxx-xx., à Rua xxxxxxxxxxx nº xxx, xxxxxxxx, doravante denominad</w:t>
      </w:r>
      <w:r>
        <w:rPr>
          <w:rFonts w:ascii="Arial" w:hAnsi="Arial"/>
        </w:rPr>
        <w:t xml:space="preserve">a simplesmente </w:t>
      </w:r>
      <w:r>
        <w:rPr>
          <w:rFonts w:ascii="Arial" w:hAnsi="Arial"/>
          <w:b/>
        </w:rPr>
        <w:t xml:space="preserve">CONTRATADA</w:t>
      </w:r>
      <w:r>
        <w:rPr>
          <w:rFonts w:ascii="Arial" w:hAnsi="Arial"/>
        </w:rPr>
        <w:t xml:space="preserve">, tendo em vista o resultado do </w:t>
      </w:r>
      <w:r>
        <w:rPr>
          <w:rFonts w:ascii="Arial" w:hAnsi="Arial"/>
          <w:b/>
          <w:bCs/>
        </w:rPr>
        <w:t xml:space="preserve">PREGÃO ELETRÔNICO nº 18/2026</w:t>
      </w:r>
      <w:r>
        <w:rPr>
          <w:rFonts w:ascii="Arial" w:hAnsi="Arial"/>
        </w:rPr>
        <w:t xml:space="preserve">, com fundamento na Lei 14.133/2021, e demais legislações correlatadas, resolvem celebrar o presente instrumento, mediante as cláusulas e condições a seguir:</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CLÁUSULA PRI</w:t>
      </w:r>
      <w:r>
        <w:rPr>
          <w:rFonts w:ascii="Arial" w:hAnsi="Arial"/>
          <w:b/>
        </w:rPr>
        <w:t xml:space="preserve">MEIRA – DOCUMENTOS INTEGRANTES DO CONTRATO:</w:t>
      </w:r>
      <w:r/>
    </w:p>
    <w:p>
      <w:pPr>
        <w:pBdr/>
        <w:spacing/>
        <w:ind/>
        <w:jc w:val="both"/>
        <w:rPr>
          <w:rFonts w:ascii="Arial" w:hAnsi="Arial"/>
          <w:b/>
        </w:rPr>
      </w:pPr>
      <w:r>
        <w:rPr>
          <w:rFonts w:ascii="Arial" w:hAnsi="Arial"/>
          <w:b/>
        </w:rPr>
      </w:r>
      <w:r>
        <w:rPr>
          <w:rFonts w:ascii="Arial" w:hAnsi="Arial"/>
          <w:b/>
        </w:rPr>
      </w:r>
      <w:r>
        <w:rPr>
          <w:rFonts w:ascii="Arial" w:hAnsi="Arial"/>
          <w:b/>
        </w:rPr>
      </w:r>
    </w:p>
    <w:p>
      <w:pPr>
        <w:numPr>
          <w:ilvl w:val="1"/>
          <w:numId w:val="4"/>
        </w:numPr>
        <w:pBdr/>
        <w:spacing/>
        <w:ind/>
        <w:jc w:val="both"/>
        <w:rPr/>
      </w:pPr>
      <w:r>
        <w:rPr>
          <w:rFonts w:ascii="Arial" w:hAnsi="Arial"/>
        </w:rPr>
        <w:t xml:space="preserve">Edital e anexos do PREGÃO ELETRÔNICO nº 18/2026;</w:t>
      </w:r>
      <w:r/>
    </w:p>
    <w:p>
      <w:pPr>
        <w:pBdr/>
        <w:spacing/>
        <w:ind/>
        <w:jc w:val="both"/>
        <w:rPr>
          <w:rFonts w:ascii="Arial" w:hAnsi="Arial"/>
          <w:b/>
        </w:rPr>
      </w:pPr>
      <w:r>
        <w:rPr>
          <w:rFonts w:ascii="Arial" w:hAnsi="Arial"/>
          <w:b/>
        </w:rPr>
      </w:r>
      <w:r>
        <w:rPr>
          <w:rFonts w:ascii="Arial" w:hAnsi="Arial"/>
          <w:b/>
        </w:rPr>
      </w:r>
      <w:r>
        <w:rPr>
          <w:rFonts w:ascii="Arial" w:hAnsi="Arial"/>
          <w:b/>
        </w:rPr>
      </w:r>
    </w:p>
    <w:p>
      <w:pPr>
        <w:numPr>
          <w:ilvl w:val="1"/>
          <w:numId w:val="4"/>
        </w:numPr>
        <w:pBdr/>
        <w:spacing/>
        <w:ind/>
        <w:jc w:val="both"/>
        <w:rPr/>
      </w:pPr>
      <w:r>
        <w:rPr>
          <w:rFonts w:ascii="Arial" w:hAnsi="Arial"/>
        </w:rPr>
        <w:t xml:space="preserve">Proposta de Preço readequada da CONTRATADA;</w:t>
      </w:r>
      <w:r/>
    </w:p>
    <w:p>
      <w:pPr>
        <w:pBdr/>
        <w:spacing/>
        <w:ind w:left="360"/>
        <w:jc w:val="both"/>
        <w:rPr/>
      </w:pPr>
      <w:r/>
      <w:r/>
    </w:p>
    <w:p>
      <w:pPr>
        <w:numPr>
          <w:ilvl w:val="1"/>
          <w:numId w:val="4"/>
        </w:numPr>
        <w:pBdr/>
        <w:spacing/>
        <w:ind/>
        <w:jc w:val="both"/>
        <w:rPr/>
      </w:pPr>
      <w:r>
        <w:rPr>
          <w:rFonts w:ascii="Arial" w:hAnsi="Arial"/>
        </w:rPr>
        <w:t xml:space="preserve">Anexos dos documentos aqui listados;</w:t>
      </w:r>
      <w:r/>
    </w:p>
    <w:p>
      <w:pPr>
        <w:pBdr/>
        <w:spacing/>
        <w:ind/>
        <w:jc w:val="both"/>
        <w:rPr>
          <w:rFonts w:ascii="Arial" w:hAnsi="Arial"/>
          <w:b/>
        </w:rPr>
      </w:pPr>
      <w:r>
        <w:rPr>
          <w:rFonts w:ascii="Arial" w:hAnsi="Arial"/>
          <w:b/>
        </w:rPr>
      </w:r>
      <w:r>
        <w:rPr>
          <w:rFonts w:ascii="Arial" w:hAnsi="Arial"/>
          <w:b/>
        </w:rPr>
      </w:r>
      <w:r>
        <w:rPr>
          <w:rFonts w:ascii="Arial" w:hAnsi="Arial"/>
          <w:b/>
        </w:rPr>
      </w:r>
    </w:p>
    <w:p>
      <w:pPr>
        <w:numPr>
          <w:ilvl w:val="1"/>
          <w:numId w:val="4"/>
        </w:numPr>
        <w:pBdr/>
        <w:spacing/>
        <w:ind/>
        <w:jc w:val="both"/>
        <w:rPr/>
      </w:pPr>
      <w:r>
        <w:rPr>
          <w:rFonts w:ascii="Arial" w:hAnsi="Arial"/>
        </w:rPr>
        <w:t xml:space="preserve">Ata (s) de Registro de Preços;</w:t>
      </w:r>
      <w:r/>
    </w:p>
    <w:p>
      <w:pPr>
        <w:pStyle w:val="2017"/>
        <w:pBdr/>
        <w:spacing/>
        <w:ind/>
        <w:rPr>
          <w:rFonts w:ascii="Arial" w:hAnsi="Arial" w:cs="Arial"/>
          <w:sz w:val="20"/>
          <w:szCs w:val="20"/>
        </w:rPr>
      </w:pPr>
      <w:r>
        <w:rPr>
          <w:rFonts w:ascii="Arial" w:hAnsi="Arial" w:cs="Arial"/>
          <w:sz w:val="20"/>
          <w:szCs w:val="20"/>
        </w:rPr>
      </w:r>
      <w:r>
        <w:rPr>
          <w:rFonts w:ascii="Arial" w:hAnsi="Arial" w:cs="Arial"/>
          <w:sz w:val="20"/>
          <w:szCs w:val="20"/>
        </w:rPr>
      </w:r>
      <w:r>
        <w:rPr>
          <w:rFonts w:ascii="Arial" w:hAnsi="Arial" w:cs="Arial"/>
          <w:sz w:val="20"/>
          <w:szCs w:val="20"/>
        </w:rPr>
      </w:r>
    </w:p>
    <w:p>
      <w:pPr>
        <w:pBdr/>
        <w:spacing/>
        <w:ind/>
        <w:jc w:val="both"/>
        <w:rPr/>
      </w:pPr>
      <w:r>
        <w:rPr>
          <w:rFonts w:ascii="Arial" w:hAnsi="Arial"/>
          <w:b/>
        </w:rPr>
        <w:t xml:space="preserve">1.5.</w:t>
      </w:r>
      <w:r>
        <w:rPr>
          <w:rFonts w:ascii="Arial" w:hAnsi="Arial"/>
        </w:rPr>
        <w:t xml:space="preserve"> Os documentos referidos acima são conside</w:t>
      </w:r>
      <w:r>
        <w:rPr>
          <w:rFonts w:ascii="Arial" w:hAnsi="Arial"/>
        </w:rPr>
        <w:t xml:space="preserve">rados suficientes para, em complemento a este instrumento contratual, definir a sua intenção e, desta forma, reger sua execução dentro do mais alto padrão da técnica atual.</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CLÁUSULA SEGUNDA - DO OBJETO:</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Style w:val="989"/>
          <w:rFonts w:ascii="Arial" w:hAnsi="Arial"/>
          <w:b/>
        </w:rPr>
        <w:t xml:space="preserve">2.1</w:t>
      </w:r>
      <w:r>
        <w:rPr>
          <w:rStyle w:val="989"/>
          <w:rFonts w:ascii="Arial" w:hAnsi="Arial"/>
        </w:rPr>
        <w:t xml:space="preserve">. </w:t>
      </w:r>
      <w:r>
        <w:rPr>
          <w:rFonts w:ascii="Arial" w:hAnsi="Arial"/>
        </w:rPr>
        <w:t xml:space="preserve">O presente contrato tem por objeto </w:t>
      </w:r>
      <w:r>
        <w:rPr>
          <w:rFonts w:ascii="Arial" w:hAnsi="Arial" w:eastAsia="Arial"/>
          <w:b/>
          <w:bCs/>
          <w:color w:val="000000"/>
        </w:rPr>
        <w:t xml:space="preserve"> REGISTRO DE PREÇOS PARA FUTURA E EVENTUAL AQUIS</w:t>
      </w:r>
      <w:r>
        <w:rPr>
          <w:rFonts w:ascii="Arial" w:hAnsi="Arial" w:eastAsia="Arial"/>
          <w:b/>
          <w:bCs/>
          <w:color w:val="000000"/>
        </w:rPr>
        <w:t xml:space="preserve">IÇÃO DE MATERIAIS, INSUMOS E EQUIPAMENTOS DESTINADOS À FISIOTERAPIA, REABILITAÇÃO E AÇÕES TERAPÊUTICAS CORRELATAS, PARA ATENDER AS NECESSIDADES DA SECRETARIA MUNICIPAL SAÚDE, CONFORME ESPECIFICAÇÕES E QUANTITATIVOS ESTABELECIDOS NESTE EDITAL E SEUS ANEXOS.</w:t>
      </w:r>
      <w:r>
        <w:rPr>
          <w:rFonts w:ascii="Arial" w:hAnsi="Arial"/>
          <w:b/>
          <w:i/>
          <w:color w:val="000000"/>
        </w:rPr>
        <w:t xml:space="preserve">,</w:t>
      </w:r>
      <w:r>
        <w:rPr>
          <w:rFonts w:ascii="Arial" w:hAnsi="Arial"/>
          <w:color w:val="000000"/>
        </w:rPr>
        <w:t xml:space="preserve"> </w:t>
      </w:r>
      <w:r>
        <w:rPr>
          <w:rFonts w:ascii="Arial" w:hAnsi="Arial"/>
        </w:rPr>
        <w:t xml:space="preserve">na </w:t>
      </w:r>
      <w:r>
        <w:rPr>
          <w:rFonts w:ascii="Arial" w:hAnsi="Arial"/>
        </w:rPr>
        <w:t xml:space="preserve">forma e qualidade estabelecidas nos documentos constantes da CLÁUSULA PRIMEIRA.</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CLÁUSULA TERCEIRA – DO REGIME DE EXECUÇÃO E FORMA DE FORNECIMENTO:</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3.1. </w:t>
      </w:r>
      <w:r>
        <w:rPr>
          <w:rFonts w:ascii="Arial" w:hAnsi="Arial"/>
        </w:rPr>
        <w:t xml:space="preserve">O regime de execução é diferido e o fornecimento do objeto se dará mediante solicitação realizada pelo</w:t>
      </w:r>
      <w:r>
        <w:rPr>
          <w:rFonts w:ascii="Arial" w:hAnsi="Arial"/>
        </w:rPr>
        <w:t xml:space="preserve"> órgão municipal, por meio de ordem de fornecimento, devendo constar informações que identifique o solicitante</w:t>
      </w:r>
      <w:r>
        <w:rPr>
          <w:rFonts w:ascii="Arial" w:hAnsi="Arial"/>
          <w:b/>
        </w:rPr>
        <w:t xml:space="preserve">;</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3.2. </w:t>
      </w:r>
      <w:r>
        <w:rPr>
          <w:rFonts w:ascii="Arial" w:hAnsi="Arial"/>
        </w:rPr>
        <w:t xml:space="preserve">Na execução do objeto deverão ainda serem observadas as condições estabelecidas no termo de referência, edital e seus anexos;</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3.3. </w:t>
      </w:r>
      <w:r>
        <w:rPr>
          <w:rFonts w:ascii="Arial" w:hAnsi="Arial"/>
        </w:rPr>
        <w:t xml:space="preserve">O forn</w:t>
      </w:r>
      <w:r>
        <w:rPr>
          <w:rFonts w:ascii="Arial" w:hAnsi="Arial"/>
        </w:rPr>
        <w:t xml:space="preserve">ecimento/execução do objeto licitado terá início após a assinatura deste, expedição de nota de empenho e a emissão da ordem de fornecimento.</w:t>
      </w:r>
      <w:r>
        <w:rPr>
          <w:rFonts w:ascii="Arial" w:hAnsi="Arial"/>
        </w:rPr>
      </w:r>
      <w:r>
        <w:rPr>
          <w:rFonts w:ascii="Arial" w:hAnsi="Arial"/>
        </w:rPr>
      </w:r>
    </w:p>
    <w:p>
      <w:pPr>
        <w:pBdr/>
        <w:spacing/>
        <w:ind/>
        <w:jc w:val="both"/>
        <w:rPr/>
      </w:pPr>
      <w:r/>
      <w:r/>
    </w:p>
    <w:p>
      <w:pPr>
        <w:pBdr/>
        <w:spacing/>
        <w:ind/>
        <w:jc w:val="both"/>
        <w:rPr>
          <w:rFonts w:ascii="Arial" w:hAnsi="Arial"/>
          <w:b/>
        </w:rPr>
      </w:pPr>
      <w:r>
        <w:rPr>
          <w:rFonts w:ascii="Arial" w:hAnsi="Arial"/>
          <w:b/>
        </w:rPr>
        <w:t xml:space="preserve">CLÁUSULA QUARTA – DAS ESPECIFICAÇÕES E QUANTIDADES DOS PRODUTOS:</w:t>
      </w:r>
      <w:r>
        <w:rPr>
          <w:rFonts w:ascii="Arial" w:hAnsi="Arial"/>
          <w:b/>
        </w:rPr>
      </w:r>
      <w:r>
        <w:rPr>
          <w:rFonts w:ascii="Arial" w:hAnsi="Arial"/>
          <w:b/>
        </w:rPr>
      </w:r>
    </w:p>
    <w:p>
      <w:pPr>
        <w:pBdr/>
        <w:spacing/>
        <w:ind/>
        <w:jc w:val="both"/>
        <w:rPr/>
      </w:pPr>
      <w:r/>
      <w:r/>
    </w:p>
    <w:p>
      <w:pPr>
        <w:pBdr/>
        <w:spacing/>
        <w:ind/>
        <w:jc w:val="both"/>
        <w:rPr/>
      </w:pPr>
      <w:r>
        <w:rPr>
          <w:rFonts w:ascii="Arial" w:hAnsi="Arial"/>
          <w:b/>
        </w:rPr>
        <w:t xml:space="preserve">4.1. </w:t>
      </w:r>
      <w:r>
        <w:rPr>
          <w:rFonts w:ascii="Arial" w:hAnsi="Arial"/>
        </w:rPr>
        <w:t xml:space="preserve">O objeto licitado deverá ser fornecido conf</w:t>
      </w:r>
      <w:r>
        <w:rPr>
          <w:rFonts w:ascii="Arial" w:hAnsi="Arial"/>
        </w:rPr>
        <w:t xml:space="preserve">orme as especificações e quantidades licitadas e contratadas, constantes nos documentos da CLÁUSULA PRIMEIRA.</w:t>
      </w:r>
      <w:r>
        <w:rPr>
          <w:rFonts w:ascii="Arial" w:hAnsi="Arial"/>
          <w:b/>
        </w:rPr>
        <w:t xml:space="preserve"> </w:t>
      </w:r>
      <w:r/>
    </w:p>
    <w:p>
      <w:pPr>
        <w:pBdr/>
        <w:spacing/>
        <w:ind/>
        <w:jc w:val="both"/>
        <w:rPr/>
      </w:pPr>
      <w:r>
        <w:rPr>
          <w:rFonts w:ascii="Arial" w:hAnsi="Arial" w:eastAsia="Arial"/>
          <w:b/>
        </w:rPr>
        <w:t xml:space="preserve">    </w:t>
      </w:r>
      <w:r/>
    </w:p>
    <w:p>
      <w:pPr>
        <w:pBdr/>
        <w:spacing/>
        <w:ind/>
        <w:rPr/>
      </w:pPr>
      <w:r>
        <w:rPr>
          <w:rFonts w:ascii="Arial" w:hAnsi="Arial"/>
          <w:b/>
        </w:rPr>
        <w:t xml:space="preserve">CLÁUSULA QUINTA – DAS OBRIGAÇÕES DA CONTRATADA:</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color w:val="000000"/>
        </w:rPr>
      </w:pPr>
      <w:r>
        <w:rPr>
          <w:rStyle w:val="989"/>
          <w:rFonts w:ascii="Arial" w:hAnsi="Arial" w:eastAsia="Calibri"/>
          <w:b/>
        </w:rPr>
        <w:t xml:space="preserve">5.1.</w:t>
      </w:r>
      <w:r>
        <w:rPr>
          <w:rStyle w:val="989"/>
          <w:rFonts w:ascii="Arial" w:hAnsi="Arial" w:eastAsia="Calibri"/>
        </w:rPr>
        <w:t xml:space="preserve"> Constituem obrigações da Contratada, a</w:t>
      </w:r>
      <w:r>
        <w:rPr>
          <w:rFonts w:ascii="Arial" w:hAnsi="Arial"/>
          <w:lang w:val="pt-PT"/>
        </w:rPr>
        <w:t xml:space="preserve">lém das demais previstas no edital e todos seus </w:t>
      </w:r>
      <w:r>
        <w:rPr>
          <w:rFonts w:ascii="Arial" w:hAnsi="Arial"/>
          <w:lang w:val="pt-PT"/>
        </w:rPr>
        <w:t xml:space="preserve">anexos.</w:t>
      </w:r>
      <w:r>
        <w:rPr>
          <w:rStyle w:val="989"/>
          <w:rFonts w:ascii="Arial" w:hAnsi="Arial" w:eastAsia="Calibri"/>
          <w:color w:val="000000"/>
        </w:rPr>
        <w:t xml:space="preserve"> </w:t>
      </w:r>
      <w:r>
        <w:rPr>
          <w:color w:val="000000"/>
        </w:rPr>
      </w:r>
      <w:r>
        <w:rPr>
          <w:color w:val="000000"/>
        </w:rPr>
      </w:r>
    </w:p>
    <w:p>
      <w:pPr>
        <w:pBdr/>
        <w:spacing/>
        <w:ind/>
        <w:jc w:val="both"/>
        <w:rPr/>
      </w:pPr>
      <w:r/>
      <w:r/>
    </w:p>
    <w:p>
      <w:pPr>
        <w:pBdr/>
        <w:spacing/>
        <w:ind/>
        <w:jc w:val="both"/>
        <w:rPr/>
      </w:pPr>
      <w:r>
        <w:rPr>
          <w:rStyle w:val="989"/>
          <w:rFonts w:ascii="Arial" w:hAnsi="Arial" w:eastAsia="Calibri"/>
          <w:b/>
        </w:rPr>
        <w:t xml:space="preserve">5.2.</w:t>
      </w:r>
      <w:r>
        <w:rPr>
          <w:rStyle w:val="989"/>
          <w:rFonts w:ascii="Arial" w:hAnsi="Arial" w:eastAsia="Calibri"/>
        </w:rPr>
        <w:t xml:space="preserve"> Cumprir o objeto da contratação, realizando </w:t>
      </w:r>
      <w:r>
        <w:rPr>
          <w:rStyle w:val="989"/>
          <w:rFonts w:ascii="Arial" w:hAnsi="Arial" w:eastAsia="Calibri"/>
          <w:color w:val="000000"/>
        </w:rPr>
        <w:t xml:space="preserve">a entrega dos bens</w:t>
      </w:r>
      <w:r>
        <w:rPr>
          <w:rStyle w:val="989"/>
          <w:rFonts w:ascii="Arial" w:hAnsi="Arial" w:eastAsia="Calibri"/>
        </w:rPr>
        <w:t xml:space="preserve"> especificados na Cláusula Segunda, conforme disposições contidas na cláusula quarta. </w:t>
      </w:r>
      <w:r/>
    </w:p>
    <w:p>
      <w:pPr>
        <w:pBdr/>
        <w:spacing/>
        <w:ind/>
        <w:jc w:val="both"/>
        <w:rPr/>
      </w:pPr>
      <w:r/>
      <w:r/>
    </w:p>
    <w:p>
      <w:pPr>
        <w:pBdr/>
        <w:spacing/>
        <w:ind/>
        <w:jc w:val="both"/>
        <w:rPr/>
      </w:pPr>
      <w:r>
        <w:rPr>
          <w:rStyle w:val="989"/>
          <w:rFonts w:ascii="Arial" w:hAnsi="Arial" w:eastAsia="Calibri"/>
          <w:b/>
        </w:rPr>
        <w:t xml:space="preserve">5.3.</w:t>
      </w:r>
      <w:r>
        <w:rPr>
          <w:rStyle w:val="989"/>
          <w:rFonts w:ascii="Arial" w:hAnsi="Arial" w:eastAsia="Calibri"/>
        </w:rPr>
        <w:t xml:space="preserve"> Cumprir todas as leis e posturas federais, estaduais e municipais pertinentes e responsabilizar-se por todos os prejuízos decorrentes de infrações a que houver dado causa. </w:t>
      </w:r>
      <w:r/>
    </w:p>
    <w:p>
      <w:pPr>
        <w:pBdr/>
        <w:spacing/>
        <w:ind/>
        <w:jc w:val="both"/>
        <w:rPr/>
      </w:pPr>
      <w:r/>
      <w:r/>
    </w:p>
    <w:p>
      <w:pPr>
        <w:pBdr/>
        <w:spacing/>
        <w:ind/>
        <w:jc w:val="both"/>
        <w:rPr/>
      </w:pPr>
      <w:r>
        <w:rPr>
          <w:rStyle w:val="989"/>
          <w:rFonts w:ascii="Arial" w:hAnsi="Arial" w:eastAsia="Calibri"/>
          <w:b/>
        </w:rPr>
        <w:t xml:space="preserve">5.4.</w:t>
      </w:r>
      <w:r>
        <w:rPr>
          <w:rStyle w:val="989"/>
          <w:rFonts w:ascii="Arial" w:hAnsi="Arial" w:eastAsia="Calibri"/>
        </w:rPr>
        <w:t xml:space="preserve"> Assumir, com exclusividade, todos os tributos, impostos e taxas que forem de</w:t>
      </w:r>
      <w:r>
        <w:rPr>
          <w:rStyle w:val="989"/>
          <w:rFonts w:ascii="Arial" w:hAnsi="Arial" w:eastAsia="Calibri"/>
        </w:rPr>
        <w:t xml:space="preserve">vidos em decorrência do objeto da contratação e quaisquer outras despesas que se fizerem necessárias ao cumprimento do objeto pactuado, inclusive quanto ao transporte, carga e descarga, configuração, despesas com pessoal e apresentar os respectivos comprov</w:t>
      </w:r>
      <w:r>
        <w:rPr>
          <w:rStyle w:val="989"/>
          <w:rFonts w:ascii="Arial" w:hAnsi="Arial" w:eastAsia="Calibri"/>
        </w:rPr>
        <w:t xml:space="preserve">antes quando solicitado pelo </w:t>
      </w:r>
      <w:r>
        <w:rPr>
          <w:rStyle w:val="989"/>
          <w:rFonts w:ascii="Arial" w:hAnsi="Arial" w:eastAsia="Calibri"/>
          <w:b/>
        </w:rPr>
        <w:t xml:space="preserve">CONTRATANTE</w:t>
      </w:r>
      <w:r>
        <w:rPr>
          <w:rStyle w:val="989"/>
          <w:rFonts w:ascii="Arial" w:hAnsi="Arial" w:eastAsia="Calibri"/>
        </w:rPr>
        <w:t xml:space="preserve">. </w:t>
      </w:r>
      <w:r/>
    </w:p>
    <w:p>
      <w:pPr>
        <w:pBdr/>
        <w:spacing/>
        <w:ind/>
        <w:jc w:val="both"/>
        <w:rPr/>
      </w:pPr>
      <w:r/>
      <w:r/>
    </w:p>
    <w:p>
      <w:pPr>
        <w:pBdr/>
        <w:spacing/>
        <w:ind/>
        <w:jc w:val="both"/>
        <w:rPr/>
      </w:pPr>
      <w:r>
        <w:rPr>
          <w:rStyle w:val="989"/>
          <w:rFonts w:ascii="Arial" w:hAnsi="Arial" w:eastAsia="Calibri"/>
          <w:b/>
        </w:rPr>
        <w:t xml:space="preserve">5.5.</w:t>
      </w:r>
      <w:r>
        <w:rPr>
          <w:rStyle w:val="989"/>
          <w:rFonts w:ascii="Arial" w:hAnsi="Arial" w:eastAsia="Calibri"/>
        </w:rPr>
        <w:t xml:space="preserve"> Aceitar, nas mesmas condições contratuais, os acréscimos ou supressões que se fizerem, no objeto deste instrumento de até 25% (vinte e cinco por cento) do valor inicial atualizado da contratação. </w:t>
      </w:r>
      <w:r/>
    </w:p>
    <w:p>
      <w:pPr>
        <w:pBdr/>
        <w:spacing/>
        <w:ind/>
        <w:jc w:val="both"/>
        <w:rPr/>
      </w:pPr>
      <w:r/>
      <w:r/>
    </w:p>
    <w:p>
      <w:pPr>
        <w:pBdr/>
        <w:spacing/>
        <w:ind/>
        <w:jc w:val="both"/>
        <w:rPr/>
      </w:pPr>
      <w:r>
        <w:rPr>
          <w:rStyle w:val="989"/>
          <w:rFonts w:ascii="Arial" w:hAnsi="Arial" w:eastAsia="Calibri"/>
          <w:b/>
        </w:rPr>
        <w:t xml:space="preserve">5.6.</w:t>
      </w:r>
      <w:r>
        <w:rPr>
          <w:rStyle w:val="989"/>
          <w:rFonts w:ascii="Arial" w:hAnsi="Arial" w:eastAsia="Calibri"/>
        </w:rPr>
        <w:t xml:space="preserve"> Responder perante a </w:t>
      </w:r>
      <w:r>
        <w:rPr>
          <w:rStyle w:val="989"/>
          <w:rFonts w:ascii="Arial" w:hAnsi="Arial" w:eastAsia="Calibri"/>
          <w:b/>
        </w:rPr>
        <w:t xml:space="preserve">CONTRATANTE</w:t>
      </w:r>
      <w:r>
        <w:rPr>
          <w:rStyle w:val="989"/>
          <w:rFonts w:ascii="Arial" w:hAnsi="Arial" w:eastAsia="Calibri"/>
        </w:rPr>
        <w:t xml:space="preserve"> e terceiros por eventuais prejuízos e danos decorrentes de sua demora ou de sua omissão, na condução do objeto deste instrumento sob a sua responsabilidade ou por erro relativo à sua execução. </w:t>
      </w:r>
      <w:r/>
    </w:p>
    <w:p>
      <w:pPr>
        <w:pBdr/>
        <w:spacing/>
        <w:ind/>
        <w:jc w:val="both"/>
        <w:rPr/>
      </w:pPr>
      <w:r/>
      <w:r/>
    </w:p>
    <w:p>
      <w:pPr>
        <w:pBdr/>
        <w:spacing/>
        <w:ind/>
        <w:jc w:val="both"/>
        <w:rPr/>
      </w:pPr>
      <w:r>
        <w:rPr>
          <w:rStyle w:val="989"/>
          <w:rFonts w:ascii="Arial" w:hAnsi="Arial" w:eastAsia="Calibri"/>
          <w:b/>
        </w:rPr>
        <w:t xml:space="preserve">5.7.</w:t>
      </w:r>
      <w:r>
        <w:rPr>
          <w:rStyle w:val="989"/>
          <w:rFonts w:ascii="Arial" w:hAnsi="Arial" w:eastAsia="Calibri"/>
        </w:rPr>
        <w:t xml:space="preserve"> Responsabilizar-se por </w:t>
      </w:r>
      <w:r>
        <w:rPr>
          <w:rStyle w:val="989"/>
          <w:rFonts w:ascii="Arial" w:hAnsi="Arial" w:eastAsia="Calibri"/>
        </w:rPr>
        <w:t xml:space="preserve">quaisquer ônus decorrentes de omissões ou erros na elaboração de estimativa de custos e que redundem em aumento de despesas para o </w:t>
      </w:r>
      <w:r>
        <w:rPr>
          <w:rStyle w:val="989"/>
          <w:rFonts w:ascii="Arial" w:hAnsi="Arial" w:eastAsia="Calibri"/>
          <w:b/>
        </w:rPr>
        <w:t xml:space="preserve">CONTRATANTE</w:t>
      </w:r>
      <w:r>
        <w:rPr>
          <w:rStyle w:val="989"/>
          <w:rFonts w:ascii="Arial" w:hAnsi="Arial" w:eastAsia="Calibri"/>
        </w:rPr>
        <w:t xml:space="preserve">. </w:t>
      </w:r>
      <w:r/>
    </w:p>
    <w:p>
      <w:pPr>
        <w:pBdr/>
        <w:spacing/>
        <w:ind/>
        <w:jc w:val="both"/>
        <w:rPr/>
      </w:pPr>
      <w:r/>
      <w:r/>
    </w:p>
    <w:p>
      <w:pPr>
        <w:pBdr/>
        <w:spacing/>
        <w:ind/>
        <w:jc w:val="both"/>
        <w:rPr/>
      </w:pPr>
      <w:r>
        <w:rPr>
          <w:rStyle w:val="989"/>
          <w:rFonts w:ascii="Arial" w:hAnsi="Arial" w:eastAsia="Calibri"/>
          <w:b/>
        </w:rPr>
        <w:t xml:space="preserve">5.8.</w:t>
      </w:r>
      <w:r>
        <w:rPr>
          <w:rStyle w:val="989"/>
          <w:rFonts w:ascii="Arial" w:hAnsi="Arial" w:eastAsia="Calibri"/>
        </w:rPr>
        <w:t xml:space="preserve"> Responsabilizar-se pelo ônus resultante de quaisquer ações, demandas, custos e despesas decorrentes de da</w:t>
      </w:r>
      <w:r>
        <w:rPr>
          <w:rStyle w:val="989"/>
          <w:rFonts w:ascii="Arial" w:hAnsi="Arial" w:eastAsia="Calibri"/>
        </w:rPr>
        <w:t xml:space="preserve">nos causados por culpa ou dolo de seus empregados, prepostos e/ou contratados, bem como se obrigar por quaisquer responsabilidades decorrentes de ações judiciais que lhe venham a ser atribuídas por força de lei, relacionadas com o cumprimento da contrataçã</w:t>
      </w:r>
      <w:r>
        <w:rPr>
          <w:rStyle w:val="989"/>
          <w:rFonts w:ascii="Arial" w:hAnsi="Arial" w:eastAsia="Calibri"/>
        </w:rPr>
        <w:t xml:space="preserve">o. </w:t>
      </w:r>
      <w:r/>
    </w:p>
    <w:p>
      <w:pPr>
        <w:pBdr/>
        <w:spacing/>
        <w:ind/>
        <w:jc w:val="both"/>
        <w:rPr/>
      </w:pPr>
      <w:r/>
      <w:r/>
    </w:p>
    <w:p>
      <w:pPr>
        <w:pBdr/>
        <w:spacing/>
        <w:ind/>
        <w:jc w:val="both"/>
        <w:rPr/>
      </w:pPr>
      <w:r>
        <w:rPr>
          <w:rStyle w:val="989"/>
          <w:rFonts w:ascii="Arial" w:hAnsi="Arial" w:eastAsia="Calibri"/>
          <w:b/>
        </w:rPr>
        <w:t xml:space="preserve">5.9.</w:t>
      </w:r>
      <w:r>
        <w:rPr>
          <w:rStyle w:val="989"/>
          <w:rFonts w:ascii="Arial" w:hAnsi="Arial" w:eastAsia="Calibri"/>
        </w:rPr>
        <w:t xml:space="preserve"> Manter-se, durante toda a execução do contrato, em compatibilidade com todas as condições de habilitação e qualificação exigidas na licitação. </w:t>
      </w:r>
      <w:r/>
    </w:p>
    <w:p>
      <w:pPr>
        <w:pBdr/>
        <w:spacing/>
        <w:ind/>
        <w:jc w:val="both"/>
        <w:rPr/>
      </w:pPr>
      <w:r/>
      <w:r/>
    </w:p>
    <w:p>
      <w:pPr>
        <w:pBdr/>
        <w:spacing/>
        <w:ind/>
        <w:jc w:val="both"/>
        <w:rPr/>
      </w:pPr>
      <w:r>
        <w:rPr>
          <w:rStyle w:val="989"/>
          <w:rFonts w:ascii="Arial" w:hAnsi="Arial" w:eastAsia="Calibri"/>
          <w:b/>
        </w:rPr>
        <w:t xml:space="preserve">5.10.</w:t>
      </w:r>
      <w:r>
        <w:rPr>
          <w:rStyle w:val="989"/>
          <w:rFonts w:ascii="Arial" w:hAnsi="Arial" w:eastAsia="Calibri"/>
        </w:rPr>
        <w:t xml:space="preserve"> Comunicar a Prefeitura Municipal qualquer alteração às condições em que se encontrava no moment</w:t>
      </w:r>
      <w:r>
        <w:rPr>
          <w:rStyle w:val="989"/>
          <w:rFonts w:ascii="Arial" w:hAnsi="Arial" w:eastAsia="Calibri"/>
        </w:rPr>
        <w:t xml:space="preserve">o da contratação dos serviços, como endereço, telefone, conta bancária, responsável pela empresa, etc.</w:t>
      </w:r>
      <w:r>
        <w:rPr>
          <w:rFonts w:ascii="Arial" w:hAnsi="Arial"/>
        </w:rPr>
        <w:t xml:space="preserve"> </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lang w:val="pt-PT"/>
        </w:rPr>
        <w:t xml:space="preserve">5.11</w:t>
      </w:r>
      <w:r>
        <w:rPr>
          <w:rFonts w:ascii="Arial" w:hAnsi="Arial"/>
          <w:lang w:val="pt-PT"/>
        </w:rPr>
        <w:t xml:space="preserve">. A </w:t>
      </w:r>
      <w:r>
        <w:rPr>
          <w:rFonts w:ascii="Arial" w:hAnsi="Arial"/>
          <w:b/>
          <w:u w:val="single"/>
          <w:lang w:val="pt-PT"/>
        </w:rPr>
        <w:t xml:space="preserve">CONTRATADA</w:t>
      </w:r>
      <w:r>
        <w:rPr>
          <w:rFonts w:ascii="Arial" w:hAnsi="Arial"/>
          <w:lang w:val="pt-PT"/>
        </w:rPr>
        <w:t xml:space="preserve"> se obriga a permitir que a auditoria interna da </w:t>
      </w:r>
      <w:r>
        <w:rPr>
          <w:rFonts w:ascii="Arial" w:hAnsi="Arial"/>
          <w:b/>
          <w:u w:val="single"/>
          <w:lang w:val="pt-PT"/>
        </w:rPr>
        <w:t xml:space="preserve">CONTRATANTE</w:t>
      </w:r>
      <w:r>
        <w:rPr>
          <w:rFonts w:ascii="Arial" w:hAnsi="Arial"/>
          <w:lang w:val="pt-PT"/>
        </w:rPr>
        <w:t xml:space="preserve"> por ela indicada, tenham acesso a todos os documentos fiscais e contábei</w:t>
      </w:r>
      <w:r>
        <w:rPr>
          <w:rFonts w:ascii="Arial" w:hAnsi="Arial"/>
          <w:lang w:val="pt-PT"/>
        </w:rPr>
        <w:t xml:space="preserve">s que digam respeito aos serviços fornecidos à </w:t>
      </w:r>
      <w:r>
        <w:rPr>
          <w:rFonts w:ascii="Arial" w:hAnsi="Arial"/>
          <w:b/>
          <w:u w:val="single"/>
          <w:lang w:val="pt-PT"/>
        </w:rPr>
        <w:t xml:space="preserve">CONTRATANTE</w:t>
      </w:r>
      <w:r>
        <w:rPr>
          <w:rFonts w:ascii="Arial" w:hAnsi="Arial"/>
          <w:lang w:val="pt-PT"/>
        </w:rPr>
        <w:t xml:space="preserve">.</w:t>
      </w:r>
      <w:r/>
    </w:p>
    <w:p>
      <w:pPr>
        <w:pBdr/>
        <w:spacing/>
        <w:ind/>
        <w:jc w:val="both"/>
        <w:rPr>
          <w:rFonts w:ascii="Arial" w:hAnsi="Arial"/>
          <w:lang w:val="pt-PT"/>
        </w:rPr>
      </w:pPr>
      <w:r>
        <w:rPr>
          <w:rFonts w:ascii="Arial" w:hAnsi="Arial"/>
          <w:lang w:val="pt-PT"/>
        </w:rPr>
      </w:r>
      <w:r>
        <w:rPr>
          <w:rFonts w:ascii="Arial" w:hAnsi="Arial"/>
          <w:lang w:val="pt-PT"/>
        </w:rPr>
      </w:r>
      <w:r>
        <w:rPr>
          <w:rFonts w:ascii="Arial" w:hAnsi="Arial"/>
          <w:lang w:val="pt-PT"/>
        </w:rPr>
      </w:r>
    </w:p>
    <w:p>
      <w:pPr>
        <w:pBdr/>
        <w:spacing/>
        <w:ind/>
        <w:jc w:val="both"/>
        <w:rPr/>
      </w:pPr>
      <w:r>
        <w:rPr>
          <w:rStyle w:val="989"/>
          <w:rFonts w:ascii="Arial" w:hAnsi="Arial" w:eastAsia="Calibri"/>
          <w:b/>
        </w:rPr>
        <w:t xml:space="preserve">5.12.</w:t>
      </w:r>
      <w:r>
        <w:rPr>
          <w:rStyle w:val="989"/>
          <w:rFonts w:ascii="Arial" w:hAnsi="Arial" w:eastAsia="Calibri"/>
        </w:rPr>
        <w:t xml:space="preserve"> Executar o fornecimento dentro dos padrões estabelecidos, de acordo com a especificação dos serviços, responsabilizando-se por eventuais prejuízos decorrentes do descumprimento de condição </w:t>
      </w:r>
      <w:r>
        <w:rPr>
          <w:rStyle w:val="989"/>
          <w:rFonts w:ascii="Arial" w:hAnsi="Arial" w:eastAsia="Calibri"/>
        </w:rPr>
        <w:t xml:space="preserve">estabelecida. </w:t>
      </w:r>
      <w:r/>
    </w:p>
    <w:p>
      <w:pPr>
        <w:pBdr/>
        <w:spacing/>
        <w:ind/>
        <w:jc w:val="both"/>
        <w:rPr/>
      </w:pPr>
      <w:r/>
      <w:r/>
    </w:p>
    <w:p>
      <w:pPr>
        <w:pBdr/>
        <w:spacing/>
        <w:ind/>
        <w:jc w:val="both"/>
        <w:rPr/>
      </w:pPr>
      <w:r>
        <w:rPr>
          <w:rFonts w:ascii="Arial" w:hAnsi="Arial"/>
          <w:b/>
        </w:rPr>
        <w:t xml:space="preserve">5.13.</w:t>
      </w:r>
      <w:r>
        <w:rPr>
          <w:rFonts w:ascii="Arial" w:hAnsi="Arial"/>
        </w:rPr>
        <w:t xml:space="preserve"> Cumprir com os prazos de entrega acordados junto à Secretaria solicitante dos materiais;</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Style w:val="989"/>
          <w:rFonts w:ascii="Arial" w:hAnsi="Arial" w:eastAsia="Calibri"/>
          <w:b/>
        </w:rPr>
        <w:t xml:space="preserve">5.14</w:t>
      </w:r>
      <w:r>
        <w:rPr>
          <w:rStyle w:val="989"/>
          <w:rFonts w:ascii="Arial" w:hAnsi="Arial" w:eastAsia="Calibri"/>
        </w:rPr>
        <w:t xml:space="preserve">. Realizar as entregas dos produtos no endereço fornecido pela Secretaria;</w:t>
      </w:r>
      <w:r/>
    </w:p>
    <w:p>
      <w:pPr>
        <w:pBdr/>
        <w:spacing/>
        <w:ind/>
        <w:jc w:val="both"/>
        <w:rPr/>
      </w:pPr>
      <w:r/>
      <w:r/>
    </w:p>
    <w:p>
      <w:pPr>
        <w:pBdr/>
        <w:spacing/>
        <w:ind/>
        <w:jc w:val="both"/>
        <w:rPr/>
      </w:pPr>
      <w:r>
        <w:rPr>
          <w:rStyle w:val="989"/>
          <w:rFonts w:ascii="Arial" w:hAnsi="Arial" w:eastAsia="Calibri"/>
          <w:b/>
        </w:rPr>
        <w:t xml:space="preserve">5.15.</w:t>
      </w:r>
      <w:r>
        <w:rPr>
          <w:rStyle w:val="989"/>
          <w:rFonts w:ascii="Arial" w:hAnsi="Arial" w:eastAsia="Calibri"/>
        </w:rPr>
        <w:t xml:space="preserve"> Os produtos que se encontrarem em desconformidade com as c</w:t>
      </w:r>
      <w:r>
        <w:rPr>
          <w:rStyle w:val="989"/>
          <w:rFonts w:ascii="Arial" w:hAnsi="Arial" w:eastAsia="Calibri"/>
        </w:rPr>
        <w:t xml:space="preserve">ondições exigidas, deverão ser substituídos num prazo de até 05 (cinco) dias uteis a partir da data da solicitação da substituição dos mesmos.</w:t>
      </w:r>
      <w:r>
        <w:rPr>
          <w:rFonts w:ascii="Arial" w:hAnsi="Arial"/>
        </w:rPr>
        <w:t xml:space="preserve"> </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5.16.</w:t>
      </w:r>
      <w:r>
        <w:rPr>
          <w:rFonts w:ascii="Arial" w:hAnsi="Arial"/>
        </w:rPr>
        <w:t xml:space="preserve"> Prestar esclarecimentos que forem solicitados pelo Município, cujas reclamações se obriga a atender prontamente, bem como, oferecer</w:t>
      </w:r>
      <w:r>
        <w:rPr>
          <w:rFonts w:ascii="Arial" w:hAnsi="Arial"/>
          <w:lang w:val="pt-PT"/>
        </w:rPr>
        <w:t xml:space="preserve"> condições para a mais ampla e completa fiscalização, durante a vigência deste Contrato, bem como de seu (s) aditivo (s), pr</w:t>
      </w:r>
      <w:r>
        <w:rPr>
          <w:rFonts w:ascii="Arial" w:hAnsi="Arial"/>
          <w:lang w:val="pt-PT"/>
        </w:rPr>
        <w:t xml:space="preserve">opiciando o acesso à toda documentação pertinente (s) ao (s) fornecimento (s) dos produtos, atendendo às observações e exigências apresentadas pela fiscalização.</w:t>
      </w:r>
      <w:r/>
    </w:p>
    <w:p>
      <w:pPr>
        <w:pBdr/>
        <w:spacing/>
        <w:ind/>
        <w:jc w:val="both"/>
        <w:rPr>
          <w:rFonts w:ascii="Arial" w:hAnsi="Arial"/>
          <w:lang w:val="pt-PT"/>
        </w:rPr>
      </w:pPr>
      <w:r>
        <w:rPr>
          <w:rFonts w:ascii="Arial" w:hAnsi="Arial"/>
          <w:lang w:val="pt-PT"/>
        </w:rPr>
      </w:r>
      <w:r>
        <w:rPr>
          <w:rFonts w:ascii="Arial" w:hAnsi="Arial"/>
          <w:lang w:val="pt-PT"/>
        </w:rPr>
      </w:r>
      <w:r>
        <w:rPr>
          <w:rFonts w:ascii="Arial" w:hAnsi="Arial"/>
          <w:lang w:val="pt-PT"/>
        </w:rPr>
      </w:r>
    </w:p>
    <w:p>
      <w:pPr>
        <w:pBdr/>
        <w:spacing/>
        <w:ind/>
        <w:jc w:val="both"/>
        <w:rPr/>
      </w:pPr>
      <w:r>
        <w:rPr>
          <w:rFonts w:ascii="Arial" w:hAnsi="Arial"/>
          <w:b/>
        </w:rPr>
        <w:t xml:space="preserve">5.17.</w:t>
      </w:r>
      <w:r>
        <w:rPr>
          <w:rFonts w:ascii="Arial" w:hAnsi="Arial"/>
        </w:rPr>
        <w:t xml:space="preserve"> A contratada se responsabilizará pela substituição dos produtos entregues</w:t>
      </w:r>
      <w:r>
        <w:rPr>
          <w:rFonts w:ascii="Arial" w:hAnsi="Arial"/>
          <w:b/>
        </w:rPr>
        <w:t xml:space="preserve"> </w:t>
      </w:r>
      <w:r>
        <w:rPr>
          <w:rFonts w:ascii="Arial" w:hAnsi="Arial"/>
        </w:rPr>
        <w:t xml:space="preserve">em que forem </w:t>
      </w:r>
      <w:r>
        <w:rPr>
          <w:rFonts w:ascii="Arial" w:hAnsi="Arial"/>
        </w:rPr>
        <w:t xml:space="preserve">constatados defeitos de fabricação ou que se encontrarem em desacordo com as especificações constantes deste Edital e seus anexos, isentando este Município de quaisquer ônus financeiros adicionais;</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5.18. </w:t>
      </w:r>
      <w:r>
        <w:rPr>
          <w:rFonts w:ascii="Arial" w:hAnsi="Arial"/>
        </w:rPr>
        <w:t xml:space="preserve">A CONTRATADA tem a obrigação de atender as exigênci</w:t>
      </w:r>
      <w:r>
        <w:rPr>
          <w:rFonts w:ascii="Arial" w:hAnsi="Arial"/>
        </w:rPr>
        <w:t xml:space="preserve">as de reserva de cargos prevista em lei, bem como em outras normas específicas, para pessoa com deficiência, para reabilitado da Previdência Social e para aprendiz; (Lei 14.133/2021 art. 92 – inciso XVII)</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CLÁUSULA SEXTA – SUBCONTRATAÇÃO:</w:t>
      </w:r>
      <w:r>
        <w:rPr>
          <w:rFonts w:ascii="Arial" w:hAnsi="Arial"/>
        </w:rPr>
        <w:t xml:space="preserve"> </w:t>
      </w:r>
      <w:r/>
    </w:p>
    <w:p>
      <w:pPr>
        <w:pBdr/>
        <w:spacing/>
        <w:ind/>
        <w:jc w:val="both"/>
        <w:rPr>
          <w:rFonts w:ascii="Arial" w:hAnsi="Arial"/>
          <w:b/>
        </w:rPr>
      </w:pPr>
      <w:r>
        <w:rPr>
          <w:rFonts w:ascii="Arial" w:hAnsi="Arial"/>
          <w:b/>
        </w:rPr>
      </w:r>
      <w:r>
        <w:rPr>
          <w:rFonts w:ascii="Arial" w:hAnsi="Arial"/>
          <w:b/>
        </w:rPr>
      </w:r>
      <w:r>
        <w:rPr>
          <w:rFonts w:ascii="Arial" w:hAnsi="Arial"/>
          <w:b/>
        </w:rPr>
      </w:r>
    </w:p>
    <w:p>
      <w:pPr>
        <w:pBdr/>
        <w:tabs>
          <w:tab w:val="left" w:leader="none" w:pos="3514"/>
        </w:tabs>
        <w:spacing/>
        <w:ind/>
        <w:jc w:val="both"/>
        <w:rPr>
          <w:rFonts w:ascii="Arial" w:hAnsi="Arial"/>
        </w:rPr>
      </w:pPr>
      <w:r>
        <w:rPr>
          <w:rFonts w:ascii="Arial" w:hAnsi="Arial"/>
          <w:b/>
          <w:bCs/>
        </w:rPr>
        <w:t xml:space="preserve">6.1. </w:t>
      </w:r>
      <w:r>
        <w:rPr>
          <w:rFonts w:ascii="Arial" w:hAnsi="Arial"/>
        </w:rPr>
        <w:t xml:space="preserve">Fica vedada a subcontratação total ou parcial do objeto da aquisição/contratação, a associação da empresa contratada com outrem, a cessão ou transferência total ou parcial, bem como a fusão, cisão ou incorporação tendo em vista a natureza do objeto.</w:t>
      </w:r>
      <w:r>
        <w:rPr>
          <w:rFonts w:ascii="Arial" w:hAnsi="Arial"/>
        </w:rPr>
      </w:r>
      <w:r>
        <w:rPr>
          <w:rFonts w:ascii="Arial" w:hAnsi="Arial"/>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color w:val="000000"/>
        </w:rPr>
      </w:pPr>
      <w:r>
        <w:rPr>
          <w:rFonts w:ascii="Arial" w:hAnsi="Arial"/>
          <w:b/>
          <w:color w:val="000000"/>
        </w:rPr>
        <w:t xml:space="preserve">CLÁUSULA SÉTIMA – DO RECEBIMENTO DOS BENS E DA EXECUÇÃO DO CONTRATO:</w:t>
      </w:r>
      <w:r>
        <w:rPr>
          <w:color w:val="000000"/>
        </w:rPr>
      </w:r>
      <w:r>
        <w:rPr>
          <w:color w:val="000000"/>
        </w:rPr>
      </w:r>
    </w:p>
    <w:p>
      <w:pPr>
        <w:pBdr/>
        <w:spacing/>
        <w:ind w:right="-5"/>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rPr>
      </w:pPr>
      <w:r>
        <w:rPr>
          <w:rFonts w:ascii="Arial" w:hAnsi="Arial"/>
          <w:b/>
          <w:bCs/>
        </w:rPr>
        <w:t xml:space="preserve">7.1. Recebimento Provisório: </w:t>
      </w:r>
      <w:r>
        <w:rPr>
          <w:rFonts w:ascii="Arial" w:hAnsi="Arial"/>
        </w:rPr>
        <w:t xml:space="preserve">Os materiais objeto da presente contratação serão recebidos provisoriamente no ato da entrega, medi</w:t>
      </w:r>
      <w:r>
        <w:rPr>
          <w:rFonts w:ascii="Arial" w:hAnsi="Arial"/>
        </w:rPr>
        <w:t xml:space="preserve">ante apresentação da Nota Fiscal ou outro instrumento de cobrança equivalente, pelo responsável pelo acompanhamento e fiscalização do contrato. Este recebimento terá caráter </w:t>
      </w:r>
      <w:r>
        <w:rPr>
          <w:rFonts w:ascii="Arial" w:hAnsi="Arial"/>
          <w:b/>
          <w:bCs/>
        </w:rPr>
        <w:t xml:space="preserve">provisório</w:t>
      </w:r>
      <w:r>
        <w:rPr>
          <w:rFonts w:ascii="Arial" w:hAnsi="Arial"/>
        </w:rPr>
        <w:t xml:space="preserve">, servindo para verificação inicial da conformidade com as especificaçõe</w:t>
      </w:r>
      <w:r>
        <w:rPr>
          <w:rFonts w:ascii="Arial" w:hAnsi="Arial"/>
        </w:rPr>
        <w:t xml:space="preserve">s do Termo de Referência e da proposta vencedora.</w:t>
      </w:r>
      <w:r>
        <w:rPr>
          <w:rFonts w:ascii="Arial" w:hAnsi="Arial"/>
        </w:rPr>
      </w:r>
      <w:r>
        <w:rPr>
          <w:rFonts w:ascii="Arial" w:hAnsi="Arial"/>
        </w:rPr>
      </w:r>
    </w:p>
    <w:p>
      <w:pPr>
        <w:pBdr/>
        <w:spacing/>
        <w:ind/>
        <w:jc w:val="both"/>
        <w:rPr>
          <w:rFonts w:ascii="Arial" w:hAnsi="Arial"/>
        </w:rPr>
      </w:pPr>
      <w:r>
        <w:rPr>
          <w:rFonts w:ascii="Arial" w:hAnsi="Arial"/>
        </w:rPr>
      </w:r>
      <w:r>
        <w:rPr>
          <w:rFonts w:ascii="Arial" w:hAnsi="Arial"/>
        </w:rPr>
      </w:r>
      <w:r>
        <w:rPr>
          <w:rFonts w:ascii="Arial" w:hAnsi="Arial"/>
        </w:rPr>
      </w:r>
    </w:p>
    <w:p>
      <w:pPr>
        <w:pBdr/>
        <w:tabs>
          <w:tab w:val="left" w:leader="none" w:pos="720"/>
        </w:tabs>
        <w:spacing/>
        <w:ind/>
        <w:jc w:val="both"/>
        <w:rPr>
          <w:rFonts w:ascii="Arial" w:hAnsi="Arial"/>
        </w:rPr>
      </w:pPr>
      <w:r>
        <w:rPr>
          <w:rFonts w:ascii="Arial" w:hAnsi="Arial"/>
          <w:b/>
          <w:bCs/>
        </w:rPr>
        <w:t xml:space="preserve">7.2. Recebimento Definitivo: </w:t>
      </w:r>
      <w:r>
        <w:rPr>
          <w:rFonts w:ascii="Arial" w:hAnsi="Arial"/>
        </w:rPr>
        <w:t xml:space="preserve">Ocorrerá após a verificação da conformidade do produto com as especificações do Edital, do Termo de Referência e da proposta contratada, especialmente quanto à descrição, volume, integridade das embalagens, identificação do lote, da</w:t>
      </w:r>
      <w:r>
        <w:rPr>
          <w:rFonts w:ascii="Arial" w:hAnsi="Arial"/>
        </w:rPr>
        <w:t xml:space="preserve">ta de fabricação, prazo de validade e demais requisitos técnicos exigidos.</w:t>
      </w:r>
      <w:r>
        <w:rPr>
          <w:rFonts w:ascii="Arial" w:hAnsi="Arial"/>
        </w:rPr>
      </w:r>
      <w:r>
        <w:rPr>
          <w:rFonts w:ascii="Arial" w:hAnsi="Arial"/>
        </w:rPr>
      </w:r>
    </w:p>
    <w:p>
      <w:pPr>
        <w:pBdr/>
        <w:tabs>
          <w:tab w:val="left" w:leader="none" w:pos="720"/>
        </w:tabs>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bCs/>
        </w:rPr>
        <w:t xml:space="preserve">7.2.1.</w:t>
      </w:r>
      <w:r>
        <w:rPr>
          <w:rFonts w:ascii="Arial" w:hAnsi="Arial"/>
        </w:rPr>
        <w:t xml:space="preserve"> O recebimento definitivo será formalizado mediante </w:t>
      </w:r>
      <w:r>
        <w:rPr>
          <w:rFonts w:ascii="Arial" w:hAnsi="Arial"/>
          <w:b/>
          <w:bCs/>
        </w:rPr>
        <w:t xml:space="preserve">termo de aceitação</w:t>
      </w:r>
      <w:r>
        <w:rPr>
          <w:rFonts w:ascii="Arial" w:hAnsi="Arial"/>
        </w:rPr>
        <w:t xml:space="preserve">, assinado pelo responsável pelo acompanhamento e fiscalização, </w:t>
      </w:r>
      <w:r>
        <w:rPr>
          <w:rFonts w:ascii="Arial" w:hAnsi="Arial"/>
          <w:b/>
          <w:bCs/>
        </w:rPr>
        <w:t xml:space="preserve">somente após constatação de que os bens estão em plena conformidade com as especificaç</w:t>
      </w:r>
      <w:r>
        <w:rPr>
          <w:rFonts w:ascii="Arial" w:hAnsi="Arial"/>
          <w:b/>
          <w:bCs/>
        </w:rPr>
        <w:t xml:space="preserve">ões técnicas do Termo de Referência e da proposta contratada</w:t>
      </w:r>
      <w:r>
        <w:rPr>
          <w:rFonts w:ascii="Arial" w:hAnsi="Arial"/>
        </w:rPr>
        <w:t xml:space="preserve">.</w:t>
      </w:r>
      <w:r>
        <w:rPr>
          <w:rFonts w:ascii="Arial" w:hAnsi="Arial"/>
        </w:rPr>
      </w:r>
      <w:r>
        <w:rPr>
          <w:rFonts w:ascii="Arial" w:hAnsi="Arial"/>
        </w:rPr>
      </w:r>
    </w:p>
    <w:p>
      <w:pPr>
        <w:pBdr/>
        <w:spacing/>
        <w:ind/>
        <w:jc w:val="both"/>
        <w:rPr>
          <w:rFonts w:ascii="Arial" w:hAnsi="Arial"/>
          <w:b/>
          <w:bCs/>
        </w:rPr>
      </w:pPr>
      <w:r>
        <w:rPr>
          <w:rFonts w:ascii="Arial" w:hAnsi="Arial"/>
          <w:b/>
          <w:bCs/>
        </w:rPr>
      </w:r>
      <w:r>
        <w:rPr>
          <w:rFonts w:ascii="Arial" w:hAnsi="Arial"/>
          <w:b/>
          <w:bCs/>
        </w:rPr>
      </w:r>
      <w:r>
        <w:rPr>
          <w:rFonts w:ascii="Arial" w:hAnsi="Arial"/>
          <w:b/>
          <w:bCs/>
        </w:rPr>
      </w:r>
    </w:p>
    <w:p>
      <w:pPr>
        <w:pBdr/>
        <w:tabs>
          <w:tab w:val="left" w:leader="none" w:pos="720"/>
        </w:tabs>
        <w:spacing/>
        <w:ind/>
        <w:jc w:val="both"/>
        <w:rPr>
          <w:rFonts w:ascii="Arial" w:hAnsi="Arial"/>
        </w:rPr>
      </w:pPr>
      <w:r>
        <w:rPr>
          <w:rFonts w:ascii="Arial" w:hAnsi="Arial"/>
          <w:b/>
          <w:bCs/>
        </w:rPr>
        <w:t xml:space="preserve">7.3. Rejeição e Correções: </w:t>
      </w:r>
      <w:r>
        <w:rPr>
          <w:rFonts w:ascii="Arial" w:hAnsi="Arial"/>
        </w:rPr>
        <w:t xml:space="preserve">Caso algum produto não atenda aos requisitos, total ou parcialmente, poderá ser: Substituído pelo fornecedor, sem ônus para a Administração; Reparado ou ajustado dent</w:t>
      </w:r>
      <w:r>
        <w:rPr>
          <w:rFonts w:ascii="Arial" w:hAnsi="Arial"/>
        </w:rPr>
        <w:t xml:space="preserve">ro do prazo definido no contrato, desde que aprovado pelo fiscal do contrato.</w:t>
      </w:r>
      <w:r>
        <w:rPr>
          <w:rFonts w:ascii="Arial" w:hAnsi="Arial"/>
        </w:rPr>
      </w:r>
      <w:r>
        <w:rPr>
          <w:rFonts w:ascii="Arial" w:hAnsi="Arial"/>
        </w:rPr>
      </w:r>
    </w:p>
    <w:p>
      <w:pPr>
        <w:pBdr/>
        <w:spacing/>
        <w:ind/>
        <w:jc w:val="both"/>
        <w:rPr>
          <w:b/>
          <w:bCs/>
        </w:rPr>
      </w:pPr>
      <w:r>
        <w:rPr>
          <w:b/>
          <w:bCs/>
        </w:rPr>
      </w:r>
      <w:r>
        <w:rPr>
          <w:b/>
          <w:bCs/>
        </w:rPr>
      </w:r>
      <w:r>
        <w:rPr>
          <w:b/>
          <w:bCs/>
        </w:rPr>
      </w:r>
    </w:p>
    <w:p>
      <w:pPr>
        <w:pBdr/>
        <w:spacing/>
        <w:ind/>
        <w:jc w:val="both"/>
        <w:rPr>
          <w:rFonts w:ascii="Arial" w:hAnsi="Arial"/>
          <w:b/>
        </w:rPr>
      </w:pPr>
      <w:r>
        <w:rPr>
          <w:rFonts w:ascii="Arial" w:hAnsi="Arial"/>
          <w:b/>
          <w:color w:val="000000"/>
        </w:rPr>
        <w:t xml:space="preserve">7.4. REGIME DE EXECUÇÃO</w:t>
      </w:r>
      <w:r>
        <w:rPr>
          <w:rFonts w:ascii="Arial" w:hAnsi="Arial"/>
          <w:b/>
        </w:rPr>
        <w:t xml:space="preserve"> DO CONTRATO E RESULTADOS: </w:t>
      </w:r>
      <w:r>
        <w:rPr>
          <w:rFonts w:ascii="Arial" w:hAnsi="Arial"/>
          <w:b/>
        </w:rPr>
      </w:r>
      <w:r>
        <w:rPr>
          <w:rFonts w:ascii="Arial" w:hAnsi="Arial"/>
          <w:b/>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color w:val="000000"/>
        </w:rPr>
      </w:pPr>
      <w:r>
        <w:rPr>
          <w:rFonts w:ascii="Arial" w:hAnsi="Arial"/>
          <w:b/>
          <w:color w:val="000000"/>
        </w:rPr>
        <w:t xml:space="preserve">7.4.1.</w:t>
      </w:r>
      <w:r>
        <w:rPr>
          <w:rFonts w:ascii="Arial" w:hAnsi="Arial"/>
          <w:color w:val="000000"/>
        </w:rPr>
        <w:t xml:space="preserve"> O contrato deverá ser executado fielmente pelas partes, de acordo com as cláusulas avençadas e as normas da Lei n.º 14.133/2021, e cada parte responderá pelas consequências de sua inexecução total ou parcial.</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7.4.2.</w:t>
      </w:r>
      <w:r>
        <w:rPr>
          <w:rFonts w:ascii="Arial" w:hAnsi="Arial"/>
          <w:color w:val="000000"/>
        </w:rPr>
        <w:t xml:space="preserve"> O contrato decorrente da ARP, ou outro</w:t>
      </w:r>
      <w:r>
        <w:rPr>
          <w:rFonts w:ascii="Arial" w:hAnsi="Arial"/>
          <w:color w:val="000000"/>
        </w:rPr>
        <w:t xml:space="preserve"> instrumento hábil que o substitua deverá ser executado fielmente pelas partes, de acordo com as cláusulas avençadas e as normas da Lei n° 14.133/2021 e do Decreto Municipal n° 11.685/2023 e cada parte responderá pelas consequências de sua inexecução total</w:t>
      </w:r>
      <w:r>
        <w:rPr>
          <w:rFonts w:ascii="Arial" w:hAnsi="Arial"/>
          <w:color w:val="000000"/>
        </w:rPr>
        <w:t xml:space="preserve"> ou parcial.</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7.4.3.</w:t>
      </w:r>
      <w:r>
        <w:rPr>
          <w:rFonts w:ascii="Arial" w:hAnsi="Arial"/>
          <w:color w:val="000000"/>
        </w:rPr>
        <w:t xml:space="preserve"> Em caso de impedimento, ordem de paralisação ou suspensão do contrato, o cronograma de execução será prorrogado automaticamente pelo tempo correspondente, anotadas tais circunstâncias mediante simples apostila.</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7.4.4.</w:t>
      </w:r>
      <w:r>
        <w:rPr>
          <w:rFonts w:ascii="Arial" w:hAnsi="Arial"/>
          <w:color w:val="000000"/>
        </w:rPr>
        <w:t xml:space="preserve"> As comunicações </w:t>
      </w:r>
      <w:r>
        <w:rPr>
          <w:rFonts w:ascii="Arial" w:hAnsi="Arial"/>
          <w:color w:val="000000"/>
        </w:rPr>
        <w:t xml:space="preserve">entre o órgão e a contratada devem ser realizadas por escrito sempre que o ato exigir tal formalidade, admitindo-se o uso de mensagem eletrônica para esse fim.</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7.4.5.</w:t>
      </w:r>
      <w:r>
        <w:rPr>
          <w:rFonts w:ascii="Arial" w:hAnsi="Arial"/>
          <w:color w:val="000000"/>
        </w:rPr>
        <w:t xml:space="preserve"> O órgão poderá convocar representante da empresa para adoção de providências que devam s</w:t>
      </w:r>
      <w:r>
        <w:rPr>
          <w:rFonts w:ascii="Arial" w:hAnsi="Arial"/>
          <w:color w:val="000000"/>
        </w:rPr>
        <w:t xml:space="preserve">er cumpridas de imediato.</w:t>
      </w:r>
      <w:r>
        <w:rPr>
          <w:rFonts w:ascii="Arial" w:hAnsi="Arial"/>
          <w:color w:val="000000"/>
        </w:rPr>
      </w:r>
      <w:r>
        <w:rPr>
          <w:rFonts w:ascii="Arial" w:hAnsi="Arial"/>
          <w:color w:val="000000"/>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rPr>
      </w:pPr>
      <w:r>
        <w:rPr>
          <w:rFonts w:ascii="Arial" w:hAnsi="Arial"/>
          <w:b/>
          <w:color w:val="000000"/>
        </w:rPr>
        <w:t xml:space="preserve">7.4.6.</w:t>
      </w:r>
      <w:r>
        <w:rPr>
          <w:rFonts w:ascii="Arial" w:hAnsi="Arial"/>
          <w:color w:val="000000"/>
        </w:rPr>
        <w:t xml:space="preserve"> Após a assinatura do contrato ou instrumento equivalente, o órgão ou entidade poderá convocar o representante da empresa contratada para reunião inicial para apresentação do plano de fiscalização, que conterá informações a</w:t>
      </w:r>
      <w:r>
        <w:rPr>
          <w:rFonts w:ascii="Arial" w:hAnsi="Arial"/>
          <w:color w:val="000000"/>
        </w:rPr>
        <w:t xml:space="preserve">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7.4.7.</w:t>
      </w:r>
      <w:r>
        <w:rPr>
          <w:rFonts w:ascii="Arial" w:hAnsi="Arial"/>
          <w:color w:val="000000"/>
        </w:rPr>
        <w:t xml:space="preserve"> A execução do contrato deverá ser acompanhada e fiscalizada pelo(s) fiscal(is) do contrato, ou pelos respectivos substitutos, observado o disposto nos artigos 11 e 12 do Decreto Municipal n° 11.685/2023 e do artigo 117 da Lei 14.133/2021, consistindo a su</w:t>
      </w:r>
      <w:r>
        <w:rPr>
          <w:rFonts w:ascii="Arial" w:hAnsi="Arial"/>
          <w:color w:val="000000"/>
        </w:rPr>
        <w:t xml:space="preserve">a atuação, sem prejuízo de outras previstas em lei ou regulamento:</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a)</w:t>
      </w:r>
      <w:r>
        <w:rPr>
          <w:rFonts w:ascii="Arial" w:hAnsi="Arial"/>
          <w:color w:val="000000"/>
        </w:rPr>
        <w:t xml:space="preserve"> anotar, em registro, próprio todas as ocorrências relacionadas com a execução e determinará o que for necessário à regularização de falhas ou defeitos observados.</w:t>
      </w:r>
      <w:r>
        <w:rPr>
          <w:rFonts w:ascii="Arial" w:hAnsi="Arial"/>
          <w:color w:val="000000"/>
        </w:rPr>
      </w:r>
      <w:r>
        <w:rPr>
          <w:rFonts w:ascii="Arial" w:hAnsi="Arial"/>
          <w:color w:val="000000"/>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rPr>
      </w:pPr>
      <w:r>
        <w:rPr>
          <w:rFonts w:ascii="Arial" w:hAnsi="Arial"/>
          <w:b/>
          <w:color w:val="000000"/>
        </w:rPr>
        <w:t xml:space="preserve">b)</w:t>
      </w:r>
      <w:r>
        <w:rPr>
          <w:rFonts w:ascii="Arial" w:hAnsi="Arial"/>
          <w:color w:val="000000"/>
        </w:rPr>
        <w:t xml:space="preserve"> informar a seus su</w:t>
      </w:r>
      <w:r>
        <w:rPr>
          <w:rFonts w:ascii="Arial" w:hAnsi="Arial"/>
          <w:color w:val="000000"/>
        </w:rPr>
        <w:t xml:space="preserve">periores, em tempo hábil para a adoção das medidas convenientes, a situação que demandar decisão ou providência que ultrapasse sua competência.</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c)</w:t>
      </w:r>
      <w:r>
        <w:rPr>
          <w:rFonts w:ascii="Arial" w:hAnsi="Arial"/>
          <w:color w:val="000000"/>
        </w:rPr>
        <w:t xml:space="preserve"> solicitar, quando necessário, o auxílio dos órgãos de assessoramento jurídico de controle interno da Adminis</w:t>
      </w:r>
      <w:r>
        <w:rPr>
          <w:rFonts w:ascii="Arial" w:hAnsi="Arial"/>
          <w:color w:val="000000"/>
        </w:rPr>
        <w:t xml:space="preserve">tração, que deverão dirimir dúvidas e subsidiá-lo com informações relevantes para prevenir riscos na execução contratual.</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d)</w:t>
      </w:r>
      <w:r>
        <w:rPr>
          <w:rFonts w:ascii="Arial" w:hAnsi="Arial"/>
          <w:color w:val="000000"/>
        </w:rPr>
        <w:t xml:space="preserve"> esclarecer prontamente as dúvidas administrativas e técnicas e divergências surgidas na execução do objeto contratado;</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e)</w:t>
      </w:r>
      <w:r>
        <w:rPr>
          <w:rFonts w:ascii="Arial" w:hAnsi="Arial"/>
          <w:color w:val="000000"/>
        </w:rPr>
        <w:t xml:space="preserve"> expedir</w:t>
      </w:r>
      <w:r>
        <w:rPr>
          <w:rFonts w:ascii="Arial" w:hAnsi="Arial"/>
          <w:color w:val="000000"/>
        </w:rPr>
        <w:t xml:space="preserve">, através de notificações e/ou relatório de vistoria, as ocorrências e fazer as determinações e comunicações necessárias à perfeita execução dos serviços;</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f)</w:t>
      </w:r>
      <w:r>
        <w:rPr>
          <w:rFonts w:ascii="Arial" w:hAnsi="Arial"/>
          <w:color w:val="000000"/>
        </w:rPr>
        <w:t xml:space="preserve"> proceder, conforme cronograma físico-financeiro, a medição referente as entregas dos produtos e a</w:t>
      </w:r>
      <w:r>
        <w:rPr>
          <w:rFonts w:ascii="Arial" w:hAnsi="Arial"/>
          <w:color w:val="000000"/>
        </w:rPr>
        <w:t xml:space="preserve">provar disposto em contrato;</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g)</w:t>
      </w:r>
      <w:r>
        <w:rPr>
          <w:rFonts w:ascii="Arial" w:hAnsi="Arial"/>
          <w:color w:val="000000"/>
        </w:rPr>
        <w:t xml:space="preserve"> adotar as medidas preventivas de controle dos contratos, inclusive manifestar-se a respeito da suspensão da entrega dos produtos;</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h)</w:t>
      </w:r>
      <w:r>
        <w:rPr>
          <w:rFonts w:ascii="Arial" w:hAnsi="Arial"/>
          <w:color w:val="000000"/>
        </w:rPr>
        <w:t xml:space="preserve"> conferir e certificar as faturas relativas às aquisições;</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i)</w:t>
      </w:r>
      <w:r>
        <w:rPr>
          <w:rFonts w:ascii="Arial" w:hAnsi="Arial"/>
          <w:color w:val="000000"/>
        </w:rPr>
        <w:t xml:space="preserve"> proceder a avaliação dos pr</w:t>
      </w:r>
      <w:r>
        <w:rPr>
          <w:rFonts w:ascii="Arial" w:hAnsi="Arial"/>
          <w:color w:val="000000"/>
        </w:rPr>
        <w:t xml:space="preserve">odutos entregues pela contratada;</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j)</w:t>
      </w:r>
      <w:r>
        <w:rPr>
          <w:rFonts w:ascii="Arial" w:hAnsi="Arial"/>
          <w:color w:val="000000"/>
        </w:rPr>
        <w:t xml:space="preserve"> determinar por todos os meios adequados a observância das normas técnicas e legais, especificações e métodos de execução exigíveis para a perfeita execução do objeto;</w:t>
      </w:r>
      <w:r>
        <w:rPr>
          <w:rFonts w:ascii="Arial" w:hAnsi="Arial"/>
          <w:color w:val="000000"/>
        </w:rPr>
      </w:r>
      <w:r>
        <w:rPr>
          <w:rFonts w:ascii="Arial" w:hAnsi="Arial"/>
          <w:color w:val="000000"/>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rPr>
      </w:pPr>
      <w:r>
        <w:rPr>
          <w:rFonts w:ascii="Arial" w:hAnsi="Arial"/>
          <w:b/>
          <w:color w:val="000000"/>
        </w:rPr>
        <w:t xml:space="preserve">k)</w:t>
      </w:r>
      <w:r>
        <w:rPr>
          <w:rFonts w:ascii="Arial" w:hAnsi="Arial"/>
          <w:color w:val="000000"/>
        </w:rPr>
        <w:t xml:space="preserve"> exigir o uso correto dos equipamentos de proteç</w:t>
      </w:r>
      <w:r>
        <w:rPr>
          <w:rFonts w:ascii="Arial" w:hAnsi="Arial"/>
          <w:color w:val="000000"/>
        </w:rPr>
        <w:t xml:space="preserve">ão individual e coletiva de segurança do trabalho;</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l)</w:t>
      </w:r>
      <w:r>
        <w:rPr>
          <w:rFonts w:ascii="Arial" w:hAnsi="Arial"/>
          <w:color w:val="000000"/>
        </w:rPr>
        <w:t xml:space="preserve"> determinar a retirada de qualquer empregado subordinado direta ou indiretamente à contratada, inclusive empregados de eventuais subcontratadas, ou as próprias subcontratadas, que, a seu critério, compr</w:t>
      </w:r>
      <w:r>
        <w:rPr>
          <w:rFonts w:ascii="Arial" w:hAnsi="Arial"/>
          <w:color w:val="000000"/>
        </w:rPr>
        <w:t xml:space="preserve">ometam o bom andamento dos serviços;</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m)</w:t>
      </w:r>
      <w:r>
        <w:rPr>
          <w:rFonts w:ascii="Arial" w:hAnsi="Arial"/>
          <w:color w:val="000000"/>
        </w:rPr>
        <w:t xml:space="preserve"> receber designação e manter contato com o preposto da contratada, e se for necessário, promover reuniões periódicas ou especiais para a resolução de problemas na entrega dos produtos;</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n)</w:t>
      </w:r>
      <w:r>
        <w:rPr>
          <w:rFonts w:ascii="Arial" w:hAnsi="Arial"/>
          <w:color w:val="000000"/>
        </w:rPr>
        <w:t xml:space="preserve"> dar parecer técnico nos ped</w:t>
      </w:r>
      <w:r>
        <w:rPr>
          <w:rFonts w:ascii="Arial" w:hAnsi="Arial"/>
          <w:color w:val="000000"/>
        </w:rPr>
        <w:t xml:space="preserve">idos de alterações contratuais;</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o)</w:t>
      </w:r>
      <w:r>
        <w:rPr>
          <w:rFonts w:ascii="Arial" w:hAnsi="Arial"/>
          <w:color w:val="000000"/>
        </w:rPr>
        <w:t xml:space="preserve"> verificar a correta aplicação dos produtos;</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p)</w:t>
      </w:r>
      <w:r>
        <w:rPr>
          <w:rFonts w:ascii="Arial" w:hAnsi="Arial"/>
          <w:color w:val="000000"/>
        </w:rPr>
        <w:t xml:space="preserve"> requerer das empresas testes, exames e ensaios quando necessários, no sentido de promoção de controle de qualidade da execução produtos; </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q)</w:t>
      </w:r>
      <w:r>
        <w:rPr>
          <w:rFonts w:ascii="Arial" w:hAnsi="Arial"/>
          <w:color w:val="000000"/>
        </w:rPr>
        <w:t xml:space="preserve"> realizar, na forma do art. 140 da Lei Federal n.° 14.133, de 2021, o recebimento do objeto contratado, quando for o caso;</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r)</w:t>
      </w:r>
      <w:r>
        <w:rPr>
          <w:rFonts w:ascii="Arial" w:hAnsi="Arial"/>
          <w:color w:val="000000"/>
        </w:rPr>
        <w:t xml:space="preserve"> propor à autoridade competente a abertura de procedimento administrativo para apuração de responsabilidade;</w:t>
      </w:r>
      <w:r>
        <w:rPr>
          <w:rFonts w:ascii="Arial" w:hAnsi="Arial"/>
          <w:color w:val="000000"/>
        </w:rPr>
      </w:r>
      <w:r>
        <w:rPr>
          <w:rFonts w:ascii="Arial" w:hAnsi="Arial"/>
          <w:color w:val="000000"/>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rPr>
      </w:pPr>
      <w:r>
        <w:rPr>
          <w:rFonts w:ascii="Arial" w:hAnsi="Arial"/>
          <w:b/>
          <w:color w:val="000000"/>
        </w:rPr>
        <w:t xml:space="preserve">7.4.8.</w:t>
      </w:r>
      <w:r>
        <w:rPr>
          <w:rFonts w:ascii="Arial" w:hAnsi="Arial"/>
          <w:color w:val="000000"/>
        </w:rPr>
        <w:t xml:space="preserve"> A execução do</w:t>
      </w:r>
      <w:r>
        <w:rPr>
          <w:rFonts w:ascii="Arial" w:hAnsi="Arial"/>
          <w:color w:val="000000"/>
        </w:rPr>
        <w:t xml:space="preserve"> contrato deverá ainda contar com a atuação do Gestor de Contrato, conforme previsão no art. 8o, §3° da Lei 14.133/2021 e dos artigos 10 e 198 do Decreto Municipal n. 11.685/2023, com as seguintes atribuições:</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a)</w:t>
      </w:r>
      <w:r>
        <w:rPr>
          <w:rFonts w:ascii="Arial" w:hAnsi="Arial"/>
          <w:color w:val="000000"/>
        </w:rPr>
        <w:t xml:space="preserve"> solicitação de aditivos ou apostilamento, </w:t>
      </w:r>
      <w:r>
        <w:rPr>
          <w:rFonts w:ascii="Arial" w:hAnsi="Arial"/>
          <w:color w:val="000000"/>
        </w:rPr>
        <w:t xml:space="preserve">validar os documentos elaborados e garantir que as contratações estejam previstas no plano de contratações anual e no planejamento orçamentário;</w:t>
      </w:r>
      <w:r>
        <w:rPr>
          <w:rFonts w:ascii="Arial" w:hAnsi="Arial"/>
          <w:color w:val="000000"/>
        </w:rPr>
      </w:r>
      <w:r>
        <w:rPr>
          <w:rFonts w:ascii="Arial" w:hAnsi="Arial"/>
          <w:color w:val="000000"/>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rPr>
      </w:pPr>
      <w:r>
        <w:rPr>
          <w:rFonts w:ascii="Arial" w:hAnsi="Arial"/>
          <w:b/>
          <w:color w:val="000000"/>
        </w:rPr>
        <w:t xml:space="preserve">b)</w:t>
      </w:r>
      <w:r>
        <w:rPr>
          <w:rFonts w:ascii="Arial" w:hAnsi="Arial"/>
          <w:color w:val="000000"/>
        </w:rPr>
        <w:t xml:space="preserve"> emitir, com a ciência dos fiscais de contrato, ordens de fornecimento ou ordens de execução de serviço, ord</w:t>
      </w:r>
      <w:r>
        <w:rPr>
          <w:rFonts w:ascii="Arial" w:hAnsi="Arial"/>
          <w:color w:val="000000"/>
        </w:rPr>
        <w:t xml:space="preserve">ens de paralisação e reinício, bem como decidir sobre pedidos de prorrogação da execução contratual;</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c)</w:t>
      </w:r>
      <w:r>
        <w:rPr>
          <w:rFonts w:ascii="Arial" w:hAnsi="Arial"/>
          <w:color w:val="000000"/>
        </w:rPr>
        <w:t xml:space="preserve"> indicar os fiscais de contrato e seus substitutos;</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d) </w:t>
      </w:r>
      <w:r>
        <w:rPr>
          <w:rFonts w:ascii="Arial" w:hAnsi="Arial"/>
          <w:color w:val="000000"/>
        </w:rPr>
        <w:t xml:space="preserve">dirimir dúvidas dos fiscais de contrato sobre a correta execução contratual e sua fiscalização;</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e)</w:t>
      </w:r>
      <w:r>
        <w:rPr>
          <w:rFonts w:ascii="Arial" w:hAnsi="Arial"/>
          <w:color w:val="000000"/>
        </w:rPr>
        <w:t xml:space="preserve"> quando necessário, convocar e coordenar reuniões, registradas em ata, com a participação da contratada e dos fiscais, a fim de serem alinhados os procedimentos de acompanhamento da execução contratual, da forma de apresentação dos documentos exigíveis </w:t>
      </w:r>
      <w:r>
        <w:rPr>
          <w:rFonts w:ascii="Arial" w:hAnsi="Arial"/>
          <w:color w:val="000000"/>
        </w:rPr>
        <w:t xml:space="preserve">para realização de pagamentos e conclusão da execução contratual;</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f)</w:t>
      </w:r>
      <w:r>
        <w:rPr>
          <w:rFonts w:ascii="Arial" w:hAnsi="Arial"/>
          <w:color w:val="000000"/>
        </w:rPr>
        <w:t xml:space="preserve"> acompanhar a execução do cronograma físico-financeiro e analisar os relatórios de fiscalização de contratos, especialmente os relacionados ao cumprimento do cronograma de entrega e receb</w:t>
      </w:r>
      <w:r>
        <w:rPr>
          <w:rFonts w:ascii="Arial" w:hAnsi="Arial"/>
          <w:color w:val="000000"/>
        </w:rPr>
        <w:t xml:space="preserve">imento de bens e serviços, bem como os relacionados à execução do cronograma físico-financeiro das obras e reformas, a fim de garantir a perfeita execução do contrato;</w:t>
      </w:r>
      <w:r>
        <w:rPr>
          <w:rFonts w:ascii="Arial" w:hAnsi="Arial"/>
          <w:color w:val="000000"/>
        </w:rPr>
      </w:r>
      <w:r>
        <w:rPr>
          <w:rFonts w:ascii="Arial" w:hAnsi="Arial"/>
          <w:color w:val="000000"/>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rPr>
      </w:pPr>
      <w:r>
        <w:rPr>
          <w:rFonts w:ascii="Arial" w:hAnsi="Arial"/>
          <w:b/>
          <w:color w:val="000000"/>
        </w:rPr>
        <w:t xml:space="preserve">g)</w:t>
      </w:r>
      <w:r>
        <w:rPr>
          <w:rFonts w:ascii="Arial" w:hAnsi="Arial"/>
          <w:color w:val="000000"/>
        </w:rPr>
        <w:t xml:space="preserve"> observar os prazos de vigência e execução dos contratos e tomar as medidas necessári</w:t>
      </w:r>
      <w:r>
        <w:rPr>
          <w:rFonts w:ascii="Arial" w:hAnsi="Arial"/>
          <w:color w:val="000000"/>
        </w:rPr>
        <w:t xml:space="preserve">as para que sejam executados conforme o contratado, de acordo com as necessidades da administração e planejamento orçamentário e financeiro;</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h)</w:t>
      </w:r>
      <w:r>
        <w:rPr>
          <w:rFonts w:ascii="Arial" w:hAnsi="Arial"/>
          <w:color w:val="000000"/>
        </w:rPr>
        <w:t xml:space="preserve"> decidir sobre a renovação, prorrogação ou alteração dos contratos, ou sobre a realização de novo procedimento l</w:t>
      </w:r>
      <w:r>
        <w:rPr>
          <w:rFonts w:ascii="Arial" w:hAnsi="Arial"/>
          <w:color w:val="000000"/>
        </w:rPr>
        <w:t xml:space="preserve">icitatório ou de contratação direta, bem como sobre a suspensão da entrega de bens ou da realização de serviços, de acordo com as necessidades da administração;</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i)</w:t>
      </w:r>
      <w:r>
        <w:rPr>
          <w:rFonts w:ascii="Arial" w:hAnsi="Arial"/>
          <w:color w:val="000000"/>
        </w:rPr>
        <w:t xml:space="preserve"> quando necessário, negociar com a contratada as condições contratuais;</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j)</w:t>
      </w:r>
      <w:r>
        <w:rPr>
          <w:rFonts w:ascii="Arial" w:hAnsi="Arial"/>
          <w:color w:val="000000"/>
        </w:rPr>
        <w:t xml:space="preserve"> encaminhar os pro</w:t>
      </w:r>
      <w:r>
        <w:rPr>
          <w:rFonts w:ascii="Arial" w:hAnsi="Arial"/>
          <w:color w:val="000000"/>
        </w:rPr>
        <w:t xml:space="preserve">cessos de pagamento, após o atesto da nota fiscal pelo fiscal do contrato;</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k)</w:t>
      </w:r>
      <w:r>
        <w:rPr>
          <w:rFonts w:ascii="Arial" w:hAnsi="Arial"/>
          <w:color w:val="000000"/>
        </w:rPr>
        <w:t xml:space="preserve"> tomar providências para apurar o descumprimento do contrato ou fraude na sua execução;</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l)</w:t>
      </w:r>
      <w:r>
        <w:rPr>
          <w:rFonts w:ascii="Arial" w:hAnsi="Arial"/>
          <w:color w:val="000000"/>
        </w:rPr>
        <w:t xml:space="preserve"> exigir dos fiscais a inclusão tempestiva das informações relativas à execução do contrato nos sistemas corporativos de controle, publicidade e transparência, inclusive no PNCP;</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m)</w:t>
      </w:r>
      <w:r>
        <w:rPr>
          <w:rFonts w:ascii="Arial" w:hAnsi="Arial"/>
          <w:color w:val="000000"/>
        </w:rPr>
        <w:t xml:space="preserve"> coordenar as atividades relacionadas à fiscalização técnica e administrati</w:t>
      </w:r>
      <w:r>
        <w:rPr>
          <w:rFonts w:ascii="Arial" w:hAnsi="Arial"/>
          <w:color w:val="000000"/>
        </w:rPr>
        <w:t xml:space="preserve">va do contrato;</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n)</w:t>
      </w:r>
      <w:r>
        <w:rPr>
          <w:rFonts w:ascii="Arial" w:hAnsi="Arial"/>
          <w:color w:val="000000"/>
        </w:rPr>
        <w:t xml:space="preserve"> emitir decisão sobre as solicitações e reclamações relacionadas à execução dos contratos;</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o)</w:t>
      </w:r>
      <w:r>
        <w:rPr>
          <w:rFonts w:ascii="Arial" w:hAnsi="Arial"/>
          <w:color w:val="000000"/>
        </w:rPr>
        <w:t xml:space="preserve"> acompanhar os registros realizados pelos fiscais do contrato ou dos terceiros contratados a respeito de todas as ocorrências relacionadas à ex</w:t>
      </w:r>
      <w:r>
        <w:rPr>
          <w:rFonts w:ascii="Arial" w:hAnsi="Arial"/>
          <w:color w:val="000000"/>
        </w:rPr>
        <w:t xml:space="preserve">ecução do contrato e as medidas adotadas, informando, se for o caso, à autoridade superior àquelas que ultrapassarem a sua competência;</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p)</w:t>
      </w:r>
      <w:r>
        <w:rPr>
          <w:rFonts w:ascii="Arial" w:hAnsi="Arial"/>
          <w:color w:val="000000"/>
        </w:rPr>
        <w:t xml:space="preserve"> constituir relatório final, de que trata a alínea “d” do inciso VI do § 3o do art. 174 da Lei Federal n° 14.133, de </w:t>
      </w:r>
      <w:r>
        <w:rPr>
          <w:rFonts w:ascii="Arial" w:hAnsi="Arial"/>
          <w:color w:val="000000"/>
        </w:rPr>
        <w:t xml:space="preserve">1º de abril de 2021, com as informações obtidas durante a execução do contrato, como forma de aprimoramento das atividades da Administração;</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q)</w:t>
      </w:r>
      <w:r>
        <w:rPr>
          <w:rFonts w:ascii="Arial" w:hAnsi="Arial"/>
          <w:color w:val="000000"/>
        </w:rPr>
        <w:t xml:space="preserve"> outras atividades compatíveis com a função, determinadas pela autoridade competente.</w:t>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color w:val="000000"/>
        </w:rPr>
      </w:r>
      <w:r>
        <w:rPr>
          <w:rFonts w:ascii="Arial" w:hAnsi="Arial"/>
          <w:color w:val="000000"/>
        </w:rPr>
      </w:r>
      <w:r>
        <w:rPr>
          <w:rFonts w:ascii="Arial" w:hAnsi="Arial"/>
          <w:color w:val="000000"/>
        </w:rPr>
      </w:r>
    </w:p>
    <w:p>
      <w:pPr>
        <w:pBdr/>
        <w:spacing/>
        <w:ind/>
        <w:jc w:val="both"/>
        <w:rPr>
          <w:rFonts w:ascii="Arial" w:hAnsi="Arial"/>
          <w:color w:val="000000"/>
        </w:rPr>
      </w:pPr>
      <w:r>
        <w:rPr>
          <w:rFonts w:ascii="Arial" w:hAnsi="Arial"/>
          <w:b/>
          <w:color w:val="000000"/>
        </w:rPr>
        <w:t xml:space="preserve">r)</w:t>
      </w:r>
      <w:r>
        <w:rPr>
          <w:rFonts w:ascii="Arial" w:hAnsi="Arial"/>
          <w:color w:val="000000"/>
        </w:rPr>
        <w:t xml:space="preserve"> as ausências e impedim</w:t>
      </w:r>
      <w:r>
        <w:rPr>
          <w:rFonts w:ascii="Arial" w:hAnsi="Arial"/>
          <w:color w:val="000000"/>
        </w:rPr>
        <w:t xml:space="preserve">entos dos fiscais titulares e substitutos, o gestor de contrato deverá designar fiscal provisório, preferencialmente entre servidores que preencham os requisitos técnicos profissionais aplicáveis.</w:t>
      </w:r>
      <w:r>
        <w:rPr>
          <w:rFonts w:ascii="Arial" w:hAnsi="Arial"/>
          <w:color w:val="000000"/>
        </w:rPr>
      </w:r>
      <w:r>
        <w:rPr>
          <w:rFonts w:ascii="Arial" w:hAnsi="Arial"/>
          <w:color w:val="000000"/>
        </w:rPr>
      </w:r>
    </w:p>
    <w:p>
      <w:pPr>
        <w:pBdr/>
        <w:spacing/>
        <w:ind/>
        <w:jc w:val="both"/>
        <w:rPr>
          <w:rFonts w:ascii="Arial" w:hAnsi="Arial"/>
          <w:b/>
          <w:color w:val="000000"/>
        </w:rPr>
      </w:pPr>
      <w:r>
        <w:rPr>
          <w:rFonts w:ascii="Arial" w:hAnsi="Arial"/>
          <w:b/>
          <w:color w:val="000000"/>
        </w:rPr>
      </w:r>
      <w:r>
        <w:rPr>
          <w:rFonts w:ascii="Arial" w:hAnsi="Arial"/>
          <w:b/>
          <w:color w:val="000000"/>
        </w:rPr>
      </w:r>
      <w:r>
        <w:rPr>
          <w:rFonts w:ascii="Arial" w:hAnsi="Arial"/>
          <w:b/>
          <w:color w:val="000000"/>
        </w:rPr>
      </w:r>
    </w:p>
    <w:p>
      <w:pPr>
        <w:pBdr/>
        <w:spacing/>
        <w:ind/>
        <w:jc w:val="both"/>
        <w:rPr>
          <w:rFonts w:ascii="Arial" w:hAnsi="Arial"/>
          <w:color w:val="000000"/>
        </w:rPr>
      </w:pPr>
      <w:r>
        <w:rPr>
          <w:rFonts w:ascii="Arial" w:hAnsi="Arial"/>
          <w:b/>
          <w:color w:val="000000"/>
        </w:rPr>
        <w:t xml:space="preserve">s)</w:t>
      </w:r>
      <w:r>
        <w:rPr>
          <w:rFonts w:ascii="Arial" w:hAnsi="Arial"/>
          <w:color w:val="000000"/>
        </w:rPr>
        <w:t xml:space="preserve"> Na forma do disposto no artigo 107 da Lei Federal n.º 1</w:t>
      </w:r>
      <w:r>
        <w:rPr>
          <w:rFonts w:ascii="Arial" w:hAnsi="Arial"/>
          <w:color w:val="000000"/>
        </w:rPr>
        <w:t xml:space="preserve">4.133, de 2021, o gestor do contrato poderá negociar condições mais vantajosas com a contratada no procedimento que antecede a prorrogação ou a extinção dos contratos de serviços e fornecimentos contínuos.</w:t>
      </w:r>
      <w:r>
        <w:rPr>
          <w:rFonts w:ascii="Arial" w:hAnsi="Arial"/>
          <w:color w:val="000000"/>
        </w:rPr>
      </w:r>
      <w:r>
        <w:rPr>
          <w:rFonts w:ascii="Arial" w:hAnsi="Arial"/>
          <w:color w:val="000000"/>
        </w:rPr>
      </w:r>
    </w:p>
    <w:p>
      <w:pPr>
        <w:pBdr/>
        <w:spacing/>
        <w:ind w:right="-5"/>
        <w:jc w:val="both"/>
        <w:rPr>
          <w:rStyle w:val="989"/>
          <w:rFonts w:ascii="Arial" w:hAnsi="Arial" w:eastAsia="Calibri"/>
          <w:b/>
        </w:rPr>
      </w:pPr>
      <w:r>
        <w:rPr>
          <w:rFonts w:ascii="Arial" w:hAnsi="Arial" w:eastAsia="Calibri"/>
          <w:b/>
        </w:rPr>
      </w:r>
      <w:r>
        <w:rPr>
          <w:rStyle w:val="989"/>
          <w:rFonts w:ascii="Arial" w:hAnsi="Arial" w:eastAsia="Calibri"/>
          <w:b/>
        </w:rPr>
      </w:r>
      <w:r>
        <w:rPr>
          <w:rStyle w:val="989"/>
          <w:rFonts w:ascii="Arial" w:hAnsi="Arial" w:eastAsia="Calibri"/>
          <w:b/>
        </w:rPr>
      </w:r>
    </w:p>
    <w:p>
      <w:pPr>
        <w:pBdr/>
        <w:spacing/>
        <w:ind w:right="-5"/>
        <w:jc w:val="both"/>
        <w:rPr/>
      </w:pPr>
      <w:r>
        <w:rPr>
          <w:rStyle w:val="989"/>
          <w:rFonts w:ascii="Arial" w:hAnsi="Arial" w:eastAsia="Calibri"/>
          <w:b/>
        </w:rPr>
        <w:t xml:space="preserve">CLÁUSULA OITAVA – DAS OBRIGAÇÕES DA CONTRATANTE:</w:t>
      </w:r>
      <w:r/>
    </w:p>
    <w:p>
      <w:pPr>
        <w:pBdr/>
        <w:spacing/>
        <w:ind w:right="-5"/>
        <w:jc w:val="both"/>
        <w:rPr/>
      </w:pPr>
      <w:r/>
      <w:r/>
    </w:p>
    <w:p>
      <w:pPr>
        <w:pBdr/>
        <w:spacing/>
        <w:ind w:right="-5"/>
        <w:jc w:val="both"/>
        <w:rPr/>
      </w:pPr>
      <w:r>
        <w:rPr>
          <w:rStyle w:val="989"/>
          <w:rFonts w:ascii="Arial" w:hAnsi="Arial" w:eastAsia="Calibri"/>
          <w:b/>
        </w:rPr>
        <w:t xml:space="preserve">8.1.</w:t>
      </w:r>
      <w:r>
        <w:rPr>
          <w:rStyle w:val="989"/>
          <w:rFonts w:ascii="Arial" w:hAnsi="Arial" w:eastAsia="Calibri"/>
        </w:rPr>
        <w:t xml:space="preserve"> Constituem obrigações da </w:t>
      </w:r>
      <w:r>
        <w:rPr>
          <w:rStyle w:val="989"/>
          <w:rFonts w:ascii="Arial" w:hAnsi="Arial" w:eastAsia="Calibri"/>
          <w:b/>
        </w:rPr>
        <w:t xml:space="preserve">CONTRATANTE</w:t>
      </w:r>
      <w:r>
        <w:rPr>
          <w:rStyle w:val="989"/>
          <w:rFonts w:ascii="Arial" w:hAnsi="Arial" w:eastAsia="Calibri"/>
        </w:rPr>
        <w:t xml:space="preserve">: </w:t>
      </w:r>
      <w:r/>
    </w:p>
    <w:p>
      <w:pPr>
        <w:pBdr/>
        <w:spacing/>
        <w:ind w:right="-5"/>
        <w:jc w:val="both"/>
        <w:rPr/>
      </w:pPr>
      <w:r/>
      <w:r/>
    </w:p>
    <w:p>
      <w:pPr>
        <w:pBdr/>
        <w:spacing/>
        <w:ind w:right="-5"/>
        <w:jc w:val="both"/>
        <w:rPr/>
      </w:pPr>
      <w:r>
        <w:rPr>
          <w:rStyle w:val="989"/>
          <w:rFonts w:ascii="Arial" w:hAnsi="Arial" w:eastAsia="Calibri"/>
          <w:b/>
        </w:rPr>
        <w:t xml:space="preserve">8.2.</w:t>
      </w:r>
      <w:r>
        <w:rPr>
          <w:rStyle w:val="989"/>
          <w:rFonts w:ascii="Arial" w:hAnsi="Arial" w:eastAsia="Calibri"/>
        </w:rPr>
        <w:t xml:space="preserve"> Cumprir todos os compromissos financeiros assumidos com a contratada, efetuando os pagamentos de acordo com a Cláusula Décima deste Contrato.</w:t>
      </w:r>
      <w:r/>
    </w:p>
    <w:p>
      <w:pPr>
        <w:pBdr/>
        <w:spacing/>
        <w:ind w:right="-5"/>
        <w:jc w:val="both"/>
        <w:rPr/>
      </w:pPr>
      <w:r/>
      <w:r/>
    </w:p>
    <w:p>
      <w:pPr>
        <w:pBdr/>
        <w:spacing/>
        <w:ind w:right="-5"/>
        <w:jc w:val="both"/>
        <w:rPr/>
      </w:pPr>
      <w:r>
        <w:rPr>
          <w:rStyle w:val="989"/>
          <w:rFonts w:ascii="Arial" w:hAnsi="Arial" w:eastAsia="Calibri"/>
          <w:b/>
        </w:rPr>
        <w:t xml:space="preserve">8.3.</w:t>
      </w:r>
      <w:r>
        <w:rPr>
          <w:rStyle w:val="989"/>
          <w:rFonts w:ascii="Arial" w:hAnsi="Arial" w:eastAsia="Calibri"/>
        </w:rPr>
        <w:t xml:space="preserve"> Fornecer e colocar à disposição da </w:t>
      </w:r>
      <w:r>
        <w:rPr>
          <w:rStyle w:val="989"/>
          <w:rFonts w:ascii="Arial" w:hAnsi="Arial" w:eastAsia="Calibri"/>
          <w:b/>
        </w:rPr>
        <w:t xml:space="preserve">CONTRATADA</w:t>
      </w:r>
      <w:r>
        <w:rPr>
          <w:rStyle w:val="989"/>
          <w:rFonts w:ascii="Arial" w:hAnsi="Arial" w:eastAsia="Calibri"/>
        </w:rPr>
        <w:t xml:space="preserve"> todos os el</w:t>
      </w:r>
      <w:r>
        <w:rPr>
          <w:rStyle w:val="989"/>
          <w:rFonts w:ascii="Arial" w:hAnsi="Arial" w:eastAsia="Calibri"/>
        </w:rPr>
        <w:t xml:space="preserve">ementos e informações que se fizerem necessários ao efetivo cumprimento do objeto contratado. </w:t>
      </w:r>
      <w:r/>
    </w:p>
    <w:p>
      <w:pPr>
        <w:pBdr/>
        <w:spacing/>
        <w:ind w:right="-5"/>
        <w:jc w:val="both"/>
        <w:rPr/>
      </w:pPr>
      <w:r/>
      <w:r/>
    </w:p>
    <w:p>
      <w:pPr>
        <w:pBdr/>
        <w:spacing/>
        <w:ind w:right="-5"/>
        <w:jc w:val="both"/>
        <w:rPr/>
      </w:pPr>
      <w:r>
        <w:rPr>
          <w:rStyle w:val="989"/>
          <w:rFonts w:ascii="Arial" w:hAnsi="Arial" w:eastAsia="Calibri"/>
          <w:b/>
        </w:rPr>
        <w:t xml:space="preserve">8.4.</w:t>
      </w:r>
      <w:r>
        <w:rPr>
          <w:rStyle w:val="989"/>
          <w:rFonts w:ascii="Arial" w:hAnsi="Arial" w:eastAsia="Calibri"/>
        </w:rPr>
        <w:t xml:space="preserve"> Notificar, formal e tempestivamente, a contratada sobre as irregularidades observadas no cumprimento do objeto.</w:t>
      </w:r>
      <w:r/>
    </w:p>
    <w:p>
      <w:pPr>
        <w:pBdr/>
        <w:spacing/>
        <w:ind w:right="-5"/>
        <w:jc w:val="both"/>
        <w:rPr/>
      </w:pPr>
      <w:r/>
      <w:r/>
    </w:p>
    <w:p>
      <w:pPr>
        <w:pBdr/>
        <w:spacing/>
        <w:ind w:right="-5"/>
        <w:jc w:val="both"/>
        <w:rPr/>
      </w:pPr>
      <w:r>
        <w:rPr>
          <w:rStyle w:val="989"/>
          <w:rFonts w:ascii="Arial" w:hAnsi="Arial" w:eastAsia="Calibri"/>
          <w:b/>
        </w:rPr>
        <w:t xml:space="preserve">8.5.</w:t>
      </w:r>
      <w:r>
        <w:rPr>
          <w:rStyle w:val="989"/>
          <w:rFonts w:ascii="Arial" w:hAnsi="Arial" w:eastAsia="Calibri"/>
        </w:rPr>
        <w:t xml:space="preserve"> Notificar a contratada, por escrito e com antecedência, sobre multas, penalidades e quaisquer débitos de sua responsabilidade. </w:t>
      </w:r>
      <w:r/>
    </w:p>
    <w:p>
      <w:pPr>
        <w:pBdr/>
        <w:spacing/>
        <w:ind w:right="-5"/>
        <w:jc w:val="both"/>
        <w:rPr/>
      </w:pPr>
      <w:r/>
      <w:r/>
    </w:p>
    <w:p>
      <w:pPr>
        <w:pBdr/>
        <w:spacing/>
        <w:ind w:right="-5"/>
        <w:jc w:val="both"/>
        <w:rPr/>
      </w:pPr>
      <w:r>
        <w:rPr>
          <w:rStyle w:val="989"/>
          <w:rFonts w:ascii="Arial" w:hAnsi="Arial" w:eastAsia="Calibri"/>
          <w:b/>
        </w:rPr>
        <w:t xml:space="preserve">8.6.</w:t>
      </w:r>
      <w:r>
        <w:rPr>
          <w:rStyle w:val="989"/>
          <w:rFonts w:ascii="Arial" w:hAnsi="Arial" w:eastAsia="Calibri"/>
        </w:rPr>
        <w:t xml:space="preserve"> Acompanhar a entrega dos itens licitados pela contratada, podendo intervir durante a sua entrega, para fins de ajustes ou</w:t>
      </w:r>
      <w:r>
        <w:rPr>
          <w:rStyle w:val="989"/>
          <w:rFonts w:ascii="Arial" w:hAnsi="Arial" w:eastAsia="Calibri"/>
        </w:rPr>
        <w:t xml:space="preserve"> suspensão do fornecimento. </w:t>
      </w:r>
      <w:r/>
    </w:p>
    <w:p>
      <w:pPr>
        <w:pBdr/>
        <w:spacing/>
        <w:ind/>
        <w:jc w:val="both"/>
        <w:rPr/>
      </w:pPr>
      <w:r/>
      <w:r/>
    </w:p>
    <w:p>
      <w:pPr>
        <w:pBdr/>
        <w:spacing/>
        <w:ind/>
        <w:jc w:val="both"/>
        <w:rPr/>
      </w:pPr>
      <w:r>
        <w:rPr>
          <w:rFonts w:ascii="Arial" w:hAnsi="Arial"/>
          <w:b/>
        </w:rPr>
        <w:t xml:space="preserve">8.7.</w:t>
      </w:r>
      <w:r>
        <w:rPr>
          <w:rFonts w:ascii="Arial" w:hAnsi="Arial"/>
        </w:rPr>
        <w:t xml:space="preserve"> Fiscalizar a execução do objeto contratual através de sua unidade competente que designará um representante para esse fim fiscal do contrato, podendo, em decorrência, solicitar providências da contratada, que atenderá ou </w:t>
      </w:r>
      <w:r>
        <w:rPr>
          <w:rFonts w:ascii="Arial" w:hAnsi="Arial"/>
        </w:rPr>
        <w:t xml:space="preserve">justificará de imediato, e de tudo dará ciência à Administração, conforme art. 117 da Lei nº 14.133/2021. </w:t>
      </w:r>
      <w:r/>
    </w:p>
    <w:p>
      <w:pPr>
        <w:pBdr/>
        <w:tabs>
          <w:tab w:val="left" w:leader="none" w:pos="1800"/>
        </w:tabs>
        <w:spacing/>
        <w:ind/>
        <w:jc w:val="both"/>
        <w:rPr/>
      </w:pPr>
      <w:r/>
      <w:r/>
    </w:p>
    <w:p>
      <w:pPr>
        <w:pBdr/>
        <w:spacing/>
        <w:ind/>
        <w:jc w:val="both"/>
        <w:rPr/>
      </w:pPr>
      <w:r>
        <w:rPr>
          <w:rFonts w:ascii="Arial" w:hAnsi="Arial"/>
          <w:b/>
        </w:rPr>
        <w:t xml:space="preserve">8.7.1. </w:t>
      </w:r>
      <w:r>
        <w:rPr>
          <w:rFonts w:ascii="Arial" w:hAnsi="Arial"/>
        </w:rPr>
        <w:t xml:space="preserve">O gestor do contrato (secretário da pasta solicitante) deverá nomear, via Portaria Interna e publicar no DIORONDON, o servidor responsável pe</w:t>
      </w:r>
      <w:r>
        <w:rPr>
          <w:rFonts w:ascii="Arial" w:hAnsi="Arial"/>
        </w:rPr>
        <w:t xml:space="preserve">lo acompanhamento e fiscalização da execução do objeto contrato, bem como, o pagamento da nota fiscal referente à entrega do produto realizado pelo contratado será condicionado à apresentação do relatório do Fiscal do contrato. (conf. Recomendação Técnica </w:t>
      </w:r>
      <w:r>
        <w:rPr>
          <w:rFonts w:ascii="Arial" w:hAnsi="Arial"/>
        </w:rPr>
        <w:t xml:space="preserve">nº21/2014)</w:t>
      </w:r>
      <w:r/>
    </w:p>
    <w:p>
      <w:pPr>
        <w:pBdr/>
        <w:spacing/>
        <w:ind/>
        <w:jc w:val="both"/>
        <w:rPr>
          <w:rFonts w:ascii="Arial" w:hAnsi="Arial" w:eastAsia="Arial"/>
          <w:b/>
        </w:rPr>
      </w:pPr>
      <w:r>
        <w:rPr>
          <w:rFonts w:ascii="Arial" w:hAnsi="Arial" w:eastAsia="Arial"/>
          <w:b/>
        </w:rPr>
      </w:r>
      <w:r>
        <w:rPr>
          <w:rFonts w:ascii="Arial" w:hAnsi="Arial" w:eastAsia="Arial"/>
          <w:b/>
        </w:rPr>
      </w:r>
      <w:r>
        <w:rPr>
          <w:rFonts w:ascii="Arial" w:hAnsi="Arial" w:eastAsia="Arial"/>
          <w:b/>
        </w:rPr>
      </w:r>
    </w:p>
    <w:p>
      <w:pPr>
        <w:pBdr/>
        <w:spacing/>
        <w:ind/>
        <w:jc w:val="both"/>
        <w:rPr/>
      </w:pPr>
      <w:r>
        <w:rPr>
          <w:rFonts w:ascii="Arial" w:hAnsi="Arial"/>
          <w:b/>
        </w:rPr>
        <w:t xml:space="preserve">8.8.</w:t>
      </w:r>
      <w:r>
        <w:rPr>
          <w:rFonts w:ascii="Arial" w:hAnsi="Arial"/>
        </w:rPr>
        <w:t xml:space="preserve"> A fiscalização de que trata o subitem acima não exclui nem reduz a responsabilidade da contratada pelos danos causados diretamente à contratante ou a terceiros, decorrentes de sua culpa ou dolo na execução da contratação.</w:t>
      </w:r>
      <w:r/>
    </w:p>
    <w:p>
      <w:pPr>
        <w:pBdr/>
        <w:spacing/>
        <w:ind w:right="-5"/>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bCs/>
        </w:rPr>
        <w:t xml:space="preserve">8.9.</w:t>
      </w:r>
      <w:r>
        <w:rPr>
          <w:rFonts w:ascii="Arial" w:hAnsi="Arial"/>
          <w:bCs/>
        </w:rPr>
        <w:t xml:space="preserve">  </w:t>
      </w:r>
      <w:r>
        <w:rPr>
          <w:rFonts w:ascii="Arial" w:hAnsi="Arial"/>
        </w:rPr>
        <w:t xml:space="preserve">Aplicar as</w:t>
      </w:r>
      <w:r>
        <w:rPr>
          <w:rFonts w:ascii="Arial" w:hAnsi="Arial"/>
        </w:rPr>
        <w:t xml:space="preserve"> sanções administrativas contratuais pertinentes, em caso de inadimplemento; </w:t>
      </w:r>
      <w:r/>
    </w:p>
    <w:p>
      <w:pPr>
        <w:pBdr/>
        <w:spacing/>
        <w:ind/>
        <w:jc w:val="both"/>
        <w:rPr>
          <w:rFonts w:ascii="Arial" w:hAnsi="Arial"/>
        </w:rPr>
      </w:pPr>
      <w:r>
        <w:rPr>
          <w:rFonts w:ascii="Arial" w:hAnsi="Arial"/>
        </w:rPr>
      </w:r>
      <w:r>
        <w:rPr>
          <w:rFonts w:ascii="Arial" w:hAnsi="Arial"/>
        </w:rPr>
      </w:r>
      <w:r>
        <w:rPr>
          <w:rFonts w:ascii="Arial" w:hAnsi="Arial"/>
        </w:rPr>
      </w:r>
    </w:p>
    <w:p>
      <w:pPr>
        <w:pBdr/>
        <w:spacing/>
        <w:ind w:right="-5"/>
        <w:jc w:val="both"/>
        <w:rPr/>
      </w:pPr>
      <w:r>
        <w:rPr>
          <w:rFonts w:ascii="Arial" w:hAnsi="Arial"/>
          <w:b/>
        </w:rPr>
        <w:t xml:space="preserve">8.10. </w:t>
      </w:r>
      <w:r>
        <w:rPr>
          <w:rFonts w:ascii="Arial" w:hAnsi="Arial"/>
        </w:rPr>
        <w:t xml:space="preserve"> Rejeitar, no todo ou em parte, os materiais/serviços entregues em desacordo com o contrato; </w:t>
      </w:r>
      <w:r/>
    </w:p>
    <w:p>
      <w:pPr>
        <w:pBdr/>
        <w:spacing/>
        <w:ind w:right="-5"/>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Style w:val="989"/>
          <w:rFonts w:ascii="Arial" w:hAnsi="Arial" w:eastAsia="Calibri"/>
          <w:b/>
        </w:rPr>
        <w:t xml:space="preserve">CLÁUSULA NONA – DA DOTAÇÃO ORÇAMENTÁRIA: </w:t>
      </w:r>
      <w:r/>
    </w:p>
    <w:p>
      <w:pPr>
        <w:pBdr/>
        <w:spacing/>
        <w:ind/>
        <w:jc w:val="both"/>
        <w:rPr/>
      </w:pPr>
      <w:r/>
      <w:r/>
    </w:p>
    <w:p>
      <w:pPr>
        <w:pBdr/>
        <w:spacing/>
        <w:ind/>
        <w:rPr>
          <w:rFonts w:ascii="Arial" w:hAnsi="Arial"/>
        </w:rPr>
      </w:pPr>
      <w:r>
        <w:rPr>
          <w:rFonts w:ascii="Arial" w:hAnsi="Arial"/>
          <w:b/>
        </w:rPr>
        <w:t xml:space="preserve">9.1.</w:t>
      </w:r>
      <w:r>
        <w:rPr>
          <w:rFonts w:ascii="Arial" w:hAnsi="Arial"/>
        </w:rPr>
        <w:t xml:space="preserve"> As despesas decorrentes da p</w:t>
      </w:r>
      <w:r>
        <w:rPr>
          <w:rFonts w:ascii="Arial" w:hAnsi="Arial"/>
        </w:rPr>
        <w:t xml:space="preserve">resente contratação correrão à conta de recursos específicos consignados no Orçamento deste exercício:</w:t>
      </w:r>
      <w:r>
        <w:rPr>
          <w:rFonts w:ascii="Arial" w:hAnsi="Arial"/>
        </w:rPr>
      </w:r>
      <w:r>
        <w:rPr>
          <w:rFonts w:ascii="Arial" w:hAnsi="Arial"/>
        </w:rPr>
      </w:r>
    </w:p>
    <w:tbl>
      <w:tblPr>
        <w:tblInd w:w="846" w:type="dxa"/>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23"/>
        <w:gridCol w:w="7224"/>
      </w:tblGrid>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0B4F9DB8">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Órgão: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24" w:type="dxa"/>
            <w:textDirection w:val="lrTb"/>
            <w:noWrap w:val="false"/>
          </w:tcPr>
          <w:p w14:paraId="57EE4997">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02 – PREFEITURA MUNICIPAL DE RONDONÓPOLIS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05ACEFBA">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Unidade: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24" w:type="dxa"/>
            <w:textDirection w:val="lrTb"/>
            <w:noWrap w:val="false"/>
          </w:tcPr>
          <w:p w14:paraId="4B2C6129">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014 – FUNDO MUNICIPAL DE SAÚDE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069AA3CA">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Função Programática: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24" w:type="dxa"/>
            <w:textDirection w:val="lrTb"/>
            <w:noWrap w:val="false"/>
          </w:tcPr>
          <w:p w14:paraId="0A586F74">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10.301.2202.2180 - MANUTENÇÃO E CONSERVAÇÃO DA ATENÇÃO PRIMÁRIA À SAÚDE - APS E PROGRAMAS ESPECIAIS.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6909A6BA">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Elemento da Despesa: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24" w:type="dxa"/>
            <w:textDirection w:val="lrTb"/>
            <w:noWrap w:val="false"/>
          </w:tcPr>
          <w:p w14:paraId="38A93E32">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3.3.90.30.00.00 – MATERIAL DE CONSUMO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0EE80ED1">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Reduzido: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24" w:type="dxa"/>
            <w:textDirection w:val="lrTb"/>
            <w:noWrap w:val="false"/>
          </w:tcPr>
          <w:p w14:paraId="3F9DEC10">
            <w:pPr>
              <w:pBdr/>
              <w:spacing/>
              <w:ind/>
              <w:jc w:val="both"/>
              <w:rPr>
                <w:rFonts w:ascii="Times New Roman" w:hAnsi="Times New Roman" w:eastAsia="Times New Roman" w:cs="Times New Roman"/>
                <w:b/>
                <w:color w:val="000000"/>
                <w:sz w:val="13"/>
                <w:szCs w:val="13"/>
                <w:lang w:val="pt-BR" w:eastAsia="pt-BR"/>
              </w:rPr>
            </w:pPr>
            <w:r>
              <w:rPr>
                <w:rFonts w:ascii="Times New Roman" w:hAnsi="Times New Roman" w:eastAsia="Times New Roman" w:cs="Times New Roman"/>
                <w:b/>
                <w:color w:val="000000"/>
                <w:sz w:val="13"/>
                <w:szCs w:val="13"/>
                <w:lang w:val="pt-BR" w:eastAsia="pt-BR"/>
              </w:rPr>
              <w:t xml:space="preserve">674</w:t>
            </w:r>
            <w:r>
              <w:rPr>
                <w:rFonts w:ascii="Times New Roman" w:hAnsi="Times New Roman" w:eastAsia="Times New Roman" w:cs="Times New Roman"/>
                <w:b/>
                <w:color w:val="000000"/>
                <w:sz w:val="13"/>
                <w:szCs w:val="13"/>
                <w:lang w:val="pt-BR" w:eastAsia="pt-BR"/>
              </w:rPr>
            </w:r>
            <w:r>
              <w:rPr>
                <w:rFonts w:ascii="Times New Roman" w:hAnsi="Times New Roman" w:eastAsia="Times New Roman" w:cs="Times New Roman"/>
                <w:b/>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356A8A74">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Fonte de Recursos: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24" w:type="dxa"/>
            <w:textDirection w:val="lrTb"/>
            <w:noWrap w:val="false"/>
          </w:tcPr>
          <w:p w14:paraId="6E490E0C">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1.600.0000600</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bl>
    <w:p w14:paraId="4B9B91F1">
      <w:pPr>
        <w:pBdr/>
        <w:spacing/>
        <w:ind/>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bl>
      <w:tblPr>
        <w:tblInd w:w="846" w:type="dxa"/>
        <w:tblW w:w="86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23"/>
        <w:gridCol w:w="7258"/>
      </w:tblGrid>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0415224C">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Órgão: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3D8CF377">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02 – PREFEITURA MUNICIPAL DE RONDONÓPOLIS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148"/>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3C74F17C">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Unidade: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1A7D6662">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014 – FUNDO MUNICIPAL DE SAÚDE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5C091FB4">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Função </w:t>
            </w:r>
            <w:r>
              <w:rPr>
                <w:rFonts w:ascii="Times New Roman" w:hAnsi="Times New Roman" w:eastAsia="Times New Roman" w:cs="Times New Roman"/>
                <w:color w:val="000000"/>
                <w:sz w:val="13"/>
                <w:szCs w:val="13"/>
                <w:lang w:val="pt-BR" w:eastAsia="pt-BR"/>
              </w:rPr>
              <w:t xml:space="preserve">P</w:t>
            </w:r>
            <w:r>
              <w:rPr>
                <w:rFonts w:ascii="Times New Roman" w:hAnsi="Times New Roman" w:eastAsia="Times New Roman" w:cs="Times New Roman"/>
                <w:color w:val="000000"/>
                <w:sz w:val="13"/>
                <w:szCs w:val="13"/>
                <w:lang w:val="pt-BR" w:eastAsia="pt-BR"/>
              </w:rPr>
              <w:t xml:space="preserve">rogramática: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2B05BA4C">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10.302.2203.2200 - MANUTENÇÃO E AMPLIAÇÃO DOS SERVIÇOS PSICOSSOCIAL - CAPS AD, CAPS ADIII, CAPS I E CAPS TRANSTORNO.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1C883630">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Elemento da Despesa: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5787127E">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3.3.90.30.00.00 – MATERIAL DE CONSUMO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60B0BDD8">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Reduzido: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0693F51F">
            <w:pPr>
              <w:pBdr/>
              <w:spacing/>
              <w:ind/>
              <w:jc w:val="both"/>
              <w:rPr>
                <w:rFonts w:ascii="Times New Roman" w:hAnsi="Times New Roman" w:eastAsia="Times New Roman" w:cs="Times New Roman"/>
                <w:b/>
                <w:color w:val="000000"/>
                <w:sz w:val="13"/>
                <w:szCs w:val="13"/>
                <w:lang w:val="pt-BR" w:eastAsia="pt-BR"/>
              </w:rPr>
            </w:pPr>
            <w:r>
              <w:rPr>
                <w:rFonts w:ascii="Times New Roman" w:hAnsi="Times New Roman" w:eastAsia="Times New Roman" w:cs="Times New Roman"/>
                <w:b/>
                <w:color w:val="000000"/>
                <w:sz w:val="13"/>
                <w:szCs w:val="13"/>
                <w:lang w:val="pt-BR" w:eastAsia="pt-BR"/>
              </w:rPr>
              <w:t xml:space="preserve">581</w:t>
            </w:r>
            <w:r>
              <w:rPr>
                <w:rFonts w:ascii="Times New Roman" w:hAnsi="Times New Roman" w:eastAsia="Times New Roman" w:cs="Times New Roman"/>
                <w:b/>
                <w:color w:val="000000"/>
                <w:sz w:val="13"/>
                <w:szCs w:val="13"/>
                <w:lang w:val="pt-BR" w:eastAsia="pt-BR"/>
              </w:rPr>
            </w:r>
            <w:r>
              <w:rPr>
                <w:rFonts w:ascii="Times New Roman" w:hAnsi="Times New Roman" w:eastAsia="Times New Roman" w:cs="Times New Roman"/>
                <w:b/>
                <w:color w:val="000000"/>
                <w:sz w:val="13"/>
                <w:szCs w:val="13"/>
                <w:lang w:val="pt-BR" w:eastAsia="pt-BR"/>
              </w:rPr>
            </w:r>
          </w:p>
        </w:tc>
      </w:tr>
      <w:tr>
        <w:trPr>
          <w:trHeight w:val="98"/>
        </w:trPr>
        <w:tc>
          <w:tcPr>
            <w:tcBorders>
              <w:top w:val="single" w:color="000000" w:sz="4" w:space="0"/>
              <w:left w:val="single" w:color="000000" w:sz="4" w:space="0"/>
              <w:bottom w:val="single" w:color="000000" w:sz="4" w:space="0"/>
              <w:right w:val="single" w:color="000000" w:sz="4" w:space="0"/>
            </w:tcBorders>
            <w:tcW w:w="1423" w:type="dxa"/>
            <w:textDirection w:val="lrTb"/>
            <w:noWrap w:val="false"/>
          </w:tcPr>
          <w:p w14:paraId="7FFB37D5">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Fonte de Recursos: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1D095085">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1.500.1002000</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bl>
    <w:p w14:paraId="000FC77A">
      <w:pPr>
        <w:pBdr/>
        <w:spacing/>
        <w:ind/>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bl>
      <w:tblPr>
        <w:tblInd w:w="846" w:type="dxa"/>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9"/>
        <w:gridCol w:w="7258"/>
      </w:tblGrid>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68F731A8">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Órgão: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1D767456">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02 – PREFEITURA MUNICIPAL DE RONDONÓPOLIS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6BCB4CA0">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Unidade: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248C5033">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014 – FUNDO MUNICIPAL DE SAÚDE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751FDA36">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Função Programática: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7EA0AE7D">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10.302.2203.2200 - MANUTENÇÃO E AMPLIAÇÃO DOS SERVIÇOS PSICOSSOCIAL - CAPS AD, CAPS ADIII, CAPS I E CAPS TRANSTORNO.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72"/>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3A08D102">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Elemento da Despesa: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5268C141">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3.3.90.30.00.00 – MATERIAL DE CONSUMO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2208AFDA">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Reduzido: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1A247289">
            <w:pPr>
              <w:pBdr/>
              <w:spacing/>
              <w:ind/>
              <w:jc w:val="both"/>
              <w:rPr>
                <w:rFonts w:ascii="Times New Roman" w:hAnsi="Times New Roman" w:eastAsia="Times New Roman" w:cs="Times New Roman"/>
                <w:b/>
                <w:color w:val="000000"/>
                <w:sz w:val="13"/>
                <w:szCs w:val="13"/>
                <w:lang w:val="pt-BR" w:eastAsia="pt-BR"/>
              </w:rPr>
            </w:pPr>
            <w:r>
              <w:rPr>
                <w:rFonts w:ascii="Times New Roman" w:hAnsi="Times New Roman" w:eastAsia="Times New Roman" w:cs="Times New Roman"/>
                <w:b/>
                <w:color w:val="000000"/>
                <w:sz w:val="13"/>
                <w:szCs w:val="13"/>
                <w:lang w:val="pt-BR" w:eastAsia="pt-BR"/>
              </w:rPr>
              <w:t xml:space="preserve">582</w:t>
            </w:r>
            <w:r>
              <w:rPr>
                <w:rFonts w:ascii="Times New Roman" w:hAnsi="Times New Roman" w:eastAsia="Times New Roman" w:cs="Times New Roman"/>
                <w:b/>
                <w:color w:val="000000"/>
                <w:sz w:val="13"/>
                <w:szCs w:val="13"/>
                <w:lang w:val="pt-BR" w:eastAsia="pt-BR"/>
              </w:rPr>
            </w:r>
            <w:r>
              <w:rPr>
                <w:rFonts w:ascii="Times New Roman" w:hAnsi="Times New Roman" w:eastAsia="Times New Roman" w:cs="Times New Roman"/>
                <w:b/>
                <w:color w:val="000000"/>
                <w:sz w:val="13"/>
                <w:szCs w:val="13"/>
                <w:lang w:val="pt-BR" w:eastAsia="pt-BR"/>
              </w:rPr>
            </w:r>
          </w:p>
        </w:tc>
      </w:tr>
      <w:tr>
        <w:trPr>
          <w:trHeight w:val="9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6ECCB283">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Fonte de Recursos: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6CC6AAE3">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1.600.0000603</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bl>
    <w:p w14:paraId="6B32BBE8">
      <w:pPr>
        <w:pBdr/>
        <w:spacing w:line="360" w:lineRule="auto"/>
        <w:ind/>
        <w:jc w:val="both"/>
        <w:rPr>
          <w:rFonts w:ascii="Times New Roman" w:hAnsi="Times New Roman" w:eastAsia="Times New Roman" w:cs="Times New Roman"/>
          <w:color w:val="000000"/>
          <w:sz w:val="6"/>
          <w:szCs w:val="6"/>
          <w:lang w:val="pt-BR" w:eastAsia="pt-BR"/>
        </w:rPr>
      </w:pPr>
      <w:r>
        <w:rPr>
          <w:rFonts w:ascii="Times New Roman" w:hAnsi="Times New Roman" w:eastAsia="Times New Roman" w:cs="Times New Roman"/>
          <w:color w:val="000000"/>
          <w:sz w:val="6"/>
          <w:szCs w:val="6"/>
          <w:lang w:val="pt-BR" w:eastAsia="pt-BR"/>
        </w:rPr>
      </w:r>
      <w:r>
        <w:rPr>
          <w:rFonts w:ascii="Times New Roman" w:hAnsi="Times New Roman" w:eastAsia="Times New Roman" w:cs="Times New Roman"/>
          <w:color w:val="000000"/>
          <w:sz w:val="6"/>
          <w:szCs w:val="6"/>
          <w:lang w:val="pt-BR" w:eastAsia="pt-BR"/>
        </w:rPr>
      </w:r>
      <w:r>
        <w:rPr>
          <w:rFonts w:ascii="Times New Roman" w:hAnsi="Times New Roman" w:eastAsia="Times New Roman" w:cs="Times New Roman"/>
          <w:color w:val="000000"/>
          <w:sz w:val="6"/>
          <w:szCs w:val="6"/>
          <w:lang w:val="pt-BR" w:eastAsia="pt-BR"/>
        </w:rPr>
      </w:r>
    </w:p>
    <w:tbl>
      <w:tblPr>
        <w:tblInd w:w="846" w:type="dxa"/>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9"/>
        <w:gridCol w:w="7258"/>
      </w:tblGrid>
      <w:tr>
        <w:trPr>
          <w:trHeight w:val="72"/>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5F86E97F">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Órgão: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6D40B6F9">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02 – PREFEITURA MUNICIPAL DE RONDONÓPOLIS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14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59FF2F90">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Unidade: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66BD8F85">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014 – FUNDO MUNICIPAL DE SAÚDE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57282258">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Função Programática: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46817151">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10.302.2203. 2201 - MANUTENÇÃO E AMPLIAÇÃO DOS SERVIÇOS DO CENTRO ESPECIALIZADO EM REABILITAÇÃO NILMO JÚNIOR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79"/>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2FBB271C">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Elemento da Despesa: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65C42048">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3.3.90.30.00.00 – MATERIAL DE CONSUMO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5258F318">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Reduzido: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2D5757CE">
            <w:pPr>
              <w:pBdr/>
              <w:spacing/>
              <w:ind/>
              <w:jc w:val="both"/>
              <w:rPr>
                <w:rFonts w:ascii="Times New Roman" w:hAnsi="Times New Roman" w:eastAsia="Times New Roman" w:cs="Times New Roman"/>
                <w:b/>
                <w:color w:val="000000"/>
                <w:sz w:val="13"/>
                <w:szCs w:val="13"/>
                <w:lang w:val="pt-BR" w:eastAsia="pt-BR"/>
              </w:rPr>
            </w:pPr>
            <w:r>
              <w:rPr>
                <w:rFonts w:ascii="Times New Roman" w:hAnsi="Times New Roman" w:eastAsia="Times New Roman" w:cs="Times New Roman"/>
                <w:b/>
                <w:color w:val="000000"/>
                <w:sz w:val="13"/>
                <w:szCs w:val="13"/>
                <w:lang w:val="pt-BR" w:eastAsia="pt-BR"/>
              </w:rPr>
              <w:t xml:space="preserve">650</w:t>
            </w:r>
            <w:r>
              <w:rPr>
                <w:rFonts w:ascii="Times New Roman" w:hAnsi="Times New Roman" w:eastAsia="Times New Roman" w:cs="Times New Roman"/>
                <w:b/>
                <w:color w:val="000000"/>
                <w:sz w:val="13"/>
                <w:szCs w:val="13"/>
                <w:lang w:val="pt-BR" w:eastAsia="pt-BR"/>
              </w:rPr>
            </w:r>
            <w:r>
              <w:rPr>
                <w:rFonts w:ascii="Times New Roman" w:hAnsi="Times New Roman" w:eastAsia="Times New Roman" w:cs="Times New Roman"/>
                <w:b/>
                <w:color w:val="000000"/>
                <w:sz w:val="13"/>
                <w:szCs w:val="13"/>
                <w:lang w:val="pt-BR" w:eastAsia="pt-BR"/>
              </w:rPr>
            </w:r>
          </w:p>
        </w:tc>
      </w:tr>
      <w:tr>
        <w:trPr>
          <w:trHeight w:val="9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449979CC">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Fonte de Recursos: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2E1E83BE">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1.500.1002000</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bl>
    <w:p w14:paraId="625E70F3">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bl>
      <w:tblPr>
        <w:tblInd w:w="846" w:type="dxa"/>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9"/>
        <w:gridCol w:w="7258"/>
      </w:tblGrid>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7CBE33E0">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Órgão: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5FD7765A">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02 – PREFEITURA MUNICIPAL DE RONDONÓPOLIS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14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13DC0AFE">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Unidade: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5993258C">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014 – FUNDO MUNICIPAL DE SAÚDE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9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7325A37C">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Função Programática: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09FEDA0F">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10.302.2203. 2201 - MANUTENÇÃO E AMPLIAÇÃO DOS SERVIÇOS DO CENTRO ESPECIALIZADO EM REABILITAÇÃO NILMO JÚNIOR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65A60DD5">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Elemento da Despesa: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183AE766">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3.3.90.30.00.00 – MATERIAL DE CONSUMO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34C2FB43">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Reduzido: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2AF8D087">
            <w:pPr>
              <w:pBdr/>
              <w:spacing/>
              <w:ind/>
              <w:jc w:val="both"/>
              <w:rPr>
                <w:rFonts w:ascii="Times New Roman" w:hAnsi="Times New Roman" w:eastAsia="Times New Roman" w:cs="Times New Roman"/>
                <w:b/>
                <w:color w:val="000000"/>
                <w:sz w:val="13"/>
                <w:szCs w:val="13"/>
                <w:lang w:val="pt-BR" w:eastAsia="pt-BR"/>
              </w:rPr>
            </w:pPr>
            <w:r>
              <w:rPr>
                <w:rFonts w:ascii="Times New Roman" w:hAnsi="Times New Roman" w:eastAsia="Times New Roman" w:cs="Times New Roman"/>
                <w:b/>
                <w:color w:val="000000"/>
                <w:sz w:val="13"/>
                <w:szCs w:val="13"/>
                <w:lang w:val="pt-BR" w:eastAsia="pt-BR"/>
              </w:rPr>
              <w:t xml:space="preserve">651</w:t>
            </w:r>
            <w:r>
              <w:rPr>
                <w:rFonts w:ascii="Times New Roman" w:hAnsi="Times New Roman" w:eastAsia="Times New Roman" w:cs="Times New Roman"/>
                <w:b/>
                <w:color w:val="000000"/>
                <w:sz w:val="13"/>
                <w:szCs w:val="13"/>
                <w:lang w:val="pt-BR" w:eastAsia="pt-BR"/>
              </w:rPr>
            </w:r>
            <w:r>
              <w:rPr>
                <w:rFonts w:ascii="Times New Roman" w:hAnsi="Times New Roman" w:eastAsia="Times New Roman" w:cs="Times New Roman"/>
                <w:b/>
                <w:color w:val="000000"/>
                <w:sz w:val="13"/>
                <w:szCs w:val="13"/>
                <w:lang w:val="pt-BR" w:eastAsia="pt-BR"/>
              </w:rPr>
            </w:r>
          </w:p>
        </w:tc>
      </w:tr>
      <w:tr>
        <w:trPr>
          <w:trHeight w:val="9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710F05FE">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Fonte de Recursos: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3CC7AF83">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1.600.0000603</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bl>
    <w:p w14:paraId="2B3F226B">
      <w:pPr>
        <w:pBdr/>
        <w:spacing w:line="360" w:lineRule="auto"/>
        <w:ind/>
        <w:rPr>
          <w:rFonts w:eastAsia="Times New Roman"/>
          <w:b/>
          <w:color w:val="000000"/>
          <w:sz w:val="6"/>
          <w:szCs w:val="6"/>
          <w:u w:val="single"/>
          <w:lang w:val="pt-BR" w:eastAsia="pt-BR"/>
        </w:rPr>
      </w:pPr>
      <w:r>
        <w:rPr>
          <w:rFonts w:eastAsia="Times New Roman"/>
          <w:b/>
          <w:color w:val="000000"/>
          <w:sz w:val="6"/>
          <w:szCs w:val="6"/>
          <w:u w:val="single"/>
          <w:lang w:val="pt-BR" w:eastAsia="pt-BR"/>
        </w:rPr>
      </w:r>
      <w:r>
        <w:rPr>
          <w:rFonts w:eastAsia="Times New Roman"/>
          <w:b/>
          <w:color w:val="000000"/>
          <w:sz w:val="6"/>
          <w:szCs w:val="6"/>
          <w:u w:val="single"/>
          <w:lang w:val="pt-BR" w:eastAsia="pt-BR"/>
        </w:rPr>
      </w:r>
      <w:r>
        <w:rPr>
          <w:rFonts w:eastAsia="Times New Roman"/>
          <w:b/>
          <w:color w:val="000000"/>
          <w:sz w:val="6"/>
          <w:szCs w:val="6"/>
          <w:u w:val="single"/>
          <w:lang w:val="pt-BR" w:eastAsia="pt-BR"/>
        </w:rPr>
      </w:r>
    </w:p>
    <w:tbl>
      <w:tblPr>
        <w:tblInd w:w="846" w:type="dxa"/>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17"/>
        <w:gridCol w:w="7230"/>
      </w:tblGrid>
      <w:tr>
        <w:trPr>
          <w:trHeight w:val="123"/>
        </w:trPr>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14:paraId="601C2664">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Órgão: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30" w:type="dxa"/>
            <w:textDirection w:val="lrTb"/>
            <w:noWrap w:val="false"/>
          </w:tcPr>
          <w:p w14:paraId="2E8E8E13">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02 – PREFEITURA MUNICIPAL DE RONDONÓPOLIS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83"/>
        </w:trPr>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14:paraId="239ECA4B">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Unidade: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30" w:type="dxa"/>
            <w:textDirection w:val="lrTb"/>
            <w:noWrap w:val="false"/>
          </w:tcPr>
          <w:p w14:paraId="06600EA2">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014 – FUNDO MUNICIPAL DE SAÚDE </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174"/>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14:paraId="7CBD5064">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Função Programática: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14:paraId="47102D7D">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10.301.2202.1036 - EQUIPAR A ATENÇÃO PRIMÁRIA À SAÚDE - APS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64"/>
        </w:trPr>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14:paraId="104CB54B">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Elemento da Despesa:</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30" w:type="dxa"/>
            <w:textDirection w:val="lrTb"/>
            <w:noWrap w:val="false"/>
          </w:tcPr>
          <w:p w14:paraId="273FEC80">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4.4.90.52 – EQUIPAMENTOS E MATERIAL PERMANENTE</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14:paraId="3485FFD4">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Reduzido</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30" w:type="dxa"/>
            <w:textDirection w:val="lrTb"/>
            <w:noWrap w:val="false"/>
          </w:tcPr>
          <w:p w14:paraId="10849FE1">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688</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r>
        <w:trPr>
          <w:trHeight w:val="56"/>
        </w:trPr>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14:paraId="166E67FA">
            <w:pPr>
              <w:pBdr/>
              <w:spacing/>
              <w:ind/>
              <w:jc w:val="right"/>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Fonte de Recursos:</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c>
          <w:tcPr>
            <w:tcBorders>
              <w:top w:val="single" w:color="000000" w:sz="4" w:space="0"/>
              <w:left w:val="single" w:color="000000" w:sz="4" w:space="0"/>
              <w:bottom w:val="single" w:color="000000" w:sz="4" w:space="0"/>
              <w:right w:val="single" w:color="000000" w:sz="4" w:space="0"/>
            </w:tcBorders>
            <w:tcW w:w="7230" w:type="dxa"/>
            <w:textDirection w:val="lrTb"/>
            <w:noWrap w:val="false"/>
          </w:tcPr>
          <w:p w14:paraId="6C8942AD">
            <w:pPr>
              <w:pBdr/>
              <w:spacing/>
              <w:ind/>
              <w:jc w:val="both"/>
              <w:rPr>
                <w:rFonts w:ascii="Times New Roman" w:hAnsi="Times New Roman" w:eastAsia="Times New Roman" w:cs="Times New Roman"/>
                <w:color w:val="000000"/>
                <w:sz w:val="13"/>
                <w:szCs w:val="13"/>
                <w:lang w:val="pt-BR" w:eastAsia="pt-BR"/>
              </w:rPr>
            </w:pPr>
            <w:r>
              <w:rPr>
                <w:rFonts w:ascii="Times New Roman" w:hAnsi="Times New Roman" w:eastAsia="Times New Roman" w:cs="Times New Roman"/>
                <w:color w:val="000000"/>
                <w:sz w:val="13"/>
                <w:szCs w:val="13"/>
                <w:lang w:val="pt-BR" w:eastAsia="pt-BR"/>
              </w:rPr>
              <w:t xml:space="preserve">1.500.1002000</w:t>
            </w:r>
            <w:r>
              <w:rPr>
                <w:rFonts w:ascii="Times New Roman" w:hAnsi="Times New Roman" w:eastAsia="Times New Roman" w:cs="Times New Roman"/>
                <w:color w:val="000000"/>
                <w:sz w:val="13"/>
                <w:szCs w:val="13"/>
                <w:lang w:val="pt-BR" w:eastAsia="pt-BR"/>
              </w:rPr>
            </w:r>
            <w:r>
              <w:rPr>
                <w:rFonts w:ascii="Times New Roman" w:hAnsi="Times New Roman" w:eastAsia="Times New Roman" w:cs="Times New Roman"/>
                <w:color w:val="000000"/>
                <w:sz w:val="13"/>
                <w:szCs w:val="13"/>
                <w:lang w:val="pt-BR" w:eastAsia="pt-BR"/>
              </w:rPr>
            </w:r>
          </w:p>
        </w:tc>
      </w:tr>
    </w:tbl>
    <w:p w14:paraId="325EC4E5">
      <w:pPr>
        <w:pBdr/>
        <w:spacing/>
        <w:ind/>
        <w:rPr>
          <w:rFonts w:ascii="Calibri" w:hAnsi="Calibri"/>
          <w:b/>
          <w:sz w:val="13"/>
          <w:szCs w:val="13"/>
          <w:u w:val="single"/>
        </w:rPr>
      </w:pPr>
      <w:r>
        <w:rPr>
          <w:rFonts w:ascii="Calibri" w:hAnsi="Calibri"/>
          <w:b/>
          <w:sz w:val="13"/>
          <w:szCs w:val="13"/>
          <w:u w:val="single"/>
        </w:rPr>
      </w:r>
      <w:r>
        <w:rPr>
          <w:rFonts w:ascii="Calibri" w:hAnsi="Calibri"/>
          <w:b/>
          <w:sz w:val="13"/>
          <w:szCs w:val="13"/>
          <w:u w:val="single"/>
        </w:rPr>
      </w:r>
      <w:r>
        <w:rPr>
          <w:rFonts w:ascii="Calibri" w:hAnsi="Calibri"/>
          <w:b/>
          <w:sz w:val="13"/>
          <w:szCs w:val="13"/>
          <w:u w:val="single"/>
        </w:rPr>
      </w:r>
    </w:p>
    <w:tbl>
      <w:tblPr>
        <w:tblInd w:w="846" w:type="dxa"/>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9"/>
        <w:gridCol w:w="7258"/>
      </w:tblGrid>
      <w:tr>
        <w:trPr>
          <w:trHeight w:val="132"/>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4201BA5A">
            <w:pPr>
              <w:pBdr/>
              <w:spacing/>
              <w:ind/>
              <w:jc w:val="right"/>
              <w:rPr>
                <w:rFonts w:ascii="Times New Roman" w:hAnsi="Times New Roman" w:cs="Times New Roman"/>
                <w:sz w:val="13"/>
                <w:szCs w:val="13"/>
              </w:rPr>
            </w:pPr>
            <w:r>
              <w:rPr>
                <w:rFonts w:ascii="Times New Roman" w:hAnsi="Times New Roman" w:cs="Times New Roman"/>
                <w:sz w:val="13"/>
                <w:szCs w:val="13"/>
              </w:rPr>
              <w:t xml:space="preserve">Órgão:</w:t>
            </w:r>
            <w:r>
              <w:rPr>
                <w:rFonts w:ascii="Times New Roman" w:hAnsi="Times New Roman" w:cs="Times New Roman"/>
                <w:sz w:val="13"/>
                <w:szCs w:val="13"/>
              </w:rPr>
            </w:r>
            <w:r>
              <w:rPr>
                <w:rFonts w:ascii="Times New Roman" w:hAnsi="Times New Roman" w:cs="Times New Roman"/>
                <w:sz w:val="13"/>
                <w:szCs w:val="13"/>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320A7E96">
            <w:pPr>
              <w:pBdr/>
              <w:spacing/>
              <w:ind/>
              <w:jc w:val="both"/>
              <w:rPr>
                <w:rFonts w:ascii="Times New Roman" w:hAnsi="Times New Roman" w:cs="Times New Roman"/>
                <w:sz w:val="13"/>
                <w:szCs w:val="13"/>
              </w:rPr>
            </w:pPr>
            <w:r>
              <w:rPr>
                <w:rFonts w:ascii="Times New Roman" w:hAnsi="Times New Roman" w:cs="Times New Roman"/>
                <w:sz w:val="13"/>
                <w:szCs w:val="13"/>
              </w:rPr>
              <w:t xml:space="preserve">02 – PREFEITURA MUNICIPAL DE RONDONÓPOLIS</w:t>
            </w:r>
            <w:r>
              <w:rPr>
                <w:rFonts w:ascii="Times New Roman" w:hAnsi="Times New Roman" w:cs="Times New Roman"/>
                <w:sz w:val="13"/>
                <w:szCs w:val="13"/>
              </w:rPr>
            </w:r>
            <w:r>
              <w:rPr>
                <w:rFonts w:ascii="Times New Roman" w:hAnsi="Times New Roman" w:cs="Times New Roman"/>
                <w:sz w:val="13"/>
                <w:szCs w:val="13"/>
              </w:rPr>
            </w:r>
          </w:p>
        </w:tc>
      </w:tr>
      <w:tr>
        <w:trPr>
          <w:trHeight w:val="14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6370C5FF">
            <w:pPr>
              <w:pBdr/>
              <w:spacing/>
              <w:ind/>
              <w:jc w:val="right"/>
              <w:rPr>
                <w:rFonts w:ascii="Times New Roman" w:hAnsi="Times New Roman" w:cs="Times New Roman"/>
                <w:sz w:val="13"/>
                <w:szCs w:val="13"/>
              </w:rPr>
            </w:pPr>
            <w:r>
              <w:rPr>
                <w:rFonts w:ascii="Times New Roman" w:hAnsi="Times New Roman" w:cs="Times New Roman"/>
                <w:sz w:val="13"/>
                <w:szCs w:val="13"/>
              </w:rPr>
              <w:t xml:space="preserve">Unidade:</w:t>
            </w:r>
            <w:r>
              <w:rPr>
                <w:rFonts w:ascii="Times New Roman" w:hAnsi="Times New Roman" w:cs="Times New Roman"/>
                <w:sz w:val="13"/>
                <w:szCs w:val="13"/>
              </w:rPr>
            </w:r>
            <w:r>
              <w:rPr>
                <w:rFonts w:ascii="Times New Roman" w:hAnsi="Times New Roman" w:cs="Times New Roman"/>
                <w:sz w:val="13"/>
                <w:szCs w:val="13"/>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1D18B5DC">
            <w:pPr>
              <w:pBdr/>
              <w:spacing/>
              <w:ind/>
              <w:jc w:val="both"/>
              <w:rPr>
                <w:rFonts w:ascii="Times New Roman" w:hAnsi="Times New Roman" w:cs="Times New Roman"/>
                <w:sz w:val="13"/>
                <w:szCs w:val="13"/>
              </w:rPr>
            </w:pPr>
            <w:r>
              <w:rPr>
                <w:rFonts w:ascii="Times New Roman" w:hAnsi="Times New Roman" w:cs="Times New Roman"/>
                <w:sz w:val="13"/>
                <w:szCs w:val="13"/>
              </w:rPr>
              <w:t xml:space="preserve">014 – FUNDO MUNICIPAL DE SAÚDE </w:t>
            </w:r>
            <w:r>
              <w:rPr>
                <w:rFonts w:ascii="Times New Roman" w:hAnsi="Times New Roman" w:cs="Times New Roman"/>
                <w:sz w:val="13"/>
                <w:szCs w:val="13"/>
              </w:rPr>
            </w:r>
            <w:r>
              <w:rPr>
                <w:rFonts w:ascii="Times New Roman" w:hAnsi="Times New Roman" w:cs="Times New Roman"/>
                <w:sz w:val="13"/>
                <w:szCs w:val="13"/>
              </w:rPr>
            </w:r>
          </w:p>
        </w:tc>
      </w:tr>
      <w:tr>
        <w:trPr>
          <w:trHeight w:val="56"/>
        </w:trPr>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14:paraId="38A45A4E">
            <w:pPr>
              <w:pBdr/>
              <w:spacing/>
              <w:ind/>
              <w:jc w:val="right"/>
              <w:rPr>
                <w:rFonts w:ascii="Times New Roman" w:hAnsi="Times New Roman" w:cs="Times New Roman"/>
                <w:sz w:val="13"/>
                <w:szCs w:val="13"/>
              </w:rPr>
            </w:pPr>
            <w:r>
              <w:rPr>
                <w:rFonts w:ascii="Times New Roman" w:hAnsi="Times New Roman" w:cs="Times New Roman"/>
                <w:sz w:val="13"/>
                <w:szCs w:val="13"/>
              </w:rPr>
              <w:t xml:space="preserve">Função Programática:</w:t>
            </w:r>
            <w:r>
              <w:rPr>
                <w:rFonts w:ascii="Times New Roman" w:hAnsi="Times New Roman" w:cs="Times New Roman"/>
                <w:sz w:val="13"/>
                <w:szCs w:val="13"/>
              </w:rPr>
            </w:r>
            <w:r>
              <w:rPr>
                <w:rFonts w:ascii="Times New Roman" w:hAnsi="Times New Roman" w:cs="Times New Roman"/>
                <w:sz w:val="13"/>
                <w:szCs w:val="13"/>
              </w:rPr>
            </w:r>
          </w:p>
        </w:tc>
        <w:tc>
          <w:tcPr>
            <w:tcBorders>
              <w:top w:val="single" w:color="000000" w:sz="4" w:space="0"/>
              <w:left w:val="single" w:color="000000" w:sz="4" w:space="0"/>
              <w:bottom w:val="single" w:color="000000" w:sz="4" w:space="0"/>
              <w:right w:val="single" w:color="000000" w:sz="4" w:space="0"/>
            </w:tcBorders>
            <w:tcW w:w="7258" w:type="dxa"/>
            <w:vAlign w:val="center"/>
            <w:textDirection w:val="lrTb"/>
            <w:noWrap w:val="false"/>
          </w:tcPr>
          <w:p w14:paraId="24A90676">
            <w:pPr>
              <w:pBdr/>
              <w:spacing/>
              <w:ind/>
              <w:jc w:val="both"/>
              <w:rPr>
                <w:rFonts w:ascii="Times New Roman" w:hAnsi="Times New Roman" w:cs="Times New Roman"/>
                <w:sz w:val="13"/>
                <w:szCs w:val="13"/>
              </w:rPr>
            </w:pPr>
            <w:r>
              <w:rPr>
                <w:rFonts w:ascii="Times New Roman" w:hAnsi="Times New Roman" w:cs="Times New Roman"/>
                <w:sz w:val="13"/>
                <w:szCs w:val="13"/>
              </w:rPr>
              <w:t xml:space="preserve">10.302.2203.1037 - EQUIPAR A MEDIA E ALTA COMPLEXIDADE </w:t>
            </w:r>
            <w:r>
              <w:rPr>
                <w:rFonts w:ascii="Times New Roman" w:hAnsi="Times New Roman" w:cs="Times New Roman"/>
                <w:sz w:val="13"/>
                <w:szCs w:val="13"/>
              </w:rPr>
            </w:r>
            <w:r>
              <w:rPr>
                <w:rFonts w:ascii="Times New Roman" w:hAnsi="Times New Roman" w:cs="Times New Roman"/>
                <w:sz w:val="13"/>
                <w:szCs w:val="13"/>
              </w:rPr>
            </w:r>
          </w:p>
        </w:tc>
      </w:tr>
      <w:tr>
        <w:trPr>
          <w:trHeight w:val="123"/>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6669969C">
            <w:pPr>
              <w:pBdr/>
              <w:spacing/>
              <w:ind/>
              <w:jc w:val="right"/>
              <w:rPr>
                <w:rFonts w:ascii="Times New Roman" w:hAnsi="Times New Roman" w:cs="Times New Roman"/>
                <w:sz w:val="13"/>
                <w:szCs w:val="13"/>
              </w:rPr>
            </w:pPr>
            <w:r>
              <w:rPr>
                <w:rFonts w:ascii="Times New Roman" w:hAnsi="Times New Roman" w:cs="Times New Roman"/>
                <w:sz w:val="13"/>
                <w:szCs w:val="13"/>
              </w:rPr>
              <w:t xml:space="preserve">Elemento da Despesa:</w:t>
            </w:r>
            <w:r>
              <w:rPr>
                <w:rFonts w:ascii="Times New Roman" w:hAnsi="Times New Roman" w:cs="Times New Roman"/>
                <w:sz w:val="13"/>
                <w:szCs w:val="13"/>
              </w:rPr>
            </w:r>
            <w:r>
              <w:rPr>
                <w:rFonts w:ascii="Times New Roman" w:hAnsi="Times New Roman" w:cs="Times New Roman"/>
                <w:sz w:val="13"/>
                <w:szCs w:val="13"/>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3D0BE993">
            <w:pPr>
              <w:pBdr/>
              <w:spacing/>
              <w:ind/>
              <w:jc w:val="both"/>
              <w:rPr>
                <w:rFonts w:ascii="Times New Roman" w:hAnsi="Times New Roman" w:cs="Times New Roman"/>
                <w:sz w:val="13"/>
                <w:szCs w:val="13"/>
              </w:rPr>
            </w:pPr>
            <w:r>
              <w:rPr>
                <w:rFonts w:ascii="Times New Roman" w:hAnsi="Times New Roman" w:cs="Times New Roman"/>
                <w:sz w:val="13"/>
                <w:szCs w:val="13"/>
              </w:rPr>
              <w:t xml:space="preserve">4.4.90.52 – EQUIPAMENTOS E MATERIAL PERMANENTE</w:t>
            </w:r>
            <w:r>
              <w:rPr>
                <w:rFonts w:ascii="Times New Roman" w:hAnsi="Times New Roman" w:cs="Times New Roman"/>
                <w:sz w:val="13"/>
                <w:szCs w:val="13"/>
              </w:rPr>
            </w:r>
            <w:r>
              <w:rPr>
                <w:rFonts w:ascii="Times New Roman" w:hAnsi="Times New Roman" w:cs="Times New Roman"/>
                <w:sz w:val="13"/>
                <w:szCs w:val="13"/>
              </w:rPr>
            </w:r>
          </w:p>
        </w:tc>
      </w:tr>
      <w:tr>
        <w:trPr>
          <w:trHeight w:val="9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2C2D4EDF">
            <w:pPr>
              <w:pBdr/>
              <w:spacing/>
              <w:ind/>
              <w:jc w:val="right"/>
              <w:rPr>
                <w:rFonts w:ascii="Times New Roman" w:hAnsi="Times New Roman" w:cs="Times New Roman"/>
                <w:sz w:val="13"/>
                <w:szCs w:val="13"/>
              </w:rPr>
            </w:pPr>
            <w:r>
              <w:rPr>
                <w:rFonts w:ascii="Times New Roman" w:hAnsi="Times New Roman" w:cs="Times New Roman"/>
                <w:sz w:val="13"/>
                <w:szCs w:val="13"/>
              </w:rPr>
              <w:t xml:space="preserve">Reduzido</w:t>
            </w:r>
            <w:r>
              <w:rPr>
                <w:rFonts w:ascii="Times New Roman" w:hAnsi="Times New Roman" w:cs="Times New Roman"/>
                <w:sz w:val="13"/>
                <w:szCs w:val="13"/>
              </w:rPr>
            </w:r>
            <w:r>
              <w:rPr>
                <w:rFonts w:ascii="Times New Roman" w:hAnsi="Times New Roman" w:cs="Times New Roman"/>
                <w:sz w:val="13"/>
                <w:szCs w:val="13"/>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5F4F4E7B">
            <w:pPr>
              <w:pBdr/>
              <w:spacing/>
              <w:ind/>
              <w:jc w:val="both"/>
              <w:rPr>
                <w:rFonts w:ascii="Times New Roman" w:hAnsi="Times New Roman" w:cs="Times New Roman"/>
                <w:sz w:val="13"/>
                <w:szCs w:val="13"/>
              </w:rPr>
            </w:pPr>
            <w:r>
              <w:rPr>
                <w:rFonts w:ascii="Times New Roman" w:hAnsi="Times New Roman" w:cs="Times New Roman"/>
                <w:sz w:val="13"/>
                <w:szCs w:val="13"/>
              </w:rPr>
              <w:t xml:space="preserve">568</w:t>
            </w:r>
            <w:r>
              <w:rPr>
                <w:rFonts w:ascii="Times New Roman" w:hAnsi="Times New Roman" w:cs="Times New Roman"/>
                <w:sz w:val="13"/>
                <w:szCs w:val="13"/>
              </w:rPr>
            </w:r>
            <w:r>
              <w:rPr>
                <w:rFonts w:ascii="Times New Roman" w:hAnsi="Times New Roman" w:cs="Times New Roman"/>
                <w:sz w:val="13"/>
                <w:szCs w:val="13"/>
              </w:rPr>
            </w:r>
          </w:p>
        </w:tc>
      </w:tr>
      <w:tr>
        <w:trPr>
          <w:trHeight w:val="98"/>
        </w:trPr>
        <w:tc>
          <w:tcPr>
            <w:tcBorders>
              <w:top w:val="single" w:color="000000" w:sz="4" w:space="0"/>
              <w:left w:val="single" w:color="000000" w:sz="4" w:space="0"/>
              <w:bottom w:val="single" w:color="000000" w:sz="4" w:space="0"/>
              <w:right w:val="single" w:color="000000" w:sz="4" w:space="0"/>
            </w:tcBorders>
            <w:tcW w:w="1389" w:type="dxa"/>
            <w:textDirection w:val="lrTb"/>
            <w:noWrap w:val="false"/>
          </w:tcPr>
          <w:p w14:paraId="5A518097">
            <w:pPr>
              <w:pBdr/>
              <w:spacing/>
              <w:ind/>
              <w:jc w:val="right"/>
              <w:rPr>
                <w:rFonts w:ascii="Times New Roman" w:hAnsi="Times New Roman" w:cs="Times New Roman"/>
                <w:sz w:val="13"/>
                <w:szCs w:val="13"/>
              </w:rPr>
            </w:pPr>
            <w:r>
              <w:rPr>
                <w:rFonts w:ascii="Times New Roman" w:hAnsi="Times New Roman" w:cs="Times New Roman"/>
                <w:sz w:val="13"/>
                <w:szCs w:val="13"/>
              </w:rPr>
              <w:t xml:space="preserve">Fonte de Recursos:</w:t>
            </w:r>
            <w:r>
              <w:rPr>
                <w:rFonts w:ascii="Times New Roman" w:hAnsi="Times New Roman" w:cs="Times New Roman"/>
                <w:sz w:val="13"/>
                <w:szCs w:val="13"/>
              </w:rPr>
            </w:r>
            <w:r>
              <w:rPr>
                <w:rFonts w:ascii="Times New Roman" w:hAnsi="Times New Roman" w:cs="Times New Roman"/>
                <w:sz w:val="13"/>
                <w:szCs w:val="13"/>
              </w:rPr>
            </w:r>
          </w:p>
        </w:tc>
        <w:tc>
          <w:tcPr>
            <w:tcBorders>
              <w:top w:val="single" w:color="000000" w:sz="4" w:space="0"/>
              <w:left w:val="single" w:color="000000" w:sz="4" w:space="0"/>
              <w:bottom w:val="single" w:color="000000" w:sz="4" w:space="0"/>
              <w:right w:val="single" w:color="000000" w:sz="4" w:space="0"/>
            </w:tcBorders>
            <w:tcW w:w="7258" w:type="dxa"/>
            <w:textDirection w:val="lrTb"/>
            <w:noWrap w:val="false"/>
          </w:tcPr>
          <w:p w14:paraId="4FE0C0A6">
            <w:pPr>
              <w:pBdr/>
              <w:spacing/>
              <w:ind/>
              <w:jc w:val="both"/>
              <w:rPr>
                <w:rFonts w:ascii="Times New Roman" w:hAnsi="Times New Roman" w:cs="Times New Roman"/>
                <w:sz w:val="13"/>
                <w:szCs w:val="13"/>
              </w:rPr>
            </w:pPr>
            <w:r>
              <w:rPr>
                <w:rFonts w:ascii="Times New Roman" w:hAnsi="Times New Roman" w:cs="Times New Roman"/>
                <w:sz w:val="13"/>
                <w:szCs w:val="13"/>
              </w:rPr>
              <w:t xml:space="preserve">1.500.1002000</w:t>
            </w:r>
            <w:r>
              <w:rPr>
                <w:rFonts w:ascii="Times New Roman" w:hAnsi="Times New Roman" w:cs="Times New Roman"/>
                <w:sz w:val="13"/>
                <w:szCs w:val="13"/>
              </w:rPr>
            </w:r>
            <w:r>
              <w:rPr>
                <w:rFonts w:ascii="Times New Roman" w:hAnsi="Times New Roman" w:cs="Times New Roman"/>
                <w:sz w:val="13"/>
                <w:szCs w:val="13"/>
              </w:rPr>
            </w:r>
          </w:p>
        </w:tc>
      </w:tr>
    </w:tbl>
    <w:p>
      <w:pPr>
        <w:pBdr/>
        <w:spacing/>
        <w:ind w:right="-5"/>
        <w:rPr/>
      </w:pPr>
      <w:r/>
      <w:r/>
    </w:p>
    <w:p>
      <w:pPr>
        <w:pBdr/>
        <w:spacing/>
        <w:ind w:right="-5"/>
        <w:rPr>
          <w:rFonts w:ascii="Arial" w:hAnsi="Arial"/>
          <w:b/>
          <w:bCs/>
        </w:rPr>
      </w:pPr>
      <w:r>
        <w:rPr>
          <w:rFonts w:ascii="Arial" w:hAnsi="Arial"/>
          <w:b/>
        </w:rPr>
        <w:t xml:space="preserve">CLÁUSULA DÉCIMA - DO VALOR E DAS CONDIÇÕES DE PAGAMENTO:</w:t>
      </w:r>
      <w:r>
        <w:rPr>
          <w:rFonts w:ascii="Arial" w:hAnsi="Arial"/>
          <w:b/>
          <w:bCs/>
        </w:rPr>
      </w:r>
      <w:r>
        <w:rPr>
          <w:rFonts w:ascii="Arial" w:hAnsi="Arial"/>
          <w:b/>
          <w:bCs/>
        </w:rPr>
      </w:r>
    </w:p>
    <w:p>
      <w:pPr>
        <w:pBdr/>
        <w:spacing/>
        <w:ind w:right="-5"/>
        <w:jc w:val="both"/>
        <w:rPr>
          <w:rFonts w:ascii="Arial" w:hAnsi="Arial"/>
          <w:b/>
        </w:rPr>
      </w:pPr>
      <w:r>
        <w:rPr>
          <w:rFonts w:ascii="Arial" w:hAnsi="Arial"/>
          <w:b/>
        </w:rPr>
      </w:r>
      <w:r>
        <w:rPr>
          <w:rFonts w:ascii="Arial" w:hAnsi="Arial"/>
          <w:b/>
        </w:rPr>
      </w:r>
      <w:r>
        <w:rPr>
          <w:rFonts w:ascii="Arial" w:hAnsi="Arial"/>
          <w:b/>
        </w:rPr>
      </w:r>
    </w:p>
    <w:p>
      <w:pPr>
        <w:pBdr/>
        <w:spacing/>
        <w:ind w:right="-5"/>
        <w:jc w:val="both"/>
        <w:rPr/>
      </w:pPr>
      <w:r>
        <w:rPr>
          <w:rFonts w:ascii="Arial" w:hAnsi="Arial"/>
          <w:b/>
        </w:rPr>
        <w:t xml:space="preserve">10.1.</w:t>
      </w:r>
      <w:r>
        <w:rPr>
          <w:rFonts w:ascii="Arial" w:hAnsi="Arial"/>
        </w:rPr>
        <w:t xml:space="preserve"> O valor global do presente Contrato é de </w:t>
      </w:r>
      <w:r>
        <w:rPr>
          <w:rFonts w:ascii="Arial" w:hAnsi="Arial"/>
          <w:b/>
        </w:rPr>
        <w:t xml:space="preserve">R$ XXXXXX (..........................................), </w:t>
      </w:r>
      <w:r>
        <w:rPr>
          <w:rFonts w:ascii="Arial" w:hAnsi="Arial"/>
        </w:rPr>
        <w:t xml:space="preserve">de acordo com a Proposta Comercial da Contratada, a serem pagos, mediante apresentação de nota fiscal, na Tesouraria desta Prefeitura;</w:t>
      </w:r>
      <w:r/>
    </w:p>
    <w:p>
      <w:pPr>
        <w:pBdr/>
        <w:spacing/>
        <w:ind w:right="-5"/>
        <w:jc w:val="both"/>
        <w:rPr>
          <w:rFonts w:ascii="Arial" w:hAnsi="Arial"/>
        </w:rPr>
      </w:pPr>
      <w:r>
        <w:rPr>
          <w:rFonts w:ascii="Arial" w:hAnsi="Arial"/>
        </w:rPr>
      </w:r>
      <w:r>
        <w:rPr>
          <w:rFonts w:ascii="Arial" w:hAnsi="Arial"/>
        </w:rPr>
      </w:r>
      <w:r>
        <w:rPr>
          <w:rFonts w:ascii="Arial" w:hAnsi="Arial"/>
        </w:rPr>
      </w:r>
    </w:p>
    <w:p>
      <w:pPr>
        <w:pBdr/>
        <w:spacing/>
        <w:ind w:right="-5"/>
        <w:jc w:val="both"/>
        <w:rPr/>
      </w:pPr>
      <w:r>
        <w:rPr>
          <w:rStyle w:val="989"/>
          <w:rFonts w:ascii="Arial" w:hAnsi="Arial" w:eastAsia="Calibri"/>
          <w:b/>
        </w:rPr>
        <w:t xml:space="preserve">10.2.</w:t>
      </w:r>
      <w:r>
        <w:rPr>
          <w:rStyle w:val="989"/>
          <w:rFonts w:ascii="Arial" w:hAnsi="Arial" w:eastAsia="Calibri"/>
        </w:rPr>
        <w:t xml:space="preserve"> Nos preços supracitados estão incluídas todas as despesas relativas ao objeto contratado (tributos, seguros, encargos sociais etc.). </w:t>
      </w:r>
      <w:r/>
    </w:p>
    <w:p>
      <w:pPr>
        <w:pBdr/>
        <w:spacing/>
        <w:ind w:right="-5"/>
        <w:jc w:val="both"/>
        <w:rPr/>
      </w:pPr>
      <w:r/>
      <w:r/>
    </w:p>
    <w:p>
      <w:pPr>
        <w:pBdr/>
        <w:spacing/>
        <w:ind/>
        <w:jc w:val="both"/>
        <w:rPr/>
      </w:pPr>
      <w:r>
        <w:rPr>
          <w:rFonts w:ascii="Arial" w:hAnsi="Arial"/>
          <w:b/>
        </w:rPr>
        <w:t xml:space="preserve">10.3.</w:t>
      </w:r>
      <w:r>
        <w:rPr>
          <w:rFonts w:ascii="Arial" w:hAnsi="Arial"/>
        </w:rPr>
        <w:t xml:space="preserve"> O pagamento será efetuado mediante ordem bancária emitida em favor da empresa contratada, após o recebimento defin</w:t>
      </w:r>
      <w:r>
        <w:rPr>
          <w:rFonts w:ascii="Arial" w:hAnsi="Arial"/>
        </w:rPr>
        <w:t xml:space="preserve">itivo dos materiais, até </w:t>
      </w:r>
      <w:r>
        <w:rPr>
          <w:rStyle w:val="989"/>
          <w:rFonts w:ascii="Arial" w:hAnsi="Arial" w:eastAsia="Calibri"/>
        </w:rPr>
        <w:t xml:space="preserve">o 30º (trigésimo) dia</w:t>
      </w:r>
      <w:r>
        <w:rPr>
          <w:rFonts w:ascii="Arial" w:hAnsi="Arial"/>
        </w:rPr>
        <w:t xml:space="preserve">, contados a partir da data de entrega da Nota Fiscal (ELETRÔNICA), conforme exigência prevista no Artigo 180, do RICMS (Regulamento do ICMS) a ser processada em duas vias, com todos os campos preenchidos discr</w:t>
      </w:r>
      <w:r>
        <w:rPr>
          <w:rFonts w:ascii="Arial" w:hAnsi="Arial"/>
        </w:rPr>
        <w:t xml:space="preserve">iminando valores unitários e totais dos itens, sem rasuras e devidamente atestada pelo servidor responsável pelo recebimento do serviço e/ou material da Secretaria Municipal solicitante, constando, ainda, o número do banco, da agência e da conta corrente o</w:t>
      </w:r>
      <w:r>
        <w:rPr>
          <w:rFonts w:ascii="Arial" w:hAnsi="Arial"/>
        </w:rPr>
        <w:t xml:space="preserve">nde deseja receber seu crédito.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Style w:val="989"/>
          <w:rFonts w:ascii="Arial" w:hAnsi="Arial" w:eastAsia="Calibri"/>
          <w:b/>
        </w:rPr>
        <w:t xml:space="preserve">10.3.1.</w:t>
      </w:r>
      <w:r>
        <w:rPr>
          <w:rStyle w:val="989"/>
          <w:rFonts w:ascii="Arial" w:hAnsi="Arial" w:eastAsia="Calibri"/>
        </w:rPr>
        <w:t xml:space="preserve"> </w:t>
      </w:r>
      <w:r>
        <w:rPr>
          <w:rFonts w:ascii="Arial" w:hAnsi="Arial"/>
          <w:bCs/>
        </w:rPr>
        <w:t xml:space="preserve">Apresentar, junto com a Nota Fiscal, as certidões que comprovem a regularidade com as condições de habilitação e qualificação exigidas na licitação </w:t>
      </w:r>
      <w:r>
        <w:rPr>
          <w:rFonts w:ascii="Arial" w:hAnsi="Arial"/>
        </w:rPr>
        <w:t xml:space="preserve">conforme ao disposto n</w:t>
      </w:r>
      <w:r>
        <w:rPr>
          <w:rFonts w:ascii="Arial" w:hAnsi="Arial"/>
          <w:b/>
        </w:rPr>
        <w:t xml:space="preserve">o artigo 92 inciso </w:t>
      </w:r>
      <w:r>
        <w:rPr>
          <w:rFonts w:ascii="Arial" w:hAnsi="Arial"/>
        </w:rPr>
        <w:t xml:space="preserve">XVI da Lei nº 14.133, de 0</w:t>
      </w:r>
      <w:r>
        <w:rPr>
          <w:rFonts w:ascii="Arial" w:hAnsi="Arial"/>
        </w:rPr>
        <w:t xml:space="preserve">1 de abril de 2021.</w:t>
      </w:r>
      <w:r/>
    </w:p>
    <w:p>
      <w:pPr>
        <w:pBdr/>
        <w:spacing w:after="280" w:before="280"/>
        <w:ind w:left="1134"/>
        <w:jc w:val="both"/>
        <w:rPr/>
      </w:pPr>
      <w:r>
        <w:rPr>
          <w:rFonts w:ascii="Arial" w:hAnsi="Arial" w:eastAsia="Arial"/>
        </w:rPr>
        <w:t xml:space="preserve"> </w:t>
      </w:r>
      <w:r>
        <w:rPr>
          <w:rFonts w:ascii="Arial" w:hAnsi="Arial"/>
        </w:rPr>
        <w:t xml:space="preserve">“XVI - a obrigação do contratado de manter, durante toda a execução do contrato, em compatibilidade com as obrigações por ele assumidas, todas as condições exigidas para a habilitação na licitação, ou para a qualificação, na contrataçã</w:t>
      </w:r>
      <w:r>
        <w:rPr>
          <w:rFonts w:ascii="Arial" w:hAnsi="Arial"/>
        </w:rPr>
        <w:t xml:space="preserve">o direta;”.</w:t>
      </w:r>
      <w:r/>
    </w:p>
    <w:p>
      <w:pPr>
        <w:pBdr/>
        <w:spacing/>
        <w:ind w:right="-5"/>
        <w:jc w:val="both"/>
        <w:rPr>
          <w:rFonts w:ascii="Arial" w:hAnsi="Arial" w:eastAsia="Calibri"/>
        </w:rPr>
      </w:pPr>
      <w:r>
        <w:rPr>
          <w:rStyle w:val="989"/>
          <w:rFonts w:ascii="Arial" w:hAnsi="Arial" w:eastAsia="Calibri"/>
          <w:b/>
        </w:rPr>
        <w:t xml:space="preserve">10.3.2. </w:t>
      </w:r>
      <w:r>
        <w:rPr>
          <w:rStyle w:val="989"/>
          <w:rFonts w:ascii="Arial" w:hAnsi="Arial" w:eastAsia="Calibri"/>
        </w:rPr>
        <w:t xml:space="preserve">Constatando-se qualquer incorreção na Nota Fiscal, bem como, qualquer outra circunstância que desaconselhe o seu pagamento, o prazo constante no item 10.3 fluirá a partir da respectiva data de regularização. </w:t>
      </w:r>
      <w:r>
        <w:rPr>
          <w:rFonts w:ascii="Arial" w:hAnsi="Arial" w:eastAsia="Calibri"/>
        </w:rPr>
      </w:r>
      <w:r>
        <w:rPr>
          <w:rFonts w:ascii="Arial" w:hAnsi="Arial" w:eastAsia="Calibri"/>
        </w:rPr>
      </w:r>
    </w:p>
    <w:p>
      <w:pPr>
        <w:pBdr/>
        <w:spacing/>
        <w:ind w:right="-5"/>
        <w:jc w:val="both"/>
        <w:rPr/>
      </w:pPr>
      <w:r/>
      <w:r/>
    </w:p>
    <w:p>
      <w:pPr>
        <w:pBdr/>
        <w:spacing/>
        <w:ind w:right="-5"/>
        <w:jc w:val="both"/>
        <w:rPr/>
      </w:pPr>
      <w:r>
        <w:rPr>
          <w:rStyle w:val="989"/>
          <w:rFonts w:ascii="Arial" w:hAnsi="Arial" w:eastAsia="Calibri"/>
          <w:b/>
        </w:rPr>
        <w:t xml:space="preserve">10.4.</w:t>
      </w:r>
      <w:r>
        <w:rPr>
          <w:rStyle w:val="989"/>
          <w:rFonts w:ascii="Arial" w:hAnsi="Arial" w:eastAsia="Calibri"/>
        </w:rPr>
        <w:t xml:space="preserve"> Nenhum pagamento ser</w:t>
      </w:r>
      <w:r>
        <w:rPr>
          <w:rStyle w:val="989"/>
          <w:rFonts w:ascii="Arial" w:hAnsi="Arial" w:eastAsia="Calibri"/>
        </w:rPr>
        <w:t xml:space="preserve">á efetuado à Contratada enquanto pendente de liquidação qualquer obrigação, não podendo este fato ensejar direito de reajustamento de preços ou a atualização monetária.</w:t>
      </w:r>
      <w:r/>
    </w:p>
    <w:p>
      <w:pPr>
        <w:pBdr/>
        <w:spacing/>
        <w:ind w:right="-5"/>
        <w:jc w:val="both"/>
        <w:rPr/>
      </w:pPr>
      <w:r/>
      <w:r/>
    </w:p>
    <w:p>
      <w:pPr>
        <w:pBdr/>
        <w:spacing/>
        <w:ind w:right="-5"/>
        <w:jc w:val="both"/>
        <w:rPr/>
      </w:pPr>
      <w:r>
        <w:rPr>
          <w:rStyle w:val="989"/>
          <w:rFonts w:ascii="Arial" w:hAnsi="Arial" w:eastAsia="Calibri"/>
          <w:b/>
        </w:rPr>
        <w:t xml:space="preserve">10.5.</w:t>
      </w:r>
      <w:r>
        <w:rPr>
          <w:rStyle w:val="989"/>
          <w:rFonts w:ascii="Arial" w:hAnsi="Arial" w:eastAsia="Calibri"/>
        </w:rPr>
        <w:t xml:space="preserve"> Os pagamentos não realizados dentro do prazo, motivados pela CONTRATADA, não ser</w:t>
      </w:r>
      <w:r>
        <w:rPr>
          <w:rStyle w:val="989"/>
          <w:rFonts w:ascii="Arial" w:hAnsi="Arial" w:eastAsia="Calibri"/>
        </w:rPr>
        <w:t xml:space="preserve">ão geradores de direito a reajustamento de preços. </w:t>
      </w:r>
      <w:r/>
    </w:p>
    <w:p>
      <w:pPr>
        <w:pBdr/>
        <w:spacing/>
        <w:ind w:right="-5"/>
        <w:jc w:val="both"/>
        <w:rPr/>
      </w:pPr>
      <w:r/>
      <w:r/>
    </w:p>
    <w:p>
      <w:pPr>
        <w:pBdr/>
        <w:spacing/>
        <w:ind w:right="-5"/>
        <w:jc w:val="both"/>
        <w:rPr/>
      </w:pPr>
      <w:r>
        <w:rPr>
          <w:rFonts w:ascii="Arial" w:hAnsi="Arial"/>
          <w:b/>
        </w:rPr>
        <w:t xml:space="preserve">10.6.</w:t>
      </w:r>
      <w:r>
        <w:rPr>
          <w:rFonts w:ascii="Arial" w:hAnsi="Arial"/>
        </w:rPr>
        <w:t xml:space="preserve"> As notas fiscais deverão estar devidamente atestada(s) pelos Secretários responsáveis pelas Secretarias solicitantes;</w:t>
      </w:r>
      <w:r>
        <w:rPr>
          <w:rFonts w:ascii="Arial" w:hAnsi="Arial"/>
          <w:b/>
          <w:u w:val="single"/>
        </w:rPr>
        <w:t xml:space="preserve"> </w:t>
      </w:r>
      <w:r/>
    </w:p>
    <w:p>
      <w:pPr>
        <w:pBdr/>
        <w:spacing/>
        <w:ind w:right="-5"/>
        <w:jc w:val="both"/>
        <w:rPr>
          <w:rFonts w:ascii="Arial" w:hAnsi="Arial"/>
          <w:b/>
          <w:u w:val="single"/>
        </w:rPr>
      </w:pPr>
      <w:r>
        <w:rPr>
          <w:rFonts w:ascii="Arial" w:hAnsi="Arial"/>
          <w:b/>
          <w:u w:val="single"/>
        </w:rPr>
      </w:r>
      <w:r>
        <w:rPr>
          <w:rFonts w:ascii="Arial" w:hAnsi="Arial"/>
          <w:b/>
          <w:u w:val="single"/>
        </w:rPr>
      </w:r>
      <w:r>
        <w:rPr>
          <w:rFonts w:ascii="Arial" w:hAnsi="Arial"/>
          <w:b/>
          <w:u w:val="single"/>
        </w:rPr>
      </w:r>
    </w:p>
    <w:p>
      <w:pPr>
        <w:pBdr/>
        <w:spacing/>
        <w:ind/>
        <w:jc w:val="both"/>
        <w:rPr/>
      </w:pPr>
      <w:r>
        <w:rPr>
          <w:rFonts w:ascii="Arial" w:hAnsi="Arial"/>
          <w:b/>
        </w:rPr>
        <w:t xml:space="preserve">10.7. As Notas Fiscais deverão ser emitidas até o dia 25 de cada mês, conform</w:t>
      </w:r>
      <w:r>
        <w:rPr>
          <w:rFonts w:ascii="Arial" w:hAnsi="Arial"/>
          <w:b/>
        </w:rPr>
        <w:t xml:space="preserve">e disposto no artigo 3º, § 1º da Instrução Normativa n. 03/2008. Nas Notas Fiscais deverão constar o número do processo e da modalidade da licitação, bem como a Secretaria solicitante.</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rFonts w:ascii="Arial" w:hAnsi="Arial"/>
        </w:rPr>
      </w:pPr>
      <w:r>
        <w:rPr>
          <w:rFonts w:ascii="Arial" w:hAnsi="Arial"/>
          <w:b/>
        </w:rPr>
        <w:t xml:space="preserve">10.8.</w:t>
      </w:r>
      <w:r>
        <w:rPr>
          <w:rFonts w:ascii="Arial" w:hAnsi="Arial"/>
        </w:rPr>
        <w:t xml:space="preserve"> O Município de Rondonópolis-MT, só autorizará a realização dos p</w:t>
      </w:r>
      <w:r>
        <w:rPr>
          <w:rFonts w:ascii="Arial" w:hAnsi="Arial"/>
        </w:rPr>
        <w:t xml:space="preserve">agamentos, se houver por parte do setor requisitante dos produtos, o necessário ATESTO dos produtos entregues pela empresa vencedora, no verso da Nota Fiscal.</w:t>
      </w:r>
      <w:r>
        <w:rPr>
          <w:rFonts w:ascii="Arial" w:hAnsi="Arial"/>
        </w:rPr>
      </w:r>
      <w:r>
        <w:rPr>
          <w:rFonts w:ascii="Arial" w:hAnsi="Arial"/>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10.9.</w:t>
      </w:r>
      <w:r>
        <w:rPr>
          <w:rFonts w:ascii="Arial" w:hAnsi="Arial"/>
        </w:rPr>
        <w:t xml:space="preserve"> o prazo para liquidação deverá ocorrer em 30 (trinta) dias.</w:t>
      </w:r>
      <w:r/>
    </w:p>
    <w:p>
      <w:pPr>
        <w:pBdr/>
        <w:spacing/>
        <w:ind/>
        <w:jc w:val="both"/>
        <w:rPr/>
      </w:pPr>
      <w:r/>
      <w:r/>
    </w:p>
    <w:p>
      <w:pPr>
        <w:pBdr/>
        <w:spacing/>
        <w:ind/>
        <w:jc w:val="both"/>
        <w:rPr/>
      </w:pPr>
      <w:r>
        <w:rPr>
          <w:rFonts w:ascii="Arial" w:hAnsi="Arial"/>
          <w:b/>
        </w:rPr>
        <w:t xml:space="preserve">10.10. </w:t>
      </w:r>
      <w:r>
        <w:rPr>
          <w:rFonts w:ascii="Arial" w:hAnsi="Arial"/>
        </w:rPr>
        <w:t xml:space="preserve">Quando do pagamento, s</w:t>
      </w:r>
      <w:r>
        <w:rPr>
          <w:rFonts w:ascii="Arial" w:hAnsi="Arial"/>
        </w:rPr>
        <w:t xml:space="preserve">erá efetuada a retenção tributária prevista na legislação aplicável.</w:t>
      </w:r>
      <w:r/>
    </w:p>
    <w:p>
      <w:pPr>
        <w:pBdr/>
        <w:tabs>
          <w:tab w:val="left" w:leader="none" w:pos="1440"/>
        </w:tabs>
        <w:spacing w:after="120" w:before="120"/>
        <w:ind w:left="0"/>
        <w:jc w:val="both"/>
        <w:rPr/>
      </w:pPr>
      <w:r>
        <w:rPr>
          <w:rFonts w:ascii="Arial" w:hAnsi="Arial"/>
          <w:b/>
        </w:rPr>
        <w:t xml:space="preserve">10.10.1. </w:t>
      </w:r>
      <w:r>
        <w:rPr>
          <w:rFonts w:ascii="Arial" w:hAnsi="Arial"/>
        </w:rPr>
        <w:t xml:space="preserve">A Contratada regularmente optante pelo Simples Nacional, nos termos da Lei Complementar nº 123, de 2006, não sofrerá a retenção tributária quanto aos impostos e contribuições abr</w:t>
      </w:r>
      <w:r>
        <w:rPr>
          <w:rFonts w:ascii="Arial" w:hAnsi="Arial"/>
        </w:rPr>
        <w:t xml:space="preserve">angidos por aquele regime. No entanto, o pagamento ficará condicionado à apresentação de comprovação, por meio de documento oficial, de que faz jus ao tratamento tributário favorecido previsto na referida Lei Complementar.</w:t>
      </w:r>
      <w:r/>
    </w:p>
    <w:p>
      <w:pPr>
        <w:pBdr/>
        <w:spacing/>
        <w:ind/>
        <w:jc w:val="both"/>
        <w:rPr/>
      </w:pPr>
      <w:r>
        <w:rPr>
          <w:rFonts w:ascii="Arial" w:hAnsi="Arial"/>
          <w:b/>
        </w:rPr>
        <w:t xml:space="preserve">10.11.</w:t>
      </w:r>
      <w:r>
        <w:rPr>
          <w:rFonts w:ascii="Arial" w:hAnsi="Arial"/>
        </w:rPr>
        <w:t xml:space="preserve"> A liquidação e o pagamento</w:t>
      </w:r>
      <w:r>
        <w:rPr>
          <w:rFonts w:ascii="Arial" w:hAnsi="Arial"/>
        </w:rPr>
        <w:t xml:space="preserve"> não isentam o contratado das suas responsabilidades e obrigações vinculadas ao fornecimento, especialmente àquelas relacionadas à qualidade e garantia dos produtos, tampouco implicará aceitação definitiva do fornecimento.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10.12.</w:t>
      </w:r>
      <w:r>
        <w:rPr>
          <w:rFonts w:ascii="Arial" w:hAnsi="Arial"/>
        </w:rPr>
        <w:t xml:space="preserve"> As despesas bancárias decorrentes de transferência de valores para outras praças, serão de responsabilidade do contratado.</w:t>
      </w:r>
      <w:r>
        <w:rPr>
          <w:rFonts w:ascii="Arial" w:hAnsi="Arial"/>
        </w:rPr>
      </w:r>
      <w:r>
        <w:rPr>
          <w:rFonts w:ascii="Arial" w:hAnsi="Arial"/>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10.13.</w:t>
      </w:r>
      <w:r>
        <w:rPr>
          <w:rFonts w:ascii="Arial" w:hAnsi="Arial"/>
        </w:rPr>
        <w:t xml:space="preserve"> Não haverá atualização monetária entre a data do adimplemento das obrigações e a do efetivo pagamento.</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CLÁUSULA DÉCIMA PRIMEIRA - DO REEQUILÍBRIO ECONÕMICO FINANCEIRO</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11.1.</w:t>
      </w:r>
      <w:r>
        <w:rPr>
          <w:rFonts w:ascii="Arial" w:hAnsi="Arial"/>
        </w:rPr>
        <w:t xml:space="preserve"> Os preços inicialmente contratados são fixos e irreajustáveis pelo prazo de um ano contado da data do orçamento estimado.</w:t>
      </w:r>
      <w:r/>
    </w:p>
    <w:p>
      <w:pPr>
        <w:pBdr/>
        <w:spacing/>
        <w:ind/>
        <w:jc w:val="both"/>
        <w:rPr>
          <w:rFonts w:ascii="Arial" w:hAnsi="Arial"/>
        </w:rPr>
      </w:pPr>
      <w:r>
        <w:rPr>
          <w:rFonts w:ascii="Arial" w:hAnsi="Arial"/>
        </w:rPr>
      </w:r>
      <w:r>
        <w:rPr>
          <w:rFonts w:ascii="Arial" w:hAnsi="Arial"/>
        </w:rPr>
      </w:r>
      <w:r>
        <w:rPr>
          <w:rFonts w:ascii="Arial" w:hAnsi="Arial"/>
        </w:rPr>
      </w:r>
    </w:p>
    <w:p>
      <w:pPr>
        <w:pStyle w:val="2019"/>
        <w:widowControl w:val="false"/>
        <w:pBdr/>
        <w:tabs>
          <w:tab w:val="left" w:leader="none" w:pos="426"/>
        </w:tabs>
        <w:spacing/>
        <w:ind/>
        <w:jc w:val="both"/>
        <w:rPr/>
      </w:pPr>
      <w:r>
        <w:rPr>
          <w:rFonts w:ascii="Arial" w:hAnsi="Arial" w:cs="Arial"/>
          <w:b/>
          <w:bCs/>
          <w:iCs/>
          <w:spacing w:val="-1"/>
          <w:sz w:val="20"/>
          <w:szCs w:val="20"/>
          <w:lang w:eastAsia="pt-BR"/>
        </w:rPr>
        <w:t xml:space="preserve">11.1.1.</w:t>
      </w:r>
      <w:r>
        <w:rPr>
          <w:rFonts w:ascii="Arial" w:hAnsi="Arial" w:cs="Arial"/>
          <w:bCs/>
          <w:iCs/>
          <w:spacing w:val="-1"/>
          <w:sz w:val="20"/>
          <w:szCs w:val="20"/>
          <w:lang w:eastAsia="pt-BR"/>
        </w:rPr>
        <w:t xml:space="preserve"> </w:t>
      </w:r>
      <w:r>
        <w:rPr>
          <w:rFonts w:ascii="Arial" w:hAnsi="Arial" w:cs="Arial"/>
          <w:iCs/>
          <w:spacing w:val="-1"/>
          <w:sz w:val="20"/>
          <w:szCs w:val="20"/>
          <w:lang w:eastAsia="pt-BR"/>
        </w:rPr>
        <w:t xml:space="preserve">Considera-se preço registrado aquele atribuído ao prod</w:t>
      </w:r>
      <w:r>
        <w:rPr>
          <w:rFonts w:ascii="Arial" w:hAnsi="Arial" w:cs="Arial"/>
          <w:iCs/>
          <w:spacing w:val="-1"/>
          <w:sz w:val="20"/>
          <w:szCs w:val="20"/>
          <w:lang w:eastAsia="pt-BR"/>
        </w:rPr>
        <w:t xml:space="preserve">uto, incluindo todas as despesas tais como: tributos (impostos, taxas, emolumentos, contribuições fiscais e para fiscais) e</w:t>
      </w:r>
      <w:r>
        <w:rPr>
          <w:rFonts w:ascii="Arial" w:hAnsi="Arial" w:cs="Arial"/>
          <w:sz w:val="20"/>
          <w:szCs w:val="20"/>
        </w:rPr>
        <w:t xml:space="preserve"> qualquer despesa, acessória e/ou complementar e outras não especificadas neste edital, mas que incidam no cumprimento das obrigações</w:t>
      </w:r>
      <w:r>
        <w:rPr>
          <w:rFonts w:ascii="Arial" w:hAnsi="Arial" w:cs="Arial"/>
          <w:sz w:val="20"/>
          <w:szCs w:val="20"/>
        </w:rPr>
        <w:t xml:space="preserve"> assumidas pela empresa detentora da Ata na execução da mesma.</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11.2.</w:t>
      </w:r>
      <w:r>
        <w:rPr>
          <w:rFonts w:ascii="Arial" w:hAnsi="Arial"/>
        </w:rPr>
        <w:t xml:space="preserve"> Após o intervalo de um ano, os preços iniciais serão reajustados por meio da aplicação do Índice Nacional de Preços ao Consumidor Amplo (IPCA), divulgado pelo Instituto Brasileiro de Geo</w:t>
      </w:r>
      <w:r>
        <w:rPr>
          <w:rFonts w:ascii="Arial" w:hAnsi="Arial"/>
        </w:rPr>
        <w:t xml:space="preserve">grafia e Estatística – IBGE.</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11.3.</w:t>
      </w:r>
      <w:r>
        <w:rPr>
          <w:rFonts w:ascii="Arial" w:hAnsi="Arial"/>
        </w:rPr>
        <w:t xml:space="preserve"> Os reajustes deverão ser precedidos de solicitação do contratado, acompanhada de memorial do cálculo.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11.4.</w:t>
      </w:r>
      <w:r>
        <w:rPr>
          <w:rFonts w:ascii="Arial" w:hAnsi="Arial"/>
        </w:rPr>
        <w:t xml:space="preserve"> Independentemente do requerimento de reajuste formulado pelo contratado, o contratante verificará, a cada anual</w:t>
      </w:r>
      <w:r>
        <w:rPr>
          <w:rFonts w:ascii="Arial" w:hAnsi="Arial"/>
        </w:rPr>
        <w:t xml:space="preserve">idade, se houve deflação do índice adotado que justifique o recálculo dos custos em valor menor, promovendo, em caso positivo, a redução dos valores correspondentes da planilha contratual.</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11.5.</w:t>
      </w:r>
      <w:r>
        <w:rPr>
          <w:rFonts w:ascii="Arial" w:hAnsi="Arial"/>
        </w:rPr>
        <w:t xml:space="preserve"> Nos reajustes subsequentes ao primeiro, o intervalo mínimo d</w:t>
      </w:r>
      <w:r>
        <w:rPr>
          <w:rFonts w:ascii="Arial" w:hAnsi="Arial"/>
        </w:rPr>
        <w:t xml:space="preserve">e um ano será contado a partir dos efeitos financeiros do último reajuste.</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11.6.</w:t>
      </w:r>
      <w:r>
        <w:rPr>
          <w:rFonts w:ascii="Arial" w:hAnsi="Arial"/>
        </w:rPr>
        <w:t xml:space="preserve"> No caso de atraso ou não divulgação do(s) índice (s) de reajustamento, o contratante pagará ao contratado a importância calculada pela última variação conhecida, liquidando a</w:t>
      </w:r>
      <w:r>
        <w:rPr>
          <w:rFonts w:ascii="Arial" w:hAnsi="Arial"/>
        </w:rPr>
        <w:t xml:space="preserve"> diferença correspondente tão logo seja(m) divulgado(s) o(s) índice(s) definitivo(s).</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11.7</w:t>
      </w:r>
      <w:r>
        <w:rPr>
          <w:rFonts w:ascii="Arial" w:hAnsi="Arial"/>
        </w:rPr>
        <w:t xml:space="preserve">. A prorrogação contratual sem a solicitação do reajuste implica a preclusão deste, sem prejuízo dos futuros reajustes nos termos pactuados.</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11.8.</w:t>
      </w:r>
      <w:r>
        <w:rPr>
          <w:rFonts w:ascii="Arial" w:hAnsi="Arial"/>
        </w:rPr>
        <w:t xml:space="preserve"> Caso o(s) índice(</w:t>
      </w:r>
      <w:r>
        <w:rPr>
          <w:rFonts w:ascii="Arial" w:hAnsi="Arial"/>
        </w:rPr>
        <w:t xml:space="preserve">s) estabelecido(s) para reajustamento venha(m) a ser extinto(s) ou de qualquer forma não possa(m) mais ser utilizado(s), será(ão) adotado(s), em substituição, o(s) que vier(em) a ser determinado(s) pela legislação então em vigor.</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11.9.</w:t>
      </w:r>
      <w:r>
        <w:rPr>
          <w:rFonts w:ascii="Arial" w:hAnsi="Arial"/>
        </w:rPr>
        <w:t xml:space="preserve"> Na ausência de prev</w:t>
      </w:r>
      <w:r>
        <w:rPr>
          <w:rFonts w:ascii="Arial" w:hAnsi="Arial"/>
        </w:rPr>
        <w:t xml:space="preserve">isão legal quanto ao índice substituto, as partes elegerão novo índice oficial, para reajustamento do preço do valor remanescente, por meio de termo aditivo.</w:t>
      </w:r>
      <w:r/>
    </w:p>
    <w:p>
      <w:pPr>
        <w:pBdr/>
        <w:spacing/>
        <w:ind/>
        <w:jc w:val="both"/>
        <w:rPr>
          <w:rFonts w:ascii="Arial" w:hAnsi="Arial"/>
        </w:rPr>
      </w:pPr>
      <w:r>
        <w:rPr>
          <w:rFonts w:ascii="Arial" w:hAnsi="Arial"/>
          <w:b/>
        </w:rPr>
        <w:t xml:space="preserve">11.10</w:t>
      </w:r>
      <w:r>
        <w:rPr>
          <w:rFonts w:ascii="Arial" w:hAnsi="Arial"/>
        </w:rPr>
        <w:t xml:space="preserve">. O reajuste será realizado por apostilamento. </w:t>
      </w:r>
      <w:r>
        <w:rPr>
          <w:rFonts w:ascii="Arial" w:hAnsi="Arial"/>
        </w:rPr>
      </w:r>
      <w:r>
        <w:rPr>
          <w:rFonts w:ascii="Arial" w:hAnsi="Arial"/>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rFonts w:ascii="Arial" w:hAnsi="Arial"/>
        </w:rPr>
      </w:pPr>
      <w:r>
        <w:rPr>
          <w:rFonts w:ascii="Arial" w:hAnsi="Arial"/>
          <w:b/>
        </w:rPr>
        <w:t xml:space="preserve">11.11.</w:t>
      </w:r>
      <w:r>
        <w:rPr>
          <w:rFonts w:ascii="Arial" w:hAnsi="Arial"/>
        </w:rPr>
        <w:t xml:space="preserve"> O prazo para resposta para pedido de </w:t>
      </w:r>
      <w:r>
        <w:rPr>
          <w:rFonts w:ascii="Arial" w:hAnsi="Arial"/>
        </w:rPr>
        <w:t xml:space="preserve">pedido de reajuste, pedido de equilíbrio econômico-financeiro será de até 30 (trinta) dias úteis.</w:t>
      </w:r>
      <w:r>
        <w:rPr>
          <w:rFonts w:ascii="Arial" w:hAnsi="Arial"/>
        </w:rPr>
      </w:r>
      <w:r>
        <w:rPr>
          <w:rFonts w:ascii="Arial" w:hAnsi="Arial"/>
        </w:rPr>
      </w:r>
    </w:p>
    <w:p>
      <w:pPr>
        <w:pBdr/>
        <w:spacing/>
        <w:ind/>
        <w:jc w:val="both"/>
        <w:rPr/>
      </w:pPr>
      <w:r/>
      <w:r/>
    </w:p>
    <w:p>
      <w:pPr>
        <w:pBdr/>
        <w:spacing/>
        <w:ind w:right="-5"/>
        <w:rPr/>
      </w:pPr>
      <w:r>
        <w:rPr>
          <w:rFonts w:ascii="Arial" w:hAnsi="Arial"/>
          <w:b/>
        </w:rPr>
        <w:t xml:space="preserve">CLÁUSULA DÉCIMA SEGUNDA – DA VIGÊNCIA:</w:t>
      </w:r>
      <w:r/>
    </w:p>
    <w:p>
      <w:pPr>
        <w:pBdr/>
        <w:spacing/>
        <w:ind/>
        <w:jc w:val="both"/>
        <w:rPr>
          <w:rFonts w:ascii="Arial" w:hAnsi="Arial"/>
          <w14:ligatures w14:val="none"/>
        </w:rPr>
      </w:pPr>
      <w:r>
        <w:rPr>
          <w:rFonts w:ascii="Arial" w:hAnsi="Arial"/>
        </w:rPr>
      </w:r>
      <w:r>
        <w:rPr>
          <w:rFonts w:ascii="Arial" w:hAnsi="Arial"/>
        </w:rPr>
      </w:r>
      <w:r>
        <w:rPr>
          <w:rFonts w:ascii="Arial" w:hAnsi="Arial"/>
          <w14:ligatures w14:val="none"/>
        </w:rPr>
      </w:r>
    </w:p>
    <w:p>
      <w:pPr>
        <w:pBdr/>
        <w:spacing/>
        <w:ind/>
        <w:jc w:val="both"/>
        <w:rPr>
          <w:rFonts w:ascii="Arial" w:hAnsi="Arial"/>
          <w14:ligatures w14:val="none"/>
        </w:rPr>
      </w:pPr>
      <w:r>
        <w:rPr>
          <w:rFonts w:ascii="Arial" w:hAnsi="Arial"/>
          <w:b/>
          <w:bCs/>
        </w:rPr>
        <w:t xml:space="preserve">12.1</w:t>
      </w:r>
      <w:r>
        <w:rPr>
          <w:rFonts w:ascii="Arial" w:hAnsi="Arial"/>
          <w:b/>
          <w:bCs/>
        </w:rPr>
        <w:t xml:space="preserve">.</w:t>
      </w:r>
      <w:r>
        <w:rPr>
          <w:rFonts w:ascii="Arial" w:hAnsi="Arial"/>
        </w:rPr>
        <w:t xml:space="preserve"> </w:t>
      </w:r>
      <w:r>
        <w:rPr>
          <w:rFonts w:ascii="Arial" w:hAnsi="Arial"/>
        </w:rPr>
        <w:t xml:space="preserve">O prazo de vigência deste contrato é de até 12 (doze) meses, contados da data de sua assinatura, podendo extinguir-se antes em caso de cumprimento integral das obrigações, exaurimento do saldo contratual ou término da vigência da ata de registro de preços,</w:t>
      </w:r>
      <w:r>
        <w:rPr>
          <w:rFonts w:ascii="Arial" w:hAnsi="Arial"/>
        </w:rPr>
        <w:t xml:space="preserve"> o que ocorrer primeiro.</w:t>
      </w:r>
      <w:r>
        <w:rPr>
          <w:rFonts w:ascii="Arial" w:hAnsi="Arial"/>
        </w:rPr>
      </w:r>
      <w:r>
        <w:rPr>
          <w:rFonts w:ascii="Arial" w:hAnsi="Arial"/>
          <w14:ligatures w14:val="none"/>
        </w:rP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CLÁUSULA DÉCIMA TERCEIRA – DA ALTERAÇÃO DO CONTRATO</w:t>
      </w:r>
      <w:r>
        <w:rPr>
          <w:rFonts w:ascii="Arial" w:hAnsi="Arial"/>
        </w:rPr>
        <w:t xml:space="preserve">:</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13.1.</w:t>
      </w:r>
      <w:r>
        <w:rPr>
          <w:rFonts w:ascii="Arial" w:hAnsi="Arial"/>
        </w:rPr>
        <w:t xml:space="preserve"> O contrato poderá ser alterado na forma do artigo 124 e seguintes da Lei nº 14.133/2021 e Decreto Municipal nº 11.685/2023.</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13.2.</w:t>
      </w:r>
      <w:r>
        <w:rPr>
          <w:rFonts w:ascii="Arial" w:hAnsi="Arial"/>
        </w:rPr>
        <w:t xml:space="preserve"> O contratado é obrigado a aceitar, nas mesmas condições contratuais, os acréscimos ou supressões que se fizerem necessários,</w:t>
      </w:r>
      <w:r>
        <w:rPr>
          <w:rFonts w:ascii="Arial" w:hAnsi="Arial"/>
        </w:rPr>
        <w:t xml:space="preserve"> até o limite de 25% (vinte e cinco por cento) do valor inicial atualizado do contrato.</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13.3.</w:t>
      </w:r>
      <w:r>
        <w:rPr>
          <w:rFonts w:ascii="Arial" w:hAnsi="Arial"/>
        </w:rPr>
        <w:t xml:space="preserve"> Registros que não caracterizam alteração do contrato podem ser realizados por simples apostila, dispensada a celebração de termo aditivo, na forma do artigo 136 </w:t>
      </w:r>
      <w:r>
        <w:rPr>
          <w:rFonts w:ascii="Arial" w:hAnsi="Arial"/>
        </w:rPr>
        <w:t xml:space="preserve">da Lei nº 14.133, de 2021.</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13.4.</w:t>
      </w:r>
      <w:r>
        <w:rPr>
          <w:rFonts w:ascii="Arial" w:hAnsi="Arial"/>
        </w:rPr>
        <w:t xml:space="preserve"> Durante a vigência do contrato o contratado poderá solicitar a revisão dos preços para manter o equilíbrio econômico-financeiro obtido na licitação, mediante a comprovação dos fatos previstos no artigo 124, inciso II, alín</w:t>
      </w:r>
      <w:r>
        <w:rPr>
          <w:rFonts w:ascii="Arial" w:hAnsi="Arial"/>
        </w:rPr>
        <w:t xml:space="preserve">ea “d”, da Lei nº 14.133/2021, conforme cláusula décima primeira.</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CLÁUSULA DÉCIMA QUARTA – DA EXTINÇÃO DO CONTRATO</w:t>
      </w:r>
      <w:r>
        <w:rPr>
          <w:rFonts w:ascii="Arial" w:hAnsi="Arial"/>
        </w:rPr>
        <w:t xml:space="preserve">:</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14.1.</w:t>
      </w:r>
      <w:r>
        <w:rPr>
          <w:rFonts w:ascii="Arial" w:hAnsi="Arial"/>
        </w:rPr>
        <w:t xml:space="preserve"> O contrato se extingue quando cumpridas as obrigações de ambas as partes, ainda que isso ocorra antes do prazo estipulado para tanto</w:t>
      </w:r>
      <w:r>
        <w:rPr>
          <w:rFonts w:ascii="Arial" w:hAnsi="Arial"/>
        </w:rPr>
        <w:t xml:space="preserve">.</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14.2.</w:t>
      </w:r>
      <w:r>
        <w:rPr>
          <w:rFonts w:ascii="Arial" w:hAnsi="Arial"/>
        </w:rPr>
        <w:t xml:space="preserve"> O presente termo de contrato poderá ser extinto nas hipóteses previstas no rol do artigo 137 da Lei nº 14.133/202, devendo a extinção ser formalmente motivada nos autos do processo, assegurado o contraditório e ampla defesa e respeitados os proced</w:t>
      </w:r>
      <w:r>
        <w:rPr>
          <w:rFonts w:ascii="Arial" w:hAnsi="Arial"/>
        </w:rPr>
        <w:t xml:space="preserve">imentos descritos no Decreto Municipal nº 11.685/2023 e nas demais legislações aplicáveis.</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14.2.1.</w:t>
      </w:r>
      <w:r>
        <w:rPr>
          <w:rFonts w:ascii="Arial" w:hAnsi="Arial"/>
        </w:rPr>
        <w:t xml:space="preserve"> Nesta hipótese, aplicam-se também os artigos 138 e 139 da Lei 14.133/2021.</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14.2.2.</w:t>
      </w:r>
      <w:r>
        <w:rPr>
          <w:rFonts w:ascii="Arial" w:hAnsi="Arial"/>
        </w:rPr>
        <w:t xml:space="preserve"> A alteração social ou a modificação da finalidade ou da estrutura da emp</w:t>
      </w:r>
      <w:r>
        <w:rPr>
          <w:rFonts w:ascii="Arial" w:hAnsi="Arial"/>
        </w:rPr>
        <w:t xml:space="preserve">resa não ensejará a rescisão se não restringir sua capacidade de concluir o contrato.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14.2.3.</w:t>
      </w:r>
      <w:r>
        <w:rPr>
          <w:rFonts w:ascii="Arial" w:hAnsi="Arial"/>
        </w:rPr>
        <w:t xml:space="preserve"> Se a operação implicar mudança da pessoa jurídica contratada, deverá ser formalizado termo aditivo para alteração subjetiva.</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14.3.</w:t>
      </w:r>
      <w:r>
        <w:rPr>
          <w:rFonts w:ascii="Arial" w:hAnsi="Arial"/>
        </w:rPr>
        <w:t xml:space="preserve"> A extinção determinada por at</w:t>
      </w:r>
      <w:r>
        <w:rPr>
          <w:rFonts w:ascii="Arial" w:hAnsi="Arial"/>
        </w:rPr>
        <w:t xml:space="preserve">o unilateral da Administração e a extinção consensual deverão ser precedidas de autorização escrita e fundamentada da autoridade competente e reduzidas a termo no respectivo processo.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14.4.</w:t>
      </w:r>
      <w:r>
        <w:rPr>
          <w:rFonts w:ascii="Arial" w:hAnsi="Arial"/>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w:t>
      </w:r>
      <w:r>
        <w:rPr>
          <w:rFonts w:ascii="Arial" w:hAnsi="Arial"/>
        </w:rPr>
        <w:t xml:space="preserve">a licitação ou atue na fiscalização ou na gestão do contrato, ou que deles seja cônjuge, companheiro ou parente em linha reta, colateral ou por afinidade, até o terceiro grau (art. 14, inciso IV, da Lei nº 14.133, de 2021).</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14.5.</w:t>
      </w:r>
      <w:r>
        <w:rPr>
          <w:rFonts w:ascii="Arial" w:hAnsi="Arial"/>
        </w:rPr>
        <w:t xml:space="preserve"> A extinção do contrato nã</w:t>
      </w:r>
      <w:r>
        <w:rPr>
          <w:rFonts w:ascii="Arial" w:hAnsi="Arial"/>
        </w:rPr>
        <w:t xml:space="preserve">o configura óbice para o reconhecimento do desequilíbrio econômico-financeiro, hipótese em que será concedida indenização por meio de termo indenizatório (art. 131, </w:t>
      </w:r>
      <w:r>
        <w:rPr>
          <w:rFonts w:ascii="Arial" w:hAnsi="Arial"/>
          <w:i/>
          <w:iCs/>
        </w:rPr>
        <w:t xml:space="preserve">caput, </w:t>
      </w:r>
      <w:r>
        <w:rPr>
          <w:rFonts w:ascii="Arial" w:hAnsi="Arial"/>
        </w:rPr>
        <w:t xml:space="preserve">da Lei nº 14.133, de 2021).</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CLÁUSULA DÉCIMA QUINTA – DA FISCALIZAÇÃO E GESTÃO DO CO</w:t>
      </w:r>
      <w:r>
        <w:rPr>
          <w:rFonts w:ascii="Arial" w:hAnsi="Arial"/>
          <w:b/>
        </w:rPr>
        <w:t xml:space="preserve">NTRATO</w:t>
      </w:r>
      <w:r>
        <w:rPr>
          <w:rFonts w:ascii="Arial" w:hAnsi="Arial"/>
        </w:rPr>
        <w:t xml:space="preserve">:</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15.1.</w:t>
      </w:r>
      <w:r>
        <w:rPr>
          <w:rFonts w:ascii="Arial" w:hAnsi="Arial"/>
        </w:rPr>
        <w:t xml:space="preserve"> Será designado, pelo contratante, um servidor qualificado ou uma comissão para exercer a fiscalização e acompanhamento do contrato, que terá, dentre outras, a incumbência de informar as ocorrências relevantes verificadas na execução contratu</w:t>
      </w:r>
      <w:r>
        <w:rPr>
          <w:rFonts w:ascii="Arial" w:hAnsi="Arial"/>
        </w:rPr>
        <w:t xml:space="preserve">al, inclusive quanto a eventuais atrasos e descumprimentos de cláusulas contratuais; solicitar ao contratado documentos exigidos para o fornecimento do bem, correção de falhas na execução contratual, cumprimento da legislação aplicável, e, sendo o caso, de</w:t>
      </w:r>
      <w:r>
        <w:rPr>
          <w:rFonts w:ascii="Arial" w:hAnsi="Arial"/>
        </w:rPr>
        <w:t xml:space="preserve">terminar a substituição de produtos defeituosos; informar as autoridades competentes a ocorrência de ilegalidades e irregularidades que constatar;</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15.2</w:t>
      </w:r>
      <w:r>
        <w:rPr>
          <w:rFonts w:ascii="Arial" w:hAnsi="Arial"/>
        </w:rPr>
        <w:t xml:space="preserve">. A execução do contrato deverá ser acompanhada e fiscalizada por um ou mais fiscais de contratos, repre</w:t>
      </w:r>
      <w:r>
        <w:rPr>
          <w:rFonts w:ascii="Arial" w:hAnsi="Arial"/>
        </w:rPr>
        <w:t xml:space="preserve">sentantes da Administração especialmente designados, nos termos do art. 117 da Lei nº 14.133/2021.</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15.3. </w:t>
      </w:r>
      <w:r>
        <w:rPr>
          <w:rFonts w:ascii="Arial" w:hAnsi="Arial"/>
        </w:rPr>
        <w:t xml:space="preserve">A fiscalização exercida pelo contratante na entrega dos bens não exclui a responsabilidade do contratado, por quaisquer irregularidades resultantes de</w:t>
      </w:r>
      <w:r>
        <w:rPr>
          <w:rFonts w:ascii="Arial" w:hAnsi="Arial"/>
        </w:rPr>
        <w:t xml:space="preserve"> imperfeições técnicas, vícios redibitórios, ou emprego de material inadequado ou de qualidade inferior e, na ocorrência deste, não implica co-responsabilidade do contratante ou de seus agentes e prepostos.</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15.4.</w:t>
      </w:r>
      <w:r>
        <w:rPr>
          <w:rFonts w:ascii="Arial" w:hAnsi="Arial"/>
        </w:rPr>
        <w:t xml:space="preserve"> Em caso de impedimento, ordem de paralisaç</w:t>
      </w:r>
      <w:r>
        <w:rPr>
          <w:rFonts w:ascii="Arial" w:hAnsi="Arial"/>
        </w:rPr>
        <w:t xml:space="preserve">ão ou suspensão do contrato, o cronograma de execução será prorrogado automaticamente pelo tempo correspondente, anotadas tais circunstâncias mediante simples apostilamento.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15.5.</w:t>
      </w:r>
      <w:r>
        <w:rPr>
          <w:rFonts w:ascii="Arial" w:hAnsi="Arial"/>
        </w:rPr>
        <w:t xml:space="preserve"> A execução do contrato deverá ser acompanhada e fiscalizada pelo(s) fiscal(</w:t>
      </w:r>
      <w:r>
        <w:rPr>
          <w:rFonts w:ascii="Arial" w:hAnsi="Arial"/>
        </w:rPr>
        <w:t xml:space="preserve">is) do contrato, ou, em caso de afastamentos legais, pelos respectivos substitutos.</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15.6.</w:t>
      </w:r>
      <w:r>
        <w:rPr>
          <w:rFonts w:ascii="Arial" w:hAnsi="Arial"/>
        </w:rPr>
        <w:t xml:space="preserve"> Os gestores e fiscais de contrato devem ser previamente designados, por portaria geral ou específica, conforme Decreto Municipal nº 11.685/2023 e cientificados de forma expressa, preferencialmente por meio eletrônico, bem como os titulares e substitutos.</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15.7.</w:t>
      </w:r>
      <w:r>
        <w:rPr>
          <w:rFonts w:ascii="Arial" w:hAnsi="Arial"/>
        </w:rPr>
        <w:t xml:space="preserve"> Não obstante o contratado seja o único e exclusivo responsável pela execução do Contrato, o contratante reserva-se o direito de, sem que de qualquer forma restrinja a plenitude dessa responsabilidade, exercer a mais ampla e completa fiscalização sob</w:t>
      </w:r>
      <w:r>
        <w:rPr>
          <w:rFonts w:ascii="Arial" w:hAnsi="Arial"/>
        </w:rPr>
        <w:t xml:space="preserve">re a execução do objeto contratado.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CLÁUSULA DÉCIMA SEXTA - DAS INFRAÇÕES E SANÇÕES ADMINISTRATIVAS: </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16.1.</w:t>
      </w:r>
      <w:r>
        <w:rPr>
          <w:rFonts w:ascii="Arial" w:hAnsi="Arial"/>
        </w:rPr>
        <w:t xml:space="preserve"> Comete infração administrativa, nos termos da Lei nº 14.133/2021 (art. 155) e do Decreto Municipal nº 11.685/2023 o contratado que:</w:t>
      </w:r>
      <w:r/>
    </w:p>
    <w:p>
      <w:pPr>
        <w:pBdr/>
        <w:spacing/>
        <w:ind/>
        <w:jc w:val="both"/>
        <w:rPr/>
      </w:pPr>
      <w:r/>
      <w:r/>
    </w:p>
    <w:p>
      <w:pPr>
        <w:pBdr/>
        <w:spacing/>
        <w:ind/>
        <w:jc w:val="both"/>
        <w:rPr/>
      </w:pPr>
      <w:r>
        <w:rPr>
          <w:rFonts w:ascii="Arial" w:hAnsi="Arial"/>
          <w:b/>
        </w:rPr>
        <w:t xml:space="preserve">16.1.1.</w:t>
      </w:r>
      <w:r>
        <w:rPr>
          <w:rFonts w:ascii="Arial" w:hAnsi="Arial"/>
        </w:rPr>
        <w:t xml:space="preserve"> Dar c</w:t>
      </w:r>
      <w:r>
        <w:rPr>
          <w:rFonts w:ascii="Arial" w:hAnsi="Arial"/>
        </w:rPr>
        <w:t xml:space="preserve">ausa à inexecução parcial do contrato que cause grave dano à Administração, ao funcionamento dos serviços públicos ou ao interesse coletivo.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16.1.2.</w:t>
      </w:r>
      <w:r>
        <w:rPr>
          <w:rFonts w:ascii="Arial" w:hAnsi="Arial"/>
        </w:rPr>
        <w:t xml:space="preserve"> Dar causa à inexecução total do contrato. </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16.1.3.</w:t>
      </w:r>
      <w:r>
        <w:rPr>
          <w:rFonts w:ascii="Arial" w:hAnsi="Arial"/>
        </w:rPr>
        <w:t xml:space="preserve"> Não celebrar o contrato ou não entregar a documentação exigida para a contratação, quando convocado dentro do prazo de validade de sua proposta.</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16.1.4.</w:t>
      </w:r>
      <w:r>
        <w:rPr>
          <w:rFonts w:ascii="Arial" w:hAnsi="Arial"/>
        </w:rPr>
        <w:t xml:space="preserve"> Ensejar o retardamento da execução ou da entrega do objeto da licitação sem motivo justificado.</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16.1</w:t>
      </w:r>
      <w:r>
        <w:rPr>
          <w:rFonts w:ascii="Arial" w:hAnsi="Arial"/>
          <w:b/>
        </w:rPr>
        <w:t xml:space="preserve">.5.</w:t>
      </w:r>
      <w:r>
        <w:rPr>
          <w:rFonts w:ascii="Arial" w:hAnsi="Arial"/>
        </w:rPr>
        <w:t xml:space="preserve"> Apresentar declaração ou documentação falsa exigida para o certame ou prestar declaração falsa durante a licitação ou a execução do contrato.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16.1.6. </w:t>
      </w:r>
      <w:r>
        <w:rPr>
          <w:rFonts w:ascii="Arial" w:hAnsi="Arial"/>
        </w:rPr>
        <w:t xml:space="preserve">Fraudar a licitação ou praticar ato fraudulento na execução do contrato.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16.1.7.</w:t>
      </w:r>
      <w:r>
        <w:rPr>
          <w:rFonts w:ascii="Arial" w:hAnsi="Arial"/>
        </w:rPr>
        <w:t xml:space="preserve"> Comportar-se de mod</w:t>
      </w:r>
      <w:r>
        <w:rPr>
          <w:rFonts w:ascii="Arial" w:hAnsi="Arial"/>
        </w:rPr>
        <w:t xml:space="preserve">o inidôneo ou cometer fraude de qualquer natureza.</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16.1.8.</w:t>
      </w:r>
      <w:r>
        <w:rPr>
          <w:rFonts w:ascii="Arial" w:hAnsi="Arial"/>
        </w:rPr>
        <w:t xml:space="preserve"> Praticar atos ilícitos com vistas a frustrar os objetivos da licitação.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16.1.9.</w:t>
      </w:r>
      <w:r>
        <w:rPr>
          <w:rFonts w:ascii="Arial" w:hAnsi="Arial"/>
        </w:rPr>
        <w:t xml:space="preserve"> Praticar ato lesivo previsto no art. 5º, da Lei nº 12.846/2013.</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w:t>
      </w:r>
      <w:r>
        <w:rPr>
          <w:rFonts w:ascii="Arial" w:hAnsi="Arial"/>
        </w:rPr>
        <w:t xml:space="preserve"> Serão aplicadas ao contratado que incorrer n</w:t>
      </w:r>
      <w:r>
        <w:rPr>
          <w:rFonts w:ascii="Arial" w:hAnsi="Arial"/>
        </w:rPr>
        <w:t xml:space="preserve">as infrações acima descritas as seguintes sanções:</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16.2.1.</w:t>
      </w:r>
      <w:r>
        <w:rPr>
          <w:rFonts w:ascii="Arial" w:hAnsi="Arial"/>
        </w:rPr>
        <w:t xml:space="preserve"> Advertência, quando o contratado der causa à inexecução parcial do contrato que não implique em prejuízo ou dano à administração, bem como na hipótese de descumprimento de pequena relevância prati</w:t>
      </w:r>
      <w:r>
        <w:rPr>
          <w:rFonts w:ascii="Arial" w:hAnsi="Arial"/>
        </w:rPr>
        <w:t xml:space="preserve">cado pelo contratado e que não justifique imposição de penalidade mais grave;</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16.2.2.</w:t>
      </w:r>
      <w:r>
        <w:rPr>
          <w:rFonts w:ascii="Arial" w:hAnsi="Arial"/>
        </w:rPr>
        <w:t xml:space="preserve"> Multa:</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16.2.2.1.</w:t>
      </w:r>
      <w:r>
        <w:rPr>
          <w:rFonts w:ascii="Arial" w:hAnsi="Arial"/>
        </w:rPr>
        <w:t xml:space="preserve"> Moratória: em razão do atraso injustificado: na proporção de 5 % (cinco por cento) do valor da parcela inadimplida por dia de atraso injustificado até </w:t>
      </w:r>
      <w:r>
        <w:rPr>
          <w:rFonts w:ascii="Arial" w:hAnsi="Arial"/>
        </w:rPr>
        <w:t xml:space="preserve">o limite de 30 (trinta) dias corridos.</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16.2.2.1.1</w:t>
      </w:r>
      <w:r>
        <w:rPr>
          <w:rFonts w:ascii="Arial" w:hAnsi="Arial"/>
        </w:rPr>
        <w:t xml:space="preserve">. O atraso superior a 30 (trinta) dias autoriza a Administração a promover a extinção do contrato por descumprimento ou cumprimento irregular de suas cláusulas, conforme dispõe o inciso I do art. 137 da Lei</w:t>
      </w:r>
      <w:r>
        <w:rPr>
          <w:rFonts w:ascii="Arial" w:hAnsi="Arial"/>
        </w:rPr>
        <w:t xml:space="preserve"> n.</w:t>
      </w:r>
      <w:r/>
    </w:p>
    <w:p>
      <w:pPr>
        <w:pBdr/>
        <w:spacing/>
        <w:ind/>
        <w:jc w:val="both"/>
        <w:rPr/>
      </w:pPr>
      <w:r>
        <w:rPr>
          <w:rFonts w:ascii="Arial" w:hAnsi="Arial"/>
        </w:rPr>
        <w:t xml:space="preserve">14.133, de 2021.</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16.2.2.2.</w:t>
      </w:r>
      <w:r>
        <w:rPr>
          <w:rFonts w:ascii="Arial" w:hAnsi="Arial"/>
        </w:rPr>
        <w:t xml:space="preserve"> Compensatória: será aplicada multa de 0,5% até 30% sobre o valor do contrato, devendo a autoridade competente observar, na dosimetria da pena, as seguintes recomendações:</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16.2.2.2.1. </w:t>
      </w:r>
      <w:r>
        <w:rPr>
          <w:rFonts w:ascii="Arial" w:hAnsi="Arial"/>
        </w:rPr>
        <w:t xml:space="preserve">Em casos de inexecução parcial do contra</w:t>
      </w:r>
      <w:r>
        <w:rPr>
          <w:rFonts w:ascii="Arial" w:hAnsi="Arial"/>
        </w:rPr>
        <w:t xml:space="preserve">to, que cause grave dano à Administração, ao funcionamento dos serviços públicos ou ao interesse coletivo (item 16.1.1), bem como quantos aos itens: 16.1.3 e 16.1.4, a multa será de 0,5% a 15% do valor do contrato licitado. </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16.2.2.2.2.</w:t>
      </w:r>
      <w:r>
        <w:rPr>
          <w:rFonts w:ascii="Arial" w:hAnsi="Arial"/>
        </w:rPr>
        <w:t xml:space="preserve"> Em casos de ine</w:t>
      </w:r>
      <w:r>
        <w:rPr>
          <w:rFonts w:ascii="Arial" w:hAnsi="Arial"/>
        </w:rPr>
        <w:t xml:space="preserve">xecução total do contrato (item 16.1.2), bem como quanto aos itens: 16.1.5; 16.1.6; 16.1.7; 16.1.8 e 16.1.9) nas hipóteses de atos fraudulentos com o objetivo de obter vantagens indevidas, a multa será fixada entre 15% a 30% do valor do contrato licitado. </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16.2.2.2.3.</w:t>
      </w:r>
      <w:r>
        <w:rPr>
          <w:rFonts w:ascii="Arial" w:hAnsi="Arial"/>
        </w:rPr>
        <w:t xml:space="preserve"> No caso de inexecução total, a multa será aplicada independentemente da existência ou não do prejuízo ao contratante, implicando ainda na possibilidade de rescisão do contrato.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16.2.2.3.</w:t>
      </w:r>
      <w:r>
        <w:rPr>
          <w:rFonts w:ascii="Arial" w:hAnsi="Arial"/>
        </w:rPr>
        <w:t xml:space="preserve"> Antes da aplicação da multa será facultada a defesa do interessado no prazo de 15 (quinze) dias úteis, contado da data de sua intimação.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16.2.2.4.</w:t>
      </w:r>
      <w:r>
        <w:rPr>
          <w:rFonts w:ascii="Arial" w:hAnsi="Arial"/>
        </w:rPr>
        <w:t xml:space="preserve"> Se a multa aplicada e as indenizações cabíveis forem superiores ao valor do pagamento eventualmente devido </w:t>
      </w:r>
      <w:r>
        <w:rPr>
          <w:rFonts w:ascii="Arial" w:hAnsi="Arial"/>
        </w:rPr>
        <w:t xml:space="preserve">pelo contratante ao contratado, além da perda desse valor, a diferença será descontada da garantia prestada ou será cobrada judicialmente.</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16.2.2.5.</w:t>
      </w:r>
      <w:r>
        <w:rPr>
          <w:rFonts w:ascii="Arial" w:hAnsi="Arial"/>
        </w:rPr>
        <w:t xml:space="preserve"> Caso o contratado não tenha nenhum valor a receber do contratante, ou os valores do pagamento e da garanti</w:t>
      </w:r>
      <w:r>
        <w:rPr>
          <w:rFonts w:ascii="Arial" w:hAnsi="Arial"/>
        </w:rPr>
        <w:t xml:space="preserve">a contratual forem insuficientes, o contratante concederá o prazo de 05 (cinco) dias úteis, contados do recebimento de sua intimação, para que a multa seja paga.</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16.2.2.6.</w:t>
      </w:r>
      <w:r>
        <w:rPr>
          <w:rFonts w:ascii="Arial" w:hAnsi="Arial"/>
        </w:rPr>
        <w:t xml:space="preserve"> Esgotados os meios administrativos para a cobrança dos valores devidos, o contratan</w:t>
      </w:r>
      <w:r>
        <w:rPr>
          <w:rFonts w:ascii="Arial" w:hAnsi="Arial"/>
        </w:rPr>
        <w:t xml:space="preserve">te providenciará o encaminhamento do processo à Procuradoria-Geral do Município para que seja realizada a cobrança judicial.</w:t>
      </w:r>
      <w:r/>
    </w:p>
    <w:p>
      <w:pPr>
        <w:pBdr/>
        <w:spacing/>
        <w:ind/>
        <w:jc w:val="both"/>
        <w:rPr/>
      </w:pPr>
      <w:r>
        <w:rPr>
          <w:rFonts w:ascii="Arial" w:hAnsi="Arial"/>
          <w:b/>
        </w:rPr>
        <w:t xml:space="preserve">16.2.2.7.</w:t>
      </w:r>
      <w:r>
        <w:rPr>
          <w:rFonts w:ascii="Arial" w:hAnsi="Arial"/>
        </w:rPr>
        <w:t xml:space="preserve"> Caso o contratante tenha de recorrer ou comparecer a juízo para haver o que lhe for devido, o contratado ficará sujeita a</w:t>
      </w:r>
      <w:r>
        <w:rPr>
          <w:rFonts w:ascii="Arial" w:hAnsi="Arial"/>
        </w:rPr>
        <w:t xml:space="preserve">o pagamento, além do principal do débito, da pena convencional de 10% (dez por cento) sobre o valor do litígio, dos juros de mora de 1% (um por cento) ao mês, despesas de processo e honorários de advogado, estes fixados, desde logo, em 20% (vinte por cento</w:t>
      </w:r>
      <w:r>
        <w:rPr>
          <w:rFonts w:ascii="Arial" w:hAnsi="Arial"/>
        </w:rPr>
        <w:t xml:space="preserve">) sobre o valor em litígio.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16.2.2.8.</w:t>
      </w:r>
      <w:r>
        <w:rPr>
          <w:rFonts w:ascii="Arial" w:hAnsi="Arial"/>
        </w:rPr>
        <w:t xml:space="preserve"> A aplicação de multa de mora não impedirá que a Administração a converta em compensatória e promova a extinção unilateral do contrato com a aplicação cumulada de outras sanções previstas na Lei 14.133/2021.</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16.2.3.</w:t>
      </w:r>
      <w:r>
        <w:rPr>
          <w:rFonts w:ascii="Arial" w:hAnsi="Arial"/>
        </w:rPr>
        <w:t xml:space="preserve"> I</w:t>
      </w:r>
      <w:r>
        <w:rPr>
          <w:rFonts w:ascii="Arial" w:hAnsi="Arial"/>
        </w:rPr>
        <w:t xml:space="preserve">mpedimento de licitar e contratar, caso não se justifique imposição de penalidade mais grave.</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16.2.3.1.</w:t>
      </w:r>
      <w:r>
        <w:rPr>
          <w:rFonts w:ascii="Arial" w:hAnsi="Arial"/>
        </w:rPr>
        <w:t xml:space="preserve"> Essa penalidade poderá ser aplicada nas seguintes hipóteses:</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highlight w:val="none"/>
        </w:rPr>
      </w:pPr>
      <w:r>
        <w:rPr>
          <w:rFonts w:ascii="Arial" w:hAnsi="Arial"/>
          <w:b/>
        </w:rPr>
        <w:t xml:space="preserve">16.2.3.1.1.</w:t>
      </w:r>
      <w:r>
        <w:rPr>
          <w:rFonts w:ascii="Arial" w:hAnsi="Arial"/>
        </w:rPr>
        <w:t xml:space="preserve"> Der causa à inexecução parcial do contrato que cause grave dano à Administraç</w:t>
      </w:r>
      <w:r>
        <w:rPr>
          <w:rFonts w:ascii="Arial" w:hAnsi="Arial"/>
        </w:rPr>
        <w:t xml:space="preserve">ão, ao funcionamento dos serviços públicos ou ao interesse coletivo;</w:t>
      </w:r>
      <w:r>
        <w:rPr>
          <w:highlight w:val="none"/>
        </w:rPr>
      </w:r>
      <w:r>
        <w:rPr>
          <w:highlight w:val="none"/>
        </w:rPr>
      </w:r>
    </w:p>
    <w:p w14:paraId="7C97D97C">
      <w:pPr>
        <w:pBdr/>
        <w:spacing/>
        <w:ind/>
        <w:jc w:val="both"/>
        <w:rPr/>
      </w:pPr>
      <w:r>
        <w:rPr>
          <w:highlight w:val="none"/>
        </w:rPr>
      </w:r>
      <w:r>
        <w:rPr>
          <w:highlight w:val="none"/>
        </w:rPr>
      </w:r>
      <w:r/>
    </w:p>
    <w:p>
      <w:pPr>
        <w:pBdr/>
        <w:spacing/>
        <w:ind/>
        <w:jc w:val="both"/>
        <w:rPr/>
      </w:pPr>
      <w:r>
        <w:rPr>
          <w:rFonts w:ascii="Arial" w:hAnsi="Arial"/>
          <w:b/>
        </w:rPr>
        <w:t xml:space="preserve">16.2.3.1.2</w:t>
      </w:r>
      <w:r>
        <w:rPr>
          <w:rFonts w:ascii="Arial" w:hAnsi="Arial"/>
        </w:rPr>
        <w:t xml:space="preserve">. Der causa à inexecução total do contrato;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16.2.3.1.3</w:t>
      </w:r>
      <w:r>
        <w:rPr>
          <w:rFonts w:ascii="Arial" w:hAnsi="Arial"/>
        </w:rPr>
        <w:t xml:space="preserve">. Deixar de entregar a documentação exigida para o certame;</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16.2.3.1.4</w:t>
      </w:r>
      <w:r>
        <w:rPr>
          <w:rFonts w:ascii="Arial" w:hAnsi="Arial"/>
        </w:rPr>
        <w:t xml:space="preserve">. Não manter a proposta, salvo em decorrência de fa</w:t>
      </w:r>
      <w:r>
        <w:rPr>
          <w:rFonts w:ascii="Arial" w:hAnsi="Arial"/>
        </w:rPr>
        <w:t xml:space="preserve">to superveniente devidamente justificado;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16.2.3.1.5.</w:t>
      </w:r>
      <w:r>
        <w:rPr>
          <w:rFonts w:ascii="Arial" w:hAnsi="Arial"/>
        </w:rPr>
        <w:t xml:space="preserve"> Não celebrar o contrato ou não entregar a documentação exigida para a contratação, quando convocado dentro do prazo de validade de sua proposta;</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16.2.3.1.6.</w:t>
      </w:r>
      <w:r>
        <w:rPr>
          <w:rFonts w:ascii="Arial" w:hAnsi="Arial"/>
        </w:rPr>
        <w:t xml:space="preserve"> Ensejar o retardamento da execução ou da en</w:t>
      </w:r>
      <w:r>
        <w:rPr>
          <w:rFonts w:ascii="Arial" w:hAnsi="Arial"/>
        </w:rPr>
        <w:t xml:space="preserve">trega do objeto da licitação sem motivo justificado.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16.2.4.</w:t>
      </w:r>
      <w:r>
        <w:rPr>
          <w:rFonts w:ascii="Arial" w:hAnsi="Arial"/>
        </w:rPr>
        <w:t xml:space="preserve"> As condutas aqui enumeradas também podem justificar a aplicação da declaração de inidoneidade quando as circunstâncias do caso concreto justificarem a imposição de penalidade mais grave.</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16.2.4.1.</w:t>
      </w:r>
      <w:r>
        <w:rPr>
          <w:rFonts w:ascii="Arial" w:hAnsi="Arial"/>
        </w:rPr>
        <w:t xml:space="preserve"> Declaração de inidoneidade para licitar e contratar.</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16.2.4.2.</w:t>
      </w:r>
      <w:r>
        <w:rPr>
          <w:rFonts w:ascii="Arial" w:hAnsi="Arial"/>
        </w:rPr>
        <w:t xml:space="preserve"> A declaração de inidoneidade para licitar e contratar pode ser aplicada por qualquer ente da federação impedirá o responsável de licitar e contratar com a Administração Pública diret</w:t>
      </w:r>
      <w:r>
        <w:rPr>
          <w:rFonts w:ascii="Arial" w:hAnsi="Arial"/>
        </w:rPr>
        <w:t xml:space="preserve">a e indireta do município de Rondonópolis-MT pelo prazo mínimo de 3 (três) anos e máximo de 6 (seis) anos.</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16.2.4.2.1</w:t>
      </w:r>
      <w:r>
        <w:rPr>
          <w:rFonts w:ascii="Arial" w:hAnsi="Arial"/>
        </w:rPr>
        <w:t xml:space="preserve">. Essa penalidade poderá ser aplicada nas seguintes hipóteses:</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16.2.4.2.2.</w:t>
      </w:r>
      <w:r>
        <w:rPr>
          <w:rFonts w:ascii="Arial" w:hAnsi="Arial"/>
        </w:rPr>
        <w:t xml:space="preserve"> Apresentar declaração ou documentação falsa exigida para o cer</w:t>
      </w:r>
      <w:r>
        <w:rPr>
          <w:rFonts w:ascii="Arial" w:hAnsi="Arial"/>
        </w:rPr>
        <w:t xml:space="preserve">tame ou prestar declaração falsa durante a licitação ou a execução do contrato;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16.2.4.2.3.</w:t>
      </w:r>
      <w:r>
        <w:rPr>
          <w:rFonts w:ascii="Arial" w:hAnsi="Arial"/>
        </w:rPr>
        <w:t xml:space="preserve"> Fraudar a licitação ou praticar ato fraudulento na execução do contrato;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16.2.4.2.4.</w:t>
      </w:r>
      <w:r>
        <w:rPr>
          <w:rFonts w:ascii="Arial" w:hAnsi="Arial"/>
        </w:rPr>
        <w:t xml:space="preserve"> Comportar-se de modo inidôneo ou cometer fraude de qualquer natureza;</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16.2.4</w:t>
      </w:r>
      <w:r>
        <w:rPr>
          <w:rFonts w:ascii="Arial" w:hAnsi="Arial"/>
          <w:b/>
        </w:rPr>
        <w:t xml:space="preserve">.2.5.</w:t>
      </w:r>
      <w:r>
        <w:rPr>
          <w:rFonts w:ascii="Arial" w:hAnsi="Arial"/>
        </w:rPr>
        <w:t xml:space="preserve"> Praticar atos ilícitos com vistas a frustrar os objetivos da licitação;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16.2.4.2.6.</w:t>
      </w:r>
      <w:r>
        <w:rPr>
          <w:rFonts w:ascii="Arial" w:hAnsi="Arial"/>
        </w:rPr>
        <w:t xml:space="preserve"> Praticar ato lesivo previsto no art. 5º da Lei nº 12.846/2013.</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16.3.</w:t>
      </w:r>
      <w:r>
        <w:rPr>
          <w:rFonts w:ascii="Arial" w:hAnsi="Arial"/>
        </w:rPr>
        <w:t xml:space="preserve"> Todas as sanções previstas neste Contrato poderão ser aplicadas cumulativamente com a multa (art. 156, §7º, da Lei nº 14.133, de 2021).</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16.4.</w:t>
      </w:r>
      <w:r>
        <w:rPr>
          <w:rFonts w:ascii="Arial" w:hAnsi="Arial"/>
        </w:rPr>
        <w:t xml:space="preserve"> A aplicação das sanções previstas neste Contrato não exclui, em hipótese alguma, a obrigação de reparação integr</w:t>
      </w:r>
      <w:r>
        <w:rPr>
          <w:rFonts w:ascii="Arial" w:hAnsi="Arial"/>
        </w:rPr>
        <w:t xml:space="preserve">al do dano causado ao contratante (art. 156, §9º, da Lei nº 14.133, de 2021).</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16.5.</w:t>
      </w:r>
      <w:r>
        <w:rPr>
          <w:rFonts w:ascii="Arial" w:hAnsi="Arial"/>
        </w:rPr>
        <w:t xml:space="preserve"> A aplicação de qualquer das penalidades previstas realizar-se-á em processo administrativo que assegurará o contraditório e a ampla defesa, observando-se o procedimento pr</w:t>
      </w:r>
      <w:r>
        <w:rPr>
          <w:rFonts w:ascii="Arial" w:hAnsi="Arial"/>
        </w:rPr>
        <w:t xml:space="preserve">evisto na Lei nº 14.133/2021 e no Decreto Municipal nº 11.685/2023.</w:t>
      </w:r>
      <w:r/>
    </w:p>
    <w:p>
      <w:pPr>
        <w:pBdr/>
        <w:spacing/>
        <w:ind/>
        <w:jc w:val="both"/>
        <w:rPr/>
      </w:pPr>
      <w:r>
        <w:rPr>
          <w:rFonts w:ascii="Arial" w:hAnsi="Arial" w:eastAsia="Arial"/>
        </w:rPr>
        <w:t xml:space="preserve"> </w:t>
      </w:r>
      <w:r/>
    </w:p>
    <w:p>
      <w:pPr>
        <w:pBdr/>
        <w:spacing/>
        <w:ind/>
        <w:jc w:val="both"/>
        <w:rPr/>
      </w:pPr>
      <w:r>
        <w:rPr>
          <w:rFonts w:ascii="Arial" w:hAnsi="Arial"/>
          <w:b/>
        </w:rPr>
        <w:t xml:space="preserve">16.6.</w:t>
      </w:r>
      <w:r>
        <w:rPr>
          <w:rFonts w:ascii="Arial" w:hAnsi="Arial"/>
        </w:rPr>
        <w:t xml:space="preserve"> A autoridade competente, na aplicação das sanções, levará em consideração: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16.6.1.</w:t>
      </w:r>
      <w:r>
        <w:rPr>
          <w:rFonts w:ascii="Arial" w:hAnsi="Arial"/>
        </w:rPr>
        <w:t xml:space="preserve"> a natureza e a gravidade da infração cometida; </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16.6.2.</w:t>
      </w:r>
      <w:r>
        <w:rPr>
          <w:rFonts w:ascii="Arial" w:hAnsi="Arial"/>
        </w:rPr>
        <w:t xml:space="preserve"> as peculiaridades do caso concreto;</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16.6.3.</w:t>
      </w:r>
      <w:r>
        <w:rPr>
          <w:rFonts w:ascii="Arial" w:hAnsi="Arial"/>
        </w:rPr>
        <w:t xml:space="preserve"> as circunstâncias agravantes ou atenuantes;</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16.6.4.</w:t>
      </w:r>
      <w:r>
        <w:rPr>
          <w:rFonts w:ascii="Arial" w:hAnsi="Arial"/>
        </w:rPr>
        <w:t xml:space="preserve"> os danos que dela provierem para o contratante;</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16.6.5.</w:t>
      </w:r>
      <w:r>
        <w:rPr>
          <w:rFonts w:ascii="Arial" w:hAnsi="Arial"/>
        </w:rPr>
        <w:t xml:space="preserve"> a implantação ou o aperfeiçoamento de programa de integridade, conforme normas e orientações dos órgãos de controle.</w:t>
      </w:r>
      <w:r/>
    </w:p>
    <w:p>
      <w:pPr>
        <w:pBdr/>
        <w:spacing/>
        <w:ind/>
        <w:jc w:val="both"/>
        <w:rPr/>
      </w:pPr>
      <w:r>
        <w:rPr>
          <w:rFonts w:ascii="Arial" w:hAnsi="Arial"/>
          <w:b/>
        </w:rPr>
        <w:t xml:space="preserve">16.7.</w:t>
      </w:r>
      <w:r>
        <w:rPr>
          <w:rFonts w:ascii="Arial" w:hAnsi="Arial"/>
        </w:rPr>
        <w:t xml:space="preserve"> Os atos previst</w:t>
      </w:r>
      <w:r>
        <w:rPr>
          <w:rFonts w:ascii="Arial" w:hAnsi="Arial"/>
        </w:rPr>
        <w:t xml:space="preserve">os como infrações administrativas na Lei nº 14.133, de 2021, ou em outras leis de licitações e contratos da Administração Pública que também sejam tipificados como atos lesivos na Lei nº 12.846, de 2013, serão apurados e julgados conjuntamente, nos mesmos </w:t>
      </w:r>
      <w:r>
        <w:rPr>
          <w:rFonts w:ascii="Arial" w:hAnsi="Arial"/>
        </w:rPr>
        <w:t xml:space="preserve">autos, observados o rito procedimental e autoridade competente definidos na referida Lei e nos demais regulamentos complementares.</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16.8.</w:t>
      </w:r>
      <w:r>
        <w:rPr>
          <w:rFonts w:ascii="Arial" w:hAnsi="Arial"/>
        </w:rPr>
        <w:t xml:space="preserve"> A personalidade jurídica do Contratado poderá ser desconsiderada sempre que utilizada com abuso do direito para facili</w:t>
      </w:r>
      <w:r>
        <w:rPr>
          <w:rFonts w:ascii="Arial" w:hAnsi="Arial"/>
        </w:rPr>
        <w:t xml:space="preserve">tar, encobrir ou dissimular a prática dos atos ilícitos previstos neste Contrato ou para provocar confusão patrimonial, e, nesse caso, todos os efeitos das sanções aplicadas à pessoa jurídica serão estendidos aos seus administradores e sócios com poderes d</w:t>
      </w:r>
      <w:r>
        <w:rPr>
          <w:rFonts w:ascii="Arial" w:hAnsi="Arial"/>
        </w:rPr>
        <w:t xml:space="preserve">e administração, à pessoa jurídica sucessora ou à empresa do mesmo ramo com relação de coligação ou controle, de fato ou de direito, com o Contratado, observados, em todos os casos, o contraditório, a ampla defesa e a obrigatoriedade de análise jurídica pr</w:t>
      </w:r>
      <w:r>
        <w:rPr>
          <w:rFonts w:ascii="Arial" w:hAnsi="Arial"/>
        </w:rPr>
        <w:t xml:space="preserve">évia.</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16.9.</w:t>
      </w:r>
      <w:r>
        <w:rPr>
          <w:rFonts w:ascii="Arial" w:hAnsi="Arial"/>
        </w:rPr>
        <w:t xml:space="preserve"> As sanções de impedimento de licitar e contratar e declaração de inidoneidade para licitar ou contratar são passíveis de reabilitação na forma do art. 163 da Lei nº 14.133/2021.</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CLÁUSULA DÉCIMA SÉTIMA – CLÁUSULA ANTICORRUPÇÃO:</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17.1.</w:t>
      </w:r>
      <w:r>
        <w:rPr>
          <w:rFonts w:ascii="Arial" w:hAnsi="Arial"/>
        </w:rPr>
        <w:t xml:space="preserve"> Para a e</w:t>
      </w:r>
      <w:r>
        <w:rPr>
          <w:rFonts w:ascii="Arial" w:hAnsi="Arial"/>
        </w:rPr>
        <w:t xml:space="preserve">xecução deste contrato, nenhuma das partes poderá oferecer, dar ou se comprometer a dar a quem quer que seja, ou aceitar ou se comprometer a aceitar de quem quer que seja, tanto por conta própria quanto por intermédio de outrem, qualquer pagamento, doação,</w:t>
      </w:r>
      <w:r>
        <w:rPr>
          <w:rFonts w:ascii="Arial" w:hAnsi="Arial"/>
        </w:rPr>
        <w:t xml:space="preserve"> compensação, vantagens financeiras ou benefícios de qualquer espécie, seja de forma direta ou indireta quanto ao objeto deste contrato, ou de outra forma a ele não relacionada, o que deve ser observado, ainda, pelos prepostos e colaboradores.</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17.2.</w:t>
      </w:r>
      <w:r>
        <w:rPr>
          <w:rFonts w:ascii="Arial" w:hAnsi="Arial"/>
        </w:rPr>
        <w:t xml:space="preserve"> Const</w:t>
      </w:r>
      <w:r>
        <w:rPr>
          <w:rFonts w:ascii="Arial" w:hAnsi="Arial"/>
        </w:rPr>
        <w:t xml:space="preserve">a em anexo do contrato o Termo Anticorrupção (Anexo), expresso pelo contratado, declarando formalmente que a condução de seus negócios segue estritamente a legislação aplicável, a moral e a ética.</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CLÁUSULA DÉCIMA OITAVA – DA NULIDADE DO CONTRATO:</w:t>
      </w:r>
      <w:r/>
    </w:p>
    <w:p>
      <w:pPr>
        <w:pBdr/>
        <w:spacing/>
        <w:ind/>
        <w:jc w:val="both"/>
        <w:rPr>
          <w:rFonts w:ascii="Arial" w:hAnsi="Arial"/>
          <w:b/>
        </w:rPr>
      </w:pPr>
      <w:r>
        <w:rPr>
          <w:rFonts w:ascii="Arial" w:hAnsi="Arial"/>
          <w:b/>
        </w:rPr>
      </w:r>
      <w:r>
        <w:rPr>
          <w:rFonts w:ascii="Arial" w:hAnsi="Arial"/>
          <w:b/>
        </w:rPr>
      </w:r>
      <w:r>
        <w:rPr>
          <w:rFonts w:ascii="Arial" w:hAnsi="Arial"/>
          <w:b/>
        </w:rPr>
      </w:r>
    </w:p>
    <w:p>
      <w:pPr>
        <w:pBdr/>
        <w:spacing/>
        <w:ind/>
        <w:jc w:val="both"/>
        <w:rPr/>
      </w:pPr>
      <w:r>
        <w:rPr>
          <w:rFonts w:ascii="Arial" w:hAnsi="Arial"/>
          <w:b/>
        </w:rPr>
        <w:t xml:space="preserve">18.1.</w:t>
      </w:r>
      <w:r>
        <w:rPr>
          <w:rFonts w:ascii="Arial" w:hAnsi="Arial"/>
        </w:rPr>
        <w:t xml:space="preserve"> C</w:t>
      </w:r>
      <w:r>
        <w:rPr>
          <w:rFonts w:ascii="Arial" w:hAnsi="Arial"/>
        </w:rPr>
        <w:t xml:space="preserve">onstatada irregularidade no procedimento licitatório ou na execução contratual, caso não seja possível o saneamento, a decisão sobre a suspensão da execução ou sobre a declaração de nulidade do contrato somente será adotada quando revelar medida de interes</w:t>
      </w:r>
      <w:r>
        <w:rPr>
          <w:rFonts w:ascii="Arial" w:hAnsi="Arial"/>
        </w:rPr>
        <w:t xml:space="preserve">se público, com avaliação, entre outros, dos aspectos descritos no art. 147 da Lei nº 14.133/2021.</w:t>
      </w:r>
      <w:r/>
    </w:p>
    <w:p>
      <w:pPr>
        <w:pBdr/>
        <w:spacing/>
        <w:ind/>
        <w:jc w:val="both"/>
        <w:rPr>
          <w:rFonts w:ascii="Arial" w:hAnsi="Arial"/>
        </w:rPr>
      </w:pPr>
      <w:r>
        <w:rPr>
          <w:rFonts w:ascii="Arial" w:hAnsi="Arial"/>
        </w:rPr>
      </w:r>
      <w:r>
        <w:rPr>
          <w:rFonts w:ascii="Arial" w:hAnsi="Arial"/>
        </w:rPr>
      </w:r>
      <w:r>
        <w:rPr>
          <w:rFonts w:ascii="Arial" w:hAnsi="Arial"/>
        </w:rPr>
      </w:r>
    </w:p>
    <w:p>
      <w:pPr>
        <w:pBdr/>
        <w:spacing/>
        <w:ind/>
        <w:jc w:val="both"/>
        <w:rPr/>
      </w:pPr>
      <w:r>
        <w:rPr>
          <w:rFonts w:ascii="Arial" w:hAnsi="Arial"/>
          <w:b/>
        </w:rPr>
        <w:t xml:space="preserve">18.2.</w:t>
      </w:r>
      <w:r>
        <w:rPr>
          <w:rFonts w:ascii="Arial" w:hAnsi="Arial"/>
        </w:rPr>
        <w:t xml:space="preserve"> A nulidade não exonera o contratante do dever de indenizar o contratado pelo que houver executado até a data em que for declarada ou tornada eficaz, b</w:t>
      </w:r>
      <w:r>
        <w:rPr>
          <w:rFonts w:ascii="Arial" w:hAnsi="Arial"/>
        </w:rPr>
        <w:t xml:space="preserve">em como por outros prejuízos regularmente comprovados, desde que não lhe seja imputável, e será promovida a responsabilização de quem lhe tenha dado causa, nos termos do que estabelece o art. 149 da Lei nº 14.133/2021.</w:t>
      </w:r>
      <w:r/>
    </w:p>
    <w:p>
      <w:pPr>
        <w:pBdr/>
        <w:spacing/>
        <w:ind w:right="-5"/>
        <w:jc w:val="both"/>
        <w:rPr>
          <w:rFonts w:ascii="Arial" w:hAnsi="Arial"/>
          <w:b/>
        </w:rPr>
      </w:pPr>
      <w:r>
        <w:rPr>
          <w:rFonts w:ascii="Arial" w:hAnsi="Arial"/>
          <w:b/>
        </w:rPr>
      </w:r>
      <w:r>
        <w:rPr>
          <w:rFonts w:ascii="Arial" w:hAnsi="Arial"/>
          <w:b/>
        </w:rPr>
      </w:r>
      <w:r>
        <w:rPr>
          <w:rFonts w:ascii="Arial" w:hAnsi="Arial"/>
          <w:b/>
        </w:rPr>
      </w:r>
    </w:p>
    <w:p>
      <w:pPr>
        <w:pBdr/>
        <w:spacing/>
        <w:ind w:right="-5"/>
        <w:jc w:val="both"/>
        <w:rPr/>
      </w:pPr>
      <w:r>
        <w:rPr>
          <w:rFonts w:ascii="Arial" w:hAnsi="Arial"/>
          <w:b/>
        </w:rPr>
        <w:t xml:space="preserve">CLÁUSULA DÉCIMA NONA – GARANTIA DE E</w:t>
      </w:r>
      <w:r>
        <w:rPr>
          <w:rFonts w:ascii="Arial" w:hAnsi="Arial"/>
          <w:b/>
        </w:rPr>
        <w:t xml:space="preserve">XECUÇÃO</w:t>
      </w:r>
      <w:r>
        <w:rPr>
          <w:rFonts w:ascii="Arial" w:hAnsi="Arial"/>
        </w:rPr>
        <w:t xml:space="preserve"> </w:t>
      </w:r>
      <w:r/>
    </w:p>
    <w:p>
      <w:pPr>
        <w:pBdr/>
        <w:spacing/>
        <w:ind w:right="-5"/>
        <w:jc w:val="both"/>
        <w:rPr>
          <w:rFonts w:ascii="Arial" w:hAnsi="Arial"/>
          <w:b/>
        </w:rPr>
      </w:pPr>
      <w:r>
        <w:rPr>
          <w:rFonts w:ascii="Arial" w:hAnsi="Arial"/>
          <w:b/>
        </w:rPr>
      </w:r>
      <w:r>
        <w:rPr>
          <w:rFonts w:ascii="Arial" w:hAnsi="Arial"/>
          <w:b/>
        </w:rPr>
      </w:r>
      <w:r>
        <w:rPr>
          <w:rFonts w:ascii="Arial" w:hAnsi="Arial"/>
          <w:b/>
        </w:rPr>
      </w:r>
    </w:p>
    <w:p w14:paraId="159F72E2">
      <w:pPr>
        <w:pBdr/>
        <w:spacing/>
        <w:ind/>
        <w:jc w:val="both"/>
        <w:rPr>
          <w:rFonts w:ascii="Arial" w:hAnsi="Arial"/>
        </w:rPr>
      </w:pPr>
      <w:r>
        <w:rPr>
          <w:rFonts w:ascii="Arial" w:hAnsi="Arial"/>
          <w:b/>
          <w:bCs/>
        </w:rPr>
        <w:t xml:space="preserve">19.1.</w:t>
      </w:r>
      <w:r>
        <w:rPr>
          <w:rFonts w:ascii="Arial" w:hAnsi="Arial"/>
          <w:b/>
          <w:bCs/>
          <w:lang w:val="pt-BR"/>
        </w:rPr>
        <w:t xml:space="preserve"> </w:t>
      </w:r>
      <w:r>
        <w:rPr>
          <w:rFonts w:ascii="Arial" w:hAnsi="Arial" w:cs="Arial"/>
        </w:rPr>
        <w:t xml:space="preserve">Não será exigida a prestação de garantia contratual nem a contratação de seguros para a execução do objeto, nos termos do art. 96 da Lei nº 14.133/2021, tendo em vista o </w:t>
      </w:r>
      <w:r>
        <w:rPr>
          <w:rFonts w:ascii="Arial" w:hAnsi="Arial" w:cs="Arial"/>
          <w:b/>
          <w:bCs/>
        </w:rPr>
        <w:t xml:space="preserve">baixo risco operacional e financeiro</w:t>
      </w:r>
      <w:r>
        <w:rPr>
          <w:rFonts w:ascii="Arial" w:hAnsi="Arial" w:cs="Arial"/>
        </w:rPr>
        <w:t xml:space="preserve"> da contratação. Os bens a serem fornecidos possuem natureza </w:t>
      </w:r>
      <w:r>
        <w:rPr>
          <w:rFonts w:ascii="Arial" w:hAnsi="Arial" w:cs="Arial"/>
          <w:b/>
          <w:bCs/>
        </w:rPr>
        <w:t xml:space="preserve">padronizada</w:t>
      </w:r>
      <w:r>
        <w:rPr>
          <w:rFonts w:ascii="Arial" w:hAnsi="Arial" w:cs="Arial"/>
        </w:rPr>
        <w:t xml:space="preserve">, são </w:t>
      </w:r>
      <w:r>
        <w:rPr>
          <w:rFonts w:ascii="Arial" w:hAnsi="Arial" w:cs="Arial"/>
          <w:b/>
          <w:bCs/>
        </w:rPr>
        <w:t xml:space="preserve">amplamente disponíveis no mercado</w:t>
      </w:r>
      <w:r>
        <w:rPr>
          <w:rFonts w:ascii="Arial" w:hAnsi="Arial" w:cs="Arial"/>
        </w:rPr>
        <w:t xml:space="preserve"> e apresentam </w:t>
      </w:r>
      <w:r>
        <w:rPr>
          <w:rFonts w:ascii="Arial" w:hAnsi="Arial" w:cs="Arial"/>
          <w:b/>
          <w:bCs/>
        </w:rPr>
        <w:t xml:space="preserve">parâmetros técnicos previsíveis</w:t>
      </w:r>
      <w:r>
        <w:rPr>
          <w:rFonts w:ascii="Arial" w:hAnsi="Arial" w:cs="Arial"/>
        </w:rPr>
        <w:t xml:space="preserve">, o que reduz significativamente a probabilidade de inadimplemento ou de prejuízos relevantes à Administração Pública. Nessas condições, a exigência de garantia ou seguro mostrar-se-ia </w:t>
      </w:r>
      <w:r>
        <w:rPr>
          <w:rFonts w:ascii="Arial" w:hAnsi="Arial" w:cs="Arial"/>
          <w:b/>
          <w:bCs/>
        </w:rPr>
        <w:t xml:space="preserve">desproporcional aos riscos envolvidos</w:t>
      </w:r>
      <w:r>
        <w:rPr>
          <w:rFonts w:ascii="Arial" w:hAnsi="Arial" w:cs="Arial"/>
        </w:rPr>
        <w:t xml:space="preserve">, não se justificando sob os princípios da razoabilidade e da economicidade.</w:t>
      </w:r>
      <w:r>
        <w:rPr>
          <w:rFonts w:ascii="Arial" w:hAnsi="Arial"/>
        </w:rPr>
      </w:r>
      <w:r>
        <w:rPr>
          <w:rFonts w:ascii="Arial" w:hAnsi="Arial"/>
        </w:rPr>
      </w:r>
    </w:p>
    <w:p w14:paraId="6103D193">
      <w:pPr>
        <w:pBdr/>
        <w:spacing/>
        <w:ind/>
        <w:jc w:val="both"/>
        <w:rPr>
          <w:rFonts w:ascii="Arial" w:hAnsi="Arial"/>
        </w:rPr>
      </w:pPr>
      <w:r>
        <w:rPr>
          <w:rFonts w:ascii="Arial" w:hAnsi="Arial"/>
        </w:rPr>
      </w:r>
      <w:r>
        <w:rPr>
          <w:rFonts w:ascii="Arial" w:hAnsi="Arial"/>
        </w:rPr>
      </w:r>
      <w:r>
        <w:rPr>
          <w:rFonts w:ascii="Arial" w:hAnsi="Arial"/>
        </w:rPr>
      </w:r>
    </w:p>
    <w:p w14:paraId="124874CD">
      <w:pPr>
        <w:pBdr/>
        <w:spacing/>
        <w:ind/>
        <w:jc w:val="both"/>
        <w:rPr>
          <w:rFonts w:ascii="Arial" w:hAnsi="Arial"/>
        </w:rPr>
      </w:pPr>
      <w:r>
        <w:rPr>
          <w:rFonts w:ascii="Arial" w:hAnsi="Arial"/>
          <w:b/>
          <w:bCs/>
          <w:szCs w:val="24"/>
        </w:rPr>
        <w:t xml:space="preserve">19.1.2. </w:t>
      </w:r>
      <w:r>
        <w:rPr>
          <w:rFonts w:ascii="Arial" w:hAnsi="Arial" w:cs="Arial"/>
        </w:rPr>
        <w:t xml:space="preserve">Sem prejuízo da dispensa de garantia, caso sejam constatados </w:t>
      </w:r>
      <w:r>
        <w:rPr>
          <w:rFonts w:ascii="Arial" w:hAnsi="Arial" w:cs="Arial"/>
          <w:b/>
          <w:bCs/>
        </w:rPr>
        <w:t xml:space="preserve">defeitos, vícios, falhas recorrentes</w:t>
      </w:r>
      <w:r>
        <w:rPr>
          <w:rFonts w:ascii="Arial" w:hAnsi="Arial" w:cs="Arial"/>
        </w:rPr>
        <w:t xml:space="preserve"> ou, ainda, se os bens entregues ou os resultados de testes e inspeções estiverem </w:t>
      </w:r>
      <w:r>
        <w:rPr>
          <w:rFonts w:ascii="Arial" w:hAnsi="Arial" w:cs="Arial"/>
          <w:b/>
          <w:bCs/>
        </w:rPr>
        <w:t xml:space="preserve">em desacordo com as especificações técnicas</w:t>
      </w:r>
      <w:r>
        <w:rPr>
          <w:rFonts w:ascii="Arial" w:hAnsi="Arial" w:cs="Arial"/>
        </w:rPr>
        <w:t xml:space="preserve"> estabelecidas neste Termo de Referência, o Contratante poderá exigir da Contratada a </w:t>
      </w:r>
      <w:r>
        <w:rPr>
          <w:rFonts w:ascii="Arial" w:hAnsi="Arial" w:cs="Arial"/>
          <w:b/>
          <w:bCs/>
        </w:rPr>
        <w:t xml:space="preserve">substituição total ou parcial dos produtos</w:t>
      </w:r>
      <w:r>
        <w:rPr>
          <w:rFonts w:ascii="Arial" w:hAnsi="Arial" w:cs="Arial"/>
        </w:rPr>
        <w:t xml:space="preserve">, sem ônus adicional, no prazo estabelecido pela Administração, observadas as demais sanções contratuais e legais cabíveis.</w:t>
      </w:r>
      <w:r>
        <w:rPr>
          <w:rFonts w:ascii="Arial" w:hAnsi="Arial"/>
        </w:rPr>
      </w:r>
      <w:r>
        <w:rPr>
          <w:rFonts w:ascii="Arial" w:hAnsi="Arial"/>
        </w:rPr>
      </w:r>
    </w:p>
    <w:p>
      <w:pPr>
        <w:pBdr/>
        <w:spacing/>
        <w:ind w:right="-5"/>
        <w:jc w:val="both"/>
        <w:rPr>
          <w:rFonts w:ascii="Arial" w:hAnsi="Arial"/>
          <w:b/>
        </w:rPr>
      </w:pPr>
      <w:r>
        <w:rPr>
          <w:rFonts w:ascii="Arial" w:hAnsi="Arial"/>
          <w:b/>
        </w:rPr>
      </w:r>
      <w:r>
        <w:rPr>
          <w:rFonts w:ascii="Arial" w:hAnsi="Arial"/>
          <w:b/>
        </w:rPr>
      </w:r>
      <w:r>
        <w:rPr>
          <w:rFonts w:ascii="Arial" w:hAnsi="Arial"/>
          <w:b/>
        </w:rPr>
      </w:r>
    </w:p>
    <w:p>
      <w:pPr>
        <w:pBdr/>
        <w:spacing/>
        <w:ind w:right="-5"/>
        <w:jc w:val="both"/>
        <w:rPr/>
      </w:pPr>
      <w:r>
        <w:rPr>
          <w:rFonts w:ascii="Arial" w:hAnsi="Arial"/>
          <w:b/>
        </w:rPr>
        <w:t xml:space="preserve">CLÁUSULA VIGÉSIMA – GARANTIA DO OBJETO</w:t>
      </w:r>
      <w:r/>
    </w:p>
    <w:p>
      <w:pPr>
        <w:pBdr/>
        <w:spacing/>
        <w:ind/>
        <w:jc w:val="both"/>
        <w:rPr>
          <w:rFonts w:ascii="Arial" w:hAnsi="Arial" w:cs="Arial"/>
          <w14:ligatures w14:val="none"/>
        </w:rPr>
      </w:pPr>
      <w:r>
        <w:rPr>
          <w:rFonts w:ascii="Arial" w:hAnsi="Arial" w:cs="Arial"/>
        </w:rPr>
      </w:r>
      <w:r>
        <w:rPr>
          <w:rFonts w:ascii="Arial" w:hAnsi="Arial" w:cs="Arial"/>
          <w:b/>
          <w:bCs/>
        </w:rPr>
        <w:t xml:space="preserve">20.1.</w:t>
      </w:r>
      <w:r>
        <w:rPr>
          <w:rFonts w:ascii="Arial" w:hAnsi="Arial" w:cs="Arial"/>
        </w:rPr>
        <w:t xml:space="preserve"> </w:t>
      </w:r>
      <w:r>
        <w:rPr>
          <w:rFonts w:ascii="Arial" w:hAnsi="Arial" w:cs="Arial"/>
        </w:rPr>
        <w:t xml:space="preserve">A contratada garante que os materiais, insumos e equipamentos fornecidos atenderão integralmente às especificações técnicas do edital, do termo de referência e da proposta contratada, responsabilizando-se por vícios, defeitos, desconformidades, falhas de f</w:t>
      </w:r>
      <w:r>
        <w:rPr>
          <w:rFonts w:ascii="Arial" w:hAnsi="Arial" w:cs="Arial"/>
        </w:rPr>
        <w:t xml:space="preserve">uncionamento, inadequação de acondicionamento, alteração de qualidade e demais irregularidades constatadas.</w:t>
      </w:r>
      <w:r>
        <w:rPr>
          <w:rFonts w:ascii="Arial" w:hAnsi="Arial" w:cs="Arial"/>
        </w:rPr>
        <w:br/>
      </w:r>
      <w:r>
        <w:rPr>
          <w:rFonts w:ascii="Arial" w:hAnsi="Arial" w:cs="Arial"/>
          <w14:ligatures w14:val="none"/>
        </w:rPr>
      </w:r>
      <w:r>
        <w:rPr>
          <w:rFonts w:ascii="Arial" w:hAnsi="Arial" w:cs="Arial"/>
          <w14:ligatures w14:val="none"/>
        </w:rPr>
      </w:r>
    </w:p>
    <w:p w14:paraId="7220377E">
      <w:pPr>
        <w:pBdr/>
        <w:spacing/>
        <w:ind/>
        <w:jc w:val="both"/>
        <w:rPr>
          <w:rFonts w:ascii="Arial" w:hAnsi="Arial" w:cs="Arial"/>
          <w14:ligatures w14:val="none"/>
        </w:rPr>
      </w:pPr>
      <w:r>
        <w:rPr>
          <w:rFonts w:ascii="Arial" w:hAnsi="Arial" w:cs="Arial"/>
          <w:b/>
          <w:bCs/>
        </w:rPr>
        <w:t xml:space="preserve">20.2.</w:t>
      </w:r>
      <w:r>
        <w:rPr>
          <w:rFonts w:ascii="Arial" w:hAnsi="Arial" w:cs="Arial"/>
        </w:rPr>
        <w:t xml:space="preserve"> </w:t>
      </w:r>
      <w:r>
        <w:rPr>
          <w:rFonts w:ascii="Arial" w:hAnsi="Arial" w:cs="Arial"/>
        </w:rPr>
        <w:t xml:space="preserve">Para materiais e insumos, a garantia compreenderá a substituição integral dos itens que apresentarem defeito, vício, avaria, desconformidade ou prazo de validade inadequado, sem ônus para a Administração, no prazo máximo de até 05 (cinco) dias úteis, conta</w:t>
      </w:r>
      <w:r>
        <w:rPr>
          <w:rFonts w:ascii="Arial" w:hAnsi="Arial" w:cs="Arial"/>
        </w:rPr>
        <w:t xml:space="preserve">do da notificação formal.</w:t>
      </w:r>
      <w:r>
        <w:rPr>
          <w:rFonts w:ascii="Arial" w:hAnsi="Arial" w:cs="Arial"/>
        </w:rPr>
        <w:br/>
      </w:r>
      <w:r>
        <w:rPr>
          <w:rFonts w:ascii="Arial" w:hAnsi="Arial" w:cs="Arial"/>
        </w:rPr>
      </w:r>
      <w:r>
        <w:rPr>
          <w:rFonts w:ascii="Arial" w:hAnsi="Arial" w:cs="Arial"/>
          <w14:ligatures w14:val="none"/>
        </w:rPr>
      </w:r>
    </w:p>
    <w:p w14:paraId="1EB5A424">
      <w:pPr>
        <w:pBdr/>
        <w:spacing/>
        <w:ind/>
        <w:jc w:val="both"/>
        <w:rPr>
          <w:rFonts w:ascii="Arial" w:hAnsi="Arial" w:cs="Arial"/>
          <w14:ligatures w14:val="none"/>
        </w:rPr>
      </w:pPr>
      <w:r>
        <w:rPr>
          <w:rFonts w:ascii="Arial" w:hAnsi="Arial" w:cs="Arial"/>
          <w:b/>
          <w:bCs/>
        </w:rPr>
        <w:t xml:space="preserve">20.3.</w:t>
      </w:r>
      <w:r>
        <w:rPr>
          <w:rFonts w:ascii="Arial" w:hAnsi="Arial" w:cs="Arial"/>
        </w:rPr>
        <w:t xml:space="preserve"> </w:t>
      </w:r>
      <w:r>
        <w:rPr>
          <w:rFonts w:ascii="Arial" w:hAnsi="Arial" w:cs="Arial"/>
        </w:rPr>
        <w:t xml:space="preserve">Para os equipamentos, além da garantia legal, será exigida garantia contratual mínima de 12 (doze) meses, ou prazo superior oferecido pelo fabricante, contado do recebimento definitivo.</w:t>
      </w:r>
      <w:r>
        <w:rPr>
          <w:rFonts w:ascii="Arial" w:hAnsi="Arial" w:cs="Arial"/>
        </w:rPr>
      </w:r>
      <w:r>
        <w:rPr>
          <w:rFonts w:ascii="Arial" w:hAnsi="Arial" w:cs="Arial"/>
          <w14:ligatures w14:val="none"/>
        </w:rPr>
      </w:r>
    </w:p>
    <w:p>
      <w:pPr>
        <w:pBdr/>
        <w:spacing/>
        <w:ind w:right="-5"/>
        <w:jc w:val="both"/>
        <w:rPr>
          <w:rFonts w:ascii="Arial" w:hAnsi="Arial"/>
          <w:b/>
        </w:rPr>
      </w:pPr>
      <w:r>
        <w:rPr>
          <w:rFonts w:ascii="Arial" w:hAnsi="Arial"/>
          <w:b/>
        </w:rPr>
      </w:r>
      <w:r>
        <w:rPr>
          <w:rFonts w:ascii="Arial" w:hAnsi="Arial"/>
          <w:b/>
        </w:rPr>
      </w:r>
      <w:r>
        <w:rPr>
          <w:rFonts w:ascii="Arial" w:hAnsi="Arial"/>
          <w:b/>
        </w:rPr>
      </w:r>
    </w:p>
    <w:p>
      <w:pPr>
        <w:pBdr/>
        <w:spacing/>
        <w:ind w:right="-5"/>
        <w:jc w:val="both"/>
        <w:rPr/>
      </w:pPr>
      <w:r>
        <w:rPr>
          <w:rFonts w:ascii="Arial" w:hAnsi="Arial"/>
          <w:b/>
        </w:rPr>
        <w:t xml:space="preserve">CLÁUSULA VIGÉSIMA PRIMEIRA – DO DIREITO DE PETIÇÃO:</w:t>
      </w:r>
      <w:r/>
    </w:p>
    <w:p>
      <w:pPr>
        <w:pBdr/>
        <w:spacing/>
        <w:ind w:right="-5"/>
        <w:jc w:val="both"/>
        <w:rPr/>
      </w:pPr>
      <w:r>
        <w:rPr>
          <w:rFonts w:ascii="Arial" w:hAnsi="Arial"/>
          <w:b/>
        </w:rPr>
        <w:t xml:space="preserve">21.</w:t>
      </w:r>
      <w:r>
        <w:rPr>
          <w:rStyle w:val="989"/>
          <w:rFonts w:ascii="Arial" w:hAnsi="Arial" w:eastAsia="Calibri"/>
          <w:b/>
        </w:rPr>
        <w:t xml:space="preserve">1</w:t>
      </w:r>
      <w:r>
        <w:rPr>
          <w:rStyle w:val="989"/>
          <w:rFonts w:ascii="Arial" w:hAnsi="Arial" w:eastAsia="Calibri"/>
        </w:rPr>
        <w:t xml:space="preserve">. No tocante a recursos, represe</w:t>
      </w:r>
      <w:r>
        <w:rPr>
          <w:rStyle w:val="989"/>
          <w:rFonts w:ascii="Arial" w:hAnsi="Arial" w:eastAsia="Calibri"/>
        </w:rPr>
        <w:t xml:space="preserve">ntações e pedidos de reconsideração, deverá ser observado o disposto no art. 164 da Lei nº 14.133/2021.</w:t>
      </w:r>
      <w:r/>
    </w:p>
    <w:p>
      <w:pPr>
        <w:pBdr/>
        <w:spacing/>
        <w:ind/>
        <w:jc w:val="both"/>
        <w:rPr/>
      </w:pPr>
      <w:r/>
      <w:r/>
    </w:p>
    <w:p>
      <w:pPr>
        <w:pBdr/>
        <w:spacing/>
        <w:ind w:right="-5"/>
        <w:rPr/>
      </w:pPr>
      <w:r>
        <w:rPr>
          <w:rFonts w:ascii="Arial" w:hAnsi="Arial"/>
          <w:b/>
        </w:rPr>
        <w:t xml:space="preserve">CLÁUSULA VIGÉSIMA SEGUNDA - DAS DISPOSIÇÕES GERAIS:</w:t>
      </w:r>
      <w:r/>
    </w:p>
    <w:p>
      <w:pPr>
        <w:pBdr/>
        <w:spacing/>
        <w:ind w:right="-5"/>
        <w:jc w:val="both"/>
        <w:rPr/>
      </w:pPr>
      <w:r>
        <w:rPr>
          <w:rStyle w:val="989"/>
          <w:rFonts w:ascii="Arial" w:hAnsi="Arial" w:eastAsia="Calibri"/>
          <w:b/>
        </w:rPr>
        <w:t xml:space="preserve">22.1. DOS FUNDAMENTOS LEGAIS E DA SUJEIÇÃO ÀS NORMAS LEGAIS E CONTRATUAIS: </w:t>
      </w:r>
      <w:r/>
    </w:p>
    <w:p>
      <w:pPr>
        <w:pBdr/>
        <w:spacing/>
        <w:ind w:right="-5" w:left="708"/>
        <w:jc w:val="both"/>
        <w:rPr/>
      </w:pPr>
      <w:r/>
      <w:r/>
    </w:p>
    <w:p>
      <w:pPr>
        <w:pBdr/>
        <w:spacing/>
        <w:ind w:right="-5" w:left="0"/>
        <w:jc w:val="both"/>
        <w:rPr/>
      </w:pPr>
      <w:r>
        <w:rPr>
          <w:rStyle w:val="989"/>
          <w:rFonts w:ascii="Arial" w:hAnsi="Arial" w:eastAsia="Calibri"/>
          <w:b/>
        </w:rPr>
        <w:t xml:space="preserve">22.1.1.</w:t>
      </w:r>
      <w:r>
        <w:rPr>
          <w:rStyle w:val="989"/>
          <w:rFonts w:ascii="Arial" w:hAnsi="Arial" w:eastAsia="Calibri"/>
        </w:rPr>
        <w:t xml:space="preserve"> A legislação </w:t>
      </w:r>
      <w:r>
        <w:rPr>
          <w:rStyle w:val="989"/>
          <w:rFonts w:ascii="Arial" w:hAnsi="Arial" w:eastAsia="Calibri"/>
        </w:rPr>
        <w:t xml:space="preserve">aplicável a este Contrato é a constante do </w:t>
      </w:r>
      <w:r>
        <w:rPr>
          <w:rFonts w:ascii="Arial" w:hAnsi="Arial"/>
        </w:rPr>
        <w:t xml:space="preserve">Decreto Municipal nº 11.685/2023 </w:t>
      </w:r>
      <w:r>
        <w:rPr>
          <w:rStyle w:val="989"/>
          <w:rFonts w:ascii="Arial" w:hAnsi="Arial" w:eastAsia="Calibri"/>
        </w:rPr>
        <w:t xml:space="preserve">e a Lei nº 14.133/21 e demais disposições aplicáveis as Licitações e Contratos Administrativos.  </w:t>
      </w:r>
      <w:r/>
    </w:p>
    <w:p>
      <w:pPr>
        <w:pBdr/>
        <w:spacing/>
        <w:ind w:right="-5" w:left="708"/>
        <w:jc w:val="both"/>
        <w:rPr/>
      </w:pPr>
      <w:r/>
      <w:r/>
    </w:p>
    <w:p>
      <w:pPr>
        <w:pBdr/>
        <w:spacing/>
        <w:ind w:right="-5" w:firstLine="0" w:left="0"/>
        <w:jc w:val="both"/>
        <w:rPr/>
      </w:pPr>
      <w:r>
        <w:rPr>
          <w:rStyle w:val="989"/>
          <w:rFonts w:ascii="Arial" w:hAnsi="Arial" w:eastAsia="Calibri"/>
          <w:b/>
        </w:rPr>
        <w:t xml:space="preserve">22.1.2.</w:t>
      </w:r>
      <w:r>
        <w:rPr>
          <w:rStyle w:val="989"/>
          <w:rFonts w:ascii="Arial" w:hAnsi="Arial" w:eastAsia="Calibri"/>
        </w:rPr>
        <w:t xml:space="preserve"> Os casos omissos que se tornarem controvertidos em face das cláusulas </w:t>
      </w:r>
      <w:r>
        <w:rPr>
          <w:rStyle w:val="989"/>
          <w:rFonts w:ascii="Arial" w:hAnsi="Arial" w:eastAsia="Calibri"/>
        </w:rPr>
        <w:t xml:space="preserve">do presente contrato serão   resolvidos segundo os princípios jurídicos aplicáveis, e entendimentos dos tribunais de contas.</w:t>
      </w:r>
      <w:r/>
    </w:p>
    <w:p>
      <w:pPr>
        <w:pBdr/>
        <w:spacing/>
        <w:ind w:right="-5" w:left="708"/>
        <w:jc w:val="both"/>
        <w:rPr/>
      </w:pPr>
      <w:r/>
      <w:r/>
    </w:p>
    <w:p>
      <w:pPr>
        <w:pBdr/>
        <w:spacing/>
        <w:ind w:right="-5" w:left="0"/>
        <w:jc w:val="both"/>
        <w:rPr/>
      </w:pPr>
      <w:r>
        <w:rPr>
          <w:rStyle w:val="989"/>
          <w:rFonts w:ascii="Arial" w:hAnsi="Arial" w:eastAsia="Calibri"/>
          <w:b/>
        </w:rPr>
        <w:t xml:space="preserve">22.1.3.</w:t>
      </w:r>
      <w:r>
        <w:rPr>
          <w:rStyle w:val="989"/>
          <w:rFonts w:ascii="Arial" w:hAnsi="Arial" w:eastAsia="Calibri"/>
        </w:rPr>
        <w:t xml:space="preserve"> Após a assinatura deste Contrato, toda comunicação entre o </w:t>
      </w:r>
      <w:r>
        <w:rPr>
          <w:rStyle w:val="989"/>
          <w:rFonts w:ascii="Arial" w:hAnsi="Arial" w:eastAsia="Calibri"/>
          <w:b/>
        </w:rPr>
        <w:t xml:space="preserve">CONTRATANTE</w:t>
      </w:r>
      <w:r>
        <w:rPr>
          <w:rStyle w:val="989"/>
          <w:rFonts w:ascii="Arial" w:hAnsi="Arial" w:eastAsia="Calibri"/>
        </w:rPr>
        <w:t xml:space="preserve"> e a </w:t>
      </w:r>
      <w:r>
        <w:rPr>
          <w:rStyle w:val="989"/>
          <w:rFonts w:ascii="Arial" w:hAnsi="Arial" w:eastAsia="Calibri"/>
          <w:b/>
        </w:rPr>
        <w:t xml:space="preserve">CONTRATADA</w:t>
      </w:r>
      <w:r>
        <w:rPr>
          <w:rStyle w:val="989"/>
          <w:rFonts w:ascii="Arial" w:hAnsi="Arial" w:eastAsia="Calibri"/>
        </w:rPr>
        <w:t xml:space="preserve"> será feita através de correspondênci</w:t>
      </w:r>
      <w:r>
        <w:rPr>
          <w:rStyle w:val="989"/>
          <w:rFonts w:ascii="Arial" w:hAnsi="Arial" w:eastAsia="Calibri"/>
        </w:rPr>
        <w:t xml:space="preserve">a devidamente registrada. </w:t>
      </w:r>
      <w:r/>
    </w:p>
    <w:p>
      <w:pPr>
        <w:pBdr/>
        <w:spacing/>
        <w:ind w:right="-5" w:left="708"/>
        <w:jc w:val="both"/>
        <w:rPr/>
      </w:pPr>
      <w:r/>
      <w:r/>
    </w:p>
    <w:p>
      <w:pPr>
        <w:pBdr/>
        <w:spacing/>
        <w:ind w:right="-5" w:left="0"/>
        <w:jc w:val="both"/>
        <w:rPr/>
      </w:pPr>
      <w:r>
        <w:rPr>
          <w:rStyle w:val="989"/>
          <w:rFonts w:ascii="Arial" w:hAnsi="Arial" w:eastAsia="Calibri"/>
          <w:b/>
        </w:rPr>
        <w:t xml:space="preserve">22.1.4.</w:t>
      </w:r>
      <w:r>
        <w:rPr>
          <w:rStyle w:val="989"/>
          <w:rFonts w:ascii="Arial" w:hAnsi="Arial" w:eastAsia="Calibri"/>
        </w:rPr>
        <w:t xml:space="preserve"> Qualquer alteração nas condições ora estipuladas neste Contrato deverá ser feita através de Termo Aditivo, assinado pelos representantes legais das partes. </w:t>
      </w:r>
      <w:r/>
    </w:p>
    <w:p>
      <w:pPr>
        <w:pBdr/>
        <w:spacing/>
        <w:ind w:right="-5"/>
        <w:jc w:val="both"/>
        <w:rPr/>
      </w:pPr>
      <w:r/>
      <w:r/>
    </w:p>
    <w:p>
      <w:pPr>
        <w:pBdr/>
        <w:spacing/>
        <w:ind w:right="-5"/>
        <w:jc w:val="both"/>
        <w:rPr/>
      </w:pPr>
      <w:r>
        <w:rPr>
          <w:rFonts w:ascii="Arial" w:hAnsi="Arial"/>
          <w:b/>
        </w:rPr>
        <w:t xml:space="preserve">CLÁUSULA VIGÉSIMA TERCEIRA – DA VINCULAÇÃO AO EDITAL:</w:t>
      </w:r>
      <w:r/>
    </w:p>
    <w:p>
      <w:pPr>
        <w:pBdr/>
        <w:spacing/>
        <w:ind w:right="-5"/>
        <w:jc w:val="both"/>
        <w:rPr/>
      </w:pPr>
      <w:r>
        <w:rPr>
          <w:rFonts w:ascii="Arial" w:hAnsi="Arial"/>
          <w:b/>
        </w:rPr>
        <w:t xml:space="preserve">23.1.</w:t>
      </w:r>
      <w:r>
        <w:rPr>
          <w:rFonts w:ascii="Arial" w:hAnsi="Arial"/>
          <w:b/>
          <w:u w:val="single"/>
        </w:rPr>
        <w:t xml:space="preserve"> </w:t>
      </w:r>
      <w:r>
        <w:rPr>
          <w:rFonts w:ascii="Arial" w:hAnsi="Arial"/>
        </w:rPr>
        <w:t xml:space="preserve">O presente </w:t>
      </w:r>
      <w:r>
        <w:rPr>
          <w:rFonts w:ascii="Arial" w:hAnsi="Arial"/>
          <w:b/>
        </w:rPr>
        <w:t xml:space="preserve">CONTRATO</w:t>
      </w:r>
      <w:r>
        <w:rPr>
          <w:rFonts w:ascii="Arial" w:hAnsi="Arial"/>
        </w:rPr>
        <w:t xml:space="preserve"> fica vinculado aos termos do </w:t>
      </w:r>
      <w:r>
        <w:rPr>
          <w:rFonts w:ascii="Arial" w:hAnsi="Arial"/>
          <w:b/>
        </w:rPr>
        <w:t xml:space="preserve">Edital de Pregão, Termo de Referência e todos os anexos que os acompanham </w:t>
      </w:r>
      <w:r>
        <w:rPr>
          <w:rFonts w:ascii="Arial" w:hAnsi="Arial"/>
        </w:rPr>
        <w:t xml:space="preserve">e à proposta da </w:t>
      </w:r>
      <w:r>
        <w:rPr>
          <w:rFonts w:ascii="Arial" w:hAnsi="Arial"/>
          <w:bCs/>
        </w:rPr>
        <w:t xml:space="preserve">CONTRATADA.</w:t>
      </w:r>
      <w:r/>
    </w:p>
    <w:p>
      <w:pPr>
        <w:pBdr/>
        <w:spacing/>
        <w:ind w:right="-5"/>
        <w:jc w:val="both"/>
        <w:rPr>
          <w:rFonts w:ascii="Arial" w:hAnsi="Arial"/>
          <w:bCs/>
          <w:u w:val="single"/>
        </w:rPr>
      </w:pPr>
      <w:r>
        <w:rPr>
          <w:rFonts w:ascii="Arial" w:hAnsi="Arial"/>
          <w:bCs/>
          <w:u w:val="single"/>
        </w:rPr>
      </w:r>
      <w:r>
        <w:rPr>
          <w:rFonts w:ascii="Arial" w:hAnsi="Arial"/>
          <w:bCs/>
          <w:u w:val="single"/>
        </w:rPr>
      </w:r>
      <w:r>
        <w:rPr>
          <w:rFonts w:ascii="Arial" w:hAnsi="Arial"/>
          <w:bCs/>
          <w:u w:val="single"/>
        </w:rPr>
      </w:r>
    </w:p>
    <w:p>
      <w:pPr>
        <w:pBdr/>
        <w:spacing/>
        <w:ind w:right="-5"/>
        <w:jc w:val="both"/>
        <w:rPr/>
      </w:pPr>
      <w:r>
        <w:rPr>
          <w:rFonts w:ascii="Arial" w:hAnsi="Arial"/>
          <w:b/>
        </w:rPr>
        <w:t xml:space="preserve">CLÁUSULA VIGÉSIMA QUARTA – CASOS OMISSOS</w:t>
      </w:r>
      <w:r/>
    </w:p>
    <w:p>
      <w:pPr>
        <w:pBdr/>
        <w:spacing/>
        <w:ind w:right="-5"/>
        <w:jc w:val="both"/>
        <w:rPr/>
      </w:pPr>
      <w:r>
        <w:rPr>
          <w:rFonts w:ascii="Arial" w:hAnsi="Arial"/>
          <w:b/>
        </w:rPr>
        <w:t xml:space="preserve">24.1.</w:t>
      </w:r>
      <w:r>
        <w:rPr>
          <w:rFonts w:ascii="Arial" w:hAnsi="Arial"/>
        </w:rPr>
        <w:t xml:space="preserve"> Os casos omissos serão decididos pelo contratante, segundo as disposições contidas na Lei nº 14.133/2021, no Decreto 11.685/2023 e demais normas estaduais de licitações e contratos administrativos e, supletivamente as disposições contidas na Lei nº 8.078/</w:t>
      </w:r>
      <w:r>
        <w:rPr>
          <w:rFonts w:ascii="Arial" w:hAnsi="Arial"/>
        </w:rPr>
        <w:t xml:space="preserve">1990 – Código de Defesa do Consumidor, normas e Princípios Gerais dos Contratos e disposições do direito privado.</w:t>
      </w:r>
      <w:r/>
    </w:p>
    <w:p>
      <w:pPr>
        <w:pBdr/>
        <w:spacing/>
        <w:ind w:right="-5"/>
        <w:jc w:val="both"/>
        <w:rPr>
          <w:rFonts w:ascii="Arial" w:hAnsi="Arial"/>
          <w:b/>
          <w:u w:val="single"/>
        </w:rPr>
      </w:pPr>
      <w:r>
        <w:rPr>
          <w:rFonts w:ascii="Arial" w:hAnsi="Arial"/>
          <w:b/>
          <w:u w:val="single"/>
        </w:rPr>
      </w:r>
      <w:r>
        <w:rPr>
          <w:rFonts w:ascii="Arial" w:hAnsi="Arial"/>
          <w:b/>
          <w:u w:val="single"/>
        </w:rPr>
      </w:r>
      <w:r>
        <w:rPr>
          <w:rFonts w:ascii="Arial" w:hAnsi="Arial"/>
          <w:b/>
          <w:u w:val="single"/>
        </w:rPr>
      </w:r>
    </w:p>
    <w:p>
      <w:pPr>
        <w:pBdr/>
        <w:spacing/>
        <w:ind w:right="-5"/>
        <w:jc w:val="both"/>
        <w:rPr/>
      </w:pPr>
      <w:r>
        <w:rPr>
          <w:rFonts w:ascii="Arial" w:hAnsi="Arial"/>
          <w:b/>
        </w:rPr>
        <w:t xml:space="preserve">CLÁUSULA VIGÉSIMA QUINTA - DO FORO:</w:t>
      </w:r>
      <w:r/>
    </w:p>
    <w:p>
      <w:pPr>
        <w:pBdr/>
        <w:spacing/>
        <w:ind/>
        <w:jc w:val="both"/>
        <w:rPr/>
      </w:pPr>
      <w:r>
        <w:rPr>
          <w:rFonts w:ascii="Arial" w:hAnsi="Arial"/>
          <w:b/>
        </w:rPr>
        <w:t xml:space="preserve">25.1.</w:t>
      </w:r>
      <w:r>
        <w:rPr>
          <w:rFonts w:ascii="Arial" w:hAnsi="Arial"/>
        </w:rPr>
        <w:t xml:space="preserve"> Fica eleito o foro de Rondonópolis, Estado de Mato Grosso, como competente para dirimir quaisquer </w:t>
      </w:r>
      <w:r>
        <w:rPr>
          <w:rFonts w:ascii="Arial" w:hAnsi="Arial"/>
        </w:rPr>
        <w:t xml:space="preserve">dúvidas ou questões decorrentes da execução deste contrato, que não puderem ser compostas pela conciliação, conforme art. 92, §1º, da Lei nº 14.133/2021.</w:t>
      </w:r>
      <w:r/>
    </w:p>
    <w:p>
      <w:pPr>
        <w:pBdr/>
        <w:spacing/>
        <w:ind/>
        <w:jc w:val="both"/>
        <w:rPr>
          <w:rFonts w:ascii="Arial" w:hAnsi="Arial"/>
          <w:b/>
          <w:u w:val="single"/>
        </w:rPr>
      </w:pPr>
      <w:r>
        <w:rPr>
          <w:rFonts w:ascii="Arial" w:hAnsi="Arial"/>
          <w:b/>
          <w:u w:val="single"/>
        </w:rPr>
      </w:r>
      <w:r>
        <w:rPr>
          <w:rFonts w:ascii="Arial" w:hAnsi="Arial"/>
          <w:b/>
          <w:u w:val="single"/>
        </w:rPr>
      </w:r>
      <w:r>
        <w:rPr>
          <w:rFonts w:ascii="Arial" w:hAnsi="Arial"/>
          <w:b/>
          <w:u w:val="single"/>
        </w:rPr>
      </w:r>
    </w:p>
    <w:p>
      <w:pPr>
        <w:pBdr/>
        <w:spacing/>
        <w:ind w:firstLine="708"/>
        <w:jc w:val="both"/>
        <w:rPr/>
      </w:pPr>
      <w:r>
        <w:rPr>
          <w:rFonts w:ascii="Arial" w:hAnsi="Arial"/>
        </w:rPr>
        <w:t xml:space="preserve">E, para firmeza e validade do que foi pactuado, lavrou-se o presente </w:t>
      </w:r>
      <w:r>
        <w:rPr>
          <w:rFonts w:ascii="Arial" w:hAnsi="Arial"/>
          <w:b/>
          <w:bCs/>
        </w:rPr>
        <w:t xml:space="preserve">CONTRATO </w:t>
      </w:r>
      <w:r>
        <w:rPr>
          <w:rFonts w:ascii="Arial" w:hAnsi="Arial"/>
        </w:rPr>
        <w:t xml:space="preserve">em 04 (quatro) vias de </w:t>
      </w:r>
      <w:r>
        <w:rPr>
          <w:rFonts w:ascii="Arial" w:hAnsi="Arial"/>
        </w:rPr>
        <w:t xml:space="preserve">igual teor e forma, para que surtam um só efeito, as quais, depois de lidas, são assinadas pelos representantes do </w:t>
      </w:r>
      <w:r>
        <w:rPr>
          <w:rFonts w:ascii="Arial" w:hAnsi="Arial"/>
          <w:b/>
          <w:bCs/>
        </w:rPr>
        <w:t xml:space="preserve">CONTRATANTE </w:t>
      </w:r>
      <w:r>
        <w:rPr>
          <w:rFonts w:ascii="Arial" w:hAnsi="Arial"/>
        </w:rPr>
        <w:t xml:space="preserve">e da </w:t>
      </w:r>
      <w:r>
        <w:rPr>
          <w:rFonts w:ascii="Arial" w:hAnsi="Arial"/>
          <w:b/>
          <w:bCs/>
        </w:rPr>
        <w:t xml:space="preserve">CONTRATADA</w:t>
      </w:r>
      <w:r>
        <w:rPr>
          <w:rFonts w:ascii="Arial" w:hAnsi="Arial"/>
        </w:rPr>
        <w:t xml:space="preserve">, e pelas testemunhas abaixo relacionadas.</w:t>
      </w:r>
      <w:r/>
    </w:p>
    <w:p>
      <w:pPr>
        <w:pBdr/>
        <w:spacing/>
        <w:ind w:right="-20"/>
        <w:jc w:val="right"/>
        <w:rPr>
          <w:rFonts w:ascii="Arial" w:hAnsi="Arial"/>
          <w:spacing w:val="1"/>
        </w:rPr>
      </w:pPr>
      <w:r>
        <w:rPr>
          <w:rFonts w:ascii="Arial" w:hAnsi="Arial"/>
          <w:spacing w:val="1"/>
        </w:rPr>
      </w:r>
      <w:r>
        <w:rPr>
          <w:rFonts w:ascii="Arial" w:hAnsi="Arial"/>
          <w:spacing w:val="1"/>
        </w:rPr>
      </w:r>
      <w:r>
        <w:rPr>
          <w:rFonts w:ascii="Arial" w:hAnsi="Arial"/>
          <w:spacing w:val="1"/>
        </w:rPr>
      </w:r>
    </w:p>
    <w:p>
      <w:pPr>
        <w:pBdr/>
        <w:spacing/>
        <w:ind w:right="-20"/>
        <w:jc w:val="right"/>
        <w:rPr>
          <w:highlight w:val="none"/>
        </w:rPr>
      </w:pPr>
      <w:r>
        <w:rPr>
          <w:rFonts w:ascii="Arial" w:hAnsi="Arial"/>
          <w:spacing w:val="1"/>
        </w:rPr>
        <w:t xml:space="preserve">Rondonópolis</w:t>
      </w:r>
      <w:r>
        <w:rPr>
          <w:rFonts w:ascii="Arial" w:hAnsi="Arial"/>
        </w:rPr>
        <w:t xml:space="preserve">-</w:t>
      </w:r>
      <w:r>
        <w:rPr>
          <w:rFonts w:ascii="Arial" w:hAnsi="Arial"/>
          <w:spacing w:val="2"/>
        </w:rPr>
        <w:t xml:space="preserve">MT.</w:t>
      </w:r>
      <w:r>
        <w:rPr>
          <w:rFonts w:ascii="Arial" w:hAnsi="Arial"/>
        </w:rPr>
        <w:t xml:space="preserve">,</w:t>
      </w:r>
      <w:r>
        <w:rPr>
          <w:rFonts w:ascii="Arial" w:hAnsi="Arial"/>
          <w:spacing w:val="10"/>
        </w:rPr>
        <w:t xml:space="preserve"> ___ de ____________ </w:t>
      </w:r>
      <w:r>
        <w:rPr>
          <w:rFonts w:ascii="Arial" w:hAnsi="Arial"/>
          <w:spacing w:val="2"/>
        </w:rPr>
        <w:t xml:space="preserve">d</w:t>
      </w:r>
      <w:r>
        <w:rPr>
          <w:rFonts w:ascii="Arial" w:hAnsi="Arial"/>
        </w:rPr>
        <w:t xml:space="preserve">e</w:t>
      </w:r>
      <w:r>
        <w:rPr>
          <w:rFonts w:ascii="Arial" w:hAnsi="Arial"/>
          <w:spacing w:val="10"/>
        </w:rPr>
        <w:t xml:space="preserve"> </w:t>
      </w:r>
      <w:r>
        <w:rPr>
          <w:rFonts w:ascii="Arial" w:hAnsi="Arial"/>
        </w:rPr>
        <w:t xml:space="preserve">2026</w:t>
      </w:r>
      <w:r>
        <w:t xml:space="preserve">.</w:t>
      </w:r>
      <w:r>
        <w:rPr>
          <w:highlight w:val="none"/>
        </w:rPr>
      </w:r>
      <w:r>
        <w:rPr>
          <w:highlight w:val="none"/>
        </w:rPr>
      </w:r>
    </w:p>
    <w:p w14:paraId="4BB18057">
      <w:pPr>
        <w:pBdr/>
        <w:spacing/>
        <w:ind w:right="-20"/>
        <w:jc w:val="right"/>
        <w:rPr/>
      </w:pPr>
      <w:r>
        <w:rPr>
          <w:highlight w:val="none"/>
        </w:rPr>
      </w:r>
      <w:r>
        <w:rPr>
          <w:highlight w:val="none"/>
        </w:rPr>
      </w:r>
      <w:r/>
    </w:p>
    <w:tbl>
      <w:tblPr>
        <w:tblW w:w="9410" w:type="dxa"/>
        <w:tblCellMar>
          <w:left w:w="70" w:type="dxa"/>
          <w:right w:w="70" w:type="dxa"/>
        </w:tblCellMar>
        <w:tblBorders/>
        <w:tblLayout w:type="fixed"/>
        <w:tblLook w:val="0000" w:firstRow="0" w:lastRow="0" w:firstColumn="0" w:lastColumn="0" w:noHBand="0" w:noVBand="0"/>
      </w:tblPr>
      <w:tblGrid>
        <w:gridCol w:w="4930"/>
        <w:gridCol w:w="720"/>
        <w:gridCol w:w="3760"/>
      </w:tblGrid>
      <w:tr>
        <w:trPr/>
        <w:tc>
          <w:tcPr>
            <w:gridSpan w:val="2"/>
            <w:tcBorders/>
            <w:tcW w:w="5649" w:type="dxa"/>
            <w:textDirection w:val="lrTb"/>
            <w:noWrap w:val="false"/>
          </w:tcPr>
          <w:p>
            <w:pPr>
              <w:pStyle w:val="2055"/>
              <w:pBdr/>
              <w:spacing/>
              <w:ind/>
              <w:jc w:val="center"/>
              <w:rPr/>
            </w:pPr>
            <w:r>
              <w:rPr>
                <w:rFonts w:ascii="Arial" w:hAnsi="Arial" w:cs="Arial"/>
              </w:rPr>
              <w:t xml:space="preserve">O MUNICÍPIO DE RONDONÓP</w:t>
            </w:r>
            <w:r>
              <w:rPr>
                <w:rFonts w:ascii="Arial" w:hAnsi="Arial" w:cs="Arial"/>
              </w:rPr>
              <w:t xml:space="preserve">OLIS-MT.</w:t>
            </w:r>
            <w:r/>
          </w:p>
          <w:p>
            <w:pPr>
              <w:pBdr/>
              <w:spacing/>
              <w:ind/>
              <w:jc w:val="center"/>
              <w:rPr/>
            </w:pPr>
            <w:r>
              <w:rPr>
                <w:rFonts w:ascii="Arial" w:hAnsi="Arial"/>
              </w:rPr>
              <w:t xml:space="preserve">CONTRATANTE</w:t>
            </w:r>
            <w:r/>
          </w:p>
        </w:tc>
        <w:tc>
          <w:tcPr>
            <w:tcBorders/>
            <w:tcW w:w="3760" w:type="dxa"/>
            <w:textDirection w:val="lrTb"/>
            <w:noWrap w:val="false"/>
          </w:tcPr>
          <w:p>
            <w:pPr>
              <w:pStyle w:val="2055"/>
              <w:pBdr/>
              <w:spacing/>
              <w:ind/>
              <w:jc w:val="center"/>
              <w:rPr>
                <w:rFonts w:ascii="Arial" w:hAnsi="Arial" w:cs="Arial"/>
              </w:rPr>
            </w:pPr>
            <w:r>
              <w:rPr>
                <w:rFonts w:ascii="Arial" w:hAnsi="Arial" w:cs="Arial"/>
              </w:rPr>
            </w:r>
            <w:r>
              <w:rPr>
                <w:rFonts w:ascii="Arial" w:hAnsi="Arial" w:cs="Arial"/>
              </w:rPr>
            </w:r>
            <w:r>
              <w:rPr>
                <w:rFonts w:ascii="Arial" w:hAnsi="Arial" w:cs="Arial"/>
              </w:rPr>
            </w:r>
          </w:p>
          <w:p>
            <w:pPr>
              <w:pStyle w:val="2055"/>
              <w:pBdr/>
              <w:spacing/>
              <w:ind/>
              <w:jc w:val="center"/>
              <w:rPr/>
            </w:pPr>
            <w:r>
              <w:rPr>
                <w:rFonts w:ascii="Arial" w:hAnsi="Arial" w:cs="Arial"/>
              </w:rPr>
              <w:t xml:space="preserve">CONTRATADA</w:t>
            </w:r>
            <w:r/>
          </w:p>
          <w:p>
            <w:pPr>
              <w:pBdr/>
              <w:spacing/>
              <w:ind/>
              <w:jc w:val="center"/>
              <w:rPr>
                <w:rFonts w:ascii="Arial" w:hAnsi="Arial"/>
              </w:rPr>
            </w:pPr>
            <w:r>
              <w:rPr>
                <w:rFonts w:ascii="Arial" w:hAnsi="Arial"/>
              </w:rPr>
            </w:r>
            <w:r>
              <w:rPr>
                <w:rFonts w:ascii="Arial" w:hAnsi="Arial"/>
              </w:rPr>
            </w:r>
            <w:r>
              <w:rPr>
                <w:rFonts w:ascii="Arial" w:hAnsi="Arial"/>
              </w:rPr>
            </w:r>
          </w:p>
        </w:tc>
      </w:tr>
      <w:tr>
        <w:trPr/>
        <w:tc>
          <w:tcPr>
            <w:tcBorders/>
            <w:tcW w:w="4929" w:type="dxa"/>
            <w:textDirection w:val="lrTb"/>
            <w:noWrap w:val="false"/>
          </w:tcPr>
          <w:p>
            <w:pPr>
              <w:pBdr/>
              <w:spacing/>
              <w:ind/>
              <w:jc w:val="center"/>
              <w:rPr/>
            </w:pPr>
            <w:r>
              <w:rPr>
                <w:rFonts w:ascii="Arial" w:hAnsi="Arial"/>
              </w:rPr>
              <w:t xml:space="preserve">TESTEMUNHAS:__________________________</w:t>
            </w:r>
            <w:r/>
          </w:p>
          <w:p>
            <w:pPr>
              <w:pBdr/>
              <w:spacing/>
              <w:ind/>
              <w:jc w:val="center"/>
              <w:rPr/>
            </w:pPr>
            <w:r>
              <w:rPr>
                <w:rFonts w:ascii="Arial" w:hAnsi="Arial" w:eastAsia="Arial"/>
              </w:rPr>
              <w:t xml:space="preserve">                       </w:t>
            </w:r>
            <w:r>
              <w:rPr>
                <w:rFonts w:ascii="Arial" w:hAnsi="Arial"/>
              </w:rPr>
              <w:t xml:space="preserve">RG N.º</w:t>
            </w:r>
            <w:r/>
          </w:p>
        </w:tc>
        <w:tc>
          <w:tcPr>
            <w:gridSpan w:val="2"/>
            <w:tcBorders/>
            <w:tcW w:w="4480" w:type="dxa"/>
            <w:textDirection w:val="lrTb"/>
            <w:noWrap w:val="false"/>
          </w:tcPr>
          <w:p>
            <w:pPr>
              <w:pStyle w:val="2055"/>
              <w:pBdr/>
              <w:spacing/>
              <w:ind/>
              <w:jc w:val="center"/>
              <w:rPr/>
            </w:pPr>
            <w:r>
              <w:rPr>
                <w:rFonts w:ascii="Arial" w:hAnsi="Arial" w:cs="Arial"/>
              </w:rPr>
              <w:t xml:space="preserve">______________________________</w:t>
            </w:r>
            <w:r/>
          </w:p>
          <w:p>
            <w:pPr>
              <w:pStyle w:val="2055"/>
              <w:pBdr/>
              <w:spacing/>
              <w:ind/>
              <w:jc w:val="center"/>
              <w:rPr/>
            </w:pPr>
            <w:r>
              <w:rPr>
                <w:rFonts w:ascii="Arial" w:hAnsi="Arial" w:cs="Arial"/>
              </w:rPr>
              <w:t xml:space="preserve">RG N.º</w:t>
            </w:r>
            <w:r/>
          </w:p>
        </w:tc>
      </w:tr>
    </w:tbl>
    <w:p>
      <w:pPr>
        <w:pBdr/>
        <w:spacing/>
        <w:ind/>
        <w:rPr>
          <w:rFonts w:ascii="Arial" w:hAnsi="Arial" w:eastAsia="Arial"/>
        </w:rPr>
      </w:pPr>
      <w:r>
        <w:rPr>
          <w:rFonts w:ascii="Arial" w:hAnsi="Arial" w:eastAsia="Arial"/>
        </w:rPr>
        <w:t xml:space="preserve">                                                </w:t>
      </w:r>
      <w:r>
        <w:rPr>
          <w:rFonts w:ascii="Arial" w:hAnsi="Arial" w:eastAsia="Arial"/>
        </w:rPr>
      </w:r>
      <w:r>
        <w:rPr>
          <w:rFonts w:ascii="Arial" w:hAnsi="Arial" w:eastAsia="Arial"/>
        </w:rPr>
      </w:r>
    </w:p>
    <w:p>
      <w:pPr>
        <w:pBdr>
          <w:top w:val="single" w:color="000000" w:sz="4" w:space="0"/>
          <w:left w:val="single" w:color="000000" w:sz="4" w:space="3"/>
          <w:bottom w:val="single" w:color="000000" w:sz="4" w:space="0"/>
          <w:right w:val="single" w:color="000000" w:sz="4" w:space="3"/>
        </w:pBdr>
        <w:tabs>
          <w:tab w:val="left" w:leader="none" w:pos="8576"/>
          <w:tab w:val="left" w:leader="none" w:pos="10419"/>
        </w:tabs>
        <w:spacing/>
        <w:ind/>
        <w:jc w:val="center"/>
        <w:rPr>
          <w:rFonts w:ascii="Arial" w:hAnsi="Arial" w:eastAsia="Arial"/>
          <w:b/>
          <w:bCs/>
        </w:rPr>
      </w:pPr>
      <w:r>
        <w:rPr>
          <w:rFonts w:ascii="Arial" w:hAnsi="Arial" w:eastAsia="Arial"/>
          <w:b/>
          <w:bCs/>
        </w:rPr>
        <w:t xml:space="preserve">PAPEL TIMBRADO DA EMPRESA LICITANTE</w:t>
      </w:r>
      <w:r>
        <w:rPr>
          <w:rFonts w:ascii="Arial" w:hAnsi="Arial" w:eastAsia="Arial"/>
          <w:b/>
          <w:bCs/>
        </w:rPr>
      </w:r>
      <w:r>
        <w:rPr>
          <w:rFonts w:ascii="Arial" w:hAnsi="Arial" w:eastAsia="Arial"/>
          <w:b/>
          <w:bCs/>
        </w:rPr>
      </w:r>
    </w:p>
    <w:p>
      <w:pPr>
        <w:pBdr/>
        <w:spacing/>
        <w:ind/>
        <w:jc w:val="both"/>
        <w:rPr>
          <w:rFonts w:ascii="Arial" w:hAnsi="Arial" w:eastAsia="Arial"/>
          <w:b/>
          <w:bCs/>
        </w:rPr>
      </w:pPr>
      <w:r>
        <w:rPr>
          <w:rFonts w:ascii="Arial" w:hAnsi="Arial" w:eastAsia="Arial"/>
          <w:b/>
          <w:bCs/>
        </w:rPr>
      </w:r>
      <w:r>
        <w:rPr>
          <w:rFonts w:ascii="Arial" w:hAnsi="Arial" w:eastAsia="Arial"/>
          <w:b/>
          <w:bCs/>
        </w:rPr>
      </w:r>
      <w:r>
        <w:rPr>
          <w:rFonts w:ascii="Arial" w:hAnsi="Arial" w:eastAsia="Arial"/>
          <w:b/>
          <w:bCs/>
        </w:rPr>
      </w:r>
    </w:p>
    <w:p>
      <w:pPr>
        <w:pStyle w:val="865"/>
        <w:pBdr/>
        <w:spacing w:after="0" w:before="0"/>
        <w:ind/>
        <w:rPr>
          <w:rFonts w:eastAsia="Arial"/>
          <w:sz w:val="20"/>
          <w:szCs w:val="20"/>
        </w:rPr>
      </w:pPr>
      <w:r/>
      <w:bookmarkStart w:id="97" w:name="_Toc41"/>
      <w:r>
        <w:rPr>
          <w:rFonts w:eastAsia="Arial"/>
          <w:sz w:val="20"/>
          <w:szCs w:val="20"/>
        </w:rPr>
        <w:t xml:space="preserve">ANEXO IV: </w:t>
      </w:r>
      <w:r>
        <w:rPr>
          <w:rFonts w:eastAsia="Arial"/>
          <w:b w:val="0"/>
          <w:bCs w:val="0"/>
          <w:sz w:val="20"/>
          <w:szCs w:val="20"/>
        </w:rPr>
        <w:t xml:space="preserve">MODELO DE PROPOSTA COMERCIAL.</w:t>
      </w:r>
      <w:r>
        <w:rPr>
          <w:rFonts w:eastAsia="Arial"/>
          <w:sz w:val="20"/>
          <w:szCs w:val="20"/>
        </w:rPr>
      </w:r>
      <w:bookmarkEnd w:id="97"/>
      <w:r>
        <w:rPr>
          <w:rFonts w:eastAsia="Arial"/>
          <w:sz w:val="20"/>
          <w:szCs w:val="20"/>
        </w:rPr>
      </w:r>
      <w:r>
        <w:rPr>
          <w:rFonts w:eastAsia="Arial"/>
          <w:sz w:val="20"/>
          <w:szCs w:val="20"/>
        </w:rPr>
      </w:r>
    </w:p>
    <w:p>
      <w:pPr>
        <w:pBdr/>
        <w:spacing/>
        <w:ind/>
        <w:jc w:val="both"/>
        <w:rPr>
          <w:rFonts w:ascii="Arial" w:hAnsi="Arial" w:eastAsia="Arial"/>
          <w:b/>
          <w:bCs/>
        </w:rPr>
      </w:pPr>
      <w:r>
        <w:rPr>
          <w:rFonts w:ascii="Arial" w:hAnsi="Arial" w:eastAsia="Arial"/>
          <w:b/>
          <w:bCs/>
        </w:rPr>
      </w:r>
      <w:r>
        <w:rPr>
          <w:rFonts w:ascii="Arial" w:hAnsi="Arial" w:eastAsia="Arial"/>
          <w:b/>
          <w:bCs/>
        </w:rPr>
      </w:r>
      <w:r>
        <w:rPr>
          <w:rFonts w:ascii="Arial" w:hAnsi="Arial" w:eastAsia="Arial"/>
          <w:b/>
          <w:bCs/>
        </w:rPr>
      </w:r>
    </w:p>
    <w:tbl>
      <w:tblPr>
        <w:tblInd w:w="108" w:type="dxa"/>
        <w:tblW w:w="10285" w:type="dxa"/>
        <w:tblBorders/>
        <w:tblLayout w:type="fixed"/>
        <w:tblLook w:val="04A0" w:firstRow="1" w:lastRow="0" w:firstColumn="1" w:lastColumn="0" w:noHBand="0" w:noVBand="1"/>
      </w:tblPr>
      <w:tblGrid>
        <w:gridCol w:w="3418"/>
        <w:gridCol w:w="826"/>
        <w:gridCol w:w="1623"/>
        <w:gridCol w:w="1164"/>
        <w:gridCol w:w="437"/>
        <w:gridCol w:w="2817"/>
      </w:tblGrid>
      <w:tr>
        <w:trPr>
          <w:trHeight w:val="255"/>
        </w:trPr>
        <w:tc>
          <w:tcPr>
            <w:gridSpan w:val="4"/>
            <w:tcBorders>
              <w:top w:val="single" w:color="000000" w:sz="4" w:space="0"/>
              <w:left w:val="single" w:color="000000" w:sz="4" w:space="0"/>
              <w:bottom w:val="single" w:color="000000" w:sz="4" w:space="0"/>
              <w:right w:val="single" w:color="000000" w:sz="4" w:space="0"/>
            </w:tcBorders>
            <w:tcW w:w="7031" w:type="dxa"/>
            <w:textDirection w:val="lrTb"/>
            <w:noWrap w:val="false"/>
          </w:tcPr>
          <w:p>
            <w:pPr>
              <w:pBdr/>
              <w:tabs>
                <w:tab w:val="left" w:leader="none" w:pos="2714"/>
                <w:tab w:val="left" w:leader="none" w:pos="10419"/>
              </w:tabs>
              <w:spacing/>
              <w:ind/>
              <w:rPr>
                <w:rFonts w:ascii="TimesNewRoman" w:hAnsi="TimesNewRoman" w:eastAsia="TimesNewRoman" w:cs="TimesNewRoman"/>
              </w:rPr>
            </w:pPr>
            <w:r>
              <w:rPr>
                <w:rFonts w:ascii="Arial" w:hAnsi="Arial" w:eastAsia="Arial"/>
                <w:b/>
                <w:bCs/>
              </w:rPr>
              <w:t xml:space="preserve">Licitante Razão Social:</w:t>
            </w:r>
            <w:r>
              <w:rPr>
                <w:rFonts w:ascii="TimesNewRoman" w:hAnsi="TimesNewRoman" w:eastAsia="TimesNewRoman" w:cs="TimesNewRoman"/>
              </w:rPr>
            </w:r>
            <w:r>
              <w:rPr>
                <w:rFonts w:ascii="TimesNewRoman" w:hAnsi="TimesNewRoman" w:eastAsia="TimesNewRoman" w:cs="TimesNewRoman"/>
              </w:rPr>
            </w:r>
          </w:p>
        </w:tc>
        <w:tc>
          <w:tcPr>
            <w:gridSpan w:val="2"/>
            <w:tcBorders>
              <w:top w:val="single" w:color="000000" w:sz="4" w:space="0"/>
              <w:left w:val="single" w:color="000000" w:sz="4" w:space="0"/>
              <w:bottom w:val="single" w:color="000000" w:sz="4" w:space="0"/>
              <w:right w:val="single" w:color="000000" w:sz="4" w:space="0"/>
            </w:tcBorders>
            <w:tcW w:w="3254" w:type="dxa"/>
            <w:textDirection w:val="lrTb"/>
            <w:noWrap w:val="false"/>
          </w:tcPr>
          <w:p>
            <w:pPr>
              <w:pBdr/>
              <w:tabs>
                <w:tab w:val="left" w:leader="none" w:pos="2714"/>
                <w:tab w:val="left" w:leader="none" w:pos="10419"/>
              </w:tabs>
              <w:spacing/>
              <w:ind/>
              <w:rPr>
                <w:rFonts w:ascii="TimesNewRoman" w:hAnsi="TimesNewRoman" w:eastAsia="TimesNewRoman" w:cs="TimesNewRoman"/>
              </w:rPr>
            </w:pPr>
            <w:r>
              <w:rPr>
                <w:rFonts w:ascii="Arial" w:hAnsi="Arial" w:eastAsia="Arial"/>
                <w:b/>
                <w:bCs/>
              </w:rPr>
              <w:t xml:space="preserve">CNPJ N.º:</w:t>
            </w:r>
            <w:r>
              <w:rPr>
                <w:rFonts w:ascii="TimesNewRoman" w:hAnsi="TimesNewRoman" w:eastAsia="TimesNewRoman" w:cs="TimesNewRoman"/>
              </w:rPr>
            </w:r>
            <w:r>
              <w:rPr>
                <w:rFonts w:ascii="TimesNewRoman" w:hAnsi="TimesNewRoman" w:eastAsia="TimesNewRoman" w:cs="TimesNewRoman"/>
              </w:rPr>
            </w:r>
          </w:p>
        </w:tc>
      </w:tr>
      <w:tr>
        <w:trPr>
          <w:trHeight w:val="255"/>
        </w:trPr>
        <w:tc>
          <w:tcPr>
            <w:tcBorders>
              <w:top w:val="single" w:color="000000" w:sz="4" w:space="0"/>
              <w:left w:val="single" w:color="000000" w:sz="4" w:space="0"/>
              <w:bottom w:val="single" w:color="000000" w:sz="4" w:space="0"/>
              <w:right w:val="single" w:color="000000" w:sz="4" w:space="0"/>
            </w:tcBorders>
            <w:tcW w:w="3418" w:type="dxa"/>
            <w:textDirection w:val="lrTb"/>
            <w:noWrap w:val="false"/>
          </w:tcPr>
          <w:p>
            <w:pPr>
              <w:pBdr/>
              <w:tabs>
                <w:tab w:val="left" w:leader="none" w:pos="2714"/>
                <w:tab w:val="left" w:leader="none" w:pos="10419"/>
              </w:tabs>
              <w:spacing/>
              <w:ind/>
              <w:rPr>
                <w:rFonts w:ascii="TimesNewRoman" w:hAnsi="TimesNewRoman" w:eastAsia="TimesNewRoman" w:cs="TimesNewRoman"/>
              </w:rPr>
            </w:pPr>
            <w:r>
              <w:rPr>
                <w:rFonts w:ascii="Arial" w:hAnsi="Arial" w:eastAsia="Arial"/>
                <w:b/>
                <w:bCs/>
              </w:rPr>
              <w:t xml:space="preserve">Telefone fixo:</w:t>
            </w:r>
            <w:r>
              <w:rPr>
                <w:rFonts w:ascii="TimesNewRoman" w:hAnsi="TimesNewRoman" w:eastAsia="TimesNewRoman" w:cs="TimesNewRoman"/>
              </w:rPr>
            </w:r>
            <w:r>
              <w:rPr>
                <w:rFonts w:ascii="TimesNewRoman" w:hAnsi="TimesNewRoman" w:eastAsia="TimesNewRoman" w:cs="TimesNewRoman"/>
              </w:rPr>
            </w:r>
          </w:p>
        </w:tc>
        <w:tc>
          <w:tcPr>
            <w:gridSpan w:val="2"/>
            <w:tcBorders>
              <w:top w:val="single" w:color="000000" w:sz="4" w:space="0"/>
              <w:left w:val="single" w:color="000000" w:sz="4" w:space="0"/>
              <w:bottom w:val="single" w:color="000000" w:sz="4" w:space="0"/>
              <w:right w:val="single" w:color="000000" w:sz="4" w:space="0"/>
            </w:tcBorders>
            <w:tcW w:w="2449" w:type="dxa"/>
            <w:textDirection w:val="lrTb"/>
            <w:noWrap w:val="false"/>
          </w:tcPr>
          <w:p>
            <w:pPr>
              <w:pBdr/>
              <w:tabs>
                <w:tab w:val="left" w:leader="none" w:pos="2714"/>
                <w:tab w:val="left" w:leader="none" w:pos="10419"/>
              </w:tabs>
              <w:spacing/>
              <w:ind/>
              <w:rPr>
                <w:rFonts w:ascii="TimesNewRoman" w:hAnsi="TimesNewRoman" w:eastAsia="TimesNewRoman" w:cs="TimesNewRoman"/>
              </w:rPr>
            </w:pPr>
            <w:r>
              <w:rPr>
                <w:rFonts w:ascii="Arial" w:hAnsi="Arial" w:eastAsia="Arial"/>
                <w:b/>
                <w:bCs/>
              </w:rPr>
              <w:t xml:space="preserve">Celular:</w:t>
            </w:r>
            <w:r>
              <w:rPr>
                <w:rFonts w:ascii="TimesNewRoman" w:hAnsi="TimesNewRoman" w:eastAsia="TimesNewRoman" w:cs="TimesNewRoman"/>
              </w:rPr>
            </w:r>
            <w:r>
              <w:rPr>
                <w:rFonts w:ascii="TimesNewRoman" w:hAnsi="TimesNewRoman" w:eastAsia="TimesNewRoman" w:cs="TimesNewRoman"/>
              </w:rPr>
            </w:r>
          </w:p>
        </w:tc>
        <w:tc>
          <w:tcPr>
            <w:gridSpan w:val="3"/>
            <w:tcBorders>
              <w:top w:val="single" w:color="000000" w:sz="4" w:space="0"/>
              <w:left w:val="single" w:color="000000" w:sz="4" w:space="0"/>
              <w:bottom w:val="single" w:color="000000" w:sz="4" w:space="0"/>
              <w:right w:val="single" w:color="000000" w:sz="4" w:space="0"/>
            </w:tcBorders>
            <w:tcW w:w="4418" w:type="dxa"/>
            <w:textDirection w:val="lrTb"/>
            <w:noWrap w:val="false"/>
          </w:tcPr>
          <w:p>
            <w:pPr>
              <w:pBdr/>
              <w:tabs>
                <w:tab w:val="left" w:leader="none" w:pos="2714"/>
                <w:tab w:val="left" w:leader="none" w:pos="10419"/>
              </w:tabs>
              <w:spacing/>
              <w:ind/>
              <w:rPr>
                <w:rFonts w:ascii="TimesNewRoman" w:hAnsi="TimesNewRoman" w:eastAsia="TimesNewRoman" w:cs="TimesNewRoman"/>
              </w:rPr>
            </w:pPr>
            <w:r>
              <w:rPr>
                <w:rFonts w:ascii="Arial" w:hAnsi="Arial" w:eastAsia="Arial"/>
                <w:b/>
                <w:bCs/>
              </w:rPr>
              <w:t xml:space="preserve">Endereço eletrônico e-mail:</w:t>
            </w:r>
            <w:r>
              <w:rPr>
                <w:rFonts w:ascii="TimesNewRoman" w:hAnsi="TimesNewRoman" w:eastAsia="TimesNewRoman" w:cs="TimesNewRoman"/>
              </w:rPr>
            </w:r>
            <w:r>
              <w:rPr>
                <w:rFonts w:ascii="TimesNewRoman" w:hAnsi="TimesNewRoman" w:eastAsia="TimesNewRoman" w:cs="TimesNewRoman"/>
              </w:rPr>
            </w:r>
          </w:p>
        </w:tc>
      </w:tr>
      <w:tr>
        <w:trPr>
          <w:trHeight w:val="255"/>
        </w:trPr>
        <w:tc>
          <w:tcPr>
            <w:gridSpan w:val="6"/>
            <w:tcBorders>
              <w:top w:val="single" w:color="000000" w:sz="4" w:space="0"/>
              <w:left w:val="single" w:color="000000" w:sz="4" w:space="0"/>
              <w:bottom w:val="single" w:color="000000" w:sz="4" w:space="0"/>
              <w:right w:val="single" w:color="000000" w:sz="4" w:space="0"/>
            </w:tcBorders>
            <w:tcW w:w="10285" w:type="dxa"/>
            <w:textDirection w:val="lrTb"/>
            <w:noWrap w:val="false"/>
          </w:tcPr>
          <w:p>
            <w:pPr>
              <w:pBdr/>
              <w:tabs>
                <w:tab w:val="left" w:leader="none" w:pos="2714"/>
                <w:tab w:val="left" w:leader="none" w:pos="10419"/>
              </w:tabs>
              <w:spacing/>
              <w:ind/>
              <w:rPr>
                <w:rFonts w:ascii="TimesNewRoman" w:hAnsi="TimesNewRoman" w:eastAsia="TimesNewRoman" w:cs="TimesNewRoman"/>
              </w:rPr>
            </w:pPr>
            <w:r>
              <w:rPr>
                <w:rFonts w:ascii="Arial" w:hAnsi="Arial" w:eastAsia="Arial"/>
                <w:b/>
                <w:bCs/>
              </w:rPr>
              <w:t xml:space="preserve">Endereço Completo Rua, Nº, Bairro, Município, Estado, Cep:</w:t>
            </w:r>
            <w:r>
              <w:rPr>
                <w:rFonts w:ascii="TimesNewRoman" w:hAnsi="TimesNewRoman" w:eastAsia="TimesNewRoman" w:cs="TimesNewRoman"/>
              </w:rPr>
            </w:r>
            <w:r>
              <w:rPr>
                <w:rFonts w:ascii="TimesNewRoman" w:hAnsi="TimesNewRoman" w:eastAsia="TimesNewRoman" w:cs="TimesNewRoman"/>
              </w:rPr>
            </w:r>
          </w:p>
        </w:tc>
      </w:tr>
      <w:tr>
        <w:trPr>
          <w:trHeight w:val="272"/>
        </w:trPr>
        <w:tc>
          <w:tcPr>
            <w:gridSpan w:val="2"/>
            <w:tcBorders>
              <w:top w:val="single" w:color="000000" w:sz="4" w:space="0"/>
              <w:left w:val="single" w:color="000000" w:sz="4" w:space="0"/>
              <w:bottom w:val="single" w:color="000000" w:sz="4" w:space="0"/>
              <w:right w:val="single" w:color="000000" w:sz="4" w:space="0"/>
            </w:tcBorders>
            <w:tcW w:w="4244" w:type="dxa"/>
            <w:textDirection w:val="lrTb"/>
            <w:noWrap w:val="false"/>
          </w:tcPr>
          <w:p>
            <w:pPr>
              <w:pBdr/>
              <w:spacing/>
              <w:ind/>
              <w:jc w:val="both"/>
              <w:rPr>
                <w:rFonts w:ascii="TimesNewRoman" w:hAnsi="TimesNewRoman" w:eastAsia="TimesNewRoman" w:cs="TimesNewRoman"/>
              </w:rPr>
            </w:pPr>
            <w:r>
              <w:rPr>
                <w:rFonts w:ascii="Arial" w:hAnsi="Arial" w:eastAsia="Arial"/>
                <w:b/>
                <w:bCs/>
              </w:rPr>
              <w:t xml:space="preserve">Conta Corrente nº:</w:t>
            </w:r>
            <w:r>
              <w:rPr>
                <w:rFonts w:ascii="TimesNewRoman" w:hAnsi="TimesNewRoman" w:eastAsia="TimesNewRoman" w:cs="TimesNewRoman"/>
              </w:rPr>
            </w:r>
            <w:r>
              <w:rPr>
                <w:rFonts w:ascii="TimesNewRoman" w:hAnsi="TimesNewRoman" w:eastAsia="TimesNewRoman" w:cs="TimesNewRoman"/>
              </w:rPr>
            </w:r>
          </w:p>
        </w:tc>
        <w:tc>
          <w:tcPr>
            <w:gridSpan w:val="3"/>
            <w:tcBorders>
              <w:top w:val="single" w:color="000000" w:sz="4" w:space="0"/>
              <w:left w:val="single" w:color="000000" w:sz="4" w:space="0"/>
              <w:bottom w:val="single" w:color="000000" w:sz="4" w:space="0"/>
              <w:right w:val="single" w:color="000000" w:sz="4" w:space="0"/>
            </w:tcBorders>
            <w:tcW w:w="3224" w:type="dxa"/>
            <w:textDirection w:val="lrTb"/>
            <w:noWrap w:val="false"/>
          </w:tcPr>
          <w:p>
            <w:pPr>
              <w:pBdr/>
              <w:spacing/>
              <w:ind/>
              <w:jc w:val="both"/>
              <w:rPr>
                <w:rFonts w:ascii="TimesNewRoman" w:hAnsi="TimesNewRoman" w:eastAsia="TimesNewRoman" w:cs="TimesNewRoman"/>
              </w:rPr>
            </w:pPr>
            <w:r>
              <w:rPr>
                <w:rFonts w:ascii="Arial" w:hAnsi="Arial" w:eastAsia="Arial"/>
                <w:b/>
                <w:bCs/>
              </w:rPr>
              <w:t xml:space="preserve">Agência:</w:t>
            </w:r>
            <w:r>
              <w:rPr>
                <w:rFonts w:ascii="TimesNewRoman" w:hAnsi="TimesNewRoman" w:eastAsia="TimesNewRoman" w:cs="TimesNewRoman"/>
              </w:rPr>
            </w:r>
            <w:r>
              <w:rPr>
                <w:rFonts w:ascii="TimesNewRoman" w:hAnsi="TimesNewRoman" w:eastAsia="TimesNewRoman" w:cs="TimesNewRoman"/>
              </w:rPr>
            </w:r>
          </w:p>
        </w:tc>
        <w:tc>
          <w:tcPr>
            <w:tcBorders>
              <w:top w:val="single" w:color="000000" w:sz="4" w:space="0"/>
              <w:left w:val="single" w:color="000000" w:sz="4" w:space="0"/>
              <w:bottom w:val="single" w:color="000000" w:sz="4" w:space="0"/>
              <w:right w:val="single" w:color="000000" w:sz="4" w:space="0"/>
            </w:tcBorders>
            <w:tcW w:w="2817" w:type="dxa"/>
            <w:textDirection w:val="lrTb"/>
            <w:noWrap w:val="false"/>
          </w:tcPr>
          <w:p>
            <w:pPr>
              <w:pBdr/>
              <w:spacing/>
              <w:ind/>
              <w:jc w:val="both"/>
              <w:rPr>
                <w:rFonts w:ascii="TimesNewRoman" w:hAnsi="TimesNewRoman" w:eastAsia="TimesNewRoman" w:cs="TimesNewRoman"/>
              </w:rPr>
            </w:pPr>
            <w:r>
              <w:rPr>
                <w:rFonts w:ascii="Arial" w:hAnsi="Arial" w:eastAsia="Arial"/>
                <w:b/>
                <w:bCs/>
              </w:rPr>
              <w:t xml:space="preserve">Banco:</w:t>
            </w:r>
            <w:r>
              <w:rPr>
                <w:rFonts w:ascii="TimesNewRoman" w:hAnsi="TimesNewRoman" w:eastAsia="TimesNewRoman" w:cs="TimesNewRoman"/>
              </w:rPr>
            </w:r>
            <w:r>
              <w:rPr>
                <w:rFonts w:ascii="TimesNewRoman" w:hAnsi="TimesNewRoman" w:eastAsia="TimesNewRoman" w:cs="TimesNewRoman"/>
              </w:rPr>
            </w:r>
          </w:p>
        </w:tc>
      </w:tr>
    </w:tbl>
    <w:p>
      <w:pPr>
        <w:pBdr/>
        <w:tabs>
          <w:tab w:val="left" w:leader="none" w:pos="2714"/>
          <w:tab w:val="left" w:leader="none" w:pos="10419"/>
        </w:tabs>
        <w:spacing/>
        <w:ind/>
        <w:rPr>
          <w:rFonts w:ascii="Arial" w:hAnsi="Arial" w:eastAsia="Arial"/>
          <w:b/>
          <w:bCs/>
        </w:rPr>
      </w:pPr>
      <w:r>
        <w:rPr>
          <w:rFonts w:ascii="Arial" w:hAnsi="Arial" w:eastAsia="Arial"/>
          <w:b/>
          <w:bCs/>
        </w:rPr>
      </w:r>
      <w:r>
        <w:rPr>
          <w:rFonts w:ascii="Arial" w:hAnsi="Arial" w:eastAsia="Arial"/>
          <w:b/>
          <w:bCs/>
        </w:rPr>
      </w:r>
      <w:r>
        <w:rPr>
          <w:rFonts w:ascii="Arial" w:hAnsi="Arial" w:eastAsia="Arial"/>
          <w:b/>
          <w:bCs/>
        </w:rPr>
      </w:r>
    </w:p>
    <w:p>
      <w:pPr>
        <w:pBdr/>
        <w:tabs>
          <w:tab w:val="left" w:leader="none" w:pos="2714"/>
          <w:tab w:val="left" w:leader="none" w:pos="10419"/>
        </w:tabs>
        <w:spacing/>
        <w:ind/>
        <w:rPr>
          <w:rFonts w:ascii="Arial" w:hAnsi="Arial" w:eastAsia="Arial"/>
          <w:b/>
          <w:bCs/>
          <w:color w:val="000000"/>
          <w14:ligatures w14:val="none"/>
        </w:rPr>
      </w:pPr>
      <w:r>
        <w:rPr>
          <w:rFonts w:ascii="Arial" w:hAnsi="Arial" w:eastAsia="Arial"/>
          <w:b/>
          <w:bCs/>
          <w:color w:val="000000"/>
        </w:rPr>
        <w:t xml:space="preserve">Licitação Modalidade: Pregão Eletrônico N.º: 18/2026. Tipo: MENOR PREÇO POR ITEM.</w:t>
      </w:r>
      <w:r>
        <w:rPr>
          <w:rFonts w:ascii="Arial" w:hAnsi="Arial" w:eastAsia="Arial"/>
          <w:b/>
          <w:bCs/>
          <w:color w:val="000000"/>
        </w:rPr>
      </w:r>
      <w:r>
        <w:rPr>
          <w:rFonts w:ascii="Arial" w:hAnsi="Arial" w:eastAsia="Arial"/>
          <w:b/>
          <w:bCs/>
          <w:color w:val="000000"/>
          <w14:ligatures w14:val="none"/>
        </w:rPr>
      </w:r>
    </w:p>
    <w:p>
      <w:pPr>
        <w:pBdr/>
        <w:spacing/>
        <w:ind/>
        <w:jc w:val="both"/>
        <w:rPr>
          <w:rFonts w:ascii="Arial" w:hAnsi="Arial" w:eastAsia="Arial"/>
          <w:b/>
          <w:bCs/>
          <w:highlight w:val="none"/>
        </w:rPr>
      </w:pPr>
      <w:r>
        <w:rPr>
          <w:rFonts w:ascii="Arial" w:hAnsi="Arial" w:eastAsia="Arial"/>
          <w:b/>
          <w:bCs/>
        </w:rPr>
        <w:t xml:space="preserve">Objeto: </w:t>
      </w:r>
      <w:r>
        <w:rPr>
          <w:rFonts w:ascii="Arial" w:hAnsi="Arial"/>
          <w:b/>
          <w:bCs/>
          <w:color w:val="000000"/>
        </w:rPr>
        <w:t xml:space="preserve"> REGISTRO DE PREÇOS PARA FUTURA E EVENTUAL AQUIS</w:t>
      </w:r>
      <w:r>
        <w:rPr>
          <w:rFonts w:ascii="Arial" w:hAnsi="Arial"/>
          <w:b/>
          <w:bCs/>
          <w:color w:val="000000"/>
        </w:rPr>
        <w:t xml:space="preserve">IÇÃO DE MATERIAIS, INSUMOS E EQUIPAMENTOS DESTINADOS À FISIOTERAPIA, REABILITAÇÃO E AÇÕES TERAPÊUTICAS CORRELATAS, PARA ATENDER AS NECESSIDADES DA SECRETARIA MUNICIPAL SAÚDE, CONFORME ESPECIFICAÇÕES E QUANTITATIVOS ESTABELECIDOS NESTE EDITAL E SEUS ANEXOS.</w:t>
      </w:r>
      <w:r>
        <w:rPr>
          <w:rFonts w:ascii="Arial" w:hAnsi="Arial" w:eastAsia="Arial"/>
          <w:b/>
          <w:bCs/>
        </w:rPr>
      </w:r>
      <w:r>
        <w:rPr>
          <w:rFonts w:ascii="Arial" w:hAnsi="Arial" w:eastAsia="Arial"/>
          <w:b/>
          <w:bCs/>
          <w:highlight w:val="none"/>
        </w:rPr>
      </w:r>
    </w:p>
    <w:p w14:paraId="15555FD7">
      <w:pPr>
        <w:pBdr/>
        <w:spacing/>
        <w:ind/>
        <w:jc w:val="both"/>
        <w:rPr>
          <w:rFonts w:ascii="Arial" w:hAnsi="Arial" w:eastAsia="Arial"/>
          <w:b/>
          <w:bCs/>
        </w:rPr>
      </w:pPr>
      <w:r>
        <w:rPr>
          <w:rFonts w:ascii="Arial" w:hAnsi="Arial" w:eastAsia="Arial"/>
          <w:b/>
          <w:bCs/>
          <w:highlight w:val="none"/>
        </w:rPr>
      </w:r>
      <w:r>
        <w:rPr>
          <w:rFonts w:ascii="Arial" w:hAnsi="Arial" w:eastAsia="Arial"/>
          <w:b/>
          <w:bCs/>
          <w:highlight w:val="none"/>
        </w:rPr>
      </w:r>
      <w:r>
        <w:rPr>
          <w:rFonts w:ascii="Arial" w:hAnsi="Arial" w:eastAsia="Arial"/>
          <w:b/>
          <w:bCs/>
        </w:rPr>
      </w:r>
    </w:p>
    <w:tbl>
      <w:tblPr>
        <w:tblInd w:w="10" w:type="dxa"/>
        <w:tblW w:w="10095" w:type="dxa"/>
        <w:tblCellMar>
          <w:left w:w="55" w:type="dxa"/>
          <w:top w:w="55" w:type="dxa"/>
          <w:right w:w="55" w:type="dxa"/>
          <w:bottom w:w="55" w:type="dxa"/>
        </w:tblCellMar>
        <w:tblBorders/>
        <w:tblLayout w:type="fixed"/>
        <w:tblLook w:val="04A0" w:firstRow="1" w:lastRow="0" w:firstColumn="1" w:lastColumn="0" w:noHBand="0" w:noVBand="1"/>
      </w:tblPr>
      <w:tblGrid>
        <w:gridCol w:w="584"/>
        <w:gridCol w:w="736"/>
        <w:gridCol w:w="5053"/>
        <w:gridCol w:w="1042"/>
        <w:gridCol w:w="610"/>
        <w:gridCol w:w="1082"/>
        <w:gridCol w:w="988"/>
      </w:tblGrid>
      <w:tr>
        <w:trPr>
          <w:trHeight w:val="365"/>
        </w:trPr>
        <w:tc>
          <w:tcPr>
            <w:tcBorders>
              <w:left w:val="single" w:color="000000" w:sz="4" w:space="0"/>
              <w:bottom w:val="single" w:color="000000" w:sz="4" w:space="0"/>
            </w:tcBorders>
            <w:tcW w:w="584" w:type="dxa"/>
            <w:vAlign w:val="center"/>
            <w:textDirection w:val="lrTb"/>
            <w:noWrap w:val="false"/>
          </w:tcPr>
          <w:p>
            <w:pPr>
              <w:pBdr/>
              <w:spacing/>
              <w:ind/>
              <w:jc w:val="center"/>
              <w:rPr>
                <w:rFonts w:ascii="TimesNewRoman" w:hAnsi="TimesNewRoman" w:eastAsia="TimesNewRoman" w:cs="TimesNewRoman"/>
                <w:sz w:val="14"/>
                <w:szCs w:val="14"/>
              </w:rPr>
            </w:pPr>
            <w:r>
              <w:rPr>
                <w:rFonts w:ascii="TimesNewRoman" w:hAnsi="TimesNewRoman" w:eastAsia="TimesNewRoman" w:cs="TimesNewRoman"/>
                <w:b/>
                <w:bCs/>
                <w:color w:val="000000"/>
                <w:sz w:val="14"/>
                <w:szCs w:val="14"/>
              </w:rPr>
              <w:t xml:space="preserve">ITEM</w:t>
            </w:r>
            <w:r>
              <w:rPr>
                <w:rFonts w:ascii="TimesNewRoman" w:hAnsi="TimesNewRoman" w:eastAsia="TimesNewRoman" w:cs="TimesNewRoman"/>
                <w:sz w:val="14"/>
                <w:szCs w:val="14"/>
              </w:rPr>
            </w:r>
            <w:r>
              <w:rPr>
                <w:rFonts w:ascii="TimesNewRoman" w:hAnsi="TimesNewRoman" w:eastAsia="TimesNewRoman" w:cs="TimesNewRoman"/>
                <w:sz w:val="14"/>
                <w:szCs w:val="14"/>
              </w:rPr>
            </w:r>
          </w:p>
        </w:tc>
        <w:tc>
          <w:tcPr>
            <w:tcBorders>
              <w:left w:val="single" w:color="000000" w:sz="4" w:space="0"/>
              <w:bottom w:val="single" w:color="000000" w:sz="4" w:space="0"/>
            </w:tcBorders>
            <w:tcW w:w="736" w:type="dxa"/>
            <w:vAlign w:val="center"/>
            <w:textDirection w:val="lrTb"/>
            <w:noWrap w:val="false"/>
          </w:tcPr>
          <w:p>
            <w:pPr>
              <w:pBdr/>
              <w:spacing/>
              <w:ind/>
              <w:jc w:val="center"/>
              <w:rPr>
                <w:rFonts w:ascii="TimesNewRoman" w:hAnsi="TimesNewRoman" w:eastAsia="TimesNewRoman" w:cs="TimesNewRoman"/>
                <w:sz w:val="14"/>
                <w:szCs w:val="14"/>
              </w:rPr>
            </w:pPr>
            <w:r>
              <w:rPr>
                <w:rFonts w:ascii="TimesNewRoman" w:hAnsi="TimesNewRoman" w:eastAsia="TimesNewRoman" w:cs="TimesNewRoman"/>
                <w:b/>
                <w:bCs/>
                <w:color w:val="000000"/>
                <w:sz w:val="14"/>
                <w:szCs w:val="14"/>
              </w:rPr>
              <w:t xml:space="preserve">CODIGO AGILE</w:t>
            </w:r>
            <w:r>
              <w:rPr>
                <w:rFonts w:ascii="TimesNewRoman" w:hAnsi="TimesNewRoman" w:eastAsia="TimesNewRoman" w:cs="TimesNewRoman"/>
                <w:sz w:val="14"/>
                <w:szCs w:val="14"/>
              </w:rPr>
            </w:r>
            <w:r>
              <w:rPr>
                <w:rFonts w:ascii="TimesNewRoman" w:hAnsi="TimesNewRoman" w:eastAsia="TimesNewRoman" w:cs="TimesNewRoman"/>
                <w:sz w:val="14"/>
                <w:szCs w:val="14"/>
              </w:rPr>
            </w:r>
          </w:p>
        </w:tc>
        <w:tc>
          <w:tcPr>
            <w:tcBorders>
              <w:left w:val="single" w:color="000000" w:sz="4" w:space="0"/>
              <w:bottom w:val="single" w:color="000000" w:sz="4" w:space="0"/>
            </w:tcBorders>
            <w:tcW w:w="5053" w:type="dxa"/>
            <w:vAlign w:val="center"/>
            <w:textDirection w:val="lrTb"/>
            <w:noWrap w:val="false"/>
          </w:tcPr>
          <w:p>
            <w:pPr>
              <w:pBdr/>
              <w:spacing/>
              <w:ind/>
              <w:jc w:val="center"/>
              <w:rPr>
                <w:sz w:val="14"/>
                <w:szCs w:val="14"/>
              </w:rPr>
            </w:pPr>
            <w:r>
              <w:rPr>
                <w:rFonts w:ascii="TimesNewRoman" w:hAnsi="TimesNewRoman" w:eastAsia="TimesNewRoman" w:cs="TimesNewRoman"/>
                <w:b/>
                <w:bCs/>
                <w:color w:val="000000"/>
                <w:sz w:val="14"/>
                <w:szCs w:val="14"/>
              </w:rPr>
              <w:t xml:space="preserve">DESCRIÇÃO</w:t>
            </w:r>
            <w:r>
              <w:rPr>
                <w:sz w:val="14"/>
                <w:szCs w:val="14"/>
              </w:rPr>
            </w:r>
            <w:r>
              <w:rPr>
                <w:sz w:val="14"/>
                <w:szCs w:val="14"/>
              </w:rPr>
            </w:r>
          </w:p>
        </w:tc>
        <w:tc>
          <w:tcPr>
            <w:tcBorders>
              <w:left w:val="single" w:color="000000" w:sz="4" w:space="0"/>
              <w:bottom w:val="single" w:color="000000" w:sz="4" w:space="0"/>
            </w:tcBorders>
            <w:tcW w:w="1042" w:type="dxa"/>
            <w:textDirection w:val="lrTb"/>
            <w:noWrap w:val="false"/>
          </w:tcPr>
          <w:p>
            <w:pPr>
              <w:pBdr/>
              <w:spacing/>
              <w:ind/>
              <w:jc w:val="center"/>
              <w:rPr>
                <w:rFonts w:ascii="TimesNewRoman" w:hAnsi="TimesNewRoman" w:eastAsia="TimesNewRoman" w:cs="TimesNewRoman"/>
                <w:sz w:val="14"/>
                <w:szCs w:val="14"/>
              </w:rPr>
            </w:pPr>
            <w:r>
              <w:rPr>
                <w:rFonts w:ascii="TimesNewRoman" w:hAnsi="TimesNewRoman" w:eastAsia="TimesNewRoman" w:cs="TimesNewRoman"/>
                <w:b/>
                <w:bCs/>
                <w:color w:val="000000"/>
                <w:sz w:val="14"/>
                <w:szCs w:val="14"/>
              </w:rPr>
              <w:t xml:space="preserve"> UND DE MEDIDA</w:t>
            </w:r>
            <w:r>
              <w:rPr>
                <w:rFonts w:ascii="TimesNewRoman" w:hAnsi="TimesNewRoman" w:eastAsia="TimesNewRoman" w:cs="TimesNewRoman"/>
                <w:sz w:val="14"/>
                <w:szCs w:val="14"/>
              </w:rPr>
            </w:r>
            <w:r>
              <w:rPr>
                <w:rFonts w:ascii="TimesNewRoman" w:hAnsi="TimesNewRoman" w:eastAsia="TimesNewRoman" w:cs="TimesNewRoman"/>
                <w:sz w:val="14"/>
                <w:szCs w:val="14"/>
              </w:rPr>
            </w:r>
          </w:p>
        </w:tc>
        <w:tc>
          <w:tcPr>
            <w:tcBorders>
              <w:left w:val="single" w:color="000000" w:sz="4" w:space="0"/>
              <w:bottom w:val="single" w:color="000000" w:sz="4" w:space="0"/>
            </w:tcBorders>
            <w:tcW w:w="610" w:type="dxa"/>
            <w:vAlign w:val="center"/>
            <w:textDirection w:val="lrTb"/>
            <w:noWrap w:val="false"/>
          </w:tcPr>
          <w:p>
            <w:pPr>
              <w:pBdr/>
              <w:spacing/>
              <w:ind/>
              <w:jc w:val="center"/>
              <w:rPr>
                <w:rFonts w:ascii="TimesNewRoman" w:hAnsi="TimesNewRoman" w:eastAsia="TimesNewRoman" w:cs="TimesNewRoman"/>
                <w:sz w:val="14"/>
                <w:szCs w:val="14"/>
              </w:rPr>
            </w:pPr>
            <w:r>
              <w:rPr>
                <w:rFonts w:ascii="TimesNewRoman" w:hAnsi="TimesNewRoman" w:eastAsia="TimesNewRoman" w:cs="TimesNewRoman"/>
                <w:b/>
                <w:bCs/>
                <w:color w:val="000000"/>
                <w:sz w:val="14"/>
                <w:szCs w:val="14"/>
              </w:rPr>
              <w:t xml:space="preserve">QTD</w:t>
            </w:r>
            <w:r>
              <w:rPr>
                <w:rFonts w:ascii="TimesNewRoman" w:hAnsi="TimesNewRoman" w:eastAsia="TimesNewRoman" w:cs="TimesNewRoman"/>
                <w:sz w:val="14"/>
                <w:szCs w:val="14"/>
              </w:rPr>
            </w:r>
            <w:r>
              <w:rPr>
                <w:rFonts w:ascii="TimesNewRoman" w:hAnsi="TimesNewRoman" w:eastAsia="TimesNewRoman" w:cs="TimesNewRoman"/>
                <w:sz w:val="14"/>
                <w:szCs w:val="14"/>
              </w:rPr>
            </w:r>
          </w:p>
        </w:tc>
        <w:tc>
          <w:tcPr>
            <w:tcBorders>
              <w:left w:val="single" w:color="000000" w:sz="4" w:space="0"/>
              <w:bottom w:val="single" w:color="000000" w:sz="4" w:space="0"/>
            </w:tcBorders>
            <w:tcW w:w="1082" w:type="dxa"/>
            <w:vAlign w:val="center"/>
            <w:textDirection w:val="lrTb"/>
            <w:noWrap w:val="false"/>
          </w:tcPr>
          <w:p>
            <w:pPr>
              <w:pBdr/>
              <w:spacing/>
              <w:ind/>
              <w:jc w:val="center"/>
              <w:rPr>
                <w:rFonts w:ascii="TimesNewRoman" w:hAnsi="TimesNewRoman" w:eastAsia="TimesNewRoman" w:cs="TimesNewRoman"/>
                <w:sz w:val="14"/>
                <w:szCs w:val="14"/>
              </w:rPr>
            </w:pPr>
            <w:r>
              <w:rPr>
                <w:rFonts w:ascii="TimesNewRoman" w:hAnsi="TimesNewRoman" w:eastAsia="TimesNewRoman" w:cs="TimesNewRoman"/>
                <w:b/>
                <w:bCs/>
                <w:color w:val="000000"/>
                <w:sz w:val="14"/>
                <w:szCs w:val="14"/>
              </w:rPr>
              <w:t xml:space="preserve">VALOR UNITÁRIO</w:t>
            </w:r>
            <w:r>
              <w:rPr>
                <w:rFonts w:ascii="TimesNewRoman" w:hAnsi="TimesNewRoman" w:eastAsia="TimesNewRoman" w:cs="TimesNewRoman"/>
                <w:sz w:val="14"/>
                <w:szCs w:val="14"/>
              </w:rPr>
            </w:r>
            <w:r>
              <w:rPr>
                <w:rFonts w:ascii="TimesNewRoman" w:hAnsi="TimesNewRoman" w:eastAsia="TimesNewRoman" w:cs="TimesNewRoman"/>
                <w:sz w:val="14"/>
                <w:szCs w:val="14"/>
              </w:rPr>
            </w:r>
          </w:p>
        </w:tc>
        <w:tc>
          <w:tcPr>
            <w:tcBorders>
              <w:left w:val="single" w:color="000000" w:sz="4" w:space="0"/>
              <w:bottom w:val="single" w:color="000000" w:sz="4" w:space="0"/>
              <w:right w:val="single" w:color="000000" w:sz="4" w:space="0"/>
            </w:tcBorders>
            <w:tcW w:w="988" w:type="dxa"/>
            <w:vAlign w:val="center"/>
            <w:textDirection w:val="lrTb"/>
            <w:noWrap w:val="false"/>
          </w:tcPr>
          <w:p>
            <w:pPr>
              <w:pBdr/>
              <w:spacing/>
              <w:ind/>
              <w:jc w:val="center"/>
              <w:rPr>
                <w:rFonts w:ascii="TimesNewRoman" w:hAnsi="TimesNewRoman" w:eastAsia="TimesNewRoman" w:cs="TimesNewRoman"/>
                <w:sz w:val="14"/>
                <w:szCs w:val="14"/>
              </w:rPr>
            </w:pPr>
            <w:r>
              <w:rPr>
                <w:rFonts w:ascii="TimesNewRoman" w:hAnsi="TimesNewRoman" w:eastAsia="TimesNewRoman" w:cs="TimesNewRoman"/>
                <w:b/>
                <w:bCs/>
                <w:color w:val="000000"/>
                <w:sz w:val="14"/>
                <w:szCs w:val="14"/>
              </w:rPr>
              <w:t xml:space="preserve">VALOR TOTAL</w:t>
            </w:r>
            <w:r>
              <w:rPr>
                <w:rFonts w:ascii="TimesNewRoman" w:hAnsi="TimesNewRoman" w:eastAsia="TimesNewRoman" w:cs="TimesNewRoman"/>
                <w:sz w:val="14"/>
                <w:szCs w:val="14"/>
              </w:rPr>
            </w:r>
            <w:r>
              <w:rPr>
                <w:rFonts w:ascii="TimesNewRoman" w:hAnsi="TimesNewRoman" w:eastAsia="TimesNewRoman" w:cs="TimesNewRoman"/>
                <w:sz w:val="14"/>
                <w:szCs w:val="14"/>
              </w:rPr>
            </w:r>
          </w:p>
        </w:tc>
      </w:tr>
      <w:tr>
        <w:trPr>
          <w:trHeight w:val="315"/>
        </w:trPr>
        <w:tc>
          <w:tcPr>
            <w:tcBorders>
              <w:left w:val="single" w:color="000000" w:sz="4" w:space="0"/>
              <w:bottom w:val="single" w:color="000000" w:sz="4" w:space="0"/>
            </w:tcBorders>
            <w:tcW w:w="584" w:type="dxa"/>
            <w:vAlign w:val="center"/>
            <w:textDirection w:val="lrTb"/>
            <w:noWrap w:val="false"/>
          </w:tcPr>
          <w:p w14:paraId="4A76FB70">
            <w:pPr>
              <w:pBdr/>
              <w:spacing/>
              <w:ind/>
              <w:rPr>
                <w14:ligatures w14:val="none"/>
              </w:rPr>
            </w:pPr>
            <w:r>
              <w:t xml:space="preserve">1</w:t>
            </w:r>
            <w:r/>
            <w:r>
              <w:rPr>
                <w14:ligatures w14:val="none"/>
              </w:rPr>
            </w:r>
          </w:p>
        </w:tc>
        <w:tc>
          <w:tcPr>
            <w:tcBorders>
              <w:left w:val="single" w:color="000000" w:sz="4" w:space="0"/>
              <w:bottom w:val="single" w:color="000000" w:sz="4" w:space="0"/>
            </w:tcBorders>
            <w:tcW w:w="736" w:type="dxa"/>
            <w:vAlign w:val="center"/>
            <w:textDirection w:val="lrTb"/>
            <w:noWrap w:val="false"/>
          </w:tcPr>
          <w:p w14:paraId="0614E58E">
            <w:pPr>
              <w:pBdr/>
              <w:spacing/>
              <w:ind/>
              <w:rPr>
                <w14:ligatures w14:val="none"/>
              </w:rPr>
            </w:pPr>
            <w:r>
              <w:t xml:space="preserve">129182</w:t>
            </w:r>
            <w:r>
              <w:rPr>
                <w:lang w:eastAsia="zh-CN"/>
              </w:rPr>
            </w:r>
            <w:r>
              <w:rPr>
                <w14:ligatures w14:val="none"/>
              </w:rPr>
            </w:r>
          </w:p>
          <w:p w14:paraId="05CED3B5">
            <w:pPr>
              <w:pBdr/>
              <w:spacing/>
              <w:ind/>
              <w:rPr>
                <w14:ligatures w14:val="none"/>
              </w:rPr>
            </w:pPr>
            <w:r/>
            <w:r/>
            <w:r>
              <w:rPr>
                <w14:ligatures w14:val="none"/>
              </w:rPr>
            </w:r>
          </w:p>
        </w:tc>
        <w:tc>
          <w:tcPr>
            <w:tcBorders>
              <w:left w:val="single" w:color="000000" w:sz="4" w:space="0"/>
              <w:bottom w:val="single" w:color="000000" w:sz="4" w:space="0"/>
            </w:tcBorders>
            <w:tcW w:w="5053" w:type="dxa"/>
            <w:vAlign w:val="center"/>
            <w:textDirection w:val="lrTb"/>
            <w:noWrap w:val="false"/>
          </w:tcPr>
          <w:p w14:paraId="2FE76A3E">
            <w:pPr>
              <w:pBdr/>
              <w:spacing/>
              <w:ind/>
              <w:rPr>
                <w:sz w:val="15"/>
                <w:szCs w:val="15"/>
                <w14:ligatures w14:val="none"/>
              </w:rPr>
            </w:pPr>
            <w:r>
              <w:rPr>
                <w:sz w:val="15"/>
                <w:szCs w:val="15"/>
              </w:rPr>
              <w:t xml:space="preserve">APARELHO INFRAVERMELHO COM PEDESTAL PARA FISIOTERAPIA - APARELHO PARA TRATAMENTOS DE TERMOTERAPIA, POTÊNCIA MÍNIMA DE 150W FREQUÊNCIA, VOLTAGEM 110V OU BIVOLT, FREQUÊ</w:t>
            </w:r>
            <w:r>
              <w:rPr>
                <w:sz w:val="15"/>
                <w:szCs w:val="15"/>
              </w:rPr>
              <w:t xml:space="preserve">NCIA 60HZ, COM DIMER PARA REGULAGEM DA INTENSIDADE LUMINOSA, DIMENSÕES APROXIMADAS: BASE DE 56 X 56 CM. ALTURA REGULÁVEL, MÍNIMA DE 1M AJUSTÁVEL PARA NO MÍNIMO 1,50 M. POSSUIR RECURSO DE AQUECIMENTO SUPERFICIAL ATRAVÉS DA APLICAÇÃO DE BANHO DE LUZ INFRAVER</w:t>
            </w:r>
            <w:r>
              <w:rPr>
                <w:sz w:val="15"/>
                <w:szCs w:val="15"/>
              </w:rPr>
              <w:t xml:space="preserve">MELHO. APARELHO CONSTITUÍDO POR NO MÍNIMO: LÂMPADA DE INFRA VERMELHO, UM PEDESTAL SOBRE BASE DE POLIETILENO INJETADO DE ALTO IMPACTO, DOTADO DE 4 PÉS DESMONTÁVEIS, COM RODÍZIOS GIRATÓRIOS E HASTE DE SUSTENTAÇÃO FLEXÍVEL E UM REFLETOR DE ALUMÍNIO ANODIZADO.</w:t>
            </w:r>
            <w:r>
              <w:rPr>
                <w:sz w:val="15"/>
                <w:szCs w:val="15"/>
              </w:rPr>
            </w:r>
            <w:r>
              <w:rPr>
                <w:sz w:val="15"/>
                <w:szCs w:val="15"/>
                <w14:ligatures w14:val="none"/>
              </w:rPr>
            </w:r>
          </w:p>
        </w:tc>
        <w:tc>
          <w:tcPr>
            <w:tcBorders>
              <w:left w:val="single" w:color="000000" w:sz="4" w:space="0"/>
              <w:bottom w:val="single" w:color="000000" w:sz="4" w:space="0"/>
            </w:tcBorders>
            <w:tcW w:w="1042" w:type="dxa"/>
            <w:vAlign w:val="center"/>
            <w:textDirection w:val="lrTb"/>
            <w:noWrap w:val="false"/>
          </w:tcPr>
          <w:p w14:paraId="61DE3E8D">
            <w:pPr>
              <w:pBdr/>
              <w:spacing/>
              <w:ind/>
              <w:rPr>
                <w14:ligatures w14:val="none"/>
              </w:rPr>
            </w:pPr>
            <w:r/>
            <w:r>
              <w:t xml:space="preserve">UNIDADE</w:t>
            </w:r>
            <w:r/>
            <w:r>
              <w:rPr>
                <w14:ligatures w14:val="none"/>
              </w:rPr>
            </w:r>
          </w:p>
        </w:tc>
        <w:tc>
          <w:tcPr>
            <w:tcBorders>
              <w:left w:val="single" w:color="000000" w:sz="4" w:space="0"/>
              <w:bottom w:val="single" w:color="000000" w:sz="4" w:space="0"/>
            </w:tcBorders>
            <w:tcW w:w="610" w:type="dxa"/>
            <w:vAlign w:val="center"/>
            <w:textDirection w:val="lrTb"/>
            <w:noWrap w:val="false"/>
          </w:tcPr>
          <w:p w14:paraId="42C6599A">
            <w:pPr>
              <w:pBdr/>
              <w:spacing/>
              <w:ind/>
              <w:rPr>
                <w14:ligatures w14:val="none"/>
              </w:rPr>
            </w:pPr>
            <w:r>
              <w:t xml:space="preserve">12</w:t>
            </w:r>
            <w:r/>
            <w:r>
              <w:rPr>
                <w14:ligatures w14:val="none"/>
              </w:rPr>
            </w:r>
          </w:p>
        </w:tc>
        <w:tc>
          <w:tcPr>
            <w:tcBorders>
              <w:left w:val="single" w:color="000000" w:sz="4" w:space="0"/>
              <w:bottom w:val="single" w:color="000000" w:sz="4" w:space="0"/>
            </w:tcBorders>
            <w:tcW w:w="1082" w:type="dxa"/>
            <w:vAlign w:val="center"/>
            <w:textDirection w:val="lrTb"/>
            <w:noWrap w:val="false"/>
          </w:tcPr>
          <w:p w14:paraId="789150A5">
            <w:pPr>
              <w:pBdr/>
              <w:spacing/>
              <w:ind/>
              <w:rPr/>
            </w:pPr>
            <w:r/>
            <w:r/>
          </w:p>
        </w:tc>
        <w:tc>
          <w:tcPr>
            <w:tcBorders>
              <w:left w:val="single" w:color="000000" w:sz="4" w:space="0"/>
              <w:bottom w:val="single" w:color="000000" w:sz="4" w:space="0"/>
              <w:right w:val="single" w:color="000000" w:sz="4" w:space="0"/>
            </w:tcBorders>
            <w:tcW w:w="988" w:type="dxa"/>
            <w:vAlign w:val="center"/>
            <w:textDirection w:val="lrTb"/>
            <w:noWrap w:val="false"/>
          </w:tcPr>
          <w:p>
            <w:pPr>
              <w:pBdr/>
              <w:spacing/>
              <w:ind/>
              <w:rPr>
                <w:rFonts w:ascii="TimesNewRoman" w:hAnsi="TimesNewRoman" w:eastAsia="TimesNewRoman" w:cs="TimesNewRoman"/>
              </w:rPr>
            </w:pPr>
            <w:r>
              <w:rPr>
                <w:rFonts w:ascii="TimesNewRoman" w:hAnsi="TimesNewRoman" w:eastAsia="TimesNewRoman" w:cs="TimesNewRoman"/>
              </w:rPr>
            </w:r>
            <w:r>
              <w:rPr>
                <w:rFonts w:ascii="TimesNewRoman" w:hAnsi="TimesNewRoman" w:eastAsia="TimesNewRoman" w:cs="TimesNewRoman"/>
              </w:rPr>
            </w:r>
            <w:r>
              <w:rPr>
                <w:rFonts w:ascii="TimesNewRoman" w:hAnsi="TimesNewRoman" w:eastAsia="TimesNewRoman" w:cs="TimesNewRoman"/>
              </w:rPr>
            </w:r>
          </w:p>
        </w:tc>
      </w:tr>
      <w:tr>
        <w:trPr>
          <w:trHeight w:val="315"/>
        </w:trPr>
        <w:tc>
          <w:tcPr>
            <w:tcBorders>
              <w:left w:val="single" w:color="000000" w:sz="4" w:space="0"/>
              <w:bottom w:val="single" w:color="000000" w:sz="4" w:space="0"/>
            </w:tcBorders>
            <w:tcW w:w="584" w:type="dxa"/>
            <w:vAlign w:val="center"/>
            <w:vMerge w:val="restart"/>
            <w:textDirection w:val="lrTb"/>
            <w:noWrap w:val="false"/>
          </w:tcPr>
          <w:p w14:paraId="69114434">
            <w:pPr>
              <w:pBdr/>
              <w:spacing/>
              <w:ind/>
              <w:rPr>
                <w14:ligatures w14:val="none"/>
              </w:rPr>
            </w:pPr>
            <w:r>
              <w:t xml:space="preserve">2</w:t>
            </w:r>
            <w:r/>
            <w:r>
              <w:rPr>
                <w14:ligatures w14:val="none"/>
              </w:rPr>
            </w:r>
          </w:p>
        </w:tc>
        <w:tc>
          <w:tcPr>
            <w:tcBorders>
              <w:left w:val="single" w:color="000000" w:sz="4" w:space="0"/>
              <w:bottom w:val="single" w:color="000000" w:sz="4" w:space="0"/>
            </w:tcBorders>
            <w:tcW w:w="736" w:type="dxa"/>
            <w:vAlign w:val="center"/>
            <w:vMerge w:val="restart"/>
            <w:textDirection w:val="lrTb"/>
            <w:noWrap w:val="false"/>
          </w:tcPr>
          <w:p w14:paraId="77D8F7A2">
            <w:pPr>
              <w:pBdr/>
              <w:spacing/>
              <w:ind/>
              <w:rPr>
                <w14:ligatures w14:val="none"/>
              </w:rPr>
            </w:pPr>
            <w:r>
              <w:t xml:space="preserve">126946</w:t>
            </w:r>
            <w:r>
              <w:rPr>
                <w:lang w:eastAsia="zh-CN"/>
              </w:rPr>
            </w:r>
            <w:r>
              <w:rPr>
                <w14:ligatures w14:val="none"/>
              </w:rPr>
            </w:r>
          </w:p>
          <w:p w14:paraId="05A1CE1F">
            <w:pPr>
              <w:pBdr/>
              <w:spacing/>
              <w:ind/>
              <w:rPr>
                <w14:ligatures w14:val="none"/>
              </w:rPr>
            </w:pPr>
            <w:r/>
            <w:r/>
            <w:r>
              <w:rPr>
                <w14:ligatures w14:val="none"/>
              </w:rPr>
            </w:r>
          </w:p>
        </w:tc>
        <w:tc>
          <w:tcPr>
            <w:tcBorders>
              <w:left w:val="single" w:color="000000" w:sz="4" w:space="0"/>
              <w:bottom w:val="single" w:color="000000" w:sz="4" w:space="0"/>
            </w:tcBorders>
            <w:tcW w:w="5053" w:type="dxa"/>
            <w:vAlign w:val="center"/>
            <w:vMerge w:val="restart"/>
            <w:textDirection w:val="lrTb"/>
            <w:noWrap w:val="false"/>
          </w:tcPr>
          <w:p w14:paraId="7E2F61DA">
            <w:pPr>
              <w:pBdr/>
              <w:spacing/>
              <w:ind/>
              <w:rPr>
                <w:sz w:val="15"/>
                <w:szCs w:val="15"/>
                <w14:ligatures w14:val="none"/>
              </w:rPr>
            </w:pPr>
            <w:r>
              <w:rPr>
                <w:sz w:val="15"/>
                <w:szCs w:val="15"/>
              </w:rPr>
              <w:t xml:space="preserve">BASTÃO PARA GINÁSTICA, MEDINDO: 100 X 3 CM, PESO APROXIMADO DE 3 KG, CONFECCIONADO EM PVC, COM PONTEIRAS DE BORRACHA. PRODUTO PRÓPRIO PARA PRÁTICA DE EXERCÍCIOS. </w:t>
            </w:r>
            <w:r>
              <w:rPr>
                <w:sz w:val="15"/>
                <w:szCs w:val="15"/>
              </w:rPr>
            </w:r>
            <w:r>
              <w:rPr>
                <w:sz w:val="15"/>
                <w:szCs w:val="15"/>
                <w14:ligatures w14:val="none"/>
              </w:rPr>
            </w:r>
          </w:p>
        </w:tc>
        <w:tc>
          <w:tcPr>
            <w:tcBorders>
              <w:left w:val="single" w:color="000000" w:sz="4" w:space="0"/>
              <w:bottom w:val="single" w:color="000000" w:sz="4" w:space="0"/>
            </w:tcBorders>
            <w:tcW w:w="1042" w:type="dxa"/>
            <w:vAlign w:val="center"/>
            <w:vMerge w:val="restart"/>
            <w:textDirection w:val="lrTb"/>
            <w:noWrap w:val="false"/>
          </w:tcPr>
          <w:p w14:paraId="7F3FBEBB">
            <w:pPr>
              <w:pBdr/>
              <w:spacing/>
              <w:ind/>
              <w:rPr>
                <w14:ligatures w14:val="none"/>
              </w:rPr>
            </w:pPr>
            <w:r/>
            <w:r>
              <w:t xml:space="preserve">UNIDADE</w:t>
            </w:r>
            <w:r/>
            <w:r>
              <w:rPr>
                <w14:ligatures w14:val="none"/>
              </w:rPr>
            </w:r>
          </w:p>
        </w:tc>
        <w:tc>
          <w:tcPr>
            <w:tcBorders>
              <w:left w:val="single" w:color="000000" w:sz="4" w:space="0"/>
              <w:bottom w:val="single" w:color="000000" w:sz="4" w:space="0"/>
            </w:tcBorders>
            <w:tcW w:w="610" w:type="dxa"/>
            <w:vAlign w:val="center"/>
            <w:vMerge w:val="restart"/>
            <w:textDirection w:val="lrTb"/>
            <w:noWrap w:val="false"/>
          </w:tcPr>
          <w:p w14:paraId="412ED61B">
            <w:pPr>
              <w:pBdr/>
              <w:spacing/>
              <w:ind/>
              <w:rPr>
                <w14:ligatures w14:val="none"/>
              </w:rPr>
            </w:pPr>
            <w:r>
              <w:t xml:space="preserve">155</w:t>
            </w:r>
            <w:r/>
            <w:r>
              <w:rPr>
                <w14:ligatures w14:val="none"/>
              </w:rPr>
            </w:r>
          </w:p>
        </w:tc>
        <w:tc>
          <w:tcPr>
            <w:tcBorders>
              <w:left w:val="single" w:color="000000" w:sz="4" w:space="0"/>
              <w:bottom w:val="single" w:color="000000" w:sz="4" w:space="0"/>
            </w:tcBorders>
            <w:tcW w:w="1082" w:type="dxa"/>
            <w:vAlign w:val="center"/>
            <w:vMerge w:val="restart"/>
            <w:textDirection w:val="lrTb"/>
            <w:noWrap w:val="false"/>
          </w:tcPr>
          <w:p w14:paraId="0F2D654C">
            <w:pPr>
              <w:pBdr/>
              <w:spacing/>
              <w:ind/>
              <w:rPr/>
            </w:pPr>
            <w:r/>
            <w:r/>
          </w:p>
        </w:tc>
        <w:tc>
          <w:tcPr>
            <w:tcBorders>
              <w:left w:val="single" w:color="000000" w:sz="4" w:space="0"/>
              <w:bottom w:val="single" w:color="000000" w:sz="4" w:space="0"/>
              <w:right w:val="single" w:color="000000" w:sz="4" w:space="0"/>
            </w:tcBorders>
            <w:tcW w:w="988" w:type="dxa"/>
            <w:vAlign w:val="center"/>
            <w:vMerge w:val="restart"/>
            <w:textDirection w:val="lrTb"/>
            <w:noWrap w:val="false"/>
          </w:tcPr>
          <w:p w14:paraId="0FA47983">
            <w:pPr>
              <w:pBdr/>
              <w:spacing/>
              <w:ind/>
              <w:rPr>
                <w:rFonts w:ascii="TimesNewRoman" w:hAnsi="TimesNewRoman" w:eastAsia="TimesNewRoman" w:cs="TimesNewRoman"/>
              </w:rPr>
            </w:pPr>
            <w:r>
              <w:rPr>
                <w:rFonts w:ascii="TimesNewRoman" w:hAnsi="TimesNewRoman" w:eastAsia="TimesNewRoman" w:cs="TimesNewRoman"/>
              </w:rPr>
            </w:r>
            <w:r>
              <w:rPr>
                <w:rFonts w:ascii="TimesNewRoman" w:hAnsi="TimesNewRoman" w:eastAsia="TimesNewRoman" w:cs="TimesNewRoman"/>
              </w:rPr>
            </w:r>
            <w:r>
              <w:rPr>
                <w:rFonts w:ascii="TimesNewRoman" w:hAnsi="TimesNewRoman" w:eastAsia="TimesNewRoman" w:cs="TimesNewRoman"/>
              </w:rPr>
            </w:r>
          </w:p>
        </w:tc>
      </w:tr>
      <w:tr>
        <w:trPr>
          <w:trHeight w:val="315"/>
        </w:trPr>
        <w:tc>
          <w:tcPr>
            <w:tcBorders>
              <w:left w:val="single" w:color="000000" w:sz="4" w:space="0"/>
              <w:bottom w:val="single" w:color="000000" w:sz="4" w:space="0"/>
            </w:tcBorders>
            <w:tcW w:w="584" w:type="dxa"/>
            <w:vAlign w:val="center"/>
            <w:vMerge w:val="restart"/>
            <w:textDirection w:val="lrTb"/>
            <w:noWrap w:val="false"/>
          </w:tcPr>
          <w:p w14:paraId="36BCB143">
            <w:pPr>
              <w:pBdr/>
              <w:spacing/>
              <w:ind/>
              <w:rPr>
                <w14:ligatures w14:val="none"/>
              </w:rPr>
            </w:pPr>
            <w:r>
              <w:t xml:space="preserve">3</w:t>
            </w:r>
            <w:r/>
            <w:r>
              <w:rPr>
                <w14:ligatures w14:val="none"/>
              </w:rPr>
            </w:r>
          </w:p>
        </w:tc>
        <w:tc>
          <w:tcPr>
            <w:tcBorders>
              <w:left w:val="single" w:color="000000" w:sz="4" w:space="0"/>
              <w:bottom w:val="single" w:color="000000" w:sz="4" w:space="0"/>
            </w:tcBorders>
            <w:tcW w:w="736" w:type="dxa"/>
            <w:vAlign w:val="center"/>
            <w:vMerge w:val="restart"/>
            <w:textDirection w:val="lrTb"/>
            <w:noWrap w:val="false"/>
          </w:tcPr>
          <w:p w14:paraId="6E6A623F">
            <w:pPr>
              <w:pBdr/>
              <w:spacing/>
              <w:ind/>
              <w:rPr>
                <w14:ligatures w14:val="none"/>
              </w:rPr>
            </w:pPr>
            <w:r>
              <w:t xml:space="preserve">127512</w:t>
            </w:r>
            <w:r>
              <w:rPr>
                <w:lang w:eastAsia="zh-CN"/>
              </w:rPr>
            </w:r>
            <w:r>
              <w:rPr>
                <w14:ligatures w14:val="none"/>
              </w:rPr>
            </w:r>
          </w:p>
          <w:p w14:paraId="38C7F399">
            <w:pPr>
              <w:pBdr/>
              <w:spacing/>
              <w:ind/>
              <w:rPr>
                <w14:ligatures w14:val="none"/>
              </w:rPr>
            </w:pPr>
            <w:r/>
            <w:r/>
            <w:r>
              <w:rPr>
                <w14:ligatures w14:val="none"/>
              </w:rPr>
            </w:r>
          </w:p>
        </w:tc>
        <w:tc>
          <w:tcPr>
            <w:tcBorders>
              <w:left w:val="single" w:color="000000" w:sz="4" w:space="0"/>
              <w:bottom w:val="single" w:color="000000" w:sz="4" w:space="0"/>
            </w:tcBorders>
            <w:tcW w:w="5053" w:type="dxa"/>
            <w:vAlign w:val="center"/>
            <w:vMerge w:val="restart"/>
            <w:textDirection w:val="lrTb"/>
            <w:noWrap w:val="false"/>
          </w:tcPr>
          <w:p w14:paraId="60203063">
            <w:pPr>
              <w:pBdr/>
              <w:spacing/>
              <w:ind/>
              <w:rPr>
                <w:sz w:val="15"/>
                <w:szCs w:val="15"/>
                <w14:ligatures w14:val="none"/>
              </w:rPr>
            </w:pPr>
            <w:r>
              <w:rPr>
                <w:sz w:val="15"/>
                <w:szCs w:val="15"/>
              </w:rPr>
              <w:t xml:space="preserve">BOLA BOBATH, MEDINDO NO MÍNIMO 75CM DE DIÂMETRO, CONFECCIONADA EM PLÁSTICO INFLÁVEL DE ALTA RESISTÊNCIA. ACONDICIONADA EM EMBALAGEM PLÁSTICA. ACOMPANHA BOMBA DE INFLAR.</w:t>
            </w:r>
            <w:r>
              <w:rPr>
                <w:sz w:val="15"/>
                <w:szCs w:val="15"/>
              </w:rPr>
            </w:r>
            <w:r>
              <w:rPr>
                <w:sz w:val="15"/>
                <w:szCs w:val="15"/>
                <w14:ligatures w14:val="none"/>
              </w:rPr>
            </w:r>
          </w:p>
        </w:tc>
        <w:tc>
          <w:tcPr>
            <w:tcBorders>
              <w:left w:val="single" w:color="000000" w:sz="4" w:space="0"/>
              <w:bottom w:val="single" w:color="000000" w:sz="4" w:space="0"/>
            </w:tcBorders>
            <w:tcW w:w="1042" w:type="dxa"/>
            <w:vAlign w:val="center"/>
            <w:vMerge w:val="restart"/>
            <w:textDirection w:val="lrTb"/>
            <w:noWrap w:val="false"/>
          </w:tcPr>
          <w:p w14:paraId="6A68A285">
            <w:pPr>
              <w:pBdr/>
              <w:spacing/>
              <w:ind/>
              <w:rPr>
                <w14:ligatures w14:val="none"/>
              </w:rPr>
            </w:pPr>
            <w:r/>
            <w:r>
              <w:t xml:space="preserve">UNIDADE</w:t>
            </w:r>
            <w:r/>
            <w:r>
              <w:rPr>
                <w14:ligatures w14:val="none"/>
              </w:rPr>
            </w:r>
          </w:p>
        </w:tc>
        <w:tc>
          <w:tcPr>
            <w:tcBorders>
              <w:left w:val="single" w:color="000000" w:sz="4" w:space="0"/>
              <w:bottom w:val="single" w:color="000000" w:sz="4" w:space="0"/>
            </w:tcBorders>
            <w:tcW w:w="610" w:type="dxa"/>
            <w:vAlign w:val="center"/>
            <w:vMerge w:val="restart"/>
            <w:textDirection w:val="lrTb"/>
            <w:noWrap w:val="false"/>
          </w:tcPr>
          <w:p w14:paraId="514A63EB">
            <w:pPr>
              <w:pBdr/>
              <w:spacing/>
              <w:ind/>
              <w:rPr>
                <w14:ligatures w14:val="none"/>
              </w:rPr>
            </w:pPr>
            <w:r>
              <w:t xml:space="preserve">90</w:t>
            </w:r>
            <w:r/>
            <w:r>
              <w:rPr>
                <w14:ligatures w14:val="none"/>
              </w:rPr>
            </w:r>
          </w:p>
        </w:tc>
        <w:tc>
          <w:tcPr>
            <w:tcBorders>
              <w:left w:val="single" w:color="000000" w:sz="4" w:space="0"/>
              <w:bottom w:val="single" w:color="000000" w:sz="4" w:space="0"/>
            </w:tcBorders>
            <w:tcW w:w="1082" w:type="dxa"/>
            <w:vAlign w:val="center"/>
            <w:vMerge w:val="restart"/>
            <w:textDirection w:val="lrTb"/>
            <w:noWrap w:val="false"/>
          </w:tcPr>
          <w:p w14:paraId="1040E829">
            <w:pPr>
              <w:pBdr/>
              <w:spacing/>
              <w:ind/>
              <w:rPr/>
            </w:pPr>
            <w:r/>
            <w:r/>
          </w:p>
        </w:tc>
        <w:tc>
          <w:tcPr>
            <w:tcBorders>
              <w:left w:val="single" w:color="000000" w:sz="4" w:space="0"/>
              <w:bottom w:val="single" w:color="000000" w:sz="4" w:space="0"/>
              <w:right w:val="single" w:color="000000" w:sz="4" w:space="0"/>
            </w:tcBorders>
            <w:tcW w:w="988" w:type="dxa"/>
            <w:vAlign w:val="center"/>
            <w:vMerge w:val="restart"/>
            <w:textDirection w:val="lrTb"/>
            <w:noWrap w:val="false"/>
          </w:tcPr>
          <w:p w14:paraId="636C4C44">
            <w:pPr>
              <w:pBdr/>
              <w:spacing/>
              <w:ind/>
              <w:rPr>
                <w:rFonts w:ascii="TimesNewRoman" w:hAnsi="TimesNewRoman" w:eastAsia="TimesNewRoman" w:cs="TimesNewRoman"/>
              </w:rPr>
            </w:pPr>
            <w:r>
              <w:rPr>
                <w:rFonts w:ascii="TimesNewRoman" w:hAnsi="TimesNewRoman" w:eastAsia="TimesNewRoman" w:cs="TimesNewRoman"/>
              </w:rPr>
            </w:r>
            <w:r>
              <w:rPr>
                <w:rFonts w:ascii="TimesNewRoman" w:hAnsi="TimesNewRoman" w:eastAsia="TimesNewRoman" w:cs="TimesNewRoman"/>
              </w:rPr>
            </w:r>
            <w:r>
              <w:rPr>
                <w:rFonts w:ascii="TimesNewRoman" w:hAnsi="TimesNewRoman" w:eastAsia="TimesNewRoman" w:cs="TimesNewRoman"/>
              </w:rPr>
            </w:r>
          </w:p>
        </w:tc>
      </w:tr>
      <w:tr>
        <w:trPr>
          <w:trHeight w:val="315"/>
        </w:trPr>
        <w:tc>
          <w:tcPr>
            <w:tcBorders>
              <w:left w:val="single" w:color="000000" w:sz="4" w:space="0"/>
              <w:bottom w:val="single" w:color="000000" w:sz="4" w:space="0"/>
            </w:tcBorders>
            <w:tcW w:w="584" w:type="dxa"/>
            <w:vAlign w:val="center"/>
            <w:vMerge w:val="restart"/>
            <w:textDirection w:val="lrTb"/>
            <w:noWrap w:val="false"/>
          </w:tcPr>
          <w:p w14:paraId="6A230AA0">
            <w:pPr>
              <w:pBdr/>
              <w:spacing/>
              <w:ind/>
              <w:rPr>
                <w14:ligatures w14:val="none"/>
              </w:rPr>
            </w:pPr>
            <w:r>
              <w:t xml:space="preserve">4</w:t>
            </w:r>
            <w:r/>
            <w:r>
              <w:rPr>
                <w14:ligatures w14:val="none"/>
              </w:rPr>
            </w:r>
          </w:p>
        </w:tc>
        <w:tc>
          <w:tcPr>
            <w:tcBorders>
              <w:left w:val="single" w:color="000000" w:sz="4" w:space="0"/>
              <w:bottom w:val="single" w:color="000000" w:sz="4" w:space="0"/>
            </w:tcBorders>
            <w:tcW w:w="736" w:type="dxa"/>
            <w:vAlign w:val="center"/>
            <w:vMerge w:val="restart"/>
            <w:textDirection w:val="lrTb"/>
            <w:noWrap w:val="false"/>
          </w:tcPr>
          <w:p w14:paraId="1E4F2D19">
            <w:pPr>
              <w:pBdr/>
              <w:spacing/>
              <w:ind/>
              <w:rPr>
                <w14:ligatures w14:val="none"/>
              </w:rPr>
            </w:pPr>
            <w:r>
              <w:t xml:space="preserve">...</w:t>
            </w:r>
            <w:r/>
            <w:r>
              <w:rPr>
                <w14:ligatures w14:val="none"/>
              </w:rPr>
            </w:r>
          </w:p>
        </w:tc>
        <w:tc>
          <w:tcPr>
            <w:tcBorders>
              <w:left w:val="single" w:color="000000" w:sz="4" w:space="0"/>
              <w:bottom w:val="single" w:color="000000" w:sz="4" w:space="0"/>
            </w:tcBorders>
            <w:tcW w:w="5053" w:type="dxa"/>
            <w:vAlign w:val="center"/>
            <w:vMerge w:val="restart"/>
            <w:textDirection w:val="lrTb"/>
            <w:noWrap w:val="false"/>
          </w:tcPr>
          <w:p w14:paraId="1EEEF2D5">
            <w:pPr>
              <w:pBdr/>
              <w:spacing/>
              <w:ind/>
              <w:rPr>
                <w:sz w:val="15"/>
                <w:szCs w:val="15"/>
                <w14:ligatures w14:val="none"/>
              </w:rPr>
            </w:pPr>
            <w:r>
              <w:rPr>
                <w:sz w:val="15"/>
                <w:szCs w:val="15"/>
              </w:rPr>
              <w:t xml:space="preserve">...</w:t>
            </w:r>
            <w:r>
              <w:rPr>
                <w:sz w:val="15"/>
                <w:szCs w:val="15"/>
              </w:rPr>
            </w:r>
            <w:r>
              <w:rPr>
                <w:sz w:val="15"/>
                <w:szCs w:val="15"/>
                <w14:ligatures w14:val="none"/>
              </w:rPr>
            </w:r>
          </w:p>
        </w:tc>
        <w:tc>
          <w:tcPr>
            <w:tcBorders>
              <w:left w:val="single" w:color="000000" w:sz="4" w:space="0"/>
              <w:bottom w:val="single" w:color="000000" w:sz="4" w:space="0"/>
            </w:tcBorders>
            <w:tcW w:w="1042" w:type="dxa"/>
            <w:vAlign w:val="center"/>
            <w:vMerge w:val="restart"/>
            <w:textDirection w:val="lrTb"/>
            <w:noWrap w:val="false"/>
          </w:tcPr>
          <w:p w14:paraId="1440BE29">
            <w:pPr>
              <w:pBdr/>
              <w:spacing/>
              <w:ind/>
              <w:rPr>
                <w14:ligatures w14:val="none"/>
              </w:rPr>
            </w:pPr>
            <w:r>
              <w:t xml:space="preserve">...</w:t>
            </w:r>
            <w:r/>
            <w:r>
              <w:rPr>
                <w14:ligatures w14:val="none"/>
              </w:rPr>
            </w:r>
          </w:p>
        </w:tc>
        <w:tc>
          <w:tcPr>
            <w:tcBorders>
              <w:left w:val="single" w:color="000000" w:sz="4" w:space="0"/>
              <w:bottom w:val="single" w:color="000000" w:sz="4" w:space="0"/>
            </w:tcBorders>
            <w:tcW w:w="610" w:type="dxa"/>
            <w:vAlign w:val="center"/>
            <w:vMerge w:val="restart"/>
            <w:textDirection w:val="lrTb"/>
            <w:noWrap w:val="false"/>
          </w:tcPr>
          <w:p w14:paraId="12D6FB30">
            <w:pPr>
              <w:pBdr/>
              <w:spacing/>
              <w:ind/>
              <w:rPr>
                <w14:ligatures w14:val="none"/>
              </w:rPr>
            </w:pPr>
            <w:r/>
            <w:r/>
            <w:r>
              <w:rPr>
                <w14:ligatures w14:val="none"/>
              </w:rPr>
            </w:r>
          </w:p>
        </w:tc>
        <w:tc>
          <w:tcPr>
            <w:tcBorders>
              <w:left w:val="single" w:color="000000" w:sz="4" w:space="0"/>
              <w:bottom w:val="single" w:color="000000" w:sz="4" w:space="0"/>
            </w:tcBorders>
            <w:tcW w:w="1082" w:type="dxa"/>
            <w:vAlign w:val="center"/>
            <w:vMerge w:val="restart"/>
            <w:textDirection w:val="lrTb"/>
            <w:noWrap w:val="false"/>
          </w:tcPr>
          <w:p w14:paraId="4C581F95">
            <w:pPr>
              <w:pBdr/>
              <w:spacing/>
              <w:ind/>
              <w:rPr/>
            </w:pPr>
            <w:r/>
            <w:r/>
          </w:p>
        </w:tc>
        <w:tc>
          <w:tcPr>
            <w:tcBorders>
              <w:left w:val="single" w:color="000000" w:sz="4" w:space="0"/>
              <w:bottom w:val="single" w:color="000000" w:sz="4" w:space="0"/>
              <w:right w:val="single" w:color="000000" w:sz="4" w:space="0"/>
            </w:tcBorders>
            <w:tcW w:w="988" w:type="dxa"/>
            <w:vAlign w:val="center"/>
            <w:vMerge w:val="restart"/>
            <w:textDirection w:val="lrTb"/>
            <w:noWrap w:val="false"/>
          </w:tcPr>
          <w:p w14:paraId="42DE585D">
            <w:pPr>
              <w:pBdr/>
              <w:spacing/>
              <w:ind/>
              <w:rPr>
                <w:rFonts w:ascii="TimesNewRoman" w:hAnsi="TimesNewRoman" w:eastAsia="TimesNewRoman" w:cs="TimesNewRoman"/>
              </w:rPr>
            </w:pPr>
            <w:r>
              <w:rPr>
                <w:rFonts w:ascii="TimesNewRoman" w:hAnsi="TimesNewRoman" w:eastAsia="TimesNewRoman" w:cs="TimesNewRoman"/>
              </w:rPr>
            </w:r>
            <w:r>
              <w:rPr>
                <w:rFonts w:ascii="TimesNewRoman" w:hAnsi="TimesNewRoman" w:eastAsia="TimesNewRoman" w:cs="TimesNewRoman"/>
              </w:rPr>
            </w:r>
            <w:r>
              <w:rPr>
                <w:rFonts w:ascii="TimesNewRoman" w:hAnsi="TimesNewRoman" w:eastAsia="TimesNewRoman" w:cs="TimesNewRoman"/>
              </w:rPr>
            </w:r>
          </w:p>
        </w:tc>
      </w:tr>
    </w:tbl>
    <w:p>
      <w:pPr>
        <w:pStyle w:val="2044"/>
        <w:pBdr/>
        <w:spacing w:after="45"/>
        <w:ind w:left="0"/>
        <w:jc w:val="both"/>
        <w:rPr>
          <w:rFonts w:ascii="Arial" w:hAnsi="Arial" w:eastAsia="Arial"/>
          <w:sz w:val="20"/>
          <w:szCs w:val="20"/>
          <w:highlight w:val="none"/>
        </w:rPr>
      </w:pPr>
      <w:r>
        <w:rPr>
          <w:rFonts w:ascii="Arial" w:hAnsi="Arial" w:eastAsia="Arial"/>
          <w:sz w:val="20"/>
          <w:szCs w:val="20"/>
        </w:rPr>
        <w:t xml:space="preserve">1 – Nos preços estão inclusos todos os custos básicos diretos, bem como quaisquer outros custos ou despesas que incidam ou venham a incidir direta ou indiretamente que porventura possam recair sobre o fornecimento.</w:t>
      </w:r>
      <w:r>
        <w:rPr>
          <w:rFonts w:ascii="Arial" w:hAnsi="Arial" w:eastAsia="Arial"/>
          <w:sz w:val="20"/>
          <w:szCs w:val="20"/>
          <w:highlight w:val="none"/>
        </w:rPr>
      </w:r>
      <w:r>
        <w:rPr>
          <w:rFonts w:ascii="Arial" w:hAnsi="Arial" w:eastAsia="Arial"/>
          <w:sz w:val="20"/>
          <w:szCs w:val="20"/>
          <w:highlight w:val="none"/>
        </w:rPr>
      </w:r>
    </w:p>
    <w:p>
      <w:pPr>
        <w:pStyle w:val="2044"/>
        <w:pBdr/>
        <w:spacing w:after="45"/>
        <w:ind w:left="0"/>
        <w:jc w:val="both"/>
        <w:rPr>
          <w:rFonts w:ascii="Arial" w:hAnsi="Arial" w:eastAsia="Arial"/>
          <w:sz w:val="20"/>
          <w:szCs w:val="20"/>
        </w:rPr>
      </w:pPr>
      <w:r>
        <w:rPr>
          <w:rFonts w:ascii="Arial" w:hAnsi="Arial" w:eastAsia="Arial"/>
          <w:sz w:val="20"/>
          <w:szCs w:val="20"/>
        </w:rPr>
        <w:t xml:space="preserve">2 – Declaramos que temos pleno conhecimen</w:t>
      </w:r>
      <w:r>
        <w:rPr>
          <w:rFonts w:ascii="Arial" w:hAnsi="Arial" w:eastAsia="Arial"/>
          <w:sz w:val="20"/>
          <w:szCs w:val="20"/>
        </w:rPr>
        <w:t xml:space="preserve">to de todas as condições estabelecidas no termo de referência, edital e anexos, bem como do (s) local (is) de entrega do objeto licitado.</w:t>
      </w:r>
      <w:r>
        <w:rPr>
          <w:rFonts w:ascii="Arial" w:hAnsi="Arial" w:eastAsia="Arial"/>
          <w:sz w:val="20"/>
          <w:szCs w:val="20"/>
        </w:rPr>
      </w:r>
      <w:r>
        <w:rPr>
          <w:rFonts w:ascii="Arial" w:hAnsi="Arial" w:eastAsia="Arial"/>
          <w:sz w:val="20"/>
          <w:szCs w:val="20"/>
        </w:rPr>
      </w:r>
    </w:p>
    <w:p>
      <w:pPr>
        <w:pStyle w:val="2044"/>
        <w:pBdr/>
        <w:spacing w:after="45"/>
        <w:ind w:left="0"/>
        <w:jc w:val="both"/>
        <w:rPr>
          <w:rFonts w:ascii="TimesNewRoman" w:hAnsi="TimesNewRoman" w:eastAsia="TimesNewRoman" w:cs="TimesNewRoman"/>
          <w:sz w:val="20"/>
          <w:szCs w:val="20"/>
        </w:rPr>
      </w:pPr>
      <w:r>
        <w:rPr>
          <w:rFonts w:ascii="Arial" w:hAnsi="Arial" w:eastAsia="Arial"/>
          <w:sz w:val="20"/>
          <w:szCs w:val="20"/>
        </w:rPr>
        <w:t xml:space="preserve">3 – Declaramos que assumimos inteira e completa responsabilidade pela perfeita execução da entrega dos produtos</w:t>
      </w:r>
      <w:r>
        <w:rPr>
          <w:rFonts w:ascii="Arial" w:hAnsi="Arial" w:eastAsia="Arial"/>
          <w:sz w:val="20"/>
          <w:szCs w:val="20"/>
        </w:rPr>
        <w:t xml:space="preserve">, conforme condições estabelecidas no termo de referência, edital e anexos.</w:t>
      </w:r>
      <w:r>
        <w:rPr>
          <w:rFonts w:ascii="TimesNewRoman" w:hAnsi="TimesNewRoman" w:eastAsia="TimesNewRoman" w:cs="TimesNewRoman"/>
          <w:sz w:val="20"/>
          <w:szCs w:val="20"/>
        </w:rPr>
      </w:r>
      <w:r>
        <w:rPr>
          <w:rFonts w:ascii="TimesNewRoman" w:hAnsi="TimesNewRoman" w:eastAsia="TimesNewRoman" w:cs="TimesNewRoman"/>
          <w:sz w:val="20"/>
          <w:szCs w:val="20"/>
        </w:rPr>
      </w:r>
    </w:p>
    <w:p>
      <w:pPr>
        <w:pStyle w:val="2044"/>
        <w:pBdr/>
        <w:spacing w:after="45"/>
        <w:ind w:left="0"/>
        <w:jc w:val="both"/>
        <w:rPr>
          <w:rFonts w:ascii="TimesNewRoman" w:hAnsi="TimesNewRoman" w:eastAsia="TimesNewRoman" w:cs="TimesNewRoman"/>
          <w:sz w:val="20"/>
          <w:szCs w:val="20"/>
        </w:rPr>
      </w:pPr>
      <w:r>
        <w:rPr>
          <w:rFonts w:ascii="Arial" w:hAnsi="Arial" w:eastAsia="Arial"/>
          <w:sz w:val="20"/>
          <w:szCs w:val="20"/>
        </w:rPr>
        <w:t xml:space="preserve">4 – Declaramos que possuímos total capacidade técnica para atendermos ao objeto solicitado.</w:t>
      </w:r>
      <w:r>
        <w:rPr>
          <w:rFonts w:ascii="TimesNewRoman" w:hAnsi="TimesNewRoman" w:eastAsia="TimesNewRoman" w:cs="TimesNewRoman"/>
          <w:sz w:val="20"/>
          <w:szCs w:val="20"/>
        </w:rPr>
      </w:r>
      <w:r>
        <w:rPr>
          <w:rFonts w:ascii="TimesNewRoman" w:hAnsi="TimesNewRoman" w:eastAsia="TimesNewRoman" w:cs="TimesNewRoman"/>
          <w:sz w:val="20"/>
          <w:szCs w:val="20"/>
        </w:rPr>
      </w:r>
    </w:p>
    <w:p>
      <w:pPr>
        <w:pStyle w:val="2044"/>
        <w:pBdr/>
        <w:spacing w:after="45"/>
        <w:ind w:left="0"/>
        <w:jc w:val="both"/>
        <w:rPr>
          <w:rFonts w:ascii="Arial" w:hAnsi="Arial" w:eastAsia="Arial"/>
          <w:sz w:val="20"/>
          <w:szCs w:val="20"/>
          <w14:ligatures w14:val="none"/>
        </w:rPr>
      </w:pPr>
      <w:r>
        <w:rPr>
          <w:rFonts w:ascii="Arial" w:hAnsi="Arial" w:eastAsia="Arial"/>
          <w:sz w:val="20"/>
          <w:szCs w:val="20"/>
        </w:rPr>
        <w:t xml:space="preserve">5 – </w:t>
      </w:r>
      <w:r>
        <w:rPr>
          <w:rFonts w:ascii="Arial" w:hAnsi="Arial" w:eastAsia="Arial"/>
          <w:sz w:val="20"/>
          <w:szCs w:val="20"/>
        </w:rPr>
        <w:t xml:space="preserve">O prazo de validade da proposta é de 120 (cento e vinte) dias corridos, contados da data da sessão pública do pregão eletrônico.</w:t>
      </w:r>
      <w:r>
        <w:rPr>
          <w:rFonts w:ascii="Arial" w:hAnsi="Arial" w:eastAsia="Arial"/>
          <w:sz w:val="20"/>
          <w:szCs w:val="20"/>
          <w14:ligatures w14:val="none"/>
        </w:rPr>
      </w:r>
      <w:r>
        <w:rPr>
          <w:rFonts w:ascii="Arial" w:hAnsi="Arial" w:eastAsia="Arial"/>
          <w:sz w:val="20"/>
          <w:szCs w:val="20"/>
          <w14:ligatures w14:val="none"/>
        </w:rPr>
      </w:r>
    </w:p>
    <w:p>
      <w:pPr>
        <w:pStyle w:val="2010"/>
        <w:pBdr/>
        <w:spacing w:after="45"/>
        <w:ind/>
        <w:jc w:val="both"/>
        <w:rPr>
          <w:rFonts w:ascii="TimesNewRoman" w:hAnsi="TimesNewRoman" w:eastAsia="TimesNewRoman" w:cs="TimesNewRoman"/>
        </w:rPr>
      </w:pPr>
      <w:r>
        <w:rPr>
          <w:rFonts w:ascii="Arial" w:hAnsi="Arial" w:eastAsia="Arial"/>
        </w:rPr>
        <w:t xml:space="preserve">6 – O prazo de realização dos serviços/entrega do produto é</w:t>
      </w:r>
      <w:r>
        <w:rPr>
          <w:rFonts w:ascii="Arial" w:hAnsi="Arial" w:eastAsia="Arial"/>
          <w:b/>
          <w:bCs/>
        </w:rPr>
        <w:t xml:space="preserve"> </w:t>
      </w:r>
      <w:r>
        <w:rPr>
          <w:rFonts w:ascii="Arial" w:hAnsi="Arial" w:eastAsia="Arial"/>
        </w:rPr>
        <w:t xml:space="preserve">de acordo com o previsto contida no edital e seus anexos.</w:t>
      </w:r>
      <w:r>
        <w:rPr>
          <w:rFonts w:ascii="TimesNewRoman" w:hAnsi="TimesNewRoman" w:eastAsia="TimesNewRoman" w:cs="TimesNewRoman"/>
        </w:rPr>
      </w:r>
      <w:r>
        <w:rPr>
          <w:rFonts w:ascii="TimesNewRoman" w:hAnsi="TimesNewRoman" w:eastAsia="TimesNewRoman" w:cs="TimesNewRoman"/>
        </w:rPr>
      </w:r>
    </w:p>
    <w:p>
      <w:pPr>
        <w:pStyle w:val="2010"/>
        <w:pBdr/>
        <w:spacing w:after="45" w:line="220" w:lineRule="auto"/>
        <w:ind/>
        <w:jc w:val="both"/>
        <w:rPr>
          <w:rFonts w:ascii="TimesNewRoman" w:hAnsi="TimesNewRoman" w:eastAsia="TimesNewRoman" w:cs="TimesNewRoman"/>
        </w:rPr>
      </w:pPr>
      <w:r>
        <w:rPr>
          <w:rFonts w:ascii="Arial" w:hAnsi="Arial" w:eastAsia="Arial"/>
        </w:rPr>
        <w:t xml:space="preserve">7 – Apresentamos, conforme exigido, nossos dados bancários:</w:t>
      </w:r>
      <w:r>
        <w:rPr>
          <w:rFonts w:ascii="TimesNewRoman" w:hAnsi="TimesNewRoman" w:eastAsia="TimesNewRoman" w:cs="TimesNewRoman"/>
        </w:rPr>
      </w:r>
      <w:r>
        <w:rPr>
          <w:rFonts w:ascii="TimesNewRoman" w:hAnsi="TimesNewRoman" w:eastAsia="TimesNewRoman" w:cs="TimesNewRoman"/>
        </w:rPr>
      </w:r>
    </w:p>
    <w:p>
      <w:pPr>
        <w:pBdr/>
        <w:spacing w:line="220" w:lineRule="auto"/>
        <w:ind w:firstLine="284"/>
        <w:jc w:val="both"/>
        <w:rPr>
          <w:rFonts w:ascii="TimesNewRoman" w:hAnsi="TimesNewRoman" w:eastAsia="TimesNewRoman" w:cs="TimesNewRoman"/>
        </w:rPr>
      </w:pPr>
      <w:r>
        <w:rPr>
          <w:rFonts w:ascii="Arial" w:hAnsi="Arial" w:eastAsia="Arial"/>
        </w:rPr>
        <w:t xml:space="preserve">NOME DO BANCO ......................... N° ...............</w:t>
      </w:r>
      <w:r>
        <w:rPr>
          <w:rFonts w:ascii="TimesNewRoman" w:hAnsi="TimesNewRoman" w:eastAsia="TimesNewRoman" w:cs="TimesNewRoman"/>
        </w:rPr>
      </w:r>
      <w:r>
        <w:rPr>
          <w:rFonts w:ascii="TimesNewRoman" w:hAnsi="TimesNewRoman" w:eastAsia="TimesNewRoman" w:cs="TimesNewRoman"/>
        </w:rPr>
      </w:r>
    </w:p>
    <w:p>
      <w:pPr>
        <w:pBdr/>
        <w:tabs>
          <w:tab w:val="center" w:leader="none" w:pos="5033"/>
        </w:tabs>
        <w:spacing w:line="220" w:lineRule="auto"/>
        <w:ind w:firstLine="284"/>
        <w:jc w:val="both"/>
        <w:rPr>
          <w:rFonts w:ascii="TimesNewRoman" w:hAnsi="TimesNewRoman" w:eastAsia="TimesNewRoman" w:cs="TimesNewRoman"/>
        </w:rPr>
      </w:pPr>
      <w:r>
        <w:rPr>
          <w:rFonts w:ascii="Arial" w:hAnsi="Arial" w:eastAsia="Arial"/>
        </w:rPr>
        <w:t xml:space="preserve">NOME DA AGÊNCIA ....................... N° ..............</w:t>
      </w:r>
      <w:r>
        <w:rPr>
          <w:rFonts w:ascii="TimesNewRoman" w:hAnsi="TimesNewRoman" w:eastAsia="TimesNewRoman" w:cs="TimesNewRoman"/>
        </w:rPr>
        <w:tab/>
      </w:r>
      <w:r>
        <w:rPr>
          <w:rFonts w:ascii="TimesNewRoman" w:hAnsi="TimesNewRoman" w:eastAsia="TimesNewRoman" w:cs="TimesNewRoman"/>
        </w:rPr>
      </w:r>
      <w:r>
        <w:rPr>
          <w:rFonts w:ascii="TimesNewRoman" w:hAnsi="TimesNewRoman" w:eastAsia="TimesNewRoman" w:cs="TimesNewRoman"/>
        </w:rPr>
      </w:r>
    </w:p>
    <w:p>
      <w:pPr>
        <w:pBdr/>
        <w:spacing/>
        <w:ind w:firstLine="284"/>
        <w:jc w:val="both"/>
        <w:rPr>
          <w:rFonts w:ascii="TimesNewRoman" w:hAnsi="TimesNewRoman" w:eastAsia="TimesNewRoman" w:cs="TimesNewRoman"/>
        </w:rPr>
      </w:pPr>
      <w:r>
        <w:rPr>
          <w:rFonts w:ascii="Arial" w:hAnsi="Arial" w:eastAsia="Arial"/>
        </w:rPr>
        <w:t xml:space="preserve">NÚMERO DA CONTA ..........................................</w:t>
      </w:r>
      <w:r>
        <w:rPr>
          <w:rFonts w:ascii="TimesNewRoman" w:hAnsi="TimesNewRoman" w:eastAsia="TimesNewRoman" w:cs="TimesNewRoman"/>
        </w:rPr>
      </w:r>
      <w:r>
        <w:rPr>
          <w:rFonts w:ascii="TimesNewRoman" w:hAnsi="TimesNewRoman" w:eastAsia="TimesNewRoman" w:cs="TimesNewRoman"/>
        </w:rPr>
      </w:r>
    </w:p>
    <w:p>
      <w:pPr>
        <w:pBdr/>
        <w:spacing/>
        <w:ind/>
        <w:jc w:val="both"/>
        <w:rPr>
          <w:rFonts w:ascii="TimesNewRoman" w:hAnsi="TimesNewRoman" w:eastAsia="TimesNewRoman" w:cs="TimesNewRoman"/>
        </w:rPr>
      </w:pPr>
      <w:r>
        <w:rPr>
          <w:rFonts w:ascii="Arial" w:hAnsi="Arial" w:eastAsia="Arial"/>
        </w:rPr>
        <w:t xml:space="preserve">Local/data..................................................................</w:t>
      </w:r>
      <w:r>
        <w:rPr>
          <w:rFonts w:ascii="TimesNewRoman" w:hAnsi="TimesNewRoman" w:eastAsia="TimesNewRoman" w:cs="TimesNewRoman"/>
        </w:rPr>
      </w:r>
      <w:r>
        <w:rPr>
          <w:rFonts w:ascii="TimesNewRoman" w:hAnsi="TimesNewRoman" w:eastAsia="TimesNewRoman" w:cs="TimesNewRoman"/>
        </w:rPr>
      </w:r>
    </w:p>
    <w:p>
      <w:pPr>
        <w:pBdr/>
        <w:spacing/>
        <w:ind/>
        <w:jc w:val="center"/>
        <w:rPr/>
      </w:pPr>
      <w:r/>
      <w:r/>
    </w:p>
    <w:p>
      <w:pPr>
        <w:pBdr/>
        <w:spacing/>
        <w:ind/>
        <w:jc w:val="center"/>
        <w:rPr/>
      </w:pPr>
      <w:r/>
      <w:r/>
    </w:p>
    <w:p>
      <w:pPr>
        <w:pBdr/>
        <w:spacing/>
        <w:ind/>
        <w:jc w:val="center"/>
        <w:rPr>
          <w:rFonts w:ascii="TimesNewRoman" w:hAnsi="TimesNewRoman" w:eastAsia="TimesNewRoman" w:cs="TimesNewRoman"/>
        </w:rPr>
      </w:pPr>
      <w:r>
        <w:rPr>
          <w:rFonts w:ascii="Arial" w:hAnsi="Arial" w:eastAsia="Arial"/>
        </w:rPr>
        <w:t xml:space="preserve">(Assinatura do Representante Legal pela Empresa)</w:t>
      </w:r>
      <w:r>
        <w:rPr>
          <w:rFonts w:ascii="TimesNewRoman" w:hAnsi="TimesNewRoman" w:eastAsia="TimesNewRoman" w:cs="TimesNewRoman"/>
        </w:rPr>
      </w:r>
      <w:r>
        <w:rPr>
          <w:rFonts w:ascii="TimesNewRoman" w:hAnsi="TimesNewRoman" w:eastAsia="TimesNewRoman" w:cs="TimesNewRoman"/>
        </w:rPr>
      </w:r>
    </w:p>
    <w:p>
      <w:pPr>
        <w:pBdr/>
        <w:spacing/>
        <w:ind/>
        <w:jc w:val="center"/>
        <w:rPr>
          <w:rFonts w:ascii="Arial" w:hAnsi="Arial" w:eastAsia="Arial"/>
        </w:rPr>
      </w:pPr>
      <w:r>
        <w:rPr>
          <w:rFonts w:ascii="Arial" w:hAnsi="Arial" w:eastAsia="Arial"/>
        </w:rPr>
        <w:t xml:space="preserve">Nome/Cargo e Carimbo CNP</w:t>
      </w:r>
      <w:r>
        <w:rPr>
          <w:rFonts w:ascii="Arial" w:hAnsi="Arial" w:eastAsia="Arial"/>
        </w:rPr>
      </w:r>
      <w:r>
        <w:rPr>
          <w:rFonts w:ascii="Arial" w:hAnsi="Arial" w:eastAsia="Arial"/>
        </w:rPr>
      </w:r>
    </w:p>
    <w:p>
      <w:pPr>
        <w:pBdr/>
        <w:spacing/>
        <w:ind/>
        <w:jc w:val="center"/>
        <w:rPr>
          <w:rFonts w:ascii="Arial" w:hAnsi="Arial" w:eastAsia="Arial"/>
        </w:rPr>
      </w:pPr>
      <w:r>
        <w:rPr>
          <w:rFonts w:ascii="Arial" w:hAnsi="Arial" w:eastAsia="Arial"/>
        </w:rPr>
      </w:r>
      <w:r>
        <w:rPr>
          <w:rFonts w:ascii="Arial" w:hAnsi="Arial" w:eastAsia="Arial"/>
        </w:rPr>
      </w:r>
      <w:r>
        <w:rPr>
          <w:rFonts w:ascii="Arial" w:hAnsi="Arial" w:eastAsia="Arial"/>
        </w:rPr>
      </w:r>
    </w:p>
    <w:p w14:paraId="795E5FF2">
      <w:pPr>
        <w:pBdr>
          <w:top w:val="single" w:color="000000" w:sz="4" w:space="0"/>
          <w:left w:val="single" w:color="000000" w:sz="4" w:space="3"/>
          <w:bottom w:val="single" w:color="000000" w:sz="4" w:space="0"/>
          <w:right w:val="single" w:color="000000" w:sz="4" w:space="3"/>
        </w:pBdr>
        <w:tabs>
          <w:tab w:val="left" w:leader="none" w:pos="8576"/>
          <w:tab w:val="left" w:leader="none" w:pos="10419"/>
        </w:tabs>
        <w:spacing/>
        <w:ind/>
        <w:jc w:val="center"/>
        <w:rPr>
          <w:rFonts w:ascii="Arial" w:hAnsi="Arial" w:eastAsia="Arial"/>
          <w:b/>
          <w:bCs/>
        </w:rPr>
      </w:pPr>
      <w:r>
        <w:rPr>
          <w:rFonts w:ascii="Arial" w:hAnsi="Arial" w:eastAsia="Arial"/>
          <w:b/>
          <w:bCs/>
          <w:highlight w:val="none"/>
        </w:rPr>
      </w:r>
      <w:r>
        <w:rPr>
          <w:rFonts w:ascii="Arial" w:hAnsi="Arial" w:eastAsia="Arial"/>
          <w:b/>
          <w:bCs/>
        </w:rPr>
      </w:r>
      <w:r>
        <w:rPr>
          <w:rFonts w:ascii="Arial" w:hAnsi="Arial" w:eastAsia="Arial"/>
          <w:b/>
          <w:bCs/>
        </w:rPr>
      </w:r>
    </w:p>
    <w:p>
      <w:pPr>
        <w:pBdr>
          <w:top w:val="single" w:color="000000" w:sz="4" w:space="0"/>
          <w:left w:val="single" w:color="000000" w:sz="4" w:space="3"/>
          <w:bottom w:val="single" w:color="000000" w:sz="4" w:space="0"/>
          <w:right w:val="single" w:color="000000" w:sz="4" w:space="3"/>
        </w:pBdr>
        <w:tabs>
          <w:tab w:val="left" w:leader="none" w:pos="8576"/>
          <w:tab w:val="left" w:leader="none" w:pos="10419"/>
        </w:tabs>
        <w:spacing/>
        <w:ind/>
        <w:jc w:val="center"/>
        <w:rPr>
          <w:rFonts w:ascii="Arial" w:hAnsi="Arial" w:eastAsia="Arial"/>
          <w:b/>
          <w:bCs/>
          <w:highlight w:val="none"/>
        </w:rPr>
      </w:pPr>
      <w:r>
        <w:rPr>
          <w:rFonts w:ascii="Arial" w:hAnsi="Arial" w:eastAsia="Arial"/>
          <w:b/>
          <w:bCs/>
        </w:rPr>
        <w:t xml:space="preserve">PAPEL TIMBRADO DA EMPRESA LICITANTE</w:t>
      </w:r>
      <w:r>
        <w:rPr>
          <w:rFonts w:ascii="Arial" w:hAnsi="Arial" w:eastAsia="Arial"/>
          <w:b/>
          <w:bCs/>
          <w:highlight w:val="none"/>
        </w:rPr>
      </w:r>
      <w:r>
        <w:rPr>
          <w:rFonts w:ascii="Arial" w:hAnsi="Arial" w:eastAsia="Arial"/>
          <w:b/>
          <w:bCs/>
          <w:highlight w:val="none"/>
        </w:rPr>
      </w:r>
    </w:p>
    <w:p>
      <w:pPr>
        <w:pBdr/>
        <w:spacing/>
        <w:ind/>
        <w:jc w:val="both"/>
        <w:rPr>
          <w:rFonts w:ascii="Arial" w:hAnsi="Arial" w:eastAsia="Arial"/>
          <w:b/>
          <w:bCs/>
          <w:color w:val="000000"/>
        </w:rPr>
      </w:pPr>
      <w:r>
        <w:rPr>
          <w:rFonts w:ascii="Arial" w:hAnsi="Arial" w:eastAsia="Arial"/>
          <w:b/>
          <w:bCs/>
          <w:color w:val="000000"/>
        </w:rPr>
      </w:r>
      <w:r>
        <w:rPr>
          <w:rFonts w:ascii="Arial" w:hAnsi="Arial" w:eastAsia="Arial"/>
          <w:b/>
          <w:bCs/>
          <w:color w:val="000000"/>
        </w:rPr>
      </w:r>
      <w:r>
        <w:rPr>
          <w:rFonts w:ascii="Arial" w:hAnsi="Arial" w:eastAsia="Arial"/>
          <w:b/>
          <w:bCs/>
          <w:color w:val="000000"/>
        </w:rPr>
      </w:r>
    </w:p>
    <w:p>
      <w:pPr>
        <w:pStyle w:val="865"/>
        <w:pBdr/>
        <w:spacing w:after="0" w:before="0"/>
        <w:ind/>
        <w:rPr>
          <w:rFonts w:eastAsia="Arial"/>
          <w:sz w:val="20"/>
          <w:szCs w:val="20"/>
        </w:rPr>
      </w:pPr>
      <w:r/>
      <w:bookmarkStart w:id="98" w:name="_Toc42"/>
      <w:r>
        <w:rPr>
          <w:rFonts w:eastAsia="Arial"/>
          <w:sz w:val="20"/>
          <w:szCs w:val="20"/>
        </w:rPr>
        <w:t xml:space="preserve">ANEXO V: MODELO CREDENCIAMENTO E COMPROVAÇÕES COMPLEMENTARES ESPECIAIS.</w:t>
      </w:r>
      <w:r>
        <w:rPr>
          <w:rFonts w:eastAsia="Arial"/>
          <w:sz w:val="20"/>
          <w:szCs w:val="20"/>
        </w:rPr>
      </w:r>
      <w:bookmarkEnd w:id="98"/>
      <w:r>
        <w:rPr>
          <w:rFonts w:eastAsia="Arial"/>
          <w:sz w:val="20"/>
          <w:szCs w:val="20"/>
        </w:rPr>
      </w:r>
      <w:r>
        <w:rPr>
          <w:rFonts w:eastAsia="Arial"/>
          <w:sz w:val="20"/>
          <w:szCs w:val="20"/>
        </w:rPr>
      </w:r>
    </w:p>
    <w:p>
      <w:pPr>
        <w:pBdr/>
        <w:spacing/>
        <w:ind/>
        <w:jc w:val="both"/>
        <w:rPr>
          <w:rFonts w:ascii="Arial" w:hAnsi="Arial" w:eastAsia="Arial"/>
          <w:b/>
          <w:bCs/>
          <w:color w:val="000000"/>
        </w:rPr>
      </w:pPr>
      <w:r>
        <w:rPr>
          <w:rFonts w:ascii="Arial" w:hAnsi="Arial" w:eastAsia="Arial"/>
          <w:b/>
          <w:bCs/>
          <w:color w:val="000000"/>
        </w:rPr>
        <w:t xml:space="preserve">À</w:t>
      </w:r>
      <w:r>
        <w:rPr>
          <w:rFonts w:ascii="Arial" w:hAnsi="Arial" w:eastAsia="Arial"/>
          <w:b/>
          <w:bCs/>
          <w:color w:val="000000"/>
        </w:rPr>
      </w:r>
      <w:r>
        <w:rPr>
          <w:rFonts w:ascii="Arial" w:hAnsi="Arial" w:eastAsia="Arial"/>
          <w:b/>
          <w:bCs/>
          <w:color w:val="000000"/>
        </w:rPr>
      </w:r>
    </w:p>
    <w:p>
      <w:pPr>
        <w:pBdr/>
        <w:spacing/>
        <w:ind/>
        <w:jc w:val="both"/>
        <w:rPr>
          <w:rFonts w:ascii="Arial" w:hAnsi="Arial" w:eastAsia="Arial"/>
          <w:b/>
          <w:bCs/>
          <w:color w:val="000000"/>
        </w:rPr>
      </w:pPr>
      <w:r>
        <w:rPr>
          <w:rFonts w:ascii="Arial" w:hAnsi="Arial" w:eastAsia="Arial"/>
          <w:b/>
          <w:bCs/>
          <w:color w:val="000000"/>
        </w:rPr>
        <w:t xml:space="preserve">PREFEITURA MUNICIPAL DE RONDONÓPOLIS-MT.</w:t>
      </w:r>
      <w:r>
        <w:rPr>
          <w:rFonts w:ascii="Arial" w:hAnsi="Arial" w:eastAsia="Arial"/>
          <w:b/>
          <w:bCs/>
          <w:color w:val="000000"/>
        </w:rPr>
      </w:r>
      <w:r>
        <w:rPr>
          <w:rFonts w:ascii="Arial" w:hAnsi="Arial" w:eastAsia="Arial"/>
          <w:b/>
          <w:bCs/>
          <w:color w:val="000000"/>
        </w:rPr>
      </w:r>
    </w:p>
    <w:p>
      <w:pPr>
        <w:pBdr/>
        <w:spacing/>
        <w:ind/>
        <w:jc w:val="both"/>
        <w:rPr>
          <w:rFonts w:ascii="Arial" w:hAnsi="Arial" w:eastAsia="Arial"/>
          <w:b/>
          <w:bCs/>
          <w:color w:val="000000"/>
        </w:rPr>
      </w:pPr>
      <w:r>
        <w:rPr>
          <w:rFonts w:ascii="Arial" w:hAnsi="Arial" w:eastAsia="Arial"/>
          <w:b/>
          <w:bCs/>
          <w:color w:val="000000"/>
        </w:rPr>
        <w:t xml:space="preserve">REF.: EDITAL DE LICITAÇÃO - </w:t>
      </w:r>
      <w:r>
        <w:rPr>
          <w:rFonts w:ascii="Arial" w:hAnsi="Arial" w:eastAsia="Arial"/>
          <w:b/>
          <w:bCs/>
          <w:color w:val="000000"/>
        </w:rPr>
        <w:t xml:space="preserve">MODALIDADE PREGÃO 18/2026.</w:t>
      </w:r>
      <w:r>
        <w:rPr>
          <w:rFonts w:ascii="Arial" w:hAnsi="Arial" w:eastAsia="Arial"/>
          <w:b/>
          <w:bCs/>
          <w:color w:val="000000"/>
        </w:rPr>
      </w:r>
      <w:r>
        <w:rPr>
          <w:rFonts w:ascii="Arial" w:hAnsi="Arial" w:eastAsia="Arial"/>
          <w:b/>
          <w:bCs/>
          <w:color w:val="000000"/>
        </w:rPr>
      </w:r>
    </w:p>
    <w:p>
      <w:pPr>
        <w:pBdr/>
        <w:spacing/>
        <w:ind/>
        <w:jc w:val="both"/>
        <w:rPr>
          <w:rFonts w:ascii="Arial" w:hAnsi="Arial" w:eastAsia="Arial"/>
          <w:b/>
          <w:bCs/>
          <w:color w:val="000000"/>
        </w:rPr>
      </w:pPr>
      <w:r>
        <w:rPr>
          <w:rFonts w:ascii="Arial" w:hAnsi="Arial" w:eastAsia="Arial"/>
          <w:b/>
          <w:bCs/>
          <w:color w:val="000000"/>
        </w:rPr>
        <w:t xml:space="preserve">TIPO MENOR PREÇO POR ITEM.</w:t>
      </w:r>
      <w:r>
        <w:rPr>
          <w:rFonts w:ascii="Arial" w:hAnsi="Arial" w:eastAsia="Arial"/>
          <w:b/>
          <w:bCs/>
          <w:color w:val="000000"/>
        </w:rPr>
      </w:r>
      <w:r>
        <w:rPr>
          <w:rFonts w:ascii="Arial" w:hAnsi="Arial" w:eastAsia="Arial"/>
          <w:b/>
          <w:bCs/>
          <w:color w:val="000000"/>
        </w:rPr>
      </w:r>
    </w:p>
    <w:p>
      <w:pPr>
        <w:pBdr/>
        <w:spacing/>
        <w:ind/>
        <w:jc w:val="both"/>
        <w:rPr>
          <w:rFonts w:ascii="Arial" w:hAnsi="Arial" w:eastAsia="Arial"/>
          <w:b/>
          <w:bCs/>
          <w:color w:val="000000"/>
        </w:rPr>
      </w:pPr>
      <w:r>
        <w:rPr>
          <w:rFonts w:ascii="Arial" w:hAnsi="Arial" w:eastAsia="Arial"/>
          <w:b/>
          <w:bCs/>
          <w:color w:val="000000"/>
        </w:rPr>
      </w:r>
      <w:r>
        <w:rPr>
          <w:rFonts w:ascii="Arial" w:hAnsi="Arial" w:eastAsia="Arial"/>
          <w:b/>
          <w:bCs/>
          <w:color w:val="000000"/>
        </w:rPr>
      </w:r>
      <w:r>
        <w:rPr>
          <w:rFonts w:ascii="Arial" w:hAnsi="Arial" w:eastAsia="Arial"/>
          <w:b/>
          <w:bCs/>
          <w:color w:val="000000"/>
        </w:rPr>
      </w:r>
    </w:p>
    <w:p>
      <w:pPr>
        <w:pBdr/>
        <w:spacing/>
        <w:ind/>
        <w:jc w:val="both"/>
        <w:rPr>
          <w:rFonts w:ascii="Arial" w:hAnsi="Arial" w:eastAsia="Arial"/>
          <w:b/>
          <w:bCs/>
          <w:color w:val="000000"/>
        </w:rPr>
      </w:pPr>
      <w:r>
        <w:rPr>
          <w:rFonts w:ascii="Arial" w:hAnsi="Arial" w:eastAsia="Arial"/>
          <w:b/>
          <w:bCs/>
          <w:color w:val="000000"/>
        </w:rPr>
        <w:t xml:space="preserve">(Razão Social da Licitante) ____________________, inscrita no CNPJ/MF sob o n.º __________, sediada à_____________________________________________, por intermédio de seu representante legal o(a) Sr(a)_</w:t>
      </w:r>
      <w:r>
        <w:rPr>
          <w:rFonts w:ascii="Arial" w:hAnsi="Arial" w:eastAsia="Arial"/>
          <w:b/>
          <w:bCs/>
          <w:color w:val="000000"/>
        </w:rPr>
        <w:t xml:space="preserve">_________________________, portador(a) da Carteira de Identidade n.º_________________ e do CPF n.º__________________, declara como nosso representante legal na Licitação em referência, podendo rubricar a documentação de Habilitação e das Propostas, manifes</w:t>
      </w:r>
      <w:r>
        <w:rPr>
          <w:rFonts w:ascii="Arial" w:hAnsi="Arial" w:eastAsia="Arial"/>
          <w:b/>
          <w:bCs/>
          <w:color w:val="000000"/>
        </w:rPr>
        <w:t xml:space="preserve">tar, dar lances por meio da plataforma eletrônica, prestar todos os esclarecimentos à nossa Proposta, interpor recursos, desistir de prazos e recursos, enfim, praticar todos os atos necessários ao fiel cumprimento do presente Credenciamento.(No caso de ind</w:t>
      </w:r>
      <w:r>
        <w:rPr>
          <w:rFonts w:ascii="Arial" w:hAnsi="Arial" w:eastAsia="Arial"/>
          <w:b/>
          <w:bCs/>
          <w:color w:val="000000"/>
        </w:rPr>
        <w:t xml:space="preserve">icar representante). </w:t>
      </w:r>
      <w:r>
        <w:rPr>
          <w:rFonts w:ascii="Arial" w:hAnsi="Arial" w:eastAsia="Arial"/>
          <w:b/>
          <w:bCs/>
          <w:color w:val="000000"/>
        </w:rPr>
      </w:r>
      <w:r>
        <w:rPr>
          <w:rFonts w:ascii="Arial" w:hAnsi="Arial" w:eastAsia="Arial"/>
          <w:b/>
          <w:bCs/>
          <w:color w:val="000000"/>
        </w:rPr>
      </w:r>
    </w:p>
    <w:p>
      <w:pPr>
        <w:pBdr/>
        <w:spacing/>
        <w:ind/>
        <w:jc w:val="both"/>
        <w:rPr>
          <w:rFonts w:ascii="Arial" w:hAnsi="Arial" w:eastAsia="Arial"/>
          <w:b/>
          <w:bCs/>
          <w:color w:val="000000"/>
        </w:rPr>
      </w:pPr>
      <w:r>
        <w:rPr>
          <w:rFonts w:ascii="Arial" w:hAnsi="Arial" w:eastAsia="Arial"/>
          <w:b/>
          <w:bCs/>
          <w:color w:val="000000"/>
        </w:rPr>
      </w:r>
      <w:r>
        <w:rPr>
          <w:rFonts w:ascii="Arial" w:hAnsi="Arial" w:eastAsia="Arial"/>
          <w:b/>
          <w:bCs/>
          <w:color w:val="000000"/>
        </w:rPr>
      </w:r>
      <w:r>
        <w:rPr>
          <w:rFonts w:ascii="Arial" w:hAnsi="Arial" w:eastAsia="Arial"/>
          <w:b/>
          <w:bCs/>
          <w:color w:val="000000"/>
        </w:rPr>
      </w:r>
    </w:p>
    <w:p>
      <w:pPr>
        <w:pBdr/>
        <w:spacing/>
        <w:ind/>
        <w:jc w:val="both"/>
        <w:rPr>
          <w:rFonts w:ascii="Arial" w:hAnsi="Arial"/>
        </w:rPr>
      </w:pPr>
      <w:r>
        <w:rPr>
          <w:rFonts w:ascii="Arial" w:hAnsi="Arial"/>
          <w:b/>
          <w:color w:val="000000"/>
        </w:rPr>
        <w:t xml:space="preserve">13.1.1.</w:t>
      </w:r>
      <w:r>
        <w:rPr>
          <w:rFonts w:ascii="Arial" w:hAnsi="Arial"/>
          <w:color w:val="000000"/>
        </w:rPr>
        <w:t xml:space="preserve"> Está ciente e concorda com as condições contidas no edital e seus anexos, bem como de que a proposta apresentada compreende a integralidade dos custos para atendimento dos direitos trabalhistas assegurados na Constituição Fed</w:t>
      </w:r>
      <w:r>
        <w:rPr>
          <w:rFonts w:ascii="Arial" w:hAnsi="Arial"/>
          <w:color w:val="000000"/>
        </w:rPr>
        <w:t xml:space="preserve">eral, nas leis trabalhistas, nas normas infralegais, nas convenções coletivas de trabalho e nos termos de ajustamento de conduta vigentes na data de sua entrega em definitivo e que cumpre plenamente os requisitos de habilitação definidos no instrumento con</w:t>
      </w:r>
      <w:r>
        <w:rPr>
          <w:rFonts w:ascii="Arial" w:hAnsi="Arial"/>
          <w:color w:val="000000"/>
        </w:rPr>
        <w:t xml:space="preserve">vocatório;</w:t>
      </w:r>
      <w:r>
        <w:rPr>
          <w:rFonts w:ascii="Arial" w:hAnsi="Arial"/>
        </w:rPr>
      </w:r>
      <w:r>
        <w:rPr>
          <w:rFonts w:ascii="Arial" w:hAnsi="Arial"/>
        </w:rPr>
      </w:r>
    </w:p>
    <w:p>
      <w:pPr>
        <w:pBdr/>
        <w:spacing/>
        <w:ind/>
        <w:jc w:val="both"/>
        <w:rPr>
          <w:rFonts w:ascii="Arial" w:hAnsi="Arial"/>
        </w:rPr>
      </w:pPr>
      <w:r>
        <w:rPr>
          <w:rFonts w:ascii="Arial" w:hAnsi="Arial"/>
          <w:b/>
          <w:color w:val="000000"/>
        </w:rPr>
        <w:t xml:space="preserve">13.1.2.</w:t>
      </w:r>
      <w:r>
        <w:rPr>
          <w:rFonts w:ascii="Arial" w:hAnsi="Arial"/>
          <w:color w:val="000000"/>
        </w:rPr>
        <w:t xml:space="preserve"> Não emprega menor de 18 anos em trabalho noturno, perigoso ou insalubre e não emprega menor de 16 anos, em qualquer trabalho, salvo menor, a partir de 14 anos, na condição de aprendiz, nos termos do </w:t>
      </w:r>
      <w:hyperlink r:id="rId43" w:tooltip="https://www.planalto.gov.br/ccivil_03/constituicao/constituicaocompilado.htm#art7" w:anchor="art7" w:history="1">
        <w:r>
          <w:rPr>
            <w:rStyle w:val="973"/>
            <w:rFonts w:ascii="Arial" w:hAnsi="Arial" w:cs="Arial"/>
            <w:color w:val="000000"/>
          </w:rPr>
          <w:t xml:space="preserve">artigo 7°, XXXIII da Constituição</w:t>
        </w:r>
      </w:hyperlink>
      <w:r>
        <w:rPr>
          <w:rFonts w:ascii="Arial" w:hAnsi="Arial"/>
          <w:color w:val="000000"/>
        </w:rPr>
        <w:t xml:space="preserve"> Federal, </w:t>
      </w:r>
      <w:r>
        <w:rPr>
          <w:rFonts w:ascii="Arial" w:hAnsi="Arial"/>
        </w:rPr>
        <w:t xml:space="preserve">bem como, no </w:t>
      </w:r>
      <w:r>
        <w:rPr>
          <w:rFonts w:ascii="Arial" w:hAnsi="Arial"/>
          <w:color w:val="000000"/>
        </w:rPr>
        <w:t xml:space="preserve">artigo 68, i</w:t>
      </w:r>
      <w:r>
        <w:rPr>
          <w:rFonts w:ascii="Arial" w:hAnsi="Arial"/>
          <w:color w:val="000000"/>
        </w:rPr>
        <w:t xml:space="preserve">nciso VI, da Lei nº 14.133/2021;</w:t>
      </w:r>
      <w:r>
        <w:rPr>
          <w:rFonts w:ascii="Arial" w:hAnsi="Arial"/>
        </w:rPr>
      </w:r>
      <w:r>
        <w:rPr>
          <w:rFonts w:ascii="Arial" w:hAnsi="Arial"/>
        </w:rPr>
      </w:r>
    </w:p>
    <w:p>
      <w:pPr>
        <w:pBdr/>
        <w:spacing/>
        <w:ind/>
        <w:jc w:val="both"/>
        <w:rPr>
          <w:rFonts w:ascii="Arial" w:hAnsi="Arial"/>
        </w:rPr>
      </w:pPr>
      <w:r>
        <w:rPr>
          <w:rFonts w:ascii="Arial" w:hAnsi="Arial"/>
          <w:b/>
          <w:color w:val="000000"/>
        </w:rPr>
        <w:t xml:space="preserve">13.1.3.</w:t>
      </w:r>
      <w:r>
        <w:rPr>
          <w:rFonts w:ascii="Arial" w:hAnsi="Arial"/>
          <w:color w:val="000000"/>
        </w:rPr>
        <w:t xml:space="preserve"> Não possui empregados executando trabalho degradante ou forçado, observando o disposto nos </w:t>
      </w:r>
      <w:hyperlink r:id="rId44" w:tooltip="https://www.planalto.gov.br/ccivil_03/constituicao/constituicaocompilado.htm" w:history="1">
        <w:r>
          <w:rPr>
            <w:rStyle w:val="973"/>
            <w:rFonts w:ascii="Arial" w:hAnsi="Arial" w:cs="Arial"/>
            <w:color w:val="000000"/>
          </w:rPr>
          <w:t xml:space="preserve">incisos III e IV do art. 1º e no inciso III do art. 5º da C.F.</w:t>
        </w:r>
      </w:hyperlink>
      <w:r>
        <w:rPr>
          <w:rStyle w:val="973"/>
          <w:rFonts w:ascii="Arial" w:hAnsi="Arial" w:cs="Arial"/>
          <w:color w:val="000000"/>
          <w:u w:val="none"/>
        </w:rPr>
        <w:t xml:space="preserve">, </w:t>
      </w:r>
      <w:r>
        <w:rPr>
          <w:rFonts w:ascii="Arial" w:hAnsi="Arial"/>
        </w:rPr>
        <w:t xml:space="preserve">e art. 14, inciso VI da Lei nº 14.133/2021.</w:t>
      </w:r>
      <w:r>
        <w:rPr>
          <w:rFonts w:ascii="Arial" w:hAnsi="Arial"/>
        </w:rPr>
      </w:r>
      <w:r>
        <w:rPr>
          <w:rFonts w:ascii="Arial" w:hAnsi="Arial"/>
        </w:rPr>
      </w:r>
    </w:p>
    <w:p>
      <w:pPr>
        <w:pBdr/>
        <w:spacing/>
        <w:ind/>
        <w:jc w:val="both"/>
        <w:rPr>
          <w:rFonts w:ascii="Arial" w:hAnsi="Arial"/>
        </w:rPr>
      </w:pPr>
      <w:r>
        <w:rPr>
          <w:rFonts w:ascii="Arial" w:hAnsi="Arial"/>
          <w:b/>
          <w:color w:val="000000"/>
        </w:rPr>
        <w:t xml:space="preserve">13.1.4.</w:t>
      </w:r>
      <w:r>
        <w:rPr>
          <w:rFonts w:ascii="Arial" w:hAnsi="Arial"/>
          <w:color w:val="000000"/>
        </w:rPr>
        <w:t xml:space="preserve"> Cumpre as exigências de reserva de cargos para pessoa com deficiência (PcD) e para reabilitado da Previdência Social, previstas em lei e em outras normas específicas, art. 63, IV, da Lei nº 14.133/2021;</w:t>
      </w:r>
      <w:r>
        <w:rPr>
          <w:rFonts w:ascii="Arial" w:hAnsi="Arial"/>
        </w:rPr>
      </w:r>
      <w:r>
        <w:rPr>
          <w:rFonts w:ascii="Arial" w:hAnsi="Arial"/>
        </w:rPr>
      </w:r>
    </w:p>
    <w:p>
      <w:pPr>
        <w:pBdr/>
        <w:spacing/>
        <w:ind/>
        <w:jc w:val="both"/>
        <w:rPr>
          <w:rFonts w:ascii="Arial" w:hAnsi="Arial"/>
        </w:rPr>
      </w:pPr>
      <w:r>
        <w:rPr>
          <w:rFonts w:ascii="Arial" w:hAnsi="Arial"/>
          <w:b/>
          <w:color w:val="000000"/>
        </w:rPr>
        <w:t xml:space="preserve">13.1.5.</w:t>
      </w:r>
      <w:r>
        <w:rPr>
          <w:rFonts w:ascii="Arial" w:hAnsi="Arial"/>
          <w:color w:val="000000"/>
        </w:rPr>
        <w:t xml:space="preserve"> Que suas propostas econômicas compreendem a </w:t>
      </w:r>
      <w:r>
        <w:rPr>
          <w:rFonts w:ascii="Arial" w:hAnsi="Arial"/>
          <w:color w:val="000000"/>
        </w:rPr>
        <w:t xml:space="preserve">integralidade dos custos para atendimento dos direitos trabalhistas assegurados na Constituição Federal, nas leis trabalhistas, nas normas infralegais, nas convenções coletivas de trabalho e nos termos de ajustamento de conduta vigentes na data de entrega </w:t>
      </w:r>
      <w:r>
        <w:rPr>
          <w:rFonts w:ascii="Arial" w:hAnsi="Arial"/>
          <w:color w:val="000000"/>
        </w:rPr>
        <w:t xml:space="preserve">das propostas, art. 63, § 1º, da Lei nº 14.133/2021;</w:t>
      </w:r>
      <w:r>
        <w:rPr>
          <w:rFonts w:ascii="Arial" w:hAnsi="Arial"/>
        </w:rPr>
      </w:r>
      <w:r>
        <w:rPr>
          <w:rFonts w:ascii="Arial" w:hAnsi="Arial"/>
        </w:rPr>
      </w:r>
    </w:p>
    <w:p>
      <w:pPr>
        <w:pBdr/>
        <w:spacing/>
        <w:ind/>
        <w:jc w:val="both"/>
        <w:rPr>
          <w:rFonts w:ascii="Arial" w:hAnsi="Arial"/>
        </w:rPr>
      </w:pPr>
      <w:r>
        <w:rPr>
          <w:rFonts w:ascii="Arial" w:hAnsi="Arial"/>
          <w:b/>
          <w:color w:val="000000"/>
        </w:rPr>
        <w:t xml:space="preserve">13.1.6.</w:t>
      </w:r>
      <w:r>
        <w:rPr>
          <w:rFonts w:ascii="Arial" w:hAnsi="Arial"/>
          <w:color w:val="000000"/>
        </w:rPr>
        <w:t xml:space="preserve"> N</w:t>
      </w:r>
      <w:r>
        <w:rPr>
          <w:rFonts w:ascii="Arial" w:hAnsi="Arial"/>
        </w:rPr>
        <w:t xml:space="preserve">ão possui em seu quadro de pessoal e societário, servidor público do Poder Executivo Estadual exercendo funções de gerência ou administração, conforme art. 1, inciso X da Lei Complementar Estadu</w:t>
      </w:r>
      <w:r>
        <w:rPr>
          <w:rFonts w:ascii="Arial" w:hAnsi="Arial"/>
        </w:rPr>
        <w:t xml:space="preserve">al nº 04/1990, ou servidor do Órgão/Entidade contratante em qualquer função, nos termos do art. 9º, §1º da Lei Federal nº 14.133/2021; </w:t>
      </w:r>
      <w:r>
        <w:rPr>
          <w:rFonts w:ascii="Arial" w:hAnsi="Arial"/>
        </w:rPr>
      </w:r>
      <w:r>
        <w:rPr>
          <w:rFonts w:ascii="Arial" w:hAnsi="Arial"/>
        </w:rPr>
      </w:r>
    </w:p>
    <w:p>
      <w:pPr>
        <w:pBdr/>
        <w:spacing/>
        <w:ind/>
        <w:jc w:val="both"/>
        <w:rPr>
          <w:rFonts w:ascii="Arial" w:hAnsi="Arial"/>
          <w:color w:val="000000"/>
        </w:rPr>
      </w:pPr>
      <w:r>
        <w:rPr>
          <w:rFonts w:ascii="Arial" w:hAnsi="Arial"/>
          <w:b/>
          <w:color w:val="000000"/>
        </w:rPr>
        <w:t xml:space="preserve">13.1.7.</w:t>
      </w:r>
      <w:r>
        <w:rPr>
          <w:rFonts w:ascii="Arial" w:hAnsi="Arial"/>
          <w:color w:val="000000"/>
        </w:rPr>
        <w:t xml:space="preserve"> </w:t>
      </w:r>
      <w:r>
        <w:rPr>
          <w:rFonts w:ascii="Arial" w:hAnsi="Arial"/>
          <w:color w:val="000000"/>
          <w:u w:val="single"/>
        </w:rPr>
        <w:t xml:space="preserve">O licitante enquadrado como microempresa, empresa de pequeno porte ou sociedade cooperativa</w:t>
      </w:r>
      <w:r>
        <w:rPr>
          <w:rFonts w:ascii="Arial" w:hAnsi="Arial"/>
          <w:color w:val="000000"/>
        </w:rPr>
        <w:t xml:space="preserve"> deverá declarar, que</w:t>
      </w:r>
      <w:r>
        <w:rPr>
          <w:rFonts w:ascii="Arial" w:hAnsi="Arial"/>
          <w:color w:val="000000"/>
        </w:rPr>
        <w:t xml:space="preserve"> cumpre os requisitos estabelecidos no </w:t>
      </w:r>
      <w:hyperlink r:id="rId45" w:tooltip="https://www.planalto.gov.br/ccivil_03/leis/lcp/lcp123.htm#art3" w:anchor="art3" w:history="1">
        <w:r>
          <w:rPr>
            <w:rStyle w:val="973"/>
            <w:rFonts w:ascii="Arial" w:hAnsi="Arial" w:cs="Arial"/>
            <w:color w:val="000000"/>
          </w:rPr>
          <w:t xml:space="preserve">artigo 3° da Lei Complementar nº 123, de 2006</w:t>
        </w:r>
      </w:hyperlink>
      <w:r>
        <w:rPr>
          <w:rFonts w:ascii="Arial" w:hAnsi="Arial"/>
          <w:color w:val="000000"/>
        </w:rPr>
        <w:t xml:space="preserve">, estando apto a usu</w:t>
      </w:r>
      <w:r>
        <w:rPr>
          <w:rFonts w:ascii="Arial" w:hAnsi="Arial"/>
          <w:color w:val="000000"/>
        </w:rPr>
        <w:t xml:space="preserve">fruir do tratamento favorecido estabelecido em seus </w:t>
      </w:r>
      <w:hyperlink r:id="rId46" w:tooltip="https://www.planalto.gov.br/ccivil_03/leis/lcp/lcp123.htm#art42" w:anchor="art42" w:history="1">
        <w:r>
          <w:rPr>
            <w:rStyle w:val="973"/>
            <w:rFonts w:ascii="Arial" w:hAnsi="Arial" w:cs="Arial"/>
            <w:color w:val="000000"/>
          </w:rPr>
          <w:t xml:space="preserve">arts. 42 a 49</w:t>
        </w:r>
      </w:hyperlink>
      <w:r>
        <w:rPr>
          <w:rFonts w:ascii="Arial" w:hAnsi="Arial"/>
          <w:color w:val="000000"/>
        </w:rPr>
        <w:t xml:space="preserve">, observado o disposto nos </w:t>
      </w:r>
      <w:hyperlink r:id="rId47" w:tooltip="http://www.planalto.gov.br/ccivil_03/_ato2019-2022/2021/lei/L14133.htm#art4§1" w:anchor="art4§1" w:history="1">
        <w:r>
          <w:rPr>
            <w:rStyle w:val="973"/>
            <w:rFonts w:ascii="Arial" w:hAnsi="Arial" w:cs="Arial"/>
            <w:color w:val="000000"/>
          </w:rPr>
          <w:t xml:space="preserve">§§ 1º ao 3º do art. 4º, da Lei n.º 14.133, de 2021;</w:t>
        </w:r>
      </w:hyperlink>
      <w:r>
        <w:rPr>
          <w:rFonts w:ascii="Arial" w:hAnsi="Arial"/>
          <w:color w:val="000000"/>
        </w:rPr>
      </w:r>
      <w:r>
        <w:rPr>
          <w:rFonts w:ascii="Arial" w:hAnsi="Arial"/>
          <w:color w:val="000000"/>
        </w:rPr>
      </w:r>
    </w:p>
    <w:p>
      <w:pPr>
        <w:pBdr/>
        <w:spacing/>
        <w:ind/>
        <w:jc w:val="both"/>
        <w:rPr>
          <w:rFonts w:ascii="Arial" w:hAnsi="Arial"/>
        </w:rPr>
      </w:pPr>
      <w:r>
        <w:rPr>
          <w:rFonts w:ascii="Arial" w:hAnsi="Arial"/>
          <w:b/>
          <w:color w:val="000000"/>
        </w:rPr>
        <w:t xml:space="preserve">13.1.8.</w:t>
      </w:r>
      <w:r>
        <w:rPr>
          <w:rFonts w:ascii="Arial" w:hAnsi="Arial"/>
          <w:color w:val="000000"/>
        </w:rPr>
        <w:t xml:space="preserve"> O licitante organizado e</w:t>
      </w:r>
      <w:r>
        <w:rPr>
          <w:rFonts w:ascii="Arial" w:hAnsi="Arial"/>
          <w:color w:val="000000"/>
        </w:rPr>
        <w:t xml:space="preserve">m cooperativa deverá declarar, ainda que, cumpre os requisitos estabelecidos no </w:t>
      </w:r>
      <w:hyperlink r:id="rId48" w:tooltip="http://www.planalto.gov.br/ccivil_03/_ato2019-2022/2021/lei/L14133.htm#art16" w:anchor="art16" w:history="1">
        <w:r>
          <w:rPr>
            <w:rStyle w:val="973"/>
            <w:rFonts w:ascii="Arial" w:hAnsi="Arial" w:cs="Arial"/>
            <w:color w:val="000000"/>
          </w:rPr>
          <w:t xml:space="preserve">artigo 16 da Lei nº 14.133, de 2021</w:t>
        </w:r>
      </w:hyperlink>
      <w:r>
        <w:rPr>
          <w:rFonts w:ascii="Arial" w:hAnsi="Arial"/>
          <w:color w:val="000000"/>
        </w:rPr>
        <w:t xml:space="preserve">;</w:t>
      </w:r>
      <w:r>
        <w:rPr>
          <w:rFonts w:ascii="Arial" w:hAnsi="Arial"/>
        </w:rPr>
      </w:r>
      <w:r>
        <w:rPr>
          <w:rFonts w:ascii="Arial" w:hAnsi="Arial"/>
        </w:rPr>
      </w:r>
    </w:p>
    <w:p>
      <w:pPr>
        <w:pBdr/>
        <w:spacing/>
        <w:ind/>
        <w:jc w:val="both"/>
        <w:rPr>
          <w:rFonts w:ascii="Arial" w:hAnsi="Arial"/>
        </w:rPr>
      </w:pPr>
      <w:r>
        <w:rPr>
          <w:rFonts w:ascii="Arial" w:hAnsi="Arial"/>
          <w:b/>
          <w:color w:val="000000"/>
        </w:rPr>
        <w:t xml:space="preserve">13.1.9. </w:t>
      </w:r>
      <w:r>
        <w:rPr>
          <w:rFonts w:ascii="Arial" w:hAnsi="Arial"/>
          <w:color w:val="000000"/>
        </w:rPr>
        <w:t xml:space="preserve">Que não há sanções vigentes que legalmente proíbam a participante de licitar e/ou contratar com o Órgão/Entidade contratante;</w:t>
      </w:r>
      <w:r>
        <w:rPr>
          <w:rFonts w:ascii="Arial" w:hAnsi="Arial"/>
        </w:rPr>
      </w:r>
      <w:r>
        <w:rPr>
          <w:rFonts w:ascii="Arial" w:hAnsi="Arial"/>
        </w:rPr>
      </w:r>
    </w:p>
    <w:p>
      <w:pPr>
        <w:pBdr/>
        <w:spacing/>
        <w:ind/>
        <w:jc w:val="both"/>
        <w:rPr>
          <w:rFonts w:ascii="Arial" w:hAnsi="Arial"/>
        </w:rPr>
      </w:pPr>
      <w:r>
        <w:rPr>
          <w:rFonts w:ascii="Arial" w:hAnsi="Arial"/>
          <w:b/>
          <w:color w:val="000000"/>
        </w:rPr>
        <w:t xml:space="preserve">13.1.10.</w:t>
      </w:r>
      <w:r>
        <w:rPr>
          <w:rFonts w:ascii="Arial" w:hAnsi="Arial"/>
          <w:color w:val="000000"/>
        </w:rPr>
        <w:t xml:space="preserve"> O declarante responderá pela veracidade das informações prestadas, sujei</w:t>
      </w:r>
      <w:r>
        <w:rPr>
          <w:rFonts w:ascii="Arial" w:hAnsi="Arial"/>
          <w:color w:val="000000"/>
        </w:rPr>
        <w:t xml:space="preserve">tando-se às sanções previstas na forma da lei, e neste Edital.</w:t>
      </w:r>
      <w:r>
        <w:rPr>
          <w:rFonts w:ascii="Arial" w:hAnsi="Arial"/>
        </w:rPr>
      </w:r>
      <w:r>
        <w:rPr>
          <w:rFonts w:ascii="Arial" w:hAnsi="Arial"/>
        </w:rPr>
      </w:r>
    </w:p>
    <w:p>
      <w:pPr>
        <w:pBdr/>
        <w:spacing/>
        <w:ind/>
        <w:jc w:val="both"/>
        <w:rPr>
          <w:rFonts w:ascii="Arial" w:hAnsi="Arial"/>
        </w:rPr>
      </w:pPr>
      <w:r>
        <w:rPr>
          <w:rFonts w:ascii="Arial" w:hAnsi="Arial"/>
          <w:b/>
          <w:color w:val="000000"/>
        </w:rPr>
        <w:t xml:space="preserve">13.1.11.</w:t>
      </w:r>
      <w:r>
        <w:rPr>
          <w:rFonts w:ascii="Arial" w:hAnsi="Arial"/>
          <w:color w:val="000000"/>
        </w:rPr>
        <w:t xml:space="preserve"> No caso em que a empresa apresente as referidas declarações e não cumpra as exigências habilitatórias do certame o qual está participando, será passível de punição na forma da lei e de</w:t>
      </w:r>
      <w:r>
        <w:rPr>
          <w:rFonts w:ascii="Arial" w:hAnsi="Arial"/>
          <w:color w:val="000000"/>
        </w:rPr>
        <w:t xml:space="preserve">ste Edital. Bem como, caso não apresente as respectivas declarações o licitante será passível de inabilitação. </w:t>
      </w:r>
      <w:r>
        <w:rPr>
          <w:rFonts w:ascii="Arial" w:hAnsi="Arial"/>
        </w:rPr>
      </w:r>
      <w:r>
        <w:rPr>
          <w:rFonts w:ascii="Arial" w:hAnsi="Arial"/>
        </w:rPr>
      </w:r>
    </w:p>
    <w:p>
      <w:pPr>
        <w:pBdr/>
        <w:spacing/>
        <w:ind/>
        <w:jc w:val="both"/>
        <w:rPr>
          <w:rFonts w:ascii="Arial" w:hAnsi="Arial" w:eastAsia="Arial"/>
          <w:color w:val="000000"/>
        </w:rPr>
      </w:pPr>
      <w:r>
        <w:rPr>
          <w:rFonts w:ascii="Arial" w:hAnsi="Arial" w:eastAsia="Arial"/>
          <w:color w:val="000000"/>
        </w:rPr>
      </w:r>
      <w:r>
        <w:rPr>
          <w:rFonts w:ascii="Arial" w:hAnsi="Arial" w:eastAsia="Arial"/>
          <w:color w:val="000000"/>
        </w:rPr>
      </w:r>
      <w:r>
        <w:rPr>
          <w:rFonts w:ascii="Arial" w:hAnsi="Arial" w:eastAsia="Arial"/>
          <w:color w:val="000000"/>
        </w:rPr>
      </w:r>
    </w:p>
    <w:p>
      <w:pPr>
        <w:pBdr/>
        <w:spacing/>
        <w:ind/>
        <w:jc w:val="both"/>
        <w:rPr>
          <w:rFonts w:ascii="Arial" w:hAnsi="Arial" w:eastAsia="Arial"/>
          <w:color w:val="000000"/>
        </w:rPr>
      </w:pPr>
      <w:r>
        <w:rPr>
          <w:rFonts w:ascii="Arial" w:hAnsi="Arial" w:eastAsia="Arial"/>
          <w:color w:val="000000"/>
        </w:rPr>
      </w:r>
      <w:r>
        <w:rPr>
          <w:rFonts w:ascii="Arial" w:hAnsi="Arial" w:eastAsia="Arial"/>
          <w:color w:val="000000"/>
        </w:rPr>
      </w:r>
      <w:r>
        <w:rPr>
          <w:rFonts w:ascii="Arial" w:hAnsi="Arial" w:eastAsia="Arial"/>
          <w:color w:val="000000"/>
        </w:rPr>
      </w:r>
    </w:p>
    <w:p>
      <w:pPr>
        <w:pBdr/>
        <w:spacing/>
        <w:ind/>
        <w:jc w:val="both"/>
        <w:rPr>
          <w:rFonts w:ascii="Arial" w:hAnsi="Arial" w:eastAsia="Arial"/>
          <w:color w:val="000000"/>
        </w:rPr>
      </w:pPr>
      <w:r>
        <w:rPr>
          <w:rFonts w:ascii="Arial" w:hAnsi="Arial" w:eastAsia="Arial"/>
          <w:color w:val="000000"/>
        </w:rPr>
        <w:t xml:space="preserve">__________________, _______ de ___________________ de 2026.</w:t>
      </w:r>
      <w:r>
        <w:rPr>
          <w:rFonts w:ascii="Arial" w:hAnsi="Arial" w:eastAsia="Arial"/>
          <w:color w:val="000000"/>
        </w:rPr>
      </w:r>
      <w:r>
        <w:rPr>
          <w:rFonts w:ascii="Arial" w:hAnsi="Arial" w:eastAsia="Arial"/>
          <w:color w:val="000000"/>
        </w:rPr>
      </w:r>
    </w:p>
    <w:p>
      <w:pPr>
        <w:pBdr/>
        <w:spacing/>
        <w:ind/>
        <w:jc w:val="both"/>
        <w:rPr>
          <w:rFonts w:ascii="Arial" w:hAnsi="Arial" w:eastAsia="Arial"/>
          <w:color w:val="000000"/>
        </w:rPr>
      </w:pPr>
      <w:r>
        <w:rPr>
          <w:rFonts w:ascii="Arial" w:hAnsi="Arial" w:eastAsia="Arial"/>
          <w:color w:val="000000"/>
        </w:rPr>
      </w:r>
      <w:r>
        <w:rPr>
          <w:rFonts w:ascii="Arial" w:hAnsi="Arial" w:eastAsia="Arial"/>
          <w:color w:val="000000"/>
        </w:rPr>
      </w:r>
      <w:r>
        <w:rPr>
          <w:rFonts w:ascii="Arial" w:hAnsi="Arial" w:eastAsia="Arial"/>
          <w:color w:val="000000"/>
        </w:rPr>
      </w:r>
    </w:p>
    <w:p>
      <w:pPr>
        <w:pBdr/>
        <w:spacing/>
        <w:ind/>
        <w:jc w:val="both"/>
        <w:rPr>
          <w:rFonts w:ascii="Arial" w:hAnsi="Arial" w:eastAsia="Arial"/>
          <w:b/>
          <w:bCs/>
          <w:color w:val="000000"/>
        </w:rPr>
      </w:pPr>
      <w:r>
        <w:rPr>
          <w:rFonts w:ascii="Arial" w:hAnsi="Arial" w:eastAsia="Arial"/>
          <w:b/>
          <w:bCs/>
          <w:color w:val="000000"/>
        </w:rPr>
        <w:t xml:space="preserve">________________________________________________________________________</w:t>
      </w:r>
      <w:r>
        <w:rPr>
          <w:rFonts w:ascii="Arial" w:hAnsi="Arial" w:eastAsia="Arial"/>
          <w:b/>
          <w:bCs/>
          <w:color w:val="000000"/>
        </w:rPr>
      </w:r>
      <w:r>
        <w:rPr>
          <w:rFonts w:ascii="Arial" w:hAnsi="Arial" w:eastAsia="Arial"/>
          <w:b/>
          <w:bCs/>
          <w:color w:val="000000"/>
        </w:rPr>
      </w:r>
    </w:p>
    <w:p>
      <w:pPr>
        <w:pBdr/>
        <w:spacing/>
        <w:ind/>
        <w:jc w:val="both"/>
        <w:rPr>
          <w:rFonts w:ascii="Arial" w:hAnsi="Arial" w:eastAsia="Arial"/>
          <w:color w:val="000000"/>
        </w:rPr>
      </w:pPr>
      <w:r>
        <w:rPr>
          <w:rFonts w:ascii="Arial" w:hAnsi="Arial" w:eastAsia="Arial"/>
          <w:color w:val="000000"/>
        </w:rPr>
        <w:t xml:space="preserve">Assinatura do Representante Legal</w:t>
      </w:r>
      <w:r>
        <w:rPr>
          <w:rFonts w:ascii="Arial" w:hAnsi="Arial" w:eastAsia="Arial"/>
          <w:color w:val="000000"/>
        </w:rPr>
      </w:r>
      <w:r>
        <w:rPr>
          <w:rFonts w:ascii="Arial" w:hAnsi="Arial" w:eastAsia="Arial"/>
          <w:color w:val="000000"/>
        </w:rPr>
      </w:r>
    </w:p>
    <w:p>
      <w:pPr>
        <w:pBdr/>
        <w:spacing/>
        <w:ind/>
        <w:jc w:val="both"/>
        <w:rPr>
          <w:rFonts w:ascii="Arial" w:hAnsi="Arial" w:eastAsia="Arial"/>
          <w:color w:val="000000"/>
        </w:rPr>
      </w:pPr>
      <w:r>
        <w:rPr>
          <w:rFonts w:ascii="Arial" w:hAnsi="Arial" w:eastAsia="Arial"/>
          <w:color w:val="000000"/>
        </w:rPr>
      </w:r>
      <w:r>
        <w:rPr>
          <w:rFonts w:ascii="Arial" w:hAnsi="Arial" w:eastAsia="Arial"/>
          <w:color w:val="000000"/>
        </w:rPr>
      </w:r>
      <w:r>
        <w:rPr>
          <w:rFonts w:ascii="Arial" w:hAnsi="Arial" w:eastAsia="Arial"/>
          <w:color w:val="000000"/>
        </w:rPr>
      </w:r>
    </w:p>
    <w:p>
      <w:pPr>
        <w:pBdr>
          <w:top w:val="single" w:color="000000" w:sz="4" w:space="0"/>
          <w:left w:val="single" w:color="000000" w:sz="4" w:space="3"/>
          <w:bottom w:val="single" w:color="000000" w:sz="4" w:space="0"/>
          <w:right w:val="single" w:color="000000" w:sz="4" w:space="3"/>
        </w:pBdr>
        <w:tabs>
          <w:tab w:val="left" w:leader="none" w:pos="8576"/>
          <w:tab w:val="left" w:leader="none" w:pos="10419"/>
        </w:tabs>
        <w:spacing/>
        <w:ind/>
        <w:jc w:val="center"/>
        <w:rPr>
          <w:rFonts w:ascii="Arial" w:hAnsi="Arial" w:eastAsia="Arial"/>
          <w:b/>
          <w:bCs/>
        </w:rPr>
      </w:pPr>
      <w:r>
        <w:rPr>
          <w:rFonts w:ascii="Arial" w:hAnsi="Arial" w:eastAsia="Arial"/>
          <w:b/>
          <w:bCs/>
        </w:rPr>
        <w:t xml:space="preserve">PAPEL TIMBRADO DA EMPRESA LICITANTE</w:t>
      </w:r>
      <w:r>
        <w:rPr>
          <w:rFonts w:ascii="Arial" w:hAnsi="Arial" w:eastAsia="Arial"/>
          <w:b/>
          <w:bCs/>
        </w:rPr>
      </w:r>
      <w:r>
        <w:rPr>
          <w:rFonts w:ascii="Arial" w:hAnsi="Arial" w:eastAsia="Arial"/>
          <w:b/>
          <w:bCs/>
        </w:rPr>
      </w:r>
    </w:p>
    <w:p>
      <w:pPr>
        <w:pBdr/>
        <w:spacing w:line="276" w:lineRule="auto"/>
        <w:ind/>
        <w:jc w:val="both"/>
        <w:rPr>
          <w:rFonts w:ascii="Arial" w:hAnsi="Arial" w:eastAsia="Arial"/>
          <w:b/>
          <w:bCs/>
          <w:u w:val="single"/>
        </w:rPr>
      </w:pPr>
      <w:r>
        <w:rPr>
          <w:rFonts w:ascii="Arial" w:hAnsi="Arial" w:eastAsia="Arial"/>
          <w:b/>
          <w:bCs/>
          <w:u w:val="single"/>
        </w:rPr>
      </w:r>
      <w:r>
        <w:rPr>
          <w:rFonts w:ascii="Arial" w:hAnsi="Arial" w:eastAsia="Arial"/>
          <w:b/>
          <w:bCs/>
          <w:u w:val="single"/>
        </w:rPr>
      </w:r>
      <w:r>
        <w:rPr>
          <w:rFonts w:ascii="Arial" w:hAnsi="Arial" w:eastAsia="Arial"/>
          <w:b/>
          <w:bCs/>
          <w:u w:val="single"/>
        </w:rPr>
      </w:r>
    </w:p>
    <w:p>
      <w:pPr>
        <w:pStyle w:val="865"/>
        <w:pBdr/>
        <w:spacing w:after="0" w:before="0"/>
        <w:ind/>
        <w:rPr>
          <w:rFonts w:eastAsia="Arial"/>
          <w:sz w:val="20"/>
          <w:szCs w:val="20"/>
        </w:rPr>
      </w:pPr>
      <w:r/>
      <w:bookmarkStart w:id="99" w:name="_Toc43"/>
      <w:r>
        <w:rPr>
          <w:rFonts w:eastAsia="Arial"/>
          <w:sz w:val="20"/>
          <w:szCs w:val="20"/>
        </w:rPr>
        <w:t xml:space="preserve">ANEXO VI: FICHA DE ATUALIZAÇÃO CADASTRAL.</w:t>
      </w:r>
      <w:r>
        <w:rPr>
          <w:rFonts w:eastAsia="Arial"/>
          <w:sz w:val="20"/>
          <w:szCs w:val="20"/>
        </w:rPr>
      </w:r>
      <w:bookmarkEnd w:id="99"/>
      <w:r>
        <w:rPr>
          <w:rFonts w:eastAsia="Arial"/>
          <w:sz w:val="20"/>
          <w:szCs w:val="20"/>
        </w:rPr>
      </w:r>
      <w:r>
        <w:rPr>
          <w:rFonts w:eastAsia="Arial"/>
          <w:sz w:val="20"/>
          <w:szCs w:val="20"/>
        </w:rPr>
      </w:r>
    </w:p>
    <w:p>
      <w:pPr>
        <w:pBdr/>
        <w:spacing w:line="276" w:lineRule="auto"/>
        <w:ind/>
        <w:jc w:val="both"/>
        <w:rPr>
          <w:rFonts w:ascii="Arial" w:hAnsi="Arial" w:eastAsia="Arial"/>
          <w:b/>
          <w:bCs/>
          <w:u w:val="single"/>
        </w:rPr>
      </w:pPr>
      <w:r>
        <w:rPr>
          <w:rFonts w:ascii="Arial" w:hAnsi="Arial" w:eastAsia="Arial"/>
          <w:b/>
          <w:bCs/>
          <w:u w:val="single"/>
        </w:rPr>
      </w:r>
      <w:r>
        <w:rPr>
          <w:rFonts w:ascii="Arial" w:hAnsi="Arial" w:eastAsia="Arial"/>
          <w:b/>
          <w:bCs/>
          <w:u w:val="single"/>
        </w:rPr>
      </w:r>
      <w:r>
        <w:rPr>
          <w:rFonts w:ascii="Arial" w:hAnsi="Arial" w:eastAsia="Arial"/>
          <w:b/>
          <w:bCs/>
          <w:u w:val="single"/>
        </w:rPr>
      </w:r>
    </w:p>
    <w:p>
      <w:pPr>
        <w:pBdr/>
        <w:spacing w:line="276" w:lineRule="auto"/>
        <w:ind/>
        <w:jc w:val="both"/>
        <w:rPr>
          <w:rFonts w:ascii="Arial" w:hAnsi="Arial" w:eastAsia="Arial"/>
          <w:b/>
          <w:bCs/>
        </w:rPr>
      </w:pPr>
      <w:r>
        <w:rPr>
          <w:rFonts w:ascii="Arial" w:hAnsi="Arial" w:eastAsia="Arial"/>
          <w:b/>
          <w:bCs/>
          <w:u w:val="single"/>
        </w:rPr>
        <w:t xml:space="preserve">TODAS AS EMPRESAS INTERESSADAS EM PARTICIPAR DO PRESENTE CERTAME LICITATÓRIO DEVERÃO IMPRETERIVELMENTE PREENCHER A FICHA CADASTRAL DEVIDAMEN</w:t>
      </w:r>
      <w:r>
        <w:rPr>
          <w:rFonts w:ascii="Arial" w:hAnsi="Arial" w:eastAsia="Arial"/>
          <w:b/>
          <w:bCs/>
          <w:u w:val="single"/>
        </w:rPr>
        <w:t xml:space="preserve">TE ACOMPANHADA DOS DOCUMENTOS ABAIXO E ENCAMINHAR ATRAVÉS DO EMAIL:</w:t>
      </w:r>
      <w:r>
        <w:rPr>
          <w:rFonts w:ascii="Arial" w:hAnsi="Arial" w:eastAsia="Arial"/>
          <w:b/>
          <w:bCs/>
        </w:rPr>
        <w:t xml:space="preserve"> </w:t>
      </w:r>
      <w:hyperlink r:id="rId49" w:tooltip="mailto:rfpmr2014@hotmail.com" w:history="1">
        <w:r>
          <w:rPr>
            <w:rFonts w:ascii="Arial" w:hAnsi="Arial" w:eastAsia="Arial"/>
            <w:b/>
            <w:bCs/>
            <w:color w:val="000000"/>
            <w:u w:val="single"/>
          </w:rPr>
          <w:t xml:space="preserve">rfpmr2014@hotmail.com</w:t>
        </w:r>
      </w:hyperlink>
      <w:r>
        <w:rPr>
          <w:rFonts w:ascii="Arial" w:hAnsi="Arial" w:eastAsia="Arial"/>
          <w:b/>
          <w:bCs/>
        </w:rPr>
        <w:t xml:space="preserve"> ou entregar pessoalmente na Prefeitura de Rondonópolis – Secretaria de Administração - </w:t>
      </w:r>
      <w:r>
        <w:rPr>
          <w:rFonts w:ascii="Arial" w:hAnsi="Arial" w:eastAsia="Arial"/>
          <w:b/>
          <w:bCs/>
        </w:rPr>
        <w:t xml:space="preserve">Setor de Licitações. A referida solicitação visa atualizar os cadastros já existentes, e incluir novos cadastros de empresas ainda não cadastradas em nosso sistema. </w:t>
      </w:r>
      <w:r>
        <w:rPr>
          <w:rFonts w:ascii="Arial" w:hAnsi="Arial" w:eastAsia="Arial"/>
          <w:b/>
          <w:bCs/>
        </w:rPr>
      </w:r>
      <w:r>
        <w:rPr>
          <w:rFonts w:ascii="Arial" w:hAnsi="Arial" w:eastAsia="Arial"/>
          <w:b/>
          <w:bCs/>
        </w:rPr>
      </w:r>
    </w:p>
    <w:p>
      <w:pPr>
        <w:pBdr/>
        <w:spacing w:line="276" w:lineRule="auto"/>
        <w:ind/>
        <w:jc w:val="both"/>
        <w:rPr>
          <w:rFonts w:ascii="Arial" w:hAnsi="Arial" w:eastAsia="Arial"/>
          <w:b/>
          <w:bCs/>
        </w:rPr>
      </w:pPr>
      <w:r>
        <w:rPr>
          <w:rFonts w:ascii="Arial" w:hAnsi="Arial" w:eastAsia="Arial"/>
          <w:b/>
          <w:bCs/>
        </w:rPr>
      </w:r>
      <w:r>
        <w:rPr>
          <w:rFonts w:ascii="Arial" w:hAnsi="Arial" w:eastAsia="Arial"/>
          <w:b/>
          <w:bCs/>
        </w:rPr>
      </w:r>
      <w:r>
        <w:rPr>
          <w:rFonts w:ascii="Arial" w:hAnsi="Arial" w:eastAsia="Arial"/>
          <w:b/>
          <w:bCs/>
        </w:rPr>
      </w:r>
    </w:p>
    <w:tbl>
      <w:tblPr>
        <w:tblInd w:w="109" w:type="dxa"/>
        <w:tblW w:w="9923" w:type="dxa"/>
        <w:tblBorders/>
        <w:tblLayout w:type="fixed"/>
        <w:tblLook w:val="04A0" w:firstRow="1" w:lastRow="0" w:firstColumn="1" w:lastColumn="0" w:noHBand="0" w:noVBand="1"/>
      </w:tblPr>
      <w:tblGrid>
        <w:gridCol w:w="2496"/>
        <w:gridCol w:w="910"/>
        <w:gridCol w:w="932"/>
        <w:gridCol w:w="342"/>
        <w:gridCol w:w="545"/>
        <w:gridCol w:w="796"/>
        <w:gridCol w:w="1295"/>
        <w:gridCol w:w="334"/>
        <w:gridCol w:w="45"/>
        <w:gridCol w:w="2228"/>
      </w:tblGrid>
      <w:tr>
        <w:trPr/>
        <w:tc>
          <w:tcPr>
            <w:gridSpan w:val="10"/>
            <w:tcBorders>
              <w:top w:val="single" w:color="000000" w:sz="4" w:space="0"/>
              <w:left w:val="single" w:color="000000" w:sz="4" w:space="0"/>
              <w:bottom w:val="single" w:color="000000" w:sz="4" w:space="0"/>
              <w:right w:val="single" w:color="000000" w:sz="4" w:space="0"/>
            </w:tcBorders>
            <w:tcW w:w="9923" w:type="dxa"/>
            <w:textDirection w:val="lrTb"/>
            <w:noWrap w:val="false"/>
          </w:tcPr>
          <w:p>
            <w:pPr>
              <w:pBdr/>
              <w:spacing w:line="360" w:lineRule="auto"/>
              <w:ind/>
              <w:rPr>
                <w:rFonts w:ascii="Arial" w:hAnsi="Arial" w:eastAsia="Arial"/>
              </w:rPr>
            </w:pPr>
            <w:r>
              <w:rPr>
                <w:rFonts w:ascii="Arial" w:hAnsi="Arial" w:eastAsia="Arial"/>
              </w:rPr>
              <w:t xml:space="preserve">RAZÃO SOCIAL DA EMPRESA:</w:t>
            </w:r>
            <w:r>
              <w:rPr>
                <w:rFonts w:ascii="Arial" w:hAnsi="Arial" w:eastAsia="Arial"/>
              </w:rPr>
            </w:r>
            <w:r>
              <w:rPr>
                <w:rFonts w:ascii="Arial" w:hAnsi="Arial" w:eastAsia="Arial"/>
              </w:rPr>
            </w:r>
          </w:p>
        </w:tc>
      </w:tr>
      <w:tr>
        <w:trPr/>
        <w:tc>
          <w:tcPr>
            <w:gridSpan w:val="6"/>
            <w:tcBorders>
              <w:top w:val="single" w:color="000000" w:sz="4" w:space="0"/>
              <w:left w:val="single" w:color="000000" w:sz="4" w:space="0"/>
              <w:bottom w:val="single" w:color="000000" w:sz="4" w:space="0"/>
              <w:right w:val="single" w:color="000000" w:sz="4" w:space="0"/>
            </w:tcBorders>
            <w:tcW w:w="6021" w:type="dxa"/>
            <w:textDirection w:val="lrTb"/>
            <w:noWrap w:val="false"/>
          </w:tcPr>
          <w:p>
            <w:pPr>
              <w:pBdr/>
              <w:spacing w:line="360" w:lineRule="auto"/>
              <w:ind/>
              <w:rPr>
                <w:rFonts w:ascii="Arial" w:hAnsi="Arial" w:eastAsia="Arial"/>
              </w:rPr>
            </w:pPr>
            <w:r>
              <w:rPr>
                <w:rFonts w:ascii="Arial" w:hAnsi="Arial" w:eastAsia="Arial"/>
              </w:rPr>
              <w:t xml:space="preserve">NOME FANTASIA:</w:t>
            </w:r>
            <w:r>
              <w:rPr>
                <w:rFonts w:ascii="Arial" w:hAnsi="Arial" w:eastAsia="Arial"/>
              </w:rPr>
            </w:r>
            <w:r>
              <w:rPr>
                <w:rFonts w:ascii="Arial" w:hAnsi="Arial" w:eastAsia="Arial"/>
              </w:rPr>
            </w:r>
          </w:p>
        </w:tc>
        <w:tc>
          <w:tcPr>
            <w:gridSpan w:val="4"/>
            <w:tcBorders>
              <w:top w:val="single" w:color="000000" w:sz="4" w:space="0"/>
              <w:left w:val="single" w:color="000000" w:sz="4" w:space="0"/>
              <w:bottom w:val="single" w:color="000000" w:sz="4" w:space="0"/>
              <w:right w:val="single" w:color="000000" w:sz="4" w:space="0"/>
            </w:tcBorders>
            <w:tcW w:w="3902" w:type="dxa"/>
            <w:textDirection w:val="lrTb"/>
            <w:noWrap w:val="false"/>
          </w:tcPr>
          <w:p>
            <w:pPr>
              <w:pBdr/>
              <w:spacing w:line="360" w:lineRule="auto"/>
              <w:ind/>
              <w:rPr>
                <w:rFonts w:ascii="Arial" w:hAnsi="Arial" w:eastAsia="Arial"/>
              </w:rPr>
            </w:pPr>
            <w:r>
              <w:rPr>
                <w:rFonts w:ascii="Arial" w:hAnsi="Arial" w:eastAsia="Arial"/>
              </w:rPr>
              <w:t xml:space="preserve">CNPJ Nº</w:t>
            </w:r>
            <w:r>
              <w:rPr>
                <w:rFonts w:ascii="Arial" w:hAnsi="Arial" w:eastAsia="Arial"/>
              </w:rPr>
            </w:r>
            <w:r>
              <w:rPr>
                <w:rFonts w:ascii="Arial" w:hAnsi="Arial" w:eastAsia="Arial"/>
              </w:rPr>
            </w:r>
          </w:p>
        </w:tc>
      </w:tr>
      <w:tr>
        <w:trPr/>
        <w:tc>
          <w:tcPr>
            <w:gridSpan w:val="3"/>
            <w:tcBorders>
              <w:top w:val="single" w:color="000000" w:sz="4" w:space="0"/>
              <w:left w:val="single" w:color="000000" w:sz="4" w:space="0"/>
              <w:bottom w:val="single" w:color="000000" w:sz="4" w:space="0"/>
              <w:right w:val="single" w:color="000000" w:sz="4" w:space="0"/>
            </w:tcBorders>
            <w:tcW w:w="4338" w:type="dxa"/>
            <w:textDirection w:val="lrTb"/>
            <w:noWrap w:val="false"/>
          </w:tcPr>
          <w:p>
            <w:pPr>
              <w:pBdr/>
              <w:spacing w:line="360" w:lineRule="auto"/>
              <w:ind/>
              <w:rPr>
                <w:rFonts w:ascii="Arial" w:hAnsi="Arial" w:eastAsia="Arial"/>
              </w:rPr>
            </w:pPr>
            <w:r>
              <w:rPr>
                <w:rFonts w:ascii="Arial" w:hAnsi="Arial" w:eastAsia="Arial"/>
              </w:rPr>
              <w:t xml:space="preserve">INSCRIÇÃO ESTADUAL:</w:t>
            </w:r>
            <w:r>
              <w:rPr>
                <w:rFonts w:ascii="Arial" w:hAnsi="Arial" w:eastAsia="Arial"/>
              </w:rPr>
            </w:r>
            <w:r>
              <w:rPr>
                <w:rFonts w:ascii="Arial" w:hAnsi="Arial" w:eastAsia="Arial"/>
              </w:rPr>
            </w:r>
          </w:p>
        </w:tc>
        <w:tc>
          <w:tcPr>
            <w:gridSpan w:val="7"/>
            <w:tcBorders>
              <w:top w:val="single" w:color="000000" w:sz="4" w:space="0"/>
              <w:left w:val="single" w:color="000000" w:sz="4" w:space="0"/>
              <w:bottom w:val="single" w:color="000000" w:sz="4" w:space="0"/>
              <w:right w:val="single" w:color="000000" w:sz="4" w:space="0"/>
            </w:tcBorders>
            <w:tcW w:w="5585" w:type="dxa"/>
            <w:textDirection w:val="lrTb"/>
            <w:noWrap w:val="false"/>
          </w:tcPr>
          <w:p>
            <w:pPr>
              <w:pBdr/>
              <w:spacing w:line="360" w:lineRule="auto"/>
              <w:ind/>
              <w:rPr>
                <w:rFonts w:ascii="Arial" w:hAnsi="Arial" w:eastAsia="Arial"/>
              </w:rPr>
            </w:pPr>
            <w:r>
              <w:rPr>
                <w:rFonts w:ascii="Arial" w:hAnsi="Arial" w:eastAsia="Arial"/>
              </w:rPr>
              <w:t xml:space="preserve">INSCRIÇÃO MUNICIPAL:</w:t>
            </w:r>
            <w:r>
              <w:rPr>
                <w:rFonts w:ascii="Arial" w:hAnsi="Arial" w:eastAsia="Arial"/>
              </w:rPr>
            </w:r>
            <w:r>
              <w:rPr>
                <w:rFonts w:ascii="Arial" w:hAnsi="Arial" w:eastAsia="Arial"/>
              </w:rPr>
            </w:r>
          </w:p>
        </w:tc>
      </w:tr>
      <w:tr>
        <w:trPr/>
        <w:tc>
          <w:tcPr>
            <w:gridSpan w:val="10"/>
            <w:tcBorders>
              <w:top w:val="single" w:color="000000" w:sz="4" w:space="0"/>
              <w:left w:val="single" w:color="000000" w:sz="4" w:space="0"/>
              <w:bottom w:val="single" w:color="000000" w:sz="4" w:space="0"/>
              <w:right w:val="single" w:color="000000" w:sz="4" w:space="0"/>
            </w:tcBorders>
            <w:tcW w:w="9923" w:type="dxa"/>
            <w:textDirection w:val="lrTb"/>
            <w:noWrap w:val="false"/>
          </w:tcPr>
          <w:p>
            <w:pPr>
              <w:pBdr/>
              <w:spacing w:line="360" w:lineRule="auto"/>
              <w:ind/>
              <w:rPr>
                <w:rFonts w:ascii="Arial" w:hAnsi="Arial" w:eastAsia="Arial"/>
              </w:rPr>
            </w:pPr>
            <w:r>
              <w:rPr>
                <w:rFonts w:ascii="Arial" w:hAnsi="Arial" w:eastAsia="Arial"/>
              </w:rPr>
              <w:t xml:space="preserve">ENQUADRAMENTO DA EMPRESA: ME(  )  EPP(  ) NENHUMA. OPTANTE DO SIMPLES: SIM(  ) NÃO(  )</w:t>
            </w:r>
            <w:r>
              <w:rPr>
                <w:rFonts w:ascii="Arial" w:hAnsi="Arial" w:eastAsia="Arial"/>
              </w:rPr>
            </w:r>
            <w:r>
              <w:rPr>
                <w:rFonts w:ascii="Arial" w:hAnsi="Arial" w:eastAsia="Arial"/>
              </w:rPr>
            </w:r>
          </w:p>
        </w:tc>
      </w:tr>
      <w:tr>
        <w:trPr/>
        <w:tc>
          <w:tcPr>
            <w:gridSpan w:val="10"/>
            <w:tcBorders>
              <w:top w:val="single" w:color="000000" w:sz="4" w:space="0"/>
              <w:left w:val="single" w:color="000000" w:sz="4" w:space="0"/>
              <w:bottom w:val="single" w:color="000000" w:sz="4" w:space="0"/>
              <w:right w:val="single" w:color="000000" w:sz="4" w:space="0"/>
            </w:tcBorders>
            <w:tcW w:w="9923" w:type="dxa"/>
            <w:textDirection w:val="lrTb"/>
            <w:noWrap w:val="false"/>
          </w:tcPr>
          <w:p>
            <w:pPr>
              <w:pBdr/>
              <w:spacing w:line="360" w:lineRule="auto"/>
              <w:ind/>
              <w:rPr>
                <w:rFonts w:ascii="Arial" w:hAnsi="Arial" w:eastAsia="Arial"/>
              </w:rPr>
            </w:pPr>
            <w:r>
              <w:rPr>
                <w:rFonts w:ascii="Arial" w:hAnsi="Arial" w:eastAsia="Arial"/>
              </w:rPr>
              <w:t xml:space="preserve">ENDEREÇO:</w:t>
            </w:r>
            <w:r>
              <w:rPr>
                <w:rFonts w:ascii="Arial" w:hAnsi="Arial" w:eastAsia="Arial"/>
              </w:rPr>
            </w:r>
            <w:r>
              <w:rPr>
                <w:rFonts w:ascii="Arial" w:hAnsi="Arial" w:eastAsia="Arial"/>
              </w:rPr>
            </w:r>
          </w:p>
        </w:tc>
      </w:tr>
      <w:tr>
        <w:trPr/>
        <w:tc>
          <w:tcPr>
            <w:gridSpan w:val="4"/>
            <w:tcBorders>
              <w:top w:val="single" w:color="000000" w:sz="4" w:space="0"/>
              <w:left w:val="single" w:color="000000" w:sz="4" w:space="0"/>
              <w:bottom w:val="single" w:color="000000" w:sz="4" w:space="0"/>
              <w:right w:val="single" w:color="000000" w:sz="4" w:space="0"/>
            </w:tcBorders>
            <w:tcW w:w="4680" w:type="dxa"/>
            <w:textDirection w:val="lrTb"/>
            <w:noWrap w:val="false"/>
          </w:tcPr>
          <w:p>
            <w:pPr>
              <w:pBdr/>
              <w:spacing w:line="360" w:lineRule="auto"/>
              <w:ind/>
              <w:rPr>
                <w:rFonts w:ascii="Arial" w:hAnsi="Arial" w:eastAsia="Arial"/>
              </w:rPr>
            </w:pPr>
            <w:r>
              <w:rPr>
                <w:rFonts w:ascii="Arial" w:hAnsi="Arial" w:eastAsia="Arial"/>
              </w:rPr>
              <w:t xml:space="preserve">BAIRRO:</w:t>
            </w:r>
            <w:r>
              <w:rPr>
                <w:rFonts w:ascii="Arial" w:hAnsi="Arial" w:eastAsia="Arial"/>
              </w:rPr>
            </w:r>
            <w:r>
              <w:rPr>
                <w:rFonts w:ascii="Arial" w:hAnsi="Arial" w:eastAsia="Arial"/>
              </w:rPr>
            </w:r>
          </w:p>
        </w:tc>
        <w:tc>
          <w:tcPr>
            <w:gridSpan w:val="3"/>
            <w:tcBorders>
              <w:top w:val="single" w:color="000000" w:sz="4" w:space="0"/>
              <w:left w:val="single" w:color="000000" w:sz="4" w:space="0"/>
              <w:bottom w:val="single" w:color="000000" w:sz="4" w:space="0"/>
              <w:right w:val="single" w:color="000000" w:sz="4" w:space="0"/>
            </w:tcBorders>
            <w:tcW w:w="2636" w:type="dxa"/>
            <w:textDirection w:val="lrTb"/>
            <w:noWrap w:val="false"/>
          </w:tcPr>
          <w:p>
            <w:pPr>
              <w:pBdr/>
              <w:spacing w:line="360" w:lineRule="auto"/>
              <w:ind/>
              <w:rPr>
                <w:rFonts w:ascii="Arial" w:hAnsi="Arial" w:eastAsia="Arial"/>
              </w:rPr>
            </w:pPr>
            <w:r>
              <w:rPr>
                <w:rFonts w:ascii="Arial" w:hAnsi="Arial" w:eastAsia="Arial"/>
              </w:rPr>
              <w:t xml:space="preserve">FONE:</w:t>
            </w:r>
            <w:r>
              <w:rPr>
                <w:rFonts w:ascii="Arial" w:hAnsi="Arial" w:eastAsia="Arial"/>
              </w:rPr>
            </w:r>
            <w:r>
              <w:rPr>
                <w:rFonts w:ascii="Arial" w:hAnsi="Arial" w:eastAsia="Arial"/>
              </w:rPr>
            </w:r>
          </w:p>
        </w:tc>
        <w:tc>
          <w:tcPr>
            <w:gridSpan w:val="3"/>
            <w:tcBorders>
              <w:top w:val="single" w:color="000000" w:sz="4" w:space="0"/>
              <w:left w:val="single" w:color="000000" w:sz="4" w:space="0"/>
              <w:bottom w:val="single" w:color="000000" w:sz="4" w:space="0"/>
              <w:right w:val="single" w:color="000000" w:sz="4" w:space="0"/>
            </w:tcBorders>
            <w:tcW w:w="2607" w:type="dxa"/>
            <w:textDirection w:val="lrTb"/>
            <w:noWrap w:val="false"/>
          </w:tcPr>
          <w:p>
            <w:pPr>
              <w:pBdr/>
              <w:spacing w:line="360" w:lineRule="auto"/>
              <w:ind/>
              <w:rPr>
                <w:rFonts w:ascii="Arial" w:hAnsi="Arial" w:eastAsia="Arial"/>
              </w:rPr>
            </w:pPr>
            <w:r>
              <w:rPr>
                <w:rFonts w:ascii="Arial" w:hAnsi="Arial" w:eastAsia="Arial"/>
              </w:rPr>
              <w:t xml:space="preserve">FAX:</w:t>
            </w:r>
            <w:r>
              <w:rPr>
                <w:rFonts w:ascii="Arial" w:hAnsi="Arial" w:eastAsia="Arial"/>
              </w:rPr>
            </w:r>
            <w:r>
              <w:rPr>
                <w:rFonts w:ascii="Arial" w:hAnsi="Arial" w:eastAsia="Arial"/>
              </w:rPr>
            </w:r>
          </w:p>
        </w:tc>
      </w:tr>
      <w:tr>
        <w:trPr/>
        <w:tc>
          <w:tcPr>
            <w:gridSpan w:val="4"/>
            <w:tcBorders>
              <w:top w:val="single" w:color="000000" w:sz="4" w:space="0"/>
              <w:left w:val="single" w:color="000000" w:sz="4" w:space="0"/>
              <w:bottom w:val="single" w:color="000000" w:sz="4" w:space="0"/>
              <w:right w:val="single" w:color="000000" w:sz="4" w:space="0"/>
            </w:tcBorders>
            <w:tcW w:w="4680" w:type="dxa"/>
            <w:textDirection w:val="lrTb"/>
            <w:noWrap w:val="false"/>
          </w:tcPr>
          <w:p>
            <w:pPr>
              <w:pBdr/>
              <w:spacing w:line="360" w:lineRule="auto"/>
              <w:ind/>
              <w:rPr>
                <w:rFonts w:ascii="Arial" w:hAnsi="Arial" w:eastAsia="Arial"/>
              </w:rPr>
            </w:pPr>
            <w:r>
              <w:rPr>
                <w:rFonts w:ascii="Arial" w:hAnsi="Arial" w:eastAsia="Arial"/>
              </w:rPr>
              <w:t xml:space="preserve">MUNICÍPIO:</w:t>
            </w:r>
            <w:r>
              <w:rPr>
                <w:rFonts w:ascii="Arial" w:hAnsi="Arial" w:eastAsia="Arial"/>
              </w:rPr>
            </w:r>
            <w:r>
              <w:rPr>
                <w:rFonts w:ascii="Arial" w:hAnsi="Arial" w:eastAsia="Arial"/>
              </w:rPr>
            </w:r>
          </w:p>
        </w:tc>
        <w:tc>
          <w:tcPr>
            <w:gridSpan w:val="3"/>
            <w:tcBorders>
              <w:top w:val="single" w:color="000000" w:sz="4" w:space="0"/>
              <w:left w:val="single" w:color="000000" w:sz="4" w:space="0"/>
              <w:bottom w:val="single" w:color="000000" w:sz="4" w:space="0"/>
              <w:right w:val="single" w:color="000000" w:sz="4" w:space="0"/>
            </w:tcBorders>
            <w:tcW w:w="2636" w:type="dxa"/>
            <w:textDirection w:val="lrTb"/>
            <w:noWrap w:val="false"/>
          </w:tcPr>
          <w:p>
            <w:pPr>
              <w:pBdr/>
              <w:spacing w:line="360" w:lineRule="auto"/>
              <w:ind/>
              <w:rPr>
                <w:rFonts w:ascii="Arial" w:hAnsi="Arial" w:eastAsia="Arial"/>
              </w:rPr>
            </w:pPr>
            <w:r>
              <w:rPr>
                <w:rFonts w:ascii="Arial" w:hAnsi="Arial" w:eastAsia="Arial"/>
              </w:rPr>
              <w:t xml:space="preserve">U.F.</w:t>
            </w:r>
            <w:r>
              <w:rPr>
                <w:rFonts w:ascii="Arial" w:hAnsi="Arial" w:eastAsia="Arial"/>
              </w:rPr>
            </w:r>
            <w:r>
              <w:rPr>
                <w:rFonts w:ascii="Arial" w:hAnsi="Arial" w:eastAsia="Arial"/>
              </w:rPr>
            </w:r>
          </w:p>
        </w:tc>
        <w:tc>
          <w:tcPr>
            <w:gridSpan w:val="3"/>
            <w:tcBorders>
              <w:top w:val="single" w:color="000000" w:sz="4" w:space="0"/>
              <w:left w:val="single" w:color="000000" w:sz="4" w:space="0"/>
              <w:bottom w:val="single" w:color="000000" w:sz="4" w:space="0"/>
              <w:right w:val="single" w:color="000000" w:sz="4" w:space="0"/>
            </w:tcBorders>
            <w:tcW w:w="2607" w:type="dxa"/>
            <w:textDirection w:val="lrTb"/>
            <w:noWrap w:val="false"/>
          </w:tcPr>
          <w:p>
            <w:pPr>
              <w:pBdr/>
              <w:spacing w:line="360" w:lineRule="auto"/>
              <w:ind/>
              <w:rPr>
                <w:rFonts w:ascii="Arial" w:hAnsi="Arial" w:eastAsia="Arial"/>
              </w:rPr>
            </w:pPr>
            <w:r>
              <w:rPr>
                <w:rFonts w:ascii="Arial" w:hAnsi="Arial" w:eastAsia="Arial"/>
              </w:rPr>
              <w:t xml:space="preserve">CEP:</w:t>
            </w:r>
            <w:r>
              <w:rPr>
                <w:rFonts w:ascii="Arial" w:hAnsi="Arial" w:eastAsia="Arial"/>
              </w:rPr>
            </w:r>
            <w:r>
              <w:rPr>
                <w:rFonts w:ascii="Arial" w:hAnsi="Arial" w:eastAsia="Arial"/>
              </w:rPr>
            </w:r>
          </w:p>
        </w:tc>
      </w:tr>
      <w:tr>
        <w:trPr/>
        <w:tc>
          <w:tcPr>
            <w:gridSpan w:val="4"/>
            <w:tcBorders>
              <w:top w:val="single" w:color="000000" w:sz="4" w:space="0"/>
              <w:left w:val="single" w:color="000000" w:sz="4" w:space="0"/>
              <w:bottom w:val="single" w:color="000000" w:sz="4" w:space="0"/>
              <w:right w:val="single" w:color="000000" w:sz="4" w:space="0"/>
            </w:tcBorders>
            <w:tcW w:w="4680" w:type="dxa"/>
            <w:textDirection w:val="lrTb"/>
            <w:noWrap w:val="false"/>
          </w:tcPr>
          <w:p>
            <w:pPr>
              <w:pBdr/>
              <w:spacing w:line="360" w:lineRule="auto"/>
              <w:ind/>
              <w:rPr>
                <w:rFonts w:ascii="Arial" w:hAnsi="Arial" w:eastAsia="Arial"/>
              </w:rPr>
            </w:pPr>
            <w:r>
              <w:rPr>
                <w:rFonts w:ascii="Arial" w:hAnsi="Arial" w:eastAsia="Arial"/>
              </w:rPr>
              <w:t xml:space="preserve">NOME DO RESPONSÁVEL PARA CONTATO:</w:t>
            </w:r>
            <w:r>
              <w:rPr>
                <w:rFonts w:ascii="Arial" w:hAnsi="Arial" w:eastAsia="Arial"/>
              </w:rPr>
            </w:r>
            <w:r>
              <w:rPr>
                <w:rFonts w:ascii="Arial" w:hAnsi="Arial" w:eastAsia="Arial"/>
              </w:rPr>
            </w:r>
          </w:p>
        </w:tc>
        <w:tc>
          <w:tcPr>
            <w:gridSpan w:val="6"/>
            <w:tcBorders>
              <w:top w:val="single" w:color="000000" w:sz="4" w:space="0"/>
              <w:left w:val="single" w:color="000000" w:sz="4" w:space="0"/>
              <w:bottom w:val="single" w:color="000000" w:sz="4" w:space="0"/>
              <w:right w:val="single" w:color="000000" w:sz="4" w:space="0"/>
            </w:tcBorders>
            <w:tcW w:w="5243" w:type="dxa"/>
            <w:textDirection w:val="lrTb"/>
            <w:noWrap w:val="false"/>
          </w:tcPr>
          <w:p>
            <w:pPr>
              <w:pBdr/>
              <w:spacing w:line="360" w:lineRule="auto"/>
              <w:ind/>
              <w:rPr>
                <w:rFonts w:ascii="Arial" w:hAnsi="Arial" w:eastAsia="Arial"/>
              </w:rPr>
            </w:pPr>
            <w:r>
              <w:rPr>
                <w:rFonts w:ascii="Arial" w:hAnsi="Arial" w:eastAsia="Arial"/>
              </w:rPr>
              <w:t xml:space="preserve">CARGO OU FUNÇÃO NA EMPRESA:</w:t>
            </w:r>
            <w:r>
              <w:rPr>
                <w:rFonts w:ascii="Arial" w:hAnsi="Arial" w:eastAsia="Arial"/>
              </w:rPr>
            </w:r>
            <w:r>
              <w:rPr>
                <w:rFonts w:ascii="Arial" w:hAnsi="Arial" w:eastAsia="Arial"/>
              </w:rPr>
            </w:r>
          </w:p>
        </w:tc>
      </w:tr>
      <w:tr>
        <w:trPr/>
        <w:tc>
          <w:tcPr>
            <w:gridSpan w:val="4"/>
            <w:tcBorders>
              <w:top w:val="single" w:color="000000" w:sz="4" w:space="0"/>
              <w:left w:val="single" w:color="000000" w:sz="4" w:space="0"/>
              <w:bottom w:val="single" w:color="000000" w:sz="4" w:space="0"/>
              <w:right w:val="single" w:color="000000" w:sz="4" w:space="0"/>
            </w:tcBorders>
            <w:tcW w:w="4680" w:type="dxa"/>
            <w:textDirection w:val="lrTb"/>
            <w:noWrap w:val="false"/>
          </w:tcPr>
          <w:p>
            <w:pPr>
              <w:pBdr/>
              <w:spacing w:line="360" w:lineRule="auto"/>
              <w:ind/>
              <w:rPr>
                <w:rFonts w:ascii="Arial" w:hAnsi="Arial" w:eastAsia="Arial"/>
              </w:rPr>
            </w:pPr>
            <w:r>
              <w:rPr>
                <w:rFonts w:ascii="Arial" w:hAnsi="Arial" w:eastAsia="Arial"/>
              </w:rPr>
            </w:r>
            <w:r>
              <w:rPr>
                <w:rFonts w:ascii="Arial" w:hAnsi="Arial" w:eastAsia="Arial"/>
              </w:rPr>
            </w:r>
            <w:r>
              <w:rPr>
                <w:rFonts w:ascii="Arial" w:hAnsi="Arial" w:eastAsia="Arial"/>
              </w:rPr>
            </w:r>
          </w:p>
        </w:tc>
        <w:tc>
          <w:tcPr>
            <w:gridSpan w:val="6"/>
            <w:tcBorders>
              <w:top w:val="single" w:color="000000" w:sz="4" w:space="0"/>
              <w:left w:val="single" w:color="000000" w:sz="4" w:space="0"/>
              <w:bottom w:val="single" w:color="000000" w:sz="4" w:space="0"/>
              <w:right w:val="single" w:color="000000" w:sz="4" w:space="0"/>
            </w:tcBorders>
            <w:tcW w:w="5243" w:type="dxa"/>
            <w:textDirection w:val="lrTb"/>
            <w:noWrap w:val="false"/>
          </w:tcPr>
          <w:p>
            <w:pPr>
              <w:pBdr/>
              <w:spacing w:line="360" w:lineRule="auto"/>
              <w:ind/>
              <w:rPr>
                <w:rFonts w:ascii="Arial" w:hAnsi="Arial" w:eastAsia="Arial"/>
              </w:rPr>
            </w:pPr>
            <w:r>
              <w:rPr>
                <w:rFonts w:ascii="Arial" w:hAnsi="Arial" w:eastAsia="Arial"/>
              </w:rPr>
            </w:r>
            <w:r>
              <w:rPr>
                <w:rFonts w:ascii="Arial" w:hAnsi="Arial" w:eastAsia="Arial"/>
              </w:rPr>
            </w:r>
            <w:r>
              <w:rPr>
                <w:rFonts w:ascii="Arial" w:hAnsi="Arial" w:eastAsia="Arial"/>
              </w:rPr>
            </w:r>
          </w:p>
        </w:tc>
      </w:tr>
      <w:tr>
        <w:trPr/>
        <w:tc>
          <w:tcPr>
            <w:tcBorders>
              <w:top w:val="single" w:color="000000" w:sz="4" w:space="0"/>
              <w:left w:val="single" w:color="000000" w:sz="4" w:space="0"/>
              <w:bottom w:val="single" w:color="000000" w:sz="4" w:space="0"/>
              <w:right w:val="single" w:color="000000" w:sz="4" w:space="0"/>
            </w:tcBorders>
            <w:tcW w:w="2496" w:type="dxa"/>
            <w:textDirection w:val="lrTb"/>
            <w:noWrap w:val="false"/>
          </w:tcPr>
          <w:p>
            <w:pPr>
              <w:pBdr/>
              <w:spacing w:line="360" w:lineRule="auto"/>
              <w:ind/>
              <w:rPr>
                <w:rFonts w:ascii="Arial" w:hAnsi="Arial" w:eastAsia="Arial"/>
              </w:rPr>
            </w:pPr>
            <w:r>
              <w:rPr>
                <w:rFonts w:ascii="Arial" w:hAnsi="Arial" w:eastAsia="Arial"/>
              </w:rPr>
              <w:t xml:space="preserve">TELEFONE:</w:t>
            </w:r>
            <w:r>
              <w:rPr>
                <w:rFonts w:ascii="Arial" w:hAnsi="Arial" w:eastAsia="Arial"/>
              </w:rPr>
            </w:r>
            <w:r>
              <w:rPr>
                <w:rFonts w:ascii="Arial" w:hAnsi="Arial" w:eastAsia="Arial"/>
              </w:rPr>
            </w:r>
          </w:p>
        </w:tc>
        <w:tc>
          <w:tcPr>
            <w:gridSpan w:val="4"/>
            <w:tcBorders>
              <w:top w:val="single" w:color="000000" w:sz="4" w:space="0"/>
              <w:left w:val="single" w:color="000000" w:sz="4" w:space="0"/>
              <w:bottom w:val="single" w:color="000000" w:sz="4" w:space="0"/>
              <w:right w:val="single" w:color="000000" w:sz="4" w:space="0"/>
            </w:tcBorders>
            <w:tcW w:w="2729" w:type="dxa"/>
            <w:textDirection w:val="lrTb"/>
            <w:noWrap w:val="false"/>
          </w:tcPr>
          <w:p>
            <w:pPr>
              <w:pBdr/>
              <w:spacing w:line="360" w:lineRule="auto"/>
              <w:ind/>
              <w:rPr>
                <w:rFonts w:ascii="Arial" w:hAnsi="Arial" w:eastAsia="Arial"/>
              </w:rPr>
            </w:pPr>
            <w:r>
              <w:rPr>
                <w:rFonts w:ascii="Arial" w:hAnsi="Arial" w:eastAsia="Arial"/>
              </w:rPr>
              <w:t xml:space="preserve">CELULAR:</w:t>
            </w:r>
            <w:r>
              <w:rPr>
                <w:rFonts w:ascii="Arial" w:hAnsi="Arial" w:eastAsia="Arial"/>
              </w:rPr>
            </w:r>
            <w:r>
              <w:rPr>
                <w:rFonts w:ascii="Arial" w:hAnsi="Arial" w:eastAsia="Arial"/>
              </w:rPr>
            </w:r>
          </w:p>
        </w:tc>
        <w:tc>
          <w:tcPr>
            <w:gridSpan w:val="5"/>
            <w:tcBorders>
              <w:top w:val="single" w:color="000000" w:sz="4" w:space="0"/>
              <w:left w:val="single" w:color="000000" w:sz="4" w:space="0"/>
              <w:bottom w:val="single" w:color="000000" w:sz="4" w:space="0"/>
              <w:right w:val="single" w:color="000000" w:sz="4" w:space="0"/>
            </w:tcBorders>
            <w:tcW w:w="4698" w:type="dxa"/>
            <w:textDirection w:val="lrTb"/>
            <w:noWrap w:val="false"/>
          </w:tcPr>
          <w:p>
            <w:pPr>
              <w:pBdr/>
              <w:spacing w:line="360" w:lineRule="auto"/>
              <w:ind/>
              <w:rPr>
                <w:rFonts w:ascii="Arial" w:hAnsi="Arial" w:eastAsia="Arial"/>
              </w:rPr>
            </w:pPr>
            <w:r>
              <w:rPr>
                <w:rFonts w:ascii="Arial" w:hAnsi="Arial" w:eastAsia="Arial"/>
              </w:rPr>
              <w:t xml:space="preserve">E-MAIL:</w:t>
            </w:r>
            <w:r>
              <w:rPr>
                <w:rFonts w:ascii="Arial" w:hAnsi="Arial" w:eastAsia="Arial"/>
              </w:rPr>
            </w:r>
            <w:r>
              <w:rPr>
                <w:rFonts w:ascii="Arial" w:hAnsi="Arial" w:eastAsia="Arial"/>
              </w:rPr>
            </w:r>
          </w:p>
        </w:tc>
      </w:tr>
      <w:tr>
        <w:trPr/>
        <w:tc>
          <w:tcPr>
            <w:tcBorders>
              <w:top w:val="single" w:color="000000" w:sz="4" w:space="0"/>
              <w:left w:val="single" w:color="000000" w:sz="4" w:space="0"/>
              <w:bottom w:val="single" w:color="000000" w:sz="4" w:space="0"/>
              <w:right w:val="single" w:color="000000" w:sz="4" w:space="0"/>
            </w:tcBorders>
            <w:tcW w:w="2496" w:type="dxa"/>
            <w:textDirection w:val="lrTb"/>
            <w:noWrap w:val="false"/>
          </w:tcPr>
          <w:p>
            <w:pPr>
              <w:pBdr/>
              <w:spacing w:line="360" w:lineRule="auto"/>
              <w:ind/>
              <w:rPr>
                <w:rFonts w:ascii="Arial" w:hAnsi="Arial" w:eastAsia="Arial"/>
              </w:rPr>
            </w:pPr>
            <w:r>
              <w:rPr>
                <w:rFonts w:ascii="Arial" w:hAnsi="Arial" w:eastAsia="Arial"/>
              </w:rPr>
            </w:r>
            <w:r>
              <w:rPr>
                <w:rFonts w:ascii="Arial" w:hAnsi="Arial" w:eastAsia="Arial"/>
              </w:rPr>
            </w:r>
            <w:r>
              <w:rPr>
                <w:rFonts w:ascii="Arial" w:hAnsi="Arial" w:eastAsia="Arial"/>
              </w:rPr>
            </w:r>
          </w:p>
        </w:tc>
        <w:tc>
          <w:tcPr>
            <w:gridSpan w:val="4"/>
            <w:tcBorders>
              <w:top w:val="single" w:color="000000" w:sz="4" w:space="0"/>
              <w:left w:val="single" w:color="000000" w:sz="4" w:space="0"/>
              <w:bottom w:val="single" w:color="000000" w:sz="4" w:space="0"/>
              <w:right w:val="single" w:color="000000" w:sz="4" w:space="0"/>
            </w:tcBorders>
            <w:tcW w:w="2729" w:type="dxa"/>
            <w:textDirection w:val="lrTb"/>
            <w:noWrap w:val="false"/>
          </w:tcPr>
          <w:p>
            <w:pPr>
              <w:pBdr/>
              <w:spacing w:line="360" w:lineRule="auto"/>
              <w:ind/>
              <w:rPr>
                <w:rFonts w:ascii="Arial" w:hAnsi="Arial" w:eastAsia="Arial"/>
              </w:rPr>
            </w:pPr>
            <w:r>
              <w:rPr>
                <w:rFonts w:ascii="Arial" w:hAnsi="Arial" w:eastAsia="Arial"/>
              </w:rPr>
            </w:r>
            <w:r>
              <w:rPr>
                <w:rFonts w:ascii="Arial" w:hAnsi="Arial" w:eastAsia="Arial"/>
              </w:rPr>
            </w:r>
            <w:r>
              <w:rPr>
                <w:rFonts w:ascii="Arial" w:hAnsi="Arial" w:eastAsia="Arial"/>
              </w:rPr>
            </w:r>
          </w:p>
        </w:tc>
        <w:tc>
          <w:tcPr>
            <w:gridSpan w:val="5"/>
            <w:tcBorders>
              <w:top w:val="single" w:color="000000" w:sz="4" w:space="0"/>
              <w:left w:val="single" w:color="000000" w:sz="4" w:space="0"/>
              <w:bottom w:val="single" w:color="000000" w:sz="4" w:space="0"/>
              <w:right w:val="single" w:color="000000" w:sz="4" w:space="0"/>
            </w:tcBorders>
            <w:tcW w:w="4698" w:type="dxa"/>
            <w:textDirection w:val="lrTb"/>
            <w:noWrap w:val="false"/>
          </w:tcPr>
          <w:p>
            <w:pPr>
              <w:pBdr/>
              <w:spacing w:line="360" w:lineRule="auto"/>
              <w:ind/>
              <w:rPr>
                <w:rFonts w:ascii="Arial" w:hAnsi="Arial" w:eastAsia="Arial"/>
              </w:rPr>
            </w:pPr>
            <w:r>
              <w:rPr>
                <w:rFonts w:ascii="Arial" w:hAnsi="Arial" w:eastAsia="Arial"/>
              </w:rPr>
            </w:r>
            <w:r>
              <w:rPr>
                <w:rFonts w:ascii="Arial" w:hAnsi="Arial" w:eastAsia="Arial"/>
              </w:rPr>
            </w:r>
            <w:r>
              <w:rPr>
                <w:rFonts w:ascii="Arial" w:hAnsi="Arial" w:eastAsia="Arial"/>
              </w:rPr>
            </w:r>
          </w:p>
        </w:tc>
      </w:tr>
      <w:tr>
        <w:trPr/>
        <w:tc>
          <w:tcPr>
            <w:gridSpan w:val="5"/>
            <w:tcBorders>
              <w:top w:val="single" w:color="000000" w:sz="4" w:space="0"/>
              <w:left w:val="single" w:color="000000" w:sz="4" w:space="0"/>
              <w:bottom w:val="single" w:color="000000" w:sz="4" w:space="0"/>
              <w:right w:val="single" w:color="000000" w:sz="4" w:space="0"/>
            </w:tcBorders>
            <w:tcW w:w="5225" w:type="dxa"/>
            <w:textDirection w:val="lrTb"/>
            <w:noWrap w:val="false"/>
          </w:tcPr>
          <w:p>
            <w:pPr>
              <w:pBdr/>
              <w:spacing w:line="360" w:lineRule="auto"/>
              <w:ind/>
              <w:rPr>
                <w:rFonts w:ascii="Arial" w:hAnsi="Arial" w:eastAsia="Arial"/>
              </w:rPr>
            </w:pPr>
            <w:r>
              <w:rPr>
                <w:rFonts w:ascii="Arial" w:hAnsi="Arial" w:eastAsia="Arial"/>
              </w:rPr>
              <w:t xml:space="preserve">SÓCIO(S) NOME(S):</w:t>
            </w:r>
            <w:r>
              <w:rPr>
                <w:rFonts w:ascii="Arial" w:hAnsi="Arial" w:eastAsia="Arial"/>
              </w:rPr>
            </w:r>
            <w:r>
              <w:rPr>
                <w:rFonts w:ascii="Arial" w:hAnsi="Arial" w:eastAsia="Arial"/>
              </w:rPr>
            </w:r>
          </w:p>
        </w:tc>
        <w:tc>
          <w:tcPr>
            <w:gridSpan w:val="4"/>
            <w:tcBorders>
              <w:top w:val="single" w:color="000000" w:sz="4" w:space="0"/>
              <w:left w:val="single" w:color="000000" w:sz="4" w:space="0"/>
              <w:bottom w:val="single" w:color="000000" w:sz="4" w:space="0"/>
              <w:right w:val="single" w:color="000000" w:sz="4" w:space="0"/>
            </w:tcBorders>
            <w:tcW w:w="2470" w:type="dxa"/>
            <w:textDirection w:val="lrTb"/>
            <w:noWrap w:val="false"/>
          </w:tcPr>
          <w:p>
            <w:pPr>
              <w:pBdr/>
              <w:spacing w:line="360" w:lineRule="auto"/>
              <w:ind/>
              <w:rPr>
                <w:rFonts w:ascii="Arial" w:hAnsi="Arial" w:eastAsia="Arial"/>
              </w:rPr>
            </w:pPr>
            <w:r>
              <w:rPr>
                <w:rFonts w:ascii="Arial" w:hAnsi="Arial" w:eastAsia="Arial"/>
              </w:rPr>
              <w:t xml:space="preserve">CPF Nº:</w:t>
            </w:r>
            <w:r>
              <w:rPr>
                <w:rFonts w:ascii="Arial" w:hAnsi="Arial" w:eastAsia="Arial"/>
              </w:rPr>
            </w:r>
            <w:r>
              <w:rPr>
                <w:rFonts w:ascii="Arial" w:hAnsi="Arial" w:eastAsia="Arial"/>
              </w:rPr>
            </w:r>
          </w:p>
        </w:tc>
        <w:tc>
          <w:tcPr>
            <w:tcBorders>
              <w:top w:val="single" w:color="000000" w:sz="4" w:space="0"/>
              <w:left w:val="single" w:color="000000" w:sz="4" w:space="0"/>
              <w:bottom w:val="single" w:color="000000" w:sz="4" w:space="0"/>
              <w:right w:val="single" w:color="000000" w:sz="4" w:space="0"/>
            </w:tcBorders>
            <w:tcW w:w="2228" w:type="dxa"/>
            <w:textDirection w:val="lrTb"/>
            <w:noWrap w:val="false"/>
          </w:tcPr>
          <w:p>
            <w:pPr>
              <w:pBdr/>
              <w:spacing w:line="360" w:lineRule="auto"/>
              <w:ind/>
              <w:rPr>
                <w:rFonts w:ascii="Arial" w:hAnsi="Arial" w:eastAsia="Arial"/>
              </w:rPr>
            </w:pPr>
            <w:r>
              <w:rPr>
                <w:rFonts w:ascii="Arial" w:hAnsi="Arial" w:eastAsia="Arial"/>
              </w:rPr>
              <w:t xml:space="preserve">NACIONALIDADE:</w:t>
            </w:r>
            <w:r>
              <w:rPr>
                <w:rFonts w:ascii="Arial" w:hAnsi="Arial" w:eastAsia="Arial"/>
              </w:rPr>
            </w:r>
            <w:r>
              <w:rPr>
                <w:rFonts w:ascii="Arial" w:hAnsi="Arial" w:eastAsia="Arial"/>
              </w:rPr>
            </w:r>
          </w:p>
        </w:tc>
      </w:tr>
      <w:tr>
        <w:trPr/>
        <w:tc>
          <w:tcPr>
            <w:gridSpan w:val="5"/>
            <w:tcBorders>
              <w:top w:val="single" w:color="000000" w:sz="4" w:space="0"/>
              <w:left w:val="single" w:color="000000" w:sz="4" w:space="0"/>
              <w:bottom w:val="single" w:color="000000" w:sz="4" w:space="0"/>
              <w:right w:val="single" w:color="000000" w:sz="4" w:space="0"/>
            </w:tcBorders>
            <w:tcW w:w="5225" w:type="dxa"/>
            <w:textDirection w:val="lrTb"/>
            <w:noWrap w:val="false"/>
          </w:tcPr>
          <w:p>
            <w:pPr>
              <w:pBdr/>
              <w:spacing w:line="360" w:lineRule="auto"/>
              <w:ind/>
              <w:rPr>
                <w:rFonts w:ascii="Arial" w:hAnsi="Arial" w:eastAsia="Arial"/>
              </w:rPr>
            </w:pPr>
            <w:r>
              <w:rPr>
                <w:rFonts w:ascii="Arial" w:hAnsi="Arial" w:eastAsia="Arial"/>
              </w:rPr>
            </w:r>
            <w:r>
              <w:rPr>
                <w:rFonts w:ascii="Arial" w:hAnsi="Arial" w:eastAsia="Arial"/>
              </w:rPr>
            </w:r>
            <w:r>
              <w:rPr>
                <w:rFonts w:ascii="Arial" w:hAnsi="Arial" w:eastAsia="Arial"/>
              </w:rPr>
            </w:r>
          </w:p>
        </w:tc>
        <w:tc>
          <w:tcPr>
            <w:gridSpan w:val="4"/>
            <w:tcBorders>
              <w:top w:val="single" w:color="000000" w:sz="4" w:space="0"/>
              <w:left w:val="single" w:color="000000" w:sz="4" w:space="0"/>
              <w:bottom w:val="single" w:color="000000" w:sz="4" w:space="0"/>
              <w:right w:val="single" w:color="000000" w:sz="4" w:space="0"/>
            </w:tcBorders>
            <w:tcW w:w="2470" w:type="dxa"/>
            <w:textDirection w:val="lrTb"/>
            <w:noWrap w:val="false"/>
          </w:tcPr>
          <w:p>
            <w:pPr>
              <w:pBdr/>
              <w:spacing w:line="360" w:lineRule="auto"/>
              <w:ind/>
              <w:rPr>
                <w:rFonts w:ascii="Arial" w:hAnsi="Arial" w:eastAsia="Arial"/>
              </w:rPr>
            </w:pPr>
            <w:r>
              <w:rPr>
                <w:rFonts w:ascii="Arial" w:hAnsi="Arial" w:eastAsia="Arial"/>
              </w:rPr>
            </w:r>
            <w:r>
              <w:rPr>
                <w:rFonts w:ascii="Arial" w:hAnsi="Arial" w:eastAsia="Arial"/>
              </w:rPr>
            </w:r>
            <w:r>
              <w:rPr>
                <w:rFonts w:ascii="Arial" w:hAnsi="Arial" w:eastAsia="Arial"/>
              </w:rPr>
            </w:r>
          </w:p>
        </w:tc>
        <w:tc>
          <w:tcPr>
            <w:tcBorders>
              <w:top w:val="single" w:color="000000" w:sz="4" w:space="0"/>
              <w:left w:val="single" w:color="000000" w:sz="4" w:space="0"/>
              <w:bottom w:val="single" w:color="000000" w:sz="4" w:space="0"/>
              <w:right w:val="single" w:color="000000" w:sz="4" w:space="0"/>
            </w:tcBorders>
            <w:tcW w:w="2228" w:type="dxa"/>
            <w:textDirection w:val="lrTb"/>
            <w:noWrap w:val="false"/>
          </w:tcPr>
          <w:p>
            <w:pPr>
              <w:pBdr/>
              <w:spacing w:line="360" w:lineRule="auto"/>
              <w:ind/>
              <w:rPr>
                <w:rFonts w:ascii="Arial" w:hAnsi="Arial" w:eastAsia="Arial"/>
              </w:rPr>
            </w:pPr>
            <w:r>
              <w:rPr>
                <w:rFonts w:ascii="Arial" w:hAnsi="Arial" w:eastAsia="Arial"/>
              </w:rPr>
            </w:r>
            <w:r>
              <w:rPr>
                <w:rFonts w:ascii="Arial" w:hAnsi="Arial" w:eastAsia="Arial"/>
              </w:rPr>
            </w:r>
            <w:r>
              <w:rPr>
                <w:rFonts w:ascii="Arial" w:hAnsi="Arial" w:eastAsia="Arial"/>
              </w:rPr>
            </w:r>
          </w:p>
        </w:tc>
      </w:tr>
      <w:tr>
        <w:trPr/>
        <w:tc>
          <w:tcPr>
            <w:gridSpan w:val="5"/>
            <w:tcBorders>
              <w:top w:val="single" w:color="000000" w:sz="4" w:space="0"/>
              <w:left w:val="single" w:color="000000" w:sz="4" w:space="0"/>
              <w:bottom w:val="single" w:color="000000" w:sz="4" w:space="0"/>
              <w:right w:val="single" w:color="000000" w:sz="4" w:space="0"/>
            </w:tcBorders>
            <w:tcW w:w="5225" w:type="dxa"/>
            <w:textDirection w:val="lrTb"/>
            <w:noWrap w:val="false"/>
          </w:tcPr>
          <w:p>
            <w:pPr>
              <w:pBdr/>
              <w:spacing w:line="360" w:lineRule="auto"/>
              <w:ind/>
              <w:rPr>
                <w:rFonts w:ascii="Arial" w:hAnsi="Arial" w:eastAsia="Arial"/>
              </w:rPr>
            </w:pPr>
            <w:r>
              <w:rPr>
                <w:rFonts w:ascii="Arial" w:hAnsi="Arial" w:eastAsia="Arial"/>
              </w:rPr>
            </w:r>
            <w:r>
              <w:rPr>
                <w:rFonts w:ascii="Arial" w:hAnsi="Arial" w:eastAsia="Arial"/>
              </w:rPr>
            </w:r>
            <w:r>
              <w:rPr>
                <w:rFonts w:ascii="Arial" w:hAnsi="Arial" w:eastAsia="Arial"/>
              </w:rPr>
            </w:r>
          </w:p>
        </w:tc>
        <w:tc>
          <w:tcPr>
            <w:gridSpan w:val="4"/>
            <w:tcBorders>
              <w:top w:val="single" w:color="000000" w:sz="4" w:space="0"/>
              <w:left w:val="single" w:color="000000" w:sz="4" w:space="0"/>
              <w:bottom w:val="single" w:color="000000" w:sz="4" w:space="0"/>
              <w:right w:val="single" w:color="000000" w:sz="4" w:space="0"/>
            </w:tcBorders>
            <w:tcW w:w="2470" w:type="dxa"/>
            <w:textDirection w:val="lrTb"/>
            <w:noWrap w:val="false"/>
          </w:tcPr>
          <w:p>
            <w:pPr>
              <w:pBdr/>
              <w:spacing w:line="360" w:lineRule="auto"/>
              <w:ind/>
              <w:rPr>
                <w:rFonts w:ascii="Arial" w:hAnsi="Arial" w:eastAsia="Arial"/>
              </w:rPr>
            </w:pPr>
            <w:r>
              <w:rPr>
                <w:rFonts w:ascii="Arial" w:hAnsi="Arial" w:eastAsia="Arial"/>
              </w:rPr>
            </w:r>
            <w:r>
              <w:rPr>
                <w:rFonts w:ascii="Arial" w:hAnsi="Arial" w:eastAsia="Arial"/>
              </w:rPr>
            </w:r>
            <w:r>
              <w:rPr>
                <w:rFonts w:ascii="Arial" w:hAnsi="Arial" w:eastAsia="Arial"/>
              </w:rPr>
            </w:r>
          </w:p>
        </w:tc>
        <w:tc>
          <w:tcPr>
            <w:tcBorders>
              <w:top w:val="single" w:color="000000" w:sz="4" w:space="0"/>
              <w:left w:val="single" w:color="000000" w:sz="4" w:space="0"/>
              <w:bottom w:val="single" w:color="000000" w:sz="4" w:space="0"/>
              <w:right w:val="single" w:color="000000" w:sz="4" w:space="0"/>
            </w:tcBorders>
            <w:tcW w:w="2228" w:type="dxa"/>
            <w:textDirection w:val="lrTb"/>
            <w:noWrap w:val="false"/>
          </w:tcPr>
          <w:p>
            <w:pPr>
              <w:pBdr/>
              <w:spacing w:line="360" w:lineRule="auto"/>
              <w:ind/>
              <w:rPr>
                <w:rFonts w:ascii="Arial" w:hAnsi="Arial" w:eastAsia="Arial"/>
              </w:rPr>
            </w:pPr>
            <w:r>
              <w:rPr>
                <w:rFonts w:ascii="Arial" w:hAnsi="Arial" w:eastAsia="Arial"/>
              </w:rPr>
            </w:r>
            <w:r>
              <w:rPr>
                <w:rFonts w:ascii="Arial" w:hAnsi="Arial" w:eastAsia="Arial"/>
              </w:rPr>
            </w:r>
            <w:r>
              <w:rPr>
                <w:rFonts w:ascii="Arial" w:hAnsi="Arial" w:eastAsia="Arial"/>
              </w:rPr>
            </w:r>
          </w:p>
        </w:tc>
      </w:tr>
      <w:tr>
        <w:trPr/>
        <w:tc>
          <w:tcPr>
            <w:gridSpan w:val="5"/>
            <w:tcBorders>
              <w:top w:val="single" w:color="000000" w:sz="4" w:space="0"/>
              <w:left w:val="single" w:color="000000" w:sz="4" w:space="0"/>
              <w:bottom w:val="single" w:color="000000" w:sz="4" w:space="0"/>
              <w:right w:val="single" w:color="000000" w:sz="4" w:space="0"/>
            </w:tcBorders>
            <w:tcW w:w="5225" w:type="dxa"/>
            <w:textDirection w:val="lrTb"/>
            <w:noWrap w:val="false"/>
          </w:tcPr>
          <w:p>
            <w:pPr>
              <w:pBdr/>
              <w:spacing w:line="360" w:lineRule="auto"/>
              <w:ind/>
              <w:rPr>
                <w:rFonts w:ascii="Arial" w:hAnsi="Arial" w:eastAsia="Arial"/>
              </w:rPr>
            </w:pPr>
            <w:r>
              <w:rPr>
                <w:rFonts w:ascii="Arial" w:hAnsi="Arial" w:eastAsia="Arial"/>
              </w:rPr>
            </w:r>
            <w:r>
              <w:rPr>
                <w:rFonts w:ascii="Arial" w:hAnsi="Arial" w:eastAsia="Arial"/>
              </w:rPr>
            </w:r>
            <w:r>
              <w:rPr>
                <w:rFonts w:ascii="Arial" w:hAnsi="Arial" w:eastAsia="Arial"/>
              </w:rPr>
            </w:r>
          </w:p>
        </w:tc>
        <w:tc>
          <w:tcPr>
            <w:gridSpan w:val="4"/>
            <w:tcBorders>
              <w:top w:val="single" w:color="000000" w:sz="4" w:space="0"/>
              <w:left w:val="single" w:color="000000" w:sz="4" w:space="0"/>
              <w:bottom w:val="single" w:color="000000" w:sz="4" w:space="0"/>
              <w:right w:val="single" w:color="000000" w:sz="4" w:space="0"/>
            </w:tcBorders>
            <w:tcW w:w="2470" w:type="dxa"/>
            <w:textDirection w:val="lrTb"/>
            <w:noWrap w:val="false"/>
          </w:tcPr>
          <w:p>
            <w:pPr>
              <w:pBdr/>
              <w:spacing w:line="360" w:lineRule="auto"/>
              <w:ind/>
              <w:rPr>
                <w:rFonts w:ascii="Arial" w:hAnsi="Arial" w:eastAsia="Arial"/>
              </w:rPr>
            </w:pPr>
            <w:r>
              <w:rPr>
                <w:rFonts w:ascii="Arial" w:hAnsi="Arial" w:eastAsia="Arial"/>
              </w:rPr>
            </w:r>
            <w:r>
              <w:rPr>
                <w:rFonts w:ascii="Arial" w:hAnsi="Arial" w:eastAsia="Arial"/>
              </w:rPr>
            </w:r>
            <w:r>
              <w:rPr>
                <w:rFonts w:ascii="Arial" w:hAnsi="Arial" w:eastAsia="Arial"/>
              </w:rPr>
            </w:r>
          </w:p>
        </w:tc>
        <w:tc>
          <w:tcPr>
            <w:tcBorders>
              <w:top w:val="single" w:color="000000" w:sz="4" w:space="0"/>
              <w:left w:val="single" w:color="000000" w:sz="4" w:space="0"/>
              <w:bottom w:val="single" w:color="000000" w:sz="4" w:space="0"/>
              <w:right w:val="single" w:color="000000" w:sz="4" w:space="0"/>
            </w:tcBorders>
            <w:tcW w:w="2228" w:type="dxa"/>
            <w:textDirection w:val="lrTb"/>
            <w:noWrap w:val="false"/>
          </w:tcPr>
          <w:p>
            <w:pPr>
              <w:pBdr/>
              <w:spacing w:line="360" w:lineRule="auto"/>
              <w:ind/>
              <w:rPr>
                <w:rFonts w:ascii="Arial" w:hAnsi="Arial" w:eastAsia="Arial"/>
              </w:rPr>
            </w:pPr>
            <w:r>
              <w:rPr>
                <w:rFonts w:ascii="Arial" w:hAnsi="Arial" w:eastAsia="Arial"/>
              </w:rPr>
            </w:r>
            <w:r>
              <w:rPr>
                <w:rFonts w:ascii="Arial" w:hAnsi="Arial" w:eastAsia="Arial"/>
              </w:rPr>
            </w:r>
            <w:r>
              <w:rPr>
                <w:rFonts w:ascii="Arial" w:hAnsi="Arial" w:eastAsia="Arial"/>
              </w:rPr>
            </w:r>
          </w:p>
        </w:tc>
      </w:tr>
      <w:tr>
        <w:trPr>
          <w:trHeight w:val="383"/>
        </w:trPr>
        <w:tc>
          <w:tcPr>
            <w:gridSpan w:val="10"/>
            <w:tcBorders>
              <w:top w:val="single" w:color="000000" w:sz="4" w:space="0"/>
              <w:left w:val="single" w:color="000000" w:sz="4" w:space="0"/>
              <w:bottom w:val="single" w:color="000000" w:sz="4" w:space="0"/>
              <w:right w:val="single" w:color="000000" w:sz="4" w:space="0"/>
            </w:tcBorders>
            <w:tcW w:w="9923" w:type="dxa"/>
            <w:vAlign w:val="bottom"/>
            <w:textDirection w:val="lrTb"/>
            <w:noWrap w:val="false"/>
          </w:tcPr>
          <w:p>
            <w:pPr>
              <w:pBdr/>
              <w:spacing/>
              <w:ind/>
              <w:rPr>
                <w:rFonts w:ascii="Arial" w:hAnsi="Arial" w:eastAsia="Arial"/>
              </w:rPr>
            </w:pPr>
            <w:r>
              <w:rPr>
                <w:rFonts w:ascii="Arial" w:hAnsi="Arial" w:eastAsia="Arial"/>
              </w:rPr>
              <w:t xml:space="preserve">DATA DE REGISTRO DA EMPRESA NA JUNTA COMERCIAL: ____/____/______</w:t>
            </w:r>
            <w:r>
              <w:rPr>
                <w:rFonts w:ascii="Arial" w:hAnsi="Arial" w:eastAsia="Arial"/>
              </w:rPr>
            </w:r>
            <w:r>
              <w:rPr>
                <w:rFonts w:ascii="Arial" w:hAnsi="Arial" w:eastAsia="Arial"/>
              </w:rPr>
            </w:r>
          </w:p>
        </w:tc>
      </w:tr>
      <w:tr>
        <w:trPr>
          <w:trHeight w:val="417"/>
        </w:trPr>
        <w:tc>
          <w:tcPr>
            <w:gridSpan w:val="2"/>
            <w:tcBorders>
              <w:top w:val="single" w:color="000000" w:sz="4" w:space="0"/>
              <w:left w:val="single" w:color="000000" w:sz="4" w:space="0"/>
              <w:bottom w:val="single" w:color="000000" w:sz="4" w:space="0"/>
              <w:right w:val="single" w:color="000000" w:sz="4" w:space="0"/>
            </w:tcBorders>
            <w:tcW w:w="3406" w:type="dxa"/>
            <w:vAlign w:val="bottom"/>
            <w:textDirection w:val="lrTb"/>
            <w:noWrap w:val="false"/>
          </w:tcPr>
          <w:p>
            <w:pPr>
              <w:pBdr/>
              <w:spacing/>
              <w:ind/>
              <w:rPr>
                <w:rFonts w:ascii="Arial" w:hAnsi="Arial" w:eastAsia="Arial"/>
              </w:rPr>
            </w:pPr>
            <w:r>
              <w:rPr>
                <w:rFonts w:ascii="Arial" w:hAnsi="Arial" w:eastAsia="Arial"/>
              </w:rPr>
              <w:t xml:space="preserve">CONTA CORRENTE Nº:</w:t>
            </w:r>
            <w:r>
              <w:rPr>
                <w:rFonts w:ascii="Arial" w:hAnsi="Arial" w:eastAsia="Arial"/>
              </w:rPr>
            </w:r>
            <w:r>
              <w:rPr>
                <w:rFonts w:ascii="Arial" w:hAnsi="Arial" w:eastAsia="Arial"/>
              </w:rPr>
            </w:r>
          </w:p>
        </w:tc>
        <w:tc>
          <w:tcPr>
            <w:gridSpan w:val="6"/>
            <w:tcBorders>
              <w:top w:val="single" w:color="000000" w:sz="4" w:space="0"/>
              <w:left w:val="single" w:color="000000" w:sz="4" w:space="0"/>
              <w:bottom w:val="single" w:color="000000" w:sz="4" w:space="0"/>
              <w:right w:val="single" w:color="000000" w:sz="4" w:space="0"/>
            </w:tcBorders>
            <w:tcW w:w="4244" w:type="dxa"/>
            <w:vAlign w:val="bottom"/>
            <w:textDirection w:val="lrTb"/>
            <w:noWrap w:val="false"/>
          </w:tcPr>
          <w:p>
            <w:pPr>
              <w:pBdr/>
              <w:spacing/>
              <w:ind/>
              <w:rPr>
                <w:rFonts w:ascii="Arial" w:hAnsi="Arial" w:eastAsia="Arial"/>
              </w:rPr>
            </w:pPr>
            <w:r>
              <w:rPr>
                <w:rFonts w:ascii="Arial" w:hAnsi="Arial" w:eastAsia="Arial"/>
              </w:rPr>
              <w:t xml:space="preserve">NOME DO BANCO:</w:t>
            </w:r>
            <w:r>
              <w:rPr>
                <w:rFonts w:ascii="Arial" w:hAnsi="Arial" w:eastAsia="Arial"/>
              </w:rPr>
            </w:r>
            <w:r>
              <w:rPr>
                <w:rFonts w:ascii="Arial" w:hAnsi="Arial" w:eastAsia="Arial"/>
              </w:rPr>
            </w:r>
          </w:p>
        </w:tc>
        <w:tc>
          <w:tcPr>
            <w:gridSpan w:val="2"/>
            <w:tcBorders>
              <w:top w:val="single" w:color="000000" w:sz="4" w:space="0"/>
              <w:left w:val="single" w:color="000000" w:sz="4" w:space="0"/>
              <w:bottom w:val="single" w:color="000000" w:sz="4" w:space="0"/>
              <w:right w:val="single" w:color="000000" w:sz="4" w:space="0"/>
            </w:tcBorders>
            <w:tcW w:w="2273" w:type="dxa"/>
            <w:vAlign w:val="bottom"/>
            <w:textDirection w:val="lrTb"/>
            <w:noWrap w:val="false"/>
          </w:tcPr>
          <w:p>
            <w:pPr>
              <w:pBdr/>
              <w:spacing/>
              <w:ind/>
              <w:rPr>
                <w:rFonts w:ascii="Arial" w:hAnsi="Arial" w:eastAsia="Arial"/>
              </w:rPr>
            </w:pPr>
            <w:r>
              <w:rPr>
                <w:rFonts w:ascii="Arial" w:hAnsi="Arial" w:eastAsia="Arial"/>
              </w:rPr>
              <w:t xml:space="preserve">AGENCIA Nº:</w:t>
            </w:r>
            <w:r>
              <w:rPr>
                <w:rFonts w:ascii="Arial" w:hAnsi="Arial" w:eastAsia="Arial"/>
              </w:rPr>
            </w:r>
            <w:r>
              <w:rPr>
                <w:rFonts w:ascii="Arial" w:hAnsi="Arial" w:eastAsia="Arial"/>
              </w:rPr>
            </w:r>
          </w:p>
        </w:tc>
      </w:tr>
    </w:tbl>
    <w:p>
      <w:pPr>
        <w:pBdr/>
        <w:spacing/>
        <w:ind/>
        <w:jc w:val="center"/>
        <w:rPr>
          <w:rFonts w:ascii="Arial" w:hAnsi="Arial" w:eastAsia="Arial"/>
        </w:rPr>
      </w:pPr>
      <w:r>
        <w:rPr>
          <w:rFonts w:ascii="Arial" w:hAnsi="Arial" w:eastAsia="Arial"/>
        </w:rPr>
      </w:r>
      <w:r>
        <w:rPr>
          <w:rFonts w:ascii="Arial" w:hAnsi="Arial" w:eastAsia="Arial"/>
        </w:rPr>
      </w:r>
      <w:r>
        <w:rPr>
          <w:rFonts w:ascii="Arial" w:hAnsi="Arial" w:eastAsia="Arial"/>
        </w:rPr>
      </w:r>
    </w:p>
    <w:p>
      <w:pPr>
        <w:pBdr/>
        <w:spacing/>
        <w:ind/>
        <w:jc w:val="center"/>
        <w:rPr>
          <w:rFonts w:ascii="Arial" w:hAnsi="Arial" w:eastAsia="Arial"/>
        </w:rPr>
      </w:pPr>
      <w:r>
        <w:rPr>
          <w:rFonts w:ascii="Arial" w:hAnsi="Arial" w:eastAsia="Arial"/>
        </w:rPr>
        <w:t xml:space="preserve">AUTORIZAÇÃO</w:t>
      </w:r>
      <w:r>
        <w:rPr>
          <w:rFonts w:ascii="Arial" w:hAnsi="Arial" w:eastAsia="Arial"/>
        </w:rPr>
      </w:r>
      <w:r>
        <w:rPr>
          <w:rFonts w:ascii="Arial" w:hAnsi="Arial" w:eastAsia="Arial"/>
        </w:rPr>
      </w:r>
    </w:p>
    <w:p>
      <w:pPr>
        <w:pBdr/>
        <w:spacing/>
        <w:ind/>
        <w:jc w:val="both"/>
        <w:rPr>
          <w:rFonts w:ascii="Arial" w:hAnsi="Arial" w:eastAsia="Arial"/>
        </w:rPr>
      </w:pPr>
      <w:r>
        <w:rPr>
          <w:rFonts w:ascii="Arial" w:hAnsi="Arial" w:eastAsia="Arial"/>
        </w:rPr>
        <w:t xml:space="preserve">Autorizo o depósito na conta corrente acima especificada, dos valores de vendas e ou serviços a serem oferecidos para Prefeitura Municipal de Rondonópolis.</w:t>
      </w:r>
      <w:r>
        <w:rPr>
          <w:rFonts w:ascii="Arial" w:hAnsi="Arial" w:eastAsia="Arial"/>
        </w:rPr>
      </w:r>
      <w:r>
        <w:rPr>
          <w:rFonts w:ascii="Arial" w:hAnsi="Arial" w:eastAsia="Arial"/>
        </w:rPr>
      </w:r>
    </w:p>
    <w:p>
      <w:pPr>
        <w:pBdr/>
        <w:spacing/>
        <w:ind/>
        <w:jc w:val="both"/>
        <w:rPr>
          <w:rFonts w:ascii="Arial" w:hAnsi="Arial" w:eastAsia="Arial"/>
        </w:rPr>
      </w:pPr>
      <w:r>
        <w:rPr>
          <w:rFonts w:ascii="Arial" w:hAnsi="Arial" w:eastAsia="Arial"/>
        </w:rPr>
      </w:r>
      <w:r>
        <w:rPr>
          <w:rFonts w:ascii="Arial" w:hAnsi="Arial" w:eastAsia="Arial"/>
        </w:rPr>
      </w:r>
      <w:r>
        <w:rPr>
          <w:rFonts w:ascii="Arial" w:hAnsi="Arial" w:eastAsia="Arial"/>
        </w:rPr>
      </w:r>
    </w:p>
    <w:p>
      <w:pPr>
        <w:pBdr/>
        <w:spacing/>
        <w:ind/>
        <w:jc w:val="center"/>
        <w:rPr>
          <w:rFonts w:ascii="Arial" w:hAnsi="Arial" w:eastAsia="Arial"/>
        </w:rPr>
      </w:pPr>
      <w:r>
        <w:rPr>
          <w:rFonts w:ascii="Arial" w:hAnsi="Arial" w:eastAsia="Arial"/>
        </w:rPr>
        <w:t xml:space="preserve">____________________________________________</w:t>
      </w:r>
      <w:r>
        <w:rPr>
          <w:rFonts w:ascii="Arial" w:hAnsi="Arial" w:eastAsia="Arial"/>
        </w:rPr>
      </w:r>
      <w:r>
        <w:rPr>
          <w:rFonts w:ascii="Arial" w:hAnsi="Arial" w:eastAsia="Arial"/>
        </w:rPr>
      </w:r>
    </w:p>
    <w:p>
      <w:pPr>
        <w:pBdr/>
        <w:spacing/>
        <w:ind/>
        <w:jc w:val="both"/>
        <w:rPr>
          <w:rFonts w:ascii="Arial" w:hAnsi="Arial" w:eastAsia="Arial"/>
        </w:rPr>
      </w:pPr>
      <w:r>
        <w:rPr>
          <w:rFonts w:ascii="Arial" w:hAnsi="Arial" w:eastAsia="Arial"/>
        </w:rPr>
        <w:t xml:space="preserve">                                                      </w:t>
      </w:r>
      <w:r>
        <w:rPr>
          <w:rFonts w:ascii="Arial" w:hAnsi="Arial" w:eastAsia="Arial"/>
        </w:rPr>
        <w:t xml:space="preserve">          Sócio/Proprietário</w:t>
      </w:r>
      <w:r>
        <w:rPr>
          <w:rFonts w:ascii="Arial" w:hAnsi="Arial" w:eastAsia="Arial"/>
        </w:rPr>
      </w:r>
      <w:r>
        <w:rPr>
          <w:rFonts w:ascii="Arial" w:hAnsi="Arial" w:eastAsia="Arial"/>
        </w:rPr>
      </w:r>
    </w:p>
    <w:p>
      <w:pPr>
        <w:pBdr/>
        <w:spacing/>
        <w:ind/>
        <w:jc w:val="both"/>
        <w:rPr>
          <w:rFonts w:ascii="Arial" w:hAnsi="Arial" w:eastAsia="Arial"/>
        </w:rPr>
      </w:pPr>
      <w:r>
        <w:rPr>
          <w:rFonts w:ascii="Arial" w:hAnsi="Arial" w:eastAsia="Arial"/>
        </w:rPr>
      </w:r>
      <w:r>
        <w:rPr>
          <w:rFonts w:ascii="Arial" w:hAnsi="Arial" w:eastAsia="Arial"/>
        </w:rPr>
      </w:r>
      <w:r>
        <w:rPr>
          <w:rFonts w:ascii="Arial" w:hAnsi="Arial" w:eastAsia="Arial"/>
        </w:rPr>
      </w:r>
    </w:p>
    <w:p>
      <w:pPr>
        <w:pBdr/>
        <w:tabs>
          <w:tab w:val="left" w:leader="none" w:pos="8190"/>
        </w:tabs>
        <w:spacing w:line="276" w:lineRule="auto"/>
        <w:ind/>
        <w:jc w:val="both"/>
        <w:rPr>
          <w:rFonts w:ascii="Arial" w:hAnsi="Arial" w:eastAsia="Arial"/>
        </w:rPr>
      </w:pPr>
      <w:r>
        <w:rPr>
          <w:rFonts w:ascii="Arial" w:hAnsi="Arial" w:eastAsia="Arial"/>
        </w:rPr>
        <w:t xml:space="preserve">01 – CONTRATO SOCIAL CONSTANDO O OBJETO E A ÚLTIMA ALTERAÇÃO;</w:t>
      </w:r>
      <w:r>
        <w:rPr>
          <w:rFonts w:ascii="Arial" w:hAnsi="Arial" w:eastAsia="Arial"/>
        </w:rPr>
        <w:tab/>
      </w:r>
      <w:r>
        <w:rPr>
          <w:rFonts w:ascii="Arial" w:hAnsi="Arial" w:eastAsia="Arial"/>
        </w:rPr>
      </w:r>
      <w:r>
        <w:rPr>
          <w:rFonts w:ascii="Arial" w:hAnsi="Arial" w:eastAsia="Arial"/>
        </w:rPr>
      </w:r>
    </w:p>
    <w:p>
      <w:pPr>
        <w:pBdr/>
        <w:spacing w:line="276" w:lineRule="auto"/>
        <w:ind/>
        <w:jc w:val="both"/>
        <w:rPr>
          <w:rFonts w:ascii="Arial" w:hAnsi="Arial" w:eastAsia="Arial"/>
        </w:rPr>
      </w:pPr>
      <w:r>
        <w:rPr>
          <w:rFonts w:ascii="Arial" w:hAnsi="Arial" w:eastAsia="Arial"/>
        </w:rPr>
        <w:t xml:space="preserve">02 – ALVARÁ DE LOCALIZAÇÃO EM VIGÊNCIA;</w:t>
      </w:r>
      <w:r>
        <w:rPr>
          <w:rFonts w:ascii="Arial" w:hAnsi="Arial" w:eastAsia="Arial"/>
        </w:rPr>
      </w:r>
      <w:r>
        <w:rPr>
          <w:rFonts w:ascii="Arial" w:hAnsi="Arial" w:eastAsia="Arial"/>
        </w:rPr>
      </w:r>
    </w:p>
    <w:p>
      <w:pPr>
        <w:pBdr/>
        <w:spacing w:line="276" w:lineRule="auto"/>
        <w:ind/>
        <w:jc w:val="both"/>
        <w:rPr>
          <w:rFonts w:ascii="Arial" w:hAnsi="Arial" w:eastAsia="Arial"/>
        </w:rPr>
      </w:pPr>
      <w:r>
        <w:rPr>
          <w:rFonts w:ascii="Arial" w:hAnsi="Arial" w:eastAsia="Arial"/>
        </w:rPr>
        <w:t xml:space="preserve">03 – CARTÃO DO CNPJ; </w:t>
      </w:r>
      <w:r>
        <w:rPr>
          <w:rFonts w:ascii="Arial" w:hAnsi="Arial" w:eastAsia="Arial"/>
        </w:rPr>
      </w:r>
      <w:r>
        <w:rPr>
          <w:rFonts w:ascii="Arial" w:hAnsi="Arial" w:eastAsia="Arial"/>
        </w:rPr>
      </w:r>
    </w:p>
    <w:p>
      <w:pPr>
        <w:pBdr/>
        <w:spacing w:line="276" w:lineRule="auto"/>
        <w:ind/>
        <w:jc w:val="both"/>
        <w:rPr>
          <w:rFonts w:ascii="Arial" w:hAnsi="Arial" w:eastAsia="Arial"/>
        </w:rPr>
      </w:pPr>
      <w:r>
        <w:rPr>
          <w:rFonts w:ascii="Arial" w:hAnsi="Arial" w:eastAsia="Arial"/>
        </w:rPr>
        <w:t xml:space="preserve">04 – CARTÃO DE INSCRIÇÃO ESTADUAL;</w:t>
      </w:r>
      <w:r>
        <w:rPr>
          <w:rFonts w:ascii="Arial" w:hAnsi="Arial" w:eastAsia="Arial"/>
        </w:rPr>
      </w:r>
      <w:r>
        <w:rPr>
          <w:rFonts w:ascii="Arial" w:hAnsi="Arial" w:eastAsia="Arial"/>
        </w:rPr>
      </w:r>
    </w:p>
    <w:p>
      <w:pPr>
        <w:pBdr/>
        <w:spacing w:line="276" w:lineRule="auto"/>
        <w:ind/>
        <w:jc w:val="both"/>
        <w:rPr>
          <w:rFonts w:ascii="Arial" w:hAnsi="Arial" w:eastAsia="Arial"/>
        </w:rPr>
      </w:pPr>
      <w:r>
        <w:rPr>
          <w:rFonts w:ascii="Arial" w:hAnsi="Arial" w:eastAsia="Arial"/>
        </w:rPr>
        <w:t xml:space="preserve">05 – DOCUMENTOS PESSOAIS DOS SÓCIOS</w:t>
      </w:r>
      <w:r>
        <w:rPr>
          <w:rFonts w:ascii="Arial" w:hAnsi="Arial" w:eastAsia="Arial"/>
        </w:rPr>
      </w:r>
      <w:r>
        <w:rPr>
          <w:rFonts w:ascii="Arial" w:hAnsi="Arial" w:eastAsia="Arial"/>
        </w:rPr>
      </w:r>
    </w:p>
    <w:p>
      <w:pPr>
        <w:pBdr/>
        <w:spacing w:line="276" w:lineRule="auto"/>
        <w:ind/>
        <w:jc w:val="both"/>
        <w:rPr>
          <w:rFonts w:ascii="Arial" w:hAnsi="Arial" w:eastAsia="Arial"/>
        </w:rPr>
      </w:pPr>
      <w:r>
        <w:rPr>
          <w:rFonts w:ascii="Arial" w:hAnsi="Arial" w:eastAsia="Arial"/>
        </w:rPr>
        <w:t xml:space="preserve">06 – DOCUMENTO QUE COMPROVE OS</w:t>
      </w:r>
      <w:r>
        <w:rPr>
          <w:rFonts w:ascii="Arial" w:hAnsi="Arial" w:eastAsia="Arial"/>
        </w:rPr>
        <w:t xml:space="preserve"> DADOS BANCÁRIOS (EX. CARTÃO ELETRÔNICO).</w:t>
      </w:r>
      <w:r>
        <w:rPr>
          <w:rFonts w:ascii="Arial" w:hAnsi="Arial" w:eastAsia="Arial"/>
        </w:rPr>
      </w:r>
      <w:r>
        <w:rPr>
          <w:rFonts w:ascii="Arial" w:hAnsi="Arial" w:eastAsia="Arial"/>
        </w:rPr>
      </w:r>
    </w:p>
    <w:p>
      <w:pPr>
        <w:pBdr/>
        <w:spacing/>
        <w:ind/>
        <w:jc w:val="both"/>
        <w:rPr>
          <w:rFonts w:ascii="Arial" w:hAnsi="Arial" w:eastAsia="Arial"/>
        </w:rPr>
      </w:pPr>
      <w:r>
        <w:rPr>
          <w:rFonts w:ascii="Arial" w:hAnsi="Arial" w:eastAsia="Arial"/>
        </w:rPr>
        <w:t xml:space="preserve">Observação: As cópias dos documentos solicitados não serão devolvidas, pois as mesmas serão arquivadas, no Departamento de Compras.</w:t>
      </w:r>
      <w:r>
        <w:rPr>
          <w:rFonts w:ascii="Arial" w:hAnsi="Arial" w:eastAsia="Arial"/>
        </w:rPr>
      </w:r>
      <w:r>
        <w:rPr>
          <w:rFonts w:ascii="Arial" w:hAnsi="Arial" w:eastAsia="Arial"/>
        </w:rPr>
      </w:r>
    </w:p>
    <w:sectPr>
      <w:headerReference w:type="default" r:id="rId9"/>
      <w:footerReference w:type="default" r:id="rId10"/>
      <w:footnotePr/>
      <w:endnotePr/>
      <w:type w:val="nextPage"/>
      <w:pgSz w:h="16838" w:orient="portrait" w:w="11906"/>
      <w:pgMar w:top="777" w:right="709" w:bottom="777" w:left="1134" w:header="720" w:footer="720" w:gutter="0"/>
      <w:pgNumType w:start="1"/>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Noto Sans">
    <w:panose1 w:val="05040102010807070707"/>
  </w:font>
  <w:font w:name="TimesNewRoman">
    <w:panose1 w:val="02020603050405020304"/>
  </w:font>
  <w:font w:name="Consolas">
    <w:panose1 w:val="020B0609020204030204"/>
  </w:font>
  <w:font w:name="Ottawa">
    <w:panose1 w:val="05040102010807070707"/>
  </w:font>
  <w:font w:name="Helvetica">
    <w:panose1 w:val="020B0604020202020204"/>
  </w:font>
  <w:font w:name="SimSun">
    <w:panose1 w:val="02010600030101010101"/>
  </w:font>
  <w:font w:name="Liberation Sans">
    <w:panose1 w:val="020B0604020202020204"/>
  </w:font>
  <w:font w:name="Liberation Serif">
    <w:panose1 w:val="02020603050405020304"/>
  </w:font>
  <w:font w:name="MS Gothic">
    <w:panose1 w:val="020B0609070205080204"/>
  </w:font>
  <w:font w:name="Calibri">
    <w:panose1 w:val="020F0502020204030204"/>
  </w:font>
  <w:font w:name="Tahoma">
    <w:panose1 w:val="020B0604030504040204"/>
  </w:font>
  <w:font w:name="MS Mincho">
    <w:panose1 w:val="02020503050405090304"/>
  </w:font>
  <w:font w:name="Segoe UI">
    <w:panose1 w:val="020B0502040204020203"/>
  </w:font>
  <w:font w:name="Aptos Narrow">
    <w:panose1 w:val="05040102010807070707"/>
  </w:font>
  <w:font w:name="Ecofont_Spranq_eco_Sans">
    <w:panose1 w:val="05040102010807070707"/>
  </w:font>
  <w:font w:name="Courier New">
    <w:panose1 w:val="02070309020205020404"/>
  </w:font>
  <w:font w:name="OpenSymbol">
    <w:panose1 w:val="05010000000000000000"/>
  </w:font>
  <w:font w:name="Mangal">
    <w:panose1 w:val="02040503050406030204"/>
  </w:font>
  <w:font w:name="Symbol">
    <w:panose1 w:val="05050102010706020507"/>
  </w:font>
  <w:font w:name="NSimSun">
    <w:panose1 w:val="02010609030101010101"/>
  </w:font>
  <w:font w:name="Arial">
    <w:panose1 w:val="020B0604020202020204"/>
  </w:font>
  <w:font w:name="Times New Roman">
    <w:panose1 w:val="02020603050405020304"/>
  </w:font>
  <w:font w:name="Microsoft YaHei">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Bdr>
        <w:top w:val="single" w:color="000000" w:sz="12" w:space="1"/>
      </w:pBdr>
      <w:spacing/>
      <w:ind/>
      <w:jc w:val="center"/>
      <w:rPr>
        <w:lang w:val="pt-BR"/>
      </w:rPr>
    </w:pPr>
    <w:r>
      <w:rPr>
        <w:lang w:val="pt-BR" w:eastAsia="pt-BR"/>
      </w:rPr>
      <mc:AlternateContent>
        <mc:Choice Requires="wpg">
          <w:drawing>
            <wp:anchor xmlns:wp="http://schemas.openxmlformats.org/drawingml/2006/wordprocessingDrawing" xmlns:wp14="http://schemas.microsoft.com/office/word/2010/wordprocessingDrawing" distT="0" distB="0" distL="0" distR="0" simplePos="0" relativeHeight="188" behindDoc="1" locked="0" layoutInCell="0" allowOverlap="1">
              <wp:simplePos x="0" y="0"/>
              <wp:positionH relativeFrom="margin">
                <wp:posOffset>5948045</wp:posOffset>
              </wp:positionH>
              <wp:positionV relativeFrom="paragraph">
                <wp:posOffset>118427</wp:posOffset>
              </wp:positionV>
              <wp:extent cx="508635" cy="191770"/>
              <wp:effectExtent l="0" t="0" r="0" b="0"/>
              <wp:wrapNone/>
              <wp:docPr id="2" name="_x005F_x0000_s2049"/>
              <wp:cNvGraphicFramePr/>
              <a:graphic xmlns:a="http://schemas.openxmlformats.org/drawingml/2006/main">
                <a:graphicData uri="http://schemas.microsoft.com/office/word/2010/wordprocessingShape">
                  <wps:wsp>
                    <wps:cNvPr id="0" name=""/>
                    <wps:cNvSpPr/>
                    <wps:spPr bwMode="auto">
                      <a:xfrm>
                        <a:off x="0" y="0"/>
                        <a:ext cx="508680" cy="191880"/>
                      </a:xfrm>
                      <a:prstGeom prst="rect">
                        <a:avLst/>
                      </a:prstGeom>
                      <a:noFill/>
                      <a:ln w="0">
                        <a:noFill/>
                      </a:ln>
                    </wps:spPr>
                    <wps:style>
                      <a:lnRef idx="0">
                        <a:srgbClr val="000000"/>
                      </a:lnRef>
                      <a:fillRef idx="0">
                        <a:srgbClr val="000000"/>
                      </a:fillRef>
                      <a:effectRef idx="0">
                        <a:srgbClr val="000000"/>
                      </a:effectRef>
                      <a:fontRef idx="minor"/>
                    </wps:style>
                    <wps:txbx>
                      <w:txbxContent>
                        <w:p>
                          <w:pPr>
                            <w:pStyle w:val="2022"/>
                            <w:pBdr>
                              <w:top w:val="none" w:color="000000" w:sz="4" w:space="0"/>
                              <w:left w:val="none" w:color="000000" w:sz="4" w:space="0"/>
                              <w:bottom w:val="none" w:color="000000" w:sz="4" w:space="0"/>
                              <w:right w:val="none" w:color="000000" w:sz="4" w:space="0"/>
                              <w:between w:val="none" w:color="000000" w:sz="4" w:space="0"/>
                            </w:pBdr>
                            <w:tabs>
                              <w:tab w:val="clear" w:leader="none" w:pos="4419"/>
                              <w:tab w:val="clear" w:leader="none" w:pos="8838"/>
                            </w:tabs>
                            <w:spacing/>
                            <w:ind/>
                            <w:jc w:val="center"/>
                            <w:rPr>
                              <w:rFonts w:ascii="SimSun" w:hAnsi="SimSun" w:eastAsia="SimSun" w:cs="SimSun"/>
                            </w:rPr>
                          </w:pPr>
                          <w:r>
                            <w:rPr>
                              <w:rFonts w:ascii="Arial" w:hAnsi="Arial" w:eastAsia="Arial"/>
                              <w:b/>
                              <w:bCs/>
                              <w:lang w:val="pt-BR"/>
                            </w:rPr>
                            <w:fldChar w:fldCharType="begin"/>
                          </w:r>
                          <w:r>
                            <w:rPr>
                              <w:rFonts w:ascii="Arial" w:hAnsi="Arial" w:eastAsia="Arial"/>
                              <w:b/>
                              <w:bCs/>
                              <w:lang w:val="pt-BR"/>
                            </w:rPr>
                            <w:instrText xml:space="preserve"> PAGE \* ARABIC </w:instrText>
                          </w:r>
                          <w:r>
                            <w:rPr>
                              <w:rFonts w:ascii="Arial" w:hAnsi="Arial" w:eastAsia="Arial"/>
                              <w:b/>
                              <w:bCs/>
                              <w:lang w:val="pt-BR"/>
                            </w:rPr>
                            <w:fldChar w:fldCharType="separate"/>
                          </w:r>
                          <w:r>
                            <w:rPr>
                              <w:rFonts w:ascii="Arial" w:hAnsi="Arial" w:eastAsia="Arial"/>
                              <w:b/>
                              <w:bCs/>
                              <w:lang w:val="pt-BR"/>
                            </w:rPr>
                            <w:t xml:space="preserve">25</w:t>
                          </w:r>
                          <w:r>
                            <w:rPr>
                              <w:rFonts w:ascii="Arial" w:hAnsi="Arial" w:eastAsia="Arial"/>
                              <w:b/>
                              <w:bCs/>
                              <w:lang w:val="pt-BR"/>
                            </w:rPr>
                            <w:fldChar w:fldCharType="end"/>
                          </w:r>
                          <w:r>
                            <w:rPr>
                              <w:rFonts w:ascii="Arial" w:hAnsi="Arial" w:eastAsia="Arial"/>
                              <w:b/>
                              <w:bCs/>
                              <w:lang w:val="pt-BR"/>
                            </w:rPr>
                            <w:t xml:space="preserve"> de 85</w:t>
                          </w:r>
                          <w:r>
                            <w:rPr>
                              <w:rFonts w:ascii="SimSun" w:hAnsi="SimSun" w:eastAsia="SimSun" w:cs="SimSun"/>
                            </w:rPr>
                          </w:r>
                          <w:r>
                            <w:rPr>
                              <w:rFonts w:ascii="SimSun" w:hAnsi="SimSun" w:eastAsia="SimSun" w:cs="SimSun"/>
                            </w:rPr>
                          </w:r>
                        </w:p>
                        <w:p>
                          <w:pPr>
                            <w:pStyle w:val="2022"/>
                            <w:pBdr/>
                            <w:spacing/>
                            <w:ind/>
                            <w:jc w:val="right"/>
                            <w:rPr/>
                          </w:pPr>
                          <w:r/>
                          <w:r/>
                        </w:p>
                      </w:txbxContent>
                    </wps:txbx>
                    <wps:bodyPr lIns="720" tIns="720" rIns="720" bIns="720" anchor="t" upright="1">
                      <a:noAutofit/>
                    </wps:bodyPr>
                  </wps:wsp>
                </a:graphicData>
              </a:graphic>
            </wp:anchor>
          </w:drawing>
        </mc:Choice>
        <mc:Fallback>
          <w:pict>
            <v:shape id="shape 1" o:spid="_x0000_s1" o:spt="1" type="#_x0000_t1" style="position:absolute;z-index:-188;o:allowoverlap:true;o:allowincell:false;mso-position-horizontal-relative:margin;margin-left:468.35pt;mso-position-horizontal:absolute;mso-position-vertical-relative:text;margin-top:9.32pt;mso-position-vertical:absolute;width:40.05pt;height:15.10pt;mso-wrap-distance-left:0.00pt;mso-wrap-distance-top:0.00pt;mso-wrap-distance-right:0.00pt;mso-wrap-distance-bottom:0.00pt;v-text-anchor:top;visibility:visible;" filled="f" stroked="f" strokeweight="0.00pt">
              <v:textbox inset="0,0,0,0">
                <w:txbxContent>
                  <w:p>
                    <w:pPr>
                      <w:pStyle w:val="2022"/>
                      <w:pBdr>
                        <w:top w:val="none" w:color="000000" w:sz="4" w:space="0"/>
                        <w:left w:val="none" w:color="000000" w:sz="4" w:space="0"/>
                        <w:bottom w:val="none" w:color="000000" w:sz="4" w:space="0"/>
                        <w:right w:val="none" w:color="000000" w:sz="4" w:space="0"/>
                        <w:between w:val="none" w:color="000000" w:sz="4" w:space="0"/>
                      </w:pBdr>
                      <w:tabs>
                        <w:tab w:val="clear" w:leader="none" w:pos="4419"/>
                        <w:tab w:val="clear" w:leader="none" w:pos="8838"/>
                      </w:tabs>
                      <w:spacing/>
                      <w:ind/>
                      <w:jc w:val="center"/>
                      <w:rPr>
                        <w:rFonts w:ascii="SimSun" w:hAnsi="SimSun" w:eastAsia="SimSun" w:cs="SimSun"/>
                      </w:rPr>
                    </w:pPr>
                    <w:r>
                      <w:rPr>
                        <w:rFonts w:ascii="Arial" w:hAnsi="Arial" w:eastAsia="Arial"/>
                        <w:b/>
                        <w:bCs/>
                        <w:lang w:val="pt-BR"/>
                      </w:rPr>
                      <w:fldChar w:fldCharType="begin"/>
                    </w:r>
                    <w:r>
                      <w:rPr>
                        <w:rFonts w:ascii="Arial" w:hAnsi="Arial" w:eastAsia="Arial"/>
                        <w:b/>
                        <w:bCs/>
                        <w:lang w:val="pt-BR"/>
                      </w:rPr>
                      <w:instrText xml:space="preserve"> PAGE \* ARABIC </w:instrText>
                    </w:r>
                    <w:r>
                      <w:rPr>
                        <w:rFonts w:ascii="Arial" w:hAnsi="Arial" w:eastAsia="Arial"/>
                        <w:b/>
                        <w:bCs/>
                        <w:lang w:val="pt-BR"/>
                      </w:rPr>
                      <w:fldChar w:fldCharType="separate"/>
                    </w:r>
                    <w:r>
                      <w:rPr>
                        <w:rFonts w:ascii="Arial" w:hAnsi="Arial" w:eastAsia="Arial"/>
                        <w:b/>
                        <w:bCs/>
                        <w:lang w:val="pt-BR"/>
                      </w:rPr>
                      <w:t xml:space="preserve">25</w:t>
                    </w:r>
                    <w:r>
                      <w:rPr>
                        <w:rFonts w:ascii="Arial" w:hAnsi="Arial" w:eastAsia="Arial"/>
                        <w:b/>
                        <w:bCs/>
                        <w:lang w:val="pt-BR"/>
                      </w:rPr>
                      <w:fldChar w:fldCharType="end"/>
                    </w:r>
                    <w:r>
                      <w:rPr>
                        <w:rFonts w:ascii="Arial" w:hAnsi="Arial" w:eastAsia="Arial"/>
                        <w:b/>
                        <w:bCs/>
                        <w:lang w:val="pt-BR"/>
                      </w:rPr>
                      <w:t xml:space="preserve"> de 85</w:t>
                    </w:r>
                    <w:r>
                      <w:rPr>
                        <w:rFonts w:ascii="SimSun" w:hAnsi="SimSun" w:eastAsia="SimSun" w:cs="SimSun"/>
                      </w:rPr>
                    </w:r>
                    <w:r>
                      <w:rPr>
                        <w:rFonts w:ascii="SimSun" w:hAnsi="SimSun" w:eastAsia="SimSun" w:cs="SimSun"/>
                      </w:rPr>
                    </w:r>
                  </w:p>
                  <w:p>
                    <w:pPr>
                      <w:pStyle w:val="2022"/>
                      <w:pBdr/>
                      <w:spacing/>
                      <w:ind/>
                      <w:jc w:val="right"/>
                      <w:rPr/>
                    </w:pPr>
                    <w:r/>
                    <w:r/>
                  </w:p>
                </w:txbxContent>
              </v:textbox>
            </v:shape>
          </w:pict>
        </mc:Fallback>
      </mc:AlternateContent>
    </w:r>
    <w:r>
      <w:rPr>
        <w:rFonts w:ascii="Arial" w:hAnsi="Arial"/>
        <w:b/>
        <w:sz w:val="16"/>
        <w:lang w:val="pt-BR"/>
      </w:rPr>
      <w:t xml:space="preserve">Av. Duque de Caxias, 1.000 – Vila Aurora – Fone (0**66) 3411-5741 – CEP 78.740-022 – Rondonópolis/MT</w:t>
    </w:r>
    <w:r>
      <w:rPr>
        <w:lang w:val="pt-BR"/>
      </w:rPr>
    </w:r>
    <w:r>
      <w:rPr>
        <w:lang w:val="pt-BR"/>
      </w:rPr>
    </w:r>
  </w:p>
  <w:p>
    <w:pPr>
      <w:pStyle w:val="2022"/>
      <w:pBdr/>
      <w:tabs>
        <w:tab w:val="center" w:leader="none" w:pos="4535"/>
        <w:tab w:val="right" w:leader="none" w:pos="9071"/>
      </w:tabs>
      <w:spacing/>
      <w:ind/>
      <w:rPr/>
    </w:pPr>
    <w:r>
      <w:rPr>
        <w:rFonts w:ascii="Arial" w:hAnsi="Arial"/>
        <w:b/>
        <w:sz w:val="16"/>
        <w:lang w:val="pt-BR"/>
      </w:rPr>
      <w:tab/>
    </w:r>
    <w:r>
      <w:rPr>
        <w:rFonts w:ascii="Arial" w:hAnsi="Arial"/>
        <w:b/>
        <w:sz w:val="16"/>
      </w:rPr>
      <w:t xml:space="preserve">Home Page: </w:t>
    </w:r>
    <w:hyperlink r:id="rId1" w:tooltip="http://www.rondonopolis.mt.gov.br/" w:history="1">
      <w:r>
        <w:rPr>
          <w:rStyle w:val="973"/>
          <w:rFonts w:ascii="Arial" w:hAnsi="Arial" w:cs="Arial"/>
          <w:b/>
          <w:sz w:val="16"/>
        </w:rPr>
        <w:t xml:space="preserve">www.rondonopolis.mt.gov.br</w:t>
      </w:r>
    </w:hyperlink>
    <w:r>
      <w:rPr>
        <w:rFonts w:ascii="Arial" w:hAnsi="Arial"/>
        <w:b/>
        <w:sz w:val="16"/>
      </w:rPr>
      <w:t xml:space="preserve">       e-mail: pmrroo@hotmail.com</w:t>
    </w:r>
    <w:r>
      <w:rPr>
        <w:rFonts w:ascii="Arial" w:hAnsi="Arial"/>
        <w:b/>
        <w:sz w:val="16"/>
      </w:rPr>
      <w:tab/>
    </w:r>
    <w:r/>
  </w:p>
  <w:p>
    <w:pPr>
      <w:pStyle w:val="2022"/>
      <w:pBdr/>
      <w:spacing/>
      <w:ind/>
      <w:rPr/>
    </w:pPr>
    <w: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Ind w:w="-86" w:type="dxa"/>
      <w:tblW w:w="10454" w:type="dxa"/>
      <w:tblBorders/>
      <w:tblLayout w:type="fixed"/>
      <w:tblLook w:val="04A0" w:firstRow="1" w:lastRow="0" w:firstColumn="1" w:lastColumn="0" w:noHBand="0" w:noVBand="1"/>
    </w:tblPr>
    <w:tblGrid>
      <w:gridCol w:w="4346"/>
      <w:gridCol w:w="6108"/>
    </w:tblGrid>
    <w:tr>
      <w:trPr>
        <w:trHeight w:val="612"/>
      </w:trPr>
      <w:tc>
        <w:tcPr>
          <w:shd w:val="clear" w:color="ffffff" w:fill="ffffff"/>
          <w:tcBorders>
            <w:bottom w:val="single" w:color="000000" w:sz="4" w:space="0"/>
          </w:tcBorders>
          <w:tcW w:w="4346" w:type="dxa"/>
          <w:vAlign w:val="center"/>
          <w:textDirection w:val="lrTb"/>
          <w:noWrap w:val="false"/>
        </w:tcPr>
        <w:p>
          <w:pPr>
            <w:pStyle w:val="2310"/>
            <w:pBdr/>
            <w:tabs>
              <w:tab w:val="right" w:leader="none" w:pos="9360"/>
            </w:tabs>
            <w:spacing/>
            <w:ind w:left="-283"/>
            <w:jc w:val="center"/>
            <w:rPr>
              <w:rFonts w:ascii="Helvetica" w:hAnsi="Helvetica" w:eastAsia="Helvetica" w:cs="Helvetica"/>
              <w:smallCaps/>
            </w:rPr>
          </w:pPr>
          <w:r>
            <w:rPr>
              <w:lang w:eastAsia="pt-BR"/>
            </w:rPr>
            <mc:AlternateContent>
              <mc:Choice Requires="wpg">
                <w:drawing>
                  <wp:inline xmlns:wp="http://schemas.openxmlformats.org/drawingml/2006/wordprocessingDrawing" distT="0" distB="0" distL="0" distR="0">
                    <wp:extent cx="2508250" cy="579120"/>
                    <wp:effectExtent l="0" t="0" r="0" b="0"/>
                    <wp:docPr id="1" name="_x005F_x0000_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5F_x0000_s1"/>
                            <pic:cNvPicPr>
                              <a:picLocks noChangeAspect="1"/>
                            </pic:cNvPicPr>
                            <pic:nvPr/>
                          </pic:nvPicPr>
                          <pic:blipFill rotWithShape="1">
                            <a:blip r:embed="rId1"/>
                            <a:stretch/>
                          </pic:blipFill>
                          <pic:spPr bwMode="auto">
                            <a:xfrm>
                              <a:off x="0" y="0"/>
                              <a:ext cx="2508250" cy="5791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97.50pt;height:45.60pt;mso-wrap-distance-left:0.00pt;mso-wrap-distance-top:0.00pt;mso-wrap-distance-right:0.00pt;mso-wrap-distance-bottom:0.00pt;z-index:1;" stroked="false">
                    <v:imagedata r:id="rId1" o:title=""/>
                    <o:lock v:ext="edit" rotation="t"/>
                  </v:shape>
                </w:pict>
              </mc:Fallback>
            </mc:AlternateContent>
          </w:r>
          <w:r>
            <w:rPr>
              <w:rFonts w:ascii="Helvetica" w:hAnsi="Helvetica" w:eastAsia="Helvetica" w:cs="Helvetica"/>
              <w:smallCaps/>
            </w:rPr>
          </w:r>
          <w:r>
            <w:rPr>
              <w:rFonts w:ascii="Helvetica" w:hAnsi="Helvetica" w:eastAsia="Helvetica" w:cs="Helvetica"/>
              <w:smallCaps/>
            </w:rPr>
          </w:r>
        </w:p>
      </w:tc>
      <w:tc>
        <w:tcPr>
          <w:shd w:val="clear" w:color="ffffff" w:fill="ffffff"/>
          <w:tcBorders>
            <w:bottom w:val="single" w:color="000000" w:sz="4" w:space="0"/>
          </w:tcBorders>
          <w:tcW w:w="6107" w:type="dxa"/>
          <w:vAlign w:val="center"/>
          <w:textDirection w:val="lrTb"/>
          <w:noWrap w:val="false"/>
        </w:tcPr>
        <w:p>
          <w:pPr>
            <w:pBdr/>
            <w:spacing w:line="276" w:lineRule="auto"/>
            <w:ind w:hanging="283" w:left="500"/>
            <w:jc w:val="both"/>
            <w:rPr>
              <w:rFonts w:ascii="Arial" w:hAnsi="Arial" w:eastAsia="Arial"/>
              <w:b/>
              <w:bCs/>
              <w:smallCaps/>
            </w:rPr>
          </w:pPr>
          <w:r>
            <w:rPr>
              <w:rFonts w:ascii="Arial" w:hAnsi="Arial" w:eastAsia="Arial"/>
              <w:b/>
              <w:bCs/>
              <w:smallCaps/>
            </w:rPr>
            <w:t xml:space="preserve">Estado de Mato Grosso</w:t>
          </w:r>
          <w:r>
            <w:rPr>
              <w:rFonts w:ascii="Arial" w:hAnsi="Arial" w:eastAsia="Arial"/>
              <w:b/>
              <w:bCs/>
              <w:smallCaps/>
            </w:rPr>
          </w:r>
          <w:r>
            <w:rPr>
              <w:rFonts w:ascii="Arial" w:hAnsi="Arial" w:eastAsia="Arial"/>
              <w:b/>
              <w:bCs/>
              <w:smallCaps/>
            </w:rPr>
          </w:r>
        </w:p>
        <w:p>
          <w:pPr>
            <w:pBdr/>
            <w:spacing w:line="276" w:lineRule="auto"/>
            <w:ind w:hanging="283" w:left="500"/>
            <w:jc w:val="both"/>
            <w:rPr>
              <w:rFonts w:ascii="Arial" w:hAnsi="Arial" w:eastAsia="Arial"/>
              <w:b/>
              <w:bCs/>
              <w:smallCaps/>
            </w:rPr>
          </w:pPr>
          <w:r>
            <w:rPr>
              <w:rFonts w:ascii="Arial" w:hAnsi="Arial" w:eastAsia="Arial"/>
              <w:b/>
              <w:bCs/>
              <w:smallCaps/>
            </w:rPr>
            <w:t xml:space="preserve">Município de Rondonópolis</w:t>
          </w:r>
          <w:r>
            <w:rPr>
              <w:rFonts w:ascii="Arial" w:hAnsi="Arial" w:eastAsia="Arial"/>
              <w:b/>
              <w:bCs/>
              <w:smallCaps/>
            </w:rPr>
          </w:r>
          <w:r>
            <w:rPr>
              <w:rFonts w:ascii="Arial" w:hAnsi="Arial" w:eastAsia="Arial"/>
              <w:b/>
              <w:bCs/>
              <w:smallCaps/>
            </w:rPr>
          </w:r>
        </w:p>
        <w:p>
          <w:pPr>
            <w:pBdr/>
            <w:spacing w:line="276" w:lineRule="auto"/>
            <w:ind w:hanging="283" w:left="500"/>
            <w:jc w:val="both"/>
            <w:rPr>
              <w:rFonts w:ascii="Arial" w:hAnsi="Arial" w:eastAsia="Arial"/>
              <w:b/>
              <w:bCs/>
              <w:smallCaps/>
            </w:rPr>
          </w:pPr>
          <w:r>
            <w:rPr>
              <w:rFonts w:ascii="Arial" w:hAnsi="Arial" w:eastAsia="Arial"/>
              <w:b/>
              <w:bCs/>
              <w:smallCaps/>
            </w:rPr>
            <w:t xml:space="preserve">Secretaria Municipal de Administração, Gestão e Inovação</w:t>
          </w:r>
          <w:r>
            <w:rPr>
              <w:rFonts w:ascii="Arial" w:hAnsi="Arial" w:eastAsia="Arial"/>
              <w:b/>
              <w:bCs/>
              <w:smallCaps/>
            </w:rPr>
          </w:r>
          <w:r>
            <w:rPr>
              <w:rFonts w:ascii="Arial" w:hAnsi="Arial" w:eastAsia="Arial"/>
              <w:b/>
              <w:bCs/>
              <w:smallCaps/>
            </w:rPr>
          </w:r>
        </w:p>
        <w:p>
          <w:pPr>
            <w:pBdr/>
            <w:spacing w:line="276" w:lineRule="auto"/>
            <w:ind w:hanging="283" w:left="500"/>
            <w:jc w:val="both"/>
            <w:rPr>
              <w:rFonts w:ascii="TimesNewRoman" w:hAnsi="TimesNewRoman" w:eastAsia="TimesNewRoman" w:cs="TimesNewRoman"/>
            </w:rPr>
          </w:pPr>
          <w:r>
            <w:rPr>
              <w:rFonts w:ascii="Arial" w:hAnsi="Arial" w:eastAsia="Arial"/>
              <w:b/>
              <w:bCs/>
              <w:smallCaps/>
            </w:rPr>
            <w:t xml:space="preserve">Superintendência de Compras e Licitações (P.E.18/2026)</w:t>
          </w:r>
          <w:r>
            <w:rPr>
              <w:rFonts w:ascii="TimesNewRoman" w:hAnsi="TimesNewRoman" w:eastAsia="TimesNewRoman" w:cs="TimesNewRoman"/>
            </w:rPr>
          </w:r>
          <w:r>
            <w:rPr>
              <w:rFonts w:ascii="TimesNewRoman" w:hAnsi="TimesNewRoman" w:eastAsia="TimesNewRoman" w:cs="TimesNewRoman"/>
            </w:rPr>
          </w:r>
        </w:p>
      </w:tc>
    </w:tr>
  </w:tbl>
  <w:p>
    <w:pPr>
      <w:pStyle w:val="2021"/>
      <w:pBdr/>
      <w:spacing/>
      <w:ind/>
      <w:jc w:val="center"/>
      <w:rPr>
        <w:lang w:val="pt-BR"/>
      </w:rPr>
    </w:pPr>
    <w:r>
      <w:rPr>
        <w:lang w:val="pt-BR"/>
      </w:rPr>
    </w:r>
    <w:r>
      <w:rPr>
        <w:lang w:val="pt-BR"/>
      </w:rPr>
    </w:r>
    <w:r>
      <w:rPr>
        <w:lang w:val="pt-BR"/>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1E1902"/>
    <w:lvl w:ilvl="0">
      <w:isLgl w:val="false"/>
      <w:lvlJc w:val="left"/>
      <w:lvlText w:val="%1."/>
      <w:numFmt w:val="decimal"/>
      <w:pPr>
        <w:pBdr/>
        <w:tabs>
          <w:tab w:val="num" w:leader="none" w:pos="0"/>
        </w:tabs>
        <w:spacing/>
        <w:ind w:hanging="284" w:left="284"/>
      </w:pPr>
      <w:pStyle w:val="2220"/>
      <w:rPr>
        <w:rFonts w:cs="Times New Roman"/>
        <w:b w:val="0"/>
        <w:i w:val="0"/>
        <w:sz w:val="24"/>
      </w:rPr>
      <w:start w:val="1"/>
      <w:suff w:val="tab"/>
    </w:lvl>
    <w:lvl w:ilvl="1">
      <w:isLgl w:val="false"/>
      <w:lvlJc w:val="left"/>
      <w:lvlText w:val="%1.%2."/>
      <w:numFmt w:val="decimal"/>
      <w:pPr>
        <w:pBdr/>
        <w:tabs>
          <w:tab w:val="num" w:leader="none" w:pos="0"/>
        </w:tabs>
        <w:spacing/>
        <w:ind w:hanging="284" w:left="568"/>
      </w:pPr>
      <w:rPr>
        <w:rFonts w:ascii="Arial" w:hAnsi="Arial" w:cs="Arial"/>
        <w:b w:val="0"/>
        <w:i w:val="0"/>
        <w:color w:val="000000"/>
        <w:sz w:val="20"/>
        <w:szCs w:val="20"/>
      </w:rPr>
      <w:start w:val="1"/>
      <w:suff w:val="space"/>
    </w:lvl>
    <w:lvl w:ilvl="2">
      <w:isLgl w:val="false"/>
      <w:lvlJc w:val="left"/>
      <w:lvlText w:val="%1.%2.%3."/>
      <w:numFmt w:val="decimal"/>
      <w:pPr>
        <w:pBdr/>
        <w:tabs>
          <w:tab w:val="num" w:leader="none" w:pos="0"/>
        </w:tabs>
        <w:spacing/>
        <w:ind w:hanging="284" w:left="426"/>
      </w:pPr>
      <w:rPr>
        <w:rFonts w:cs="Times New Roman"/>
        <w:b w:val="0"/>
        <w:i w:val="0"/>
        <w:color w:val="000000"/>
        <w:sz w:val="20"/>
        <w:szCs w:val="20"/>
      </w:rPr>
      <w:start w:val="1"/>
      <w:suff w:val="space"/>
    </w:lvl>
    <w:lvl w:ilvl="3">
      <w:isLgl w:val="false"/>
      <w:lvlJc w:val="left"/>
      <w:lvlText w:val="%1.%2.%3.%4."/>
      <w:numFmt w:val="decimal"/>
      <w:pPr>
        <w:pBdr/>
        <w:tabs>
          <w:tab w:val="num" w:leader="none" w:pos="0"/>
        </w:tabs>
        <w:spacing/>
        <w:ind w:hanging="284" w:left="1136"/>
      </w:pPr>
      <w:rPr>
        <w:rFonts w:cs="Times New Roman"/>
        <w:b w:val="0"/>
        <w:i w:val="0"/>
      </w:rPr>
      <w:start w:val="1"/>
      <w:suff w:val="space"/>
    </w:lvl>
    <w:lvl w:ilvl="4">
      <w:isLgl w:val="false"/>
      <w:lvlJc w:val="left"/>
      <w:lvlText w:val="%1.%2.%3.%4.%5."/>
      <w:numFmt w:val="decimal"/>
      <w:pPr>
        <w:pBdr/>
        <w:tabs>
          <w:tab w:val="num" w:leader="none" w:pos="0"/>
        </w:tabs>
        <w:spacing/>
        <w:ind w:hanging="284" w:left="1420"/>
      </w:pPr>
      <w:rPr>
        <w:rFonts w:cs="Times New Roman"/>
        <w:b/>
        <w:i w:val="0"/>
      </w:rPr>
      <w:start w:val="1"/>
      <w:suff w:val="space"/>
    </w:lvl>
    <w:lvl w:ilvl="5">
      <w:isLgl w:val="false"/>
      <w:lvlJc w:val="left"/>
      <w:lvlText w:val="%1.%2.%3.%4.%5.%6."/>
      <w:numFmt w:val="decimal"/>
      <w:pPr>
        <w:pBdr/>
        <w:tabs>
          <w:tab w:val="num" w:leader="none" w:pos="2880"/>
        </w:tabs>
        <w:spacing/>
        <w:ind w:hanging="284" w:left="1704"/>
      </w:pPr>
      <w:rPr>
        <w:rFonts w:cs="Times New Roman"/>
      </w:rPr>
      <w:start w:val="1"/>
      <w:suff w:val="tab"/>
    </w:lvl>
    <w:lvl w:ilvl="6">
      <w:isLgl w:val="false"/>
      <w:lvlJc w:val="left"/>
      <w:lvlText w:val="%1.%2.%3.%4.%5.%6.%7."/>
      <w:numFmt w:val="decimal"/>
      <w:pPr>
        <w:pBdr/>
        <w:tabs>
          <w:tab w:val="num" w:leader="none" w:pos="3600"/>
        </w:tabs>
        <w:spacing/>
        <w:ind w:hanging="284" w:left="1988"/>
      </w:pPr>
      <w:rPr>
        <w:rFonts w:cs="Times New Roman"/>
      </w:rPr>
      <w:start w:val="1"/>
      <w:suff w:val="tab"/>
    </w:lvl>
    <w:lvl w:ilvl="7">
      <w:isLgl w:val="false"/>
      <w:lvlJc w:val="left"/>
      <w:lvlText w:val="%1.%2.%3.%4.%5.%6.%7.%8."/>
      <w:numFmt w:val="decimal"/>
      <w:pPr>
        <w:pBdr/>
        <w:tabs>
          <w:tab w:val="num" w:leader="none" w:pos="3960"/>
        </w:tabs>
        <w:spacing/>
        <w:ind w:hanging="284" w:left="2272"/>
      </w:pPr>
      <w:rPr>
        <w:rFonts w:cs="Times New Roman"/>
      </w:rPr>
      <w:start w:val="1"/>
      <w:suff w:val="tab"/>
    </w:lvl>
    <w:lvl w:ilvl="8">
      <w:isLgl w:val="false"/>
      <w:lvlJc w:val="left"/>
      <w:lvlText w:val="%1.%2.%3.%4.%5.%6.%7.%8.%9."/>
      <w:numFmt w:val="decimal"/>
      <w:pPr>
        <w:pBdr/>
        <w:tabs>
          <w:tab w:val="num" w:leader="none" w:pos="4680"/>
        </w:tabs>
        <w:spacing/>
        <w:ind w:hanging="284" w:left="2556"/>
      </w:pPr>
      <w:rPr>
        <w:rFonts w:cs="Times New Roman"/>
      </w:rPr>
      <w:start w:val="1"/>
      <w:suff w:val="tab"/>
    </w:lvl>
  </w:abstractNum>
  <w:abstractNum w:abstractNumId="1">
    <w:nsid w:val="21846F77"/>
    <w:lvl w:ilvl="0">
      <w:isLgl w:val="false"/>
      <w:lvlJc w:val="left"/>
      <w:lvlText w:val="%1."/>
      <w:numFmt w:val="decimal"/>
      <w:pPr>
        <w:pBdr/>
        <w:tabs>
          <w:tab w:val="num" w:leader="none" w:pos="0"/>
        </w:tabs>
        <w:spacing/>
        <w:ind w:hanging="221" w:left="334"/>
      </w:pPr>
      <w:pStyle w:val="2215"/>
      <w:rPr>
        <w:rFonts w:ascii="Arial" w:hAnsi="Arial" w:eastAsia="Times New Roman" w:cs="Arial"/>
        <w:b/>
        <w:bCs/>
        <w:sz w:val="20"/>
        <w:szCs w:val="20"/>
      </w:rPr>
      <w:start w:val="1"/>
      <w:suff w:val="tab"/>
    </w:lvl>
    <w:lvl w:ilvl="1">
      <w:isLgl w:val="false"/>
      <w:lvlJc w:val="left"/>
      <w:lvlText w:val="%1.%2."/>
      <w:numFmt w:val="decimal"/>
      <w:pPr>
        <w:pBdr/>
        <w:tabs>
          <w:tab w:val="num" w:leader="none" w:pos="0"/>
        </w:tabs>
        <w:spacing/>
        <w:ind w:hanging="526" w:left="113"/>
      </w:pPr>
      <w:rPr>
        <w:rFonts w:cs="Times New Roman"/>
        <w:b/>
        <w:bCs/>
        <w:color w:val="000000"/>
        <w:spacing w:val="-1"/>
        <w:sz w:val="22"/>
        <w:szCs w:val="22"/>
      </w:rPr>
      <w:start w:val="1"/>
      <w:suff w:val="tab"/>
    </w:lvl>
    <w:lvl w:ilvl="2">
      <w:isLgl w:val="false"/>
      <w:lvlJc w:val="left"/>
      <w:lvlText w:val="%1.%2.%3."/>
      <w:numFmt w:val="decimal"/>
      <w:pPr>
        <w:pBdr/>
        <w:tabs>
          <w:tab w:val="num" w:leader="none" w:pos="0"/>
        </w:tabs>
        <w:spacing/>
        <w:ind w:hanging="526" w:left="113"/>
      </w:pPr>
      <w:rPr>
        <w:rFonts w:ascii="Arial" w:hAnsi="Arial" w:eastAsia="Times New Roman" w:cs="Arial"/>
        <w:b/>
        <w:bCs/>
        <w:spacing w:val="-1"/>
        <w:sz w:val="20"/>
        <w:szCs w:val="20"/>
      </w:rPr>
      <w:start w:val="1"/>
      <w:suff w:val="tab"/>
    </w:lvl>
    <w:lvl w:ilvl="3">
      <w:isLgl w:val="false"/>
      <w:lvlJc w:val="left"/>
      <w:lvlText w:val="•"/>
      <w:numFmt w:val="bullet"/>
      <w:pPr>
        <w:pBdr/>
        <w:tabs>
          <w:tab w:val="num" w:leader="none" w:pos="0"/>
        </w:tabs>
        <w:spacing/>
        <w:ind w:hanging="526" w:left="2572"/>
      </w:pPr>
      <w:rPr>
        <w:rFonts w:hint="default" w:ascii="Liberation Serif" w:hAnsi="Liberation Serif" w:cs="Liberation Serif"/>
      </w:rPr>
      <w:start w:val="0"/>
      <w:suff w:val="tab"/>
    </w:lvl>
    <w:lvl w:ilvl="4">
      <w:isLgl w:val="false"/>
      <w:lvlJc w:val="left"/>
      <w:lvlText w:val="•"/>
      <w:numFmt w:val="bullet"/>
      <w:pPr>
        <w:pBdr/>
        <w:tabs>
          <w:tab w:val="num" w:leader="none" w:pos="0"/>
        </w:tabs>
        <w:spacing/>
        <w:ind w:hanging="526" w:left="3688"/>
      </w:pPr>
      <w:rPr>
        <w:rFonts w:hint="default" w:ascii="Liberation Serif" w:hAnsi="Liberation Serif" w:cs="Liberation Serif"/>
      </w:rPr>
      <w:start w:val="0"/>
      <w:suff w:val="tab"/>
    </w:lvl>
    <w:lvl w:ilvl="5">
      <w:isLgl w:val="false"/>
      <w:lvlJc w:val="left"/>
      <w:lvlText w:val="•"/>
      <w:numFmt w:val="bullet"/>
      <w:pPr>
        <w:pBdr/>
        <w:tabs>
          <w:tab w:val="num" w:leader="none" w:pos="0"/>
        </w:tabs>
        <w:spacing/>
        <w:ind w:hanging="526" w:left="4804"/>
      </w:pPr>
      <w:rPr>
        <w:rFonts w:hint="default" w:ascii="Liberation Serif" w:hAnsi="Liberation Serif" w:cs="Liberation Serif"/>
      </w:rPr>
      <w:start w:val="0"/>
      <w:suff w:val="tab"/>
    </w:lvl>
    <w:lvl w:ilvl="6">
      <w:isLgl w:val="false"/>
      <w:lvlJc w:val="left"/>
      <w:lvlText w:val="•"/>
      <w:numFmt w:val="bullet"/>
      <w:pPr>
        <w:pBdr/>
        <w:tabs>
          <w:tab w:val="num" w:leader="none" w:pos="0"/>
        </w:tabs>
        <w:spacing/>
        <w:ind w:hanging="526" w:left="5920"/>
      </w:pPr>
      <w:rPr>
        <w:rFonts w:hint="default" w:ascii="Liberation Serif" w:hAnsi="Liberation Serif" w:cs="Liberation Serif"/>
      </w:rPr>
      <w:start w:val="0"/>
      <w:suff w:val="tab"/>
    </w:lvl>
    <w:lvl w:ilvl="7">
      <w:isLgl w:val="false"/>
      <w:lvlJc w:val="left"/>
      <w:lvlText w:val="•"/>
      <w:numFmt w:val="bullet"/>
      <w:pPr>
        <w:pBdr/>
        <w:tabs>
          <w:tab w:val="num" w:leader="none" w:pos="0"/>
        </w:tabs>
        <w:spacing/>
        <w:ind w:hanging="526" w:left="7036"/>
      </w:pPr>
      <w:rPr>
        <w:rFonts w:hint="default" w:ascii="Liberation Serif" w:hAnsi="Liberation Serif" w:cs="Liberation Serif"/>
      </w:rPr>
      <w:start w:val="0"/>
      <w:suff w:val="tab"/>
    </w:lvl>
    <w:lvl w:ilvl="8">
      <w:isLgl w:val="false"/>
      <w:lvlJc w:val="left"/>
      <w:lvlText w:val="•"/>
      <w:numFmt w:val="bullet"/>
      <w:pPr>
        <w:pBdr/>
        <w:tabs>
          <w:tab w:val="num" w:leader="none" w:pos="0"/>
        </w:tabs>
        <w:spacing/>
        <w:ind w:hanging="526" w:left="8152"/>
      </w:pPr>
      <w:rPr>
        <w:rFonts w:hint="default" w:ascii="Liberation Serif" w:hAnsi="Liberation Serif" w:cs="Liberation Serif"/>
      </w:rPr>
      <w:start w:val="0"/>
      <w:suff w:val="tab"/>
    </w:lvl>
  </w:abstractNum>
  <w:abstractNum w:abstractNumId="2">
    <w:nsid w:val="22DC0971"/>
    <w:lvl w:ilvl="0">
      <w:isLgl w:val="false"/>
      <w:lvlJc w:val="left"/>
      <w:lvlText w:val="%1."/>
      <w:numFmt w:val="decimal"/>
      <w:pPr>
        <w:pBdr/>
        <w:tabs>
          <w:tab w:val="num" w:leader="none" w:pos="0"/>
        </w:tabs>
        <w:spacing/>
        <w:ind w:firstLine="0" w:left="0"/>
      </w:pPr>
      <w:rPr/>
      <w:start w:val="1"/>
      <w:suff w:val="space"/>
    </w:lvl>
    <w:lvl w:ilvl="1">
      <w:isLgl w:val="false"/>
      <w:lvlJc w:val="left"/>
      <w:lvlText w:val="%1.%2."/>
      <w:numFmt w:val="decimal"/>
      <w:pPr>
        <w:pBdr/>
        <w:tabs>
          <w:tab w:val="num" w:leader="none" w:pos="0"/>
        </w:tabs>
        <w:spacing/>
        <w:ind w:firstLine="0" w:left="0"/>
      </w:pPr>
      <w:rPr>
        <w:rFonts w:ascii="Times New Roman" w:hAnsi="Times New Roman" w:cs="Times New Roman"/>
        <w:b/>
        <w:bCs/>
      </w:rPr>
      <w:start w:val="1"/>
      <w:suff w:val="space"/>
    </w:lvl>
    <w:lvl w:ilvl="2">
      <w:isLgl w:val="false"/>
      <w:lvlJc w:val="left"/>
      <w:lvlText w:val="%1.%2.%3."/>
      <w:numFmt w:val="decimal"/>
      <w:pPr>
        <w:pBdr/>
        <w:tabs>
          <w:tab w:val="num" w:leader="none" w:pos="0"/>
        </w:tabs>
        <w:spacing/>
        <w:ind w:firstLine="0" w:left="0"/>
      </w:pPr>
      <w:rPr/>
      <w:start w:val="1"/>
      <w:suff w:val="space"/>
    </w:lvl>
    <w:lvl w:ilvl="3">
      <w:isLgl w:val="false"/>
      <w:lvlJc w:val="left"/>
      <w:lvlText w:val="%1.%2.%3.%4."/>
      <w:numFmt w:val="decimal"/>
      <w:pPr>
        <w:pBdr/>
        <w:tabs>
          <w:tab w:val="num" w:leader="none" w:pos="0"/>
        </w:tabs>
        <w:spacing/>
        <w:ind w:firstLine="0" w:left="0"/>
      </w:pPr>
      <w:rPr/>
      <w:start w:val="1"/>
      <w:suff w:val="space"/>
    </w:lvl>
    <w:lvl w:ilvl="4">
      <w:isLgl w:val="false"/>
      <w:lvlJc w:val="left"/>
      <w:lvlText w:val="%1.%2.%3.%4.%5."/>
      <w:numFmt w:val="decimal"/>
      <w:pPr>
        <w:pBdr/>
        <w:tabs>
          <w:tab w:val="num" w:leader="none" w:pos="0"/>
        </w:tabs>
        <w:spacing/>
        <w:ind w:firstLine="0" w:left="0"/>
      </w:pPr>
      <w:rPr/>
      <w:start w:val="1"/>
      <w:suff w:val="space"/>
    </w:lvl>
    <w:lvl w:ilvl="5">
      <w:isLgl w:val="false"/>
      <w:lvlJc w:val="left"/>
      <w:lvlText w:val="%1.%2.%3.%4.%5.%6."/>
      <w:numFmt w:val="decimal"/>
      <w:pPr>
        <w:pBdr/>
        <w:tabs>
          <w:tab w:val="num" w:leader="none" w:pos="0"/>
        </w:tabs>
        <w:spacing/>
        <w:ind w:firstLine="0" w:left="0"/>
      </w:pPr>
      <w:rPr/>
      <w:start w:val="1"/>
      <w:suff w:val="space"/>
    </w:lvl>
    <w:lvl w:ilvl="6">
      <w:isLgl w:val="false"/>
      <w:lvlJc w:val="left"/>
      <w:lvlText w:val="%1.%2.%3.%4.%5.%6.%7."/>
      <w:numFmt w:val="decimal"/>
      <w:pPr>
        <w:pBdr/>
        <w:tabs>
          <w:tab w:val="num" w:leader="none" w:pos="0"/>
        </w:tabs>
        <w:spacing/>
        <w:ind w:firstLine="0" w:left="0"/>
      </w:pPr>
      <w:rPr/>
      <w:start w:val="1"/>
      <w:suff w:val="space"/>
    </w:lvl>
    <w:lvl w:ilvl="7">
      <w:isLgl w:val="false"/>
      <w:lvlJc w:val="left"/>
      <w:lvlText w:val="%1.%2.%3.%4.%5.%6.%7.%8."/>
      <w:numFmt w:val="decimal"/>
      <w:pPr>
        <w:pBdr/>
        <w:tabs>
          <w:tab w:val="num" w:leader="none" w:pos="0"/>
        </w:tabs>
        <w:spacing/>
        <w:ind w:firstLine="0" w:left="0"/>
      </w:pPr>
      <w:rPr/>
      <w:start w:val="1"/>
      <w:suff w:val="space"/>
    </w:lvl>
    <w:lvl w:ilvl="8">
      <w:isLgl w:val="false"/>
      <w:lvlJc w:val="left"/>
      <w:lvlText w:val="%1.%2.%3.%4.%5.%6.%7.%8.%9."/>
      <w:numFmt w:val="decimal"/>
      <w:pPr>
        <w:pBdr/>
        <w:tabs>
          <w:tab w:val="num" w:leader="none" w:pos="0"/>
        </w:tabs>
        <w:spacing/>
        <w:ind w:firstLine="0" w:left="0"/>
      </w:pPr>
      <w:rPr/>
      <w:start w:val="1"/>
      <w:suff w:val="space"/>
    </w:lvl>
  </w:abstractNum>
  <w:abstractNum w:abstractNumId="3">
    <w:nsid w:val="281033EE"/>
    <w:lvl w:ilvl="0">
      <w:isLgl w:val="false"/>
      <w:lvlJc w:val="left"/>
      <w:lvlText w:val="%1."/>
      <w:numFmt w:val="decimal"/>
      <w:pPr>
        <w:pBdr/>
        <w:tabs>
          <w:tab w:val="num" w:leader="none" w:pos="0"/>
        </w:tabs>
        <w:spacing/>
        <w:ind w:hanging="360" w:left="0"/>
      </w:pPr>
      <w:rPr>
        <w:rFonts w:ascii="TimesNewRoman" w:hAnsi="TimesNewRoman" w:eastAsia="TimesNewRoman" w:cs="TimesNewRoman"/>
        <w:sz w:val="20"/>
        <w:szCs w:val="20"/>
      </w:rPr>
      <w:start w:val="1"/>
      <w:suff w:val="tab"/>
    </w:lvl>
    <w:lvl w:ilvl="1">
      <w:isLgl w:val="false"/>
      <w:lvlJc w:val="left"/>
      <w:lvlText w:val=""/>
      <w:numFmt w:val="none"/>
      <w:pPr>
        <w:pBdr/>
        <w:tabs>
          <w:tab w:val="num" w:leader="none" w:pos="360"/>
        </w:tabs>
        <w:spacing/>
        <w:ind w:firstLine="0" w:left="0"/>
      </w:pPr>
      <w:rPr>
        <w:rFonts w:eastAsia="TimesNewRoman" w:cs="TimesNewRoman"/>
        <w:sz w:val="20"/>
        <w:szCs w:val="20"/>
      </w:rPr>
      <w:start w:val="0"/>
      <w:suff w:val="nothing"/>
    </w:lvl>
    <w:lvl w:ilvl="2">
      <w:isLgl w:val="false"/>
      <w:lvlJc w:val="left"/>
      <w:lvlText w:val=""/>
      <w:numFmt w:val="none"/>
      <w:pPr>
        <w:pBdr/>
        <w:tabs>
          <w:tab w:val="num" w:leader="none" w:pos="360"/>
        </w:tabs>
        <w:spacing/>
        <w:ind w:firstLine="0" w:left="0"/>
      </w:pPr>
      <w:rPr>
        <w:rFonts w:eastAsia="TimesNewRoman" w:cs="TimesNewRoman"/>
        <w:sz w:val="20"/>
        <w:szCs w:val="20"/>
      </w:rPr>
      <w:start w:val="0"/>
      <w:suff w:val="nothing"/>
    </w:lvl>
    <w:lvl w:ilvl="3">
      <w:isLgl w:val="false"/>
      <w:lvlJc w:val="left"/>
      <w:lvlText w:val=""/>
      <w:numFmt w:val="none"/>
      <w:pPr>
        <w:pBdr/>
        <w:tabs>
          <w:tab w:val="num" w:leader="none" w:pos="360"/>
        </w:tabs>
        <w:spacing/>
        <w:ind w:firstLine="0" w:left="0"/>
      </w:pPr>
      <w:rPr>
        <w:rFonts w:eastAsia="TimesNewRoman" w:cs="TimesNewRoman"/>
        <w:sz w:val="20"/>
        <w:szCs w:val="20"/>
      </w:rPr>
      <w:start w:val="0"/>
      <w:suff w:val="nothing"/>
    </w:lvl>
    <w:lvl w:ilvl="4">
      <w:isLgl w:val="false"/>
      <w:lvlJc w:val="left"/>
      <w:lvlText w:val=""/>
      <w:numFmt w:val="none"/>
      <w:pPr>
        <w:pBdr/>
        <w:tabs>
          <w:tab w:val="num" w:leader="none" w:pos="360"/>
        </w:tabs>
        <w:spacing/>
        <w:ind w:firstLine="0" w:left="0"/>
      </w:pPr>
      <w:rPr>
        <w:rFonts w:eastAsia="TimesNewRoman" w:cs="TimesNewRoman"/>
        <w:sz w:val="20"/>
        <w:szCs w:val="20"/>
      </w:rPr>
      <w:start w:val="0"/>
      <w:suff w:val="nothing"/>
    </w:lvl>
    <w:lvl w:ilvl="5">
      <w:isLgl w:val="false"/>
      <w:lvlJc w:val="left"/>
      <w:lvlText w:val=""/>
      <w:numFmt w:val="none"/>
      <w:pPr>
        <w:pBdr/>
        <w:tabs>
          <w:tab w:val="num" w:leader="none" w:pos="360"/>
        </w:tabs>
        <w:spacing/>
        <w:ind w:firstLine="0" w:left="0"/>
      </w:pPr>
      <w:rPr>
        <w:rFonts w:eastAsia="TimesNewRoman" w:cs="TimesNewRoman"/>
        <w:sz w:val="20"/>
        <w:szCs w:val="20"/>
      </w:rPr>
      <w:start w:val="0"/>
      <w:suff w:val="nothing"/>
    </w:lvl>
    <w:lvl w:ilvl="6">
      <w:isLgl w:val="false"/>
      <w:lvlJc w:val="left"/>
      <w:lvlText w:val=""/>
      <w:numFmt w:val="none"/>
      <w:pPr>
        <w:pBdr/>
        <w:tabs>
          <w:tab w:val="num" w:leader="none" w:pos="360"/>
        </w:tabs>
        <w:spacing/>
        <w:ind w:firstLine="0" w:left="0"/>
      </w:pPr>
      <w:rPr>
        <w:rFonts w:eastAsia="TimesNewRoman" w:cs="TimesNewRoman"/>
        <w:sz w:val="20"/>
        <w:szCs w:val="20"/>
      </w:rPr>
      <w:start w:val="0"/>
      <w:suff w:val="nothing"/>
    </w:lvl>
    <w:lvl w:ilvl="7">
      <w:isLgl w:val="false"/>
      <w:lvlJc w:val="left"/>
      <w:lvlText w:val=""/>
      <w:numFmt w:val="none"/>
      <w:pPr>
        <w:pBdr/>
        <w:tabs>
          <w:tab w:val="num" w:leader="none" w:pos="360"/>
        </w:tabs>
        <w:spacing/>
        <w:ind w:firstLine="0" w:left="0"/>
      </w:pPr>
      <w:rPr>
        <w:rFonts w:eastAsia="TimesNewRoman" w:cs="TimesNewRoman"/>
        <w:sz w:val="20"/>
        <w:szCs w:val="20"/>
      </w:rPr>
      <w:start w:val="0"/>
      <w:suff w:val="nothing"/>
    </w:lvl>
    <w:lvl w:ilvl="8">
      <w:isLgl w:val="false"/>
      <w:lvlJc w:val="left"/>
      <w:lvlText w:val=""/>
      <w:numFmt w:val="none"/>
      <w:pPr>
        <w:pBdr/>
        <w:tabs>
          <w:tab w:val="num" w:leader="none" w:pos="360"/>
        </w:tabs>
        <w:spacing/>
        <w:ind w:firstLine="0" w:left="0"/>
      </w:pPr>
      <w:rPr>
        <w:rFonts w:eastAsia="TimesNewRoman" w:cs="TimesNewRoman"/>
        <w:sz w:val="20"/>
        <w:szCs w:val="20"/>
      </w:rPr>
      <w:start w:val="0"/>
      <w:suff w:val="nothing"/>
    </w:lvl>
  </w:abstractNum>
  <w:abstractNum w:abstractNumId="4">
    <w:nsid w:val="45EDB9F8"/>
    <w:lvl w:ilvl="0">
      <w:isLgl w:val="false"/>
      <w:lvlJc w:val="left"/>
      <w:lvlText w:val="%1."/>
      <w:numFmt w:val="decimal"/>
      <w:pPr>
        <w:pBdr/>
        <w:spacing/>
        <w:ind w:firstLine="0" w:left="0"/>
      </w:pPr>
      <w:rPr>
        <w:rFonts w:hint="default"/>
      </w:rPr>
      <w:start w:val="1"/>
      <w:suff w:val="space"/>
    </w:lvl>
    <w:lvl w:ilvl="1">
      <w:isLgl w:val="false"/>
      <w:lvlJc w:val="left"/>
      <w:lvlText w:val="%1.%2."/>
      <w:numFmt w:val="decimal"/>
      <w:pPr>
        <w:pBdr/>
        <w:spacing/>
        <w:ind w:firstLine="0" w:left="0"/>
      </w:pPr>
      <w:rPr>
        <w:rFonts w:hint="default" w:ascii="Times New Roman" w:hAnsi="Times New Roman" w:cs="Times New Roman"/>
        <w:b/>
        <w:bCs/>
      </w:rPr>
      <w:start w:val="1"/>
      <w:suff w:val="space"/>
    </w:lvl>
    <w:lvl w:ilvl="2">
      <w:isLgl w:val="false"/>
      <w:lvlJc w:val="left"/>
      <w:lvlText w:val="%1.%2.%3."/>
      <w:numFmt w:val="decimal"/>
      <w:pPr>
        <w:pBdr/>
        <w:spacing/>
        <w:ind w:firstLine="0" w:left="0"/>
      </w:pPr>
      <w:rPr>
        <w:rFonts w:hint="default"/>
      </w:rPr>
      <w:start w:val="1"/>
      <w:suff w:val="space"/>
    </w:lvl>
    <w:lvl w:ilvl="3">
      <w:isLgl w:val="false"/>
      <w:lvlJc w:val="left"/>
      <w:lvlText w:val="%1.%2.%3.%4."/>
      <w:numFmt w:val="decimal"/>
      <w:pPr>
        <w:pBdr/>
        <w:spacing/>
        <w:ind w:firstLine="0" w:left="0"/>
      </w:pPr>
      <w:rPr>
        <w:rFonts w:hint="default"/>
      </w:rPr>
      <w:start w:val="1"/>
      <w:suff w:val="space"/>
    </w:lvl>
    <w:lvl w:ilvl="4">
      <w:isLgl w:val="false"/>
      <w:lvlJc w:val="left"/>
      <w:lvlText w:val="%1.%2.%3.%4.%5."/>
      <w:numFmt w:val="decimal"/>
      <w:pPr>
        <w:pBdr/>
        <w:spacing/>
        <w:ind w:firstLine="0" w:left="0"/>
      </w:pPr>
      <w:rPr>
        <w:rFonts w:hint="default"/>
      </w:rPr>
      <w:start w:val="1"/>
      <w:suff w:val="space"/>
    </w:lvl>
    <w:lvl w:ilvl="5">
      <w:isLgl w:val="false"/>
      <w:lvlJc w:val="left"/>
      <w:lvlText w:val="%1.%2.%3.%4.%5.%6."/>
      <w:numFmt w:val="decimal"/>
      <w:pPr>
        <w:pBdr/>
        <w:spacing/>
        <w:ind w:firstLine="0" w:left="0"/>
      </w:pPr>
      <w:rPr>
        <w:rFonts w:hint="default"/>
      </w:rPr>
      <w:start w:val="1"/>
      <w:suff w:val="space"/>
    </w:lvl>
    <w:lvl w:ilvl="6">
      <w:isLgl w:val="false"/>
      <w:lvlJc w:val="left"/>
      <w:lvlText w:val="%1.%2.%3.%4.%5.%6.%7."/>
      <w:numFmt w:val="decimal"/>
      <w:pPr>
        <w:pBdr/>
        <w:spacing/>
        <w:ind w:firstLine="0" w:left="0"/>
      </w:pPr>
      <w:rPr>
        <w:rFonts w:hint="default"/>
      </w:rPr>
      <w:start w:val="1"/>
      <w:suff w:val="space"/>
    </w:lvl>
    <w:lvl w:ilvl="7">
      <w:isLgl w:val="false"/>
      <w:lvlJc w:val="left"/>
      <w:lvlText w:val="%1.%2.%3.%4.%5.%6.%7.%8."/>
      <w:numFmt w:val="decimal"/>
      <w:pPr>
        <w:pBdr/>
        <w:spacing/>
        <w:ind w:firstLine="0" w:left="0"/>
      </w:pPr>
      <w:rPr>
        <w:rFonts w:hint="default"/>
      </w:rPr>
      <w:start w:val="1"/>
      <w:suff w:val="space"/>
    </w:lvl>
    <w:lvl w:ilvl="8">
      <w:isLgl w:val="false"/>
      <w:lvlJc w:val="left"/>
      <w:lvlText w:val="%1.%2.%3.%4.%5.%6.%7.%8.%9."/>
      <w:numFmt w:val="decimal"/>
      <w:pPr>
        <w:pBdr/>
        <w:spacing/>
        <w:ind w:firstLine="0" w:left="0"/>
      </w:pPr>
      <w:rPr>
        <w:rFonts w:hint="default"/>
      </w:rPr>
      <w:start w:val="1"/>
      <w:suff w:val="space"/>
    </w:lvl>
  </w:abstractNum>
  <w:abstractNum w:abstractNumId="5">
    <w:nsid w:val="4F25792B"/>
    <w:lvl w:ilvl="0">
      <w:isLgl w:val="false"/>
      <w:lvlJc w:val="left"/>
      <w:lvlText w:val="%1."/>
      <w:numFmt w:val="decimal"/>
      <w:pPr>
        <w:pBdr/>
        <w:tabs>
          <w:tab w:val="num" w:leader="none" w:pos="0"/>
        </w:tabs>
        <w:spacing/>
        <w:ind w:hanging="360" w:left="360"/>
      </w:pPr>
      <w:pStyle w:val="2058"/>
      <w:rPr>
        <w:b/>
      </w:rPr>
      <w:start w:val="8"/>
      <w:suff w:val="tab"/>
    </w:lvl>
    <w:lvl w:ilvl="1">
      <w:isLgl w:val="false"/>
      <w:lvlJc w:val="left"/>
      <w:lvlText w:val="%1.%2."/>
      <w:numFmt w:val="decimal"/>
      <w:pPr>
        <w:pBdr/>
        <w:tabs>
          <w:tab w:val="num" w:leader="none" w:pos="0"/>
        </w:tabs>
        <w:spacing/>
        <w:ind w:hanging="432" w:left="574"/>
      </w:pPr>
      <w:rPr>
        <w:rFonts w:ascii="Arial" w:hAnsi="Arial" w:cs="Arial"/>
        <w:b w:val="0"/>
        <w:i w:val="0"/>
        <w:strike w:val="0"/>
        <w:color w:val="000000"/>
        <w:sz w:val="20"/>
        <w:szCs w:val="20"/>
        <w:u w:val="none"/>
      </w:rPr>
      <w:start w:val="1"/>
      <w:suff w:val="tab"/>
    </w:lvl>
    <w:lvl w:ilvl="2">
      <w:isLgl w:val="false"/>
      <w:lvlJc w:val="left"/>
      <w:lvlText w:val="%1.%2.%3."/>
      <w:numFmt w:val="decimal"/>
      <w:pPr>
        <w:pBdr/>
        <w:tabs>
          <w:tab w:val="num" w:leader="none" w:pos="0"/>
        </w:tabs>
        <w:spacing/>
        <w:ind w:hanging="504" w:left="1638"/>
      </w:pPr>
      <w:rPr>
        <w:rFonts w:ascii="Arial" w:hAnsi="Arial" w:cs="Arial"/>
        <w:b w:val="0"/>
        <w:i w:val="0"/>
        <w:strike w:val="0"/>
        <w:color w:val="000000"/>
        <w:sz w:val="20"/>
        <w:szCs w:val="20"/>
      </w:rPr>
      <w:start w:val="1"/>
      <w:suff w:val="tab"/>
    </w:lvl>
    <w:lvl w:ilvl="3">
      <w:isLgl w:val="false"/>
      <w:lvlJc w:val="left"/>
      <w:lvlText w:val="%1.%2.%3.%4."/>
      <w:numFmt w:val="decimal"/>
      <w:pPr>
        <w:pBdr/>
        <w:tabs>
          <w:tab w:val="num" w:leader="none" w:pos="0"/>
        </w:tabs>
        <w:spacing/>
        <w:ind w:hanging="648" w:left="2491"/>
      </w:pPr>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6">
    <w:nsid w:val="56BF371C"/>
    <w:lvl w:ilvl="0">
      <w:isLgl w:val="false"/>
      <w:lvlJc w:val="left"/>
      <w:lvlText w:val=""/>
      <w:numFmt w:val="decimal"/>
      <w:pPr>
        <w:pBdr/>
        <w:tabs>
          <w:tab w:val="num" w:leader="none" w:pos="0"/>
        </w:tabs>
        <w:spacing/>
        <w:ind w:firstLine="0" w:left="0"/>
      </w:pPr>
      <w:pStyle w:val="865"/>
      <w:rPr>
        <w:rFonts w:cs="Arial"/>
        <w:b/>
        <w:color w:val="000000"/>
        <w:sz w:val="20"/>
        <w:szCs w:val="20"/>
      </w:rPr>
      <w:start w:val="1"/>
      <w:suff w:val="nothing"/>
    </w:lvl>
    <w:lvl w:ilvl="1">
      <w:isLgl w:val="false"/>
      <w:lvlJc w:val="left"/>
      <w:lvlText w:val=""/>
      <w:numFmt w:val="decimal"/>
      <w:pPr>
        <w:pBdr/>
        <w:tabs>
          <w:tab w:val="num" w:leader="none" w:pos="0"/>
        </w:tabs>
        <w:spacing/>
        <w:ind w:firstLine="0" w:left="0"/>
      </w:pPr>
      <w:pStyle w:val="866"/>
      <w:rPr/>
      <w:start w:val="1"/>
      <w:suff w:val="nothing"/>
    </w:lvl>
    <w:lvl w:ilvl="2">
      <w:isLgl w:val="false"/>
      <w:lvlJc w:val="left"/>
      <w:lvlText w:val=""/>
      <w:numFmt w:val="decimal"/>
      <w:pPr>
        <w:pBdr/>
        <w:tabs>
          <w:tab w:val="num" w:leader="none" w:pos="0"/>
        </w:tabs>
        <w:spacing/>
        <w:ind w:firstLine="0" w:left="0"/>
      </w:pPr>
      <w:pStyle w:val="867"/>
      <w:rPr/>
      <w:start w:val="1"/>
      <w:suff w:val="nothing"/>
    </w:lvl>
    <w:lvl w:ilvl="3">
      <w:isLgl w:val="false"/>
      <w:lvlJc w:val="left"/>
      <w:lvlText w:val=""/>
      <w:numFmt w:val="decimal"/>
      <w:pPr>
        <w:pBdr/>
        <w:tabs>
          <w:tab w:val="num" w:leader="none" w:pos="0"/>
        </w:tabs>
        <w:spacing/>
        <w:ind w:firstLine="0" w:left="0"/>
      </w:pPr>
      <w:pStyle w:val="868"/>
      <w:rPr/>
      <w:start w:val="1"/>
      <w:suff w:val="nothing"/>
    </w:lvl>
    <w:lvl w:ilvl="4">
      <w:isLgl w:val="false"/>
      <w:lvlJc w:val="left"/>
      <w:lvlText w:val=""/>
      <w:numFmt w:val="decimal"/>
      <w:pPr>
        <w:pBdr/>
        <w:tabs>
          <w:tab w:val="num" w:leader="none" w:pos="0"/>
        </w:tabs>
        <w:spacing/>
        <w:ind w:firstLine="0" w:left="0"/>
      </w:pPr>
      <w:pStyle w:val="869"/>
      <w:rPr/>
      <w:start w:val="1"/>
      <w:suff w:val="nothing"/>
    </w:lvl>
    <w:lvl w:ilvl="5">
      <w:isLgl w:val="false"/>
      <w:lvlJc w:val="left"/>
      <w:lvlText w:val=""/>
      <w:numFmt w:val="decimal"/>
      <w:pPr>
        <w:pBdr/>
        <w:tabs>
          <w:tab w:val="num" w:leader="none" w:pos="0"/>
        </w:tabs>
        <w:spacing/>
        <w:ind w:firstLine="0" w:left="0"/>
      </w:pPr>
      <w:rPr/>
      <w:start w:val="1"/>
      <w:suff w:val="nothing"/>
    </w:lvl>
    <w:lvl w:ilvl="6">
      <w:isLgl w:val="false"/>
      <w:lvlJc w:val="left"/>
      <w:lvlText w:val=""/>
      <w:numFmt w:val="decimal"/>
      <w:pPr>
        <w:pBdr/>
        <w:tabs>
          <w:tab w:val="num" w:leader="none" w:pos="0"/>
        </w:tabs>
        <w:spacing/>
        <w:ind w:firstLine="0" w:left="0"/>
      </w:pPr>
      <w:rPr/>
      <w:start w:val="1"/>
      <w:suff w:val="nothing"/>
    </w:lvl>
    <w:lvl w:ilvl="7">
      <w:isLgl w:val="false"/>
      <w:lvlJc w:val="left"/>
      <w:lvlText w:val=""/>
      <w:numFmt w:val="decimal"/>
      <w:pPr>
        <w:pBdr/>
        <w:tabs>
          <w:tab w:val="num" w:leader="none" w:pos="0"/>
        </w:tabs>
        <w:spacing/>
        <w:ind w:firstLine="0" w:left="0"/>
      </w:pPr>
      <w:rPr/>
      <w:start w:val="1"/>
      <w:suff w:val="nothing"/>
    </w:lvl>
    <w:lvl w:ilvl="8">
      <w:isLgl w:val="false"/>
      <w:lvlJc w:val="left"/>
      <w:lvlText w:val=""/>
      <w:numFmt w:val="decimal"/>
      <w:pPr>
        <w:pBdr/>
        <w:tabs>
          <w:tab w:val="num" w:leader="none" w:pos="0"/>
        </w:tabs>
        <w:spacing/>
        <w:ind w:firstLine="0" w:left="0"/>
      </w:pPr>
      <w:rPr/>
      <w:start w:val="1"/>
      <w:suff w:val="nothing"/>
    </w:lvl>
  </w:abstractNum>
  <w:abstractNum w:abstractNumId="7">
    <w:nsid w:val="5C01659C"/>
    <w:lvl w:ilvl="0">
      <w:isLgl w:val="false"/>
      <w:lvlJc w:val="left"/>
      <w:lvlText w:val="%1."/>
      <w:numFmt w:val="decimal"/>
      <w:pPr>
        <w:pBdr/>
        <w:tabs>
          <w:tab w:val="num" w:leader="none" w:pos="0"/>
        </w:tabs>
        <w:spacing/>
        <w:ind w:hanging="360" w:left="360"/>
      </w:pPr>
      <w:rPr>
        <w:rFonts w:cs="Times New Roman"/>
      </w:rPr>
      <w:start w:val="1"/>
      <w:suff w:val="tab"/>
    </w:lvl>
    <w:lvl w:ilvl="1">
      <w:isLgl w:val="false"/>
      <w:lvlJc w:val="left"/>
      <w:lvlText w:val="%1.%2."/>
      <w:numFmt w:val="decimal"/>
      <w:pPr>
        <w:pBdr/>
        <w:tabs>
          <w:tab w:val="num" w:leader="none" w:pos="0"/>
        </w:tabs>
        <w:spacing/>
        <w:ind w:hanging="360" w:left="360"/>
      </w:pPr>
      <w:rPr>
        <w:rFonts w:ascii="Arial" w:hAnsi="Arial" w:cs="Arial"/>
        <w:b/>
      </w:rPr>
      <w:start w:val="1"/>
      <w:suff w:val="tab"/>
    </w:lvl>
    <w:lvl w:ilvl="2">
      <w:isLgl w:val="false"/>
      <w:lvlJc w:val="left"/>
      <w:lvlText w:val="%1.%2.%3."/>
      <w:numFmt w:val="decimal"/>
      <w:pPr>
        <w:pBdr/>
        <w:tabs>
          <w:tab w:val="num" w:leader="none" w:pos="0"/>
        </w:tabs>
        <w:spacing/>
        <w:ind w:hanging="720" w:left="720"/>
      </w:pPr>
      <w:rPr>
        <w:rFonts w:cs="Times New Roman"/>
      </w:rPr>
      <w:start w:val="1"/>
      <w:suff w:val="tab"/>
    </w:lvl>
    <w:lvl w:ilvl="3">
      <w:isLgl w:val="false"/>
      <w:lvlJc w:val="left"/>
      <w:lvlText w:val="%1.%2.%3.%4."/>
      <w:numFmt w:val="decimal"/>
      <w:pPr>
        <w:pBdr/>
        <w:tabs>
          <w:tab w:val="num" w:leader="none" w:pos="0"/>
        </w:tabs>
        <w:spacing/>
        <w:ind w:hanging="720" w:left="720"/>
      </w:pPr>
      <w:rPr>
        <w:rFonts w:cs="Times New Roman"/>
      </w:rPr>
      <w:start w:val="1"/>
      <w:suff w:val="tab"/>
    </w:lvl>
    <w:lvl w:ilvl="4">
      <w:isLgl w:val="false"/>
      <w:lvlJc w:val="left"/>
      <w:lvlText w:val="%1.%2.%3.%4.%5."/>
      <w:numFmt w:val="decimal"/>
      <w:pPr>
        <w:pBdr/>
        <w:tabs>
          <w:tab w:val="num" w:leader="none" w:pos="0"/>
        </w:tabs>
        <w:spacing/>
        <w:ind w:hanging="1080" w:left="1080"/>
      </w:pPr>
      <w:rPr>
        <w:rFonts w:cs="Times New Roman"/>
      </w:rPr>
      <w:start w:val="1"/>
      <w:suff w:val="tab"/>
    </w:lvl>
    <w:lvl w:ilvl="5">
      <w:isLgl w:val="false"/>
      <w:lvlJc w:val="left"/>
      <w:lvlText w:val="%1.%2.%3.%4.%5.%6."/>
      <w:numFmt w:val="decimal"/>
      <w:pPr>
        <w:pBdr/>
        <w:tabs>
          <w:tab w:val="num" w:leader="none" w:pos="0"/>
        </w:tabs>
        <w:spacing/>
        <w:ind w:hanging="1080" w:left="1080"/>
      </w:pPr>
      <w:rPr>
        <w:rFonts w:cs="Times New Roman"/>
      </w:rPr>
      <w:start w:val="1"/>
      <w:suff w:val="tab"/>
    </w:lvl>
    <w:lvl w:ilvl="6">
      <w:isLgl w:val="false"/>
      <w:lvlJc w:val="left"/>
      <w:lvlText w:val="%1.%2.%3.%4.%5.%6.%7."/>
      <w:numFmt w:val="decimal"/>
      <w:pPr>
        <w:pBdr/>
        <w:tabs>
          <w:tab w:val="num" w:leader="none" w:pos="0"/>
        </w:tabs>
        <w:spacing/>
        <w:ind w:hanging="1440" w:left="1440"/>
      </w:pPr>
      <w:rPr>
        <w:rFonts w:cs="Times New Roman"/>
      </w:rPr>
      <w:start w:val="1"/>
      <w:suff w:val="tab"/>
    </w:lvl>
    <w:lvl w:ilvl="7">
      <w:isLgl w:val="false"/>
      <w:lvlJc w:val="left"/>
      <w:lvlText w:val="%1.%2.%3.%4.%5.%6.%7.%8."/>
      <w:numFmt w:val="decimal"/>
      <w:pPr>
        <w:pBdr/>
        <w:tabs>
          <w:tab w:val="num" w:leader="none" w:pos="0"/>
        </w:tabs>
        <w:spacing/>
        <w:ind w:hanging="1440" w:left="1440"/>
      </w:pPr>
      <w:rPr>
        <w:rFonts w:cs="Times New Roman"/>
      </w:rPr>
      <w:start w:val="1"/>
      <w:suff w:val="tab"/>
    </w:lvl>
    <w:lvl w:ilvl="8">
      <w:isLgl w:val="false"/>
      <w:lvlJc w:val="left"/>
      <w:lvlText w:val="%1.%2.%3.%4.%5.%6.%7.%8.%9."/>
      <w:numFmt w:val="decimal"/>
      <w:pPr>
        <w:pBdr/>
        <w:tabs>
          <w:tab w:val="num" w:leader="none" w:pos="0"/>
        </w:tabs>
        <w:spacing/>
        <w:ind w:hanging="1800" w:left="1800"/>
      </w:pPr>
      <w:rPr>
        <w:rFonts w:cs="Times New Roman"/>
      </w:rPr>
      <w:start w:val="1"/>
      <w:suff w:val="tab"/>
    </w:lvl>
  </w:abstractNum>
  <w:abstractNum w:abstractNumId="8">
    <w:nsid w:val="63D667B4"/>
    <w:lvl w:ilvl="0">
      <w:isLgl w:val="false"/>
      <w:lvlJc w:val="left"/>
      <w:lvlText w:val=""/>
      <w:numFmt w:val="decimal"/>
      <w:pPr>
        <w:pBdr/>
        <w:tabs>
          <w:tab w:val="num" w:leader="none" w:pos="0"/>
        </w:tabs>
        <w:spacing/>
        <w:ind w:firstLine="0" w:left="0"/>
      </w:pPr>
      <w:rPr>
        <w:rFonts w:cs="Arial"/>
        <w:b/>
        <w:color w:val="000000"/>
        <w:sz w:val="20"/>
        <w:szCs w:val="20"/>
      </w:rPr>
      <w:start w:val="1"/>
      <w:suff w:val="nothing"/>
    </w:lvl>
    <w:lvl w:ilvl="1">
      <w:isLgl w:val="false"/>
      <w:lvlJc w:val="left"/>
      <w:lvlText w:val=""/>
      <w:numFmt w:val="decimal"/>
      <w:pPr>
        <w:pBdr/>
        <w:tabs>
          <w:tab w:val="num" w:leader="none" w:pos="0"/>
        </w:tabs>
        <w:spacing/>
        <w:ind w:firstLine="0" w:left="0"/>
      </w:pPr>
      <w:rPr/>
      <w:start w:val="1"/>
      <w:suff w:val="nothing"/>
    </w:lvl>
    <w:lvl w:ilvl="2">
      <w:isLgl w:val="false"/>
      <w:lvlJc w:val="left"/>
      <w:lvlText w:val=""/>
      <w:numFmt w:val="decimal"/>
      <w:pPr>
        <w:pBdr/>
        <w:tabs>
          <w:tab w:val="num" w:leader="none" w:pos="0"/>
        </w:tabs>
        <w:spacing/>
        <w:ind w:firstLine="0" w:left="0"/>
      </w:pPr>
      <w:rPr/>
      <w:start w:val="1"/>
      <w:suff w:val="nothing"/>
    </w:lvl>
    <w:lvl w:ilvl="3">
      <w:isLgl w:val="false"/>
      <w:lvlJc w:val="left"/>
      <w:lvlText w:val=""/>
      <w:numFmt w:val="decimal"/>
      <w:pPr>
        <w:pBdr/>
        <w:tabs>
          <w:tab w:val="num" w:leader="none" w:pos="0"/>
        </w:tabs>
        <w:spacing/>
        <w:ind w:firstLine="0" w:left="0"/>
      </w:pPr>
      <w:rPr/>
      <w:start w:val="1"/>
      <w:suff w:val="nothing"/>
    </w:lvl>
    <w:lvl w:ilvl="4">
      <w:isLgl w:val="false"/>
      <w:lvlJc w:val="left"/>
      <w:lvlText w:val=""/>
      <w:numFmt w:val="decimal"/>
      <w:pPr>
        <w:pBdr/>
        <w:tabs>
          <w:tab w:val="num" w:leader="none" w:pos="0"/>
        </w:tabs>
        <w:spacing/>
        <w:ind w:firstLine="0" w:left="0"/>
      </w:pPr>
      <w:rPr/>
      <w:start w:val="1"/>
      <w:suff w:val="nothing"/>
    </w:lvl>
    <w:lvl w:ilvl="5">
      <w:isLgl w:val="false"/>
      <w:lvlJc w:val="left"/>
      <w:lvlText w:val=""/>
      <w:numFmt w:val="decimal"/>
      <w:pPr>
        <w:pBdr/>
        <w:tabs>
          <w:tab w:val="num" w:leader="none" w:pos="0"/>
        </w:tabs>
        <w:spacing/>
        <w:ind w:firstLine="0" w:left="0"/>
      </w:pPr>
      <w:rPr/>
      <w:start w:val="1"/>
      <w:suff w:val="nothing"/>
    </w:lvl>
    <w:lvl w:ilvl="6">
      <w:isLgl w:val="false"/>
      <w:lvlJc w:val="left"/>
      <w:lvlText w:val=""/>
      <w:numFmt w:val="decimal"/>
      <w:pPr>
        <w:pBdr/>
        <w:tabs>
          <w:tab w:val="num" w:leader="none" w:pos="0"/>
        </w:tabs>
        <w:spacing/>
        <w:ind w:firstLine="0" w:left="0"/>
      </w:pPr>
      <w:rPr/>
      <w:start w:val="1"/>
      <w:suff w:val="nothing"/>
    </w:lvl>
    <w:lvl w:ilvl="7">
      <w:isLgl w:val="false"/>
      <w:lvlJc w:val="left"/>
      <w:lvlText w:val=""/>
      <w:numFmt w:val="decimal"/>
      <w:pPr>
        <w:pBdr/>
        <w:tabs>
          <w:tab w:val="num" w:leader="none" w:pos="0"/>
        </w:tabs>
        <w:spacing/>
        <w:ind w:firstLine="0" w:left="0"/>
      </w:pPr>
      <w:rPr/>
      <w:start w:val="1"/>
      <w:suff w:val="nothing"/>
    </w:lvl>
    <w:lvl w:ilvl="8">
      <w:isLgl w:val="false"/>
      <w:lvlJc w:val="left"/>
      <w:lvlText w:val=""/>
      <w:numFmt w:val="decimal"/>
      <w:pPr>
        <w:pBdr/>
        <w:tabs>
          <w:tab w:val="num" w:leader="none" w:pos="0"/>
        </w:tabs>
        <w:spacing/>
        <w:ind w:firstLine="0" w:left="0"/>
      </w:pPr>
      <w:rPr/>
      <w:start w:val="1"/>
      <w:suff w:val="nothing"/>
    </w:lvl>
  </w:abstractNum>
  <w:abstractNum w:abstractNumId="9">
    <w:nsid w:val="643E6DF1"/>
    <w:lvl w:ilvl="0">
      <w:isLgl w:val="false"/>
      <w:lvlJc w:val="left"/>
      <w:lvlText w:val=""/>
      <w:numFmt w:val="decimal"/>
      <w:pPr>
        <w:pBdr/>
        <w:tabs>
          <w:tab w:val="num" w:leader="none" w:pos="0"/>
        </w:tabs>
        <w:spacing/>
        <w:ind w:firstLine="0" w:left="0"/>
      </w:pPr>
      <w:rPr>
        <w:rFonts w:cs="Arial"/>
        <w:b/>
        <w:color w:val="000000"/>
        <w:sz w:val="20"/>
        <w:szCs w:val="20"/>
      </w:rPr>
      <w:start w:val="1"/>
      <w:suff w:val="nothing"/>
    </w:lvl>
    <w:lvl w:ilvl="1">
      <w:isLgl w:val="false"/>
      <w:lvlJc w:val="left"/>
      <w:lvlText w:val=""/>
      <w:numFmt w:val="decimal"/>
      <w:pPr>
        <w:pBdr/>
        <w:tabs>
          <w:tab w:val="num" w:leader="none" w:pos="0"/>
        </w:tabs>
        <w:spacing/>
        <w:ind w:firstLine="0" w:left="0"/>
      </w:pPr>
      <w:rPr/>
      <w:start w:val="1"/>
      <w:suff w:val="nothing"/>
    </w:lvl>
    <w:lvl w:ilvl="2">
      <w:isLgl w:val="false"/>
      <w:lvlJc w:val="left"/>
      <w:lvlText w:val=""/>
      <w:numFmt w:val="decimal"/>
      <w:pPr>
        <w:pBdr/>
        <w:tabs>
          <w:tab w:val="num" w:leader="none" w:pos="0"/>
        </w:tabs>
        <w:spacing/>
        <w:ind w:firstLine="0" w:left="0"/>
      </w:pPr>
      <w:rPr/>
      <w:start w:val="1"/>
      <w:suff w:val="nothing"/>
    </w:lvl>
    <w:lvl w:ilvl="3">
      <w:isLgl w:val="false"/>
      <w:lvlJc w:val="left"/>
      <w:lvlText w:val=""/>
      <w:numFmt w:val="decimal"/>
      <w:pPr>
        <w:pBdr/>
        <w:tabs>
          <w:tab w:val="num" w:leader="none" w:pos="0"/>
        </w:tabs>
        <w:spacing/>
        <w:ind w:firstLine="0" w:left="0"/>
      </w:pPr>
      <w:rPr/>
      <w:start w:val="1"/>
      <w:suff w:val="nothing"/>
    </w:lvl>
    <w:lvl w:ilvl="4">
      <w:isLgl w:val="false"/>
      <w:lvlJc w:val="left"/>
      <w:lvlText w:val=""/>
      <w:numFmt w:val="decimal"/>
      <w:pPr>
        <w:pBdr/>
        <w:tabs>
          <w:tab w:val="num" w:leader="none" w:pos="0"/>
        </w:tabs>
        <w:spacing/>
        <w:ind w:firstLine="0" w:left="0"/>
      </w:pPr>
      <w:rPr/>
      <w:start w:val="1"/>
      <w:suff w:val="nothing"/>
    </w:lvl>
    <w:lvl w:ilvl="5">
      <w:isLgl w:val="false"/>
      <w:lvlJc w:val="left"/>
      <w:lvlText w:val=""/>
      <w:numFmt w:val="decimal"/>
      <w:pPr>
        <w:pBdr/>
        <w:tabs>
          <w:tab w:val="num" w:leader="none" w:pos="0"/>
        </w:tabs>
        <w:spacing/>
        <w:ind w:firstLine="0" w:left="0"/>
      </w:pPr>
      <w:rPr/>
      <w:start w:val="1"/>
      <w:suff w:val="nothing"/>
    </w:lvl>
    <w:lvl w:ilvl="6">
      <w:isLgl w:val="false"/>
      <w:lvlJc w:val="left"/>
      <w:lvlText w:val=""/>
      <w:numFmt w:val="decimal"/>
      <w:pPr>
        <w:pBdr/>
        <w:tabs>
          <w:tab w:val="num" w:leader="none" w:pos="0"/>
        </w:tabs>
        <w:spacing/>
        <w:ind w:firstLine="0" w:left="0"/>
      </w:pPr>
      <w:rPr/>
      <w:start w:val="1"/>
      <w:suff w:val="nothing"/>
    </w:lvl>
    <w:lvl w:ilvl="7">
      <w:isLgl w:val="false"/>
      <w:lvlJc w:val="left"/>
      <w:lvlText w:val=""/>
      <w:numFmt w:val="decimal"/>
      <w:pPr>
        <w:pBdr/>
        <w:tabs>
          <w:tab w:val="num" w:leader="none" w:pos="0"/>
        </w:tabs>
        <w:spacing/>
        <w:ind w:firstLine="0" w:left="0"/>
      </w:pPr>
      <w:rPr/>
      <w:start w:val="1"/>
      <w:suff w:val="nothing"/>
    </w:lvl>
    <w:lvl w:ilvl="8">
      <w:isLgl w:val="false"/>
      <w:lvlJc w:val="left"/>
      <w:lvlText w:val=""/>
      <w:numFmt w:val="decimal"/>
      <w:pPr>
        <w:pBdr/>
        <w:tabs>
          <w:tab w:val="num" w:leader="none" w:pos="0"/>
        </w:tabs>
        <w:spacing/>
        <w:ind w:firstLine="0" w:left="0"/>
      </w:pPr>
      <w:rPr/>
      <w:start w:val="1"/>
      <w:suff w:val="nothing"/>
    </w:lvl>
  </w:abstractNum>
  <w:abstractNum w:abstractNumId="10">
    <w:nsid w:val="30D79971"/>
    <w:lvl w:ilvl="0">
      <w:isLgl w:val="false"/>
      <w:lvlJc w:val="left"/>
      <w:lvlText w:val="%1."/>
      <w:numFmt w:val="decimal"/>
      <w:pPr>
        <w:pBdr/>
        <w:spacing/>
        <w:ind/>
      </w:pPr>
      <w:rPr>
        <w:b/>
        <w:bCs/>
      </w:rPr>
      <w:start w:val="1"/>
      <w:suff w:val="space"/>
    </w:lvl>
    <w:lvl w:ilvl="1">
      <w:isLgl w:val="false"/>
      <w:lvlJc w:val="left"/>
      <w:lvlText w:val="%1.%2."/>
      <w:numFmt w:val="decimal"/>
      <w:pPr>
        <w:pBdr/>
        <w:spacing/>
        <w:ind w:firstLine="0" w:left="0"/>
      </w:pPr>
      <w:rPr>
        <w:b/>
        <w:bCs/>
      </w:rPr>
      <w:start w:val="1"/>
      <w:suff w:val="space"/>
    </w:lvl>
    <w:lvl w:ilvl="2">
      <w:isLgl w:val="false"/>
      <w:lvlJc w:val="left"/>
      <w:lvlText w:val="%1.%2.%3."/>
      <w:numFmt w:val="decimal"/>
      <w:pPr>
        <w:pBdr/>
        <w:spacing/>
        <w:ind w:firstLine="0" w:left="0"/>
      </w:pPr>
      <w:rPr/>
      <w:start w:val="1"/>
      <w:suff w:val="space"/>
    </w:lvl>
    <w:lvl w:ilvl="3">
      <w:isLgl w:val="false"/>
      <w:lvlJc w:val="left"/>
      <w:lvlText w:val="%1.%2.%3.%4."/>
      <w:numFmt w:val="decimal"/>
      <w:pPr>
        <w:pBdr/>
        <w:spacing/>
        <w:ind w:firstLine="0" w:left="0"/>
      </w:pPr>
      <w:rPr/>
      <w:start w:val="1"/>
      <w:suff w:val="space"/>
    </w:lvl>
    <w:lvl w:ilvl="4">
      <w:isLgl w:val="false"/>
      <w:lvlJc w:val="left"/>
      <w:lvlText w:val="%1.%2.%3.%4.%5."/>
      <w:numFmt w:val="decimal"/>
      <w:pPr>
        <w:pBdr/>
        <w:spacing/>
        <w:ind w:firstLine="0" w:left="0"/>
      </w:pPr>
      <w:rPr/>
      <w:start w:val="1"/>
      <w:suff w:val="space"/>
    </w:lvl>
    <w:lvl w:ilvl="5">
      <w:isLgl w:val="false"/>
      <w:lvlJc w:val="left"/>
      <w:lvlText w:val="%1.%2.%3.%4.%5.%6."/>
      <w:numFmt w:val="decimal"/>
      <w:pPr>
        <w:pBdr/>
        <w:spacing/>
        <w:ind w:firstLine="0" w:left="0"/>
      </w:pPr>
      <w:rPr/>
      <w:start w:val="1"/>
      <w:suff w:val="space"/>
    </w:lvl>
    <w:lvl w:ilvl="6">
      <w:isLgl w:val="false"/>
      <w:lvlJc w:val="left"/>
      <w:lvlText w:val="%1.%2.%3.%4.%5.%6.%7."/>
      <w:numFmt w:val="decimal"/>
      <w:pPr>
        <w:pBdr/>
        <w:spacing/>
        <w:ind w:firstLine="0" w:left="0"/>
      </w:pPr>
      <w:rPr/>
      <w:start w:val="1"/>
      <w:suff w:val="space"/>
    </w:lvl>
    <w:lvl w:ilvl="7">
      <w:isLgl w:val="false"/>
      <w:lvlJc w:val="left"/>
      <w:lvlText w:val="%1.%2.%3.%4.%5.%6.%7.%8."/>
      <w:numFmt w:val="decimal"/>
      <w:pPr>
        <w:pBdr/>
        <w:spacing/>
        <w:ind w:firstLine="0" w:left="0"/>
      </w:pPr>
      <w:rPr/>
      <w:start w:val="1"/>
      <w:suff w:val="space"/>
    </w:lvl>
    <w:lvl w:ilvl="8">
      <w:isLgl w:val="false"/>
      <w:lvlJc w:val="left"/>
      <w:lvlText w:val="%1.%2.%3.%4.%5.%6.%7.%8.%9."/>
      <w:numFmt w:val="decimal"/>
      <w:pPr>
        <w:pBdr/>
        <w:spacing/>
        <w:ind w:firstLine="0" w:left="0"/>
      </w:pPr>
      <w:rPr/>
      <w:start w:val="1"/>
      <w:suff w:val="space"/>
    </w:lvl>
  </w:abstractNum>
  <w:abstractNum w:abstractNumId="11">
    <w:nsid w:val="68FC8E75"/>
    <w:lvl w:ilvl="0">
      <w:isLgl w:val="false"/>
      <w:lvlJc w:val="left"/>
      <w:lvlText w:val="%1."/>
      <w:numFmt w:val="decimal"/>
      <w:pPr>
        <w:pBdr/>
        <w:spacing/>
        <w:ind/>
      </w:pPr>
      <w:rPr/>
      <w:start w:val="8"/>
      <w:suff w:val="space"/>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2">
    <w:nsid w:val="A8D72574"/>
    <w:lvl w:ilvl="0">
      <w:isLgl w:val="false"/>
      <w:lvlJc w:val="left"/>
      <w:lvlText w:val="%1."/>
      <w:numFmt w:val="decimal"/>
      <w:pPr>
        <w:pBdr/>
        <w:spacing/>
        <w:ind/>
      </w:pPr>
      <w:rPr/>
      <w:start w:val="10"/>
      <w:suff w:val="space"/>
    </w:lvl>
    <w:lvl w:ilvl="1">
      <w:isLgl w:val="false"/>
      <w:lvlJc w:val="left"/>
      <w:lvlText w:val="%1.%2."/>
      <w:numFmt w:val="decimal"/>
      <w:pPr>
        <w:pBdr/>
        <w:spacing/>
        <w:ind w:firstLine="0" w:left="0"/>
      </w:pPr>
      <w:rPr>
        <w:b/>
        <w:bCs/>
      </w:rPr>
      <w:start w:val="1"/>
      <w:suff w:val="space"/>
    </w:lvl>
    <w:lvl w:ilvl="2">
      <w:isLgl w:val="false"/>
      <w:lvlJc w:val="left"/>
      <w:lvlText w:val="%1.%2.%3."/>
      <w:numFmt w:val="decimal"/>
      <w:pPr>
        <w:pBdr/>
        <w:spacing/>
        <w:ind w:firstLine="0" w:left="0"/>
      </w:pPr>
      <w:rPr/>
      <w:start w:val="1"/>
      <w:suff w:val="space"/>
    </w:lvl>
    <w:lvl w:ilvl="3">
      <w:isLgl w:val="false"/>
      <w:lvlJc w:val="left"/>
      <w:lvlText w:val="%1.%2.%3.%4."/>
      <w:numFmt w:val="decimal"/>
      <w:pPr>
        <w:pBdr/>
        <w:spacing/>
        <w:ind w:firstLine="0" w:left="0"/>
      </w:pPr>
      <w:rPr/>
      <w:start w:val="1"/>
      <w:suff w:val="space"/>
    </w:lvl>
    <w:lvl w:ilvl="4">
      <w:isLgl w:val="false"/>
      <w:lvlJc w:val="left"/>
      <w:lvlText w:val="%1.%2.%3.%4.%5."/>
      <w:numFmt w:val="decimal"/>
      <w:pPr>
        <w:pBdr/>
        <w:spacing/>
        <w:ind w:firstLine="0" w:left="0"/>
      </w:pPr>
      <w:rPr/>
      <w:start w:val="1"/>
      <w:suff w:val="space"/>
    </w:lvl>
    <w:lvl w:ilvl="5">
      <w:isLgl w:val="false"/>
      <w:lvlJc w:val="left"/>
      <w:lvlText w:val="%1.%2.%3.%4.%5.%6."/>
      <w:numFmt w:val="decimal"/>
      <w:pPr>
        <w:pBdr/>
        <w:spacing/>
        <w:ind w:firstLine="0" w:left="0"/>
      </w:pPr>
      <w:rPr/>
      <w:start w:val="1"/>
      <w:suff w:val="space"/>
    </w:lvl>
    <w:lvl w:ilvl="6">
      <w:isLgl w:val="false"/>
      <w:lvlJc w:val="left"/>
      <w:lvlText w:val="%1.%2.%3.%4.%5.%6.%7."/>
      <w:numFmt w:val="decimal"/>
      <w:pPr>
        <w:pBdr/>
        <w:spacing/>
        <w:ind w:firstLine="0" w:left="0"/>
      </w:pPr>
      <w:rPr/>
      <w:start w:val="1"/>
      <w:suff w:val="space"/>
    </w:lvl>
    <w:lvl w:ilvl="7">
      <w:isLgl w:val="false"/>
      <w:lvlJc w:val="left"/>
      <w:lvlText w:val="%1.%2.%3.%4.%5.%6.%7.%8."/>
      <w:numFmt w:val="decimal"/>
      <w:pPr>
        <w:pBdr/>
        <w:spacing/>
        <w:ind w:firstLine="0" w:left="0"/>
      </w:pPr>
      <w:rPr/>
      <w:start w:val="1"/>
      <w:suff w:val="space"/>
    </w:lvl>
    <w:lvl w:ilvl="8">
      <w:isLgl w:val="false"/>
      <w:lvlJc w:val="left"/>
      <w:lvlText w:val="%1.%2.%3.%4.%5.%6.%7.%8.%9."/>
      <w:numFmt w:val="decimal"/>
      <w:pPr>
        <w:pBdr/>
        <w:spacing/>
        <w:ind w:firstLine="0" w:left="0"/>
      </w:pPr>
      <w:rPr/>
      <w:start w:val="1"/>
      <w:suff w:val="space"/>
    </w:lvl>
  </w:abstractNum>
  <w:abstractNum w:abstractNumId="13">
    <w:nsid w:val="2D60283D"/>
    <w:lvl w:ilvl="0">
      <w:isLgl w:val="false"/>
      <w:lvlJc w:val="left"/>
      <w:lvlText w:val="%1."/>
      <w:numFmt w:val="decimal"/>
      <w:pPr>
        <w:pBdr/>
        <w:spacing/>
        <w:ind/>
      </w:pPr>
      <w:rPr/>
      <w:start w:val="14"/>
      <w:suff w:val="space"/>
    </w:lvl>
    <w:lvl w:ilvl="1">
      <w:isLgl w:val="false"/>
      <w:lvlJc w:val="left"/>
      <w:lvlText w:val="%1.%2."/>
      <w:numFmt w:val="decimal"/>
      <w:pPr>
        <w:pBdr/>
        <w:spacing/>
        <w:ind w:firstLine="0" w:left="0"/>
      </w:pPr>
      <w:rPr>
        <w:b/>
        <w:bCs/>
      </w:rPr>
      <w:start w:val="1"/>
      <w:suff w:val="space"/>
    </w:lvl>
    <w:lvl w:ilvl="2">
      <w:isLgl w:val="false"/>
      <w:lvlJc w:val="left"/>
      <w:lvlText w:val="%1.%2.%3."/>
      <w:numFmt w:val="decimal"/>
      <w:pPr>
        <w:pBdr/>
        <w:spacing/>
        <w:ind w:firstLine="0" w:left="0"/>
      </w:pPr>
      <w:rPr/>
      <w:start w:val="1"/>
      <w:suff w:val="space"/>
    </w:lvl>
    <w:lvl w:ilvl="3">
      <w:isLgl w:val="false"/>
      <w:lvlJc w:val="left"/>
      <w:lvlText w:val="%1.%2.%3.%4."/>
      <w:numFmt w:val="decimal"/>
      <w:pPr>
        <w:pBdr/>
        <w:spacing/>
        <w:ind w:firstLine="0" w:left="0"/>
      </w:pPr>
      <w:rPr/>
      <w:start w:val="1"/>
      <w:suff w:val="space"/>
    </w:lvl>
    <w:lvl w:ilvl="4">
      <w:isLgl w:val="false"/>
      <w:lvlJc w:val="left"/>
      <w:lvlText w:val="%1.%2.%3.%4.%5."/>
      <w:numFmt w:val="decimal"/>
      <w:pPr>
        <w:pBdr/>
        <w:spacing/>
        <w:ind w:firstLine="0" w:left="0"/>
      </w:pPr>
      <w:rPr/>
      <w:start w:val="1"/>
      <w:suff w:val="space"/>
    </w:lvl>
    <w:lvl w:ilvl="5">
      <w:isLgl w:val="false"/>
      <w:lvlJc w:val="left"/>
      <w:lvlText w:val="%1.%2.%3.%4.%5.%6."/>
      <w:numFmt w:val="decimal"/>
      <w:pPr>
        <w:pBdr/>
        <w:spacing/>
        <w:ind w:firstLine="0" w:left="0"/>
      </w:pPr>
      <w:rPr/>
      <w:start w:val="1"/>
      <w:suff w:val="space"/>
    </w:lvl>
    <w:lvl w:ilvl="6">
      <w:isLgl w:val="false"/>
      <w:lvlJc w:val="left"/>
      <w:lvlText w:val="%1.%2.%3.%4.%5.%6.%7."/>
      <w:numFmt w:val="decimal"/>
      <w:pPr>
        <w:pBdr/>
        <w:spacing/>
        <w:ind w:firstLine="0" w:left="0"/>
      </w:pPr>
      <w:rPr/>
      <w:start w:val="1"/>
      <w:suff w:val="space"/>
    </w:lvl>
    <w:lvl w:ilvl="7">
      <w:isLgl w:val="false"/>
      <w:lvlJc w:val="left"/>
      <w:lvlText w:val="%1.%2.%3.%4.%5.%6.%7.%8."/>
      <w:numFmt w:val="decimal"/>
      <w:pPr>
        <w:pBdr/>
        <w:spacing/>
        <w:ind w:firstLine="0" w:left="0"/>
      </w:pPr>
      <w:rPr/>
      <w:start w:val="1"/>
      <w:suff w:val="space"/>
    </w:lvl>
    <w:lvl w:ilvl="8">
      <w:isLgl w:val="false"/>
      <w:lvlJc w:val="left"/>
      <w:lvlText w:val="%1.%2.%3.%4.%5.%6.%7.%8.%9."/>
      <w:numFmt w:val="decimal"/>
      <w:pPr>
        <w:pBdr/>
        <w:spacing/>
        <w:ind w:firstLine="0" w:left="0"/>
      </w:pPr>
      <w:rPr/>
      <w:start w:val="1"/>
      <w:suff w:val="space"/>
    </w:lvl>
  </w:abstractNum>
  <w:abstractNum w:abstractNumId="14">
    <w:nsid w:val="3B343425"/>
    <w:lvl w:ilvl="0">
      <w:isLgl w:val="false"/>
      <w:lvlJc w:val="left"/>
      <w:lvlText w:val="%1."/>
      <w:numFmt w:val="decimal"/>
      <w:pPr>
        <w:pBdr/>
        <w:spacing/>
        <w:ind/>
      </w:pPr>
      <w:rPr>
        <w:b/>
        <w:bCs/>
      </w:rPr>
      <w:start w:val="16"/>
      <w:suff w:val="space"/>
    </w:lvl>
    <w:lvl w:ilvl="1">
      <w:isLgl w:val="false"/>
      <w:lvlJc w:val="left"/>
      <w:lvlText w:val="%1.%2."/>
      <w:numFmt w:val="decimal"/>
      <w:pPr>
        <w:pBdr/>
        <w:spacing/>
        <w:ind w:firstLine="0" w:left="0"/>
      </w:pPr>
      <w:rPr>
        <w:b/>
        <w:bCs/>
      </w:rPr>
      <w:start w:val="1"/>
      <w:suff w:val="space"/>
    </w:lvl>
    <w:lvl w:ilvl="2">
      <w:isLgl w:val="false"/>
      <w:lvlJc w:val="left"/>
      <w:lvlText w:val="%1.%2.%3."/>
      <w:numFmt w:val="decimal"/>
      <w:pPr>
        <w:pBdr/>
        <w:spacing/>
        <w:ind w:firstLine="0" w:left="0"/>
      </w:pPr>
      <w:rPr>
        <w:b/>
        <w:bCs/>
      </w:rPr>
      <w:start w:val="1"/>
      <w:suff w:val="space"/>
    </w:lvl>
    <w:lvl w:ilvl="3">
      <w:isLgl w:val="false"/>
      <w:lvlJc w:val="left"/>
      <w:lvlText w:val="%1.%2.%3.%4."/>
      <w:numFmt w:val="decimal"/>
      <w:pPr>
        <w:pBdr/>
        <w:spacing/>
        <w:ind w:firstLine="0" w:left="0"/>
      </w:pPr>
      <w:rPr>
        <w:b/>
        <w:bCs/>
      </w:rPr>
      <w:start w:val="1"/>
      <w:suff w:val="space"/>
    </w:lvl>
    <w:lvl w:ilvl="4">
      <w:isLgl w:val="false"/>
      <w:lvlJc w:val="left"/>
      <w:lvlText w:val="%1.%2.%3.%4.%5."/>
      <w:numFmt w:val="decimal"/>
      <w:pPr>
        <w:pBdr/>
        <w:spacing/>
        <w:ind w:firstLine="0" w:left="0"/>
      </w:pPr>
      <w:rPr>
        <w:b/>
        <w:bCs/>
      </w:rPr>
      <w:start w:val="1"/>
      <w:suff w:val="space"/>
    </w:lvl>
    <w:lvl w:ilvl="5">
      <w:isLgl w:val="false"/>
      <w:lvlJc w:val="left"/>
      <w:lvlText w:val="%1.%2.%3.%4.%5.%6."/>
      <w:numFmt w:val="decimal"/>
      <w:pPr>
        <w:pBdr/>
        <w:spacing/>
        <w:ind w:firstLine="0" w:left="0"/>
      </w:pPr>
      <w:rPr/>
      <w:start w:val="1"/>
      <w:suff w:val="space"/>
    </w:lvl>
    <w:lvl w:ilvl="6">
      <w:isLgl w:val="false"/>
      <w:lvlJc w:val="left"/>
      <w:lvlText w:val="%1.%2.%3.%4.%5.%6.%7."/>
      <w:numFmt w:val="decimal"/>
      <w:pPr>
        <w:pBdr/>
        <w:spacing/>
        <w:ind w:firstLine="0" w:left="0"/>
      </w:pPr>
      <w:rPr/>
      <w:start w:val="1"/>
      <w:suff w:val="space"/>
    </w:lvl>
    <w:lvl w:ilvl="7">
      <w:isLgl w:val="false"/>
      <w:lvlJc w:val="left"/>
      <w:lvlText w:val="%1.%2.%3.%4.%5.%6.%7.%8."/>
      <w:numFmt w:val="decimal"/>
      <w:pPr>
        <w:pBdr/>
        <w:spacing/>
        <w:ind w:firstLine="0" w:left="0"/>
      </w:pPr>
      <w:rPr/>
      <w:start w:val="1"/>
      <w:suff w:val="space"/>
    </w:lvl>
    <w:lvl w:ilvl="8">
      <w:isLgl w:val="false"/>
      <w:lvlJc w:val="left"/>
      <w:lvlText w:val="%1.%2.%3.%4.%5.%6.%7.%8.%9."/>
      <w:numFmt w:val="decimal"/>
      <w:pPr>
        <w:pBdr/>
        <w:spacing/>
        <w:ind w:firstLine="0" w:left="0"/>
      </w:pPr>
      <w:rPr/>
      <w:start w:val="1"/>
      <w:suff w:val="space"/>
    </w:lvl>
  </w:abstractNum>
  <w:abstractNum w:abstractNumId="15">
    <w:nsid w:val="3B343425"/>
    <w:lvl w:ilvl="0">
      <w:isLgl w:val="false"/>
      <w:lvlJc w:val="left"/>
      <w:lvlText w:val="%1."/>
      <w:numFmt w:val="decimal"/>
      <w:pPr>
        <w:pBdr/>
        <w:spacing/>
        <w:ind/>
      </w:pPr>
      <w:rPr>
        <w:b/>
        <w:bCs/>
      </w:rPr>
      <w:start w:val="16"/>
      <w:suff w:val="space"/>
    </w:lvl>
    <w:lvl w:ilvl="1">
      <w:isLgl w:val="false"/>
      <w:lvlJc w:val="left"/>
      <w:lvlText w:val="%1.%2."/>
      <w:numFmt w:val="decimal"/>
      <w:pPr>
        <w:pBdr/>
        <w:spacing/>
        <w:ind w:firstLine="0" w:left="0"/>
      </w:pPr>
      <w:rPr>
        <w:b/>
        <w:bCs/>
      </w:rPr>
      <w:start w:val="1"/>
      <w:suff w:val="space"/>
    </w:lvl>
    <w:lvl w:ilvl="2">
      <w:isLgl w:val="false"/>
      <w:lvlJc w:val="left"/>
      <w:lvlText w:val="%1.%2.%3."/>
      <w:numFmt w:val="decimal"/>
      <w:pPr>
        <w:pBdr/>
        <w:spacing/>
        <w:ind w:firstLine="0" w:left="0"/>
      </w:pPr>
      <w:rPr>
        <w:b/>
        <w:bCs/>
      </w:rPr>
      <w:start w:val="1"/>
      <w:suff w:val="space"/>
    </w:lvl>
    <w:lvl w:ilvl="3">
      <w:isLgl w:val="false"/>
      <w:lvlJc w:val="left"/>
      <w:lvlText w:val="%1.%2.%3.%4."/>
      <w:numFmt w:val="decimal"/>
      <w:pPr>
        <w:pBdr/>
        <w:spacing/>
        <w:ind w:firstLine="0" w:left="0"/>
      </w:pPr>
      <w:rPr>
        <w:b/>
        <w:bCs/>
      </w:rPr>
      <w:start w:val="1"/>
      <w:suff w:val="space"/>
    </w:lvl>
    <w:lvl w:ilvl="4">
      <w:isLgl w:val="false"/>
      <w:lvlJc w:val="left"/>
      <w:lvlText w:val="%1.%2.%3.%4.%5."/>
      <w:numFmt w:val="decimal"/>
      <w:pPr>
        <w:pBdr/>
        <w:spacing/>
        <w:ind w:firstLine="0" w:left="0"/>
      </w:pPr>
      <w:rPr>
        <w:b/>
        <w:bCs/>
      </w:rPr>
      <w:start w:val="1"/>
      <w:suff w:val="space"/>
    </w:lvl>
    <w:lvl w:ilvl="5">
      <w:isLgl w:val="false"/>
      <w:lvlJc w:val="left"/>
      <w:lvlText w:val="%1.%2.%3.%4.%5.%6."/>
      <w:numFmt w:val="decimal"/>
      <w:pPr>
        <w:pBdr/>
        <w:spacing/>
        <w:ind w:firstLine="0" w:left="0"/>
      </w:pPr>
      <w:rPr/>
      <w:start w:val="1"/>
      <w:suff w:val="space"/>
    </w:lvl>
    <w:lvl w:ilvl="6">
      <w:isLgl w:val="false"/>
      <w:lvlJc w:val="left"/>
      <w:lvlText w:val="%1.%2.%3.%4.%5.%6.%7."/>
      <w:numFmt w:val="decimal"/>
      <w:pPr>
        <w:pBdr/>
        <w:spacing/>
        <w:ind w:firstLine="0" w:left="0"/>
      </w:pPr>
      <w:rPr/>
      <w:start w:val="1"/>
      <w:suff w:val="space"/>
    </w:lvl>
    <w:lvl w:ilvl="7">
      <w:isLgl w:val="false"/>
      <w:lvlJc w:val="left"/>
      <w:lvlText w:val="%1.%2.%3.%4.%5.%6.%7.%8."/>
      <w:numFmt w:val="decimal"/>
      <w:pPr>
        <w:pBdr/>
        <w:spacing/>
        <w:ind w:firstLine="0" w:left="0"/>
      </w:pPr>
      <w:rPr/>
      <w:start w:val="1"/>
      <w:suff w:val="space"/>
    </w:lvl>
    <w:lvl w:ilvl="8">
      <w:isLgl w:val="false"/>
      <w:lvlJc w:val="left"/>
      <w:lvlText w:val="%1.%2.%3.%4.%5.%6.%7.%8.%9."/>
      <w:numFmt w:val="decimal"/>
      <w:pPr>
        <w:pBdr/>
        <w:spacing/>
        <w:ind w:firstLine="0" w:left="0"/>
      </w:pPr>
      <w:rPr/>
      <w:start w:val="1"/>
      <w:suff w:val="space"/>
    </w:lvl>
  </w:abstractNum>
  <w:abstractNum w:abstractNumId="16">
    <w:nsid w:val="45EDB9F8"/>
    <w:lvl w:ilvl="0">
      <w:isLgl w:val="false"/>
      <w:lvlJc w:val="left"/>
      <w:lvlText w:val="%1."/>
      <w:numFmt w:val="decimal"/>
      <w:pPr>
        <w:pBdr/>
        <w:spacing/>
        <w:ind w:firstLine="0" w:left="0"/>
      </w:pPr>
      <w:rPr>
        <w:rFonts w:hint="default"/>
      </w:rPr>
      <w:start w:val="1"/>
      <w:suff w:val="space"/>
    </w:lvl>
    <w:lvl w:ilvl="1">
      <w:isLgl w:val="false"/>
      <w:lvlJc w:val="left"/>
      <w:lvlText w:val="%1.%2."/>
      <w:numFmt w:val="decimal"/>
      <w:pPr>
        <w:pBdr/>
        <w:spacing/>
        <w:ind w:firstLine="0" w:left="0"/>
      </w:pPr>
      <w:rPr>
        <w:rFonts w:hint="default" w:ascii="Times New Roman" w:hAnsi="Times New Roman" w:cs="Times New Roman"/>
        <w:b/>
        <w:bCs/>
      </w:rPr>
      <w:start w:val="1"/>
      <w:suff w:val="space"/>
    </w:lvl>
    <w:lvl w:ilvl="2">
      <w:isLgl w:val="false"/>
      <w:lvlJc w:val="left"/>
      <w:lvlText w:val="%1.%2.%3."/>
      <w:numFmt w:val="decimal"/>
      <w:pPr>
        <w:pBdr/>
        <w:spacing/>
        <w:ind w:firstLine="0" w:left="0"/>
      </w:pPr>
      <w:rPr>
        <w:rFonts w:hint="default"/>
      </w:rPr>
      <w:start w:val="1"/>
      <w:suff w:val="space"/>
    </w:lvl>
    <w:lvl w:ilvl="3">
      <w:isLgl w:val="false"/>
      <w:lvlJc w:val="left"/>
      <w:lvlText w:val="%1.%2.%3.%4."/>
      <w:numFmt w:val="decimal"/>
      <w:pPr>
        <w:pBdr/>
        <w:spacing/>
        <w:ind w:firstLine="0" w:left="0"/>
      </w:pPr>
      <w:rPr>
        <w:rFonts w:hint="default"/>
      </w:rPr>
      <w:start w:val="1"/>
      <w:suff w:val="space"/>
    </w:lvl>
    <w:lvl w:ilvl="4">
      <w:isLgl w:val="false"/>
      <w:lvlJc w:val="left"/>
      <w:lvlText w:val="%1.%2.%3.%4.%5."/>
      <w:numFmt w:val="decimal"/>
      <w:pPr>
        <w:pBdr/>
        <w:spacing/>
        <w:ind w:firstLine="0" w:left="0"/>
      </w:pPr>
      <w:rPr>
        <w:rFonts w:hint="default"/>
      </w:rPr>
      <w:start w:val="1"/>
      <w:suff w:val="space"/>
    </w:lvl>
    <w:lvl w:ilvl="5">
      <w:isLgl w:val="false"/>
      <w:lvlJc w:val="left"/>
      <w:lvlText w:val="%1.%2.%3.%4.%5.%6."/>
      <w:numFmt w:val="decimal"/>
      <w:pPr>
        <w:pBdr/>
        <w:spacing/>
        <w:ind w:firstLine="0" w:left="0"/>
      </w:pPr>
      <w:rPr>
        <w:rFonts w:hint="default"/>
      </w:rPr>
      <w:start w:val="1"/>
      <w:suff w:val="space"/>
    </w:lvl>
    <w:lvl w:ilvl="6">
      <w:isLgl w:val="false"/>
      <w:lvlJc w:val="left"/>
      <w:lvlText w:val="%1.%2.%3.%4.%5.%6.%7."/>
      <w:numFmt w:val="decimal"/>
      <w:pPr>
        <w:pBdr/>
        <w:spacing/>
        <w:ind w:firstLine="0" w:left="0"/>
      </w:pPr>
      <w:rPr>
        <w:rFonts w:hint="default"/>
      </w:rPr>
      <w:start w:val="1"/>
      <w:suff w:val="space"/>
    </w:lvl>
    <w:lvl w:ilvl="7">
      <w:isLgl w:val="false"/>
      <w:lvlJc w:val="left"/>
      <w:lvlText w:val="%1.%2.%3.%4.%5.%6.%7.%8."/>
      <w:numFmt w:val="decimal"/>
      <w:pPr>
        <w:pBdr/>
        <w:spacing/>
        <w:ind w:firstLine="0" w:left="0"/>
      </w:pPr>
      <w:rPr>
        <w:rFonts w:hint="default"/>
      </w:rPr>
      <w:start w:val="1"/>
      <w:suff w:val="space"/>
    </w:lvl>
    <w:lvl w:ilvl="8">
      <w:isLgl w:val="false"/>
      <w:lvlJc w:val="left"/>
      <w:lvlText w:val="%1.%2.%3.%4.%5.%6.%7.%8.%9."/>
      <w:numFmt w:val="decimal"/>
      <w:pPr>
        <w:pBdr/>
        <w:spacing/>
        <w:ind w:firstLine="0" w:left="0"/>
      </w:pPr>
      <w:rPr>
        <w:rFonts w:hint="default"/>
      </w:rPr>
      <w:start w:val="1"/>
      <w:suff w:val="space"/>
    </w:lvl>
  </w:abstractNum>
  <w:num w:numId="1">
    <w:abstractNumId w:val="6"/>
  </w:num>
  <w:num w:numId="2">
    <w:abstractNumId w:val="9"/>
  </w:num>
  <w:num w:numId="3">
    <w:abstractNumId w:val="5"/>
  </w:num>
  <w:num w:numId="4">
    <w:abstractNumId w:val="7"/>
  </w:num>
  <w:num w:numId="5">
    <w:abstractNumId w:val="0"/>
  </w:num>
  <w:num w:numId="6">
    <w:abstractNumId w:val="1"/>
  </w:num>
  <w:num w:numId="7">
    <w:abstractNumId w:val="3"/>
  </w:num>
  <w:num w:numId="8">
    <w:abstractNumId w:val="2"/>
  </w:num>
  <w:num w:numId="9">
    <w:abstractNumId w:val="4"/>
  </w:num>
  <w:num w:numId="10">
    <w:abstractNumId w:val="4"/>
  </w:num>
  <w:num w:numId="11">
    <w:abstractNumId w:val="4"/>
  </w:num>
  <w:num w:numId="12">
    <w:abstractNumId w:val="8"/>
  </w:num>
  <w:num w:numId="13">
    <w:abstractNumId w:val="10"/>
  </w:num>
  <w:num w:numId="14">
    <w:abstractNumId w:val="11"/>
  </w:num>
  <w:num w:numId="15">
    <w:abstractNumId w:val="12"/>
  </w:num>
  <w:num w:numId="16">
    <w:abstractNumId w:val="13"/>
  </w:num>
  <w:num w:numId="17">
    <w:abstractNumId w:val="14"/>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autoHyphenation w:val="true"/>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NSimSun" w:cs="Arial"/>
        <w:lang w:val="pt-BR" w:eastAsia="pt-BR"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name w:val="endnote text"/>
    <w:basedOn w:val="864"/>
    <w:link w:val="893"/>
    <w:uiPriority w:val="99"/>
    <w:semiHidden/>
    <w:unhideWhenUsed/>
    <w:pPr>
      <w:pBdr/>
      <w:spacing w:after="0" w:line="240" w:lineRule="auto"/>
      <w:ind/>
    </w:pPr>
    <w:rPr>
      <w:sz w:val="20"/>
      <w:szCs w:val="20"/>
    </w:rPr>
  </w:style>
  <w:style w:type="character" w:styleId="863">
    <w:name w:val="Hyperlink"/>
    <w:basedOn w:val="874"/>
    <w:uiPriority w:val="99"/>
    <w:unhideWhenUsed/>
    <w:pPr>
      <w:pBdr/>
      <w:spacing/>
      <w:ind/>
    </w:pPr>
    <w:rPr>
      <w:color w:val="0563c1" w:themeColor="hyperlink"/>
      <w:u w:val="single"/>
    </w:rPr>
  </w:style>
  <w:style w:type="paragraph" w:styleId="864" w:default="1">
    <w:name w:val="Normal"/>
    <w:qFormat/>
    <w:pPr>
      <w:pBdr/>
      <w:spacing/>
      <w:ind/>
    </w:pPr>
    <w:rPr>
      <w:lang w:eastAsia="zh-CN"/>
    </w:rPr>
  </w:style>
  <w:style w:type="paragraph" w:styleId="865">
    <w:name w:val="Heading 1"/>
    <w:basedOn w:val="864"/>
    <w:next w:val="864"/>
    <w:link w:val="894"/>
    <w:uiPriority w:val="9"/>
    <w:qFormat/>
    <w:pPr>
      <w:keepNext w:val="true"/>
      <w:numPr>
        <w:numId w:val="1"/>
      </w:numPr>
      <w:pBdr/>
      <w:tabs>
        <w:tab w:val="left" w:leader="none" w:pos="0"/>
      </w:tabs>
      <w:spacing w:after="60" w:before="240"/>
      <w:ind/>
      <w:outlineLvl w:val="0"/>
    </w:pPr>
    <w:rPr>
      <w:rFonts w:ascii="Arial" w:hAnsi="Arial"/>
      <w:b/>
      <w:bCs/>
      <w:sz w:val="32"/>
      <w:szCs w:val="32"/>
      <w:lang w:val="en-US"/>
    </w:rPr>
  </w:style>
  <w:style w:type="paragraph" w:styleId="866">
    <w:name w:val="Heading 2"/>
    <w:basedOn w:val="864"/>
    <w:next w:val="864"/>
    <w:link w:val="895"/>
    <w:uiPriority w:val="9"/>
    <w:qFormat/>
    <w:pPr>
      <w:keepNext w:val="true"/>
      <w:widowControl w:val="false"/>
      <w:numPr>
        <w:ilvl w:val="1"/>
        <w:numId w:val="1"/>
      </w:numPr>
      <w:pBdr/>
      <w:tabs>
        <w:tab w:val="left" w:leader="none" w:pos="0"/>
        <w:tab w:val="left" w:leader="none" w:pos="857"/>
        <w:tab w:val="left" w:leader="none" w:pos="2714"/>
        <w:tab w:val="left" w:leader="none" w:pos="6592"/>
        <w:tab w:val="left" w:leader="none" w:pos="8576"/>
        <w:tab w:val="left" w:leader="none" w:pos="10419"/>
      </w:tabs>
      <w:spacing/>
      <w:ind/>
      <w:jc w:val="center"/>
      <w:outlineLvl w:val="1"/>
    </w:pPr>
    <w:rPr>
      <w:rFonts w:ascii="Arial" w:hAnsi="Arial"/>
      <w:b/>
      <w:color w:val="000000"/>
      <w:sz w:val="22"/>
    </w:rPr>
  </w:style>
  <w:style w:type="paragraph" w:styleId="867">
    <w:name w:val="Heading 3"/>
    <w:basedOn w:val="864"/>
    <w:next w:val="864"/>
    <w:link w:val="896"/>
    <w:uiPriority w:val="9"/>
    <w:qFormat/>
    <w:pPr>
      <w:keepNext w:val="true"/>
      <w:numPr>
        <w:ilvl w:val="2"/>
        <w:numId w:val="1"/>
      </w:numPr>
      <w:pBdr/>
      <w:tabs>
        <w:tab w:val="left" w:leader="none" w:pos="0"/>
      </w:tabs>
      <w:spacing w:after="60" w:before="240"/>
      <w:ind/>
      <w:outlineLvl w:val="2"/>
    </w:pPr>
    <w:rPr>
      <w:rFonts w:ascii="Arial" w:hAnsi="Arial"/>
      <w:b/>
      <w:bCs/>
      <w:sz w:val="26"/>
      <w:szCs w:val="26"/>
    </w:rPr>
  </w:style>
  <w:style w:type="paragraph" w:styleId="868">
    <w:name w:val="Heading 4"/>
    <w:basedOn w:val="864"/>
    <w:next w:val="864"/>
    <w:link w:val="897"/>
    <w:uiPriority w:val="9"/>
    <w:qFormat/>
    <w:pPr>
      <w:keepNext w:val="true"/>
      <w:numPr>
        <w:ilvl w:val="3"/>
        <w:numId w:val="1"/>
      </w:numPr>
      <w:pBdr/>
      <w:tabs>
        <w:tab w:val="left" w:leader="none" w:pos="0"/>
      </w:tabs>
      <w:spacing w:after="60" w:before="240"/>
      <w:ind/>
      <w:outlineLvl w:val="3"/>
    </w:pPr>
    <w:rPr>
      <w:b/>
      <w:bCs/>
      <w:sz w:val="28"/>
      <w:szCs w:val="28"/>
    </w:rPr>
  </w:style>
  <w:style w:type="paragraph" w:styleId="869">
    <w:name w:val="Heading 5"/>
    <w:basedOn w:val="864"/>
    <w:next w:val="864"/>
    <w:link w:val="898"/>
    <w:uiPriority w:val="9"/>
    <w:qFormat/>
    <w:pPr>
      <w:numPr>
        <w:ilvl w:val="4"/>
        <w:numId w:val="1"/>
      </w:numPr>
      <w:pBdr/>
      <w:tabs>
        <w:tab w:val="left" w:leader="none" w:pos="0"/>
      </w:tabs>
      <w:spacing w:after="60" w:before="240"/>
      <w:ind/>
      <w:outlineLvl w:val="4"/>
    </w:pPr>
    <w:rPr>
      <w:b/>
      <w:bCs/>
      <w:i/>
      <w:iCs/>
      <w:sz w:val="26"/>
      <w:szCs w:val="26"/>
    </w:rPr>
  </w:style>
  <w:style w:type="paragraph" w:styleId="870">
    <w:name w:val="Heading 6"/>
    <w:basedOn w:val="864"/>
    <w:next w:val="864"/>
    <w:link w:val="899"/>
    <w:uiPriority w:val="9"/>
    <w:unhideWhenUsed/>
    <w:qFormat/>
    <w:pPr>
      <w:keepNext w:val="true"/>
      <w:keepLines w:val="true"/>
      <w:pBdr/>
      <w:spacing w:before="40"/>
      <w:ind/>
      <w:outlineLvl w:val="5"/>
    </w:pPr>
    <w:rPr>
      <w:rFonts w:ascii="Arial" w:hAnsi="Arial" w:eastAsia="Arial"/>
      <w:i/>
      <w:iCs/>
      <w:color w:val="595959"/>
    </w:rPr>
  </w:style>
  <w:style w:type="paragraph" w:styleId="871">
    <w:name w:val="Heading 7"/>
    <w:basedOn w:val="864"/>
    <w:next w:val="864"/>
    <w:link w:val="900"/>
    <w:uiPriority w:val="9"/>
    <w:unhideWhenUsed/>
    <w:qFormat/>
    <w:pPr>
      <w:keepNext w:val="true"/>
      <w:keepLines w:val="true"/>
      <w:pBdr/>
      <w:spacing w:before="40"/>
      <w:ind/>
      <w:outlineLvl w:val="6"/>
    </w:pPr>
    <w:rPr>
      <w:rFonts w:ascii="Arial" w:hAnsi="Arial" w:eastAsia="Arial"/>
      <w:color w:val="595959"/>
    </w:rPr>
  </w:style>
  <w:style w:type="paragraph" w:styleId="872">
    <w:name w:val="Heading 8"/>
    <w:basedOn w:val="864"/>
    <w:next w:val="864"/>
    <w:link w:val="901"/>
    <w:uiPriority w:val="9"/>
    <w:unhideWhenUsed/>
    <w:qFormat/>
    <w:pPr>
      <w:keepNext w:val="true"/>
      <w:keepLines w:val="true"/>
      <w:pBdr/>
      <w:spacing/>
      <w:ind/>
      <w:outlineLvl w:val="7"/>
    </w:pPr>
    <w:rPr>
      <w:rFonts w:ascii="Arial" w:hAnsi="Arial" w:eastAsia="Arial"/>
      <w:i/>
      <w:iCs/>
      <w:color w:val="272727"/>
    </w:rPr>
  </w:style>
  <w:style w:type="paragraph" w:styleId="873">
    <w:name w:val="Heading 9"/>
    <w:basedOn w:val="864"/>
    <w:next w:val="864"/>
    <w:link w:val="902"/>
    <w:uiPriority w:val="9"/>
    <w:unhideWhenUsed/>
    <w:qFormat/>
    <w:pPr>
      <w:keepNext w:val="true"/>
      <w:keepLines w:val="true"/>
      <w:pBdr/>
      <w:spacing/>
      <w:ind/>
      <w:outlineLvl w:val="8"/>
    </w:pPr>
    <w:rPr>
      <w:rFonts w:ascii="Arial" w:hAnsi="Arial" w:eastAsia="Arial"/>
      <w:i/>
      <w:iCs/>
      <w:color w:val="272727"/>
    </w:rPr>
  </w:style>
  <w:style w:type="character" w:styleId="874" w:default="1">
    <w:name w:val="Default Paragraph Font"/>
    <w:uiPriority w:val="1"/>
    <w:semiHidden/>
    <w:unhideWhenUsed/>
    <w:pPr>
      <w:pBdr/>
      <w:spacing/>
      <w:ind/>
    </w:pPr>
  </w:style>
  <w:style w:type="table" w:styleId="87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76" w:default="1">
    <w:name w:val="No List"/>
    <w:uiPriority w:val="99"/>
    <w:semiHidden/>
    <w:unhideWhenUsed/>
    <w:pPr>
      <w:pBdr/>
      <w:spacing/>
      <w:ind/>
    </w:pPr>
  </w:style>
  <w:style w:type="character" w:styleId="877" w:customStyle="1">
    <w:name w:val="Heading 1 Char"/>
    <w:uiPriority w:val="9"/>
    <w:qFormat/>
    <w:pPr>
      <w:pBdr/>
      <w:spacing/>
      <w:ind/>
    </w:pPr>
    <w:rPr>
      <w:rFonts w:ascii="Arial" w:hAnsi="Arial" w:eastAsia="Arial" w:cs="Arial"/>
      <w:color w:val="365f91"/>
      <w:sz w:val="40"/>
      <w:szCs w:val="40"/>
    </w:rPr>
  </w:style>
  <w:style w:type="character" w:styleId="878" w:customStyle="1">
    <w:name w:val="Heading 2 Char"/>
    <w:uiPriority w:val="9"/>
    <w:qFormat/>
    <w:pPr>
      <w:pBdr/>
      <w:spacing/>
      <w:ind/>
    </w:pPr>
    <w:rPr>
      <w:rFonts w:ascii="Arial" w:hAnsi="Arial" w:eastAsia="Arial" w:cs="Arial"/>
      <w:color w:val="365f91"/>
      <w:sz w:val="32"/>
      <w:szCs w:val="32"/>
    </w:rPr>
  </w:style>
  <w:style w:type="character" w:styleId="879" w:customStyle="1">
    <w:name w:val="Heading 3 Char"/>
    <w:uiPriority w:val="9"/>
    <w:qFormat/>
    <w:pPr>
      <w:pBdr/>
      <w:spacing/>
      <w:ind/>
    </w:pPr>
    <w:rPr>
      <w:rFonts w:ascii="Arial" w:hAnsi="Arial" w:eastAsia="Arial" w:cs="Arial"/>
      <w:color w:val="365f91"/>
      <w:sz w:val="28"/>
      <w:szCs w:val="28"/>
    </w:rPr>
  </w:style>
  <w:style w:type="character" w:styleId="880" w:customStyle="1">
    <w:name w:val="Heading 4 Char"/>
    <w:uiPriority w:val="9"/>
    <w:qFormat/>
    <w:pPr>
      <w:pBdr/>
      <w:spacing/>
      <w:ind/>
    </w:pPr>
    <w:rPr>
      <w:rFonts w:ascii="Arial" w:hAnsi="Arial" w:eastAsia="Arial" w:cs="Arial"/>
      <w:i/>
      <w:iCs/>
      <w:color w:val="365f91"/>
    </w:rPr>
  </w:style>
  <w:style w:type="character" w:styleId="881" w:customStyle="1">
    <w:name w:val="Heading 5 Char"/>
    <w:uiPriority w:val="9"/>
    <w:qFormat/>
    <w:pPr>
      <w:pBdr/>
      <w:spacing/>
      <w:ind/>
    </w:pPr>
    <w:rPr>
      <w:rFonts w:ascii="Arial" w:hAnsi="Arial" w:eastAsia="Arial" w:cs="Arial"/>
      <w:color w:val="365f91"/>
    </w:rPr>
  </w:style>
  <w:style w:type="character" w:styleId="882" w:customStyle="1">
    <w:name w:val="Heading 6 Char"/>
    <w:uiPriority w:val="9"/>
    <w:qFormat/>
    <w:pPr>
      <w:pBdr/>
      <w:spacing/>
      <w:ind/>
    </w:pPr>
    <w:rPr>
      <w:rFonts w:ascii="Arial" w:hAnsi="Arial" w:eastAsia="Arial" w:cs="Arial"/>
      <w:i/>
      <w:iCs/>
      <w:color w:val="595959"/>
    </w:rPr>
  </w:style>
  <w:style w:type="character" w:styleId="883" w:customStyle="1">
    <w:name w:val="Heading 7 Char"/>
    <w:uiPriority w:val="9"/>
    <w:qFormat/>
    <w:pPr>
      <w:pBdr/>
      <w:spacing/>
      <w:ind/>
    </w:pPr>
    <w:rPr>
      <w:rFonts w:ascii="Arial" w:hAnsi="Arial" w:eastAsia="Arial" w:cs="Arial"/>
      <w:color w:val="595959"/>
    </w:rPr>
  </w:style>
  <w:style w:type="character" w:styleId="884" w:customStyle="1">
    <w:name w:val="Heading 8 Char"/>
    <w:uiPriority w:val="9"/>
    <w:qFormat/>
    <w:pPr>
      <w:pBdr/>
      <w:spacing/>
      <w:ind/>
    </w:pPr>
    <w:rPr>
      <w:rFonts w:ascii="Arial" w:hAnsi="Arial" w:eastAsia="Arial" w:cs="Arial"/>
      <w:i/>
      <w:iCs/>
      <w:color w:val="272727"/>
    </w:rPr>
  </w:style>
  <w:style w:type="character" w:styleId="885" w:customStyle="1">
    <w:name w:val="Heading 9 Char"/>
    <w:uiPriority w:val="9"/>
    <w:qFormat/>
    <w:pPr>
      <w:pBdr/>
      <w:spacing/>
      <w:ind/>
    </w:pPr>
    <w:rPr>
      <w:rFonts w:ascii="Arial" w:hAnsi="Arial" w:eastAsia="Arial" w:cs="Arial"/>
      <w:i/>
      <w:iCs/>
      <w:color w:val="272727"/>
    </w:rPr>
  </w:style>
  <w:style w:type="character" w:styleId="886" w:customStyle="1">
    <w:name w:val="Title Char"/>
    <w:uiPriority w:val="10"/>
    <w:qFormat/>
    <w:pPr>
      <w:pBdr/>
      <w:spacing/>
      <w:ind/>
    </w:pPr>
    <w:rPr>
      <w:rFonts w:ascii="Arial" w:hAnsi="Arial" w:eastAsia="Arial" w:cs="Arial"/>
      <w:spacing w:val="-10"/>
      <w:sz w:val="56"/>
      <w:szCs w:val="56"/>
    </w:rPr>
  </w:style>
  <w:style w:type="character" w:styleId="887" w:customStyle="1">
    <w:name w:val="Subtitle Char"/>
    <w:uiPriority w:val="11"/>
    <w:qFormat/>
    <w:pPr>
      <w:pBdr/>
      <w:spacing/>
      <w:ind/>
    </w:pPr>
    <w:rPr>
      <w:color w:val="595959"/>
      <w:spacing w:val="15"/>
      <w:sz w:val="28"/>
      <w:szCs w:val="28"/>
    </w:rPr>
  </w:style>
  <w:style w:type="character" w:styleId="888" w:customStyle="1">
    <w:name w:val="Quote Char"/>
    <w:uiPriority w:val="29"/>
    <w:qFormat/>
    <w:pPr>
      <w:pBdr/>
      <w:spacing/>
      <w:ind/>
    </w:pPr>
    <w:rPr>
      <w:i/>
      <w:iCs/>
      <w:color w:val="404040"/>
    </w:rPr>
  </w:style>
  <w:style w:type="character" w:styleId="889" w:customStyle="1">
    <w:name w:val="Intense Quote Char"/>
    <w:uiPriority w:val="30"/>
    <w:qFormat/>
    <w:pPr>
      <w:pBdr/>
      <w:spacing/>
      <w:ind/>
    </w:pPr>
    <w:rPr>
      <w:i/>
      <w:iCs/>
      <w:color w:val="365f91"/>
    </w:rPr>
  </w:style>
  <w:style w:type="character" w:styleId="890" w:customStyle="1">
    <w:name w:val="Header Char"/>
    <w:basedOn w:val="874"/>
    <w:uiPriority w:val="99"/>
    <w:qFormat/>
    <w:pPr>
      <w:pBdr/>
      <w:spacing/>
      <w:ind/>
    </w:pPr>
  </w:style>
  <w:style w:type="character" w:styleId="891" w:customStyle="1">
    <w:name w:val="Footer Char"/>
    <w:basedOn w:val="874"/>
    <w:uiPriority w:val="99"/>
    <w:qFormat/>
    <w:pPr>
      <w:pBdr/>
      <w:spacing/>
      <w:ind/>
    </w:pPr>
  </w:style>
  <w:style w:type="character" w:styleId="892" w:customStyle="1">
    <w:name w:val="Footnote Text Char"/>
    <w:uiPriority w:val="99"/>
    <w:semiHidden/>
    <w:qFormat/>
    <w:pPr>
      <w:pBdr/>
      <w:spacing/>
      <w:ind/>
    </w:pPr>
    <w:rPr>
      <w:sz w:val="20"/>
      <w:szCs w:val="20"/>
    </w:rPr>
  </w:style>
  <w:style w:type="character" w:styleId="893" w:customStyle="1">
    <w:name w:val="Endnote Text Char"/>
    <w:uiPriority w:val="99"/>
    <w:semiHidden/>
    <w:qFormat/>
    <w:pPr>
      <w:pBdr/>
      <w:spacing/>
      <w:ind/>
    </w:pPr>
    <w:rPr>
      <w:sz w:val="20"/>
      <w:szCs w:val="20"/>
    </w:rPr>
  </w:style>
  <w:style w:type="character" w:styleId="894" w:customStyle="1">
    <w:name w:val="Título 1 Char1"/>
    <w:link w:val="865"/>
    <w:uiPriority w:val="9"/>
    <w:qFormat/>
    <w:pPr>
      <w:pBdr/>
      <w:spacing/>
      <w:ind/>
    </w:pPr>
    <w:rPr>
      <w:rFonts w:ascii="Arial" w:hAnsi="Arial" w:cs="Arial"/>
      <w:b/>
      <w:bCs/>
      <w:sz w:val="32"/>
      <w:szCs w:val="32"/>
      <w:lang w:val="en-US" w:eastAsia="zh-CN"/>
    </w:rPr>
  </w:style>
  <w:style w:type="character" w:styleId="895" w:customStyle="1">
    <w:name w:val="Título 2 Char1"/>
    <w:link w:val="866"/>
    <w:uiPriority w:val="9"/>
    <w:qFormat/>
    <w:pPr>
      <w:pBdr/>
      <w:spacing/>
      <w:ind/>
    </w:pPr>
    <w:rPr>
      <w:rFonts w:ascii="Arial" w:hAnsi="Arial" w:cs="Arial"/>
      <w:b/>
      <w:color w:val="000000"/>
      <w:sz w:val="22"/>
      <w:lang w:eastAsia="zh-CN"/>
    </w:rPr>
  </w:style>
  <w:style w:type="character" w:styleId="896" w:customStyle="1">
    <w:name w:val="Título 3 Char1"/>
    <w:link w:val="867"/>
    <w:uiPriority w:val="9"/>
    <w:qFormat/>
    <w:pPr>
      <w:pBdr/>
      <w:spacing/>
      <w:ind/>
    </w:pPr>
    <w:rPr>
      <w:rFonts w:ascii="Arial" w:hAnsi="Arial" w:cs="Arial"/>
      <w:b/>
      <w:bCs/>
      <w:sz w:val="26"/>
      <w:szCs w:val="26"/>
      <w:lang w:eastAsia="zh-CN"/>
    </w:rPr>
  </w:style>
  <w:style w:type="character" w:styleId="897" w:customStyle="1">
    <w:name w:val="Título 4 Char1"/>
    <w:link w:val="868"/>
    <w:uiPriority w:val="9"/>
    <w:qFormat/>
    <w:pPr>
      <w:pBdr/>
      <w:spacing/>
      <w:ind/>
    </w:pPr>
    <w:rPr>
      <w:b/>
      <w:bCs/>
      <w:sz w:val="28"/>
      <w:szCs w:val="28"/>
      <w:lang w:eastAsia="zh-CN"/>
    </w:rPr>
  </w:style>
  <w:style w:type="character" w:styleId="898" w:customStyle="1">
    <w:name w:val="Título 5 Char1"/>
    <w:link w:val="869"/>
    <w:uiPriority w:val="9"/>
    <w:qFormat/>
    <w:pPr>
      <w:pBdr/>
      <w:spacing/>
      <w:ind/>
    </w:pPr>
    <w:rPr>
      <w:b/>
      <w:bCs/>
      <w:i/>
      <w:iCs/>
      <w:sz w:val="26"/>
      <w:szCs w:val="26"/>
      <w:lang w:eastAsia="zh-CN"/>
    </w:rPr>
  </w:style>
  <w:style w:type="character" w:styleId="899" w:customStyle="1">
    <w:name w:val="Título 6 Char"/>
    <w:link w:val="870"/>
    <w:uiPriority w:val="9"/>
    <w:qFormat/>
    <w:pPr>
      <w:pBdr/>
      <w:spacing/>
      <w:ind/>
    </w:pPr>
    <w:rPr>
      <w:rFonts w:ascii="Arial" w:hAnsi="Arial" w:eastAsia="Arial" w:cs="Arial"/>
      <w:i/>
      <w:iCs/>
      <w:color w:val="595959"/>
    </w:rPr>
  </w:style>
  <w:style w:type="character" w:styleId="900" w:customStyle="1">
    <w:name w:val="Título 7 Char"/>
    <w:link w:val="871"/>
    <w:uiPriority w:val="9"/>
    <w:qFormat/>
    <w:pPr>
      <w:pBdr/>
      <w:spacing/>
      <w:ind/>
    </w:pPr>
    <w:rPr>
      <w:rFonts w:ascii="Arial" w:hAnsi="Arial" w:eastAsia="Arial" w:cs="Arial"/>
      <w:color w:val="595959"/>
    </w:rPr>
  </w:style>
  <w:style w:type="character" w:styleId="901" w:customStyle="1">
    <w:name w:val="Título 8 Char"/>
    <w:link w:val="872"/>
    <w:uiPriority w:val="9"/>
    <w:qFormat/>
    <w:pPr>
      <w:pBdr/>
      <w:spacing/>
      <w:ind/>
    </w:pPr>
    <w:rPr>
      <w:rFonts w:ascii="Arial" w:hAnsi="Arial" w:eastAsia="Arial" w:cs="Arial"/>
      <w:i/>
      <w:iCs/>
      <w:color w:val="272727"/>
    </w:rPr>
  </w:style>
  <w:style w:type="character" w:styleId="902" w:customStyle="1">
    <w:name w:val="Título 9 Char"/>
    <w:link w:val="873"/>
    <w:uiPriority w:val="9"/>
    <w:qFormat/>
    <w:pPr>
      <w:pBdr/>
      <w:spacing/>
      <w:ind/>
    </w:pPr>
    <w:rPr>
      <w:rFonts w:ascii="Arial" w:hAnsi="Arial" w:eastAsia="Arial" w:cs="Arial"/>
      <w:i/>
      <w:iCs/>
      <w:color w:val="272727"/>
    </w:rPr>
  </w:style>
  <w:style w:type="character" w:styleId="903" w:customStyle="1">
    <w:name w:val="Título Char1"/>
    <w:link w:val="2014"/>
    <w:uiPriority w:val="10"/>
    <w:qFormat/>
    <w:pPr>
      <w:pBdr/>
      <w:spacing/>
      <w:ind/>
    </w:pPr>
    <w:rPr>
      <w:rFonts w:ascii="Arial" w:hAnsi="Arial" w:eastAsia="Arial" w:cs="Arial"/>
      <w:spacing w:val="-10"/>
      <w:sz w:val="56"/>
      <w:szCs w:val="56"/>
    </w:rPr>
  </w:style>
  <w:style w:type="character" w:styleId="904" w:customStyle="1">
    <w:name w:val="Subtítulo Char"/>
    <w:link w:val="2015"/>
    <w:uiPriority w:val="11"/>
    <w:qFormat/>
    <w:pPr>
      <w:pBdr/>
      <w:spacing/>
      <w:ind/>
    </w:pPr>
    <w:rPr>
      <w:color w:val="595959"/>
      <w:spacing w:val="15"/>
      <w:sz w:val="28"/>
      <w:szCs w:val="28"/>
    </w:rPr>
  </w:style>
  <w:style w:type="character" w:styleId="905" w:customStyle="1">
    <w:name w:val="Citação Char2"/>
    <w:link w:val="2016"/>
    <w:uiPriority w:val="29"/>
    <w:qFormat/>
    <w:pPr>
      <w:pBdr/>
      <w:spacing/>
      <w:ind/>
    </w:pPr>
    <w:rPr>
      <w:i/>
      <w:iCs/>
      <w:color w:val="404040"/>
    </w:rPr>
  </w:style>
  <w:style w:type="character" w:styleId="906">
    <w:name w:val="Intense Emphasis"/>
    <w:uiPriority w:val="21"/>
    <w:qFormat/>
    <w:pPr>
      <w:pBdr/>
      <w:spacing/>
      <w:ind/>
    </w:pPr>
    <w:rPr>
      <w:i/>
      <w:iCs/>
      <w:color w:val="365f91"/>
    </w:rPr>
  </w:style>
  <w:style w:type="character" w:styleId="907" w:customStyle="1">
    <w:name w:val="Citação Intensa Char"/>
    <w:link w:val="2018"/>
    <w:uiPriority w:val="30"/>
    <w:qFormat/>
    <w:pPr>
      <w:pBdr/>
      <w:spacing/>
      <w:ind/>
    </w:pPr>
    <w:rPr>
      <w:i/>
      <w:iCs/>
      <w:color w:val="365f91"/>
    </w:rPr>
  </w:style>
  <w:style w:type="character" w:styleId="908">
    <w:name w:val="Intense Reference"/>
    <w:uiPriority w:val="32"/>
    <w:qFormat/>
    <w:pPr>
      <w:pBdr/>
      <w:spacing/>
      <w:ind/>
    </w:pPr>
    <w:rPr>
      <w:b/>
      <w:bCs/>
      <w:smallCaps/>
      <w:color w:val="365f91"/>
      <w:spacing w:val="5"/>
    </w:rPr>
  </w:style>
  <w:style w:type="character" w:styleId="909">
    <w:name w:val="Subtle Emphasis"/>
    <w:uiPriority w:val="19"/>
    <w:qFormat/>
    <w:pPr>
      <w:pBdr/>
      <w:spacing/>
      <w:ind/>
    </w:pPr>
    <w:rPr>
      <w:i/>
      <w:iCs/>
      <w:color w:val="404040"/>
    </w:rPr>
  </w:style>
  <w:style w:type="character" w:styleId="910">
    <w:name w:val="Emphasis"/>
    <w:uiPriority w:val="20"/>
    <w:qFormat/>
    <w:pPr>
      <w:pBdr/>
      <w:spacing/>
      <w:ind/>
    </w:pPr>
    <w:rPr>
      <w:i/>
      <w:iCs/>
    </w:rPr>
  </w:style>
  <w:style w:type="character" w:styleId="911">
    <w:name w:val="Strong"/>
    <w:uiPriority w:val="22"/>
    <w:qFormat/>
    <w:pPr>
      <w:pBdr/>
      <w:spacing/>
      <w:ind/>
    </w:pPr>
    <w:rPr>
      <w:b/>
      <w:bCs/>
    </w:rPr>
  </w:style>
  <w:style w:type="character" w:styleId="912">
    <w:name w:val="Subtle Reference"/>
    <w:uiPriority w:val="31"/>
    <w:qFormat/>
    <w:pPr>
      <w:pBdr/>
      <w:spacing/>
      <w:ind/>
    </w:pPr>
    <w:rPr>
      <w:smallCaps/>
      <w:color w:val="5a5a5a"/>
    </w:rPr>
  </w:style>
  <w:style w:type="character" w:styleId="913">
    <w:name w:val="Book Title"/>
    <w:uiPriority w:val="33"/>
    <w:qFormat/>
    <w:pPr>
      <w:pBdr/>
      <w:spacing/>
      <w:ind/>
    </w:pPr>
    <w:rPr>
      <w:b/>
      <w:bCs/>
      <w:i/>
      <w:iCs/>
      <w:spacing w:val="5"/>
    </w:rPr>
  </w:style>
  <w:style w:type="character" w:styleId="914" w:customStyle="1">
    <w:name w:val="Cabeçalho Char3"/>
    <w:basedOn w:val="874"/>
    <w:link w:val="2021"/>
    <w:uiPriority w:val="99"/>
    <w:qFormat/>
    <w:pPr>
      <w:pBdr/>
      <w:spacing/>
      <w:ind/>
    </w:pPr>
  </w:style>
  <w:style w:type="character" w:styleId="915" w:customStyle="1">
    <w:name w:val="Rodapé Char2"/>
    <w:basedOn w:val="874"/>
    <w:link w:val="2022"/>
    <w:uiPriority w:val="99"/>
    <w:qFormat/>
    <w:pPr>
      <w:pBdr/>
      <w:spacing/>
      <w:ind/>
    </w:pPr>
  </w:style>
  <w:style w:type="character" w:styleId="916" w:customStyle="1">
    <w:name w:val="Texto de nota de rodapé Char2"/>
    <w:link w:val="2023"/>
    <w:uiPriority w:val="99"/>
    <w:semiHidden/>
    <w:qFormat/>
    <w:pPr>
      <w:pBdr/>
      <w:spacing/>
      <w:ind/>
    </w:pPr>
    <w:rPr>
      <w:sz w:val="20"/>
      <w:szCs w:val="20"/>
    </w:rPr>
  </w:style>
  <w:style w:type="character" w:styleId="917" w:customStyle="1">
    <w:name w:val="Caracteres de nota de rodapé"/>
    <w:qFormat/>
    <w:pPr>
      <w:pBdr/>
      <w:spacing/>
      <w:ind/>
    </w:pPr>
    <w:rPr>
      <w:rFonts w:cs="Times New Roman"/>
      <w:vertAlign w:val="superscript"/>
    </w:rPr>
  </w:style>
  <w:style w:type="character" w:styleId="918">
    <w:name w:val="footnote reference"/>
    <w:pPr>
      <w:pBdr/>
      <w:spacing/>
      <w:ind/>
    </w:pPr>
    <w:rPr>
      <w:vertAlign w:val="superscript"/>
    </w:rPr>
  </w:style>
  <w:style w:type="character" w:styleId="919" w:customStyle="1">
    <w:name w:val="Texto de nota de fim Char1"/>
    <w:link w:val="2024"/>
    <w:uiPriority w:val="99"/>
    <w:semiHidden/>
    <w:qFormat/>
    <w:pPr>
      <w:pBdr/>
      <w:spacing/>
      <w:ind/>
    </w:pPr>
    <w:rPr>
      <w:sz w:val="20"/>
      <w:szCs w:val="20"/>
    </w:rPr>
  </w:style>
  <w:style w:type="character" w:styleId="920" w:customStyle="1">
    <w:name w:val="Caracteres de nota de fim"/>
    <w:uiPriority w:val="99"/>
    <w:semiHidden/>
    <w:unhideWhenUsed/>
    <w:qFormat/>
    <w:pPr>
      <w:pBdr/>
      <w:spacing/>
      <w:ind/>
    </w:pPr>
    <w:rPr>
      <w:vertAlign w:val="superscript"/>
    </w:rPr>
  </w:style>
  <w:style w:type="character" w:styleId="921">
    <w:name w:val="endnote reference"/>
    <w:pPr>
      <w:pBdr/>
      <w:spacing/>
      <w:ind/>
    </w:pPr>
    <w:rPr>
      <w:vertAlign w:val="superscript"/>
    </w:rPr>
  </w:style>
  <w:style w:type="character" w:styleId="922">
    <w:name w:val="FollowedHyperlink"/>
    <w:uiPriority w:val="99"/>
    <w:pPr>
      <w:pBdr/>
      <w:spacing/>
      <w:ind/>
    </w:pPr>
    <w:rPr>
      <w:rFonts w:cs="Times New Roman"/>
      <w:u w:val="single"/>
    </w:rPr>
  </w:style>
  <w:style w:type="character" w:styleId="923">
    <w:name w:val="Placeholder Text"/>
    <w:uiPriority w:val="99"/>
    <w:semiHidden/>
    <w:qFormat/>
    <w:pPr>
      <w:pBdr/>
      <w:spacing/>
      <w:ind/>
    </w:pPr>
    <w:rPr>
      <w:color w:val="666666"/>
    </w:rPr>
  </w:style>
  <w:style w:type="character" w:styleId="924" w:customStyle="1">
    <w:name w:val="WW8Num1z0"/>
    <w:uiPriority w:val="99"/>
    <w:qFormat/>
    <w:pPr>
      <w:pBdr/>
      <w:spacing/>
      <w:ind/>
    </w:pPr>
    <w:rPr>
      <w:rFonts w:cs="Times New Roman"/>
    </w:rPr>
  </w:style>
  <w:style w:type="character" w:styleId="925" w:customStyle="1">
    <w:name w:val="WW8Num2z0"/>
    <w:qFormat/>
    <w:pPr>
      <w:pBdr/>
      <w:spacing/>
      <w:ind/>
    </w:pPr>
    <w:rPr>
      <w:rFonts w:cs="Times New Roman"/>
    </w:rPr>
  </w:style>
  <w:style w:type="character" w:styleId="926" w:customStyle="1">
    <w:name w:val="WW8Num3z0"/>
    <w:uiPriority w:val="99"/>
    <w:qFormat/>
    <w:pPr>
      <w:pBdr/>
      <w:spacing/>
      <w:ind/>
    </w:pPr>
    <w:rPr>
      <w:rFonts w:cs="Times New Roman"/>
    </w:rPr>
  </w:style>
  <w:style w:type="character" w:styleId="927" w:customStyle="1">
    <w:name w:val="WW8Num4z0"/>
    <w:uiPriority w:val="99"/>
    <w:qFormat/>
    <w:pPr>
      <w:pBdr/>
      <w:spacing/>
      <w:ind/>
    </w:pPr>
    <w:rPr>
      <w:rFonts w:cs="Times New Roman"/>
    </w:rPr>
  </w:style>
  <w:style w:type="character" w:styleId="928" w:customStyle="1">
    <w:name w:val="WW8Num5z0"/>
    <w:qFormat/>
    <w:pPr>
      <w:pBdr/>
      <w:spacing/>
      <w:ind/>
    </w:pPr>
    <w:rPr>
      <w:rFonts w:ascii="Symbol" w:hAnsi="Symbol" w:cs="Symbol"/>
    </w:rPr>
  </w:style>
  <w:style w:type="character" w:styleId="929" w:customStyle="1">
    <w:name w:val="WW8Num6z0"/>
    <w:uiPriority w:val="99"/>
    <w:qFormat/>
    <w:pPr>
      <w:pBdr/>
      <w:spacing/>
      <w:ind/>
    </w:pPr>
    <w:rPr>
      <w:rFonts w:ascii="Symbol" w:hAnsi="Symbol" w:cs="Symbol"/>
    </w:rPr>
  </w:style>
  <w:style w:type="character" w:styleId="930" w:customStyle="1">
    <w:name w:val="WW8Num7z0"/>
    <w:qFormat/>
    <w:pPr>
      <w:pBdr/>
      <w:spacing/>
      <w:ind/>
    </w:pPr>
    <w:rPr>
      <w:rFonts w:ascii="Symbol" w:hAnsi="Symbol" w:cs="Symbol"/>
    </w:rPr>
  </w:style>
  <w:style w:type="character" w:styleId="931" w:customStyle="1">
    <w:name w:val="WW8Num8z0"/>
    <w:uiPriority w:val="99"/>
    <w:qFormat/>
    <w:pPr>
      <w:pBdr/>
      <w:spacing/>
      <w:ind/>
    </w:pPr>
    <w:rPr>
      <w:rFonts w:ascii="Symbol" w:hAnsi="Symbol" w:cs="Symbol"/>
    </w:rPr>
  </w:style>
  <w:style w:type="character" w:styleId="932" w:customStyle="1">
    <w:name w:val="WW8Num9z0"/>
    <w:uiPriority w:val="99"/>
    <w:qFormat/>
    <w:pPr>
      <w:pBdr/>
      <w:spacing/>
      <w:ind/>
    </w:pPr>
    <w:rPr>
      <w:rFonts w:cs="Times New Roman"/>
    </w:rPr>
  </w:style>
  <w:style w:type="character" w:styleId="933" w:customStyle="1">
    <w:name w:val="WW8Num10z0"/>
    <w:uiPriority w:val="99"/>
    <w:qFormat/>
    <w:pPr>
      <w:pBdr/>
      <w:spacing/>
      <w:ind/>
    </w:pPr>
    <w:rPr>
      <w:rFonts w:ascii="Symbol" w:hAnsi="Symbol" w:cs="Symbol"/>
    </w:rPr>
  </w:style>
  <w:style w:type="character" w:styleId="934" w:customStyle="1">
    <w:name w:val="WW8Num11z0"/>
    <w:uiPriority w:val="99"/>
    <w:qFormat/>
    <w:pPr>
      <w:pBdr/>
      <w:spacing/>
      <w:ind/>
    </w:pPr>
    <w:rPr>
      <w:rFonts w:ascii="Arial" w:hAnsi="Arial" w:cs="Arial"/>
      <w:b/>
      <w:color w:val="000000"/>
      <w:sz w:val="20"/>
      <w:szCs w:val="20"/>
    </w:rPr>
  </w:style>
  <w:style w:type="character" w:styleId="935" w:customStyle="1">
    <w:name w:val="WW8Num11z1"/>
    <w:qFormat/>
    <w:pPr>
      <w:pBdr/>
      <w:spacing/>
      <w:ind/>
    </w:pPr>
  </w:style>
  <w:style w:type="character" w:styleId="936" w:customStyle="1">
    <w:name w:val="WW8Num11z2"/>
    <w:qFormat/>
    <w:pPr>
      <w:pBdr/>
      <w:spacing/>
      <w:ind/>
    </w:pPr>
  </w:style>
  <w:style w:type="character" w:styleId="937" w:customStyle="1">
    <w:name w:val="WW8Num11z3"/>
    <w:qFormat/>
    <w:pPr>
      <w:pBdr/>
      <w:spacing/>
      <w:ind/>
    </w:pPr>
  </w:style>
  <w:style w:type="character" w:styleId="938" w:customStyle="1">
    <w:name w:val="WW8Num11z4"/>
    <w:qFormat/>
    <w:pPr>
      <w:pBdr/>
      <w:spacing/>
      <w:ind/>
    </w:pPr>
  </w:style>
  <w:style w:type="character" w:styleId="939" w:customStyle="1">
    <w:name w:val="WW8Num11z5"/>
    <w:qFormat/>
    <w:pPr>
      <w:pBdr/>
      <w:spacing/>
      <w:ind/>
    </w:pPr>
  </w:style>
  <w:style w:type="character" w:styleId="940" w:customStyle="1">
    <w:name w:val="WW8Num11z6"/>
    <w:qFormat/>
    <w:pPr>
      <w:pBdr/>
      <w:spacing/>
      <w:ind/>
    </w:pPr>
  </w:style>
  <w:style w:type="character" w:styleId="941" w:customStyle="1">
    <w:name w:val="WW8Num11z7"/>
    <w:qFormat/>
    <w:pPr>
      <w:pBdr/>
      <w:spacing/>
      <w:ind/>
    </w:pPr>
  </w:style>
  <w:style w:type="character" w:styleId="942" w:customStyle="1">
    <w:name w:val="WW8Num11z8"/>
    <w:qFormat/>
    <w:pPr>
      <w:pBdr/>
      <w:spacing/>
      <w:ind/>
    </w:pPr>
  </w:style>
  <w:style w:type="character" w:styleId="943" w:customStyle="1">
    <w:name w:val="WW8Num12z0"/>
    <w:uiPriority w:val="99"/>
    <w:qFormat/>
    <w:pPr>
      <w:pBdr/>
      <w:spacing/>
      <w:ind/>
    </w:pPr>
    <w:rPr>
      <w:rFonts w:cs="Times New Roman"/>
      <w:b/>
    </w:rPr>
  </w:style>
  <w:style w:type="character" w:styleId="944" w:customStyle="1">
    <w:name w:val="WW8Num12z1"/>
    <w:uiPriority w:val="99"/>
    <w:qFormat/>
    <w:pPr>
      <w:pBdr/>
      <w:spacing/>
      <w:ind/>
    </w:pPr>
    <w:rPr>
      <w:rFonts w:ascii="Arial" w:hAnsi="Arial" w:cs="Arial"/>
      <w:b/>
    </w:rPr>
  </w:style>
  <w:style w:type="character" w:styleId="945" w:customStyle="1">
    <w:name w:val="WW8Num13z0"/>
    <w:uiPriority w:val="99"/>
    <w:qFormat/>
    <w:pPr>
      <w:pBdr/>
      <w:spacing/>
      <w:ind/>
    </w:pPr>
    <w:rPr>
      <w:rFonts w:cs="Times New Roman"/>
      <w:b/>
    </w:rPr>
  </w:style>
  <w:style w:type="character" w:styleId="946" w:customStyle="1">
    <w:name w:val="WW8Num14z0"/>
    <w:uiPriority w:val="99"/>
    <w:qFormat/>
    <w:pPr>
      <w:pBdr/>
      <w:spacing/>
      <w:ind/>
    </w:pPr>
    <w:rPr>
      <w:b/>
    </w:rPr>
  </w:style>
  <w:style w:type="character" w:styleId="947" w:customStyle="1">
    <w:name w:val="WW8Num14z1"/>
    <w:qFormat/>
    <w:pPr>
      <w:pBdr/>
      <w:spacing/>
      <w:ind/>
    </w:pPr>
    <w:rPr>
      <w:rFonts w:ascii="Arial" w:hAnsi="Arial" w:cs="Arial"/>
      <w:b w:val="0"/>
      <w:i w:val="0"/>
      <w:strike w:val="0"/>
      <w:color w:val="000000"/>
      <w:sz w:val="20"/>
      <w:szCs w:val="20"/>
      <w:u w:val="none"/>
    </w:rPr>
  </w:style>
  <w:style w:type="character" w:styleId="948" w:customStyle="1">
    <w:name w:val="WW8Num14z2"/>
    <w:qFormat/>
    <w:pPr>
      <w:pBdr/>
      <w:spacing/>
      <w:ind/>
    </w:pPr>
    <w:rPr>
      <w:rFonts w:ascii="Arial" w:hAnsi="Arial" w:cs="Arial"/>
      <w:b w:val="0"/>
      <w:i w:val="0"/>
      <w:strike w:val="0"/>
      <w:color w:val="000000"/>
      <w:sz w:val="20"/>
      <w:szCs w:val="20"/>
    </w:rPr>
  </w:style>
  <w:style w:type="character" w:styleId="949" w:customStyle="1">
    <w:name w:val="WW8Num14z3"/>
    <w:qFormat/>
    <w:pPr>
      <w:pBdr/>
      <w:spacing/>
      <w:ind/>
    </w:pPr>
  </w:style>
  <w:style w:type="character" w:styleId="950" w:customStyle="1">
    <w:name w:val="WW8Num15z0"/>
    <w:uiPriority w:val="99"/>
    <w:qFormat/>
    <w:pPr>
      <w:pBdr/>
      <w:spacing/>
      <w:ind/>
    </w:pPr>
    <w:rPr>
      <w:rFonts w:cs="Times New Roman"/>
    </w:rPr>
  </w:style>
  <w:style w:type="character" w:styleId="951" w:customStyle="1">
    <w:name w:val="WW8Num15z1"/>
    <w:uiPriority w:val="99"/>
    <w:qFormat/>
    <w:pPr>
      <w:pBdr/>
      <w:spacing/>
      <w:ind/>
    </w:pPr>
    <w:rPr>
      <w:rFonts w:cs="Times New Roman"/>
      <w:b/>
    </w:rPr>
  </w:style>
  <w:style w:type="character" w:styleId="952" w:customStyle="1">
    <w:name w:val="WW8Num16z0"/>
    <w:uiPriority w:val="99"/>
    <w:qFormat/>
    <w:pPr>
      <w:pBdr/>
      <w:spacing/>
      <w:ind/>
    </w:pPr>
    <w:rPr>
      <w:rFonts w:cs="Times New Roman"/>
      <w:b/>
    </w:rPr>
  </w:style>
  <w:style w:type="character" w:styleId="953" w:customStyle="1">
    <w:name w:val="WW8Num17z0"/>
    <w:uiPriority w:val="99"/>
    <w:qFormat/>
    <w:pPr>
      <w:pBdr/>
      <w:spacing/>
      <w:ind/>
    </w:pPr>
    <w:rPr>
      <w:rFonts w:cs="Times New Roman"/>
    </w:rPr>
  </w:style>
  <w:style w:type="character" w:styleId="954" w:customStyle="1">
    <w:name w:val="WW8Num18z0"/>
    <w:qFormat/>
    <w:pPr>
      <w:pBdr/>
      <w:spacing/>
      <w:ind/>
    </w:pPr>
    <w:rPr>
      <w:rFonts w:cs="Times New Roman"/>
      <w:b/>
    </w:rPr>
  </w:style>
  <w:style w:type="character" w:styleId="955" w:customStyle="1">
    <w:name w:val="WW8Num18z1"/>
    <w:uiPriority w:val="99"/>
    <w:qFormat/>
    <w:pPr>
      <w:pBdr/>
      <w:spacing/>
      <w:ind/>
    </w:pPr>
    <w:rPr>
      <w:rFonts w:ascii="Arial" w:hAnsi="Arial" w:cs="Arial"/>
      <w:b w:val="0"/>
      <w:i w:val="0"/>
      <w:strike w:val="0"/>
      <w:color w:val="000000"/>
      <w:sz w:val="20"/>
      <w:szCs w:val="20"/>
      <w:u w:val="none"/>
    </w:rPr>
  </w:style>
  <w:style w:type="character" w:styleId="956" w:customStyle="1">
    <w:name w:val="WW8Num18z2"/>
    <w:qFormat/>
    <w:pPr>
      <w:pBdr/>
      <w:spacing/>
      <w:ind/>
    </w:pPr>
    <w:rPr>
      <w:rFonts w:ascii="Arial" w:hAnsi="Arial" w:cs="Arial"/>
      <w:b w:val="0"/>
      <w:i w:val="0"/>
      <w:strike w:val="0"/>
      <w:color w:val="000000"/>
      <w:sz w:val="20"/>
      <w:szCs w:val="20"/>
    </w:rPr>
  </w:style>
  <w:style w:type="character" w:styleId="957" w:customStyle="1">
    <w:name w:val="WW8Num18z3"/>
    <w:qFormat/>
    <w:pPr>
      <w:pBdr/>
      <w:spacing/>
      <w:ind/>
    </w:pPr>
    <w:rPr>
      <w:rFonts w:cs="Times New Roman"/>
    </w:rPr>
  </w:style>
  <w:style w:type="character" w:styleId="958" w:customStyle="1">
    <w:name w:val="WW8Num19z0"/>
    <w:uiPriority w:val="99"/>
    <w:qFormat/>
    <w:pPr>
      <w:pBdr/>
      <w:spacing/>
      <w:ind/>
    </w:pPr>
    <w:rPr>
      <w:rFonts w:cs="Times New Roman"/>
    </w:rPr>
  </w:style>
  <w:style w:type="character" w:styleId="959" w:customStyle="1">
    <w:name w:val="WW8Num20z0"/>
    <w:qFormat/>
    <w:pPr>
      <w:pBdr/>
      <w:spacing/>
      <w:ind/>
    </w:pPr>
    <w:rPr>
      <w:rFonts w:cs="Times New Roman"/>
      <w:b/>
    </w:rPr>
  </w:style>
  <w:style w:type="character" w:styleId="960" w:customStyle="1">
    <w:name w:val="WW8Num21z0"/>
    <w:uiPriority w:val="99"/>
    <w:qFormat/>
    <w:pPr>
      <w:pBdr/>
      <w:spacing/>
      <w:ind/>
    </w:pPr>
    <w:rPr>
      <w:rFonts w:cs="Times New Roman"/>
      <w:b w:val="0"/>
      <w:i w:val="0"/>
      <w:sz w:val="24"/>
    </w:rPr>
  </w:style>
  <w:style w:type="character" w:styleId="961" w:customStyle="1">
    <w:name w:val="WW8Num21z1"/>
    <w:uiPriority w:val="99"/>
    <w:qFormat/>
    <w:pPr>
      <w:pBdr/>
      <w:spacing/>
      <w:ind/>
    </w:pPr>
    <w:rPr>
      <w:rFonts w:ascii="Arial" w:hAnsi="Arial" w:cs="Arial"/>
      <w:b w:val="0"/>
      <w:i w:val="0"/>
      <w:color w:val="000000"/>
      <w:sz w:val="20"/>
      <w:szCs w:val="20"/>
    </w:rPr>
  </w:style>
  <w:style w:type="character" w:styleId="962" w:customStyle="1">
    <w:name w:val="WW8Num21z2"/>
    <w:uiPriority w:val="99"/>
    <w:qFormat/>
    <w:pPr>
      <w:pBdr/>
      <w:spacing/>
      <w:ind/>
    </w:pPr>
    <w:rPr>
      <w:rFonts w:cs="Times New Roman"/>
      <w:b w:val="0"/>
      <w:i w:val="0"/>
      <w:color w:val="000000"/>
      <w:sz w:val="20"/>
      <w:szCs w:val="20"/>
    </w:rPr>
  </w:style>
  <w:style w:type="character" w:styleId="963" w:customStyle="1">
    <w:name w:val="WW8Num21z3"/>
    <w:uiPriority w:val="99"/>
    <w:qFormat/>
    <w:pPr>
      <w:pBdr/>
      <w:spacing/>
      <w:ind/>
    </w:pPr>
    <w:rPr>
      <w:rFonts w:cs="Times New Roman"/>
      <w:b w:val="0"/>
      <w:i w:val="0"/>
    </w:rPr>
  </w:style>
  <w:style w:type="character" w:styleId="964" w:customStyle="1">
    <w:name w:val="WW8Num21z4"/>
    <w:uiPriority w:val="99"/>
    <w:qFormat/>
    <w:pPr>
      <w:pBdr/>
      <w:spacing/>
      <w:ind/>
    </w:pPr>
    <w:rPr>
      <w:rFonts w:cs="Times New Roman"/>
      <w:b/>
      <w:i w:val="0"/>
    </w:rPr>
  </w:style>
  <w:style w:type="character" w:styleId="965" w:customStyle="1">
    <w:name w:val="WW8Num21z5"/>
    <w:uiPriority w:val="99"/>
    <w:qFormat/>
    <w:pPr>
      <w:pBdr/>
      <w:spacing/>
      <w:ind/>
    </w:pPr>
    <w:rPr>
      <w:rFonts w:cs="Times New Roman"/>
    </w:rPr>
  </w:style>
  <w:style w:type="character" w:styleId="966" w:customStyle="1">
    <w:name w:val="WW8Num22z0"/>
    <w:qFormat/>
    <w:pPr>
      <w:pBdr/>
      <w:spacing/>
      <w:ind/>
    </w:pPr>
    <w:rPr>
      <w:rFonts w:cs="Times New Roman"/>
    </w:rPr>
  </w:style>
  <w:style w:type="character" w:styleId="967" w:customStyle="1">
    <w:name w:val="WW8Num22z1"/>
    <w:uiPriority w:val="99"/>
    <w:qFormat/>
    <w:pPr>
      <w:pBdr/>
      <w:spacing/>
      <w:ind/>
    </w:pPr>
    <w:rPr>
      <w:rFonts w:cs="Times New Roman"/>
      <w:b/>
    </w:rPr>
  </w:style>
  <w:style w:type="character" w:styleId="968" w:customStyle="1">
    <w:name w:val="WW8Num23z0"/>
    <w:uiPriority w:val="99"/>
    <w:qFormat/>
    <w:pPr>
      <w:pBdr/>
      <w:spacing/>
      <w:ind/>
    </w:pPr>
    <w:rPr>
      <w:rFonts w:ascii="Arial" w:hAnsi="Arial" w:eastAsia="Times New Roman" w:cs="Arial"/>
      <w:b/>
      <w:bCs/>
      <w:sz w:val="20"/>
      <w:szCs w:val="20"/>
    </w:rPr>
  </w:style>
  <w:style w:type="character" w:styleId="969" w:customStyle="1">
    <w:name w:val="WW8Num23z1"/>
    <w:uiPriority w:val="99"/>
    <w:qFormat/>
    <w:pPr>
      <w:pBdr/>
      <w:spacing/>
      <w:ind/>
    </w:pPr>
    <w:rPr>
      <w:rFonts w:cs="Times New Roman"/>
      <w:b/>
      <w:bCs/>
      <w:color w:val="000000"/>
      <w:spacing w:val="-1"/>
      <w:sz w:val="22"/>
      <w:szCs w:val="22"/>
    </w:rPr>
  </w:style>
  <w:style w:type="character" w:styleId="970" w:customStyle="1">
    <w:name w:val="WW8Num23z2"/>
    <w:uiPriority w:val="99"/>
    <w:qFormat/>
    <w:pPr>
      <w:pBdr/>
      <w:spacing/>
      <w:ind/>
    </w:pPr>
    <w:rPr>
      <w:rFonts w:ascii="Arial" w:hAnsi="Arial" w:eastAsia="Times New Roman" w:cs="Arial"/>
      <w:b/>
      <w:bCs/>
      <w:spacing w:val="-1"/>
      <w:sz w:val="20"/>
      <w:szCs w:val="20"/>
    </w:rPr>
  </w:style>
  <w:style w:type="character" w:styleId="971" w:customStyle="1">
    <w:name w:val="WW8Num23z3"/>
    <w:uiPriority w:val="99"/>
    <w:qFormat/>
    <w:pPr>
      <w:pBdr/>
      <w:spacing/>
      <w:ind/>
    </w:pPr>
  </w:style>
  <w:style w:type="character" w:styleId="972" w:customStyle="1">
    <w:name w:val="Fonte parág. padrão3"/>
    <w:qFormat/>
    <w:pPr>
      <w:pBdr/>
      <w:spacing/>
      <w:ind/>
    </w:pPr>
  </w:style>
  <w:style w:type="character" w:styleId="973" w:customStyle="1">
    <w:name w:val="Hyperlink1"/>
    <w:uiPriority w:val="99"/>
    <w:unhideWhenUsed/>
    <w:qFormat/>
    <w:pPr>
      <w:pBdr/>
      <w:spacing/>
      <w:ind/>
    </w:pPr>
    <w:rPr>
      <w:rFonts w:cs="Times New Roman"/>
      <w:color w:val="0000ff"/>
      <w:u w:val="single"/>
    </w:rPr>
  </w:style>
  <w:style w:type="paragraph" w:styleId="974" w:customStyle="1">
    <w:name w:val="Número de página1"/>
    <w:basedOn w:val="2025"/>
    <w:next w:val="864"/>
    <w:uiPriority w:val="99"/>
    <w:qFormat/>
    <w:pPr>
      <w:pBdr/>
      <w:tabs>
        <w:tab w:val="right" w:leader="dot" w:pos="9771"/>
      </w:tabs>
      <w:spacing/>
      <w:ind/>
    </w:pPr>
    <w:rPr>
      <w:rFonts w:ascii="Arial" w:hAnsi="Arial" w:eastAsia="Arial"/>
      <w:b/>
      <w:bCs/>
      <w:sz w:val="16"/>
      <w:szCs w:val="16"/>
    </w:rPr>
  </w:style>
  <w:style w:type="character" w:styleId="975" w:customStyle="1">
    <w:name w:val="Fonte parág. padrão2"/>
    <w:qFormat/>
    <w:pPr>
      <w:pBdr/>
      <w:spacing/>
      <w:ind/>
    </w:pPr>
  </w:style>
  <w:style w:type="character" w:styleId="976" w:customStyle="1">
    <w:name w:val="WW8Num1z1"/>
    <w:uiPriority w:val="99"/>
    <w:qFormat/>
    <w:pPr>
      <w:pBdr/>
      <w:spacing/>
      <w:ind/>
    </w:pPr>
    <w:rPr>
      <w:b/>
    </w:rPr>
  </w:style>
  <w:style w:type="character" w:styleId="977" w:customStyle="1">
    <w:name w:val="WW8Num8z1"/>
    <w:uiPriority w:val="99"/>
    <w:qFormat/>
    <w:pPr>
      <w:pBdr/>
      <w:spacing/>
      <w:ind/>
    </w:pPr>
    <w:rPr>
      <w:rFonts w:ascii="Arial" w:hAnsi="Arial" w:cs="Arial"/>
      <w:b w:val="0"/>
      <w:i w:val="0"/>
      <w:strike w:val="0"/>
      <w:color w:val="000000"/>
      <w:sz w:val="20"/>
      <w:szCs w:val="20"/>
      <w:u w:val="none"/>
    </w:rPr>
  </w:style>
  <w:style w:type="character" w:styleId="978" w:customStyle="1">
    <w:name w:val="WW8Num8z2"/>
    <w:uiPriority w:val="99"/>
    <w:qFormat/>
    <w:pPr>
      <w:pBdr/>
      <w:spacing/>
      <w:ind/>
    </w:pPr>
    <w:rPr>
      <w:rFonts w:ascii="Arial" w:hAnsi="Arial" w:cs="Arial"/>
      <w:b w:val="0"/>
      <w:i w:val="0"/>
      <w:strike w:val="0"/>
      <w:color w:val="000000"/>
      <w:sz w:val="20"/>
      <w:szCs w:val="20"/>
    </w:rPr>
  </w:style>
  <w:style w:type="character" w:styleId="979" w:customStyle="1">
    <w:name w:val="WW8Num8z3"/>
    <w:uiPriority w:val="99"/>
    <w:qFormat/>
    <w:pPr>
      <w:pBdr/>
      <w:spacing/>
      <w:ind/>
    </w:pPr>
  </w:style>
  <w:style w:type="character" w:styleId="980" w:customStyle="1">
    <w:name w:val="WW8Num25z0"/>
    <w:uiPriority w:val="99"/>
    <w:qFormat/>
    <w:pPr>
      <w:pBdr/>
      <w:spacing/>
      <w:ind/>
    </w:pPr>
    <w:rPr>
      <w:b w:val="0"/>
      <w:bCs w:val="0"/>
      <w:sz w:val="20"/>
      <w:szCs w:val="20"/>
    </w:rPr>
  </w:style>
  <w:style w:type="character" w:styleId="981" w:customStyle="1">
    <w:name w:val="WW8Num27z0"/>
    <w:uiPriority w:val="99"/>
    <w:qFormat/>
    <w:pPr>
      <w:pBdr/>
      <w:spacing/>
      <w:ind/>
    </w:pPr>
    <w:rPr>
      <w:rFonts w:cs="Times New Roman"/>
    </w:rPr>
  </w:style>
  <w:style w:type="character" w:styleId="982" w:customStyle="1">
    <w:name w:val="WW8Num27z1"/>
    <w:uiPriority w:val="99"/>
    <w:qFormat/>
    <w:pPr>
      <w:pBdr/>
      <w:spacing/>
      <w:ind/>
    </w:pPr>
    <w:rPr>
      <w:rFonts w:cs="Times New Roman"/>
      <w:b/>
    </w:rPr>
  </w:style>
  <w:style w:type="character" w:styleId="983" w:customStyle="1">
    <w:name w:val="WW8Num28z0"/>
    <w:qFormat/>
    <w:pPr>
      <w:pBdr/>
      <w:spacing/>
      <w:ind/>
    </w:pPr>
    <w:rPr>
      <w:b w:val="0"/>
      <w:bCs w:val="0"/>
      <w:sz w:val="20"/>
      <w:szCs w:val="20"/>
    </w:rPr>
  </w:style>
  <w:style w:type="character" w:styleId="984" w:customStyle="1">
    <w:name w:val="WW8Num29z0"/>
    <w:qFormat/>
    <w:pPr>
      <w:pBdr/>
      <w:spacing/>
      <w:ind/>
    </w:pPr>
    <w:rPr>
      <w:b w:val="0"/>
      <w:bCs w:val="0"/>
      <w:sz w:val="20"/>
      <w:szCs w:val="20"/>
    </w:rPr>
  </w:style>
  <w:style w:type="character" w:styleId="985" w:customStyle="1">
    <w:name w:val="WW8Num33z0"/>
    <w:qFormat/>
    <w:pPr>
      <w:pBdr/>
      <w:spacing/>
      <w:ind/>
    </w:pPr>
    <w:rPr>
      <w:b w:val="0"/>
      <w:bCs w:val="0"/>
      <w:sz w:val="20"/>
      <w:szCs w:val="20"/>
    </w:rPr>
  </w:style>
  <w:style w:type="character" w:styleId="986" w:customStyle="1">
    <w:name w:val="WW8Num34z0"/>
    <w:qFormat/>
    <w:pPr>
      <w:pBdr/>
      <w:spacing/>
      <w:ind/>
    </w:pPr>
    <w:rPr>
      <w:b w:val="0"/>
      <w:bCs w:val="0"/>
      <w:sz w:val="20"/>
      <w:szCs w:val="20"/>
    </w:rPr>
  </w:style>
  <w:style w:type="character" w:styleId="987" w:customStyle="1">
    <w:name w:val="Título 2 Char"/>
    <w:uiPriority w:val="9"/>
    <w:qFormat/>
    <w:pPr>
      <w:pBdr/>
      <w:spacing/>
      <w:ind/>
    </w:pPr>
    <w:rPr>
      <w:rFonts w:ascii="Arial" w:hAnsi="Arial" w:eastAsia="Times New Roman" w:cs="Arial"/>
      <w:b/>
      <w:color w:val="000000"/>
      <w:sz w:val="22"/>
    </w:rPr>
  </w:style>
  <w:style w:type="character" w:styleId="988" w:customStyle="1">
    <w:name w:val="Texto sem Formatação Char"/>
    <w:link w:val="2300"/>
    <w:uiPriority w:val="99"/>
    <w:qFormat/>
    <w:pPr>
      <w:pBdr/>
      <w:spacing/>
      <w:ind/>
    </w:pPr>
    <w:rPr>
      <w:rFonts w:ascii="Courier New" w:hAnsi="Courier New" w:eastAsia="Times New Roman" w:cs="Courier New"/>
    </w:rPr>
  </w:style>
  <w:style w:type="character" w:styleId="989" w:customStyle="1">
    <w:name w:val="paginarotulo"/>
    <w:qFormat/>
    <w:pPr>
      <w:pBdr/>
      <w:spacing/>
      <w:ind/>
    </w:pPr>
  </w:style>
  <w:style w:type="character" w:styleId="990" w:customStyle="1">
    <w:name w:val="apple-converted-space"/>
    <w:uiPriority w:val="99"/>
    <w:qFormat/>
    <w:pPr>
      <w:pBdr/>
      <w:spacing/>
      <w:ind/>
    </w:pPr>
  </w:style>
  <w:style w:type="character" w:styleId="991" w:customStyle="1">
    <w:name w:val="Cabeçalho Char"/>
    <w:uiPriority w:val="99"/>
    <w:qFormat/>
    <w:pPr>
      <w:pBdr/>
      <w:spacing/>
      <w:ind/>
    </w:pPr>
    <w:rPr>
      <w:rFonts w:eastAsia="Times New Roman"/>
      <w:lang w:val="en-US"/>
    </w:rPr>
  </w:style>
  <w:style w:type="character" w:styleId="992" w:customStyle="1">
    <w:name w:val="Corpo de texto 3 Char"/>
    <w:uiPriority w:val="99"/>
    <w:qFormat/>
    <w:pPr>
      <w:pBdr/>
      <w:spacing/>
      <w:ind/>
    </w:pPr>
    <w:rPr>
      <w:rFonts w:eastAsia="Times New Roman"/>
      <w:sz w:val="16"/>
      <w:szCs w:val="16"/>
      <w:lang w:val="en-US"/>
    </w:rPr>
  </w:style>
  <w:style w:type="character" w:styleId="993" w:customStyle="1">
    <w:name w:val="Parágrafo da Lista Char"/>
    <w:qFormat/>
    <w:pPr>
      <w:pBdr/>
      <w:spacing/>
      <w:ind/>
    </w:pPr>
    <w:rPr>
      <w:rFonts w:ascii="Ecofont_Spranq_eco_Sans" w:hAnsi="Ecofont_Spranq_eco_Sans" w:eastAsia="Times New Roman" w:cs="Tahoma"/>
      <w:sz w:val="24"/>
      <w:szCs w:val="24"/>
    </w:rPr>
  </w:style>
  <w:style w:type="character" w:styleId="994" w:customStyle="1">
    <w:name w:val="Rodapé Char"/>
    <w:uiPriority w:val="99"/>
    <w:qFormat/>
    <w:pPr>
      <w:pBdr/>
      <w:spacing/>
      <w:ind/>
    </w:pPr>
    <w:rPr>
      <w:rFonts w:eastAsia="Times New Roman"/>
      <w:lang w:val="en-US"/>
    </w:rPr>
  </w:style>
  <w:style w:type="character" w:styleId="995" w:customStyle="1">
    <w:name w:val="Texto de nota de rodapé Char"/>
    <w:qFormat/>
    <w:pPr>
      <w:pBdr/>
      <w:spacing/>
      <w:ind/>
    </w:pPr>
  </w:style>
  <w:style w:type="character" w:styleId="996" w:customStyle="1">
    <w:name w:val="citação 2 Char"/>
    <w:qFormat/>
    <w:pPr>
      <w:pBdr/>
      <w:spacing/>
      <w:ind/>
    </w:pPr>
    <w:rPr>
      <w:rFonts w:ascii="Arial" w:hAnsi="Arial" w:eastAsia="Calibri" w:cs="Tahoma"/>
      <w:i/>
      <w:iCs/>
      <w:color w:val="000000"/>
      <w:shd w:val="clear" w:color="auto" w:fill="ffffcc"/>
    </w:rPr>
  </w:style>
  <w:style w:type="character" w:styleId="997" w:customStyle="1">
    <w:name w:val="Citação Char"/>
    <w:qFormat/>
    <w:pPr>
      <w:pBdr/>
      <w:spacing/>
      <w:ind/>
    </w:pPr>
    <w:rPr>
      <w:rFonts w:eastAsia="Times New Roman"/>
      <w:i/>
      <w:iCs/>
      <w:color w:val="404040"/>
    </w:rPr>
  </w:style>
  <w:style w:type="character" w:styleId="998" w:customStyle="1">
    <w:name w:val="Ref. de comentário1"/>
    <w:qFormat/>
    <w:pPr>
      <w:pBdr/>
      <w:spacing/>
      <w:ind/>
    </w:pPr>
    <w:rPr>
      <w:sz w:val="16"/>
      <w:szCs w:val="16"/>
    </w:rPr>
  </w:style>
  <w:style w:type="character" w:styleId="999" w:customStyle="1">
    <w:name w:val="Texto de comentário Char"/>
    <w:link w:val="2297"/>
    <w:uiPriority w:val="99"/>
    <w:qFormat/>
    <w:pPr>
      <w:pBdr/>
      <w:spacing/>
      <w:ind/>
    </w:pPr>
    <w:rPr>
      <w:rFonts w:ascii="Ecofont_Spranq_eco_Sans" w:hAnsi="Ecofont_Spranq_eco_Sans" w:eastAsia="MS Mincho" w:cs="Tahoma"/>
    </w:rPr>
  </w:style>
  <w:style w:type="character" w:styleId="1000" w:customStyle="1">
    <w:name w:val="Nivel 2 Char"/>
    <w:qFormat/>
    <w:pPr>
      <w:pBdr/>
      <w:spacing/>
      <w:ind/>
    </w:pPr>
    <w:rPr>
      <w:rFonts w:ascii="Arial" w:hAnsi="Arial" w:eastAsia="MS Mincho" w:cs="Arial"/>
      <w:color w:val="000000"/>
    </w:rPr>
  </w:style>
  <w:style w:type="character" w:styleId="1001" w:customStyle="1">
    <w:name w:val="Nível 2 -Red Char"/>
    <w:qFormat/>
    <w:pPr>
      <w:pBdr/>
      <w:spacing/>
      <w:ind/>
    </w:pPr>
    <w:rPr>
      <w:rFonts w:ascii="Arial" w:hAnsi="Arial" w:eastAsia="MS Mincho" w:cs="Arial"/>
      <w:i/>
      <w:iCs/>
      <w:color w:val="ff0000"/>
    </w:rPr>
  </w:style>
  <w:style w:type="character" w:styleId="1002" w:customStyle="1">
    <w:name w:val="Nivel 3 Char"/>
    <w:qFormat/>
    <w:pPr>
      <w:pBdr/>
      <w:spacing/>
      <w:ind/>
    </w:pPr>
    <w:rPr>
      <w:rFonts w:ascii="Arial" w:hAnsi="Arial" w:eastAsia="MS Mincho" w:cs="Arial"/>
      <w:color w:val="000000"/>
    </w:rPr>
  </w:style>
  <w:style w:type="character" w:styleId="1003" w:customStyle="1">
    <w:name w:val="Nível 3-R Char"/>
    <w:qFormat/>
    <w:pPr>
      <w:pBdr/>
      <w:spacing/>
      <w:ind/>
    </w:pPr>
    <w:rPr>
      <w:rFonts w:ascii="Arial" w:hAnsi="Arial" w:eastAsia="MS Mincho" w:cs="Arial"/>
      <w:i/>
      <w:iCs/>
      <w:color w:val="ff0000"/>
    </w:rPr>
  </w:style>
  <w:style w:type="character" w:styleId="1004" w:customStyle="1">
    <w:name w:val="Assunto do comentário Char"/>
    <w:uiPriority w:val="99"/>
    <w:qFormat/>
    <w:pPr>
      <w:pBdr/>
      <w:spacing/>
      <w:ind/>
    </w:pPr>
    <w:rPr>
      <w:rFonts w:ascii="Ecofont_Spranq_eco_Sans" w:hAnsi="Ecofont_Spranq_eco_Sans" w:eastAsia="Times New Roman" w:cs="Tahoma"/>
      <w:b/>
      <w:bCs/>
    </w:rPr>
  </w:style>
  <w:style w:type="character" w:styleId="1005" w:customStyle="1">
    <w:name w:val="Nivel 01 Char"/>
    <w:qFormat/>
    <w:pPr>
      <w:pBdr/>
      <w:spacing/>
      <w:ind/>
    </w:pPr>
    <w:rPr>
      <w:rFonts w:ascii="Ecofont_Spranq_eco_Sans" w:hAnsi="Ecofont_Spranq_eco_Sans" w:eastAsia="MS Gothic" w:cs="Ecofont_Spranq_eco_Sans"/>
      <w:b/>
      <w:bCs/>
      <w:color w:val="000000"/>
    </w:rPr>
  </w:style>
  <w:style w:type="character" w:styleId="1006" w:customStyle="1">
    <w:name w:val="normaltextrun"/>
    <w:qFormat/>
    <w:pPr>
      <w:pBdr/>
      <w:spacing/>
      <w:ind/>
    </w:pPr>
  </w:style>
  <w:style w:type="character" w:styleId="1007" w:customStyle="1">
    <w:name w:val="eop"/>
    <w:qFormat/>
    <w:pPr>
      <w:pBdr/>
      <w:spacing/>
      <w:ind/>
    </w:pPr>
  </w:style>
  <w:style w:type="character" w:styleId="1008" w:customStyle="1">
    <w:name w:val="Nivel 4 Char"/>
    <w:qFormat/>
    <w:pPr>
      <w:pBdr/>
      <w:spacing/>
      <w:ind/>
    </w:pPr>
    <w:rPr>
      <w:rFonts w:ascii="Arial" w:hAnsi="Arial" w:eastAsia="MS Mincho" w:cs="Arial"/>
    </w:rPr>
  </w:style>
  <w:style w:type="character" w:styleId="1009" w:customStyle="1">
    <w:name w:val="Título 1 Char"/>
    <w:uiPriority w:val="9"/>
    <w:qFormat/>
    <w:pPr>
      <w:pBdr/>
      <w:spacing/>
      <w:ind/>
    </w:pPr>
    <w:rPr>
      <w:rFonts w:ascii="Arial" w:hAnsi="Arial" w:eastAsia="Times New Roman" w:cs="Arial"/>
      <w:b/>
      <w:bCs/>
      <w:sz w:val="32"/>
      <w:szCs w:val="32"/>
      <w:lang w:val="en-US"/>
    </w:rPr>
  </w:style>
  <w:style w:type="character" w:styleId="1010" w:customStyle="1">
    <w:name w:val="Título 3 Char"/>
    <w:uiPriority w:val="9"/>
    <w:qFormat/>
    <w:pPr>
      <w:pBdr/>
      <w:spacing/>
      <w:ind/>
    </w:pPr>
    <w:rPr>
      <w:rFonts w:ascii="Arial" w:hAnsi="Arial" w:eastAsia="Times New Roman" w:cs="Arial"/>
      <w:b/>
      <w:bCs/>
      <w:sz w:val="26"/>
      <w:szCs w:val="26"/>
    </w:rPr>
  </w:style>
  <w:style w:type="character" w:styleId="1011" w:customStyle="1">
    <w:name w:val="Título 4 Char"/>
    <w:uiPriority w:val="9"/>
    <w:qFormat/>
    <w:pPr>
      <w:pBdr/>
      <w:spacing/>
      <w:ind/>
    </w:pPr>
    <w:rPr>
      <w:rFonts w:eastAsia="Times New Roman"/>
      <w:b/>
      <w:bCs/>
      <w:sz w:val="28"/>
      <w:szCs w:val="28"/>
    </w:rPr>
  </w:style>
  <w:style w:type="character" w:styleId="1012" w:customStyle="1">
    <w:name w:val="Título 5 Char"/>
    <w:uiPriority w:val="9"/>
    <w:qFormat/>
    <w:pPr>
      <w:pBdr/>
      <w:spacing/>
      <w:ind/>
    </w:pPr>
    <w:rPr>
      <w:rFonts w:eastAsia="Times New Roman"/>
      <w:b/>
      <w:bCs/>
      <w:i/>
      <w:iCs/>
      <w:sz w:val="26"/>
      <w:szCs w:val="26"/>
    </w:rPr>
  </w:style>
  <w:style w:type="character" w:styleId="1013" w:customStyle="1">
    <w:name w:val="Corpo de texto Char"/>
    <w:uiPriority w:val="99"/>
    <w:qFormat/>
    <w:pPr>
      <w:pBdr/>
      <w:spacing/>
      <w:ind/>
    </w:pPr>
    <w:rPr>
      <w:rFonts w:eastAsia="Times New Roman"/>
    </w:rPr>
  </w:style>
  <w:style w:type="character" w:styleId="1014" w:customStyle="1">
    <w:name w:val="Recuo de corpo de texto Char"/>
    <w:uiPriority w:val="99"/>
    <w:qFormat/>
    <w:pPr>
      <w:pBdr/>
      <w:spacing/>
      <w:ind/>
    </w:pPr>
    <w:rPr>
      <w:rFonts w:eastAsia="Times New Roman"/>
      <w:sz w:val="24"/>
      <w:szCs w:val="24"/>
      <w:lang w:val="en-US"/>
    </w:rPr>
  </w:style>
  <w:style w:type="character" w:styleId="1015" w:customStyle="1">
    <w:name w:val="Recuo de corpo de texto 3 Char"/>
    <w:uiPriority w:val="99"/>
    <w:qFormat/>
    <w:pPr>
      <w:pBdr/>
      <w:spacing/>
      <w:ind/>
    </w:pPr>
    <w:rPr>
      <w:rFonts w:ascii="Arial" w:hAnsi="Arial" w:cs="Arial"/>
      <w:sz w:val="24"/>
      <w:lang w:val="en-US"/>
    </w:rPr>
  </w:style>
  <w:style w:type="character" w:styleId="1016" w:customStyle="1">
    <w:name w:val="Recuo de corpo de texto 2 Char"/>
    <w:uiPriority w:val="99"/>
    <w:qFormat/>
    <w:pPr>
      <w:pBdr/>
      <w:spacing/>
      <w:ind/>
    </w:pPr>
    <w:rPr>
      <w:rFonts w:eastAsia="Times New Roman"/>
    </w:rPr>
  </w:style>
  <w:style w:type="character" w:styleId="1017" w:customStyle="1">
    <w:name w:val="Texto de balão Char"/>
    <w:uiPriority w:val="99"/>
    <w:qFormat/>
    <w:pPr>
      <w:pBdr/>
      <w:spacing/>
      <w:ind/>
    </w:pPr>
    <w:rPr>
      <w:rFonts w:ascii="Tahoma" w:hAnsi="Tahoma" w:eastAsia="Times New Roman" w:cs="Tahoma"/>
      <w:sz w:val="16"/>
      <w:szCs w:val="16"/>
    </w:rPr>
  </w:style>
  <w:style w:type="character" w:styleId="1018" w:customStyle="1">
    <w:name w:val="Corpo de texto 2 Char"/>
    <w:uiPriority w:val="99"/>
    <w:qFormat/>
    <w:pPr>
      <w:pBdr/>
      <w:spacing/>
      <w:ind/>
    </w:pPr>
    <w:rPr>
      <w:rFonts w:eastAsia="Times New Roman"/>
    </w:rPr>
  </w:style>
  <w:style w:type="character" w:styleId="1019" w:customStyle="1">
    <w:name w:val="lrzxr"/>
    <w:qFormat/>
    <w:pPr>
      <w:pBdr/>
      <w:spacing/>
      <w:ind/>
    </w:pPr>
  </w:style>
  <w:style w:type="character" w:styleId="1020" w:customStyle="1">
    <w:name w:val="theme-text-color-4-3"/>
    <w:qFormat/>
    <w:pPr>
      <w:pBdr/>
      <w:spacing/>
      <w:ind/>
    </w:pPr>
  </w:style>
  <w:style w:type="character" w:styleId="1021" w:customStyle="1">
    <w:name w:val="cskcde"/>
    <w:qFormat/>
    <w:pPr>
      <w:pBdr/>
      <w:spacing/>
      <w:ind/>
    </w:pPr>
  </w:style>
  <w:style w:type="character" w:styleId="1022" w:customStyle="1">
    <w:name w:val="hgkelc"/>
    <w:qFormat/>
    <w:pPr>
      <w:pBdr/>
      <w:spacing/>
      <w:ind/>
    </w:pPr>
  </w:style>
  <w:style w:type="character" w:styleId="1023" w:customStyle="1">
    <w:name w:val="d9fyld"/>
    <w:qFormat/>
    <w:pPr>
      <w:pBdr/>
      <w:spacing/>
      <w:ind/>
    </w:pPr>
  </w:style>
  <w:style w:type="character" w:styleId="1024" w:customStyle="1">
    <w:name w:val="WW8Num4z1"/>
    <w:uiPriority w:val="99"/>
    <w:qFormat/>
    <w:pPr>
      <w:pBdr/>
      <w:spacing/>
      <w:ind/>
    </w:pPr>
  </w:style>
  <w:style w:type="character" w:styleId="1025" w:customStyle="1">
    <w:name w:val="WW8Num4z2"/>
    <w:uiPriority w:val="99"/>
    <w:qFormat/>
    <w:pPr>
      <w:pBdr/>
      <w:spacing/>
      <w:ind/>
    </w:pPr>
  </w:style>
  <w:style w:type="character" w:styleId="1026" w:customStyle="1">
    <w:name w:val="WW8Num4z3"/>
    <w:uiPriority w:val="99"/>
    <w:qFormat/>
    <w:pPr>
      <w:pBdr/>
      <w:spacing/>
      <w:ind/>
    </w:pPr>
  </w:style>
  <w:style w:type="character" w:styleId="1027" w:customStyle="1">
    <w:name w:val="WW8Num4z4"/>
    <w:qFormat/>
    <w:pPr>
      <w:pBdr/>
      <w:spacing/>
      <w:ind/>
    </w:pPr>
  </w:style>
  <w:style w:type="character" w:styleId="1028" w:customStyle="1">
    <w:name w:val="WW8Num4z5"/>
    <w:qFormat/>
    <w:pPr>
      <w:pBdr/>
      <w:spacing/>
      <w:ind/>
    </w:pPr>
  </w:style>
  <w:style w:type="character" w:styleId="1029" w:customStyle="1">
    <w:name w:val="WW8Num4z6"/>
    <w:qFormat/>
    <w:pPr>
      <w:pBdr/>
      <w:spacing/>
      <w:ind/>
    </w:pPr>
  </w:style>
  <w:style w:type="character" w:styleId="1030" w:customStyle="1">
    <w:name w:val="WW8Num4z7"/>
    <w:qFormat/>
    <w:pPr>
      <w:pBdr/>
      <w:spacing/>
      <w:ind/>
    </w:pPr>
  </w:style>
  <w:style w:type="character" w:styleId="1031" w:customStyle="1">
    <w:name w:val="WW8Num4z8"/>
    <w:qFormat/>
    <w:pPr>
      <w:pBdr/>
      <w:spacing/>
      <w:ind/>
    </w:pPr>
  </w:style>
  <w:style w:type="character" w:styleId="1032" w:customStyle="1">
    <w:name w:val="WW8Num6z1"/>
    <w:uiPriority w:val="99"/>
    <w:qFormat/>
    <w:pPr>
      <w:pBdr/>
      <w:spacing/>
      <w:ind/>
    </w:pPr>
  </w:style>
  <w:style w:type="character" w:styleId="1033" w:customStyle="1">
    <w:name w:val="WW8Num6z2"/>
    <w:qFormat/>
    <w:pPr>
      <w:pBdr/>
      <w:spacing/>
      <w:ind/>
    </w:pPr>
  </w:style>
  <w:style w:type="character" w:styleId="1034" w:customStyle="1">
    <w:name w:val="WW8Num6z3"/>
    <w:qFormat/>
    <w:pPr>
      <w:pBdr/>
      <w:spacing/>
      <w:ind/>
    </w:pPr>
  </w:style>
  <w:style w:type="character" w:styleId="1035" w:customStyle="1">
    <w:name w:val="WW8Num6z4"/>
    <w:qFormat/>
    <w:pPr>
      <w:pBdr/>
      <w:spacing/>
      <w:ind/>
    </w:pPr>
  </w:style>
  <w:style w:type="character" w:styleId="1036" w:customStyle="1">
    <w:name w:val="WW8Num6z5"/>
    <w:qFormat/>
    <w:pPr>
      <w:pBdr/>
      <w:spacing/>
      <w:ind/>
    </w:pPr>
  </w:style>
  <w:style w:type="character" w:styleId="1037" w:customStyle="1">
    <w:name w:val="WW8Num6z6"/>
    <w:qFormat/>
    <w:pPr>
      <w:pBdr/>
      <w:spacing/>
      <w:ind/>
    </w:pPr>
  </w:style>
  <w:style w:type="character" w:styleId="1038" w:customStyle="1">
    <w:name w:val="WW8Num6z7"/>
    <w:qFormat/>
    <w:pPr>
      <w:pBdr/>
      <w:spacing/>
      <w:ind/>
    </w:pPr>
  </w:style>
  <w:style w:type="character" w:styleId="1039" w:customStyle="1">
    <w:name w:val="WW8Num6z8"/>
    <w:qFormat/>
    <w:pPr>
      <w:pBdr/>
      <w:spacing/>
      <w:ind/>
    </w:pPr>
  </w:style>
  <w:style w:type="character" w:styleId="1040" w:customStyle="1">
    <w:name w:val="WW8Num10z1"/>
    <w:uiPriority w:val="99"/>
    <w:qFormat/>
    <w:pPr>
      <w:pBdr/>
      <w:spacing/>
      <w:ind/>
    </w:pPr>
  </w:style>
  <w:style w:type="character" w:styleId="1041" w:customStyle="1">
    <w:name w:val="WW8Num10z2"/>
    <w:uiPriority w:val="99"/>
    <w:qFormat/>
    <w:pPr>
      <w:pBdr/>
      <w:spacing/>
      <w:ind/>
    </w:pPr>
  </w:style>
  <w:style w:type="character" w:styleId="1042" w:customStyle="1">
    <w:name w:val="WW8Num10z3"/>
    <w:uiPriority w:val="99"/>
    <w:qFormat/>
    <w:pPr>
      <w:pBdr/>
      <w:spacing/>
      <w:ind/>
    </w:pPr>
  </w:style>
  <w:style w:type="character" w:styleId="1043" w:customStyle="1">
    <w:name w:val="WW8Num10z4"/>
    <w:uiPriority w:val="99"/>
    <w:qFormat/>
    <w:pPr>
      <w:pBdr/>
      <w:spacing/>
      <w:ind/>
    </w:pPr>
  </w:style>
  <w:style w:type="character" w:styleId="1044" w:customStyle="1">
    <w:name w:val="WW8Num10z5"/>
    <w:uiPriority w:val="99"/>
    <w:qFormat/>
    <w:pPr>
      <w:pBdr/>
      <w:spacing/>
      <w:ind/>
    </w:pPr>
  </w:style>
  <w:style w:type="character" w:styleId="1045" w:customStyle="1">
    <w:name w:val="WW8Num10z6"/>
    <w:uiPriority w:val="99"/>
    <w:qFormat/>
    <w:pPr>
      <w:pBdr/>
      <w:spacing/>
      <w:ind/>
    </w:pPr>
  </w:style>
  <w:style w:type="character" w:styleId="1046" w:customStyle="1">
    <w:name w:val="WW8Num10z7"/>
    <w:uiPriority w:val="99"/>
    <w:qFormat/>
    <w:pPr>
      <w:pBdr/>
      <w:spacing/>
      <w:ind/>
    </w:pPr>
  </w:style>
  <w:style w:type="character" w:styleId="1047" w:customStyle="1">
    <w:name w:val="WW8Num10z8"/>
    <w:uiPriority w:val="99"/>
    <w:qFormat/>
    <w:pPr>
      <w:pBdr/>
      <w:spacing/>
      <w:ind/>
    </w:pPr>
  </w:style>
  <w:style w:type="character" w:styleId="1048" w:customStyle="1">
    <w:name w:val="WW8Num12z2"/>
    <w:qFormat/>
    <w:pPr>
      <w:pBdr/>
      <w:spacing/>
      <w:ind/>
    </w:pPr>
  </w:style>
  <w:style w:type="character" w:styleId="1049" w:customStyle="1">
    <w:name w:val="WW8Num12z3"/>
    <w:qFormat/>
    <w:pPr>
      <w:pBdr/>
      <w:spacing/>
      <w:ind/>
    </w:pPr>
  </w:style>
  <w:style w:type="character" w:styleId="1050" w:customStyle="1">
    <w:name w:val="WW8Num12z4"/>
    <w:qFormat/>
    <w:pPr>
      <w:pBdr/>
      <w:spacing/>
      <w:ind/>
    </w:pPr>
  </w:style>
  <w:style w:type="character" w:styleId="1051" w:customStyle="1">
    <w:name w:val="WW8Num12z5"/>
    <w:qFormat/>
    <w:pPr>
      <w:pBdr/>
      <w:spacing/>
      <w:ind/>
    </w:pPr>
  </w:style>
  <w:style w:type="character" w:styleId="1052" w:customStyle="1">
    <w:name w:val="WW8Num12z6"/>
    <w:qFormat/>
    <w:pPr>
      <w:pBdr/>
      <w:spacing/>
      <w:ind/>
    </w:pPr>
  </w:style>
  <w:style w:type="character" w:styleId="1053" w:customStyle="1">
    <w:name w:val="WW8Num12z7"/>
    <w:qFormat/>
    <w:pPr>
      <w:pBdr/>
      <w:spacing/>
      <w:ind/>
    </w:pPr>
  </w:style>
  <w:style w:type="character" w:styleId="1054" w:customStyle="1">
    <w:name w:val="WW8Num12z8"/>
    <w:qFormat/>
    <w:pPr>
      <w:pBdr/>
      <w:spacing/>
      <w:ind/>
    </w:pPr>
  </w:style>
  <w:style w:type="character" w:styleId="1055" w:customStyle="1">
    <w:name w:val="WW8Num3z1"/>
    <w:uiPriority w:val="99"/>
    <w:qFormat/>
    <w:pPr>
      <w:pBdr/>
      <w:spacing/>
      <w:ind/>
    </w:pPr>
  </w:style>
  <w:style w:type="character" w:styleId="1056" w:customStyle="1">
    <w:name w:val="WW8Num3z2"/>
    <w:uiPriority w:val="99"/>
    <w:qFormat/>
    <w:pPr>
      <w:pBdr/>
      <w:spacing/>
      <w:ind/>
    </w:pPr>
  </w:style>
  <w:style w:type="character" w:styleId="1057" w:customStyle="1">
    <w:name w:val="WW8Num3z3"/>
    <w:uiPriority w:val="99"/>
    <w:qFormat/>
    <w:pPr>
      <w:pBdr/>
      <w:spacing/>
      <w:ind/>
    </w:pPr>
  </w:style>
  <w:style w:type="character" w:styleId="1058" w:customStyle="1">
    <w:name w:val="WW8Num3z4"/>
    <w:uiPriority w:val="99"/>
    <w:qFormat/>
    <w:pPr>
      <w:pBdr/>
      <w:spacing/>
      <w:ind/>
    </w:pPr>
  </w:style>
  <w:style w:type="character" w:styleId="1059" w:customStyle="1">
    <w:name w:val="WW8Num3z5"/>
    <w:uiPriority w:val="99"/>
    <w:qFormat/>
    <w:pPr>
      <w:pBdr/>
      <w:spacing/>
      <w:ind/>
    </w:pPr>
  </w:style>
  <w:style w:type="character" w:styleId="1060" w:customStyle="1">
    <w:name w:val="WW8Num3z6"/>
    <w:uiPriority w:val="99"/>
    <w:qFormat/>
    <w:pPr>
      <w:pBdr/>
      <w:spacing/>
      <w:ind/>
    </w:pPr>
  </w:style>
  <w:style w:type="character" w:styleId="1061" w:customStyle="1">
    <w:name w:val="WW8Num3z7"/>
    <w:uiPriority w:val="99"/>
    <w:qFormat/>
    <w:pPr>
      <w:pBdr/>
      <w:spacing/>
      <w:ind/>
    </w:pPr>
  </w:style>
  <w:style w:type="character" w:styleId="1062" w:customStyle="1">
    <w:name w:val="WW8Num3z8"/>
    <w:uiPriority w:val="99"/>
    <w:qFormat/>
    <w:pPr>
      <w:pBdr/>
      <w:spacing/>
      <w:ind/>
    </w:pPr>
  </w:style>
  <w:style w:type="character" w:styleId="1063" w:customStyle="1">
    <w:name w:val="Fonte parág. padrão1"/>
    <w:qFormat/>
    <w:pPr>
      <w:pBdr/>
      <w:spacing/>
      <w:ind/>
    </w:pPr>
  </w:style>
  <w:style w:type="character" w:styleId="1064" w:customStyle="1">
    <w:name w:val="Símbolos de numeração"/>
    <w:qFormat/>
    <w:pPr>
      <w:pBdr/>
      <w:spacing/>
      <w:ind/>
    </w:pPr>
    <w:rPr>
      <w:b/>
    </w:rPr>
  </w:style>
  <w:style w:type="character" w:styleId="1065" w:customStyle="1">
    <w:name w:val="hl hilite"/>
    <w:qFormat/>
    <w:pPr>
      <w:pBdr/>
      <w:spacing/>
      <w:ind/>
    </w:pPr>
  </w:style>
  <w:style w:type="character" w:styleId="1066" w:customStyle="1">
    <w:name w:val="Corpo de texto 3 Char1"/>
    <w:link w:val="2301"/>
    <w:uiPriority w:val="99"/>
    <w:qFormat/>
    <w:pPr>
      <w:pBdr/>
      <w:spacing/>
      <w:ind/>
    </w:pPr>
    <w:rPr>
      <w:sz w:val="16"/>
      <w:szCs w:val="16"/>
      <w:lang w:eastAsia="zh-CN"/>
    </w:rPr>
  </w:style>
  <w:style w:type="character" w:styleId="1067" w:customStyle="1">
    <w:name w:val="Recuo de corpo de texto 3 Char1"/>
    <w:uiPriority w:val="99"/>
    <w:qFormat/>
    <w:pPr>
      <w:pBdr/>
      <w:spacing/>
      <w:ind/>
    </w:pPr>
    <w:rPr>
      <w:sz w:val="16"/>
      <w:szCs w:val="16"/>
      <w:lang w:eastAsia="zh-CN"/>
    </w:rPr>
  </w:style>
  <w:style w:type="character" w:styleId="1068" w:customStyle="1">
    <w:name w:val="Recuo de corpo de texto 2 Char1"/>
    <w:link w:val="2298"/>
    <w:uiPriority w:val="99"/>
    <w:qFormat/>
    <w:pPr>
      <w:pBdr/>
      <w:spacing/>
      <w:ind/>
    </w:pPr>
    <w:rPr>
      <w:lang w:eastAsia="zh-CN"/>
    </w:rPr>
  </w:style>
  <w:style w:type="character" w:styleId="1069" w:customStyle="1">
    <w:name w:val="Corpo de texto 2 Char1"/>
    <w:link w:val="2302"/>
    <w:uiPriority w:val="99"/>
    <w:qFormat/>
    <w:pPr>
      <w:pBdr/>
      <w:spacing/>
      <w:ind/>
    </w:pPr>
    <w:rPr>
      <w:lang w:eastAsia="zh-CN"/>
    </w:rPr>
  </w:style>
  <w:style w:type="character" w:styleId="1070" w:customStyle="1">
    <w:name w:val="Texto sem Formatação Char1"/>
    <w:uiPriority w:val="99"/>
    <w:qFormat/>
    <w:pPr>
      <w:pBdr/>
      <w:spacing/>
      <w:ind/>
    </w:pPr>
    <w:rPr>
      <w:rFonts w:ascii="Courier New" w:hAnsi="Courier New" w:cs="Courier New"/>
      <w:lang w:eastAsia="zh-CN"/>
    </w:rPr>
  </w:style>
  <w:style w:type="character" w:styleId="1071" w:customStyle="1">
    <w:name w:val="Ref. de nota de rodapé1"/>
    <w:qFormat/>
    <w:pPr>
      <w:pBdr/>
      <w:spacing/>
      <w:ind/>
    </w:pPr>
    <w:rPr>
      <w:rFonts w:cs="Times New Roman"/>
      <w:vertAlign w:val="superscript"/>
    </w:rPr>
  </w:style>
  <w:style w:type="character" w:styleId="1072" w:customStyle="1">
    <w:name w:val="Ref. de comentário2"/>
    <w:qFormat/>
    <w:pPr>
      <w:pBdr/>
      <w:spacing/>
      <w:ind/>
    </w:pPr>
    <w:rPr>
      <w:rFonts w:cs="Times New Roman"/>
      <w:sz w:val="16"/>
    </w:rPr>
  </w:style>
  <w:style w:type="character" w:styleId="1073" w:customStyle="1">
    <w:name w:val="Texto de comentário Char1"/>
    <w:uiPriority w:val="99"/>
    <w:qFormat/>
    <w:pPr>
      <w:pBdr/>
      <w:spacing/>
      <w:ind/>
    </w:pPr>
    <w:rPr>
      <w:lang w:eastAsia="zh-CN"/>
    </w:rPr>
  </w:style>
  <w:style w:type="character" w:styleId="1074" w:customStyle="1">
    <w:name w:val="product-specs__highlights-desc"/>
    <w:qFormat/>
    <w:pPr>
      <w:pBdr/>
      <w:spacing/>
      <w:ind/>
    </w:pPr>
  </w:style>
  <w:style w:type="character" w:styleId="1075" w:customStyle="1">
    <w:name w:val="WW-Link da Internet"/>
    <w:qFormat/>
    <w:pPr>
      <w:pBdr/>
      <w:spacing/>
      <w:ind/>
    </w:pPr>
    <w:rPr>
      <w:color w:val="0000ff"/>
      <w:u w:val="single"/>
    </w:rPr>
  </w:style>
  <w:style w:type="character" w:styleId="1076" w:customStyle="1">
    <w:name w:val="Marcadores"/>
    <w:qFormat/>
    <w:pPr>
      <w:pBdr/>
      <w:spacing/>
      <w:ind/>
    </w:pPr>
    <w:rPr>
      <w:rFonts w:ascii="OpenSymbol" w:hAnsi="OpenSymbol" w:cs="OpenSymbol"/>
    </w:rPr>
  </w:style>
  <w:style w:type="character" w:styleId="1077" w:customStyle="1">
    <w:name w:val="WW-Ênfase forte"/>
    <w:qFormat/>
    <w:pPr>
      <w:pBdr/>
      <w:spacing/>
      <w:ind/>
    </w:pPr>
    <w:rPr>
      <w:b/>
    </w:rPr>
  </w:style>
  <w:style w:type="character" w:styleId="1078" w:customStyle="1">
    <w:name w:val="Título Char"/>
    <w:uiPriority w:val="10"/>
    <w:qFormat/>
    <w:pPr>
      <w:pBdr/>
      <w:spacing/>
      <w:ind/>
    </w:pPr>
    <w:rPr>
      <w:rFonts w:ascii="Liberation Sans" w:hAnsi="Liberation Sans" w:eastAsia="Microsoft YaHei" w:cs="Arial"/>
      <w:sz w:val="28"/>
      <w:szCs w:val="28"/>
    </w:rPr>
  </w:style>
  <w:style w:type="character" w:styleId="1079" w:customStyle="1">
    <w:name w:val="TEXTO Char"/>
    <w:qFormat/>
    <w:pPr>
      <w:pBdr/>
      <w:spacing/>
      <w:ind/>
    </w:pPr>
    <w:rPr>
      <w:rFonts w:ascii="Arial" w:hAnsi="Arial" w:eastAsia="SimSun" w:cs="Arial"/>
      <w:sz w:val="22"/>
      <w:szCs w:val="22"/>
    </w:rPr>
  </w:style>
  <w:style w:type="character" w:styleId="1080" w:customStyle="1">
    <w:name w:val="Título 1.1 Char"/>
    <w:qFormat/>
    <w:pPr>
      <w:pBdr/>
      <w:spacing/>
      <w:ind/>
    </w:pPr>
    <w:rPr>
      <w:rFonts w:ascii="Arial" w:hAnsi="Arial" w:eastAsia="SimSun" w:cs="Arial"/>
      <w:szCs w:val="22"/>
    </w:rPr>
  </w:style>
  <w:style w:type="character" w:styleId="1081" w:customStyle="1">
    <w:name w:val="title-related-item"/>
    <w:qFormat/>
    <w:pPr>
      <w:pBdr/>
      <w:spacing/>
      <w:ind/>
    </w:pPr>
  </w:style>
  <w:style w:type="character" w:styleId="1082" w:customStyle="1">
    <w:name w:val="Parte superior-z do formulário Char"/>
    <w:qFormat/>
    <w:pPr>
      <w:pBdr/>
      <w:spacing/>
      <w:ind/>
    </w:pPr>
    <w:rPr>
      <w:rFonts w:ascii="Arial" w:hAnsi="Arial" w:cs="Arial"/>
      <w:vanish/>
      <w:sz w:val="16"/>
    </w:rPr>
  </w:style>
  <w:style w:type="character" w:styleId="1083" w:customStyle="1">
    <w:name w:val="Parte superior-z do formulário Char1"/>
    <w:qFormat/>
    <w:pPr>
      <w:pBdr/>
      <w:spacing/>
      <w:ind/>
    </w:pPr>
    <w:rPr>
      <w:rFonts w:ascii="Arial" w:hAnsi="Arial" w:cs="Arial"/>
      <w:vanish/>
      <w:sz w:val="16"/>
      <w:szCs w:val="16"/>
      <w:lang w:eastAsia="zh-CN"/>
    </w:rPr>
  </w:style>
  <w:style w:type="character" w:styleId="1084" w:customStyle="1">
    <w:name w:val="Parte superior-z do formulário Char110"/>
    <w:qFormat/>
    <w:pPr>
      <w:pBdr/>
      <w:spacing/>
      <w:ind/>
    </w:pPr>
    <w:rPr>
      <w:rFonts w:ascii="Arial" w:hAnsi="Arial" w:cs="Arial"/>
      <w:vanish/>
      <w:sz w:val="16"/>
      <w:szCs w:val="16"/>
    </w:rPr>
  </w:style>
  <w:style w:type="character" w:styleId="1085" w:customStyle="1">
    <w:name w:val="Parte superior-z do formulário Char19"/>
    <w:qFormat/>
    <w:pPr>
      <w:pBdr/>
      <w:spacing/>
      <w:ind/>
    </w:pPr>
    <w:rPr>
      <w:rFonts w:ascii="Arial" w:hAnsi="Arial" w:cs="Arial"/>
      <w:vanish/>
      <w:sz w:val="16"/>
      <w:szCs w:val="16"/>
    </w:rPr>
  </w:style>
  <w:style w:type="character" w:styleId="1086" w:customStyle="1">
    <w:name w:val="Parte superior-z do formulário Char18"/>
    <w:qFormat/>
    <w:pPr>
      <w:pBdr/>
      <w:spacing/>
      <w:ind/>
    </w:pPr>
    <w:rPr>
      <w:rFonts w:ascii="Arial" w:hAnsi="Arial" w:cs="Arial"/>
      <w:vanish/>
      <w:sz w:val="16"/>
      <w:szCs w:val="16"/>
    </w:rPr>
  </w:style>
  <w:style w:type="character" w:styleId="1087" w:customStyle="1">
    <w:name w:val="Parte superior-z do formulário Char17"/>
    <w:qFormat/>
    <w:pPr>
      <w:pBdr/>
      <w:spacing/>
      <w:ind/>
    </w:pPr>
    <w:rPr>
      <w:rFonts w:ascii="Arial" w:hAnsi="Arial" w:cs="Arial"/>
      <w:vanish/>
      <w:sz w:val="16"/>
      <w:szCs w:val="16"/>
    </w:rPr>
  </w:style>
  <w:style w:type="character" w:styleId="1088" w:customStyle="1">
    <w:name w:val="Parte superior-z do formulário Char16"/>
    <w:qFormat/>
    <w:pPr>
      <w:pBdr/>
      <w:spacing/>
      <w:ind/>
    </w:pPr>
    <w:rPr>
      <w:rFonts w:ascii="Arial" w:hAnsi="Arial" w:cs="Arial"/>
      <w:vanish/>
      <w:sz w:val="16"/>
      <w:szCs w:val="16"/>
    </w:rPr>
  </w:style>
  <w:style w:type="character" w:styleId="1089" w:customStyle="1">
    <w:name w:val="Parte superior-z do formulário Char15"/>
    <w:qFormat/>
    <w:pPr>
      <w:pBdr/>
      <w:spacing/>
      <w:ind/>
    </w:pPr>
    <w:rPr>
      <w:rFonts w:ascii="Arial" w:hAnsi="Arial" w:cs="Arial"/>
      <w:vanish/>
      <w:sz w:val="16"/>
      <w:szCs w:val="16"/>
    </w:rPr>
  </w:style>
  <w:style w:type="character" w:styleId="1090" w:customStyle="1">
    <w:name w:val="Parte superior-z do formulário Char14"/>
    <w:qFormat/>
    <w:pPr>
      <w:pBdr/>
      <w:spacing/>
      <w:ind/>
    </w:pPr>
    <w:rPr>
      <w:rFonts w:ascii="Arial" w:hAnsi="Arial" w:cs="Arial"/>
      <w:vanish/>
      <w:sz w:val="16"/>
      <w:szCs w:val="16"/>
    </w:rPr>
  </w:style>
  <w:style w:type="character" w:styleId="1091" w:customStyle="1">
    <w:name w:val="Parte superior-z do formulário Char13"/>
    <w:qFormat/>
    <w:pPr>
      <w:pBdr/>
      <w:spacing/>
      <w:ind/>
    </w:pPr>
    <w:rPr>
      <w:rFonts w:ascii="Arial" w:hAnsi="Arial" w:cs="Arial"/>
      <w:vanish/>
      <w:sz w:val="16"/>
      <w:szCs w:val="16"/>
    </w:rPr>
  </w:style>
  <w:style w:type="character" w:styleId="1092" w:customStyle="1">
    <w:name w:val="Parte superior-z do formulário Char12"/>
    <w:qFormat/>
    <w:pPr>
      <w:pBdr/>
      <w:spacing/>
      <w:ind/>
    </w:pPr>
    <w:rPr>
      <w:rFonts w:ascii="Arial" w:hAnsi="Arial" w:cs="Arial"/>
      <w:vanish/>
      <w:sz w:val="16"/>
      <w:szCs w:val="16"/>
    </w:rPr>
  </w:style>
  <w:style w:type="character" w:styleId="1093" w:customStyle="1">
    <w:name w:val="Parte superior-z do formulário Char11"/>
    <w:qFormat/>
    <w:pPr>
      <w:pBdr/>
      <w:spacing/>
      <w:ind/>
    </w:pPr>
    <w:rPr>
      <w:rFonts w:ascii="Arial" w:hAnsi="Arial" w:cs="Arial"/>
      <w:vanish/>
      <w:sz w:val="16"/>
    </w:rPr>
  </w:style>
  <w:style w:type="character" w:styleId="1094" w:customStyle="1">
    <w:name w:val="Parte inferior do formulário Char"/>
    <w:qFormat/>
    <w:pPr>
      <w:pBdr/>
      <w:spacing/>
      <w:ind/>
    </w:pPr>
    <w:rPr>
      <w:rFonts w:ascii="Arial" w:hAnsi="Arial" w:cs="Arial"/>
      <w:vanish/>
      <w:sz w:val="16"/>
    </w:rPr>
  </w:style>
  <w:style w:type="character" w:styleId="1095" w:customStyle="1">
    <w:name w:val="Parte inferior do formulário Char1"/>
    <w:qFormat/>
    <w:pPr>
      <w:pBdr/>
      <w:spacing/>
      <w:ind/>
    </w:pPr>
    <w:rPr>
      <w:rFonts w:ascii="Arial" w:hAnsi="Arial" w:cs="Arial"/>
      <w:vanish/>
      <w:sz w:val="16"/>
      <w:szCs w:val="16"/>
      <w:lang w:eastAsia="zh-CN"/>
    </w:rPr>
  </w:style>
  <w:style w:type="character" w:styleId="1096" w:customStyle="1">
    <w:name w:val="Parte inferior do formulário Char110"/>
    <w:qFormat/>
    <w:pPr>
      <w:pBdr/>
      <w:spacing/>
      <w:ind/>
    </w:pPr>
    <w:rPr>
      <w:rFonts w:ascii="Arial" w:hAnsi="Arial" w:cs="Arial"/>
      <w:vanish/>
      <w:sz w:val="16"/>
      <w:szCs w:val="16"/>
    </w:rPr>
  </w:style>
  <w:style w:type="character" w:styleId="1097" w:customStyle="1">
    <w:name w:val="Parte inferior do formulário Char19"/>
    <w:qFormat/>
    <w:pPr>
      <w:pBdr/>
      <w:spacing/>
      <w:ind/>
    </w:pPr>
    <w:rPr>
      <w:rFonts w:ascii="Arial" w:hAnsi="Arial" w:cs="Arial"/>
      <w:vanish/>
      <w:sz w:val="16"/>
      <w:szCs w:val="16"/>
    </w:rPr>
  </w:style>
  <w:style w:type="character" w:styleId="1098" w:customStyle="1">
    <w:name w:val="Parte inferior do formulário Char18"/>
    <w:qFormat/>
    <w:pPr>
      <w:pBdr/>
      <w:spacing/>
      <w:ind/>
    </w:pPr>
    <w:rPr>
      <w:rFonts w:ascii="Arial" w:hAnsi="Arial" w:cs="Arial"/>
      <w:vanish/>
      <w:sz w:val="16"/>
      <w:szCs w:val="16"/>
    </w:rPr>
  </w:style>
  <w:style w:type="character" w:styleId="1099" w:customStyle="1">
    <w:name w:val="Parte inferior do formulário Char17"/>
    <w:qFormat/>
    <w:pPr>
      <w:pBdr/>
      <w:spacing/>
      <w:ind/>
    </w:pPr>
    <w:rPr>
      <w:rFonts w:ascii="Arial" w:hAnsi="Arial" w:cs="Arial"/>
      <w:vanish/>
      <w:sz w:val="16"/>
      <w:szCs w:val="16"/>
    </w:rPr>
  </w:style>
  <w:style w:type="character" w:styleId="1100" w:customStyle="1">
    <w:name w:val="Parte inferior do formulário Char16"/>
    <w:qFormat/>
    <w:pPr>
      <w:pBdr/>
      <w:spacing/>
      <w:ind/>
    </w:pPr>
    <w:rPr>
      <w:rFonts w:ascii="Arial" w:hAnsi="Arial" w:cs="Arial"/>
      <w:vanish/>
      <w:sz w:val="16"/>
      <w:szCs w:val="16"/>
    </w:rPr>
  </w:style>
  <w:style w:type="character" w:styleId="1101" w:customStyle="1">
    <w:name w:val="Parte inferior do formulário Char15"/>
    <w:qFormat/>
    <w:pPr>
      <w:pBdr/>
      <w:spacing/>
      <w:ind/>
    </w:pPr>
    <w:rPr>
      <w:rFonts w:ascii="Arial" w:hAnsi="Arial" w:cs="Arial"/>
      <w:vanish/>
      <w:sz w:val="16"/>
      <w:szCs w:val="16"/>
    </w:rPr>
  </w:style>
  <w:style w:type="character" w:styleId="1102" w:customStyle="1">
    <w:name w:val="Parte inferior do formulário Char14"/>
    <w:qFormat/>
    <w:pPr>
      <w:pBdr/>
      <w:spacing/>
      <w:ind/>
    </w:pPr>
    <w:rPr>
      <w:rFonts w:ascii="Arial" w:hAnsi="Arial" w:cs="Arial"/>
      <w:vanish/>
      <w:sz w:val="16"/>
      <w:szCs w:val="16"/>
    </w:rPr>
  </w:style>
  <w:style w:type="character" w:styleId="1103" w:customStyle="1">
    <w:name w:val="Parte inferior do formulário Char13"/>
    <w:qFormat/>
    <w:pPr>
      <w:pBdr/>
      <w:spacing/>
      <w:ind/>
    </w:pPr>
    <w:rPr>
      <w:rFonts w:ascii="Arial" w:hAnsi="Arial" w:cs="Arial"/>
      <w:vanish/>
      <w:sz w:val="16"/>
      <w:szCs w:val="16"/>
    </w:rPr>
  </w:style>
  <w:style w:type="character" w:styleId="1104" w:customStyle="1">
    <w:name w:val="Parte inferior do formulário Char12"/>
    <w:qFormat/>
    <w:pPr>
      <w:pBdr/>
      <w:spacing/>
      <w:ind/>
    </w:pPr>
    <w:rPr>
      <w:rFonts w:ascii="Arial" w:hAnsi="Arial" w:cs="Arial"/>
      <w:vanish/>
      <w:sz w:val="16"/>
      <w:szCs w:val="16"/>
    </w:rPr>
  </w:style>
  <w:style w:type="character" w:styleId="1105" w:customStyle="1">
    <w:name w:val="Parte inferior do formulário Char11"/>
    <w:qFormat/>
    <w:pPr>
      <w:pBdr/>
      <w:spacing/>
      <w:ind/>
    </w:pPr>
    <w:rPr>
      <w:rFonts w:ascii="Arial" w:hAnsi="Arial" w:cs="Arial"/>
      <w:vanish/>
      <w:sz w:val="16"/>
    </w:rPr>
  </w:style>
  <w:style w:type="character" w:styleId="1106" w:customStyle="1">
    <w:name w:val="Corpo de texto Char1"/>
    <w:uiPriority w:val="99"/>
    <w:qFormat/>
    <w:pPr>
      <w:pBdr/>
      <w:spacing/>
      <w:ind/>
    </w:pPr>
    <w:rPr>
      <w:rFonts w:cs="Times New Roman"/>
      <w:lang w:val="en-US" w:eastAsia="zh-CN"/>
    </w:rPr>
  </w:style>
  <w:style w:type="character" w:styleId="1107" w:customStyle="1">
    <w:name w:val="Cabeçalho Char1"/>
    <w:uiPriority w:val="99"/>
    <w:qFormat/>
    <w:pPr>
      <w:pBdr/>
      <w:spacing/>
      <w:ind/>
    </w:pPr>
    <w:rPr>
      <w:rFonts w:cs="Times New Roman"/>
      <w:lang w:val="en-US" w:eastAsia="zh-CN"/>
    </w:rPr>
  </w:style>
  <w:style w:type="character" w:styleId="1108" w:customStyle="1">
    <w:name w:val="Rodapé Char1"/>
    <w:qFormat/>
    <w:pPr>
      <w:pBdr/>
      <w:spacing/>
      <w:ind/>
    </w:pPr>
    <w:rPr>
      <w:rFonts w:cs="Times New Roman"/>
      <w:lang w:val="en-US" w:eastAsia="zh-CN"/>
    </w:rPr>
  </w:style>
  <w:style w:type="character" w:styleId="1109" w:customStyle="1">
    <w:name w:val="Recuo de corpo de texto Char1"/>
    <w:qFormat/>
    <w:pPr>
      <w:pBdr/>
      <w:spacing/>
      <w:ind/>
    </w:pPr>
    <w:rPr>
      <w:rFonts w:cs="Times New Roman"/>
      <w:lang w:val="en-US" w:eastAsia="zh-CN"/>
    </w:rPr>
  </w:style>
  <w:style w:type="character" w:styleId="1110" w:customStyle="1">
    <w:name w:val="Texto de balão Char1"/>
    <w:uiPriority w:val="99"/>
    <w:qFormat/>
    <w:pPr>
      <w:pBdr/>
      <w:spacing/>
      <w:ind/>
    </w:pPr>
    <w:rPr>
      <w:rFonts w:ascii="Segoe UI" w:hAnsi="Segoe UI" w:cs="Segoe UI"/>
      <w:sz w:val="18"/>
      <w:szCs w:val="18"/>
      <w:lang w:val="en-US" w:eastAsia="zh-CN"/>
    </w:rPr>
  </w:style>
  <w:style w:type="character" w:styleId="1111" w:customStyle="1">
    <w:name w:val="Texto de nota de rodapé Char1"/>
    <w:qFormat/>
    <w:pPr>
      <w:pBdr/>
      <w:spacing/>
      <w:ind/>
    </w:pPr>
    <w:rPr>
      <w:rFonts w:cs="Times New Roman"/>
      <w:lang w:val="en-US" w:eastAsia="zh-CN"/>
    </w:rPr>
  </w:style>
  <w:style w:type="character" w:styleId="1112" w:customStyle="1">
    <w:name w:val="Citação Char1"/>
    <w:qFormat/>
    <w:pPr>
      <w:pBdr/>
      <w:spacing/>
      <w:ind/>
    </w:pPr>
    <w:rPr>
      <w:rFonts w:cs="Times New Roman"/>
      <w:i/>
      <w:iCs/>
      <w:color w:val="404040"/>
      <w:lang w:val="en-US" w:eastAsia="zh-CN"/>
    </w:rPr>
  </w:style>
  <w:style w:type="character" w:styleId="1113" w:customStyle="1">
    <w:name w:val="Assunto do comentário Char1"/>
    <w:uiPriority w:val="99"/>
    <w:qFormat/>
    <w:pPr>
      <w:pBdr/>
      <w:spacing/>
      <w:ind/>
    </w:pPr>
    <w:rPr>
      <w:rFonts w:cs="Times New Roman"/>
      <w:b/>
      <w:bCs/>
      <w:lang w:val="en-US" w:eastAsia="zh-CN"/>
    </w:rPr>
  </w:style>
  <w:style w:type="character" w:styleId="1114" w:customStyle="1">
    <w:name w:val="Nivel_01_Titulo Char"/>
    <w:qFormat/>
    <w:pPr>
      <w:pBdr/>
      <w:spacing/>
      <w:ind/>
    </w:pPr>
    <w:rPr>
      <w:rFonts w:ascii="Arial" w:hAnsi="Arial" w:cs="Arial"/>
      <w:b/>
      <w:color w:val="2e74b5"/>
      <w:lang w:val="en-US"/>
    </w:rPr>
  </w:style>
  <w:style w:type="character" w:styleId="1115" w:customStyle="1">
    <w:name w:val="Fonte paráe1g. padrãe3o"/>
    <w:uiPriority w:val="99"/>
    <w:qFormat/>
    <w:pPr>
      <w:pBdr/>
      <w:spacing/>
      <w:ind/>
    </w:pPr>
  </w:style>
  <w:style w:type="character" w:styleId="1116" w:customStyle="1">
    <w:name w:val="Ref. de comentáe1rio"/>
    <w:uiPriority w:val="99"/>
    <w:qFormat/>
    <w:pPr>
      <w:pBdr/>
      <w:spacing/>
      <w:ind/>
    </w:pPr>
    <w:rPr>
      <w:sz w:val="16"/>
    </w:rPr>
  </w:style>
  <w:style w:type="character" w:styleId="1117" w:customStyle="1">
    <w:name w:val="WW8Num7z1"/>
    <w:uiPriority w:val="99"/>
    <w:qFormat/>
    <w:pPr>
      <w:pBdr/>
      <w:spacing/>
      <w:ind/>
    </w:pPr>
  </w:style>
  <w:style w:type="character" w:styleId="1118" w:customStyle="1">
    <w:name w:val="Recuo de corpo de texto 2 Char2"/>
    <w:uiPriority w:val="99"/>
    <w:qFormat/>
    <w:pPr>
      <w:pBdr/>
      <w:spacing/>
      <w:ind/>
    </w:pPr>
    <w:rPr>
      <w:rFonts w:eastAsia="Times New Roman" w:cs="Mangal"/>
      <w:sz w:val="18"/>
      <w:szCs w:val="18"/>
      <w:lang w:bidi="hi-IN"/>
    </w:rPr>
  </w:style>
  <w:style w:type="character" w:styleId="1119" w:customStyle="1">
    <w:name w:val="WW8Num1z7"/>
    <w:uiPriority w:val="99"/>
    <w:qFormat/>
    <w:pPr>
      <w:pBdr/>
      <w:spacing/>
      <w:ind/>
    </w:pPr>
  </w:style>
  <w:style w:type="character" w:styleId="1120" w:customStyle="1">
    <w:name w:val="WW8Num2z5"/>
    <w:uiPriority w:val="99"/>
    <w:qFormat/>
    <w:pPr>
      <w:pBdr/>
      <w:spacing/>
      <w:ind/>
    </w:pPr>
  </w:style>
  <w:style w:type="character" w:styleId="1121" w:customStyle="1">
    <w:name w:val="WW8Num5z1"/>
    <w:uiPriority w:val="99"/>
    <w:qFormat/>
    <w:pPr>
      <w:pBdr/>
      <w:spacing/>
      <w:ind/>
    </w:pPr>
    <w:rPr>
      <w:rFonts w:eastAsia="Times New Roman"/>
      <w:b/>
      <w:color w:val="000000"/>
      <w:spacing w:val="1"/>
      <w:sz w:val="22"/>
    </w:rPr>
  </w:style>
  <w:style w:type="character" w:styleId="1122" w:customStyle="1">
    <w:name w:val="Recuo de corpo de texto 2 Char21"/>
    <w:uiPriority w:val="99"/>
    <w:qFormat/>
    <w:pPr>
      <w:pBdr/>
      <w:spacing/>
      <w:ind/>
    </w:pPr>
    <w:rPr>
      <w:rFonts w:eastAsia="Times New Roman" w:cs="Mangal"/>
      <w:sz w:val="18"/>
      <w:szCs w:val="18"/>
      <w:lang w:bidi="hi-IN"/>
    </w:rPr>
  </w:style>
  <w:style w:type="character" w:styleId="1123" w:customStyle="1">
    <w:name w:val="WW8Num8z7"/>
    <w:uiPriority w:val="99"/>
    <w:qFormat/>
    <w:pPr>
      <w:pBdr/>
      <w:spacing/>
      <w:ind/>
    </w:pPr>
  </w:style>
  <w:style w:type="character" w:styleId="1124" w:customStyle="1">
    <w:name w:val="WW8Num26z4"/>
    <w:uiPriority w:val="99"/>
    <w:qFormat/>
    <w:pPr>
      <w:pBdr/>
      <w:spacing/>
      <w:ind/>
    </w:pPr>
  </w:style>
  <w:style w:type="character" w:styleId="1125" w:customStyle="1">
    <w:name w:val="Normal (Web) Char"/>
    <w:uiPriority w:val="99"/>
    <w:qFormat/>
    <w:pPr>
      <w:pBdr/>
      <w:spacing/>
      <w:ind/>
    </w:pPr>
  </w:style>
  <w:style w:type="character" w:styleId="1126" w:customStyle="1">
    <w:name w:val="Paráe1grafo da Lista Char"/>
    <w:uiPriority w:val="99"/>
    <w:qFormat/>
    <w:pPr>
      <w:pBdr/>
      <w:spacing/>
      <w:ind/>
    </w:pPr>
    <w:rPr>
      <w:rFonts w:eastAsia="Times New Roman"/>
    </w:rPr>
  </w:style>
  <w:style w:type="character" w:styleId="1127" w:customStyle="1">
    <w:name w:val="Assunto do comentáe1rio Char"/>
    <w:uiPriority w:val="99"/>
    <w:qFormat/>
    <w:pPr>
      <w:pBdr/>
      <w:spacing/>
      <w:ind/>
    </w:pPr>
    <w:rPr>
      <w:rFonts w:cs="Times New Roman"/>
      <w:b/>
    </w:rPr>
  </w:style>
  <w:style w:type="character" w:styleId="1128" w:customStyle="1">
    <w:name w:val="Texto sem Formatação Char14"/>
    <w:uiPriority w:val="99"/>
    <w:qFormat/>
    <w:pPr>
      <w:pBdr/>
      <w:spacing/>
      <w:ind/>
    </w:pPr>
    <w:rPr>
      <w:rFonts w:ascii="Courier New" w:hAnsi="Courier New" w:cs="Courier New"/>
      <w:sz w:val="18"/>
      <w:szCs w:val="18"/>
      <w:lang w:bidi="hi-IN"/>
    </w:rPr>
  </w:style>
  <w:style w:type="character" w:styleId="1129" w:customStyle="1">
    <w:name w:val="WW-Absatz-Standardschriftart11111"/>
    <w:uiPriority w:val="99"/>
    <w:qFormat/>
    <w:pPr>
      <w:pBdr/>
      <w:spacing/>
      <w:ind/>
    </w:pPr>
  </w:style>
  <w:style w:type="character" w:styleId="1130" w:customStyle="1">
    <w:name w:val="Texto de balão Char13"/>
    <w:uiPriority w:val="99"/>
    <w:qFormat/>
    <w:pPr>
      <w:pBdr/>
      <w:spacing/>
      <w:ind/>
    </w:pPr>
    <w:rPr>
      <w:rFonts w:ascii="Segoe UI" w:hAnsi="Segoe UI" w:cs="Segoe UI"/>
      <w:sz w:val="16"/>
      <w:szCs w:val="16"/>
      <w:lang w:bidi="hi-IN"/>
    </w:rPr>
  </w:style>
  <w:style w:type="character" w:styleId="1131" w:customStyle="1">
    <w:name w:val="Assunto do comentário Char14"/>
    <w:uiPriority w:val="99"/>
    <w:qFormat/>
    <w:pPr>
      <w:pBdr/>
      <w:spacing/>
      <w:ind/>
    </w:pPr>
    <w:rPr>
      <w:rFonts w:ascii="Ecofont_Spranq_eco_Sans" w:hAnsi="Ecofont_Spranq_eco_Sans" w:eastAsia="Times New Roman" w:cs="Mangal"/>
      <w:b/>
      <w:sz w:val="18"/>
      <w:szCs w:val="18"/>
      <w:lang w:bidi="hi-IN"/>
    </w:rPr>
  </w:style>
  <w:style w:type="character" w:styleId="1132" w:customStyle="1">
    <w:name w:val="WW8Num9z1"/>
    <w:uiPriority w:val="99"/>
    <w:qFormat/>
    <w:pPr>
      <w:pBdr/>
      <w:spacing/>
      <w:ind/>
    </w:pPr>
    <w:rPr>
      <w:rFonts w:eastAsia="Times New Roman"/>
    </w:rPr>
  </w:style>
  <w:style w:type="character" w:styleId="1133" w:customStyle="1">
    <w:name w:val="Corpo de texto 3 Char24"/>
    <w:uiPriority w:val="99"/>
    <w:qFormat/>
    <w:pPr>
      <w:pBdr/>
      <w:spacing/>
      <w:ind/>
    </w:pPr>
    <w:rPr>
      <w:rFonts w:eastAsia="Times New Roman" w:cs="Mangal"/>
      <w:sz w:val="14"/>
      <w:szCs w:val="14"/>
      <w:lang w:bidi="hi-IN"/>
    </w:rPr>
  </w:style>
  <w:style w:type="character" w:styleId="1134" w:customStyle="1">
    <w:name w:val="WW-Absatz-Standardschriftart111111"/>
    <w:uiPriority w:val="99"/>
    <w:qFormat/>
    <w:pPr>
      <w:pBdr/>
      <w:spacing/>
      <w:ind/>
    </w:pPr>
  </w:style>
  <w:style w:type="character" w:styleId="1135" w:customStyle="1">
    <w:name w:val="WW8Num20z1"/>
    <w:uiPriority w:val="99"/>
    <w:qFormat/>
    <w:pPr>
      <w:pBdr/>
      <w:spacing/>
      <w:ind/>
    </w:pPr>
    <w:rPr>
      <w:rFonts w:eastAsia="Times New Roman"/>
    </w:rPr>
  </w:style>
  <w:style w:type="character" w:styleId="1136" w:customStyle="1">
    <w:name w:val="Cabeçalho Char14"/>
    <w:uiPriority w:val="99"/>
    <w:qFormat/>
    <w:pPr>
      <w:pBdr/>
      <w:spacing/>
      <w:ind/>
    </w:pPr>
    <w:rPr>
      <w:rFonts w:eastAsia="Times New Roman" w:cs="Mangal"/>
      <w:sz w:val="18"/>
      <w:szCs w:val="18"/>
      <w:lang w:bidi="hi-IN"/>
    </w:rPr>
  </w:style>
  <w:style w:type="character" w:styleId="1137" w:customStyle="1">
    <w:name w:val="WW8Num13z3"/>
    <w:uiPriority w:val="99"/>
    <w:qFormat/>
    <w:pPr>
      <w:pBdr/>
      <w:spacing/>
      <w:ind/>
    </w:pPr>
  </w:style>
  <w:style w:type="character" w:styleId="1138" w:customStyle="1">
    <w:name w:val="Corpo de texto 2 Char2"/>
    <w:uiPriority w:val="99"/>
    <w:qFormat/>
    <w:pPr>
      <w:pBdr/>
      <w:spacing/>
      <w:ind/>
    </w:pPr>
    <w:rPr>
      <w:rFonts w:eastAsia="Times New Roman" w:cs="Mangal"/>
      <w:sz w:val="18"/>
      <w:szCs w:val="18"/>
      <w:lang w:bidi="hi-IN"/>
    </w:rPr>
  </w:style>
  <w:style w:type="character" w:styleId="1139" w:customStyle="1">
    <w:name w:val="Texto de balão Char12"/>
    <w:uiPriority w:val="99"/>
    <w:qFormat/>
    <w:pPr>
      <w:pBdr/>
      <w:spacing/>
      <w:ind/>
    </w:pPr>
    <w:rPr>
      <w:rFonts w:ascii="Segoe UI" w:hAnsi="Segoe UI" w:cs="Segoe UI"/>
      <w:sz w:val="16"/>
      <w:szCs w:val="16"/>
      <w:lang w:bidi="hi-IN"/>
    </w:rPr>
  </w:style>
  <w:style w:type="character" w:styleId="1140" w:customStyle="1">
    <w:name w:val="WW8Num19z4"/>
    <w:uiPriority w:val="99"/>
    <w:qFormat/>
    <w:pPr>
      <w:pBdr/>
      <w:spacing/>
      <w:ind/>
    </w:pPr>
  </w:style>
  <w:style w:type="character" w:styleId="1141" w:customStyle="1">
    <w:name w:val="WW-Caracteres de numeraçe7ãe3o1"/>
    <w:uiPriority w:val="99"/>
    <w:qFormat/>
    <w:pPr>
      <w:pBdr/>
      <w:spacing/>
      <w:ind/>
    </w:pPr>
  </w:style>
  <w:style w:type="character" w:styleId="1142" w:customStyle="1">
    <w:name w:val="WW8Num19z5"/>
    <w:uiPriority w:val="99"/>
    <w:qFormat/>
    <w:pPr>
      <w:pBdr/>
      <w:spacing/>
      <w:ind/>
    </w:pPr>
  </w:style>
  <w:style w:type="character" w:styleId="1143" w:customStyle="1">
    <w:name w:val="WW8Num1z8"/>
    <w:uiPriority w:val="99"/>
    <w:qFormat/>
    <w:pPr>
      <w:pBdr/>
      <w:spacing/>
      <w:ind/>
    </w:pPr>
  </w:style>
  <w:style w:type="character" w:styleId="1144" w:customStyle="1">
    <w:name w:val="Texto de comentário Char13"/>
    <w:uiPriority w:val="99"/>
    <w:qFormat/>
    <w:pPr>
      <w:pBdr/>
      <w:spacing/>
      <w:ind/>
    </w:pPr>
    <w:rPr>
      <w:rFonts w:eastAsia="Times New Roman" w:cs="Mangal"/>
      <w:sz w:val="18"/>
      <w:szCs w:val="18"/>
      <w:lang w:bidi="hi-IN"/>
    </w:rPr>
  </w:style>
  <w:style w:type="character" w:styleId="1145" w:customStyle="1">
    <w:name w:val="WW8Num13z1"/>
    <w:uiPriority w:val="99"/>
    <w:qFormat/>
    <w:pPr>
      <w:pBdr/>
      <w:spacing/>
      <w:ind/>
    </w:pPr>
    <w:rPr>
      <w:rFonts w:eastAsia="Times New Roman"/>
      <w:b/>
      <w:spacing w:val="-14"/>
      <w:sz w:val="22"/>
    </w:rPr>
  </w:style>
  <w:style w:type="character" w:styleId="1146" w:customStyle="1">
    <w:name w:val="Texto de comentário Char11"/>
    <w:uiPriority w:val="99"/>
    <w:qFormat/>
    <w:pPr>
      <w:pBdr/>
      <w:spacing/>
      <w:ind/>
    </w:pPr>
    <w:rPr>
      <w:rFonts w:eastAsia="Times New Roman" w:cs="Mangal"/>
      <w:sz w:val="18"/>
      <w:szCs w:val="18"/>
      <w:lang w:bidi="hi-IN"/>
    </w:rPr>
  </w:style>
  <w:style w:type="character" w:styleId="1147" w:customStyle="1">
    <w:name w:val="WW-Absatz-Standardschriftart11"/>
    <w:uiPriority w:val="99"/>
    <w:qFormat/>
    <w:pPr>
      <w:pBdr/>
      <w:spacing/>
      <w:ind/>
    </w:pPr>
  </w:style>
  <w:style w:type="character" w:styleId="1148" w:customStyle="1">
    <w:name w:val="Tíedtulo 9 Char"/>
    <w:uiPriority w:val="99"/>
    <w:qFormat/>
    <w:pPr>
      <w:pBdr/>
      <w:spacing/>
      <w:ind/>
    </w:pPr>
    <w:rPr>
      <w:rFonts w:eastAsia="Times New Roman" w:cs="Ottawa"/>
      <w:sz w:val="22"/>
      <w:szCs w:val="22"/>
      <w:shd w:val="clear" w:color="auto" w:fill="ffffff"/>
    </w:rPr>
  </w:style>
  <w:style w:type="character" w:styleId="1149" w:customStyle="1">
    <w:name w:val="WW8Num19z6"/>
    <w:uiPriority w:val="99"/>
    <w:qFormat/>
    <w:pPr>
      <w:pBdr/>
      <w:spacing/>
      <w:ind/>
    </w:pPr>
  </w:style>
  <w:style w:type="character" w:styleId="1150" w:customStyle="1">
    <w:name w:val="WW8Num1z5"/>
    <w:uiPriority w:val="99"/>
    <w:qFormat/>
    <w:pPr>
      <w:pBdr/>
      <w:spacing/>
      <w:ind/>
    </w:pPr>
  </w:style>
  <w:style w:type="character" w:styleId="1151" w:customStyle="1">
    <w:name w:val="WW8Num7z3"/>
    <w:uiPriority w:val="99"/>
    <w:qFormat/>
    <w:pPr>
      <w:pBdr/>
      <w:spacing/>
      <w:ind/>
    </w:pPr>
  </w:style>
  <w:style w:type="character" w:styleId="1152" w:customStyle="1">
    <w:name w:val="WW8Num8z5"/>
    <w:uiPriority w:val="99"/>
    <w:qFormat/>
    <w:pPr>
      <w:pBdr/>
      <w:spacing/>
      <w:ind/>
    </w:pPr>
  </w:style>
  <w:style w:type="character" w:styleId="1153" w:customStyle="1">
    <w:name w:val="WW-Absatz-Standardschriftart"/>
    <w:uiPriority w:val="99"/>
    <w:qFormat/>
    <w:pPr>
      <w:pBdr/>
      <w:spacing/>
      <w:ind/>
    </w:pPr>
  </w:style>
  <w:style w:type="character" w:styleId="1154" w:customStyle="1">
    <w:name w:val="WW8Num25z7"/>
    <w:uiPriority w:val="99"/>
    <w:qFormat/>
    <w:pPr>
      <w:pBdr/>
      <w:spacing/>
      <w:ind/>
    </w:pPr>
  </w:style>
  <w:style w:type="character" w:styleId="1155" w:customStyle="1">
    <w:name w:val="WW8Num25z2"/>
    <w:uiPriority w:val="99"/>
    <w:qFormat/>
    <w:pPr>
      <w:pBdr/>
      <w:spacing/>
      <w:ind/>
    </w:pPr>
  </w:style>
  <w:style w:type="character" w:styleId="1156" w:customStyle="1">
    <w:name w:val="Tíedtulo Char"/>
    <w:uiPriority w:val="99"/>
    <w:qFormat/>
    <w:pPr>
      <w:pBdr/>
      <w:spacing/>
      <w:ind/>
    </w:pPr>
    <w:rPr>
      <w:rFonts w:eastAsia="Times New Roman" w:cs="Arial"/>
      <w:b/>
      <w:sz w:val="32"/>
      <w:szCs w:val="32"/>
    </w:rPr>
  </w:style>
  <w:style w:type="character" w:styleId="1157" w:customStyle="1">
    <w:name w:val="Âc2ncora da nota de rodapée9"/>
    <w:uiPriority w:val="99"/>
    <w:qFormat/>
    <w:pPr>
      <w:pBdr/>
      <w:spacing/>
      <w:ind/>
    </w:pPr>
    <w:rPr>
      <w:vertAlign w:val="superscript"/>
    </w:rPr>
  </w:style>
  <w:style w:type="character" w:styleId="1158" w:customStyle="1">
    <w:name w:val="Corpo de texto 2 Char23"/>
    <w:uiPriority w:val="99"/>
    <w:qFormat/>
    <w:pPr>
      <w:pBdr/>
      <w:spacing/>
      <w:ind/>
    </w:pPr>
    <w:rPr>
      <w:rFonts w:eastAsia="Times New Roman" w:cs="Mangal"/>
      <w:sz w:val="18"/>
      <w:szCs w:val="18"/>
      <w:lang w:bidi="hi-IN"/>
    </w:rPr>
  </w:style>
  <w:style w:type="character" w:styleId="1159" w:customStyle="1">
    <w:name w:val="tex3"/>
    <w:uiPriority w:val="99"/>
    <w:qFormat/>
    <w:pPr>
      <w:pBdr/>
      <w:spacing/>
      <w:ind/>
    </w:pPr>
  </w:style>
  <w:style w:type="character" w:styleId="1160" w:customStyle="1">
    <w:name w:val="WW8Num17z1"/>
    <w:uiPriority w:val="99"/>
    <w:qFormat/>
    <w:pPr>
      <w:pBdr/>
      <w:spacing/>
      <w:ind/>
    </w:pPr>
  </w:style>
  <w:style w:type="character" w:styleId="1161" w:customStyle="1">
    <w:name w:val="spellingerror"/>
    <w:uiPriority w:val="99"/>
    <w:qFormat/>
    <w:pPr>
      <w:pBdr/>
      <w:spacing/>
      <w:ind/>
    </w:pPr>
  </w:style>
  <w:style w:type="character" w:styleId="1162" w:customStyle="1">
    <w:name w:val="WW8Num13z8"/>
    <w:uiPriority w:val="99"/>
    <w:qFormat/>
    <w:pPr>
      <w:pBdr/>
      <w:spacing/>
      <w:ind/>
    </w:pPr>
  </w:style>
  <w:style w:type="character" w:styleId="1163" w:customStyle="1">
    <w:name w:val="WW8Num1z6"/>
    <w:uiPriority w:val="99"/>
    <w:qFormat/>
    <w:pPr>
      <w:pBdr/>
      <w:spacing/>
      <w:ind/>
    </w:pPr>
  </w:style>
  <w:style w:type="character" w:styleId="1164" w:customStyle="1">
    <w:name w:val="Assunto do comentário Char11"/>
    <w:uiPriority w:val="99"/>
    <w:qFormat/>
    <w:pPr>
      <w:pBdr/>
      <w:spacing/>
      <w:ind/>
    </w:pPr>
    <w:rPr>
      <w:rFonts w:ascii="Ecofont_Spranq_eco_Sans" w:hAnsi="Ecofont_Spranq_eco_Sans" w:eastAsia="Times New Roman" w:cs="Mangal"/>
      <w:b/>
      <w:sz w:val="18"/>
      <w:szCs w:val="18"/>
      <w:lang w:bidi="hi-IN"/>
    </w:rPr>
  </w:style>
  <w:style w:type="character" w:styleId="1165" w:customStyle="1">
    <w:name w:val="WW8Num26z5"/>
    <w:uiPriority w:val="99"/>
    <w:qFormat/>
    <w:pPr>
      <w:pBdr/>
      <w:spacing/>
      <w:ind/>
    </w:pPr>
  </w:style>
  <w:style w:type="character" w:styleId="1166" w:customStyle="1">
    <w:name w:val="WW8Num5z2"/>
    <w:uiPriority w:val="99"/>
    <w:qFormat/>
    <w:pPr>
      <w:pBdr/>
      <w:spacing/>
      <w:ind/>
    </w:pPr>
    <w:rPr>
      <w:rFonts w:eastAsia="Times New Roman"/>
      <w:sz w:val="22"/>
    </w:rPr>
  </w:style>
  <w:style w:type="character" w:styleId="1167" w:customStyle="1">
    <w:name w:val="Corpo de texto 3 Char21"/>
    <w:uiPriority w:val="99"/>
    <w:qFormat/>
    <w:pPr>
      <w:pBdr/>
      <w:spacing/>
      <w:ind/>
    </w:pPr>
    <w:rPr>
      <w:rFonts w:eastAsia="Times New Roman" w:cs="Mangal"/>
      <w:sz w:val="14"/>
      <w:szCs w:val="14"/>
      <w:lang w:bidi="hi-IN"/>
    </w:rPr>
  </w:style>
  <w:style w:type="character" w:styleId="1168" w:customStyle="1">
    <w:name w:val="Assunto do comentário Char12"/>
    <w:uiPriority w:val="99"/>
    <w:qFormat/>
    <w:pPr>
      <w:pBdr/>
      <w:spacing/>
      <w:ind/>
    </w:pPr>
    <w:rPr>
      <w:rFonts w:ascii="Ecofont_Spranq_eco_Sans" w:hAnsi="Ecofont_Spranq_eco_Sans" w:eastAsia="Times New Roman" w:cs="Mangal"/>
      <w:b/>
      <w:sz w:val="18"/>
      <w:szCs w:val="18"/>
      <w:lang w:bidi="hi-IN"/>
    </w:rPr>
  </w:style>
  <w:style w:type="character" w:styleId="1169" w:customStyle="1">
    <w:name w:val="Texto de comentário Char14"/>
    <w:uiPriority w:val="99"/>
    <w:qFormat/>
    <w:pPr>
      <w:pBdr/>
      <w:spacing/>
      <w:ind/>
    </w:pPr>
    <w:rPr>
      <w:rFonts w:eastAsia="Times New Roman" w:cs="Mangal"/>
      <w:sz w:val="18"/>
      <w:szCs w:val="18"/>
      <w:lang w:bidi="hi-IN"/>
    </w:rPr>
  </w:style>
  <w:style w:type="character" w:styleId="1170" w:customStyle="1">
    <w:name w:val="Texto de comentário Char12"/>
    <w:uiPriority w:val="99"/>
    <w:qFormat/>
    <w:pPr>
      <w:pBdr/>
      <w:spacing/>
      <w:ind/>
    </w:pPr>
    <w:rPr>
      <w:rFonts w:eastAsia="Times New Roman" w:cs="Mangal"/>
      <w:sz w:val="18"/>
      <w:szCs w:val="18"/>
      <w:lang w:bidi="hi-IN"/>
    </w:rPr>
  </w:style>
  <w:style w:type="character" w:styleId="1171" w:customStyle="1">
    <w:name w:val="WW8Num26z1"/>
    <w:uiPriority w:val="99"/>
    <w:qFormat/>
    <w:pPr>
      <w:pBdr/>
      <w:spacing/>
      <w:ind/>
    </w:pPr>
  </w:style>
  <w:style w:type="character" w:styleId="1172" w:customStyle="1">
    <w:name w:val="WW8Num25z6"/>
    <w:uiPriority w:val="99"/>
    <w:qFormat/>
    <w:pPr>
      <w:pBdr/>
      <w:spacing/>
      <w:ind/>
    </w:pPr>
  </w:style>
  <w:style w:type="character" w:styleId="1173" w:customStyle="1">
    <w:name w:val="Cabeçalho Char12"/>
    <w:uiPriority w:val="99"/>
    <w:qFormat/>
    <w:pPr>
      <w:pBdr/>
      <w:spacing/>
      <w:ind/>
    </w:pPr>
    <w:rPr>
      <w:rFonts w:eastAsia="Times New Roman" w:cs="Mangal"/>
      <w:sz w:val="18"/>
      <w:szCs w:val="18"/>
      <w:lang w:bidi="hi-IN"/>
    </w:rPr>
  </w:style>
  <w:style w:type="character" w:styleId="1174" w:customStyle="1">
    <w:name w:val="Corpo de texto 2 Char24"/>
    <w:uiPriority w:val="99"/>
    <w:qFormat/>
    <w:pPr>
      <w:pBdr/>
      <w:spacing/>
      <w:ind/>
    </w:pPr>
    <w:rPr>
      <w:rFonts w:eastAsia="Times New Roman" w:cs="Mangal"/>
      <w:sz w:val="18"/>
      <w:szCs w:val="18"/>
      <w:lang w:bidi="hi-IN"/>
    </w:rPr>
  </w:style>
  <w:style w:type="character" w:styleId="1175" w:customStyle="1">
    <w:name w:val="WW8Num1z2"/>
    <w:uiPriority w:val="99"/>
    <w:qFormat/>
    <w:pPr>
      <w:pBdr/>
      <w:spacing/>
      <w:ind/>
    </w:pPr>
  </w:style>
  <w:style w:type="character" w:styleId="1176" w:customStyle="1">
    <w:name w:val="WW8Num23z4"/>
    <w:uiPriority w:val="99"/>
    <w:qFormat/>
    <w:pPr>
      <w:pBdr/>
      <w:spacing/>
      <w:ind/>
    </w:pPr>
  </w:style>
  <w:style w:type="character" w:styleId="1177" w:customStyle="1">
    <w:name w:val="Recuo de corpo de texto 2 Char24"/>
    <w:uiPriority w:val="99"/>
    <w:qFormat/>
    <w:pPr>
      <w:pBdr/>
      <w:spacing/>
      <w:ind/>
    </w:pPr>
    <w:rPr>
      <w:rFonts w:eastAsia="Times New Roman" w:cs="Mangal"/>
      <w:sz w:val="18"/>
      <w:szCs w:val="18"/>
      <w:lang w:bidi="hi-IN"/>
    </w:rPr>
  </w:style>
  <w:style w:type="character" w:styleId="1178" w:customStyle="1">
    <w:name w:val="WW8Num8z4"/>
    <w:uiPriority w:val="99"/>
    <w:qFormat/>
    <w:pPr>
      <w:pBdr/>
      <w:spacing/>
      <w:ind/>
    </w:pPr>
  </w:style>
  <w:style w:type="character" w:styleId="1179" w:customStyle="1">
    <w:name w:val="WW8Num25z4"/>
    <w:uiPriority w:val="99"/>
    <w:qFormat/>
    <w:pPr>
      <w:pBdr/>
      <w:spacing/>
      <w:ind/>
    </w:pPr>
  </w:style>
  <w:style w:type="character" w:styleId="1180" w:customStyle="1">
    <w:name w:val="WW8Num26z3"/>
    <w:uiPriority w:val="99"/>
    <w:qFormat/>
    <w:pPr>
      <w:pBdr/>
      <w:spacing/>
      <w:ind/>
    </w:pPr>
  </w:style>
  <w:style w:type="character" w:styleId="1181" w:customStyle="1">
    <w:name w:val="Rodapée9 Char"/>
    <w:uiPriority w:val="99"/>
    <w:qFormat/>
    <w:pPr>
      <w:pBdr/>
      <w:spacing/>
      <w:ind/>
    </w:pPr>
    <w:rPr>
      <w:rFonts w:cs="Times New Roman"/>
      <w:lang w:val="en-US"/>
    </w:rPr>
  </w:style>
  <w:style w:type="character" w:styleId="1182" w:customStyle="1">
    <w:name w:val="WW8Num26z6"/>
    <w:uiPriority w:val="99"/>
    <w:qFormat/>
    <w:pPr>
      <w:pBdr/>
      <w:spacing/>
      <w:ind/>
    </w:pPr>
  </w:style>
  <w:style w:type="character" w:styleId="1183" w:customStyle="1">
    <w:name w:val="paginarotulo1"/>
    <w:uiPriority w:val="99"/>
    <w:qFormat/>
    <w:pPr>
      <w:pBdr/>
      <w:spacing/>
      <w:ind/>
    </w:pPr>
    <w:rPr>
      <w:rFonts w:eastAsia="Times New Roman"/>
      <w:sz w:val="15"/>
    </w:rPr>
  </w:style>
  <w:style w:type="character" w:styleId="1184" w:customStyle="1">
    <w:name w:val="WW8Num13z5"/>
    <w:uiPriority w:val="99"/>
    <w:qFormat/>
    <w:pPr>
      <w:pBdr/>
      <w:spacing/>
      <w:ind/>
    </w:pPr>
  </w:style>
  <w:style w:type="character" w:styleId="1185" w:customStyle="1">
    <w:name w:val="Âc2ncora da nota de fim"/>
    <w:uiPriority w:val="99"/>
    <w:qFormat/>
    <w:pPr>
      <w:pBdr/>
      <w:spacing/>
      <w:ind/>
    </w:pPr>
    <w:rPr>
      <w:vertAlign w:val="superscript"/>
    </w:rPr>
  </w:style>
  <w:style w:type="character" w:styleId="1186" w:customStyle="1">
    <w:name w:val="WW8Num19z2"/>
    <w:uiPriority w:val="99"/>
    <w:qFormat/>
    <w:pPr>
      <w:pBdr/>
      <w:spacing/>
      <w:ind/>
    </w:pPr>
  </w:style>
  <w:style w:type="character" w:styleId="1187" w:customStyle="1">
    <w:name w:val="WW8Num27z2"/>
    <w:uiPriority w:val="99"/>
    <w:qFormat/>
    <w:pPr>
      <w:pBdr/>
      <w:spacing/>
      <w:ind/>
    </w:pPr>
  </w:style>
  <w:style w:type="character" w:styleId="1188" w:customStyle="1">
    <w:name w:val="Assunto do comentário Char13"/>
    <w:uiPriority w:val="99"/>
    <w:qFormat/>
    <w:pPr>
      <w:pBdr/>
      <w:spacing/>
      <w:ind/>
    </w:pPr>
    <w:rPr>
      <w:rFonts w:ascii="Ecofont_Spranq_eco_Sans" w:hAnsi="Ecofont_Spranq_eco_Sans" w:eastAsia="Times New Roman" w:cs="Mangal"/>
      <w:b/>
      <w:sz w:val="18"/>
      <w:szCs w:val="18"/>
      <w:lang w:bidi="hi-IN"/>
    </w:rPr>
  </w:style>
  <w:style w:type="character" w:styleId="1189" w:customStyle="1">
    <w:name w:val="WW8Num7z4"/>
    <w:uiPriority w:val="99"/>
    <w:qFormat/>
    <w:pPr>
      <w:pBdr/>
      <w:spacing/>
      <w:ind/>
    </w:pPr>
  </w:style>
  <w:style w:type="character" w:styleId="1190" w:customStyle="1">
    <w:name w:val="Cabeçe7alho Char2"/>
    <w:uiPriority w:val="99"/>
    <w:qFormat/>
    <w:pPr>
      <w:pBdr/>
      <w:spacing/>
      <w:ind/>
    </w:pPr>
  </w:style>
  <w:style w:type="character" w:styleId="1191" w:customStyle="1">
    <w:name w:val="SUB-TITULO 6 Char"/>
    <w:uiPriority w:val="99"/>
    <w:qFormat/>
    <w:pPr>
      <w:pBdr/>
      <w:spacing/>
      <w:ind/>
    </w:pPr>
    <w:rPr>
      <w:rFonts w:eastAsia="Times New Roman"/>
      <w:b/>
      <w:i/>
      <w:color w:val="002060"/>
      <w:sz w:val="22"/>
    </w:rPr>
  </w:style>
  <w:style w:type="character" w:styleId="1192" w:customStyle="1">
    <w:name w:val="WW-Caracteres de numeraçe7ãe3o11"/>
    <w:uiPriority w:val="99"/>
    <w:qFormat/>
    <w:pPr>
      <w:pBdr/>
      <w:spacing/>
      <w:ind/>
    </w:pPr>
  </w:style>
  <w:style w:type="character" w:styleId="1193" w:customStyle="1">
    <w:name w:val="WW-Absatz-Standardschriftart1111"/>
    <w:uiPriority w:val="99"/>
    <w:qFormat/>
    <w:pPr>
      <w:pBdr/>
      <w:spacing/>
      <w:ind/>
    </w:pPr>
  </w:style>
  <w:style w:type="character" w:styleId="1194" w:customStyle="1">
    <w:name w:val="WW-Caracteres de numeraçe7ãe3o111"/>
    <w:uiPriority w:val="99"/>
    <w:qFormat/>
    <w:pPr>
      <w:pBdr/>
      <w:spacing/>
      <w:ind/>
    </w:pPr>
  </w:style>
  <w:style w:type="character" w:styleId="1195" w:customStyle="1">
    <w:name w:val="WW8Num2z4"/>
    <w:uiPriority w:val="99"/>
    <w:qFormat/>
    <w:pPr>
      <w:pBdr/>
      <w:spacing/>
      <w:ind/>
    </w:pPr>
  </w:style>
  <w:style w:type="character" w:styleId="1196" w:customStyle="1">
    <w:name w:val="WW8Num23z6"/>
    <w:uiPriority w:val="99"/>
    <w:qFormat/>
    <w:pPr>
      <w:pBdr/>
      <w:spacing/>
      <w:ind/>
    </w:pPr>
  </w:style>
  <w:style w:type="character" w:styleId="1197" w:customStyle="1">
    <w:name w:val="WW8Num2z7"/>
    <w:uiPriority w:val="99"/>
    <w:qFormat/>
    <w:pPr>
      <w:pBdr/>
      <w:spacing/>
      <w:ind/>
    </w:pPr>
  </w:style>
  <w:style w:type="character" w:styleId="1198" w:customStyle="1">
    <w:name w:val="WW8Num25z3"/>
    <w:uiPriority w:val="99"/>
    <w:qFormat/>
    <w:pPr>
      <w:pBdr/>
      <w:spacing/>
      <w:ind/>
    </w:pPr>
  </w:style>
  <w:style w:type="character" w:styleId="1199" w:customStyle="1">
    <w:name w:val="WW8Num26z7"/>
    <w:uiPriority w:val="99"/>
    <w:qFormat/>
    <w:pPr>
      <w:pBdr/>
      <w:spacing/>
      <w:ind/>
    </w:pPr>
  </w:style>
  <w:style w:type="character" w:styleId="1200" w:customStyle="1">
    <w:name w:val="Texto de balão Char14"/>
    <w:uiPriority w:val="99"/>
    <w:qFormat/>
    <w:pPr>
      <w:pBdr/>
      <w:spacing/>
      <w:ind/>
    </w:pPr>
    <w:rPr>
      <w:rFonts w:ascii="Segoe UI" w:hAnsi="Segoe UI" w:cs="Segoe UI"/>
      <w:sz w:val="16"/>
      <w:szCs w:val="16"/>
      <w:lang w:bidi="hi-IN"/>
    </w:rPr>
  </w:style>
  <w:style w:type="character" w:styleId="1201" w:customStyle="1">
    <w:name w:val="WW8Num23z7"/>
    <w:uiPriority w:val="99"/>
    <w:qFormat/>
    <w:pPr>
      <w:pBdr/>
      <w:spacing/>
      <w:ind/>
    </w:pPr>
  </w:style>
  <w:style w:type="character" w:styleId="1202" w:customStyle="1">
    <w:name w:val="Subtíedtulo Char"/>
    <w:uiPriority w:val="99"/>
    <w:qFormat/>
    <w:pPr>
      <w:pBdr/>
      <w:spacing/>
      <w:ind/>
    </w:pPr>
    <w:rPr>
      <w:rFonts w:eastAsia="Times New Roman" w:cs="Calibri"/>
    </w:rPr>
  </w:style>
  <w:style w:type="character" w:styleId="1203" w:customStyle="1">
    <w:name w:val="WW8Num19z8"/>
    <w:uiPriority w:val="99"/>
    <w:qFormat/>
    <w:pPr>
      <w:pBdr/>
      <w:spacing/>
      <w:ind/>
    </w:pPr>
  </w:style>
  <w:style w:type="character" w:styleId="1204" w:customStyle="1">
    <w:name w:val="WW8Num1z4"/>
    <w:uiPriority w:val="99"/>
    <w:qFormat/>
    <w:pPr>
      <w:pBdr/>
      <w:spacing/>
      <w:ind/>
    </w:pPr>
  </w:style>
  <w:style w:type="character" w:styleId="1205" w:customStyle="1">
    <w:name w:val="WW8Num13z6"/>
    <w:uiPriority w:val="99"/>
    <w:qFormat/>
    <w:pPr>
      <w:pBdr/>
      <w:spacing/>
      <w:ind/>
    </w:pPr>
  </w:style>
  <w:style w:type="character" w:styleId="1206" w:customStyle="1">
    <w:name w:val="Texto de nota de rodapée9 Char"/>
    <w:uiPriority w:val="99"/>
    <w:qFormat/>
    <w:pPr>
      <w:pBdr/>
      <w:spacing/>
      <w:ind/>
    </w:pPr>
    <w:rPr>
      <w:rFonts w:cs="Times New Roman"/>
    </w:rPr>
  </w:style>
  <w:style w:type="character" w:styleId="1207" w:customStyle="1">
    <w:name w:val="WW-Absatz-Standardschriftart111"/>
    <w:uiPriority w:val="99"/>
    <w:qFormat/>
    <w:pPr>
      <w:pBdr/>
      <w:spacing/>
      <w:ind/>
    </w:pPr>
  </w:style>
  <w:style w:type="character" w:styleId="1208" w:customStyle="1">
    <w:name w:val="WW8Num2z2"/>
    <w:uiPriority w:val="99"/>
    <w:qFormat/>
    <w:pPr>
      <w:pBdr/>
      <w:spacing/>
      <w:ind/>
    </w:pPr>
  </w:style>
  <w:style w:type="character" w:styleId="1209" w:customStyle="1">
    <w:name w:val="Texto sem Formatação Char13"/>
    <w:uiPriority w:val="99"/>
    <w:qFormat/>
    <w:pPr>
      <w:pBdr/>
      <w:spacing/>
      <w:ind/>
    </w:pPr>
    <w:rPr>
      <w:rFonts w:ascii="Courier New" w:hAnsi="Courier New" w:cs="Courier New"/>
      <w:sz w:val="18"/>
      <w:szCs w:val="18"/>
      <w:lang w:bidi="hi-IN"/>
    </w:rPr>
  </w:style>
  <w:style w:type="character" w:styleId="1210" w:customStyle="1">
    <w:name w:val="Texto sem Formatação Char12"/>
    <w:uiPriority w:val="99"/>
    <w:qFormat/>
    <w:pPr>
      <w:pBdr/>
      <w:spacing/>
      <w:ind/>
    </w:pPr>
    <w:rPr>
      <w:rFonts w:ascii="Courier New" w:hAnsi="Courier New" w:cs="Courier New"/>
      <w:sz w:val="18"/>
      <w:szCs w:val="18"/>
      <w:lang w:bidi="hi-IN"/>
    </w:rPr>
  </w:style>
  <w:style w:type="character" w:styleId="1211" w:customStyle="1">
    <w:name w:val="Recuo de corpo de texto 3 Char22"/>
    <w:uiPriority w:val="99"/>
    <w:qFormat/>
    <w:pPr>
      <w:pBdr/>
      <w:spacing/>
      <w:ind/>
    </w:pPr>
    <w:rPr>
      <w:rFonts w:eastAsia="Times New Roman" w:cs="Mangal"/>
      <w:sz w:val="14"/>
      <w:szCs w:val="14"/>
      <w:lang w:bidi="hi-IN"/>
    </w:rPr>
  </w:style>
  <w:style w:type="character" w:styleId="1212" w:customStyle="1">
    <w:name w:val="Texto sem Formataçe7ãe3o Char"/>
    <w:uiPriority w:val="99"/>
    <w:qFormat/>
    <w:pPr>
      <w:pBdr/>
      <w:spacing/>
      <w:ind/>
    </w:pPr>
    <w:rPr>
      <w:rFonts w:eastAsia="Times New Roman" w:cs="Courier New"/>
    </w:rPr>
  </w:style>
  <w:style w:type="character" w:styleId="1213" w:customStyle="1">
    <w:name w:val="Recuo de corpo de texto 2 Char23"/>
    <w:uiPriority w:val="99"/>
    <w:qFormat/>
    <w:pPr>
      <w:pBdr/>
      <w:spacing/>
      <w:ind/>
    </w:pPr>
    <w:rPr>
      <w:rFonts w:eastAsia="Times New Roman" w:cs="Mangal"/>
      <w:sz w:val="18"/>
      <w:szCs w:val="18"/>
      <w:lang w:bidi="hi-IN"/>
    </w:rPr>
  </w:style>
  <w:style w:type="character" w:styleId="1214" w:customStyle="1">
    <w:name w:val="WW-Default Paragraph Font"/>
    <w:uiPriority w:val="99"/>
    <w:qFormat/>
    <w:pPr>
      <w:pBdr/>
      <w:spacing/>
      <w:ind/>
    </w:pPr>
  </w:style>
  <w:style w:type="character" w:styleId="1215" w:customStyle="1">
    <w:name w:val="Caracteres de numeraçe7ãe3o"/>
    <w:uiPriority w:val="99"/>
    <w:qFormat/>
    <w:pPr>
      <w:pBdr/>
      <w:spacing/>
      <w:ind/>
    </w:pPr>
  </w:style>
  <w:style w:type="character" w:styleId="1216" w:customStyle="1">
    <w:name w:val="WW-Caracteres de numeraçe7ãe3o1111"/>
    <w:uiPriority w:val="99"/>
    <w:qFormat/>
    <w:pPr>
      <w:pBdr/>
      <w:spacing/>
      <w:ind/>
    </w:pPr>
  </w:style>
  <w:style w:type="character" w:styleId="1217" w:customStyle="1">
    <w:name w:val="WW8Num25z8"/>
    <w:uiPriority w:val="99"/>
    <w:qFormat/>
    <w:pPr>
      <w:pBdr/>
      <w:spacing/>
      <w:ind/>
    </w:pPr>
  </w:style>
  <w:style w:type="character" w:styleId="1218" w:customStyle="1">
    <w:name w:val="WW8Num7z6"/>
    <w:uiPriority w:val="99"/>
    <w:qFormat/>
    <w:pPr>
      <w:pBdr/>
      <w:spacing/>
      <w:ind/>
    </w:pPr>
  </w:style>
  <w:style w:type="character" w:styleId="1219" w:customStyle="1">
    <w:name w:val="TITULO 3 Char"/>
    <w:qFormat/>
    <w:pPr>
      <w:pBdr/>
      <w:spacing/>
      <w:ind/>
    </w:pPr>
    <w:rPr>
      <w:rFonts w:eastAsia="Times New Roman"/>
      <w:b/>
      <w:color w:val="002060"/>
      <w:sz w:val="22"/>
    </w:rPr>
  </w:style>
  <w:style w:type="character" w:styleId="1220" w:customStyle="1">
    <w:name w:val="WW8Num2z3"/>
    <w:uiPriority w:val="99"/>
    <w:qFormat/>
    <w:pPr>
      <w:pBdr/>
      <w:spacing/>
      <w:ind/>
    </w:pPr>
  </w:style>
  <w:style w:type="character" w:styleId="1221" w:customStyle="1">
    <w:name w:val="Corpo de texto 2 Char21"/>
    <w:uiPriority w:val="99"/>
    <w:qFormat/>
    <w:pPr>
      <w:pBdr/>
      <w:spacing/>
      <w:ind/>
    </w:pPr>
    <w:rPr>
      <w:rFonts w:eastAsia="Times New Roman" w:cs="Mangal"/>
      <w:sz w:val="18"/>
      <w:szCs w:val="18"/>
      <w:lang w:bidi="hi-IN"/>
    </w:rPr>
  </w:style>
  <w:style w:type="character" w:styleId="1222" w:customStyle="1">
    <w:name w:val="Tíedtulo 1 Char"/>
    <w:uiPriority w:val="99"/>
    <w:qFormat/>
    <w:pPr>
      <w:pBdr/>
      <w:spacing/>
      <w:ind/>
    </w:pPr>
    <w:rPr>
      <w:rFonts w:eastAsia="Times New Roman" w:cs="Arial"/>
      <w:b/>
      <w:sz w:val="32"/>
      <w:szCs w:val="32"/>
      <w:lang w:val="en-US"/>
    </w:rPr>
  </w:style>
  <w:style w:type="character" w:styleId="1223" w:customStyle="1">
    <w:name w:val="Tíedtulo 3 Char"/>
    <w:uiPriority w:val="99"/>
    <w:qFormat/>
    <w:pPr>
      <w:pBdr/>
      <w:spacing/>
      <w:ind/>
    </w:pPr>
    <w:rPr>
      <w:rFonts w:eastAsia="Times New Roman" w:cs="Arial"/>
      <w:b/>
      <w:sz w:val="26"/>
      <w:szCs w:val="26"/>
    </w:rPr>
  </w:style>
  <w:style w:type="character" w:styleId="1224" w:customStyle="1">
    <w:name w:val="highlight"/>
    <w:uiPriority w:val="99"/>
    <w:qFormat/>
    <w:pPr>
      <w:pBdr/>
      <w:spacing/>
      <w:ind/>
    </w:pPr>
  </w:style>
  <w:style w:type="character" w:styleId="1225" w:customStyle="1">
    <w:name w:val="Tíedtulo 4 Char"/>
    <w:uiPriority w:val="99"/>
    <w:qFormat/>
    <w:pPr>
      <w:pBdr/>
      <w:spacing/>
      <w:ind/>
    </w:pPr>
    <w:rPr>
      <w:rFonts w:cs="Times New Roman"/>
      <w:b/>
      <w:sz w:val="28"/>
      <w:szCs w:val="28"/>
    </w:rPr>
  </w:style>
  <w:style w:type="character" w:styleId="1226" w:customStyle="1">
    <w:name w:val="Tíedtulo 2 Char"/>
    <w:uiPriority w:val="99"/>
    <w:qFormat/>
    <w:pPr>
      <w:pBdr/>
      <w:spacing/>
      <w:ind/>
    </w:pPr>
    <w:rPr>
      <w:rFonts w:eastAsia="Times New Roman" w:cs="Arial"/>
      <w:b/>
      <w:color w:val="000000"/>
      <w:sz w:val="22"/>
      <w:szCs w:val="22"/>
    </w:rPr>
  </w:style>
  <w:style w:type="character" w:styleId="1227" w:customStyle="1">
    <w:name w:val="WW8Num5z3"/>
    <w:uiPriority w:val="99"/>
    <w:qFormat/>
    <w:pPr>
      <w:pBdr/>
      <w:spacing/>
      <w:ind/>
    </w:pPr>
  </w:style>
  <w:style w:type="character" w:styleId="1228" w:customStyle="1">
    <w:name w:val="WW8Num19z3"/>
    <w:uiPriority w:val="99"/>
    <w:qFormat/>
    <w:pPr>
      <w:pBdr/>
      <w:spacing/>
      <w:ind/>
    </w:pPr>
  </w:style>
  <w:style w:type="character" w:styleId="1229" w:customStyle="1">
    <w:name w:val="Footnote Characters"/>
    <w:uiPriority w:val="99"/>
    <w:qFormat/>
    <w:pPr>
      <w:pBdr/>
      <w:spacing/>
      <w:ind/>
    </w:pPr>
    <w:rPr>
      <w:rFonts w:cs="Times New Roman"/>
      <w:vertAlign w:val="superscript"/>
    </w:rPr>
  </w:style>
  <w:style w:type="character" w:styleId="1230" w:customStyle="1">
    <w:name w:val="WW8Num26z0"/>
    <w:uiPriority w:val="99"/>
    <w:qFormat/>
    <w:pPr>
      <w:pBdr/>
      <w:spacing/>
      <w:ind/>
    </w:pPr>
    <w:rPr>
      <w:color w:val="000000"/>
    </w:rPr>
  </w:style>
  <w:style w:type="character" w:styleId="1231" w:customStyle="1">
    <w:name w:val="WW8Num1z3"/>
    <w:uiPriority w:val="99"/>
    <w:qFormat/>
    <w:pPr>
      <w:pBdr/>
      <w:spacing/>
      <w:ind/>
    </w:pPr>
  </w:style>
  <w:style w:type="character" w:styleId="1232" w:customStyle="1">
    <w:name w:val="WW8Num8z8"/>
    <w:uiPriority w:val="99"/>
    <w:qFormat/>
    <w:pPr>
      <w:pBdr/>
      <w:spacing/>
      <w:ind/>
    </w:pPr>
  </w:style>
  <w:style w:type="character" w:styleId="1233" w:customStyle="1">
    <w:name w:val="WW8Num21z8"/>
    <w:uiPriority w:val="99"/>
    <w:qFormat/>
    <w:pPr>
      <w:pBdr/>
      <w:spacing/>
      <w:ind/>
    </w:pPr>
  </w:style>
  <w:style w:type="character" w:styleId="1234" w:customStyle="1">
    <w:name w:val="Tíedtulo 7 Char"/>
    <w:uiPriority w:val="99"/>
    <w:qFormat/>
    <w:pPr>
      <w:pBdr/>
      <w:spacing/>
      <w:ind/>
    </w:pPr>
    <w:rPr>
      <w:rFonts w:eastAsia="Times New Roman" w:cs="Arial"/>
      <w:b/>
      <w:sz w:val="22"/>
      <w:szCs w:val="22"/>
    </w:rPr>
  </w:style>
  <w:style w:type="character" w:styleId="1235" w:customStyle="1">
    <w:name w:val="Recuo de corpo de texto 3 Char24"/>
    <w:uiPriority w:val="99"/>
    <w:qFormat/>
    <w:pPr>
      <w:pBdr/>
      <w:spacing/>
      <w:ind/>
    </w:pPr>
    <w:rPr>
      <w:rFonts w:eastAsia="Times New Roman" w:cs="Mangal"/>
      <w:sz w:val="14"/>
      <w:szCs w:val="14"/>
      <w:lang w:bidi="hi-IN"/>
    </w:rPr>
  </w:style>
  <w:style w:type="character" w:styleId="1236" w:customStyle="1">
    <w:name w:val="WW8Num7z5"/>
    <w:uiPriority w:val="99"/>
    <w:qFormat/>
    <w:pPr>
      <w:pBdr/>
      <w:spacing/>
      <w:ind/>
    </w:pPr>
  </w:style>
  <w:style w:type="character" w:styleId="1237" w:customStyle="1">
    <w:name w:val="WW8Num2z8"/>
    <w:uiPriority w:val="99"/>
    <w:qFormat/>
    <w:pPr>
      <w:pBdr/>
      <w:spacing/>
      <w:ind/>
    </w:pPr>
  </w:style>
  <w:style w:type="character" w:styleId="1238" w:customStyle="1">
    <w:name w:val="WW-Caracteres de numeraçe7ãe3o"/>
    <w:uiPriority w:val="99"/>
    <w:qFormat/>
    <w:pPr>
      <w:pBdr/>
      <w:spacing/>
      <w:ind/>
    </w:pPr>
  </w:style>
  <w:style w:type="character" w:styleId="1239" w:customStyle="1">
    <w:name w:val="WW8Num26z8"/>
    <w:uiPriority w:val="99"/>
    <w:qFormat/>
    <w:pPr>
      <w:pBdr/>
      <w:spacing/>
      <w:ind/>
    </w:pPr>
  </w:style>
  <w:style w:type="character" w:styleId="1240" w:customStyle="1">
    <w:name w:val="WW8Num13z4"/>
    <w:uiPriority w:val="99"/>
    <w:qFormat/>
    <w:pPr>
      <w:pBdr/>
      <w:spacing/>
      <w:ind/>
    </w:pPr>
  </w:style>
  <w:style w:type="character" w:styleId="1241" w:customStyle="1">
    <w:name w:val="TITULO 2 Char"/>
    <w:uiPriority w:val="99"/>
    <w:qFormat/>
    <w:pPr>
      <w:pBdr/>
      <w:spacing/>
      <w:ind/>
    </w:pPr>
    <w:rPr>
      <w:rFonts w:eastAsia="Times New Roman"/>
      <w:b/>
      <w:smallCaps/>
      <w:color w:val="002060"/>
      <w:sz w:val="22"/>
    </w:rPr>
  </w:style>
  <w:style w:type="character" w:styleId="1242" w:customStyle="1">
    <w:name w:val="Texto de comentáe1rio Char"/>
    <w:uiPriority w:val="99"/>
    <w:qFormat/>
    <w:pPr>
      <w:pBdr/>
      <w:spacing/>
      <w:ind/>
    </w:pPr>
    <w:rPr>
      <w:rFonts w:cs="Times New Roman"/>
    </w:rPr>
  </w:style>
  <w:style w:type="character" w:styleId="1243" w:customStyle="1">
    <w:name w:val="Corpo de texto 3 Char2"/>
    <w:uiPriority w:val="99"/>
    <w:qFormat/>
    <w:pPr>
      <w:pBdr/>
      <w:spacing/>
      <w:ind/>
    </w:pPr>
    <w:rPr>
      <w:rFonts w:eastAsia="Times New Roman" w:cs="Mangal"/>
      <w:sz w:val="14"/>
      <w:szCs w:val="14"/>
      <w:lang w:bidi="hi-IN"/>
    </w:rPr>
  </w:style>
  <w:style w:type="character" w:styleId="1244" w:customStyle="1">
    <w:name w:val="WW-Caracteres de numeraçe7ãe3o11111"/>
    <w:uiPriority w:val="99"/>
    <w:qFormat/>
    <w:pPr>
      <w:pBdr/>
      <w:spacing/>
      <w:ind/>
    </w:pPr>
  </w:style>
  <w:style w:type="character" w:styleId="1245" w:customStyle="1">
    <w:name w:val="Êcanfase"/>
    <w:uiPriority w:val="99"/>
    <w:qFormat/>
    <w:pPr>
      <w:pBdr/>
      <w:spacing/>
      <w:ind/>
    </w:pPr>
    <w:rPr>
      <w:rFonts w:cs="Times New Roman"/>
      <w:i/>
    </w:rPr>
  </w:style>
  <w:style w:type="character" w:styleId="1246" w:customStyle="1">
    <w:name w:val="WW8Num13z7"/>
    <w:uiPriority w:val="99"/>
    <w:qFormat/>
    <w:pPr>
      <w:pBdr/>
      <w:spacing/>
      <w:ind/>
    </w:pPr>
  </w:style>
  <w:style w:type="character" w:styleId="1247" w:customStyle="1">
    <w:name w:val="m_-2884721576075861681highlight"/>
    <w:uiPriority w:val="99"/>
    <w:qFormat/>
    <w:pPr>
      <w:pBdr/>
      <w:spacing/>
      <w:ind/>
    </w:pPr>
  </w:style>
  <w:style w:type="character" w:styleId="1248" w:customStyle="1">
    <w:name w:val="_xdb"/>
    <w:uiPriority w:val="99"/>
    <w:qFormat/>
    <w:pPr>
      <w:pBdr/>
      <w:spacing/>
      <w:ind/>
    </w:pPr>
  </w:style>
  <w:style w:type="character" w:styleId="1249" w:customStyle="1">
    <w:name w:val="WW8Num7z7"/>
    <w:uiPriority w:val="99"/>
    <w:qFormat/>
    <w:pPr>
      <w:pBdr/>
      <w:spacing/>
      <w:ind/>
    </w:pPr>
  </w:style>
  <w:style w:type="character" w:styleId="1250" w:customStyle="1">
    <w:name w:val="Recuo de corpo de texto 3 Char2"/>
    <w:uiPriority w:val="99"/>
    <w:qFormat/>
    <w:pPr>
      <w:pBdr/>
      <w:spacing/>
      <w:ind/>
    </w:pPr>
    <w:rPr>
      <w:rFonts w:eastAsia="Times New Roman" w:cs="Mangal"/>
      <w:sz w:val="14"/>
      <w:szCs w:val="14"/>
      <w:lang w:bidi="hi-IN"/>
    </w:rPr>
  </w:style>
  <w:style w:type="character" w:styleId="1251" w:customStyle="1">
    <w:name w:val="st"/>
    <w:uiPriority w:val="99"/>
    <w:qFormat/>
    <w:pPr>
      <w:pBdr/>
      <w:spacing/>
      <w:ind/>
    </w:pPr>
  </w:style>
  <w:style w:type="character" w:styleId="1252" w:customStyle="1">
    <w:name w:val="WW8Num21z6"/>
    <w:uiPriority w:val="99"/>
    <w:qFormat/>
    <w:pPr>
      <w:pBdr/>
      <w:spacing/>
      <w:ind/>
    </w:pPr>
  </w:style>
  <w:style w:type="character" w:styleId="1253" w:customStyle="1">
    <w:name w:val="WW8Num8z6"/>
    <w:uiPriority w:val="99"/>
    <w:qFormat/>
    <w:pPr>
      <w:pBdr/>
      <w:spacing/>
      <w:ind/>
    </w:pPr>
  </w:style>
  <w:style w:type="character" w:styleId="1254" w:customStyle="1">
    <w:name w:val="Endnote Characters"/>
    <w:uiPriority w:val="99"/>
    <w:qFormat/>
    <w:pPr>
      <w:pBdr/>
      <w:spacing/>
      <w:ind/>
    </w:pPr>
    <w:rPr>
      <w:rFonts w:cs="Times New Roman"/>
      <w:vertAlign w:val="superscript"/>
    </w:rPr>
  </w:style>
  <w:style w:type="character" w:styleId="1255" w:customStyle="1">
    <w:name w:val="WW8Num7z8"/>
    <w:uiPriority w:val="99"/>
    <w:qFormat/>
    <w:pPr>
      <w:pBdr/>
      <w:spacing/>
      <w:ind/>
    </w:pPr>
  </w:style>
  <w:style w:type="character" w:styleId="1256" w:customStyle="1">
    <w:name w:val="Tíedtulo 6 Char"/>
    <w:uiPriority w:val="99"/>
    <w:qFormat/>
    <w:pPr>
      <w:pBdr/>
      <w:spacing/>
      <w:ind/>
    </w:pPr>
    <w:rPr>
      <w:rFonts w:eastAsia="Times New Roman" w:cs="Arial"/>
      <w:b/>
      <w:sz w:val="22"/>
      <w:szCs w:val="22"/>
    </w:rPr>
  </w:style>
  <w:style w:type="character" w:styleId="1257" w:customStyle="1">
    <w:name w:val="WW8Num24z1"/>
    <w:uiPriority w:val="99"/>
    <w:qFormat/>
    <w:pPr>
      <w:pBdr/>
      <w:spacing/>
      <w:ind/>
    </w:pPr>
    <w:rPr>
      <w:rFonts w:eastAsia="Times New Roman"/>
    </w:rPr>
  </w:style>
  <w:style w:type="character" w:styleId="1258" w:customStyle="1">
    <w:name w:val="WW8Num26z2"/>
    <w:uiPriority w:val="99"/>
    <w:qFormat/>
    <w:pPr>
      <w:pBdr/>
      <w:spacing/>
      <w:ind/>
    </w:pPr>
  </w:style>
  <w:style w:type="character" w:styleId="1259" w:customStyle="1">
    <w:name w:val="Texto de nota de fim Char"/>
    <w:uiPriority w:val="99"/>
    <w:qFormat/>
    <w:pPr>
      <w:pBdr/>
      <w:spacing/>
      <w:ind/>
    </w:pPr>
    <w:rPr>
      <w:rFonts w:cs="Times New Roman"/>
    </w:rPr>
  </w:style>
  <w:style w:type="character" w:styleId="1260" w:customStyle="1">
    <w:name w:val="Texto de balãe3o Char"/>
    <w:uiPriority w:val="99"/>
    <w:qFormat/>
    <w:pPr>
      <w:pBdr/>
      <w:spacing/>
      <w:ind/>
    </w:pPr>
    <w:rPr>
      <w:rFonts w:eastAsia="Times New Roman" w:cs="Tahoma"/>
      <w:sz w:val="16"/>
      <w:szCs w:val="16"/>
    </w:rPr>
  </w:style>
  <w:style w:type="character" w:styleId="1261" w:customStyle="1">
    <w:name w:val="WW8Num2z1"/>
    <w:uiPriority w:val="99"/>
    <w:qFormat/>
    <w:pPr>
      <w:pBdr/>
      <w:spacing/>
      <w:ind/>
    </w:pPr>
  </w:style>
  <w:style w:type="character" w:styleId="1262" w:customStyle="1">
    <w:name w:val="WW8Num7z2"/>
    <w:uiPriority w:val="99"/>
    <w:qFormat/>
    <w:pPr>
      <w:pBdr/>
      <w:spacing/>
      <w:ind/>
    </w:pPr>
  </w:style>
  <w:style w:type="character" w:styleId="1263" w:customStyle="1">
    <w:name w:val="WW8Num19z1"/>
    <w:uiPriority w:val="99"/>
    <w:qFormat/>
    <w:pPr>
      <w:pBdr/>
      <w:spacing/>
      <w:ind/>
    </w:pPr>
  </w:style>
  <w:style w:type="character" w:styleId="1264" w:customStyle="1">
    <w:name w:val="WW8Num19z7"/>
    <w:uiPriority w:val="99"/>
    <w:qFormat/>
    <w:pPr>
      <w:pBdr/>
      <w:spacing/>
      <w:ind/>
    </w:pPr>
  </w:style>
  <w:style w:type="character" w:styleId="1265" w:customStyle="1">
    <w:name w:val="WW8Num13z2"/>
    <w:uiPriority w:val="99"/>
    <w:qFormat/>
    <w:pPr>
      <w:pBdr/>
      <w:spacing/>
      <w:ind/>
    </w:pPr>
  </w:style>
  <w:style w:type="character" w:styleId="1266" w:customStyle="1">
    <w:name w:val="WW8Num16z1"/>
    <w:uiPriority w:val="99"/>
    <w:qFormat/>
    <w:pPr>
      <w:pBdr/>
      <w:spacing/>
      <w:ind/>
    </w:pPr>
    <w:rPr>
      <w:rFonts w:eastAsia="Times New Roman"/>
    </w:rPr>
  </w:style>
  <w:style w:type="character" w:styleId="1267" w:customStyle="1">
    <w:name w:val="WW8Num2z6"/>
    <w:uiPriority w:val="99"/>
    <w:qFormat/>
    <w:pPr>
      <w:pBdr/>
      <w:spacing/>
      <w:ind/>
    </w:pPr>
  </w:style>
  <w:style w:type="character" w:styleId="1268" w:customStyle="1">
    <w:name w:val="WW8Num21z7"/>
    <w:uiPriority w:val="99"/>
    <w:qFormat/>
    <w:pPr>
      <w:pBdr/>
      <w:spacing/>
      <w:ind/>
    </w:pPr>
  </w:style>
  <w:style w:type="character" w:styleId="1269" w:customStyle="1">
    <w:name w:val="Tíedtulo 5 Char"/>
    <w:uiPriority w:val="99"/>
    <w:qFormat/>
    <w:pPr>
      <w:pBdr/>
      <w:spacing/>
      <w:ind/>
    </w:pPr>
    <w:rPr>
      <w:rFonts w:cs="Times New Roman"/>
      <w:b/>
      <w:i/>
      <w:sz w:val="26"/>
      <w:szCs w:val="26"/>
    </w:rPr>
  </w:style>
  <w:style w:type="character" w:styleId="1270" w:customStyle="1">
    <w:name w:val="WW-Absatz-Standardschriftart1"/>
    <w:uiPriority w:val="99"/>
    <w:qFormat/>
    <w:pPr>
      <w:pBdr/>
      <w:spacing/>
      <w:ind/>
    </w:pPr>
  </w:style>
  <w:style w:type="character" w:styleId="1271" w:customStyle="1">
    <w:name w:val="WW8Num25z5"/>
    <w:uiPriority w:val="99"/>
    <w:qFormat/>
    <w:pPr>
      <w:pBdr/>
      <w:spacing/>
      <w:ind/>
    </w:pPr>
  </w:style>
  <w:style w:type="character" w:styleId="1272" w:customStyle="1">
    <w:name w:val="WW8Num23z5"/>
    <w:uiPriority w:val="99"/>
    <w:qFormat/>
    <w:pPr>
      <w:pBdr/>
      <w:spacing/>
      <w:ind/>
    </w:pPr>
  </w:style>
  <w:style w:type="character" w:styleId="1273" w:customStyle="1">
    <w:name w:val="description-text"/>
    <w:uiPriority w:val="99"/>
    <w:qFormat/>
    <w:pPr>
      <w:pBdr/>
      <w:spacing/>
      <w:ind/>
    </w:pPr>
  </w:style>
  <w:style w:type="character" w:styleId="1274" w:customStyle="1">
    <w:name w:val="Recuo de corpo de texto 2 Char22"/>
    <w:uiPriority w:val="99"/>
    <w:qFormat/>
    <w:pPr>
      <w:pBdr/>
      <w:spacing/>
      <w:ind/>
    </w:pPr>
    <w:rPr>
      <w:rFonts w:eastAsia="Times New Roman" w:cs="Mangal"/>
      <w:sz w:val="18"/>
      <w:szCs w:val="18"/>
      <w:lang w:bidi="hi-IN"/>
    </w:rPr>
  </w:style>
  <w:style w:type="character" w:styleId="1275" w:customStyle="1">
    <w:name w:val="Tíedtulo 8 Char"/>
    <w:uiPriority w:val="99"/>
    <w:qFormat/>
    <w:pPr>
      <w:pBdr/>
      <w:spacing/>
      <w:ind/>
    </w:pPr>
    <w:rPr>
      <w:rFonts w:eastAsia="Times New Roman" w:cs="Arial"/>
      <w:b/>
      <w:sz w:val="22"/>
      <w:szCs w:val="22"/>
    </w:rPr>
  </w:style>
  <w:style w:type="character" w:styleId="1276" w:customStyle="1">
    <w:name w:val="WW8Num23z8"/>
    <w:uiPriority w:val="99"/>
    <w:qFormat/>
    <w:pPr>
      <w:pBdr/>
      <w:spacing/>
      <w:ind/>
    </w:pPr>
  </w:style>
  <w:style w:type="character" w:styleId="1277" w:customStyle="1">
    <w:name w:val="_xbe"/>
    <w:uiPriority w:val="99"/>
    <w:qFormat/>
    <w:pPr>
      <w:pBdr/>
      <w:spacing/>
      <w:ind/>
    </w:pPr>
  </w:style>
  <w:style w:type="character" w:styleId="1278" w:customStyle="1">
    <w:name w:val="Cabeçe7alho Char"/>
    <w:uiPriority w:val="99"/>
    <w:qFormat/>
    <w:pPr>
      <w:pBdr/>
      <w:spacing/>
      <w:ind/>
    </w:pPr>
    <w:rPr>
      <w:rFonts w:eastAsia="Times New Roman"/>
      <w:lang w:val="en-US"/>
    </w:rPr>
  </w:style>
  <w:style w:type="character" w:styleId="1279" w:customStyle="1">
    <w:name w:val="WW8Num25z1"/>
    <w:uiPriority w:val="99"/>
    <w:qFormat/>
    <w:pPr>
      <w:pBdr/>
      <w:spacing/>
      <w:ind/>
    </w:pPr>
  </w:style>
  <w:style w:type="character" w:styleId="1280" w:customStyle="1">
    <w:name w:val="WW-Caracteres de numeraçe7ãe3o111111"/>
    <w:uiPriority w:val="99"/>
    <w:qFormat/>
    <w:pPr>
      <w:pBdr/>
      <w:spacing/>
      <w:ind/>
    </w:pPr>
  </w:style>
  <w:style w:type="character" w:styleId="1281" w:customStyle="1">
    <w:name w:val="Corpo de texto 3 Char23"/>
    <w:uiPriority w:val="99"/>
    <w:qFormat/>
    <w:pPr>
      <w:pBdr/>
      <w:spacing/>
      <w:ind/>
    </w:pPr>
    <w:rPr>
      <w:rFonts w:eastAsia="Times New Roman" w:cs="Mangal"/>
      <w:sz w:val="14"/>
      <w:szCs w:val="14"/>
      <w:lang w:bidi="hi-IN"/>
    </w:rPr>
  </w:style>
  <w:style w:type="character" w:styleId="1282" w:customStyle="1">
    <w:name w:val="Corpo de texto 3 Char22"/>
    <w:uiPriority w:val="99"/>
    <w:qFormat/>
    <w:pPr>
      <w:pBdr/>
      <w:spacing/>
      <w:ind/>
    </w:pPr>
    <w:rPr>
      <w:rFonts w:eastAsia="Times New Roman" w:cs="Mangal"/>
      <w:sz w:val="14"/>
      <w:szCs w:val="14"/>
      <w:lang w:bidi="hi-IN"/>
    </w:rPr>
  </w:style>
  <w:style w:type="character" w:styleId="1283" w:customStyle="1">
    <w:name w:val="Texto sem Formatação Char11"/>
    <w:uiPriority w:val="99"/>
    <w:qFormat/>
    <w:pPr>
      <w:pBdr/>
      <w:spacing/>
      <w:ind/>
    </w:pPr>
    <w:rPr>
      <w:rFonts w:ascii="Courier New" w:hAnsi="Courier New" w:cs="Courier New"/>
      <w:sz w:val="18"/>
      <w:szCs w:val="18"/>
      <w:lang w:bidi="hi-IN"/>
    </w:rPr>
  </w:style>
  <w:style w:type="character" w:styleId="1284" w:customStyle="1">
    <w:name w:val="Corpo de texto 2 Char22"/>
    <w:uiPriority w:val="99"/>
    <w:qFormat/>
    <w:pPr>
      <w:pBdr/>
      <w:spacing/>
      <w:ind/>
    </w:pPr>
    <w:rPr>
      <w:rFonts w:eastAsia="Times New Roman" w:cs="Mangal"/>
      <w:sz w:val="18"/>
      <w:szCs w:val="18"/>
      <w:lang w:bidi="hi-IN"/>
    </w:rPr>
  </w:style>
  <w:style w:type="character" w:styleId="1285" w:customStyle="1">
    <w:name w:val="Cabeçalho Char13"/>
    <w:uiPriority w:val="99"/>
    <w:qFormat/>
    <w:pPr>
      <w:pBdr/>
      <w:spacing/>
      <w:ind/>
    </w:pPr>
    <w:rPr>
      <w:rFonts w:eastAsia="Times New Roman" w:cs="Mangal"/>
      <w:sz w:val="18"/>
      <w:szCs w:val="18"/>
      <w:lang w:bidi="hi-IN"/>
    </w:rPr>
  </w:style>
  <w:style w:type="character" w:styleId="1286" w:customStyle="1">
    <w:name w:val="Cabeçalho Char11"/>
    <w:uiPriority w:val="99"/>
    <w:qFormat/>
    <w:pPr>
      <w:pBdr/>
      <w:spacing/>
      <w:ind/>
    </w:pPr>
    <w:rPr>
      <w:rFonts w:eastAsia="Times New Roman" w:cs="Mangal"/>
      <w:sz w:val="18"/>
      <w:szCs w:val="18"/>
      <w:lang w:bidi="hi-IN"/>
    </w:rPr>
  </w:style>
  <w:style w:type="character" w:styleId="1287" w:customStyle="1">
    <w:name w:val="Recuo de corpo de texto 3 Char23"/>
    <w:uiPriority w:val="99"/>
    <w:qFormat/>
    <w:pPr>
      <w:pBdr/>
      <w:spacing/>
      <w:ind/>
    </w:pPr>
    <w:rPr>
      <w:rFonts w:eastAsia="Times New Roman" w:cs="Mangal"/>
      <w:sz w:val="14"/>
      <w:szCs w:val="14"/>
      <w:lang w:bidi="hi-IN"/>
    </w:rPr>
  </w:style>
  <w:style w:type="character" w:styleId="1288" w:customStyle="1">
    <w:name w:val="Recuo de corpo de texto 3 Char21"/>
    <w:uiPriority w:val="99"/>
    <w:qFormat/>
    <w:pPr>
      <w:pBdr/>
      <w:spacing/>
      <w:ind/>
    </w:pPr>
    <w:rPr>
      <w:rFonts w:eastAsia="Times New Roman" w:cs="Mangal"/>
      <w:sz w:val="14"/>
      <w:szCs w:val="14"/>
      <w:lang w:bidi="hi-IN"/>
    </w:rPr>
  </w:style>
  <w:style w:type="character" w:styleId="1289" w:customStyle="1">
    <w:name w:val="Texto de balão Char11"/>
    <w:uiPriority w:val="99"/>
    <w:qFormat/>
    <w:pPr>
      <w:pBdr/>
      <w:spacing/>
      <w:ind/>
    </w:pPr>
    <w:rPr>
      <w:rFonts w:ascii="Segoe UI" w:hAnsi="Segoe UI" w:cs="Segoe UI"/>
      <w:sz w:val="16"/>
      <w:szCs w:val="16"/>
      <w:lang w:bidi="hi-IN"/>
    </w:rPr>
  </w:style>
  <w:style w:type="character" w:styleId="1290" w:customStyle="1">
    <w:name w:val="Texto de balão Char2"/>
    <w:uiPriority w:val="99"/>
    <w:qFormat/>
    <w:pPr>
      <w:pBdr/>
      <w:spacing/>
      <w:ind/>
    </w:pPr>
    <w:rPr>
      <w:rFonts w:ascii="Segoe UI" w:hAnsi="Segoe UI" w:eastAsia="Times New Roman" w:cs="Mangal"/>
      <w:sz w:val="18"/>
      <w:szCs w:val="16"/>
      <w:lang w:bidi="hi-IN"/>
    </w:rPr>
  </w:style>
  <w:style w:type="character" w:styleId="1291" w:customStyle="1">
    <w:name w:val="Texto de balão Char210"/>
    <w:uiPriority w:val="99"/>
    <w:qFormat/>
    <w:pPr>
      <w:pBdr/>
      <w:spacing/>
      <w:ind/>
    </w:pPr>
    <w:rPr>
      <w:rFonts w:ascii="Segoe UI" w:hAnsi="Segoe UI" w:cs="Mangal"/>
      <w:sz w:val="16"/>
      <w:szCs w:val="16"/>
      <w:lang w:bidi="hi-IN"/>
    </w:rPr>
  </w:style>
  <w:style w:type="character" w:styleId="1292" w:customStyle="1">
    <w:name w:val="Texto de balão Char29"/>
    <w:uiPriority w:val="99"/>
    <w:qFormat/>
    <w:pPr>
      <w:pBdr/>
      <w:spacing/>
      <w:ind/>
    </w:pPr>
    <w:rPr>
      <w:rFonts w:ascii="Segoe UI" w:hAnsi="Segoe UI" w:cs="Mangal"/>
      <w:sz w:val="16"/>
      <w:szCs w:val="16"/>
      <w:lang w:bidi="hi-IN"/>
    </w:rPr>
  </w:style>
  <w:style w:type="character" w:styleId="1293" w:customStyle="1">
    <w:name w:val="Texto de balão Char28"/>
    <w:uiPriority w:val="99"/>
    <w:qFormat/>
    <w:pPr>
      <w:pBdr/>
      <w:spacing/>
      <w:ind/>
    </w:pPr>
    <w:rPr>
      <w:rFonts w:ascii="Segoe UI" w:hAnsi="Segoe UI" w:cs="Mangal"/>
      <w:sz w:val="16"/>
      <w:szCs w:val="16"/>
      <w:lang w:bidi="hi-IN"/>
    </w:rPr>
  </w:style>
  <w:style w:type="character" w:styleId="1294" w:customStyle="1">
    <w:name w:val="Texto de balão Char27"/>
    <w:uiPriority w:val="99"/>
    <w:qFormat/>
    <w:pPr>
      <w:pBdr/>
      <w:spacing/>
      <w:ind/>
    </w:pPr>
    <w:rPr>
      <w:rFonts w:ascii="Segoe UI" w:hAnsi="Segoe UI" w:cs="Mangal"/>
      <w:sz w:val="16"/>
      <w:szCs w:val="16"/>
      <w:lang w:bidi="hi-IN"/>
    </w:rPr>
  </w:style>
  <w:style w:type="character" w:styleId="1295" w:customStyle="1">
    <w:name w:val="Texto de balão Char26"/>
    <w:uiPriority w:val="99"/>
    <w:qFormat/>
    <w:pPr>
      <w:pBdr/>
      <w:spacing/>
      <w:ind/>
    </w:pPr>
    <w:rPr>
      <w:rFonts w:ascii="Segoe UI" w:hAnsi="Segoe UI" w:cs="Mangal"/>
      <w:sz w:val="16"/>
      <w:szCs w:val="16"/>
      <w:lang w:bidi="hi-IN"/>
    </w:rPr>
  </w:style>
  <w:style w:type="character" w:styleId="1296" w:customStyle="1">
    <w:name w:val="Texto de balão Char25"/>
    <w:uiPriority w:val="99"/>
    <w:qFormat/>
    <w:pPr>
      <w:pBdr/>
      <w:spacing/>
      <w:ind/>
    </w:pPr>
    <w:rPr>
      <w:rFonts w:ascii="Segoe UI" w:hAnsi="Segoe UI" w:cs="Mangal"/>
      <w:sz w:val="16"/>
      <w:szCs w:val="16"/>
      <w:lang w:bidi="hi-IN"/>
    </w:rPr>
  </w:style>
  <w:style w:type="character" w:styleId="1297" w:customStyle="1">
    <w:name w:val="Texto de balão Char24"/>
    <w:uiPriority w:val="99"/>
    <w:qFormat/>
    <w:pPr>
      <w:pBdr/>
      <w:spacing/>
      <w:ind/>
    </w:pPr>
    <w:rPr>
      <w:rFonts w:ascii="Segoe UI" w:hAnsi="Segoe UI" w:cs="Mangal"/>
      <w:sz w:val="16"/>
      <w:szCs w:val="16"/>
      <w:lang w:bidi="hi-IN"/>
    </w:rPr>
  </w:style>
  <w:style w:type="character" w:styleId="1298" w:customStyle="1">
    <w:name w:val="Texto de balão Char23"/>
    <w:uiPriority w:val="99"/>
    <w:qFormat/>
    <w:pPr>
      <w:pBdr/>
      <w:spacing/>
      <w:ind/>
    </w:pPr>
    <w:rPr>
      <w:rFonts w:ascii="Segoe UI" w:hAnsi="Segoe UI" w:cs="Mangal"/>
      <w:sz w:val="16"/>
      <w:szCs w:val="16"/>
      <w:lang w:bidi="hi-IN"/>
    </w:rPr>
  </w:style>
  <w:style w:type="character" w:styleId="1299" w:customStyle="1">
    <w:name w:val="Texto de balão Char22"/>
    <w:uiPriority w:val="99"/>
    <w:qFormat/>
    <w:pPr>
      <w:pBdr/>
      <w:spacing/>
      <w:ind/>
    </w:pPr>
    <w:rPr>
      <w:rFonts w:ascii="Segoe UI" w:hAnsi="Segoe UI" w:cs="Mangal"/>
      <w:sz w:val="16"/>
      <w:szCs w:val="16"/>
      <w:lang w:bidi="hi-IN"/>
    </w:rPr>
  </w:style>
  <w:style w:type="character" w:styleId="1300" w:customStyle="1">
    <w:name w:val="Texto de balão Char21"/>
    <w:uiPriority w:val="99"/>
    <w:qFormat/>
    <w:pPr>
      <w:pBdr/>
      <w:spacing/>
      <w:ind/>
    </w:pPr>
    <w:rPr>
      <w:rFonts w:ascii="Segoe UI" w:hAnsi="Segoe UI" w:cs="Mangal"/>
      <w:sz w:val="16"/>
      <w:szCs w:val="16"/>
      <w:lang w:bidi="hi-IN"/>
    </w:rPr>
  </w:style>
  <w:style w:type="character" w:styleId="1301" w:customStyle="1">
    <w:name w:val="Recuo de corpo de texto 3 Char3"/>
    <w:uiPriority w:val="99"/>
    <w:qFormat/>
    <w:pPr>
      <w:pBdr/>
      <w:spacing/>
      <w:ind/>
    </w:pPr>
    <w:rPr>
      <w:rFonts w:eastAsia="Times New Roman" w:cs="Mangal"/>
      <w:sz w:val="16"/>
      <w:szCs w:val="14"/>
      <w:lang w:bidi="hi-IN"/>
    </w:rPr>
  </w:style>
  <w:style w:type="character" w:styleId="1302" w:customStyle="1">
    <w:name w:val="Recuo de corpo de texto 3 Char310"/>
    <w:uiPriority w:val="99"/>
    <w:qFormat/>
    <w:pPr>
      <w:pBdr/>
      <w:spacing/>
      <w:ind/>
    </w:pPr>
    <w:rPr>
      <w:rFonts w:eastAsia="Times New Roman" w:cs="Mangal"/>
      <w:sz w:val="14"/>
      <w:szCs w:val="14"/>
      <w:lang w:bidi="hi-IN"/>
    </w:rPr>
  </w:style>
  <w:style w:type="character" w:styleId="1303" w:customStyle="1">
    <w:name w:val="Recuo de corpo de texto 3 Char39"/>
    <w:uiPriority w:val="99"/>
    <w:qFormat/>
    <w:pPr>
      <w:pBdr/>
      <w:spacing/>
      <w:ind/>
    </w:pPr>
    <w:rPr>
      <w:rFonts w:eastAsia="Times New Roman" w:cs="Mangal"/>
      <w:sz w:val="14"/>
      <w:szCs w:val="14"/>
      <w:lang w:bidi="hi-IN"/>
    </w:rPr>
  </w:style>
  <w:style w:type="character" w:styleId="1304" w:customStyle="1">
    <w:name w:val="Recuo de corpo de texto 3 Char38"/>
    <w:uiPriority w:val="99"/>
    <w:qFormat/>
    <w:pPr>
      <w:pBdr/>
      <w:spacing/>
      <w:ind/>
    </w:pPr>
    <w:rPr>
      <w:rFonts w:eastAsia="Times New Roman" w:cs="Mangal"/>
      <w:sz w:val="14"/>
      <w:szCs w:val="14"/>
      <w:lang w:bidi="hi-IN"/>
    </w:rPr>
  </w:style>
  <w:style w:type="character" w:styleId="1305" w:customStyle="1">
    <w:name w:val="Recuo de corpo de texto 3 Char37"/>
    <w:uiPriority w:val="99"/>
    <w:qFormat/>
    <w:pPr>
      <w:pBdr/>
      <w:spacing/>
      <w:ind/>
    </w:pPr>
    <w:rPr>
      <w:rFonts w:eastAsia="Times New Roman" w:cs="Mangal"/>
      <w:sz w:val="14"/>
      <w:szCs w:val="14"/>
      <w:lang w:bidi="hi-IN"/>
    </w:rPr>
  </w:style>
  <w:style w:type="character" w:styleId="1306" w:customStyle="1">
    <w:name w:val="Recuo de corpo de texto 3 Char36"/>
    <w:uiPriority w:val="99"/>
    <w:qFormat/>
    <w:pPr>
      <w:pBdr/>
      <w:spacing/>
      <w:ind/>
    </w:pPr>
    <w:rPr>
      <w:rFonts w:eastAsia="Times New Roman" w:cs="Mangal"/>
      <w:sz w:val="14"/>
      <w:szCs w:val="14"/>
      <w:lang w:bidi="hi-IN"/>
    </w:rPr>
  </w:style>
  <w:style w:type="character" w:styleId="1307" w:customStyle="1">
    <w:name w:val="Recuo de corpo de texto 3 Char35"/>
    <w:uiPriority w:val="99"/>
    <w:qFormat/>
    <w:pPr>
      <w:pBdr/>
      <w:spacing/>
      <w:ind/>
    </w:pPr>
    <w:rPr>
      <w:rFonts w:eastAsia="Times New Roman" w:cs="Mangal"/>
      <w:sz w:val="14"/>
      <w:szCs w:val="14"/>
      <w:lang w:bidi="hi-IN"/>
    </w:rPr>
  </w:style>
  <w:style w:type="character" w:styleId="1308" w:customStyle="1">
    <w:name w:val="Recuo de corpo de texto 3 Char34"/>
    <w:uiPriority w:val="99"/>
    <w:qFormat/>
    <w:pPr>
      <w:pBdr/>
      <w:spacing/>
      <w:ind/>
    </w:pPr>
    <w:rPr>
      <w:rFonts w:eastAsia="Times New Roman" w:cs="Mangal"/>
      <w:sz w:val="14"/>
      <w:szCs w:val="14"/>
      <w:lang w:bidi="hi-IN"/>
    </w:rPr>
  </w:style>
  <w:style w:type="character" w:styleId="1309" w:customStyle="1">
    <w:name w:val="Recuo de corpo de texto 3 Char33"/>
    <w:uiPriority w:val="99"/>
    <w:qFormat/>
    <w:pPr>
      <w:pBdr/>
      <w:spacing/>
      <w:ind/>
    </w:pPr>
    <w:rPr>
      <w:rFonts w:eastAsia="Times New Roman" w:cs="Mangal"/>
      <w:sz w:val="14"/>
      <w:szCs w:val="14"/>
      <w:lang w:bidi="hi-IN"/>
    </w:rPr>
  </w:style>
  <w:style w:type="character" w:styleId="1310" w:customStyle="1">
    <w:name w:val="Recuo de corpo de texto 3 Char32"/>
    <w:uiPriority w:val="99"/>
    <w:qFormat/>
    <w:pPr>
      <w:pBdr/>
      <w:spacing/>
      <w:ind/>
    </w:pPr>
    <w:rPr>
      <w:rFonts w:eastAsia="Times New Roman" w:cs="Mangal"/>
      <w:sz w:val="14"/>
      <w:szCs w:val="14"/>
      <w:lang w:bidi="hi-IN"/>
    </w:rPr>
  </w:style>
  <w:style w:type="character" w:styleId="1311" w:customStyle="1">
    <w:name w:val="Recuo de corpo de texto 3 Char31"/>
    <w:uiPriority w:val="99"/>
    <w:qFormat/>
    <w:pPr>
      <w:pBdr/>
      <w:spacing/>
      <w:ind/>
    </w:pPr>
    <w:rPr>
      <w:rFonts w:eastAsia="Times New Roman" w:cs="Mangal"/>
      <w:sz w:val="14"/>
      <w:szCs w:val="14"/>
      <w:lang w:bidi="hi-IN"/>
    </w:rPr>
  </w:style>
  <w:style w:type="character" w:styleId="1312" w:customStyle="1">
    <w:name w:val="Texto de comentário Char2"/>
    <w:uiPriority w:val="99"/>
    <w:qFormat/>
    <w:pPr>
      <w:pBdr/>
      <w:spacing/>
      <w:ind/>
    </w:pPr>
    <w:rPr>
      <w:rFonts w:eastAsia="Times New Roman" w:cs="Mangal"/>
      <w:sz w:val="20"/>
      <w:szCs w:val="18"/>
      <w:lang w:bidi="hi-IN"/>
    </w:rPr>
  </w:style>
  <w:style w:type="character" w:styleId="1313" w:customStyle="1">
    <w:name w:val="Texto de comentário Char210"/>
    <w:uiPriority w:val="99"/>
    <w:qFormat/>
    <w:pPr>
      <w:pBdr/>
      <w:spacing/>
      <w:ind/>
    </w:pPr>
    <w:rPr>
      <w:rFonts w:eastAsia="Times New Roman" w:cs="Mangal"/>
      <w:sz w:val="18"/>
      <w:szCs w:val="18"/>
      <w:lang w:bidi="hi-IN"/>
    </w:rPr>
  </w:style>
  <w:style w:type="character" w:styleId="1314" w:customStyle="1">
    <w:name w:val="Texto de comentário Char29"/>
    <w:uiPriority w:val="99"/>
    <w:qFormat/>
    <w:pPr>
      <w:pBdr/>
      <w:spacing/>
      <w:ind/>
    </w:pPr>
    <w:rPr>
      <w:rFonts w:eastAsia="Times New Roman" w:cs="Mangal"/>
      <w:sz w:val="18"/>
      <w:szCs w:val="18"/>
      <w:lang w:bidi="hi-IN"/>
    </w:rPr>
  </w:style>
  <w:style w:type="character" w:styleId="1315" w:customStyle="1">
    <w:name w:val="Texto de comentário Char28"/>
    <w:uiPriority w:val="99"/>
    <w:qFormat/>
    <w:pPr>
      <w:pBdr/>
      <w:spacing/>
      <w:ind/>
    </w:pPr>
    <w:rPr>
      <w:rFonts w:eastAsia="Times New Roman" w:cs="Mangal"/>
      <w:sz w:val="18"/>
      <w:szCs w:val="18"/>
      <w:lang w:bidi="hi-IN"/>
    </w:rPr>
  </w:style>
  <w:style w:type="character" w:styleId="1316" w:customStyle="1">
    <w:name w:val="Texto de comentário Char27"/>
    <w:uiPriority w:val="99"/>
    <w:qFormat/>
    <w:pPr>
      <w:pBdr/>
      <w:spacing/>
      <w:ind/>
    </w:pPr>
    <w:rPr>
      <w:rFonts w:eastAsia="Times New Roman" w:cs="Mangal"/>
      <w:sz w:val="18"/>
      <w:szCs w:val="18"/>
      <w:lang w:bidi="hi-IN"/>
    </w:rPr>
  </w:style>
  <w:style w:type="character" w:styleId="1317" w:customStyle="1">
    <w:name w:val="Texto de comentário Char26"/>
    <w:uiPriority w:val="99"/>
    <w:qFormat/>
    <w:pPr>
      <w:pBdr/>
      <w:spacing/>
      <w:ind/>
    </w:pPr>
    <w:rPr>
      <w:rFonts w:eastAsia="Times New Roman" w:cs="Mangal"/>
      <w:sz w:val="18"/>
      <w:szCs w:val="18"/>
      <w:lang w:bidi="hi-IN"/>
    </w:rPr>
  </w:style>
  <w:style w:type="character" w:styleId="1318" w:customStyle="1">
    <w:name w:val="Texto de comentário Char25"/>
    <w:uiPriority w:val="99"/>
    <w:qFormat/>
    <w:pPr>
      <w:pBdr/>
      <w:spacing/>
      <w:ind/>
    </w:pPr>
    <w:rPr>
      <w:rFonts w:eastAsia="Times New Roman" w:cs="Mangal"/>
      <w:sz w:val="18"/>
      <w:szCs w:val="18"/>
      <w:lang w:bidi="hi-IN"/>
    </w:rPr>
  </w:style>
  <w:style w:type="character" w:styleId="1319" w:customStyle="1">
    <w:name w:val="Texto de comentário Char24"/>
    <w:uiPriority w:val="99"/>
    <w:qFormat/>
    <w:pPr>
      <w:pBdr/>
      <w:spacing/>
      <w:ind/>
    </w:pPr>
    <w:rPr>
      <w:rFonts w:eastAsia="Times New Roman" w:cs="Mangal"/>
      <w:sz w:val="18"/>
      <w:szCs w:val="18"/>
      <w:lang w:bidi="hi-IN"/>
    </w:rPr>
  </w:style>
  <w:style w:type="character" w:styleId="1320" w:customStyle="1">
    <w:name w:val="Texto de comentário Char23"/>
    <w:uiPriority w:val="99"/>
    <w:qFormat/>
    <w:pPr>
      <w:pBdr/>
      <w:spacing/>
      <w:ind/>
    </w:pPr>
    <w:rPr>
      <w:rFonts w:eastAsia="Times New Roman" w:cs="Mangal"/>
      <w:sz w:val="18"/>
      <w:szCs w:val="18"/>
      <w:lang w:bidi="hi-IN"/>
    </w:rPr>
  </w:style>
  <w:style w:type="character" w:styleId="1321" w:customStyle="1">
    <w:name w:val="Texto de comentário Char22"/>
    <w:uiPriority w:val="99"/>
    <w:qFormat/>
    <w:pPr>
      <w:pBdr/>
      <w:spacing/>
      <w:ind/>
    </w:pPr>
    <w:rPr>
      <w:rFonts w:eastAsia="Times New Roman" w:cs="Mangal"/>
      <w:sz w:val="18"/>
      <w:szCs w:val="18"/>
      <w:lang w:bidi="hi-IN"/>
    </w:rPr>
  </w:style>
  <w:style w:type="character" w:styleId="1322" w:customStyle="1">
    <w:name w:val="Texto de comentário Char21"/>
    <w:uiPriority w:val="99"/>
    <w:qFormat/>
    <w:pPr>
      <w:pBdr/>
      <w:spacing/>
      <w:ind/>
    </w:pPr>
    <w:rPr>
      <w:rFonts w:eastAsia="Times New Roman" w:cs="Mangal"/>
      <w:sz w:val="18"/>
      <w:szCs w:val="18"/>
      <w:lang w:bidi="hi-IN"/>
    </w:rPr>
  </w:style>
  <w:style w:type="character" w:styleId="1323" w:customStyle="1">
    <w:name w:val="Assunto do comentário Char2"/>
    <w:uiPriority w:val="99"/>
    <w:qFormat/>
    <w:pPr>
      <w:pBdr/>
      <w:spacing/>
      <w:ind/>
    </w:pPr>
    <w:rPr>
      <w:rFonts w:eastAsia="Times New Roman" w:cs="Mangal"/>
      <w:b/>
      <w:bCs/>
      <w:sz w:val="20"/>
      <w:szCs w:val="18"/>
      <w:lang w:bidi="hi-IN"/>
    </w:rPr>
  </w:style>
  <w:style w:type="character" w:styleId="1324" w:customStyle="1">
    <w:name w:val="Assunto do comentário Char210"/>
    <w:uiPriority w:val="99"/>
    <w:qFormat/>
    <w:pPr>
      <w:pBdr/>
      <w:spacing/>
      <w:ind/>
    </w:pPr>
    <w:rPr>
      <w:rFonts w:ascii="Ecofont_Spranq_eco_Sans" w:hAnsi="Ecofont_Spranq_eco_Sans" w:eastAsia="Times New Roman" w:cs="Mangal"/>
      <w:b/>
      <w:bCs/>
      <w:sz w:val="18"/>
      <w:szCs w:val="18"/>
      <w:lang w:bidi="hi-IN"/>
    </w:rPr>
  </w:style>
  <w:style w:type="character" w:styleId="1325" w:customStyle="1">
    <w:name w:val="Assunto do comentário Char29"/>
    <w:uiPriority w:val="99"/>
    <w:qFormat/>
    <w:pPr>
      <w:pBdr/>
      <w:spacing/>
      <w:ind/>
    </w:pPr>
    <w:rPr>
      <w:rFonts w:ascii="Ecofont_Spranq_eco_Sans" w:hAnsi="Ecofont_Spranq_eco_Sans" w:eastAsia="Times New Roman" w:cs="Mangal"/>
      <w:b/>
      <w:bCs/>
      <w:sz w:val="18"/>
      <w:szCs w:val="18"/>
      <w:lang w:bidi="hi-IN"/>
    </w:rPr>
  </w:style>
  <w:style w:type="character" w:styleId="1326" w:customStyle="1">
    <w:name w:val="Assunto do comentário Char28"/>
    <w:uiPriority w:val="99"/>
    <w:qFormat/>
    <w:pPr>
      <w:pBdr/>
      <w:spacing/>
      <w:ind/>
    </w:pPr>
    <w:rPr>
      <w:rFonts w:ascii="Ecofont_Spranq_eco_Sans" w:hAnsi="Ecofont_Spranq_eco_Sans" w:eastAsia="Times New Roman" w:cs="Mangal"/>
      <w:b/>
      <w:bCs/>
      <w:sz w:val="18"/>
      <w:szCs w:val="18"/>
      <w:lang w:bidi="hi-IN"/>
    </w:rPr>
  </w:style>
  <w:style w:type="character" w:styleId="1327" w:customStyle="1">
    <w:name w:val="Assunto do comentário Char27"/>
    <w:uiPriority w:val="99"/>
    <w:qFormat/>
    <w:pPr>
      <w:pBdr/>
      <w:spacing/>
      <w:ind/>
    </w:pPr>
    <w:rPr>
      <w:rFonts w:ascii="Ecofont_Spranq_eco_Sans" w:hAnsi="Ecofont_Spranq_eco_Sans" w:eastAsia="Times New Roman" w:cs="Mangal"/>
      <w:b/>
      <w:bCs/>
      <w:sz w:val="18"/>
      <w:szCs w:val="18"/>
      <w:lang w:bidi="hi-IN"/>
    </w:rPr>
  </w:style>
  <w:style w:type="character" w:styleId="1328" w:customStyle="1">
    <w:name w:val="Assunto do comentário Char26"/>
    <w:uiPriority w:val="99"/>
    <w:qFormat/>
    <w:pPr>
      <w:pBdr/>
      <w:spacing/>
      <w:ind/>
    </w:pPr>
    <w:rPr>
      <w:rFonts w:ascii="Ecofont_Spranq_eco_Sans" w:hAnsi="Ecofont_Spranq_eco_Sans" w:eastAsia="Times New Roman" w:cs="Mangal"/>
      <w:b/>
      <w:bCs/>
      <w:sz w:val="18"/>
      <w:szCs w:val="18"/>
      <w:lang w:bidi="hi-IN"/>
    </w:rPr>
  </w:style>
  <w:style w:type="character" w:styleId="1329" w:customStyle="1">
    <w:name w:val="Assunto do comentário Char25"/>
    <w:uiPriority w:val="99"/>
    <w:qFormat/>
    <w:pPr>
      <w:pBdr/>
      <w:spacing/>
      <w:ind/>
    </w:pPr>
    <w:rPr>
      <w:rFonts w:ascii="Ecofont_Spranq_eco_Sans" w:hAnsi="Ecofont_Spranq_eco_Sans" w:eastAsia="Times New Roman" w:cs="Mangal"/>
      <w:b/>
      <w:bCs/>
      <w:sz w:val="18"/>
      <w:szCs w:val="18"/>
      <w:lang w:bidi="hi-IN"/>
    </w:rPr>
  </w:style>
  <w:style w:type="character" w:styleId="1330" w:customStyle="1">
    <w:name w:val="Assunto do comentário Char24"/>
    <w:uiPriority w:val="99"/>
    <w:qFormat/>
    <w:pPr>
      <w:pBdr/>
      <w:spacing/>
      <w:ind/>
    </w:pPr>
    <w:rPr>
      <w:rFonts w:ascii="Ecofont_Spranq_eco_Sans" w:hAnsi="Ecofont_Spranq_eco_Sans" w:eastAsia="Times New Roman" w:cs="Mangal"/>
      <w:b/>
      <w:bCs/>
      <w:sz w:val="18"/>
      <w:szCs w:val="18"/>
      <w:lang w:bidi="hi-IN"/>
    </w:rPr>
  </w:style>
  <w:style w:type="character" w:styleId="1331" w:customStyle="1">
    <w:name w:val="Assunto do comentário Char23"/>
    <w:uiPriority w:val="99"/>
    <w:qFormat/>
    <w:pPr>
      <w:pBdr/>
      <w:spacing/>
      <w:ind/>
    </w:pPr>
    <w:rPr>
      <w:rFonts w:ascii="Ecofont_Spranq_eco_Sans" w:hAnsi="Ecofont_Spranq_eco_Sans" w:eastAsia="Times New Roman" w:cs="Mangal"/>
      <w:b/>
      <w:bCs/>
      <w:sz w:val="18"/>
      <w:szCs w:val="18"/>
      <w:lang w:bidi="hi-IN"/>
    </w:rPr>
  </w:style>
  <w:style w:type="character" w:styleId="1332" w:customStyle="1">
    <w:name w:val="Assunto do comentário Char22"/>
    <w:uiPriority w:val="99"/>
    <w:qFormat/>
    <w:pPr>
      <w:pBdr/>
      <w:spacing/>
      <w:ind/>
    </w:pPr>
    <w:rPr>
      <w:rFonts w:ascii="Ecofont_Spranq_eco_Sans" w:hAnsi="Ecofont_Spranq_eco_Sans" w:eastAsia="Times New Roman" w:cs="Mangal"/>
      <w:b/>
      <w:bCs/>
      <w:sz w:val="18"/>
      <w:szCs w:val="18"/>
      <w:lang w:bidi="hi-IN"/>
    </w:rPr>
  </w:style>
  <w:style w:type="character" w:styleId="1333" w:customStyle="1">
    <w:name w:val="Assunto do comentário Char21"/>
    <w:uiPriority w:val="99"/>
    <w:qFormat/>
    <w:pPr>
      <w:pBdr/>
      <w:spacing/>
      <w:ind/>
    </w:pPr>
    <w:rPr>
      <w:rFonts w:eastAsia="Times New Roman" w:cs="Mangal"/>
      <w:b/>
      <w:bCs/>
      <w:sz w:val="18"/>
      <w:szCs w:val="18"/>
      <w:lang w:bidi="hi-IN"/>
    </w:rPr>
  </w:style>
  <w:style w:type="character" w:styleId="1334" w:customStyle="1">
    <w:name w:val="Recuo de corpo de texto 2 Char3"/>
    <w:uiPriority w:val="99"/>
    <w:qFormat/>
    <w:pPr>
      <w:pBdr/>
      <w:spacing/>
      <w:ind/>
    </w:pPr>
    <w:rPr>
      <w:rFonts w:eastAsia="Times New Roman" w:cs="Mangal"/>
      <w:sz w:val="20"/>
      <w:szCs w:val="18"/>
      <w:lang w:bidi="hi-IN"/>
    </w:rPr>
  </w:style>
  <w:style w:type="character" w:styleId="1335" w:customStyle="1">
    <w:name w:val="Recuo de corpo de texto 2 Char310"/>
    <w:uiPriority w:val="99"/>
    <w:qFormat/>
    <w:pPr>
      <w:pBdr/>
      <w:spacing/>
      <w:ind/>
    </w:pPr>
    <w:rPr>
      <w:rFonts w:eastAsia="Times New Roman" w:cs="Mangal"/>
      <w:sz w:val="18"/>
      <w:szCs w:val="18"/>
      <w:lang w:bidi="hi-IN"/>
    </w:rPr>
  </w:style>
  <w:style w:type="character" w:styleId="1336" w:customStyle="1">
    <w:name w:val="Recuo de corpo de texto 2 Char39"/>
    <w:uiPriority w:val="99"/>
    <w:qFormat/>
    <w:pPr>
      <w:pBdr/>
      <w:spacing/>
      <w:ind/>
    </w:pPr>
    <w:rPr>
      <w:rFonts w:eastAsia="Times New Roman" w:cs="Mangal"/>
      <w:sz w:val="18"/>
      <w:szCs w:val="18"/>
      <w:lang w:bidi="hi-IN"/>
    </w:rPr>
  </w:style>
  <w:style w:type="character" w:styleId="1337" w:customStyle="1">
    <w:name w:val="Recuo de corpo de texto 2 Char38"/>
    <w:uiPriority w:val="99"/>
    <w:qFormat/>
    <w:pPr>
      <w:pBdr/>
      <w:spacing/>
      <w:ind/>
    </w:pPr>
    <w:rPr>
      <w:rFonts w:eastAsia="Times New Roman" w:cs="Mangal"/>
      <w:sz w:val="18"/>
      <w:szCs w:val="18"/>
      <w:lang w:bidi="hi-IN"/>
    </w:rPr>
  </w:style>
  <w:style w:type="character" w:styleId="1338" w:customStyle="1">
    <w:name w:val="Recuo de corpo de texto 2 Char37"/>
    <w:uiPriority w:val="99"/>
    <w:qFormat/>
    <w:pPr>
      <w:pBdr/>
      <w:spacing/>
      <w:ind/>
    </w:pPr>
    <w:rPr>
      <w:rFonts w:eastAsia="Times New Roman" w:cs="Mangal"/>
      <w:sz w:val="18"/>
      <w:szCs w:val="18"/>
      <w:lang w:bidi="hi-IN"/>
    </w:rPr>
  </w:style>
  <w:style w:type="character" w:styleId="1339" w:customStyle="1">
    <w:name w:val="Recuo de corpo de texto 2 Char36"/>
    <w:uiPriority w:val="99"/>
    <w:qFormat/>
    <w:pPr>
      <w:pBdr/>
      <w:spacing/>
      <w:ind/>
    </w:pPr>
    <w:rPr>
      <w:rFonts w:eastAsia="Times New Roman" w:cs="Mangal"/>
      <w:sz w:val="18"/>
      <w:szCs w:val="18"/>
      <w:lang w:bidi="hi-IN"/>
    </w:rPr>
  </w:style>
  <w:style w:type="character" w:styleId="1340" w:customStyle="1">
    <w:name w:val="Recuo de corpo de texto 2 Char35"/>
    <w:uiPriority w:val="99"/>
    <w:qFormat/>
    <w:pPr>
      <w:pBdr/>
      <w:spacing/>
      <w:ind/>
    </w:pPr>
    <w:rPr>
      <w:rFonts w:eastAsia="Times New Roman" w:cs="Mangal"/>
      <w:sz w:val="18"/>
      <w:szCs w:val="18"/>
      <w:lang w:bidi="hi-IN"/>
    </w:rPr>
  </w:style>
  <w:style w:type="character" w:styleId="1341" w:customStyle="1">
    <w:name w:val="Recuo de corpo de texto 2 Char34"/>
    <w:uiPriority w:val="99"/>
    <w:qFormat/>
    <w:pPr>
      <w:pBdr/>
      <w:spacing/>
      <w:ind/>
    </w:pPr>
    <w:rPr>
      <w:rFonts w:eastAsia="Times New Roman" w:cs="Mangal"/>
      <w:sz w:val="18"/>
      <w:szCs w:val="18"/>
      <w:lang w:bidi="hi-IN"/>
    </w:rPr>
  </w:style>
  <w:style w:type="character" w:styleId="1342" w:customStyle="1">
    <w:name w:val="Recuo de corpo de texto 2 Char33"/>
    <w:uiPriority w:val="99"/>
    <w:qFormat/>
    <w:pPr>
      <w:pBdr/>
      <w:spacing/>
      <w:ind/>
    </w:pPr>
    <w:rPr>
      <w:rFonts w:eastAsia="Times New Roman" w:cs="Mangal"/>
      <w:sz w:val="18"/>
      <w:szCs w:val="18"/>
      <w:lang w:bidi="hi-IN"/>
    </w:rPr>
  </w:style>
  <w:style w:type="character" w:styleId="1343" w:customStyle="1">
    <w:name w:val="Recuo de corpo de texto 2 Char32"/>
    <w:uiPriority w:val="99"/>
    <w:qFormat/>
    <w:pPr>
      <w:pBdr/>
      <w:spacing/>
      <w:ind/>
    </w:pPr>
    <w:rPr>
      <w:rFonts w:eastAsia="Times New Roman" w:cs="Mangal"/>
      <w:sz w:val="18"/>
      <w:szCs w:val="18"/>
      <w:lang w:bidi="hi-IN"/>
    </w:rPr>
  </w:style>
  <w:style w:type="character" w:styleId="1344" w:customStyle="1">
    <w:name w:val="Recuo de corpo de texto 2 Char31"/>
    <w:uiPriority w:val="99"/>
    <w:qFormat/>
    <w:pPr>
      <w:pBdr/>
      <w:spacing/>
      <w:ind/>
    </w:pPr>
    <w:rPr>
      <w:rFonts w:eastAsia="Times New Roman" w:cs="Mangal"/>
      <w:sz w:val="18"/>
      <w:szCs w:val="18"/>
      <w:lang w:bidi="hi-IN"/>
    </w:rPr>
  </w:style>
  <w:style w:type="character" w:styleId="1345" w:customStyle="1">
    <w:name w:val="Texto sem Formatação Char2"/>
    <w:uiPriority w:val="99"/>
    <w:qFormat/>
    <w:pPr>
      <w:pBdr/>
      <w:spacing/>
      <w:ind/>
    </w:pPr>
    <w:rPr>
      <w:rFonts w:ascii="Consolas" w:hAnsi="Consolas" w:eastAsia="Times New Roman" w:cs="Mangal"/>
      <w:sz w:val="21"/>
      <w:szCs w:val="19"/>
      <w:lang w:bidi="hi-IN"/>
    </w:rPr>
  </w:style>
  <w:style w:type="character" w:styleId="1346" w:customStyle="1">
    <w:name w:val="Texto sem Formatação Char210"/>
    <w:uiPriority w:val="99"/>
    <w:qFormat/>
    <w:pPr>
      <w:pBdr/>
      <w:spacing/>
      <w:ind/>
    </w:pPr>
    <w:rPr>
      <w:rFonts w:ascii="Courier New" w:hAnsi="Courier New" w:cs="Mangal"/>
      <w:sz w:val="18"/>
      <w:szCs w:val="18"/>
      <w:lang w:bidi="hi-IN"/>
    </w:rPr>
  </w:style>
  <w:style w:type="character" w:styleId="1347" w:customStyle="1">
    <w:name w:val="Texto sem Formatação Char29"/>
    <w:uiPriority w:val="99"/>
    <w:qFormat/>
    <w:pPr>
      <w:pBdr/>
      <w:spacing/>
      <w:ind/>
    </w:pPr>
    <w:rPr>
      <w:rFonts w:ascii="Courier New" w:hAnsi="Courier New" w:cs="Mangal"/>
      <w:sz w:val="18"/>
      <w:szCs w:val="18"/>
      <w:lang w:bidi="hi-IN"/>
    </w:rPr>
  </w:style>
  <w:style w:type="character" w:styleId="1348" w:customStyle="1">
    <w:name w:val="Texto sem Formatação Char28"/>
    <w:uiPriority w:val="99"/>
    <w:qFormat/>
    <w:pPr>
      <w:pBdr/>
      <w:spacing/>
      <w:ind/>
    </w:pPr>
    <w:rPr>
      <w:rFonts w:ascii="Courier New" w:hAnsi="Courier New" w:cs="Mangal"/>
      <w:sz w:val="18"/>
      <w:szCs w:val="18"/>
      <w:lang w:bidi="hi-IN"/>
    </w:rPr>
  </w:style>
  <w:style w:type="character" w:styleId="1349" w:customStyle="1">
    <w:name w:val="Texto sem Formatação Char27"/>
    <w:uiPriority w:val="99"/>
    <w:qFormat/>
    <w:pPr>
      <w:pBdr/>
      <w:spacing/>
      <w:ind/>
    </w:pPr>
    <w:rPr>
      <w:rFonts w:ascii="Courier New" w:hAnsi="Courier New" w:cs="Mangal"/>
      <w:sz w:val="18"/>
      <w:szCs w:val="18"/>
      <w:lang w:bidi="hi-IN"/>
    </w:rPr>
  </w:style>
  <w:style w:type="character" w:styleId="1350" w:customStyle="1">
    <w:name w:val="Texto sem Formatação Char26"/>
    <w:uiPriority w:val="99"/>
    <w:qFormat/>
    <w:pPr>
      <w:pBdr/>
      <w:spacing/>
      <w:ind/>
    </w:pPr>
    <w:rPr>
      <w:rFonts w:ascii="Courier New" w:hAnsi="Courier New" w:cs="Mangal"/>
      <w:sz w:val="18"/>
      <w:szCs w:val="18"/>
      <w:lang w:bidi="hi-IN"/>
    </w:rPr>
  </w:style>
  <w:style w:type="character" w:styleId="1351" w:customStyle="1">
    <w:name w:val="Texto sem Formatação Char25"/>
    <w:uiPriority w:val="99"/>
    <w:qFormat/>
    <w:pPr>
      <w:pBdr/>
      <w:spacing/>
      <w:ind/>
    </w:pPr>
    <w:rPr>
      <w:rFonts w:ascii="Courier New" w:hAnsi="Courier New" w:cs="Mangal"/>
      <w:sz w:val="18"/>
      <w:szCs w:val="18"/>
      <w:lang w:bidi="hi-IN"/>
    </w:rPr>
  </w:style>
  <w:style w:type="character" w:styleId="1352" w:customStyle="1">
    <w:name w:val="Texto sem Formatação Char24"/>
    <w:uiPriority w:val="99"/>
    <w:qFormat/>
    <w:pPr>
      <w:pBdr/>
      <w:spacing/>
      <w:ind/>
    </w:pPr>
    <w:rPr>
      <w:rFonts w:ascii="Courier New" w:hAnsi="Courier New" w:cs="Mangal"/>
      <w:sz w:val="18"/>
      <w:szCs w:val="18"/>
      <w:lang w:bidi="hi-IN"/>
    </w:rPr>
  </w:style>
  <w:style w:type="character" w:styleId="1353" w:customStyle="1">
    <w:name w:val="Texto sem Formatação Char23"/>
    <w:uiPriority w:val="99"/>
    <w:qFormat/>
    <w:pPr>
      <w:pBdr/>
      <w:spacing/>
      <w:ind/>
    </w:pPr>
    <w:rPr>
      <w:rFonts w:ascii="Courier New" w:hAnsi="Courier New" w:cs="Mangal"/>
      <w:sz w:val="18"/>
      <w:szCs w:val="18"/>
      <w:lang w:bidi="hi-IN"/>
    </w:rPr>
  </w:style>
  <w:style w:type="character" w:styleId="1354" w:customStyle="1">
    <w:name w:val="Texto sem Formatação Char22"/>
    <w:uiPriority w:val="99"/>
    <w:qFormat/>
    <w:pPr>
      <w:pBdr/>
      <w:spacing/>
      <w:ind/>
    </w:pPr>
    <w:rPr>
      <w:rFonts w:ascii="Courier New" w:hAnsi="Courier New" w:cs="Mangal"/>
      <w:sz w:val="18"/>
      <w:szCs w:val="18"/>
      <w:lang w:bidi="hi-IN"/>
    </w:rPr>
  </w:style>
  <w:style w:type="character" w:styleId="1355" w:customStyle="1">
    <w:name w:val="Texto sem Formatação Char21"/>
    <w:uiPriority w:val="99"/>
    <w:qFormat/>
    <w:pPr>
      <w:pBdr/>
      <w:spacing/>
      <w:ind/>
    </w:pPr>
    <w:rPr>
      <w:rFonts w:ascii="Courier New" w:hAnsi="Courier New" w:cs="Mangal"/>
      <w:sz w:val="18"/>
      <w:szCs w:val="18"/>
      <w:lang w:bidi="hi-IN"/>
    </w:rPr>
  </w:style>
  <w:style w:type="character" w:styleId="1356" w:customStyle="1">
    <w:name w:val="Corpo de texto 3 Char3"/>
    <w:uiPriority w:val="99"/>
    <w:qFormat/>
    <w:pPr>
      <w:pBdr/>
      <w:spacing/>
      <w:ind/>
    </w:pPr>
    <w:rPr>
      <w:rFonts w:eastAsia="Times New Roman" w:cs="Mangal"/>
      <w:sz w:val="16"/>
      <w:szCs w:val="14"/>
      <w:lang w:bidi="hi-IN"/>
    </w:rPr>
  </w:style>
  <w:style w:type="character" w:styleId="1357" w:customStyle="1">
    <w:name w:val="Corpo de texto 3 Char310"/>
    <w:uiPriority w:val="99"/>
    <w:qFormat/>
    <w:pPr>
      <w:pBdr/>
      <w:spacing/>
      <w:ind/>
    </w:pPr>
    <w:rPr>
      <w:rFonts w:eastAsia="Times New Roman" w:cs="Mangal"/>
      <w:sz w:val="14"/>
      <w:szCs w:val="14"/>
      <w:lang w:bidi="hi-IN"/>
    </w:rPr>
  </w:style>
  <w:style w:type="character" w:styleId="1358" w:customStyle="1">
    <w:name w:val="Corpo de texto 3 Char39"/>
    <w:uiPriority w:val="99"/>
    <w:qFormat/>
    <w:pPr>
      <w:pBdr/>
      <w:spacing/>
      <w:ind/>
    </w:pPr>
    <w:rPr>
      <w:rFonts w:eastAsia="Times New Roman" w:cs="Mangal"/>
      <w:sz w:val="14"/>
      <w:szCs w:val="14"/>
      <w:lang w:bidi="hi-IN"/>
    </w:rPr>
  </w:style>
  <w:style w:type="character" w:styleId="1359" w:customStyle="1">
    <w:name w:val="Corpo de texto 3 Char38"/>
    <w:uiPriority w:val="99"/>
    <w:qFormat/>
    <w:pPr>
      <w:pBdr/>
      <w:spacing/>
      <w:ind/>
    </w:pPr>
    <w:rPr>
      <w:rFonts w:eastAsia="Times New Roman" w:cs="Mangal"/>
      <w:sz w:val="14"/>
      <w:szCs w:val="14"/>
      <w:lang w:bidi="hi-IN"/>
    </w:rPr>
  </w:style>
  <w:style w:type="character" w:styleId="1360" w:customStyle="1">
    <w:name w:val="Corpo de texto 3 Char37"/>
    <w:uiPriority w:val="99"/>
    <w:qFormat/>
    <w:pPr>
      <w:pBdr/>
      <w:spacing/>
      <w:ind/>
    </w:pPr>
    <w:rPr>
      <w:rFonts w:eastAsia="Times New Roman" w:cs="Mangal"/>
      <w:sz w:val="14"/>
      <w:szCs w:val="14"/>
      <w:lang w:bidi="hi-IN"/>
    </w:rPr>
  </w:style>
  <w:style w:type="character" w:styleId="1361" w:customStyle="1">
    <w:name w:val="Corpo de texto 3 Char36"/>
    <w:uiPriority w:val="99"/>
    <w:qFormat/>
    <w:pPr>
      <w:pBdr/>
      <w:spacing/>
      <w:ind/>
    </w:pPr>
    <w:rPr>
      <w:rFonts w:eastAsia="Times New Roman" w:cs="Mangal"/>
      <w:sz w:val="14"/>
      <w:szCs w:val="14"/>
      <w:lang w:bidi="hi-IN"/>
    </w:rPr>
  </w:style>
  <w:style w:type="character" w:styleId="1362" w:customStyle="1">
    <w:name w:val="Corpo de texto 3 Char35"/>
    <w:uiPriority w:val="99"/>
    <w:qFormat/>
    <w:pPr>
      <w:pBdr/>
      <w:spacing/>
      <w:ind/>
    </w:pPr>
    <w:rPr>
      <w:rFonts w:eastAsia="Times New Roman" w:cs="Mangal"/>
      <w:sz w:val="14"/>
      <w:szCs w:val="14"/>
      <w:lang w:bidi="hi-IN"/>
    </w:rPr>
  </w:style>
  <w:style w:type="character" w:styleId="1363" w:customStyle="1">
    <w:name w:val="Corpo de texto 3 Char34"/>
    <w:uiPriority w:val="99"/>
    <w:qFormat/>
    <w:pPr>
      <w:pBdr/>
      <w:spacing/>
      <w:ind/>
    </w:pPr>
    <w:rPr>
      <w:rFonts w:eastAsia="Times New Roman" w:cs="Mangal"/>
      <w:sz w:val="14"/>
      <w:szCs w:val="14"/>
      <w:lang w:bidi="hi-IN"/>
    </w:rPr>
  </w:style>
  <w:style w:type="character" w:styleId="1364" w:customStyle="1">
    <w:name w:val="Corpo de texto 3 Char33"/>
    <w:uiPriority w:val="99"/>
    <w:qFormat/>
    <w:pPr>
      <w:pBdr/>
      <w:spacing/>
      <w:ind/>
    </w:pPr>
    <w:rPr>
      <w:rFonts w:eastAsia="Times New Roman" w:cs="Mangal"/>
      <w:sz w:val="14"/>
      <w:szCs w:val="14"/>
      <w:lang w:bidi="hi-IN"/>
    </w:rPr>
  </w:style>
  <w:style w:type="character" w:styleId="1365" w:customStyle="1">
    <w:name w:val="Corpo de texto 3 Char32"/>
    <w:uiPriority w:val="99"/>
    <w:qFormat/>
    <w:pPr>
      <w:pBdr/>
      <w:spacing/>
      <w:ind/>
    </w:pPr>
    <w:rPr>
      <w:rFonts w:eastAsia="Times New Roman" w:cs="Mangal"/>
      <w:sz w:val="14"/>
      <w:szCs w:val="14"/>
      <w:lang w:bidi="hi-IN"/>
    </w:rPr>
  </w:style>
  <w:style w:type="character" w:styleId="1366" w:customStyle="1">
    <w:name w:val="Corpo de texto 3 Char31"/>
    <w:uiPriority w:val="99"/>
    <w:qFormat/>
    <w:pPr>
      <w:pBdr/>
      <w:spacing/>
      <w:ind/>
    </w:pPr>
    <w:rPr>
      <w:rFonts w:eastAsia="Times New Roman" w:cs="Mangal"/>
      <w:sz w:val="14"/>
      <w:szCs w:val="14"/>
      <w:lang w:bidi="hi-IN"/>
    </w:rPr>
  </w:style>
  <w:style w:type="character" w:styleId="1367" w:customStyle="1">
    <w:name w:val="Corpo de texto 2 Char3"/>
    <w:uiPriority w:val="99"/>
    <w:qFormat/>
    <w:pPr>
      <w:pBdr/>
      <w:spacing/>
      <w:ind/>
    </w:pPr>
    <w:rPr>
      <w:rFonts w:eastAsia="Times New Roman" w:cs="Mangal"/>
      <w:sz w:val="20"/>
      <w:szCs w:val="18"/>
      <w:lang w:bidi="hi-IN"/>
    </w:rPr>
  </w:style>
  <w:style w:type="character" w:styleId="1368" w:customStyle="1">
    <w:name w:val="Corpo de texto 2 Char310"/>
    <w:uiPriority w:val="99"/>
    <w:qFormat/>
    <w:pPr>
      <w:pBdr/>
      <w:spacing/>
      <w:ind/>
    </w:pPr>
    <w:rPr>
      <w:rFonts w:eastAsia="Times New Roman" w:cs="Mangal"/>
      <w:sz w:val="18"/>
      <w:szCs w:val="18"/>
      <w:lang w:bidi="hi-IN"/>
    </w:rPr>
  </w:style>
  <w:style w:type="character" w:styleId="1369" w:customStyle="1">
    <w:name w:val="Corpo de texto 2 Char39"/>
    <w:uiPriority w:val="99"/>
    <w:qFormat/>
    <w:pPr>
      <w:pBdr/>
      <w:spacing/>
      <w:ind/>
    </w:pPr>
    <w:rPr>
      <w:rFonts w:eastAsia="Times New Roman" w:cs="Mangal"/>
      <w:sz w:val="18"/>
      <w:szCs w:val="18"/>
      <w:lang w:bidi="hi-IN"/>
    </w:rPr>
  </w:style>
  <w:style w:type="character" w:styleId="1370" w:customStyle="1">
    <w:name w:val="Corpo de texto 2 Char38"/>
    <w:uiPriority w:val="99"/>
    <w:qFormat/>
    <w:pPr>
      <w:pBdr/>
      <w:spacing/>
      <w:ind/>
    </w:pPr>
    <w:rPr>
      <w:rFonts w:eastAsia="Times New Roman" w:cs="Mangal"/>
      <w:sz w:val="18"/>
      <w:szCs w:val="18"/>
      <w:lang w:bidi="hi-IN"/>
    </w:rPr>
  </w:style>
  <w:style w:type="character" w:styleId="1371" w:customStyle="1">
    <w:name w:val="Corpo de texto 2 Char37"/>
    <w:uiPriority w:val="99"/>
    <w:qFormat/>
    <w:pPr>
      <w:pBdr/>
      <w:spacing/>
      <w:ind/>
    </w:pPr>
    <w:rPr>
      <w:rFonts w:eastAsia="Times New Roman" w:cs="Mangal"/>
      <w:sz w:val="18"/>
      <w:szCs w:val="18"/>
      <w:lang w:bidi="hi-IN"/>
    </w:rPr>
  </w:style>
  <w:style w:type="character" w:styleId="1372" w:customStyle="1">
    <w:name w:val="Corpo de texto 2 Char36"/>
    <w:uiPriority w:val="99"/>
    <w:qFormat/>
    <w:pPr>
      <w:pBdr/>
      <w:spacing/>
      <w:ind/>
    </w:pPr>
    <w:rPr>
      <w:rFonts w:eastAsia="Times New Roman" w:cs="Mangal"/>
      <w:sz w:val="18"/>
      <w:szCs w:val="18"/>
      <w:lang w:bidi="hi-IN"/>
    </w:rPr>
  </w:style>
  <w:style w:type="character" w:styleId="1373" w:customStyle="1">
    <w:name w:val="Corpo de texto 2 Char35"/>
    <w:uiPriority w:val="99"/>
    <w:qFormat/>
    <w:pPr>
      <w:pBdr/>
      <w:spacing/>
      <w:ind/>
    </w:pPr>
    <w:rPr>
      <w:rFonts w:eastAsia="Times New Roman" w:cs="Mangal"/>
      <w:sz w:val="18"/>
      <w:szCs w:val="18"/>
      <w:lang w:bidi="hi-IN"/>
    </w:rPr>
  </w:style>
  <w:style w:type="character" w:styleId="1374" w:customStyle="1">
    <w:name w:val="Corpo de texto 2 Char34"/>
    <w:uiPriority w:val="99"/>
    <w:qFormat/>
    <w:pPr>
      <w:pBdr/>
      <w:spacing/>
      <w:ind/>
    </w:pPr>
    <w:rPr>
      <w:rFonts w:eastAsia="Times New Roman" w:cs="Mangal"/>
      <w:sz w:val="18"/>
      <w:szCs w:val="18"/>
      <w:lang w:bidi="hi-IN"/>
    </w:rPr>
  </w:style>
  <w:style w:type="character" w:styleId="1375" w:customStyle="1">
    <w:name w:val="Corpo de texto 2 Char33"/>
    <w:uiPriority w:val="99"/>
    <w:qFormat/>
    <w:pPr>
      <w:pBdr/>
      <w:spacing/>
      <w:ind/>
    </w:pPr>
    <w:rPr>
      <w:rFonts w:eastAsia="Times New Roman" w:cs="Mangal"/>
      <w:sz w:val="18"/>
      <w:szCs w:val="18"/>
      <w:lang w:bidi="hi-IN"/>
    </w:rPr>
  </w:style>
  <w:style w:type="character" w:styleId="1376" w:customStyle="1">
    <w:name w:val="Corpo de texto 2 Char32"/>
    <w:uiPriority w:val="99"/>
    <w:qFormat/>
    <w:pPr>
      <w:pBdr/>
      <w:spacing/>
      <w:ind/>
    </w:pPr>
    <w:rPr>
      <w:rFonts w:eastAsia="Times New Roman" w:cs="Mangal"/>
      <w:sz w:val="18"/>
      <w:szCs w:val="18"/>
      <w:lang w:bidi="hi-IN"/>
    </w:rPr>
  </w:style>
  <w:style w:type="character" w:styleId="1377" w:customStyle="1">
    <w:name w:val="Corpo de texto 2 Char31"/>
    <w:uiPriority w:val="99"/>
    <w:qFormat/>
    <w:pPr>
      <w:pBdr/>
      <w:spacing/>
      <w:ind/>
    </w:pPr>
    <w:rPr>
      <w:rFonts w:eastAsia="Times New Roman" w:cs="Mangal"/>
      <w:sz w:val="18"/>
      <w:szCs w:val="18"/>
      <w:lang w:bidi="hi-IN"/>
    </w:rPr>
  </w:style>
  <w:style w:type="character" w:styleId="1378" w:customStyle="1">
    <w:name w:val="Cabeçalho Char2"/>
    <w:uiPriority w:val="99"/>
    <w:qFormat/>
    <w:pPr>
      <w:pBdr/>
      <w:spacing/>
      <w:ind/>
    </w:pPr>
    <w:rPr>
      <w:rFonts w:eastAsia="Times New Roman" w:cs="Mangal"/>
      <w:sz w:val="20"/>
      <w:szCs w:val="18"/>
      <w:lang w:bidi="hi-IN"/>
    </w:rPr>
  </w:style>
  <w:style w:type="character" w:styleId="1379" w:customStyle="1">
    <w:name w:val="Cabeçalho Char210"/>
    <w:uiPriority w:val="99"/>
    <w:qFormat/>
    <w:pPr>
      <w:pBdr/>
      <w:spacing/>
      <w:ind/>
    </w:pPr>
    <w:rPr>
      <w:rFonts w:eastAsia="Times New Roman" w:cs="Mangal"/>
      <w:sz w:val="18"/>
      <w:szCs w:val="18"/>
      <w:lang w:bidi="hi-IN"/>
    </w:rPr>
  </w:style>
  <w:style w:type="character" w:styleId="1380" w:customStyle="1">
    <w:name w:val="Cabeçalho Char29"/>
    <w:uiPriority w:val="99"/>
    <w:qFormat/>
    <w:pPr>
      <w:pBdr/>
      <w:spacing/>
      <w:ind/>
    </w:pPr>
    <w:rPr>
      <w:rFonts w:eastAsia="Times New Roman" w:cs="Mangal"/>
      <w:sz w:val="18"/>
      <w:szCs w:val="18"/>
      <w:lang w:bidi="hi-IN"/>
    </w:rPr>
  </w:style>
  <w:style w:type="character" w:styleId="1381" w:customStyle="1">
    <w:name w:val="Cabeçalho Char28"/>
    <w:uiPriority w:val="99"/>
    <w:qFormat/>
    <w:pPr>
      <w:pBdr/>
      <w:spacing/>
      <w:ind/>
    </w:pPr>
    <w:rPr>
      <w:rFonts w:eastAsia="Times New Roman" w:cs="Mangal"/>
      <w:sz w:val="18"/>
      <w:szCs w:val="18"/>
      <w:lang w:bidi="hi-IN"/>
    </w:rPr>
  </w:style>
  <w:style w:type="character" w:styleId="1382" w:customStyle="1">
    <w:name w:val="Cabeçalho Char27"/>
    <w:uiPriority w:val="99"/>
    <w:qFormat/>
    <w:pPr>
      <w:pBdr/>
      <w:spacing/>
      <w:ind/>
    </w:pPr>
    <w:rPr>
      <w:rFonts w:eastAsia="Times New Roman" w:cs="Mangal"/>
      <w:sz w:val="18"/>
      <w:szCs w:val="18"/>
      <w:lang w:bidi="hi-IN"/>
    </w:rPr>
  </w:style>
  <w:style w:type="character" w:styleId="1383" w:customStyle="1">
    <w:name w:val="Cabeçalho Char26"/>
    <w:uiPriority w:val="99"/>
    <w:qFormat/>
    <w:pPr>
      <w:pBdr/>
      <w:spacing/>
      <w:ind/>
    </w:pPr>
    <w:rPr>
      <w:rFonts w:eastAsia="Times New Roman" w:cs="Mangal"/>
      <w:sz w:val="18"/>
      <w:szCs w:val="18"/>
      <w:lang w:bidi="hi-IN"/>
    </w:rPr>
  </w:style>
  <w:style w:type="character" w:styleId="1384" w:customStyle="1">
    <w:name w:val="Cabeçalho Char25"/>
    <w:uiPriority w:val="99"/>
    <w:qFormat/>
    <w:pPr>
      <w:pBdr/>
      <w:spacing/>
      <w:ind/>
    </w:pPr>
    <w:rPr>
      <w:rFonts w:eastAsia="Times New Roman" w:cs="Mangal"/>
      <w:sz w:val="18"/>
      <w:szCs w:val="18"/>
      <w:lang w:bidi="hi-IN"/>
    </w:rPr>
  </w:style>
  <w:style w:type="character" w:styleId="1385" w:customStyle="1">
    <w:name w:val="Cabeçalho Char24"/>
    <w:uiPriority w:val="99"/>
    <w:qFormat/>
    <w:pPr>
      <w:pBdr/>
      <w:spacing/>
      <w:ind/>
    </w:pPr>
    <w:rPr>
      <w:rFonts w:eastAsia="Times New Roman" w:cs="Mangal"/>
      <w:sz w:val="18"/>
      <w:szCs w:val="18"/>
      <w:lang w:bidi="hi-IN"/>
    </w:rPr>
  </w:style>
  <w:style w:type="character" w:styleId="1386" w:customStyle="1">
    <w:name w:val="Cabeçalho Char23"/>
    <w:uiPriority w:val="99"/>
    <w:qFormat/>
    <w:pPr>
      <w:pBdr/>
      <w:spacing/>
      <w:ind/>
    </w:pPr>
    <w:rPr>
      <w:rFonts w:eastAsia="Times New Roman" w:cs="Mangal"/>
      <w:sz w:val="18"/>
      <w:szCs w:val="18"/>
      <w:lang w:bidi="hi-IN"/>
    </w:rPr>
  </w:style>
  <w:style w:type="character" w:styleId="1387" w:customStyle="1">
    <w:name w:val="Cabeçalho Char22"/>
    <w:uiPriority w:val="99"/>
    <w:qFormat/>
    <w:pPr>
      <w:pBdr/>
      <w:spacing/>
      <w:ind/>
    </w:pPr>
    <w:rPr>
      <w:rFonts w:eastAsia="Times New Roman" w:cs="Mangal"/>
      <w:sz w:val="18"/>
      <w:szCs w:val="18"/>
      <w:lang w:bidi="hi-IN"/>
    </w:rPr>
  </w:style>
  <w:style w:type="character" w:styleId="1388" w:customStyle="1">
    <w:name w:val="Cabeçalho Char21"/>
    <w:uiPriority w:val="99"/>
    <w:qFormat/>
    <w:pPr>
      <w:pBdr/>
      <w:spacing/>
      <w:ind/>
    </w:pPr>
    <w:rPr>
      <w:rFonts w:eastAsia="Times New Roman" w:cs="Mangal"/>
      <w:sz w:val="18"/>
      <w:szCs w:val="18"/>
      <w:lang w:bidi="hi-IN"/>
    </w:rPr>
  </w:style>
  <w:style w:type="character" w:styleId="1389" w:customStyle="1">
    <w:name w:val="Fonte parág. padrão11"/>
    <w:qFormat/>
    <w:pPr>
      <w:pBdr/>
      <w:spacing/>
      <w:ind/>
    </w:pPr>
  </w:style>
  <w:style w:type="character" w:styleId="1390" w:customStyle="1">
    <w:name w:val="Fonte parág. padrão6"/>
    <w:unhideWhenUsed/>
    <w:qFormat/>
    <w:pPr>
      <w:pBdr/>
      <w:spacing/>
      <w:ind/>
    </w:pPr>
  </w:style>
  <w:style w:type="character" w:styleId="1391" w:customStyle="1">
    <w:name w:val="uv3um"/>
    <w:qFormat/>
    <w:pPr>
      <w:pBdr/>
      <w:spacing/>
      <w:ind/>
    </w:pPr>
  </w:style>
  <w:style w:type="character" w:styleId="1392">
    <w:name w:val="annotation reference"/>
    <w:uiPriority w:val="99"/>
    <w:unhideWhenUsed/>
    <w:qFormat/>
    <w:pPr>
      <w:pBdr/>
      <w:spacing/>
      <w:ind/>
    </w:pPr>
    <w:rPr>
      <w:rFonts w:cs="Times New Roman"/>
      <w:sz w:val="16"/>
      <w:szCs w:val="16"/>
    </w:rPr>
  </w:style>
  <w:style w:type="character" w:styleId="1393" w:customStyle="1">
    <w:name w:val="Cabeçe7alho Char1"/>
    <w:uiPriority w:val="99"/>
    <w:unhideWhenUsed/>
    <w:qFormat/>
    <w:pPr>
      <w:pBdr/>
      <w:spacing/>
      <w:ind/>
    </w:pPr>
    <w:rPr>
      <w:rFonts w:eastAsia="Times New Roman"/>
    </w:rPr>
  </w:style>
  <w:style w:type="character" w:styleId="1394" w:customStyle="1">
    <w:name w:val="Texto de balão Char277"/>
    <w:uiPriority w:val="99"/>
    <w:semiHidden/>
    <w:qFormat/>
    <w:pPr>
      <w:pBdr/>
      <w:spacing/>
      <w:ind/>
    </w:pPr>
    <w:rPr>
      <w:rFonts w:ascii="Segoe UI" w:hAnsi="Segoe UI" w:cs="Mangal"/>
      <w:sz w:val="16"/>
      <w:szCs w:val="16"/>
      <w:lang w:bidi="hi-IN"/>
    </w:rPr>
  </w:style>
  <w:style w:type="character" w:styleId="1395" w:customStyle="1">
    <w:name w:val="Texto de balão Char276"/>
    <w:uiPriority w:val="99"/>
    <w:semiHidden/>
    <w:qFormat/>
    <w:pPr>
      <w:pBdr/>
      <w:spacing/>
      <w:ind/>
    </w:pPr>
    <w:rPr>
      <w:rFonts w:ascii="Segoe UI" w:hAnsi="Segoe UI" w:cs="Mangal"/>
      <w:sz w:val="16"/>
      <w:szCs w:val="16"/>
      <w:lang w:bidi="hi-IN"/>
    </w:rPr>
  </w:style>
  <w:style w:type="character" w:styleId="1396" w:customStyle="1">
    <w:name w:val="Texto de balão Char275"/>
    <w:uiPriority w:val="99"/>
    <w:semiHidden/>
    <w:qFormat/>
    <w:pPr>
      <w:pBdr/>
      <w:spacing/>
      <w:ind/>
    </w:pPr>
    <w:rPr>
      <w:rFonts w:ascii="Segoe UI" w:hAnsi="Segoe UI" w:cs="Mangal"/>
      <w:sz w:val="16"/>
      <w:szCs w:val="16"/>
      <w:lang w:bidi="hi-IN"/>
    </w:rPr>
  </w:style>
  <w:style w:type="character" w:styleId="1397" w:customStyle="1">
    <w:name w:val="Texto de balão Char274"/>
    <w:uiPriority w:val="99"/>
    <w:semiHidden/>
    <w:qFormat/>
    <w:pPr>
      <w:pBdr/>
      <w:spacing/>
      <w:ind/>
    </w:pPr>
    <w:rPr>
      <w:rFonts w:ascii="Segoe UI" w:hAnsi="Segoe UI" w:cs="Mangal"/>
      <w:sz w:val="16"/>
      <w:szCs w:val="16"/>
      <w:lang w:bidi="hi-IN"/>
    </w:rPr>
  </w:style>
  <w:style w:type="character" w:styleId="1398" w:customStyle="1">
    <w:name w:val="Texto de balão Char273"/>
    <w:uiPriority w:val="99"/>
    <w:semiHidden/>
    <w:qFormat/>
    <w:pPr>
      <w:pBdr/>
      <w:spacing/>
      <w:ind/>
    </w:pPr>
    <w:rPr>
      <w:rFonts w:ascii="Segoe UI" w:hAnsi="Segoe UI" w:cs="Mangal"/>
      <w:sz w:val="16"/>
      <w:szCs w:val="16"/>
      <w:lang w:bidi="hi-IN"/>
    </w:rPr>
  </w:style>
  <w:style w:type="character" w:styleId="1399" w:customStyle="1">
    <w:name w:val="Texto de balão Char272"/>
    <w:uiPriority w:val="99"/>
    <w:semiHidden/>
    <w:qFormat/>
    <w:pPr>
      <w:pBdr/>
      <w:spacing/>
      <w:ind/>
    </w:pPr>
    <w:rPr>
      <w:rFonts w:ascii="Segoe UI" w:hAnsi="Segoe UI" w:cs="Mangal"/>
      <w:sz w:val="16"/>
      <w:szCs w:val="16"/>
      <w:lang w:bidi="hi-IN"/>
    </w:rPr>
  </w:style>
  <w:style w:type="character" w:styleId="1400" w:customStyle="1">
    <w:name w:val="Texto de balão Char271"/>
    <w:uiPriority w:val="99"/>
    <w:semiHidden/>
    <w:qFormat/>
    <w:pPr>
      <w:pBdr/>
      <w:spacing/>
      <w:ind/>
    </w:pPr>
    <w:rPr>
      <w:rFonts w:ascii="Segoe UI" w:hAnsi="Segoe UI" w:cs="Mangal"/>
      <w:sz w:val="16"/>
      <w:szCs w:val="16"/>
      <w:lang w:bidi="hi-IN"/>
    </w:rPr>
  </w:style>
  <w:style w:type="character" w:styleId="1401" w:customStyle="1">
    <w:name w:val="Texto de balão Char270"/>
    <w:uiPriority w:val="99"/>
    <w:semiHidden/>
    <w:qFormat/>
    <w:pPr>
      <w:pBdr/>
      <w:spacing/>
      <w:ind/>
    </w:pPr>
    <w:rPr>
      <w:rFonts w:ascii="Segoe UI" w:hAnsi="Segoe UI" w:cs="Mangal"/>
      <w:sz w:val="16"/>
      <w:szCs w:val="16"/>
      <w:lang w:bidi="hi-IN"/>
    </w:rPr>
  </w:style>
  <w:style w:type="character" w:styleId="1402" w:customStyle="1">
    <w:name w:val="Texto de balão Char269"/>
    <w:uiPriority w:val="99"/>
    <w:semiHidden/>
    <w:qFormat/>
    <w:pPr>
      <w:pBdr/>
      <w:spacing/>
      <w:ind/>
    </w:pPr>
    <w:rPr>
      <w:rFonts w:ascii="Segoe UI" w:hAnsi="Segoe UI" w:cs="Mangal"/>
      <w:sz w:val="16"/>
      <w:szCs w:val="16"/>
      <w:lang w:bidi="hi-IN"/>
    </w:rPr>
  </w:style>
  <w:style w:type="character" w:styleId="1403" w:customStyle="1">
    <w:name w:val="Texto de balão Char268"/>
    <w:uiPriority w:val="99"/>
    <w:semiHidden/>
    <w:qFormat/>
    <w:pPr>
      <w:pBdr/>
      <w:spacing/>
      <w:ind/>
    </w:pPr>
    <w:rPr>
      <w:rFonts w:ascii="Segoe UI" w:hAnsi="Segoe UI" w:cs="Mangal"/>
      <w:sz w:val="16"/>
      <w:szCs w:val="16"/>
      <w:lang w:bidi="hi-IN"/>
    </w:rPr>
  </w:style>
  <w:style w:type="character" w:styleId="1404" w:customStyle="1">
    <w:name w:val="Texto de balão Char267"/>
    <w:uiPriority w:val="99"/>
    <w:semiHidden/>
    <w:qFormat/>
    <w:pPr>
      <w:pBdr/>
      <w:spacing/>
      <w:ind/>
    </w:pPr>
    <w:rPr>
      <w:rFonts w:ascii="Segoe UI" w:hAnsi="Segoe UI" w:cs="Mangal"/>
      <w:sz w:val="16"/>
      <w:szCs w:val="16"/>
      <w:lang w:bidi="hi-IN"/>
    </w:rPr>
  </w:style>
  <w:style w:type="character" w:styleId="1405" w:customStyle="1">
    <w:name w:val="Texto de balão Char266"/>
    <w:uiPriority w:val="99"/>
    <w:semiHidden/>
    <w:qFormat/>
    <w:pPr>
      <w:pBdr/>
      <w:spacing/>
      <w:ind/>
    </w:pPr>
    <w:rPr>
      <w:rFonts w:ascii="Segoe UI" w:hAnsi="Segoe UI" w:cs="Mangal"/>
      <w:sz w:val="16"/>
      <w:szCs w:val="16"/>
      <w:lang w:bidi="hi-IN"/>
    </w:rPr>
  </w:style>
  <w:style w:type="character" w:styleId="1406" w:customStyle="1">
    <w:name w:val="Texto de balão Char265"/>
    <w:uiPriority w:val="99"/>
    <w:semiHidden/>
    <w:qFormat/>
    <w:pPr>
      <w:pBdr/>
      <w:spacing/>
      <w:ind/>
    </w:pPr>
    <w:rPr>
      <w:rFonts w:ascii="Segoe UI" w:hAnsi="Segoe UI" w:cs="Mangal"/>
      <w:sz w:val="16"/>
      <w:szCs w:val="16"/>
      <w:lang w:bidi="hi-IN"/>
    </w:rPr>
  </w:style>
  <w:style w:type="character" w:styleId="1407" w:customStyle="1">
    <w:name w:val="Texto de balão Char264"/>
    <w:uiPriority w:val="99"/>
    <w:semiHidden/>
    <w:qFormat/>
    <w:pPr>
      <w:pBdr/>
      <w:spacing/>
      <w:ind/>
    </w:pPr>
    <w:rPr>
      <w:rFonts w:ascii="Segoe UI" w:hAnsi="Segoe UI" w:cs="Mangal"/>
      <w:sz w:val="16"/>
      <w:szCs w:val="16"/>
      <w:lang w:bidi="hi-IN"/>
    </w:rPr>
  </w:style>
  <w:style w:type="character" w:styleId="1408" w:customStyle="1">
    <w:name w:val="Texto de balão Char263"/>
    <w:uiPriority w:val="99"/>
    <w:semiHidden/>
    <w:qFormat/>
    <w:pPr>
      <w:pBdr/>
      <w:spacing/>
      <w:ind/>
    </w:pPr>
    <w:rPr>
      <w:rFonts w:ascii="Segoe UI" w:hAnsi="Segoe UI" w:cs="Mangal"/>
      <w:sz w:val="16"/>
      <w:szCs w:val="16"/>
      <w:lang w:bidi="hi-IN"/>
    </w:rPr>
  </w:style>
  <w:style w:type="character" w:styleId="1409" w:customStyle="1">
    <w:name w:val="Texto de balão Char262"/>
    <w:uiPriority w:val="99"/>
    <w:semiHidden/>
    <w:qFormat/>
    <w:pPr>
      <w:pBdr/>
      <w:spacing/>
      <w:ind/>
    </w:pPr>
    <w:rPr>
      <w:rFonts w:ascii="Segoe UI" w:hAnsi="Segoe UI" w:cs="Mangal"/>
      <w:sz w:val="16"/>
      <w:szCs w:val="16"/>
      <w:lang w:bidi="hi-IN"/>
    </w:rPr>
  </w:style>
  <w:style w:type="character" w:styleId="1410" w:customStyle="1">
    <w:name w:val="Texto de balão Char261"/>
    <w:uiPriority w:val="99"/>
    <w:semiHidden/>
    <w:qFormat/>
    <w:pPr>
      <w:pBdr/>
      <w:spacing/>
      <w:ind/>
    </w:pPr>
    <w:rPr>
      <w:rFonts w:ascii="Segoe UI" w:hAnsi="Segoe UI" w:cs="Mangal"/>
      <w:sz w:val="16"/>
      <w:szCs w:val="16"/>
      <w:lang w:bidi="hi-IN"/>
    </w:rPr>
  </w:style>
  <w:style w:type="character" w:styleId="1411" w:customStyle="1">
    <w:name w:val="Texto de balão Char260"/>
    <w:uiPriority w:val="99"/>
    <w:semiHidden/>
    <w:qFormat/>
    <w:pPr>
      <w:pBdr/>
      <w:spacing/>
      <w:ind/>
    </w:pPr>
    <w:rPr>
      <w:rFonts w:ascii="Segoe UI" w:hAnsi="Segoe UI" w:cs="Mangal"/>
      <w:sz w:val="16"/>
      <w:szCs w:val="16"/>
      <w:lang w:bidi="hi-IN"/>
    </w:rPr>
  </w:style>
  <w:style w:type="character" w:styleId="1412" w:customStyle="1">
    <w:name w:val="Texto de balão Char259"/>
    <w:uiPriority w:val="99"/>
    <w:semiHidden/>
    <w:qFormat/>
    <w:pPr>
      <w:pBdr/>
      <w:spacing/>
      <w:ind/>
    </w:pPr>
    <w:rPr>
      <w:rFonts w:ascii="Segoe UI" w:hAnsi="Segoe UI" w:cs="Mangal"/>
      <w:sz w:val="16"/>
      <w:szCs w:val="16"/>
      <w:lang w:bidi="hi-IN"/>
    </w:rPr>
  </w:style>
  <w:style w:type="character" w:styleId="1413" w:customStyle="1">
    <w:name w:val="Texto de balão Char258"/>
    <w:uiPriority w:val="99"/>
    <w:semiHidden/>
    <w:qFormat/>
    <w:pPr>
      <w:pBdr/>
      <w:spacing/>
      <w:ind/>
    </w:pPr>
    <w:rPr>
      <w:rFonts w:ascii="Segoe UI" w:hAnsi="Segoe UI" w:cs="Mangal"/>
      <w:sz w:val="16"/>
      <w:szCs w:val="16"/>
      <w:lang w:bidi="hi-IN"/>
    </w:rPr>
  </w:style>
  <w:style w:type="character" w:styleId="1414" w:customStyle="1">
    <w:name w:val="Texto de balão Char257"/>
    <w:uiPriority w:val="99"/>
    <w:semiHidden/>
    <w:qFormat/>
    <w:pPr>
      <w:pBdr/>
      <w:spacing/>
      <w:ind/>
    </w:pPr>
    <w:rPr>
      <w:rFonts w:ascii="Segoe UI" w:hAnsi="Segoe UI" w:cs="Mangal"/>
      <w:sz w:val="16"/>
      <w:szCs w:val="16"/>
      <w:lang w:bidi="hi-IN"/>
    </w:rPr>
  </w:style>
  <w:style w:type="character" w:styleId="1415" w:customStyle="1">
    <w:name w:val="Texto de balão Char256"/>
    <w:uiPriority w:val="99"/>
    <w:semiHidden/>
    <w:qFormat/>
    <w:pPr>
      <w:pBdr/>
      <w:spacing/>
      <w:ind/>
    </w:pPr>
    <w:rPr>
      <w:rFonts w:ascii="Segoe UI" w:hAnsi="Segoe UI" w:cs="Mangal"/>
      <w:sz w:val="16"/>
      <w:szCs w:val="16"/>
      <w:lang w:bidi="hi-IN"/>
    </w:rPr>
  </w:style>
  <w:style w:type="character" w:styleId="1416" w:customStyle="1">
    <w:name w:val="Texto de balão Char255"/>
    <w:uiPriority w:val="99"/>
    <w:semiHidden/>
    <w:qFormat/>
    <w:pPr>
      <w:pBdr/>
      <w:spacing/>
      <w:ind/>
    </w:pPr>
    <w:rPr>
      <w:rFonts w:ascii="Segoe UI" w:hAnsi="Segoe UI" w:cs="Mangal"/>
      <w:sz w:val="16"/>
      <w:szCs w:val="16"/>
      <w:lang w:bidi="hi-IN"/>
    </w:rPr>
  </w:style>
  <w:style w:type="character" w:styleId="1417" w:customStyle="1">
    <w:name w:val="Texto de balão Char254"/>
    <w:uiPriority w:val="99"/>
    <w:semiHidden/>
    <w:qFormat/>
    <w:pPr>
      <w:pBdr/>
      <w:spacing/>
      <w:ind/>
    </w:pPr>
    <w:rPr>
      <w:rFonts w:ascii="Segoe UI" w:hAnsi="Segoe UI" w:cs="Mangal"/>
      <w:sz w:val="16"/>
      <w:szCs w:val="16"/>
      <w:lang w:bidi="hi-IN"/>
    </w:rPr>
  </w:style>
  <w:style w:type="character" w:styleId="1418" w:customStyle="1">
    <w:name w:val="Texto de balão Char253"/>
    <w:uiPriority w:val="99"/>
    <w:semiHidden/>
    <w:qFormat/>
    <w:pPr>
      <w:pBdr/>
      <w:spacing/>
      <w:ind/>
    </w:pPr>
    <w:rPr>
      <w:rFonts w:ascii="Segoe UI" w:hAnsi="Segoe UI" w:cs="Mangal"/>
      <w:sz w:val="16"/>
      <w:szCs w:val="16"/>
      <w:lang w:bidi="hi-IN"/>
    </w:rPr>
  </w:style>
  <w:style w:type="character" w:styleId="1419" w:customStyle="1">
    <w:name w:val="Texto de balão Char252"/>
    <w:uiPriority w:val="99"/>
    <w:semiHidden/>
    <w:qFormat/>
    <w:pPr>
      <w:pBdr/>
      <w:spacing/>
      <w:ind/>
    </w:pPr>
    <w:rPr>
      <w:rFonts w:ascii="Segoe UI" w:hAnsi="Segoe UI" w:cs="Mangal"/>
      <w:sz w:val="16"/>
      <w:szCs w:val="16"/>
      <w:lang w:bidi="hi-IN"/>
    </w:rPr>
  </w:style>
  <w:style w:type="character" w:styleId="1420" w:customStyle="1">
    <w:name w:val="Texto de balão Char251"/>
    <w:uiPriority w:val="99"/>
    <w:semiHidden/>
    <w:qFormat/>
    <w:pPr>
      <w:pBdr/>
      <w:spacing/>
      <w:ind/>
    </w:pPr>
    <w:rPr>
      <w:rFonts w:ascii="Segoe UI" w:hAnsi="Segoe UI" w:cs="Mangal"/>
      <w:sz w:val="16"/>
      <w:szCs w:val="16"/>
      <w:lang w:bidi="hi-IN"/>
    </w:rPr>
  </w:style>
  <w:style w:type="character" w:styleId="1421" w:customStyle="1">
    <w:name w:val="Texto de balão Char250"/>
    <w:uiPriority w:val="99"/>
    <w:semiHidden/>
    <w:qFormat/>
    <w:pPr>
      <w:pBdr/>
      <w:spacing/>
      <w:ind/>
    </w:pPr>
    <w:rPr>
      <w:rFonts w:ascii="Segoe UI" w:hAnsi="Segoe UI" w:cs="Mangal"/>
      <w:sz w:val="16"/>
      <w:szCs w:val="16"/>
      <w:lang w:bidi="hi-IN"/>
    </w:rPr>
  </w:style>
  <w:style w:type="character" w:styleId="1422" w:customStyle="1">
    <w:name w:val="Texto de balão Char249"/>
    <w:uiPriority w:val="99"/>
    <w:semiHidden/>
    <w:qFormat/>
    <w:pPr>
      <w:pBdr/>
      <w:spacing/>
      <w:ind/>
    </w:pPr>
    <w:rPr>
      <w:rFonts w:ascii="Segoe UI" w:hAnsi="Segoe UI" w:cs="Mangal"/>
      <w:sz w:val="16"/>
      <w:szCs w:val="16"/>
      <w:lang w:bidi="hi-IN"/>
    </w:rPr>
  </w:style>
  <w:style w:type="character" w:styleId="1423" w:customStyle="1">
    <w:name w:val="Texto de balão Char248"/>
    <w:uiPriority w:val="99"/>
    <w:semiHidden/>
    <w:qFormat/>
    <w:pPr>
      <w:pBdr/>
      <w:spacing/>
      <w:ind/>
    </w:pPr>
    <w:rPr>
      <w:rFonts w:ascii="Segoe UI" w:hAnsi="Segoe UI" w:cs="Mangal"/>
      <w:sz w:val="16"/>
      <w:szCs w:val="16"/>
      <w:lang w:bidi="hi-IN"/>
    </w:rPr>
  </w:style>
  <w:style w:type="character" w:styleId="1424" w:customStyle="1">
    <w:name w:val="Texto de balão Char247"/>
    <w:uiPriority w:val="99"/>
    <w:semiHidden/>
    <w:qFormat/>
    <w:pPr>
      <w:pBdr/>
      <w:spacing/>
      <w:ind/>
    </w:pPr>
    <w:rPr>
      <w:rFonts w:ascii="Segoe UI" w:hAnsi="Segoe UI" w:cs="Mangal"/>
      <w:sz w:val="16"/>
      <w:szCs w:val="16"/>
      <w:lang w:bidi="hi-IN"/>
    </w:rPr>
  </w:style>
  <w:style w:type="character" w:styleId="1425" w:customStyle="1">
    <w:name w:val="Texto de balão Char246"/>
    <w:uiPriority w:val="99"/>
    <w:semiHidden/>
    <w:qFormat/>
    <w:pPr>
      <w:pBdr/>
      <w:spacing/>
      <w:ind/>
    </w:pPr>
    <w:rPr>
      <w:rFonts w:ascii="Segoe UI" w:hAnsi="Segoe UI" w:cs="Mangal"/>
      <w:sz w:val="16"/>
      <w:szCs w:val="16"/>
      <w:lang w:bidi="hi-IN"/>
    </w:rPr>
  </w:style>
  <w:style w:type="character" w:styleId="1426" w:customStyle="1">
    <w:name w:val="Texto de balão Char245"/>
    <w:uiPriority w:val="99"/>
    <w:semiHidden/>
    <w:qFormat/>
    <w:pPr>
      <w:pBdr/>
      <w:spacing/>
      <w:ind/>
    </w:pPr>
    <w:rPr>
      <w:rFonts w:ascii="Segoe UI" w:hAnsi="Segoe UI" w:cs="Mangal"/>
      <w:sz w:val="16"/>
      <w:szCs w:val="16"/>
      <w:lang w:bidi="hi-IN"/>
    </w:rPr>
  </w:style>
  <w:style w:type="character" w:styleId="1427" w:customStyle="1">
    <w:name w:val="Texto de balão Char244"/>
    <w:uiPriority w:val="99"/>
    <w:semiHidden/>
    <w:qFormat/>
    <w:pPr>
      <w:pBdr/>
      <w:spacing/>
      <w:ind/>
    </w:pPr>
    <w:rPr>
      <w:rFonts w:ascii="Segoe UI" w:hAnsi="Segoe UI" w:cs="Mangal"/>
      <w:sz w:val="16"/>
      <w:szCs w:val="16"/>
      <w:lang w:bidi="hi-IN"/>
    </w:rPr>
  </w:style>
  <w:style w:type="character" w:styleId="1428" w:customStyle="1">
    <w:name w:val="Texto de balão Char243"/>
    <w:uiPriority w:val="99"/>
    <w:semiHidden/>
    <w:qFormat/>
    <w:pPr>
      <w:pBdr/>
      <w:spacing/>
      <w:ind/>
    </w:pPr>
    <w:rPr>
      <w:rFonts w:ascii="Segoe UI" w:hAnsi="Segoe UI" w:cs="Mangal"/>
      <w:sz w:val="16"/>
      <w:szCs w:val="16"/>
      <w:lang w:bidi="hi-IN"/>
    </w:rPr>
  </w:style>
  <w:style w:type="character" w:styleId="1429" w:customStyle="1">
    <w:name w:val="Texto de balão Char242"/>
    <w:uiPriority w:val="99"/>
    <w:semiHidden/>
    <w:qFormat/>
    <w:pPr>
      <w:pBdr/>
      <w:spacing/>
      <w:ind/>
    </w:pPr>
    <w:rPr>
      <w:rFonts w:ascii="Segoe UI" w:hAnsi="Segoe UI" w:cs="Mangal"/>
      <w:sz w:val="16"/>
      <w:szCs w:val="16"/>
      <w:lang w:bidi="hi-IN"/>
    </w:rPr>
  </w:style>
  <w:style w:type="character" w:styleId="1430" w:customStyle="1">
    <w:name w:val="Texto de balão Char241"/>
    <w:uiPriority w:val="99"/>
    <w:semiHidden/>
    <w:qFormat/>
    <w:pPr>
      <w:pBdr/>
      <w:spacing/>
      <w:ind/>
    </w:pPr>
    <w:rPr>
      <w:rFonts w:ascii="Segoe UI" w:hAnsi="Segoe UI" w:cs="Mangal"/>
      <w:sz w:val="16"/>
      <w:szCs w:val="16"/>
      <w:lang w:bidi="hi-IN"/>
    </w:rPr>
  </w:style>
  <w:style w:type="character" w:styleId="1431" w:customStyle="1">
    <w:name w:val="Texto de balão Char240"/>
    <w:uiPriority w:val="99"/>
    <w:semiHidden/>
    <w:qFormat/>
    <w:pPr>
      <w:pBdr/>
      <w:spacing/>
      <w:ind/>
    </w:pPr>
    <w:rPr>
      <w:rFonts w:ascii="Segoe UI" w:hAnsi="Segoe UI" w:cs="Mangal"/>
      <w:sz w:val="16"/>
      <w:szCs w:val="16"/>
      <w:lang w:bidi="hi-IN"/>
    </w:rPr>
  </w:style>
  <w:style w:type="character" w:styleId="1432" w:customStyle="1">
    <w:name w:val="Texto de balão Char239"/>
    <w:uiPriority w:val="99"/>
    <w:semiHidden/>
    <w:qFormat/>
    <w:pPr>
      <w:pBdr/>
      <w:spacing/>
      <w:ind/>
    </w:pPr>
    <w:rPr>
      <w:rFonts w:ascii="Segoe UI" w:hAnsi="Segoe UI" w:cs="Mangal"/>
      <w:sz w:val="16"/>
      <w:szCs w:val="16"/>
      <w:lang w:bidi="hi-IN"/>
    </w:rPr>
  </w:style>
  <w:style w:type="character" w:styleId="1433" w:customStyle="1">
    <w:name w:val="Texto de balão Char238"/>
    <w:uiPriority w:val="99"/>
    <w:semiHidden/>
    <w:qFormat/>
    <w:pPr>
      <w:pBdr/>
      <w:spacing/>
      <w:ind/>
    </w:pPr>
    <w:rPr>
      <w:rFonts w:ascii="Segoe UI" w:hAnsi="Segoe UI" w:cs="Mangal"/>
      <w:sz w:val="16"/>
      <w:szCs w:val="16"/>
      <w:lang w:bidi="hi-IN"/>
    </w:rPr>
  </w:style>
  <w:style w:type="character" w:styleId="1434" w:customStyle="1">
    <w:name w:val="Texto de balão Char237"/>
    <w:uiPriority w:val="99"/>
    <w:semiHidden/>
    <w:qFormat/>
    <w:pPr>
      <w:pBdr/>
      <w:spacing/>
      <w:ind/>
    </w:pPr>
    <w:rPr>
      <w:rFonts w:ascii="Segoe UI" w:hAnsi="Segoe UI" w:cs="Mangal"/>
      <w:sz w:val="16"/>
      <w:szCs w:val="16"/>
      <w:lang w:bidi="hi-IN"/>
    </w:rPr>
  </w:style>
  <w:style w:type="character" w:styleId="1435" w:customStyle="1">
    <w:name w:val="Texto de balão Char236"/>
    <w:uiPriority w:val="99"/>
    <w:semiHidden/>
    <w:qFormat/>
    <w:pPr>
      <w:pBdr/>
      <w:spacing/>
      <w:ind/>
    </w:pPr>
    <w:rPr>
      <w:rFonts w:ascii="Segoe UI" w:hAnsi="Segoe UI" w:cs="Mangal"/>
      <w:sz w:val="16"/>
      <w:szCs w:val="16"/>
      <w:lang w:bidi="hi-IN"/>
    </w:rPr>
  </w:style>
  <w:style w:type="character" w:styleId="1436" w:customStyle="1">
    <w:name w:val="Texto de balão Char235"/>
    <w:uiPriority w:val="99"/>
    <w:semiHidden/>
    <w:qFormat/>
    <w:pPr>
      <w:pBdr/>
      <w:spacing/>
      <w:ind/>
    </w:pPr>
    <w:rPr>
      <w:rFonts w:ascii="Segoe UI" w:hAnsi="Segoe UI" w:cs="Mangal"/>
      <w:sz w:val="16"/>
      <w:szCs w:val="16"/>
      <w:lang w:bidi="hi-IN"/>
    </w:rPr>
  </w:style>
  <w:style w:type="character" w:styleId="1437" w:customStyle="1">
    <w:name w:val="Texto de balão Char234"/>
    <w:uiPriority w:val="99"/>
    <w:semiHidden/>
    <w:qFormat/>
    <w:pPr>
      <w:pBdr/>
      <w:spacing/>
      <w:ind/>
    </w:pPr>
    <w:rPr>
      <w:rFonts w:ascii="Segoe UI" w:hAnsi="Segoe UI" w:cs="Mangal"/>
      <w:sz w:val="16"/>
      <w:szCs w:val="16"/>
      <w:lang w:bidi="hi-IN"/>
    </w:rPr>
  </w:style>
  <w:style w:type="character" w:styleId="1438" w:customStyle="1">
    <w:name w:val="Texto de balão Char233"/>
    <w:uiPriority w:val="99"/>
    <w:semiHidden/>
    <w:qFormat/>
    <w:pPr>
      <w:pBdr/>
      <w:spacing/>
      <w:ind/>
    </w:pPr>
    <w:rPr>
      <w:rFonts w:ascii="Segoe UI" w:hAnsi="Segoe UI" w:cs="Mangal"/>
      <w:sz w:val="16"/>
      <w:szCs w:val="16"/>
      <w:lang w:bidi="hi-IN"/>
    </w:rPr>
  </w:style>
  <w:style w:type="character" w:styleId="1439" w:customStyle="1">
    <w:name w:val="Texto de balão Char232"/>
    <w:uiPriority w:val="99"/>
    <w:semiHidden/>
    <w:qFormat/>
    <w:pPr>
      <w:pBdr/>
      <w:spacing/>
      <w:ind/>
    </w:pPr>
    <w:rPr>
      <w:rFonts w:ascii="Segoe UI" w:hAnsi="Segoe UI" w:cs="Mangal"/>
      <w:sz w:val="16"/>
      <w:szCs w:val="16"/>
      <w:lang w:bidi="hi-IN"/>
    </w:rPr>
  </w:style>
  <w:style w:type="character" w:styleId="1440" w:customStyle="1">
    <w:name w:val="Texto de balão Char231"/>
    <w:uiPriority w:val="99"/>
    <w:semiHidden/>
    <w:qFormat/>
    <w:pPr>
      <w:pBdr/>
      <w:spacing/>
      <w:ind/>
    </w:pPr>
    <w:rPr>
      <w:rFonts w:ascii="Segoe UI" w:hAnsi="Segoe UI" w:cs="Mangal"/>
      <w:sz w:val="16"/>
      <w:szCs w:val="16"/>
      <w:lang w:bidi="hi-IN"/>
    </w:rPr>
  </w:style>
  <w:style w:type="character" w:styleId="1441" w:customStyle="1">
    <w:name w:val="Texto de balão Char230"/>
    <w:uiPriority w:val="99"/>
    <w:semiHidden/>
    <w:qFormat/>
    <w:pPr>
      <w:pBdr/>
      <w:spacing/>
      <w:ind/>
    </w:pPr>
    <w:rPr>
      <w:rFonts w:ascii="Segoe UI" w:hAnsi="Segoe UI" w:cs="Mangal"/>
      <w:sz w:val="16"/>
      <w:szCs w:val="16"/>
      <w:lang w:bidi="hi-IN"/>
    </w:rPr>
  </w:style>
  <w:style w:type="character" w:styleId="1442" w:customStyle="1">
    <w:name w:val="Texto de balão Char229"/>
    <w:uiPriority w:val="99"/>
    <w:semiHidden/>
    <w:qFormat/>
    <w:pPr>
      <w:pBdr/>
      <w:spacing/>
      <w:ind/>
    </w:pPr>
    <w:rPr>
      <w:rFonts w:ascii="Segoe UI" w:hAnsi="Segoe UI" w:cs="Mangal"/>
      <w:sz w:val="16"/>
      <w:szCs w:val="16"/>
      <w:lang w:bidi="hi-IN"/>
    </w:rPr>
  </w:style>
  <w:style w:type="character" w:styleId="1443" w:customStyle="1">
    <w:name w:val="Texto de balão Char228"/>
    <w:uiPriority w:val="99"/>
    <w:semiHidden/>
    <w:qFormat/>
    <w:pPr>
      <w:pBdr/>
      <w:spacing/>
      <w:ind/>
    </w:pPr>
    <w:rPr>
      <w:rFonts w:ascii="Segoe UI" w:hAnsi="Segoe UI" w:cs="Mangal"/>
      <w:sz w:val="16"/>
      <w:szCs w:val="16"/>
      <w:lang w:bidi="hi-IN"/>
    </w:rPr>
  </w:style>
  <w:style w:type="character" w:styleId="1444" w:customStyle="1">
    <w:name w:val="Texto de balão Char227"/>
    <w:uiPriority w:val="99"/>
    <w:semiHidden/>
    <w:qFormat/>
    <w:pPr>
      <w:pBdr/>
      <w:spacing/>
      <w:ind/>
    </w:pPr>
    <w:rPr>
      <w:rFonts w:ascii="Segoe UI" w:hAnsi="Segoe UI" w:cs="Mangal"/>
      <w:sz w:val="16"/>
      <w:szCs w:val="16"/>
      <w:lang w:bidi="hi-IN"/>
    </w:rPr>
  </w:style>
  <w:style w:type="character" w:styleId="1445" w:customStyle="1">
    <w:name w:val="Texto de balão Char226"/>
    <w:uiPriority w:val="99"/>
    <w:semiHidden/>
    <w:qFormat/>
    <w:pPr>
      <w:pBdr/>
      <w:spacing/>
      <w:ind/>
    </w:pPr>
    <w:rPr>
      <w:rFonts w:ascii="Segoe UI" w:hAnsi="Segoe UI" w:cs="Mangal"/>
      <w:sz w:val="16"/>
      <w:szCs w:val="16"/>
      <w:lang w:bidi="hi-IN"/>
    </w:rPr>
  </w:style>
  <w:style w:type="character" w:styleId="1446" w:customStyle="1">
    <w:name w:val="Texto de balão Char225"/>
    <w:uiPriority w:val="99"/>
    <w:semiHidden/>
    <w:qFormat/>
    <w:pPr>
      <w:pBdr/>
      <w:spacing/>
      <w:ind/>
    </w:pPr>
    <w:rPr>
      <w:rFonts w:ascii="Segoe UI" w:hAnsi="Segoe UI" w:cs="Mangal"/>
      <w:sz w:val="16"/>
      <w:szCs w:val="16"/>
      <w:lang w:bidi="hi-IN"/>
    </w:rPr>
  </w:style>
  <w:style w:type="character" w:styleId="1447" w:customStyle="1">
    <w:name w:val="Texto de balão Char224"/>
    <w:uiPriority w:val="99"/>
    <w:semiHidden/>
    <w:qFormat/>
    <w:pPr>
      <w:pBdr/>
      <w:spacing/>
      <w:ind/>
    </w:pPr>
    <w:rPr>
      <w:rFonts w:ascii="Segoe UI" w:hAnsi="Segoe UI" w:cs="Mangal"/>
      <w:sz w:val="16"/>
      <w:szCs w:val="16"/>
      <w:lang w:bidi="hi-IN"/>
    </w:rPr>
  </w:style>
  <w:style w:type="character" w:styleId="1448" w:customStyle="1">
    <w:name w:val="Texto de balão Char223"/>
    <w:uiPriority w:val="99"/>
    <w:semiHidden/>
    <w:qFormat/>
    <w:pPr>
      <w:pBdr/>
      <w:spacing/>
      <w:ind/>
    </w:pPr>
    <w:rPr>
      <w:rFonts w:ascii="Segoe UI" w:hAnsi="Segoe UI" w:cs="Mangal"/>
      <w:sz w:val="16"/>
      <w:szCs w:val="16"/>
      <w:lang w:bidi="hi-IN"/>
    </w:rPr>
  </w:style>
  <w:style w:type="character" w:styleId="1449" w:customStyle="1">
    <w:name w:val="Texto de balão Char222"/>
    <w:uiPriority w:val="99"/>
    <w:semiHidden/>
    <w:qFormat/>
    <w:pPr>
      <w:pBdr/>
      <w:spacing/>
      <w:ind/>
    </w:pPr>
    <w:rPr>
      <w:rFonts w:ascii="Segoe UI" w:hAnsi="Segoe UI" w:cs="Mangal"/>
      <w:sz w:val="16"/>
      <w:szCs w:val="16"/>
      <w:lang w:bidi="hi-IN"/>
    </w:rPr>
  </w:style>
  <w:style w:type="character" w:styleId="1450" w:customStyle="1">
    <w:name w:val="Texto de balão Char221"/>
    <w:uiPriority w:val="99"/>
    <w:semiHidden/>
    <w:qFormat/>
    <w:pPr>
      <w:pBdr/>
      <w:spacing/>
      <w:ind/>
    </w:pPr>
    <w:rPr>
      <w:rFonts w:ascii="Segoe UI" w:hAnsi="Segoe UI" w:cs="Mangal"/>
      <w:sz w:val="16"/>
      <w:szCs w:val="16"/>
      <w:lang w:bidi="hi-IN"/>
    </w:rPr>
  </w:style>
  <w:style w:type="character" w:styleId="1451" w:customStyle="1">
    <w:name w:val="Texto de balão Char220"/>
    <w:uiPriority w:val="99"/>
    <w:semiHidden/>
    <w:qFormat/>
    <w:pPr>
      <w:pBdr/>
      <w:spacing/>
      <w:ind/>
    </w:pPr>
    <w:rPr>
      <w:rFonts w:ascii="Segoe UI" w:hAnsi="Segoe UI" w:cs="Mangal"/>
      <w:sz w:val="16"/>
      <w:szCs w:val="16"/>
      <w:lang w:bidi="hi-IN"/>
    </w:rPr>
  </w:style>
  <w:style w:type="character" w:styleId="1452" w:customStyle="1">
    <w:name w:val="Texto de balão Char219"/>
    <w:uiPriority w:val="99"/>
    <w:semiHidden/>
    <w:qFormat/>
    <w:pPr>
      <w:pBdr/>
      <w:spacing/>
      <w:ind/>
    </w:pPr>
    <w:rPr>
      <w:rFonts w:ascii="Segoe UI" w:hAnsi="Segoe UI" w:cs="Mangal"/>
      <w:sz w:val="16"/>
      <w:szCs w:val="16"/>
      <w:lang w:bidi="hi-IN"/>
    </w:rPr>
  </w:style>
  <w:style w:type="character" w:styleId="1453" w:customStyle="1">
    <w:name w:val="Texto de balão Char218"/>
    <w:uiPriority w:val="99"/>
    <w:semiHidden/>
    <w:qFormat/>
    <w:pPr>
      <w:pBdr/>
      <w:spacing/>
      <w:ind/>
    </w:pPr>
    <w:rPr>
      <w:rFonts w:ascii="Segoe UI" w:hAnsi="Segoe UI" w:cs="Mangal"/>
      <w:sz w:val="16"/>
      <w:szCs w:val="16"/>
      <w:lang w:bidi="hi-IN"/>
    </w:rPr>
  </w:style>
  <w:style w:type="character" w:styleId="1454" w:customStyle="1">
    <w:name w:val="Texto de balão Char217"/>
    <w:uiPriority w:val="99"/>
    <w:semiHidden/>
    <w:qFormat/>
    <w:pPr>
      <w:pBdr/>
      <w:spacing/>
      <w:ind/>
    </w:pPr>
    <w:rPr>
      <w:rFonts w:ascii="Segoe UI" w:hAnsi="Segoe UI" w:cs="Mangal"/>
      <w:sz w:val="16"/>
      <w:szCs w:val="16"/>
      <w:lang w:bidi="hi-IN"/>
    </w:rPr>
  </w:style>
  <w:style w:type="character" w:styleId="1455" w:customStyle="1">
    <w:name w:val="Texto de balão Char216"/>
    <w:uiPriority w:val="99"/>
    <w:semiHidden/>
    <w:qFormat/>
    <w:pPr>
      <w:pBdr/>
      <w:spacing/>
      <w:ind/>
    </w:pPr>
    <w:rPr>
      <w:rFonts w:ascii="Segoe UI" w:hAnsi="Segoe UI" w:cs="Mangal"/>
      <w:sz w:val="16"/>
      <w:szCs w:val="16"/>
      <w:lang w:bidi="hi-IN"/>
    </w:rPr>
  </w:style>
  <w:style w:type="character" w:styleId="1456" w:customStyle="1">
    <w:name w:val="Texto de balão Char215"/>
    <w:uiPriority w:val="99"/>
    <w:semiHidden/>
    <w:qFormat/>
    <w:pPr>
      <w:pBdr/>
      <w:spacing/>
      <w:ind/>
    </w:pPr>
    <w:rPr>
      <w:rFonts w:ascii="Segoe UI" w:hAnsi="Segoe UI" w:cs="Mangal"/>
      <w:sz w:val="16"/>
      <w:szCs w:val="16"/>
      <w:lang w:bidi="hi-IN"/>
    </w:rPr>
  </w:style>
  <w:style w:type="character" w:styleId="1457" w:customStyle="1">
    <w:name w:val="Texto de balão Char214"/>
    <w:uiPriority w:val="99"/>
    <w:semiHidden/>
    <w:qFormat/>
    <w:pPr>
      <w:pBdr/>
      <w:spacing/>
      <w:ind/>
    </w:pPr>
    <w:rPr>
      <w:rFonts w:ascii="Segoe UI" w:hAnsi="Segoe UI" w:cs="Mangal"/>
      <w:sz w:val="16"/>
      <w:szCs w:val="16"/>
      <w:lang w:bidi="hi-IN"/>
    </w:rPr>
  </w:style>
  <w:style w:type="character" w:styleId="1458" w:customStyle="1">
    <w:name w:val="Texto de balão Char213"/>
    <w:uiPriority w:val="99"/>
    <w:semiHidden/>
    <w:qFormat/>
    <w:pPr>
      <w:pBdr/>
      <w:spacing/>
      <w:ind/>
    </w:pPr>
    <w:rPr>
      <w:rFonts w:ascii="Segoe UI" w:hAnsi="Segoe UI" w:cs="Mangal"/>
      <w:sz w:val="16"/>
      <w:szCs w:val="16"/>
      <w:lang w:bidi="hi-IN"/>
    </w:rPr>
  </w:style>
  <w:style w:type="character" w:styleId="1459" w:customStyle="1">
    <w:name w:val="Texto de balão Char212"/>
    <w:uiPriority w:val="99"/>
    <w:semiHidden/>
    <w:qFormat/>
    <w:pPr>
      <w:pBdr/>
      <w:spacing/>
      <w:ind/>
    </w:pPr>
    <w:rPr>
      <w:rFonts w:ascii="Segoe UI" w:hAnsi="Segoe UI" w:cs="Mangal"/>
      <w:sz w:val="16"/>
      <w:szCs w:val="16"/>
      <w:lang w:bidi="hi-IN"/>
    </w:rPr>
  </w:style>
  <w:style w:type="character" w:styleId="1460" w:customStyle="1">
    <w:name w:val="Texto de balão Char211"/>
    <w:uiPriority w:val="99"/>
    <w:semiHidden/>
    <w:qFormat/>
    <w:pPr>
      <w:pBdr/>
      <w:spacing/>
      <w:ind/>
    </w:pPr>
    <w:rPr>
      <w:rFonts w:ascii="Segoe UI" w:hAnsi="Segoe UI" w:cs="Mangal"/>
      <w:sz w:val="16"/>
      <w:szCs w:val="16"/>
      <w:lang w:bidi="hi-IN"/>
    </w:rPr>
  </w:style>
  <w:style w:type="character" w:styleId="1461" w:customStyle="1">
    <w:name w:val="Recuo de corpo de texto 3 Char377"/>
    <w:uiPriority w:val="99"/>
    <w:semiHidden/>
    <w:qFormat/>
    <w:pPr>
      <w:pBdr/>
      <w:spacing/>
      <w:ind/>
    </w:pPr>
    <w:rPr>
      <w:rFonts w:eastAsia="Times New Roman" w:cs="Mangal"/>
      <w:sz w:val="14"/>
      <w:szCs w:val="14"/>
      <w:lang w:bidi="hi-IN"/>
    </w:rPr>
  </w:style>
  <w:style w:type="character" w:styleId="1462" w:customStyle="1">
    <w:name w:val="Recuo de corpo de texto 3 Char376"/>
    <w:uiPriority w:val="99"/>
    <w:semiHidden/>
    <w:qFormat/>
    <w:pPr>
      <w:pBdr/>
      <w:spacing/>
      <w:ind/>
    </w:pPr>
    <w:rPr>
      <w:rFonts w:eastAsia="Times New Roman" w:cs="Mangal"/>
      <w:sz w:val="14"/>
      <w:szCs w:val="14"/>
      <w:lang w:bidi="hi-IN"/>
    </w:rPr>
  </w:style>
  <w:style w:type="character" w:styleId="1463" w:customStyle="1">
    <w:name w:val="Recuo de corpo de texto 3 Char375"/>
    <w:uiPriority w:val="99"/>
    <w:semiHidden/>
    <w:qFormat/>
    <w:pPr>
      <w:pBdr/>
      <w:spacing/>
      <w:ind/>
    </w:pPr>
    <w:rPr>
      <w:rFonts w:eastAsia="Times New Roman" w:cs="Mangal"/>
      <w:sz w:val="14"/>
      <w:szCs w:val="14"/>
      <w:lang w:bidi="hi-IN"/>
    </w:rPr>
  </w:style>
  <w:style w:type="character" w:styleId="1464" w:customStyle="1">
    <w:name w:val="Recuo de corpo de texto 3 Char374"/>
    <w:uiPriority w:val="99"/>
    <w:semiHidden/>
    <w:qFormat/>
    <w:pPr>
      <w:pBdr/>
      <w:spacing/>
      <w:ind/>
    </w:pPr>
    <w:rPr>
      <w:rFonts w:eastAsia="Times New Roman" w:cs="Mangal"/>
      <w:sz w:val="14"/>
      <w:szCs w:val="14"/>
      <w:lang w:bidi="hi-IN"/>
    </w:rPr>
  </w:style>
  <w:style w:type="character" w:styleId="1465" w:customStyle="1">
    <w:name w:val="Recuo de corpo de texto 3 Char373"/>
    <w:uiPriority w:val="99"/>
    <w:semiHidden/>
    <w:qFormat/>
    <w:pPr>
      <w:pBdr/>
      <w:spacing/>
      <w:ind/>
    </w:pPr>
    <w:rPr>
      <w:rFonts w:eastAsia="Times New Roman" w:cs="Mangal"/>
      <w:sz w:val="14"/>
      <w:szCs w:val="14"/>
      <w:lang w:bidi="hi-IN"/>
    </w:rPr>
  </w:style>
  <w:style w:type="character" w:styleId="1466" w:customStyle="1">
    <w:name w:val="Recuo de corpo de texto 3 Char372"/>
    <w:uiPriority w:val="99"/>
    <w:semiHidden/>
    <w:qFormat/>
    <w:pPr>
      <w:pBdr/>
      <w:spacing/>
      <w:ind/>
    </w:pPr>
    <w:rPr>
      <w:rFonts w:eastAsia="Times New Roman" w:cs="Mangal"/>
      <w:sz w:val="14"/>
      <w:szCs w:val="14"/>
      <w:lang w:bidi="hi-IN"/>
    </w:rPr>
  </w:style>
  <w:style w:type="character" w:styleId="1467" w:customStyle="1">
    <w:name w:val="Recuo de corpo de texto 3 Char371"/>
    <w:uiPriority w:val="99"/>
    <w:semiHidden/>
    <w:qFormat/>
    <w:pPr>
      <w:pBdr/>
      <w:spacing/>
      <w:ind/>
    </w:pPr>
    <w:rPr>
      <w:rFonts w:eastAsia="Times New Roman" w:cs="Mangal"/>
      <w:sz w:val="14"/>
      <w:szCs w:val="14"/>
      <w:lang w:bidi="hi-IN"/>
    </w:rPr>
  </w:style>
  <w:style w:type="character" w:styleId="1468" w:customStyle="1">
    <w:name w:val="Recuo de corpo de texto 3 Char370"/>
    <w:uiPriority w:val="99"/>
    <w:semiHidden/>
    <w:qFormat/>
    <w:pPr>
      <w:pBdr/>
      <w:spacing/>
      <w:ind/>
    </w:pPr>
    <w:rPr>
      <w:rFonts w:eastAsia="Times New Roman" w:cs="Mangal"/>
      <w:sz w:val="14"/>
      <w:szCs w:val="14"/>
      <w:lang w:bidi="hi-IN"/>
    </w:rPr>
  </w:style>
  <w:style w:type="character" w:styleId="1469" w:customStyle="1">
    <w:name w:val="Recuo de corpo de texto 3 Char369"/>
    <w:uiPriority w:val="99"/>
    <w:semiHidden/>
    <w:qFormat/>
    <w:pPr>
      <w:pBdr/>
      <w:spacing/>
      <w:ind/>
    </w:pPr>
    <w:rPr>
      <w:rFonts w:eastAsia="Times New Roman" w:cs="Mangal"/>
      <w:sz w:val="14"/>
      <w:szCs w:val="14"/>
      <w:lang w:bidi="hi-IN"/>
    </w:rPr>
  </w:style>
  <w:style w:type="character" w:styleId="1470" w:customStyle="1">
    <w:name w:val="Recuo de corpo de texto 3 Char368"/>
    <w:uiPriority w:val="99"/>
    <w:semiHidden/>
    <w:qFormat/>
    <w:pPr>
      <w:pBdr/>
      <w:spacing/>
      <w:ind/>
    </w:pPr>
    <w:rPr>
      <w:rFonts w:eastAsia="Times New Roman" w:cs="Mangal"/>
      <w:sz w:val="14"/>
      <w:szCs w:val="14"/>
      <w:lang w:bidi="hi-IN"/>
    </w:rPr>
  </w:style>
  <w:style w:type="character" w:styleId="1471" w:customStyle="1">
    <w:name w:val="Recuo de corpo de texto 3 Char367"/>
    <w:uiPriority w:val="99"/>
    <w:semiHidden/>
    <w:qFormat/>
    <w:pPr>
      <w:pBdr/>
      <w:spacing/>
      <w:ind/>
    </w:pPr>
    <w:rPr>
      <w:rFonts w:eastAsia="Times New Roman" w:cs="Mangal"/>
      <w:sz w:val="14"/>
      <w:szCs w:val="14"/>
      <w:lang w:bidi="hi-IN"/>
    </w:rPr>
  </w:style>
  <w:style w:type="character" w:styleId="1472" w:customStyle="1">
    <w:name w:val="Recuo de corpo de texto 3 Char366"/>
    <w:uiPriority w:val="99"/>
    <w:semiHidden/>
    <w:qFormat/>
    <w:pPr>
      <w:pBdr/>
      <w:spacing/>
      <w:ind/>
    </w:pPr>
    <w:rPr>
      <w:rFonts w:eastAsia="Times New Roman" w:cs="Mangal"/>
      <w:sz w:val="14"/>
      <w:szCs w:val="14"/>
      <w:lang w:bidi="hi-IN"/>
    </w:rPr>
  </w:style>
  <w:style w:type="character" w:styleId="1473" w:customStyle="1">
    <w:name w:val="Recuo de corpo de texto 3 Char365"/>
    <w:uiPriority w:val="99"/>
    <w:semiHidden/>
    <w:qFormat/>
    <w:pPr>
      <w:pBdr/>
      <w:spacing/>
      <w:ind/>
    </w:pPr>
    <w:rPr>
      <w:rFonts w:eastAsia="Times New Roman" w:cs="Mangal"/>
      <w:sz w:val="14"/>
      <w:szCs w:val="14"/>
      <w:lang w:bidi="hi-IN"/>
    </w:rPr>
  </w:style>
  <w:style w:type="character" w:styleId="1474" w:customStyle="1">
    <w:name w:val="Recuo de corpo de texto 3 Char364"/>
    <w:uiPriority w:val="99"/>
    <w:semiHidden/>
    <w:qFormat/>
    <w:pPr>
      <w:pBdr/>
      <w:spacing/>
      <w:ind/>
    </w:pPr>
    <w:rPr>
      <w:rFonts w:eastAsia="Times New Roman" w:cs="Mangal"/>
      <w:sz w:val="14"/>
      <w:szCs w:val="14"/>
      <w:lang w:bidi="hi-IN"/>
    </w:rPr>
  </w:style>
  <w:style w:type="character" w:styleId="1475" w:customStyle="1">
    <w:name w:val="Recuo de corpo de texto 3 Char363"/>
    <w:uiPriority w:val="99"/>
    <w:semiHidden/>
    <w:qFormat/>
    <w:pPr>
      <w:pBdr/>
      <w:spacing/>
      <w:ind/>
    </w:pPr>
    <w:rPr>
      <w:rFonts w:eastAsia="Times New Roman" w:cs="Mangal"/>
      <w:sz w:val="14"/>
      <w:szCs w:val="14"/>
      <w:lang w:bidi="hi-IN"/>
    </w:rPr>
  </w:style>
  <w:style w:type="character" w:styleId="1476" w:customStyle="1">
    <w:name w:val="Recuo de corpo de texto 3 Char362"/>
    <w:uiPriority w:val="99"/>
    <w:semiHidden/>
    <w:qFormat/>
    <w:pPr>
      <w:pBdr/>
      <w:spacing/>
      <w:ind/>
    </w:pPr>
    <w:rPr>
      <w:rFonts w:eastAsia="Times New Roman" w:cs="Mangal"/>
      <w:sz w:val="14"/>
      <w:szCs w:val="14"/>
      <w:lang w:bidi="hi-IN"/>
    </w:rPr>
  </w:style>
  <w:style w:type="character" w:styleId="1477" w:customStyle="1">
    <w:name w:val="Recuo de corpo de texto 3 Char361"/>
    <w:uiPriority w:val="99"/>
    <w:semiHidden/>
    <w:qFormat/>
    <w:pPr>
      <w:pBdr/>
      <w:spacing/>
      <w:ind/>
    </w:pPr>
    <w:rPr>
      <w:rFonts w:eastAsia="Times New Roman" w:cs="Mangal"/>
      <w:sz w:val="14"/>
      <w:szCs w:val="14"/>
      <w:lang w:bidi="hi-IN"/>
    </w:rPr>
  </w:style>
  <w:style w:type="character" w:styleId="1478" w:customStyle="1">
    <w:name w:val="Recuo de corpo de texto 3 Char360"/>
    <w:uiPriority w:val="99"/>
    <w:semiHidden/>
    <w:qFormat/>
    <w:pPr>
      <w:pBdr/>
      <w:spacing/>
      <w:ind/>
    </w:pPr>
    <w:rPr>
      <w:rFonts w:eastAsia="Times New Roman" w:cs="Mangal"/>
      <w:sz w:val="14"/>
      <w:szCs w:val="14"/>
      <w:lang w:bidi="hi-IN"/>
    </w:rPr>
  </w:style>
  <w:style w:type="character" w:styleId="1479" w:customStyle="1">
    <w:name w:val="Recuo de corpo de texto 3 Char359"/>
    <w:uiPriority w:val="99"/>
    <w:semiHidden/>
    <w:qFormat/>
    <w:pPr>
      <w:pBdr/>
      <w:spacing/>
      <w:ind/>
    </w:pPr>
    <w:rPr>
      <w:rFonts w:eastAsia="Times New Roman" w:cs="Mangal"/>
      <w:sz w:val="14"/>
      <w:szCs w:val="14"/>
      <w:lang w:bidi="hi-IN"/>
    </w:rPr>
  </w:style>
  <w:style w:type="character" w:styleId="1480" w:customStyle="1">
    <w:name w:val="Recuo de corpo de texto 3 Char358"/>
    <w:uiPriority w:val="99"/>
    <w:semiHidden/>
    <w:qFormat/>
    <w:pPr>
      <w:pBdr/>
      <w:spacing/>
      <w:ind/>
    </w:pPr>
    <w:rPr>
      <w:rFonts w:eastAsia="Times New Roman" w:cs="Mangal"/>
      <w:sz w:val="14"/>
      <w:szCs w:val="14"/>
      <w:lang w:bidi="hi-IN"/>
    </w:rPr>
  </w:style>
  <w:style w:type="character" w:styleId="1481" w:customStyle="1">
    <w:name w:val="Recuo de corpo de texto 3 Char357"/>
    <w:uiPriority w:val="99"/>
    <w:semiHidden/>
    <w:qFormat/>
    <w:pPr>
      <w:pBdr/>
      <w:spacing/>
      <w:ind/>
    </w:pPr>
    <w:rPr>
      <w:rFonts w:eastAsia="Times New Roman" w:cs="Mangal"/>
      <w:sz w:val="14"/>
      <w:szCs w:val="14"/>
      <w:lang w:bidi="hi-IN"/>
    </w:rPr>
  </w:style>
  <w:style w:type="character" w:styleId="1482" w:customStyle="1">
    <w:name w:val="Recuo de corpo de texto 3 Char356"/>
    <w:uiPriority w:val="99"/>
    <w:semiHidden/>
    <w:qFormat/>
    <w:pPr>
      <w:pBdr/>
      <w:spacing/>
      <w:ind/>
    </w:pPr>
    <w:rPr>
      <w:rFonts w:eastAsia="Times New Roman" w:cs="Mangal"/>
      <w:sz w:val="14"/>
      <w:szCs w:val="14"/>
      <w:lang w:bidi="hi-IN"/>
    </w:rPr>
  </w:style>
  <w:style w:type="character" w:styleId="1483" w:customStyle="1">
    <w:name w:val="Recuo de corpo de texto 3 Char355"/>
    <w:uiPriority w:val="99"/>
    <w:semiHidden/>
    <w:qFormat/>
    <w:pPr>
      <w:pBdr/>
      <w:spacing/>
      <w:ind/>
    </w:pPr>
    <w:rPr>
      <w:rFonts w:eastAsia="Times New Roman" w:cs="Mangal"/>
      <w:sz w:val="14"/>
      <w:szCs w:val="14"/>
      <w:lang w:bidi="hi-IN"/>
    </w:rPr>
  </w:style>
  <w:style w:type="character" w:styleId="1484" w:customStyle="1">
    <w:name w:val="Recuo de corpo de texto 3 Char354"/>
    <w:uiPriority w:val="99"/>
    <w:semiHidden/>
    <w:qFormat/>
    <w:pPr>
      <w:pBdr/>
      <w:spacing/>
      <w:ind/>
    </w:pPr>
    <w:rPr>
      <w:rFonts w:eastAsia="Times New Roman" w:cs="Mangal"/>
      <w:sz w:val="14"/>
      <w:szCs w:val="14"/>
      <w:lang w:bidi="hi-IN"/>
    </w:rPr>
  </w:style>
  <w:style w:type="character" w:styleId="1485" w:customStyle="1">
    <w:name w:val="Recuo de corpo de texto 3 Char353"/>
    <w:uiPriority w:val="99"/>
    <w:semiHidden/>
    <w:qFormat/>
    <w:pPr>
      <w:pBdr/>
      <w:spacing/>
      <w:ind/>
    </w:pPr>
    <w:rPr>
      <w:rFonts w:eastAsia="Times New Roman" w:cs="Mangal"/>
      <w:sz w:val="14"/>
      <w:szCs w:val="14"/>
      <w:lang w:bidi="hi-IN"/>
    </w:rPr>
  </w:style>
  <w:style w:type="character" w:styleId="1486" w:customStyle="1">
    <w:name w:val="Recuo de corpo de texto 3 Char352"/>
    <w:uiPriority w:val="99"/>
    <w:semiHidden/>
    <w:qFormat/>
    <w:pPr>
      <w:pBdr/>
      <w:spacing/>
      <w:ind/>
    </w:pPr>
    <w:rPr>
      <w:rFonts w:eastAsia="Times New Roman" w:cs="Mangal"/>
      <w:sz w:val="14"/>
      <w:szCs w:val="14"/>
      <w:lang w:bidi="hi-IN"/>
    </w:rPr>
  </w:style>
  <w:style w:type="character" w:styleId="1487" w:customStyle="1">
    <w:name w:val="Recuo de corpo de texto 3 Char351"/>
    <w:uiPriority w:val="99"/>
    <w:semiHidden/>
    <w:qFormat/>
    <w:pPr>
      <w:pBdr/>
      <w:spacing/>
      <w:ind/>
    </w:pPr>
    <w:rPr>
      <w:rFonts w:eastAsia="Times New Roman" w:cs="Mangal"/>
      <w:sz w:val="14"/>
      <w:szCs w:val="14"/>
      <w:lang w:bidi="hi-IN"/>
    </w:rPr>
  </w:style>
  <w:style w:type="character" w:styleId="1488" w:customStyle="1">
    <w:name w:val="Recuo de corpo de texto 3 Char350"/>
    <w:uiPriority w:val="99"/>
    <w:semiHidden/>
    <w:qFormat/>
    <w:pPr>
      <w:pBdr/>
      <w:spacing/>
      <w:ind/>
    </w:pPr>
    <w:rPr>
      <w:rFonts w:eastAsia="Times New Roman" w:cs="Mangal"/>
      <w:sz w:val="14"/>
      <w:szCs w:val="14"/>
      <w:lang w:bidi="hi-IN"/>
    </w:rPr>
  </w:style>
  <w:style w:type="character" w:styleId="1489" w:customStyle="1">
    <w:name w:val="Recuo de corpo de texto 3 Char349"/>
    <w:uiPriority w:val="99"/>
    <w:semiHidden/>
    <w:qFormat/>
    <w:pPr>
      <w:pBdr/>
      <w:spacing/>
      <w:ind/>
    </w:pPr>
    <w:rPr>
      <w:rFonts w:eastAsia="Times New Roman" w:cs="Mangal"/>
      <w:sz w:val="14"/>
      <w:szCs w:val="14"/>
      <w:lang w:bidi="hi-IN"/>
    </w:rPr>
  </w:style>
  <w:style w:type="character" w:styleId="1490" w:customStyle="1">
    <w:name w:val="Recuo de corpo de texto 3 Char348"/>
    <w:uiPriority w:val="99"/>
    <w:semiHidden/>
    <w:qFormat/>
    <w:pPr>
      <w:pBdr/>
      <w:spacing/>
      <w:ind/>
    </w:pPr>
    <w:rPr>
      <w:rFonts w:eastAsia="Times New Roman" w:cs="Mangal"/>
      <w:sz w:val="14"/>
      <w:szCs w:val="14"/>
      <w:lang w:bidi="hi-IN"/>
    </w:rPr>
  </w:style>
  <w:style w:type="character" w:styleId="1491" w:customStyle="1">
    <w:name w:val="Recuo de corpo de texto 3 Char347"/>
    <w:uiPriority w:val="99"/>
    <w:semiHidden/>
    <w:qFormat/>
    <w:pPr>
      <w:pBdr/>
      <w:spacing/>
      <w:ind/>
    </w:pPr>
    <w:rPr>
      <w:rFonts w:eastAsia="Times New Roman" w:cs="Mangal"/>
      <w:sz w:val="14"/>
      <w:szCs w:val="14"/>
      <w:lang w:bidi="hi-IN"/>
    </w:rPr>
  </w:style>
  <w:style w:type="character" w:styleId="1492" w:customStyle="1">
    <w:name w:val="Recuo de corpo de texto 3 Char346"/>
    <w:uiPriority w:val="99"/>
    <w:semiHidden/>
    <w:qFormat/>
    <w:pPr>
      <w:pBdr/>
      <w:spacing/>
      <w:ind/>
    </w:pPr>
    <w:rPr>
      <w:rFonts w:eastAsia="Times New Roman" w:cs="Mangal"/>
      <w:sz w:val="14"/>
      <w:szCs w:val="14"/>
      <w:lang w:bidi="hi-IN"/>
    </w:rPr>
  </w:style>
  <w:style w:type="character" w:styleId="1493" w:customStyle="1">
    <w:name w:val="Recuo de corpo de texto 3 Char345"/>
    <w:uiPriority w:val="99"/>
    <w:semiHidden/>
    <w:qFormat/>
    <w:pPr>
      <w:pBdr/>
      <w:spacing/>
      <w:ind/>
    </w:pPr>
    <w:rPr>
      <w:rFonts w:eastAsia="Times New Roman" w:cs="Mangal"/>
      <w:sz w:val="14"/>
      <w:szCs w:val="14"/>
      <w:lang w:bidi="hi-IN"/>
    </w:rPr>
  </w:style>
  <w:style w:type="character" w:styleId="1494" w:customStyle="1">
    <w:name w:val="Recuo de corpo de texto 3 Char344"/>
    <w:uiPriority w:val="99"/>
    <w:semiHidden/>
    <w:qFormat/>
    <w:pPr>
      <w:pBdr/>
      <w:spacing/>
      <w:ind/>
    </w:pPr>
    <w:rPr>
      <w:rFonts w:eastAsia="Times New Roman" w:cs="Mangal"/>
      <w:sz w:val="14"/>
      <w:szCs w:val="14"/>
      <w:lang w:bidi="hi-IN"/>
    </w:rPr>
  </w:style>
  <w:style w:type="character" w:styleId="1495" w:customStyle="1">
    <w:name w:val="Recuo de corpo de texto 3 Char343"/>
    <w:uiPriority w:val="99"/>
    <w:semiHidden/>
    <w:qFormat/>
    <w:pPr>
      <w:pBdr/>
      <w:spacing/>
      <w:ind/>
    </w:pPr>
    <w:rPr>
      <w:rFonts w:eastAsia="Times New Roman" w:cs="Mangal"/>
      <w:sz w:val="14"/>
      <w:szCs w:val="14"/>
      <w:lang w:bidi="hi-IN"/>
    </w:rPr>
  </w:style>
  <w:style w:type="character" w:styleId="1496" w:customStyle="1">
    <w:name w:val="Recuo de corpo de texto 3 Char342"/>
    <w:uiPriority w:val="99"/>
    <w:semiHidden/>
    <w:qFormat/>
    <w:pPr>
      <w:pBdr/>
      <w:spacing/>
      <w:ind/>
    </w:pPr>
    <w:rPr>
      <w:rFonts w:eastAsia="Times New Roman" w:cs="Mangal"/>
      <w:sz w:val="14"/>
      <w:szCs w:val="14"/>
      <w:lang w:bidi="hi-IN"/>
    </w:rPr>
  </w:style>
  <w:style w:type="character" w:styleId="1497" w:customStyle="1">
    <w:name w:val="Recuo de corpo de texto 3 Char341"/>
    <w:uiPriority w:val="99"/>
    <w:semiHidden/>
    <w:qFormat/>
    <w:pPr>
      <w:pBdr/>
      <w:spacing/>
      <w:ind/>
    </w:pPr>
    <w:rPr>
      <w:rFonts w:eastAsia="Times New Roman" w:cs="Mangal"/>
      <w:sz w:val="14"/>
      <w:szCs w:val="14"/>
      <w:lang w:bidi="hi-IN"/>
    </w:rPr>
  </w:style>
  <w:style w:type="character" w:styleId="1498" w:customStyle="1">
    <w:name w:val="Recuo de corpo de texto 3 Char340"/>
    <w:uiPriority w:val="99"/>
    <w:semiHidden/>
    <w:qFormat/>
    <w:pPr>
      <w:pBdr/>
      <w:spacing/>
      <w:ind/>
    </w:pPr>
    <w:rPr>
      <w:rFonts w:eastAsia="Times New Roman" w:cs="Mangal"/>
      <w:sz w:val="14"/>
      <w:szCs w:val="14"/>
      <w:lang w:bidi="hi-IN"/>
    </w:rPr>
  </w:style>
  <w:style w:type="character" w:styleId="1499" w:customStyle="1">
    <w:name w:val="Recuo de corpo de texto 3 Char339"/>
    <w:uiPriority w:val="99"/>
    <w:semiHidden/>
    <w:qFormat/>
    <w:pPr>
      <w:pBdr/>
      <w:spacing/>
      <w:ind/>
    </w:pPr>
    <w:rPr>
      <w:rFonts w:eastAsia="Times New Roman" w:cs="Mangal"/>
      <w:sz w:val="14"/>
      <w:szCs w:val="14"/>
      <w:lang w:bidi="hi-IN"/>
    </w:rPr>
  </w:style>
  <w:style w:type="character" w:styleId="1500" w:customStyle="1">
    <w:name w:val="Recuo de corpo de texto 3 Char338"/>
    <w:uiPriority w:val="99"/>
    <w:semiHidden/>
    <w:qFormat/>
    <w:pPr>
      <w:pBdr/>
      <w:spacing/>
      <w:ind/>
    </w:pPr>
    <w:rPr>
      <w:rFonts w:eastAsia="Times New Roman" w:cs="Mangal"/>
      <w:sz w:val="14"/>
      <w:szCs w:val="14"/>
      <w:lang w:bidi="hi-IN"/>
    </w:rPr>
  </w:style>
  <w:style w:type="character" w:styleId="1501" w:customStyle="1">
    <w:name w:val="Recuo de corpo de texto 3 Char337"/>
    <w:uiPriority w:val="99"/>
    <w:semiHidden/>
    <w:qFormat/>
    <w:pPr>
      <w:pBdr/>
      <w:spacing/>
      <w:ind/>
    </w:pPr>
    <w:rPr>
      <w:rFonts w:eastAsia="Times New Roman" w:cs="Mangal"/>
      <w:sz w:val="14"/>
      <w:szCs w:val="14"/>
      <w:lang w:bidi="hi-IN"/>
    </w:rPr>
  </w:style>
  <w:style w:type="character" w:styleId="1502" w:customStyle="1">
    <w:name w:val="Recuo de corpo de texto 3 Char336"/>
    <w:uiPriority w:val="99"/>
    <w:semiHidden/>
    <w:qFormat/>
    <w:pPr>
      <w:pBdr/>
      <w:spacing/>
      <w:ind/>
    </w:pPr>
    <w:rPr>
      <w:rFonts w:eastAsia="Times New Roman" w:cs="Mangal"/>
      <w:sz w:val="14"/>
      <w:szCs w:val="14"/>
      <w:lang w:bidi="hi-IN"/>
    </w:rPr>
  </w:style>
  <w:style w:type="character" w:styleId="1503" w:customStyle="1">
    <w:name w:val="Recuo de corpo de texto 3 Char335"/>
    <w:uiPriority w:val="99"/>
    <w:semiHidden/>
    <w:qFormat/>
    <w:pPr>
      <w:pBdr/>
      <w:spacing/>
      <w:ind/>
    </w:pPr>
    <w:rPr>
      <w:rFonts w:eastAsia="Times New Roman" w:cs="Mangal"/>
      <w:sz w:val="14"/>
      <w:szCs w:val="14"/>
      <w:lang w:bidi="hi-IN"/>
    </w:rPr>
  </w:style>
  <w:style w:type="character" w:styleId="1504" w:customStyle="1">
    <w:name w:val="Recuo de corpo de texto 3 Char334"/>
    <w:uiPriority w:val="99"/>
    <w:semiHidden/>
    <w:qFormat/>
    <w:pPr>
      <w:pBdr/>
      <w:spacing/>
      <w:ind/>
    </w:pPr>
    <w:rPr>
      <w:rFonts w:eastAsia="Times New Roman" w:cs="Mangal"/>
      <w:sz w:val="14"/>
      <w:szCs w:val="14"/>
      <w:lang w:bidi="hi-IN"/>
    </w:rPr>
  </w:style>
  <w:style w:type="character" w:styleId="1505" w:customStyle="1">
    <w:name w:val="Recuo de corpo de texto 3 Char333"/>
    <w:uiPriority w:val="99"/>
    <w:semiHidden/>
    <w:qFormat/>
    <w:pPr>
      <w:pBdr/>
      <w:spacing/>
      <w:ind/>
    </w:pPr>
    <w:rPr>
      <w:rFonts w:eastAsia="Times New Roman" w:cs="Mangal"/>
      <w:sz w:val="14"/>
      <w:szCs w:val="14"/>
      <w:lang w:bidi="hi-IN"/>
    </w:rPr>
  </w:style>
  <w:style w:type="character" w:styleId="1506" w:customStyle="1">
    <w:name w:val="Recuo de corpo de texto 3 Char332"/>
    <w:uiPriority w:val="99"/>
    <w:semiHidden/>
    <w:qFormat/>
    <w:pPr>
      <w:pBdr/>
      <w:spacing/>
      <w:ind/>
    </w:pPr>
    <w:rPr>
      <w:rFonts w:eastAsia="Times New Roman" w:cs="Mangal"/>
      <w:sz w:val="14"/>
      <w:szCs w:val="14"/>
      <w:lang w:bidi="hi-IN"/>
    </w:rPr>
  </w:style>
  <w:style w:type="character" w:styleId="1507" w:customStyle="1">
    <w:name w:val="Recuo de corpo de texto 3 Char331"/>
    <w:uiPriority w:val="99"/>
    <w:semiHidden/>
    <w:qFormat/>
    <w:pPr>
      <w:pBdr/>
      <w:spacing/>
      <w:ind/>
    </w:pPr>
    <w:rPr>
      <w:rFonts w:eastAsia="Times New Roman" w:cs="Mangal"/>
      <w:sz w:val="14"/>
      <w:szCs w:val="14"/>
      <w:lang w:bidi="hi-IN"/>
    </w:rPr>
  </w:style>
  <w:style w:type="character" w:styleId="1508" w:customStyle="1">
    <w:name w:val="Recuo de corpo de texto 3 Char330"/>
    <w:uiPriority w:val="99"/>
    <w:semiHidden/>
    <w:qFormat/>
    <w:pPr>
      <w:pBdr/>
      <w:spacing/>
      <w:ind/>
    </w:pPr>
    <w:rPr>
      <w:rFonts w:eastAsia="Times New Roman" w:cs="Mangal"/>
      <w:sz w:val="14"/>
      <w:szCs w:val="14"/>
      <w:lang w:bidi="hi-IN"/>
    </w:rPr>
  </w:style>
  <w:style w:type="character" w:styleId="1509" w:customStyle="1">
    <w:name w:val="Recuo de corpo de texto 3 Char329"/>
    <w:uiPriority w:val="99"/>
    <w:semiHidden/>
    <w:qFormat/>
    <w:pPr>
      <w:pBdr/>
      <w:spacing/>
      <w:ind/>
    </w:pPr>
    <w:rPr>
      <w:rFonts w:eastAsia="Times New Roman" w:cs="Mangal"/>
      <w:sz w:val="14"/>
      <w:szCs w:val="14"/>
      <w:lang w:bidi="hi-IN"/>
    </w:rPr>
  </w:style>
  <w:style w:type="character" w:styleId="1510" w:customStyle="1">
    <w:name w:val="Recuo de corpo de texto 3 Char328"/>
    <w:uiPriority w:val="99"/>
    <w:semiHidden/>
    <w:qFormat/>
    <w:pPr>
      <w:pBdr/>
      <w:spacing/>
      <w:ind/>
    </w:pPr>
    <w:rPr>
      <w:rFonts w:eastAsia="Times New Roman" w:cs="Mangal"/>
      <w:sz w:val="14"/>
      <w:szCs w:val="14"/>
      <w:lang w:bidi="hi-IN"/>
    </w:rPr>
  </w:style>
  <w:style w:type="character" w:styleId="1511" w:customStyle="1">
    <w:name w:val="Recuo de corpo de texto 3 Char327"/>
    <w:uiPriority w:val="99"/>
    <w:semiHidden/>
    <w:qFormat/>
    <w:pPr>
      <w:pBdr/>
      <w:spacing/>
      <w:ind/>
    </w:pPr>
    <w:rPr>
      <w:rFonts w:eastAsia="Times New Roman" w:cs="Mangal"/>
      <w:sz w:val="14"/>
      <w:szCs w:val="14"/>
      <w:lang w:bidi="hi-IN"/>
    </w:rPr>
  </w:style>
  <w:style w:type="character" w:styleId="1512" w:customStyle="1">
    <w:name w:val="Recuo de corpo de texto 3 Char326"/>
    <w:uiPriority w:val="99"/>
    <w:semiHidden/>
    <w:qFormat/>
    <w:pPr>
      <w:pBdr/>
      <w:spacing/>
      <w:ind/>
    </w:pPr>
    <w:rPr>
      <w:rFonts w:eastAsia="Times New Roman" w:cs="Mangal"/>
      <w:sz w:val="14"/>
      <w:szCs w:val="14"/>
      <w:lang w:bidi="hi-IN"/>
    </w:rPr>
  </w:style>
  <w:style w:type="character" w:styleId="1513" w:customStyle="1">
    <w:name w:val="Recuo de corpo de texto 3 Char325"/>
    <w:uiPriority w:val="99"/>
    <w:semiHidden/>
    <w:qFormat/>
    <w:pPr>
      <w:pBdr/>
      <w:spacing/>
      <w:ind/>
    </w:pPr>
    <w:rPr>
      <w:rFonts w:eastAsia="Times New Roman" w:cs="Mangal"/>
      <w:sz w:val="14"/>
      <w:szCs w:val="14"/>
      <w:lang w:bidi="hi-IN"/>
    </w:rPr>
  </w:style>
  <w:style w:type="character" w:styleId="1514" w:customStyle="1">
    <w:name w:val="Recuo de corpo de texto 3 Char324"/>
    <w:uiPriority w:val="99"/>
    <w:semiHidden/>
    <w:qFormat/>
    <w:pPr>
      <w:pBdr/>
      <w:spacing/>
      <w:ind/>
    </w:pPr>
    <w:rPr>
      <w:rFonts w:eastAsia="Times New Roman" w:cs="Mangal"/>
      <w:sz w:val="14"/>
      <w:szCs w:val="14"/>
      <w:lang w:bidi="hi-IN"/>
    </w:rPr>
  </w:style>
  <w:style w:type="character" w:styleId="1515" w:customStyle="1">
    <w:name w:val="Recuo de corpo de texto 3 Char323"/>
    <w:uiPriority w:val="99"/>
    <w:semiHidden/>
    <w:qFormat/>
    <w:pPr>
      <w:pBdr/>
      <w:spacing/>
      <w:ind/>
    </w:pPr>
    <w:rPr>
      <w:rFonts w:eastAsia="Times New Roman" w:cs="Mangal"/>
      <w:sz w:val="14"/>
      <w:szCs w:val="14"/>
      <w:lang w:bidi="hi-IN"/>
    </w:rPr>
  </w:style>
  <w:style w:type="character" w:styleId="1516" w:customStyle="1">
    <w:name w:val="Recuo de corpo de texto 3 Char322"/>
    <w:uiPriority w:val="99"/>
    <w:semiHidden/>
    <w:qFormat/>
    <w:pPr>
      <w:pBdr/>
      <w:spacing/>
      <w:ind/>
    </w:pPr>
    <w:rPr>
      <w:rFonts w:eastAsia="Times New Roman" w:cs="Mangal"/>
      <w:sz w:val="14"/>
      <w:szCs w:val="14"/>
      <w:lang w:bidi="hi-IN"/>
    </w:rPr>
  </w:style>
  <w:style w:type="character" w:styleId="1517" w:customStyle="1">
    <w:name w:val="Recuo de corpo de texto 3 Char321"/>
    <w:uiPriority w:val="99"/>
    <w:semiHidden/>
    <w:qFormat/>
    <w:pPr>
      <w:pBdr/>
      <w:spacing/>
      <w:ind/>
    </w:pPr>
    <w:rPr>
      <w:rFonts w:eastAsia="Times New Roman" w:cs="Mangal"/>
      <w:sz w:val="14"/>
      <w:szCs w:val="14"/>
      <w:lang w:bidi="hi-IN"/>
    </w:rPr>
  </w:style>
  <w:style w:type="character" w:styleId="1518" w:customStyle="1">
    <w:name w:val="Recuo de corpo de texto 3 Char320"/>
    <w:uiPriority w:val="99"/>
    <w:semiHidden/>
    <w:qFormat/>
    <w:pPr>
      <w:pBdr/>
      <w:spacing/>
      <w:ind/>
    </w:pPr>
    <w:rPr>
      <w:rFonts w:eastAsia="Times New Roman" w:cs="Mangal"/>
      <w:sz w:val="14"/>
      <w:szCs w:val="14"/>
      <w:lang w:bidi="hi-IN"/>
    </w:rPr>
  </w:style>
  <w:style w:type="character" w:styleId="1519" w:customStyle="1">
    <w:name w:val="Recuo de corpo de texto 3 Char319"/>
    <w:uiPriority w:val="99"/>
    <w:semiHidden/>
    <w:qFormat/>
    <w:pPr>
      <w:pBdr/>
      <w:spacing/>
      <w:ind/>
    </w:pPr>
    <w:rPr>
      <w:rFonts w:eastAsia="Times New Roman" w:cs="Mangal"/>
      <w:sz w:val="14"/>
      <w:szCs w:val="14"/>
      <w:lang w:bidi="hi-IN"/>
    </w:rPr>
  </w:style>
  <w:style w:type="character" w:styleId="1520" w:customStyle="1">
    <w:name w:val="Recuo de corpo de texto 3 Char318"/>
    <w:uiPriority w:val="99"/>
    <w:semiHidden/>
    <w:qFormat/>
    <w:pPr>
      <w:pBdr/>
      <w:spacing/>
      <w:ind/>
    </w:pPr>
    <w:rPr>
      <w:rFonts w:eastAsia="Times New Roman" w:cs="Mangal"/>
      <w:sz w:val="14"/>
      <w:szCs w:val="14"/>
      <w:lang w:bidi="hi-IN"/>
    </w:rPr>
  </w:style>
  <w:style w:type="character" w:styleId="1521" w:customStyle="1">
    <w:name w:val="Recuo de corpo de texto 3 Char317"/>
    <w:uiPriority w:val="99"/>
    <w:semiHidden/>
    <w:qFormat/>
    <w:pPr>
      <w:pBdr/>
      <w:spacing/>
      <w:ind/>
    </w:pPr>
    <w:rPr>
      <w:rFonts w:eastAsia="Times New Roman" w:cs="Mangal"/>
      <w:sz w:val="14"/>
      <w:szCs w:val="14"/>
      <w:lang w:bidi="hi-IN"/>
    </w:rPr>
  </w:style>
  <w:style w:type="character" w:styleId="1522" w:customStyle="1">
    <w:name w:val="Recuo de corpo de texto 3 Char316"/>
    <w:uiPriority w:val="99"/>
    <w:semiHidden/>
    <w:qFormat/>
    <w:pPr>
      <w:pBdr/>
      <w:spacing/>
      <w:ind/>
    </w:pPr>
    <w:rPr>
      <w:rFonts w:eastAsia="Times New Roman" w:cs="Mangal"/>
      <w:sz w:val="14"/>
      <w:szCs w:val="14"/>
      <w:lang w:bidi="hi-IN"/>
    </w:rPr>
  </w:style>
  <w:style w:type="character" w:styleId="1523" w:customStyle="1">
    <w:name w:val="Recuo de corpo de texto 3 Char315"/>
    <w:uiPriority w:val="99"/>
    <w:semiHidden/>
    <w:qFormat/>
    <w:pPr>
      <w:pBdr/>
      <w:spacing/>
      <w:ind/>
    </w:pPr>
    <w:rPr>
      <w:rFonts w:eastAsia="Times New Roman" w:cs="Mangal"/>
      <w:sz w:val="14"/>
      <w:szCs w:val="14"/>
      <w:lang w:bidi="hi-IN"/>
    </w:rPr>
  </w:style>
  <w:style w:type="character" w:styleId="1524" w:customStyle="1">
    <w:name w:val="Recuo de corpo de texto 3 Char314"/>
    <w:uiPriority w:val="99"/>
    <w:semiHidden/>
    <w:qFormat/>
    <w:pPr>
      <w:pBdr/>
      <w:spacing/>
      <w:ind/>
    </w:pPr>
    <w:rPr>
      <w:rFonts w:eastAsia="Times New Roman" w:cs="Mangal"/>
      <w:sz w:val="14"/>
      <w:szCs w:val="14"/>
      <w:lang w:bidi="hi-IN"/>
    </w:rPr>
  </w:style>
  <w:style w:type="character" w:styleId="1525" w:customStyle="1">
    <w:name w:val="Recuo de corpo de texto 3 Char313"/>
    <w:uiPriority w:val="99"/>
    <w:semiHidden/>
    <w:qFormat/>
    <w:pPr>
      <w:pBdr/>
      <w:spacing/>
      <w:ind/>
    </w:pPr>
    <w:rPr>
      <w:rFonts w:eastAsia="Times New Roman" w:cs="Mangal"/>
      <w:sz w:val="14"/>
      <w:szCs w:val="14"/>
      <w:lang w:bidi="hi-IN"/>
    </w:rPr>
  </w:style>
  <w:style w:type="character" w:styleId="1526" w:customStyle="1">
    <w:name w:val="Recuo de corpo de texto 3 Char312"/>
    <w:uiPriority w:val="99"/>
    <w:semiHidden/>
    <w:qFormat/>
    <w:pPr>
      <w:pBdr/>
      <w:spacing/>
      <w:ind/>
    </w:pPr>
    <w:rPr>
      <w:rFonts w:eastAsia="Times New Roman" w:cs="Mangal"/>
      <w:sz w:val="14"/>
      <w:szCs w:val="14"/>
      <w:lang w:bidi="hi-IN"/>
    </w:rPr>
  </w:style>
  <w:style w:type="character" w:styleId="1527" w:customStyle="1">
    <w:name w:val="Recuo de corpo de texto 3 Char311"/>
    <w:uiPriority w:val="99"/>
    <w:semiHidden/>
    <w:qFormat/>
    <w:pPr>
      <w:pBdr/>
      <w:spacing/>
      <w:ind/>
    </w:pPr>
    <w:rPr>
      <w:rFonts w:eastAsia="Times New Roman" w:cs="Mangal"/>
      <w:sz w:val="14"/>
      <w:szCs w:val="14"/>
      <w:lang w:bidi="hi-IN"/>
    </w:rPr>
  </w:style>
  <w:style w:type="character" w:styleId="1528" w:customStyle="1">
    <w:name w:val="Texto de comentário Char3"/>
    <w:uiPriority w:val="99"/>
    <w:semiHidden/>
    <w:qFormat/>
    <w:pPr>
      <w:pBdr/>
      <w:spacing/>
      <w:ind/>
    </w:pPr>
    <w:rPr>
      <w:lang w:eastAsia="zh-CN"/>
    </w:rPr>
  </w:style>
  <w:style w:type="character" w:styleId="1529" w:customStyle="1">
    <w:name w:val="Texto de comentário Char277"/>
    <w:uiPriority w:val="99"/>
    <w:semiHidden/>
    <w:qFormat/>
    <w:pPr>
      <w:pBdr/>
      <w:spacing/>
      <w:ind/>
    </w:pPr>
    <w:rPr>
      <w:rFonts w:eastAsia="Times New Roman" w:cs="Mangal"/>
      <w:sz w:val="18"/>
      <w:szCs w:val="18"/>
      <w:lang w:bidi="hi-IN"/>
    </w:rPr>
  </w:style>
  <w:style w:type="character" w:styleId="1530" w:customStyle="1">
    <w:name w:val="Texto de comentário Char276"/>
    <w:uiPriority w:val="99"/>
    <w:semiHidden/>
    <w:qFormat/>
    <w:pPr>
      <w:pBdr/>
      <w:spacing/>
      <w:ind/>
    </w:pPr>
    <w:rPr>
      <w:rFonts w:eastAsia="Times New Roman" w:cs="Mangal"/>
      <w:sz w:val="18"/>
      <w:szCs w:val="18"/>
      <w:lang w:bidi="hi-IN"/>
    </w:rPr>
  </w:style>
  <w:style w:type="character" w:styleId="1531" w:customStyle="1">
    <w:name w:val="Texto de comentário Char275"/>
    <w:uiPriority w:val="99"/>
    <w:semiHidden/>
    <w:qFormat/>
    <w:pPr>
      <w:pBdr/>
      <w:spacing/>
      <w:ind/>
    </w:pPr>
    <w:rPr>
      <w:rFonts w:eastAsia="Times New Roman" w:cs="Mangal"/>
      <w:sz w:val="18"/>
      <w:szCs w:val="18"/>
      <w:lang w:bidi="hi-IN"/>
    </w:rPr>
  </w:style>
  <w:style w:type="character" w:styleId="1532" w:customStyle="1">
    <w:name w:val="Texto de comentário Char274"/>
    <w:uiPriority w:val="99"/>
    <w:semiHidden/>
    <w:qFormat/>
    <w:pPr>
      <w:pBdr/>
      <w:spacing/>
      <w:ind/>
    </w:pPr>
    <w:rPr>
      <w:rFonts w:eastAsia="Times New Roman" w:cs="Mangal"/>
      <w:sz w:val="18"/>
      <w:szCs w:val="18"/>
      <w:lang w:bidi="hi-IN"/>
    </w:rPr>
  </w:style>
  <w:style w:type="character" w:styleId="1533" w:customStyle="1">
    <w:name w:val="Texto de comentário Char273"/>
    <w:uiPriority w:val="99"/>
    <w:semiHidden/>
    <w:qFormat/>
    <w:pPr>
      <w:pBdr/>
      <w:spacing/>
      <w:ind/>
    </w:pPr>
    <w:rPr>
      <w:rFonts w:eastAsia="Times New Roman" w:cs="Mangal"/>
      <w:sz w:val="18"/>
      <w:szCs w:val="18"/>
      <w:lang w:bidi="hi-IN"/>
    </w:rPr>
  </w:style>
  <w:style w:type="character" w:styleId="1534" w:customStyle="1">
    <w:name w:val="Texto de comentário Char272"/>
    <w:uiPriority w:val="99"/>
    <w:semiHidden/>
    <w:qFormat/>
    <w:pPr>
      <w:pBdr/>
      <w:spacing/>
      <w:ind/>
    </w:pPr>
    <w:rPr>
      <w:rFonts w:eastAsia="Times New Roman" w:cs="Mangal"/>
      <w:sz w:val="18"/>
      <w:szCs w:val="18"/>
      <w:lang w:bidi="hi-IN"/>
    </w:rPr>
  </w:style>
  <w:style w:type="character" w:styleId="1535" w:customStyle="1">
    <w:name w:val="Texto de comentário Char271"/>
    <w:uiPriority w:val="99"/>
    <w:semiHidden/>
    <w:qFormat/>
    <w:pPr>
      <w:pBdr/>
      <w:spacing/>
      <w:ind/>
    </w:pPr>
    <w:rPr>
      <w:rFonts w:eastAsia="Times New Roman" w:cs="Mangal"/>
      <w:sz w:val="18"/>
      <w:szCs w:val="18"/>
      <w:lang w:bidi="hi-IN"/>
    </w:rPr>
  </w:style>
  <w:style w:type="character" w:styleId="1536" w:customStyle="1">
    <w:name w:val="Texto de comentário Char270"/>
    <w:uiPriority w:val="99"/>
    <w:semiHidden/>
    <w:qFormat/>
    <w:pPr>
      <w:pBdr/>
      <w:spacing/>
      <w:ind/>
    </w:pPr>
    <w:rPr>
      <w:rFonts w:eastAsia="Times New Roman" w:cs="Mangal"/>
      <w:sz w:val="18"/>
      <w:szCs w:val="18"/>
      <w:lang w:bidi="hi-IN"/>
    </w:rPr>
  </w:style>
  <w:style w:type="character" w:styleId="1537" w:customStyle="1">
    <w:name w:val="Texto de comentário Char269"/>
    <w:uiPriority w:val="99"/>
    <w:semiHidden/>
    <w:qFormat/>
    <w:pPr>
      <w:pBdr/>
      <w:spacing/>
      <w:ind/>
    </w:pPr>
    <w:rPr>
      <w:rFonts w:eastAsia="Times New Roman" w:cs="Mangal"/>
      <w:sz w:val="18"/>
      <w:szCs w:val="18"/>
      <w:lang w:bidi="hi-IN"/>
    </w:rPr>
  </w:style>
  <w:style w:type="character" w:styleId="1538" w:customStyle="1">
    <w:name w:val="Texto de comentário Char268"/>
    <w:uiPriority w:val="99"/>
    <w:semiHidden/>
    <w:qFormat/>
    <w:pPr>
      <w:pBdr/>
      <w:spacing/>
      <w:ind/>
    </w:pPr>
    <w:rPr>
      <w:rFonts w:eastAsia="Times New Roman" w:cs="Mangal"/>
      <w:sz w:val="18"/>
      <w:szCs w:val="18"/>
      <w:lang w:bidi="hi-IN"/>
    </w:rPr>
  </w:style>
  <w:style w:type="character" w:styleId="1539" w:customStyle="1">
    <w:name w:val="Texto de comentário Char267"/>
    <w:uiPriority w:val="99"/>
    <w:semiHidden/>
    <w:qFormat/>
    <w:pPr>
      <w:pBdr/>
      <w:spacing/>
      <w:ind/>
    </w:pPr>
    <w:rPr>
      <w:rFonts w:eastAsia="Times New Roman" w:cs="Mangal"/>
      <w:sz w:val="18"/>
      <w:szCs w:val="18"/>
      <w:lang w:bidi="hi-IN"/>
    </w:rPr>
  </w:style>
  <w:style w:type="character" w:styleId="1540" w:customStyle="1">
    <w:name w:val="Texto de comentário Char266"/>
    <w:uiPriority w:val="99"/>
    <w:semiHidden/>
    <w:qFormat/>
    <w:pPr>
      <w:pBdr/>
      <w:spacing/>
      <w:ind/>
    </w:pPr>
    <w:rPr>
      <w:rFonts w:eastAsia="Times New Roman" w:cs="Mangal"/>
      <w:sz w:val="18"/>
      <w:szCs w:val="18"/>
      <w:lang w:bidi="hi-IN"/>
    </w:rPr>
  </w:style>
  <w:style w:type="character" w:styleId="1541" w:customStyle="1">
    <w:name w:val="Texto de comentário Char265"/>
    <w:uiPriority w:val="99"/>
    <w:semiHidden/>
    <w:qFormat/>
    <w:pPr>
      <w:pBdr/>
      <w:spacing/>
      <w:ind/>
    </w:pPr>
    <w:rPr>
      <w:rFonts w:eastAsia="Times New Roman" w:cs="Mangal"/>
      <w:sz w:val="18"/>
      <w:szCs w:val="18"/>
      <w:lang w:bidi="hi-IN"/>
    </w:rPr>
  </w:style>
  <w:style w:type="character" w:styleId="1542" w:customStyle="1">
    <w:name w:val="Texto de comentário Char264"/>
    <w:uiPriority w:val="99"/>
    <w:semiHidden/>
    <w:qFormat/>
    <w:pPr>
      <w:pBdr/>
      <w:spacing/>
      <w:ind/>
    </w:pPr>
    <w:rPr>
      <w:rFonts w:eastAsia="Times New Roman" w:cs="Mangal"/>
      <w:sz w:val="18"/>
      <w:szCs w:val="18"/>
      <w:lang w:bidi="hi-IN"/>
    </w:rPr>
  </w:style>
  <w:style w:type="character" w:styleId="1543" w:customStyle="1">
    <w:name w:val="Texto de comentário Char263"/>
    <w:uiPriority w:val="99"/>
    <w:semiHidden/>
    <w:qFormat/>
    <w:pPr>
      <w:pBdr/>
      <w:spacing/>
      <w:ind/>
    </w:pPr>
    <w:rPr>
      <w:rFonts w:eastAsia="Times New Roman" w:cs="Mangal"/>
      <w:sz w:val="18"/>
      <w:szCs w:val="18"/>
      <w:lang w:bidi="hi-IN"/>
    </w:rPr>
  </w:style>
  <w:style w:type="character" w:styleId="1544" w:customStyle="1">
    <w:name w:val="Texto de comentário Char262"/>
    <w:uiPriority w:val="99"/>
    <w:semiHidden/>
    <w:qFormat/>
    <w:pPr>
      <w:pBdr/>
      <w:spacing/>
      <w:ind/>
    </w:pPr>
    <w:rPr>
      <w:rFonts w:eastAsia="Times New Roman" w:cs="Mangal"/>
      <w:sz w:val="18"/>
      <w:szCs w:val="18"/>
      <w:lang w:bidi="hi-IN"/>
    </w:rPr>
  </w:style>
  <w:style w:type="character" w:styleId="1545" w:customStyle="1">
    <w:name w:val="Texto de comentário Char261"/>
    <w:uiPriority w:val="99"/>
    <w:semiHidden/>
    <w:qFormat/>
    <w:pPr>
      <w:pBdr/>
      <w:spacing/>
      <w:ind/>
    </w:pPr>
    <w:rPr>
      <w:rFonts w:eastAsia="Times New Roman" w:cs="Mangal"/>
      <w:sz w:val="18"/>
      <w:szCs w:val="18"/>
      <w:lang w:bidi="hi-IN"/>
    </w:rPr>
  </w:style>
  <w:style w:type="character" w:styleId="1546" w:customStyle="1">
    <w:name w:val="Texto de comentário Char260"/>
    <w:uiPriority w:val="99"/>
    <w:semiHidden/>
    <w:qFormat/>
    <w:pPr>
      <w:pBdr/>
      <w:spacing/>
      <w:ind/>
    </w:pPr>
    <w:rPr>
      <w:rFonts w:eastAsia="Times New Roman" w:cs="Mangal"/>
      <w:sz w:val="18"/>
      <w:szCs w:val="18"/>
      <w:lang w:bidi="hi-IN"/>
    </w:rPr>
  </w:style>
  <w:style w:type="character" w:styleId="1547" w:customStyle="1">
    <w:name w:val="Texto de comentário Char259"/>
    <w:uiPriority w:val="99"/>
    <w:semiHidden/>
    <w:qFormat/>
    <w:pPr>
      <w:pBdr/>
      <w:spacing/>
      <w:ind/>
    </w:pPr>
    <w:rPr>
      <w:rFonts w:eastAsia="Times New Roman" w:cs="Mangal"/>
      <w:sz w:val="18"/>
      <w:szCs w:val="18"/>
      <w:lang w:bidi="hi-IN"/>
    </w:rPr>
  </w:style>
  <w:style w:type="character" w:styleId="1548" w:customStyle="1">
    <w:name w:val="Texto de comentário Char258"/>
    <w:uiPriority w:val="99"/>
    <w:semiHidden/>
    <w:qFormat/>
    <w:pPr>
      <w:pBdr/>
      <w:spacing/>
      <w:ind/>
    </w:pPr>
    <w:rPr>
      <w:rFonts w:eastAsia="Times New Roman" w:cs="Mangal"/>
      <w:sz w:val="18"/>
      <w:szCs w:val="18"/>
      <w:lang w:bidi="hi-IN"/>
    </w:rPr>
  </w:style>
  <w:style w:type="character" w:styleId="1549" w:customStyle="1">
    <w:name w:val="Texto de comentário Char257"/>
    <w:uiPriority w:val="99"/>
    <w:semiHidden/>
    <w:qFormat/>
    <w:pPr>
      <w:pBdr/>
      <w:spacing/>
      <w:ind/>
    </w:pPr>
    <w:rPr>
      <w:rFonts w:eastAsia="Times New Roman" w:cs="Mangal"/>
      <w:sz w:val="18"/>
      <w:szCs w:val="18"/>
      <w:lang w:bidi="hi-IN"/>
    </w:rPr>
  </w:style>
  <w:style w:type="character" w:styleId="1550" w:customStyle="1">
    <w:name w:val="Texto de comentário Char256"/>
    <w:uiPriority w:val="99"/>
    <w:semiHidden/>
    <w:qFormat/>
    <w:pPr>
      <w:pBdr/>
      <w:spacing/>
      <w:ind/>
    </w:pPr>
    <w:rPr>
      <w:rFonts w:eastAsia="Times New Roman" w:cs="Mangal"/>
      <w:sz w:val="18"/>
      <w:szCs w:val="18"/>
      <w:lang w:bidi="hi-IN"/>
    </w:rPr>
  </w:style>
  <w:style w:type="character" w:styleId="1551" w:customStyle="1">
    <w:name w:val="Texto de comentário Char255"/>
    <w:uiPriority w:val="99"/>
    <w:semiHidden/>
    <w:qFormat/>
    <w:pPr>
      <w:pBdr/>
      <w:spacing/>
      <w:ind/>
    </w:pPr>
    <w:rPr>
      <w:rFonts w:eastAsia="Times New Roman" w:cs="Mangal"/>
      <w:sz w:val="18"/>
      <w:szCs w:val="18"/>
      <w:lang w:bidi="hi-IN"/>
    </w:rPr>
  </w:style>
  <w:style w:type="character" w:styleId="1552" w:customStyle="1">
    <w:name w:val="Texto de comentário Char254"/>
    <w:uiPriority w:val="99"/>
    <w:semiHidden/>
    <w:qFormat/>
    <w:pPr>
      <w:pBdr/>
      <w:spacing/>
      <w:ind/>
    </w:pPr>
    <w:rPr>
      <w:rFonts w:eastAsia="Times New Roman" w:cs="Mangal"/>
      <w:sz w:val="18"/>
      <w:szCs w:val="18"/>
      <w:lang w:bidi="hi-IN"/>
    </w:rPr>
  </w:style>
  <w:style w:type="character" w:styleId="1553" w:customStyle="1">
    <w:name w:val="Texto de comentário Char253"/>
    <w:uiPriority w:val="99"/>
    <w:semiHidden/>
    <w:qFormat/>
    <w:pPr>
      <w:pBdr/>
      <w:spacing/>
      <w:ind/>
    </w:pPr>
    <w:rPr>
      <w:rFonts w:eastAsia="Times New Roman" w:cs="Mangal"/>
      <w:sz w:val="18"/>
      <w:szCs w:val="18"/>
      <w:lang w:bidi="hi-IN"/>
    </w:rPr>
  </w:style>
  <w:style w:type="character" w:styleId="1554" w:customStyle="1">
    <w:name w:val="Texto de comentário Char252"/>
    <w:uiPriority w:val="99"/>
    <w:semiHidden/>
    <w:qFormat/>
    <w:pPr>
      <w:pBdr/>
      <w:spacing/>
      <w:ind/>
    </w:pPr>
    <w:rPr>
      <w:rFonts w:eastAsia="Times New Roman" w:cs="Mangal"/>
      <w:sz w:val="18"/>
      <w:szCs w:val="18"/>
      <w:lang w:bidi="hi-IN"/>
    </w:rPr>
  </w:style>
  <w:style w:type="character" w:styleId="1555" w:customStyle="1">
    <w:name w:val="Texto de comentário Char251"/>
    <w:uiPriority w:val="99"/>
    <w:semiHidden/>
    <w:qFormat/>
    <w:pPr>
      <w:pBdr/>
      <w:spacing/>
      <w:ind/>
    </w:pPr>
    <w:rPr>
      <w:rFonts w:eastAsia="Times New Roman" w:cs="Mangal"/>
      <w:sz w:val="18"/>
      <w:szCs w:val="18"/>
      <w:lang w:bidi="hi-IN"/>
    </w:rPr>
  </w:style>
  <w:style w:type="character" w:styleId="1556" w:customStyle="1">
    <w:name w:val="Texto de comentário Char250"/>
    <w:uiPriority w:val="99"/>
    <w:semiHidden/>
    <w:qFormat/>
    <w:pPr>
      <w:pBdr/>
      <w:spacing/>
      <w:ind/>
    </w:pPr>
    <w:rPr>
      <w:rFonts w:eastAsia="Times New Roman" w:cs="Mangal"/>
      <w:sz w:val="18"/>
      <w:szCs w:val="18"/>
      <w:lang w:bidi="hi-IN"/>
    </w:rPr>
  </w:style>
  <w:style w:type="character" w:styleId="1557" w:customStyle="1">
    <w:name w:val="Texto de comentário Char249"/>
    <w:uiPriority w:val="99"/>
    <w:semiHidden/>
    <w:qFormat/>
    <w:pPr>
      <w:pBdr/>
      <w:spacing/>
      <w:ind/>
    </w:pPr>
    <w:rPr>
      <w:rFonts w:eastAsia="Times New Roman" w:cs="Mangal"/>
      <w:sz w:val="18"/>
      <w:szCs w:val="18"/>
      <w:lang w:bidi="hi-IN"/>
    </w:rPr>
  </w:style>
  <w:style w:type="character" w:styleId="1558" w:customStyle="1">
    <w:name w:val="Texto de comentário Char248"/>
    <w:uiPriority w:val="99"/>
    <w:semiHidden/>
    <w:qFormat/>
    <w:pPr>
      <w:pBdr/>
      <w:spacing/>
      <w:ind/>
    </w:pPr>
    <w:rPr>
      <w:rFonts w:eastAsia="Times New Roman" w:cs="Mangal"/>
      <w:sz w:val="18"/>
      <w:szCs w:val="18"/>
      <w:lang w:bidi="hi-IN"/>
    </w:rPr>
  </w:style>
  <w:style w:type="character" w:styleId="1559" w:customStyle="1">
    <w:name w:val="Texto de comentário Char247"/>
    <w:uiPriority w:val="99"/>
    <w:semiHidden/>
    <w:qFormat/>
    <w:pPr>
      <w:pBdr/>
      <w:spacing/>
      <w:ind/>
    </w:pPr>
    <w:rPr>
      <w:rFonts w:eastAsia="Times New Roman" w:cs="Mangal"/>
      <w:sz w:val="18"/>
      <w:szCs w:val="18"/>
      <w:lang w:bidi="hi-IN"/>
    </w:rPr>
  </w:style>
  <w:style w:type="character" w:styleId="1560" w:customStyle="1">
    <w:name w:val="Texto de comentário Char246"/>
    <w:uiPriority w:val="99"/>
    <w:semiHidden/>
    <w:qFormat/>
    <w:pPr>
      <w:pBdr/>
      <w:spacing/>
      <w:ind/>
    </w:pPr>
    <w:rPr>
      <w:rFonts w:eastAsia="Times New Roman" w:cs="Mangal"/>
      <w:sz w:val="18"/>
      <w:szCs w:val="18"/>
      <w:lang w:bidi="hi-IN"/>
    </w:rPr>
  </w:style>
  <w:style w:type="character" w:styleId="1561" w:customStyle="1">
    <w:name w:val="Texto de comentário Char245"/>
    <w:uiPriority w:val="99"/>
    <w:semiHidden/>
    <w:qFormat/>
    <w:pPr>
      <w:pBdr/>
      <w:spacing/>
      <w:ind/>
    </w:pPr>
    <w:rPr>
      <w:rFonts w:eastAsia="Times New Roman" w:cs="Mangal"/>
      <w:sz w:val="18"/>
      <w:szCs w:val="18"/>
      <w:lang w:bidi="hi-IN"/>
    </w:rPr>
  </w:style>
  <w:style w:type="character" w:styleId="1562" w:customStyle="1">
    <w:name w:val="Texto de comentário Char244"/>
    <w:uiPriority w:val="99"/>
    <w:semiHidden/>
    <w:qFormat/>
    <w:pPr>
      <w:pBdr/>
      <w:spacing/>
      <w:ind/>
    </w:pPr>
    <w:rPr>
      <w:rFonts w:eastAsia="Times New Roman" w:cs="Mangal"/>
      <w:sz w:val="18"/>
      <w:szCs w:val="18"/>
      <w:lang w:bidi="hi-IN"/>
    </w:rPr>
  </w:style>
  <w:style w:type="character" w:styleId="1563" w:customStyle="1">
    <w:name w:val="Texto de comentário Char243"/>
    <w:uiPriority w:val="99"/>
    <w:semiHidden/>
    <w:qFormat/>
    <w:pPr>
      <w:pBdr/>
      <w:spacing/>
      <w:ind/>
    </w:pPr>
    <w:rPr>
      <w:rFonts w:eastAsia="Times New Roman" w:cs="Mangal"/>
      <w:sz w:val="18"/>
      <w:szCs w:val="18"/>
      <w:lang w:bidi="hi-IN"/>
    </w:rPr>
  </w:style>
  <w:style w:type="character" w:styleId="1564" w:customStyle="1">
    <w:name w:val="Texto de comentário Char242"/>
    <w:uiPriority w:val="99"/>
    <w:semiHidden/>
    <w:qFormat/>
    <w:pPr>
      <w:pBdr/>
      <w:spacing/>
      <w:ind/>
    </w:pPr>
    <w:rPr>
      <w:rFonts w:eastAsia="Times New Roman" w:cs="Mangal"/>
      <w:sz w:val="18"/>
      <w:szCs w:val="18"/>
      <w:lang w:bidi="hi-IN"/>
    </w:rPr>
  </w:style>
  <w:style w:type="character" w:styleId="1565" w:customStyle="1">
    <w:name w:val="Texto de comentário Char241"/>
    <w:uiPriority w:val="99"/>
    <w:semiHidden/>
    <w:qFormat/>
    <w:pPr>
      <w:pBdr/>
      <w:spacing/>
      <w:ind/>
    </w:pPr>
    <w:rPr>
      <w:rFonts w:eastAsia="Times New Roman" w:cs="Mangal"/>
      <w:sz w:val="18"/>
      <w:szCs w:val="18"/>
      <w:lang w:bidi="hi-IN"/>
    </w:rPr>
  </w:style>
  <w:style w:type="character" w:styleId="1566" w:customStyle="1">
    <w:name w:val="Texto de comentário Char240"/>
    <w:uiPriority w:val="99"/>
    <w:semiHidden/>
    <w:qFormat/>
    <w:pPr>
      <w:pBdr/>
      <w:spacing/>
      <w:ind/>
    </w:pPr>
    <w:rPr>
      <w:rFonts w:eastAsia="Times New Roman" w:cs="Mangal"/>
      <w:sz w:val="18"/>
      <w:szCs w:val="18"/>
      <w:lang w:bidi="hi-IN"/>
    </w:rPr>
  </w:style>
  <w:style w:type="character" w:styleId="1567" w:customStyle="1">
    <w:name w:val="Texto de comentário Char239"/>
    <w:uiPriority w:val="99"/>
    <w:semiHidden/>
    <w:qFormat/>
    <w:pPr>
      <w:pBdr/>
      <w:spacing/>
      <w:ind/>
    </w:pPr>
    <w:rPr>
      <w:rFonts w:eastAsia="Times New Roman" w:cs="Mangal"/>
      <w:sz w:val="18"/>
      <w:szCs w:val="18"/>
      <w:lang w:bidi="hi-IN"/>
    </w:rPr>
  </w:style>
  <w:style w:type="character" w:styleId="1568" w:customStyle="1">
    <w:name w:val="Texto de comentário Char238"/>
    <w:uiPriority w:val="99"/>
    <w:semiHidden/>
    <w:qFormat/>
    <w:pPr>
      <w:pBdr/>
      <w:spacing/>
      <w:ind/>
    </w:pPr>
    <w:rPr>
      <w:rFonts w:eastAsia="Times New Roman" w:cs="Mangal"/>
      <w:sz w:val="18"/>
      <w:szCs w:val="18"/>
      <w:lang w:bidi="hi-IN"/>
    </w:rPr>
  </w:style>
  <w:style w:type="character" w:styleId="1569" w:customStyle="1">
    <w:name w:val="Texto de comentário Char237"/>
    <w:uiPriority w:val="99"/>
    <w:semiHidden/>
    <w:qFormat/>
    <w:pPr>
      <w:pBdr/>
      <w:spacing/>
      <w:ind/>
    </w:pPr>
    <w:rPr>
      <w:rFonts w:eastAsia="Times New Roman" w:cs="Mangal"/>
      <w:sz w:val="18"/>
      <w:szCs w:val="18"/>
      <w:lang w:bidi="hi-IN"/>
    </w:rPr>
  </w:style>
  <w:style w:type="character" w:styleId="1570" w:customStyle="1">
    <w:name w:val="Texto de comentário Char236"/>
    <w:uiPriority w:val="99"/>
    <w:semiHidden/>
    <w:qFormat/>
    <w:pPr>
      <w:pBdr/>
      <w:spacing/>
      <w:ind/>
    </w:pPr>
    <w:rPr>
      <w:rFonts w:eastAsia="Times New Roman" w:cs="Mangal"/>
      <w:sz w:val="18"/>
      <w:szCs w:val="18"/>
      <w:lang w:bidi="hi-IN"/>
    </w:rPr>
  </w:style>
  <w:style w:type="character" w:styleId="1571" w:customStyle="1">
    <w:name w:val="Texto de comentário Char235"/>
    <w:uiPriority w:val="99"/>
    <w:semiHidden/>
    <w:qFormat/>
    <w:pPr>
      <w:pBdr/>
      <w:spacing/>
      <w:ind/>
    </w:pPr>
    <w:rPr>
      <w:rFonts w:eastAsia="Times New Roman" w:cs="Mangal"/>
      <w:sz w:val="18"/>
      <w:szCs w:val="18"/>
      <w:lang w:bidi="hi-IN"/>
    </w:rPr>
  </w:style>
  <w:style w:type="character" w:styleId="1572" w:customStyle="1">
    <w:name w:val="Texto de comentário Char234"/>
    <w:uiPriority w:val="99"/>
    <w:semiHidden/>
    <w:qFormat/>
    <w:pPr>
      <w:pBdr/>
      <w:spacing/>
      <w:ind/>
    </w:pPr>
    <w:rPr>
      <w:rFonts w:eastAsia="Times New Roman" w:cs="Mangal"/>
      <w:sz w:val="18"/>
      <w:szCs w:val="18"/>
      <w:lang w:bidi="hi-IN"/>
    </w:rPr>
  </w:style>
  <w:style w:type="character" w:styleId="1573" w:customStyle="1">
    <w:name w:val="Texto de comentário Char233"/>
    <w:uiPriority w:val="99"/>
    <w:semiHidden/>
    <w:qFormat/>
    <w:pPr>
      <w:pBdr/>
      <w:spacing/>
      <w:ind/>
    </w:pPr>
    <w:rPr>
      <w:rFonts w:eastAsia="Times New Roman" w:cs="Mangal"/>
      <w:sz w:val="18"/>
      <w:szCs w:val="18"/>
      <w:lang w:bidi="hi-IN"/>
    </w:rPr>
  </w:style>
  <w:style w:type="character" w:styleId="1574" w:customStyle="1">
    <w:name w:val="Texto de comentário Char232"/>
    <w:uiPriority w:val="99"/>
    <w:semiHidden/>
    <w:qFormat/>
    <w:pPr>
      <w:pBdr/>
      <w:spacing/>
      <w:ind/>
    </w:pPr>
    <w:rPr>
      <w:rFonts w:eastAsia="Times New Roman" w:cs="Mangal"/>
      <w:sz w:val="18"/>
      <w:szCs w:val="18"/>
      <w:lang w:bidi="hi-IN"/>
    </w:rPr>
  </w:style>
  <w:style w:type="character" w:styleId="1575" w:customStyle="1">
    <w:name w:val="Texto de comentário Char231"/>
    <w:uiPriority w:val="99"/>
    <w:semiHidden/>
    <w:qFormat/>
    <w:pPr>
      <w:pBdr/>
      <w:spacing/>
      <w:ind/>
    </w:pPr>
    <w:rPr>
      <w:rFonts w:eastAsia="Times New Roman" w:cs="Mangal"/>
      <w:sz w:val="18"/>
      <w:szCs w:val="18"/>
      <w:lang w:bidi="hi-IN"/>
    </w:rPr>
  </w:style>
  <w:style w:type="character" w:styleId="1576" w:customStyle="1">
    <w:name w:val="Texto de comentário Char230"/>
    <w:uiPriority w:val="99"/>
    <w:semiHidden/>
    <w:qFormat/>
    <w:pPr>
      <w:pBdr/>
      <w:spacing/>
      <w:ind/>
    </w:pPr>
    <w:rPr>
      <w:rFonts w:eastAsia="Times New Roman" w:cs="Mangal"/>
      <w:sz w:val="18"/>
      <w:szCs w:val="18"/>
      <w:lang w:bidi="hi-IN"/>
    </w:rPr>
  </w:style>
  <w:style w:type="character" w:styleId="1577" w:customStyle="1">
    <w:name w:val="Texto de comentário Char229"/>
    <w:uiPriority w:val="99"/>
    <w:semiHidden/>
    <w:qFormat/>
    <w:pPr>
      <w:pBdr/>
      <w:spacing/>
      <w:ind/>
    </w:pPr>
    <w:rPr>
      <w:rFonts w:eastAsia="Times New Roman" w:cs="Mangal"/>
      <w:sz w:val="18"/>
      <w:szCs w:val="18"/>
      <w:lang w:bidi="hi-IN"/>
    </w:rPr>
  </w:style>
  <w:style w:type="character" w:styleId="1578" w:customStyle="1">
    <w:name w:val="Texto de comentário Char228"/>
    <w:uiPriority w:val="99"/>
    <w:semiHidden/>
    <w:qFormat/>
    <w:pPr>
      <w:pBdr/>
      <w:spacing/>
      <w:ind/>
    </w:pPr>
    <w:rPr>
      <w:rFonts w:eastAsia="Times New Roman" w:cs="Mangal"/>
      <w:sz w:val="18"/>
      <w:szCs w:val="18"/>
      <w:lang w:bidi="hi-IN"/>
    </w:rPr>
  </w:style>
  <w:style w:type="character" w:styleId="1579" w:customStyle="1">
    <w:name w:val="Texto de comentário Char227"/>
    <w:uiPriority w:val="99"/>
    <w:semiHidden/>
    <w:qFormat/>
    <w:pPr>
      <w:pBdr/>
      <w:spacing/>
      <w:ind/>
    </w:pPr>
    <w:rPr>
      <w:rFonts w:eastAsia="Times New Roman" w:cs="Mangal"/>
      <w:sz w:val="18"/>
      <w:szCs w:val="18"/>
      <w:lang w:bidi="hi-IN"/>
    </w:rPr>
  </w:style>
  <w:style w:type="character" w:styleId="1580" w:customStyle="1">
    <w:name w:val="Texto de comentário Char226"/>
    <w:uiPriority w:val="99"/>
    <w:semiHidden/>
    <w:qFormat/>
    <w:pPr>
      <w:pBdr/>
      <w:spacing/>
      <w:ind/>
    </w:pPr>
    <w:rPr>
      <w:rFonts w:eastAsia="Times New Roman" w:cs="Mangal"/>
      <w:sz w:val="18"/>
      <w:szCs w:val="18"/>
      <w:lang w:bidi="hi-IN"/>
    </w:rPr>
  </w:style>
  <w:style w:type="character" w:styleId="1581" w:customStyle="1">
    <w:name w:val="Texto de comentário Char225"/>
    <w:uiPriority w:val="99"/>
    <w:semiHidden/>
    <w:qFormat/>
    <w:pPr>
      <w:pBdr/>
      <w:spacing/>
      <w:ind/>
    </w:pPr>
    <w:rPr>
      <w:rFonts w:eastAsia="Times New Roman" w:cs="Mangal"/>
      <w:sz w:val="18"/>
      <w:szCs w:val="18"/>
      <w:lang w:bidi="hi-IN"/>
    </w:rPr>
  </w:style>
  <w:style w:type="character" w:styleId="1582" w:customStyle="1">
    <w:name w:val="Texto de comentário Char224"/>
    <w:uiPriority w:val="99"/>
    <w:semiHidden/>
    <w:qFormat/>
    <w:pPr>
      <w:pBdr/>
      <w:spacing/>
      <w:ind/>
    </w:pPr>
    <w:rPr>
      <w:rFonts w:eastAsia="Times New Roman" w:cs="Mangal"/>
      <w:sz w:val="18"/>
      <w:szCs w:val="18"/>
      <w:lang w:bidi="hi-IN"/>
    </w:rPr>
  </w:style>
  <w:style w:type="character" w:styleId="1583" w:customStyle="1">
    <w:name w:val="Texto de comentário Char223"/>
    <w:uiPriority w:val="99"/>
    <w:semiHidden/>
    <w:qFormat/>
    <w:pPr>
      <w:pBdr/>
      <w:spacing/>
      <w:ind/>
    </w:pPr>
    <w:rPr>
      <w:rFonts w:eastAsia="Times New Roman" w:cs="Mangal"/>
      <w:sz w:val="18"/>
      <w:szCs w:val="18"/>
      <w:lang w:bidi="hi-IN"/>
    </w:rPr>
  </w:style>
  <w:style w:type="character" w:styleId="1584" w:customStyle="1">
    <w:name w:val="Texto de comentário Char222"/>
    <w:uiPriority w:val="99"/>
    <w:semiHidden/>
    <w:qFormat/>
    <w:pPr>
      <w:pBdr/>
      <w:spacing/>
      <w:ind/>
    </w:pPr>
    <w:rPr>
      <w:rFonts w:eastAsia="Times New Roman" w:cs="Mangal"/>
      <w:sz w:val="18"/>
      <w:szCs w:val="18"/>
      <w:lang w:bidi="hi-IN"/>
    </w:rPr>
  </w:style>
  <w:style w:type="character" w:styleId="1585" w:customStyle="1">
    <w:name w:val="Texto de comentário Char221"/>
    <w:uiPriority w:val="99"/>
    <w:semiHidden/>
    <w:qFormat/>
    <w:pPr>
      <w:pBdr/>
      <w:spacing/>
      <w:ind/>
    </w:pPr>
    <w:rPr>
      <w:rFonts w:eastAsia="Times New Roman" w:cs="Mangal"/>
      <w:sz w:val="18"/>
      <w:szCs w:val="18"/>
      <w:lang w:bidi="hi-IN"/>
    </w:rPr>
  </w:style>
  <w:style w:type="character" w:styleId="1586" w:customStyle="1">
    <w:name w:val="Texto de comentário Char220"/>
    <w:uiPriority w:val="99"/>
    <w:semiHidden/>
    <w:qFormat/>
    <w:pPr>
      <w:pBdr/>
      <w:spacing/>
      <w:ind/>
    </w:pPr>
    <w:rPr>
      <w:rFonts w:eastAsia="Times New Roman" w:cs="Mangal"/>
      <w:sz w:val="18"/>
      <w:szCs w:val="18"/>
      <w:lang w:bidi="hi-IN"/>
    </w:rPr>
  </w:style>
  <w:style w:type="character" w:styleId="1587" w:customStyle="1">
    <w:name w:val="Texto de comentário Char219"/>
    <w:uiPriority w:val="99"/>
    <w:semiHidden/>
    <w:qFormat/>
    <w:pPr>
      <w:pBdr/>
      <w:spacing/>
      <w:ind/>
    </w:pPr>
    <w:rPr>
      <w:rFonts w:eastAsia="Times New Roman" w:cs="Mangal"/>
      <w:sz w:val="18"/>
      <w:szCs w:val="18"/>
      <w:lang w:bidi="hi-IN"/>
    </w:rPr>
  </w:style>
  <w:style w:type="character" w:styleId="1588" w:customStyle="1">
    <w:name w:val="Texto de comentário Char218"/>
    <w:uiPriority w:val="99"/>
    <w:semiHidden/>
    <w:qFormat/>
    <w:pPr>
      <w:pBdr/>
      <w:spacing/>
      <w:ind/>
    </w:pPr>
    <w:rPr>
      <w:rFonts w:eastAsia="Times New Roman" w:cs="Mangal"/>
      <w:sz w:val="18"/>
      <w:szCs w:val="18"/>
      <w:lang w:bidi="hi-IN"/>
    </w:rPr>
  </w:style>
  <w:style w:type="character" w:styleId="1589" w:customStyle="1">
    <w:name w:val="Texto de comentário Char217"/>
    <w:uiPriority w:val="99"/>
    <w:semiHidden/>
    <w:qFormat/>
    <w:pPr>
      <w:pBdr/>
      <w:spacing/>
      <w:ind/>
    </w:pPr>
    <w:rPr>
      <w:rFonts w:eastAsia="Times New Roman" w:cs="Mangal"/>
      <w:sz w:val="18"/>
      <w:szCs w:val="18"/>
      <w:lang w:bidi="hi-IN"/>
    </w:rPr>
  </w:style>
  <w:style w:type="character" w:styleId="1590" w:customStyle="1">
    <w:name w:val="Texto de comentário Char216"/>
    <w:uiPriority w:val="99"/>
    <w:semiHidden/>
    <w:qFormat/>
    <w:pPr>
      <w:pBdr/>
      <w:spacing/>
      <w:ind/>
    </w:pPr>
    <w:rPr>
      <w:rFonts w:eastAsia="Times New Roman" w:cs="Mangal"/>
      <w:sz w:val="18"/>
      <w:szCs w:val="18"/>
      <w:lang w:bidi="hi-IN"/>
    </w:rPr>
  </w:style>
  <w:style w:type="character" w:styleId="1591" w:customStyle="1">
    <w:name w:val="Texto de comentário Char215"/>
    <w:uiPriority w:val="99"/>
    <w:semiHidden/>
    <w:qFormat/>
    <w:pPr>
      <w:pBdr/>
      <w:spacing/>
      <w:ind/>
    </w:pPr>
    <w:rPr>
      <w:rFonts w:eastAsia="Times New Roman" w:cs="Mangal"/>
      <w:sz w:val="18"/>
      <w:szCs w:val="18"/>
      <w:lang w:bidi="hi-IN"/>
    </w:rPr>
  </w:style>
  <w:style w:type="character" w:styleId="1592" w:customStyle="1">
    <w:name w:val="Texto de comentário Char214"/>
    <w:uiPriority w:val="99"/>
    <w:semiHidden/>
    <w:qFormat/>
    <w:pPr>
      <w:pBdr/>
      <w:spacing/>
      <w:ind/>
    </w:pPr>
    <w:rPr>
      <w:rFonts w:eastAsia="Times New Roman" w:cs="Mangal"/>
      <w:sz w:val="18"/>
      <w:szCs w:val="18"/>
      <w:lang w:bidi="hi-IN"/>
    </w:rPr>
  </w:style>
  <w:style w:type="character" w:styleId="1593" w:customStyle="1">
    <w:name w:val="Texto de comentário Char213"/>
    <w:uiPriority w:val="99"/>
    <w:semiHidden/>
    <w:qFormat/>
    <w:pPr>
      <w:pBdr/>
      <w:spacing/>
      <w:ind/>
    </w:pPr>
    <w:rPr>
      <w:rFonts w:eastAsia="Times New Roman" w:cs="Mangal"/>
      <w:sz w:val="18"/>
      <w:szCs w:val="18"/>
      <w:lang w:bidi="hi-IN"/>
    </w:rPr>
  </w:style>
  <w:style w:type="character" w:styleId="1594" w:customStyle="1">
    <w:name w:val="Texto de comentário Char212"/>
    <w:uiPriority w:val="99"/>
    <w:semiHidden/>
    <w:qFormat/>
    <w:pPr>
      <w:pBdr/>
      <w:spacing/>
      <w:ind/>
    </w:pPr>
    <w:rPr>
      <w:rFonts w:eastAsia="Times New Roman" w:cs="Mangal"/>
      <w:sz w:val="18"/>
      <w:szCs w:val="18"/>
      <w:lang w:bidi="hi-IN"/>
    </w:rPr>
  </w:style>
  <w:style w:type="character" w:styleId="1595" w:customStyle="1">
    <w:name w:val="Texto de comentário Char211"/>
    <w:uiPriority w:val="99"/>
    <w:semiHidden/>
    <w:qFormat/>
    <w:pPr>
      <w:pBdr/>
      <w:spacing/>
      <w:ind/>
    </w:pPr>
    <w:rPr>
      <w:rFonts w:eastAsia="Times New Roman" w:cs="Mangal"/>
      <w:sz w:val="18"/>
      <w:szCs w:val="18"/>
      <w:lang w:bidi="hi-IN"/>
    </w:rPr>
  </w:style>
  <w:style w:type="character" w:styleId="1596" w:customStyle="1">
    <w:name w:val="Assunto do comentário Char277"/>
    <w:uiPriority w:val="99"/>
    <w:semiHidden/>
    <w:qFormat/>
    <w:pPr>
      <w:pBdr/>
      <w:spacing/>
      <w:ind/>
    </w:pPr>
    <w:rPr>
      <w:rFonts w:ascii="Ecofont_Spranq_eco_Sans" w:hAnsi="Ecofont_Spranq_eco_Sans" w:eastAsia="Times New Roman" w:cs="Mangal"/>
      <w:b/>
      <w:bCs/>
      <w:sz w:val="18"/>
      <w:szCs w:val="18"/>
      <w:lang w:bidi="hi-IN"/>
    </w:rPr>
  </w:style>
  <w:style w:type="character" w:styleId="1597" w:customStyle="1">
    <w:name w:val="Assunto do comentário Char276"/>
    <w:uiPriority w:val="99"/>
    <w:semiHidden/>
    <w:qFormat/>
    <w:pPr>
      <w:pBdr/>
      <w:spacing/>
      <w:ind/>
    </w:pPr>
    <w:rPr>
      <w:rFonts w:ascii="Ecofont_Spranq_eco_Sans" w:hAnsi="Ecofont_Spranq_eco_Sans" w:eastAsia="Times New Roman" w:cs="Mangal"/>
      <w:b/>
      <w:bCs/>
      <w:sz w:val="18"/>
      <w:szCs w:val="18"/>
      <w:lang w:bidi="hi-IN"/>
    </w:rPr>
  </w:style>
  <w:style w:type="character" w:styleId="1598" w:customStyle="1">
    <w:name w:val="Assunto do comentário Char275"/>
    <w:uiPriority w:val="99"/>
    <w:semiHidden/>
    <w:qFormat/>
    <w:pPr>
      <w:pBdr/>
      <w:spacing/>
      <w:ind/>
    </w:pPr>
    <w:rPr>
      <w:rFonts w:ascii="Ecofont_Spranq_eco_Sans" w:hAnsi="Ecofont_Spranq_eco_Sans" w:eastAsia="Times New Roman" w:cs="Mangal"/>
      <w:b/>
      <w:bCs/>
      <w:sz w:val="18"/>
      <w:szCs w:val="18"/>
      <w:lang w:bidi="hi-IN"/>
    </w:rPr>
  </w:style>
  <w:style w:type="character" w:styleId="1599" w:customStyle="1">
    <w:name w:val="Assunto do comentário Char274"/>
    <w:uiPriority w:val="99"/>
    <w:semiHidden/>
    <w:qFormat/>
    <w:pPr>
      <w:pBdr/>
      <w:spacing/>
      <w:ind/>
    </w:pPr>
    <w:rPr>
      <w:rFonts w:ascii="Ecofont_Spranq_eco_Sans" w:hAnsi="Ecofont_Spranq_eco_Sans" w:eastAsia="Times New Roman" w:cs="Mangal"/>
      <w:b/>
      <w:bCs/>
      <w:sz w:val="18"/>
      <w:szCs w:val="18"/>
      <w:lang w:bidi="hi-IN"/>
    </w:rPr>
  </w:style>
  <w:style w:type="character" w:styleId="1600" w:customStyle="1">
    <w:name w:val="Assunto do comentário Char273"/>
    <w:uiPriority w:val="99"/>
    <w:semiHidden/>
    <w:qFormat/>
    <w:pPr>
      <w:pBdr/>
      <w:spacing/>
      <w:ind/>
    </w:pPr>
    <w:rPr>
      <w:rFonts w:ascii="Ecofont_Spranq_eco_Sans" w:hAnsi="Ecofont_Spranq_eco_Sans" w:eastAsia="Times New Roman" w:cs="Mangal"/>
      <w:b/>
      <w:bCs/>
      <w:sz w:val="18"/>
      <w:szCs w:val="18"/>
      <w:lang w:bidi="hi-IN"/>
    </w:rPr>
  </w:style>
  <w:style w:type="character" w:styleId="1601" w:customStyle="1">
    <w:name w:val="Assunto do comentário Char272"/>
    <w:uiPriority w:val="99"/>
    <w:semiHidden/>
    <w:qFormat/>
    <w:pPr>
      <w:pBdr/>
      <w:spacing/>
      <w:ind/>
    </w:pPr>
    <w:rPr>
      <w:rFonts w:ascii="Ecofont_Spranq_eco_Sans" w:hAnsi="Ecofont_Spranq_eco_Sans" w:eastAsia="Times New Roman" w:cs="Mangal"/>
      <w:b/>
      <w:bCs/>
      <w:sz w:val="18"/>
      <w:szCs w:val="18"/>
      <w:lang w:bidi="hi-IN"/>
    </w:rPr>
  </w:style>
  <w:style w:type="character" w:styleId="1602" w:customStyle="1">
    <w:name w:val="Assunto do comentário Char271"/>
    <w:uiPriority w:val="99"/>
    <w:semiHidden/>
    <w:qFormat/>
    <w:pPr>
      <w:pBdr/>
      <w:spacing/>
      <w:ind/>
    </w:pPr>
    <w:rPr>
      <w:rFonts w:ascii="Ecofont_Spranq_eco_Sans" w:hAnsi="Ecofont_Spranq_eco_Sans" w:eastAsia="Times New Roman" w:cs="Mangal"/>
      <w:b/>
      <w:bCs/>
      <w:sz w:val="18"/>
      <w:szCs w:val="18"/>
      <w:lang w:bidi="hi-IN"/>
    </w:rPr>
  </w:style>
  <w:style w:type="character" w:styleId="1603" w:customStyle="1">
    <w:name w:val="Assunto do comentário Char270"/>
    <w:uiPriority w:val="99"/>
    <w:semiHidden/>
    <w:qFormat/>
    <w:pPr>
      <w:pBdr/>
      <w:spacing/>
      <w:ind/>
    </w:pPr>
    <w:rPr>
      <w:rFonts w:ascii="Ecofont_Spranq_eco_Sans" w:hAnsi="Ecofont_Spranq_eco_Sans" w:eastAsia="Times New Roman" w:cs="Mangal"/>
      <w:b/>
      <w:bCs/>
      <w:sz w:val="18"/>
      <w:szCs w:val="18"/>
      <w:lang w:bidi="hi-IN"/>
    </w:rPr>
  </w:style>
  <w:style w:type="character" w:styleId="1604" w:customStyle="1">
    <w:name w:val="Assunto do comentário Char269"/>
    <w:uiPriority w:val="99"/>
    <w:semiHidden/>
    <w:qFormat/>
    <w:pPr>
      <w:pBdr/>
      <w:spacing/>
      <w:ind/>
    </w:pPr>
    <w:rPr>
      <w:rFonts w:ascii="Ecofont_Spranq_eco_Sans" w:hAnsi="Ecofont_Spranq_eco_Sans" w:eastAsia="Times New Roman" w:cs="Mangal"/>
      <w:b/>
      <w:bCs/>
      <w:sz w:val="18"/>
      <w:szCs w:val="18"/>
      <w:lang w:bidi="hi-IN"/>
    </w:rPr>
  </w:style>
  <w:style w:type="character" w:styleId="1605" w:customStyle="1">
    <w:name w:val="Assunto do comentário Char268"/>
    <w:uiPriority w:val="99"/>
    <w:semiHidden/>
    <w:qFormat/>
    <w:pPr>
      <w:pBdr/>
      <w:spacing/>
      <w:ind/>
    </w:pPr>
    <w:rPr>
      <w:rFonts w:ascii="Ecofont_Spranq_eco_Sans" w:hAnsi="Ecofont_Spranq_eco_Sans" w:eastAsia="Times New Roman" w:cs="Mangal"/>
      <w:b/>
      <w:bCs/>
      <w:sz w:val="18"/>
      <w:szCs w:val="18"/>
      <w:lang w:bidi="hi-IN"/>
    </w:rPr>
  </w:style>
  <w:style w:type="character" w:styleId="1606" w:customStyle="1">
    <w:name w:val="Assunto do comentário Char267"/>
    <w:uiPriority w:val="99"/>
    <w:semiHidden/>
    <w:qFormat/>
    <w:pPr>
      <w:pBdr/>
      <w:spacing/>
      <w:ind/>
    </w:pPr>
    <w:rPr>
      <w:rFonts w:ascii="Ecofont_Spranq_eco_Sans" w:hAnsi="Ecofont_Spranq_eco_Sans" w:eastAsia="Times New Roman" w:cs="Mangal"/>
      <w:b/>
      <w:bCs/>
      <w:sz w:val="18"/>
      <w:szCs w:val="18"/>
      <w:lang w:bidi="hi-IN"/>
    </w:rPr>
  </w:style>
  <w:style w:type="character" w:styleId="1607" w:customStyle="1">
    <w:name w:val="Assunto do comentário Char266"/>
    <w:uiPriority w:val="99"/>
    <w:semiHidden/>
    <w:qFormat/>
    <w:pPr>
      <w:pBdr/>
      <w:spacing/>
      <w:ind/>
    </w:pPr>
    <w:rPr>
      <w:rFonts w:ascii="Ecofont_Spranq_eco_Sans" w:hAnsi="Ecofont_Spranq_eco_Sans" w:eastAsia="Times New Roman" w:cs="Mangal"/>
      <w:b/>
      <w:bCs/>
      <w:sz w:val="18"/>
      <w:szCs w:val="18"/>
      <w:lang w:bidi="hi-IN"/>
    </w:rPr>
  </w:style>
  <w:style w:type="character" w:styleId="1608" w:customStyle="1">
    <w:name w:val="Assunto do comentário Char265"/>
    <w:uiPriority w:val="99"/>
    <w:semiHidden/>
    <w:qFormat/>
    <w:pPr>
      <w:pBdr/>
      <w:spacing/>
      <w:ind/>
    </w:pPr>
    <w:rPr>
      <w:rFonts w:ascii="Ecofont_Spranq_eco_Sans" w:hAnsi="Ecofont_Spranq_eco_Sans" w:eastAsia="Times New Roman" w:cs="Mangal"/>
      <w:b/>
      <w:bCs/>
      <w:sz w:val="18"/>
      <w:szCs w:val="18"/>
      <w:lang w:bidi="hi-IN"/>
    </w:rPr>
  </w:style>
  <w:style w:type="character" w:styleId="1609" w:customStyle="1">
    <w:name w:val="Assunto do comentário Char264"/>
    <w:uiPriority w:val="99"/>
    <w:semiHidden/>
    <w:qFormat/>
    <w:pPr>
      <w:pBdr/>
      <w:spacing/>
      <w:ind/>
    </w:pPr>
    <w:rPr>
      <w:rFonts w:ascii="Ecofont_Spranq_eco_Sans" w:hAnsi="Ecofont_Spranq_eco_Sans" w:eastAsia="Times New Roman" w:cs="Mangal"/>
      <w:b/>
      <w:bCs/>
      <w:sz w:val="18"/>
      <w:szCs w:val="18"/>
      <w:lang w:bidi="hi-IN"/>
    </w:rPr>
  </w:style>
  <w:style w:type="character" w:styleId="1610" w:customStyle="1">
    <w:name w:val="Assunto do comentário Char263"/>
    <w:uiPriority w:val="99"/>
    <w:semiHidden/>
    <w:qFormat/>
    <w:pPr>
      <w:pBdr/>
      <w:spacing/>
      <w:ind/>
    </w:pPr>
    <w:rPr>
      <w:rFonts w:ascii="Ecofont_Spranq_eco_Sans" w:hAnsi="Ecofont_Spranq_eco_Sans" w:eastAsia="Times New Roman" w:cs="Mangal"/>
      <w:b/>
      <w:bCs/>
      <w:sz w:val="18"/>
      <w:szCs w:val="18"/>
      <w:lang w:bidi="hi-IN"/>
    </w:rPr>
  </w:style>
  <w:style w:type="character" w:styleId="1611" w:customStyle="1">
    <w:name w:val="Assunto do comentário Char262"/>
    <w:uiPriority w:val="99"/>
    <w:semiHidden/>
    <w:qFormat/>
    <w:pPr>
      <w:pBdr/>
      <w:spacing/>
      <w:ind/>
    </w:pPr>
    <w:rPr>
      <w:rFonts w:ascii="Ecofont_Spranq_eco_Sans" w:hAnsi="Ecofont_Spranq_eco_Sans" w:eastAsia="Times New Roman" w:cs="Mangal"/>
      <w:b/>
      <w:bCs/>
      <w:sz w:val="18"/>
      <w:szCs w:val="18"/>
      <w:lang w:bidi="hi-IN"/>
    </w:rPr>
  </w:style>
  <w:style w:type="character" w:styleId="1612" w:customStyle="1">
    <w:name w:val="Assunto do comentário Char261"/>
    <w:uiPriority w:val="99"/>
    <w:semiHidden/>
    <w:qFormat/>
    <w:pPr>
      <w:pBdr/>
      <w:spacing/>
      <w:ind/>
    </w:pPr>
    <w:rPr>
      <w:rFonts w:ascii="Ecofont_Spranq_eco_Sans" w:hAnsi="Ecofont_Spranq_eco_Sans" w:eastAsia="Times New Roman" w:cs="Mangal"/>
      <w:b/>
      <w:bCs/>
      <w:sz w:val="18"/>
      <w:szCs w:val="18"/>
      <w:lang w:bidi="hi-IN"/>
    </w:rPr>
  </w:style>
  <w:style w:type="character" w:styleId="1613" w:customStyle="1">
    <w:name w:val="Assunto do comentário Char260"/>
    <w:uiPriority w:val="99"/>
    <w:semiHidden/>
    <w:qFormat/>
    <w:pPr>
      <w:pBdr/>
      <w:spacing/>
      <w:ind/>
    </w:pPr>
    <w:rPr>
      <w:rFonts w:ascii="Ecofont_Spranq_eco_Sans" w:hAnsi="Ecofont_Spranq_eco_Sans" w:eastAsia="Times New Roman" w:cs="Mangal"/>
      <w:b/>
      <w:bCs/>
      <w:sz w:val="18"/>
      <w:szCs w:val="18"/>
      <w:lang w:bidi="hi-IN"/>
    </w:rPr>
  </w:style>
  <w:style w:type="character" w:styleId="1614" w:customStyle="1">
    <w:name w:val="Assunto do comentário Char259"/>
    <w:uiPriority w:val="99"/>
    <w:semiHidden/>
    <w:qFormat/>
    <w:pPr>
      <w:pBdr/>
      <w:spacing/>
      <w:ind/>
    </w:pPr>
    <w:rPr>
      <w:rFonts w:ascii="Ecofont_Spranq_eco_Sans" w:hAnsi="Ecofont_Spranq_eco_Sans" w:eastAsia="Times New Roman" w:cs="Mangal"/>
      <w:b/>
      <w:bCs/>
      <w:sz w:val="18"/>
      <w:szCs w:val="18"/>
      <w:lang w:bidi="hi-IN"/>
    </w:rPr>
  </w:style>
  <w:style w:type="character" w:styleId="1615" w:customStyle="1">
    <w:name w:val="Assunto do comentário Char258"/>
    <w:uiPriority w:val="99"/>
    <w:semiHidden/>
    <w:qFormat/>
    <w:pPr>
      <w:pBdr/>
      <w:spacing/>
      <w:ind/>
    </w:pPr>
    <w:rPr>
      <w:rFonts w:ascii="Ecofont_Spranq_eco_Sans" w:hAnsi="Ecofont_Spranq_eco_Sans" w:eastAsia="Times New Roman" w:cs="Mangal"/>
      <w:b/>
      <w:bCs/>
      <w:sz w:val="18"/>
      <w:szCs w:val="18"/>
      <w:lang w:bidi="hi-IN"/>
    </w:rPr>
  </w:style>
  <w:style w:type="character" w:styleId="1616" w:customStyle="1">
    <w:name w:val="Assunto do comentário Char257"/>
    <w:uiPriority w:val="99"/>
    <w:semiHidden/>
    <w:qFormat/>
    <w:pPr>
      <w:pBdr/>
      <w:spacing/>
      <w:ind/>
    </w:pPr>
    <w:rPr>
      <w:rFonts w:ascii="Ecofont_Spranq_eco_Sans" w:hAnsi="Ecofont_Spranq_eco_Sans" w:eastAsia="Times New Roman" w:cs="Mangal"/>
      <w:b/>
      <w:bCs/>
      <w:sz w:val="18"/>
      <w:szCs w:val="18"/>
      <w:lang w:bidi="hi-IN"/>
    </w:rPr>
  </w:style>
  <w:style w:type="character" w:styleId="1617" w:customStyle="1">
    <w:name w:val="Assunto do comentário Char256"/>
    <w:uiPriority w:val="99"/>
    <w:semiHidden/>
    <w:qFormat/>
    <w:pPr>
      <w:pBdr/>
      <w:spacing/>
      <w:ind/>
    </w:pPr>
    <w:rPr>
      <w:rFonts w:ascii="Ecofont_Spranq_eco_Sans" w:hAnsi="Ecofont_Spranq_eco_Sans" w:eastAsia="Times New Roman" w:cs="Mangal"/>
      <w:b/>
      <w:bCs/>
      <w:sz w:val="18"/>
      <w:szCs w:val="18"/>
      <w:lang w:bidi="hi-IN"/>
    </w:rPr>
  </w:style>
  <w:style w:type="character" w:styleId="1618" w:customStyle="1">
    <w:name w:val="Assunto do comentário Char255"/>
    <w:uiPriority w:val="99"/>
    <w:semiHidden/>
    <w:qFormat/>
    <w:pPr>
      <w:pBdr/>
      <w:spacing/>
      <w:ind/>
    </w:pPr>
    <w:rPr>
      <w:rFonts w:ascii="Ecofont_Spranq_eco_Sans" w:hAnsi="Ecofont_Spranq_eco_Sans" w:eastAsia="Times New Roman" w:cs="Mangal"/>
      <w:b/>
      <w:bCs/>
      <w:sz w:val="18"/>
      <w:szCs w:val="18"/>
      <w:lang w:bidi="hi-IN"/>
    </w:rPr>
  </w:style>
  <w:style w:type="character" w:styleId="1619" w:customStyle="1">
    <w:name w:val="Assunto do comentário Char254"/>
    <w:uiPriority w:val="99"/>
    <w:semiHidden/>
    <w:qFormat/>
    <w:pPr>
      <w:pBdr/>
      <w:spacing/>
      <w:ind/>
    </w:pPr>
    <w:rPr>
      <w:rFonts w:ascii="Ecofont_Spranq_eco_Sans" w:hAnsi="Ecofont_Spranq_eco_Sans" w:eastAsia="Times New Roman" w:cs="Mangal"/>
      <w:b/>
      <w:bCs/>
      <w:sz w:val="18"/>
      <w:szCs w:val="18"/>
      <w:lang w:bidi="hi-IN"/>
    </w:rPr>
  </w:style>
  <w:style w:type="character" w:styleId="1620" w:customStyle="1">
    <w:name w:val="Assunto do comentário Char253"/>
    <w:uiPriority w:val="99"/>
    <w:semiHidden/>
    <w:qFormat/>
    <w:pPr>
      <w:pBdr/>
      <w:spacing/>
      <w:ind/>
    </w:pPr>
    <w:rPr>
      <w:rFonts w:ascii="Ecofont_Spranq_eco_Sans" w:hAnsi="Ecofont_Spranq_eco_Sans" w:eastAsia="Times New Roman" w:cs="Mangal"/>
      <w:b/>
      <w:bCs/>
      <w:sz w:val="18"/>
      <w:szCs w:val="18"/>
      <w:lang w:bidi="hi-IN"/>
    </w:rPr>
  </w:style>
  <w:style w:type="character" w:styleId="1621" w:customStyle="1">
    <w:name w:val="Assunto do comentário Char252"/>
    <w:uiPriority w:val="99"/>
    <w:semiHidden/>
    <w:qFormat/>
    <w:pPr>
      <w:pBdr/>
      <w:spacing/>
      <w:ind/>
    </w:pPr>
    <w:rPr>
      <w:rFonts w:ascii="Ecofont_Spranq_eco_Sans" w:hAnsi="Ecofont_Spranq_eco_Sans" w:eastAsia="Times New Roman" w:cs="Mangal"/>
      <w:b/>
      <w:bCs/>
      <w:sz w:val="18"/>
      <w:szCs w:val="18"/>
      <w:lang w:bidi="hi-IN"/>
    </w:rPr>
  </w:style>
  <w:style w:type="character" w:styleId="1622" w:customStyle="1">
    <w:name w:val="Assunto do comentário Char251"/>
    <w:uiPriority w:val="99"/>
    <w:semiHidden/>
    <w:qFormat/>
    <w:pPr>
      <w:pBdr/>
      <w:spacing/>
      <w:ind/>
    </w:pPr>
    <w:rPr>
      <w:rFonts w:ascii="Ecofont_Spranq_eco_Sans" w:hAnsi="Ecofont_Spranq_eco_Sans" w:eastAsia="Times New Roman" w:cs="Mangal"/>
      <w:b/>
      <w:bCs/>
      <w:sz w:val="18"/>
      <w:szCs w:val="18"/>
      <w:lang w:bidi="hi-IN"/>
    </w:rPr>
  </w:style>
  <w:style w:type="character" w:styleId="1623" w:customStyle="1">
    <w:name w:val="Assunto do comentário Char250"/>
    <w:uiPriority w:val="99"/>
    <w:semiHidden/>
    <w:qFormat/>
    <w:pPr>
      <w:pBdr/>
      <w:spacing/>
      <w:ind/>
    </w:pPr>
    <w:rPr>
      <w:rFonts w:ascii="Ecofont_Spranq_eco_Sans" w:hAnsi="Ecofont_Spranq_eco_Sans" w:eastAsia="Times New Roman" w:cs="Mangal"/>
      <w:b/>
      <w:bCs/>
      <w:sz w:val="18"/>
      <w:szCs w:val="18"/>
      <w:lang w:bidi="hi-IN"/>
    </w:rPr>
  </w:style>
  <w:style w:type="character" w:styleId="1624" w:customStyle="1">
    <w:name w:val="Assunto do comentário Char249"/>
    <w:uiPriority w:val="99"/>
    <w:semiHidden/>
    <w:qFormat/>
    <w:pPr>
      <w:pBdr/>
      <w:spacing/>
      <w:ind/>
    </w:pPr>
    <w:rPr>
      <w:rFonts w:ascii="Ecofont_Spranq_eco_Sans" w:hAnsi="Ecofont_Spranq_eco_Sans" w:eastAsia="Times New Roman" w:cs="Mangal"/>
      <w:b/>
      <w:bCs/>
      <w:sz w:val="18"/>
      <w:szCs w:val="18"/>
      <w:lang w:bidi="hi-IN"/>
    </w:rPr>
  </w:style>
  <w:style w:type="character" w:styleId="1625" w:customStyle="1">
    <w:name w:val="Assunto do comentário Char248"/>
    <w:uiPriority w:val="99"/>
    <w:semiHidden/>
    <w:qFormat/>
    <w:pPr>
      <w:pBdr/>
      <w:spacing/>
      <w:ind/>
    </w:pPr>
    <w:rPr>
      <w:rFonts w:ascii="Ecofont_Spranq_eco_Sans" w:hAnsi="Ecofont_Spranq_eco_Sans" w:eastAsia="Times New Roman" w:cs="Mangal"/>
      <w:b/>
      <w:bCs/>
      <w:sz w:val="18"/>
      <w:szCs w:val="18"/>
      <w:lang w:bidi="hi-IN"/>
    </w:rPr>
  </w:style>
  <w:style w:type="character" w:styleId="1626" w:customStyle="1">
    <w:name w:val="Assunto do comentário Char247"/>
    <w:uiPriority w:val="99"/>
    <w:semiHidden/>
    <w:qFormat/>
    <w:pPr>
      <w:pBdr/>
      <w:spacing/>
      <w:ind/>
    </w:pPr>
    <w:rPr>
      <w:rFonts w:ascii="Ecofont_Spranq_eco_Sans" w:hAnsi="Ecofont_Spranq_eco_Sans" w:eastAsia="Times New Roman" w:cs="Mangal"/>
      <w:b/>
      <w:bCs/>
      <w:sz w:val="18"/>
      <w:szCs w:val="18"/>
      <w:lang w:bidi="hi-IN"/>
    </w:rPr>
  </w:style>
  <w:style w:type="character" w:styleId="1627" w:customStyle="1">
    <w:name w:val="Assunto do comentário Char246"/>
    <w:uiPriority w:val="99"/>
    <w:semiHidden/>
    <w:qFormat/>
    <w:pPr>
      <w:pBdr/>
      <w:spacing/>
      <w:ind/>
    </w:pPr>
    <w:rPr>
      <w:rFonts w:ascii="Ecofont_Spranq_eco_Sans" w:hAnsi="Ecofont_Spranq_eco_Sans" w:eastAsia="Times New Roman" w:cs="Mangal"/>
      <w:b/>
      <w:bCs/>
      <w:sz w:val="18"/>
      <w:szCs w:val="18"/>
      <w:lang w:bidi="hi-IN"/>
    </w:rPr>
  </w:style>
  <w:style w:type="character" w:styleId="1628" w:customStyle="1">
    <w:name w:val="Assunto do comentário Char245"/>
    <w:uiPriority w:val="99"/>
    <w:semiHidden/>
    <w:qFormat/>
    <w:pPr>
      <w:pBdr/>
      <w:spacing/>
      <w:ind/>
    </w:pPr>
    <w:rPr>
      <w:rFonts w:ascii="Ecofont_Spranq_eco_Sans" w:hAnsi="Ecofont_Spranq_eco_Sans" w:eastAsia="Times New Roman" w:cs="Mangal"/>
      <w:b/>
      <w:bCs/>
      <w:sz w:val="18"/>
      <w:szCs w:val="18"/>
      <w:lang w:bidi="hi-IN"/>
    </w:rPr>
  </w:style>
  <w:style w:type="character" w:styleId="1629" w:customStyle="1">
    <w:name w:val="Assunto do comentário Char244"/>
    <w:uiPriority w:val="99"/>
    <w:semiHidden/>
    <w:qFormat/>
    <w:pPr>
      <w:pBdr/>
      <w:spacing/>
      <w:ind/>
    </w:pPr>
    <w:rPr>
      <w:rFonts w:ascii="Ecofont_Spranq_eco_Sans" w:hAnsi="Ecofont_Spranq_eco_Sans" w:eastAsia="Times New Roman" w:cs="Mangal"/>
      <w:b/>
      <w:bCs/>
      <w:sz w:val="18"/>
      <w:szCs w:val="18"/>
      <w:lang w:bidi="hi-IN"/>
    </w:rPr>
  </w:style>
  <w:style w:type="character" w:styleId="1630" w:customStyle="1">
    <w:name w:val="Assunto do comentário Char243"/>
    <w:uiPriority w:val="99"/>
    <w:semiHidden/>
    <w:qFormat/>
    <w:pPr>
      <w:pBdr/>
      <w:spacing/>
      <w:ind/>
    </w:pPr>
    <w:rPr>
      <w:rFonts w:ascii="Ecofont_Spranq_eco_Sans" w:hAnsi="Ecofont_Spranq_eco_Sans" w:eastAsia="Times New Roman" w:cs="Mangal"/>
      <w:b/>
      <w:bCs/>
      <w:sz w:val="18"/>
      <w:szCs w:val="18"/>
      <w:lang w:bidi="hi-IN"/>
    </w:rPr>
  </w:style>
  <w:style w:type="character" w:styleId="1631" w:customStyle="1">
    <w:name w:val="Assunto do comentário Char242"/>
    <w:uiPriority w:val="99"/>
    <w:semiHidden/>
    <w:qFormat/>
    <w:pPr>
      <w:pBdr/>
      <w:spacing/>
      <w:ind/>
    </w:pPr>
    <w:rPr>
      <w:rFonts w:ascii="Ecofont_Spranq_eco_Sans" w:hAnsi="Ecofont_Spranq_eco_Sans" w:eastAsia="Times New Roman" w:cs="Mangal"/>
      <w:b/>
      <w:bCs/>
      <w:sz w:val="18"/>
      <w:szCs w:val="18"/>
      <w:lang w:bidi="hi-IN"/>
    </w:rPr>
  </w:style>
  <w:style w:type="character" w:styleId="1632" w:customStyle="1">
    <w:name w:val="Assunto do comentário Char241"/>
    <w:uiPriority w:val="99"/>
    <w:semiHidden/>
    <w:qFormat/>
    <w:pPr>
      <w:pBdr/>
      <w:spacing/>
      <w:ind/>
    </w:pPr>
    <w:rPr>
      <w:rFonts w:ascii="Ecofont_Spranq_eco_Sans" w:hAnsi="Ecofont_Spranq_eco_Sans" w:eastAsia="Times New Roman" w:cs="Mangal"/>
      <w:b/>
      <w:bCs/>
      <w:sz w:val="18"/>
      <w:szCs w:val="18"/>
      <w:lang w:bidi="hi-IN"/>
    </w:rPr>
  </w:style>
  <w:style w:type="character" w:styleId="1633" w:customStyle="1">
    <w:name w:val="Assunto do comentário Char240"/>
    <w:uiPriority w:val="99"/>
    <w:semiHidden/>
    <w:qFormat/>
    <w:pPr>
      <w:pBdr/>
      <w:spacing/>
      <w:ind/>
    </w:pPr>
    <w:rPr>
      <w:rFonts w:ascii="Ecofont_Spranq_eco_Sans" w:hAnsi="Ecofont_Spranq_eco_Sans" w:eastAsia="Times New Roman" w:cs="Mangal"/>
      <w:b/>
      <w:bCs/>
      <w:sz w:val="18"/>
      <w:szCs w:val="18"/>
      <w:lang w:bidi="hi-IN"/>
    </w:rPr>
  </w:style>
  <w:style w:type="character" w:styleId="1634" w:customStyle="1">
    <w:name w:val="Assunto do comentário Char239"/>
    <w:uiPriority w:val="99"/>
    <w:semiHidden/>
    <w:qFormat/>
    <w:pPr>
      <w:pBdr/>
      <w:spacing/>
      <w:ind/>
    </w:pPr>
    <w:rPr>
      <w:rFonts w:ascii="Ecofont_Spranq_eco_Sans" w:hAnsi="Ecofont_Spranq_eco_Sans" w:eastAsia="Times New Roman" w:cs="Mangal"/>
      <w:b/>
      <w:bCs/>
      <w:sz w:val="18"/>
      <w:szCs w:val="18"/>
      <w:lang w:bidi="hi-IN"/>
    </w:rPr>
  </w:style>
  <w:style w:type="character" w:styleId="1635" w:customStyle="1">
    <w:name w:val="Assunto do comentário Char238"/>
    <w:uiPriority w:val="99"/>
    <w:semiHidden/>
    <w:qFormat/>
    <w:pPr>
      <w:pBdr/>
      <w:spacing/>
      <w:ind/>
    </w:pPr>
    <w:rPr>
      <w:rFonts w:ascii="Ecofont_Spranq_eco_Sans" w:hAnsi="Ecofont_Spranq_eco_Sans" w:eastAsia="Times New Roman" w:cs="Mangal"/>
      <w:b/>
      <w:bCs/>
      <w:sz w:val="18"/>
      <w:szCs w:val="18"/>
      <w:lang w:bidi="hi-IN"/>
    </w:rPr>
  </w:style>
  <w:style w:type="character" w:styleId="1636" w:customStyle="1">
    <w:name w:val="Assunto do comentário Char237"/>
    <w:uiPriority w:val="99"/>
    <w:semiHidden/>
    <w:qFormat/>
    <w:pPr>
      <w:pBdr/>
      <w:spacing/>
      <w:ind/>
    </w:pPr>
    <w:rPr>
      <w:rFonts w:ascii="Ecofont_Spranq_eco_Sans" w:hAnsi="Ecofont_Spranq_eco_Sans" w:eastAsia="Times New Roman" w:cs="Mangal"/>
      <w:b/>
      <w:bCs/>
      <w:sz w:val="18"/>
      <w:szCs w:val="18"/>
      <w:lang w:bidi="hi-IN"/>
    </w:rPr>
  </w:style>
  <w:style w:type="character" w:styleId="1637" w:customStyle="1">
    <w:name w:val="Assunto do comentário Char236"/>
    <w:uiPriority w:val="99"/>
    <w:semiHidden/>
    <w:qFormat/>
    <w:pPr>
      <w:pBdr/>
      <w:spacing/>
      <w:ind/>
    </w:pPr>
    <w:rPr>
      <w:rFonts w:ascii="Ecofont_Spranq_eco_Sans" w:hAnsi="Ecofont_Spranq_eco_Sans" w:eastAsia="Times New Roman" w:cs="Mangal"/>
      <w:b/>
      <w:bCs/>
      <w:sz w:val="18"/>
      <w:szCs w:val="18"/>
      <w:lang w:bidi="hi-IN"/>
    </w:rPr>
  </w:style>
  <w:style w:type="character" w:styleId="1638" w:customStyle="1">
    <w:name w:val="Assunto do comentário Char235"/>
    <w:uiPriority w:val="99"/>
    <w:semiHidden/>
    <w:qFormat/>
    <w:pPr>
      <w:pBdr/>
      <w:spacing/>
      <w:ind/>
    </w:pPr>
    <w:rPr>
      <w:rFonts w:ascii="Ecofont_Spranq_eco_Sans" w:hAnsi="Ecofont_Spranq_eco_Sans" w:eastAsia="Times New Roman" w:cs="Mangal"/>
      <w:b/>
      <w:bCs/>
      <w:sz w:val="18"/>
      <w:szCs w:val="18"/>
      <w:lang w:bidi="hi-IN"/>
    </w:rPr>
  </w:style>
  <w:style w:type="character" w:styleId="1639" w:customStyle="1">
    <w:name w:val="Assunto do comentário Char234"/>
    <w:uiPriority w:val="99"/>
    <w:semiHidden/>
    <w:qFormat/>
    <w:pPr>
      <w:pBdr/>
      <w:spacing/>
      <w:ind/>
    </w:pPr>
    <w:rPr>
      <w:rFonts w:ascii="Ecofont_Spranq_eco_Sans" w:hAnsi="Ecofont_Spranq_eco_Sans" w:eastAsia="Times New Roman" w:cs="Mangal"/>
      <w:b/>
      <w:bCs/>
      <w:sz w:val="18"/>
      <w:szCs w:val="18"/>
      <w:lang w:bidi="hi-IN"/>
    </w:rPr>
  </w:style>
  <w:style w:type="character" w:styleId="1640" w:customStyle="1">
    <w:name w:val="Assunto do comentário Char233"/>
    <w:uiPriority w:val="99"/>
    <w:semiHidden/>
    <w:qFormat/>
    <w:pPr>
      <w:pBdr/>
      <w:spacing/>
      <w:ind/>
    </w:pPr>
    <w:rPr>
      <w:rFonts w:ascii="Ecofont_Spranq_eco_Sans" w:hAnsi="Ecofont_Spranq_eco_Sans" w:eastAsia="Times New Roman" w:cs="Mangal"/>
      <w:b/>
      <w:bCs/>
      <w:sz w:val="18"/>
      <w:szCs w:val="18"/>
      <w:lang w:bidi="hi-IN"/>
    </w:rPr>
  </w:style>
  <w:style w:type="character" w:styleId="1641" w:customStyle="1">
    <w:name w:val="Assunto do comentário Char232"/>
    <w:uiPriority w:val="99"/>
    <w:semiHidden/>
    <w:qFormat/>
    <w:pPr>
      <w:pBdr/>
      <w:spacing/>
      <w:ind/>
    </w:pPr>
    <w:rPr>
      <w:rFonts w:ascii="Ecofont_Spranq_eco_Sans" w:hAnsi="Ecofont_Spranq_eco_Sans" w:eastAsia="Times New Roman" w:cs="Mangal"/>
      <w:b/>
      <w:bCs/>
      <w:sz w:val="18"/>
      <w:szCs w:val="18"/>
      <w:lang w:bidi="hi-IN"/>
    </w:rPr>
  </w:style>
  <w:style w:type="character" w:styleId="1642" w:customStyle="1">
    <w:name w:val="Assunto do comentário Char231"/>
    <w:uiPriority w:val="99"/>
    <w:semiHidden/>
    <w:qFormat/>
    <w:pPr>
      <w:pBdr/>
      <w:spacing/>
      <w:ind/>
    </w:pPr>
    <w:rPr>
      <w:rFonts w:ascii="Ecofont_Spranq_eco_Sans" w:hAnsi="Ecofont_Spranq_eco_Sans" w:eastAsia="Times New Roman" w:cs="Mangal"/>
      <w:b/>
      <w:bCs/>
      <w:sz w:val="18"/>
      <w:szCs w:val="18"/>
      <w:lang w:bidi="hi-IN"/>
    </w:rPr>
  </w:style>
  <w:style w:type="character" w:styleId="1643" w:customStyle="1">
    <w:name w:val="Assunto do comentário Char230"/>
    <w:uiPriority w:val="99"/>
    <w:semiHidden/>
    <w:qFormat/>
    <w:pPr>
      <w:pBdr/>
      <w:spacing/>
      <w:ind/>
    </w:pPr>
    <w:rPr>
      <w:rFonts w:ascii="Ecofont_Spranq_eco_Sans" w:hAnsi="Ecofont_Spranq_eco_Sans" w:eastAsia="Times New Roman" w:cs="Mangal"/>
      <w:b/>
      <w:bCs/>
      <w:sz w:val="18"/>
      <w:szCs w:val="18"/>
      <w:lang w:bidi="hi-IN"/>
    </w:rPr>
  </w:style>
  <w:style w:type="character" w:styleId="1644" w:customStyle="1">
    <w:name w:val="Assunto do comentário Char229"/>
    <w:uiPriority w:val="99"/>
    <w:semiHidden/>
    <w:qFormat/>
    <w:pPr>
      <w:pBdr/>
      <w:spacing/>
      <w:ind/>
    </w:pPr>
    <w:rPr>
      <w:rFonts w:ascii="Ecofont_Spranq_eco_Sans" w:hAnsi="Ecofont_Spranq_eco_Sans" w:eastAsia="Times New Roman" w:cs="Mangal"/>
      <w:b/>
      <w:bCs/>
      <w:sz w:val="18"/>
      <w:szCs w:val="18"/>
      <w:lang w:bidi="hi-IN"/>
    </w:rPr>
  </w:style>
  <w:style w:type="character" w:styleId="1645" w:customStyle="1">
    <w:name w:val="Assunto do comentário Char228"/>
    <w:uiPriority w:val="99"/>
    <w:semiHidden/>
    <w:qFormat/>
    <w:pPr>
      <w:pBdr/>
      <w:spacing/>
      <w:ind/>
    </w:pPr>
    <w:rPr>
      <w:rFonts w:ascii="Ecofont_Spranq_eco_Sans" w:hAnsi="Ecofont_Spranq_eco_Sans" w:eastAsia="Times New Roman" w:cs="Mangal"/>
      <w:b/>
      <w:bCs/>
      <w:sz w:val="18"/>
      <w:szCs w:val="18"/>
      <w:lang w:bidi="hi-IN"/>
    </w:rPr>
  </w:style>
  <w:style w:type="character" w:styleId="1646" w:customStyle="1">
    <w:name w:val="Assunto do comentário Char227"/>
    <w:uiPriority w:val="99"/>
    <w:semiHidden/>
    <w:qFormat/>
    <w:pPr>
      <w:pBdr/>
      <w:spacing/>
      <w:ind/>
    </w:pPr>
    <w:rPr>
      <w:rFonts w:ascii="Ecofont_Spranq_eco_Sans" w:hAnsi="Ecofont_Spranq_eco_Sans" w:eastAsia="Times New Roman" w:cs="Mangal"/>
      <w:b/>
      <w:bCs/>
      <w:sz w:val="18"/>
      <w:szCs w:val="18"/>
      <w:lang w:bidi="hi-IN"/>
    </w:rPr>
  </w:style>
  <w:style w:type="character" w:styleId="1647" w:customStyle="1">
    <w:name w:val="Assunto do comentário Char226"/>
    <w:uiPriority w:val="99"/>
    <w:semiHidden/>
    <w:qFormat/>
    <w:pPr>
      <w:pBdr/>
      <w:spacing/>
      <w:ind/>
    </w:pPr>
    <w:rPr>
      <w:rFonts w:ascii="Ecofont_Spranq_eco_Sans" w:hAnsi="Ecofont_Spranq_eco_Sans" w:eastAsia="Times New Roman" w:cs="Mangal"/>
      <w:b/>
      <w:bCs/>
      <w:sz w:val="18"/>
      <w:szCs w:val="18"/>
      <w:lang w:bidi="hi-IN"/>
    </w:rPr>
  </w:style>
  <w:style w:type="character" w:styleId="1648" w:customStyle="1">
    <w:name w:val="Assunto do comentário Char225"/>
    <w:uiPriority w:val="99"/>
    <w:semiHidden/>
    <w:qFormat/>
    <w:pPr>
      <w:pBdr/>
      <w:spacing/>
      <w:ind/>
    </w:pPr>
    <w:rPr>
      <w:rFonts w:ascii="Ecofont_Spranq_eco_Sans" w:hAnsi="Ecofont_Spranq_eco_Sans" w:eastAsia="Times New Roman" w:cs="Mangal"/>
      <w:b/>
      <w:bCs/>
      <w:sz w:val="18"/>
      <w:szCs w:val="18"/>
      <w:lang w:bidi="hi-IN"/>
    </w:rPr>
  </w:style>
  <w:style w:type="character" w:styleId="1649" w:customStyle="1">
    <w:name w:val="Assunto do comentário Char224"/>
    <w:uiPriority w:val="99"/>
    <w:semiHidden/>
    <w:qFormat/>
    <w:pPr>
      <w:pBdr/>
      <w:spacing/>
      <w:ind/>
    </w:pPr>
    <w:rPr>
      <w:rFonts w:ascii="Ecofont_Spranq_eco_Sans" w:hAnsi="Ecofont_Spranq_eco_Sans" w:eastAsia="Times New Roman" w:cs="Mangal"/>
      <w:b/>
      <w:bCs/>
      <w:sz w:val="18"/>
      <w:szCs w:val="18"/>
      <w:lang w:bidi="hi-IN"/>
    </w:rPr>
  </w:style>
  <w:style w:type="character" w:styleId="1650" w:customStyle="1">
    <w:name w:val="Assunto do comentário Char223"/>
    <w:uiPriority w:val="99"/>
    <w:semiHidden/>
    <w:qFormat/>
    <w:pPr>
      <w:pBdr/>
      <w:spacing/>
      <w:ind/>
    </w:pPr>
    <w:rPr>
      <w:rFonts w:ascii="Ecofont_Spranq_eco_Sans" w:hAnsi="Ecofont_Spranq_eco_Sans" w:eastAsia="Times New Roman" w:cs="Mangal"/>
      <w:b/>
      <w:bCs/>
      <w:sz w:val="18"/>
      <w:szCs w:val="18"/>
      <w:lang w:bidi="hi-IN"/>
    </w:rPr>
  </w:style>
  <w:style w:type="character" w:styleId="1651" w:customStyle="1">
    <w:name w:val="Assunto do comentário Char222"/>
    <w:uiPriority w:val="99"/>
    <w:semiHidden/>
    <w:qFormat/>
    <w:pPr>
      <w:pBdr/>
      <w:spacing/>
      <w:ind/>
    </w:pPr>
    <w:rPr>
      <w:rFonts w:ascii="Ecofont_Spranq_eco_Sans" w:hAnsi="Ecofont_Spranq_eco_Sans" w:eastAsia="Times New Roman" w:cs="Mangal"/>
      <w:b/>
      <w:bCs/>
      <w:sz w:val="18"/>
      <w:szCs w:val="18"/>
      <w:lang w:bidi="hi-IN"/>
    </w:rPr>
  </w:style>
  <w:style w:type="character" w:styleId="1652" w:customStyle="1">
    <w:name w:val="Assunto do comentário Char221"/>
    <w:uiPriority w:val="99"/>
    <w:semiHidden/>
    <w:qFormat/>
    <w:pPr>
      <w:pBdr/>
      <w:spacing/>
      <w:ind/>
    </w:pPr>
    <w:rPr>
      <w:rFonts w:ascii="Ecofont_Spranq_eco_Sans" w:hAnsi="Ecofont_Spranq_eco_Sans" w:eastAsia="Times New Roman" w:cs="Mangal"/>
      <w:b/>
      <w:bCs/>
      <w:sz w:val="18"/>
      <w:szCs w:val="18"/>
      <w:lang w:bidi="hi-IN"/>
    </w:rPr>
  </w:style>
  <w:style w:type="character" w:styleId="1653" w:customStyle="1">
    <w:name w:val="Assunto do comentário Char220"/>
    <w:uiPriority w:val="99"/>
    <w:semiHidden/>
    <w:qFormat/>
    <w:pPr>
      <w:pBdr/>
      <w:spacing/>
      <w:ind/>
    </w:pPr>
    <w:rPr>
      <w:rFonts w:ascii="Ecofont_Spranq_eco_Sans" w:hAnsi="Ecofont_Spranq_eco_Sans" w:eastAsia="Times New Roman" w:cs="Mangal"/>
      <w:b/>
      <w:bCs/>
      <w:sz w:val="18"/>
      <w:szCs w:val="18"/>
      <w:lang w:bidi="hi-IN"/>
    </w:rPr>
  </w:style>
  <w:style w:type="character" w:styleId="1654" w:customStyle="1">
    <w:name w:val="Assunto do comentário Char219"/>
    <w:uiPriority w:val="99"/>
    <w:semiHidden/>
    <w:qFormat/>
    <w:pPr>
      <w:pBdr/>
      <w:spacing/>
      <w:ind/>
    </w:pPr>
    <w:rPr>
      <w:rFonts w:ascii="Ecofont_Spranq_eco_Sans" w:hAnsi="Ecofont_Spranq_eco_Sans" w:eastAsia="Times New Roman" w:cs="Mangal"/>
      <w:b/>
      <w:bCs/>
      <w:sz w:val="18"/>
      <w:szCs w:val="18"/>
      <w:lang w:bidi="hi-IN"/>
    </w:rPr>
  </w:style>
  <w:style w:type="character" w:styleId="1655" w:customStyle="1">
    <w:name w:val="Assunto do comentário Char218"/>
    <w:uiPriority w:val="99"/>
    <w:semiHidden/>
    <w:qFormat/>
    <w:pPr>
      <w:pBdr/>
      <w:spacing/>
      <w:ind/>
    </w:pPr>
    <w:rPr>
      <w:rFonts w:ascii="Ecofont_Spranq_eco_Sans" w:hAnsi="Ecofont_Spranq_eco_Sans" w:eastAsia="Times New Roman" w:cs="Mangal"/>
      <w:b/>
      <w:bCs/>
      <w:sz w:val="18"/>
      <w:szCs w:val="18"/>
      <w:lang w:bidi="hi-IN"/>
    </w:rPr>
  </w:style>
  <w:style w:type="character" w:styleId="1656" w:customStyle="1">
    <w:name w:val="Assunto do comentário Char217"/>
    <w:uiPriority w:val="99"/>
    <w:semiHidden/>
    <w:qFormat/>
    <w:pPr>
      <w:pBdr/>
      <w:spacing/>
      <w:ind/>
    </w:pPr>
    <w:rPr>
      <w:rFonts w:ascii="Ecofont_Spranq_eco_Sans" w:hAnsi="Ecofont_Spranq_eco_Sans" w:eastAsia="Times New Roman" w:cs="Mangal"/>
      <w:b/>
      <w:bCs/>
      <w:sz w:val="18"/>
      <w:szCs w:val="18"/>
      <w:lang w:bidi="hi-IN"/>
    </w:rPr>
  </w:style>
  <w:style w:type="character" w:styleId="1657" w:customStyle="1">
    <w:name w:val="Assunto do comentário Char216"/>
    <w:uiPriority w:val="99"/>
    <w:semiHidden/>
    <w:qFormat/>
    <w:pPr>
      <w:pBdr/>
      <w:spacing/>
      <w:ind/>
    </w:pPr>
    <w:rPr>
      <w:rFonts w:ascii="Ecofont_Spranq_eco_Sans" w:hAnsi="Ecofont_Spranq_eco_Sans" w:eastAsia="Times New Roman" w:cs="Mangal"/>
      <w:b/>
      <w:bCs/>
      <w:sz w:val="18"/>
      <w:szCs w:val="18"/>
      <w:lang w:bidi="hi-IN"/>
    </w:rPr>
  </w:style>
  <w:style w:type="character" w:styleId="1658" w:customStyle="1">
    <w:name w:val="Assunto do comentário Char215"/>
    <w:uiPriority w:val="99"/>
    <w:semiHidden/>
    <w:qFormat/>
    <w:pPr>
      <w:pBdr/>
      <w:spacing/>
      <w:ind/>
    </w:pPr>
    <w:rPr>
      <w:rFonts w:ascii="Ecofont_Spranq_eco_Sans" w:hAnsi="Ecofont_Spranq_eco_Sans" w:eastAsia="Times New Roman" w:cs="Mangal"/>
      <w:b/>
      <w:bCs/>
      <w:sz w:val="18"/>
      <w:szCs w:val="18"/>
      <w:lang w:bidi="hi-IN"/>
    </w:rPr>
  </w:style>
  <w:style w:type="character" w:styleId="1659" w:customStyle="1">
    <w:name w:val="Assunto do comentário Char214"/>
    <w:uiPriority w:val="99"/>
    <w:semiHidden/>
    <w:qFormat/>
    <w:pPr>
      <w:pBdr/>
      <w:spacing/>
      <w:ind/>
    </w:pPr>
    <w:rPr>
      <w:rFonts w:ascii="Ecofont_Spranq_eco_Sans" w:hAnsi="Ecofont_Spranq_eco_Sans" w:eastAsia="Times New Roman" w:cs="Mangal"/>
      <w:b/>
      <w:bCs/>
      <w:sz w:val="18"/>
      <w:szCs w:val="18"/>
      <w:lang w:bidi="hi-IN"/>
    </w:rPr>
  </w:style>
  <w:style w:type="character" w:styleId="1660" w:customStyle="1">
    <w:name w:val="Assunto do comentário Char213"/>
    <w:uiPriority w:val="99"/>
    <w:semiHidden/>
    <w:qFormat/>
    <w:pPr>
      <w:pBdr/>
      <w:spacing/>
      <w:ind/>
    </w:pPr>
    <w:rPr>
      <w:rFonts w:ascii="Ecofont_Spranq_eco_Sans" w:hAnsi="Ecofont_Spranq_eco_Sans" w:eastAsia="Times New Roman" w:cs="Mangal"/>
      <w:b/>
      <w:bCs/>
      <w:sz w:val="18"/>
      <w:szCs w:val="18"/>
      <w:lang w:bidi="hi-IN"/>
    </w:rPr>
  </w:style>
  <w:style w:type="character" w:styleId="1661" w:customStyle="1">
    <w:name w:val="Assunto do comentário Char212"/>
    <w:uiPriority w:val="99"/>
    <w:semiHidden/>
    <w:qFormat/>
    <w:pPr>
      <w:pBdr/>
      <w:spacing/>
      <w:ind/>
    </w:pPr>
    <w:rPr>
      <w:rFonts w:ascii="Ecofont_Spranq_eco_Sans" w:hAnsi="Ecofont_Spranq_eco_Sans" w:eastAsia="Times New Roman" w:cs="Mangal"/>
      <w:b/>
      <w:bCs/>
      <w:sz w:val="18"/>
      <w:szCs w:val="18"/>
      <w:lang w:bidi="hi-IN"/>
    </w:rPr>
  </w:style>
  <w:style w:type="character" w:styleId="1662" w:customStyle="1">
    <w:name w:val="Assunto do comentário Char211"/>
    <w:uiPriority w:val="99"/>
    <w:semiHidden/>
    <w:qFormat/>
    <w:pPr>
      <w:pBdr/>
      <w:spacing/>
      <w:ind/>
    </w:pPr>
    <w:rPr>
      <w:rFonts w:ascii="Ecofont_Spranq_eco_Sans" w:hAnsi="Ecofont_Spranq_eco_Sans" w:eastAsia="Times New Roman" w:cs="Mangal"/>
      <w:b/>
      <w:bCs/>
      <w:sz w:val="18"/>
      <w:szCs w:val="18"/>
      <w:lang w:bidi="hi-IN"/>
    </w:rPr>
  </w:style>
  <w:style w:type="character" w:styleId="1663" w:customStyle="1">
    <w:name w:val="Recuo de corpo de texto 2 Char4"/>
    <w:uiPriority w:val="99"/>
    <w:semiHidden/>
    <w:qFormat/>
    <w:pPr>
      <w:pBdr/>
      <w:spacing/>
      <w:ind/>
    </w:pPr>
    <w:rPr>
      <w:lang w:eastAsia="zh-CN"/>
    </w:rPr>
  </w:style>
  <w:style w:type="character" w:styleId="1664" w:customStyle="1">
    <w:name w:val="Recuo de corpo de texto 2 Char377"/>
    <w:uiPriority w:val="99"/>
    <w:semiHidden/>
    <w:qFormat/>
    <w:pPr>
      <w:pBdr/>
      <w:spacing/>
      <w:ind/>
    </w:pPr>
    <w:rPr>
      <w:rFonts w:eastAsia="Times New Roman" w:cs="Mangal"/>
      <w:sz w:val="18"/>
      <w:szCs w:val="18"/>
      <w:lang w:bidi="hi-IN"/>
    </w:rPr>
  </w:style>
  <w:style w:type="character" w:styleId="1665" w:customStyle="1">
    <w:name w:val="Recuo de corpo de texto 2 Char376"/>
    <w:uiPriority w:val="99"/>
    <w:semiHidden/>
    <w:qFormat/>
    <w:pPr>
      <w:pBdr/>
      <w:spacing/>
      <w:ind/>
    </w:pPr>
    <w:rPr>
      <w:rFonts w:eastAsia="Times New Roman" w:cs="Mangal"/>
      <w:sz w:val="18"/>
      <w:szCs w:val="18"/>
      <w:lang w:bidi="hi-IN"/>
    </w:rPr>
  </w:style>
  <w:style w:type="character" w:styleId="1666" w:customStyle="1">
    <w:name w:val="Recuo de corpo de texto 2 Char375"/>
    <w:uiPriority w:val="99"/>
    <w:semiHidden/>
    <w:qFormat/>
    <w:pPr>
      <w:pBdr/>
      <w:spacing/>
      <w:ind/>
    </w:pPr>
    <w:rPr>
      <w:rFonts w:eastAsia="Times New Roman" w:cs="Mangal"/>
      <w:sz w:val="18"/>
      <w:szCs w:val="18"/>
      <w:lang w:bidi="hi-IN"/>
    </w:rPr>
  </w:style>
  <w:style w:type="character" w:styleId="1667" w:customStyle="1">
    <w:name w:val="Recuo de corpo de texto 2 Char374"/>
    <w:uiPriority w:val="99"/>
    <w:semiHidden/>
    <w:qFormat/>
    <w:pPr>
      <w:pBdr/>
      <w:spacing/>
      <w:ind/>
    </w:pPr>
    <w:rPr>
      <w:rFonts w:eastAsia="Times New Roman" w:cs="Mangal"/>
      <w:sz w:val="18"/>
      <w:szCs w:val="18"/>
      <w:lang w:bidi="hi-IN"/>
    </w:rPr>
  </w:style>
  <w:style w:type="character" w:styleId="1668" w:customStyle="1">
    <w:name w:val="Recuo de corpo de texto 2 Char373"/>
    <w:uiPriority w:val="99"/>
    <w:semiHidden/>
    <w:qFormat/>
    <w:pPr>
      <w:pBdr/>
      <w:spacing/>
      <w:ind/>
    </w:pPr>
    <w:rPr>
      <w:rFonts w:eastAsia="Times New Roman" w:cs="Mangal"/>
      <w:sz w:val="18"/>
      <w:szCs w:val="18"/>
      <w:lang w:bidi="hi-IN"/>
    </w:rPr>
  </w:style>
  <w:style w:type="character" w:styleId="1669" w:customStyle="1">
    <w:name w:val="Recuo de corpo de texto 2 Char372"/>
    <w:uiPriority w:val="99"/>
    <w:semiHidden/>
    <w:qFormat/>
    <w:pPr>
      <w:pBdr/>
      <w:spacing/>
      <w:ind/>
    </w:pPr>
    <w:rPr>
      <w:rFonts w:eastAsia="Times New Roman" w:cs="Mangal"/>
      <w:sz w:val="18"/>
      <w:szCs w:val="18"/>
      <w:lang w:bidi="hi-IN"/>
    </w:rPr>
  </w:style>
  <w:style w:type="character" w:styleId="1670" w:customStyle="1">
    <w:name w:val="Recuo de corpo de texto 2 Char371"/>
    <w:uiPriority w:val="99"/>
    <w:semiHidden/>
    <w:qFormat/>
    <w:pPr>
      <w:pBdr/>
      <w:spacing/>
      <w:ind/>
    </w:pPr>
    <w:rPr>
      <w:rFonts w:eastAsia="Times New Roman" w:cs="Mangal"/>
      <w:sz w:val="18"/>
      <w:szCs w:val="18"/>
      <w:lang w:bidi="hi-IN"/>
    </w:rPr>
  </w:style>
  <w:style w:type="character" w:styleId="1671" w:customStyle="1">
    <w:name w:val="Recuo de corpo de texto 2 Char370"/>
    <w:uiPriority w:val="99"/>
    <w:semiHidden/>
    <w:qFormat/>
    <w:pPr>
      <w:pBdr/>
      <w:spacing/>
      <w:ind/>
    </w:pPr>
    <w:rPr>
      <w:rFonts w:eastAsia="Times New Roman" w:cs="Mangal"/>
      <w:sz w:val="18"/>
      <w:szCs w:val="18"/>
      <w:lang w:bidi="hi-IN"/>
    </w:rPr>
  </w:style>
  <w:style w:type="character" w:styleId="1672" w:customStyle="1">
    <w:name w:val="Recuo de corpo de texto 2 Char369"/>
    <w:uiPriority w:val="99"/>
    <w:semiHidden/>
    <w:qFormat/>
    <w:pPr>
      <w:pBdr/>
      <w:spacing/>
      <w:ind/>
    </w:pPr>
    <w:rPr>
      <w:rFonts w:eastAsia="Times New Roman" w:cs="Mangal"/>
      <w:sz w:val="18"/>
      <w:szCs w:val="18"/>
      <w:lang w:bidi="hi-IN"/>
    </w:rPr>
  </w:style>
  <w:style w:type="character" w:styleId="1673" w:customStyle="1">
    <w:name w:val="Recuo de corpo de texto 2 Char368"/>
    <w:uiPriority w:val="99"/>
    <w:semiHidden/>
    <w:qFormat/>
    <w:pPr>
      <w:pBdr/>
      <w:spacing/>
      <w:ind/>
    </w:pPr>
    <w:rPr>
      <w:rFonts w:eastAsia="Times New Roman" w:cs="Mangal"/>
      <w:sz w:val="18"/>
      <w:szCs w:val="18"/>
      <w:lang w:bidi="hi-IN"/>
    </w:rPr>
  </w:style>
  <w:style w:type="character" w:styleId="1674" w:customStyle="1">
    <w:name w:val="Recuo de corpo de texto 2 Char367"/>
    <w:uiPriority w:val="99"/>
    <w:semiHidden/>
    <w:qFormat/>
    <w:pPr>
      <w:pBdr/>
      <w:spacing/>
      <w:ind/>
    </w:pPr>
    <w:rPr>
      <w:rFonts w:eastAsia="Times New Roman" w:cs="Mangal"/>
      <w:sz w:val="18"/>
      <w:szCs w:val="18"/>
      <w:lang w:bidi="hi-IN"/>
    </w:rPr>
  </w:style>
  <w:style w:type="character" w:styleId="1675" w:customStyle="1">
    <w:name w:val="Recuo de corpo de texto 2 Char366"/>
    <w:uiPriority w:val="99"/>
    <w:semiHidden/>
    <w:qFormat/>
    <w:pPr>
      <w:pBdr/>
      <w:spacing/>
      <w:ind/>
    </w:pPr>
    <w:rPr>
      <w:rFonts w:eastAsia="Times New Roman" w:cs="Mangal"/>
      <w:sz w:val="18"/>
      <w:szCs w:val="18"/>
      <w:lang w:bidi="hi-IN"/>
    </w:rPr>
  </w:style>
  <w:style w:type="character" w:styleId="1676" w:customStyle="1">
    <w:name w:val="Recuo de corpo de texto 2 Char365"/>
    <w:uiPriority w:val="99"/>
    <w:semiHidden/>
    <w:qFormat/>
    <w:pPr>
      <w:pBdr/>
      <w:spacing/>
      <w:ind/>
    </w:pPr>
    <w:rPr>
      <w:rFonts w:eastAsia="Times New Roman" w:cs="Mangal"/>
      <w:sz w:val="18"/>
      <w:szCs w:val="18"/>
      <w:lang w:bidi="hi-IN"/>
    </w:rPr>
  </w:style>
  <w:style w:type="character" w:styleId="1677" w:customStyle="1">
    <w:name w:val="Recuo de corpo de texto 2 Char364"/>
    <w:uiPriority w:val="99"/>
    <w:semiHidden/>
    <w:qFormat/>
    <w:pPr>
      <w:pBdr/>
      <w:spacing/>
      <w:ind/>
    </w:pPr>
    <w:rPr>
      <w:rFonts w:eastAsia="Times New Roman" w:cs="Mangal"/>
      <w:sz w:val="18"/>
      <w:szCs w:val="18"/>
      <w:lang w:bidi="hi-IN"/>
    </w:rPr>
  </w:style>
  <w:style w:type="character" w:styleId="1678" w:customStyle="1">
    <w:name w:val="Recuo de corpo de texto 2 Char363"/>
    <w:uiPriority w:val="99"/>
    <w:semiHidden/>
    <w:qFormat/>
    <w:pPr>
      <w:pBdr/>
      <w:spacing/>
      <w:ind/>
    </w:pPr>
    <w:rPr>
      <w:rFonts w:eastAsia="Times New Roman" w:cs="Mangal"/>
      <w:sz w:val="18"/>
      <w:szCs w:val="18"/>
      <w:lang w:bidi="hi-IN"/>
    </w:rPr>
  </w:style>
  <w:style w:type="character" w:styleId="1679" w:customStyle="1">
    <w:name w:val="Recuo de corpo de texto 2 Char362"/>
    <w:uiPriority w:val="99"/>
    <w:semiHidden/>
    <w:qFormat/>
    <w:pPr>
      <w:pBdr/>
      <w:spacing/>
      <w:ind/>
    </w:pPr>
    <w:rPr>
      <w:rFonts w:eastAsia="Times New Roman" w:cs="Mangal"/>
      <w:sz w:val="18"/>
      <w:szCs w:val="18"/>
      <w:lang w:bidi="hi-IN"/>
    </w:rPr>
  </w:style>
  <w:style w:type="character" w:styleId="1680" w:customStyle="1">
    <w:name w:val="Recuo de corpo de texto 2 Char361"/>
    <w:uiPriority w:val="99"/>
    <w:semiHidden/>
    <w:qFormat/>
    <w:pPr>
      <w:pBdr/>
      <w:spacing/>
      <w:ind/>
    </w:pPr>
    <w:rPr>
      <w:rFonts w:eastAsia="Times New Roman" w:cs="Mangal"/>
      <w:sz w:val="18"/>
      <w:szCs w:val="18"/>
      <w:lang w:bidi="hi-IN"/>
    </w:rPr>
  </w:style>
  <w:style w:type="character" w:styleId="1681" w:customStyle="1">
    <w:name w:val="Recuo de corpo de texto 2 Char360"/>
    <w:uiPriority w:val="99"/>
    <w:semiHidden/>
    <w:qFormat/>
    <w:pPr>
      <w:pBdr/>
      <w:spacing/>
      <w:ind/>
    </w:pPr>
    <w:rPr>
      <w:rFonts w:eastAsia="Times New Roman" w:cs="Mangal"/>
      <w:sz w:val="18"/>
      <w:szCs w:val="18"/>
      <w:lang w:bidi="hi-IN"/>
    </w:rPr>
  </w:style>
  <w:style w:type="character" w:styleId="1682" w:customStyle="1">
    <w:name w:val="Recuo de corpo de texto 2 Char359"/>
    <w:uiPriority w:val="99"/>
    <w:semiHidden/>
    <w:qFormat/>
    <w:pPr>
      <w:pBdr/>
      <w:spacing/>
      <w:ind/>
    </w:pPr>
    <w:rPr>
      <w:rFonts w:eastAsia="Times New Roman" w:cs="Mangal"/>
      <w:sz w:val="18"/>
      <w:szCs w:val="18"/>
      <w:lang w:bidi="hi-IN"/>
    </w:rPr>
  </w:style>
  <w:style w:type="character" w:styleId="1683" w:customStyle="1">
    <w:name w:val="Recuo de corpo de texto 2 Char358"/>
    <w:uiPriority w:val="99"/>
    <w:semiHidden/>
    <w:qFormat/>
    <w:pPr>
      <w:pBdr/>
      <w:spacing/>
      <w:ind/>
    </w:pPr>
    <w:rPr>
      <w:rFonts w:eastAsia="Times New Roman" w:cs="Mangal"/>
      <w:sz w:val="18"/>
      <w:szCs w:val="18"/>
      <w:lang w:bidi="hi-IN"/>
    </w:rPr>
  </w:style>
  <w:style w:type="character" w:styleId="1684" w:customStyle="1">
    <w:name w:val="Recuo de corpo de texto 2 Char357"/>
    <w:uiPriority w:val="99"/>
    <w:semiHidden/>
    <w:qFormat/>
    <w:pPr>
      <w:pBdr/>
      <w:spacing/>
      <w:ind/>
    </w:pPr>
    <w:rPr>
      <w:rFonts w:eastAsia="Times New Roman" w:cs="Mangal"/>
      <w:sz w:val="18"/>
      <w:szCs w:val="18"/>
      <w:lang w:bidi="hi-IN"/>
    </w:rPr>
  </w:style>
  <w:style w:type="character" w:styleId="1685" w:customStyle="1">
    <w:name w:val="Recuo de corpo de texto 2 Char356"/>
    <w:uiPriority w:val="99"/>
    <w:semiHidden/>
    <w:qFormat/>
    <w:pPr>
      <w:pBdr/>
      <w:spacing/>
      <w:ind/>
    </w:pPr>
    <w:rPr>
      <w:rFonts w:eastAsia="Times New Roman" w:cs="Mangal"/>
      <w:sz w:val="18"/>
      <w:szCs w:val="18"/>
      <w:lang w:bidi="hi-IN"/>
    </w:rPr>
  </w:style>
  <w:style w:type="character" w:styleId="1686" w:customStyle="1">
    <w:name w:val="Recuo de corpo de texto 2 Char355"/>
    <w:uiPriority w:val="99"/>
    <w:semiHidden/>
    <w:qFormat/>
    <w:pPr>
      <w:pBdr/>
      <w:spacing/>
      <w:ind/>
    </w:pPr>
    <w:rPr>
      <w:rFonts w:eastAsia="Times New Roman" w:cs="Mangal"/>
      <w:sz w:val="18"/>
      <w:szCs w:val="18"/>
      <w:lang w:bidi="hi-IN"/>
    </w:rPr>
  </w:style>
  <w:style w:type="character" w:styleId="1687" w:customStyle="1">
    <w:name w:val="Recuo de corpo de texto 2 Char354"/>
    <w:uiPriority w:val="99"/>
    <w:semiHidden/>
    <w:qFormat/>
    <w:pPr>
      <w:pBdr/>
      <w:spacing/>
      <w:ind/>
    </w:pPr>
    <w:rPr>
      <w:rFonts w:eastAsia="Times New Roman" w:cs="Mangal"/>
      <w:sz w:val="18"/>
      <w:szCs w:val="18"/>
      <w:lang w:bidi="hi-IN"/>
    </w:rPr>
  </w:style>
  <w:style w:type="character" w:styleId="1688" w:customStyle="1">
    <w:name w:val="Recuo de corpo de texto 2 Char353"/>
    <w:uiPriority w:val="99"/>
    <w:semiHidden/>
    <w:qFormat/>
    <w:pPr>
      <w:pBdr/>
      <w:spacing/>
      <w:ind/>
    </w:pPr>
    <w:rPr>
      <w:rFonts w:eastAsia="Times New Roman" w:cs="Mangal"/>
      <w:sz w:val="18"/>
      <w:szCs w:val="18"/>
      <w:lang w:bidi="hi-IN"/>
    </w:rPr>
  </w:style>
  <w:style w:type="character" w:styleId="1689" w:customStyle="1">
    <w:name w:val="Recuo de corpo de texto 2 Char352"/>
    <w:uiPriority w:val="99"/>
    <w:semiHidden/>
    <w:qFormat/>
    <w:pPr>
      <w:pBdr/>
      <w:spacing/>
      <w:ind/>
    </w:pPr>
    <w:rPr>
      <w:rFonts w:eastAsia="Times New Roman" w:cs="Mangal"/>
      <w:sz w:val="18"/>
      <w:szCs w:val="18"/>
      <w:lang w:bidi="hi-IN"/>
    </w:rPr>
  </w:style>
  <w:style w:type="character" w:styleId="1690" w:customStyle="1">
    <w:name w:val="Recuo de corpo de texto 2 Char351"/>
    <w:uiPriority w:val="99"/>
    <w:semiHidden/>
    <w:qFormat/>
    <w:pPr>
      <w:pBdr/>
      <w:spacing/>
      <w:ind/>
    </w:pPr>
    <w:rPr>
      <w:rFonts w:eastAsia="Times New Roman" w:cs="Mangal"/>
      <w:sz w:val="18"/>
      <w:szCs w:val="18"/>
      <w:lang w:bidi="hi-IN"/>
    </w:rPr>
  </w:style>
  <w:style w:type="character" w:styleId="1691" w:customStyle="1">
    <w:name w:val="Recuo de corpo de texto 2 Char350"/>
    <w:uiPriority w:val="99"/>
    <w:semiHidden/>
    <w:qFormat/>
    <w:pPr>
      <w:pBdr/>
      <w:spacing/>
      <w:ind/>
    </w:pPr>
    <w:rPr>
      <w:rFonts w:eastAsia="Times New Roman" w:cs="Mangal"/>
      <w:sz w:val="18"/>
      <w:szCs w:val="18"/>
      <w:lang w:bidi="hi-IN"/>
    </w:rPr>
  </w:style>
  <w:style w:type="character" w:styleId="1692" w:customStyle="1">
    <w:name w:val="Recuo de corpo de texto 2 Char349"/>
    <w:uiPriority w:val="99"/>
    <w:semiHidden/>
    <w:qFormat/>
    <w:pPr>
      <w:pBdr/>
      <w:spacing/>
      <w:ind/>
    </w:pPr>
    <w:rPr>
      <w:rFonts w:eastAsia="Times New Roman" w:cs="Mangal"/>
      <w:sz w:val="18"/>
      <w:szCs w:val="18"/>
      <w:lang w:bidi="hi-IN"/>
    </w:rPr>
  </w:style>
  <w:style w:type="character" w:styleId="1693" w:customStyle="1">
    <w:name w:val="Recuo de corpo de texto 2 Char348"/>
    <w:uiPriority w:val="99"/>
    <w:semiHidden/>
    <w:qFormat/>
    <w:pPr>
      <w:pBdr/>
      <w:spacing/>
      <w:ind/>
    </w:pPr>
    <w:rPr>
      <w:rFonts w:eastAsia="Times New Roman" w:cs="Mangal"/>
      <w:sz w:val="18"/>
      <w:szCs w:val="18"/>
      <w:lang w:bidi="hi-IN"/>
    </w:rPr>
  </w:style>
  <w:style w:type="character" w:styleId="1694" w:customStyle="1">
    <w:name w:val="Recuo de corpo de texto 2 Char347"/>
    <w:uiPriority w:val="99"/>
    <w:semiHidden/>
    <w:qFormat/>
    <w:pPr>
      <w:pBdr/>
      <w:spacing/>
      <w:ind/>
    </w:pPr>
    <w:rPr>
      <w:rFonts w:eastAsia="Times New Roman" w:cs="Mangal"/>
      <w:sz w:val="18"/>
      <w:szCs w:val="18"/>
      <w:lang w:bidi="hi-IN"/>
    </w:rPr>
  </w:style>
  <w:style w:type="character" w:styleId="1695" w:customStyle="1">
    <w:name w:val="Recuo de corpo de texto 2 Char346"/>
    <w:uiPriority w:val="99"/>
    <w:semiHidden/>
    <w:qFormat/>
    <w:pPr>
      <w:pBdr/>
      <w:spacing/>
      <w:ind/>
    </w:pPr>
    <w:rPr>
      <w:rFonts w:eastAsia="Times New Roman" w:cs="Mangal"/>
      <w:sz w:val="18"/>
      <w:szCs w:val="18"/>
      <w:lang w:bidi="hi-IN"/>
    </w:rPr>
  </w:style>
  <w:style w:type="character" w:styleId="1696" w:customStyle="1">
    <w:name w:val="Recuo de corpo de texto 2 Char345"/>
    <w:uiPriority w:val="99"/>
    <w:semiHidden/>
    <w:qFormat/>
    <w:pPr>
      <w:pBdr/>
      <w:spacing/>
      <w:ind/>
    </w:pPr>
    <w:rPr>
      <w:rFonts w:eastAsia="Times New Roman" w:cs="Mangal"/>
      <w:sz w:val="18"/>
      <w:szCs w:val="18"/>
      <w:lang w:bidi="hi-IN"/>
    </w:rPr>
  </w:style>
  <w:style w:type="character" w:styleId="1697" w:customStyle="1">
    <w:name w:val="Recuo de corpo de texto 2 Char344"/>
    <w:uiPriority w:val="99"/>
    <w:semiHidden/>
    <w:qFormat/>
    <w:pPr>
      <w:pBdr/>
      <w:spacing/>
      <w:ind/>
    </w:pPr>
    <w:rPr>
      <w:rFonts w:eastAsia="Times New Roman" w:cs="Mangal"/>
      <w:sz w:val="18"/>
      <w:szCs w:val="18"/>
      <w:lang w:bidi="hi-IN"/>
    </w:rPr>
  </w:style>
  <w:style w:type="character" w:styleId="1698" w:customStyle="1">
    <w:name w:val="Recuo de corpo de texto 2 Char343"/>
    <w:uiPriority w:val="99"/>
    <w:semiHidden/>
    <w:qFormat/>
    <w:pPr>
      <w:pBdr/>
      <w:spacing/>
      <w:ind/>
    </w:pPr>
    <w:rPr>
      <w:rFonts w:eastAsia="Times New Roman" w:cs="Mangal"/>
      <w:sz w:val="18"/>
      <w:szCs w:val="18"/>
      <w:lang w:bidi="hi-IN"/>
    </w:rPr>
  </w:style>
  <w:style w:type="character" w:styleId="1699" w:customStyle="1">
    <w:name w:val="Recuo de corpo de texto 2 Char342"/>
    <w:uiPriority w:val="99"/>
    <w:semiHidden/>
    <w:qFormat/>
    <w:pPr>
      <w:pBdr/>
      <w:spacing/>
      <w:ind/>
    </w:pPr>
    <w:rPr>
      <w:rFonts w:eastAsia="Times New Roman" w:cs="Mangal"/>
      <w:sz w:val="18"/>
      <w:szCs w:val="18"/>
      <w:lang w:bidi="hi-IN"/>
    </w:rPr>
  </w:style>
  <w:style w:type="character" w:styleId="1700" w:customStyle="1">
    <w:name w:val="Recuo de corpo de texto 2 Char341"/>
    <w:uiPriority w:val="99"/>
    <w:semiHidden/>
    <w:qFormat/>
    <w:pPr>
      <w:pBdr/>
      <w:spacing/>
      <w:ind/>
    </w:pPr>
    <w:rPr>
      <w:rFonts w:eastAsia="Times New Roman" w:cs="Mangal"/>
      <w:sz w:val="18"/>
      <w:szCs w:val="18"/>
      <w:lang w:bidi="hi-IN"/>
    </w:rPr>
  </w:style>
  <w:style w:type="character" w:styleId="1701" w:customStyle="1">
    <w:name w:val="Recuo de corpo de texto 2 Char340"/>
    <w:uiPriority w:val="99"/>
    <w:semiHidden/>
    <w:qFormat/>
    <w:pPr>
      <w:pBdr/>
      <w:spacing/>
      <w:ind/>
    </w:pPr>
    <w:rPr>
      <w:rFonts w:eastAsia="Times New Roman" w:cs="Mangal"/>
      <w:sz w:val="18"/>
      <w:szCs w:val="18"/>
      <w:lang w:bidi="hi-IN"/>
    </w:rPr>
  </w:style>
  <w:style w:type="character" w:styleId="1702" w:customStyle="1">
    <w:name w:val="Recuo de corpo de texto 2 Char339"/>
    <w:uiPriority w:val="99"/>
    <w:semiHidden/>
    <w:qFormat/>
    <w:pPr>
      <w:pBdr/>
      <w:spacing/>
      <w:ind/>
    </w:pPr>
    <w:rPr>
      <w:rFonts w:eastAsia="Times New Roman" w:cs="Mangal"/>
      <w:sz w:val="18"/>
      <w:szCs w:val="18"/>
      <w:lang w:bidi="hi-IN"/>
    </w:rPr>
  </w:style>
  <w:style w:type="character" w:styleId="1703" w:customStyle="1">
    <w:name w:val="Recuo de corpo de texto 2 Char338"/>
    <w:uiPriority w:val="99"/>
    <w:semiHidden/>
    <w:qFormat/>
    <w:pPr>
      <w:pBdr/>
      <w:spacing/>
      <w:ind/>
    </w:pPr>
    <w:rPr>
      <w:rFonts w:eastAsia="Times New Roman" w:cs="Mangal"/>
      <w:sz w:val="18"/>
      <w:szCs w:val="18"/>
      <w:lang w:bidi="hi-IN"/>
    </w:rPr>
  </w:style>
  <w:style w:type="character" w:styleId="1704" w:customStyle="1">
    <w:name w:val="Recuo de corpo de texto 2 Char337"/>
    <w:uiPriority w:val="99"/>
    <w:semiHidden/>
    <w:qFormat/>
    <w:pPr>
      <w:pBdr/>
      <w:spacing/>
      <w:ind/>
    </w:pPr>
    <w:rPr>
      <w:rFonts w:eastAsia="Times New Roman" w:cs="Mangal"/>
      <w:sz w:val="18"/>
      <w:szCs w:val="18"/>
      <w:lang w:bidi="hi-IN"/>
    </w:rPr>
  </w:style>
  <w:style w:type="character" w:styleId="1705" w:customStyle="1">
    <w:name w:val="Recuo de corpo de texto 2 Char336"/>
    <w:uiPriority w:val="99"/>
    <w:semiHidden/>
    <w:qFormat/>
    <w:pPr>
      <w:pBdr/>
      <w:spacing/>
      <w:ind/>
    </w:pPr>
    <w:rPr>
      <w:rFonts w:eastAsia="Times New Roman" w:cs="Mangal"/>
      <w:sz w:val="18"/>
      <w:szCs w:val="18"/>
      <w:lang w:bidi="hi-IN"/>
    </w:rPr>
  </w:style>
  <w:style w:type="character" w:styleId="1706" w:customStyle="1">
    <w:name w:val="Recuo de corpo de texto 2 Char335"/>
    <w:uiPriority w:val="99"/>
    <w:semiHidden/>
    <w:qFormat/>
    <w:pPr>
      <w:pBdr/>
      <w:spacing/>
      <w:ind/>
    </w:pPr>
    <w:rPr>
      <w:rFonts w:eastAsia="Times New Roman" w:cs="Mangal"/>
      <w:sz w:val="18"/>
      <w:szCs w:val="18"/>
      <w:lang w:bidi="hi-IN"/>
    </w:rPr>
  </w:style>
  <w:style w:type="character" w:styleId="1707" w:customStyle="1">
    <w:name w:val="Recuo de corpo de texto 2 Char334"/>
    <w:uiPriority w:val="99"/>
    <w:semiHidden/>
    <w:qFormat/>
    <w:pPr>
      <w:pBdr/>
      <w:spacing/>
      <w:ind/>
    </w:pPr>
    <w:rPr>
      <w:rFonts w:eastAsia="Times New Roman" w:cs="Mangal"/>
      <w:sz w:val="18"/>
      <w:szCs w:val="18"/>
      <w:lang w:bidi="hi-IN"/>
    </w:rPr>
  </w:style>
  <w:style w:type="character" w:styleId="1708" w:customStyle="1">
    <w:name w:val="Recuo de corpo de texto 2 Char333"/>
    <w:uiPriority w:val="99"/>
    <w:semiHidden/>
    <w:qFormat/>
    <w:pPr>
      <w:pBdr/>
      <w:spacing/>
      <w:ind/>
    </w:pPr>
    <w:rPr>
      <w:rFonts w:eastAsia="Times New Roman" w:cs="Mangal"/>
      <w:sz w:val="18"/>
      <w:szCs w:val="18"/>
      <w:lang w:bidi="hi-IN"/>
    </w:rPr>
  </w:style>
  <w:style w:type="character" w:styleId="1709" w:customStyle="1">
    <w:name w:val="Recuo de corpo de texto 2 Char332"/>
    <w:uiPriority w:val="99"/>
    <w:semiHidden/>
    <w:qFormat/>
    <w:pPr>
      <w:pBdr/>
      <w:spacing/>
      <w:ind/>
    </w:pPr>
    <w:rPr>
      <w:rFonts w:eastAsia="Times New Roman" w:cs="Mangal"/>
      <w:sz w:val="18"/>
      <w:szCs w:val="18"/>
      <w:lang w:bidi="hi-IN"/>
    </w:rPr>
  </w:style>
  <w:style w:type="character" w:styleId="1710" w:customStyle="1">
    <w:name w:val="Recuo de corpo de texto 2 Char331"/>
    <w:uiPriority w:val="99"/>
    <w:semiHidden/>
    <w:qFormat/>
    <w:pPr>
      <w:pBdr/>
      <w:spacing/>
      <w:ind/>
    </w:pPr>
    <w:rPr>
      <w:rFonts w:eastAsia="Times New Roman" w:cs="Mangal"/>
      <w:sz w:val="18"/>
      <w:szCs w:val="18"/>
      <w:lang w:bidi="hi-IN"/>
    </w:rPr>
  </w:style>
  <w:style w:type="character" w:styleId="1711" w:customStyle="1">
    <w:name w:val="Recuo de corpo de texto 2 Char330"/>
    <w:uiPriority w:val="99"/>
    <w:semiHidden/>
    <w:qFormat/>
    <w:pPr>
      <w:pBdr/>
      <w:spacing/>
      <w:ind/>
    </w:pPr>
    <w:rPr>
      <w:rFonts w:eastAsia="Times New Roman" w:cs="Mangal"/>
      <w:sz w:val="18"/>
      <w:szCs w:val="18"/>
      <w:lang w:bidi="hi-IN"/>
    </w:rPr>
  </w:style>
  <w:style w:type="character" w:styleId="1712" w:customStyle="1">
    <w:name w:val="Recuo de corpo de texto 2 Char329"/>
    <w:uiPriority w:val="99"/>
    <w:semiHidden/>
    <w:qFormat/>
    <w:pPr>
      <w:pBdr/>
      <w:spacing/>
      <w:ind/>
    </w:pPr>
    <w:rPr>
      <w:rFonts w:eastAsia="Times New Roman" w:cs="Mangal"/>
      <w:sz w:val="18"/>
      <w:szCs w:val="18"/>
      <w:lang w:bidi="hi-IN"/>
    </w:rPr>
  </w:style>
  <w:style w:type="character" w:styleId="1713" w:customStyle="1">
    <w:name w:val="Recuo de corpo de texto 2 Char328"/>
    <w:uiPriority w:val="99"/>
    <w:semiHidden/>
    <w:qFormat/>
    <w:pPr>
      <w:pBdr/>
      <w:spacing/>
      <w:ind/>
    </w:pPr>
    <w:rPr>
      <w:rFonts w:eastAsia="Times New Roman" w:cs="Mangal"/>
      <w:sz w:val="18"/>
      <w:szCs w:val="18"/>
      <w:lang w:bidi="hi-IN"/>
    </w:rPr>
  </w:style>
  <w:style w:type="character" w:styleId="1714" w:customStyle="1">
    <w:name w:val="Recuo de corpo de texto 2 Char327"/>
    <w:uiPriority w:val="99"/>
    <w:semiHidden/>
    <w:qFormat/>
    <w:pPr>
      <w:pBdr/>
      <w:spacing/>
      <w:ind/>
    </w:pPr>
    <w:rPr>
      <w:rFonts w:eastAsia="Times New Roman" w:cs="Mangal"/>
      <w:sz w:val="18"/>
      <w:szCs w:val="18"/>
      <w:lang w:bidi="hi-IN"/>
    </w:rPr>
  </w:style>
  <w:style w:type="character" w:styleId="1715" w:customStyle="1">
    <w:name w:val="Recuo de corpo de texto 2 Char326"/>
    <w:uiPriority w:val="99"/>
    <w:semiHidden/>
    <w:qFormat/>
    <w:pPr>
      <w:pBdr/>
      <w:spacing/>
      <w:ind/>
    </w:pPr>
    <w:rPr>
      <w:rFonts w:eastAsia="Times New Roman" w:cs="Mangal"/>
      <w:sz w:val="18"/>
      <w:szCs w:val="18"/>
      <w:lang w:bidi="hi-IN"/>
    </w:rPr>
  </w:style>
  <w:style w:type="character" w:styleId="1716" w:customStyle="1">
    <w:name w:val="Recuo de corpo de texto 2 Char325"/>
    <w:uiPriority w:val="99"/>
    <w:semiHidden/>
    <w:qFormat/>
    <w:pPr>
      <w:pBdr/>
      <w:spacing/>
      <w:ind/>
    </w:pPr>
    <w:rPr>
      <w:rFonts w:eastAsia="Times New Roman" w:cs="Mangal"/>
      <w:sz w:val="18"/>
      <w:szCs w:val="18"/>
      <w:lang w:bidi="hi-IN"/>
    </w:rPr>
  </w:style>
  <w:style w:type="character" w:styleId="1717" w:customStyle="1">
    <w:name w:val="Recuo de corpo de texto 2 Char324"/>
    <w:uiPriority w:val="99"/>
    <w:semiHidden/>
    <w:qFormat/>
    <w:pPr>
      <w:pBdr/>
      <w:spacing/>
      <w:ind/>
    </w:pPr>
    <w:rPr>
      <w:rFonts w:eastAsia="Times New Roman" w:cs="Mangal"/>
      <w:sz w:val="18"/>
      <w:szCs w:val="18"/>
      <w:lang w:bidi="hi-IN"/>
    </w:rPr>
  </w:style>
  <w:style w:type="character" w:styleId="1718" w:customStyle="1">
    <w:name w:val="Recuo de corpo de texto 2 Char323"/>
    <w:uiPriority w:val="99"/>
    <w:semiHidden/>
    <w:qFormat/>
    <w:pPr>
      <w:pBdr/>
      <w:spacing/>
      <w:ind/>
    </w:pPr>
    <w:rPr>
      <w:rFonts w:eastAsia="Times New Roman" w:cs="Mangal"/>
      <w:sz w:val="18"/>
      <w:szCs w:val="18"/>
      <w:lang w:bidi="hi-IN"/>
    </w:rPr>
  </w:style>
  <w:style w:type="character" w:styleId="1719" w:customStyle="1">
    <w:name w:val="Recuo de corpo de texto 2 Char322"/>
    <w:uiPriority w:val="99"/>
    <w:semiHidden/>
    <w:qFormat/>
    <w:pPr>
      <w:pBdr/>
      <w:spacing/>
      <w:ind/>
    </w:pPr>
    <w:rPr>
      <w:rFonts w:eastAsia="Times New Roman" w:cs="Mangal"/>
      <w:sz w:val="18"/>
      <w:szCs w:val="18"/>
      <w:lang w:bidi="hi-IN"/>
    </w:rPr>
  </w:style>
  <w:style w:type="character" w:styleId="1720" w:customStyle="1">
    <w:name w:val="Recuo de corpo de texto 2 Char321"/>
    <w:uiPriority w:val="99"/>
    <w:semiHidden/>
    <w:qFormat/>
    <w:pPr>
      <w:pBdr/>
      <w:spacing/>
      <w:ind/>
    </w:pPr>
    <w:rPr>
      <w:rFonts w:eastAsia="Times New Roman" w:cs="Mangal"/>
      <w:sz w:val="18"/>
      <w:szCs w:val="18"/>
      <w:lang w:bidi="hi-IN"/>
    </w:rPr>
  </w:style>
  <w:style w:type="character" w:styleId="1721" w:customStyle="1">
    <w:name w:val="Recuo de corpo de texto 2 Char320"/>
    <w:uiPriority w:val="99"/>
    <w:semiHidden/>
    <w:qFormat/>
    <w:pPr>
      <w:pBdr/>
      <w:spacing/>
      <w:ind/>
    </w:pPr>
    <w:rPr>
      <w:rFonts w:eastAsia="Times New Roman" w:cs="Mangal"/>
      <w:sz w:val="18"/>
      <w:szCs w:val="18"/>
      <w:lang w:bidi="hi-IN"/>
    </w:rPr>
  </w:style>
  <w:style w:type="character" w:styleId="1722" w:customStyle="1">
    <w:name w:val="Recuo de corpo de texto 2 Char319"/>
    <w:uiPriority w:val="99"/>
    <w:semiHidden/>
    <w:qFormat/>
    <w:pPr>
      <w:pBdr/>
      <w:spacing/>
      <w:ind/>
    </w:pPr>
    <w:rPr>
      <w:rFonts w:eastAsia="Times New Roman" w:cs="Mangal"/>
      <w:sz w:val="18"/>
      <w:szCs w:val="18"/>
      <w:lang w:bidi="hi-IN"/>
    </w:rPr>
  </w:style>
  <w:style w:type="character" w:styleId="1723" w:customStyle="1">
    <w:name w:val="Recuo de corpo de texto 2 Char318"/>
    <w:uiPriority w:val="99"/>
    <w:semiHidden/>
    <w:qFormat/>
    <w:pPr>
      <w:pBdr/>
      <w:spacing/>
      <w:ind/>
    </w:pPr>
    <w:rPr>
      <w:rFonts w:eastAsia="Times New Roman" w:cs="Mangal"/>
      <w:sz w:val="18"/>
      <w:szCs w:val="18"/>
      <w:lang w:bidi="hi-IN"/>
    </w:rPr>
  </w:style>
  <w:style w:type="character" w:styleId="1724" w:customStyle="1">
    <w:name w:val="Recuo de corpo de texto 2 Char317"/>
    <w:uiPriority w:val="99"/>
    <w:semiHidden/>
    <w:qFormat/>
    <w:pPr>
      <w:pBdr/>
      <w:spacing/>
      <w:ind/>
    </w:pPr>
    <w:rPr>
      <w:rFonts w:eastAsia="Times New Roman" w:cs="Mangal"/>
      <w:sz w:val="18"/>
      <w:szCs w:val="18"/>
      <w:lang w:bidi="hi-IN"/>
    </w:rPr>
  </w:style>
  <w:style w:type="character" w:styleId="1725" w:customStyle="1">
    <w:name w:val="Recuo de corpo de texto 2 Char316"/>
    <w:uiPriority w:val="99"/>
    <w:semiHidden/>
    <w:qFormat/>
    <w:pPr>
      <w:pBdr/>
      <w:spacing/>
      <w:ind/>
    </w:pPr>
    <w:rPr>
      <w:rFonts w:eastAsia="Times New Roman" w:cs="Mangal"/>
      <w:sz w:val="18"/>
      <w:szCs w:val="18"/>
      <w:lang w:bidi="hi-IN"/>
    </w:rPr>
  </w:style>
  <w:style w:type="character" w:styleId="1726" w:customStyle="1">
    <w:name w:val="Recuo de corpo de texto 2 Char315"/>
    <w:uiPriority w:val="99"/>
    <w:semiHidden/>
    <w:qFormat/>
    <w:pPr>
      <w:pBdr/>
      <w:spacing/>
      <w:ind/>
    </w:pPr>
    <w:rPr>
      <w:rFonts w:eastAsia="Times New Roman" w:cs="Mangal"/>
      <w:sz w:val="18"/>
      <w:szCs w:val="18"/>
      <w:lang w:bidi="hi-IN"/>
    </w:rPr>
  </w:style>
  <w:style w:type="character" w:styleId="1727" w:customStyle="1">
    <w:name w:val="Recuo de corpo de texto 2 Char314"/>
    <w:uiPriority w:val="99"/>
    <w:semiHidden/>
    <w:qFormat/>
    <w:pPr>
      <w:pBdr/>
      <w:spacing/>
      <w:ind/>
    </w:pPr>
    <w:rPr>
      <w:rFonts w:eastAsia="Times New Roman" w:cs="Mangal"/>
      <w:sz w:val="18"/>
      <w:szCs w:val="18"/>
      <w:lang w:bidi="hi-IN"/>
    </w:rPr>
  </w:style>
  <w:style w:type="character" w:styleId="1728" w:customStyle="1">
    <w:name w:val="Recuo de corpo de texto 2 Char313"/>
    <w:uiPriority w:val="99"/>
    <w:semiHidden/>
    <w:qFormat/>
    <w:pPr>
      <w:pBdr/>
      <w:spacing/>
      <w:ind/>
    </w:pPr>
    <w:rPr>
      <w:rFonts w:eastAsia="Times New Roman" w:cs="Mangal"/>
      <w:sz w:val="18"/>
      <w:szCs w:val="18"/>
      <w:lang w:bidi="hi-IN"/>
    </w:rPr>
  </w:style>
  <w:style w:type="character" w:styleId="1729" w:customStyle="1">
    <w:name w:val="Recuo de corpo de texto 2 Char312"/>
    <w:uiPriority w:val="99"/>
    <w:semiHidden/>
    <w:qFormat/>
    <w:pPr>
      <w:pBdr/>
      <w:spacing/>
      <w:ind/>
    </w:pPr>
    <w:rPr>
      <w:rFonts w:eastAsia="Times New Roman" w:cs="Mangal"/>
      <w:sz w:val="18"/>
      <w:szCs w:val="18"/>
      <w:lang w:bidi="hi-IN"/>
    </w:rPr>
  </w:style>
  <w:style w:type="character" w:styleId="1730" w:customStyle="1">
    <w:name w:val="Recuo de corpo de texto 2 Char311"/>
    <w:uiPriority w:val="99"/>
    <w:semiHidden/>
    <w:qFormat/>
    <w:pPr>
      <w:pBdr/>
      <w:spacing/>
      <w:ind/>
    </w:pPr>
    <w:rPr>
      <w:rFonts w:eastAsia="Times New Roman" w:cs="Mangal"/>
      <w:sz w:val="18"/>
      <w:szCs w:val="18"/>
      <w:lang w:bidi="hi-IN"/>
    </w:rPr>
  </w:style>
  <w:style w:type="character" w:styleId="1731" w:customStyle="1">
    <w:name w:val="Texto sem Formatação Char3"/>
    <w:uiPriority w:val="99"/>
    <w:semiHidden/>
    <w:qFormat/>
    <w:pPr>
      <w:pBdr/>
      <w:spacing/>
      <w:ind/>
    </w:pPr>
    <w:rPr>
      <w:rFonts w:ascii="Courier New" w:hAnsi="Courier New" w:cs="Courier New"/>
      <w:lang w:eastAsia="zh-CN"/>
    </w:rPr>
  </w:style>
  <w:style w:type="character" w:styleId="1732" w:customStyle="1">
    <w:name w:val="Texto sem Formatação Char277"/>
    <w:uiPriority w:val="99"/>
    <w:semiHidden/>
    <w:qFormat/>
    <w:pPr>
      <w:pBdr/>
      <w:spacing/>
      <w:ind/>
    </w:pPr>
    <w:rPr>
      <w:rFonts w:ascii="Courier New" w:hAnsi="Courier New" w:cs="Mangal"/>
      <w:sz w:val="18"/>
      <w:szCs w:val="18"/>
      <w:lang w:bidi="hi-IN"/>
    </w:rPr>
  </w:style>
  <w:style w:type="character" w:styleId="1733" w:customStyle="1">
    <w:name w:val="Texto sem Formatação Char276"/>
    <w:uiPriority w:val="99"/>
    <w:semiHidden/>
    <w:qFormat/>
    <w:pPr>
      <w:pBdr/>
      <w:spacing/>
      <w:ind/>
    </w:pPr>
    <w:rPr>
      <w:rFonts w:ascii="Courier New" w:hAnsi="Courier New" w:cs="Mangal"/>
      <w:sz w:val="18"/>
      <w:szCs w:val="18"/>
      <w:lang w:bidi="hi-IN"/>
    </w:rPr>
  </w:style>
  <w:style w:type="character" w:styleId="1734" w:customStyle="1">
    <w:name w:val="Texto sem Formatação Char275"/>
    <w:uiPriority w:val="99"/>
    <w:semiHidden/>
    <w:qFormat/>
    <w:pPr>
      <w:pBdr/>
      <w:spacing/>
      <w:ind/>
    </w:pPr>
    <w:rPr>
      <w:rFonts w:ascii="Courier New" w:hAnsi="Courier New" w:cs="Mangal"/>
      <w:sz w:val="18"/>
      <w:szCs w:val="18"/>
      <w:lang w:bidi="hi-IN"/>
    </w:rPr>
  </w:style>
  <w:style w:type="character" w:styleId="1735" w:customStyle="1">
    <w:name w:val="Texto sem Formatação Char274"/>
    <w:uiPriority w:val="99"/>
    <w:semiHidden/>
    <w:qFormat/>
    <w:pPr>
      <w:pBdr/>
      <w:spacing/>
      <w:ind/>
    </w:pPr>
    <w:rPr>
      <w:rFonts w:ascii="Courier New" w:hAnsi="Courier New" w:cs="Mangal"/>
      <w:sz w:val="18"/>
      <w:szCs w:val="18"/>
      <w:lang w:bidi="hi-IN"/>
    </w:rPr>
  </w:style>
  <w:style w:type="character" w:styleId="1736" w:customStyle="1">
    <w:name w:val="Texto sem Formatação Char273"/>
    <w:uiPriority w:val="99"/>
    <w:semiHidden/>
    <w:qFormat/>
    <w:pPr>
      <w:pBdr/>
      <w:spacing/>
      <w:ind/>
    </w:pPr>
    <w:rPr>
      <w:rFonts w:ascii="Courier New" w:hAnsi="Courier New" w:cs="Mangal"/>
      <w:sz w:val="18"/>
      <w:szCs w:val="18"/>
      <w:lang w:bidi="hi-IN"/>
    </w:rPr>
  </w:style>
  <w:style w:type="character" w:styleId="1737" w:customStyle="1">
    <w:name w:val="Texto sem Formatação Char272"/>
    <w:uiPriority w:val="99"/>
    <w:semiHidden/>
    <w:qFormat/>
    <w:pPr>
      <w:pBdr/>
      <w:spacing/>
      <w:ind/>
    </w:pPr>
    <w:rPr>
      <w:rFonts w:ascii="Courier New" w:hAnsi="Courier New" w:cs="Mangal"/>
      <w:sz w:val="18"/>
      <w:szCs w:val="18"/>
      <w:lang w:bidi="hi-IN"/>
    </w:rPr>
  </w:style>
  <w:style w:type="character" w:styleId="1738" w:customStyle="1">
    <w:name w:val="Texto sem Formatação Char271"/>
    <w:uiPriority w:val="99"/>
    <w:semiHidden/>
    <w:qFormat/>
    <w:pPr>
      <w:pBdr/>
      <w:spacing/>
      <w:ind/>
    </w:pPr>
    <w:rPr>
      <w:rFonts w:ascii="Courier New" w:hAnsi="Courier New" w:cs="Mangal"/>
      <w:sz w:val="18"/>
      <w:szCs w:val="18"/>
      <w:lang w:bidi="hi-IN"/>
    </w:rPr>
  </w:style>
  <w:style w:type="character" w:styleId="1739" w:customStyle="1">
    <w:name w:val="Texto sem Formatação Char270"/>
    <w:uiPriority w:val="99"/>
    <w:semiHidden/>
    <w:qFormat/>
    <w:pPr>
      <w:pBdr/>
      <w:spacing/>
      <w:ind/>
    </w:pPr>
    <w:rPr>
      <w:rFonts w:ascii="Courier New" w:hAnsi="Courier New" w:cs="Mangal"/>
      <w:sz w:val="18"/>
      <w:szCs w:val="18"/>
      <w:lang w:bidi="hi-IN"/>
    </w:rPr>
  </w:style>
  <w:style w:type="character" w:styleId="1740" w:customStyle="1">
    <w:name w:val="Texto sem Formatação Char269"/>
    <w:uiPriority w:val="99"/>
    <w:semiHidden/>
    <w:qFormat/>
    <w:pPr>
      <w:pBdr/>
      <w:spacing/>
      <w:ind/>
    </w:pPr>
    <w:rPr>
      <w:rFonts w:ascii="Courier New" w:hAnsi="Courier New" w:cs="Mangal"/>
      <w:sz w:val="18"/>
      <w:szCs w:val="18"/>
      <w:lang w:bidi="hi-IN"/>
    </w:rPr>
  </w:style>
  <w:style w:type="character" w:styleId="1741" w:customStyle="1">
    <w:name w:val="Texto sem Formatação Char268"/>
    <w:uiPriority w:val="99"/>
    <w:semiHidden/>
    <w:qFormat/>
    <w:pPr>
      <w:pBdr/>
      <w:spacing/>
      <w:ind/>
    </w:pPr>
    <w:rPr>
      <w:rFonts w:ascii="Courier New" w:hAnsi="Courier New" w:cs="Mangal"/>
      <w:sz w:val="18"/>
      <w:szCs w:val="18"/>
      <w:lang w:bidi="hi-IN"/>
    </w:rPr>
  </w:style>
  <w:style w:type="character" w:styleId="1742" w:customStyle="1">
    <w:name w:val="Texto sem Formatação Char267"/>
    <w:uiPriority w:val="99"/>
    <w:semiHidden/>
    <w:qFormat/>
    <w:pPr>
      <w:pBdr/>
      <w:spacing/>
      <w:ind/>
    </w:pPr>
    <w:rPr>
      <w:rFonts w:ascii="Courier New" w:hAnsi="Courier New" w:cs="Mangal"/>
      <w:sz w:val="18"/>
      <w:szCs w:val="18"/>
      <w:lang w:bidi="hi-IN"/>
    </w:rPr>
  </w:style>
  <w:style w:type="character" w:styleId="1743" w:customStyle="1">
    <w:name w:val="Texto sem Formatação Char266"/>
    <w:uiPriority w:val="99"/>
    <w:semiHidden/>
    <w:qFormat/>
    <w:pPr>
      <w:pBdr/>
      <w:spacing/>
      <w:ind/>
    </w:pPr>
    <w:rPr>
      <w:rFonts w:ascii="Courier New" w:hAnsi="Courier New" w:cs="Mangal"/>
      <w:sz w:val="18"/>
      <w:szCs w:val="18"/>
      <w:lang w:bidi="hi-IN"/>
    </w:rPr>
  </w:style>
  <w:style w:type="character" w:styleId="1744" w:customStyle="1">
    <w:name w:val="Texto sem Formatação Char265"/>
    <w:uiPriority w:val="99"/>
    <w:semiHidden/>
    <w:qFormat/>
    <w:pPr>
      <w:pBdr/>
      <w:spacing/>
      <w:ind/>
    </w:pPr>
    <w:rPr>
      <w:rFonts w:ascii="Courier New" w:hAnsi="Courier New" w:cs="Mangal"/>
      <w:sz w:val="18"/>
      <w:szCs w:val="18"/>
      <w:lang w:bidi="hi-IN"/>
    </w:rPr>
  </w:style>
  <w:style w:type="character" w:styleId="1745" w:customStyle="1">
    <w:name w:val="Texto sem Formatação Char264"/>
    <w:uiPriority w:val="99"/>
    <w:semiHidden/>
    <w:qFormat/>
    <w:pPr>
      <w:pBdr/>
      <w:spacing/>
      <w:ind/>
    </w:pPr>
    <w:rPr>
      <w:rFonts w:ascii="Courier New" w:hAnsi="Courier New" w:cs="Mangal"/>
      <w:sz w:val="18"/>
      <w:szCs w:val="18"/>
      <w:lang w:bidi="hi-IN"/>
    </w:rPr>
  </w:style>
  <w:style w:type="character" w:styleId="1746" w:customStyle="1">
    <w:name w:val="Texto sem Formatação Char263"/>
    <w:uiPriority w:val="99"/>
    <w:semiHidden/>
    <w:qFormat/>
    <w:pPr>
      <w:pBdr/>
      <w:spacing/>
      <w:ind/>
    </w:pPr>
    <w:rPr>
      <w:rFonts w:ascii="Courier New" w:hAnsi="Courier New" w:cs="Mangal"/>
      <w:sz w:val="18"/>
      <w:szCs w:val="18"/>
      <w:lang w:bidi="hi-IN"/>
    </w:rPr>
  </w:style>
  <w:style w:type="character" w:styleId="1747" w:customStyle="1">
    <w:name w:val="Texto sem Formatação Char262"/>
    <w:uiPriority w:val="99"/>
    <w:semiHidden/>
    <w:qFormat/>
    <w:pPr>
      <w:pBdr/>
      <w:spacing/>
      <w:ind/>
    </w:pPr>
    <w:rPr>
      <w:rFonts w:ascii="Courier New" w:hAnsi="Courier New" w:cs="Mangal"/>
      <w:sz w:val="18"/>
      <w:szCs w:val="18"/>
      <w:lang w:bidi="hi-IN"/>
    </w:rPr>
  </w:style>
  <w:style w:type="character" w:styleId="1748" w:customStyle="1">
    <w:name w:val="Texto sem Formatação Char261"/>
    <w:uiPriority w:val="99"/>
    <w:semiHidden/>
    <w:qFormat/>
    <w:pPr>
      <w:pBdr/>
      <w:spacing/>
      <w:ind/>
    </w:pPr>
    <w:rPr>
      <w:rFonts w:ascii="Courier New" w:hAnsi="Courier New" w:cs="Mangal"/>
      <w:sz w:val="18"/>
      <w:szCs w:val="18"/>
      <w:lang w:bidi="hi-IN"/>
    </w:rPr>
  </w:style>
  <w:style w:type="character" w:styleId="1749" w:customStyle="1">
    <w:name w:val="Texto sem Formatação Char260"/>
    <w:uiPriority w:val="99"/>
    <w:semiHidden/>
    <w:qFormat/>
    <w:pPr>
      <w:pBdr/>
      <w:spacing/>
      <w:ind/>
    </w:pPr>
    <w:rPr>
      <w:rFonts w:ascii="Courier New" w:hAnsi="Courier New" w:cs="Mangal"/>
      <w:sz w:val="18"/>
      <w:szCs w:val="18"/>
      <w:lang w:bidi="hi-IN"/>
    </w:rPr>
  </w:style>
  <w:style w:type="character" w:styleId="1750" w:customStyle="1">
    <w:name w:val="Texto sem Formatação Char259"/>
    <w:uiPriority w:val="99"/>
    <w:semiHidden/>
    <w:qFormat/>
    <w:pPr>
      <w:pBdr/>
      <w:spacing/>
      <w:ind/>
    </w:pPr>
    <w:rPr>
      <w:rFonts w:ascii="Courier New" w:hAnsi="Courier New" w:cs="Mangal"/>
      <w:sz w:val="18"/>
      <w:szCs w:val="18"/>
      <w:lang w:bidi="hi-IN"/>
    </w:rPr>
  </w:style>
  <w:style w:type="character" w:styleId="1751" w:customStyle="1">
    <w:name w:val="Texto sem Formatação Char258"/>
    <w:uiPriority w:val="99"/>
    <w:semiHidden/>
    <w:qFormat/>
    <w:pPr>
      <w:pBdr/>
      <w:spacing/>
      <w:ind/>
    </w:pPr>
    <w:rPr>
      <w:rFonts w:ascii="Courier New" w:hAnsi="Courier New" w:cs="Mangal"/>
      <w:sz w:val="18"/>
      <w:szCs w:val="18"/>
      <w:lang w:bidi="hi-IN"/>
    </w:rPr>
  </w:style>
  <w:style w:type="character" w:styleId="1752" w:customStyle="1">
    <w:name w:val="Texto sem Formatação Char257"/>
    <w:uiPriority w:val="99"/>
    <w:semiHidden/>
    <w:qFormat/>
    <w:pPr>
      <w:pBdr/>
      <w:spacing/>
      <w:ind/>
    </w:pPr>
    <w:rPr>
      <w:rFonts w:ascii="Courier New" w:hAnsi="Courier New" w:cs="Mangal"/>
      <w:sz w:val="18"/>
      <w:szCs w:val="18"/>
      <w:lang w:bidi="hi-IN"/>
    </w:rPr>
  </w:style>
  <w:style w:type="character" w:styleId="1753" w:customStyle="1">
    <w:name w:val="Texto sem Formatação Char256"/>
    <w:uiPriority w:val="99"/>
    <w:semiHidden/>
    <w:qFormat/>
    <w:pPr>
      <w:pBdr/>
      <w:spacing/>
      <w:ind/>
    </w:pPr>
    <w:rPr>
      <w:rFonts w:ascii="Courier New" w:hAnsi="Courier New" w:cs="Mangal"/>
      <w:sz w:val="18"/>
      <w:szCs w:val="18"/>
      <w:lang w:bidi="hi-IN"/>
    </w:rPr>
  </w:style>
  <w:style w:type="character" w:styleId="1754" w:customStyle="1">
    <w:name w:val="Texto sem Formatação Char255"/>
    <w:uiPriority w:val="99"/>
    <w:semiHidden/>
    <w:qFormat/>
    <w:pPr>
      <w:pBdr/>
      <w:spacing/>
      <w:ind/>
    </w:pPr>
    <w:rPr>
      <w:rFonts w:ascii="Courier New" w:hAnsi="Courier New" w:cs="Mangal"/>
      <w:sz w:val="18"/>
      <w:szCs w:val="18"/>
      <w:lang w:bidi="hi-IN"/>
    </w:rPr>
  </w:style>
  <w:style w:type="character" w:styleId="1755" w:customStyle="1">
    <w:name w:val="Texto sem Formatação Char254"/>
    <w:uiPriority w:val="99"/>
    <w:semiHidden/>
    <w:qFormat/>
    <w:pPr>
      <w:pBdr/>
      <w:spacing/>
      <w:ind/>
    </w:pPr>
    <w:rPr>
      <w:rFonts w:ascii="Courier New" w:hAnsi="Courier New" w:cs="Mangal"/>
      <w:sz w:val="18"/>
      <w:szCs w:val="18"/>
      <w:lang w:bidi="hi-IN"/>
    </w:rPr>
  </w:style>
  <w:style w:type="character" w:styleId="1756" w:customStyle="1">
    <w:name w:val="Texto sem Formatação Char253"/>
    <w:uiPriority w:val="99"/>
    <w:semiHidden/>
    <w:qFormat/>
    <w:pPr>
      <w:pBdr/>
      <w:spacing/>
      <w:ind/>
    </w:pPr>
    <w:rPr>
      <w:rFonts w:ascii="Courier New" w:hAnsi="Courier New" w:cs="Mangal"/>
      <w:sz w:val="18"/>
      <w:szCs w:val="18"/>
      <w:lang w:bidi="hi-IN"/>
    </w:rPr>
  </w:style>
  <w:style w:type="character" w:styleId="1757" w:customStyle="1">
    <w:name w:val="Texto sem Formatação Char252"/>
    <w:uiPriority w:val="99"/>
    <w:semiHidden/>
    <w:qFormat/>
    <w:pPr>
      <w:pBdr/>
      <w:spacing/>
      <w:ind/>
    </w:pPr>
    <w:rPr>
      <w:rFonts w:ascii="Courier New" w:hAnsi="Courier New" w:cs="Mangal"/>
      <w:sz w:val="18"/>
      <w:szCs w:val="18"/>
      <w:lang w:bidi="hi-IN"/>
    </w:rPr>
  </w:style>
  <w:style w:type="character" w:styleId="1758" w:customStyle="1">
    <w:name w:val="Texto sem Formatação Char251"/>
    <w:uiPriority w:val="99"/>
    <w:semiHidden/>
    <w:qFormat/>
    <w:pPr>
      <w:pBdr/>
      <w:spacing/>
      <w:ind/>
    </w:pPr>
    <w:rPr>
      <w:rFonts w:ascii="Courier New" w:hAnsi="Courier New" w:cs="Mangal"/>
      <w:sz w:val="18"/>
      <w:szCs w:val="18"/>
      <w:lang w:bidi="hi-IN"/>
    </w:rPr>
  </w:style>
  <w:style w:type="character" w:styleId="1759" w:customStyle="1">
    <w:name w:val="Texto sem Formatação Char250"/>
    <w:uiPriority w:val="99"/>
    <w:semiHidden/>
    <w:qFormat/>
    <w:pPr>
      <w:pBdr/>
      <w:spacing/>
      <w:ind/>
    </w:pPr>
    <w:rPr>
      <w:rFonts w:ascii="Courier New" w:hAnsi="Courier New" w:cs="Mangal"/>
      <w:sz w:val="18"/>
      <w:szCs w:val="18"/>
      <w:lang w:bidi="hi-IN"/>
    </w:rPr>
  </w:style>
  <w:style w:type="character" w:styleId="1760" w:customStyle="1">
    <w:name w:val="Texto sem Formatação Char249"/>
    <w:uiPriority w:val="99"/>
    <w:semiHidden/>
    <w:qFormat/>
    <w:pPr>
      <w:pBdr/>
      <w:spacing/>
      <w:ind/>
    </w:pPr>
    <w:rPr>
      <w:rFonts w:ascii="Courier New" w:hAnsi="Courier New" w:cs="Mangal"/>
      <w:sz w:val="18"/>
      <w:szCs w:val="18"/>
      <w:lang w:bidi="hi-IN"/>
    </w:rPr>
  </w:style>
  <w:style w:type="character" w:styleId="1761" w:customStyle="1">
    <w:name w:val="Texto sem Formatação Char248"/>
    <w:uiPriority w:val="99"/>
    <w:semiHidden/>
    <w:qFormat/>
    <w:pPr>
      <w:pBdr/>
      <w:spacing/>
      <w:ind/>
    </w:pPr>
    <w:rPr>
      <w:rFonts w:ascii="Courier New" w:hAnsi="Courier New" w:cs="Mangal"/>
      <w:sz w:val="18"/>
      <w:szCs w:val="18"/>
      <w:lang w:bidi="hi-IN"/>
    </w:rPr>
  </w:style>
  <w:style w:type="character" w:styleId="1762" w:customStyle="1">
    <w:name w:val="Texto sem Formatação Char247"/>
    <w:uiPriority w:val="99"/>
    <w:semiHidden/>
    <w:qFormat/>
    <w:pPr>
      <w:pBdr/>
      <w:spacing/>
      <w:ind/>
    </w:pPr>
    <w:rPr>
      <w:rFonts w:ascii="Courier New" w:hAnsi="Courier New" w:cs="Mangal"/>
      <w:sz w:val="18"/>
      <w:szCs w:val="18"/>
      <w:lang w:bidi="hi-IN"/>
    </w:rPr>
  </w:style>
  <w:style w:type="character" w:styleId="1763" w:customStyle="1">
    <w:name w:val="Texto sem Formatação Char246"/>
    <w:uiPriority w:val="99"/>
    <w:semiHidden/>
    <w:qFormat/>
    <w:pPr>
      <w:pBdr/>
      <w:spacing/>
      <w:ind/>
    </w:pPr>
    <w:rPr>
      <w:rFonts w:ascii="Courier New" w:hAnsi="Courier New" w:cs="Mangal"/>
      <w:sz w:val="18"/>
      <w:szCs w:val="18"/>
      <w:lang w:bidi="hi-IN"/>
    </w:rPr>
  </w:style>
  <w:style w:type="character" w:styleId="1764" w:customStyle="1">
    <w:name w:val="Texto sem Formatação Char245"/>
    <w:uiPriority w:val="99"/>
    <w:semiHidden/>
    <w:qFormat/>
    <w:pPr>
      <w:pBdr/>
      <w:spacing/>
      <w:ind/>
    </w:pPr>
    <w:rPr>
      <w:rFonts w:ascii="Courier New" w:hAnsi="Courier New" w:cs="Mangal"/>
      <w:sz w:val="18"/>
      <w:szCs w:val="18"/>
      <w:lang w:bidi="hi-IN"/>
    </w:rPr>
  </w:style>
  <w:style w:type="character" w:styleId="1765" w:customStyle="1">
    <w:name w:val="Texto sem Formatação Char244"/>
    <w:uiPriority w:val="99"/>
    <w:semiHidden/>
    <w:qFormat/>
    <w:pPr>
      <w:pBdr/>
      <w:spacing/>
      <w:ind/>
    </w:pPr>
    <w:rPr>
      <w:rFonts w:ascii="Courier New" w:hAnsi="Courier New" w:cs="Mangal"/>
      <w:sz w:val="18"/>
      <w:szCs w:val="18"/>
      <w:lang w:bidi="hi-IN"/>
    </w:rPr>
  </w:style>
  <w:style w:type="character" w:styleId="1766" w:customStyle="1">
    <w:name w:val="Texto sem Formatação Char243"/>
    <w:uiPriority w:val="99"/>
    <w:semiHidden/>
    <w:qFormat/>
    <w:pPr>
      <w:pBdr/>
      <w:spacing/>
      <w:ind/>
    </w:pPr>
    <w:rPr>
      <w:rFonts w:ascii="Courier New" w:hAnsi="Courier New" w:cs="Mangal"/>
      <w:sz w:val="18"/>
      <w:szCs w:val="18"/>
      <w:lang w:bidi="hi-IN"/>
    </w:rPr>
  </w:style>
  <w:style w:type="character" w:styleId="1767" w:customStyle="1">
    <w:name w:val="Texto sem Formatação Char242"/>
    <w:uiPriority w:val="99"/>
    <w:semiHidden/>
    <w:qFormat/>
    <w:pPr>
      <w:pBdr/>
      <w:spacing/>
      <w:ind/>
    </w:pPr>
    <w:rPr>
      <w:rFonts w:ascii="Courier New" w:hAnsi="Courier New" w:cs="Mangal"/>
      <w:sz w:val="18"/>
      <w:szCs w:val="18"/>
      <w:lang w:bidi="hi-IN"/>
    </w:rPr>
  </w:style>
  <w:style w:type="character" w:styleId="1768" w:customStyle="1">
    <w:name w:val="Texto sem Formatação Char241"/>
    <w:uiPriority w:val="99"/>
    <w:semiHidden/>
    <w:qFormat/>
    <w:pPr>
      <w:pBdr/>
      <w:spacing/>
      <w:ind/>
    </w:pPr>
    <w:rPr>
      <w:rFonts w:ascii="Courier New" w:hAnsi="Courier New" w:cs="Mangal"/>
      <w:sz w:val="18"/>
      <w:szCs w:val="18"/>
      <w:lang w:bidi="hi-IN"/>
    </w:rPr>
  </w:style>
  <w:style w:type="character" w:styleId="1769" w:customStyle="1">
    <w:name w:val="Texto sem Formatação Char240"/>
    <w:uiPriority w:val="99"/>
    <w:semiHidden/>
    <w:qFormat/>
    <w:pPr>
      <w:pBdr/>
      <w:spacing/>
      <w:ind/>
    </w:pPr>
    <w:rPr>
      <w:rFonts w:ascii="Courier New" w:hAnsi="Courier New" w:cs="Mangal"/>
      <w:sz w:val="18"/>
      <w:szCs w:val="18"/>
      <w:lang w:bidi="hi-IN"/>
    </w:rPr>
  </w:style>
  <w:style w:type="character" w:styleId="1770" w:customStyle="1">
    <w:name w:val="Texto sem Formatação Char239"/>
    <w:uiPriority w:val="99"/>
    <w:semiHidden/>
    <w:qFormat/>
    <w:pPr>
      <w:pBdr/>
      <w:spacing/>
      <w:ind/>
    </w:pPr>
    <w:rPr>
      <w:rFonts w:ascii="Courier New" w:hAnsi="Courier New" w:cs="Mangal"/>
      <w:sz w:val="18"/>
      <w:szCs w:val="18"/>
      <w:lang w:bidi="hi-IN"/>
    </w:rPr>
  </w:style>
  <w:style w:type="character" w:styleId="1771" w:customStyle="1">
    <w:name w:val="Texto sem Formatação Char238"/>
    <w:uiPriority w:val="99"/>
    <w:semiHidden/>
    <w:qFormat/>
    <w:pPr>
      <w:pBdr/>
      <w:spacing/>
      <w:ind/>
    </w:pPr>
    <w:rPr>
      <w:rFonts w:ascii="Courier New" w:hAnsi="Courier New" w:cs="Mangal"/>
      <w:sz w:val="18"/>
      <w:szCs w:val="18"/>
      <w:lang w:bidi="hi-IN"/>
    </w:rPr>
  </w:style>
  <w:style w:type="character" w:styleId="1772" w:customStyle="1">
    <w:name w:val="Texto sem Formatação Char237"/>
    <w:uiPriority w:val="99"/>
    <w:semiHidden/>
    <w:qFormat/>
    <w:pPr>
      <w:pBdr/>
      <w:spacing/>
      <w:ind/>
    </w:pPr>
    <w:rPr>
      <w:rFonts w:ascii="Courier New" w:hAnsi="Courier New" w:cs="Mangal"/>
      <w:sz w:val="18"/>
      <w:szCs w:val="18"/>
      <w:lang w:bidi="hi-IN"/>
    </w:rPr>
  </w:style>
  <w:style w:type="character" w:styleId="1773" w:customStyle="1">
    <w:name w:val="Texto sem Formatação Char236"/>
    <w:uiPriority w:val="99"/>
    <w:semiHidden/>
    <w:qFormat/>
    <w:pPr>
      <w:pBdr/>
      <w:spacing/>
      <w:ind/>
    </w:pPr>
    <w:rPr>
      <w:rFonts w:ascii="Courier New" w:hAnsi="Courier New" w:cs="Mangal"/>
      <w:sz w:val="18"/>
      <w:szCs w:val="18"/>
      <w:lang w:bidi="hi-IN"/>
    </w:rPr>
  </w:style>
  <w:style w:type="character" w:styleId="1774" w:customStyle="1">
    <w:name w:val="Texto sem Formatação Char235"/>
    <w:uiPriority w:val="99"/>
    <w:semiHidden/>
    <w:qFormat/>
    <w:pPr>
      <w:pBdr/>
      <w:spacing/>
      <w:ind/>
    </w:pPr>
    <w:rPr>
      <w:rFonts w:ascii="Courier New" w:hAnsi="Courier New" w:cs="Mangal"/>
      <w:sz w:val="18"/>
      <w:szCs w:val="18"/>
      <w:lang w:bidi="hi-IN"/>
    </w:rPr>
  </w:style>
  <w:style w:type="character" w:styleId="1775" w:customStyle="1">
    <w:name w:val="Texto sem Formatação Char234"/>
    <w:uiPriority w:val="99"/>
    <w:semiHidden/>
    <w:qFormat/>
    <w:pPr>
      <w:pBdr/>
      <w:spacing/>
      <w:ind/>
    </w:pPr>
    <w:rPr>
      <w:rFonts w:ascii="Courier New" w:hAnsi="Courier New" w:cs="Mangal"/>
      <w:sz w:val="18"/>
      <w:szCs w:val="18"/>
      <w:lang w:bidi="hi-IN"/>
    </w:rPr>
  </w:style>
  <w:style w:type="character" w:styleId="1776" w:customStyle="1">
    <w:name w:val="Texto sem Formatação Char233"/>
    <w:uiPriority w:val="99"/>
    <w:semiHidden/>
    <w:qFormat/>
    <w:pPr>
      <w:pBdr/>
      <w:spacing/>
      <w:ind/>
    </w:pPr>
    <w:rPr>
      <w:rFonts w:ascii="Courier New" w:hAnsi="Courier New" w:cs="Mangal"/>
      <w:sz w:val="18"/>
      <w:szCs w:val="18"/>
      <w:lang w:bidi="hi-IN"/>
    </w:rPr>
  </w:style>
  <w:style w:type="character" w:styleId="1777" w:customStyle="1">
    <w:name w:val="Texto sem Formatação Char232"/>
    <w:uiPriority w:val="99"/>
    <w:semiHidden/>
    <w:qFormat/>
    <w:pPr>
      <w:pBdr/>
      <w:spacing/>
      <w:ind/>
    </w:pPr>
    <w:rPr>
      <w:rFonts w:ascii="Courier New" w:hAnsi="Courier New" w:cs="Mangal"/>
      <w:sz w:val="18"/>
      <w:szCs w:val="18"/>
      <w:lang w:bidi="hi-IN"/>
    </w:rPr>
  </w:style>
  <w:style w:type="character" w:styleId="1778" w:customStyle="1">
    <w:name w:val="Texto sem Formatação Char231"/>
    <w:uiPriority w:val="99"/>
    <w:semiHidden/>
    <w:qFormat/>
    <w:pPr>
      <w:pBdr/>
      <w:spacing/>
      <w:ind/>
    </w:pPr>
    <w:rPr>
      <w:rFonts w:ascii="Courier New" w:hAnsi="Courier New" w:cs="Mangal"/>
      <w:sz w:val="18"/>
      <w:szCs w:val="18"/>
      <w:lang w:bidi="hi-IN"/>
    </w:rPr>
  </w:style>
  <w:style w:type="character" w:styleId="1779" w:customStyle="1">
    <w:name w:val="Texto sem Formatação Char230"/>
    <w:uiPriority w:val="99"/>
    <w:semiHidden/>
    <w:qFormat/>
    <w:pPr>
      <w:pBdr/>
      <w:spacing/>
      <w:ind/>
    </w:pPr>
    <w:rPr>
      <w:rFonts w:ascii="Courier New" w:hAnsi="Courier New" w:cs="Mangal"/>
      <w:sz w:val="18"/>
      <w:szCs w:val="18"/>
      <w:lang w:bidi="hi-IN"/>
    </w:rPr>
  </w:style>
  <w:style w:type="character" w:styleId="1780" w:customStyle="1">
    <w:name w:val="Texto sem Formatação Char229"/>
    <w:uiPriority w:val="99"/>
    <w:semiHidden/>
    <w:qFormat/>
    <w:pPr>
      <w:pBdr/>
      <w:spacing/>
      <w:ind/>
    </w:pPr>
    <w:rPr>
      <w:rFonts w:ascii="Courier New" w:hAnsi="Courier New" w:cs="Mangal"/>
      <w:sz w:val="18"/>
      <w:szCs w:val="18"/>
      <w:lang w:bidi="hi-IN"/>
    </w:rPr>
  </w:style>
  <w:style w:type="character" w:styleId="1781" w:customStyle="1">
    <w:name w:val="Texto sem Formatação Char228"/>
    <w:uiPriority w:val="99"/>
    <w:semiHidden/>
    <w:qFormat/>
    <w:pPr>
      <w:pBdr/>
      <w:spacing/>
      <w:ind/>
    </w:pPr>
    <w:rPr>
      <w:rFonts w:ascii="Courier New" w:hAnsi="Courier New" w:cs="Mangal"/>
      <w:sz w:val="18"/>
      <w:szCs w:val="18"/>
      <w:lang w:bidi="hi-IN"/>
    </w:rPr>
  </w:style>
  <w:style w:type="character" w:styleId="1782" w:customStyle="1">
    <w:name w:val="Texto sem Formatação Char227"/>
    <w:uiPriority w:val="99"/>
    <w:semiHidden/>
    <w:qFormat/>
    <w:pPr>
      <w:pBdr/>
      <w:spacing/>
      <w:ind/>
    </w:pPr>
    <w:rPr>
      <w:rFonts w:ascii="Courier New" w:hAnsi="Courier New" w:cs="Mangal"/>
      <w:sz w:val="18"/>
      <w:szCs w:val="18"/>
      <w:lang w:bidi="hi-IN"/>
    </w:rPr>
  </w:style>
  <w:style w:type="character" w:styleId="1783" w:customStyle="1">
    <w:name w:val="Texto sem Formatação Char226"/>
    <w:uiPriority w:val="99"/>
    <w:semiHidden/>
    <w:qFormat/>
    <w:pPr>
      <w:pBdr/>
      <w:spacing/>
      <w:ind/>
    </w:pPr>
    <w:rPr>
      <w:rFonts w:ascii="Courier New" w:hAnsi="Courier New" w:cs="Mangal"/>
      <w:sz w:val="18"/>
      <w:szCs w:val="18"/>
      <w:lang w:bidi="hi-IN"/>
    </w:rPr>
  </w:style>
  <w:style w:type="character" w:styleId="1784" w:customStyle="1">
    <w:name w:val="Texto sem Formatação Char225"/>
    <w:uiPriority w:val="99"/>
    <w:semiHidden/>
    <w:qFormat/>
    <w:pPr>
      <w:pBdr/>
      <w:spacing/>
      <w:ind/>
    </w:pPr>
    <w:rPr>
      <w:rFonts w:ascii="Courier New" w:hAnsi="Courier New" w:cs="Mangal"/>
      <w:sz w:val="18"/>
      <w:szCs w:val="18"/>
      <w:lang w:bidi="hi-IN"/>
    </w:rPr>
  </w:style>
  <w:style w:type="character" w:styleId="1785" w:customStyle="1">
    <w:name w:val="Texto sem Formatação Char224"/>
    <w:uiPriority w:val="99"/>
    <w:semiHidden/>
    <w:qFormat/>
    <w:pPr>
      <w:pBdr/>
      <w:spacing/>
      <w:ind/>
    </w:pPr>
    <w:rPr>
      <w:rFonts w:ascii="Courier New" w:hAnsi="Courier New" w:cs="Mangal"/>
      <w:sz w:val="18"/>
      <w:szCs w:val="18"/>
      <w:lang w:bidi="hi-IN"/>
    </w:rPr>
  </w:style>
  <w:style w:type="character" w:styleId="1786" w:customStyle="1">
    <w:name w:val="Texto sem Formatação Char223"/>
    <w:uiPriority w:val="99"/>
    <w:semiHidden/>
    <w:qFormat/>
    <w:pPr>
      <w:pBdr/>
      <w:spacing/>
      <w:ind/>
    </w:pPr>
    <w:rPr>
      <w:rFonts w:ascii="Courier New" w:hAnsi="Courier New" w:cs="Mangal"/>
      <w:sz w:val="18"/>
      <w:szCs w:val="18"/>
      <w:lang w:bidi="hi-IN"/>
    </w:rPr>
  </w:style>
  <w:style w:type="character" w:styleId="1787" w:customStyle="1">
    <w:name w:val="Texto sem Formatação Char222"/>
    <w:uiPriority w:val="99"/>
    <w:semiHidden/>
    <w:qFormat/>
    <w:pPr>
      <w:pBdr/>
      <w:spacing/>
      <w:ind/>
    </w:pPr>
    <w:rPr>
      <w:rFonts w:ascii="Courier New" w:hAnsi="Courier New" w:cs="Mangal"/>
      <w:sz w:val="18"/>
      <w:szCs w:val="18"/>
      <w:lang w:bidi="hi-IN"/>
    </w:rPr>
  </w:style>
  <w:style w:type="character" w:styleId="1788" w:customStyle="1">
    <w:name w:val="Texto sem Formatação Char221"/>
    <w:uiPriority w:val="99"/>
    <w:semiHidden/>
    <w:qFormat/>
    <w:pPr>
      <w:pBdr/>
      <w:spacing/>
      <w:ind/>
    </w:pPr>
    <w:rPr>
      <w:rFonts w:ascii="Courier New" w:hAnsi="Courier New" w:cs="Mangal"/>
      <w:sz w:val="18"/>
      <w:szCs w:val="18"/>
      <w:lang w:bidi="hi-IN"/>
    </w:rPr>
  </w:style>
  <w:style w:type="character" w:styleId="1789" w:customStyle="1">
    <w:name w:val="Texto sem Formatação Char220"/>
    <w:uiPriority w:val="99"/>
    <w:semiHidden/>
    <w:qFormat/>
    <w:pPr>
      <w:pBdr/>
      <w:spacing/>
      <w:ind/>
    </w:pPr>
    <w:rPr>
      <w:rFonts w:ascii="Courier New" w:hAnsi="Courier New" w:cs="Mangal"/>
      <w:sz w:val="18"/>
      <w:szCs w:val="18"/>
      <w:lang w:bidi="hi-IN"/>
    </w:rPr>
  </w:style>
  <w:style w:type="character" w:styleId="1790" w:customStyle="1">
    <w:name w:val="Texto sem Formatação Char219"/>
    <w:uiPriority w:val="99"/>
    <w:semiHidden/>
    <w:qFormat/>
    <w:pPr>
      <w:pBdr/>
      <w:spacing/>
      <w:ind/>
    </w:pPr>
    <w:rPr>
      <w:rFonts w:ascii="Courier New" w:hAnsi="Courier New" w:cs="Mangal"/>
      <w:sz w:val="18"/>
      <w:szCs w:val="18"/>
      <w:lang w:bidi="hi-IN"/>
    </w:rPr>
  </w:style>
  <w:style w:type="character" w:styleId="1791" w:customStyle="1">
    <w:name w:val="Texto sem Formatação Char218"/>
    <w:uiPriority w:val="99"/>
    <w:semiHidden/>
    <w:qFormat/>
    <w:pPr>
      <w:pBdr/>
      <w:spacing/>
      <w:ind/>
    </w:pPr>
    <w:rPr>
      <w:rFonts w:ascii="Courier New" w:hAnsi="Courier New" w:cs="Mangal"/>
      <w:sz w:val="18"/>
      <w:szCs w:val="18"/>
      <w:lang w:bidi="hi-IN"/>
    </w:rPr>
  </w:style>
  <w:style w:type="character" w:styleId="1792" w:customStyle="1">
    <w:name w:val="Texto sem Formatação Char217"/>
    <w:uiPriority w:val="99"/>
    <w:semiHidden/>
    <w:qFormat/>
    <w:pPr>
      <w:pBdr/>
      <w:spacing/>
      <w:ind/>
    </w:pPr>
    <w:rPr>
      <w:rFonts w:ascii="Courier New" w:hAnsi="Courier New" w:cs="Mangal"/>
      <w:sz w:val="18"/>
      <w:szCs w:val="18"/>
      <w:lang w:bidi="hi-IN"/>
    </w:rPr>
  </w:style>
  <w:style w:type="character" w:styleId="1793" w:customStyle="1">
    <w:name w:val="Texto sem Formatação Char216"/>
    <w:uiPriority w:val="99"/>
    <w:semiHidden/>
    <w:qFormat/>
    <w:pPr>
      <w:pBdr/>
      <w:spacing/>
      <w:ind/>
    </w:pPr>
    <w:rPr>
      <w:rFonts w:ascii="Courier New" w:hAnsi="Courier New" w:cs="Mangal"/>
      <w:sz w:val="18"/>
      <w:szCs w:val="18"/>
      <w:lang w:bidi="hi-IN"/>
    </w:rPr>
  </w:style>
  <w:style w:type="character" w:styleId="1794" w:customStyle="1">
    <w:name w:val="Texto sem Formatação Char215"/>
    <w:uiPriority w:val="99"/>
    <w:semiHidden/>
    <w:qFormat/>
    <w:pPr>
      <w:pBdr/>
      <w:spacing/>
      <w:ind/>
    </w:pPr>
    <w:rPr>
      <w:rFonts w:ascii="Courier New" w:hAnsi="Courier New" w:cs="Mangal"/>
      <w:sz w:val="18"/>
      <w:szCs w:val="18"/>
      <w:lang w:bidi="hi-IN"/>
    </w:rPr>
  </w:style>
  <w:style w:type="character" w:styleId="1795" w:customStyle="1">
    <w:name w:val="Texto sem Formatação Char214"/>
    <w:uiPriority w:val="99"/>
    <w:semiHidden/>
    <w:qFormat/>
    <w:pPr>
      <w:pBdr/>
      <w:spacing/>
      <w:ind/>
    </w:pPr>
    <w:rPr>
      <w:rFonts w:ascii="Courier New" w:hAnsi="Courier New" w:cs="Mangal"/>
      <w:sz w:val="18"/>
      <w:szCs w:val="18"/>
      <w:lang w:bidi="hi-IN"/>
    </w:rPr>
  </w:style>
  <w:style w:type="character" w:styleId="1796" w:customStyle="1">
    <w:name w:val="Texto sem Formatação Char213"/>
    <w:uiPriority w:val="99"/>
    <w:semiHidden/>
    <w:qFormat/>
    <w:pPr>
      <w:pBdr/>
      <w:spacing/>
      <w:ind/>
    </w:pPr>
    <w:rPr>
      <w:rFonts w:ascii="Courier New" w:hAnsi="Courier New" w:cs="Mangal"/>
      <w:sz w:val="18"/>
      <w:szCs w:val="18"/>
      <w:lang w:bidi="hi-IN"/>
    </w:rPr>
  </w:style>
  <w:style w:type="character" w:styleId="1797" w:customStyle="1">
    <w:name w:val="Texto sem Formatação Char212"/>
    <w:uiPriority w:val="99"/>
    <w:semiHidden/>
    <w:qFormat/>
    <w:pPr>
      <w:pBdr/>
      <w:spacing/>
      <w:ind/>
    </w:pPr>
    <w:rPr>
      <w:rFonts w:ascii="Courier New" w:hAnsi="Courier New" w:cs="Mangal"/>
      <w:sz w:val="18"/>
      <w:szCs w:val="18"/>
      <w:lang w:bidi="hi-IN"/>
    </w:rPr>
  </w:style>
  <w:style w:type="character" w:styleId="1798" w:customStyle="1">
    <w:name w:val="Texto sem Formatação Char211"/>
    <w:uiPriority w:val="99"/>
    <w:semiHidden/>
    <w:qFormat/>
    <w:pPr>
      <w:pBdr/>
      <w:spacing/>
      <w:ind/>
    </w:pPr>
    <w:rPr>
      <w:rFonts w:ascii="Courier New" w:hAnsi="Courier New" w:cs="Mangal"/>
      <w:sz w:val="18"/>
      <w:szCs w:val="18"/>
      <w:lang w:bidi="hi-IN"/>
    </w:rPr>
  </w:style>
  <w:style w:type="character" w:styleId="1799" w:customStyle="1">
    <w:name w:val="Corpo de texto 3 Char4"/>
    <w:uiPriority w:val="99"/>
    <w:semiHidden/>
    <w:qFormat/>
    <w:pPr>
      <w:pBdr/>
      <w:spacing/>
      <w:ind/>
    </w:pPr>
    <w:rPr>
      <w:sz w:val="16"/>
      <w:szCs w:val="16"/>
      <w:lang w:eastAsia="zh-CN"/>
    </w:rPr>
  </w:style>
  <w:style w:type="character" w:styleId="1800" w:customStyle="1">
    <w:name w:val="Corpo de texto 3 Char377"/>
    <w:uiPriority w:val="99"/>
    <w:semiHidden/>
    <w:qFormat/>
    <w:pPr>
      <w:pBdr/>
      <w:spacing/>
      <w:ind/>
    </w:pPr>
    <w:rPr>
      <w:rFonts w:eastAsia="Times New Roman" w:cs="Mangal"/>
      <w:sz w:val="14"/>
      <w:szCs w:val="14"/>
      <w:lang w:bidi="hi-IN"/>
    </w:rPr>
  </w:style>
  <w:style w:type="character" w:styleId="1801" w:customStyle="1">
    <w:name w:val="Corpo de texto 3 Char376"/>
    <w:uiPriority w:val="99"/>
    <w:semiHidden/>
    <w:qFormat/>
    <w:pPr>
      <w:pBdr/>
      <w:spacing/>
      <w:ind/>
    </w:pPr>
    <w:rPr>
      <w:rFonts w:eastAsia="Times New Roman" w:cs="Mangal"/>
      <w:sz w:val="14"/>
      <w:szCs w:val="14"/>
      <w:lang w:bidi="hi-IN"/>
    </w:rPr>
  </w:style>
  <w:style w:type="character" w:styleId="1802" w:customStyle="1">
    <w:name w:val="Corpo de texto 3 Char375"/>
    <w:uiPriority w:val="99"/>
    <w:semiHidden/>
    <w:qFormat/>
    <w:pPr>
      <w:pBdr/>
      <w:spacing/>
      <w:ind/>
    </w:pPr>
    <w:rPr>
      <w:rFonts w:eastAsia="Times New Roman" w:cs="Mangal"/>
      <w:sz w:val="14"/>
      <w:szCs w:val="14"/>
      <w:lang w:bidi="hi-IN"/>
    </w:rPr>
  </w:style>
  <w:style w:type="character" w:styleId="1803" w:customStyle="1">
    <w:name w:val="Corpo de texto 3 Char374"/>
    <w:uiPriority w:val="99"/>
    <w:semiHidden/>
    <w:qFormat/>
    <w:pPr>
      <w:pBdr/>
      <w:spacing/>
      <w:ind/>
    </w:pPr>
    <w:rPr>
      <w:rFonts w:eastAsia="Times New Roman" w:cs="Mangal"/>
      <w:sz w:val="14"/>
      <w:szCs w:val="14"/>
      <w:lang w:bidi="hi-IN"/>
    </w:rPr>
  </w:style>
  <w:style w:type="character" w:styleId="1804" w:customStyle="1">
    <w:name w:val="Corpo de texto 3 Char373"/>
    <w:uiPriority w:val="99"/>
    <w:semiHidden/>
    <w:qFormat/>
    <w:pPr>
      <w:pBdr/>
      <w:spacing/>
      <w:ind/>
    </w:pPr>
    <w:rPr>
      <w:rFonts w:eastAsia="Times New Roman" w:cs="Mangal"/>
      <w:sz w:val="14"/>
      <w:szCs w:val="14"/>
      <w:lang w:bidi="hi-IN"/>
    </w:rPr>
  </w:style>
  <w:style w:type="character" w:styleId="1805" w:customStyle="1">
    <w:name w:val="Corpo de texto 3 Char372"/>
    <w:uiPriority w:val="99"/>
    <w:semiHidden/>
    <w:qFormat/>
    <w:pPr>
      <w:pBdr/>
      <w:spacing/>
      <w:ind/>
    </w:pPr>
    <w:rPr>
      <w:rFonts w:eastAsia="Times New Roman" w:cs="Mangal"/>
      <w:sz w:val="14"/>
      <w:szCs w:val="14"/>
      <w:lang w:bidi="hi-IN"/>
    </w:rPr>
  </w:style>
  <w:style w:type="character" w:styleId="1806" w:customStyle="1">
    <w:name w:val="Corpo de texto 3 Char371"/>
    <w:uiPriority w:val="99"/>
    <w:semiHidden/>
    <w:qFormat/>
    <w:pPr>
      <w:pBdr/>
      <w:spacing/>
      <w:ind/>
    </w:pPr>
    <w:rPr>
      <w:rFonts w:eastAsia="Times New Roman" w:cs="Mangal"/>
      <w:sz w:val="14"/>
      <w:szCs w:val="14"/>
      <w:lang w:bidi="hi-IN"/>
    </w:rPr>
  </w:style>
  <w:style w:type="character" w:styleId="1807" w:customStyle="1">
    <w:name w:val="Corpo de texto 3 Char370"/>
    <w:uiPriority w:val="99"/>
    <w:semiHidden/>
    <w:qFormat/>
    <w:pPr>
      <w:pBdr/>
      <w:spacing/>
      <w:ind/>
    </w:pPr>
    <w:rPr>
      <w:rFonts w:eastAsia="Times New Roman" w:cs="Mangal"/>
      <w:sz w:val="14"/>
      <w:szCs w:val="14"/>
      <w:lang w:bidi="hi-IN"/>
    </w:rPr>
  </w:style>
  <w:style w:type="character" w:styleId="1808" w:customStyle="1">
    <w:name w:val="Corpo de texto 3 Char369"/>
    <w:uiPriority w:val="99"/>
    <w:semiHidden/>
    <w:qFormat/>
    <w:pPr>
      <w:pBdr/>
      <w:spacing/>
      <w:ind/>
    </w:pPr>
    <w:rPr>
      <w:rFonts w:eastAsia="Times New Roman" w:cs="Mangal"/>
      <w:sz w:val="14"/>
      <w:szCs w:val="14"/>
      <w:lang w:bidi="hi-IN"/>
    </w:rPr>
  </w:style>
  <w:style w:type="character" w:styleId="1809" w:customStyle="1">
    <w:name w:val="Corpo de texto 3 Char368"/>
    <w:uiPriority w:val="99"/>
    <w:semiHidden/>
    <w:qFormat/>
    <w:pPr>
      <w:pBdr/>
      <w:spacing/>
      <w:ind/>
    </w:pPr>
    <w:rPr>
      <w:rFonts w:eastAsia="Times New Roman" w:cs="Mangal"/>
      <w:sz w:val="14"/>
      <w:szCs w:val="14"/>
      <w:lang w:bidi="hi-IN"/>
    </w:rPr>
  </w:style>
  <w:style w:type="character" w:styleId="1810" w:customStyle="1">
    <w:name w:val="Corpo de texto 3 Char367"/>
    <w:uiPriority w:val="99"/>
    <w:semiHidden/>
    <w:qFormat/>
    <w:pPr>
      <w:pBdr/>
      <w:spacing/>
      <w:ind/>
    </w:pPr>
    <w:rPr>
      <w:rFonts w:eastAsia="Times New Roman" w:cs="Mangal"/>
      <w:sz w:val="14"/>
      <w:szCs w:val="14"/>
      <w:lang w:bidi="hi-IN"/>
    </w:rPr>
  </w:style>
  <w:style w:type="character" w:styleId="1811" w:customStyle="1">
    <w:name w:val="Corpo de texto 3 Char366"/>
    <w:uiPriority w:val="99"/>
    <w:semiHidden/>
    <w:qFormat/>
    <w:pPr>
      <w:pBdr/>
      <w:spacing/>
      <w:ind/>
    </w:pPr>
    <w:rPr>
      <w:rFonts w:eastAsia="Times New Roman" w:cs="Mangal"/>
      <w:sz w:val="14"/>
      <w:szCs w:val="14"/>
      <w:lang w:bidi="hi-IN"/>
    </w:rPr>
  </w:style>
  <w:style w:type="character" w:styleId="1812" w:customStyle="1">
    <w:name w:val="Corpo de texto 3 Char365"/>
    <w:uiPriority w:val="99"/>
    <w:semiHidden/>
    <w:qFormat/>
    <w:pPr>
      <w:pBdr/>
      <w:spacing/>
      <w:ind/>
    </w:pPr>
    <w:rPr>
      <w:rFonts w:eastAsia="Times New Roman" w:cs="Mangal"/>
      <w:sz w:val="14"/>
      <w:szCs w:val="14"/>
      <w:lang w:bidi="hi-IN"/>
    </w:rPr>
  </w:style>
  <w:style w:type="character" w:styleId="1813" w:customStyle="1">
    <w:name w:val="Corpo de texto 3 Char364"/>
    <w:uiPriority w:val="99"/>
    <w:semiHidden/>
    <w:qFormat/>
    <w:pPr>
      <w:pBdr/>
      <w:spacing/>
      <w:ind/>
    </w:pPr>
    <w:rPr>
      <w:rFonts w:eastAsia="Times New Roman" w:cs="Mangal"/>
      <w:sz w:val="14"/>
      <w:szCs w:val="14"/>
      <w:lang w:bidi="hi-IN"/>
    </w:rPr>
  </w:style>
  <w:style w:type="character" w:styleId="1814" w:customStyle="1">
    <w:name w:val="Corpo de texto 3 Char363"/>
    <w:uiPriority w:val="99"/>
    <w:semiHidden/>
    <w:qFormat/>
    <w:pPr>
      <w:pBdr/>
      <w:spacing/>
      <w:ind/>
    </w:pPr>
    <w:rPr>
      <w:rFonts w:eastAsia="Times New Roman" w:cs="Mangal"/>
      <w:sz w:val="14"/>
      <w:szCs w:val="14"/>
      <w:lang w:bidi="hi-IN"/>
    </w:rPr>
  </w:style>
  <w:style w:type="character" w:styleId="1815" w:customStyle="1">
    <w:name w:val="Corpo de texto 3 Char362"/>
    <w:uiPriority w:val="99"/>
    <w:semiHidden/>
    <w:qFormat/>
    <w:pPr>
      <w:pBdr/>
      <w:spacing/>
      <w:ind/>
    </w:pPr>
    <w:rPr>
      <w:rFonts w:eastAsia="Times New Roman" w:cs="Mangal"/>
      <w:sz w:val="14"/>
      <w:szCs w:val="14"/>
      <w:lang w:bidi="hi-IN"/>
    </w:rPr>
  </w:style>
  <w:style w:type="character" w:styleId="1816" w:customStyle="1">
    <w:name w:val="Corpo de texto 3 Char361"/>
    <w:uiPriority w:val="99"/>
    <w:semiHidden/>
    <w:qFormat/>
    <w:pPr>
      <w:pBdr/>
      <w:spacing/>
      <w:ind/>
    </w:pPr>
    <w:rPr>
      <w:rFonts w:eastAsia="Times New Roman" w:cs="Mangal"/>
      <w:sz w:val="14"/>
      <w:szCs w:val="14"/>
      <w:lang w:bidi="hi-IN"/>
    </w:rPr>
  </w:style>
  <w:style w:type="character" w:styleId="1817" w:customStyle="1">
    <w:name w:val="Corpo de texto 3 Char360"/>
    <w:uiPriority w:val="99"/>
    <w:semiHidden/>
    <w:qFormat/>
    <w:pPr>
      <w:pBdr/>
      <w:spacing/>
      <w:ind/>
    </w:pPr>
    <w:rPr>
      <w:rFonts w:eastAsia="Times New Roman" w:cs="Mangal"/>
      <w:sz w:val="14"/>
      <w:szCs w:val="14"/>
      <w:lang w:bidi="hi-IN"/>
    </w:rPr>
  </w:style>
  <w:style w:type="character" w:styleId="1818" w:customStyle="1">
    <w:name w:val="Corpo de texto 3 Char359"/>
    <w:uiPriority w:val="99"/>
    <w:semiHidden/>
    <w:qFormat/>
    <w:pPr>
      <w:pBdr/>
      <w:spacing/>
      <w:ind/>
    </w:pPr>
    <w:rPr>
      <w:rFonts w:eastAsia="Times New Roman" w:cs="Mangal"/>
      <w:sz w:val="14"/>
      <w:szCs w:val="14"/>
      <w:lang w:bidi="hi-IN"/>
    </w:rPr>
  </w:style>
  <w:style w:type="character" w:styleId="1819" w:customStyle="1">
    <w:name w:val="Corpo de texto 3 Char358"/>
    <w:uiPriority w:val="99"/>
    <w:semiHidden/>
    <w:qFormat/>
    <w:pPr>
      <w:pBdr/>
      <w:spacing/>
      <w:ind/>
    </w:pPr>
    <w:rPr>
      <w:rFonts w:eastAsia="Times New Roman" w:cs="Mangal"/>
      <w:sz w:val="14"/>
      <w:szCs w:val="14"/>
      <w:lang w:bidi="hi-IN"/>
    </w:rPr>
  </w:style>
  <w:style w:type="character" w:styleId="1820" w:customStyle="1">
    <w:name w:val="Corpo de texto 3 Char357"/>
    <w:uiPriority w:val="99"/>
    <w:semiHidden/>
    <w:qFormat/>
    <w:pPr>
      <w:pBdr/>
      <w:spacing/>
      <w:ind/>
    </w:pPr>
    <w:rPr>
      <w:rFonts w:eastAsia="Times New Roman" w:cs="Mangal"/>
      <w:sz w:val="14"/>
      <w:szCs w:val="14"/>
      <w:lang w:bidi="hi-IN"/>
    </w:rPr>
  </w:style>
  <w:style w:type="character" w:styleId="1821" w:customStyle="1">
    <w:name w:val="Corpo de texto 3 Char356"/>
    <w:uiPriority w:val="99"/>
    <w:semiHidden/>
    <w:qFormat/>
    <w:pPr>
      <w:pBdr/>
      <w:spacing/>
      <w:ind/>
    </w:pPr>
    <w:rPr>
      <w:rFonts w:eastAsia="Times New Roman" w:cs="Mangal"/>
      <w:sz w:val="14"/>
      <w:szCs w:val="14"/>
      <w:lang w:bidi="hi-IN"/>
    </w:rPr>
  </w:style>
  <w:style w:type="character" w:styleId="1822" w:customStyle="1">
    <w:name w:val="Corpo de texto 3 Char355"/>
    <w:uiPriority w:val="99"/>
    <w:semiHidden/>
    <w:qFormat/>
    <w:pPr>
      <w:pBdr/>
      <w:spacing/>
      <w:ind/>
    </w:pPr>
    <w:rPr>
      <w:rFonts w:eastAsia="Times New Roman" w:cs="Mangal"/>
      <w:sz w:val="14"/>
      <w:szCs w:val="14"/>
      <w:lang w:bidi="hi-IN"/>
    </w:rPr>
  </w:style>
  <w:style w:type="character" w:styleId="1823" w:customStyle="1">
    <w:name w:val="Corpo de texto 3 Char354"/>
    <w:uiPriority w:val="99"/>
    <w:semiHidden/>
    <w:qFormat/>
    <w:pPr>
      <w:pBdr/>
      <w:spacing/>
      <w:ind/>
    </w:pPr>
    <w:rPr>
      <w:rFonts w:eastAsia="Times New Roman" w:cs="Mangal"/>
      <w:sz w:val="14"/>
      <w:szCs w:val="14"/>
      <w:lang w:bidi="hi-IN"/>
    </w:rPr>
  </w:style>
  <w:style w:type="character" w:styleId="1824" w:customStyle="1">
    <w:name w:val="Corpo de texto 3 Char353"/>
    <w:uiPriority w:val="99"/>
    <w:semiHidden/>
    <w:qFormat/>
    <w:pPr>
      <w:pBdr/>
      <w:spacing/>
      <w:ind/>
    </w:pPr>
    <w:rPr>
      <w:rFonts w:eastAsia="Times New Roman" w:cs="Mangal"/>
      <w:sz w:val="14"/>
      <w:szCs w:val="14"/>
      <w:lang w:bidi="hi-IN"/>
    </w:rPr>
  </w:style>
  <w:style w:type="character" w:styleId="1825" w:customStyle="1">
    <w:name w:val="Corpo de texto 3 Char352"/>
    <w:uiPriority w:val="99"/>
    <w:semiHidden/>
    <w:qFormat/>
    <w:pPr>
      <w:pBdr/>
      <w:spacing/>
      <w:ind/>
    </w:pPr>
    <w:rPr>
      <w:rFonts w:eastAsia="Times New Roman" w:cs="Mangal"/>
      <w:sz w:val="14"/>
      <w:szCs w:val="14"/>
      <w:lang w:bidi="hi-IN"/>
    </w:rPr>
  </w:style>
  <w:style w:type="character" w:styleId="1826" w:customStyle="1">
    <w:name w:val="Corpo de texto 3 Char351"/>
    <w:uiPriority w:val="99"/>
    <w:semiHidden/>
    <w:qFormat/>
    <w:pPr>
      <w:pBdr/>
      <w:spacing/>
      <w:ind/>
    </w:pPr>
    <w:rPr>
      <w:rFonts w:eastAsia="Times New Roman" w:cs="Mangal"/>
      <w:sz w:val="14"/>
      <w:szCs w:val="14"/>
      <w:lang w:bidi="hi-IN"/>
    </w:rPr>
  </w:style>
  <w:style w:type="character" w:styleId="1827" w:customStyle="1">
    <w:name w:val="Corpo de texto 3 Char350"/>
    <w:uiPriority w:val="99"/>
    <w:semiHidden/>
    <w:qFormat/>
    <w:pPr>
      <w:pBdr/>
      <w:spacing/>
      <w:ind/>
    </w:pPr>
    <w:rPr>
      <w:rFonts w:eastAsia="Times New Roman" w:cs="Mangal"/>
      <w:sz w:val="14"/>
      <w:szCs w:val="14"/>
      <w:lang w:bidi="hi-IN"/>
    </w:rPr>
  </w:style>
  <w:style w:type="character" w:styleId="1828" w:customStyle="1">
    <w:name w:val="Corpo de texto 3 Char349"/>
    <w:uiPriority w:val="99"/>
    <w:semiHidden/>
    <w:qFormat/>
    <w:pPr>
      <w:pBdr/>
      <w:spacing/>
      <w:ind/>
    </w:pPr>
    <w:rPr>
      <w:rFonts w:eastAsia="Times New Roman" w:cs="Mangal"/>
      <w:sz w:val="14"/>
      <w:szCs w:val="14"/>
      <w:lang w:bidi="hi-IN"/>
    </w:rPr>
  </w:style>
  <w:style w:type="character" w:styleId="1829" w:customStyle="1">
    <w:name w:val="Corpo de texto 3 Char348"/>
    <w:uiPriority w:val="99"/>
    <w:semiHidden/>
    <w:qFormat/>
    <w:pPr>
      <w:pBdr/>
      <w:spacing/>
      <w:ind/>
    </w:pPr>
    <w:rPr>
      <w:rFonts w:eastAsia="Times New Roman" w:cs="Mangal"/>
      <w:sz w:val="14"/>
      <w:szCs w:val="14"/>
      <w:lang w:bidi="hi-IN"/>
    </w:rPr>
  </w:style>
  <w:style w:type="character" w:styleId="1830" w:customStyle="1">
    <w:name w:val="Corpo de texto 3 Char347"/>
    <w:uiPriority w:val="99"/>
    <w:semiHidden/>
    <w:qFormat/>
    <w:pPr>
      <w:pBdr/>
      <w:spacing/>
      <w:ind/>
    </w:pPr>
    <w:rPr>
      <w:rFonts w:eastAsia="Times New Roman" w:cs="Mangal"/>
      <w:sz w:val="14"/>
      <w:szCs w:val="14"/>
      <w:lang w:bidi="hi-IN"/>
    </w:rPr>
  </w:style>
  <w:style w:type="character" w:styleId="1831" w:customStyle="1">
    <w:name w:val="Corpo de texto 3 Char346"/>
    <w:uiPriority w:val="99"/>
    <w:semiHidden/>
    <w:qFormat/>
    <w:pPr>
      <w:pBdr/>
      <w:spacing/>
      <w:ind/>
    </w:pPr>
    <w:rPr>
      <w:rFonts w:eastAsia="Times New Roman" w:cs="Mangal"/>
      <w:sz w:val="14"/>
      <w:szCs w:val="14"/>
      <w:lang w:bidi="hi-IN"/>
    </w:rPr>
  </w:style>
  <w:style w:type="character" w:styleId="1832" w:customStyle="1">
    <w:name w:val="Corpo de texto 3 Char345"/>
    <w:uiPriority w:val="99"/>
    <w:semiHidden/>
    <w:qFormat/>
    <w:pPr>
      <w:pBdr/>
      <w:spacing/>
      <w:ind/>
    </w:pPr>
    <w:rPr>
      <w:rFonts w:eastAsia="Times New Roman" w:cs="Mangal"/>
      <w:sz w:val="14"/>
      <w:szCs w:val="14"/>
      <w:lang w:bidi="hi-IN"/>
    </w:rPr>
  </w:style>
  <w:style w:type="character" w:styleId="1833" w:customStyle="1">
    <w:name w:val="Corpo de texto 3 Char344"/>
    <w:uiPriority w:val="99"/>
    <w:semiHidden/>
    <w:qFormat/>
    <w:pPr>
      <w:pBdr/>
      <w:spacing/>
      <w:ind/>
    </w:pPr>
    <w:rPr>
      <w:rFonts w:eastAsia="Times New Roman" w:cs="Mangal"/>
      <w:sz w:val="14"/>
      <w:szCs w:val="14"/>
      <w:lang w:bidi="hi-IN"/>
    </w:rPr>
  </w:style>
  <w:style w:type="character" w:styleId="1834" w:customStyle="1">
    <w:name w:val="Corpo de texto 3 Char343"/>
    <w:uiPriority w:val="99"/>
    <w:semiHidden/>
    <w:qFormat/>
    <w:pPr>
      <w:pBdr/>
      <w:spacing/>
      <w:ind/>
    </w:pPr>
    <w:rPr>
      <w:rFonts w:eastAsia="Times New Roman" w:cs="Mangal"/>
      <w:sz w:val="14"/>
      <w:szCs w:val="14"/>
      <w:lang w:bidi="hi-IN"/>
    </w:rPr>
  </w:style>
  <w:style w:type="character" w:styleId="1835" w:customStyle="1">
    <w:name w:val="Corpo de texto 3 Char342"/>
    <w:uiPriority w:val="99"/>
    <w:semiHidden/>
    <w:qFormat/>
    <w:pPr>
      <w:pBdr/>
      <w:spacing/>
      <w:ind/>
    </w:pPr>
    <w:rPr>
      <w:rFonts w:eastAsia="Times New Roman" w:cs="Mangal"/>
      <w:sz w:val="14"/>
      <w:szCs w:val="14"/>
      <w:lang w:bidi="hi-IN"/>
    </w:rPr>
  </w:style>
  <w:style w:type="character" w:styleId="1836" w:customStyle="1">
    <w:name w:val="Corpo de texto 3 Char341"/>
    <w:uiPriority w:val="99"/>
    <w:semiHidden/>
    <w:qFormat/>
    <w:pPr>
      <w:pBdr/>
      <w:spacing/>
      <w:ind/>
    </w:pPr>
    <w:rPr>
      <w:rFonts w:eastAsia="Times New Roman" w:cs="Mangal"/>
      <w:sz w:val="14"/>
      <w:szCs w:val="14"/>
      <w:lang w:bidi="hi-IN"/>
    </w:rPr>
  </w:style>
  <w:style w:type="character" w:styleId="1837" w:customStyle="1">
    <w:name w:val="Corpo de texto 3 Char340"/>
    <w:uiPriority w:val="99"/>
    <w:semiHidden/>
    <w:qFormat/>
    <w:pPr>
      <w:pBdr/>
      <w:spacing/>
      <w:ind/>
    </w:pPr>
    <w:rPr>
      <w:rFonts w:eastAsia="Times New Roman" w:cs="Mangal"/>
      <w:sz w:val="14"/>
      <w:szCs w:val="14"/>
      <w:lang w:bidi="hi-IN"/>
    </w:rPr>
  </w:style>
  <w:style w:type="character" w:styleId="1838" w:customStyle="1">
    <w:name w:val="Corpo de texto 3 Char339"/>
    <w:uiPriority w:val="99"/>
    <w:semiHidden/>
    <w:qFormat/>
    <w:pPr>
      <w:pBdr/>
      <w:spacing/>
      <w:ind/>
    </w:pPr>
    <w:rPr>
      <w:rFonts w:eastAsia="Times New Roman" w:cs="Mangal"/>
      <w:sz w:val="14"/>
      <w:szCs w:val="14"/>
      <w:lang w:bidi="hi-IN"/>
    </w:rPr>
  </w:style>
  <w:style w:type="character" w:styleId="1839" w:customStyle="1">
    <w:name w:val="Corpo de texto 3 Char338"/>
    <w:uiPriority w:val="99"/>
    <w:semiHidden/>
    <w:qFormat/>
    <w:pPr>
      <w:pBdr/>
      <w:spacing/>
      <w:ind/>
    </w:pPr>
    <w:rPr>
      <w:rFonts w:eastAsia="Times New Roman" w:cs="Mangal"/>
      <w:sz w:val="14"/>
      <w:szCs w:val="14"/>
      <w:lang w:bidi="hi-IN"/>
    </w:rPr>
  </w:style>
  <w:style w:type="character" w:styleId="1840" w:customStyle="1">
    <w:name w:val="Corpo de texto 3 Char337"/>
    <w:uiPriority w:val="99"/>
    <w:semiHidden/>
    <w:qFormat/>
    <w:pPr>
      <w:pBdr/>
      <w:spacing/>
      <w:ind/>
    </w:pPr>
    <w:rPr>
      <w:rFonts w:eastAsia="Times New Roman" w:cs="Mangal"/>
      <w:sz w:val="14"/>
      <w:szCs w:val="14"/>
      <w:lang w:bidi="hi-IN"/>
    </w:rPr>
  </w:style>
  <w:style w:type="character" w:styleId="1841" w:customStyle="1">
    <w:name w:val="Corpo de texto 3 Char336"/>
    <w:uiPriority w:val="99"/>
    <w:semiHidden/>
    <w:qFormat/>
    <w:pPr>
      <w:pBdr/>
      <w:spacing/>
      <w:ind/>
    </w:pPr>
    <w:rPr>
      <w:rFonts w:eastAsia="Times New Roman" w:cs="Mangal"/>
      <w:sz w:val="14"/>
      <w:szCs w:val="14"/>
      <w:lang w:bidi="hi-IN"/>
    </w:rPr>
  </w:style>
  <w:style w:type="character" w:styleId="1842" w:customStyle="1">
    <w:name w:val="Corpo de texto 3 Char335"/>
    <w:uiPriority w:val="99"/>
    <w:semiHidden/>
    <w:qFormat/>
    <w:pPr>
      <w:pBdr/>
      <w:spacing/>
      <w:ind/>
    </w:pPr>
    <w:rPr>
      <w:rFonts w:eastAsia="Times New Roman" w:cs="Mangal"/>
      <w:sz w:val="14"/>
      <w:szCs w:val="14"/>
      <w:lang w:bidi="hi-IN"/>
    </w:rPr>
  </w:style>
  <w:style w:type="character" w:styleId="1843" w:customStyle="1">
    <w:name w:val="Corpo de texto 3 Char334"/>
    <w:uiPriority w:val="99"/>
    <w:semiHidden/>
    <w:qFormat/>
    <w:pPr>
      <w:pBdr/>
      <w:spacing/>
      <w:ind/>
    </w:pPr>
    <w:rPr>
      <w:rFonts w:eastAsia="Times New Roman" w:cs="Mangal"/>
      <w:sz w:val="14"/>
      <w:szCs w:val="14"/>
      <w:lang w:bidi="hi-IN"/>
    </w:rPr>
  </w:style>
  <w:style w:type="character" w:styleId="1844" w:customStyle="1">
    <w:name w:val="Corpo de texto 3 Char333"/>
    <w:uiPriority w:val="99"/>
    <w:semiHidden/>
    <w:qFormat/>
    <w:pPr>
      <w:pBdr/>
      <w:spacing/>
      <w:ind/>
    </w:pPr>
    <w:rPr>
      <w:rFonts w:eastAsia="Times New Roman" w:cs="Mangal"/>
      <w:sz w:val="14"/>
      <w:szCs w:val="14"/>
      <w:lang w:bidi="hi-IN"/>
    </w:rPr>
  </w:style>
  <w:style w:type="character" w:styleId="1845" w:customStyle="1">
    <w:name w:val="Corpo de texto 3 Char332"/>
    <w:uiPriority w:val="99"/>
    <w:semiHidden/>
    <w:qFormat/>
    <w:pPr>
      <w:pBdr/>
      <w:spacing/>
      <w:ind/>
    </w:pPr>
    <w:rPr>
      <w:rFonts w:eastAsia="Times New Roman" w:cs="Mangal"/>
      <w:sz w:val="14"/>
      <w:szCs w:val="14"/>
      <w:lang w:bidi="hi-IN"/>
    </w:rPr>
  </w:style>
  <w:style w:type="character" w:styleId="1846" w:customStyle="1">
    <w:name w:val="Corpo de texto 3 Char331"/>
    <w:uiPriority w:val="99"/>
    <w:semiHidden/>
    <w:qFormat/>
    <w:pPr>
      <w:pBdr/>
      <w:spacing/>
      <w:ind/>
    </w:pPr>
    <w:rPr>
      <w:rFonts w:eastAsia="Times New Roman" w:cs="Mangal"/>
      <w:sz w:val="14"/>
      <w:szCs w:val="14"/>
      <w:lang w:bidi="hi-IN"/>
    </w:rPr>
  </w:style>
  <w:style w:type="character" w:styleId="1847" w:customStyle="1">
    <w:name w:val="Corpo de texto 3 Char330"/>
    <w:uiPriority w:val="99"/>
    <w:semiHidden/>
    <w:qFormat/>
    <w:pPr>
      <w:pBdr/>
      <w:spacing/>
      <w:ind/>
    </w:pPr>
    <w:rPr>
      <w:rFonts w:eastAsia="Times New Roman" w:cs="Mangal"/>
      <w:sz w:val="14"/>
      <w:szCs w:val="14"/>
      <w:lang w:bidi="hi-IN"/>
    </w:rPr>
  </w:style>
  <w:style w:type="character" w:styleId="1848" w:customStyle="1">
    <w:name w:val="Corpo de texto 3 Char329"/>
    <w:uiPriority w:val="99"/>
    <w:semiHidden/>
    <w:qFormat/>
    <w:pPr>
      <w:pBdr/>
      <w:spacing/>
      <w:ind/>
    </w:pPr>
    <w:rPr>
      <w:rFonts w:eastAsia="Times New Roman" w:cs="Mangal"/>
      <w:sz w:val="14"/>
      <w:szCs w:val="14"/>
      <w:lang w:bidi="hi-IN"/>
    </w:rPr>
  </w:style>
  <w:style w:type="character" w:styleId="1849" w:customStyle="1">
    <w:name w:val="Corpo de texto 3 Char328"/>
    <w:uiPriority w:val="99"/>
    <w:semiHidden/>
    <w:qFormat/>
    <w:pPr>
      <w:pBdr/>
      <w:spacing/>
      <w:ind/>
    </w:pPr>
    <w:rPr>
      <w:rFonts w:eastAsia="Times New Roman" w:cs="Mangal"/>
      <w:sz w:val="14"/>
      <w:szCs w:val="14"/>
      <w:lang w:bidi="hi-IN"/>
    </w:rPr>
  </w:style>
  <w:style w:type="character" w:styleId="1850" w:customStyle="1">
    <w:name w:val="Corpo de texto 3 Char327"/>
    <w:uiPriority w:val="99"/>
    <w:semiHidden/>
    <w:qFormat/>
    <w:pPr>
      <w:pBdr/>
      <w:spacing/>
      <w:ind/>
    </w:pPr>
    <w:rPr>
      <w:rFonts w:eastAsia="Times New Roman" w:cs="Mangal"/>
      <w:sz w:val="14"/>
      <w:szCs w:val="14"/>
      <w:lang w:bidi="hi-IN"/>
    </w:rPr>
  </w:style>
  <w:style w:type="character" w:styleId="1851" w:customStyle="1">
    <w:name w:val="Corpo de texto 3 Char326"/>
    <w:uiPriority w:val="99"/>
    <w:semiHidden/>
    <w:qFormat/>
    <w:pPr>
      <w:pBdr/>
      <w:spacing/>
      <w:ind/>
    </w:pPr>
    <w:rPr>
      <w:rFonts w:eastAsia="Times New Roman" w:cs="Mangal"/>
      <w:sz w:val="14"/>
      <w:szCs w:val="14"/>
      <w:lang w:bidi="hi-IN"/>
    </w:rPr>
  </w:style>
  <w:style w:type="character" w:styleId="1852" w:customStyle="1">
    <w:name w:val="Corpo de texto 3 Char325"/>
    <w:uiPriority w:val="99"/>
    <w:semiHidden/>
    <w:qFormat/>
    <w:pPr>
      <w:pBdr/>
      <w:spacing/>
      <w:ind/>
    </w:pPr>
    <w:rPr>
      <w:rFonts w:eastAsia="Times New Roman" w:cs="Mangal"/>
      <w:sz w:val="14"/>
      <w:szCs w:val="14"/>
      <w:lang w:bidi="hi-IN"/>
    </w:rPr>
  </w:style>
  <w:style w:type="character" w:styleId="1853" w:customStyle="1">
    <w:name w:val="Corpo de texto 3 Char324"/>
    <w:uiPriority w:val="99"/>
    <w:semiHidden/>
    <w:qFormat/>
    <w:pPr>
      <w:pBdr/>
      <w:spacing/>
      <w:ind/>
    </w:pPr>
    <w:rPr>
      <w:rFonts w:eastAsia="Times New Roman" w:cs="Mangal"/>
      <w:sz w:val="14"/>
      <w:szCs w:val="14"/>
      <w:lang w:bidi="hi-IN"/>
    </w:rPr>
  </w:style>
  <w:style w:type="character" w:styleId="1854" w:customStyle="1">
    <w:name w:val="Corpo de texto 3 Char323"/>
    <w:uiPriority w:val="99"/>
    <w:semiHidden/>
    <w:qFormat/>
    <w:pPr>
      <w:pBdr/>
      <w:spacing/>
      <w:ind/>
    </w:pPr>
    <w:rPr>
      <w:rFonts w:eastAsia="Times New Roman" w:cs="Mangal"/>
      <w:sz w:val="14"/>
      <w:szCs w:val="14"/>
      <w:lang w:bidi="hi-IN"/>
    </w:rPr>
  </w:style>
  <w:style w:type="character" w:styleId="1855" w:customStyle="1">
    <w:name w:val="Corpo de texto 3 Char322"/>
    <w:uiPriority w:val="99"/>
    <w:semiHidden/>
    <w:qFormat/>
    <w:pPr>
      <w:pBdr/>
      <w:spacing/>
      <w:ind/>
    </w:pPr>
    <w:rPr>
      <w:rFonts w:eastAsia="Times New Roman" w:cs="Mangal"/>
      <w:sz w:val="14"/>
      <w:szCs w:val="14"/>
      <w:lang w:bidi="hi-IN"/>
    </w:rPr>
  </w:style>
  <w:style w:type="character" w:styleId="1856" w:customStyle="1">
    <w:name w:val="Corpo de texto 3 Char321"/>
    <w:uiPriority w:val="99"/>
    <w:semiHidden/>
    <w:qFormat/>
    <w:pPr>
      <w:pBdr/>
      <w:spacing/>
      <w:ind/>
    </w:pPr>
    <w:rPr>
      <w:rFonts w:eastAsia="Times New Roman" w:cs="Mangal"/>
      <w:sz w:val="14"/>
      <w:szCs w:val="14"/>
      <w:lang w:bidi="hi-IN"/>
    </w:rPr>
  </w:style>
  <w:style w:type="character" w:styleId="1857" w:customStyle="1">
    <w:name w:val="Corpo de texto 3 Char320"/>
    <w:uiPriority w:val="99"/>
    <w:semiHidden/>
    <w:qFormat/>
    <w:pPr>
      <w:pBdr/>
      <w:spacing/>
      <w:ind/>
    </w:pPr>
    <w:rPr>
      <w:rFonts w:eastAsia="Times New Roman" w:cs="Mangal"/>
      <w:sz w:val="14"/>
      <w:szCs w:val="14"/>
      <w:lang w:bidi="hi-IN"/>
    </w:rPr>
  </w:style>
  <w:style w:type="character" w:styleId="1858" w:customStyle="1">
    <w:name w:val="Corpo de texto 3 Char319"/>
    <w:uiPriority w:val="99"/>
    <w:semiHidden/>
    <w:qFormat/>
    <w:pPr>
      <w:pBdr/>
      <w:spacing/>
      <w:ind/>
    </w:pPr>
    <w:rPr>
      <w:rFonts w:eastAsia="Times New Roman" w:cs="Mangal"/>
      <w:sz w:val="14"/>
      <w:szCs w:val="14"/>
      <w:lang w:bidi="hi-IN"/>
    </w:rPr>
  </w:style>
  <w:style w:type="character" w:styleId="1859" w:customStyle="1">
    <w:name w:val="Corpo de texto 3 Char318"/>
    <w:uiPriority w:val="99"/>
    <w:semiHidden/>
    <w:qFormat/>
    <w:pPr>
      <w:pBdr/>
      <w:spacing/>
      <w:ind/>
    </w:pPr>
    <w:rPr>
      <w:rFonts w:eastAsia="Times New Roman" w:cs="Mangal"/>
      <w:sz w:val="14"/>
      <w:szCs w:val="14"/>
      <w:lang w:bidi="hi-IN"/>
    </w:rPr>
  </w:style>
  <w:style w:type="character" w:styleId="1860" w:customStyle="1">
    <w:name w:val="Corpo de texto 3 Char317"/>
    <w:uiPriority w:val="99"/>
    <w:semiHidden/>
    <w:qFormat/>
    <w:pPr>
      <w:pBdr/>
      <w:spacing/>
      <w:ind/>
    </w:pPr>
    <w:rPr>
      <w:rFonts w:eastAsia="Times New Roman" w:cs="Mangal"/>
      <w:sz w:val="14"/>
      <w:szCs w:val="14"/>
      <w:lang w:bidi="hi-IN"/>
    </w:rPr>
  </w:style>
  <w:style w:type="character" w:styleId="1861" w:customStyle="1">
    <w:name w:val="Corpo de texto 3 Char316"/>
    <w:uiPriority w:val="99"/>
    <w:semiHidden/>
    <w:qFormat/>
    <w:pPr>
      <w:pBdr/>
      <w:spacing/>
      <w:ind/>
    </w:pPr>
    <w:rPr>
      <w:rFonts w:eastAsia="Times New Roman" w:cs="Mangal"/>
      <w:sz w:val="14"/>
      <w:szCs w:val="14"/>
      <w:lang w:bidi="hi-IN"/>
    </w:rPr>
  </w:style>
  <w:style w:type="character" w:styleId="1862" w:customStyle="1">
    <w:name w:val="Corpo de texto 3 Char315"/>
    <w:uiPriority w:val="99"/>
    <w:semiHidden/>
    <w:qFormat/>
    <w:pPr>
      <w:pBdr/>
      <w:spacing/>
      <w:ind/>
    </w:pPr>
    <w:rPr>
      <w:rFonts w:eastAsia="Times New Roman" w:cs="Mangal"/>
      <w:sz w:val="14"/>
      <w:szCs w:val="14"/>
      <w:lang w:bidi="hi-IN"/>
    </w:rPr>
  </w:style>
  <w:style w:type="character" w:styleId="1863" w:customStyle="1">
    <w:name w:val="Corpo de texto 3 Char314"/>
    <w:uiPriority w:val="99"/>
    <w:semiHidden/>
    <w:qFormat/>
    <w:pPr>
      <w:pBdr/>
      <w:spacing/>
      <w:ind/>
    </w:pPr>
    <w:rPr>
      <w:rFonts w:eastAsia="Times New Roman" w:cs="Mangal"/>
      <w:sz w:val="14"/>
      <w:szCs w:val="14"/>
      <w:lang w:bidi="hi-IN"/>
    </w:rPr>
  </w:style>
  <w:style w:type="character" w:styleId="1864" w:customStyle="1">
    <w:name w:val="Corpo de texto 3 Char313"/>
    <w:uiPriority w:val="99"/>
    <w:semiHidden/>
    <w:qFormat/>
    <w:pPr>
      <w:pBdr/>
      <w:spacing/>
      <w:ind/>
    </w:pPr>
    <w:rPr>
      <w:rFonts w:eastAsia="Times New Roman" w:cs="Mangal"/>
      <w:sz w:val="14"/>
      <w:szCs w:val="14"/>
      <w:lang w:bidi="hi-IN"/>
    </w:rPr>
  </w:style>
  <w:style w:type="character" w:styleId="1865" w:customStyle="1">
    <w:name w:val="Corpo de texto 3 Char312"/>
    <w:uiPriority w:val="99"/>
    <w:semiHidden/>
    <w:qFormat/>
    <w:pPr>
      <w:pBdr/>
      <w:spacing/>
      <w:ind/>
    </w:pPr>
    <w:rPr>
      <w:rFonts w:eastAsia="Times New Roman" w:cs="Mangal"/>
      <w:sz w:val="14"/>
      <w:szCs w:val="14"/>
      <w:lang w:bidi="hi-IN"/>
    </w:rPr>
  </w:style>
  <w:style w:type="character" w:styleId="1866" w:customStyle="1">
    <w:name w:val="Corpo de texto 3 Char311"/>
    <w:uiPriority w:val="99"/>
    <w:semiHidden/>
    <w:qFormat/>
    <w:pPr>
      <w:pBdr/>
      <w:spacing/>
      <w:ind/>
    </w:pPr>
    <w:rPr>
      <w:rFonts w:eastAsia="Times New Roman" w:cs="Mangal"/>
      <w:sz w:val="14"/>
      <w:szCs w:val="14"/>
      <w:lang w:bidi="hi-IN"/>
    </w:rPr>
  </w:style>
  <w:style w:type="character" w:styleId="1867" w:customStyle="1">
    <w:name w:val="Corpo de texto 2 Char4"/>
    <w:uiPriority w:val="99"/>
    <w:semiHidden/>
    <w:qFormat/>
    <w:pPr>
      <w:pBdr/>
      <w:spacing/>
      <w:ind/>
    </w:pPr>
    <w:rPr>
      <w:lang w:eastAsia="zh-CN"/>
    </w:rPr>
  </w:style>
  <w:style w:type="character" w:styleId="1868" w:customStyle="1">
    <w:name w:val="Corpo de texto 2 Char377"/>
    <w:uiPriority w:val="99"/>
    <w:semiHidden/>
    <w:qFormat/>
    <w:pPr>
      <w:pBdr/>
      <w:spacing/>
      <w:ind/>
    </w:pPr>
    <w:rPr>
      <w:rFonts w:eastAsia="Times New Roman" w:cs="Mangal"/>
      <w:sz w:val="18"/>
      <w:szCs w:val="18"/>
      <w:lang w:bidi="hi-IN"/>
    </w:rPr>
  </w:style>
  <w:style w:type="character" w:styleId="1869" w:customStyle="1">
    <w:name w:val="Corpo de texto 2 Char376"/>
    <w:uiPriority w:val="99"/>
    <w:semiHidden/>
    <w:qFormat/>
    <w:pPr>
      <w:pBdr/>
      <w:spacing/>
      <w:ind/>
    </w:pPr>
    <w:rPr>
      <w:rFonts w:eastAsia="Times New Roman" w:cs="Mangal"/>
      <w:sz w:val="18"/>
      <w:szCs w:val="18"/>
      <w:lang w:bidi="hi-IN"/>
    </w:rPr>
  </w:style>
  <w:style w:type="character" w:styleId="1870" w:customStyle="1">
    <w:name w:val="Corpo de texto 2 Char375"/>
    <w:uiPriority w:val="99"/>
    <w:semiHidden/>
    <w:qFormat/>
    <w:pPr>
      <w:pBdr/>
      <w:spacing/>
      <w:ind/>
    </w:pPr>
    <w:rPr>
      <w:rFonts w:eastAsia="Times New Roman" w:cs="Mangal"/>
      <w:sz w:val="18"/>
      <w:szCs w:val="18"/>
      <w:lang w:bidi="hi-IN"/>
    </w:rPr>
  </w:style>
  <w:style w:type="character" w:styleId="1871" w:customStyle="1">
    <w:name w:val="Corpo de texto 2 Char374"/>
    <w:uiPriority w:val="99"/>
    <w:semiHidden/>
    <w:qFormat/>
    <w:pPr>
      <w:pBdr/>
      <w:spacing/>
      <w:ind/>
    </w:pPr>
    <w:rPr>
      <w:rFonts w:eastAsia="Times New Roman" w:cs="Mangal"/>
      <w:sz w:val="18"/>
      <w:szCs w:val="18"/>
      <w:lang w:bidi="hi-IN"/>
    </w:rPr>
  </w:style>
  <w:style w:type="character" w:styleId="1872" w:customStyle="1">
    <w:name w:val="Corpo de texto 2 Char373"/>
    <w:uiPriority w:val="99"/>
    <w:semiHidden/>
    <w:qFormat/>
    <w:pPr>
      <w:pBdr/>
      <w:spacing/>
      <w:ind/>
    </w:pPr>
    <w:rPr>
      <w:rFonts w:eastAsia="Times New Roman" w:cs="Mangal"/>
      <w:sz w:val="18"/>
      <w:szCs w:val="18"/>
      <w:lang w:bidi="hi-IN"/>
    </w:rPr>
  </w:style>
  <w:style w:type="character" w:styleId="1873" w:customStyle="1">
    <w:name w:val="Corpo de texto 2 Char372"/>
    <w:uiPriority w:val="99"/>
    <w:semiHidden/>
    <w:qFormat/>
    <w:pPr>
      <w:pBdr/>
      <w:spacing/>
      <w:ind/>
    </w:pPr>
    <w:rPr>
      <w:rFonts w:eastAsia="Times New Roman" w:cs="Mangal"/>
      <w:sz w:val="18"/>
      <w:szCs w:val="18"/>
      <w:lang w:bidi="hi-IN"/>
    </w:rPr>
  </w:style>
  <w:style w:type="character" w:styleId="1874" w:customStyle="1">
    <w:name w:val="Corpo de texto 2 Char371"/>
    <w:uiPriority w:val="99"/>
    <w:semiHidden/>
    <w:qFormat/>
    <w:pPr>
      <w:pBdr/>
      <w:spacing/>
      <w:ind/>
    </w:pPr>
    <w:rPr>
      <w:rFonts w:eastAsia="Times New Roman" w:cs="Mangal"/>
      <w:sz w:val="18"/>
      <w:szCs w:val="18"/>
      <w:lang w:bidi="hi-IN"/>
    </w:rPr>
  </w:style>
  <w:style w:type="character" w:styleId="1875" w:customStyle="1">
    <w:name w:val="Corpo de texto 2 Char370"/>
    <w:uiPriority w:val="99"/>
    <w:semiHidden/>
    <w:qFormat/>
    <w:pPr>
      <w:pBdr/>
      <w:spacing/>
      <w:ind/>
    </w:pPr>
    <w:rPr>
      <w:rFonts w:eastAsia="Times New Roman" w:cs="Mangal"/>
      <w:sz w:val="18"/>
      <w:szCs w:val="18"/>
      <w:lang w:bidi="hi-IN"/>
    </w:rPr>
  </w:style>
  <w:style w:type="character" w:styleId="1876" w:customStyle="1">
    <w:name w:val="Corpo de texto 2 Char369"/>
    <w:uiPriority w:val="99"/>
    <w:semiHidden/>
    <w:qFormat/>
    <w:pPr>
      <w:pBdr/>
      <w:spacing/>
      <w:ind/>
    </w:pPr>
    <w:rPr>
      <w:rFonts w:eastAsia="Times New Roman" w:cs="Mangal"/>
      <w:sz w:val="18"/>
      <w:szCs w:val="18"/>
      <w:lang w:bidi="hi-IN"/>
    </w:rPr>
  </w:style>
  <w:style w:type="character" w:styleId="1877" w:customStyle="1">
    <w:name w:val="Corpo de texto 2 Char368"/>
    <w:uiPriority w:val="99"/>
    <w:semiHidden/>
    <w:qFormat/>
    <w:pPr>
      <w:pBdr/>
      <w:spacing/>
      <w:ind/>
    </w:pPr>
    <w:rPr>
      <w:rFonts w:eastAsia="Times New Roman" w:cs="Mangal"/>
      <w:sz w:val="18"/>
      <w:szCs w:val="18"/>
      <w:lang w:bidi="hi-IN"/>
    </w:rPr>
  </w:style>
  <w:style w:type="character" w:styleId="1878" w:customStyle="1">
    <w:name w:val="Corpo de texto 2 Char367"/>
    <w:uiPriority w:val="99"/>
    <w:semiHidden/>
    <w:qFormat/>
    <w:pPr>
      <w:pBdr/>
      <w:spacing/>
      <w:ind/>
    </w:pPr>
    <w:rPr>
      <w:rFonts w:eastAsia="Times New Roman" w:cs="Mangal"/>
      <w:sz w:val="18"/>
      <w:szCs w:val="18"/>
      <w:lang w:bidi="hi-IN"/>
    </w:rPr>
  </w:style>
  <w:style w:type="character" w:styleId="1879" w:customStyle="1">
    <w:name w:val="Corpo de texto 2 Char366"/>
    <w:uiPriority w:val="99"/>
    <w:semiHidden/>
    <w:qFormat/>
    <w:pPr>
      <w:pBdr/>
      <w:spacing/>
      <w:ind/>
    </w:pPr>
    <w:rPr>
      <w:rFonts w:eastAsia="Times New Roman" w:cs="Mangal"/>
      <w:sz w:val="18"/>
      <w:szCs w:val="18"/>
      <w:lang w:bidi="hi-IN"/>
    </w:rPr>
  </w:style>
  <w:style w:type="character" w:styleId="1880" w:customStyle="1">
    <w:name w:val="Corpo de texto 2 Char365"/>
    <w:uiPriority w:val="99"/>
    <w:semiHidden/>
    <w:qFormat/>
    <w:pPr>
      <w:pBdr/>
      <w:spacing/>
      <w:ind/>
    </w:pPr>
    <w:rPr>
      <w:rFonts w:eastAsia="Times New Roman" w:cs="Mangal"/>
      <w:sz w:val="18"/>
      <w:szCs w:val="18"/>
      <w:lang w:bidi="hi-IN"/>
    </w:rPr>
  </w:style>
  <w:style w:type="character" w:styleId="1881" w:customStyle="1">
    <w:name w:val="Corpo de texto 2 Char364"/>
    <w:uiPriority w:val="99"/>
    <w:semiHidden/>
    <w:qFormat/>
    <w:pPr>
      <w:pBdr/>
      <w:spacing/>
      <w:ind/>
    </w:pPr>
    <w:rPr>
      <w:rFonts w:eastAsia="Times New Roman" w:cs="Mangal"/>
      <w:sz w:val="18"/>
      <w:szCs w:val="18"/>
      <w:lang w:bidi="hi-IN"/>
    </w:rPr>
  </w:style>
  <w:style w:type="character" w:styleId="1882" w:customStyle="1">
    <w:name w:val="Corpo de texto 2 Char363"/>
    <w:uiPriority w:val="99"/>
    <w:semiHidden/>
    <w:qFormat/>
    <w:pPr>
      <w:pBdr/>
      <w:spacing/>
      <w:ind/>
    </w:pPr>
    <w:rPr>
      <w:rFonts w:eastAsia="Times New Roman" w:cs="Mangal"/>
      <w:sz w:val="18"/>
      <w:szCs w:val="18"/>
      <w:lang w:bidi="hi-IN"/>
    </w:rPr>
  </w:style>
  <w:style w:type="character" w:styleId="1883" w:customStyle="1">
    <w:name w:val="Corpo de texto 2 Char362"/>
    <w:uiPriority w:val="99"/>
    <w:semiHidden/>
    <w:qFormat/>
    <w:pPr>
      <w:pBdr/>
      <w:spacing/>
      <w:ind/>
    </w:pPr>
    <w:rPr>
      <w:rFonts w:eastAsia="Times New Roman" w:cs="Mangal"/>
      <w:sz w:val="18"/>
      <w:szCs w:val="18"/>
      <w:lang w:bidi="hi-IN"/>
    </w:rPr>
  </w:style>
  <w:style w:type="character" w:styleId="1884" w:customStyle="1">
    <w:name w:val="Corpo de texto 2 Char361"/>
    <w:uiPriority w:val="99"/>
    <w:semiHidden/>
    <w:qFormat/>
    <w:pPr>
      <w:pBdr/>
      <w:spacing/>
      <w:ind/>
    </w:pPr>
    <w:rPr>
      <w:rFonts w:eastAsia="Times New Roman" w:cs="Mangal"/>
      <w:sz w:val="18"/>
      <w:szCs w:val="18"/>
      <w:lang w:bidi="hi-IN"/>
    </w:rPr>
  </w:style>
  <w:style w:type="character" w:styleId="1885" w:customStyle="1">
    <w:name w:val="Corpo de texto 2 Char360"/>
    <w:uiPriority w:val="99"/>
    <w:semiHidden/>
    <w:qFormat/>
    <w:pPr>
      <w:pBdr/>
      <w:spacing/>
      <w:ind/>
    </w:pPr>
    <w:rPr>
      <w:rFonts w:eastAsia="Times New Roman" w:cs="Mangal"/>
      <w:sz w:val="18"/>
      <w:szCs w:val="18"/>
      <w:lang w:bidi="hi-IN"/>
    </w:rPr>
  </w:style>
  <w:style w:type="character" w:styleId="1886" w:customStyle="1">
    <w:name w:val="Corpo de texto 2 Char359"/>
    <w:uiPriority w:val="99"/>
    <w:semiHidden/>
    <w:qFormat/>
    <w:pPr>
      <w:pBdr/>
      <w:spacing/>
      <w:ind/>
    </w:pPr>
    <w:rPr>
      <w:rFonts w:eastAsia="Times New Roman" w:cs="Mangal"/>
      <w:sz w:val="18"/>
      <w:szCs w:val="18"/>
      <w:lang w:bidi="hi-IN"/>
    </w:rPr>
  </w:style>
  <w:style w:type="character" w:styleId="1887" w:customStyle="1">
    <w:name w:val="Corpo de texto 2 Char358"/>
    <w:uiPriority w:val="99"/>
    <w:semiHidden/>
    <w:qFormat/>
    <w:pPr>
      <w:pBdr/>
      <w:spacing/>
      <w:ind/>
    </w:pPr>
    <w:rPr>
      <w:rFonts w:eastAsia="Times New Roman" w:cs="Mangal"/>
      <w:sz w:val="18"/>
      <w:szCs w:val="18"/>
      <w:lang w:bidi="hi-IN"/>
    </w:rPr>
  </w:style>
  <w:style w:type="character" w:styleId="1888" w:customStyle="1">
    <w:name w:val="Corpo de texto 2 Char357"/>
    <w:uiPriority w:val="99"/>
    <w:semiHidden/>
    <w:qFormat/>
    <w:pPr>
      <w:pBdr/>
      <w:spacing/>
      <w:ind/>
    </w:pPr>
    <w:rPr>
      <w:rFonts w:eastAsia="Times New Roman" w:cs="Mangal"/>
      <w:sz w:val="18"/>
      <w:szCs w:val="18"/>
      <w:lang w:bidi="hi-IN"/>
    </w:rPr>
  </w:style>
  <w:style w:type="character" w:styleId="1889" w:customStyle="1">
    <w:name w:val="Corpo de texto 2 Char356"/>
    <w:uiPriority w:val="99"/>
    <w:semiHidden/>
    <w:qFormat/>
    <w:pPr>
      <w:pBdr/>
      <w:spacing/>
      <w:ind/>
    </w:pPr>
    <w:rPr>
      <w:rFonts w:eastAsia="Times New Roman" w:cs="Mangal"/>
      <w:sz w:val="18"/>
      <w:szCs w:val="18"/>
      <w:lang w:bidi="hi-IN"/>
    </w:rPr>
  </w:style>
  <w:style w:type="character" w:styleId="1890" w:customStyle="1">
    <w:name w:val="Corpo de texto 2 Char355"/>
    <w:uiPriority w:val="99"/>
    <w:semiHidden/>
    <w:qFormat/>
    <w:pPr>
      <w:pBdr/>
      <w:spacing/>
      <w:ind/>
    </w:pPr>
    <w:rPr>
      <w:rFonts w:eastAsia="Times New Roman" w:cs="Mangal"/>
      <w:sz w:val="18"/>
      <w:szCs w:val="18"/>
      <w:lang w:bidi="hi-IN"/>
    </w:rPr>
  </w:style>
  <w:style w:type="character" w:styleId="1891" w:customStyle="1">
    <w:name w:val="Corpo de texto 2 Char354"/>
    <w:uiPriority w:val="99"/>
    <w:semiHidden/>
    <w:qFormat/>
    <w:pPr>
      <w:pBdr/>
      <w:spacing/>
      <w:ind/>
    </w:pPr>
    <w:rPr>
      <w:rFonts w:eastAsia="Times New Roman" w:cs="Mangal"/>
      <w:sz w:val="18"/>
      <w:szCs w:val="18"/>
      <w:lang w:bidi="hi-IN"/>
    </w:rPr>
  </w:style>
  <w:style w:type="character" w:styleId="1892" w:customStyle="1">
    <w:name w:val="Corpo de texto 2 Char353"/>
    <w:uiPriority w:val="99"/>
    <w:semiHidden/>
    <w:qFormat/>
    <w:pPr>
      <w:pBdr/>
      <w:spacing/>
      <w:ind/>
    </w:pPr>
    <w:rPr>
      <w:rFonts w:eastAsia="Times New Roman" w:cs="Mangal"/>
      <w:sz w:val="18"/>
      <w:szCs w:val="18"/>
      <w:lang w:bidi="hi-IN"/>
    </w:rPr>
  </w:style>
  <w:style w:type="character" w:styleId="1893" w:customStyle="1">
    <w:name w:val="Corpo de texto 2 Char352"/>
    <w:uiPriority w:val="99"/>
    <w:semiHidden/>
    <w:qFormat/>
    <w:pPr>
      <w:pBdr/>
      <w:spacing/>
      <w:ind/>
    </w:pPr>
    <w:rPr>
      <w:rFonts w:eastAsia="Times New Roman" w:cs="Mangal"/>
      <w:sz w:val="18"/>
      <w:szCs w:val="18"/>
      <w:lang w:bidi="hi-IN"/>
    </w:rPr>
  </w:style>
  <w:style w:type="character" w:styleId="1894" w:customStyle="1">
    <w:name w:val="Corpo de texto 2 Char351"/>
    <w:uiPriority w:val="99"/>
    <w:semiHidden/>
    <w:qFormat/>
    <w:pPr>
      <w:pBdr/>
      <w:spacing/>
      <w:ind/>
    </w:pPr>
    <w:rPr>
      <w:rFonts w:eastAsia="Times New Roman" w:cs="Mangal"/>
      <w:sz w:val="18"/>
      <w:szCs w:val="18"/>
      <w:lang w:bidi="hi-IN"/>
    </w:rPr>
  </w:style>
  <w:style w:type="character" w:styleId="1895" w:customStyle="1">
    <w:name w:val="Corpo de texto 2 Char350"/>
    <w:uiPriority w:val="99"/>
    <w:semiHidden/>
    <w:qFormat/>
    <w:pPr>
      <w:pBdr/>
      <w:spacing/>
      <w:ind/>
    </w:pPr>
    <w:rPr>
      <w:rFonts w:eastAsia="Times New Roman" w:cs="Mangal"/>
      <w:sz w:val="18"/>
      <w:szCs w:val="18"/>
      <w:lang w:bidi="hi-IN"/>
    </w:rPr>
  </w:style>
  <w:style w:type="character" w:styleId="1896" w:customStyle="1">
    <w:name w:val="Corpo de texto 2 Char349"/>
    <w:uiPriority w:val="99"/>
    <w:semiHidden/>
    <w:qFormat/>
    <w:pPr>
      <w:pBdr/>
      <w:spacing/>
      <w:ind/>
    </w:pPr>
    <w:rPr>
      <w:rFonts w:eastAsia="Times New Roman" w:cs="Mangal"/>
      <w:sz w:val="18"/>
      <w:szCs w:val="18"/>
      <w:lang w:bidi="hi-IN"/>
    </w:rPr>
  </w:style>
  <w:style w:type="character" w:styleId="1897" w:customStyle="1">
    <w:name w:val="Corpo de texto 2 Char348"/>
    <w:uiPriority w:val="99"/>
    <w:semiHidden/>
    <w:qFormat/>
    <w:pPr>
      <w:pBdr/>
      <w:spacing/>
      <w:ind/>
    </w:pPr>
    <w:rPr>
      <w:rFonts w:eastAsia="Times New Roman" w:cs="Mangal"/>
      <w:sz w:val="18"/>
      <w:szCs w:val="18"/>
      <w:lang w:bidi="hi-IN"/>
    </w:rPr>
  </w:style>
  <w:style w:type="character" w:styleId="1898" w:customStyle="1">
    <w:name w:val="Corpo de texto 2 Char347"/>
    <w:uiPriority w:val="99"/>
    <w:semiHidden/>
    <w:qFormat/>
    <w:pPr>
      <w:pBdr/>
      <w:spacing/>
      <w:ind/>
    </w:pPr>
    <w:rPr>
      <w:rFonts w:eastAsia="Times New Roman" w:cs="Mangal"/>
      <w:sz w:val="18"/>
      <w:szCs w:val="18"/>
      <w:lang w:bidi="hi-IN"/>
    </w:rPr>
  </w:style>
  <w:style w:type="character" w:styleId="1899" w:customStyle="1">
    <w:name w:val="Corpo de texto 2 Char346"/>
    <w:uiPriority w:val="99"/>
    <w:semiHidden/>
    <w:qFormat/>
    <w:pPr>
      <w:pBdr/>
      <w:spacing/>
      <w:ind/>
    </w:pPr>
    <w:rPr>
      <w:rFonts w:eastAsia="Times New Roman" w:cs="Mangal"/>
      <w:sz w:val="18"/>
      <w:szCs w:val="18"/>
      <w:lang w:bidi="hi-IN"/>
    </w:rPr>
  </w:style>
  <w:style w:type="character" w:styleId="1900" w:customStyle="1">
    <w:name w:val="Corpo de texto 2 Char345"/>
    <w:uiPriority w:val="99"/>
    <w:semiHidden/>
    <w:qFormat/>
    <w:pPr>
      <w:pBdr/>
      <w:spacing/>
      <w:ind/>
    </w:pPr>
    <w:rPr>
      <w:rFonts w:eastAsia="Times New Roman" w:cs="Mangal"/>
      <w:sz w:val="18"/>
      <w:szCs w:val="18"/>
      <w:lang w:bidi="hi-IN"/>
    </w:rPr>
  </w:style>
  <w:style w:type="character" w:styleId="1901" w:customStyle="1">
    <w:name w:val="Corpo de texto 2 Char344"/>
    <w:uiPriority w:val="99"/>
    <w:semiHidden/>
    <w:qFormat/>
    <w:pPr>
      <w:pBdr/>
      <w:spacing/>
      <w:ind/>
    </w:pPr>
    <w:rPr>
      <w:rFonts w:eastAsia="Times New Roman" w:cs="Mangal"/>
      <w:sz w:val="18"/>
      <w:szCs w:val="18"/>
      <w:lang w:bidi="hi-IN"/>
    </w:rPr>
  </w:style>
  <w:style w:type="character" w:styleId="1902" w:customStyle="1">
    <w:name w:val="Corpo de texto 2 Char343"/>
    <w:uiPriority w:val="99"/>
    <w:semiHidden/>
    <w:qFormat/>
    <w:pPr>
      <w:pBdr/>
      <w:spacing/>
      <w:ind/>
    </w:pPr>
    <w:rPr>
      <w:rFonts w:eastAsia="Times New Roman" w:cs="Mangal"/>
      <w:sz w:val="18"/>
      <w:szCs w:val="18"/>
      <w:lang w:bidi="hi-IN"/>
    </w:rPr>
  </w:style>
  <w:style w:type="character" w:styleId="1903" w:customStyle="1">
    <w:name w:val="Corpo de texto 2 Char342"/>
    <w:uiPriority w:val="99"/>
    <w:semiHidden/>
    <w:qFormat/>
    <w:pPr>
      <w:pBdr/>
      <w:spacing/>
      <w:ind/>
    </w:pPr>
    <w:rPr>
      <w:rFonts w:eastAsia="Times New Roman" w:cs="Mangal"/>
      <w:sz w:val="18"/>
      <w:szCs w:val="18"/>
      <w:lang w:bidi="hi-IN"/>
    </w:rPr>
  </w:style>
  <w:style w:type="character" w:styleId="1904" w:customStyle="1">
    <w:name w:val="Corpo de texto 2 Char341"/>
    <w:uiPriority w:val="99"/>
    <w:semiHidden/>
    <w:qFormat/>
    <w:pPr>
      <w:pBdr/>
      <w:spacing/>
      <w:ind/>
    </w:pPr>
    <w:rPr>
      <w:rFonts w:eastAsia="Times New Roman" w:cs="Mangal"/>
      <w:sz w:val="18"/>
      <w:szCs w:val="18"/>
      <w:lang w:bidi="hi-IN"/>
    </w:rPr>
  </w:style>
  <w:style w:type="character" w:styleId="1905" w:customStyle="1">
    <w:name w:val="Corpo de texto 2 Char340"/>
    <w:uiPriority w:val="99"/>
    <w:semiHidden/>
    <w:qFormat/>
    <w:pPr>
      <w:pBdr/>
      <w:spacing/>
      <w:ind/>
    </w:pPr>
    <w:rPr>
      <w:rFonts w:eastAsia="Times New Roman" w:cs="Mangal"/>
      <w:sz w:val="18"/>
      <w:szCs w:val="18"/>
      <w:lang w:bidi="hi-IN"/>
    </w:rPr>
  </w:style>
  <w:style w:type="character" w:styleId="1906" w:customStyle="1">
    <w:name w:val="Corpo de texto 2 Char339"/>
    <w:uiPriority w:val="99"/>
    <w:semiHidden/>
    <w:qFormat/>
    <w:pPr>
      <w:pBdr/>
      <w:spacing/>
      <w:ind/>
    </w:pPr>
    <w:rPr>
      <w:rFonts w:eastAsia="Times New Roman" w:cs="Mangal"/>
      <w:sz w:val="18"/>
      <w:szCs w:val="18"/>
      <w:lang w:bidi="hi-IN"/>
    </w:rPr>
  </w:style>
  <w:style w:type="character" w:styleId="1907" w:customStyle="1">
    <w:name w:val="Corpo de texto 2 Char338"/>
    <w:uiPriority w:val="99"/>
    <w:semiHidden/>
    <w:qFormat/>
    <w:pPr>
      <w:pBdr/>
      <w:spacing/>
      <w:ind/>
    </w:pPr>
    <w:rPr>
      <w:rFonts w:eastAsia="Times New Roman" w:cs="Mangal"/>
      <w:sz w:val="18"/>
      <w:szCs w:val="18"/>
      <w:lang w:bidi="hi-IN"/>
    </w:rPr>
  </w:style>
  <w:style w:type="character" w:styleId="1908" w:customStyle="1">
    <w:name w:val="Corpo de texto 2 Char337"/>
    <w:uiPriority w:val="99"/>
    <w:semiHidden/>
    <w:qFormat/>
    <w:pPr>
      <w:pBdr/>
      <w:spacing/>
      <w:ind/>
    </w:pPr>
    <w:rPr>
      <w:rFonts w:eastAsia="Times New Roman" w:cs="Mangal"/>
      <w:sz w:val="18"/>
      <w:szCs w:val="18"/>
      <w:lang w:bidi="hi-IN"/>
    </w:rPr>
  </w:style>
  <w:style w:type="character" w:styleId="1909" w:customStyle="1">
    <w:name w:val="Corpo de texto 2 Char336"/>
    <w:uiPriority w:val="99"/>
    <w:semiHidden/>
    <w:qFormat/>
    <w:pPr>
      <w:pBdr/>
      <w:spacing/>
      <w:ind/>
    </w:pPr>
    <w:rPr>
      <w:rFonts w:eastAsia="Times New Roman" w:cs="Mangal"/>
      <w:sz w:val="18"/>
      <w:szCs w:val="18"/>
      <w:lang w:bidi="hi-IN"/>
    </w:rPr>
  </w:style>
  <w:style w:type="character" w:styleId="1910" w:customStyle="1">
    <w:name w:val="Corpo de texto 2 Char335"/>
    <w:uiPriority w:val="99"/>
    <w:semiHidden/>
    <w:qFormat/>
    <w:pPr>
      <w:pBdr/>
      <w:spacing/>
      <w:ind/>
    </w:pPr>
    <w:rPr>
      <w:rFonts w:eastAsia="Times New Roman" w:cs="Mangal"/>
      <w:sz w:val="18"/>
      <w:szCs w:val="18"/>
      <w:lang w:bidi="hi-IN"/>
    </w:rPr>
  </w:style>
  <w:style w:type="character" w:styleId="1911" w:customStyle="1">
    <w:name w:val="Corpo de texto 2 Char334"/>
    <w:uiPriority w:val="99"/>
    <w:semiHidden/>
    <w:qFormat/>
    <w:pPr>
      <w:pBdr/>
      <w:spacing/>
      <w:ind/>
    </w:pPr>
    <w:rPr>
      <w:rFonts w:eastAsia="Times New Roman" w:cs="Mangal"/>
      <w:sz w:val="18"/>
      <w:szCs w:val="18"/>
      <w:lang w:bidi="hi-IN"/>
    </w:rPr>
  </w:style>
  <w:style w:type="character" w:styleId="1912" w:customStyle="1">
    <w:name w:val="Corpo de texto 2 Char333"/>
    <w:uiPriority w:val="99"/>
    <w:semiHidden/>
    <w:qFormat/>
    <w:pPr>
      <w:pBdr/>
      <w:spacing/>
      <w:ind/>
    </w:pPr>
    <w:rPr>
      <w:rFonts w:eastAsia="Times New Roman" w:cs="Mangal"/>
      <w:sz w:val="18"/>
      <w:szCs w:val="18"/>
      <w:lang w:bidi="hi-IN"/>
    </w:rPr>
  </w:style>
  <w:style w:type="character" w:styleId="1913" w:customStyle="1">
    <w:name w:val="Corpo de texto 2 Char332"/>
    <w:uiPriority w:val="99"/>
    <w:semiHidden/>
    <w:qFormat/>
    <w:pPr>
      <w:pBdr/>
      <w:spacing/>
      <w:ind/>
    </w:pPr>
    <w:rPr>
      <w:rFonts w:eastAsia="Times New Roman" w:cs="Mangal"/>
      <w:sz w:val="18"/>
      <w:szCs w:val="18"/>
      <w:lang w:bidi="hi-IN"/>
    </w:rPr>
  </w:style>
  <w:style w:type="character" w:styleId="1914" w:customStyle="1">
    <w:name w:val="Corpo de texto 2 Char331"/>
    <w:uiPriority w:val="99"/>
    <w:semiHidden/>
    <w:qFormat/>
    <w:pPr>
      <w:pBdr/>
      <w:spacing/>
      <w:ind/>
    </w:pPr>
    <w:rPr>
      <w:rFonts w:eastAsia="Times New Roman" w:cs="Mangal"/>
      <w:sz w:val="18"/>
      <w:szCs w:val="18"/>
      <w:lang w:bidi="hi-IN"/>
    </w:rPr>
  </w:style>
  <w:style w:type="character" w:styleId="1915" w:customStyle="1">
    <w:name w:val="Corpo de texto 2 Char330"/>
    <w:uiPriority w:val="99"/>
    <w:semiHidden/>
    <w:qFormat/>
    <w:pPr>
      <w:pBdr/>
      <w:spacing/>
      <w:ind/>
    </w:pPr>
    <w:rPr>
      <w:rFonts w:eastAsia="Times New Roman" w:cs="Mangal"/>
      <w:sz w:val="18"/>
      <w:szCs w:val="18"/>
      <w:lang w:bidi="hi-IN"/>
    </w:rPr>
  </w:style>
  <w:style w:type="character" w:styleId="1916" w:customStyle="1">
    <w:name w:val="Corpo de texto 2 Char329"/>
    <w:uiPriority w:val="99"/>
    <w:semiHidden/>
    <w:qFormat/>
    <w:pPr>
      <w:pBdr/>
      <w:spacing/>
      <w:ind/>
    </w:pPr>
    <w:rPr>
      <w:rFonts w:eastAsia="Times New Roman" w:cs="Mangal"/>
      <w:sz w:val="18"/>
      <w:szCs w:val="18"/>
      <w:lang w:bidi="hi-IN"/>
    </w:rPr>
  </w:style>
  <w:style w:type="character" w:styleId="1917" w:customStyle="1">
    <w:name w:val="Corpo de texto 2 Char328"/>
    <w:uiPriority w:val="99"/>
    <w:semiHidden/>
    <w:qFormat/>
    <w:pPr>
      <w:pBdr/>
      <w:spacing/>
      <w:ind/>
    </w:pPr>
    <w:rPr>
      <w:rFonts w:eastAsia="Times New Roman" w:cs="Mangal"/>
      <w:sz w:val="18"/>
      <w:szCs w:val="18"/>
      <w:lang w:bidi="hi-IN"/>
    </w:rPr>
  </w:style>
  <w:style w:type="character" w:styleId="1918" w:customStyle="1">
    <w:name w:val="Corpo de texto 2 Char327"/>
    <w:uiPriority w:val="99"/>
    <w:semiHidden/>
    <w:qFormat/>
    <w:pPr>
      <w:pBdr/>
      <w:spacing/>
      <w:ind/>
    </w:pPr>
    <w:rPr>
      <w:rFonts w:eastAsia="Times New Roman" w:cs="Mangal"/>
      <w:sz w:val="18"/>
      <w:szCs w:val="18"/>
      <w:lang w:bidi="hi-IN"/>
    </w:rPr>
  </w:style>
  <w:style w:type="character" w:styleId="1919" w:customStyle="1">
    <w:name w:val="Corpo de texto 2 Char326"/>
    <w:uiPriority w:val="99"/>
    <w:semiHidden/>
    <w:qFormat/>
    <w:pPr>
      <w:pBdr/>
      <w:spacing/>
      <w:ind/>
    </w:pPr>
    <w:rPr>
      <w:rFonts w:eastAsia="Times New Roman" w:cs="Mangal"/>
      <w:sz w:val="18"/>
      <w:szCs w:val="18"/>
      <w:lang w:bidi="hi-IN"/>
    </w:rPr>
  </w:style>
  <w:style w:type="character" w:styleId="1920" w:customStyle="1">
    <w:name w:val="Corpo de texto 2 Char325"/>
    <w:uiPriority w:val="99"/>
    <w:semiHidden/>
    <w:qFormat/>
    <w:pPr>
      <w:pBdr/>
      <w:spacing/>
      <w:ind/>
    </w:pPr>
    <w:rPr>
      <w:rFonts w:eastAsia="Times New Roman" w:cs="Mangal"/>
      <w:sz w:val="18"/>
      <w:szCs w:val="18"/>
      <w:lang w:bidi="hi-IN"/>
    </w:rPr>
  </w:style>
  <w:style w:type="character" w:styleId="1921" w:customStyle="1">
    <w:name w:val="Corpo de texto 2 Char324"/>
    <w:uiPriority w:val="99"/>
    <w:semiHidden/>
    <w:qFormat/>
    <w:pPr>
      <w:pBdr/>
      <w:spacing/>
      <w:ind/>
    </w:pPr>
    <w:rPr>
      <w:rFonts w:eastAsia="Times New Roman" w:cs="Mangal"/>
      <w:sz w:val="18"/>
      <w:szCs w:val="18"/>
      <w:lang w:bidi="hi-IN"/>
    </w:rPr>
  </w:style>
  <w:style w:type="character" w:styleId="1922" w:customStyle="1">
    <w:name w:val="Corpo de texto 2 Char323"/>
    <w:uiPriority w:val="99"/>
    <w:semiHidden/>
    <w:qFormat/>
    <w:pPr>
      <w:pBdr/>
      <w:spacing/>
      <w:ind/>
    </w:pPr>
    <w:rPr>
      <w:rFonts w:eastAsia="Times New Roman" w:cs="Mangal"/>
      <w:sz w:val="18"/>
      <w:szCs w:val="18"/>
      <w:lang w:bidi="hi-IN"/>
    </w:rPr>
  </w:style>
  <w:style w:type="character" w:styleId="1923" w:customStyle="1">
    <w:name w:val="Corpo de texto 2 Char322"/>
    <w:uiPriority w:val="99"/>
    <w:semiHidden/>
    <w:qFormat/>
    <w:pPr>
      <w:pBdr/>
      <w:spacing/>
      <w:ind/>
    </w:pPr>
    <w:rPr>
      <w:rFonts w:eastAsia="Times New Roman" w:cs="Mangal"/>
      <w:sz w:val="18"/>
      <w:szCs w:val="18"/>
      <w:lang w:bidi="hi-IN"/>
    </w:rPr>
  </w:style>
  <w:style w:type="character" w:styleId="1924" w:customStyle="1">
    <w:name w:val="Corpo de texto 2 Char321"/>
    <w:uiPriority w:val="99"/>
    <w:semiHidden/>
    <w:qFormat/>
    <w:pPr>
      <w:pBdr/>
      <w:spacing/>
      <w:ind/>
    </w:pPr>
    <w:rPr>
      <w:rFonts w:eastAsia="Times New Roman" w:cs="Mangal"/>
      <w:sz w:val="18"/>
      <w:szCs w:val="18"/>
      <w:lang w:bidi="hi-IN"/>
    </w:rPr>
  </w:style>
  <w:style w:type="character" w:styleId="1925" w:customStyle="1">
    <w:name w:val="Corpo de texto 2 Char320"/>
    <w:uiPriority w:val="99"/>
    <w:semiHidden/>
    <w:qFormat/>
    <w:pPr>
      <w:pBdr/>
      <w:spacing/>
      <w:ind/>
    </w:pPr>
    <w:rPr>
      <w:rFonts w:eastAsia="Times New Roman" w:cs="Mangal"/>
      <w:sz w:val="18"/>
      <w:szCs w:val="18"/>
      <w:lang w:bidi="hi-IN"/>
    </w:rPr>
  </w:style>
  <w:style w:type="character" w:styleId="1926" w:customStyle="1">
    <w:name w:val="Corpo de texto 2 Char319"/>
    <w:uiPriority w:val="99"/>
    <w:semiHidden/>
    <w:qFormat/>
    <w:pPr>
      <w:pBdr/>
      <w:spacing/>
      <w:ind/>
    </w:pPr>
    <w:rPr>
      <w:rFonts w:eastAsia="Times New Roman" w:cs="Mangal"/>
      <w:sz w:val="18"/>
      <w:szCs w:val="18"/>
      <w:lang w:bidi="hi-IN"/>
    </w:rPr>
  </w:style>
  <w:style w:type="character" w:styleId="1927" w:customStyle="1">
    <w:name w:val="Corpo de texto 2 Char318"/>
    <w:uiPriority w:val="99"/>
    <w:semiHidden/>
    <w:qFormat/>
    <w:pPr>
      <w:pBdr/>
      <w:spacing/>
      <w:ind/>
    </w:pPr>
    <w:rPr>
      <w:rFonts w:eastAsia="Times New Roman" w:cs="Mangal"/>
      <w:sz w:val="18"/>
      <w:szCs w:val="18"/>
      <w:lang w:bidi="hi-IN"/>
    </w:rPr>
  </w:style>
  <w:style w:type="character" w:styleId="1928" w:customStyle="1">
    <w:name w:val="Corpo de texto 2 Char317"/>
    <w:uiPriority w:val="99"/>
    <w:semiHidden/>
    <w:qFormat/>
    <w:pPr>
      <w:pBdr/>
      <w:spacing/>
      <w:ind/>
    </w:pPr>
    <w:rPr>
      <w:rFonts w:eastAsia="Times New Roman" w:cs="Mangal"/>
      <w:sz w:val="18"/>
      <w:szCs w:val="18"/>
      <w:lang w:bidi="hi-IN"/>
    </w:rPr>
  </w:style>
  <w:style w:type="character" w:styleId="1929" w:customStyle="1">
    <w:name w:val="Corpo de texto 2 Char316"/>
    <w:uiPriority w:val="99"/>
    <w:semiHidden/>
    <w:qFormat/>
    <w:pPr>
      <w:pBdr/>
      <w:spacing/>
      <w:ind/>
    </w:pPr>
    <w:rPr>
      <w:rFonts w:eastAsia="Times New Roman" w:cs="Mangal"/>
      <w:sz w:val="18"/>
      <w:szCs w:val="18"/>
      <w:lang w:bidi="hi-IN"/>
    </w:rPr>
  </w:style>
  <w:style w:type="character" w:styleId="1930" w:customStyle="1">
    <w:name w:val="Corpo de texto 2 Char315"/>
    <w:uiPriority w:val="99"/>
    <w:semiHidden/>
    <w:qFormat/>
    <w:pPr>
      <w:pBdr/>
      <w:spacing/>
      <w:ind/>
    </w:pPr>
    <w:rPr>
      <w:rFonts w:eastAsia="Times New Roman" w:cs="Mangal"/>
      <w:sz w:val="18"/>
      <w:szCs w:val="18"/>
      <w:lang w:bidi="hi-IN"/>
    </w:rPr>
  </w:style>
  <w:style w:type="character" w:styleId="1931" w:customStyle="1">
    <w:name w:val="Corpo de texto 2 Char314"/>
    <w:uiPriority w:val="99"/>
    <w:semiHidden/>
    <w:qFormat/>
    <w:pPr>
      <w:pBdr/>
      <w:spacing/>
      <w:ind/>
    </w:pPr>
    <w:rPr>
      <w:rFonts w:eastAsia="Times New Roman" w:cs="Mangal"/>
      <w:sz w:val="18"/>
      <w:szCs w:val="18"/>
      <w:lang w:bidi="hi-IN"/>
    </w:rPr>
  </w:style>
  <w:style w:type="character" w:styleId="1932" w:customStyle="1">
    <w:name w:val="Corpo de texto 2 Char313"/>
    <w:uiPriority w:val="99"/>
    <w:semiHidden/>
    <w:qFormat/>
    <w:pPr>
      <w:pBdr/>
      <w:spacing/>
      <w:ind/>
    </w:pPr>
    <w:rPr>
      <w:rFonts w:eastAsia="Times New Roman" w:cs="Mangal"/>
      <w:sz w:val="18"/>
      <w:szCs w:val="18"/>
      <w:lang w:bidi="hi-IN"/>
    </w:rPr>
  </w:style>
  <w:style w:type="character" w:styleId="1933" w:customStyle="1">
    <w:name w:val="Corpo de texto 2 Char312"/>
    <w:uiPriority w:val="99"/>
    <w:semiHidden/>
    <w:qFormat/>
    <w:pPr>
      <w:pBdr/>
      <w:spacing/>
      <w:ind/>
    </w:pPr>
    <w:rPr>
      <w:rFonts w:eastAsia="Times New Roman" w:cs="Mangal"/>
      <w:sz w:val="18"/>
      <w:szCs w:val="18"/>
      <w:lang w:bidi="hi-IN"/>
    </w:rPr>
  </w:style>
  <w:style w:type="character" w:styleId="1934" w:customStyle="1">
    <w:name w:val="Corpo de texto 2 Char311"/>
    <w:uiPriority w:val="99"/>
    <w:semiHidden/>
    <w:qFormat/>
    <w:pPr>
      <w:pBdr/>
      <w:spacing/>
      <w:ind/>
    </w:pPr>
    <w:rPr>
      <w:rFonts w:eastAsia="Times New Roman" w:cs="Mangal"/>
      <w:sz w:val="18"/>
      <w:szCs w:val="18"/>
      <w:lang w:bidi="hi-IN"/>
    </w:rPr>
  </w:style>
  <w:style w:type="character" w:styleId="1935" w:customStyle="1">
    <w:name w:val="Cabeçalho Char277"/>
    <w:uiPriority w:val="99"/>
    <w:semiHidden/>
    <w:qFormat/>
    <w:pPr>
      <w:pBdr/>
      <w:spacing/>
      <w:ind/>
    </w:pPr>
    <w:rPr>
      <w:rFonts w:eastAsia="Times New Roman" w:cs="Mangal"/>
      <w:sz w:val="18"/>
      <w:szCs w:val="18"/>
      <w:lang w:bidi="hi-IN"/>
    </w:rPr>
  </w:style>
  <w:style w:type="character" w:styleId="1936" w:customStyle="1">
    <w:name w:val="Cabeçalho Char276"/>
    <w:uiPriority w:val="99"/>
    <w:semiHidden/>
    <w:qFormat/>
    <w:pPr>
      <w:pBdr/>
      <w:spacing/>
      <w:ind/>
    </w:pPr>
    <w:rPr>
      <w:rFonts w:eastAsia="Times New Roman" w:cs="Mangal"/>
      <w:sz w:val="18"/>
      <w:szCs w:val="18"/>
      <w:lang w:bidi="hi-IN"/>
    </w:rPr>
  </w:style>
  <w:style w:type="character" w:styleId="1937" w:customStyle="1">
    <w:name w:val="Cabeçalho Char275"/>
    <w:uiPriority w:val="99"/>
    <w:semiHidden/>
    <w:qFormat/>
    <w:pPr>
      <w:pBdr/>
      <w:spacing/>
      <w:ind/>
    </w:pPr>
    <w:rPr>
      <w:rFonts w:eastAsia="Times New Roman" w:cs="Mangal"/>
      <w:sz w:val="18"/>
      <w:szCs w:val="18"/>
      <w:lang w:bidi="hi-IN"/>
    </w:rPr>
  </w:style>
  <w:style w:type="character" w:styleId="1938" w:customStyle="1">
    <w:name w:val="Cabeçalho Char274"/>
    <w:uiPriority w:val="99"/>
    <w:semiHidden/>
    <w:qFormat/>
    <w:pPr>
      <w:pBdr/>
      <w:spacing/>
      <w:ind/>
    </w:pPr>
    <w:rPr>
      <w:rFonts w:eastAsia="Times New Roman" w:cs="Mangal"/>
      <w:sz w:val="18"/>
      <w:szCs w:val="18"/>
      <w:lang w:bidi="hi-IN"/>
    </w:rPr>
  </w:style>
  <w:style w:type="character" w:styleId="1939" w:customStyle="1">
    <w:name w:val="Cabeçalho Char273"/>
    <w:uiPriority w:val="99"/>
    <w:semiHidden/>
    <w:qFormat/>
    <w:pPr>
      <w:pBdr/>
      <w:spacing/>
      <w:ind/>
    </w:pPr>
    <w:rPr>
      <w:rFonts w:eastAsia="Times New Roman" w:cs="Mangal"/>
      <w:sz w:val="18"/>
      <w:szCs w:val="18"/>
      <w:lang w:bidi="hi-IN"/>
    </w:rPr>
  </w:style>
  <w:style w:type="character" w:styleId="1940" w:customStyle="1">
    <w:name w:val="Cabeçalho Char272"/>
    <w:uiPriority w:val="99"/>
    <w:semiHidden/>
    <w:qFormat/>
    <w:pPr>
      <w:pBdr/>
      <w:spacing/>
      <w:ind/>
    </w:pPr>
    <w:rPr>
      <w:rFonts w:eastAsia="Times New Roman" w:cs="Mangal"/>
      <w:sz w:val="18"/>
      <w:szCs w:val="18"/>
      <w:lang w:bidi="hi-IN"/>
    </w:rPr>
  </w:style>
  <w:style w:type="character" w:styleId="1941" w:customStyle="1">
    <w:name w:val="Cabeçalho Char271"/>
    <w:uiPriority w:val="99"/>
    <w:semiHidden/>
    <w:qFormat/>
    <w:pPr>
      <w:pBdr/>
      <w:spacing/>
      <w:ind/>
    </w:pPr>
    <w:rPr>
      <w:rFonts w:eastAsia="Times New Roman" w:cs="Mangal"/>
      <w:sz w:val="18"/>
      <w:szCs w:val="18"/>
      <w:lang w:bidi="hi-IN"/>
    </w:rPr>
  </w:style>
  <w:style w:type="character" w:styleId="1942" w:customStyle="1">
    <w:name w:val="Cabeçalho Char270"/>
    <w:uiPriority w:val="99"/>
    <w:semiHidden/>
    <w:qFormat/>
    <w:pPr>
      <w:pBdr/>
      <w:spacing/>
      <w:ind/>
    </w:pPr>
    <w:rPr>
      <w:rFonts w:eastAsia="Times New Roman" w:cs="Mangal"/>
      <w:sz w:val="18"/>
      <w:szCs w:val="18"/>
      <w:lang w:bidi="hi-IN"/>
    </w:rPr>
  </w:style>
  <w:style w:type="character" w:styleId="1943" w:customStyle="1">
    <w:name w:val="Cabeçalho Char269"/>
    <w:uiPriority w:val="99"/>
    <w:semiHidden/>
    <w:qFormat/>
    <w:pPr>
      <w:pBdr/>
      <w:spacing/>
      <w:ind/>
    </w:pPr>
    <w:rPr>
      <w:rFonts w:eastAsia="Times New Roman" w:cs="Mangal"/>
      <w:sz w:val="18"/>
      <w:szCs w:val="18"/>
      <w:lang w:bidi="hi-IN"/>
    </w:rPr>
  </w:style>
  <w:style w:type="character" w:styleId="1944" w:customStyle="1">
    <w:name w:val="Cabeçalho Char268"/>
    <w:uiPriority w:val="99"/>
    <w:semiHidden/>
    <w:qFormat/>
    <w:pPr>
      <w:pBdr/>
      <w:spacing/>
      <w:ind/>
    </w:pPr>
    <w:rPr>
      <w:rFonts w:eastAsia="Times New Roman" w:cs="Mangal"/>
      <w:sz w:val="18"/>
      <w:szCs w:val="18"/>
      <w:lang w:bidi="hi-IN"/>
    </w:rPr>
  </w:style>
  <w:style w:type="character" w:styleId="1945" w:customStyle="1">
    <w:name w:val="Cabeçalho Char267"/>
    <w:uiPriority w:val="99"/>
    <w:semiHidden/>
    <w:qFormat/>
    <w:pPr>
      <w:pBdr/>
      <w:spacing/>
      <w:ind/>
    </w:pPr>
    <w:rPr>
      <w:rFonts w:eastAsia="Times New Roman" w:cs="Mangal"/>
      <w:sz w:val="18"/>
      <w:szCs w:val="18"/>
      <w:lang w:bidi="hi-IN"/>
    </w:rPr>
  </w:style>
  <w:style w:type="character" w:styleId="1946" w:customStyle="1">
    <w:name w:val="Cabeçalho Char266"/>
    <w:uiPriority w:val="99"/>
    <w:semiHidden/>
    <w:qFormat/>
    <w:pPr>
      <w:pBdr/>
      <w:spacing/>
      <w:ind/>
    </w:pPr>
    <w:rPr>
      <w:rFonts w:eastAsia="Times New Roman" w:cs="Mangal"/>
      <w:sz w:val="18"/>
      <w:szCs w:val="18"/>
      <w:lang w:bidi="hi-IN"/>
    </w:rPr>
  </w:style>
  <w:style w:type="character" w:styleId="1947" w:customStyle="1">
    <w:name w:val="Cabeçalho Char265"/>
    <w:uiPriority w:val="99"/>
    <w:semiHidden/>
    <w:qFormat/>
    <w:pPr>
      <w:pBdr/>
      <w:spacing/>
      <w:ind/>
    </w:pPr>
    <w:rPr>
      <w:rFonts w:eastAsia="Times New Roman" w:cs="Mangal"/>
      <w:sz w:val="18"/>
      <w:szCs w:val="18"/>
      <w:lang w:bidi="hi-IN"/>
    </w:rPr>
  </w:style>
  <w:style w:type="character" w:styleId="1948" w:customStyle="1">
    <w:name w:val="Cabeçalho Char264"/>
    <w:uiPriority w:val="99"/>
    <w:semiHidden/>
    <w:qFormat/>
    <w:pPr>
      <w:pBdr/>
      <w:spacing/>
      <w:ind/>
    </w:pPr>
    <w:rPr>
      <w:rFonts w:eastAsia="Times New Roman" w:cs="Mangal"/>
      <w:sz w:val="18"/>
      <w:szCs w:val="18"/>
      <w:lang w:bidi="hi-IN"/>
    </w:rPr>
  </w:style>
  <w:style w:type="character" w:styleId="1949" w:customStyle="1">
    <w:name w:val="Cabeçalho Char263"/>
    <w:uiPriority w:val="99"/>
    <w:semiHidden/>
    <w:qFormat/>
    <w:pPr>
      <w:pBdr/>
      <w:spacing/>
      <w:ind/>
    </w:pPr>
    <w:rPr>
      <w:rFonts w:eastAsia="Times New Roman" w:cs="Mangal"/>
      <w:sz w:val="18"/>
      <w:szCs w:val="18"/>
      <w:lang w:bidi="hi-IN"/>
    </w:rPr>
  </w:style>
  <w:style w:type="character" w:styleId="1950" w:customStyle="1">
    <w:name w:val="Cabeçalho Char262"/>
    <w:uiPriority w:val="99"/>
    <w:semiHidden/>
    <w:qFormat/>
    <w:pPr>
      <w:pBdr/>
      <w:spacing/>
      <w:ind/>
    </w:pPr>
    <w:rPr>
      <w:rFonts w:eastAsia="Times New Roman" w:cs="Mangal"/>
      <w:sz w:val="18"/>
      <w:szCs w:val="18"/>
      <w:lang w:bidi="hi-IN"/>
    </w:rPr>
  </w:style>
  <w:style w:type="character" w:styleId="1951" w:customStyle="1">
    <w:name w:val="Cabeçalho Char261"/>
    <w:uiPriority w:val="99"/>
    <w:semiHidden/>
    <w:qFormat/>
    <w:pPr>
      <w:pBdr/>
      <w:spacing/>
      <w:ind/>
    </w:pPr>
    <w:rPr>
      <w:rFonts w:eastAsia="Times New Roman" w:cs="Mangal"/>
      <w:sz w:val="18"/>
      <w:szCs w:val="18"/>
      <w:lang w:bidi="hi-IN"/>
    </w:rPr>
  </w:style>
  <w:style w:type="character" w:styleId="1952" w:customStyle="1">
    <w:name w:val="Cabeçalho Char260"/>
    <w:uiPriority w:val="99"/>
    <w:semiHidden/>
    <w:qFormat/>
    <w:pPr>
      <w:pBdr/>
      <w:spacing/>
      <w:ind/>
    </w:pPr>
    <w:rPr>
      <w:rFonts w:eastAsia="Times New Roman" w:cs="Mangal"/>
      <w:sz w:val="18"/>
      <w:szCs w:val="18"/>
      <w:lang w:bidi="hi-IN"/>
    </w:rPr>
  </w:style>
  <w:style w:type="character" w:styleId="1953" w:customStyle="1">
    <w:name w:val="Cabeçalho Char259"/>
    <w:uiPriority w:val="99"/>
    <w:semiHidden/>
    <w:qFormat/>
    <w:pPr>
      <w:pBdr/>
      <w:spacing/>
      <w:ind/>
    </w:pPr>
    <w:rPr>
      <w:rFonts w:eastAsia="Times New Roman" w:cs="Mangal"/>
      <w:sz w:val="18"/>
      <w:szCs w:val="18"/>
      <w:lang w:bidi="hi-IN"/>
    </w:rPr>
  </w:style>
  <w:style w:type="character" w:styleId="1954" w:customStyle="1">
    <w:name w:val="Cabeçalho Char258"/>
    <w:uiPriority w:val="99"/>
    <w:semiHidden/>
    <w:qFormat/>
    <w:pPr>
      <w:pBdr/>
      <w:spacing/>
      <w:ind/>
    </w:pPr>
    <w:rPr>
      <w:rFonts w:eastAsia="Times New Roman" w:cs="Mangal"/>
      <w:sz w:val="18"/>
      <w:szCs w:val="18"/>
      <w:lang w:bidi="hi-IN"/>
    </w:rPr>
  </w:style>
  <w:style w:type="character" w:styleId="1955" w:customStyle="1">
    <w:name w:val="Cabeçalho Char257"/>
    <w:uiPriority w:val="99"/>
    <w:semiHidden/>
    <w:qFormat/>
    <w:pPr>
      <w:pBdr/>
      <w:spacing/>
      <w:ind/>
    </w:pPr>
    <w:rPr>
      <w:rFonts w:eastAsia="Times New Roman" w:cs="Mangal"/>
      <w:sz w:val="18"/>
      <w:szCs w:val="18"/>
      <w:lang w:bidi="hi-IN"/>
    </w:rPr>
  </w:style>
  <w:style w:type="character" w:styleId="1956" w:customStyle="1">
    <w:name w:val="Cabeçalho Char256"/>
    <w:uiPriority w:val="99"/>
    <w:semiHidden/>
    <w:qFormat/>
    <w:pPr>
      <w:pBdr/>
      <w:spacing/>
      <w:ind/>
    </w:pPr>
    <w:rPr>
      <w:rFonts w:eastAsia="Times New Roman" w:cs="Mangal"/>
      <w:sz w:val="18"/>
      <w:szCs w:val="18"/>
      <w:lang w:bidi="hi-IN"/>
    </w:rPr>
  </w:style>
  <w:style w:type="character" w:styleId="1957" w:customStyle="1">
    <w:name w:val="Cabeçalho Char255"/>
    <w:uiPriority w:val="99"/>
    <w:semiHidden/>
    <w:qFormat/>
    <w:pPr>
      <w:pBdr/>
      <w:spacing/>
      <w:ind/>
    </w:pPr>
    <w:rPr>
      <w:rFonts w:eastAsia="Times New Roman" w:cs="Mangal"/>
      <w:sz w:val="18"/>
      <w:szCs w:val="18"/>
      <w:lang w:bidi="hi-IN"/>
    </w:rPr>
  </w:style>
  <w:style w:type="character" w:styleId="1958" w:customStyle="1">
    <w:name w:val="Cabeçalho Char254"/>
    <w:uiPriority w:val="99"/>
    <w:semiHidden/>
    <w:qFormat/>
    <w:pPr>
      <w:pBdr/>
      <w:spacing/>
      <w:ind/>
    </w:pPr>
    <w:rPr>
      <w:rFonts w:eastAsia="Times New Roman" w:cs="Mangal"/>
      <w:sz w:val="18"/>
      <w:szCs w:val="18"/>
      <w:lang w:bidi="hi-IN"/>
    </w:rPr>
  </w:style>
  <w:style w:type="character" w:styleId="1959" w:customStyle="1">
    <w:name w:val="Cabeçalho Char253"/>
    <w:uiPriority w:val="99"/>
    <w:semiHidden/>
    <w:qFormat/>
    <w:pPr>
      <w:pBdr/>
      <w:spacing/>
      <w:ind/>
    </w:pPr>
    <w:rPr>
      <w:rFonts w:eastAsia="Times New Roman" w:cs="Mangal"/>
      <w:sz w:val="18"/>
      <w:szCs w:val="18"/>
      <w:lang w:bidi="hi-IN"/>
    </w:rPr>
  </w:style>
  <w:style w:type="character" w:styleId="1960" w:customStyle="1">
    <w:name w:val="Cabeçalho Char252"/>
    <w:uiPriority w:val="99"/>
    <w:semiHidden/>
    <w:qFormat/>
    <w:pPr>
      <w:pBdr/>
      <w:spacing/>
      <w:ind/>
    </w:pPr>
    <w:rPr>
      <w:rFonts w:eastAsia="Times New Roman" w:cs="Mangal"/>
      <w:sz w:val="18"/>
      <w:szCs w:val="18"/>
      <w:lang w:bidi="hi-IN"/>
    </w:rPr>
  </w:style>
  <w:style w:type="character" w:styleId="1961" w:customStyle="1">
    <w:name w:val="Cabeçalho Char251"/>
    <w:uiPriority w:val="99"/>
    <w:semiHidden/>
    <w:qFormat/>
    <w:pPr>
      <w:pBdr/>
      <w:spacing/>
      <w:ind/>
    </w:pPr>
    <w:rPr>
      <w:rFonts w:eastAsia="Times New Roman" w:cs="Mangal"/>
      <w:sz w:val="18"/>
      <w:szCs w:val="18"/>
      <w:lang w:bidi="hi-IN"/>
    </w:rPr>
  </w:style>
  <w:style w:type="character" w:styleId="1962" w:customStyle="1">
    <w:name w:val="Cabeçalho Char250"/>
    <w:uiPriority w:val="99"/>
    <w:semiHidden/>
    <w:qFormat/>
    <w:pPr>
      <w:pBdr/>
      <w:spacing/>
      <w:ind/>
    </w:pPr>
    <w:rPr>
      <w:rFonts w:eastAsia="Times New Roman" w:cs="Mangal"/>
      <w:sz w:val="18"/>
      <w:szCs w:val="18"/>
      <w:lang w:bidi="hi-IN"/>
    </w:rPr>
  </w:style>
  <w:style w:type="character" w:styleId="1963" w:customStyle="1">
    <w:name w:val="Cabeçalho Char249"/>
    <w:uiPriority w:val="99"/>
    <w:semiHidden/>
    <w:qFormat/>
    <w:pPr>
      <w:pBdr/>
      <w:spacing/>
      <w:ind/>
    </w:pPr>
    <w:rPr>
      <w:rFonts w:eastAsia="Times New Roman" w:cs="Mangal"/>
      <w:sz w:val="18"/>
      <w:szCs w:val="18"/>
      <w:lang w:bidi="hi-IN"/>
    </w:rPr>
  </w:style>
  <w:style w:type="character" w:styleId="1964" w:customStyle="1">
    <w:name w:val="Cabeçalho Char248"/>
    <w:uiPriority w:val="99"/>
    <w:semiHidden/>
    <w:qFormat/>
    <w:pPr>
      <w:pBdr/>
      <w:spacing/>
      <w:ind/>
    </w:pPr>
    <w:rPr>
      <w:rFonts w:eastAsia="Times New Roman" w:cs="Mangal"/>
      <w:sz w:val="18"/>
      <w:szCs w:val="18"/>
      <w:lang w:bidi="hi-IN"/>
    </w:rPr>
  </w:style>
  <w:style w:type="character" w:styleId="1965" w:customStyle="1">
    <w:name w:val="Cabeçalho Char247"/>
    <w:uiPriority w:val="99"/>
    <w:semiHidden/>
    <w:qFormat/>
    <w:pPr>
      <w:pBdr/>
      <w:spacing/>
      <w:ind/>
    </w:pPr>
    <w:rPr>
      <w:rFonts w:eastAsia="Times New Roman" w:cs="Mangal"/>
      <w:sz w:val="18"/>
      <w:szCs w:val="18"/>
      <w:lang w:bidi="hi-IN"/>
    </w:rPr>
  </w:style>
  <w:style w:type="character" w:styleId="1966" w:customStyle="1">
    <w:name w:val="Cabeçalho Char246"/>
    <w:uiPriority w:val="99"/>
    <w:semiHidden/>
    <w:qFormat/>
    <w:pPr>
      <w:pBdr/>
      <w:spacing/>
      <w:ind/>
    </w:pPr>
    <w:rPr>
      <w:rFonts w:eastAsia="Times New Roman" w:cs="Mangal"/>
      <w:sz w:val="18"/>
      <w:szCs w:val="18"/>
      <w:lang w:bidi="hi-IN"/>
    </w:rPr>
  </w:style>
  <w:style w:type="character" w:styleId="1967" w:customStyle="1">
    <w:name w:val="Cabeçalho Char245"/>
    <w:uiPriority w:val="99"/>
    <w:semiHidden/>
    <w:qFormat/>
    <w:pPr>
      <w:pBdr/>
      <w:spacing/>
      <w:ind/>
    </w:pPr>
    <w:rPr>
      <w:rFonts w:eastAsia="Times New Roman" w:cs="Mangal"/>
      <w:sz w:val="18"/>
      <w:szCs w:val="18"/>
      <w:lang w:bidi="hi-IN"/>
    </w:rPr>
  </w:style>
  <w:style w:type="character" w:styleId="1968" w:customStyle="1">
    <w:name w:val="Cabeçalho Char244"/>
    <w:uiPriority w:val="99"/>
    <w:semiHidden/>
    <w:qFormat/>
    <w:pPr>
      <w:pBdr/>
      <w:spacing/>
      <w:ind/>
    </w:pPr>
    <w:rPr>
      <w:rFonts w:eastAsia="Times New Roman" w:cs="Mangal"/>
      <w:sz w:val="18"/>
      <w:szCs w:val="18"/>
      <w:lang w:bidi="hi-IN"/>
    </w:rPr>
  </w:style>
  <w:style w:type="character" w:styleId="1969" w:customStyle="1">
    <w:name w:val="Cabeçalho Char243"/>
    <w:uiPriority w:val="99"/>
    <w:semiHidden/>
    <w:qFormat/>
    <w:pPr>
      <w:pBdr/>
      <w:spacing/>
      <w:ind/>
    </w:pPr>
    <w:rPr>
      <w:rFonts w:eastAsia="Times New Roman" w:cs="Mangal"/>
      <w:sz w:val="18"/>
      <w:szCs w:val="18"/>
      <w:lang w:bidi="hi-IN"/>
    </w:rPr>
  </w:style>
  <w:style w:type="character" w:styleId="1970" w:customStyle="1">
    <w:name w:val="Cabeçalho Char242"/>
    <w:uiPriority w:val="99"/>
    <w:semiHidden/>
    <w:qFormat/>
    <w:pPr>
      <w:pBdr/>
      <w:spacing/>
      <w:ind/>
    </w:pPr>
    <w:rPr>
      <w:rFonts w:eastAsia="Times New Roman" w:cs="Mangal"/>
      <w:sz w:val="18"/>
      <w:szCs w:val="18"/>
      <w:lang w:bidi="hi-IN"/>
    </w:rPr>
  </w:style>
  <w:style w:type="character" w:styleId="1971" w:customStyle="1">
    <w:name w:val="Cabeçalho Char241"/>
    <w:uiPriority w:val="99"/>
    <w:semiHidden/>
    <w:qFormat/>
    <w:pPr>
      <w:pBdr/>
      <w:spacing/>
      <w:ind/>
    </w:pPr>
    <w:rPr>
      <w:rFonts w:eastAsia="Times New Roman" w:cs="Mangal"/>
      <w:sz w:val="18"/>
      <w:szCs w:val="18"/>
      <w:lang w:bidi="hi-IN"/>
    </w:rPr>
  </w:style>
  <w:style w:type="character" w:styleId="1972" w:customStyle="1">
    <w:name w:val="Cabeçalho Char240"/>
    <w:uiPriority w:val="99"/>
    <w:semiHidden/>
    <w:qFormat/>
    <w:pPr>
      <w:pBdr/>
      <w:spacing/>
      <w:ind/>
    </w:pPr>
    <w:rPr>
      <w:rFonts w:eastAsia="Times New Roman" w:cs="Mangal"/>
      <w:sz w:val="18"/>
      <w:szCs w:val="18"/>
      <w:lang w:bidi="hi-IN"/>
    </w:rPr>
  </w:style>
  <w:style w:type="character" w:styleId="1973" w:customStyle="1">
    <w:name w:val="Cabeçalho Char239"/>
    <w:uiPriority w:val="99"/>
    <w:semiHidden/>
    <w:qFormat/>
    <w:pPr>
      <w:pBdr/>
      <w:spacing/>
      <w:ind/>
    </w:pPr>
    <w:rPr>
      <w:rFonts w:eastAsia="Times New Roman" w:cs="Mangal"/>
      <w:sz w:val="18"/>
      <w:szCs w:val="18"/>
      <w:lang w:bidi="hi-IN"/>
    </w:rPr>
  </w:style>
  <w:style w:type="character" w:styleId="1974" w:customStyle="1">
    <w:name w:val="Cabeçalho Char238"/>
    <w:uiPriority w:val="99"/>
    <w:semiHidden/>
    <w:qFormat/>
    <w:pPr>
      <w:pBdr/>
      <w:spacing/>
      <w:ind/>
    </w:pPr>
    <w:rPr>
      <w:rFonts w:eastAsia="Times New Roman" w:cs="Mangal"/>
      <w:sz w:val="18"/>
      <w:szCs w:val="18"/>
      <w:lang w:bidi="hi-IN"/>
    </w:rPr>
  </w:style>
  <w:style w:type="character" w:styleId="1975" w:customStyle="1">
    <w:name w:val="Cabeçalho Char237"/>
    <w:uiPriority w:val="99"/>
    <w:semiHidden/>
    <w:qFormat/>
    <w:pPr>
      <w:pBdr/>
      <w:spacing/>
      <w:ind/>
    </w:pPr>
    <w:rPr>
      <w:rFonts w:eastAsia="Times New Roman" w:cs="Mangal"/>
      <w:sz w:val="18"/>
      <w:szCs w:val="18"/>
      <w:lang w:bidi="hi-IN"/>
    </w:rPr>
  </w:style>
  <w:style w:type="character" w:styleId="1976" w:customStyle="1">
    <w:name w:val="Cabeçalho Char236"/>
    <w:uiPriority w:val="99"/>
    <w:semiHidden/>
    <w:qFormat/>
    <w:pPr>
      <w:pBdr/>
      <w:spacing/>
      <w:ind/>
    </w:pPr>
    <w:rPr>
      <w:rFonts w:eastAsia="Times New Roman" w:cs="Mangal"/>
      <w:sz w:val="18"/>
      <w:szCs w:val="18"/>
      <w:lang w:bidi="hi-IN"/>
    </w:rPr>
  </w:style>
  <w:style w:type="character" w:styleId="1977" w:customStyle="1">
    <w:name w:val="Cabeçalho Char235"/>
    <w:uiPriority w:val="99"/>
    <w:semiHidden/>
    <w:qFormat/>
    <w:pPr>
      <w:pBdr/>
      <w:spacing/>
      <w:ind/>
    </w:pPr>
    <w:rPr>
      <w:rFonts w:eastAsia="Times New Roman" w:cs="Mangal"/>
      <w:sz w:val="18"/>
      <w:szCs w:val="18"/>
      <w:lang w:bidi="hi-IN"/>
    </w:rPr>
  </w:style>
  <w:style w:type="character" w:styleId="1978" w:customStyle="1">
    <w:name w:val="Cabeçalho Char234"/>
    <w:uiPriority w:val="99"/>
    <w:semiHidden/>
    <w:qFormat/>
    <w:pPr>
      <w:pBdr/>
      <w:spacing/>
      <w:ind/>
    </w:pPr>
    <w:rPr>
      <w:rFonts w:eastAsia="Times New Roman" w:cs="Mangal"/>
      <w:sz w:val="18"/>
      <w:szCs w:val="18"/>
      <w:lang w:bidi="hi-IN"/>
    </w:rPr>
  </w:style>
  <w:style w:type="character" w:styleId="1979" w:customStyle="1">
    <w:name w:val="Cabeçalho Char233"/>
    <w:uiPriority w:val="99"/>
    <w:semiHidden/>
    <w:qFormat/>
    <w:pPr>
      <w:pBdr/>
      <w:spacing/>
      <w:ind/>
    </w:pPr>
    <w:rPr>
      <w:rFonts w:eastAsia="Times New Roman" w:cs="Mangal"/>
      <w:sz w:val="18"/>
      <w:szCs w:val="18"/>
      <w:lang w:bidi="hi-IN"/>
    </w:rPr>
  </w:style>
  <w:style w:type="character" w:styleId="1980" w:customStyle="1">
    <w:name w:val="Cabeçalho Char232"/>
    <w:uiPriority w:val="99"/>
    <w:semiHidden/>
    <w:qFormat/>
    <w:pPr>
      <w:pBdr/>
      <w:spacing/>
      <w:ind/>
    </w:pPr>
    <w:rPr>
      <w:rFonts w:eastAsia="Times New Roman" w:cs="Mangal"/>
      <w:sz w:val="18"/>
      <w:szCs w:val="18"/>
      <w:lang w:bidi="hi-IN"/>
    </w:rPr>
  </w:style>
  <w:style w:type="character" w:styleId="1981" w:customStyle="1">
    <w:name w:val="Cabeçalho Char231"/>
    <w:uiPriority w:val="99"/>
    <w:semiHidden/>
    <w:qFormat/>
    <w:pPr>
      <w:pBdr/>
      <w:spacing/>
      <w:ind/>
    </w:pPr>
    <w:rPr>
      <w:rFonts w:eastAsia="Times New Roman" w:cs="Mangal"/>
      <w:sz w:val="18"/>
      <w:szCs w:val="18"/>
      <w:lang w:bidi="hi-IN"/>
    </w:rPr>
  </w:style>
  <w:style w:type="character" w:styleId="1982" w:customStyle="1">
    <w:name w:val="Cabeçalho Char230"/>
    <w:uiPriority w:val="99"/>
    <w:semiHidden/>
    <w:qFormat/>
    <w:pPr>
      <w:pBdr/>
      <w:spacing/>
      <w:ind/>
    </w:pPr>
    <w:rPr>
      <w:rFonts w:eastAsia="Times New Roman" w:cs="Mangal"/>
      <w:sz w:val="18"/>
      <w:szCs w:val="18"/>
      <w:lang w:bidi="hi-IN"/>
    </w:rPr>
  </w:style>
  <w:style w:type="character" w:styleId="1983" w:customStyle="1">
    <w:name w:val="Cabeçalho Char229"/>
    <w:uiPriority w:val="99"/>
    <w:semiHidden/>
    <w:qFormat/>
    <w:pPr>
      <w:pBdr/>
      <w:spacing/>
      <w:ind/>
    </w:pPr>
    <w:rPr>
      <w:rFonts w:eastAsia="Times New Roman" w:cs="Mangal"/>
      <w:sz w:val="18"/>
      <w:szCs w:val="18"/>
      <w:lang w:bidi="hi-IN"/>
    </w:rPr>
  </w:style>
  <w:style w:type="character" w:styleId="1984" w:customStyle="1">
    <w:name w:val="Cabeçalho Char228"/>
    <w:uiPriority w:val="99"/>
    <w:semiHidden/>
    <w:qFormat/>
    <w:pPr>
      <w:pBdr/>
      <w:spacing/>
      <w:ind/>
    </w:pPr>
    <w:rPr>
      <w:rFonts w:eastAsia="Times New Roman" w:cs="Mangal"/>
      <w:sz w:val="18"/>
      <w:szCs w:val="18"/>
      <w:lang w:bidi="hi-IN"/>
    </w:rPr>
  </w:style>
  <w:style w:type="character" w:styleId="1985" w:customStyle="1">
    <w:name w:val="Cabeçalho Char227"/>
    <w:uiPriority w:val="99"/>
    <w:semiHidden/>
    <w:qFormat/>
    <w:pPr>
      <w:pBdr/>
      <w:spacing/>
      <w:ind/>
    </w:pPr>
    <w:rPr>
      <w:rFonts w:eastAsia="Times New Roman" w:cs="Mangal"/>
      <w:sz w:val="18"/>
      <w:szCs w:val="18"/>
      <w:lang w:bidi="hi-IN"/>
    </w:rPr>
  </w:style>
  <w:style w:type="character" w:styleId="1986" w:customStyle="1">
    <w:name w:val="Cabeçalho Char226"/>
    <w:uiPriority w:val="99"/>
    <w:semiHidden/>
    <w:qFormat/>
    <w:pPr>
      <w:pBdr/>
      <w:spacing/>
      <w:ind/>
    </w:pPr>
    <w:rPr>
      <w:rFonts w:eastAsia="Times New Roman" w:cs="Mangal"/>
      <w:sz w:val="18"/>
      <w:szCs w:val="18"/>
      <w:lang w:bidi="hi-IN"/>
    </w:rPr>
  </w:style>
  <w:style w:type="character" w:styleId="1987" w:customStyle="1">
    <w:name w:val="Cabeçalho Char225"/>
    <w:uiPriority w:val="99"/>
    <w:semiHidden/>
    <w:qFormat/>
    <w:pPr>
      <w:pBdr/>
      <w:spacing/>
      <w:ind/>
    </w:pPr>
    <w:rPr>
      <w:rFonts w:eastAsia="Times New Roman" w:cs="Mangal"/>
      <w:sz w:val="18"/>
      <w:szCs w:val="18"/>
      <w:lang w:bidi="hi-IN"/>
    </w:rPr>
  </w:style>
  <w:style w:type="character" w:styleId="1988" w:customStyle="1">
    <w:name w:val="Cabeçalho Char224"/>
    <w:uiPriority w:val="99"/>
    <w:semiHidden/>
    <w:qFormat/>
    <w:pPr>
      <w:pBdr/>
      <w:spacing/>
      <w:ind/>
    </w:pPr>
    <w:rPr>
      <w:rFonts w:eastAsia="Times New Roman" w:cs="Mangal"/>
      <w:sz w:val="18"/>
      <w:szCs w:val="18"/>
      <w:lang w:bidi="hi-IN"/>
    </w:rPr>
  </w:style>
  <w:style w:type="character" w:styleId="1989" w:customStyle="1">
    <w:name w:val="Cabeçalho Char223"/>
    <w:uiPriority w:val="99"/>
    <w:semiHidden/>
    <w:qFormat/>
    <w:pPr>
      <w:pBdr/>
      <w:spacing/>
      <w:ind/>
    </w:pPr>
    <w:rPr>
      <w:rFonts w:eastAsia="Times New Roman" w:cs="Mangal"/>
      <w:sz w:val="18"/>
      <w:szCs w:val="18"/>
      <w:lang w:bidi="hi-IN"/>
    </w:rPr>
  </w:style>
  <w:style w:type="character" w:styleId="1990" w:customStyle="1">
    <w:name w:val="Cabeçalho Char222"/>
    <w:uiPriority w:val="99"/>
    <w:semiHidden/>
    <w:qFormat/>
    <w:pPr>
      <w:pBdr/>
      <w:spacing/>
      <w:ind/>
    </w:pPr>
    <w:rPr>
      <w:rFonts w:eastAsia="Times New Roman" w:cs="Mangal"/>
      <w:sz w:val="18"/>
      <w:szCs w:val="18"/>
      <w:lang w:bidi="hi-IN"/>
    </w:rPr>
  </w:style>
  <w:style w:type="character" w:styleId="1991" w:customStyle="1">
    <w:name w:val="Cabeçalho Char221"/>
    <w:uiPriority w:val="99"/>
    <w:semiHidden/>
    <w:qFormat/>
    <w:pPr>
      <w:pBdr/>
      <w:spacing/>
      <w:ind/>
    </w:pPr>
    <w:rPr>
      <w:rFonts w:eastAsia="Times New Roman" w:cs="Mangal"/>
      <w:sz w:val="18"/>
      <w:szCs w:val="18"/>
      <w:lang w:bidi="hi-IN"/>
    </w:rPr>
  </w:style>
  <w:style w:type="character" w:styleId="1992" w:customStyle="1">
    <w:name w:val="Cabeçalho Char220"/>
    <w:uiPriority w:val="99"/>
    <w:semiHidden/>
    <w:qFormat/>
    <w:pPr>
      <w:pBdr/>
      <w:spacing/>
      <w:ind/>
    </w:pPr>
    <w:rPr>
      <w:rFonts w:eastAsia="Times New Roman" w:cs="Mangal"/>
      <w:sz w:val="18"/>
      <w:szCs w:val="18"/>
      <w:lang w:bidi="hi-IN"/>
    </w:rPr>
  </w:style>
  <w:style w:type="character" w:styleId="1993" w:customStyle="1">
    <w:name w:val="Cabeçalho Char219"/>
    <w:uiPriority w:val="99"/>
    <w:semiHidden/>
    <w:qFormat/>
    <w:pPr>
      <w:pBdr/>
      <w:spacing/>
      <w:ind/>
    </w:pPr>
    <w:rPr>
      <w:rFonts w:eastAsia="Times New Roman" w:cs="Mangal"/>
      <w:sz w:val="18"/>
      <w:szCs w:val="18"/>
      <w:lang w:bidi="hi-IN"/>
    </w:rPr>
  </w:style>
  <w:style w:type="character" w:styleId="1994" w:customStyle="1">
    <w:name w:val="Cabeçalho Char218"/>
    <w:uiPriority w:val="99"/>
    <w:semiHidden/>
    <w:qFormat/>
    <w:pPr>
      <w:pBdr/>
      <w:spacing/>
      <w:ind/>
    </w:pPr>
    <w:rPr>
      <w:rFonts w:eastAsia="Times New Roman" w:cs="Mangal"/>
      <w:sz w:val="18"/>
      <w:szCs w:val="18"/>
      <w:lang w:bidi="hi-IN"/>
    </w:rPr>
  </w:style>
  <w:style w:type="character" w:styleId="1995" w:customStyle="1">
    <w:name w:val="Cabeçalho Char217"/>
    <w:uiPriority w:val="99"/>
    <w:semiHidden/>
    <w:qFormat/>
    <w:pPr>
      <w:pBdr/>
      <w:spacing/>
      <w:ind/>
    </w:pPr>
    <w:rPr>
      <w:rFonts w:eastAsia="Times New Roman" w:cs="Mangal"/>
      <w:sz w:val="18"/>
      <w:szCs w:val="18"/>
      <w:lang w:bidi="hi-IN"/>
    </w:rPr>
  </w:style>
  <w:style w:type="character" w:styleId="1996" w:customStyle="1">
    <w:name w:val="Cabeçalho Char216"/>
    <w:uiPriority w:val="99"/>
    <w:semiHidden/>
    <w:qFormat/>
    <w:pPr>
      <w:pBdr/>
      <w:spacing/>
      <w:ind/>
    </w:pPr>
    <w:rPr>
      <w:rFonts w:eastAsia="Times New Roman" w:cs="Mangal"/>
      <w:sz w:val="18"/>
      <w:szCs w:val="18"/>
      <w:lang w:bidi="hi-IN"/>
    </w:rPr>
  </w:style>
  <w:style w:type="character" w:styleId="1997" w:customStyle="1">
    <w:name w:val="Cabeçalho Char215"/>
    <w:uiPriority w:val="99"/>
    <w:semiHidden/>
    <w:qFormat/>
    <w:pPr>
      <w:pBdr/>
      <w:spacing/>
      <w:ind/>
    </w:pPr>
    <w:rPr>
      <w:rFonts w:eastAsia="Times New Roman" w:cs="Mangal"/>
      <w:sz w:val="18"/>
      <w:szCs w:val="18"/>
      <w:lang w:bidi="hi-IN"/>
    </w:rPr>
  </w:style>
  <w:style w:type="character" w:styleId="1998" w:customStyle="1">
    <w:name w:val="Cabeçalho Char214"/>
    <w:uiPriority w:val="99"/>
    <w:semiHidden/>
    <w:qFormat/>
    <w:pPr>
      <w:pBdr/>
      <w:spacing/>
      <w:ind/>
    </w:pPr>
    <w:rPr>
      <w:rFonts w:eastAsia="Times New Roman" w:cs="Mangal"/>
      <w:sz w:val="18"/>
      <w:szCs w:val="18"/>
      <w:lang w:bidi="hi-IN"/>
    </w:rPr>
  </w:style>
  <w:style w:type="character" w:styleId="1999" w:customStyle="1">
    <w:name w:val="Cabeçalho Char213"/>
    <w:uiPriority w:val="99"/>
    <w:semiHidden/>
    <w:qFormat/>
    <w:pPr>
      <w:pBdr/>
      <w:spacing/>
      <w:ind/>
    </w:pPr>
    <w:rPr>
      <w:rFonts w:eastAsia="Times New Roman" w:cs="Mangal"/>
      <w:sz w:val="18"/>
      <w:szCs w:val="18"/>
      <w:lang w:bidi="hi-IN"/>
    </w:rPr>
  </w:style>
  <w:style w:type="character" w:styleId="2000" w:customStyle="1">
    <w:name w:val="Cabeçalho Char212"/>
    <w:uiPriority w:val="99"/>
    <w:semiHidden/>
    <w:qFormat/>
    <w:pPr>
      <w:pBdr/>
      <w:spacing/>
      <w:ind/>
    </w:pPr>
    <w:rPr>
      <w:rFonts w:eastAsia="Times New Roman" w:cs="Mangal"/>
      <w:sz w:val="18"/>
      <w:szCs w:val="18"/>
      <w:lang w:bidi="hi-IN"/>
    </w:rPr>
  </w:style>
  <w:style w:type="character" w:styleId="2001" w:customStyle="1">
    <w:name w:val="Cabeçalho Char211"/>
    <w:uiPriority w:val="99"/>
    <w:semiHidden/>
    <w:qFormat/>
    <w:pPr>
      <w:pBdr/>
      <w:spacing/>
      <w:ind/>
    </w:pPr>
    <w:rPr>
      <w:rFonts w:eastAsia="Times New Roman" w:cs="Mangal"/>
      <w:sz w:val="18"/>
      <w:szCs w:val="18"/>
      <w:lang w:bidi="hi-IN"/>
    </w:rPr>
  </w:style>
  <w:style w:type="character" w:styleId="2002" w:customStyle="1">
    <w:name w:val="fontstyle01"/>
    <w:qFormat/>
    <w:pPr>
      <w:pBdr/>
      <w:spacing/>
      <w:ind/>
    </w:pPr>
    <w:rPr>
      <w:rFonts w:ascii="Arial" w:hAnsi="Arial"/>
      <w:color w:val="000000"/>
      <w:sz w:val="20"/>
    </w:rPr>
  </w:style>
  <w:style w:type="character" w:styleId="2003" w:customStyle="1">
    <w:name w:val="fontstyle21"/>
    <w:qFormat/>
    <w:pPr>
      <w:pBdr/>
      <w:spacing/>
      <w:ind/>
    </w:pPr>
    <w:rPr>
      <w:rFonts w:ascii="TimesNewRoman" w:hAnsi="TimesNewRoman"/>
      <w:b/>
      <w:color w:val="000000"/>
      <w:sz w:val="20"/>
    </w:rPr>
  </w:style>
  <w:style w:type="character" w:styleId="2004" w:customStyle="1">
    <w:name w:val="Endereço HTML Char"/>
    <w:link w:val="2307"/>
    <w:uiPriority w:val="99"/>
    <w:qFormat/>
    <w:pPr>
      <w:pBdr/>
      <w:spacing/>
      <w:ind/>
    </w:pPr>
    <w:rPr>
      <w:rFonts w:eastAsia="SimSun"/>
      <w:i/>
      <w:iCs/>
      <w:sz w:val="24"/>
      <w:szCs w:val="24"/>
    </w:rPr>
  </w:style>
  <w:style w:type="character" w:styleId="2005" w:customStyle="1">
    <w:name w:val="Nível 1-Sem Num Preto Char"/>
    <w:link w:val="2309"/>
    <w:qFormat/>
    <w:pPr>
      <w:pBdr/>
      <w:spacing/>
      <w:ind/>
    </w:pPr>
    <w:rPr>
      <w:rFonts w:ascii="Arial" w:hAnsi="Arial" w:eastAsia="SimSun" w:cs="Arial"/>
      <w:b/>
      <w:bCs/>
      <w:lang w:eastAsia="zh-CN" w:bidi="hi-IN"/>
    </w:rPr>
  </w:style>
  <w:style w:type="character" w:styleId="2006" w:customStyle="1">
    <w:name w:val="Menção Pendente1"/>
    <w:uiPriority w:val="99"/>
    <w:semiHidden/>
    <w:unhideWhenUsed/>
    <w:qFormat/>
    <w:pPr>
      <w:pBdr/>
      <w:spacing/>
      <w:ind/>
    </w:pPr>
    <w:rPr>
      <w:color w:val="605e5c"/>
      <w:shd w:val="clear" w:color="auto" w:fill="e1dfdd"/>
    </w:rPr>
  </w:style>
  <w:style w:type="character" w:styleId="2007" w:customStyle="1">
    <w:name w:val="font61"/>
    <w:qFormat/>
    <w:pPr>
      <w:pBdr/>
      <w:spacing/>
      <w:ind/>
    </w:pPr>
    <w:rPr>
      <w:rFonts w:ascii="Times New Roman" w:hAnsi="Times New Roman" w:cs="Times New Roman"/>
      <w:color w:val="000000"/>
      <w:u w:val="none"/>
    </w:rPr>
  </w:style>
  <w:style w:type="character" w:styleId="2008" w:customStyle="1">
    <w:name w:val="font21"/>
    <w:qFormat/>
    <w:pPr>
      <w:pBdr/>
      <w:spacing/>
      <w:ind/>
    </w:pPr>
    <w:rPr>
      <w:rFonts w:ascii="Times New Roman" w:hAnsi="Times New Roman" w:cs="Times New Roman"/>
      <w:color w:val="000000"/>
      <w:u w:val="none"/>
    </w:rPr>
  </w:style>
  <w:style w:type="paragraph" w:styleId="2009" w:customStyle="1">
    <w:name w:val="Título1"/>
    <w:basedOn w:val="2038"/>
    <w:next w:val="2039"/>
    <w:qFormat/>
    <w:pPr>
      <w:keepNext w:val="true"/>
      <w:pBdr/>
      <w:spacing w:after="120" w:before="240"/>
      <w:ind/>
    </w:pPr>
    <w:rPr>
      <w:rFonts w:ascii="Liberation Sans" w:hAnsi="Liberation Sans" w:eastAsia="Microsoft YaHei" w:cs="Liberation Sans"/>
      <w:sz w:val="28"/>
      <w:szCs w:val="28"/>
    </w:rPr>
  </w:style>
  <w:style w:type="paragraph" w:styleId="2010">
    <w:name w:val="Body Text"/>
    <w:basedOn w:val="864"/>
    <w:uiPriority w:val="99"/>
    <w:qFormat/>
    <w:pPr>
      <w:pBdr/>
      <w:spacing w:after="120"/>
      <w:ind/>
    </w:pPr>
  </w:style>
  <w:style w:type="paragraph" w:styleId="2011">
    <w:name w:val="List"/>
    <w:basedOn w:val="2039"/>
    <w:uiPriority w:val="99"/>
    <w:pPr>
      <w:pBdr/>
      <w:spacing/>
      <w:ind/>
    </w:pPr>
  </w:style>
  <w:style w:type="paragraph" w:styleId="2012">
    <w:name w:val="Caption"/>
    <w:basedOn w:val="864"/>
    <w:next w:val="864"/>
    <w:uiPriority w:val="99"/>
    <w:qFormat/>
    <w:pPr>
      <w:pBdr/>
      <w:spacing w:after="200"/>
      <w:ind/>
    </w:pPr>
    <w:rPr>
      <w:rFonts w:ascii="Liberation Serif" w:hAnsi="Liberation Serif" w:cs="Mangal"/>
      <w:i/>
      <w:iCs/>
      <w:color w:val="44546a"/>
      <w:sz w:val="18"/>
      <w:szCs w:val="16"/>
      <w:lang w:bidi="hi-IN"/>
    </w:rPr>
  </w:style>
  <w:style w:type="paragraph" w:styleId="2013" w:customStyle="1">
    <w:name w:val="Índice"/>
    <w:basedOn w:val="2038"/>
    <w:qFormat/>
    <w:pPr>
      <w:suppressLineNumbers w:val="true"/>
      <w:pBdr/>
      <w:spacing/>
      <w:ind/>
    </w:pPr>
  </w:style>
  <w:style w:type="paragraph" w:styleId="2014">
    <w:name w:val="Title"/>
    <w:basedOn w:val="864"/>
    <w:next w:val="864"/>
    <w:link w:val="903"/>
    <w:uiPriority w:val="10"/>
    <w:qFormat/>
    <w:pPr>
      <w:pBdr/>
      <w:spacing w:after="80"/>
      <w:ind/>
      <w:contextualSpacing w:val="true"/>
    </w:pPr>
    <w:rPr>
      <w:rFonts w:ascii="Arial" w:hAnsi="Arial" w:eastAsia="Arial"/>
      <w:spacing w:val="-10"/>
      <w:sz w:val="56"/>
      <w:szCs w:val="56"/>
    </w:rPr>
  </w:style>
  <w:style w:type="paragraph" w:styleId="2015">
    <w:name w:val="Subtitle"/>
    <w:basedOn w:val="864"/>
    <w:next w:val="864"/>
    <w:link w:val="904"/>
    <w:uiPriority w:val="11"/>
    <w:qFormat/>
    <w:pPr>
      <w:pBdr/>
      <w:spacing/>
      <w:ind/>
    </w:pPr>
    <w:rPr>
      <w:color w:val="595959"/>
      <w:spacing w:val="15"/>
      <w:sz w:val="28"/>
      <w:szCs w:val="28"/>
    </w:rPr>
  </w:style>
  <w:style w:type="paragraph" w:styleId="2016">
    <w:name w:val="Quote"/>
    <w:basedOn w:val="864"/>
    <w:next w:val="864"/>
    <w:link w:val="905"/>
    <w:qFormat/>
    <w:pPr>
      <w:pBdr/>
      <w:spacing w:after="160" w:before="200"/>
      <w:ind w:right="864" w:left="864"/>
      <w:jc w:val="center"/>
    </w:pPr>
    <w:rPr>
      <w:i/>
      <w:iCs/>
      <w:color w:val="404040"/>
    </w:rPr>
  </w:style>
  <w:style w:type="paragraph" w:styleId="2017">
    <w:name w:val="List Paragraph"/>
    <w:basedOn w:val="864"/>
    <w:uiPriority w:val="34"/>
    <w:qFormat/>
    <w:pPr>
      <w:pBdr/>
      <w:spacing/>
      <w:ind w:left="720"/>
      <w:contextualSpacing w:val="true"/>
    </w:pPr>
    <w:rPr>
      <w:rFonts w:ascii="Ecofont_Spranq_eco_Sans" w:hAnsi="Ecofont_Spranq_eco_Sans" w:cs="Tahoma"/>
      <w:sz w:val="24"/>
      <w:szCs w:val="24"/>
    </w:rPr>
  </w:style>
  <w:style w:type="paragraph" w:styleId="2018">
    <w:name w:val="Intense Quote"/>
    <w:basedOn w:val="864"/>
    <w:next w:val="864"/>
    <w:link w:val="907"/>
    <w:uiPriority w:val="30"/>
    <w:qFormat/>
    <w:pPr>
      <w:pBdr>
        <w:top w:val="single" w:color="365f91" w:sz="4" w:space="10"/>
        <w:bottom w:val="single" w:color="365f91" w:sz="4" w:space="10"/>
      </w:pBdr>
      <w:spacing w:after="360" w:before="360"/>
      <w:ind w:right="864" w:left="864"/>
      <w:jc w:val="center"/>
    </w:pPr>
    <w:rPr>
      <w:i/>
      <w:iCs/>
      <w:color w:val="365f91"/>
    </w:rPr>
  </w:style>
  <w:style w:type="paragraph" w:styleId="2019">
    <w:name w:val="No Spacing"/>
    <w:basedOn w:val="864"/>
    <w:uiPriority w:val="1"/>
    <w:qFormat/>
    <w:pPr>
      <w:pBdr/>
      <w:spacing/>
      <w:ind/>
    </w:pPr>
    <w:rPr>
      <w:rFonts w:ascii="Calibri" w:hAnsi="Calibri" w:eastAsia="SimSun" w:cs="Calibri"/>
      <w:sz w:val="22"/>
      <w:szCs w:val="22"/>
    </w:rPr>
  </w:style>
  <w:style w:type="paragraph" w:styleId="2020" w:customStyle="1">
    <w:name w:val="Cabeçalho e Rodapé"/>
    <w:basedOn w:val="2038"/>
    <w:qFormat/>
    <w:pPr>
      <w:suppressLineNumbers w:val="true"/>
      <w:pBdr/>
      <w:tabs>
        <w:tab w:val="center" w:leader="none" w:pos="4819"/>
        <w:tab w:val="right" w:leader="none" w:pos="9638"/>
      </w:tabs>
      <w:spacing/>
      <w:ind/>
    </w:pPr>
  </w:style>
  <w:style w:type="paragraph" w:styleId="2021">
    <w:name w:val="Header"/>
    <w:basedOn w:val="864"/>
    <w:link w:val="914"/>
    <w:uiPriority w:val="99"/>
    <w:pPr>
      <w:widowControl w:val="false"/>
      <w:pBdr/>
      <w:tabs>
        <w:tab w:val="center" w:leader="none" w:pos="4419"/>
        <w:tab w:val="right" w:leader="none" w:pos="8838"/>
      </w:tabs>
      <w:spacing/>
      <w:ind/>
    </w:pPr>
    <w:rPr>
      <w:lang w:val="en-US"/>
    </w:rPr>
  </w:style>
  <w:style w:type="paragraph" w:styleId="2022">
    <w:name w:val="Footer"/>
    <w:basedOn w:val="864"/>
    <w:link w:val="915"/>
    <w:uiPriority w:val="99"/>
    <w:qFormat/>
    <w:pPr>
      <w:widowControl w:val="false"/>
      <w:pBdr/>
      <w:tabs>
        <w:tab w:val="center" w:leader="none" w:pos="4419"/>
        <w:tab w:val="right" w:leader="none" w:pos="8838"/>
      </w:tabs>
      <w:spacing/>
      <w:ind/>
    </w:pPr>
    <w:rPr>
      <w:lang w:val="en-US"/>
    </w:rPr>
  </w:style>
  <w:style w:type="paragraph" w:styleId="2023">
    <w:name w:val="footnote text"/>
    <w:basedOn w:val="864"/>
    <w:link w:val="916"/>
    <w:pPr>
      <w:pBdr/>
      <w:spacing/>
      <w:ind/>
    </w:pPr>
    <w:rPr>
      <w:rFonts w:eastAsia="SimSun"/>
    </w:rPr>
  </w:style>
  <w:style w:type="paragraph" w:styleId="2024" w:customStyle="1">
    <w:name w:val="Texto de nota de fim1"/>
    <w:basedOn w:val="864"/>
    <w:link w:val="919"/>
    <w:uiPriority w:val="99"/>
    <w:unhideWhenUsed/>
    <w:pPr>
      <w:pBdr/>
      <w:spacing/>
      <w:ind/>
    </w:pPr>
    <w:rPr>
      <w:lang w:eastAsia="pt-BR"/>
    </w:rPr>
  </w:style>
  <w:style w:type="paragraph" w:styleId="2025">
    <w:name w:val="toc 1"/>
    <w:basedOn w:val="864"/>
    <w:next w:val="864"/>
    <w:uiPriority w:val="39"/>
    <w:unhideWhenUsed/>
    <w:pPr>
      <w:pBdr/>
      <w:spacing w:after="100"/>
      <w:ind/>
    </w:pPr>
  </w:style>
  <w:style w:type="paragraph" w:styleId="2026">
    <w:name w:val="toc 2"/>
    <w:basedOn w:val="864"/>
    <w:next w:val="864"/>
    <w:uiPriority w:val="39"/>
    <w:unhideWhenUsed/>
    <w:pPr>
      <w:pBdr/>
      <w:spacing w:after="100"/>
      <w:ind w:left="220"/>
    </w:pPr>
  </w:style>
  <w:style w:type="paragraph" w:styleId="2027">
    <w:name w:val="toc 3"/>
    <w:basedOn w:val="864"/>
    <w:next w:val="864"/>
    <w:uiPriority w:val="39"/>
    <w:unhideWhenUsed/>
    <w:pPr>
      <w:pBdr/>
      <w:spacing w:after="100"/>
      <w:ind w:left="440"/>
    </w:pPr>
  </w:style>
  <w:style w:type="paragraph" w:styleId="2028">
    <w:name w:val="toc 4"/>
    <w:basedOn w:val="864"/>
    <w:next w:val="864"/>
    <w:uiPriority w:val="39"/>
    <w:unhideWhenUsed/>
    <w:pPr>
      <w:pBdr/>
      <w:spacing w:after="100"/>
      <w:ind w:left="660"/>
    </w:pPr>
  </w:style>
  <w:style w:type="paragraph" w:styleId="2029">
    <w:name w:val="toc 5"/>
    <w:basedOn w:val="864"/>
    <w:next w:val="864"/>
    <w:uiPriority w:val="39"/>
    <w:unhideWhenUsed/>
    <w:pPr>
      <w:pBdr/>
      <w:spacing w:after="100"/>
      <w:ind w:left="880"/>
    </w:pPr>
  </w:style>
  <w:style w:type="paragraph" w:styleId="2030">
    <w:name w:val="toc 6"/>
    <w:basedOn w:val="864"/>
    <w:next w:val="864"/>
    <w:uiPriority w:val="39"/>
    <w:unhideWhenUsed/>
    <w:pPr>
      <w:pBdr/>
      <w:spacing w:after="100"/>
      <w:ind w:left="1100"/>
    </w:pPr>
  </w:style>
  <w:style w:type="paragraph" w:styleId="2031">
    <w:name w:val="toc 7"/>
    <w:basedOn w:val="864"/>
    <w:next w:val="864"/>
    <w:uiPriority w:val="39"/>
    <w:unhideWhenUsed/>
    <w:pPr>
      <w:pBdr/>
      <w:spacing w:after="100"/>
      <w:ind w:left="1320"/>
    </w:pPr>
  </w:style>
  <w:style w:type="paragraph" w:styleId="2032">
    <w:name w:val="toc 8"/>
    <w:basedOn w:val="864"/>
    <w:next w:val="864"/>
    <w:uiPriority w:val="39"/>
    <w:unhideWhenUsed/>
    <w:pPr>
      <w:pBdr/>
      <w:spacing w:after="100"/>
      <w:ind w:left="1540"/>
    </w:pPr>
  </w:style>
  <w:style w:type="paragraph" w:styleId="2033">
    <w:name w:val="toc 9"/>
    <w:basedOn w:val="864"/>
    <w:next w:val="864"/>
    <w:uiPriority w:val="39"/>
    <w:unhideWhenUsed/>
    <w:pPr>
      <w:pBdr/>
      <w:spacing w:after="100"/>
      <w:ind w:left="1760"/>
    </w:pPr>
  </w:style>
  <w:style w:type="paragraph" w:styleId="2034">
    <w:name w:val="index heading"/>
    <w:basedOn w:val="2009"/>
    <w:pPr>
      <w:pBdr/>
      <w:spacing/>
      <w:ind/>
    </w:pPr>
  </w:style>
  <w:style w:type="paragraph" w:styleId="2035">
    <w:name w:val="TOC Heading"/>
    <w:basedOn w:val="865"/>
    <w:next w:val="864"/>
    <w:qFormat/>
    <w:pPr>
      <w:keepLines w:val="true"/>
      <w:numPr>
        <w:numId w:val="0"/>
      </w:numPr>
      <w:pBdr/>
      <w:spacing w:after="0" w:line="252" w:lineRule="auto"/>
      <w:ind/>
      <w:outlineLvl w:val="9"/>
    </w:pPr>
    <w:rPr>
      <w:rFonts w:ascii="Calibri" w:hAnsi="Calibri" w:eastAsia="MS Gothic" w:cs="Times New Roman"/>
      <w:b w:val="0"/>
      <w:bCs w:val="0"/>
      <w:color w:val="365f91"/>
      <w:lang w:val="pt-BR"/>
    </w:rPr>
  </w:style>
  <w:style w:type="paragraph" w:styleId="2036">
    <w:name w:val="table of figures"/>
    <w:basedOn w:val="864"/>
    <w:next w:val="864"/>
    <w:uiPriority w:val="99"/>
    <w:unhideWhenUsed/>
    <w:pPr>
      <w:pBdr/>
      <w:spacing/>
      <w:ind/>
    </w:pPr>
  </w:style>
  <w:style w:type="paragraph" w:styleId="2037" w:customStyle="1">
    <w:name w:val="Título2"/>
    <w:basedOn w:val="864"/>
    <w:next w:val="2010"/>
    <w:qFormat/>
    <w:pPr>
      <w:keepNext w:val="true"/>
      <w:pBdr/>
      <w:spacing w:after="120" w:before="240"/>
      <w:ind/>
    </w:pPr>
    <w:rPr>
      <w:rFonts w:ascii="Liberation Sans" w:hAnsi="Liberation Sans" w:eastAsia="Microsoft YaHei"/>
      <w:sz w:val="28"/>
      <w:szCs w:val="28"/>
    </w:rPr>
  </w:style>
  <w:style w:type="paragraph" w:styleId="2038" w:customStyle="1">
    <w:name w:val="Standard"/>
    <w:qFormat/>
    <w:pPr>
      <w:pBdr/>
      <w:spacing/>
      <w:ind/>
    </w:pPr>
    <w:rPr>
      <w:rFonts w:ascii="Liberation Serif" w:hAnsi="Liberation Serif"/>
      <w:sz w:val="24"/>
      <w:szCs w:val="24"/>
      <w:lang w:eastAsia="zh-CN" w:bidi="hi-IN"/>
    </w:rPr>
  </w:style>
  <w:style w:type="paragraph" w:styleId="2039" w:customStyle="1">
    <w:name w:val="Text body"/>
    <w:basedOn w:val="2038"/>
    <w:qFormat/>
    <w:pPr>
      <w:pBdr/>
      <w:spacing w:after="140" w:line="276" w:lineRule="auto"/>
      <w:ind/>
    </w:pPr>
  </w:style>
  <w:style w:type="paragraph" w:styleId="2040">
    <w:name w:val="Normal (Web)"/>
    <w:basedOn w:val="864"/>
    <w:uiPriority w:val="99"/>
    <w:qFormat/>
    <w:pPr>
      <w:pBdr/>
      <w:spacing w:after="280" w:before="280"/>
      <w:ind/>
    </w:pPr>
    <w:rPr>
      <w:sz w:val="24"/>
      <w:szCs w:val="24"/>
    </w:rPr>
  </w:style>
  <w:style w:type="paragraph" w:styleId="2041" w:customStyle="1">
    <w:name w:val="Texto de comentário1"/>
    <w:basedOn w:val="864"/>
    <w:qFormat/>
    <w:pPr>
      <w:pBdr/>
      <w:spacing/>
      <w:ind/>
    </w:pPr>
    <w:rPr>
      <w:rFonts w:ascii="Ecofont_Spranq_eco_Sans" w:hAnsi="Ecofont_Spranq_eco_Sans" w:eastAsia="MS Mincho" w:cs="Tahoma"/>
    </w:rPr>
  </w:style>
  <w:style w:type="paragraph" w:styleId="2042">
    <w:name w:val="annotation subject"/>
    <w:basedOn w:val="2041"/>
    <w:next w:val="2041"/>
    <w:uiPriority w:val="99"/>
    <w:qFormat/>
    <w:pPr>
      <w:pBdr/>
      <w:spacing/>
      <w:ind/>
    </w:pPr>
    <w:rPr>
      <w:rFonts w:ascii="Times New Roman" w:hAnsi="Times New Roman" w:eastAsia="Times New Roman" w:cs="Times New Roman"/>
      <w:b/>
      <w:bCs/>
    </w:rPr>
  </w:style>
  <w:style w:type="paragraph" w:styleId="2043">
    <w:name w:val="Balloon Text"/>
    <w:basedOn w:val="864"/>
    <w:uiPriority w:val="99"/>
    <w:qFormat/>
    <w:pPr>
      <w:pBdr/>
      <w:spacing/>
      <w:ind/>
    </w:pPr>
    <w:rPr>
      <w:rFonts w:ascii="Tahoma" w:hAnsi="Tahoma" w:cs="Tahoma"/>
      <w:sz w:val="16"/>
      <w:szCs w:val="16"/>
    </w:rPr>
  </w:style>
  <w:style w:type="paragraph" w:styleId="2044">
    <w:name w:val="Body Text Indent"/>
    <w:basedOn w:val="864"/>
    <w:pPr>
      <w:pBdr/>
      <w:spacing w:after="120"/>
      <w:ind w:left="283"/>
    </w:pPr>
    <w:rPr>
      <w:sz w:val="24"/>
      <w:szCs w:val="24"/>
      <w:lang w:val="en-US"/>
    </w:rPr>
  </w:style>
  <w:style w:type="paragraph" w:styleId="2045" w:customStyle="1">
    <w:name w:val="Título1"/>
    <w:basedOn w:val="864"/>
    <w:next w:val="2010"/>
    <w:qFormat/>
    <w:pPr>
      <w:keepNext w:val="true"/>
      <w:pBdr/>
      <w:spacing w:after="120" w:before="240"/>
      <w:ind/>
    </w:pPr>
    <w:rPr>
      <w:rFonts w:ascii="Liberation Sans" w:hAnsi="Liberation Sans" w:eastAsia="Microsoft YaHei"/>
      <w:sz w:val="28"/>
      <w:szCs w:val="28"/>
    </w:rPr>
  </w:style>
  <w:style w:type="paragraph" w:styleId="2046" w:customStyle="1">
    <w:name w:val="Corpo de texto 31"/>
    <w:basedOn w:val="864"/>
    <w:uiPriority w:val="99"/>
    <w:qFormat/>
    <w:pPr>
      <w:widowControl w:val="false"/>
      <w:pBdr/>
      <w:spacing w:after="120"/>
      <w:ind/>
    </w:pPr>
    <w:rPr>
      <w:sz w:val="16"/>
      <w:szCs w:val="16"/>
      <w:lang w:val="en-US"/>
    </w:rPr>
  </w:style>
  <w:style w:type="paragraph" w:styleId="2047" w:customStyle="1">
    <w:name w:val="Recuo de corpo de texto 21"/>
    <w:basedOn w:val="864"/>
    <w:uiPriority w:val="99"/>
    <w:qFormat/>
    <w:pPr>
      <w:pBdr/>
      <w:spacing/>
      <w:ind w:hanging="567" w:left="993"/>
      <w:jc w:val="both"/>
    </w:pPr>
    <w:rPr>
      <w:rFonts w:ascii="Arial" w:hAnsi="Arial"/>
      <w:sz w:val="24"/>
      <w:lang w:val="en-US"/>
    </w:rPr>
  </w:style>
  <w:style w:type="paragraph" w:styleId="2048" w:customStyle="1">
    <w:name w:val="PADRAO"/>
    <w:uiPriority w:val="99"/>
    <w:qFormat/>
    <w:pPr>
      <w:pBdr/>
      <w:spacing/>
      <w:ind/>
      <w:jc w:val="both"/>
    </w:pPr>
    <w:rPr>
      <w:color w:val="000000"/>
      <w:sz w:val="24"/>
      <w:lang w:eastAsia="zh-CN"/>
    </w:rPr>
  </w:style>
  <w:style w:type="paragraph" w:styleId="2049">
    <w:name w:val="Body Text Indent 3"/>
    <w:basedOn w:val="864"/>
    <w:uiPriority w:val="99"/>
    <w:qFormat/>
    <w:pPr>
      <w:widowControl w:val="false"/>
      <w:pBdr/>
      <w:spacing/>
      <w:ind w:left="1418"/>
      <w:jc w:val="both"/>
    </w:pPr>
    <w:rPr>
      <w:rFonts w:ascii="Arial" w:hAnsi="Arial"/>
      <w:sz w:val="24"/>
      <w:lang w:val="en-US"/>
    </w:rPr>
  </w:style>
  <w:style w:type="paragraph" w:styleId="2050" w:customStyle="1">
    <w:name w:val="Recuo de corpo de texto 31"/>
    <w:basedOn w:val="864"/>
    <w:uiPriority w:val="99"/>
    <w:qFormat/>
    <w:pPr>
      <w:pBdr/>
      <w:spacing/>
      <w:ind w:hanging="567" w:left="567"/>
      <w:jc w:val="both"/>
    </w:pPr>
    <w:rPr>
      <w:rFonts w:ascii="Arial" w:hAnsi="Arial"/>
      <w:sz w:val="24"/>
      <w:lang w:val="en-US"/>
    </w:rPr>
  </w:style>
  <w:style w:type="paragraph" w:styleId="2051" w:customStyle="1">
    <w:name w:val="Recuo de corpo de texto 22"/>
    <w:basedOn w:val="864"/>
    <w:qFormat/>
    <w:pPr>
      <w:pBdr/>
      <w:spacing w:after="120" w:line="480" w:lineRule="auto"/>
      <w:ind w:left="283"/>
    </w:pPr>
  </w:style>
  <w:style w:type="paragraph" w:styleId="2052" w:customStyle="1">
    <w:name w:val="_A010165"/>
    <w:uiPriority w:val="99"/>
    <w:qFormat/>
    <w:pPr>
      <w:pBdr/>
      <w:tabs>
        <w:tab w:val="left" w:leader="none" w:pos="584"/>
        <w:tab w:val="left" w:leader="none" w:pos="6560"/>
        <w:tab w:val="left" w:leader="none" w:pos="7133"/>
      </w:tabs>
      <w:spacing/>
      <w:ind/>
      <w:jc w:val="both"/>
    </w:pPr>
    <w:rPr>
      <w:rFonts w:ascii="Arial" w:hAnsi="Arial"/>
      <w:color w:val="000000"/>
      <w:sz w:val="22"/>
      <w:lang w:eastAsia="zh-CN"/>
    </w:rPr>
  </w:style>
  <w:style w:type="paragraph" w:styleId="2053" w:customStyle="1">
    <w:name w:val="Corpo de texto 21"/>
    <w:basedOn w:val="864"/>
    <w:uiPriority w:val="99"/>
    <w:qFormat/>
    <w:pPr>
      <w:pBdr/>
      <w:spacing w:after="120" w:line="480" w:lineRule="auto"/>
      <w:ind/>
    </w:pPr>
  </w:style>
  <w:style w:type="paragraph" w:styleId="2054" w:customStyle="1">
    <w:name w:val="Default"/>
    <w:qFormat/>
    <w:pPr>
      <w:pBdr/>
      <w:spacing/>
      <w:ind/>
    </w:pPr>
    <w:rPr>
      <w:rFonts w:ascii="Arial" w:hAnsi="Arial" w:eastAsia="SimSun"/>
      <w:color w:val="000000"/>
      <w:sz w:val="24"/>
      <w:szCs w:val="24"/>
      <w:lang w:eastAsia="zh-CN"/>
    </w:rPr>
  </w:style>
  <w:style w:type="paragraph" w:styleId="2055" w:customStyle="1">
    <w:name w:val="Texto sem Formatação1"/>
    <w:basedOn w:val="864"/>
    <w:qFormat/>
    <w:pPr>
      <w:pBdr/>
      <w:spacing/>
      <w:ind/>
    </w:pPr>
    <w:rPr>
      <w:rFonts w:ascii="Courier New" w:hAnsi="Courier New" w:cs="Courier New"/>
    </w:rPr>
  </w:style>
  <w:style w:type="paragraph" w:styleId="2056" w:customStyle="1">
    <w:name w:val="tcu_-_rel/voto_-_demais_§§"/>
    <w:basedOn w:val="864"/>
    <w:qFormat/>
    <w:pPr>
      <w:pBdr/>
      <w:spacing w:after="280" w:before="280"/>
      <w:ind/>
    </w:pPr>
    <w:rPr>
      <w:rFonts w:eastAsia="SimSun"/>
      <w:sz w:val="24"/>
      <w:szCs w:val="24"/>
    </w:rPr>
  </w:style>
  <w:style w:type="paragraph" w:styleId="2057" w:customStyle="1">
    <w:name w:val="citação 2"/>
    <w:basedOn w:val="2016"/>
    <w:qFormat/>
    <w:pPr>
      <w:pBdr>
        <w:top w:val="single" w:color="1f497d" w:sz="4" w:space="1"/>
        <w:left w:val="single" w:color="1f497d" w:sz="4" w:space="4"/>
        <w:bottom w:val="single" w:color="1f497d" w:sz="4" w:space="1"/>
        <w:right w:val="single" w:color="1f497d" w:sz="4" w:space="4"/>
      </w:pBdr>
      <w:shd w:val="clear" w:color="auto" w:fill="ffffcc"/>
      <w:spacing w:after="0" w:before="120"/>
      <w:ind w:right="0" w:left="0"/>
      <w:jc w:val="both"/>
    </w:pPr>
    <w:rPr>
      <w:rFonts w:ascii="Arial" w:hAnsi="Arial" w:eastAsia="Calibri" w:cs="Tahoma"/>
      <w:color w:val="000000"/>
    </w:rPr>
  </w:style>
  <w:style w:type="paragraph" w:styleId="2058" w:customStyle="1">
    <w:name w:val="Nivel 01"/>
    <w:basedOn w:val="865"/>
    <w:next w:val="864"/>
    <w:qFormat/>
    <w:pPr>
      <w:keepLines w:val="true"/>
      <w:numPr>
        <w:numId w:val="3"/>
      </w:numPr>
      <w:pBdr/>
      <w:tabs>
        <w:tab w:val="left" w:leader="none" w:pos="0"/>
        <w:tab w:val="left" w:leader="none" w:pos="567"/>
      </w:tabs>
      <w:spacing w:after="0"/>
      <w:ind w:firstLine="0" w:left="720"/>
      <w:jc w:val="both"/>
      <w:outlineLvl w:val="9"/>
    </w:pPr>
    <w:rPr>
      <w:rFonts w:ascii="Ecofont_Spranq_eco_Sans" w:hAnsi="Ecofont_Spranq_eco_Sans" w:eastAsia="MS Gothic" w:cs="Times New Roman"/>
      <w:color w:val="000000"/>
      <w:sz w:val="20"/>
      <w:szCs w:val="20"/>
      <w:lang w:val="pt-BR"/>
    </w:rPr>
  </w:style>
  <w:style w:type="paragraph" w:styleId="2059" w:customStyle="1">
    <w:name w:val="Nivel 2"/>
    <w:basedOn w:val="864"/>
    <w:qFormat/>
    <w:pPr>
      <w:pBdr/>
      <w:spacing w:after="120" w:before="120" w:line="276" w:lineRule="auto"/>
      <w:ind/>
      <w:jc w:val="both"/>
    </w:pPr>
    <w:rPr>
      <w:rFonts w:ascii="Arial" w:hAnsi="Arial" w:eastAsia="MS Mincho"/>
      <w:color w:val="000000"/>
    </w:rPr>
  </w:style>
  <w:style w:type="paragraph" w:styleId="2060" w:customStyle="1">
    <w:name w:val="Nivel 3"/>
    <w:basedOn w:val="864"/>
    <w:qFormat/>
    <w:pPr>
      <w:pBdr/>
      <w:spacing w:after="120" w:before="120" w:line="276" w:lineRule="auto"/>
      <w:ind w:left="284"/>
      <w:jc w:val="both"/>
    </w:pPr>
    <w:rPr>
      <w:rFonts w:ascii="Arial" w:hAnsi="Arial" w:eastAsia="MS Mincho"/>
      <w:color w:val="000000"/>
    </w:rPr>
  </w:style>
  <w:style w:type="paragraph" w:styleId="2061" w:customStyle="1">
    <w:name w:val="Nivel 4"/>
    <w:basedOn w:val="2060"/>
    <w:qFormat/>
    <w:pPr>
      <w:pBdr/>
      <w:spacing/>
      <w:ind w:left="567"/>
    </w:pPr>
  </w:style>
  <w:style w:type="paragraph" w:styleId="2062" w:customStyle="1">
    <w:name w:val="Nivel 5"/>
    <w:basedOn w:val="2061"/>
    <w:qFormat/>
    <w:pPr>
      <w:pBdr/>
      <w:spacing/>
      <w:ind w:left="851"/>
    </w:pPr>
  </w:style>
  <w:style w:type="paragraph" w:styleId="2063" w:customStyle="1">
    <w:name w:val="Nível 2 -Red"/>
    <w:basedOn w:val="2059"/>
    <w:qFormat/>
    <w:pPr>
      <w:pBdr/>
      <w:spacing/>
      <w:ind/>
    </w:pPr>
    <w:rPr>
      <w:i/>
      <w:iCs/>
      <w:color w:val="ff0000"/>
    </w:rPr>
  </w:style>
  <w:style w:type="paragraph" w:styleId="2064" w:customStyle="1">
    <w:name w:val="Nível 3-R"/>
    <w:basedOn w:val="2060"/>
    <w:qFormat/>
    <w:pPr>
      <w:pBdr/>
      <w:spacing/>
      <w:ind/>
    </w:pPr>
    <w:rPr>
      <w:i/>
      <w:iCs/>
      <w:color w:val="ff0000"/>
    </w:rPr>
  </w:style>
  <w:style w:type="paragraph" w:styleId="2065" w:customStyle="1">
    <w:name w:val="Recuo de corpo de texto 32"/>
    <w:basedOn w:val="864"/>
    <w:uiPriority w:val="99"/>
    <w:qFormat/>
    <w:pPr>
      <w:widowControl w:val="false"/>
      <w:pBdr/>
      <w:spacing/>
      <w:ind w:left="1418"/>
      <w:jc w:val="both"/>
    </w:pPr>
    <w:rPr>
      <w:rFonts w:ascii="Arial" w:hAnsi="Arial" w:eastAsia="SimSun"/>
      <w:sz w:val="24"/>
      <w:lang w:val="en-US"/>
    </w:rPr>
  </w:style>
  <w:style w:type="paragraph" w:styleId="2066" w:customStyle="1">
    <w:name w:val="Conteúdo da tabela"/>
    <w:basedOn w:val="864"/>
    <w:qFormat/>
    <w:pPr>
      <w:widowControl w:val="false"/>
      <w:suppressLineNumbers w:val="true"/>
      <w:pBdr/>
      <w:spacing/>
      <w:ind/>
    </w:pPr>
  </w:style>
  <w:style w:type="paragraph" w:styleId="2067" w:customStyle="1">
    <w:name w:val="Standard1"/>
    <w:qFormat/>
    <w:pPr>
      <w:pBdr/>
      <w:spacing/>
      <w:ind/>
    </w:pPr>
    <w:rPr>
      <w:rFonts w:ascii="Liberation Serif" w:hAnsi="Liberation Serif" w:eastAsia="SimSun" w:cs="Liberation Serif"/>
      <w:sz w:val="24"/>
      <w:szCs w:val="24"/>
      <w:lang w:eastAsia="zh-CN" w:bidi="hi-IN"/>
    </w:rPr>
  </w:style>
  <w:style w:type="paragraph" w:styleId="2068" w:customStyle="1">
    <w:name w:val="Table Paragraph"/>
    <w:basedOn w:val="2038"/>
    <w:uiPriority w:val="99"/>
    <w:qFormat/>
    <w:pPr>
      <w:pBdr/>
      <w:spacing/>
      <w:ind/>
    </w:pPr>
    <w:rPr>
      <w:rFonts w:ascii="Times New Roman" w:hAnsi="Times New Roman" w:eastAsia="SimSun" w:cs="Times New Roman"/>
      <w:lang w:val="pt-PT" w:bidi="ar-SA"/>
    </w:rPr>
  </w:style>
  <w:style w:type="paragraph" w:styleId="2069" w:customStyle="1">
    <w:name w:val="Título e Conteúdo~LT~Gliederung 1"/>
    <w:qFormat/>
    <w:pPr>
      <w:pBdr/>
      <w:spacing w:before="283" w:line="216" w:lineRule="auto"/>
      <w:ind/>
    </w:pPr>
    <w:rPr>
      <w:rFonts w:ascii="Arial" w:hAnsi="Arial" w:eastAsia="Tahoma" w:cs="Noto Sans"/>
      <w:color w:val="000000"/>
      <w:sz w:val="56"/>
      <w:szCs w:val="24"/>
      <w:lang w:eastAsia="zh-CN" w:bidi="hi-IN"/>
    </w:rPr>
  </w:style>
  <w:style w:type="paragraph" w:styleId="2070" w:customStyle="1">
    <w:name w:val="Título e Conteúdo~LT~Titel"/>
    <w:qFormat/>
    <w:pPr>
      <w:pBdr/>
      <w:spacing w:line="200" w:lineRule="atLeast"/>
      <w:ind/>
    </w:pPr>
    <w:rPr>
      <w:rFonts w:ascii="Arial" w:hAnsi="Arial" w:eastAsia="Tahoma" w:cs="Noto Sans"/>
      <w:color w:val="000000"/>
      <w:sz w:val="36"/>
      <w:szCs w:val="24"/>
      <w:lang w:eastAsia="zh-CN" w:bidi="hi-IN"/>
    </w:rPr>
  </w:style>
  <w:style w:type="paragraph" w:styleId="2071" w:customStyle="1">
    <w:name w:val="LO-normal"/>
    <w:qFormat/>
    <w:pPr>
      <w:pBdr/>
      <w:spacing w:after="160" w:line="252" w:lineRule="auto"/>
      <w:ind/>
    </w:pPr>
    <w:rPr>
      <w:rFonts w:ascii="Calibri" w:hAnsi="Calibri"/>
      <w:sz w:val="22"/>
      <w:szCs w:val="22"/>
      <w:lang w:eastAsia="zh-CN"/>
    </w:rPr>
  </w:style>
  <w:style w:type="paragraph" w:styleId="2072" w:customStyle="1">
    <w:name w:val="Título de tabela"/>
    <w:basedOn w:val="2066"/>
    <w:qFormat/>
    <w:pPr>
      <w:pBdr/>
      <w:spacing/>
      <w:ind/>
      <w:jc w:val="center"/>
    </w:pPr>
    <w:rPr>
      <w:b/>
      <w:bCs/>
    </w:rPr>
  </w:style>
  <w:style w:type="paragraph" w:styleId="2073" w:customStyle="1">
    <w:name w:val="Estilo padrão de desenho"/>
    <w:qFormat/>
    <w:pPr>
      <w:pBdr/>
      <w:spacing w:line="200" w:lineRule="atLeast"/>
      <w:ind/>
    </w:pPr>
    <w:rPr>
      <w:rFonts w:ascii="Arial" w:hAnsi="Arial" w:eastAsia="Tahoma" w:cs="Noto Sans"/>
      <w:sz w:val="36"/>
      <w:szCs w:val="24"/>
      <w:lang w:eastAsia="zh-CN" w:bidi="hi-IN"/>
    </w:rPr>
  </w:style>
  <w:style w:type="paragraph" w:styleId="2074" w:customStyle="1">
    <w:name w:val="Objeto sem preenchimento"/>
    <w:basedOn w:val="2073"/>
    <w:qFormat/>
    <w:pPr>
      <w:pBdr/>
      <w:spacing/>
      <w:ind/>
    </w:pPr>
    <w:rPr>
      <w:rFonts w:eastAsia="Arial" w:cs="Arial"/>
    </w:rPr>
  </w:style>
  <w:style w:type="paragraph" w:styleId="2075" w:customStyle="1">
    <w:name w:val="Objeto sem preenchimento nem linha"/>
    <w:basedOn w:val="2073"/>
    <w:qFormat/>
    <w:pPr>
      <w:pBdr/>
      <w:spacing/>
      <w:ind/>
    </w:pPr>
    <w:rPr>
      <w:rFonts w:eastAsia="Arial" w:cs="Arial"/>
    </w:rPr>
  </w:style>
  <w:style w:type="paragraph" w:styleId="2076" w:customStyle="1">
    <w:name w:val="Texto"/>
    <w:basedOn w:val="2012"/>
    <w:uiPriority w:val="99"/>
    <w:qFormat/>
    <w:pPr>
      <w:pBdr/>
      <w:tabs>
        <w:tab w:val="left" w:leader="none" w:pos="648"/>
      </w:tabs>
      <w:spacing w:after="120" w:before="120"/>
      <w:ind w:firstLine="709" w:left="360"/>
      <w:jc w:val="both"/>
    </w:pPr>
    <w:rPr>
      <w:rFonts w:ascii="Times New Roman" w:hAnsi="Times New Roman" w:eastAsia="Times New Roman" w:cs="Times New Roman"/>
      <w:iCs w:val="0"/>
      <w:color w:val="000000"/>
      <w:sz w:val="24"/>
      <w:szCs w:val="24"/>
      <w:lang w:bidi="ar-SA"/>
    </w:rPr>
  </w:style>
  <w:style w:type="paragraph" w:styleId="2077" w:customStyle="1">
    <w:name w:val="A0"/>
    <w:basedOn w:val="2076"/>
    <w:qFormat/>
    <w:pPr>
      <w:pBdr/>
      <w:spacing/>
      <w:ind/>
    </w:pPr>
    <w:rPr>
      <w:rFonts w:ascii="Noto Sans" w:hAnsi="Noto Sans" w:eastAsia="Noto Sans" w:cs="Noto Sans"/>
      <w:sz w:val="95"/>
    </w:rPr>
  </w:style>
  <w:style w:type="paragraph" w:styleId="2078" w:customStyle="1">
    <w:name w:val="Título do documento A0"/>
    <w:basedOn w:val="2077"/>
    <w:qFormat/>
    <w:pPr>
      <w:pBdr/>
      <w:spacing/>
      <w:ind/>
    </w:pPr>
    <w:rPr>
      <w:sz w:val="191"/>
    </w:rPr>
  </w:style>
  <w:style w:type="paragraph" w:styleId="2079" w:customStyle="1">
    <w:name w:val="Título A0"/>
    <w:basedOn w:val="2077"/>
    <w:qFormat/>
    <w:pPr>
      <w:pBdr/>
      <w:spacing/>
      <w:ind/>
    </w:pPr>
    <w:rPr>
      <w:sz w:val="143"/>
    </w:rPr>
  </w:style>
  <w:style w:type="paragraph" w:styleId="2080" w:customStyle="1">
    <w:name w:val="Texto A0"/>
    <w:basedOn w:val="2077"/>
    <w:qFormat/>
    <w:pPr>
      <w:pBdr/>
      <w:spacing/>
      <w:ind/>
    </w:pPr>
  </w:style>
  <w:style w:type="paragraph" w:styleId="2081" w:customStyle="1">
    <w:name w:val="Figura"/>
    <w:basedOn w:val="2012"/>
    <w:qFormat/>
    <w:pPr>
      <w:suppressLineNumbers w:val="true"/>
      <w:pBdr/>
      <w:spacing w:after="120" w:before="120"/>
      <w:ind/>
    </w:pPr>
    <w:rPr>
      <w:rFonts w:cs="Arial"/>
      <w:color w:val="000000"/>
      <w:sz w:val="24"/>
      <w:szCs w:val="24"/>
    </w:rPr>
  </w:style>
  <w:style w:type="paragraph" w:styleId="2082" w:customStyle="1">
    <w:name w:val="Linhas"/>
    <w:basedOn w:val="2081"/>
    <w:qFormat/>
    <w:pPr>
      <w:pBdr/>
      <w:spacing/>
      <w:ind/>
    </w:pPr>
    <w:rPr>
      <w:rFonts w:ascii="Liberation Sans" w:hAnsi="Liberation Sans" w:eastAsia="Liberation Sans" w:cs="Liberation Sans"/>
      <w:sz w:val="36"/>
    </w:rPr>
  </w:style>
  <w:style w:type="paragraph" w:styleId="2083" w:customStyle="1">
    <w:name w:val="Linhas com setas"/>
    <w:basedOn w:val="2082"/>
    <w:qFormat/>
    <w:pPr>
      <w:pBdr/>
      <w:spacing/>
      <w:ind/>
    </w:pPr>
  </w:style>
  <w:style w:type="paragraph" w:styleId="2084" w:customStyle="1">
    <w:name w:val="Linhas tracejadas"/>
    <w:basedOn w:val="2082"/>
    <w:qFormat/>
    <w:pPr>
      <w:pBdr/>
      <w:spacing/>
      <w:ind/>
    </w:pPr>
  </w:style>
  <w:style w:type="paragraph" w:styleId="2085" w:customStyle="1">
    <w:name w:val="Slide de Título~LT~Gliederung 1"/>
    <w:qFormat/>
    <w:pPr>
      <w:pBdr/>
      <w:spacing w:before="283" w:line="216" w:lineRule="auto"/>
      <w:ind/>
    </w:pPr>
    <w:rPr>
      <w:rFonts w:ascii="Arial" w:hAnsi="Arial" w:eastAsia="Tahoma" w:cs="Noto Sans"/>
      <w:color w:val="000000"/>
      <w:sz w:val="56"/>
      <w:szCs w:val="24"/>
      <w:lang w:eastAsia="zh-CN" w:bidi="hi-IN"/>
    </w:rPr>
  </w:style>
  <w:style w:type="paragraph" w:styleId="2086" w:customStyle="1">
    <w:name w:val="Slide de Título~LT~Gliederung 2"/>
    <w:basedOn w:val="2085"/>
    <w:qFormat/>
    <w:pPr>
      <w:pBdr/>
      <w:spacing w:before="227"/>
      <w:ind/>
    </w:pPr>
    <w:rPr>
      <w:rFonts w:eastAsia="Arial" w:cs="Arial"/>
      <w:sz w:val="40"/>
    </w:rPr>
  </w:style>
  <w:style w:type="paragraph" w:styleId="2087" w:customStyle="1">
    <w:name w:val="Slide de Título~LT~Gliederung 3"/>
    <w:basedOn w:val="2086"/>
    <w:qFormat/>
    <w:pPr>
      <w:pBdr/>
      <w:spacing w:before="170"/>
      <w:ind/>
    </w:pPr>
    <w:rPr>
      <w:sz w:val="36"/>
    </w:rPr>
  </w:style>
  <w:style w:type="paragraph" w:styleId="2088" w:customStyle="1">
    <w:name w:val="Slide de Título~LT~Gliederung 4"/>
    <w:basedOn w:val="2087"/>
    <w:qFormat/>
    <w:pPr>
      <w:pBdr/>
      <w:spacing w:before="113"/>
      <w:ind/>
    </w:pPr>
  </w:style>
  <w:style w:type="paragraph" w:styleId="2089" w:customStyle="1">
    <w:name w:val="Slide de Título~LT~Gliederung 5"/>
    <w:basedOn w:val="2088"/>
    <w:qFormat/>
    <w:pPr>
      <w:pBdr/>
      <w:spacing w:before="57"/>
      <w:ind/>
    </w:pPr>
    <w:rPr>
      <w:sz w:val="40"/>
    </w:rPr>
  </w:style>
  <w:style w:type="paragraph" w:styleId="2090" w:customStyle="1">
    <w:name w:val="Slide de Título~LT~Gliederung 6"/>
    <w:basedOn w:val="2089"/>
    <w:qFormat/>
    <w:pPr>
      <w:pBdr/>
      <w:spacing/>
      <w:ind/>
    </w:pPr>
  </w:style>
  <w:style w:type="paragraph" w:styleId="2091" w:customStyle="1">
    <w:name w:val="Slide de Título~LT~Gliederung 7"/>
    <w:basedOn w:val="2090"/>
    <w:qFormat/>
    <w:pPr>
      <w:pBdr/>
      <w:spacing/>
      <w:ind/>
    </w:pPr>
  </w:style>
  <w:style w:type="paragraph" w:styleId="2092" w:customStyle="1">
    <w:name w:val="Slide de Título~LT~Gliederung 8"/>
    <w:basedOn w:val="2091"/>
    <w:qFormat/>
    <w:pPr>
      <w:pBdr/>
      <w:spacing/>
      <w:ind/>
    </w:pPr>
  </w:style>
  <w:style w:type="paragraph" w:styleId="2093" w:customStyle="1">
    <w:name w:val="Slide de Título~LT~Gliederung 9"/>
    <w:basedOn w:val="2092"/>
    <w:qFormat/>
    <w:pPr>
      <w:pBdr/>
      <w:spacing/>
      <w:ind/>
    </w:pPr>
  </w:style>
  <w:style w:type="paragraph" w:styleId="2094" w:customStyle="1">
    <w:name w:val="Slide de Título~LT~Titel"/>
    <w:qFormat/>
    <w:pPr>
      <w:pBdr/>
      <w:spacing w:line="200" w:lineRule="atLeast"/>
      <w:ind/>
    </w:pPr>
    <w:rPr>
      <w:rFonts w:ascii="Arial" w:hAnsi="Arial" w:eastAsia="Tahoma" w:cs="Noto Sans"/>
      <w:color w:val="000000"/>
      <w:sz w:val="36"/>
      <w:szCs w:val="24"/>
      <w:lang w:eastAsia="zh-CN" w:bidi="hi-IN"/>
    </w:rPr>
  </w:style>
  <w:style w:type="paragraph" w:styleId="2095" w:customStyle="1">
    <w:name w:val="Slide de Título~LT~Untertitel"/>
    <w:qFormat/>
    <w:pPr>
      <w:pBdr/>
      <w:spacing/>
      <w:ind/>
      <w:jc w:val="center"/>
    </w:pPr>
    <w:rPr>
      <w:rFonts w:ascii="Arial" w:hAnsi="Arial" w:eastAsia="Tahoma" w:cs="Noto Sans"/>
      <w:sz w:val="64"/>
      <w:szCs w:val="24"/>
      <w:lang w:eastAsia="zh-CN" w:bidi="hi-IN"/>
    </w:rPr>
  </w:style>
  <w:style w:type="paragraph" w:styleId="2096" w:customStyle="1">
    <w:name w:val="Slide de Título~LT~Notizen"/>
    <w:qFormat/>
    <w:pPr>
      <w:pBdr/>
      <w:spacing/>
      <w:ind w:hanging="340" w:left="340"/>
    </w:pPr>
    <w:rPr>
      <w:rFonts w:ascii="Arial" w:hAnsi="Arial" w:eastAsia="Tahoma" w:cs="Noto Sans"/>
      <w:sz w:val="40"/>
      <w:szCs w:val="24"/>
      <w:lang w:eastAsia="zh-CN" w:bidi="hi-IN"/>
    </w:rPr>
  </w:style>
  <w:style w:type="paragraph" w:styleId="2097" w:customStyle="1">
    <w:name w:val="Slide de Título~LT~Hintergrundobjekte"/>
    <w:qFormat/>
    <w:pPr>
      <w:pBdr/>
      <w:spacing/>
      <w:ind/>
    </w:pPr>
    <w:rPr>
      <w:rFonts w:ascii="Liberation Serif" w:hAnsi="Liberation Serif" w:eastAsia="Tahoma" w:cs="Noto Sans"/>
      <w:sz w:val="24"/>
      <w:szCs w:val="24"/>
      <w:lang w:eastAsia="zh-CN" w:bidi="hi-IN"/>
    </w:rPr>
  </w:style>
  <w:style w:type="paragraph" w:styleId="2098" w:customStyle="1">
    <w:name w:val="Slide de Título~LT~Hintergrund"/>
    <w:qFormat/>
    <w:pPr>
      <w:pBdr/>
      <w:spacing/>
      <w:ind/>
    </w:pPr>
    <w:rPr>
      <w:rFonts w:ascii="Liberation Serif" w:hAnsi="Liberation Serif" w:eastAsia="Tahoma" w:cs="Noto Sans"/>
      <w:sz w:val="24"/>
      <w:szCs w:val="24"/>
      <w:lang w:eastAsia="zh-CN" w:bidi="hi-IN"/>
    </w:rPr>
  </w:style>
  <w:style w:type="paragraph" w:styleId="2099" w:customStyle="1">
    <w:name w:val="default1"/>
    <w:qFormat/>
    <w:pPr>
      <w:pBdr/>
      <w:spacing w:line="200" w:lineRule="atLeast"/>
      <w:ind/>
    </w:pPr>
    <w:rPr>
      <w:rFonts w:ascii="Arial" w:hAnsi="Arial" w:eastAsia="Tahoma" w:cs="Noto Sans"/>
      <w:sz w:val="36"/>
      <w:szCs w:val="24"/>
      <w:lang w:eastAsia="zh-CN" w:bidi="hi-IN"/>
    </w:rPr>
  </w:style>
  <w:style w:type="paragraph" w:styleId="2100" w:customStyle="1">
    <w:name w:val="gray1"/>
    <w:basedOn w:val="2099"/>
    <w:qFormat/>
    <w:pPr>
      <w:pBdr/>
      <w:spacing/>
      <w:ind/>
    </w:pPr>
    <w:rPr>
      <w:rFonts w:eastAsia="Arial" w:cs="Arial"/>
    </w:rPr>
  </w:style>
  <w:style w:type="paragraph" w:styleId="2101" w:customStyle="1">
    <w:name w:val="gray2"/>
    <w:basedOn w:val="2099"/>
    <w:qFormat/>
    <w:pPr>
      <w:pBdr/>
      <w:spacing/>
      <w:ind/>
    </w:pPr>
    <w:rPr>
      <w:rFonts w:eastAsia="Arial" w:cs="Arial"/>
    </w:rPr>
  </w:style>
  <w:style w:type="paragraph" w:styleId="2102" w:customStyle="1">
    <w:name w:val="gray3"/>
    <w:basedOn w:val="2099"/>
    <w:qFormat/>
    <w:pPr>
      <w:pBdr/>
      <w:spacing/>
      <w:ind/>
    </w:pPr>
    <w:rPr>
      <w:rFonts w:eastAsia="Arial" w:cs="Arial"/>
    </w:rPr>
  </w:style>
  <w:style w:type="paragraph" w:styleId="2103" w:customStyle="1">
    <w:name w:val="bw1"/>
    <w:basedOn w:val="2099"/>
    <w:qFormat/>
    <w:pPr>
      <w:pBdr/>
      <w:spacing/>
      <w:ind/>
    </w:pPr>
    <w:rPr>
      <w:rFonts w:eastAsia="Arial" w:cs="Arial"/>
    </w:rPr>
  </w:style>
  <w:style w:type="paragraph" w:styleId="2104" w:customStyle="1">
    <w:name w:val="bw2"/>
    <w:basedOn w:val="2099"/>
    <w:qFormat/>
    <w:pPr>
      <w:pBdr/>
      <w:spacing/>
      <w:ind/>
    </w:pPr>
    <w:rPr>
      <w:rFonts w:eastAsia="Arial" w:cs="Arial"/>
    </w:rPr>
  </w:style>
  <w:style w:type="paragraph" w:styleId="2105" w:customStyle="1">
    <w:name w:val="bw3"/>
    <w:basedOn w:val="2099"/>
    <w:qFormat/>
    <w:pPr>
      <w:pBdr/>
      <w:spacing/>
      <w:ind/>
    </w:pPr>
    <w:rPr>
      <w:rFonts w:eastAsia="Arial" w:cs="Arial"/>
    </w:rPr>
  </w:style>
  <w:style w:type="paragraph" w:styleId="2106" w:customStyle="1">
    <w:name w:val="orange1"/>
    <w:basedOn w:val="2099"/>
    <w:qFormat/>
    <w:pPr>
      <w:pBdr/>
      <w:spacing/>
      <w:ind/>
    </w:pPr>
    <w:rPr>
      <w:rFonts w:eastAsia="Arial" w:cs="Arial"/>
    </w:rPr>
  </w:style>
  <w:style w:type="paragraph" w:styleId="2107" w:customStyle="1">
    <w:name w:val="orange2"/>
    <w:basedOn w:val="2099"/>
    <w:qFormat/>
    <w:pPr>
      <w:pBdr/>
      <w:spacing/>
      <w:ind/>
    </w:pPr>
    <w:rPr>
      <w:rFonts w:eastAsia="Arial" w:cs="Arial"/>
    </w:rPr>
  </w:style>
  <w:style w:type="paragraph" w:styleId="2108" w:customStyle="1">
    <w:name w:val="orange3"/>
    <w:basedOn w:val="2099"/>
    <w:qFormat/>
    <w:pPr>
      <w:pBdr/>
      <w:spacing/>
      <w:ind/>
    </w:pPr>
    <w:rPr>
      <w:rFonts w:eastAsia="Arial" w:cs="Arial"/>
    </w:rPr>
  </w:style>
  <w:style w:type="paragraph" w:styleId="2109" w:customStyle="1">
    <w:name w:val="turquoise1"/>
    <w:basedOn w:val="2099"/>
    <w:qFormat/>
    <w:pPr>
      <w:pBdr/>
      <w:spacing/>
      <w:ind/>
    </w:pPr>
    <w:rPr>
      <w:rFonts w:eastAsia="Arial" w:cs="Arial"/>
    </w:rPr>
  </w:style>
  <w:style w:type="paragraph" w:styleId="2110" w:customStyle="1">
    <w:name w:val="turquoise2"/>
    <w:basedOn w:val="2099"/>
    <w:qFormat/>
    <w:pPr>
      <w:pBdr/>
      <w:spacing/>
      <w:ind/>
    </w:pPr>
    <w:rPr>
      <w:rFonts w:eastAsia="Arial" w:cs="Arial"/>
    </w:rPr>
  </w:style>
  <w:style w:type="paragraph" w:styleId="2111" w:customStyle="1">
    <w:name w:val="turquoise3"/>
    <w:basedOn w:val="2099"/>
    <w:qFormat/>
    <w:pPr>
      <w:pBdr/>
      <w:spacing/>
      <w:ind/>
    </w:pPr>
    <w:rPr>
      <w:rFonts w:eastAsia="Arial" w:cs="Arial"/>
    </w:rPr>
  </w:style>
  <w:style w:type="paragraph" w:styleId="2112" w:customStyle="1">
    <w:name w:val="blue1"/>
    <w:basedOn w:val="2099"/>
    <w:qFormat/>
    <w:pPr>
      <w:pBdr/>
      <w:spacing/>
      <w:ind/>
    </w:pPr>
    <w:rPr>
      <w:rFonts w:eastAsia="Arial" w:cs="Arial"/>
    </w:rPr>
  </w:style>
  <w:style w:type="paragraph" w:styleId="2113" w:customStyle="1">
    <w:name w:val="blue2"/>
    <w:basedOn w:val="2099"/>
    <w:qFormat/>
    <w:pPr>
      <w:pBdr/>
      <w:spacing/>
      <w:ind/>
    </w:pPr>
    <w:rPr>
      <w:rFonts w:eastAsia="Arial" w:cs="Arial"/>
    </w:rPr>
  </w:style>
  <w:style w:type="paragraph" w:styleId="2114" w:customStyle="1">
    <w:name w:val="blue3"/>
    <w:basedOn w:val="2099"/>
    <w:qFormat/>
    <w:pPr>
      <w:pBdr/>
      <w:spacing/>
      <w:ind/>
    </w:pPr>
    <w:rPr>
      <w:rFonts w:eastAsia="Arial" w:cs="Arial"/>
    </w:rPr>
  </w:style>
  <w:style w:type="paragraph" w:styleId="2115" w:customStyle="1">
    <w:name w:val="sun1"/>
    <w:basedOn w:val="2099"/>
    <w:qFormat/>
    <w:pPr>
      <w:pBdr/>
      <w:spacing/>
      <w:ind/>
    </w:pPr>
    <w:rPr>
      <w:rFonts w:eastAsia="Arial" w:cs="Arial"/>
    </w:rPr>
  </w:style>
  <w:style w:type="paragraph" w:styleId="2116" w:customStyle="1">
    <w:name w:val="sun2"/>
    <w:basedOn w:val="2099"/>
    <w:qFormat/>
    <w:pPr>
      <w:pBdr/>
      <w:spacing/>
      <w:ind/>
    </w:pPr>
    <w:rPr>
      <w:rFonts w:eastAsia="Arial" w:cs="Arial"/>
    </w:rPr>
  </w:style>
  <w:style w:type="paragraph" w:styleId="2117" w:customStyle="1">
    <w:name w:val="sun3"/>
    <w:basedOn w:val="2099"/>
    <w:qFormat/>
    <w:pPr>
      <w:pBdr/>
      <w:spacing/>
      <w:ind/>
    </w:pPr>
    <w:rPr>
      <w:rFonts w:eastAsia="Arial" w:cs="Arial"/>
    </w:rPr>
  </w:style>
  <w:style w:type="paragraph" w:styleId="2118" w:customStyle="1">
    <w:name w:val="earth1"/>
    <w:basedOn w:val="2099"/>
    <w:qFormat/>
    <w:pPr>
      <w:pBdr/>
      <w:spacing/>
      <w:ind/>
    </w:pPr>
    <w:rPr>
      <w:rFonts w:eastAsia="Arial" w:cs="Arial"/>
    </w:rPr>
  </w:style>
  <w:style w:type="paragraph" w:styleId="2119" w:customStyle="1">
    <w:name w:val="earth2"/>
    <w:basedOn w:val="2099"/>
    <w:qFormat/>
    <w:pPr>
      <w:pBdr/>
      <w:spacing/>
      <w:ind/>
    </w:pPr>
    <w:rPr>
      <w:rFonts w:eastAsia="Arial" w:cs="Arial"/>
    </w:rPr>
  </w:style>
  <w:style w:type="paragraph" w:styleId="2120" w:customStyle="1">
    <w:name w:val="earth3"/>
    <w:basedOn w:val="2099"/>
    <w:qFormat/>
    <w:pPr>
      <w:pBdr/>
      <w:spacing/>
      <w:ind/>
    </w:pPr>
    <w:rPr>
      <w:rFonts w:eastAsia="Arial" w:cs="Arial"/>
    </w:rPr>
  </w:style>
  <w:style w:type="paragraph" w:styleId="2121" w:customStyle="1">
    <w:name w:val="green1"/>
    <w:basedOn w:val="2099"/>
    <w:qFormat/>
    <w:pPr>
      <w:pBdr/>
      <w:spacing/>
      <w:ind/>
    </w:pPr>
    <w:rPr>
      <w:rFonts w:eastAsia="Arial" w:cs="Arial"/>
    </w:rPr>
  </w:style>
  <w:style w:type="paragraph" w:styleId="2122" w:customStyle="1">
    <w:name w:val="green2"/>
    <w:basedOn w:val="2099"/>
    <w:qFormat/>
    <w:pPr>
      <w:pBdr/>
      <w:spacing/>
      <w:ind/>
    </w:pPr>
    <w:rPr>
      <w:rFonts w:eastAsia="Arial" w:cs="Arial"/>
    </w:rPr>
  </w:style>
  <w:style w:type="paragraph" w:styleId="2123" w:customStyle="1">
    <w:name w:val="green3"/>
    <w:basedOn w:val="2099"/>
    <w:qFormat/>
    <w:pPr>
      <w:pBdr/>
      <w:spacing/>
      <w:ind/>
    </w:pPr>
    <w:rPr>
      <w:rFonts w:eastAsia="Arial" w:cs="Arial"/>
    </w:rPr>
  </w:style>
  <w:style w:type="paragraph" w:styleId="2124" w:customStyle="1">
    <w:name w:val="seetang1"/>
    <w:basedOn w:val="2099"/>
    <w:qFormat/>
    <w:pPr>
      <w:pBdr/>
      <w:spacing/>
      <w:ind/>
    </w:pPr>
    <w:rPr>
      <w:rFonts w:eastAsia="Arial" w:cs="Arial"/>
    </w:rPr>
  </w:style>
  <w:style w:type="paragraph" w:styleId="2125" w:customStyle="1">
    <w:name w:val="seetang2"/>
    <w:basedOn w:val="2099"/>
    <w:qFormat/>
    <w:pPr>
      <w:pBdr/>
      <w:spacing/>
      <w:ind/>
    </w:pPr>
    <w:rPr>
      <w:rFonts w:eastAsia="Arial" w:cs="Arial"/>
    </w:rPr>
  </w:style>
  <w:style w:type="paragraph" w:styleId="2126" w:customStyle="1">
    <w:name w:val="seetang3"/>
    <w:basedOn w:val="2099"/>
    <w:qFormat/>
    <w:pPr>
      <w:pBdr/>
      <w:spacing/>
      <w:ind/>
    </w:pPr>
    <w:rPr>
      <w:rFonts w:eastAsia="Arial" w:cs="Arial"/>
    </w:rPr>
  </w:style>
  <w:style w:type="paragraph" w:styleId="2127" w:customStyle="1">
    <w:name w:val="lightblue1"/>
    <w:basedOn w:val="2099"/>
    <w:qFormat/>
    <w:pPr>
      <w:pBdr/>
      <w:spacing/>
      <w:ind/>
    </w:pPr>
    <w:rPr>
      <w:rFonts w:eastAsia="Arial" w:cs="Arial"/>
    </w:rPr>
  </w:style>
  <w:style w:type="paragraph" w:styleId="2128" w:customStyle="1">
    <w:name w:val="lightblue2"/>
    <w:basedOn w:val="2099"/>
    <w:qFormat/>
    <w:pPr>
      <w:pBdr/>
      <w:spacing/>
      <w:ind/>
    </w:pPr>
    <w:rPr>
      <w:rFonts w:eastAsia="Arial" w:cs="Arial"/>
    </w:rPr>
  </w:style>
  <w:style w:type="paragraph" w:styleId="2129" w:customStyle="1">
    <w:name w:val="lightblue3"/>
    <w:basedOn w:val="2099"/>
    <w:qFormat/>
    <w:pPr>
      <w:pBdr/>
      <w:spacing/>
      <w:ind/>
    </w:pPr>
    <w:rPr>
      <w:rFonts w:eastAsia="Arial" w:cs="Arial"/>
    </w:rPr>
  </w:style>
  <w:style w:type="paragraph" w:styleId="2130" w:customStyle="1">
    <w:name w:val="yellow1"/>
    <w:basedOn w:val="2099"/>
    <w:qFormat/>
    <w:pPr>
      <w:pBdr/>
      <w:spacing/>
      <w:ind/>
    </w:pPr>
    <w:rPr>
      <w:rFonts w:eastAsia="Arial" w:cs="Arial"/>
    </w:rPr>
  </w:style>
  <w:style w:type="paragraph" w:styleId="2131" w:customStyle="1">
    <w:name w:val="yellow2"/>
    <w:basedOn w:val="2099"/>
    <w:qFormat/>
    <w:pPr>
      <w:pBdr/>
      <w:spacing/>
      <w:ind/>
    </w:pPr>
    <w:rPr>
      <w:rFonts w:eastAsia="Arial" w:cs="Arial"/>
    </w:rPr>
  </w:style>
  <w:style w:type="paragraph" w:styleId="2132" w:customStyle="1">
    <w:name w:val="yellow3"/>
    <w:basedOn w:val="2099"/>
    <w:qFormat/>
    <w:pPr>
      <w:pBdr/>
      <w:spacing/>
      <w:ind/>
    </w:pPr>
    <w:rPr>
      <w:rFonts w:eastAsia="Arial" w:cs="Arial"/>
    </w:rPr>
  </w:style>
  <w:style w:type="paragraph" w:styleId="2133" w:customStyle="1">
    <w:name w:val="Objetos do plano de fundo"/>
    <w:qFormat/>
    <w:pPr>
      <w:pBdr/>
      <w:spacing/>
      <w:ind/>
    </w:pPr>
    <w:rPr>
      <w:rFonts w:ascii="Liberation Serif" w:hAnsi="Liberation Serif" w:eastAsia="Tahoma" w:cs="Noto Sans"/>
      <w:sz w:val="24"/>
      <w:szCs w:val="24"/>
      <w:lang w:eastAsia="zh-CN" w:bidi="hi-IN"/>
    </w:rPr>
  </w:style>
  <w:style w:type="paragraph" w:styleId="2134" w:customStyle="1">
    <w:name w:val="Plano de fundo"/>
    <w:qFormat/>
    <w:pPr>
      <w:pBdr/>
      <w:spacing/>
      <w:ind/>
    </w:pPr>
    <w:rPr>
      <w:rFonts w:ascii="Liberation Serif" w:hAnsi="Liberation Serif" w:eastAsia="Tahoma" w:cs="Noto Sans"/>
      <w:sz w:val="24"/>
      <w:szCs w:val="24"/>
      <w:lang w:eastAsia="zh-CN" w:bidi="hi-IN"/>
    </w:rPr>
  </w:style>
  <w:style w:type="paragraph" w:styleId="2135" w:customStyle="1">
    <w:name w:val="Notas"/>
    <w:qFormat/>
    <w:pPr>
      <w:pBdr/>
      <w:spacing/>
      <w:ind w:hanging="340" w:left="340"/>
    </w:pPr>
    <w:rPr>
      <w:rFonts w:ascii="Arial" w:hAnsi="Arial" w:eastAsia="Tahoma" w:cs="Noto Sans"/>
      <w:sz w:val="40"/>
      <w:szCs w:val="24"/>
      <w:lang w:eastAsia="zh-CN" w:bidi="hi-IN"/>
    </w:rPr>
  </w:style>
  <w:style w:type="paragraph" w:styleId="2136" w:customStyle="1">
    <w:name w:val="Estrutura de tópicos 1"/>
    <w:qFormat/>
    <w:pPr>
      <w:pBdr/>
      <w:spacing w:before="283" w:line="216" w:lineRule="auto"/>
      <w:ind/>
    </w:pPr>
    <w:rPr>
      <w:rFonts w:ascii="Arial" w:hAnsi="Arial" w:eastAsia="Tahoma" w:cs="Noto Sans"/>
      <w:color w:val="000000"/>
      <w:sz w:val="56"/>
      <w:szCs w:val="24"/>
      <w:lang w:eastAsia="zh-CN" w:bidi="hi-IN"/>
    </w:rPr>
  </w:style>
  <w:style w:type="paragraph" w:styleId="2137" w:customStyle="1">
    <w:name w:val="Estrutura de tópicos 2"/>
    <w:basedOn w:val="2136"/>
    <w:qFormat/>
    <w:pPr>
      <w:pBdr/>
      <w:spacing w:before="227"/>
      <w:ind/>
    </w:pPr>
    <w:rPr>
      <w:rFonts w:eastAsia="Arial" w:cs="Arial"/>
      <w:sz w:val="40"/>
    </w:rPr>
  </w:style>
  <w:style w:type="paragraph" w:styleId="2138" w:customStyle="1">
    <w:name w:val="Estrutura de tópicos 3"/>
    <w:basedOn w:val="2137"/>
    <w:qFormat/>
    <w:pPr>
      <w:pBdr/>
      <w:spacing w:before="170"/>
      <w:ind/>
    </w:pPr>
    <w:rPr>
      <w:sz w:val="36"/>
    </w:rPr>
  </w:style>
  <w:style w:type="paragraph" w:styleId="2139" w:customStyle="1">
    <w:name w:val="Estrutura de tópicos 4"/>
    <w:basedOn w:val="2138"/>
    <w:qFormat/>
    <w:pPr>
      <w:pBdr/>
      <w:spacing w:before="113"/>
      <w:ind/>
    </w:pPr>
  </w:style>
  <w:style w:type="paragraph" w:styleId="2140" w:customStyle="1">
    <w:name w:val="Estrutura de tópicos 5"/>
    <w:basedOn w:val="2139"/>
    <w:qFormat/>
    <w:pPr>
      <w:pBdr/>
      <w:spacing w:before="57"/>
      <w:ind/>
    </w:pPr>
    <w:rPr>
      <w:sz w:val="40"/>
    </w:rPr>
  </w:style>
  <w:style w:type="paragraph" w:styleId="2141" w:customStyle="1">
    <w:name w:val="Estrutura de tópicos 6"/>
    <w:basedOn w:val="2140"/>
    <w:qFormat/>
    <w:pPr>
      <w:pBdr/>
      <w:spacing/>
      <w:ind/>
    </w:pPr>
  </w:style>
  <w:style w:type="paragraph" w:styleId="2142" w:customStyle="1">
    <w:name w:val="Estrutura de tópicos 7"/>
    <w:basedOn w:val="2141"/>
    <w:qFormat/>
    <w:pPr>
      <w:pBdr/>
      <w:spacing/>
      <w:ind/>
    </w:pPr>
  </w:style>
  <w:style w:type="paragraph" w:styleId="2143" w:customStyle="1">
    <w:name w:val="Estrutura de tópicos 8"/>
    <w:basedOn w:val="2142"/>
    <w:qFormat/>
    <w:pPr>
      <w:pBdr/>
      <w:spacing/>
      <w:ind/>
    </w:pPr>
  </w:style>
  <w:style w:type="paragraph" w:styleId="2144" w:customStyle="1">
    <w:name w:val="Estrutura de tópicos 9"/>
    <w:basedOn w:val="2143"/>
    <w:qFormat/>
    <w:pPr>
      <w:pBdr/>
      <w:spacing/>
      <w:ind/>
    </w:pPr>
  </w:style>
  <w:style w:type="paragraph" w:styleId="2145" w:customStyle="1">
    <w:name w:val="Título e Conteúdo~LT~Gliederung 2"/>
    <w:basedOn w:val="2069"/>
    <w:qFormat/>
    <w:pPr>
      <w:pBdr/>
      <w:spacing w:before="227"/>
      <w:ind/>
    </w:pPr>
    <w:rPr>
      <w:rFonts w:eastAsia="Arial" w:cs="Arial"/>
      <w:sz w:val="40"/>
    </w:rPr>
  </w:style>
  <w:style w:type="paragraph" w:styleId="2146" w:customStyle="1">
    <w:name w:val="Título e Conteúdo~LT~Gliederung 3"/>
    <w:basedOn w:val="2145"/>
    <w:qFormat/>
    <w:pPr>
      <w:pBdr/>
      <w:spacing w:before="170"/>
      <w:ind/>
    </w:pPr>
    <w:rPr>
      <w:sz w:val="36"/>
    </w:rPr>
  </w:style>
  <w:style w:type="paragraph" w:styleId="2147" w:customStyle="1">
    <w:name w:val="Título e Conteúdo~LT~Gliederung 4"/>
    <w:basedOn w:val="2146"/>
    <w:qFormat/>
    <w:pPr>
      <w:pBdr/>
      <w:spacing w:before="113"/>
      <w:ind/>
    </w:pPr>
  </w:style>
  <w:style w:type="paragraph" w:styleId="2148" w:customStyle="1">
    <w:name w:val="Título e Conteúdo~LT~Gliederung 5"/>
    <w:basedOn w:val="2147"/>
    <w:qFormat/>
    <w:pPr>
      <w:pBdr/>
      <w:spacing w:before="57"/>
      <w:ind/>
    </w:pPr>
    <w:rPr>
      <w:sz w:val="40"/>
    </w:rPr>
  </w:style>
  <w:style w:type="paragraph" w:styleId="2149" w:customStyle="1">
    <w:name w:val="Título e Conteúdo~LT~Gliederung 6"/>
    <w:basedOn w:val="2148"/>
    <w:qFormat/>
    <w:pPr>
      <w:pBdr/>
      <w:spacing/>
      <w:ind/>
    </w:pPr>
  </w:style>
  <w:style w:type="paragraph" w:styleId="2150" w:customStyle="1">
    <w:name w:val="Título e Conteúdo~LT~Gliederung 7"/>
    <w:basedOn w:val="2149"/>
    <w:qFormat/>
    <w:pPr>
      <w:pBdr/>
      <w:spacing/>
      <w:ind/>
    </w:pPr>
  </w:style>
  <w:style w:type="paragraph" w:styleId="2151" w:customStyle="1">
    <w:name w:val="Título e Conteúdo~LT~Gliederung 8"/>
    <w:basedOn w:val="2150"/>
    <w:qFormat/>
    <w:pPr>
      <w:pBdr/>
      <w:spacing/>
      <w:ind/>
    </w:pPr>
  </w:style>
  <w:style w:type="paragraph" w:styleId="2152" w:customStyle="1">
    <w:name w:val="Título e Conteúdo~LT~Gliederung 9"/>
    <w:basedOn w:val="2151"/>
    <w:qFormat/>
    <w:pPr>
      <w:pBdr/>
      <w:spacing/>
      <w:ind/>
    </w:pPr>
  </w:style>
  <w:style w:type="paragraph" w:styleId="2153" w:customStyle="1">
    <w:name w:val="Título e Conteúdo~LT~Untertitel"/>
    <w:qFormat/>
    <w:pPr>
      <w:pBdr/>
      <w:spacing/>
      <w:ind/>
      <w:jc w:val="center"/>
    </w:pPr>
    <w:rPr>
      <w:rFonts w:ascii="Arial" w:hAnsi="Arial" w:eastAsia="Tahoma" w:cs="Noto Sans"/>
      <w:sz w:val="64"/>
      <w:szCs w:val="24"/>
      <w:lang w:eastAsia="zh-CN" w:bidi="hi-IN"/>
    </w:rPr>
  </w:style>
  <w:style w:type="paragraph" w:styleId="2154" w:customStyle="1">
    <w:name w:val="Título e Conteúdo~LT~Notizen"/>
    <w:qFormat/>
    <w:pPr>
      <w:pBdr/>
      <w:spacing/>
      <w:ind w:hanging="340" w:left="340"/>
    </w:pPr>
    <w:rPr>
      <w:rFonts w:ascii="Arial" w:hAnsi="Arial" w:eastAsia="Tahoma" w:cs="Noto Sans"/>
      <w:sz w:val="40"/>
      <w:szCs w:val="24"/>
      <w:lang w:eastAsia="zh-CN" w:bidi="hi-IN"/>
    </w:rPr>
  </w:style>
  <w:style w:type="paragraph" w:styleId="2155" w:customStyle="1">
    <w:name w:val="Título e Conteúdo~LT~Hintergrundobjekte"/>
    <w:qFormat/>
    <w:pPr>
      <w:pBdr/>
      <w:spacing/>
      <w:ind/>
    </w:pPr>
    <w:rPr>
      <w:rFonts w:ascii="Liberation Serif" w:hAnsi="Liberation Serif" w:eastAsia="Tahoma" w:cs="Noto Sans"/>
      <w:sz w:val="24"/>
      <w:szCs w:val="24"/>
      <w:lang w:eastAsia="zh-CN" w:bidi="hi-IN"/>
    </w:rPr>
  </w:style>
  <w:style w:type="paragraph" w:styleId="2156" w:customStyle="1">
    <w:name w:val="Título e Conteúdo~LT~Hintergrund"/>
    <w:qFormat/>
    <w:pPr>
      <w:pBdr/>
      <w:spacing/>
      <w:ind/>
    </w:pPr>
    <w:rPr>
      <w:rFonts w:ascii="Liberation Serif" w:hAnsi="Liberation Serif" w:eastAsia="Tahoma" w:cs="Noto Sans"/>
      <w:sz w:val="24"/>
      <w:szCs w:val="24"/>
      <w:lang w:eastAsia="zh-CN" w:bidi="hi-IN"/>
    </w:rPr>
  </w:style>
  <w:style w:type="paragraph" w:styleId="2157" w:customStyle="1">
    <w:name w:val="bg-none"/>
    <w:basedOn w:val="2099"/>
    <w:qFormat/>
    <w:pPr>
      <w:pBdr/>
      <w:spacing/>
      <w:ind/>
    </w:pPr>
    <w:rPr>
      <w:rFonts w:eastAsia="Arial" w:cs="Arial"/>
    </w:rPr>
  </w:style>
  <w:style w:type="paragraph" w:styleId="2158" w:customStyle="1">
    <w:name w:val="gray"/>
    <w:basedOn w:val="2099"/>
    <w:qFormat/>
    <w:pPr>
      <w:pBdr/>
      <w:spacing/>
      <w:ind/>
    </w:pPr>
    <w:rPr>
      <w:rFonts w:eastAsia="Arial" w:cs="Arial"/>
    </w:rPr>
  </w:style>
  <w:style w:type="paragraph" w:styleId="2159" w:customStyle="1">
    <w:name w:val="dark-gray"/>
    <w:basedOn w:val="2099"/>
    <w:qFormat/>
    <w:pPr>
      <w:pBdr/>
      <w:spacing/>
      <w:ind/>
    </w:pPr>
    <w:rPr>
      <w:rFonts w:eastAsia="Arial" w:cs="Arial"/>
    </w:rPr>
  </w:style>
  <w:style w:type="paragraph" w:styleId="2160" w:customStyle="1">
    <w:name w:val="black"/>
    <w:basedOn w:val="2099"/>
    <w:qFormat/>
    <w:pPr>
      <w:pBdr/>
      <w:spacing/>
      <w:ind/>
    </w:pPr>
    <w:rPr>
      <w:rFonts w:eastAsia="Arial" w:cs="Arial"/>
      <w:color w:val="ffffff"/>
    </w:rPr>
  </w:style>
  <w:style w:type="paragraph" w:styleId="2161" w:customStyle="1">
    <w:name w:val="black-with-border"/>
    <w:basedOn w:val="2099"/>
    <w:qFormat/>
    <w:pPr>
      <w:pBdr/>
      <w:spacing/>
      <w:ind/>
    </w:pPr>
    <w:rPr>
      <w:rFonts w:eastAsia="Arial" w:cs="Arial"/>
      <w:color w:val="ffffff"/>
    </w:rPr>
  </w:style>
  <w:style w:type="paragraph" w:styleId="2162" w:customStyle="1">
    <w:name w:val="gray-with-border"/>
    <w:basedOn w:val="2099"/>
    <w:qFormat/>
    <w:pPr>
      <w:pBdr/>
      <w:spacing/>
      <w:ind/>
    </w:pPr>
    <w:rPr>
      <w:rFonts w:eastAsia="Arial" w:cs="Arial"/>
    </w:rPr>
  </w:style>
  <w:style w:type="paragraph" w:styleId="2163" w:customStyle="1">
    <w:name w:val="white"/>
    <w:basedOn w:val="2099"/>
    <w:qFormat/>
    <w:pPr>
      <w:pBdr/>
      <w:spacing/>
      <w:ind/>
    </w:pPr>
    <w:rPr>
      <w:rFonts w:eastAsia="Arial" w:cs="Arial"/>
    </w:rPr>
  </w:style>
  <w:style w:type="paragraph" w:styleId="2164" w:customStyle="1">
    <w:name w:val="white-with-border"/>
    <w:basedOn w:val="2099"/>
    <w:qFormat/>
    <w:pPr>
      <w:pBdr/>
      <w:spacing/>
      <w:ind/>
    </w:pPr>
    <w:rPr>
      <w:rFonts w:eastAsia="Arial" w:cs="Arial"/>
    </w:rPr>
  </w:style>
  <w:style w:type="paragraph" w:styleId="2165" w:customStyle="1">
    <w:name w:val="blue-title"/>
    <w:basedOn w:val="2099"/>
    <w:qFormat/>
    <w:pPr>
      <w:pBdr/>
      <w:spacing/>
      <w:ind/>
    </w:pPr>
    <w:rPr>
      <w:rFonts w:eastAsia="Arial" w:cs="Arial"/>
      <w:color w:val="ffffff"/>
    </w:rPr>
  </w:style>
  <w:style w:type="paragraph" w:styleId="2166" w:customStyle="1">
    <w:name w:val="blue-title-with-border"/>
    <w:basedOn w:val="2099"/>
    <w:qFormat/>
    <w:pPr>
      <w:pBdr/>
      <w:spacing/>
      <w:ind/>
    </w:pPr>
    <w:rPr>
      <w:rFonts w:eastAsia="Arial" w:cs="Arial"/>
      <w:color w:val="ffffff"/>
    </w:rPr>
  </w:style>
  <w:style w:type="paragraph" w:styleId="2167" w:customStyle="1">
    <w:name w:val="blue-banded"/>
    <w:basedOn w:val="2099"/>
    <w:qFormat/>
    <w:pPr>
      <w:pBdr/>
      <w:spacing/>
      <w:ind/>
    </w:pPr>
    <w:rPr>
      <w:rFonts w:eastAsia="Arial" w:cs="Arial"/>
    </w:rPr>
  </w:style>
  <w:style w:type="paragraph" w:styleId="2168" w:customStyle="1">
    <w:name w:val="blue-normal"/>
    <w:basedOn w:val="2099"/>
    <w:qFormat/>
    <w:pPr>
      <w:pBdr/>
      <w:spacing/>
      <w:ind/>
    </w:pPr>
    <w:rPr>
      <w:rFonts w:eastAsia="Arial" w:cs="Arial"/>
    </w:rPr>
  </w:style>
  <w:style w:type="paragraph" w:styleId="2169" w:customStyle="1">
    <w:name w:val="orange-title"/>
    <w:basedOn w:val="2099"/>
    <w:qFormat/>
    <w:pPr>
      <w:pBdr/>
      <w:spacing/>
      <w:ind/>
    </w:pPr>
    <w:rPr>
      <w:rFonts w:eastAsia="Arial" w:cs="Arial"/>
      <w:color w:val="ffffff"/>
    </w:rPr>
  </w:style>
  <w:style w:type="paragraph" w:styleId="2170" w:customStyle="1">
    <w:name w:val="orange-title-with-border"/>
    <w:basedOn w:val="2099"/>
    <w:qFormat/>
    <w:pPr>
      <w:pBdr/>
      <w:spacing/>
      <w:ind/>
    </w:pPr>
    <w:rPr>
      <w:rFonts w:eastAsia="Arial" w:cs="Arial"/>
      <w:color w:val="ffffff"/>
    </w:rPr>
  </w:style>
  <w:style w:type="paragraph" w:styleId="2171" w:customStyle="1">
    <w:name w:val="orange-banded"/>
    <w:basedOn w:val="2099"/>
    <w:qFormat/>
    <w:pPr>
      <w:pBdr/>
      <w:spacing/>
      <w:ind/>
    </w:pPr>
    <w:rPr>
      <w:rFonts w:eastAsia="Arial" w:cs="Arial"/>
    </w:rPr>
  </w:style>
  <w:style w:type="paragraph" w:styleId="2172" w:customStyle="1">
    <w:name w:val="orange-normal"/>
    <w:basedOn w:val="2099"/>
    <w:qFormat/>
    <w:pPr>
      <w:pBdr/>
      <w:spacing/>
      <w:ind/>
    </w:pPr>
    <w:rPr>
      <w:rFonts w:eastAsia="Arial" w:cs="Arial"/>
    </w:rPr>
  </w:style>
  <w:style w:type="paragraph" w:styleId="2173" w:customStyle="1">
    <w:name w:val="teal-title"/>
    <w:basedOn w:val="2099"/>
    <w:qFormat/>
    <w:pPr>
      <w:pBdr/>
      <w:spacing/>
      <w:ind/>
    </w:pPr>
    <w:rPr>
      <w:rFonts w:eastAsia="Arial" w:cs="Arial"/>
      <w:color w:val="ffffff"/>
    </w:rPr>
  </w:style>
  <w:style w:type="paragraph" w:styleId="2174" w:customStyle="1">
    <w:name w:val="teal-title-with-border"/>
    <w:basedOn w:val="2099"/>
    <w:qFormat/>
    <w:pPr>
      <w:pBdr/>
      <w:spacing/>
      <w:ind/>
    </w:pPr>
    <w:rPr>
      <w:rFonts w:eastAsia="Arial" w:cs="Arial"/>
      <w:color w:val="ffffff"/>
    </w:rPr>
  </w:style>
  <w:style w:type="paragraph" w:styleId="2175" w:customStyle="1">
    <w:name w:val="teal-banded"/>
    <w:basedOn w:val="2099"/>
    <w:qFormat/>
    <w:pPr>
      <w:pBdr/>
      <w:spacing/>
      <w:ind/>
    </w:pPr>
    <w:rPr>
      <w:rFonts w:eastAsia="Arial" w:cs="Arial"/>
    </w:rPr>
  </w:style>
  <w:style w:type="paragraph" w:styleId="2176" w:customStyle="1">
    <w:name w:val="teal-normal"/>
    <w:basedOn w:val="2099"/>
    <w:qFormat/>
    <w:pPr>
      <w:pBdr/>
      <w:spacing/>
      <w:ind/>
    </w:pPr>
    <w:rPr>
      <w:rFonts w:eastAsia="Arial" w:cs="Arial"/>
    </w:rPr>
  </w:style>
  <w:style w:type="paragraph" w:styleId="2177" w:customStyle="1">
    <w:name w:val="magenta-title"/>
    <w:basedOn w:val="2099"/>
    <w:qFormat/>
    <w:pPr>
      <w:pBdr/>
      <w:spacing/>
      <w:ind/>
    </w:pPr>
    <w:rPr>
      <w:rFonts w:eastAsia="Arial" w:cs="Arial"/>
      <w:color w:val="ffffff"/>
    </w:rPr>
  </w:style>
  <w:style w:type="paragraph" w:styleId="2178" w:customStyle="1">
    <w:name w:val="magenta-title-with-border"/>
    <w:basedOn w:val="2099"/>
    <w:qFormat/>
    <w:pPr>
      <w:pBdr/>
      <w:spacing/>
      <w:ind/>
    </w:pPr>
    <w:rPr>
      <w:rFonts w:eastAsia="Arial" w:cs="Arial"/>
      <w:color w:val="ffffff"/>
    </w:rPr>
  </w:style>
  <w:style w:type="paragraph" w:styleId="2179" w:customStyle="1">
    <w:name w:val="magenta-banded"/>
    <w:basedOn w:val="2099"/>
    <w:qFormat/>
    <w:pPr>
      <w:pBdr/>
      <w:spacing/>
      <w:ind/>
    </w:pPr>
    <w:rPr>
      <w:rFonts w:eastAsia="Arial" w:cs="Arial"/>
    </w:rPr>
  </w:style>
  <w:style w:type="paragraph" w:styleId="2180" w:customStyle="1">
    <w:name w:val="magenta-normal"/>
    <w:basedOn w:val="2099"/>
    <w:qFormat/>
    <w:pPr>
      <w:pBdr/>
      <w:spacing/>
      <w:ind/>
    </w:pPr>
    <w:rPr>
      <w:rFonts w:eastAsia="Arial" w:cs="Arial"/>
    </w:rPr>
  </w:style>
  <w:style w:type="paragraph" w:styleId="2181" w:customStyle="1">
    <w:name w:val="Tópicos 1"/>
    <w:qFormat/>
    <w:pPr>
      <w:pBdr/>
      <w:spacing w:before="283" w:line="216" w:lineRule="auto"/>
      <w:ind/>
    </w:pPr>
    <w:rPr>
      <w:rFonts w:ascii="Arial" w:hAnsi="Arial" w:eastAsia="Tahoma" w:cs="Liberation Sans"/>
      <w:color w:val="000000"/>
      <w:sz w:val="56"/>
      <w:szCs w:val="24"/>
      <w:lang w:eastAsia="zh-CN" w:bidi="hi-IN"/>
    </w:rPr>
  </w:style>
  <w:style w:type="paragraph" w:styleId="2182" w:customStyle="1">
    <w:name w:val="Tópicos 2"/>
    <w:basedOn w:val="2181"/>
    <w:qFormat/>
    <w:pPr>
      <w:pBdr/>
      <w:spacing w:before="227"/>
      <w:ind/>
    </w:pPr>
    <w:rPr>
      <w:rFonts w:eastAsia="Arial" w:cs="Arial"/>
      <w:sz w:val="40"/>
    </w:rPr>
  </w:style>
  <w:style w:type="paragraph" w:styleId="2183" w:customStyle="1">
    <w:name w:val="Tópicos 3"/>
    <w:basedOn w:val="2182"/>
    <w:qFormat/>
    <w:pPr>
      <w:pBdr/>
      <w:spacing w:before="170"/>
      <w:ind/>
    </w:pPr>
    <w:rPr>
      <w:sz w:val="36"/>
    </w:rPr>
  </w:style>
  <w:style w:type="paragraph" w:styleId="2184" w:customStyle="1">
    <w:name w:val="Tópicos 4"/>
    <w:basedOn w:val="2183"/>
    <w:qFormat/>
    <w:pPr>
      <w:pBdr/>
      <w:spacing w:before="113"/>
      <w:ind/>
    </w:pPr>
  </w:style>
  <w:style w:type="paragraph" w:styleId="2185" w:customStyle="1">
    <w:name w:val="Tópicos 5"/>
    <w:basedOn w:val="2184"/>
    <w:qFormat/>
    <w:pPr>
      <w:pBdr/>
      <w:spacing w:before="57"/>
      <w:ind/>
    </w:pPr>
    <w:rPr>
      <w:sz w:val="40"/>
    </w:rPr>
  </w:style>
  <w:style w:type="paragraph" w:styleId="2186" w:customStyle="1">
    <w:name w:val="Tópicos 6"/>
    <w:basedOn w:val="2185"/>
    <w:qFormat/>
    <w:pPr>
      <w:pBdr/>
      <w:spacing/>
      <w:ind/>
    </w:pPr>
  </w:style>
  <w:style w:type="paragraph" w:styleId="2187" w:customStyle="1">
    <w:name w:val="Tópicos 7"/>
    <w:basedOn w:val="2186"/>
    <w:qFormat/>
    <w:pPr>
      <w:pBdr/>
      <w:spacing/>
      <w:ind/>
    </w:pPr>
  </w:style>
  <w:style w:type="paragraph" w:styleId="2188" w:customStyle="1">
    <w:name w:val="Tópicos 8"/>
    <w:basedOn w:val="2187"/>
    <w:qFormat/>
    <w:pPr>
      <w:pBdr/>
      <w:spacing/>
      <w:ind/>
    </w:pPr>
  </w:style>
  <w:style w:type="paragraph" w:styleId="2189" w:customStyle="1">
    <w:name w:val="Tópicos 9"/>
    <w:basedOn w:val="2188"/>
    <w:qFormat/>
    <w:pPr>
      <w:pBdr/>
      <w:spacing/>
      <w:ind/>
    </w:pPr>
  </w:style>
  <w:style w:type="paragraph" w:styleId="2190" w:customStyle="1">
    <w:name w:val="Formas"/>
    <w:basedOn w:val="2081"/>
    <w:qFormat/>
    <w:pPr>
      <w:pBdr/>
      <w:spacing/>
      <w:ind/>
    </w:pPr>
    <w:rPr>
      <w:rFonts w:ascii="Liberation Sans" w:hAnsi="Liberation Sans" w:eastAsia="Liberation Sans" w:cs="Liberation Sans"/>
      <w:b/>
      <w:sz w:val="28"/>
    </w:rPr>
  </w:style>
  <w:style w:type="paragraph" w:styleId="2191" w:customStyle="1">
    <w:name w:val="Contorno"/>
    <w:basedOn w:val="2190"/>
    <w:qFormat/>
    <w:pPr>
      <w:pBdr/>
      <w:spacing/>
      <w:ind/>
    </w:pPr>
  </w:style>
  <w:style w:type="paragraph" w:styleId="2192" w:customStyle="1">
    <w:name w:val="Contorno amarelo"/>
    <w:basedOn w:val="2191"/>
    <w:qFormat/>
    <w:pPr>
      <w:pBdr/>
      <w:spacing/>
      <w:ind/>
    </w:pPr>
    <w:rPr>
      <w:color w:val="b47804"/>
    </w:rPr>
  </w:style>
  <w:style w:type="paragraph" w:styleId="2193" w:customStyle="1">
    <w:name w:val="Contorno vermelho"/>
    <w:basedOn w:val="2191"/>
    <w:qFormat/>
    <w:pPr>
      <w:pBdr/>
      <w:spacing/>
      <w:ind/>
    </w:pPr>
    <w:rPr>
      <w:color w:val="c9211e"/>
    </w:rPr>
  </w:style>
  <w:style w:type="paragraph" w:styleId="2194" w:customStyle="1">
    <w:name w:val="Contorno verde"/>
    <w:basedOn w:val="2191"/>
    <w:qFormat/>
    <w:pPr>
      <w:pBdr/>
      <w:spacing/>
      <w:ind/>
    </w:pPr>
    <w:rPr>
      <w:color w:val="127622"/>
    </w:rPr>
  </w:style>
  <w:style w:type="paragraph" w:styleId="2195" w:customStyle="1">
    <w:name w:val="Contorno azul"/>
    <w:basedOn w:val="2191"/>
    <w:qFormat/>
    <w:pPr>
      <w:pBdr/>
      <w:spacing/>
      <w:ind/>
    </w:pPr>
    <w:rPr>
      <w:color w:val="355269"/>
    </w:rPr>
  </w:style>
  <w:style w:type="paragraph" w:styleId="2196" w:customStyle="1">
    <w:name w:val="Preenchido"/>
    <w:basedOn w:val="2190"/>
    <w:qFormat/>
    <w:pPr>
      <w:pBdr/>
      <w:spacing/>
      <w:ind/>
    </w:pPr>
  </w:style>
  <w:style w:type="paragraph" w:styleId="2197" w:customStyle="1">
    <w:name w:val="Preenchido amarelo"/>
    <w:basedOn w:val="2196"/>
    <w:qFormat/>
    <w:pPr>
      <w:pBdr/>
      <w:spacing/>
      <w:ind/>
    </w:pPr>
    <w:rPr>
      <w:color w:val="ffffff"/>
    </w:rPr>
  </w:style>
  <w:style w:type="paragraph" w:styleId="2198" w:customStyle="1">
    <w:name w:val="Preenchido vermelho"/>
    <w:basedOn w:val="2196"/>
    <w:qFormat/>
    <w:pPr>
      <w:pBdr/>
      <w:spacing/>
      <w:ind/>
    </w:pPr>
    <w:rPr>
      <w:color w:val="ffffff"/>
    </w:rPr>
  </w:style>
  <w:style w:type="paragraph" w:styleId="2199" w:customStyle="1">
    <w:name w:val="Preenchido verde"/>
    <w:basedOn w:val="2196"/>
    <w:qFormat/>
    <w:pPr>
      <w:pBdr/>
      <w:spacing/>
      <w:ind/>
    </w:pPr>
    <w:rPr>
      <w:color w:val="ffffff"/>
    </w:rPr>
  </w:style>
  <w:style w:type="paragraph" w:styleId="2200" w:customStyle="1">
    <w:name w:val="Preenchido azul"/>
    <w:basedOn w:val="2196"/>
    <w:qFormat/>
    <w:pPr>
      <w:pBdr/>
      <w:spacing/>
      <w:ind/>
    </w:pPr>
    <w:rPr>
      <w:color w:val="ffffff"/>
    </w:rPr>
  </w:style>
  <w:style w:type="paragraph" w:styleId="2201" w:customStyle="1">
    <w:name w:val="A4"/>
    <w:basedOn w:val="2076"/>
    <w:qFormat/>
    <w:pPr>
      <w:pBdr/>
      <w:spacing/>
      <w:ind/>
    </w:pPr>
    <w:rPr>
      <w:rFonts w:ascii="Noto Sans" w:hAnsi="Noto Sans" w:eastAsia="Noto Sans" w:cs="Noto Sans"/>
      <w:sz w:val="36"/>
    </w:rPr>
  </w:style>
  <w:style w:type="paragraph" w:styleId="2202" w:customStyle="1">
    <w:name w:val="Texto A4"/>
    <w:basedOn w:val="2201"/>
    <w:qFormat/>
    <w:pPr>
      <w:pBdr/>
      <w:spacing/>
      <w:ind/>
    </w:pPr>
  </w:style>
  <w:style w:type="paragraph" w:styleId="2203" w:customStyle="1">
    <w:name w:val="Título A4"/>
    <w:basedOn w:val="2201"/>
    <w:qFormat/>
    <w:pPr>
      <w:pBdr/>
      <w:spacing/>
      <w:ind/>
    </w:pPr>
    <w:rPr>
      <w:sz w:val="48"/>
    </w:rPr>
  </w:style>
  <w:style w:type="paragraph" w:styleId="2204" w:customStyle="1">
    <w:name w:val="Título do documento A4"/>
    <w:basedOn w:val="2201"/>
    <w:qFormat/>
    <w:pPr>
      <w:pBdr/>
      <w:spacing/>
      <w:ind/>
    </w:pPr>
    <w:rPr>
      <w:sz w:val="87"/>
    </w:rPr>
  </w:style>
  <w:style w:type="paragraph" w:styleId="2205" w:customStyle="1">
    <w:name w:val="Corpo de texto 32"/>
    <w:basedOn w:val="864"/>
    <w:qFormat/>
    <w:pPr>
      <w:widowControl w:val="false"/>
      <w:pBdr/>
      <w:spacing w:after="120"/>
      <w:ind/>
    </w:pPr>
    <w:rPr>
      <w:sz w:val="16"/>
      <w:szCs w:val="16"/>
      <w:lang w:val="en-US"/>
    </w:rPr>
  </w:style>
  <w:style w:type="paragraph" w:styleId="2206" w:customStyle="1">
    <w:name w:val="Recuo de corpo de texto 35"/>
    <w:basedOn w:val="864"/>
    <w:qFormat/>
    <w:pPr>
      <w:widowControl w:val="false"/>
      <w:pBdr/>
      <w:spacing/>
      <w:ind w:left="1418"/>
      <w:jc w:val="both"/>
    </w:pPr>
    <w:rPr>
      <w:rFonts w:ascii="Arial" w:hAnsi="Arial"/>
      <w:sz w:val="24"/>
      <w:lang w:val="en-US"/>
    </w:rPr>
  </w:style>
  <w:style w:type="paragraph" w:styleId="2207" w:customStyle="1">
    <w:name w:val="Recuo de corpo de texto 23"/>
    <w:basedOn w:val="864"/>
    <w:qFormat/>
    <w:pPr>
      <w:pBdr/>
      <w:spacing w:after="120" w:line="480" w:lineRule="auto"/>
      <w:ind w:left="283"/>
    </w:pPr>
  </w:style>
  <w:style w:type="paragraph" w:styleId="2208" w:customStyle="1">
    <w:name w:val="Corpo de texto 25"/>
    <w:basedOn w:val="864"/>
    <w:qFormat/>
    <w:pPr>
      <w:pBdr/>
      <w:spacing w:after="120" w:line="480" w:lineRule="auto"/>
      <w:ind/>
    </w:pPr>
  </w:style>
  <w:style w:type="paragraph" w:styleId="2209" w:customStyle="1">
    <w:name w:val="Texto sem Formatação2"/>
    <w:basedOn w:val="864"/>
    <w:qFormat/>
    <w:pPr>
      <w:pBdr/>
      <w:spacing/>
      <w:ind/>
    </w:pPr>
    <w:rPr>
      <w:rFonts w:ascii="Courier New" w:hAnsi="Courier New" w:cs="Courier New"/>
    </w:rPr>
  </w:style>
  <w:style w:type="paragraph" w:styleId="2210" w:customStyle="1">
    <w:name w:val="Texto de comentário2"/>
    <w:basedOn w:val="864"/>
    <w:qFormat/>
    <w:pPr>
      <w:pBdr/>
      <w:spacing/>
      <w:ind/>
    </w:pPr>
    <w:rPr>
      <w:rFonts w:ascii="Ecofont_Spranq_eco_Sans" w:hAnsi="Ecofont_Spranq_eco_Sans" w:eastAsia="MS Mincho" w:cs="Tahoma"/>
    </w:rPr>
  </w:style>
  <w:style w:type="paragraph" w:styleId="2211" w:customStyle="1">
    <w:name w:val="Conteúdo do quadro"/>
    <w:basedOn w:val="864"/>
    <w:qFormat/>
    <w:pPr>
      <w:pBdr/>
      <w:spacing/>
      <w:ind/>
    </w:pPr>
    <w:rPr>
      <w:rFonts w:eastAsia="SimSun"/>
    </w:rPr>
  </w:style>
  <w:style w:type="paragraph" w:styleId="2212" w:customStyle="1">
    <w:name w:val="Nivel1"/>
    <w:basedOn w:val="865"/>
    <w:next w:val="864"/>
    <w:qFormat/>
    <w:pPr>
      <w:keepLines w:val="true"/>
      <w:numPr>
        <w:numId w:val="0"/>
      </w:numPr>
      <w:pBdr/>
      <w:spacing w:after="120" w:before="480" w:line="276" w:lineRule="auto"/>
      <w:ind/>
      <w:jc w:val="both"/>
      <w:outlineLvl w:val="9"/>
    </w:pPr>
    <w:rPr>
      <w:rFonts w:eastAsia="SimSun"/>
      <w:bCs w:val="0"/>
      <w:color w:val="000000"/>
      <w:sz w:val="20"/>
      <w:szCs w:val="20"/>
      <w:lang w:val="pt-BR"/>
    </w:rPr>
  </w:style>
  <w:style w:type="paragraph" w:styleId="2213" w:customStyle="1">
    <w:name w:val="Parágrafo da Lista1"/>
    <w:basedOn w:val="864"/>
    <w:qFormat/>
    <w:pPr>
      <w:pBdr/>
      <w:spacing/>
      <w:ind w:left="720"/>
    </w:pPr>
    <w:rPr>
      <w:rFonts w:ascii="Ecofont_Spranq_eco_Sans" w:hAnsi="Ecofont_Spranq_eco_Sans" w:eastAsia="SimSun" w:cs="Ecofont_Spranq_eco_Sans"/>
      <w:sz w:val="24"/>
      <w:szCs w:val="24"/>
    </w:rPr>
  </w:style>
  <w:style w:type="paragraph" w:styleId="2214" w:customStyle="1">
    <w:name w:val="TEXTO1"/>
    <w:basedOn w:val="864"/>
    <w:uiPriority w:val="99"/>
    <w:qFormat/>
    <w:pPr>
      <w:pBdr/>
      <w:spacing w:after="120"/>
      <w:ind/>
      <w:jc w:val="both"/>
    </w:pPr>
    <w:rPr>
      <w:rFonts w:ascii="Arial" w:hAnsi="Arial" w:eastAsia="SimSun"/>
      <w:sz w:val="22"/>
      <w:szCs w:val="22"/>
    </w:rPr>
  </w:style>
  <w:style w:type="paragraph" w:styleId="2215" w:customStyle="1">
    <w:name w:val="Título 1.1"/>
    <w:basedOn w:val="864"/>
    <w:qFormat/>
    <w:pPr>
      <w:widowControl w:val="false"/>
      <w:numPr>
        <w:numId w:val="6"/>
      </w:numPr>
      <w:pBdr/>
      <w:spacing w:after="120" w:line="276" w:lineRule="auto"/>
      <w:ind/>
      <w:jc w:val="both"/>
    </w:pPr>
    <w:rPr>
      <w:rFonts w:ascii="Arial" w:hAnsi="Arial" w:eastAsia="SimSun"/>
      <w:szCs w:val="22"/>
    </w:rPr>
  </w:style>
  <w:style w:type="paragraph" w:styleId="2216" w:customStyle="1">
    <w:name w:val="trending-content_header"/>
    <w:basedOn w:val="864"/>
    <w:qFormat/>
    <w:pPr>
      <w:pBdr/>
      <w:spacing w:after="280" w:before="280"/>
      <w:ind/>
    </w:pPr>
    <w:rPr>
      <w:rFonts w:eastAsia="SimSun"/>
      <w:sz w:val="24"/>
      <w:szCs w:val="24"/>
    </w:rPr>
  </w:style>
  <w:style w:type="paragraph" w:styleId="2217">
    <w:name w:val="HTML Top of Form"/>
    <w:basedOn w:val="864"/>
    <w:next w:val="864"/>
    <w:qFormat/>
    <w:pPr>
      <w:pBdr>
        <w:bottom w:val="single" w:color="000000" w:sz="6" w:space="1"/>
      </w:pBdr>
      <w:spacing/>
      <w:ind/>
      <w:jc w:val="center"/>
    </w:pPr>
    <w:rPr>
      <w:rFonts w:ascii="Arial" w:hAnsi="Arial"/>
      <w:vanish/>
      <w:sz w:val="16"/>
    </w:rPr>
  </w:style>
  <w:style w:type="paragraph" w:styleId="2218">
    <w:name w:val="HTML Bottom of Form"/>
    <w:basedOn w:val="864"/>
    <w:next w:val="864"/>
    <w:qFormat/>
    <w:pPr>
      <w:pBdr>
        <w:top w:val="single" w:color="000000" w:sz="6" w:space="1"/>
      </w:pBdr>
      <w:spacing/>
      <w:ind/>
      <w:jc w:val="center"/>
    </w:pPr>
    <w:rPr>
      <w:rFonts w:ascii="Arial" w:hAnsi="Arial"/>
      <w:vanish/>
      <w:sz w:val="16"/>
    </w:rPr>
  </w:style>
  <w:style w:type="paragraph" w:styleId="2219" w:customStyle="1">
    <w:name w:val="subtitle__onlight"/>
    <w:basedOn w:val="864"/>
    <w:qFormat/>
    <w:pPr>
      <w:pBdr/>
      <w:spacing w:after="280" w:before="280"/>
      <w:ind/>
    </w:pPr>
    <w:rPr>
      <w:rFonts w:eastAsia="SimSun"/>
      <w:sz w:val="24"/>
      <w:szCs w:val="24"/>
    </w:rPr>
  </w:style>
  <w:style w:type="paragraph" w:styleId="2220" w:customStyle="1">
    <w:name w:val="Nivel_01_Titulo"/>
    <w:basedOn w:val="865"/>
    <w:next w:val="864"/>
    <w:qFormat/>
    <w:pPr>
      <w:keepLines w:val="true"/>
      <w:numPr>
        <w:numId w:val="5"/>
      </w:numPr>
      <w:pBdr/>
      <w:tabs>
        <w:tab w:val="left" w:leader="none" w:pos="0"/>
        <w:tab w:val="left" w:leader="none" w:pos="567"/>
      </w:tabs>
      <w:spacing w:after="0"/>
      <w:ind/>
      <w:jc w:val="both"/>
      <w:outlineLvl w:val="9"/>
    </w:pPr>
    <w:rPr>
      <w:rFonts w:cs="Times New Roman"/>
      <w:bCs w:val="0"/>
      <w:color w:val="2e74b5"/>
      <w:sz w:val="20"/>
      <w:szCs w:val="20"/>
    </w:rPr>
  </w:style>
  <w:style w:type="paragraph" w:styleId="2221" w:customStyle="1">
    <w:name w:val="paragraph"/>
    <w:basedOn w:val="864"/>
    <w:uiPriority w:val="99"/>
    <w:qFormat/>
    <w:pPr>
      <w:pBdr/>
      <w:spacing w:after="280" w:before="280"/>
      <w:ind/>
    </w:pPr>
    <w:rPr>
      <w:rFonts w:cs="Liberation Serif"/>
      <w:sz w:val="24"/>
      <w:szCs w:val="24"/>
    </w:rPr>
  </w:style>
  <w:style w:type="paragraph" w:styleId="2222" w:customStyle="1">
    <w:name w:val="x_msoheading8"/>
    <w:basedOn w:val="864"/>
    <w:uiPriority w:val="99"/>
    <w:qFormat/>
    <w:pPr>
      <w:pBdr/>
      <w:spacing w:after="280" w:before="280"/>
      <w:ind/>
    </w:pPr>
    <w:rPr>
      <w:rFonts w:cs="Liberation Serif"/>
      <w:sz w:val="24"/>
      <w:szCs w:val="24"/>
    </w:rPr>
  </w:style>
  <w:style w:type="paragraph" w:styleId="2223" w:customStyle="1">
    <w:name w:val="Texto padrãe3o"/>
    <w:basedOn w:val="864"/>
    <w:uiPriority w:val="99"/>
    <w:qFormat/>
    <w:pPr>
      <w:pBdr/>
      <w:spacing/>
      <w:ind/>
    </w:pPr>
    <w:rPr>
      <w:rFonts w:cs="Liberation Serif"/>
      <w:color w:val="000000"/>
      <w:sz w:val="24"/>
      <w:szCs w:val="24"/>
    </w:rPr>
  </w:style>
  <w:style w:type="paragraph" w:styleId="2224" w:customStyle="1">
    <w:name w:val="Tíedtulo 8"/>
    <w:basedOn w:val="864"/>
    <w:uiPriority w:val="99"/>
    <w:qFormat/>
    <w:pPr>
      <w:keepNext w:val="true"/>
      <w:widowControl w:val="false"/>
      <w:pBdr/>
      <w:spacing/>
      <w:ind w:left="1276"/>
      <w:jc w:val="both"/>
    </w:pPr>
    <w:rPr>
      <w:b/>
      <w:sz w:val="22"/>
      <w:szCs w:val="22"/>
    </w:rPr>
  </w:style>
  <w:style w:type="paragraph" w:styleId="2225" w:customStyle="1">
    <w:name w:val="Texto de balãe3o"/>
    <w:basedOn w:val="864"/>
    <w:uiPriority w:val="99"/>
    <w:qFormat/>
    <w:pPr>
      <w:pBdr/>
      <w:spacing/>
      <w:ind/>
    </w:pPr>
    <w:rPr>
      <w:rFonts w:cs="Tahoma"/>
      <w:sz w:val="16"/>
      <w:szCs w:val="16"/>
    </w:rPr>
  </w:style>
  <w:style w:type="paragraph" w:styleId="2226" w:customStyle="1">
    <w:name w:val="Texto em bloco1"/>
    <w:basedOn w:val="864"/>
    <w:qFormat/>
    <w:pPr>
      <w:widowControl w:val="false"/>
      <w:pBdr/>
      <w:spacing w:line="360" w:lineRule="auto"/>
      <w:ind w:right="-1" w:hanging="284" w:left="2835"/>
    </w:pPr>
    <w:rPr>
      <w:sz w:val="22"/>
      <w:szCs w:val="22"/>
    </w:rPr>
  </w:style>
  <w:style w:type="paragraph" w:styleId="2227" w:customStyle="1">
    <w:name w:val="Corpo de texto 22"/>
    <w:basedOn w:val="864"/>
    <w:uiPriority w:val="99"/>
    <w:qFormat/>
    <w:pPr>
      <w:pBdr/>
      <w:spacing w:after="240"/>
      <w:ind/>
      <w:jc w:val="center"/>
    </w:pPr>
    <w:rPr>
      <w:rFonts w:cs="Liberation Serif"/>
      <w:b/>
    </w:rPr>
  </w:style>
  <w:style w:type="paragraph" w:styleId="2228" w:customStyle="1">
    <w:name w:val="Texto sem Formataçe7ãe3o"/>
    <w:basedOn w:val="864"/>
    <w:uiPriority w:val="99"/>
    <w:qFormat/>
    <w:pPr>
      <w:pBdr/>
      <w:spacing/>
      <w:ind/>
    </w:pPr>
    <w:rPr>
      <w:rFonts w:cs="Courier New"/>
    </w:rPr>
  </w:style>
  <w:style w:type="paragraph" w:styleId="2229" w:customStyle="1">
    <w:name w:val="Tíedtulo 9"/>
    <w:basedOn w:val="864"/>
    <w:uiPriority w:val="99"/>
    <w:qFormat/>
    <w:pPr>
      <w:keepNext w:val="true"/>
      <w:pBdr/>
      <w:shd w:val="clear" w:color="auto" w:fill="ffffff"/>
      <w:tabs>
        <w:tab w:val="left" w:leader="none" w:pos="390"/>
      </w:tabs>
      <w:spacing/>
      <w:ind w:hanging="390" w:left="390"/>
      <w:jc w:val="both"/>
    </w:pPr>
    <w:rPr>
      <w:rFonts w:cs="Ottawa"/>
      <w:b/>
      <w:sz w:val="22"/>
      <w:szCs w:val="22"/>
    </w:rPr>
  </w:style>
  <w:style w:type="paragraph" w:styleId="2230" w:customStyle="1">
    <w:name w:val="contrato"/>
    <w:basedOn w:val="864"/>
    <w:uiPriority w:val="99"/>
    <w:qFormat/>
    <w:pPr>
      <w:pBdr/>
      <w:spacing/>
      <w:ind/>
      <w:jc w:val="both"/>
    </w:pPr>
    <w:rPr>
      <w:sz w:val="22"/>
      <w:szCs w:val="22"/>
      <w:lang w:val="pt-PT"/>
    </w:rPr>
  </w:style>
  <w:style w:type="paragraph" w:styleId="2231" w:customStyle="1">
    <w:name w:val="WW-Corpo do texto"/>
    <w:basedOn w:val="864"/>
    <w:qFormat/>
    <w:pPr>
      <w:pBdr/>
      <w:spacing w:after="120"/>
      <w:ind/>
    </w:pPr>
    <w:rPr>
      <w:rFonts w:cs="Liberation Serif"/>
    </w:rPr>
  </w:style>
  <w:style w:type="paragraph" w:styleId="2232" w:customStyle="1">
    <w:name w:val="Conteúfado de tabela"/>
    <w:basedOn w:val="2231"/>
    <w:uiPriority w:val="99"/>
    <w:qFormat/>
    <w:pPr>
      <w:widowControl w:val="false"/>
      <w:pBdr/>
      <w:spacing/>
      <w:ind/>
    </w:pPr>
  </w:style>
  <w:style w:type="paragraph" w:styleId="2233">
    <w:name w:val="List Bullet 4"/>
    <w:basedOn w:val="864"/>
    <w:pPr>
      <w:pBdr/>
      <w:spacing/>
      <w:ind w:hanging="283" w:left="1132"/>
    </w:pPr>
    <w:rPr>
      <w:rFonts w:cs="Liberation Serif"/>
    </w:rPr>
  </w:style>
  <w:style w:type="paragraph" w:styleId="2234" w:customStyle="1">
    <w:name w:val="P"/>
    <w:basedOn w:val="864"/>
    <w:uiPriority w:val="99"/>
    <w:qFormat/>
    <w:pPr>
      <w:pBdr/>
      <w:spacing/>
      <w:ind/>
      <w:jc w:val="both"/>
    </w:pPr>
    <w:rPr>
      <w:rFonts w:cs="Liberation Serif"/>
      <w:b/>
      <w:sz w:val="24"/>
      <w:szCs w:val="24"/>
    </w:rPr>
  </w:style>
  <w:style w:type="paragraph" w:styleId="2235" w:customStyle="1">
    <w:name w:val="Texto de comentáe1rio"/>
    <w:basedOn w:val="864"/>
    <w:uiPriority w:val="99"/>
    <w:qFormat/>
    <w:pPr>
      <w:pBdr/>
      <w:spacing/>
      <w:ind/>
    </w:pPr>
    <w:rPr>
      <w:rFonts w:cs="Liberation Serif"/>
    </w:rPr>
  </w:style>
  <w:style w:type="paragraph" w:styleId="2236" w:customStyle="1">
    <w:name w:val="TITULO 2"/>
    <w:basedOn w:val="864"/>
    <w:uiPriority w:val="99"/>
    <w:qFormat/>
    <w:pPr>
      <w:pBdr/>
      <w:tabs>
        <w:tab w:val="left" w:leader="none" w:pos="851"/>
      </w:tabs>
      <w:spacing w:after="120"/>
      <w:ind w:hanging="851" w:left="851"/>
    </w:pPr>
    <w:rPr>
      <w:b/>
      <w:smallCaps/>
      <w:color w:val="002060"/>
      <w:sz w:val="22"/>
      <w:szCs w:val="22"/>
    </w:rPr>
  </w:style>
  <w:style w:type="paragraph" w:styleId="2237">
    <w:name w:val="List Bullet 3"/>
    <w:basedOn w:val="864"/>
    <w:pPr>
      <w:pBdr/>
      <w:spacing/>
      <w:ind w:hanging="283" w:left="849"/>
    </w:pPr>
    <w:rPr>
      <w:rFonts w:cs="Liberation Serif"/>
    </w:rPr>
  </w:style>
  <w:style w:type="paragraph" w:styleId="2238">
    <w:name w:val="List Bullet 2"/>
    <w:basedOn w:val="864"/>
    <w:pPr>
      <w:pBdr/>
      <w:spacing/>
      <w:ind/>
    </w:pPr>
    <w:rPr>
      <w:rFonts w:cs="Liberation Serif"/>
      <w:sz w:val="24"/>
      <w:szCs w:val="24"/>
    </w:rPr>
  </w:style>
  <w:style w:type="paragraph" w:styleId="2239" w:customStyle="1">
    <w:name w:val="Tíedtulo 3"/>
    <w:basedOn w:val="864"/>
    <w:uiPriority w:val="99"/>
    <w:qFormat/>
    <w:pPr>
      <w:keepNext w:val="true"/>
      <w:pBdr/>
      <w:spacing w:after="60" w:before="240"/>
      <w:ind/>
    </w:pPr>
    <w:rPr>
      <w:b/>
      <w:sz w:val="26"/>
      <w:szCs w:val="26"/>
    </w:rPr>
  </w:style>
  <w:style w:type="paragraph" w:styleId="2240" w:customStyle="1">
    <w:name w:val="x_msoheader"/>
    <w:basedOn w:val="864"/>
    <w:uiPriority w:val="99"/>
    <w:qFormat/>
    <w:pPr>
      <w:pBdr/>
      <w:spacing w:after="280" w:before="280"/>
      <w:ind/>
    </w:pPr>
    <w:rPr>
      <w:rFonts w:cs="Liberation Serif"/>
      <w:sz w:val="24"/>
      <w:szCs w:val="24"/>
    </w:rPr>
  </w:style>
  <w:style w:type="paragraph" w:styleId="2241" w:customStyle="1">
    <w:name w:val="Nornal"/>
    <w:uiPriority w:val="99"/>
    <w:qFormat/>
    <w:pPr>
      <w:pBdr/>
      <w:spacing/>
      <w:ind/>
    </w:pPr>
    <w:rPr>
      <w:rFonts w:cs="Liberation Serif"/>
      <w:lang w:eastAsia="zh-CN" w:bidi="hi-IN"/>
    </w:rPr>
  </w:style>
  <w:style w:type="paragraph" w:styleId="2242" w:customStyle="1">
    <w:name w:val="Cabeçe7alho e Rodapée9"/>
    <w:basedOn w:val="864"/>
    <w:uiPriority w:val="99"/>
    <w:qFormat/>
    <w:pPr>
      <w:pBdr/>
      <w:spacing/>
      <w:ind/>
    </w:pPr>
    <w:rPr>
      <w:rFonts w:cs="Liberation Serif"/>
    </w:rPr>
  </w:style>
  <w:style w:type="paragraph" w:styleId="2243" w:customStyle="1">
    <w:name w:val="Cabeçe7alho"/>
    <w:basedOn w:val="2242"/>
    <w:uiPriority w:val="99"/>
    <w:qFormat/>
    <w:pPr>
      <w:pBdr/>
      <w:spacing/>
      <w:ind/>
    </w:pPr>
  </w:style>
  <w:style w:type="paragraph" w:styleId="2244" w:customStyle="1">
    <w:name w:val="x_msobodytext"/>
    <w:basedOn w:val="864"/>
    <w:uiPriority w:val="99"/>
    <w:qFormat/>
    <w:pPr>
      <w:pBdr/>
      <w:spacing w:after="280" w:before="280"/>
      <w:ind/>
    </w:pPr>
    <w:rPr>
      <w:rFonts w:cs="Liberation Serif"/>
      <w:sz w:val="24"/>
      <w:szCs w:val="24"/>
    </w:rPr>
  </w:style>
  <w:style w:type="paragraph" w:styleId="2245" w:customStyle="1">
    <w:name w:val="Conteúfado do quadro"/>
    <w:basedOn w:val="864"/>
    <w:uiPriority w:val="99"/>
    <w:qFormat/>
    <w:pPr>
      <w:pBdr/>
      <w:spacing/>
      <w:ind/>
    </w:pPr>
    <w:rPr>
      <w:rFonts w:cs="Liberation Serif"/>
    </w:rPr>
  </w:style>
  <w:style w:type="paragraph" w:styleId="2246" w:customStyle="1">
    <w:name w:val="x_msonormal"/>
    <w:basedOn w:val="864"/>
    <w:uiPriority w:val="99"/>
    <w:qFormat/>
    <w:pPr>
      <w:pBdr/>
      <w:spacing w:after="280" w:before="280"/>
      <w:ind/>
    </w:pPr>
    <w:rPr>
      <w:rFonts w:cs="Liberation Serif"/>
      <w:sz w:val="24"/>
      <w:szCs w:val="24"/>
    </w:rPr>
  </w:style>
  <w:style w:type="paragraph" w:styleId="2247" w:customStyle="1">
    <w:name w:val="Tíedtulo 2"/>
    <w:basedOn w:val="864"/>
    <w:uiPriority w:val="99"/>
    <w:qFormat/>
    <w:pPr>
      <w:keepNext w:val="true"/>
      <w:widowControl w:val="false"/>
      <w:pBdr/>
      <w:tabs>
        <w:tab w:val="left" w:leader="none" w:pos="857"/>
        <w:tab w:val="left" w:leader="none" w:pos="2714"/>
        <w:tab w:val="left" w:leader="none" w:pos="6592"/>
        <w:tab w:val="left" w:leader="none" w:pos="8576"/>
        <w:tab w:val="left" w:leader="none" w:pos="10419"/>
      </w:tabs>
      <w:spacing/>
      <w:ind/>
      <w:jc w:val="center"/>
    </w:pPr>
    <w:rPr>
      <w:b/>
      <w:color w:val="000000"/>
      <w:sz w:val="22"/>
      <w:szCs w:val="22"/>
    </w:rPr>
  </w:style>
  <w:style w:type="paragraph" w:styleId="2248" w:customStyle="1">
    <w:name w:val="estilo2"/>
    <w:basedOn w:val="864"/>
    <w:uiPriority w:val="99"/>
    <w:qFormat/>
    <w:pPr>
      <w:pBdr/>
      <w:spacing w:after="280" w:before="280"/>
      <w:ind/>
    </w:pPr>
    <w:rPr>
      <w:rFonts w:cs="Liberation Serif"/>
      <w:sz w:val="24"/>
      <w:szCs w:val="24"/>
    </w:rPr>
  </w:style>
  <w:style w:type="paragraph" w:styleId="2249" w:customStyle="1">
    <w:name w:val="Mapa do Documento1"/>
    <w:uiPriority w:val="99"/>
    <w:qFormat/>
    <w:pPr>
      <w:pBdr/>
      <w:spacing/>
      <w:ind/>
    </w:pPr>
    <w:rPr>
      <w:rFonts w:cs="Liberation Serif"/>
      <w:lang w:eastAsia="zh-CN" w:bidi="hi-IN"/>
    </w:rPr>
  </w:style>
  <w:style w:type="paragraph" w:styleId="2250" w:customStyle="1">
    <w:name w:val="P30"/>
    <w:basedOn w:val="864"/>
    <w:uiPriority w:val="99"/>
    <w:qFormat/>
    <w:pPr>
      <w:pBdr/>
      <w:spacing/>
      <w:ind/>
      <w:jc w:val="both"/>
    </w:pPr>
    <w:rPr>
      <w:rFonts w:cs="Liberation Serif"/>
      <w:b/>
      <w:sz w:val="24"/>
      <w:szCs w:val="24"/>
    </w:rPr>
  </w:style>
  <w:style w:type="paragraph" w:styleId="2251" w:customStyle="1">
    <w:name w:val="xl22"/>
    <w:basedOn w:val="864"/>
    <w:uiPriority w:val="99"/>
    <w:qFormat/>
    <w:pPr>
      <w:pBdr/>
      <w:spacing w:after="280" w:before="280"/>
      <w:ind/>
    </w:pPr>
    <w:rPr>
      <w:sz w:val="24"/>
      <w:szCs w:val="24"/>
    </w:rPr>
  </w:style>
  <w:style w:type="paragraph" w:styleId="2252" w:customStyle="1">
    <w:name w:val="Body Text 22"/>
    <w:basedOn w:val="864"/>
    <w:uiPriority w:val="99"/>
    <w:qFormat/>
    <w:pPr>
      <w:pBdr/>
      <w:spacing/>
      <w:ind w:hanging="1134"/>
      <w:jc w:val="both"/>
    </w:pPr>
  </w:style>
  <w:style w:type="paragraph" w:styleId="2253" w:customStyle="1">
    <w:name w:val="Tíedtulo de tabela"/>
    <w:basedOn w:val="2232"/>
    <w:uiPriority w:val="99"/>
    <w:qFormat/>
    <w:pPr>
      <w:pBdr/>
      <w:spacing/>
      <w:ind/>
      <w:jc w:val="center"/>
    </w:pPr>
    <w:rPr>
      <w:b/>
      <w:i/>
    </w:rPr>
  </w:style>
  <w:style w:type="paragraph" w:styleId="2254" w:customStyle="1">
    <w:name w:val="Nota de rodapée9"/>
    <w:basedOn w:val="864"/>
    <w:uiPriority w:val="99"/>
    <w:qFormat/>
    <w:pPr>
      <w:pBdr/>
      <w:spacing/>
      <w:ind/>
    </w:pPr>
    <w:rPr>
      <w:rFonts w:cs="Liberation Serif"/>
    </w:rPr>
  </w:style>
  <w:style w:type="paragraph" w:styleId="2255" w:customStyle="1">
    <w:name w:val="WW-Corpo do texto recuado"/>
    <w:basedOn w:val="864"/>
    <w:qFormat/>
    <w:pPr>
      <w:pBdr/>
      <w:spacing w:after="120"/>
      <w:ind w:left="283"/>
    </w:pPr>
    <w:rPr>
      <w:rFonts w:cs="Liberation Serif"/>
      <w:sz w:val="24"/>
      <w:szCs w:val="24"/>
      <w:lang w:val="en-US"/>
    </w:rPr>
  </w:style>
  <w:style w:type="paragraph" w:styleId="2256">
    <w:name w:val="Revision"/>
    <w:uiPriority w:val="99"/>
    <w:qFormat/>
    <w:pPr>
      <w:pBdr/>
      <w:spacing/>
      <w:ind/>
    </w:pPr>
    <w:rPr>
      <w:rFonts w:cs="Calibri"/>
      <w:sz w:val="22"/>
      <w:szCs w:val="22"/>
      <w:lang w:eastAsia="zh-CN" w:bidi="hi-IN"/>
    </w:rPr>
  </w:style>
  <w:style w:type="paragraph" w:styleId="2257" w:customStyle="1">
    <w:name w:val="Tíedtulo 4"/>
    <w:basedOn w:val="864"/>
    <w:uiPriority w:val="99"/>
    <w:qFormat/>
    <w:pPr>
      <w:keepNext w:val="true"/>
      <w:pBdr/>
      <w:spacing w:after="60" w:before="240"/>
      <w:ind/>
    </w:pPr>
    <w:rPr>
      <w:rFonts w:cs="Liberation Serif"/>
      <w:b/>
      <w:sz w:val="28"/>
      <w:szCs w:val="28"/>
    </w:rPr>
  </w:style>
  <w:style w:type="paragraph" w:styleId="2258" w:customStyle="1">
    <w:name w:val="Tíedtulo 1"/>
    <w:basedOn w:val="864"/>
    <w:uiPriority w:val="99"/>
    <w:qFormat/>
    <w:pPr>
      <w:keepNext w:val="true"/>
      <w:pBdr/>
      <w:spacing w:after="60" w:before="240"/>
      <w:ind/>
    </w:pPr>
    <w:rPr>
      <w:b/>
      <w:sz w:val="32"/>
      <w:szCs w:val="32"/>
      <w:lang w:val="en-US"/>
    </w:rPr>
  </w:style>
  <w:style w:type="paragraph" w:styleId="2259" w:customStyle="1">
    <w:name w:val="x_msoheading9"/>
    <w:basedOn w:val="864"/>
    <w:uiPriority w:val="99"/>
    <w:qFormat/>
    <w:pPr>
      <w:pBdr/>
      <w:spacing w:after="280" w:before="280"/>
      <w:ind/>
    </w:pPr>
    <w:rPr>
      <w:rFonts w:cs="Liberation Serif"/>
      <w:sz w:val="24"/>
      <w:szCs w:val="24"/>
    </w:rPr>
  </w:style>
  <w:style w:type="paragraph" w:styleId="2260" w:customStyle="1">
    <w:name w:val="Tíedtulo 6"/>
    <w:basedOn w:val="864"/>
    <w:uiPriority w:val="99"/>
    <w:qFormat/>
    <w:pPr>
      <w:keepNext w:val="true"/>
      <w:widowControl w:val="false"/>
      <w:pBdr/>
      <w:spacing/>
      <w:ind/>
      <w:jc w:val="center"/>
    </w:pPr>
    <w:rPr>
      <w:b/>
      <w:sz w:val="22"/>
      <w:szCs w:val="22"/>
    </w:rPr>
  </w:style>
  <w:style w:type="paragraph" w:styleId="2261" w:customStyle="1">
    <w:name w:val="Sub-Tíedtulo_Ícdtem"/>
    <w:basedOn w:val="864"/>
    <w:uiPriority w:val="99"/>
    <w:qFormat/>
    <w:pPr>
      <w:keepNext w:val="true"/>
      <w:keepLines w:val="true"/>
      <w:pBdr/>
      <w:spacing w:before="120"/>
      <w:ind/>
      <w:jc w:val="both"/>
    </w:pPr>
    <w:rPr>
      <w:rFonts w:cs="Courier New"/>
      <w:b/>
      <w:i/>
    </w:rPr>
  </w:style>
  <w:style w:type="paragraph" w:styleId="2262" w:customStyle="1">
    <w:name w:val="Tíedtulo 7"/>
    <w:basedOn w:val="864"/>
    <w:uiPriority w:val="99"/>
    <w:qFormat/>
    <w:pPr>
      <w:keepNext w:val="true"/>
      <w:widowControl w:val="false"/>
      <w:pBdr/>
      <w:spacing/>
      <w:ind w:left="360"/>
      <w:jc w:val="both"/>
    </w:pPr>
    <w:rPr>
      <w:b/>
      <w:sz w:val="22"/>
      <w:szCs w:val="22"/>
    </w:rPr>
  </w:style>
  <w:style w:type="paragraph" w:styleId="2263" w:customStyle="1">
    <w:name w:val="Body Text 31"/>
    <w:basedOn w:val="864"/>
    <w:uiPriority w:val="99"/>
    <w:qFormat/>
    <w:pPr>
      <w:pBdr/>
      <w:spacing/>
      <w:ind/>
      <w:jc w:val="both"/>
    </w:pPr>
    <w:rPr>
      <w:rFonts w:cs="Liberation Serif"/>
      <w:sz w:val="24"/>
      <w:szCs w:val="24"/>
    </w:rPr>
  </w:style>
  <w:style w:type="paragraph" w:styleId="2264" w:customStyle="1">
    <w:name w:val="N21"/>
    <w:basedOn w:val="864"/>
    <w:uiPriority w:val="99"/>
    <w:qFormat/>
    <w:pPr>
      <w:pBdr/>
      <w:spacing w:before="60"/>
      <w:ind w:hanging="425" w:left="2268"/>
      <w:jc w:val="both"/>
    </w:pPr>
  </w:style>
  <w:style w:type="paragraph" w:styleId="2265" w:customStyle="1">
    <w:name w:val="Ícdndice"/>
    <w:basedOn w:val="864"/>
    <w:uiPriority w:val="99"/>
    <w:qFormat/>
    <w:pPr>
      <w:pBdr/>
      <w:spacing/>
      <w:ind/>
    </w:pPr>
    <w:rPr>
      <w:rFonts w:cs="Liberation Serif"/>
    </w:rPr>
  </w:style>
  <w:style w:type="paragraph" w:styleId="2266" w:customStyle="1">
    <w:name w:val="Paráe1grafo da Lista"/>
    <w:basedOn w:val="864"/>
    <w:uiPriority w:val="99"/>
    <w:qFormat/>
    <w:pPr>
      <w:pBdr/>
      <w:spacing/>
      <w:ind w:left="720"/>
    </w:pPr>
    <w:rPr>
      <w:rFonts w:cs="Liberation Serif"/>
    </w:rPr>
  </w:style>
  <w:style w:type="paragraph" w:styleId="2267" w:customStyle="1">
    <w:name w:val="Estilo21"/>
    <w:basedOn w:val="864"/>
    <w:uiPriority w:val="99"/>
    <w:qFormat/>
    <w:pPr>
      <w:pBdr/>
      <w:spacing/>
      <w:ind w:hanging="284" w:left="2694"/>
      <w:jc w:val="both"/>
    </w:pPr>
    <w:rPr>
      <w:rFonts w:cs="Liberation Serif"/>
      <w:sz w:val="24"/>
      <w:szCs w:val="24"/>
    </w:rPr>
  </w:style>
  <w:style w:type="paragraph" w:styleId="2268" w:customStyle="1">
    <w:name w:val="Subtíedtulo"/>
    <w:basedOn w:val="864"/>
    <w:uiPriority w:val="99"/>
    <w:qFormat/>
    <w:pPr>
      <w:pBdr/>
      <w:spacing w:after="60" w:before="120" w:line="276" w:lineRule="auto"/>
      <w:ind/>
    </w:pPr>
    <w:rPr>
      <w:rFonts w:cs="Calibri"/>
      <w:b/>
      <w:sz w:val="22"/>
      <w:szCs w:val="22"/>
    </w:rPr>
  </w:style>
  <w:style w:type="paragraph" w:styleId="2269" w:customStyle="1">
    <w:name w:val="Body Text Indent 31"/>
    <w:basedOn w:val="864"/>
    <w:uiPriority w:val="99"/>
    <w:qFormat/>
    <w:pPr>
      <w:pBdr/>
      <w:spacing/>
      <w:ind w:hanging="1134" w:left="1134"/>
      <w:jc w:val="both"/>
    </w:pPr>
    <w:rPr>
      <w:sz w:val="22"/>
      <w:szCs w:val="22"/>
    </w:rPr>
  </w:style>
  <w:style w:type="paragraph" w:styleId="2270" w:customStyle="1">
    <w:name w:val="Conteúfado da tabela"/>
    <w:basedOn w:val="2231"/>
    <w:uiPriority w:val="99"/>
    <w:qFormat/>
    <w:pPr>
      <w:widowControl w:val="false"/>
      <w:pBdr/>
      <w:spacing/>
      <w:ind/>
    </w:pPr>
  </w:style>
  <w:style w:type="paragraph" w:styleId="2271" w:customStyle="1">
    <w:name w:val="Tíedtulo"/>
    <w:basedOn w:val="864"/>
    <w:next w:val="2231"/>
    <w:uiPriority w:val="99"/>
    <w:qFormat/>
    <w:pPr>
      <w:keepNext w:val="true"/>
      <w:pBdr/>
      <w:spacing w:after="120" w:before="240"/>
      <w:ind/>
    </w:pPr>
    <w:rPr>
      <w:rFonts w:cs="Liberation Sans"/>
      <w:sz w:val="28"/>
      <w:szCs w:val="28"/>
    </w:rPr>
  </w:style>
  <w:style w:type="paragraph" w:styleId="2272" w:customStyle="1">
    <w:name w:val="Rodapée9"/>
    <w:basedOn w:val="864"/>
    <w:uiPriority w:val="99"/>
    <w:qFormat/>
    <w:pPr>
      <w:widowControl w:val="false"/>
      <w:pBdr/>
      <w:tabs>
        <w:tab w:val="center" w:leader="none" w:pos="4419"/>
        <w:tab w:val="right" w:leader="none" w:pos="8838"/>
      </w:tabs>
      <w:spacing/>
      <w:ind/>
    </w:pPr>
    <w:rPr>
      <w:rFonts w:cs="Liberation Serif"/>
      <w:lang w:val="en-US"/>
    </w:rPr>
  </w:style>
  <w:style w:type="paragraph" w:styleId="2273" w:customStyle="1">
    <w:name w:val="Tíedtulo 5"/>
    <w:basedOn w:val="864"/>
    <w:uiPriority w:val="99"/>
    <w:qFormat/>
    <w:pPr>
      <w:pBdr/>
      <w:spacing w:after="60" w:before="240"/>
      <w:ind/>
    </w:pPr>
    <w:rPr>
      <w:rFonts w:cs="Liberation Serif"/>
      <w:b/>
      <w:i/>
      <w:sz w:val="26"/>
      <w:szCs w:val="26"/>
    </w:rPr>
  </w:style>
  <w:style w:type="paragraph" w:styleId="2274" w:customStyle="1">
    <w:name w:val="04partenormativa"/>
    <w:basedOn w:val="864"/>
    <w:uiPriority w:val="99"/>
    <w:qFormat/>
    <w:pPr>
      <w:pBdr/>
      <w:spacing w:after="280" w:before="280"/>
      <w:ind/>
    </w:pPr>
    <w:rPr>
      <w:rFonts w:cs="Liberation Serif"/>
      <w:sz w:val="24"/>
      <w:szCs w:val="24"/>
    </w:rPr>
  </w:style>
  <w:style w:type="paragraph" w:styleId="2275" w:customStyle="1">
    <w:name w:val="S1-Header1"/>
    <w:basedOn w:val="864"/>
    <w:uiPriority w:val="99"/>
    <w:qFormat/>
    <w:pPr>
      <w:pBdr/>
      <w:tabs>
        <w:tab w:val="left" w:leader="none" w:pos="720"/>
      </w:tabs>
      <w:spacing w:after="240" w:before="240"/>
      <w:ind w:hanging="360" w:left="720"/>
      <w:jc w:val="center"/>
    </w:pPr>
    <w:rPr>
      <w:rFonts w:cs="Liberation Serif"/>
      <w:b/>
      <w:sz w:val="28"/>
      <w:szCs w:val="28"/>
    </w:rPr>
  </w:style>
  <w:style w:type="paragraph" w:styleId="2276" w:customStyle="1">
    <w:name w:val="TITULO 3"/>
    <w:basedOn w:val="864"/>
    <w:uiPriority w:val="99"/>
    <w:qFormat/>
    <w:pPr>
      <w:pBdr/>
      <w:tabs>
        <w:tab w:val="left" w:leader="none" w:pos="851"/>
      </w:tabs>
      <w:spacing w:after="120"/>
      <w:ind w:hanging="851" w:left="851"/>
      <w:jc w:val="both"/>
    </w:pPr>
    <w:rPr>
      <w:b/>
      <w:color w:val="002060"/>
      <w:sz w:val="22"/>
      <w:szCs w:val="22"/>
    </w:rPr>
  </w:style>
  <w:style w:type="paragraph" w:styleId="2277" w:customStyle="1">
    <w:name w:val="Tíedtulo da tabela"/>
    <w:basedOn w:val="2270"/>
    <w:uiPriority w:val="99"/>
    <w:qFormat/>
    <w:pPr>
      <w:pBdr/>
      <w:spacing/>
      <w:ind/>
      <w:jc w:val="center"/>
    </w:pPr>
    <w:rPr>
      <w:b/>
      <w:i/>
    </w:rPr>
  </w:style>
  <w:style w:type="paragraph" w:styleId="2278" w:customStyle="1">
    <w:name w:val="Body Text 21"/>
    <w:basedOn w:val="864"/>
    <w:uiPriority w:val="99"/>
    <w:qFormat/>
    <w:pPr>
      <w:pBdr/>
      <w:tabs>
        <w:tab w:val="left" w:leader="none" w:pos="426"/>
        <w:tab w:val="left" w:leader="none" w:pos="1134"/>
      </w:tabs>
      <w:spacing w:before="120"/>
      <w:ind/>
      <w:jc w:val="both"/>
    </w:pPr>
    <w:rPr>
      <w:sz w:val="24"/>
      <w:szCs w:val="24"/>
    </w:rPr>
  </w:style>
  <w:style w:type="paragraph" w:styleId="2279" w:customStyle="1">
    <w:name w:val="reservado3"/>
    <w:basedOn w:val="864"/>
    <w:uiPriority w:val="99"/>
    <w:qFormat/>
    <w:pPr>
      <w:widowControl w:val="false"/>
      <w:pBdr/>
      <w:tabs>
        <w:tab w:val="left" w:leader="none" w:pos="0"/>
        <w:tab w:val="left" w:leader="none" w:pos="566"/>
        <w:tab w:val="left" w:leader="none" w:pos="1133"/>
        <w:tab w:val="left" w:leader="none" w:pos="1699"/>
        <w:tab w:val="left" w:leader="none" w:pos="2266"/>
        <w:tab w:val="left" w:leader="none" w:pos="2832"/>
        <w:tab w:val="left" w:leader="none" w:pos="3398"/>
        <w:tab w:val="left" w:leader="none" w:pos="3965"/>
        <w:tab w:val="left" w:leader="none" w:pos="4531"/>
        <w:tab w:val="left" w:leader="none" w:pos="5098"/>
        <w:tab w:val="left" w:leader="none" w:pos="5664"/>
        <w:tab w:val="left" w:leader="none" w:pos="6230"/>
        <w:tab w:val="left" w:leader="none" w:pos="6797"/>
        <w:tab w:val="left" w:leader="none" w:pos="7363"/>
        <w:tab w:val="left" w:leader="none" w:pos="7930"/>
        <w:tab w:val="left" w:leader="none" w:pos="8496"/>
        <w:tab w:val="left" w:leader="none" w:pos="9000"/>
        <w:tab w:val="left" w:leader="none" w:pos="9062"/>
        <w:tab w:val="right" w:leader="none" w:pos="9360"/>
        <w:tab w:val="left" w:leader="none" w:pos="9629"/>
        <w:tab w:val="left" w:leader="none" w:pos="10195"/>
        <w:tab w:val="left" w:leader="none" w:pos="10762"/>
      </w:tabs>
      <w:spacing/>
      <w:ind/>
      <w:jc w:val="both"/>
    </w:pPr>
    <w:rPr>
      <w:spacing w:val="-3"/>
      <w:sz w:val="24"/>
      <w:szCs w:val="24"/>
    </w:rPr>
  </w:style>
  <w:style w:type="paragraph" w:styleId="2280" w:customStyle="1">
    <w:name w:val="Tíedtulo do documento"/>
    <w:basedOn w:val="864"/>
    <w:uiPriority w:val="99"/>
    <w:qFormat/>
    <w:pPr>
      <w:pBdr/>
      <w:spacing w:after="120" w:line="360" w:lineRule="auto"/>
      <w:ind/>
      <w:jc w:val="center"/>
    </w:pPr>
    <w:rPr>
      <w:b/>
      <w:sz w:val="32"/>
      <w:szCs w:val="32"/>
    </w:rPr>
  </w:style>
  <w:style w:type="paragraph" w:styleId="2281" w:customStyle="1">
    <w:name w:val="Blockquote"/>
    <w:basedOn w:val="864"/>
    <w:uiPriority w:val="99"/>
    <w:qFormat/>
    <w:pPr>
      <w:pBdr/>
      <w:spacing w:after="100" w:before="100"/>
      <w:ind w:right="360" w:left="360"/>
    </w:pPr>
    <w:rPr>
      <w:rFonts w:cs="Liberation Serif"/>
      <w:sz w:val="24"/>
      <w:szCs w:val="24"/>
    </w:rPr>
  </w:style>
  <w:style w:type="paragraph" w:styleId="2282" w:customStyle="1">
    <w:name w:val="Corpo de texto 211"/>
    <w:basedOn w:val="864"/>
    <w:uiPriority w:val="99"/>
    <w:qFormat/>
    <w:pPr>
      <w:pBdr/>
      <w:spacing/>
      <w:ind w:hanging="1134"/>
      <w:jc w:val="both"/>
    </w:pPr>
  </w:style>
  <w:style w:type="paragraph" w:styleId="2283" w:customStyle="1">
    <w:name w:val="Subtitle 2"/>
    <w:basedOn w:val="2272"/>
    <w:uiPriority w:val="99"/>
    <w:qFormat/>
    <w:pPr>
      <w:pBdr/>
      <w:tabs>
        <w:tab w:val="clear" w:leader="none" w:pos="4419"/>
        <w:tab w:val="center" w:leader="none" w:pos="4752"/>
        <w:tab w:val="clear" w:leader="none" w:pos="8838"/>
        <w:tab w:val="right" w:leader="none" w:pos="9778"/>
      </w:tabs>
      <w:spacing w:after="240" w:before="240"/>
      <w:ind/>
      <w:jc w:val="center"/>
    </w:pPr>
    <w:rPr>
      <w:b/>
      <w:sz w:val="32"/>
      <w:szCs w:val="32"/>
    </w:rPr>
  </w:style>
  <w:style w:type="paragraph" w:styleId="2284" w:customStyle="1">
    <w:name w:val="Normal(i)"/>
    <w:basedOn w:val="864"/>
    <w:uiPriority w:val="99"/>
    <w:qFormat/>
    <w:pPr>
      <w:keepLines w:val="true"/>
      <w:pBdr/>
      <w:tabs>
        <w:tab w:val="left" w:leader="none" w:pos="1843"/>
      </w:tabs>
      <w:spacing w:after="120"/>
      <w:ind/>
      <w:jc w:val="both"/>
    </w:pPr>
    <w:rPr>
      <w:rFonts w:cs="Liberation Serif"/>
      <w:sz w:val="24"/>
      <w:szCs w:val="24"/>
      <w:lang w:val="en-GB"/>
    </w:rPr>
  </w:style>
  <w:style w:type="paragraph" w:styleId="2285" w:customStyle="1">
    <w:name w:val="Tíedtulo letra"/>
    <w:basedOn w:val="864"/>
    <w:uiPriority w:val="99"/>
    <w:qFormat/>
    <w:pPr>
      <w:pBdr/>
      <w:tabs>
        <w:tab w:val="left" w:leader="none" w:pos="360"/>
      </w:tabs>
      <w:spacing w:before="240"/>
      <w:ind w:hanging="283" w:left="283"/>
      <w:jc w:val="both"/>
    </w:pPr>
    <w:rPr>
      <w:sz w:val="24"/>
      <w:szCs w:val="24"/>
    </w:rPr>
  </w:style>
  <w:style w:type="paragraph" w:styleId="2286" w:customStyle="1">
    <w:name w:val="Assunto do comentáe1rio"/>
    <w:uiPriority w:val="99"/>
    <w:qFormat/>
    <w:pPr>
      <w:widowControl w:val="false"/>
      <w:pBdr/>
      <w:spacing/>
      <w:ind/>
    </w:pPr>
    <w:rPr>
      <w:rFonts w:cs="Liberation Serif"/>
      <w:b/>
      <w:lang w:eastAsia="zh-CN" w:bidi="hi-IN"/>
    </w:rPr>
  </w:style>
  <w:style w:type="paragraph" w:styleId="2287" w:customStyle="1">
    <w:name w:val="Corpo de texto 23"/>
    <w:basedOn w:val="864"/>
    <w:uiPriority w:val="99"/>
    <w:qFormat/>
    <w:pPr>
      <w:pBdr/>
      <w:spacing/>
      <w:ind w:hanging="1134"/>
      <w:jc w:val="both"/>
    </w:pPr>
  </w:style>
  <w:style w:type="paragraph" w:styleId="2288" w:customStyle="1">
    <w:name w:val="Corpo de texto 24"/>
    <w:basedOn w:val="864"/>
    <w:uiPriority w:val="99"/>
    <w:qFormat/>
    <w:pPr>
      <w:pBdr/>
      <w:spacing/>
      <w:ind w:hanging="1134"/>
      <w:jc w:val="both"/>
    </w:pPr>
  </w:style>
  <w:style w:type="paragraph" w:styleId="2289" w:customStyle="1">
    <w:name w:val="Recuo de corpo de texto 33"/>
    <w:basedOn w:val="864"/>
    <w:uiPriority w:val="99"/>
    <w:qFormat/>
    <w:pPr>
      <w:pBdr/>
      <w:spacing/>
      <w:ind w:hanging="1134" w:left="1134"/>
      <w:jc w:val="both"/>
    </w:pPr>
    <w:rPr>
      <w:sz w:val="22"/>
      <w:szCs w:val="22"/>
    </w:rPr>
  </w:style>
  <w:style w:type="paragraph" w:styleId="2290" w:customStyle="1">
    <w:name w:val="SUB-TITULO 6"/>
    <w:basedOn w:val="864"/>
    <w:uiPriority w:val="99"/>
    <w:qFormat/>
    <w:pPr>
      <w:pBdr/>
      <w:tabs>
        <w:tab w:val="left" w:leader="none" w:pos="340"/>
      </w:tabs>
      <w:spacing w:after="120"/>
      <w:ind w:hanging="360" w:left="644"/>
      <w:jc w:val="both"/>
    </w:pPr>
    <w:rPr>
      <w:b/>
      <w:i/>
      <w:color w:val="002060"/>
      <w:sz w:val="22"/>
      <w:szCs w:val="22"/>
    </w:rPr>
  </w:style>
  <w:style w:type="paragraph" w:styleId="2291" w:customStyle="1">
    <w:name w:val="Revisãe3o"/>
    <w:uiPriority w:val="99"/>
    <w:qFormat/>
    <w:pPr>
      <w:pBdr/>
      <w:spacing/>
      <w:ind/>
    </w:pPr>
    <w:rPr>
      <w:rFonts w:cs="Calibri"/>
      <w:sz w:val="22"/>
      <w:szCs w:val="22"/>
      <w:lang w:eastAsia="zh-CN" w:bidi="hi-IN"/>
    </w:rPr>
  </w:style>
  <w:style w:type="paragraph" w:styleId="2292" w:customStyle="1">
    <w:name w:val="Sem Espaçe7amento"/>
    <w:uiPriority w:val="99"/>
    <w:qFormat/>
    <w:pPr>
      <w:pBdr/>
      <w:spacing/>
      <w:ind/>
    </w:pPr>
    <w:rPr>
      <w:rFonts w:cs="Calibri"/>
      <w:sz w:val="22"/>
      <w:szCs w:val="22"/>
      <w:lang w:eastAsia="zh-CN" w:bidi="hi-IN"/>
    </w:rPr>
  </w:style>
  <w:style w:type="paragraph" w:styleId="2293" w:customStyle="1">
    <w:name w:val="LO-normal1"/>
    <w:qFormat/>
    <w:pPr>
      <w:pBdr/>
      <w:spacing/>
      <w:ind/>
    </w:pPr>
    <w:rPr>
      <w:rFonts w:ascii="Liberation Serif" w:hAnsi="Liberation Serif" w:eastAsia="SimSun" w:cs="Liberation Serif"/>
      <w:sz w:val="24"/>
      <w:szCs w:val="24"/>
      <w:lang w:eastAsia="zh-CN" w:bidi="hi-IN"/>
    </w:rPr>
  </w:style>
  <w:style w:type="paragraph" w:styleId="2294" w:customStyle="1">
    <w:name w:val="Recuo de corpo de texto 34"/>
    <w:basedOn w:val="864"/>
    <w:qFormat/>
    <w:pPr>
      <w:widowControl w:val="false"/>
      <w:pBdr/>
      <w:spacing/>
      <w:ind w:left="1418"/>
      <w:jc w:val="both"/>
    </w:pPr>
    <w:rPr>
      <w:rFonts w:ascii="Arial" w:hAnsi="Arial"/>
      <w:sz w:val="24"/>
      <w:lang w:val="en-US"/>
    </w:rPr>
  </w:style>
  <w:style w:type="paragraph" w:styleId="2295">
    <w:name w:val="Block Text"/>
    <w:basedOn w:val="864"/>
    <w:uiPriority w:val="99"/>
    <w:unhideWhenUsed/>
    <w:qFormat/>
    <w:pPr>
      <w:widowControl w:val="false"/>
      <w:pBdr/>
      <w:spacing w:line="360" w:lineRule="auto"/>
      <w:ind w:right="-1" w:hanging="284" w:left="2835"/>
    </w:pPr>
    <w:rPr>
      <w:sz w:val="22"/>
      <w:szCs w:val="22"/>
      <w:lang w:eastAsia="pt-BR"/>
    </w:rPr>
  </w:style>
  <w:style w:type="paragraph" w:styleId="2296" w:customStyle="1">
    <w:name w:val="Estilo1"/>
    <w:basedOn w:val="864"/>
    <w:uiPriority w:val="99"/>
    <w:unhideWhenUsed/>
    <w:qFormat/>
    <w:pPr>
      <w:pBdr/>
      <w:tabs>
        <w:tab w:val="left" w:leader="none" w:pos="2268"/>
      </w:tabs>
      <w:spacing/>
      <w:ind w:hanging="992" w:left="2410"/>
      <w:jc w:val="both"/>
    </w:pPr>
    <w:rPr>
      <w:sz w:val="24"/>
      <w:szCs w:val="24"/>
      <w:lang w:eastAsia="pt-BR"/>
    </w:rPr>
  </w:style>
  <w:style w:type="paragraph" w:styleId="2297">
    <w:name w:val="annotation text"/>
    <w:basedOn w:val="864"/>
    <w:link w:val="999"/>
    <w:uiPriority w:val="99"/>
    <w:unhideWhenUsed/>
    <w:qFormat/>
    <w:pPr>
      <w:widowControl w:val="false"/>
      <w:pBdr/>
      <w:spacing/>
      <w:ind/>
    </w:pPr>
    <w:rPr>
      <w:rFonts w:ascii="Ecofont_Spranq_eco_Sans" w:hAnsi="Ecofont_Spranq_eco_Sans" w:eastAsia="MS Mincho" w:cs="Tahoma"/>
      <w:lang w:eastAsia="pt-BR"/>
    </w:rPr>
  </w:style>
  <w:style w:type="paragraph" w:styleId="2298">
    <w:name w:val="Body Text Indent 2"/>
    <w:basedOn w:val="864"/>
    <w:link w:val="1068"/>
    <w:uiPriority w:val="99"/>
    <w:unhideWhenUsed/>
    <w:qFormat/>
    <w:pPr>
      <w:pBdr/>
      <w:spacing/>
      <w:ind w:firstLine="2183"/>
      <w:jc w:val="both"/>
    </w:pPr>
  </w:style>
  <w:style w:type="paragraph" w:styleId="2299">
    <w:name w:val="List 4"/>
    <w:basedOn w:val="864"/>
    <w:uiPriority w:val="99"/>
    <w:unhideWhenUsed/>
    <w:qFormat/>
    <w:pPr>
      <w:pBdr/>
      <w:spacing/>
      <w:ind w:hanging="283" w:left="1132"/>
    </w:pPr>
    <w:rPr>
      <w:lang w:eastAsia="pt-BR"/>
    </w:rPr>
  </w:style>
  <w:style w:type="paragraph" w:styleId="2300">
    <w:name w:val="Plain Text"/>
    <w:basedOn w:val="864"/>
    <w:link w:val="988"/>
    <w:uiPriority w:val="99"/>
    <w:unhideWhenUsed/>
    <w:qFormat/>
    <w:pPr>
      <w:pBdr/>
      <w:spacing/>
      <w:ind/>
    </w:pPr>
    <w:rPr>
      <w:rFonts w:ascii="Courier New" w:hAnsi="Courier New" w:cs="Courier New"/>
      <w:lang w:eastAsia="pt-BR"/>
    </w:rPr>
  </w:style>
  <w:style w:type="paragraph" w:styleId="2301">
    <w:name w:val="Body Text 3"/>
    <w:basedOn w:val="864"/>
    <w:link w:val="1066"/>
    <w:uiPriority w:val="99"/>
    <w:unhideWhenUsed/>
    <w:qFormat/>
    <w:pPr>
      <w:pBdr/>
      <w:spacing/>
      <w:ind/>
      <w:jc w:val="both"/>
    </w:pPr>
    <w:rPr>
      <w:sz w:val="16"/>
      <w:szCs w:val="16"/>
    </w:rPr>
  </w:style>
  <w:style w:type="paragraph" w:styleId="2302">
    <w:name w:val="Body Text 2"/>
    <w:basedOn w:val="864"/>
    <w:link w:val="1069"/>
    <w:uiPriority w:val="99"/>
    <w:unhideWhenUsed/>
    <w:qFormat/>
    <w:pPr>
      <w:pBdr/>
      <w:spacing w:after="100" w:before="100"/>
      <w:ind/>
      <w:jc w:val="both"/>
    </w:pPr>
  </w:style>
  <w:style w:type="paragraph" w:styleId="2303" w:customStyle="1">
    <w:name w:val="Corpo do texto"/>
    <w:basedOn w:val="864"/>
    <w:uiPriority w:val="99"/>
    <w:unhideWhenUsed/>
    <w:qFormat/>
    <w:pPr>
      <w:pBdr/>
      <w:spacing w:after="120"/>
      <w:ind/>
    </w:pPr>
    <w:rPr>
      <w:lang w:eastAsia="pt-BR"/>
    </w:rPr>
  </w:style>
  <w:style w:type="paragraph" w:styleId="2304">
    <w:name w:val="List 3"/>
    <w:basedOn w:val="864"/>
    <w:uiPriority w:val="99"/>
    <w:unhideWhenUsed/>
    <w:qFormat/>
    <w:pPr>
      <w:pBdr/>
      <w:spacing/>
      <w:ind w:hanging="283" w:left="849"/>
    </w:pPr>
    <w:rPr>
      <w:lang w:eastAsia="pt-BR"/>
    </w:rPr>
  </w:style>
  <w:style w:type="paragraph" w:styleId="2305">
    <w:name w:val="List 2"/>
    <w:basedOn w:val="864"/>
    <w:uiPriority w:val="99"/>
    <w:unhideWhenUsed/>
    <w:qFormat/>
    <w:pPr>
      <w:pBdr/>
      <w:spacing/>
      <w:ind/>
    </w:pPr>
    <w:rPr>
      <w:sz w:val="24"/>
      <w:szCs w:val="24"/>
      <w:lang w:eastAsia="pt-BR"/>
    </w:rPr>
  </w:style>
  <w:style w:type="paragraph" w:styleId="2306" w:customStyle="1">
    <w:name w:val="Corpo do texto recuado"/>
    <w:basedOn w:val="864"/>
    <w:uiPriority w:val="99"/>
    <w:unhideWhenUsed/>
    <w:qFormat/>
    <w:pPr>
      <w:pBdr/>
      <w:spacing w:after="120"/>
      <w:ind w:left="283"/>
    </w:pPr>
    <w:rPr>
      <w:sz w:val="24"/>
      <w:szCs w:val="24"/>
      <w:lang w:val="en-US" w:eastAsia="pt-BR"/>
    </w:rPr>
  </w:style>
  <w:style w:type="paragraph" w:styleId="2307">
    <w:name w:val="HTML Address"/>
    <w:basedOn w:val="864"/>
    <w:link w:val="2004"/>
    <w:uiPriority w:val="99"/>
    <w:unhideWhenUsed/>
    <w:qFormat/>
    <w:pPr>
      <w:pBdr/>
      <w:spacing/>
      <w:ind/>
    </w:pPr>
    <w:rPr>
      <w:rFonts w:eastAsia="SimSun"/>
      <w:i/>
      <w:iCs/>
      <w:sz w:val="24"/>
      <w:szCs w:val="24"/>
      <w:lang w:eastAsia="pt-BR"/>
    </w:rPr>
  </w:style>
  <w:style w:type="paragraph" w:styleId="2308" w:customStyle="1">
    <w:name w:val="western"/>
    <w:basedOn w:val="864"/>
    <w:qFormat/>
    <w:pPr>
      <w:pBdr/>
      <w:spacing w:afterAutospacing="1" w:beforeAutospacing="1"/>
      <w:ind/>
    </w:pPr>
    <w:rPr>
      <w:rFonts w:ascii="Arial" w:hAnsi="Arial" w:eastAsia="SimSun"/>
      <w:lang w:eastAsia="pt-BR"/>
    </w:rPr>
  </w:style>
  <w:style w:type="paragraph" w:styleId="2309" w:customStyle="1">
    <w:name w:val="Nível 1-Sem Num Preto"/>
    <w:basedOn w:val="864"/>
    <w:link w:val="2005"/>
    <w:qFormat/>
    <w:pPr>
      <w:keepNext w:val="true"/>
      <w:keepLines w:val="true"/>
      <w:pBdr/>
      <w:tabs>
        <w:tab w:val="left" w:leader="none" w:pos="567"/>
      </w:tabs>
      <w:spacing w:after="120" w:before="240" w:line="276" w:lineRule="auto"/>
      <w:ind/>
      <w:jc w:val="both"/>
      <w:outlineLvl w:val="1"/>
    </w:pPr>
    <w:rPr>
      <w:rFonts w:ascii="Arial" w:hAnsi="Arial" w:eastAsia="SimSun"/>
      <w:b/>
      <w:bCs/>
      <w:lang w:bidi="hi-IN"/>
    </w:rPr>
  </w:style>
  <w:style w:type="paragraph" w:styleId="2310" w:customStyle="1">
    <w:name w:val="header;hd;he"/>
    <w:qFormat/>
    <w:pPr>
      <w:pBdr/>
      <w:tabs>
        <w:tab w:val="center" w:leader="none" w:pos="4419"/>
        <w:tab w:val="right" w:leader="none" w:pos="8838"/>
      </w:tabs>
      <w:spacing/>
      <w:ind/>
    </w:pPr>
    <w:rPr>
      <w:rFonts w:ascii="SimSun" w:hAnsi="SimSun" w:eastAsia="SimSun" w:cs="SimSun"/>
      <w:lang w:eastAsia="zh-CN"/>
    </w:rPr>
  </w:style>
  <w:style w:type="paragraph" w:styleId="2311" w:customStyle="1">
    <w:name w:val="Normal (Web)1"/>
    <w:uiPriority w:val="7"/>
    <w:qFormat/>
    <w:pPr>
      <w:pBdr/>
      <w:spacing w:after="280" w:before="280"/>
      <w:ind/>
    </w:pPr>
    <w:rPr>
      <w:rFonts w:eastAsia="SimSun"/>
      <w:color w:val="000000"/>
      <w:szCs w:val="24"/>
      <w:lang w:val="en-US" w:eastAsia="zh-CN"/>
    </w:rPr>
  </w:style>
  <w:style w:type="paragraph" w:styleId="2312" w:customStyle="1">
    <w:name w:val="Parágrafo_Parecer"/>
    <w:qFormat/>
    <w:pPr>
      <w:pBdr/>
      <w:tabs>
        <w:tab w:val="left" w:leader="none" w:pos="-1559"/>
        <w:tab w:val="left" w:leader="none" w:pos="1418"/>
      </w:tabs>
      <w:spacing/>
      <w:ind/>
    </w:pPr>
    <w:rPr>
      <w:rFonts w:eastAsia="Verdana" w:cs="Verdana"/>
      <w:sz w:val="24"/>
      <w:lang w:eastAsia="ar-SA" w:bidi="hi-IN"/>
    </w:rPr>
  </w:style>
  <w:style w:type="table" w:styleId="2313">
    <w:name w:val="Table Grid"/>
    <w:basedOn w:val="875"/>
    <w:uiPriority w:val="59"/>
    <w:qFormat/>
    <w:pPr>
      <w:pBdr/>
      <w:spacing/>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14" w:customStyle="1">
    <w:name w:val="Table Grid Light"/>
    <w:basedOn w:val="875"/>
    <w:uiPriority w:val="59"/>
    <w:pPr>
      <w:pBdr/>
      <w:spacing/>
      <w:ind/>
    </w:pPr>
    <w:tblPr>
      <w:tblInd w:w="0" w:type="dxa"/>
      <w:tblCellMar>
        <w:left w:w="108" w:type="dxa"/>
        <w:top w:w="0" w:type="dxa"/>
        <w:right w:w="108" w:type="dxa"/>
        <w:bottom w:w="0" w:type="dxa"/>
      </w:tblCellMa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15">
    <w:name w:val="Plain Table 1"/>
    <w:basedOn w:val="875"/>
    <w:uiPriority w:val="59"/>
    <w:pPr>
      <w:pBdr/>
      <w:spacing/>
      <w:ind/>
    </w:pPr>
    <w:tblPr>
      <w:tblInd w:w="0" w:type="dxa"/>
      <w:tblCellMar>
        <w:left w:w="108" w:type="dxa"/>
        <w:top w:w="0" w:type="dxa"/>
        <w:right w:w="108" w:type="dxa"/>
        <w:bottom w:w="0" w:type="dxa"/>
      </w:tblCellMa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cPr>
      <w:tcBorders/>
    </w:tcPr>
    <w:tblStylePr w:type="band1Horz">
      <w:pPr>
        <w:pBdr/>
        <w:spacing/>
        <w:ind/>
      </w:pPr>
      <w:tblPr>
        <w:tblBorders/>
      </w:tblPr>
      <w:tcPr>
        <w:shd w:val="clear" w:color="f2f2f2" w:fill="f2f2f2"/>
        <w:tcBorders/>
      </w:tcPr>
    </w:tblStylePr>
    <w:tblStylePr w:type="band1Vert">
      <w:pPr>
        <w:pBdr/>
        <w:spacing/>
        <w:ind/>
      </w:pPr>
      <w:tblPr>
        <w:tblBorders/>
      </w:tblPr>
      <w:tcPr>
        <w:shd w:val="clear" w:color="f2f2f2" w:fill="f2f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16">
    <w:name w:val="Plain Table 2"/>
    <w:basedOn w:val="875"/>
    <w:uiPriority w:val="59"/>
    <w:pPr>
      <w:pBdr/>
      <w:spacing/>
      <w:ind/>
    </w:pPr>
    <w:tblPr>
      <w:tblInd w:w="0" w:type="dxa"/>
      <w:tblCellMar>
        <w:left w:w="108" w:type="dxa"/>
        <w:top w:w="0" w:type="dxa"/>
        <w:right w:w="108" w:type="dxa"/>
        <w:bottom w:w="0" w:type="dxa"/>
      </w:tblCellMar>
      <w:tblBorders>
        <w:top w:val="single" w:color="000000" w:sz="4" w:space="0"/>
        <w:left w:val="none" w:color="000000" w:sz="4" w:space="0"/>
        <w:bottom w:val="single" w:color="000000" w:sz="4" w:space="0"/>
        <w:right w:val="none" w:color="000000" w:sz="4" w:space="0"/>
      </w:tblBorders>
    </w:tblPr>
    <w:tcPr>
      <w:tcBorders/>
    </w:tcPr>
    <w:tblStylePr w:type="band1Horz">
      <w:pPr>
        <w:pBdr/>
        <w:spacing/>
        <w:ind/>
      </w:pPr>
      <w:tblPr>
        <w:tblBorders/>
      </w:tblPr>
      <w:tcPr>
        <w:tcBorders>
          <w:top w:val="single" w:color="000000" w:sz="4" w:space="0"/>
          <w:bottom w:val="single" w:color="000000" w:sz="4" w:space="0"/>
        </w:tcBorders>
      </w:tcPr>
    </w:tblStylePr>
    <w:tblStylePr w:type="band1Vert">
      <w:pPr>
        <w:pBdr/>
        <w:spacing/>
        <w:ind/>
      </w:pPr>
      <w:tblPr>
        <w:tblBorders/>
      </w:tblPr>
      <w:tcPr>
        <w:tcBorders>
          <w:left w:val="single" w:color="000000" w:sz="4" w:space="0"/>
          <w:right w:val="single" w:color="000000"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sz="4" w:space="0"/>
          <w:right w:val="single" w:color="000000" w:sz="4" w:space="0"/>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000000" w:sz="4" w:space="0"/>
          <w:bottom w:val="singl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17">
    <w:name w:val="Plain Table 3"/>
    <w:basedOn w:val="875"/>
    <w:uiPriority w:val="99"/>
    <w:pPr>
      <w:pBdr/>
      <w:spacing/>
      <w:ind/>
    </w:pPr>
    <w:tblPr>
      <w:tblStyleRowBandSize w:val="1"/>
      <w:tblStyleColBandSize w:val="1"/>
      <w:tblInd w:w="0" w:type="dxa"/>
      <w:tblCellMar>
        <w:left w:w="108" w:type="dxa"/>
        <w:top w:w="0" w:type="dxa"/>
        <w:right w:w="108" w:type="dxa"/>
        <w:bottom w:w="0" w:type="dxa"/>
      </w:tblCellMar>
      <w:tblBorders/>
    </w:tblPr>
    <w:tcPr>
      <w:tcBorders/>
    </w:tcPr>
    <w:tblStylePr w:type="band1Horz">
      <w:rPr>
        <w:sz w:val="22"/>
      </w:rPr>
      <w:pPr>
        <w:pBdr/>
        <w:spacing/>
        <w:ind/>
      </w:pPr>
      <w:tblPr>
        <w:tblBorders/>
      </w:tblPr>
      <w:tcPr>
        <w:shd w:val="clear" w:color="f2f2f2" w:fill="f2f2f2"/>
        <w:tcBorders/>
      </w:tcPr>
    </w:tblStylePr>
    <w:tblStylePr w:type="band1Vert">
      <w:rPr>
        <w:sz w:val="22"/>
      </w:rPr>
      <w:pPr>
        <w:pBdr/>
        <w:spacing/>
        <w:ind/>
      </w:pPr>
      <w:tblPr>
        <w:tblBorders/>
      </w:tblPr>
      <w:tcPr>
        <w:shd w:val="clear" w:color="f2f2f2" w:fill="f2f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rPr>
      <w:pPr>
        <w:pBdr/>
        <w:spacing/>
        <w:ind/>
      </w:pPr>
      <w:tblPr>
        <w:tblBorders/>
      </w:tblPr>
      <w:tcPr>
        <w:tcBorders/>
      </w:tcPr>
    </w:tblStylePr>
    <w:tblStylePr w:type="lastRow">
      <w:rPr>
        <w:b/>
        <w:caps/>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18">
    <w:name w:val="Plain Table 4"/>
    <w:basedOn w:val="875"/>
    <w:uiPriority w:val="99"/>
    <w:pPr>
      <w:pBdr/>
      <w:spacing/>
      <w:ind/>
    </w:pPr>
    <w:tblPr>
      <w:tblStyleRowBandSize w:val="1"/>
      <w:tblStyleColBandSize w:val="1"/>
      <w:tblInd w:w="0" w:type="dxa"/>
      <w:tblCellMar>
        <w:left w:w="108" w:type="dxa"/>
        <w:top w:w="0" w:type="dxa"/>
        <w:right w:w="108" w:type="dxa"/>
        <w:bottom w:w="0" w:type="dxa"/>
      </w:tblCellMar>
      <w:tblBorders/>
    </w:tblPr>
    <w:tcPr>
      <w:tcBorders/>
    </w:tcPr>
    <w:tblStylePr w:type="band1Horz">
      <w:rPr>
        <w:sz w:val="22"/>
      </w:rPr>
      <w:pPr>
        <w:pBdr/>
        <w:spacing/>
        <w:ind/>
      </w:pPr>
      <w:tblPr>
        <w:tblBorders/>
      </w:tblPr>
      <w:tcPr>
        <w:shd w:val="clear" w:color="f2f2f2" w:fill="f2f2f2"/>
        <w:tcBorders/>
      </w:tcPr>
    </w:tblStylePr>
    <w:tblStylePr w:type="band1Vert">
      <w:rPr>
        <w:sz w:val="22"/>
      </w:rPr>
      <w:pPr>
        <w:pBdr/>
        <w:spacing/>
        <w:ind/>
      </w:pPr>
      <w:tblPr>
        <w:tblBorders/>
      </w:tblPr>
      <w:tcPr>
        <w:shd w:val="clear" w:color="f2f2f2" w:fill="f2f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19">
    <w:name w:val="Plain Table 5"/>
    <w:basedOn w:val="875"/>
    <w:uiPriority w:val="99"/>
    <w:pPr>
      <w:pBdr/>
      <w:spacing/>
      <w:ind/>
    </w:pPr>
    <w:tblPr>
      <w:tblStyleRowBandSize w:val="1"/>
      <w:tblStyleColBandSize w:val="1"/>
      <w:tblInd w:w="0" w:type="dxa"/>
      <w:tblCellMar>
        <w:left w:w="108" w:type="dxa"/>
        <w:top w:w="0" w:type="dxa"/>
        <w:right w:w="108" w:type="dxa"/>
        <w:bottom w:w="0" w:type="dxa"/>
      </w:tblCellMar>
      <w:tblBorders/>
    </w:tblPr>
    <w:tcPr>
      <w:tcBorders/>
    </w:tcPr>
    <w:tblStylePr w:type="band1Horz">
      <w:rPr>
        <w:sz w:val="22"/>
      </w:rPr>
      <w:pPr>
        <w:pBdr/>
        <w:spacing/>
        <w:ind/>
      </w:pPr>
      <w:tblPr>
        <w:tblBorders/>
      </w:tblPr>
      <w:tcPr>
        <w:shd w:val="clear" w:color="f2f2f2" w:fill="f2f2f2"/>
        <w:tcBorders/>
      </w:tcPr>
    </w:tblStylePr>
    <w:tblStylePr w:type="band1Vert">
      <w:rPr>
        <w:sz w:val="22"/>
      </w:rPr>
      <w:pPr>
        <w:pBdr/>
        <w:spacing/>
        <w:ind/>
      </w:pPr>
      <w:tblPr>
        <w:tblBorders/>
      </w:tblPr>
      <w:tcPr>
        <w:shd w:val="clear" w:color="f2f2f2" w:fill="f2f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right w:val="single" w:color="404040" w:sz="4" w:space="0"/>
        </w:tcBorders>
      </w:tcPr>
    </w:tblStylePr>
    <w:tblStylePr w:type="firstRow">
      <w:rPr>
        <w:i/>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rPr>
      <w:pPr>
        <w:pBdr/>
        <w:spacing/>
        <w:ind/>
      </w:pPr>
      <w:tblPr>
        <w:tblBorders/>
      </w:tblPr>
      <w:tcPr>
        <w:shd w:val="clear" w:color="ffffff" w:fill="auto"/>
        <w:tcBorders>
          <w:left w:val="single" w:color="404040" w:sz="4" w:space="0"/>
        </w:tcBorders>
      </w:tcPr>
    </w:tblStylePr>
    <w:tblStylePr w:type="lastRow">
      <w:rPr>
        <w:i/>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20">
    <w:name w:val="Grid Table 1 Light"/>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cPr>
      <w:tcBorders/>
    </w:tcPr>
    <w:tblStylePr w:type="band1Horz">
      <w:rPr>
        <w:sz w:val="22"/>
      </w:rPr>
      <w:pPr>
        <w:pBdr/>
        <w:spacing/>
        <w:ind/>
      </w:pPr>
      <w:tblPr>
        <w:tblBorders/>
      </w:tblPr>
      <w:tcPr>
        <w:tcBorders>
          <w:top w:val="single" w:color="989898" w:sz="4" w:space="0"/>
          <w:left w:val="single" w:color="989898" w:sz="4" w:space="0"/>
          <w:bottom w:val="single" w:color="989898" w:sz="4" w:space="0"/>
          <w:right w:val="single" w:color="989898"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6a6a6a"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21" w:customStyle="1">
    <w:name w:val="Grid Table 1 Light - Accent 1"/>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cPr>
      <w:tcBorders/>
    </w:tcPr>
    <w:tblStylePr w:type="band1Horz">
      <w:rPr>
        <w:sz w:val="22"/>
      </w:rPr>
      <w:pPr>
        <w:pBdr/>
        <w:spacing/>
        <w:ind/>
      </w:pPr>
      <w:tblPr>
        <w:tblBorders/>
      </w:tblPr>
      <w:tcPr>
        <w:tcBorders>
          <w:top w:val="single" w:color="b7cbe4" w:sz="4" w:space="0"/>
          <w:left w:val="single" w:color="b7cbe4" w:sz="4" w:space="0"/>
          <w:bottom w:val="single" w:color="b7cbe4" w:sz="4" w:space="0"/>
          <w:right w:val="single" w:color="b7cbe4"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97b4d8"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22" w:customStyle="1">
    <w:name w:val="Grid Table 1 Light - Accent 2"/>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cPr>
      <w:tcBorders/>
    </w:tcPr>
    <w:tblStylePr w:type="band1Horz">
      <w:rPr>
        <w:sz w:val="22"/>
      </w:rPr>
      <w:pPr>
        <w:pBdr/>
        <w:spacing/>
        <w:ind/>
      </w:pPr>
      <w:tblPr>
        <w:tblBorders/>
      </w:tblPr>
      <w:tcPr>
        <w:tcBorders>
          <w:top w:val="single" w:color="e5b7b6" w:sz="4" w:space="0"/>
          <w:left w:val="single" w:color="e5b7b6" w:sz="4" w:space="0"/>
          <w:bottom w:val="single" w:color="e5b7b6" w:sz="4" w:space="0"/>
          <w:right w:val="single" w:color="e5b7b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da9896"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23" w:customStyle="1">
    <w:name w:val="Grid Table 1 Light - Accent 3"/>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cPr>
      <w:tcBorders/>
    </w:tcPr>
    <w:tblStylePr w:type="band1Horz">
      <w:rPr>
        <w:sz w:val="22"/>
      </w:rPr>
      <w:pPr>
        <w:pBdr/>
        <w:spacing/>
        <w:ind/>
      </w:pPr>
      <w:tblPr>
        <w:tblBorders/>
      </w:tblPr>
      <w:tcPr>
        <w:tcBorders>
          <w:top w:val="single" w:color="d6e3bb" w:sz="4" w:space="0"/>
          <w:left w:val="single" w:color="d6e3bb" w:sz="4" w:space="0"/>
          <w:bottom w:val="single" w:color="d6e3bb" w:sz="4" w:space="0"/>
          <w:right w:val="single" w:color="d6e3bb"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c4d79d"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24" w:customStyle="1">
    <w:name w:val="Grid Table 1 Light - Accent 4"/>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cPr>
      <w:tcBorders/>
    </w:tcPr>
    <w:tblStylePr w:type="band1Horz">
      <w:rPr>
        <w:sz w:val="22"/>
      </w:rPr>
      <w:pPr>
        <w:pBdr/>
        <w:spacing/>
        <w:ind/>
      </w:pPr>
      <w:tblPr>
        <w:tblBorders/>
      </w:tblPr>
      <w:tcPr>
        <w:tcBorders>
          <w:top w:val="single" w:color="cbc0d9" w:sz="4" w:space="0"/>
          <w:left w:val="single" w:color="cbc0d9" w:sz="4" w:space="0"/>
          <w:bottom w:val="single" w:color="cbc0d9" w:sz="4" w:space="0"/>
          <w:right w:val="single" w:color="cbc0d9"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b4a4c8"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25" w:customStyle="1">
    <w:name w:val="Grid Table 1 Light - Accent 5"/>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cPr>
      <w:tcBorders/>
    </w:tcPr>
    <w:tblStylePr w:type="band1Horz">
      <w:rPr>
        <w:sz w:val="22"/>
      </w:rPr>
      <w:pPr>
        <w:pBdr/>
        <w:spacing/>
        <w:ind/>
      </w:pPr>
      <w:tblPr>
        <w:tblBorders/>
      </w:tblPr>
      <w:tcPr>
        <w:tcBorders>
          <w:top w:val="single" w:color="b6dde8" w:sz="4" w:space="0"/>
          <w:left w:val="single" w:color="b6dde8" w:sz="4" w:space="0"/>
          <w:bottom w:val="single" w:color="b6dde8" w:sz="4" w:space="0"/>
          <w:right w:val="single" w:color="b6dde8"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95cedd"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26" w:customStyle="1">
    <w:name w:val="Grid Table 1 Light - Accent 6"/>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cPr>
      <w:tcBorders/>
    </w:tcPr>
    <w:tblStylePr w:type="band1Horz">
      <w:rPr>
        <w:sz w:val="22"/>
      </w:rPr>
      <w:pPr>
        <w:pBdr/>
        <w:spacing/>
        <w:ind/>
      </w:pPr>
      <w:tblPr>
        <w:tblBorders/>
      </w:tblPr>
      <w:tcPr>
        <w:tcBorders>
          <w:top w:val="single" w:color="fbd4b4" w:sz="4" w:space="0"/>
          <w:left w:val="single" w:color="fbd4b4" w:sz="4" w:space="0"/>
          <w:bottom w:val="single" w:color="fbd4b4" w:sz="4" w:space="0"/>
          <w:right w:val="single" w:color="fbd4b4"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fac192"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27">
    <w:name w:val="Grid Table 2"/>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6a6a6a" w:sz="4" w:space="0"/>
        <w:insideH w:val="single" w:color="6a6a6a" w:sz="4" w:space="0"/>
        <w:insideV w:val="single" w:color="6a6a6a" w:sz="4" w:space="0"/>
      </w:tblBorders>
    </w:tblPr>
    <w:tcPr>
      <w:tcBorders/>
    </w:tcPr>
    <w:tblStylePr w:type="band1Horz">
      <w:rPr>
        <w:sz w:val="22"/>
      </w:rPr>
      <w:pPr>
        <w:pBdr/>
        <w:spacing/>
        <w:ind/>
      </w:pPr>
      <w:tblPr>
        <w:tblBorders/>
      </w:tblPr>
      <w:tcPr>
        <w:shd w:val="clear" w:color="cbcbcb" w:fill="cbcbcb"/>
        <w:tcBorders/>
      </w:tcPr>
    </w:tblStylePr>
    <w:tblStylePr w:type="band1Vert">
      <w:rPr>
        <w:sz w:val="22"/>
      </w:rPr>
      <w:pPr>
        <w:pBdr/>
        <w:spacing/>
        <w:ind/>
      </w:pPr>
      <w:tblPr>
        <w:tblBorders/>
      </w:tblPr>
      <w:tcPr>
        <w:shd w:val="clear" w:color="cbcbcb" w:fill="cbcbcb"/>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6a6a6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28" w:customStyle="1">
    <w:name w:val="Grid Table 2 - Accent 1"/>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5d8ac2" w:sz="4" w:space="0"/>
        <w:insideH w:val="single" w:color="5d8ac2" w:sz="4" w:space="0"/>
        <w:insideV w:val="single" w:color="5d8ac2" w:sz="4" w:space="0"/>
      </w:tblBorders>
    </w:tblPr>
    <w:tcPr>
      <w:tcBorders/>
    </w:tcPr>
    <w:tblStylePr w:type="band1Horz">
      <w:rPr>
        <w:sz w:val="22"/>
      </w:rPr>
      <w:pPr>
        <w:pBdr/>
        <w:spacing/>
        <w:ind/>
      </w:pPr>
      <w:tblPr>
        <w:tblBorders/>
      </w:tblPr>
      <w:tcPr>
        <w:shd w:val="clear" w:color="dae5f1" w:fill="dae5f1"/>
        <w:tcBorders/>
      </w:tcPr>
    </w:tblStylePr>
    <w:tblStylePr w:type="band1Vert">
      <w:rPr>
        <w:sz w:val="22"/>
      </w:rPr>
      <w:pPr>
        <w:pBdr/>
        <w:spacing/>
        <w:ind/>
      </w:pPr>
      <w:tblPr>
        <w:tblBorders/>
      </w:tblPr>
      <w:tcPr>
        <w:shd w:val="clear" w:color="dae5f1" w:fill="dae5f1"/>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5d8ac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29" w:customStyle="1">
    <w:name w:val="Grid Table 2 - Accent 2"/>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d99695" w:sz="4" w:space="0"/>
        <w:insideH w:val="single" w:color="d99695" w:sz="4" w:space="0"/>
        <w:insideV w:val="single" w:color="d99695" w:sz="4" w:space="0"/>
      </w:tblBorders>
    </w:tblPr>
    <w:tcPr>
      <w:tcBorders/>
    </w:tcPr>
    <w:tblStylePr w:type="band1Horz">
      <w:rPr>
        <w:sz w:val="22"/>
      </w:rPr>
      <w:pPr>
        <w:pBdr/>
        <w:spacing/>
        <w:ind/>
      </w:pPr>
      <w:tblPr>
        <w:tblBorders/>
      </w:tblPr>
      <w:tcPr>
        <w:shd w:val="clear" w:color="f2dcdc" w:fill="f2dcdc"/>
        <w:tcBorders/>
      </w:tcPr>
    </w:tblStylePr>
    <w:tblStylePr w:type="band1Vert">
      <w:rPr>
        <w:sz w:val="22"/>
      </w:rPr>
      <w:pPr>
        <w:pBdr/>
        <w:spacing/>
        <w:ind/>
      </w:pPr>
      <w:tblPr>
        <w:tblBorders/>
      </w:tblPr>
      <w:tcPr>
        <w:shd w:val="clear" w:color="f2dcdc" w:fill="f2dcd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d996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30" w:customStyle="1">
    <w:name w:val="Grid Table 2 - Accent 3"/>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9abb59" w:sz="4" w:space="0"/>
        <w:insideH w:val="single" w:color="9abb59" w:sz="4" w:space="0"/>
        <w:insideV w:val="single" w:color="9abb59" w:sz="4" w:space="0"/>
      </w:tblBorders>
    </w:tblPr>
    <w:tcPr>
      <w:tcBorders/>
    </w:tcPr>
    <w:tblStylePr w:type="band1Horz">
      <w:rPr>
        <w:sz w:val="22"/>
      </w:rPr>
      <w:pPr>
        <w:pBdr/>
        <w:spacing/>
        <w:ind/>
      </w:pPr>
      <w:tblPr>
        <w:tblBorders/>
      </w:tblPr>
      <w:tcPr>
        <w:shd w:val="clear" w:color="eaf1dc" w:fill="eaf1dc"/>
        <w:tcBorders/>
      </w:tcPr>
    </w:tblStylePr>
    <w:tblStylePr w:type="band1Vert">
      <w:rPr>
        <w:sz w:val="22"/>
      </w:rPr>
      <w:pPr>
        <w:pBdr/>
        <w:spacing/>
        <w:ind/>
      </w:pPr>
      <w:tblPr>
        <w:tblBorders/>
      </w:tblPr>
      <w:tcPr>
        <w:shd w:val="clear" w:color="eaf1dc" w:fill="eaf1d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9abb59"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31" w:customStyle="1">
    <w:name w:val="Grid Table 2 - Accent 4"/>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b2a1c6" w:sz="4" w:space="0"/>
        <w:insideH w:val="single" w:color="b2a1c6" w:sz="4" w:space="0"/>
        <w:insideV w:val="single" w:color="b2a1c6" w:sz="4" w:space="0"/>
      </w:tblBorders>
    </w:tblPr>
    <w:tcPr>
      <w:tcBorders/>
    </w:tcPr>
    <w:tblStylePr w:type="band1Horz">
      <w:rPr>
        <w:sz w:val="22"/>
      </w:rPr>
      <w:pPr>
        <w:pBdr/>
        <w:spacing/>
        <w:ind/>
      </w:pPr>
      <w:tblPr>
        <w:tblBorders/>
      </w:tblPr>
      <w:tcPr>
        <w:shd w:val="clear" w:color="e5dfec" w:fill="e5dfec"/>
        <w:tcBorders/>
      </w:tcPr>
    </w:tblStylePr>
    <w:tblStylePr w:type="band1Vert">
      <w:rPr>
        <w:sz w:val="22"/>
      </w:rPr>
      <w:pPr>
        <w:pBdr/>
        <w:spacing/>
        <w:ind/>
      </w:pPr>
      <w:tblPr>
        <w:tblBorders/>
      </w:tblPr>
      <w:tcPr>
        <w:shd w:val="clear" w:color="e5dfec" w:fill="e5dfe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b2a1c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32" w:customStyle="1">
    <w:name w:val="Grid Table 2 - Accent 5"/>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4bacc6" w:sz="4" w:space="0"/>
        <w:insideH w:val="single" w:color="4bacc6" w:sz="4" w:space="0"/>
        <w:insideV w:val="single" w:color="4bacc6" w:sz="4" w:space="0"/>
      </w:tblBorders>
    </w:tblPr>
    <w:tcPr>
      <w:tcBorders/>
    </w:tcPr>
    <w:tblStylePr w:type="band1Horz">
      <w:rPr>
        <w:sz w:val="22"/>
      </w:rPr>
      <w:pPr>
        <w:pBdr/>
        <w:spacing/>
        <w:ind/>
      </w:pPr>
      <w:tblPr>
        <w:tblBorders/>
      </w:tblPr>
      <w:tcPr>
        <w:shd w:val="clear" w:color="daeef3" w:fill="daeef3"/>
        <w:tcBorders/>
      </w:tcPr>
    </w:tblStylePr>
    <w:tblStylePr w:type="band1Vert">
      <w:rPr>
        <w:sz w:val="22"/>
      </w:rPr>
      <w:pPr>
        <w:pBdr/>
        <w:spacing/>
        <w:ind/>
      </w:pPr>
      <w:tblPr>
        <w:tblBorders/>
      </w:tblPr>
      <w:tcPr>
        <w:shd w:val="clear" w:color="daeef3" w:fill="daeef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4bacc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33" w:customStyle="1">
    <w:name w:val="Grid Table 2 - Accent 6"/>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f79646" w:sz="4" w:space="0"/>
        <w:insideH w:val="single" w:color="f79646" w:sz="4" w:space="0"/>
        <w:insideV w:val="single" w:color="f79646" w:sz="4" w:space="0"/>
      </w:tblBorders>
    </w:tblPr>
    <w:tcPr>
      <w:tcBorders/>
    </w:tcPr>
    <w:tblStylePr w:type="band1Horz">
      <w:rPr>
        <w:sz w:val="22"/>
      </w:rPr>
      <w:pPr>
        <w:pBdr/>
        <w:spacing/>
        <w:ind/>
      </w:pPr>
      <w:tblPr>
        <w:tblBorders/>
      </w:tblPr>
      <w:tcPr>
        <w:shd w:val="clear" w:color="fde9d8" w:fill="fde9d8"/>
        <w:tcBorders/>
      </w:tcPr>
    </w:tblStylePr>
    <w:tblStylePr w:type="band1Vert">
      <w:rPr>
        <w:sz w:val="22"/>
      </w:rPr>
      <w:pPr>
        <w:pBdr/>
        <w:spacing/>
        <w:ind/>
      </w:pPr>
      <w:tblPr>
        <w:tblBorders/>
      </w:tblPr>
      <w:tcPr>
        <w:shd w:val="clear" w:color="fde9d8" w:fill="fde9d8"/>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f7964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34">
    <w:name w:val="Grid Table 3"/>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6a6a6a" w:sz="4" w:space="0"/>
        <w:insideH w:val="single" w:color="6a6a6a" w:sz="4" w:space="0"/>
        <w:insideV w:val="single" w:color="6a6a6a" w:sz="4" w:space="0"/>
      </w:tblBorders>
    </w:tblPr>
    <w:tcPr>
      <w:tcBorders/>
    </w:tcPr>
    <w:tblStylePr w:type="band1Horz">
      <w:rPr>
        <w:sz w:val="22"/>
      </w:rPr>
      <w:pPr>
        <w:pBdr/>
        <w:spacing/>
        <w:ind/>
      </w:pPr>
      <w:tblPr>
        <w:tblBorders/>
      </w:tblPr>
      <w:tcPr>
        <w:shd w:val="clear" w:color="cbcbcb" w:fill="cbcbcb"/>
        <w:tcBorders/>
      </w:tcPr>
    </w:tblStylePr>
    <w:tblStylePr w:type="band1Vert">
      <w:rPr>
        <w:sz w:val="22"/>
      </w:rPr>
      <w:pPr>
        <w:pBdr/>
        <w:spacing/>
        <w:ind/>
      </w:pPr>
      <w:tblPr>
        <w:tblBorders/>
      </w:tblPr>
      <w:tcPr>
        <w:shd w:val="clear" w:color="cbcbcb" w:fill="cbcbcb"/>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35" w:customStyle="1">
    <w:name w:val="Grid Table 3 - Accent 1"/>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5d8ac2" w:sz="4" w:space="0"/>
        <w:insideH w:val="single" w:color="5d8ac2" w:sz="4" w:space="0"/>
        <w:insideV w:val="single" w:color="5d8ac2" w:sz="4" w:space="0"/>
      </w:tblBorders>
    </w:tblPr>
    <w:tcPr>
      <w:tcBorders/>
    </w:tcPr>
    <w:tblStylePr w:type="band1Horz">
      <w:rPr>
        <w:sz w:val="22"/>
      </w:rPr>
      <w:pPr>
        <w:pBdr/>
        <w:spacing/>
        <w:ind/>
      </w:pPr>
      <w:tblPr>
        <w:tblBorders/>
      </w:tblPr>
      <w:tcPr>
        <w:shd w:val="clear" w:color="dae5f1" w:fill="dae5f1"/>
        <w:tcBorders/>
      </w:tcPr>
    </w:tblStylePr>
    <w:tblStylePr w:type="band1Vert">
      <w:rPr>
        <w:sz w:val="22"/>
      </w:rPr>
      <w:pPr>
        <w:pBdr/>
        <w:spacing/>
        <w:ind/>
      </w:pPr>
      <w:tblPr>
        <w:tblBorders/>
      </w:tblPr>
      <w:tcPr>
        <w:shd w:val="clear" w:color="dae5f1" w:fill="dae5f1"/>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36" w:customStyle="1">
    <w:name w:val="Grid Table 3 - Accent 2"/>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d99695" w:sz="4" w:space="0"/>
        <w:insideH w:val="single" w:color="d99695" w:sz="4" w:space="0"/>
        <w:insideV w:val="single" w:color="d99695" w:sz="4" w:space="0"/>
      </w:tblBorders>
    </w:tblPr>
    <w:tcPr>
      <w:tcBorders/>
    </w:tcPr>
    <w:tblStylePr w:type="band1Horz">
      <w:rPr>
        <w:sz w:val="22"/>
      </w:rPr>
      <w:pPr>
        <w:pBdr/>
        <w:spacing/>
        <w:ind/>
      </w:pPr>
      <w:tblPr>
        <w:tblBorders/>
      </w:tblPr>
      <w:tcPr>
        <w:shd w:val="clear" w:color="f2dcdc" w:fill="f2dcdc"/>
        <w:tcBorders/>
      </w:tcPr>
    </w:tblStylePr>
    <w:tblStylePr w:type="band1Vert">
      <w:rPr>
        <w:sz w:val="22"/>
      </w:rPr>
      <w:pPr>
        <w:pBdr/>
        <w:spacing/>
        <w:ind/>
      </w:pPr>
      <w:tblPr>
        <w:tblBorders/>
      </w:tblPr>
      <w:tcPr>
        <w:shd w:val="clear" w:color="f2dcdc" w:fill="f2dcd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37" w:customStyle="1">
    <w:name w:val="Grid Table 3 - Accent 3"/>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9abb59" w:sz="4" w:space="0"/>
        <w:insideH w:val="single" w:color="9abb59" w:sz="4" w:space="0"/>
        <w:insideV w:val="single" w:color="9abb59" w:sz="4" w:space="0"/>
      </w:tblBorders>
    </w:tblPr>
    <w:tcPr>
      <w:tcBorders/>
    </w:tcPr>
    <w:tblStylePr w:type="band1Horz">
      <w:rPr>
        <w:sz w:val="22"/>
      </w:rPr>
      <w:pPr>
        <w:pBdr/>
        <w:spacing/>
        <w:ind/>
      </w:pPr>
      <w:tblPr>
        <w:tblBorders/>
      </w:tblPr>
      <w:tcPr>
        <w:shd w:val="clear" w:color="eaf1dc" w:fill="eaf1dc"/>
        <w:tcBorders/>
      </w:tcPr>
    </w:tblStylePr>
    <w:tblStylePr w:type="band1Vert">
      <w:rPr>
        <w:sz w:val="22"/>
      </w:rPr>
      <w:pPr>
        <w:pBdr/>
        <w:spacing/>
        <w:ind/>
      </w:pPr>
      <w:tblPr>
        <w:tblBorders/>
      </w:tblPr>
      <w:tcPr>
        <w:shd w:val="clear" w:color="eaf1dc" w:fill="eaf1d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38" w:customStyle="1">
    <w:name w:val="Grid Table 3 - Accent 4"/>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b2a1c6" w:sz="4" w:space="0"/>
        <w:insideH w:val="single" w:color="b2a1c6" w:sz="4" w:space="0"/>
        <w:insideV w:val="single" w:color="b2a1c6" w:sz="4" w:space="0"/>
      </w:tblBorders>
    </w:tblPr>
    <w:tcPr>
      <w:tcBorders/>
    </w:tcPr>
    <w:tblStylePr w:type="band1Horz">
      <w:rPr>
        <w:sz w:val="22"/>
      </w:rPr>
      <w:pPr>
        <w:pBdr/>
        <w:spacing/>
        <w:ind/>
      </w:pPr>
      <w:tblPr>
        <w:tblBorders/>
      </w:tblPr>
      <w:tcPr>
        <w:shd w:val="clear" w:color="e5dfec" w:fill="e5dfec"/>
        <w:tcBorders/>
      </w:tcPr>
    </w:tblStylePr>
    <w:tblStylePr w:type="band1Vert">
      <w:rPr>
        <w:sz w:val="22"/>
      </w:rPr>
      <w:pPr>
        <w:pBdr/>
        <w:spacing/>
        <w:ind/>
      </w:pPr>
      <w:tblPr>
        <w:tblBorders/>
      </w:tblPr>
      <w:tcPr>
        <w:shd w:val="clear" w:color="e5dfec" w:fill="e5dfe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39" w:customStyle="1">
    <w:name w:val="Grid Table 3 - Accent 5"/>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4bacc6" w:sz="4" w:space="0"/>
        <w:insideH w:val="single" w:color="4bacc6" w:sz="4" w:space="0"/>
        <w:insideV w:val="single" w:color="4bacc6" w:sz="4" w:space="0"/>
      </w:tblBorders>
    </w:tblPr>
    <w:tcPr>
      <w:tcBorders/>
    </w:tcPr>
    <w:tblStylePr w:type="band1Horz">
      <w:rPr>
        <w:sz w:val="22"/>
      </w:rPr>
      <w:pPr>
        <w:pBdr/>
        <w:spacing/>
        <w:ind/>
      </w:pPr>
      <w:tblPr>
        <w:tblBorders/>
      </w:tblPr>
      <w:tcPr>
        <w:shd w:val="clear" w:color="daeef3" w:fill="daeef3"/>
        <w:tcBorders/>
      </w:tcPr>
    </w:tblStylePr>
    <w:tblStylePr w:type="band1Vert">
      <w:rPr>
        <w:sz w:val="22"/>
      </w:rPr>
      <w:pPr>
        <w:pBdr/>
        <w:spacing/>
        <w:ind/>
      </w:pPr>
      <w:tblPr>
        <w:tblBorders/>
      </w:tblPr>
      <w:tcPr>
        <w:shd w:val="clear" w:color="daeef3" w:fill="daeef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40" w:customStyle="1">
    <w:name w:val="Grid Table 3 - Accent 6"/>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f79646" w:sz="4" w:space="0"/>
        <w:insideH w:val="single" w:color="f79646" w:sz="4" w:space="0"/>
        <w:insideV w:val="single" w:color="f79646" w:sz="4" w:space="0"/>
      </w:tblBorders>
    </w:tblPr>
    <w:tcPr>
      <w:tcBorders/>
    </w:tcPr>
    <w:tblStylePr w:type="band1Horz">
      <w:rPr>
        <w:sz w:val="22"/>
      </w:rPr>
      <w:pPr>
        <w:pBdr/>
        <w:spacing/>
        <w:ind/>
      </w:pPr>
      <w:tblPr>
        <w:tblBorders/>
      </w:tblPr>
      <w:tcPr>
        <w:shd w:val="clear" w:color="fde9d8" w:fill="fde9d8"/>
        <w:tcBorders/>
      </w:tcPr>
    </w:tblStylePr>
    <w:tblStylePr w:type="band1Vert">
      <w:rPr>
        <w:sz w:val="22"/>
      </w:rPr>
      <w:pPr>
        <w:pBdr/>
        <w:spacing/>
        <w:ind/>
      </w:pPr>
      <w:tblPr>
        <w:tblBorders/>
      </w:tblPr>
      <w:tcPr>
        <w:shd w:val="clear" w:color="fde9d8" w:fill="fde9d8"/>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41">
    <w:name w:val="Grid Table 4"/>
    <w:basedOn w:val="875"/>
    <w:uiPriority w:val="59"/>
    <w:pPr>
      <w:pBdr/>
      <w:spacing/>
      <w:ind/>
    </w:pPr>
    <w:tblPr>
      <w:tblStyleRowBandSize w:val="1"/>
      <w:tblStyleColBandSize w:val="1"/>
      <w:tblInd w:w="0" w:type="dxa"/>
      <w:tblCellMar>
        <w:left w:w="108" w:type="dxa"/>
        <w:top w:w="0" w:type="dxa"/>
        <w:right w:w="108" w:type="dxa"/>
        <w:bottom w:w="0" w:type="dxa"/>
      </w:tblCellMa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cPr>
      <w:tcBorders/>
    </w:tcPr>
    <w:tblStylePr w:type="band1Horz">
      <w:rPr>
        <w:sz w:val="22"/>
      </w:rPr>
      <w:pPr>
        <w:pBdr/>
        <w:spacing/>
        <w:ind/>
      </w:pPr>
      <w:tblPr>
        <w:tblBorders/>
      </w:tblPr>
      <w:tcPr>
        <w:shd w:val="clear" w:color="cbcbcb" w:fill="cbcbcb"/>
        <w:tcBorders/>
      </w:tcPr>
    </w:tblStylePr>
    <w:tblStylePr w:type="band1Vert">
      <w:rPr>
        <w:sz w:val="22"/>
      </w:rPr>
      <w:pPr>
        <w:pBdr/>
        <w:spacing/>
        <w:ind/>
      </w:pPr>
      <w:tblPr>
        <w:tblBorders/>
      </w:tblPr>
      <w:tcPr>
        <w:shd w:val="clear" w:color="cbcbcb" w:fill="cbcbcb"/>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42" w:customStyle="1">
    <w:name w:val="Grid Table 4 - Accent 1"/>
    <w:basedOn w:val="875"/>
    <w:uiPriority w:val="59"/>
    <w:pPr>
      <w:pBdr/>
      <w:spacing/>
      <w:ind/>
    </w:pPr>
    <w:tblPr>
      <w:tblStyleRowBandSize w:val="1"/>
      <w:tblStyleColBandSize w:val="1"/>
      <w:tblInd w:w="0" w:type="dxa"/>
      <w:tblCellMar>
        <w:left w:w="108" w:type="dxa"/>
        <w:top w:w="0" w:type="dxa"/>
        <w:right w:w="108" w:type="dxa"/>
        <w:bottom w:w="0" w:type="dxa"/>
      </w:tblCellMa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cPr>
      <w:tcBorders/>
    </w:tcPr>
    <w:tblStylePr w:type="band1Horz">
      <w:rPr>
        <w:sz w:val="22"/>
      </w:rPr>
      <w:pPr>
        <w:pBdr/>
        <w:spacing/>
        <w:ind/>
      </w:pPr>
      <w:tblPr>
        <w:tblBorders/>
      </w:tblPr>
      <w:tcPr>
        <w:shd w:val="clear" w:color="dce6f2" w:fill="dce6f2"/>
        <w:tcBorders/>
      </w:tcPr>
    </w:tblStylePr>
    <w:tblStylePr w:type="band1Vert">
      <w:rPr>
        <w:sz w:val="22"/>
      </w:rPr>
      <w:pPr>
        <w:pBdr/>
        <w:spacing/>
        <w:ind/>
      </w:pPr>
      <w:tblPr>
        <w:tblBorders/>
      </w:tblPr>
      <w:tcPr>
        <w:shd w:val="clear" w:color="dce6f2" w:fill="dce6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5d8ac2"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43" w:customStyle="1">
    <w:name w:val="Grid Table 4 - Accent 2"/>
    <w:basedOn w:val="875"/>
    <w:uiPriority w:val="59"/>
    <w:pPr>
      <w:pBdr/>
      <w:spacing/>
      <w:ind/>
    </w:pPr>
    <w:tblPr>
      <w:tblStyleRowBandSize w:val="1"/>
      <w:tblStyleColBandSize w:val="1"/>
      <w:tblInd w:w="0" w:type="dxa"/>
      <w:tblCellMar>
        <w:left w:w="108" w:type="dxa"/>
        <w:top w:w="0" w:type="dxa"/>
        <w:right w:w="108" w:type="dxa"/>
        <w:bottom w:w="0" w:type="dxa"/>
      </w:tblCellMa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cPr>
      <w:tcBorders/>
    </w:tcPr>
    <w:tblStylePr w:type="band1Horz">
      <w:rPr>
        <w:sz w:val="22"/>
      </w:rPr>
      <w:pPr>
        <w:pBdr/>
        <w:spacing/>
        <w:ind/>
      </w:pPr>
      <w:tblPr>
        <w:tblBorders/>
      </w:tblPr>
      <w:tcPr>
        <w:shd w:val="clear" w:color="f2dcdc" w:fill="f2dcdc"/>
        <w:tcBorders/>
      </w:tcPr>
    </w:tblStylePr>
    <w:tblStylePr w:type="band1Vert">
      <w:rPr>
        <w:sz w:val="22"/>
      </w:rPr>
      <w:pPr>
        <w:pBdr/>
        <w:spacing/>
        <w:ind/>
      </w:pPr>
      <w:tblPr>
        <w:tblBorders/>
      </w:tblPr>
      <w:tcPr>
        <w:shd w:val="clear" w:color="f2dcdc" w:fill="f2dcd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d9969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44" w:customStyle="1">
    <w:name w:val="Grid Table 4 - Accent 3"/>
    <w:basedOn w:val="875"/>
    <w:uiPriority w:val="59"/>
    <w:pPr>
      <w:pBdr/>
      <w:spacing/>
      <w:ind/>
    </w:pPr>
    <w:tblPr>
      <w:tblStyleRowBandSize w:val="1"/>
      <w:tblStyleColBandSize w:val="1"/>
      <w:tblInd w:w="0" w:type="dxa"/>
      <w:tblCellMar>
        <w:left w:w="108" w:type="dxa"/>
        <w:top w:w="0" w:type="dxa"/>
        <w:right w:w="108" w:type="dxa"/>
        <w:bottom w:w="0" w:type="dxa"/>
      </w:tblCellMa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cPr>
      <w:tcBorders/>
    </w:tcPr>
    <w:tblStylePr w:type="band1Horz">
      <w:rPr>
        <w:sz w:val="22"/>
      </w:rPr>
      <w:pPr>
        <w:pBdr/>
        <w:spacing/>
        <w:ind/>
      </w:pPr>
      <w:tblPr>
        <w:tblBorders/>
      </w:tblPr>
      <w:tcPr>
        <w:shd w:val="clear" w:color="eaf1dc" w:fill="eaf1dc"/>
        <w:tcBorders/>
      </w:tcPr>
    </w:tblStylePr>
    <w:tblStylePr w:type="band1Vert">
      <w:rPr>
        <w:sz w:val="22"/>
      </w:rPr>
      <w:pPr>
        <w:pBdr/>
        <w:spacing/>
        <w:ind/>
      </w:pPr>
      <w:tblPr>
        <w:tblBorders/>
      </w:tblPr>
      <w:tcPr>
        <w:shd w:val="clear" w:color="eaf1dc" w:fill="eaf1d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9abb5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45" w:customStyle="1">
    <w:name w:val="Grid Table 4 - Accent 4"/>
    <w:basedOn w:val="875"/>
    <w:uiPriority w:val="59"/>
    <w:pPr>
      <w:pBdr/>
      <w:spacing/>
      <w:ind/>
    </w:pPr>
    <w:tblPr>
      <w:tblStyleRowBandSize w:val="1"/>
      <w:tblStyleColBandSize w:val="1"/>
      <w:tblInd w:w="0" w:type="dxa"/>
      <w:tblCellMar>
        <w:left w:w="108" w:type="dxa"/>
        <w:top w:w="0" w:type="dxa"/>
        <w:right w:w="108" w:type="dxa"/>
        <w:bottom w:w="0" w:type="dxa"/>
      </w:tblCellMa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cPr>
      <w:tcBorders/>
    </w:tcPr>
    <w:tblStylePr w:type="band1Horz">
      <w:rPr>
        <w:sz w:val="22"/>
      </w:rPr>
      <w:pPr>
        <w:pBdr/>
        <w:spacing/>
        <w:ind/>
      </w:pPr>
      <w:tblPr>
        <w:tblBorders/>
      </w:tblPr>
      <w:tcPr>
        <w:shd w:val="clear" w:color="e5dfec" w:fill="e5dfec"/>
        <w:tcBorders/>
      </w:tcPr>
    </w:tblStylePr>
    <w:tblStylePr w:type="band1Vert">
      <w:rPr>
        <w:sz w:val="22"/>
      </w:rPr>
      <w:pPr>
        <w:pBdr/>
        <w:spacing/>
        <w:ind/>
      </w:pPr>
      <w:tblPr>
        <w:tblBorders/>
      </w:tblPr>
      <w:tcPr>
        <w:shd w:val="clear" w:color="e5dfec" w:fill="e5dfe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b2a1c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46" w:customStyle="1">
    <w:name w:val="Grid Table 4 - Accent 5"/>
    <w:basedOn w:val="875"/>
    <w:uiPriority w:val="59"/>
    <w:pPr>
      <w:pBdr/>
      <w:spacing/>
      <w:ind/>
    </w:pPr>
    <w:tblPr>
      <w:tblStyleRowBandSize w:val="1"/>
      <w:tblStyleColBandSize w:val="1"/>
      <w:tblInd w:w="0" w:type="dxa"/>
      <w:tblCellMar>
        <w:left w:w="108" w:type="dxa"/>
        <w:top w:w="0" w:type="dxa"/>
        <w:right w:w="108" w:type="dxa"/>
        <w:bottom w:w="0" w:type="dxa"/>
      </w:tblCellMa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cPr>
      <w:tcBorders/>
    </w:tcPr>
    <w:tblStylePr w:type="band1Horz">
      <w:rPr>
        <w:sz w:val="22"/>
      </w:rPr>
      <w:pPr>
        <w:pBdr/>
        <w:spacing/>
        <w:ind/>
      </w:pPr>
      <w:tblPr>
        <w:tblBorders/>
      </w:tblPr>
      <w:tcPr>
        <w:shd w:val="clear" w:color="daeef3" w:fill="daeef3"/>
        <w:tcBorders/>
      </w:tcPr>
    </w:tblStylePr>
    <w:tblStylePr w:type="band1Vert">
      <w:rPr>
        <w:sz w:val="22"/>
      </w:rPr>
      <w:pPr>
        <w:pBdr/>
        <w:spacing/>
        <w:ind/>
      </w:pPr>
      <w:tblPr>
        <w:tblBorders/>
      </w:tblPr>
      <w:tcPr>
        <w:shd w:val="clear" w:color="daeef3" w:fill="daeef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4bacc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47" w:customStyle="1">
    <w:name w:val="Grid Table 4 - Accent 6"/>
    <w:basedOn w:val="875"/>
    <w:uiPriority w:val="59"/>
    <w:pPr>
      <w:pBdr/>
      <w:spacing/>
      <w:ind/>
    </w:pPr>
    <w:tblPr>
      <w:tblStyleRowBandSize w:val="1"/>
      <w:tblStyleColBandSize w:val="1"/>
      <w:tblInd w:w="0" w:type="dxa"/>
      <w:tblCellMar>
        <w:left w:w="108" w:type="dxa"/>
        <w:top w:w="0" w:type="dxa"/>
        <w:right w:w="108" w:type="dxa"/>
        <w:bottom w:w="0" w:type="dxa"/>
      </w:tblCellMa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cPr>
      <w:tcBorders/>
    </w:tcPr>
    <w:tblStylePr w:type="band1Horz">
      <w:rPr>
        <w:sz w:val="22"/>
      </w:rPr>
      <w:pPr>
        <w:pBdr/>
        <w:spacing/>
        <w:ind/>
      </w:pPr>
      <w:tblPr>
        <w:tblBorders/>
      </w:tblPr>
      <w:tcPr>
        <w:shd w:val="clear" w:color="fde9d8" w:fill="fde9d8"/>
        <w:tcBorders/>
      </w:tcPr>
    </w:tblStylePr>
    <w:tblStylePr w:type="band1Vert">
      <w:rPr>
        <w:sz w:val="22"/>
      </w:rPr>
      <w:pPr>
        <w:pBdr/>
        <w:spacing/>
        <w:ind/>
      </w:pPr>
      <w:tblPr>
        <w:tblBorders/>
      </w:tblPr>
      <w:tcPr>
        <w:shd w:val="clear" w:color="fde9d8" w:fill="fde9d8"/>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f7964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48">
    <w:name w:val="Grid Table 5 Dark"/>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shd w:val="clear" w:color="8a8a8a" w:fill="8a8a8a"/>
        <w:tcBorders/>
      </w:tcPr>
    </w:tblStylePr>
    <w:tblStylePr w:type="band1Vert">
      <w:pPr>
        <w:pBdr/>
        <w:spacing/>
        <w:ind/>
      </w:pPr>
      <w:tblPr>
        <w:tblBorders/>
      </w:tblPr>
      <w:tcPr>
        <w:shd w:val="clear" w:color="8a8a8a" w:fill="8a8a8a"/>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000000" w:fill="000000"/>
        <w:tcBorders/>
      </w:tcPr>
    </w:tblStylePr>
    <w:tblStylePr w:type="firstRow">
      <w:rPr>
        <w:b/>
        <w:sz w:val="22"/>
      </w:rPr>
      <w:pPr>
        <w:pBdr/>
        <w:spacing/>
        <w:ind/>
      </w:pPr>
      <w:tblPr>
        <w:tblBorders/>
      </w:tblPr>
      <w:tcPr>
        <w:shd w:val="clear" w:color="000000" w:fill="000000"/>
        <w:tcBorders/>
      </w:tcPr>
    </w:tblStylePr>
    <w:tblStylePr w:type="lastCol">
      <w:rPr>
        <w:b/>
        <w:sz w:val="22"/>
      </w:rPr>
      <w:pPr>
        <w:pBdr/>
        <w:spacing/>
        <w:ind/>
      </w:pPr>
      <w:tblPr>
        <w:tblBorders/>
      </w:tblPr>
      <w:tcPr>
        <w:shd w:val="clear" w:color="000000" w:fill="000000"/>
        <w:tcBorders/>
      </w:tcPr>
    </w:tblStylePr>
    <w:tblStylePr w:type="lastRow">
      <w:rPr>
        <w:b/>
        <w:sz w:val="22"/>
      </w:rPr>
      <w:pPr>
        <w:pBdr/>
        <w:spacing/>
        <w:ind/>
      </w:pPr>
      <w:tblPr>
        <w:tblBorders/>
      </w:tblPr>
      <w:tcPr>
        <w:shd w:val="clear" w:color="000000" w:fill="000000"/>
        <w:tcBorders>
          <w:top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49" w:customStyle="1">
    <w:name w:val="Grid Table 5 Dark- Accent 1"/>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shd w:val="clear" w:color="aec4e0" w:fill="aec4e0"/>
        <w:tcBorders/>
      </w:tcPr>
    </w:tblStylePr>
    <w:tblStylePr w:type="band1Vert">
      <w:pPr>
        <w:pBdr/>
        <w:spacing/>
        <w:ind/>
      </w:pPr>
      <w:tblPr>
        <w:tblBorders/>
      </w:tblPr>
      <w:tcPr>
        <w:shd w:val="clear" w:color="aec4e0" w:fill="aec4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4f81bd" w:fill="4f81bd"/>
        <w:tcBorders/>
      </w:tcPr>
    </w:tblStylePr>
    <w:tblStylePr w:type="firstRow">
      <w:rPr>
        <w:b/>
        <w:sz w:val="22"/>
      </w:rPr>
      <w:pPr>
        <w:pBdr/>
        <w:spacing/>
        <w:ind/>
      </w:pPr>
      <w:tblPr>
        <w:tblBorders/>
      </w:tblPr>
      <w:tcPr>
        <w:shd w:val="clear" w:color="4f81bd" w:fill="4f81bd"/>
        <w:tcBorders/>
      </w:tcPr>
    </w:tblStylePr>
    <w:tblStylePr w:type="lastCol">
      <w:rPr>
        <w:b/>
        <w:sz w:val="22"/>
      </w:rPr>
      <w:pPr>
        <w:pBdr/>
        <w:spacing/>
        <w:ind/>
      </w:pPr>
      <w:tblPr>
        <w:tblBorders/>
      </w:tblPr>
      <w:tcPr>
        <w:shd w:val="clear" w:color="4f81bd" w:fill="4f81bd"/>
        <w:tcBorders/>
      </w:tcPr>
    </w:tblStylePr>
    <w:tblStylePr w:type="lastRow">
      <w:rPr>
        <w:b/>
        <w:sz w:val="22"/>
      </w:rPr>
      <w:pPr>
        <w:pBdr/>
        <w:spacing/>
        <w:ind/>
      </w:pPr>
      <w:tblPr>
        <w:tblBorders/>
      </w:tblPr>
      <w:tcPr>
        <w:shd w:val="clear" w:color="4f81bd" w:fill="4f81bd"/>
        <w:tcBorders>
          <w:top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50" w:customStyle="1">
    <w:name w:val="Grid Table 5 Dark - Accent 2"/>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shd w:val="clear" w:color="e2aead" w:fill="e2aead"/>
        <w:tcBorders/>
      </w:tcPr>
    </w:tblStylePr>
    <w:tblStylePr w:type="band1Vert">
      <w:pPr>
        <w:pBdr/>
        <w:spacing/>
        <w:ind/>
      </w:pPr>
      <w:tblPr>
        <w:tblBorders/>
      </w:tblPr>
      <w:tcPr>
        <w:shd w:val="clear" w:color="e2aead" w:fill="e2aea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c0504d" w:fill="c0504d"/>
        <w:tcBorders/>
      </w:tcPr>
    </w:tblStylePr>
    <w:tblStylePr w:type="firstRow">
      <w:rPr>
        <w:b/>
        <w:sz w:val="22"/>
      </w:rPr>
      <w:pPr>
        <w:pBdr/>
        <w:spacing/>
        <w:ind/>
      </w:pPr>
      <w:tblPr>
        <w:tblBorders/>
      </w:tblPr>
      <w:tcPr>
        <w:shd w:val="clear" w:color="c0504d" w:fill="c0504d"/>
        <w:tcBorders/>
      </w:tcPr>
    </w:tblStylePr>
    <w:tblStylePr w:type="lastCol">
      <w:rPr>
        <w:b/>
        <w:sz w:val="22"/>
      </w:rPr>
      <w:pPr>
        <w:pBdr/>
        <w:spacing/>
        <w:ind/>
      </w:pPr>
      <w:tblPr>
        <w:tblBorders/>
      </w:tblPr>
      <w:tcPr>
        <w:shd w:val="clear" w:color="c0504d" w:fill="c0504d"/>
        <w:tcBorders/>
      </w:tcPr>
    </w:tblStylePr>
    <w:tblStylePr w:type="lastRow">
      <w:rPr>
        <w:b/>
        <w:sz w:val="22"/>
      </w:rPr>
      <w:pPr>
        <w:pBdr/>
        <w:spacing/>
        <w:ind/>
      </w:pPr>
      <w:tblPr>
        <w:tblBorders/>
      </w:tblPr>
      <w:tcPr>
        <w:shd w:val="clear" w:color="c0504d" w:fill="c0504d"/>
        <w:tcBorders>
          <w:top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51" w:customStyle="1">
    <w:name w:val="Grid Table 5 Dark - Accent 3"/>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shd w:val="clear" w:color="d0dfb2" w:fill="d0dfb2"/>
        <w:tcBorders/>
      </w:tcPr>
    </w:tblStylePr>
    <w:tblStylePr w:type="band1Vert">
      <w:pPr>
        <w:pBdr/>
        <w:spacing/>
        <w:ind/>
      </w:pPr>
      <w:tblPr>
        <w:tblBorders/>
      </w:tblPr>
      <w:tcPr>
        <w:shd w:val="clear" w:color="d0dfb2" w:fill="d0dfb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9bbb59" w:fill="9bbb59"/>
        <w:tcBorders/>
      </w:tcPr>
    </w:tblStylePr>
    <w:tblStylePr w:type="firstRow">
      <w:rPr>
        <w:b/>
        <w:sz w:val="22"/>
      </w:rPr>
      <w:pPr>
        <w:pBdr/>
        <w:spacing/>
        <w:ind/>
      </w:pPr>
      <w:tblPr>
        <w:tblBorders/>
      </w:tblPr>
      <w:tcPr>
        <w:shd w:val="clear" w:color="9bbb59" w:fill="9bbb59"/>
        <w:tcBorders/>
      </w:tcPr>
    </w:tblStylePr>
    <w:tblStylePr w:type="lastCol">
      <w:rPr>
        <w:b/>
        <w:sz w:val="22"/>
      </w:rPr>
      <w:pPr>
        <w:pBdr/>
        <w:spacing/>
        <w:ind/>
      </w:pPr>
      <w:tblPr>
        <w:tblBorders/>
      </w:tblPr>
      <w:tcPr>
        <w:shd w:val="clear" w:color="9bbb59" w:fill="9bbb59"/>
        <w:tcBorders/>
      </w:tcPr>
    </w:tblStylePr>
    <w:tblStylePr w:type="lastRow">
      <w:rPr>
        <w:b/>
        <w:sz w:val="22"/>
      </w:rPr>
      <w:pPr>
        <w:pBdr/>
        <w:spacing/>
        <w:ind/>
      </w:pPr>
      <w:tblPr>
        <w:tblBorders/>
      </w:tblPr>
      <w:tcPr>
        <w:shd w:val="clear" w:color="9bbb59" w:fill="9bbb59"/>
        <w:tcBorders>
          <w:top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52" w:customStyle="1">
    <w:name w:val="Grid Table 5 Dark- Accent 4"/>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shd w:val="clear" w:color="c4b7d4" w:fill="c4b7d4"/>
        <w:tcBorders/>
      </w:tcPr>
    </w:tblStylePr>
    <w:tblStylePr w:type="band1Vert">
      <w:pPr>
        <w:pBdr/>
        <w:spacing/>
        <w:ind/>
      </w:pPr>
      <w:tblPr>
        <w:tblBorders/>
      </w:tblPr>
      <w:tcPr>
        <w:shd w:val="clear" w:color="c4b7d4" w:fill="c4b7d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8064a2" w:fill="8064a2"/>
        <w:tcBorders/>
      </w:tcPr>
    </w:tblStylePr>
    <w:tblStylePr w:type="firstRow">
      <w:rPr>
        <w:b/>
        <w:sz w:val="22"/>
      </w:rPr>
      <w:pPr>
        <w:pBdr/>
        <w:spacing/>
        <w:ind/>
      </w:pPr>
      <w:tblPr>
        <w:tblBorders/>
      </w:tblPr>
      <w:tcPr>
        <w:shd w:val="clear" w:color="8064a2" w:fill="8064a2"/>
        <w:tcBorders/>
      </w:tcPr>
    </w:tblStylePr>
    <w:tblStylePr w:type="lastCol">
      <w:rPr>
        <w:b/>
        <w:sz w:val="22"/>
      </w:rPr>
      <w:pPr>
        <w:pBdr/>
        <w:spacing/>
        <w:ind/>
      </w:pPr>
      <w:tblPr>
        <w:tblBorders/>
      </w:tblPr>
      <w:tcPr>
        <w:shd w:val="clear" w:color="8064a2" w:fill="8064a2"/>
        <w:tcBorders/>
      </w:tcPr>
    </w:tblStylePr>
    <w:tblStylePr w:type="lastRow">
      <w:rPr>
        <w:b/>
        <w:sz w:val="22"/>
      </w:rPr>
      <w:pPr>
        <w:pBdr/>
        <w:spacing/>
        <w:ind/>
      </w:pPr>
      <w:tblPr>
        <w:tblBorders/>
      </w:tblPr>
      <w:tcPr>
        <w:shd w:val="clear" w:color="8064a2" w:fill="8064a2"/>
        <w:tcBorders>
          <w:top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53" w:customStyle="1">
    <w:name w:val="Grid Table 5 Dark - Accent 5"/>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shd w:val="clear" w:color="acd8e4" w:fill="acd8e4"/>
        <w:tcBorders/>
      </w:tcPr>
    </w:tblStylePr>
    <w:tblStylePr w:type="band1Vert">
      <w:pPr>
        <w:pBdr/>
        <w:spacing/>
        <w:ind/>
      </w:pPr>
      <w:tblPr>
        <w:tblBorders/>
      </w:tblPr>
      <w:tcPr>
        <w:shd w:val="clear" w:color="acd8e4" w:fill="acd8e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4bacc6" w:fill="4bacc6"/>
        <w:tcBorders/>
      </w:tcPr>
    </w:tblStylePr>
    <w:tblStylePr w:type="firstRow">
      <w:rPr>
        <w:b/>
        <w:sz w:val="22"/>
      </w:rPr>
      <w:pPr>
        <w:pBdr/>
        <w:spacing/>
        <w:ind/>
      </w:pPr>
      <w:tblPr>
        <w:tblBorders/>
      </w:tblPr>
      <w:tcPr>
        <w:shd w:val="clear" w:color="4bacc6" w:fill="4bacc6"/>
        <w:tcBorders/>
      </w:tcPr>
    </w:tblStylePr>
    <w:tblStylePr w:type="lastCol">
      <w:rPr>
        <w:b/>
        <w:sz w:val="22"/>
      </w:rPr>
      <w:pPr>
        <w:pBdr/>
        <w:spacing/>
        <w:ind/>
      </w:pPr>
      <w:tblPr>
        <w:tblBorders/>
      </w:tblPr>
      <w:tcPr>
        <w:shd w:val="clear" w:color="4bacc6" w:fill="4bacc6"/>
        <w:tcBorders/>
      </w:tcPr>
    </w:tblStylePr>
    <w:tblStylePr w:type="lastRow">
      <w:rPr>
        <w:b/>
        <w:sz w:val="22"/>
      </w:rPr>
      <w:pPr>
        <w:pBdr/>
        <w:spacing/>
        <w:ind/>
      </w:pPr>
      <w:tblPr>
        <w:tblBorders/>
      </w:tblPr>
      <w:tcPr>
        <w:shd w:val="clear" w:color="4bacc6" w:fill="4bacc6"/>
        <w:tcBorders>
          <w:top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54" w:customStyle="1">
    <w:name w:val="Grid Table 5 Dark - Accent 6"/>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shd w:val="clear" w:color="fbceaa" w:fill="fbceaa"/>
        <w:tcBorders/>
      </w:tcPr>
    </w:tblStylePr>
    <w:tblStylePr w:type="band1Vert">
      <w:pPr>
        <w:pBdr/>
        <w:spacing/>
        <w:ind/>
      </w:pPr>
      <w:tblPr>
        <w:tblBorders/>
      </w:tblPr>
      <w:tcPr>
        <w:shd w:val="clear" w:color="fbceaa" w:fill="fbceaa"/>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f79646" w:fill="f79646"/>
        <w:tcBorders/>
      </w:tcPr>
    </w:tblStylePr>
    <w:tblStylePr w:type="firstRow">
      <w:rPr>
        <w:b/>
        <w:sz w:val="22"/>
      </w:rPr>
      <w:pPr>
        <w:pBdr/>
        <w:spacing/>
        <w:ind/>
      </w:pPr>
      <w:tblPr>
        <w:tblBorders/>
      </w:tblPr>
      <w:tcPr>
        <w:shd w:val="clear" w:color="f79646" w:fill="f79646"/>
        <w:tcBorders/>
      </w:tcPr>
    </w:tblStylePr>
    <w:tblStylePr w:type="lastCol">
      <w:rPr>
        <w:b/>
        <w:sz w:val="22"/>
      </w:rPr>
      <w:pPr>
        <w:pBdr/>
        <w:spacing/>
        <w:ind/>
      </w:pPr>
      <w:tblPr>
        <w:tblBorders/>
      </w:tblPr>
      <w:tcPr>
        <w:shd w:val="clear" w:color="f79646" w:fill="f79646"/>
        <w:tcBorders/>
      </w:tcPr>
    </w:tblStylePr>
    <w:tblStylePr w:type="lastRow">
      <w:rPr>
        <w:b/>
        <w:sz w:val="22"/>
      </w:rPr>
      <w:pPr>
        <w:pBdr/>
        <w:spacing/>
        <w:ind/>
      </w:pPr>
      <w:tblPr>
        <w:tblBorders/>
      </w:tblPr>
      <w:tcPr>
        <w:shd w:val="clear" w:color="f79646" w:fill="f79646"/>
        <w:tcBorders>
          <w:top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55">
    <w:name w:val="Grid Table 6 Colorful"/>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cPr>
      <w:tcBorders/>
    </w:tcPr>
    <w:tblStylePr w:type="band1Horz">
      <w:rPr>
        <w:sz w:val="22"/>
      </w:rPr>
      <w:pPr>
        <w:pBdr/>
        <w:spacing/>
        <w:ind/>
      </w:pPr>
      <w:tblPr>
        <w:tblBorders/>
      </w:tblPr>
      <w:tcPr>
        <w:shd w:val="clear" w:color="cbcbcb" w:fill="cbcbcb"/>
        <w:tcBorders/>
      </w:tcPr>
    </w:tblStylePr>
    <w:tblStylePr w:type="band1Vert">
      <w:pPr>
        <w:pBdr/>
        <w:spacing/>
        <w:ind/>
      </w:pPr>
      <w:tblPr>
        <w:tblBorders/>
      </w:tblPr>
      <w:tcPr>
        <w:shd w:val="clear" w:color="cbcbcb" w:fill="cbcbcb"/>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7f7f7f"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56" w:customStyle="1">
    <w:name w:val="Grid Table 6 Colorful - Accent 1"/>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cPr>
      <w:tcBorders/>
    </w:tcPr>
    <w:tblStylePr w:type="band1Horz">
      <w:rPr>
        <w:sz w:val="22"/>
      </w:rPr>
      <w:pPr>
        <w:pBdr/>
        <w:spacing/>
        <w:ind/>
      </w:pPr>
      <w:tblPr>
        <w:tblBorders/>
      </w:tblPr>
      <w:tcPr>
        <w:shd w:val="clear" w:color="dae5f1" w:fill="dae5f1"/>
        <w:tcBorders/>
      </w:tcPr>
    </w:tblStylePr>
    <w:tblStylePr w:type="band1Vert">
      <w:pPr>
        <w:pBdr/>
        <w:spacing/>
        <w:ind/>
      </w:pPr>
      <w:tblPr>
        <w:tblBorders/>
      </w:tblPr>
      <w:tcPr>
        <w:shd w:val="clear" w:color="dae5f1" w:fill="dae5f1"/>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a6bfdd"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57" w:customStyle="1">
    <w:name w:val="Grid Table 6 Colorful - Accent 2"/>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cPr>
      <w:tcBorders/>
    </w:tcPr>
    <w:tblStylePr w:type="band1Horz">
      <w:rPr>
        <w:sz w:val="22"/>
      </w:rPr>
      <w:pPr>
        <w:pBdr/>
        <w:spacing/>
        <w:ind/>
      </w:pPr>
      <w:tblPr>
        <w:tblBorders/>
      </w:tblPr>
      <w:tcPr>
        <w:shd w:val="clear" w:color="f2dcdc" w:fill="f2dcdc"/>
        <w:tcBorders/>
      </w:tcPr>
    </w:tblStylePr>
    <w:tblStylePr w:type="band1Vert">
      <w:pPr>
        <w:pBdr/>
        <w:spacing/>
        <w:ind/>
      </w:pPr>
      <w:tblPr>
        <w:tblBorders/>
      </w:tblPr>
      <w:tcPr>
        <w:shd w:val="clear" w:color="f2dcdc" w:fill="f2dcdc"/>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d99695"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58" w:customStyle="1">
    <w:name w:val="Grid Table 6 Colorful - Accent 3"/>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cPr>
      <w:tcBorders/>
    </w:tcPr>
    <w:tblStylePr w:type="band1Horz">
      <w:rPr>
        <w:sz w:val="22"/>
      </w:rPr>
      <w:pPr>
        <w:pBdr/>
        <w:spacing/>
        <w:ind/>
      </w:pPr>
      <w:tblPr>
        <w:tblBorders/>
      </w:tblPr>
      <w:tcPr>
        <w:shd w:val="clear" w:color="eaf1dc" w:fill="eaf1dc"/>
        <w:tcBorders/>
      </w:tcPr>
    </w:tblStylePr>
    <w:tblStylePr w:type="band1Vert">
      <w:pPr>
        <w:pBdr/>
        <w:spacing/>
        <w:ind/>
      </w:pPr>
      <w:tblPr>
        <w:tblBorders/>
      </w:tblPr>
      <w:tcPr>
        <w:shd w:val="clear" w:color="eaf1dc" w:fill="eaf1dc"/>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9abb59"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59" w:customStyle="1">
    <w:name w:val="Grid Table 6 Colorful - Accent 4"/>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cPr>
      <w:tcBorders/>
    </w:tcPr>
    <w:tblStylePr w:type="band1Horz">
      <w:rPr>
        <w:sz w:val="22"/>
      </w:rPr>
      <w:pPr>
        <w:pBdr/>
        <w:spacing/>
        <w:ind/>
      </w:pPr>
      <w:tblPr>
        <w:tblBorders/>
      </w:tblPr>
      <w:tcPr>
        <w:shd w:val="clear" w:color="e5dfec" w:fill="e5dfec"/>
        <w:tcBorders/>
      </w:tcPr>
    </w:tblStylePr>
    <w:tblStylePr w:type="band1Vert">
      <w:pPr>
        <w:pBdr/>
        <w:spacing/>
        <w:ind/>
      </w:pPr>
      <w:tblPr>
        <w:tblBorders/>
      </w:tblPr>
      <w:tcPr>
        <w:shd w:val="clear" w:color="e5dfec" w:fill="e5dfec"/>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b2a1c6"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60" w:customStyle="1">
    <w:name w:val="Grid Table 6 Colorful - Accent 5"/>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cPr>
      <w:tcBorders/>
    </w:tcPr>
    <w:tblStylePr w:type="band1Horz">
      <w:rPr>
        <w:sz w:val="22"/>
      </w:rPr>
      <w:pPr>
        <w:pBdr/>
        <w:spacing/>
        <w:ind/>
      </w:pPr>
      <w:tblPr>
        <w:tblBorders/>
      </w:tblPr>
      <w:tcPr>
        <w:shd w:val="clear" w:color="daeef3" w:fill="daeef3"/>
        <w:tcBorders/>
      </w:tcPr>
    </w:tblStylePr>
    <w:tblStylePr w:type="band1Vert">
      <w:pPr>
        <w:pBdr/>
        <w:spacing/>
        <w:ind/>
      </w:pPr>
      <w:tblPr>
        <w:tblBorders/>
      </w:tblPr>
      <w:tcPr>
        <w:shd w:val="clear" w:color="daeef3" w:fill="daeef3"/>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4bacc6"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61" w:customStyle="1">
    <w:name w:val="Grid Table 6 Colorful - Accent 6"/>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cPr>
      <w:tcBorders/>
    </w:tcPr>
    <w:tblStylePr w:type="band1Horz">
      <w:rPr>
        <w:sz w:val="22"/>
      </w:rPr>
      <w:pPr>
        <w:pBdr/>
        <w:spacing/>
        <w:ind/>
      </w:pPr>
      <w:tblPr>
        <w:tblBorders/>
      </w:tblPr>
      <w:tcPr>
        <w:shd w:val="clear" w:color="fde9d8" w:fill="fde9d8"/>
        <w:tcBorders/>
      </w:tcPr>
    </w:tblStylePr>
    <w:tblStylePr w:type="band1Vert">
      <w:pPr>
        <w:pBdr/>
        <w:spacing/>
        <w:ind/>
      </w:pPr>
      <w:tblPr>
        <w:tblBorders/>
      </w:tblPr>
      <w:tcPr>
        <w:shd w:val="clear" w:color="fde9d8" w:fill="fde9d8"/>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f79646"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62">
    <w:name w:val="Grid Table 7 Colorful"/>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7f7f7f" w:sz="4" w:space="0"/>
        <w:right w:val="single" w:color="7f7f7f" w:sz="4" w:space="0"/>
        <w:insideH w:val="single" w:color="7f7f7f" w:sz="4" w:space="0"/>
        <w:insideV w:val="single" w:color="7f7f7f" w:sz="4" w:space="0"/>
      </w:tblBorders>
    </w:tblPr>
    <w:tcPr>
      <w:tcBorders/>
    </w:tcPr>
    <w:tblStylePr w:type="band1Horz">
      <w:rPr>
        <w:sz w:val="22"/>
      </w:rPr>
      <w:pPr>
        <w:pBdr/>
        <w:spacing/>
        <w:ind/>
      </w:pPr>
      <w:tblPr>
        <w:tblBorders/>
      </w:tblPr>
      <w:tcPr>
        <w:shd w:val="clear" w:color="f2f2f2" w:fill="f2f2f2"/>
        <w:tcBorders/>
      </w:tcPr>
    </w:tblStylePr>
    <w:tblStylePr w:type="band1Vert">
      <w:pPr>
        <w:pBdr/>
        <w:spacing/>
        <w:ind/>
      </w:pPr>
      <w:tblPr>
        <w:tblBorders/>
      </w:tblPr>
      <w:tcPr>
        <w:shd w:val="clear" w:color="f2f2f2" w:fill="f2f2f2"/>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7f7f7f" w:sz="4" w:space="0"/>
        </w:tcBorders>
      </w:tcPr>
    </w:tblStylePr>
    <w:tblStylePr w:type="firstRow">
      <w:rPr>
        <w:b/>
        <w:sz w:val="22"/>
      </w:rPr>
      <w:pPr>
        <w:pBdr/>
        <w:spacing/>
        <w:ind/>
      </w:pPr>
      <w:tblPr>
        <w:tblBorders/>
      </w:tblPr>
      <w:tcPr>
        <w:shd w:val="clear" w:color="ffffff" w:fill="ffffff"/>
        <w:tcBorders>
          <w:top w:val="none" w:color="000000" w:sz="0" w:space="0"/>
          <w:left w:val="none" w:color="000000" w:sz="0" w:space="0"/>
          <w:bottom w:val="single" w:color="7f7f7f"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7f7f7f" w:sz="4" w:space="0"/>
          <w:bottom w:val="none" w:color="000000" w:sz="0" w:space="0"/>
          <w:right w:val="none" w:color="000000" w:sz="0" w:space="0"/>
        </w:tcBorders>
      </w:tcPr>
    </w:tblStylePr>
    <w:tblStylePr w:type="lastRow">
      <w:rPr>
        <w:b/>
        <w:sz w:val="22"/>
      </w:rPr>
      <w:pPr>
        <w:pBdr/>
        <w:spacing/>
        <w:ind/>
      </w:pPr>
      <w:tblPr>
        <w:tblBorders/>
      </w:tblPr>
      <w:tcPr>
        <w:shd w:val="clear" w:color="ffffff" w:fill="ffffff"/>
        <w:tcBorders>
          <w:top w:val="single" w:color="7f7f7f"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63" w:customStyle="1">
    <w:name w:val="Grid Table 7 Colorful - Accent 1"/>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a6bfdd" w:sz="4" w:space="0"/>
        <w:right w:val="single" w:color="a6bfdd" w:sz="4" w:space="0"/>
        <w:insideH w:val="single" w:color="a6bfdd" w:sz="4" w:space="0"/>
        <w:insideV w:val="single" w:color="a6bfdd" w:sz="4" w:space="0"/>
      </w:tblBorders>
    </w:tblPr>
    <w:tcPr>
      <w:tcBorders/>
    </w:tcPr>
    <w:tblStylePr w:type="band1Horz">
      <w:rPr>
        <w:sz w:val="22"/>
      </w:rPr>
      <w:pPr>
        <w:pBdr/>
        <w:spacing/>
        <w:ind/>
      </w:pPr>
      <w:tblPr>
        <w:tblBorders/>
      </w:tblPr>
      <w:tcPr>
        <w:shd w:val="clear" w:color="dae5f1" w:fill="dae5f1"/>
        <w:tcBorders/>
      </w:tcPr>
    </w:tblStylePr>
    <w:tblStylePr w:type="band1Vert">
      <w:pPr>
        <w:pBdr/>
        <w:spacing/>
        <w:ind/>
      </w:pPr>
      <w:tblPr>
        <w:tblBorders/>
      </w:tblPr>
      <w:tcPr>
        <w:shd w:val="clear" w:color="dae5f1" w:fill="dae5f1"/>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6bfdd" w:sz="4" w:space="0"/>
        </w:tcBorders>
      </w:tcPr>
    </w:tblStylePr>
    <w:tblStylePr w:type="firstRow">
      <w:rPr>
        <w:b/>
        <w:sz w:val="22"/>
      </w:rPr>
      <w:pPr>
        <w:pBdr/>
        <w:spacing/>
        <w:ind/>
      </w:pPr>
      <w:tblPr>
        <w:tblBorders/>
      </w:tblPr>
      <w:tcPr>
        <w:shd w:val="clear" w:color="ffffff" w:fill="ffffff"/>
        <w:tcBorders>
          <w:top w:val="none" w:color="000000" w:sz="0" w:space="0"/>
          <w:left w:val="none" w:color="000000" w:sz="0" w:space="0"/>
          <w:bottom w:val="single" w:color="a6bfdd"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a6bfdd" w:sz="4" w:space="0"/>
          <w:bottom w:val="none" w:color="000000" w:sz="0" w:space="0"/>
          <w:right w:val="none" w:color="000000" w:sz="0" w:space="0"/>
        </w:tcBorders>
      </w:tcPr>
    </w:tblStylePr>
    <w:tblStylePr w:type="lastRow">
      <w:rPr>
        <w:b/>
        <w:sz w:val="22"/>
      </w:rPr>
      <w:pPr>
        <w:pBdr/>
        <w:spacing/>
        <w:ind/>
      </w:pPr>
      <w:tblPr>
        <w:tblBorders/>
      </w:tblPr>
      <w:tcPr>
        <w:shd w:val="clear" w:color="ffffff" w:fill="ffffff"/>
        <w:tcBorders>
          <w:top w:val="single" w:color="a6bfdd"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64" w:customStyle="1">
    <w:name w:val="Grid Table 7 Colorful - Accent 2"/>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d99695" w:sz="4" w:space="0"/>
        <w:right w:val="single" w:color="d99695" w:sz="4" w:space="0"/>
        <w:insideH w:val="single" w:color="d99695" w:sz="4" w:space="0"/>
        <w:insideV w:val="single" w:color="d99695" w:sz="4" w:space="0"/>
      </w:tblBorders>
    </w:tblPr>
    <w:tcPr>
      <w:tcBorders/>
    </w:tcPr>
    <w:tblStylePr w:type="band1Horz">
      <w:rPr>
        <w:sz w:val="22"/>
      </w:rPr>
      <w:pPr>
        <w:pBdr/>
        <w:spacing/>
        <w:ind/>
      </w:pPr>
      <w:tblPr>
        <w:tblBorders/>
      </w:tblPr>
      <w:tcPr>
        <w:shd w:val="clear" w:color="f2dcdc" w:fill="f2dcdc"/>
        <w:tcBorders/>
      </w:tcPr>
    </w:tblStylePr>
    <w:tblStylePr w:type="band1Vert">
      <w:pPr>
        <w:pBdr/>
        <w:spacing/>
        <w:ind/>
      </w:pPr>
      <w:tblPr>
        <w:tblBorders/>
      </w:tblPr>
      <w:tcPr>
        <w:shd w:val="clear" w:color="f2dcdc" w:fill="f2dcdc"/>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d99695" w:sz="4" w:space="0"/>
        </w:tcBorders>
      </w:tcPr>
    </w:tblStylePr>
    <w:tblStylePr w:type="firstRow">
      <w:rPr>
        <w:b/>
        <w:sz w:val="22"/>
      </w:rPr>
      <w:pPr>
        <w:pBdr/>
        <w:spacing/>
        <w:ind/>
      </w:pPr>
      <w:tblPr>
        <w:tblBorders/>
      </w:tblPr>
      <w:tcPr>
        <w:shd w:val="clear" w:color="ffffff" w:fill="ffffff"/>
        <w:tcBorders>
          <w:top w:val="none" w:color="000000" w:sz="0" w:space="0"/>
          <w:left w:val="none" w:color="000000" w:sz="0" w:space="0"/>
          <w:bottom w:val="single" w:color="d99695"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d99695" w:sz="4" w:space="0"/>
          <w:bottom w:val="none" w:color="000000" w:sz="0" w:space="0"/>
          <w:right w:val="none" w:color="000000" w:sz="0" w:space="0"/>
        </w:tcBorders>
      </w:tcPr>
    </w:tblStylePr>
    <w:tblStylePr w:type="lastRow">
      <w:rPr>
        <w:b/>
        <w:sz w:val="22"/>
      </w:rPr>
      <w:pPr>
        <w:pBdr/>
        <w:spacing/>
        <w:ind/>
      </w:pPr>
      <w:tblPr>
        <w:tblBorders/>
      </w:tblPr>
      <w:tcPr>
        <w:shd w:val="clear" w:color="ffffff" w:fill="ffffff"/>
        <w:tcBorders>
          <w:top w:val="single" w:color="d99695"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65" w:customStyle="1">
    <w:name w:val="Grid Table 7 Colorful - Accent 3"/>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9abb59" w:sz="4" w:space="0"/>
        <w:right w:val="single" w:color="9abb59" w:sz="4" w:space="0"/>
        <w:insideH w:val="single" w:color="9abb59" w:sz="4" w:space="0"/>
        <w:insideV w:val="single" w:color="9abb59" w:sz="4" w:space="0"/>
      </w:tblBorders>
    </w:tblPr>
    <w:tcPr>
      <w:tcBorders/>
    </w:tcPr>
    <w:tblStylePr w:type="band1Horz">
      <w:rPr>
        <w:sz w:val="22"/>
      </w:rPr>
      <w:pPr>
        <w:pBdr/>
        <w:spacing/>
        <w:ind/>
      </w:pPr>
      <w:tblPr>
        <w:tblBorders/>
      </w:tblPr>
      <w:tcPr>
        <w:shd w:val="clear" w:color="eaf1dc" w:fill="eaf1dc"/>
        <w:tcBorders/>
      </w:tcPr>
    </w:tblStylePr>
    <w:tblStylePr w:type="band1Vert">
      <w:pPr>
        <w:pBdr/>
        <w:spacing/>
        <w:ind/>
      </w:pPr>
      <w:tblPr>
        <w:tblBorders/>
      </w:tblPr>
      <w:tcPr>
        <w:shd w:val="clear" w:color="eaf1dc" w:fill="eaf1dc"/>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9abb59" w:sz="4" w:space="0"/>
        </w:tcBorders>
      </w:tcPr>
    </w:tblStylePr>
    <w:tblStylePr w:type="firstRow">
      <w:rPr>
        <w:b/>
        <w:sz w:val="22"/>
      </w:rPr>
      <w:pPr>
        <w:pBdr/>
        <w:spacing/>
        <w:ind/>
      </w:pPr>
      <w:tblPr>
        <w:tblBorders/>
      </w:tblPr>
      <w:tcPr>
        <w:shd w:val="clear" w:color="ffffff" w:fill="ffffff"/>
        <w:tcBorders>
          <w:top w:val="none" w:color="000000" w:sz="0" w:space="0"/>
          <w:left w:val="none" w:color="000000" w:sz="0" w:space="0"/>
          <w:bottom w:val="single" w:color="9abb59"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9abb59" w:sz="4" w:space="0"/>
          <w:bottom w:val="none" w:color="000000" w:sz="0" w:space="0"/>
          <w:right w:val="none" w:color="000000" w:sz="0" w:space="0"/>
        </w:tcBorders>
      </w:tcPr>
    </w:tblStylePr>
    <w:tblStylePr w:type="lastRow">
      <w:rPr>
        <w:b/>
        <w:sz w:val="22"/>
      </w:rPr>
      <w:pPr>
        <w:pBdr/>
        <w:spacing/>
        <w:ind/>
      </w:pPr>
      <w:tblPr>
        <w:tblBorders/>
      </w:tblPr>
      <w:tcPr>
        <w:shd w:val="clear" w:color="ffffff" w:fill="ffffff"/>
        <w:tcBorders>
          <w:top w:val="single" w:color="9abb59"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66" w:customStyle="1">
    <w:name w:val="Grid Table 7 Colorful - Accent 4"/>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b2a1c6" w:sz="4" w:space="0"/>
        <w:right w:val="single" w:color="b2a1c6" w:sz="4" w:space="0"/>
        <w:insideH w:val="single" w:color="b2a1c6" w:sz="4" w:space="0"/>
        <w:insideV w:val="single" w:color="b2a1c6" w:sz="4" w:space="0"/>
      </w:tblBorders>
    </w:tblPr>
    <w:tcPr>
      <w:tcBorders/>
    </w:tcPr>
    <w:tblStylePr w:type="band1Horz">
      <w:rPr>
        <w:sz w:val="22"/>
      </w:rPr>
      <w:pPr>
        <w:pBdr/>
        <w:spacing/>
        <w:ind/>
      </w:pPr>
      <w:tblPr>
        <w:tblBorders/>
      </w:tblPr>
      <w:tcPr>
        <w:shd w:val="clear" w:color="e5dfec" w:fill="e5dfec"/>
        <w:tcBorders/>
      </w:tcPr>
    </w:tblStylePr>
    <w:tblStylePr w:type="band1Vert">
      <w:pPr>
        <w:pBdr/>
        <w:spacing/>
        <w:ind/>
      </w:pPr>
      <w:tblPr>
        <w:tblBorders/>
      </w:tblPr>
      <w:tcPr>
        <w:shd w:val="clear" w:color="e5dfec" w:fill="e5dfec"/>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b2a1c6" w:sz="4" w:space="0"/>
        </w:tcBorders>
      </w:tcPr>
    </w:tblStylePr>
    <w:tblStylePr w:type="firstRow">
      <w:rPr>
        <w:b/>
        <w:sz w:val="22"/>
      </w:rPr>
      <w:pPr>
        <w:pBdr/>
        <w:spacing/>
        <w:ind/>
      </w:pPr>
      <w:tblPr>
        <w:tblBorders/>
      </w:tblPr>
      <w:tcPr>
        <w:shd w:val="clear" w:color="ffffff" w:fill="ffffff"/>
        <w:tcBorders>
          <w:top w:val="none" w:color="000000" w:sz="0" w:space="0"/>
          <w:left w:val="none" w:color="000000" w:sz="0" w:space="0"/>
          <w:bottom w:val="single" w:color="b2a1c6"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b2a1c6" w:sz="4" w:space="0"/>
          <w:bottom w:val="none" w:color="000000" w:sz="0" w:space="0"/>
          <w:right w:val="none" w:color="000000" w:sz="0" w:space="0"/>
        </w:tcBorders>
      </w:tcPr>
    </w:tblStylePr>
    <w:tblStylePr w:type="lastRow">
      <w:rPr>
        <w:b/>
        <w:sz w:val="22"/>
      </w:rPr>
      <w:pPr>
        <w:pBdr/>
        <w:spacing/>
        <w:ind/>
      </w:pPr>
      <w:tblPr>
        <w:tblBorders/>
      </w:tblPr>
      <w:tcPr>
        <w:shd w:val="clear" w:color="ffffff" w:fill="ffffff"/>
        <w:tcBorders>
          <w:top w:val="single" w:color="b2a1c6"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67" w:customStyle="1">
    <w:name w:val="Grid Table 7 Colorful - Accent 5"/>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99d0de" w:sz="4" w:space="0"/>
        <w:right w:val="single" w:color="99d0de" w:sz="4" w:space="0"/>
        <w:insideH w:val="single" w:color="99d0de" w:sz="4" w:space="0"/>
        <w:insideV w:val="single" w:color="99d0de" w:sz="4" w:space="0"/>
      </w:tblBorders>
    </w:tblPr>
    <w:tcPr>
      <w:tcBorders/>
    </w:tcPr>
    <w:tblStylePr w:type="band1Horz">
      <w:rPr>
        <w:sz w:val="22"/>
      </w:rPr>
      <w:pPr>
        <w:pBdr/>
        <w:spacing/>
        <w:ind/>
      </w:pPr>
      <w:tblPr>
        <w:tblBorders/>
      </w:tblPr>
      <w:tcPr>
        <w:shd w:val="clear" w:color="daeef3" w:fill="daeef3"/>
        <w:tcBorders/>
      </w:tcPr>
    </w:tblStylePr>
    <w:tblStylePr w:type="band1Vert">
      <w:pPr>
        <w:pBdr/>
        <w:spacing/>
        <w:ind/>
      </w:pPr>
      <w:tblPr>
        <w:tblBorders/>
      </w:tblPr>
      <w:tcPr>
        <w:shd w:val="clear" w:color="daeef3" w:fill="daeef3"/>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99d0de" w:sz="4" w:space="0"/>
        </w:tcBorders>
      </w:tcPr>
    </w:tblStylePr>
    <w:tblStylePr w:type="firstRow">
      <w:rPr>
        <w:b/>
        <w:sz w:val="22"/>
      </w:rPr>
      <w:pPr>
        <w:pBdr/>
        <w:spacing/>
        <w:ind/>
      </w:pPr>
      <w:tblPr>
        <w:tblBorders/>
      </w:tblPr>
      <w:tcPr>
        <w:shd w:val="clear" w:color="ffffff" w:fill="ffffff"/>
        <w:tcBorders>
          <w:top w:val="none" w:color="000000" w:sz="0" w:space="0"/>
          <w:left w:val="none" w:color="000000" w:sz="0" w:space="0"/>
          <w:bottom w:val="single" w:color="99d0de"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99d0de" w:sz="4" w:space="0"/>
          <w:bottom w:val="none" w:color="000000" w:sz="0" w:space="0"/>
          <w:right w:val="none" w:color="000000" w:sz="0" w:space="0"/>
        </w:tcBorders>
      </w:tcPr>
    </w:tblStylePr>
    <w:tblStylePr w:type="lastRow">
      <w:rPr>
        <w:b/>
        <w:sz w:val="22"/>
      </w:rPr>
      <w:pPr>
        <w:pBdr/>
        <w:spacing/>
        <w:ind/>
      </w:pPr>
      <w:tblPr>
        <w:tblBorders/>
      </w:tblPr>
      <w:tcPr>
        <w:shd w:val="clear" w:color="ffffff" w:fill="ffffff"/>
        <w:tcBorders>
          <w:top w:val="single" w:color="99d0de"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68" w:customStyle="1">
    <w:name w:val="Grid Table 7 Colorful - Accent 6"/>
    <w:basedOn w:val="875"/>
    <w:uiPriority w:val="99"/>
    <w:pPr>
      <w:pBdr/>
      <w:spacing/>
      <w:ind/>
    </w:pPr>
    <w:tblPr>
      <w:tblStyleRowBandSize w:val="1"/>
      <w:tblStyleColBandSize w:val="1"/>
      <w:tblInd w:w="0" w:type="dxa"/>
      <w:tblCellMar>
        <w:left w:w="108" w:type="dxa"/>
        <w:top w:w="0" w:type="dxa"/>
        <w:right w:w="108" w:type="dxa"/>
        <w:bottom w:w="0" w:type="dxa"/>
      </w:tblCellMar>
      <w:tblBorders>
        <w:bottom w:val="single" w:color="fac396" w:sz="4" w:space="0"/>
        <w:right w:val="single" w:color="fac396" w:sz="4" w:space="0"/>
        <w:insideH w:val="single" w:color="fac396" w:sz="4" w:space="0"/>
        <w:insideV w:val="single" w:color="fac396" w:sz="4" w:space="0"/>
      </w:tblBorders>
    </w:tblPr>
    <w:tcPr>
      <w:tcBorders/>
    </w:tcPr>
    <w:tblStylePr w:type="band1Horz">
      <w:rPr>
        <w:sz w:val="22"/>
      </w:rPr>
      <w:pPr>
        <w:pBdr/>
        <w:spacing/>
        <w:ind/>
      </w:pPr>
      <w:tblPr>
        <w:tblBorders/>
      </w:tblPr>
      <w:tcPr>
        <w:shd w:val="clear" w:color="fde9d8" w:fill="fde9d8"/>
        <w:tcBorders/>
      </w:tcPr>
    </w:tblStylePr>
    <w:tblStylePr w:type="band1Vert">
      <w:pPr>
        <w:pBdr/>
        <w:spacing/>
        <w:ind/>
      </w:pPr>
      <w:tblPr>
        <w:tblBorders/>
      </w:tblPr>
      <w:tcPr>
        <w:shd w:val="clear" w:color="fde9d8" w:fill="fde9d8"/>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ac396" w:sz="4" w:space="0"/>
        </w:tcBorders>
      </w:tcPr>
    </w:tblStylePr>
    <w:tblStylePr w:type="firstRow">
      <w:rPr>
        <w:b/>
        <w:sz w:val="22"/>
      </w:rPr>
      <w:pPr>
        <w:pBdr/>
        <w:spacing/>
        <w:ind/>
      </w:pPr>
      <w:tblPr>
        <w:tblBorders/>
      </w:tblPr>
      <w:tcPr>
        <w:shd w:val="clear" w:color="ffffff" w:fill="ffffff"/>
        <w:tcBorders>
          <w:top w:val="none" w:color="000000" w:sz="0" w:space="0"/>
          <w:left w:val="none" w:color="000000" w:sz="0" w:space="0"/>
          <w:bottom w:val="single" w:color="fac396"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fac396" w:sz="4" w:space="0"/>
          <w:bottom w:val="none" w:color="000000" w:sz="0" w:space="0"/>
          <w:right w:val="none" w:color="000000" w:sz="0" w:space="0"/>
        </w:tcBorders>
      </w:tcPr>
    </w:tblStylePr>
    <w:tblStylePr w:type="lastRow">
      <w:rPr>
        <w:b/>
        <w:sz w:val="22"/>
      </w:rPr>
      <w:pPr>
        <w:pBdr/>
        <w:spacing/>
        <w:ind/>
      </w:pPr>
      <w:tblPr>
        <w:tblBorders/>
      </w:tblPr>
      <w:tcPr>
        <w:shd w:val="clear" w:color="ffffff" w:fill="ffffff"/>
        <w:tcBorders>
          <w:top w:val="single" w:color="fac396"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69">
    <w:name w:val="List Table 1 Light"/>
    <w:basedOn w:val="875"/>
    <w:uiPriority w:val="99"/>
    <w:pPr>
      <w:pBdr/>
      <w:spacing/>
      <w:ind/>
    </w:p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shd w:val="clear" w:color="bfbfbf" w:fill="bfbfbf"/>
        <w:tcBorders/>
      </w:tcPr>
    </w:tblStylePr>
    <w:tblStylePr w:type="band1Vert">
      <w:pPr>
        <w:pBdr/>
        <w:spacing/>
        <w:ind/>
      </w:pPr>
      <w:tblPr>
        <w:tblBorders/>
      </w:tblPr>
      <w:tcPr>
        <w:shd w:val="clear" w:color="bfbfbf" w:fill="bfbfb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000000"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70" w:customStyle="1">
    <w:name w:val="List Table 1 Light - Accent 1"/>
    <w:basedOn w:val="875"/>
    <w:uiPriority w:val="99"/>
    <w:pPr>
      <w:pBdr/>
      <w:spacing/>
      <w:ind/>
    </w:p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shd w:val="clear" w:color="d2dfee" w:fill="d2dfee"/>
        <w:tcBorders/>
      </w:tcPr>
    </w:tblStylePr>
    <w:tblStylePr w:type="band1Vert">
      <w:pPr>
        <w:pBdr/>
        <w:spacing/>
        <w:ind/>
      </w:pPr>
      <w:tblPr>
        <w:tblBorders/>
      </w:tblPr>
      <w:tcPr>
        <w:shd w:val="clear" w:color="d2dfee" w:fill="d2dfe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4f81bd"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4f81bd"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71" w:customStyle="1">
    <w:name w:val="List Table 1 Light - Accent 2"/>
    <w:basedOn w:val="875"/>
    <w:uiPriority w:val="99"/>
    <w:pPr>
      <w:pBdr/>
      <w:spacing/>
      <w:ind/>
    </w:p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shd w:val="clear" w:color="efd2d2" w:fill="efd2d2"/>
        <w:tcBorders/>
      </w:tcPr>
    </w:tblStylePr>
    <w:tblStylePr w:type="band1Vert">
      <w:pPr>
        <w:pBdr/>
        <w:spacing/>
        <w:ind/>
      </w:pPr>
      <w:tblPr>
        <w:tblBorders/>
      </w:tblPr>
      <w:tcPr>
        <w:shd w:val="clear" w:color="efd2d2" w:fill="efd2d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c0504d"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c0504d"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72" w:customStyle="1">
    <w:name w:val="List Table 1 Light - Accent 3"/>
    <w:basedOn w:val="875"/>
    <w:uiPriority w:val="99"/>
    <w:pPr>
      <w:pBdr/>
      <w:spacing/>
      <w:ind/>
    </w:p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shd w:val="clear" w:color="e5eed5" w:fill="e5eed5"/>
        <w:tcBorders/>
      </w:tcPr>
    </w:tblStylePr>
    <w:tblStylePr w:type="band1Vert">
      <w:pPr>
        <w:pBdr/>
        <w:spacing/>
        <w:ind/>
      </w:pPr>
      <w:tblPr>
        <w:tblBorders/>
      </w:tblPr>
      <w:tcPr>
        <w:shd w:val="clear" w:color="e5eed5" w:fill="e5eed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9bbb59"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9bbb59"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73" w:customStyle="1">
    <w:name w:val="List Table 1 Light - Accent 4"/>
    <w:basedOn w:val="875"/>
    <w:uiPriority w:val="99"/>
    <w:pPr>
      <w:pBdr/>
      <w:spacing/>
      <w:ind/>
    </w:p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shd w:val="clear" w:color="dfd8e7" w:fill="dfd8e7"/>
        <w:tcBorders/>
      </w:tcPr>
    </w:tblStylePr>
    <w:tblStylePr w:type="band1Vert">
      <w:pPr>
        <w:pBdr/>
        <w:spacing/>
        <w:ind/>
      </w:pPr>
      <w:tblPr>
        <w:tblBorders/>
      </w:tblPr>
      <w:tcPr>
        <w:shd w:val="clear" w:color="dfd8e7" w:fill="dfd8e7"/>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8064a2"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8064a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74" w:customStyle="1">
    <w:name w:val="List Table 1 Light - Accent 5"/>
    <w:basedOn w:val="875"/>
    <w:uiPriority w:val="99"/>
    <w:pPr>
      <w:pBdr/>
      <w:spacing/>
      <w:ind/>
    </w:p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shd w:val="clear" w:color="d1eaf0" w:fill="d1eaf0"/>
        <w:tcBorders/>
      </w:tcPr>
    </w:tblStylePr>
    <w:tblStylePr w:type="band1Vert">
      <w:pPr>
        <w:pBdr/>
        <w:spacing/>
        <w:ind/>
      </w:pPr>
      <w:tblPr>
        <w:tblBorders/>
      </w:tblPr>
      <w:tcPr>
        <w:shd w:val="clear" w:color="d1eaf0" w:fill="d1eaf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4bacc6"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4bacc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75" w:customStyle="1">
    <w:name w:val="List Table 1 Light - Accent 6"/>
    <w:basedOn w:val="875"/>
    <w:uiPriority w:val="99"/>
    <w:pPr>
      <w:pBdr/>
      <w:spacing/>
      <w:ind/>
    </w:p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shd w:val="clear" w:color="fde4d0" w:fill="fde4d0"/>
        <w:tcBorders/>
      </w:tcPr>
    </w:tblStylePr>
    <w:tblStylePr w:type="band1Vert">
      <w:pPr>
        <w:pBdr/>
        <w:spacing/>
        <w:ind/>
      </w:pPr>
      <w:tblPr>
        <w:tblBorders/>
      </w:tblPr>
      <w:tcPr>
        <w:shd w:val="clear" w:color="fde4d0" w:fill="fde4d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f79646"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f7964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76">
    <w:name w:val="List Table 2"/>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6f6f6f" w:sz="4" w:space="0"/>
        <w:bottom w:val="single" w:color="6f6f6f" w:sz="4" w:space="0"/>
        <w:insideH w:val="single" w:color="6f6f6f" w:sz="4" w:space="0"/>
      </w:tblBorders>
    </w:tblPr>
    <w:tcPr>
      <w:tcBorders/>
    </w:tcPr>
    <w:tblStylePr w:type="band1Horz">
      <w:rPr>
        <w:sz w:val="22"/>
      </w:rPr>
      <w:pPr>
        <w:pBdr/>
        <w:spacing/>
        <w:ind/>
      </w:pPr>
      <w:tblPr>
        <w:tblBorders/>
      </w:tblPr>
      <w:tcPr>
        <w:shd w:val="clear" w:color="bfbfbf" w:fill="bfbfbf"/>
        <w:tcBorders/>
      </w:tcPr>
    </w:tblStylePr>
    <w:tblStylePr w:type="band1Vert">
      <w:rPr>
        <w:sz w:val="22"/>
      </w:rPr>
      <w:pPr>
        <w:pBdr/>
        <w:spacing/>
        <w:ind/>
      </w:pPr>
      <w:tblPr>
        <w:tblBorders/>
      </w:tblPr>
      <w:tcPr>
        <w:shd w:val="clear" w:color="bfbfbf" w:fill="bfbfb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6f6f6f" w:sz="4" w:space="0"/>
          <w:left w:val="none" w:color="000000" w:sz="4" w:space="0"/>
          <w:bottom w:val="single" w:color="6f6f6f"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6f6f6f" w:sz="4" w:space="0"/>
          <w:left w:val="none" w:color="000000" w:sz="4" w:space="0"/>
          <w:bottom w:val="single" w:color="6f6f6f"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77" w:customStyle="1">
    <w:name w:val="List Table 2 - Accent 1"/>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9bb7d9" w:sz="4" w:space="0"/>
        <w:bottom w:val="single" w:color="9bb7d9" w:sz="4" w:space="0"/>
        <w:insideH w:val="single" w:color="9bb7d9" w:sz="4" w:space="0"/>
      </w:tblBorders>
    </w:tblPr>
    <w:tcPr>
      <w:tcBorders/>
    </w:tcPr>
    <w:tblStylePr w:type="band1Horz">
      <w:rPr>
        <w:sz w:val="22"/>
      </w:rPr>
      <w:pPr>
        <w:pBdr/>
        <w:spacing/>
        <w:ind/>
      </w:pPr>
      <w:tblPr>
        <w:tblBorders/>
      </w:tblPr>
      <w:tcPr>
        <w:shd w:val="clear" w:color="d2dfee" w:fill="d2dfee"/>
        <w:tcBorders/>
      </w:tcPr>
    </w:tblStylePr>
    <w:tblStylePr w:type="band1Vert">
      <w:rPr>
        <w:sz w:val="22"/>
      </w:rPr>
      <w:pPr>
        <w:pBdr/>
        <w:spacing/>
        <w:ind/>
      </w:pPr>
      <w:tblPr>
        <w:tblBorders/>
      </w:tblPr>
      <w:tcPr>
        <w:shd w:val="clear" w:color="d2dfee" w:fill="d2dfe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9bb7d9" w:sz="4" w:space="0"/>
          <w:left w:val="none" w:color="000000" w:sz="4" w:space="0"/>
          <w:bottom w:val="single" w:color="9bb7d9"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9bb7d9" w:sz="4" w:space="0"/>
          <w:left w:val="none" w:color="000000" w:sz="4" w:space="0"/>
          <w:bottom w:val="single" w:color="9bb7d9"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78" w:customStyle="1">
    <w:name w:val="List Table 2 - Accent 2"/>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db9b9a" w:sz="4" w:space="0"/>
        <w:bottom w:val="single" w:color="db9b9a" w:sz="4" w:space="0"/>
        <w:insideH w:val="single" w:color="db9b9a" w:sz="4" w:space="0"/>
      </w:tblBorders>
    </w:tblPr>
    <w:tcPr>
      <w:tcBorders/>
    </w:tcPr>
    <w:tblStylePr w:type="band1Horz">
      <w:rPr>
        <w:sz w:val="22"/>
      </w:rPr>
      <w:pPr>
        <w:pBdr/>
        <w:spacing/>
        <w:ind/>
      </w:pPr>
      <w:tblPr>
        <w:tblBorders/>
      </w:tblPr>
      <w:tcPr>
        <w:shd w:val="clear" w:color="efd2d2" w:fill="efd2d2"/>
        <w:tcBorders/>
      </w:tcPr>
    </w:tblStylePr>
    <w:tblStylePr w:type="band1Vert">
      <w:rPr>
        <w:sz w:val="22"/>
      </w:rPr>
      <w:pPr>
        <w:pBdr/>
        <w:spacing/>
        <w:ind/>
      </w:pPr>
      <w:tblPr>
        <w:tblBorders/>
      </w:tblPr>
      <w:tcPr>
        <w:shd w:val="clear" w:color="efd2d2" w:fill="efd2d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db9b9a" w:sz="4" w:space="0"/>
          <w:left w:val="none" w:color="000000" w:sz="4" w:space="0"/>
          <w:bottom w:val="single" w:color="db9b9a"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db9b9a" w:sz="4" w:space="0"/>
          <w:left w:val="none" w:color="000000" w:sz="4" w:space="0"/>
          <w:bottom w:val="single" w:color="db9b9a"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79" w:customStyle="1">
    <w:name w:val="List Table 2 - Accent 3"/>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c6d8a1" w:sz="4" w:space="0"/>
        <w:bottom w:val="single" w:color="c6d8a1" w:sz="4" w:space="0"/>
        <w:insideH w:val="single" w:color="c6d8a1" w:sz="4" w:space="0"/>
      </w:tblBorders>
    </w:tblPr>
    <w:tcPr>
      <w:tcBorders/>
    </w:tcPr>
    <w:tblStylePr w:type="band1Horz">
      <w:rPr>
        <w:sz w:val="22"/>
      </w:rPr>
      <w:pPr>
        <w:pBdr/>
        <w:spacing/>
        <w:ind/>
      </w:pPr>
      <w:tblPr>
        <w:tblBorders/>
      </w:tblPr>
      <w:tcPr>
        <w:shd w:val="clear" w:color="e5eed5" w:fill="e5eed5"/>
        <w:tcBorders/>
      </w:tcPr>
    </w:tblStylePr>
    <w:tblStylePr w:type="band1Vert">
      <w:rPr>
        <w:sz w:val="22"/>
      </w:rPr>
      <w:pPr>
        <w:pBdr/>
        <w:spacing/>
        <w:ind/>
      </w:pPr>
      <w:tblPr>
        <w:tblBorders/>
      </w:tblPr>
      <w:tcPr>
        <w:shd w:val="clear" w:color="e5eed5" w:fill="e5eed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c6d8a1" w:sz="4" w:space="0"/>
          <w:left w:val="none" w:color="000000" w:sz="4" w:space="0"/>
          <w:bottom w:val="single" w:color="c6d8a1"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c6d8a1" w:sz="4" w:space="0"/>
          <w:left w:val="none" w:color="000000" w:sz="4" w:space="0"/>
          <w:bottom w:val="single" w:color="c6d8a1"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0" w:customStyle="1">
    <w:name w:val="List Table 2 - Accent 4"/>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b7a7ca" w:sz="4" w:space="0"/>
        <w:bottom w:val="single" w:color="b7a7ca" w:sz="4" w:space="0"/>
        <w:insideH w:val="single" w:color="b7a7ca" w:sz="4" w:space="0"/>
      </w:tblBorders>
    </w:tblPr>
    <w:tcPr>
      <w:tcBorders/>
    </w:tcPr>
    <w:tblStylePr w:type="band1Horz">
      <w:rPr>
        <w:sz w:val="22"/>
      </w:rPr>
      <w:pPr>
        <w:pBdr/>
        <w:spacing/>
        <w:ind/>
      </w:pPr>
      <w:tblPr>
        <w:tblBorders/>
      </w:tblPr>
      <w:tcPr>
        <w:shd w:val="clear" w:color="dfd8e7" w:fill="dfd8e7"/>
        <w:tcBorders/>
      </w:tcPr>
    </w:tblStylePr>
    <w:tblStylePr w:type="band1Vert">
      <w:rPr>
        <w:sz w:val="22"/>
      </w:rPr>
      <w:pPr>
        <w:pBdr/>
        <w:spacing/>
        <w:ind/>
      </w:pPr>
      <w:tblPr>
        <w:tblBorders/>
      </w:tblPr>
      <w:tcPr>
        <w:shd w:val="clear" w:color="dfd8e7" w:fill="dfd8e7"/>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b7a7ca" w:sz="4" w:space="0"/>
          <w:left w:val="none" w:color="000000" w:sz="4" w:space="0"/>
          <w:bottom w:val="single" w:color="b7a7ca"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b7a7ca" w:sz="4" w:space="0"/>
          <w:left w:val="none" w:color="000000" w:sz="4" w:space="0"/>
          <w:bottom w:val="single" w:color="b7a7ca"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1" w:customStyle="1">
    <w:name w:val="List Table 2 - Accent 5"/>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99d0de" w:sz="4" w:space="0"/>
        <w:bottom w:val="single" w:color="99d0de" w:sz="4" w:space="0"/>
        <w:insideH w:val="single" w:color="99d0de" w:sz="4" w:space="0"/>
      </w:tblBorders>
    </w:tblPr>
    <w:tcPr>
      <w:tcBorders/>
    </w:tcPr>
    <w:tblStylePr w:type="band1Horz">
      <w:rPr>
        <w:sz w:val="22"/>
      </w:rPr>
      <w:pPr>
        <w:pBdr/>
        <w:spacing/>
        <w:ind/>
      </w:pPr>
      <w:tblPr>
        <w:tblBorders/>
      </w:tblPr>
      <w:tcPr>
        <w:shd w:val="clear" w:color="d1eaf0" w:fill="d1eaf0"/>
        <w:tcBorders/>
      </w:tcPr>
    </w:tblStylePr>
    <w:tblStylePr w:type="band1Vert">
      <w:rPr>
        <w:sz w:val="22"/>
      </w:rPr>
      <w:pPr>
        <w:pBdr/>
        <w:spacing/>
        <w:ind/>
      </w:pPr>
      <w:tblPr>
        <w:tblBorders/>
      </w:tblPr>
      <w:tcPr>
        <w:shd w:val="clear" w:color="d1eaf0" w:fill="d1eaf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99d0de" w:sz="4" w:space="0"/>
          <w:left w:val="none" w:color="000000" w:sz="4" w:space="0"/>
          <w:bottom w:val="single" w:color="99d0de"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99d0de" w:sz="4" w:space="0"/>
          <w:left w:val="none" w:color="000000" w:sz="4" w:space="0"/>
          <w:bottom w:val="single" w:color="99d0de"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2" w:customStyle="1">
    <w:name w:val="List Table 2 - Accent 6"/>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fac396" w:sz="4" w:space="0"/>
        <w:bottom w:val="single" w:color="fac396" w:sz="4" w:space="0"/>
        <w:insideH w:val="single" w:color="fac396" w:sz="4" w:space="0"/>
      </w:tblBorders>
    </w:tblPr>
    <w:tcPr>
      <w:tcBorders/>
    </w:tcPr>
    <w:tblStylePr w:type="band1Horz">
      <w:rPr>
        <w:sz w:val="22"/>
      </w:rPr>
      <w:pPr>
        <w:pBdr/>
        <w:spacing/>
        <w:ind/>
      </w:pPr>
      <w:tblPr>
        <w:tblBorders/>
      </w:tblPr>
      <w:tcPr>
        <w:shd w:val="clear" w:color="fde4d0" w:fill="fde4d0"/>
        <w:tcBorders/>
      </w:tcPr>
    </w:tblStylePr>
    <w:tblStylePr w:type="band1Vert">
      <w:rPr>
        <w:sz w:val="22"/>
      </w:rPr>
      <w:pPr>
        <w:pBdr/>
        <w:spacing/>
        <w:ind/>
      </w:pPr>
      <w:tblPr>
        <w:tblBorders/>
      </w:tblPr>
      <w:tcPr>
        <w:shd w:val="clear" w:color="fde4d0" w:fill="fde4d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fac396" w:sz="4" w:space="0"/>
          <w:left w:val="none" w:color="000000" w:sz="4" w:space="0"/>
          <w:bottom w:val="single" w:color="fac396"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fac396" w:sz="4" w:space="0"/>
          <w:left w:val="none" w:color="000000" w:sz="4" w:space="0"/>
          <w:bottom w:val="single" w:color="fac396"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3">
    <w:name w:val="List Table 3"/>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tblBorders>
    </w:tblPr>
    <w:tcPr>
      <w:tcBorders/>
    </w:tcPr>
    <w:tblStylePr w:type="band1Horz">
      <w:rPr>
        <w:sz w:val="22"/>
      </w:rPr>
      <w:pPr>
        <w:pBdr/>
        <w:spacing/>
        <w:ind/>
      </w:pPr>
      <w:tblPr>
        <w:tblBorders/>
      </w:tblPr>
      <w:tcPr>
        <w:tcBorders>
          <w:top w:val="single" w:color="000000" w:sz="4" w:space="0"/>
          <w:bottom w:val="single" w:color="000000" w:sz="4" w:space="0"/>
        </w:tcBorders>
      </w:tcPr>
    </w:tblStylePr>
    <w:tblStylePr w:type="band1Vert">
      <w:rPr>
        <w:sz w:val="22"/>
      </w:rPr>
      <w:pPr>
        <w:pBdr/>
        <w:spacing/>
        <w:ind/>
      </w:pPr>
      <w:tblPr>
        <w:tblBorders/>
      </w:tblPr>
      <w:tcPr>
        <w:tcBorders>
          <w:left w:val="single" w:color="000000" w:sz="4" w:space="0"/>
          <w:right w:val="singl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000000" w:fill="00000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4" w:customStyle="1">
    <w:name w:val="List Table 3 - Accent 1"/>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4f81bd" w:sz="4" w:space="0"/>
        <w:left w:val="single" w:color="4f81bd" w:sz="4" w:space="0"/>
        <w:bottom w:val="single" w:color="4f81bd" w:sz="4" w:space="0"/>
        <w:right w:val="single" w:color="4f81bd" w:sz="4" w:space="0"/>
      </w:tblBorders>
    </w:tblPr>
    <w:tcPr>
      <w:tcBorders/>
    </w:tcPr>
    <w:tblStylePr w:type="band1Horz">
      <w:rPr>
        <w:sz w:val="22"/>
      </w:rPr>
      <w:pPr>
        <w:pBdr/>
        <w:spacing/>
        <w:ind/>
      </w:pPr>
      <w:tblPr>
        <w:tblBorders/>
      </w:tblPr>
      <w:tcPr>
        <w:tcBorders>
          <w:top w:val="single" w:color="4f81bd" w:sz="4" w:space="0"/>
          <w:bottom w:val="single" w:color="4f81bd" w:sz="4" w:space="0"/>
        </w:tcBorders>
      </w:tcPr>
    </w:tblStylePr>
    <w:tblStylePr w:type="band1Vert">
      <w:rPr>
        <w:sz w:val="22"/>
      </w:rPr>
      <w:pPr>
        <w:pBdr/>
        <w:spacing/>
        <w:ind/>
      </w:pPr>
      <w:tblPr>
        <w:tblBorders/>
      </w:tblPr>
      <w:tcPr>
        <w:tcBorders>
          <w:left w:val="single" w:color="4f81bd" w:sz="4" w:space="0"/>
          <w:right w:val="single" w:color="4f81bd"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4f81bd" w:fill="4f81bd"/>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5" w:customStyle="1">
    <w:name w:val="List Table 3 - Accent 2"/>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d99695" w:sz="4" w:space="0"/>
        <w:left w:val="single" w:color="d99695" w:sz="4" w:space="0"/>
        <w:bottom w:val="single" w:color="d99695" w:sz="4" w:space="0"/>
        <w:right w:val="single" w:color="d99695" w:sz="4" w:space="0"/>
      </w:tblBorders>
    </w:tblPr>
    <w:tcPr>
      <w:tcBorders/>
    </w:tcPr>
    <w:tblStylePr w:type="band1Horz">
      <w:rPr>
        <w:sz w:val="22"/>
      </w:rPr>
      <w:pPr>
        <w:pBdr/>
        <w:spacing/>
        <w:ind/>
      </w:pPr>
      <w:tblPr>
        <w:tblBorders/>
      </w:tblPr>
      <w:tcPr>
        <w:tcBorders>
          <w:top w:val="single" w:color="d99695" w:sz="4" w:space="0"/>
          <w:bottom w:val="single" w:color="d99695" w:sz="4" w:space="0"/>
        </w:tcBorders>
      </w:tcPr>
    </w:tblStylePr>
    <w:tblStylePr w:type="band1Vert">
      <w:rPr>
        <w:sz w:val="22"/>
      </w:rPr>
      <w:pPr>
        <w:pBdr/>
        <w:spacing/>
        <w:ind/>
      </w:pPr>
      <w:tblPr>
        <w:tblBorders/>
      </w:tblPr>
      <w:tcPr>
        <w:tcBorders>
          <w:left w:val="single" w:color="d99695" w:sz="4" w:space="0"/>
          <w:right w:val="single" w:color="d99695"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d99695" w:fill="d99695"/>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6" w:customStyle="1">
    <w:name w:val="List Table 3 - Accent 3"/>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c3d69b" w:sz="4" w:space="0"/>
        <w:left w:val="single" w:color="c3d69b" w:sz="4" w:space="0"/>
        <w:bottom w:val="single" w:color="c3d69b" w:sz="4" w:space="0"/>
        <w:right w:val="single" w:color="c3d69b" w:sz="4" w:space="0"/>
      </w:tblBorders>
    </w:tblPr>
    <w:tcPr>
      <w:tcBorders/>
    </w:tcPr>
    <w:tblStylePr w:type="band1Horz">
      <w:rPr>
        <w:sz w:val="22"/>
      </w:rPr>
      <w:pPr>
        <w:pBdr/>
        <w:spacing/>
        <w:ind/>
      </w:pPr>
      <w:tblPr>
        <w:tblBorders/>
      </w:tblPr>
      <w:tcPr>
        <w:tcBorders>
          <w:top w:val="single" w:color="c3d69b" w:sz="4" w:space="0"/>
          <w:bottom w:val="single" w:color="c3d69b" w:sz="4" w:space="0"/>
        </w:tcBorders>
      </w:tcPr>
    </w:tblStylePr>
    <w:tblStylePr w:type="band1Vert">
      <w:rPr>
        <w:sz w:val="22"/>
      </w:rPr>
      <w:pPr>
        <w:pBdr/>
        <w:spacing/>
        <w:ind/>
      </w:pPr>
      <w:tblPr>
        <w:tblBorders/>
      </w:tblPr>
      <w:tcPr>
        <w:tcBorders>
          <w:left w:val="single" w:color="c3d69b" w:sz="4" w:space="0"/>
          <w:right w:val="single" w:color="c3d69b"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c3d69b" w:fill="c3d69b"/>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7" w:customStyle="1">
    <w:name w:val="List Table 3 - Accent 4"/>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b2a1c6" w:sz="4" w:space="0"/>
        <w:left w:val="single" w:color="b2a1c6" w:sz="4" w:space="0"/>
        <w:bottom w:val="single" w:color="b2a1c6" w:sz="4" w:space="0"/>
        <w:right w:val="single" w:color="b2a1c6" w:sz="4" w:space="0"/>
      </w:tblBorders>
    </w:tblPr>
    <w:tcPr>
      <w:tcBorders/>
    </w:tcPr>
    <w:tblStylePr w:type="band1Horz">
      <w:rPr>
        <w:sz w:val="22"/>
      </w:rPr>
      <w:pPr>
        <w:pBdr/>
        <w:spacing/>
        <w:ind/>
      </w:pPr>
      <w:tblPr>
        <w:tblBorders/>
      </w:tblPr>
      <w:tcPr>
        <w:tcBorders>
          <w:top w:val="single" w:color="b2a1c6" w:sz="4" w:space="0"/>
          <w:bottom w:val="single" w:color="b2a1c6" w:sz="4" w:space="0"/>
        </w:tcBorders>
      </w:tcPr>
    </w:tblStylePr>
    <w:tblStylePr w:type="band1Vert">
      <w:rPr>
        <w:sz w:val="22"/>
      </w:rPr>
      <w:pPr>
        <w:pBdr/>
        <w:spacing/>
        <w:ind/>
      </w:pPr>
      <w:tblPr>
        <w:tblBorders/>
      </w:tblPr>
      <w:tcPr>
        <w:tcBorders>
          <w:left w:val="single" w:color="b2a1c6" w:sz="4" w:space="0"/>
          <w:right w:val="single" w:color="b2a1c6"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b2a1c6" w:fill="b2a1c6"/>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8" w:customStyle="1">
    <w:name w:val="List Table 3 - Accent 5"/>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92ccdc" w:sz="4" w:space="0"/>
        <w:left w:val="single" w:color="92ccdc" w:sz="4" w:space="0"/>
        <w:bottom w:val="single" w:color="92ccdc" w:sz="4" w:space="0"/>
        <w:right w:val="single" w:color="92ccdc" w:sz="4" w:space="0"/>
      </w:tblBorders>
    </w:tblPr>
    <w:tcPr>
      <w:tcBorders/>
    </w:tcPr>
    <w:tblStylePr w:type="band1Horz">
      <w:rPr>
        <w:sz w:val="22"/>
      </w:rPr>
      <w:pPr>
        <w:pBdr/>
        <w:spacing/>
        <w:ind/>
      </w:pPr>
      <w:tblPr>
        <w:tblBorders/>
      </w:tblPr>
      <w:tcPr>
        <w:tcBorders>
          <w:top w:val="single" w:color="92ccdc" w:sz="4" w:space="0"/>
          <w:bottom w:val="single" w:color="92ccdc" w:sz="4" w:space="0"/>
        </w:tcBorders>
      </w:tcPr>
    </w:tblStylePr>
    <w:tblStylePr w:type="band1Vert">
      <w:rPr>
        <w:sz w:val="22"/>
      </w:rPr>
      <w:pPr>
        <w:pBdr/>
        <w:spacing/>
        <w:ind/>
      </w:pPr>
      <w:tblPr>
        <w:tblBorders/>
      </w:tblPr>
      <w:tcPr>
        <w:tcBorders>
          <w:left w:val="single" w:color="92ccdc" w:sz="4" w:space="0"/>
          <w:right w:val="single" w:color="92ccdc"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92ccdc" w:fill="92ccdc"/>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9" w:customStyle="1">
    <w:name w:val="List Table 3 - Accent 6"/>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fac090" w:sz="4" w:space="0"/>
        <w:left w:val="single" w:color="fac090" w:sz="4" w:space="0"/>
        <w:bottom w:val="single" w:color="fac090" w:sz="4" w:space="0"/>
        <w:right w:val="single" w:color="fac090" w:sz="4" w:space="0"/>
      </w:tblBorders>
    </w:tblPr>
    <w:tcPr>
      <w:tcBorders/>
    </w:tcPr>
    <w:tblStylePr w:type="band1Horz">
      <w:rPr>
        <w:sz w:val="22"/>
      </w:rPr>
      <w:pPr>
        <w:pBdr/>
        <w:spacing/>
        <w:ind/>
      </w:pPr>
      <w:tblPr>
        <w:tblBorders/>
      </w:tblPr>
      <w:tcPr>
        <w:tcBorders>
          <w:top w:val="single" w:color="fac090" w:sz="4" w:space="0"/>
          <w:bottom w:val="single" w:color="fac090" w:sz="4" w:space="0"/>
        </w:tcBorders>
      </w:tcPr>
    </w:tblStylePr>
    <w:tblStylePr w:type="band1Vert">
      <w:rPr>
        <w:sz w:val="22"/>
      </w:rPr>
      <w:pPr>
        <w:pBdr/>
        <w:spacing/>
        <w:ind/>
      </w:pPr>
      <w:tblPr>
        <w:tblBorders/>
      </w:tblPr>
      <w:tcPr>
        <w:tcBorders>
          <w:left w:val="single" w:color="fac090" w:sz="4" w:space="0"/>
          <w:right w:val="single" w:color="fac09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ac090" w:fill="fac09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90">
    <w:name w:val="List Table 4"/>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tblBorders>
    </w:tblPr>
    <w:tcPr>
      <w:tcBorders/>
    </w:tcPr>
    <w:tblStylePr w:type="band1Horz">
      <w:rPr>
        <w:sz w:val="22"/>
      </w:rPr>
      <w:pPr>
        <w:pBdr/>
        <w:spacing/>
        <w:ind/>
      </w:pPr>
      <w:tblPr>
        <w:tblBorders/>
      </w:tblPr>
      <w:tcPr>
        <w:shd w:val="clear" w:color="bfbfbf" w:fill="bfbfbf"/>
        <w:tcBorders/>
      </w:tcPr>
    </w:tblStylePr>
    <w:tblStylePr w:type="band1Vert">
      <w:rPr>
        <w:sz w:val="22"/>
      </w:rPr>
      <w:pPr>
        <w:pBdr/>
        <w:spacing/>
        <w:ind/>
      </w:pPr>
      <w:tblPr>
        <w:tblBorders/>
      </w:tblPr>
      <w:tcPr>
        <w:shd w:val="clear" w:color="bfbfbf" w:fill="bfbfb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000000" w:fill="00000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91" w:customStyle="1">
    <w:name w:val="List Table 4 - Accent 1"/>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9bb7d9" w:sz="4" w:space="0"/>
        <w:left w:val="single" w:color="9bb7d9" w:sz="4" w:space="0"/>
        <w:bottom w:val="single" w:color="9bb7d9" w:sz="4" w:space="0"/>
        <w:right w:val="single" w:color="9bb7d9" w:sz="4" w:space="0"/>
        <w:insideH w:val="single" w:color="9bb7d9" w:sz="4" w:space="0"/>
      </w:tblBorders>
    </w:tblPr>
    <w:tcPr>
      <w:tcBorders/>
    </w:tcPr>
    <w:tblStylePr w:type="band1Horz">
      <w:rPr>
        <w:sz w:val="22"/>
      </w:rPr>
      <w:pPr>
        <w:pBdr/>
        <w:spacing/>
        <w:ind/>
      </w:pPr>
      <w:tblPr>
        <w:tblBorders/>
      </w:tblPr>
      <w:tcPr>
        <w:shd w:val="clear" w:color="d2dfee" w:fill="d2dfee"/>
        <w:tcBorders/>
      </w:tcPr>
    </w:tblStylePr>
    <w:tblStylePr w:type="band1Vert">
      <w:rPr>
        <w:sz w:val="22"/>
      </w:rPr>
      <w:pPr>
        <w:pBdr/>
        <w:spacing/>
        <w:ind/>
      </w:pPr>
      <w:tblPr>
        <w:tblBorders/>
      </w:tblPr>
      <w:tcPr>
        <w:shd w:val="clear" w:color="d2dfee" w:fill="d2dfe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4f81bd" w:fill="4f81bd"/>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92" w:customStyle="1">
    <w:name w:val="List Table 4 - Accent 2"/>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db9b9a" w:sz="4" w:space="0"/>
        <w:left w:val="single" w:color="db9b9a" w:sz="4" w:space="0"/>
        <w:bottom w:val="single" w:color="db9b9a" w:sz="4" w:space="0"/>
        <w:right w:val="single" w:color="db9b9a" w:sz="4" w:space="0"/>
        <w:insideH w:val="single" w:color="db9b9a" w:sz="4" w:space="0"/>
      </w:tblBorders>
    </w:tblPr>
    <w:tcPr>
      <w:tcBorders/>
    </w:tcPr>
    <w:tblStylePr w:type="band1Horz">
      <w:rPr>
        <w:sz w:val="22"/>
      </w:rPr>
      <w:pPr>
        <w:pBdr/>
        <w:spacing/>
        <w:ind/>
      </w:pPr>
      <w:tblPr>
        <w:tblBorders/>
      </w:tblPr>
      <w:tcPr>
        <w:shd w:val="clear" w:color="efd2d2" w:fill="efd2d2"/>
        <w:tcBorders/>
      </w:tcPr>
    </w:tblStylePr>
    <w:tblStylePr w:type="band1Vert">
      <w:rPr>
        <w:sz w:val="22"/>
      </w:rPr>
      <w:pPr>
        <w:pBdr/>
        <w:spacing/>
        <w:ind/>
      </w:pPr>
      <w:tblPr>
        <w:tblBorders/>
      </w:tblPr>
      <w:tcPr>
        <w:shd w:val="clear" w:color="efd2d2" w:fill="efd2d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c0504d" w:fill="c0504d"/>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93" w:customStyle="1">
    <w:name w:val="List Table 4 - Accent 3"/>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c6d8a1" w:sz="4" w:space="0"/>
        <w:left w:val="single" w:color="c6d8a1" w:sz="4" w:space="0"/>
        <w:bottom w:val="single" w:color="c6d8a1" w:sz="4" w:space="0"/>
        <w:right w:val="single" w:color="c6d8a1" w:sz="4" w:space="0"/>
        <w:insideH w:val="single" w:color="c6d8a1" w:sz="4" w:space="0"/>
      </w:tblBorders>
    </w:tblPr>
    <w:tcPr>
      <w:tcBorders/>
    </w:tcPr>
    <w:tblStylePr w:type="band1Horz">
      <w:rPr>
        <w:sz w:val="22"/>
      </w:rPr>
      <w:pPr>
        <w:pBdr/>
        <w:spacing/>
        <w:ind/>
      </w:pPr>
      <w:tblPr>
        <w:tblBorders/>
      </w:tblPr>
      <w:tcPr>
        <w:shd w:val="clear" w:color="e5eed5" w:fill="e5eed5"/>
        <w:tcBorders/>
      </w:tcPr>
    </w:tblStylePr>
    <w:tblStylePr w:type="band1Vert">
      <w:rPr>
        <w:sz w:val="22"/>
      </w:rPr>
      <w:pPr>
        <w:pBdr/>
        <w:spacing/>
        <w:ind/>
      </w:pPr>
      <w:tblPr>
        <w:tblBorders/>
      </w:tblPr>
      <w:tcPr>
        <w:shd w:val="clear" w:color="e5eed5" w:fill="e5eed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9bbb59" w:fill="9bbb59"/>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94" w:customStyle="1">
    <w:name w:val="List Table 4 - Accent 4"/>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b7a7ca" w:sz="4" w:space="0"/>
        <w:left w:val="single" w:color="b7a7ca" w:sz="4" w:space="0"/>
        <w:bottom w:val="single" w:color="b7a7ca" w:sz="4" w:space="0"/>
        <w:right w:val="single" w:color="b7a7ca" w:sz="4" w:space="0"/>
        <w:insideH w:val="single" w:color="b7a7ca" w:sz="4" w:space="0"/>
      </w:tblBorders>
    </w:tblPr>
    <w:tcPr>
      <w:tcBorders/>
    </w:tcPr>
    <w:tblStylePr w:type="band1Horz">
      <w:rPr>
        <w:sz w:val="22"/>
      </w:rPr>
      <w:pPr>
        <w:pBdr/>
        <w:spacing/>
        <w:ind/>
      </w:pPr>
      <w:tblPr>
        <w:tblBorders/>
      </w:tblPr>
      <w:tcPr>
        <w:shd w:val="clear" w:color="dfd8e7" w:fill="dfd8e7"/>
        <w:tcBorders/>
      </w:tcPr>
    </w:tblStylePr>
    <w:tblStylePr w:type="band1Vert">
      <w:rPr>
        <w:sz w:val="22"/>
      </w:rPr>
      <w:pPr>
        <w:pBdr/>
        <w:spacing/>
        <w:ind/>
      </w:pPr>
      <w:tblPr>
        <w:tblBorders/>
      </w:tblPr>
      <w:tcPr>
        <w:shd w:val="clear" w:color="dfd8e7" w:fill="dfd8e7"/>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8064a2" w:fill="8064a2"/>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95" w:customStyle="1">
    <w:name w:val="List Table 4 - Accent 5"/>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99d0de" w:sz="4" w:space="0"/>
        <w:left w:val="single" w:color="99d0de" w:sz="4" w:space="0"/>
        <w:bottom w:val="single" w:color="99d0de" w:sz="4" w:space="0"/>
        <w:right w:val="single" w:color="99d0de" w:sz="4" w:space="0"/>
        <w:insideH w:val="single" w:color="99d0de" w:sz="4" w:space="0"/>
      </w:tblBorders>
    </w:tblPr>
    <w:tcPr>
      <w:tcBorders/>
    </w:tcPr>
    <w:tblStylePr w:type="band1Horz">
      <w:rPr>
        <w:sz w:val="22"/>
      </w:rPr>
      <w:pPr>
        <w:pBdr/>
        <w:spacing/>
        <w:ind/>
      </w:pPr>
      <w:tblPr>
        <w:tblBorders/>
      </w:tblPr>
      <w:tcPr>
        <w:shd w:val="clear" w:color="d1eaf0" w:fill="d1eaf0"/>
        <w:tcBorders/>
      </w:tcPr>
    </w:tblStylePr>
    <w:tblStylePr w:type="band1Vert">
      <w:rPr>
        <w:sz w:val="22"/>
      </w:rPr>
      <w:pPr>
        <w:pBdr/>
        <w:spacing/>
        <w:ind/>
      </w:pPr>
      <w:tblPr>
        <w:tblBorders/>
      </w:tblPr>
      <w:tcPr>
        <w:shd w:val="clear" w:color="d1eaf0" w:fill="d1eaf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4bacc6" w:fill="4bacc6"/>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96" w:customStyle="1">
    <w:name w:val="List Table 4 - Accent 6"/>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fac396" w:sz="4" w:space="0"/>
        <w:left w:val="single" w:color="fac396" w:sz="4" w:space="0"/>
        <w:bottom w:val="single" w:color="fac396" w:sz="4" w:space="0"/>
        <w:right w:val="single" w:color="fac396" w:sz="4" w:space="0"/>
        <w:insideH w:val="single" w:color="fac396" w:sz="4" w:space="0"/>
      </w:tblBorders>
    </w:tblPr>
    <w:tcPr>
      <w:tcBorders/>
    </w:tcPr>
    <w:tblStylePr w:type="band1Horz">
      <w:rPr>
        <w:sz w:val="22"/>
      </w:rPr>
      <w:pPr>
        <w:pBdr/>
        <w:spacing/>
        <w:ind/>
      </w:pPr>
      <w:tblPr>
        <w:tblBorders/>
      </w:tblPr>
      <w:tcPr>
        <w:shd w:val="clear" w:color="fde4d0" w:fill="fde4d0"/>
        <w:tcBorders/>
      </w:tcPr>
    </w:tblStylePr>
    <w:tblStylePr w:type="band1Vert">
      <w:rPr>
        <w:sz w:val="22"/>
      </w:rPr>
      <w:pPr>
        <w:pBdr/>
        <w:spacing/>
        <w:ind/>
      </w:pPr>
      <w:tblPr>
        <w:tblBorders/>
      </w:tblPr>
      <w:tcPr>
        <w:shd w:val="clear" w:color="fde4d0" w:fill="fde4d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79646" w:fill="f79646"/>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97">
    <w:name w:val="List Table 5 Dark"/>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7f7f7f" w:sz="32" w:space="0"/>
        <w:left w:val="single" w:color="7f7f7f" w:sz="32" w:space="0"/>
        <w:bottom w:val="single" w:color="7f7f7f" w:sz="32" w:space="0"/>
        <w:right w:val="single" w:color="7f7f7f" w:sz="32" w:space="0"/>
      </w:tblBorders>
    </w:tblPr>
    <w:tcPr>
      <w:tcBorders/>
    </w:tcPr>
    <w:tblStylePr w:type="band1Horz">
      <w:pPr>
        <w:pBdr/>
        <w:spacing/>
        <w:ind/>
      </w:pPr>
      <w:tblPr>
        <w:tblBorders/>
      </w:tblPr>
      <w:tcPr>
        <w:shd w:val="clear" w:color="7f7f7f" w:fill="7f7f7f"/>
        <w:tcBorders>
          <w:top w:val="single" w:color="ffffff" w:sz="4" w:space="0"/>
          <w:bottom w:val="single" w:color="ffffff" w:sz="4" w:space="0"/>
        </w:tcBorders>
      </w:tcPr>
    </w:tblStylePr>
    <w:tblStylePr w:type="band1Vert">
      <w:pPr>
        <w:pBdr/>
        <w:spacing/>
        <w:ind/>
      </w:pPr>
      <w:tblPr>
        <w:tblBorders/>
      </w:tblPr>
      <w:tcPr>
        <w:shd w:val="clear" w:color="7f7f7f" w:fill="7f7f7f"/>
        <w:tcBorders>
          <w:left w:val="single" w:color="ffffff" w:sz="4" w:space="0"/>
          <w:right w:val="single" w:color="ffffff" w:sz="4" w:space="0"/>
        </w:tcBorders>
      </w:tcPr>
    </w:tblStylePr>
    <w:tblStylePr w:type="band2Horz">
      <w:pPr>
        <w:pBdr/>
        <w:spacing/>
        <w:ind/>
      </w:pPr>
      <w:tblPr>
        <w:tblBorders/>
      </w:tblPr>
      <w:tcPr>
        <w:shd w:val="clear" w:color="7f7f7f" w:fill="7f7f7f"/>
        <w:tcBorders>
          <w:top w:val="single" w:color="ffffff" w:sz="4" w:space="0"/>
          <w:bottom w:val="single" w:color="ffffff" w:sz="4" w:space="0"/>
        </w:tcBorders>
      </w:tcPr>
    </w:tblStylePr>
    <w:tblStylePr w:type="band2Vert">
      <w:pPr>
        <w:pBdr/>
        <w:spacing/>
        <w:ind/>
      </w:pPr>
      <w:tblPr>
        <w:tblBorders/>
      </w:tblPr>
      <w:tcPr>
        <w:tcBorders>
          <w:left w:val="single" w:color="ffffff" w:sz="4" w:space="0"/>
          <w:right w:val="single" w:color="ffffff" w:sz="4" w:space="0"/>
        </w:tcBorders>
      </w:tcPr>
    </w:tblStylePr>
    <w:tblStylePr w:type="firstCol">
      <w:rPr>
        <w:b/>
        <w:sz w:val="22"/>
      </w:rPr>
      <w:pPr>
        <w:pBdr/>
        <w:spacing/>
        <w:ind/>
      </w:pPr>
      <w:tblPr>
        <w:tblBorders/>
      </w:tblPr>
      <w:tcPr>
        <w:tcBorders>
          <w:left w:val="single" w:color="7f7f7f" w:sz="32" w:space="0"/>
          <w:right w:val="single" w:color="ffffff" w:sz="4" w:space="0"/>
        </w:tcBorders>
      </w:tcPr>
    </w:tblStylePr>
    <w:tblStylePr w:type="firstRow">
      <w:rPr>
        <w:b/>
        <w:sz w:val="22"/>
      </w:rPr>
      <w:pPr>
        <w:pBdr/>
        <w:spacing/>
        <w:ind/>
      </w:pPr>
      <w:tblPr>
        <w:tblBorders/>
      </w:tblPr>
      <w:tcPr>
        <w:shd w:val="clear" w:color="7f7f7f" w:fill="7f7f7f"/>
        <w:tcBorders>
          <w:top w:val="single" w:color="7f7f7f" w:sz="32" w:space="0"/>
          <w:bottom w:val="single" w:color="ffffff" w:sz="12" w:space="0"/>
        </w:tcBorders>
      </w:tcPr>
    </w:tblStylePr>
    <w:tblStylePr w:type="lastCol">
      <w:pPr>
        <w:pBdr/>
        <w:spacing/>
        <w:ind/>
      </w:pPr>
      <w:tblPr>
        <w:tblBorders/>
      </w:tblPr>
      <w:tcPr>
        <w:tcBorders>
          <w:left w:val="single" w:color="ffffff" w:sz="4" w:space="0"/>
          <w:right w:val="single" w:color="7f7f7f" w:sz="32" w:space="0"/>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98" w:customStyle="1">
    <w:name w:val="List Table 5 Dark - Accent 1"/>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4f81bd" w:sz="32" w:space="0"/>
        <w:left w:val="single" w:color="4f81bd" w:sz="32" w:space="0"/>
        <w:bottom w:val="single" w:color="4f81bd" w:sz="32" w:space="0"/>
        <w:right w:val="single" w:color="4f81bd" w:sz="32" w:space="0"/>
      </w:tblBorders>
    </w:tblPr>
    <w:tcPr>
      <w:tcBorders/>
    </w:tcPr>
    <w:tblStylePr w:type="band1Horz">
      <w:pPr>
        <w:pBdr/>
        <w:spacing/>
        <w:ind/>
      </w:pPr>
      <w:tblPr>
        <w:tblBorders/>
      </w:tblPr>
      <w:tcPr>
        <w:shd w:val="clear" w:color="4f81bd" w:fill="4f81bd"/>
        <w:tcBorders>
          <w:top w:val="single" w:color="ffffff" w:sz="4" w:space="0"/>
          <w:bottom w:val="single" w:color="ffffff" w:sz="4" w:space="0"/>
        </w:tcBorders>
      </w:tcPr>
    </w:tblStylePr>
    <w:tblStylePr w:type="band1Vert">
      <w:pPr>
        <w:pBdr/>
        <w:spacing/>
        <w:ind/>
      </w:pPr>
      <w:tblPr>
        <w:tblBorders/>
      </w:tblPr>
      <w:tcPr>
        <w:shd w:val="clear" w:color="4f81bd" w:fill="4f81bd"/>
        <w:tcBorders>
          <w:left w:val="single" w:color="ffffff" w:sz="4" w:space="0"/>
          <w:right w:val="single" w:color="ffffff" w:sz="4" w:space="0"/>
        </w:tcBorders>
      </w:tcPr>
    </w:tblStylePr>
    <w:tblStylePr w:type="band2Horz">
      <w:pPr>
        <w:pBdr/>
        <w:spacing/>
        <w:ind/>
      </w:pPr>
      <w:tblPr>
        <w:tblBorders/>
      </w:tblPr>
      <w:tcPr>
        <w:shd w:val="clear" w:color="4f81bd" w:fill="4f81bd"/>
        <w:tcBorders>
          <w:top w:val="single" w:color="ffffff" w:sz="4" w:space="0"/>
          <w:bottom w:val="single" w:color="ffffff" w:sz="4" w:space="0"/>
        </w:tcBorders>
      </w:tcPr>
    </w:tblStylePr>
    <w:tblStylePr w:type="band2Vert">
      <w:pPr>
        <w:pBdr/>
        <w:spacing/>
        <w:ind/>
      </w:pPr>
      <w:tblPr>
        <w:tblBorders/>
      </w:tblPr>
      <w:tcPr>
        <w:tcBorders>
          <w:left w:val="single" w:color="ffffff" w:sz="4" w:space="0"/>
          <w:right w:val="single" w:color="ffffff" w:sz="4" w:space="0"/>
        </w:tcBorders>
      </w:tcPr>
    </w:tblStylePr>
    <w:tblStylePr w:type="firstCol">
      <w:rPr>
        <w:b/>
        <w:sz w:val="22"/>
      </w:rPr>
      <w:pPr>
        <w:pBdr/>
        <w:spacing/>
        <w:ind/>
      </w:pPr>
      <w:tblPr>
        <w:tblBorders/>
      </w:tblPr>
      <w:tcPr>
        <w:tcBorders>
          <w:left w:val="single" w:color="4f81bd" w:sz="32" w:space="0"/>
          <w:right w:val="single" w:color="ffffff" w:sz="4" w:space="0"/>
        </w:tcBorders>
      </w:tcPr>
    </w:tblStylePr>
    <w:tblStylePr w:type="firstRow">
      <w:rPr>
        <w:b/>
        <w:sz w:val="22"/>
      </w:rPr>
      <w:pPr>
        <w:pBdr/>
        <w:spacing/>
        <w:ind/>
      </w:pPr>
      <w:tblPr>
        <w:tblBorders/>
      </w:tblPr>
      <w:tcPr>
        <w:shd w:val="clear" w:color="4f81bd" w:fill="4f81bd"/>
        <w:tcBorders>
          <w:top w:val="single" w:color="4f81bd" w:sz="32" w:space="0"/>
          <w:bottom w:val="single" w:color="ffffff" w:sz="12" w:space="0"/>
        </w:tcBorders>
      </w:tcPr>
    </w:tblStylePr>
    <w:tblStylePr w:type="lastCol">
      <w:pPr>
        <w:pBdr/>
        <w:spacing/>
        <w:ind/>
      </w:pPr>
      <w:tblPr>
        <w:tblBorders/>
      </w:tblPr>
      <w:tcPr>
        <w:tcBorders>
          <w:left w:val="single" w:color="ffffff" w:sz="4" w:space="0"/>
          <w:right w:val="single" w:color="4f81bd" w:sz="32" w:space="0"/>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99" w:customStyle="1">
    <w:name w:val="List Table 5 Dark - Accent 2"/>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d99695" w:sz="32" w:space="0"/>
        <w:left w:val="single" w:color="d99695" w:sz="32" w:space="0"/>
        <w:bottom w:val="single" w:color="d99695" w:sz="32" w:space="0"/>
        <w:right w:val="single" w:color="d99695" w:sz="32" w:space="0"/>
      </w:tblBorders>
    </w:tblPr>
    <w:tcPr>
      <w:tcBorders/>
    </w:tcPr>
    <w:tblStylePr w:type="band1Horz">
      <w:pPr>
        <w:pBdr/>
        <w:spacing/>
        <w:ind/>
      </w:pPr>
      <w:tblPr>
        <w:tblBorders/>
      </w:tblPr>
      <w:tcPr>
        <w:shd w:val="clear" w:color="d99695" w:fill="d99695"/>
        <w:tcBorders>
          <w:top w:val="single" w:color="ffffff" w:sz="4" w:space="0"/>
          <w:bottom w:val="single" w:color="ffffff" w:sz="4" w:space="0"/>
        </w:tcBorders>
      </w:tcPr>
    </w:tblStylePr>
    <w:tblStylePr w:type="band1Vert">
      <w:pPr>
        <w:pBdr/>
        <w:spacing/>
        <w:ind/>
      </w:pPr>
      <w:tblPr>
        <w:tblBorders/>
      </w:tblPr>
      <w:tcPr>
        <w:shd w:val="clear" w:color="d99695" w:fill="d99695"/>
        <w:tcBorders>
          <w:left w:val="single" w:color="ffffff" w:sz="4" w:space="0"/>
          <w:right w:val="single" w:color="ffffff" w:sz="4" w:space="0"/>
        </w:tcBorders>
      </w:tcPr>
    </w:tblStylePr>
    <w:tblStylePr w:type="band2Horz">
      <w:pPr>
        <w:pBdr/>
        <w:spacing/>
        <w:ind/>
      </w:pPr>
      <w:tblPr>
        <w:tblBorders/>
      </w:tblPr>
      <w:tcPr>
        <w:shd w:val="clear" w:color="d99695" w:fill="d99695"/>
        <w:tcBorders>
          <w:top w:val="single" w:color="ffffff" w:sz="4" w:space="0"/>
          <w:bottom w:val="single" w:color="ffffff" w:sz="4" w:space="0"/>
        </w:tcBorders>
      </w:tcPr>
    </w:tblStylePr>
    <w:tblStylePr w:type="band2Vert">
      <w:pPr>
        <w:pBdr/>
        <w:spacing/>
        <w:ind/>
      </w:pPr>
      <w:tblPr>
        <w:tblBorders/>
      </w:tblPr>
      <w:tcPr>
        <w:tcBorders>
          <w:left w:val="single" w:color="ffffff" w:sz="4" w:space="0"/>
          <w:right w:val="single" w:color="ffffff" w:sz="4" w:space="0"/>
        </w:tcBorders>
      </w:tcPr>
    </w:tblStylePr>
    <w:tblStylePr w:type="firstCol">
      <w:rPr>
        <w:b/>
        <w:sz w:val="22"/>
      </w:rPr>
      <w:pPr>
        <w:pBdr/>
        <w:spacing/>
        <w:ind/>
      </w:pPr>
      <w:tblPr>
        <w:tblBorders/>
      </w:tblPr>
      <w:tcPr>
        <w:tcBorders>
          <w:left w:val="single" w:color="d99695" w:sz="32" w:space="0"/>
          <w:right w:val="single" w:color="ffffff" w:sz="4" w:space="0"/>
        </w:tcBorders>
      </w:tcPr>
    </w:tblStylePr>
    <w:tblStylePr w:type="firstRow">
      <w:rPr>
        <w:b/>
        <w:sz w:val="22"/>
      </w:rPr>
      <w:pPr>
        <w:pBdr/>
        <w:spacing/>
        <w:ind/>
      </w:pPr>
      <w:tblPr>
        <w:tblBorders/>
      </w:tblPr>
      <w:tcPr>
        <w:shd w:val="clear" w:color="d99695" w:fill="d99695"/>
        <w:tcBorders>
          <w:top w:val="single" w:color="d99695" w:sz="32" w:space="0"/>
          <w:bottom w:val="single" w:color="ffffff" w:sz="12" w:space="0"/>
        </w:tcBorders>
      </w:tcPr>
    </w:tblStylePr>
    <w:tblStylePr w:type="lastCol">
      <w:pPr>
        <w:pBdr/>
        <w:spacing/>
        <w:ind/>
      </w:pPr>
      <w:tblPr>
        <w:tblBorders/>
      </w:tblPr>
      <w:tcPr>
        <w:tcBorders>
          <w:left w:val="single" w:color="ffffff" w:sz="4" w:space="0"/>
          <w:right w:val="single" w:color="d99695" w:sz="32" w:space="0"/>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0" w:customStyle="1">
    <w:name w:val="List Table 5 Dark - Accent 3"/>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c3d69b" w:sz="32" w:space="0"/>
        <w:left w:val="single" w:color="c3d69b" w:sz="32" w:space="0"/>
        <w:bottom w:val="single" w:color="c3d69b" w:sz="32" w:space="0"/>
        <w:right w:val="single" w:color="c3d69b" w:sz="32" w:space="0"/>
      </w:tblBorders>
    </w:tblPr>
    <w:tcPr>
      <w:tcBorders/>
    </w:tcPr>
    <w:tblStylePr w:type="band1Horz">
      <w:pPr>
        <w:pBdr/>
        <w:spacing/>
        <w:ind/>
      </w:pPr>
      <w:tblPr>
        <w:tblBorders/>
      </w:tblPr>
      <w:tcPr>
        <w:shd w:val="clear" w:color="c3d69b" w:fill="c3d69b"/>
        <w:tcBorders>
          <w:top w:val="single" w:color="ffffff" w:sz="4" w:space="0"/>
          <w:bottom w:val="single" w:color="ffffff" w:sz="4" w:space="0"/>
        </w:tcBorders>
      </w:tcPr>
    </w:tblStylePr>
    <w:tblStylePr w:type="band1Vert">
      <w:pPr>
        <w:pBdr/>
        <w:spacing/>
        <w:ind/>
      </w:pPr>
      <w:tblPr>
        <w:tblBorders/>
      </w:tblPr>
      <w:tcPr>
        <w:shd w:val="clear" w:color="c3d69b" w:fill="c3d69b"/>
        <w:tcBorders>
          <w:left w:val="single" w:color="ffffff" w:sz="4" w:space="0"/>
          <w:right w:val="single" w:color="ffffff" w:sz="4" w:space="0"/>
        </w:tcBorders>
      </w:tcPr>
    </w:tblStylePr>
    <w:tblStylePr w:type="band2Horz">
      <w:pPr>
        <w:pBdr/>
        <w:spacing/>
        <w:ind/>
      </w:pPr>
      <w:tblPr>
        <w:tblBorders/>
      </w:tblPr>
      <w:tcPr>
        <w:shd w:val="clear" w:color="c3d69b" w:fill="c3d69b"/>
        <w:tcBorders>
          <w:top w:val="single" w:color="ffffff" w:sz="4" w:space="0"/>
          <w:bottom w:val="single" w:color="ffffff" w:sz="4" w:space="0"/>
        </w:tcBorders>
      </w:tcPr>
    </w:tblStylePr>
    <w:tblStylePr w:type="band2Vert">
      <w:pPr>
        <w:pBdr/>
        <w:spacing/>
        <w:ind/>
      </w:pPr>
      <w:tblPr>
        <w:tblBorders/>
      </w:tblPr>
      <w:tcPr>
        <w:tcBorders>
          <w:left w:val="single" w:color="ffffff" w:sz="4" w:space="0"/>
          <w:right w:val="single" w:color="ffffff" w:sz="4" w:space="0"/>
        </w:tcBorders>
      </w:tcPr>
    </w:tblStylePr>
    <w:tblStylePr w:type="firstCol">
      <w:rPr>
        <w:b/>
        <w:sz w:val="22"/>
      </w:rPr>
      <w:pPr>
        <w:pBdr/>
        <w:spacing/>
        <w:ind/>
      </w:pPr>
      <w:tblPr>
        <w:tblBorders/>
      </w:tblPr>
      <w:tcPr>
        <w:tcBorders>
          <w:left w:val="single" w:color="c3d69b" w:sz="32" w:space="0"/>
          <w:right w:val="single" w:color="ffffff" w:sz="4" w:space="0"/>
        </w:tcBorders>
      </w:tcPr>
    </w:tblStylePr>
    <w:tblStylePr w:type="firstRow">
      <w:rPr>
        <w:b/>
        <w:sz w:val="22"/>
      </w:rPr>
      <w:pPr>
        <w:pBdr/>
        <w:spacing/>
        <w:ind/>
      </w:pPr>
      <w:tblPr>
        <w:tblBorders/>
      </w:tblPr>
      <w:tcPr>
        <w:shd w:val="clear" w:color="c3d69b" w:fill="c3d69b"/>
        <w:tcBorders>
          <w:top w:val="single" w:color="c3d69b" w:sz="32" w:space="0"/>
          <w:bottom w:val="single" w:color="ffffff" w:sz="12" w:space="0"/>
        </w:tcBorders>
      </w:tcPr>
    </w:tblStylePr>
    <w:tblStylePr w:type="lastCol">
      <w:pPr>
        <w:pBdr/>
        <w:spacing/>
        <w:ind/>
      </w:pPr>
      <w:tblPr>
        <w:tblBorders/>
      </w:tblPr>
      <w:tcPr>
        <w:tcBorders>
          <w:left w:val="single" w:color="ffffff" w:sz="4" w:space="0"/>
          <w:right w:val="single" w:color="c3d69b" w:sz="32" w:space="0"/>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1" w:customStyle="1">
    <w:name w:val="List Table 5 Dark - Accent 4"/>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b2a1c6" w:sz="32" w:space="0"/>
        <w:left w:val="single" w:color="b2a1c6" w:sz="32" w:space="0"/>
        <w:bottom w:val="single" w:color="b2a1c6" w:sz="32" w:space="0"/>
        <w:right w:val="single" w:color="b2a1c6" w:sz="32" w:space="0"/>
      </w:tblBorders>
    </w:tblPr>
    <w:tcPr>
      <w:tcBorders/>
    </w:tcPr>
    <w:tblStylePr w:type="band1Horz">
      <w:pPr>
        <w:pBdr/>
        <w:spacing/>
        <w:ind/>
      </w:pPr>
      <w:tblPr>
        <w:tblBorders/>
      </w:tblPr>
      <w:tcPr>
        <w:shd w:val="clear" w:color="b2a1c6" w:fill="b2a1c6"/>
        <w:tcBorders>
          <w:top w:val="single" w:color="ffffff" w:sz="4" w:space="0"/>
          <w:bottom w:val="single" w:color="ffffff" w:sz="4" w:space="0"/>
        </w:tcBorders>
      </w:tcPr>
    </w:tblStylePr>
    <w:tblStylePr w:type="band1Vert">
      <w:pPr>
        <w:pBdr/>
        <w:spacing/>
        <w:ind/>
      </w:pPr>
      <w:tblPr>
        <w:tblBorders/>
      </w:tblPr>
      <w:tcPr>
        <w:shd w:val="clear" w:color="b2a1c6" w:fill="b2a1c6"/>
        <w:tcBorders>
          <w:left w:val="single" w:color="ffffff" w:sz="4" w:space="0"/>
          <w:right w:val="single" w:color="ffffff" w:sz="4" w:space="0"/>
        </w:tcBorders>
      </w:tcPr>
    </w:tblStylePr>
    <w:tblStylePr w:type="band2Horz">
      <w:pPr>
        <w:pBdr/>
        <w:spacing/>
        <w:ind/>
      </w:pPr>
      <w:tblPr>
        <w:tblBorders/>
      </w:tblPr>
      <w:tcPr>
        <w:shd w:val="clear" w:color="b2a1c6" w:fill="b2a1c6"/>
        <w:tcBorders>
          <w:top w:val="single" w:color="ffffff" w:sz="4" w:space="0"/>
          <w:bottom w:val="single" w:color="ffffff" w:sz="4" w:space="0"/>
        </w:tcBorders>
      </w:tcPr>
    </w:tblStylePr>
    <w:tblStylePr w:type="band2Vert">
      <w:pPr>
        <w:pBdr/>
        <w:spacing/>
        <w:ind/>
      </w:pPr>
      <w:tblPr>
        <w:tblBorders/>
      </w:tblPr>
      <w:tcPr>
        <w:tcBorders>
          <w:left w:val="single" w:color="ffffff" w:sz="4" w:space="0"/>
          <w:right w:val="single" w:color="ffffff" w:sz="4" w:space="0"/>
        </w:tcBorders>
      </w:tcPr>
    </w:tblStylePr>
    <w:tblStylePr w:type="firstCol">
      <w:rPr>
        <w:b/>
        <w:sz w:val="22"/>
      </w:rPr>
      <w:pPr>
        <w:pBdr/>
        <w:spacing/>
        <w:ind/>
      </w:pPr>
      <w:tblPr>
        <w:tblBorders/>
      </w:tblPr>
      <w:tcPr>
        <w:tcBorders>
          <w:left w:val="single" w:color="b2a1c6" w:sz="32" w:space="0"/>
          <w:right w:val="single" w:color="ffffff" w:sz="4" w:space="0"/>
        </w:tcBorders>
      </w:tcPr>
    </w:tblStylePr>
    <w:tblStylePr w:type="firstRow">
      <w:rPr>
        <w:b/>
        <w:sz w:val="22"/>
      </w:rPr>
      <w:pPr>
        <w:pBdr/>
        <w:spacing/>
        <w:ind/>
      </w:pPr>
      <w:tblPr>
        <w:tblBorders/>
      </w:tblPr>
      <w:tcPr>
        <w:shd w:val="clear" w:color="b2a1c6" w:fill="b2a1c6"/>
        <w:tcBorders>
          <w:top w:val="single" w:color="b2a1c6" w:sz="32" w:space="0"/>
          <w:bottom w:val="single" w:color="ffffff" w:sz="12" w:space="0"/>
        </w:tcBorders>
      </w:tcPr>
    </w:tblStylePr>
    <w:tblStylePr w:type="lastCol">
      <w:pPr>
        <w:pBdr/>
        <w:spacing/>
        <w:ind/>
      </w:pPr>
      <w:tblPr>
        <w:tblBorders/>
      </w:tblPr>
      <w:tcPr>
        <w:tcBorders>
          <w:left w:val="single" w:color="ffffff" w:sz="4" w:space="0"/>
          <w:right w:val="single" w:color="b2a1c6" w:sz="32" w:space="0"/>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2" w:customStyle="1">
    <w:name w:val="List Table 5 Dark - Accent 5"/>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92ccdc" w:sz="32" w:space="0"/>
        <w:left w:val="single" w:color="92ccdc" w:sz="32" w:space="0"/>
        <w:bottom w:val="single" w:color="92ccdc" w:sz="32" w:space="0"/>
        <w:right w:val="single" w:color="92ccdc" w:sz="32" w:space="0"/>
      </w:tblBorders>
    </w:tblPr>
    <w:tcPr>
      <w:tcBorders/>
    </w:tcPr>
    <w:tblStylePr w:type="band1Horz">
      <w:pPr>
        <w:pBdr/>
        <w:spacing/>
        <w:ind/>
      </w:pPr>
      <w:tblPr>
        <w:tblBorders/>
      </w:tblPr>
      <w:tcPr>
        <w:shd w:val="clear" w:color="92ccdc" w:fill="92ccdc"/>
        <w:tcBorders>
          <w:top w:val="single" w:color="ffffff" w:sz="4" w:space="0"/>
          <w:bottom w:val="single" w:color="ffffff" w:sz="4" w:space="0"/>
        </w:tcBorders>
      </w:tcPr>
    </w:tblStylePr>
    <w:tblStylePr w:type="band1Vert">
      <w:pPr>
        <w:pBdr/>
        <w:spacing/>
        <w:ind/>
      </w:pPr>
      <w:tblPr>
        <w:tblBorders/>
      </w:tblPr>
      <w:tcPr>
        <w:shd w:val="clear" w:color="92ccdc" w:fill="92ccdc"/>
        <w:tcBorders>
          <w:left w:val="single" w:color="ffffff" w:sz="4" w:space="0"/>
          <w:right w:val="single" w:color="ffffff" w:sz="4" w:space="0"/>
        </w:tcBorders>
      </w:tcPr>
    </w:tblStylePr>
    <w:tblStylePr w:type="band2Horz">
      <w:pPr>
        <w:pBdr/>
        <w:spacing/>
        <w:ind/>
      </w:pPr>
      <w:tblPr>
        <w:tblBorders/>
      </w:tblPr>
      <w:tcPr>
        <w:shd w:val="clear" w:color="92ccdc" w:fill="92ccdc"/>
        <w:tcBorders>
          <w:top w:val="single" w:color="ffffff" w:sz="4" w:space="0"/>
          <w:bottom w:val="single" w:color="ffffff" w:sz="4" w:space="0"/>
        </w:tcBorders>
      </w:tcPr>
    </w:tblStylePr>
    <w:tblStylePr w:type="band2Vert">
      <w:pPr>
        <w:pBdr/>
        <w:spacing/>
        <w:ind/>
      </w:pPr>
      <w:tblPr>
        <w:tblBorders/>
      </w:tblPr>
      <w:tcPr>
        <w:tcBorders>
          <w:left w:val="single" w:color="ffffff" w:sz="4" w:space="0"/>
          <w:right w:val="single" w:color="ffffff" w:sz="4" w:space="0"/>
        </w:tcBorders>
      </w:tcPr>
    </w:tblStylePr>
    <w:tblStylePr w:type="firstCol">
      <w:rPr>
        <w:b/>
        <w:sz w:val="22"/>
      </w:rPr>
      <w:pPr>
        <w:pBdr/>
        <w:spacing/>
        <w:ind/>
      </w:pPr>
      <w:tblPr>
        <w:tblBorders/>
      </w:tblPr>
      <w:tcPr>
        <w:tcBorders>
          <w:left w:val="single" w:color="92ccdc" w:sz="32" w:space="0"/>
          <w:right w:val="single" w:color="ffffff" w:sz="4" w:space="0"/>
        </w:tcBorders>
      </w:tcPr>
    </w:tblStylePr>
    <w:tblStylePr w:type="firstRow">
      <w:rPr>
        <w:b/>
        <w:sz w:val="22"/>
      </w:rPr>
      <w:pPr>
        <w:pBdr/>
        <w:spacing/>
        <w:ind/>
      </w:pPr>
      <w:tblPr>
        <w:tblBorders/>
      </w:tblPr>
      <w:tcPr>
        <w:shd w:val="clear" w:color="92ccdc" w:fill="92ccdc"/>
        <w:tcBorders>
          <w:top w:val="single" w:color="92ccdc" w:sz="32" w:space="0"/>
          <w:bottom w:val="single" w:color="ffffff" w:sz="12" w:space="0"/>
        </w:tcBorders>
      </w:tcPr>
    </w:tblStylePr>
    <w:tblStylePr w:type="lastCol">
      <w:pPr>
        <w:pBdr/>
        <w:spacing/>
        <w:ind/>
      </w:pPr>
      <w:tblPr>
        <w:tblBorders/>
      </w:tblPr>
      <w:tcPr>
        <w:tcBorders>
          <w:left w:val="single" w:color="ffffff" w:sz="4" w:space="0"/>
          <w:right w:val="single" w:color="92ccdc" w:sz="32" w:space="0"/>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3" w:customStyle="1">
    <w:name w:val="List Table 5 Dark - Accent 6"/>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fac090" w:sz="32" w:space="0"/>
        <w:left w:val="single" w:color="fac090" w:sz="32" w:space="0"/>
        <w:bottom w:val="single" w:color="fac090" w:sz="32" w:space="0"/>
        <w:right w:val="single" w:color="fac090" w:sz="32" w:space="0"/>
      </w:tblBorders>
    </w:tblPr>
    <w:tcPr>
      <w:tcBorders/>
    </w:tcPr>
    <w:tblStylePr w:type="band1Horz">
      <w:pPr>
        <w:pBdr/>
        <w:spacing/>
        <w:ind/>
      </w:pPr>
      <w:tblPr>
        <w:tblBorders/>
      </w:tblPr>
      <w:tcPr>
        <w:shd w:val="clear" w:color="fac090" w:fill="fac090"/>
        <w:tcBorders>
          <w:top w:val="single" w:color="ffffff" w:sz="4" w:space="0"/>
          <w:bottom w:val="single" w:color="ffffff" w:sz="4" w:space="0"/>
        </w:tcBorders>
      </w:tcPr>
    </w:tblStylePr>
    <w:tblStylePr w:type="band1Vert">
      <w:pPr>
        <w:pBdr/>
        <w:spacing/>
        <w:ind/>
      </w:pPr>
      <w:tblPr>
        <w:tblBorders/>
      </w:tblPr>
      <w:tcPr>
        <w:shd w:val="clear" w:color="fac090" w:fill="fac090"/>
        <w:tcBorders>
          <w:left w:val="single" w:color="ffffff" w:sz="4" w:space="0"/>
          <w:right w:val="single" w:color="ffffff" w:sz="4" w:space="0"/>
        </w:tcBorders>
      </w:tcPr>
    </w:tblStylePr>
    <w:tblStylePr w:type="band2Horz">
      <w:pPr>
        <w:pBdr/>
        <w:spacing/>
        <w:ind/>
      </w:pPr>
      <w:tblPr>
        <w:tblBorders/>
      </w:tblPr>
      <w:tcPr>
        <w:shd w:val="clear" w:color="fac090" w:fill="fac090"/>
        <w:tcBorders>
          <w:top w:val="single" w:color="ffffff" w:sz="4" w:space="0"/>
          <w:bottom w:val="single" w:color="ffffff" w:sz="4" w:space="0"/>
        </w:tcBorders>
      </w:tcPr>
    </w:tblStylePr>
    <w:tblStylePr w:type="band2Vert">
      <w:pPr>
        <w:pBdr/>
        <w:spacing/>
        <w:ind/>
      </w:pPr>
      <w:tblPr>
        <w:tblBorders/>
      </w:tblPr>
      <w:tcPr>
        <w:tcBorders>
          <w:left w:val="single" w:color="ffffff" w:sz="4" w:space="0"/>
          <w:right w:val="single" w:color="ffffff" w:sz="4" w:space="0"/>
        </w:tcBorders>
      </w:tcPr>
    </w:tblStylePr>
    <w:tblStylePr w:type="firstCol">
      <w:rPr>
        <w:b/>
        <w:sz w:val="22"/>
      </w:rPr>
      <w:pPr>
        <w:pBdr/>
        <w:spacing/>
        <w:ind/>
      </w:pPr>
      <w:tblPr>
        <w:tblBorders/>
      </w:tblPr>
      <w:tcPr>
        <w:tcBorders>
          <w:left w:val="single" w:color="fac090" w:sz="32" w:space="0"/>
          <w:right w:val="single" w:color="ffffff" w:sz="4" w:space="0"/>
        </w:tcBorders>
      </w:tcPr>
    </w:tblStylePr>
    <w:tblStylePr w:type="firstRow">
      <w:rPr>
        <w:b/>
        <w:sz w:val="22"/>
      </w:rPr>
      <w:pPr>
        <w:pBdr/>
        <w:spacing/>
        <w:ind/>
      </w:pPr>
      <w:tblPr>
        <w:tblBorders/>
      </w:tblPr>
      <w:tcPr>
        <w:shd w:val="clear" w:color="fac090" w:fill="fac090"/>
        <w:tcBorders>
          <w:top w:val="single" w:color="fac090" w:sz="32" w:space="0"/>
          <w:bottom w:val="single" w:color="ffffff" w:sz="12" w:space="0"/>
        </w:tcBorders>
      </w:tcPr>
    </w:tblStylePr>
    <w:tblStylePr w:type="lastCol">
      <w:pPr>
        <w:pBdr/>
        <w:spacing/>
        <w:ind/>
      </w:pPr>
      <w:tblPr>
        <w:tblBorders/>
      </w:tblPr>
      <w:tcPr>
        <w:tcBorders>
          <w:left w:val="single" w:color="ffffff" w:sz="4" w:space="0"/>
          <w:right w:val="single" w:color="fac090" w:sz="32" w:space="0"/>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4">
    <w:name w:val="List Table 6 Colorful"/>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7f7f7f" w:sz="4" w:space="0"/>
        <w:bottom w:val="single" w:color="7f7f7f" w:sz="4" w:space="0"/>
      </w:tblBorders>
    </w:tblPr>
    <w:tcPr>
      <w:tcBorders/>
    </w:tcPr>
    <w:tblStylePr w:type="band1Horz">
      <w:rPr>
        <w:sz w:val="22"/>
      </w:rPr>
      <w:pPr>
        <w:pBdr/>
        <w:spacing/>
        <w:ind/>
      </w:pPr>
      <w:tblPr>
        <w:tblBorders/>
      </w:tblPr>
      <w:tcPr>
        <w:shd w:val="clear" w:color="bfbfbf" w:fill="bfbfbf"/>
        <w:tcBorders/>
      </w:tcPr>
    </w:tblStylePr>
    <w:tblStylePr w:type="band1Vert">
      <w:pPr>
        <w:pBdr/>
        <w:spacing/>
        <w:ind/>
      </w:pPr>
      <w:tblPr>
        <w:tblBorders/>
      </w:tblPr>
      <w:tcPr>
        <w:shd w:val="clear" w:color="bfbfbf" w:fill="bfbfbf"/>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7f7f7f"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7f7f7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5" w:customStyle="1">
    <w:name w:val="List Table 6 Colorful - Accent 1"/>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4f81bd" w:sz="4" w:space="0"/>
        <w:bottom w:val="single" w:color="4f81bd" w:sz="4" w:space="0"/>
      </w:tblBorders>
    </w:tblPr>
    <w:tcPr>
      <w:tcBorders/>
    </w:tcPr>
    <w:tblStylePr w:type="band1Horz">
      <w:rPr>
        <w:sz w:val="22"/>
      </w:rPr>
      <w:pPr>
        <w:pBdr/>
        <w:spacing/>
        <w:ind/>
      </w:pPr>
      <w:tblPr>
        <w:tblBorders/>
      </w:tblPr>
      <w:tcPr>
        <w:shd w:val="clear" w:color="d2dfee" w:fill="d2dfee"/>
        <w:tcBorders/>
      </w:tcPr>
    </w:tblStylePr>
    <w:tblStylePr w:type="band1Vert">
      <w:pPr>
        <w:pBdr/>
        <w:spacing/>
        <w:ind/>
      </w:pPr>
      <w:tblPr>
        <w:tblBorders/>
      </w:tblPr>
      <w:tcPr>
        <w:shd w:val="clear" w:color="d2dfee" w:fill="d2dfee"/>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4f81bd"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4f81bd"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6" w:customStyle="1">
    <w:name w:val="List Table 6 Colorful - Accent 2"/>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d99695" w:sz="4" w:space="0"/>
        <w:bottom w:val="single" w:color="d99695" w:sz="4" w:space="0"/>
      </w:tblBorders>
    </w:tblPr>
    <w:tcPr>
      <w:tcBorders/>
    </w:tcPr>
    <w:tblStylePr w:type="band1Horz">
      <w:rPr>
        <w:sz w:val="22"/>
      </w:rPr>
      <w:pPr>
        <w:pBdr/>
        <w:spacing/>
        <w:ind/>
      </w:pPr>
      <w:tblPr>
        <w:tblBorders/>
      </w:tblPr>
      <w:tcPr>
        <w:shd w:val="clear" w:color="efd2d2" w:fill="efd2d2"/>
        <w:tcBorders/>
      </w:tcPr>
    </w:tblStylePr>
    <w:tblStylePr w:type="band1Vert">
      <w:pPr>
        <w:pBdr/>
        <w:spacing/>
        <w:ind/>
      </w:pPr>
      <w:tblPr>
        <w:tblBorders/>
      </w:tblPr>
      <w:tcPr>
        <w:shd w:val="clear" w:color="efd2d2" w:fill="efd2d2"/>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d99695"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d9969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7" w:customStyle="1">
    <w:name w:val="List Table 6 Colorful - Accent 3"/>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c3d69b" w:sz="4" w:space="0"/>
        <w:bottom w:val="single" w:color="c3d69b" w:sz="4" w:space="0"/>
      </w:tblBorders>
    </w:tblPr>
    <w:tcPr>
      <w:tcBorders/>
    </w:tcPr>
    <w:tblStylePr w:type="band1Horz">
      <w:rPr>
        <w:sz w:val="22"/>
      </w:rPr>
      <w:pPr>
        <w:pBdr/>
        <w:spacing/>
        <w:ind/>
      </w:pPr>
      <w:tblPr>
        <w:tblBorders/>
      </w:tblPr>
      <w:tcPr>
        <w:shd w:val="clear" w:color="e5eed5" w:fill="e5eed5"/>
        <w:tcBorders/>
      </w:tcPr>
    </w:tblStylePr>
    <w:tblStylePr w:type="band1Vert">
      <w:pPr>
        <w:pBdr/>
        <w:spacing/>
        <w:ind/>
      </w:pPr>
      <w:tblPr>
        <w:tblBorders/>
      </w:tblPr>
      <w:tcPr>
        <w:shd w:val="clear" w:color="e5eed5" w:fill="e5eed5"/>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c3d69b"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c3d69b"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8" w:customStyle="1">
    <w:name w:val="List Table 6 Colorful - Accent 4"/>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b2a1c6" w:sz="4" w:space="0"/>
        <w:bottom w:val="single" w:color="b2a1c6" w:sz="4" w:space="0"/>
      </w:tblBorders>
    </w:tblPr>
    <w:tcPr>
      <w:tcBorders/>
    </w:tcPr>
    <w:tblStylePr w:type="band1Horz">
      <w:rPr>
        <w:sz w:val="22"/>
      </w:rPr>
      <w:pPr>
        <w:pBdr/>
        <w:spacing/>
        <w:ind/>
      </w:pPr>
      <w:tblPr>
        <w:tblBorders/>
      </w:tblPr>
      <w:tcPr>
        <w:shd w:val="clear" w:color="dfd8e7" w:fill="dfd8e7"/>
        <w:tcBorders/>
      </w:tcPr>
    </w:tblStylePr>
    <w:tblStylePr w:type="band1Vert">
      <w:pPr>
        <w:pBdr/>
        <w:spacing/>
        <w:ind/>
      </w:pPr>
      <w:tblPr>
        <w:tblBorders/>
      </w:tblPr>
      <w:tcPr>
        <w:shd w:val="clear" w:color="dfd8e7" w:fill="dfd8e7"/>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b2a1c6"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b2a1c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9" w:customStyle="1">
    <w:name w:val="List Table 6 Colorful - Accent 5"/>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92ccdc" w:sz="4" w:space="0"/>
        <w:bottom w:val="single" w:color="92ccdc" w:sz="4" w:space="0"/>
      </w:tblBorders>
    </w:tblPr>
    <w:tcPr>
      <w:tcBorders/>
    </w:tcPr>
    <w:tblStylePr w:type="band1Horz">
      <w:rPr>
        <w:sz w:val="22"/>
      </w:rPr>
      <w:pPr>
        <w:pBdr/>
        <w:spacing/>
        <w:ind/>
      </w:pPr>
      <w:tblPr>
        <w:tblBorders/>
      </w:tblPr>
      <w:tcPr>
        <w:shd w:val="clear" w:color="d1eaf0" w:fill="d1eaf0"/>
        <w:tcBorders/>
      </w:tcPr>
    </w:tblStylePr>
    <w:tblStylePr w:type="band1Vert">
      <w:pPr>
        <w:pBdr/>
        <w:spacing/>
        <w:ind/>
      </w:pPr>
      <w:tblPr>
        <w:tblBorders/>
      </w:tblPr>
      <w:tcPr>
        <w:shd w:val="clear" w:color="d1eaf0" w:fill="d1eaf0"/>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92ccdc"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92ccdc"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0" w:customStyle="1">
    <w:name w:val="List Table 6 Colorful - Accent 6"/>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fac090" w:sz="4" w:space="0"/>
        <w:bottom w:val="single" w:color="fac090" w:sz="4" w:space="0"/>
      </w:tblBorders>
    </w:tblPr>
    <w:tcPr>
      <w:tcBorders/>
    </w:tcPr>
    <w:tblStylePr w:type="band1Horz">
      <w:rPr>
        <w:sz w:val="22"/>
      </w:rPr>
      <w:pPr>
        <w:pBdr/>
        <w:spacing/>
        <w:ind/>
      </w:pPr>
      <w:tblPr>
        <w:tblBorders/>
      </w:tblPr>
      <w:tcPr>
        <w:shd w:val="clear" w:color="fde4d0" w:fill="fde4d0"/>
        <w:tcBorders/>
      </w:tcPr>
    </w:tblStylePr>
    <w:tblStylePr w:type="band1Vert">
      <w:pPr>
        <w:pBdr/>
        <w:spacing/>
        <w:ind/>
      </w:pPr>
      <w:tblPr>
        <w:tblBorders/>
      </w:tblPr>
      <w:tcPr>
        <w:shd w:val="clear" w:color="fde4d0" w:fill="fde4d0"/>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fac09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fac09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1">
    <w:name w:val="List Table 7 Colorful"/>
    <w:basedOn w:val="875"/>
    <w:uiPriority w:val="99"/>
    <w:pPr>
      <w:pBdr/>
      <w:spacing/>
      <w:ind/>
    </w:pPr>
    <w:tblPr>
      <w:tblStyleRowBandSize w:val="1"/>
      <w:tblStyleColBandSize w:val="1"/>
      <w:tblInd w:w="0" w:type="dxa"/>
      <w:tblCellMar>
        <w:left w:w="108" w:type="dxa"/>
        <w:top w:w="0" w:type="dxa"/>
        <w:right w:w="108" w:type="dxa"/>
        <w:bottom w:w="0" w:type="dxa"/>
      </w:tblCellMar>
      <w:tblBorders>
        <w:right w:val="single" w:color="7f7f7f" w:sz="4" w:space="0"/>
      </w:tblBorders>
    </w:tblPr>
    <w:tcPr>
      <w:tcBorders/>
    </w:tcPr>
    <w:tblStylePr w:type="band1Horz">
      <w:rPr>
        <w:sz w:val="22"/>
      </w:rPr>
      <w:pPr>
        <w:pBdr/>
        <w:spacing/>
        <w:ind/>
      </w:pPr>
      <w:tblPr>
        <w:tblBorders/>
      </w:tblPr>
      <w:tcPr>
        <w:shd w:val="clear" w:color="bfbfbf" w:fill="bfbfbf"/>
        <w:tcBorders/>
      </w:tcPr>
    </w:tblStylePr>
    <w:tblStylePr w:type="band1Vert">
      <w:pPr>
        <w:pBdr/>
        <w:spacing/>
        <w:ind/>
      </w:pPr>
      <w:tblPr>
        <w:tblBorders/>
      </w:tblPr>
      <w:tcPr>
        <w:shd w:val="clear" w:color="bfbfbf" w:fill="bfbfbf"/>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7f7f7f" w:sz="4" w:space="0"/>
        </w:tcBorders>
      </w:tcPr>
    </w:tblStylePr>
    <w:tblStylePr w:type="firstRow">
      <w:rPr>
        <w:i/>
        <w:sz w:val="22"/>
      </w:rPr>
      <w:pPr>
        <w:pBdr/>
        <w:spacing/>
        <w:ind/>
      </w:pPr>
      <w:tblPr>
        <w:tblBorders/>
      </w:tblPr>
      <w:tcPr>
        <w:shd w:val="clear" w:color="ffffff" w:fill="ffffff"/>
        <w:tcBorders>
          <w:top w:val="none" w:color="000000" w:sz="0" w:space="0"/>
          <w:left w:val="none" w:color="000000" w:sz="0" w:space="0"/>
          <w:bottom w:val="single" w:color="7f7f7f"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7f7f7f" w:sz="4" w:space="0"/>
          <w:bottom w:val="none" w:color="000000" w:sz="0" w:space="0"/>
          <w:right w:val="none" w:color="000000" w:sz="0" w:space="0"/>
        </w:tcBorders>
      </w:tcPr>
    </w:tblStylePr>
    <w:tblStylePr w:type="lastRow">
      <w:rPr>
        <w:i/>
        <w:sz w:val="22"/>
      </w:rPr>
      <w:pPr>
        <w:pBdr/>
        <w:spacing/>
        <w:ind/>
      </w:pPr>
      <w:tblPr>
        <w:tblBorders/>
      </w:tblPr>
      <w:tcPr>
        <w:shd w:val="clear" w:color="ffffff" w:fill="ffffff"/>
        <w:tcBorders>
          <w:top w:val="single" w:color="7f7f7f"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2" w:customStyle="1">
    <w:name w:val="List Table 7 Colorful - Accent 1"/>
    <w:basedOn w:val="875"/>
    <w:uiPriority w:val="99"/>
    <w:pPr>
      <w:pBdr/>
      <w:spacing/>
      <w:ind/>
    </w:pPr>
    <w:tblPr>
      <w:tblStyleRowBandSize w:val="1"/>
      <w:tblStyleColBandSize w:val="1"/>
      <w:tblInd w:w="0" w:type="dxa"/>
      <w:tblCellMar>
        <w:left w:w="108" w:type="dxa"/>
        <w:top w:w="0" w:type="dxa"/>
        <w:right w:w="108" w:type="dxa"/>
        <w:bottom w:w="0" w:type="dxa"/>
      </w:tblCellMar>
      <w:tblBorders>
        <w:right w:val="single" w:color="4f81bd" w:sz="4" w:space="0"/>
      </w:tblBorders>
    </w:tblPr>
    <w:tcPr>
      <w:tcBorders/>
    </w:tcPr>
    <w:tblStylePr w:type="band1Horz">
      <w:rPr>
        <w:sz w:val="22"/>
      </w:rPr>
      <w:pPr>
        <w:pBdr/>
        <w:spacing/>
        <w:ind/>
      </w:pPr>
      <w:tblPr>
        <w:tblBorders/>
      </w:tblPr>
      <w:tcPr>
        <w:shd w:val="clear" w:color="d2dfee" w:fill="d2dfee"/>
        <w:tcBorders/>
      </w:tcPr>
    </w:tblStylePr>
    <w:tblStylePr w:type="band1Vert">
      <w:pPr>
        <w:pBdr/>
        <w:spacing/>
        <w:ind/>
      </w:pPr>
      <w:tblPr>
        <w:tblBorders/>
      </w:tblPr>
      <w:tcPr>
        <w:shd w:val="clear" w:color="d2dfee" w:fill="d2dfee"/>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4f81bd" w:sz="4" w:space="0"/>
        </w:tcBorders>
      </w:tcPr>
    </w:tblStylePr>
    <w:tblStylePr w:type="firstRow">
      <w:rPr>
        <w:i/>
        <w:sz w:val="22"/>
      </w:rPr>
      <w:pPr>
        <w:pBdr/>
        <w:spacing/>
        <w:ind/>
      </w:pPr>
      <w:tblPr>
        <w:tblBorders/>
      </w:tblPr>
      <w:tcPr>
        <w:shd w:val="clear" w:color="ffffff" w:fill="ffffff"/>
        <w:tcBorders>
          <w:top w:val="none" w:color="000000" w:sz="0" w:space="0"/>
          <w:left w:val="none" w:color="000000" w:sz="0" w:space="0"/>
          <w:bottom w:val="single" w:color="4f81bd"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4f81bd" w:sz="4" w:space="0"/>
          <w:bottom w:val="none" w:color="000000" w:sz="0" w:space="0"/>
          <w:right w:val="none" w:color="000000" w:sz="0" w:space="0"/>
        </w:tcBorders>
      </w:tcPr>
    </w:tblStylePr>
    <w:tblStylePr w:type="lastRow">
      <w:rPr>
        <w:i/>
        <w:sz w:val="22"/>
      </w:rPr>
      <w:pPr>
        <w:pBdr/>
        <w:spacing/>
        <w:ind/>
      </w:pPr>
      <w:tblPr>
        <w:tblBorders/>
      </w:tblPr>
      <w:tcPr>
        <w:shd w:val="clear" w:color="ffffff" w:fill="ffffff"/>
        <w:tcBorders>
          <w:top w:val="single" w:color="4f81bd"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3" w:customStyle="1">
    <w:name w:val="List Table 7 Colorful - Accent 2"/>
    <w:basedOn w:val="875"/>
    <w:uiPriority w:val="99"/>
    <w:pPr>
      <w:pBdr/>
      <w:spacing/>
      <w:ind/>
    </w:pPr>
    <w:tblPr>
      <w:tblStyleRowBandSize w:val="1"/>
      <w:tblStyleColBandSize w:val="1"/>
      <w:tblInd w:w="0" w:type="dxa"/>
      <w:tblCellMar>
        <w:left w:w="108" w:type="dxa"/>
        <w:top w:w="0" w:type="dxa"/>
        <w:right w:w="108" w:type="dxa"/>
        <w:bottom w:w="0" w:type="dxa"/>
      </w:tblCellMar>
      <w:tblBorders>
        <w:right w:val="single" w:color="d99695" w:sz="4" w:space="0"/>
      </w:tblBorders>
    </w:tblPr>
    <w:tcPr>
      <w:tcBorders/>
    </w:tcPr>
    <w:tblStylePr w:type="band1Horz">
      <w:rPr>
        <w:sz w:val="22"/>
      </w:rPr>
      <w:pPr>
        <w:pBdr/>
        <w:spacing/>
        <w:ind/>
      </w:pPr>
      <w:tblPr>
        <w:tblBorders/>
      </w:tblPr>
      <w:tcPr>
        <w:shd w:val="clear" w:color="efd2d2" w:fill="efd2d2"/>
        <w:tcBorders/>
      </w:tcPr>
    </w:tblStylePr>
    <w:tblStylePr w:type="band1Vert">
      <w:pPr>
        <w:pBdr/>
        <w:spacing/>
        <w:ind/>
      </w:pPr>
      <w:tblPr>
        <w:tblBorders/>
      </w:tblPr>
      <w:tcPr>
        <w:shd w:val="clear" w:color="efd2d2" w:fill="efd2d2"/>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d99695" w:sz="4" w:space="0"/>
        </w:tcBorders>
      </w:tcPr>
    </w:tblStylePr>
    <w:tblStylePr w:type="firstRow">
      <w:rPr>
        <w:i/>
        <w:sz w:val="22"/>
      </w:rPr>
      <w:pPr>
        <w:pBdr/>
        <w:spacing/>
        <w:ind/>
      </w:pPr>
      <w:tblPr>
        <w:tblBorders/>
      </w:tblPr>
      <w:tcPr>
        <w:shd w:val="clear" w:color="ffffff" w:fill="ffffff"/>
        <w:tcBorders>
          <w:top w:val="none" w:color="000000" w:sz="0" w:space="0"/>
          <w:left w:val="none" w:color="000000" w:sz="0" w:space="0"/>
          <w:bottom w:val="single" w:color="d99695"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d99695" w:sz="4" w:space="0"/>
          <w:bottom w:val="none" w:color="000000" w:sz="0" w:space="0"/>
          <w:right w:val="none" w:color="000000" w:sz="0" w:space="0"/>
        </w:tcBorders>
      </w:tcPr>
    </w:tblStylePr>
    <w:tblStylePr w:type="lastRow">
      <w:rPr>
        <w:i/>
        <w:sz w:val="22"/>
      </w:rPr>
      <w:pPr>
        <w:pBdr/>
        <w:spacing/>
        <w:ind/>
      </w:pPr>
      <w:tblPr>
        <w:tblBorders/>
      </w:tblPr>
      <w:tcPr>
        <w:shd w:val="clear" w:color="ffffff" w:fill="ffffff"/>
        <w:tcBorders>
          <w:top w:val="single" w:color="d99695"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4" w:customStyle="1">
    <w:name w:val="List Table 7 Colorful - Accent 3"/>
    <w:basedOn w:val="875"/>
    <w:uiPriority w:val="99"/>
    <w:pPr>
      <w:pBdr/>
      <w:spacing/>
      <w:ind/>
    </w:pPr>
    <w:tblPr>
      <w:tblStyleRowBandSize w:val="1"/>
      <w:tblStyleColBandSize w:val="1"/>
      <w:tblInd w:w="0" w:type="dxa"/>
      <w:tblCellMar>
        <w:left w:w="108" w:type="dxa"/>
        <w:top w:w="0" w:type="dxa"/>
        <w:right w:w="108" w:type="dxa"/>
        <w:bottom w:w="0" w:type="dxa"/>
      </w:tblCellMar>
      <w:tblBorders>
        <w:right w:val="single" w:color="c3d69b" w:sz="4" w:space="0"/>
      </w:tblBorders>
    </w:tblPr>
    <w:tcPr>
      <w:tcBorders/>
    </w:tcPr>
    <w:tblStylePr w:type="band1Horz">
      <w:rPr>
        <w:sz w:val="22"/>
      </w:rPr>
      <w:pPr>
        <w:pBdr/>
        <w:spacing/>
        <w:ind/>
      </w:pPr>
      <w:tblPr>
        <w:tblBorders/>
      </w:tblPr>
      <w:tcPr>
        <w:shd w:val="clear" w:color="e5eed5" w:fill="e5eed5"/>
        <w:tcBorders/>
      </w:tcPr>
    </w:tblStylePr>
    <w:tblStylePr w:type="band1Vert">
      <w:pPr>
        <w:pBdr/>
        <w:spacing/>
        <w:ind/>
      </w:pPr>
      <w:tblPr>
        <w:tblBorders/>
      </w:tblPr>
      <w:tcPr>
        <w:shd w:val="clear" w:color="e5eed5" w:fill="e5eed5"/>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c3d69b" w:sz="4" w:space="0"/>
        </w:tcBorders>
      </w:tcPr>
    </w:tblStylePr>
    <w:tblStylePr w:type="firstRow">
      <w:rPr>
        <w:i/>
        <w:sz w:val="22"/>
      </w:rPr>
      <w:pPr>
        <w:pBdr/>
        <w:spacing/>
        <w:ind/>
      </w:pPr>
      <w:tblPr>
        <w:tblBorders/>
      </w:tblPr>
      <w:tcPr>
        <w:shd w:val="clear" w:color="ffffff" w:fill="ffffff"/>
        <w:tcBorders>
          <w:top w:val="none" w:color="000000" w:sz="0" w:space="0"/>
          <w:left w:val="none" w:color="000000" w:sz="0" w:space="0"/>
          <w:bottom w:val="single" w:color="c3d69b"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c3d69b" w:sz="4" w:space="0"/>
          <w:bottom w:val="none" w:color="000000" w:sz="0" w:space="0"/>
          <w:right w:val="none" w:color="000000" w:sz="0" w:space="0"/>
        </w:tcBorders>
      </w:tcPr>
    </w:tblStylePr>
    <w:tblStylePr w:type="lastRow">
      <w:rPr>
        <w:i/>
        <w:sz w:val="22"/>
      </w:rPr>
      <w:pPr>
        <w:pBdr/>
        <w:spacing/>
        <w:ind/>
      </w:pPr>
      <w:tblPr>
        <w:tblBorders/>
      </w:tblPr>
      <w:tcPr>
        <w:shd w:val="clear" w:color="ffffff" w:fill="ffffff"/>
        <w:tcBorders>
          <w:top w:val="single" w:color="c3d69b"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5" w:customStyle="1">
    <w:name w:val="List Table 7 Colorful - Accent 4"/>
    <w:basedOn w:val="875"/>
    <w:uiPriority w:val="99"/>
    <w:pPr>
      <w:pBdr/>
      <w:spacing/>
      <w:ind/>
    </w:pPr>
    <w:tblPr>
      <w:tblStyleRowBandSize w:val="1"/>
      <w:tblStyleColBandSize w:val="1"/>
      <w:tblInd w:w="0" w:type="dxa"/>
      <w:tblCellMar>
        <w:left w:w="108" w:type="dxa"/>
        <w:top w:w="0" w:type="dxa"/>
        <w:right w:w="108" w:type="dxa"/>
        <w:bottom w:w="0" w:type="dxa"/>
      </w:tblCellMar>
      <w:tblBorders>
        <w:right w:val="single" w:color="b2a1c6" w:sz="4" w:space="0"/>
      </w:tblBorders>
    </w:tblPr>
    <w:tcPr>
      <w:tcBorders/>
    </w:tcPr>
    <w:tblStylePr w:type="band1Horz">
      <w:rPr>
        <w:sz w:val="22"/>
      </w:rPr>
      <w:pPr>
        <w:pBdr/>
        <w:spacing/>
        <w:ind/>
      </w:pPr>
      <w:tblPr>
        <w:tblBorders/>
      </w:tblPr>
      <w:tcPr>
        <w:shd w:val="clear" w:color="dfd8e7" w:fill="dfd8e7"/>
        <w:tcBorders/>
      </w:tcPr>
    </w:tblStylePr>
    <w:tblStylePr w:type="band1Vert">
      <w:pPr>
        <w:pBdr/>
        <w:spacing/>
        <w:ind/>
      </w:pPr>
      <w:tblPr>
        <w:tblBorders/>
      </w:tblPr>
      <w:tcPr>
        <w:shd w:val="clear" w:color="dfd8e7" w:fill="dfd8e7"/>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b2a1c6" w:sz="4" w:space="0"/>
        </w:tcBorders>
      </w:tcPr>
    </w:tblStylePr>
    <w:tblStylePr w:type="firstRow">
      <w:rPr>
        <w:i/>
        <w:sz w:val="22"/>
      </w:rPr>
      <w:pPr>
        <w:pBdr/>
        <w:spacing/>
        <w:ind/>
      </w:pPr>
      <w:tblPr>
        <w:tblBorders/>
      </w:tblPr>
      <w:tcPr>
        <w:shd w:val="clear" w:color="ffffff" w:fill="ffffff"/>
        <w:tcBorders>
          <w:top w:val="none" w:color="000000" w:sz="0" w:space="0"/>
          <w:left w:val="none" w:color="000000" w:sz="0" w:space="0"/>
          <w:bottom w:val="single" w:color="b2a1c6"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b2a1c6" w:sz="4" w:space="0"/>
          <w:bottom w:val="none" w:color="000000" w:sz="0" w:space="0"/>
          <w:right w:val="none" w:color="000000" w:sz="0" w:space="0"/>
        </w:tcBorders>
      </w:tcPr>
    </w:tblStylePr>
    <w:tblStylePr w:type="lastRow">
      <w:rPr>
        <w:i/>
        <w:sz w:val="22"/>
      </w:rPr>
      <w:pPr>
        <w:pBdr/>
        <w:spacing/>
        <w:ind/>
      </w:pPr>
      <w:tblPr>
        <w:tblBorders/>
      </w:tblPr>
      <w:tcPr>
        <w:shd w:val="clear" w:color="ffffff" w:fill="ffffff"/>
        <w:tcBorders>
          <w:top w:val="single" w:color="b2a1c6"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6" w:customStyle="1">
    <w:name w:val="List Table 7 Colorful - Accent 5"/>
    <w:basedOn w:val="875"/>
    <w:uiPriority w:val="99"/>
    <w:pPr>
      <w:pBdr/>
      <w:spacing/>
      <w:ind/>
    </w:pPr>
    <w:tblPr>
      <w:tblStyleRowBandSize w:val="1"/>
      <w:tblStyleColBandSize w:val="1"/>
      <w:tblInd w:w="0" w:type="dxa"/>
      <w:tblCellMar>
        <w:left w:w="108" w:type="dxa"/>
        <w:top w:w="0" w:type="dxa"/>
        <w:right w:w="108" w:type="dxa"/>
        <w:bottom w:w="0" w:type="dxa"/>
      </w:tblCellMar>
      <w:tblBorders>
        <w:right w:val="single" w:color="92ccdc" w:sz="4" w:space="0"/>
      </w:tblBorders>
    </w:tblPr>
    <w:tcPr>
      <w:tcBorders/>
    </w:tcPr>
    <w:tblStylePr w:type="band1Horz">
      <w:rPr>
        <w:sz w:val="22"/>
      </w:rPr>
      <w:pPr>
        <w:pBdr/>
        <w:spacing/>
        <w:ind/>
      </w:pPr>
      <w:tblPr>
        <w:tblBorders/>
      </w:tblPr>
      <w:tcPr>
        <w:shd w:val="clear" w:color="d1eaf0" w:fill="d1eaf0"/>
        <w:tcBorders/>
      </w:tcPr>
    </w:tblStylePr>
    <w:tblStylePr w:type="band1Vert">
      <w:pPr>
        <w:pBdr/>
        <w:spacing/>
        <w:ind/>
      </w:pPr>
      <w:tblPr>
        <w:tblBorders/>
      </w:tblPr>
      <w:tcPr>
        <w:shd w:val="clear" w:color="d1eaf0" w:fill="d1eaf0"/>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92ccdc" w:sz="4" w:space="0"/>
        </w:tcBorders>
      </w:tcPr>
    </w:tblStylePr>
    <w:tblStylePr w:type="firstRow">
      <w:rPr>
        <w:i/>
        <w:sz w:val="22"/>
      </w:rPr>
      <w:pPr>
        <w:pBdr/>
        <w:spacing/>
        <w:ind/>
      </w:pPr>
      <w:tblPr>
        <w:tblBorders/>
      </w:tblPr>
      <w:tcPr>
        <w:shd w:val="clear" w:color="ffffff" w:fill="ffffff"/>
        <w:tcBorders>
          <w:top w:val="none" w:color="000000" w:sz="0" w:space="0"/>
          <w:left w:val="none" w:color="000000" w:sz="0" w:space="0"/>
          <w:bottom w:val="single" w:color="92ccdc"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92ccdc" w:sz="4" w:space="0"/>
          <w:bottom w:val="none" w:color="000000" w:sz="0" w:space="0"/>
          <w:right w:val="none" w:color="000000" w:sz="0" w:space="0"/>
        </w:tcBorders>
      </w:tcPr>
    </w:tblStylePr>
    <w:tblStylePr w:type="lastRow">
      <w:rPr>
        <w:i/>
        <w:sz w:val="22"/>
      </w:rPr>
      <w:pPr>
        <w:pBdr/>
        <w:spacing/>
        <w:ind/>
      </w:pPr>
      <w:tblPr>
        <w:tblBorders/>
      </w:tblPr>
      <w:tcPr>
        <w:shd w:val="clear" w:color="ffffff" w:fill="ffffff"/>
        <w:tcBorders>
          <w:top w:val="single" w:color="92ccdc"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7" w:customStyle="1">
    <w:name w:val="List Table 7 Colorful - Accent 6"/>
    <w:basedOn w:val="875"/>
    <w:uiPriority w:val="99"/>
    <w:pPr>
      <w:pBdr/>
      <w:spacing/>
      <w:ind/>
    </w:pPr>
    <w:tblPr>
      <w:tblStyleRowBandSize w:val="1"/>
      <w:tblStyleColBandSize w:val="1"/>
      <w:tblInd w:w="0" w:type="dxa"/>
      <w:tblCellMar>
        <w:left w:w="108" w:type="dxa"/>
        <w:top w:w="0" w:type="dxa"/>
        <w:right w:w="108" w:type="dxa"/>
        <w:bottom w:w="0" w:type="dxa"/>
      </w:tblCellMar>
      <w:tblBorders>
        <w:right w:val="single" w:color="fac090" w:sz="4" w:space="0"/>
      </w:tblBorders>
    </w:tblPr>
    <w:tcPr>
      <w:tcBorders/>
    </w:tcPr>
    <w:tblStylePr w:type="band1Horz">
      <w:rPr>
        <w:sz w:val="22"/>
      </w:rPr>
      <w:pPr>
        <w:pBdr/>
        <w:spacing/>
        <w:ind/>
      </w:pPr>
      <w:tblPr>
        <w:tblBorders/>
      </w:tblPr>
      <w:tcPr>
        <w:shd w:val="clear" w:color="fde4d0" w:fill="fde4d0"/>
        <w:tcBorders/>
      </w:tcPr>
    </w:tblStylePr>
    <w:tblStylePr w:type="band1Vert">
      <w:pPr>
        <w:pBdr/>
        <w:spacing/>
        <w:ind/>
      </w:pPr>
      <w:tblPr>
        <w:tblBorders/>
      </w:tblPr>
      <w:tcPr>
        <w:shd w:val="clear" w:color="fde4d0" w:fill="fde4d0"/>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ac090" w:sz="4" w:space="0"/>
        </w:tcBorders>
      </w:tcPr>
    </w:tblStylePr>
    <w:tblStylePr w:type="firstRow">
      <w:rPr>
        <w:i/>
        <w:sz w:val="22"/>
      </w:rPr>
      <w:pPr>
        <w:pBdr/>
        <w:spacing/>
        <w:ind/>
      </w:pPr>
      <w:tblPr>
        <w:tblBorders/>
      </w:tblPr>
      <w:tcPr>
        <w:shd w:val="clear" w:color="ffffff" w:fill="ffffff"/>
        <w:tcBorders>
          <w:top w:val="none" w:color="000000" w:sz="0" w:space="0"/>
          <w:left w:val="none" w:color="000000" w:sz="0" w:space="0"/>
          <w:bottom w:val="single" w:color="fac090"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fac090" w:sz="4" w:space="0"/>
          <w:bottom w:val="none" w:color="000000" w:sz="0" w:space="0"/>
          <w:right w:val="none" w:color="000000" w:sz="0" w:space="0"/>
        </w:tcBorders>
      </w:tcPr>
    </w:tblStylePr>
    <w:tblStylePr w:type="lastRow">
      <w:rPr>
        <w:i/>
        <w:sz w:val="22"/>
      </w:rPr>
      <w:pPr>
        <w:pBdr/>
        <w:spacing/>
        <w:ind/>
      </w:pPr>
      <w:tblPr>
        <w:tblBorders/>
      </w:tblPr>
      <w:tcPr>
        <w:shd w:val="clear" w:color="ffffff" w:fill="ffffff"/>
        <w:tcBorders>
          <w:top w:val="single" w:color="fac09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8" w:customStyle="1">
    <w:name w:val="Lined - Accent"/>
    <w:basedOn w:val="875"/>
    <w:uiPriority w:val="99"/>
    <w:pPr>
      <w:pBdr/>
      <w:spacing/>
      <w:ind/>
    </w:pPr>
    <w:tblPr>
      <w:tblStyleRowBandSize w:val="1"/>
      <w:tblStyleColBandSize w:val="1"/>
      <w:tblInd w:w="0" w:type="dxa"/>
      <w:tblCellMar>
        <w:left w:w="108" w:type="dxa"/>
        <w:top w:w="0" w:type="dxa"/>
        <w:right w:w="108" w:type="dxa"/>
        <w:bottom w:w="0" w:type="dxa"/>
      </w:tblCellMar>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2f2f2" w:fill="f2f2f2"/>
        <w:tcBorders/>
      </w:tcPr>
    </w:tblStylePr>
    <w:tblStylePr w:type="band2Vert">
      <w:rPr>
        <w:sz w:val="22"/>
      </w:rPr>
      <w:pPr>
        <w:pBdr/>
        <w:spacing/>
        <w:ind/>
      </w:pPr>
      <w:tblPr>
        <w:tblBorders/>
      </w:tblPr>
      <w:tcPr>
        <w:shd w:val="clear" w:color="f2f2f2" w:fill="f2f2f2"/>
        <w:tcBorders/>
      </w:tcPr>
    </w:tblStylePr>
    <w:tblStylePr w:type="firstCol">
      <w:rPr>
        <w:sz w:val="22"/>
      </w:rPr>
      <w:pPr>
        <w:pBdr/>
        <w:spacing/>
        <w:ind/>
      </w:pPr>
      <w:tblPr>
        <w:tblBorders/>
      </w:tblPr>
      <w:tcPr>
        <w:shd w:val="clear" w:color="7f7f7f" w:fill="7f7f7f"/>
        <w:tcBorders/>
      </w:tcPr>
    </w:tblStylePr>
    <w:tblStylePr w:type="firstRow">
      <w:rPr>
        <w:sz w:val="22"/>
      </w:rPr>
      <w:pPr>
        <w:pBdr/>
        <w:spacing/>
        <w:ind/>
      </w:pPr>
      <w:tblPr>
        <w:tblBorders/>
      </w:tblPr>
      <w:tcPr>
        <w:shd w:val="clear" w:color="7f7f7f" w:fill="7f7f7f"/>
        <w:tcBorders/>
      </w:tcPr>
    </w:tblStylePr>
    <w:tblStylePr w:type="lastCol">
      <w:rPr>
        <w:sz w:val="22"/>
      </w:rPr>
      <w:pPr>
        <w:pBdr/>
        <w:spacing/>
        <w:ind/>
      </w:pPr>
      <w:tblPr>
        <w:tblBorders/>
      </w:tblPr>
      <w:tcPr>
        <w:shd w:val="clear" w:color="7f7f7f" w:fill="7f7f7f"/>
        <w:tcBorders/>
      </w:tcPr>
    </w:tblStylePr>
    <w:tblStylePr w:type="lastRow">
      <w:rPr>
        <w:sz w:val="22"/>
      </w:rPr>
      <w:pPr>
        <w:pBdr/>
        <w:spacing/>
        <w:ind/>
      </w:pPr>
      <w:tblPr>
        <w:tblBorders/>
      </w:tblPr>
      <w:tcPr>
        <w:shd w:val="clear" w:color="7f7f7f" w:fill="7f7f7f"/>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9" w:customStyle="1">
    <w:name w:val="Lined - Accent 1"/>
    <w:basedOn w:val="875"/>
    <w:uiPriority w:val="99"/>
    <w:pPr>
      <w:pBdr/>
      <w:spacing/>
      <w:ind/>
    </w:pPr>
    <w:tblPr>
      <w:tblStyleRowBandSize w:val="1"/>
      <w:tblStyleColBandSize w:val="1"/>
      <w:tblInd w:w="0" w:type="dxa"/>
      <w:tblCellMar>
        <w:left w:w="108" w:type="dxa"/>
        <w:top w:w="0" w:type="dxa"/>
        <w:right w:w="108" w:type="dxa"/>
        <w:bottom w:w="0" w:type="dxa"/>
      </w:tblCellMar>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c7d7ea" w:fill="c7d7ea"/>
        <w:tcBorders/>
      </w:tcPr>
    </w:tblStylePr>
    <w:tblStylePr w:type="band2Vert">
      <w:rPr>
        <w:sz w:val="22"/>
      </w:rPr>
      <w:pPr>
        <w:pBdr/>
        <w:spacing/>
        <w:ind/>
      </w:pPr>
      <w:tblPr>
        <w:tblBorders/>
      </w:tblPr>
      <w:tcPr>
        <w:shd w:val="clear" w:color="c7d7ea" w:fill="c7d7ea"/>
        <w:tcBorders/>
      </w:tcPr>
    </w:tblStylePr>
    <w:tblStylePr w:type="firstCol">
      <w:rPr>
        <w:sz w:val="22"/>
      </w:rPr>
      <w:pPr>
        <w:pBdr/>
        <w:spacing/>
        <w:ind/>
      </w:pPr>
      <w:tblPr>
        <w:tblBorders/>
      </w:tblPr>
      <w:tcPr>
        <w:shd w:val="clear" w:color="5d8ac2" w:fill="5d8ac2"/>
        <w:tcBorders/>
      </w:tcPr>
    </w:tblStylePr>
    <w:tblStylePr w:type="firstRow">
      <w:rPr>
        <w:sz w:val="22"/>
      </w:rPr>
      <w:pPr>
        <w:pBdr/>
        <w:spacing/>
        <w:ind/>
      </w:pPr>
      <w:tblPr>
        <w:tblBorders/>
      </w:tblPr>
      <w:tcPr>
        <w:shd w:val="clear" w:color="5d8ac2" w:fill="5d8ac2"/>
        <w:tcBorders/>
      </w:tcPr>
    </w:tblStylePr>
    <w:tblStylePr w:type="lastCol">
      <w:rPr>
        <w:sz w:val="22"/>
      </w:rPr>
      <w:pPr>
        <w:pBdr/>
        <w:spacing/>
        <w:ind/>
      </w:pPr>
      <w:tblPr>
        <w:tblBorders/>
      </w:tblPr>
      <w:tcPr>
        <w:shd w:val="clear" w:color="5d8ac2" w:fill="5d8ac2"/>
        <w:tcBorders/>
      </w:tcPr>
    </w:tblStylePr>
    <w:tblStylePr w:type="lastRow">
      <w:rPr>
        <w:sz w:val="22"/>
      </w:rPr>
      <w:pPr>
        <w:pBdr/>
        <w:spacing/>
        <w:ind/>
      </w:pPr>
      <w:tblPr>
        <w:tblBorders/>
      </w:tblPr>
      <w:tcPr>
        <w:shd w:val="clear" w:color="5d8ac2" w:fill="5d8ac2"/>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0" w:customStyle="1">
    <w:name w:val="Lined - Accent 2"/>
    <w:basedOn w:val="875"/>
    <w:uiPriority w:val="99"/>
    <w:pPr>
      <w:pBdr/>
      <w:spacing/>
      <w:ind/>
    </w:pPr>
    <w:tblPr>
      <w:tblStyleRowBandSize w:val="1"/>
      <w:tblStyleColBandSize w:val="1"/>
      <w:tblInd w:w="0" w:type="dxa"/>
      <w:tblCellMar>
        <w:left w:w="108" w:type="dxa"/>
        <w:top w:w="0" w:type="dxa"/>
        <w:right w:w="108" w:type="dxa"/>
        <w:bottom w:w="0" w:type="dxa"/>
      </w:tblCellMar>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2dcdc" w:fill="f2dcdc"/>
        <w:tcBorders/>
      </w:tcPr>
    </w:tblStylePr>
    <w:tblStylePr w:type="band2Vert">
      <w:rPr>
        <w:sz w:val="22"/>
      </w:rPr>
      <w:pPr>
        <w:pBdr/>
        <w:spacing/>
        <w:ind/>
      </w:pPr>
      <w:tblPr>
        <w:tblBorders/>
      </w:tblPr>
      <w:tcPr>
        <w:shd w:val="clear" w:color="f2dcdc" w:fill="f2dcdc"/>
        <w:tcBorders/>
      </w:tcPr>
    </w:tblStylePr>
    <w:tblStylePr w:type="firstCol">
      <w:rPr>
        <w:sz w:val="22"/>
      </w:rPr>
      <w:pPr>
        <w:pBdr/>
        <w:spacing/>
        <w:ind/>
      </w:pPr>
      <w:tblPr>
        <w:tblBorders/>
      </w:tblPr>
      <w:tcPr>
        <w:shd w:val="clear" w:color="d99695" w:fill="d99695"/>
        <w:tcBorders/>
      </w:tcPr>
    </w:tblStylePr>
    <w:tblStylePr w:type="firstRow">
      <w:rPr>
        <w:sz w:val="22"/>
      </w:rPr>
      <w:pPr>
        <w:pBdr/>
        <w:spacing/>
        <w:ind/>
      </w:pPr>
      <w:tblPr>
        <w:tblBorders/>
      </w:tblPr>
      <w:tcPr>
        <w:shd w:val="clear" w:color="d99695" w:fill="d99695"/>
        <w:tcBorders/>
      </w:tcPr>
    </w:tblStylePr>
    <w:tblStylePr w:type="lastCol">
      <w:rPr>
        <w:sz w:val="22"/>
      </w:rPr>
      <w:pPr>
        <w:pBdr/>
        <w:spacing/>
        <w:ind/>
      </w:pPr>
      <w:tblPr>
        <w:tblBorders/>
      </w:tblPr>
      <w:tcPr>
        <w:shd w:val="clear" w:color="d99695" w:fill="d99695"/>
        <w:tcBorders/>
      </w:tcPr>
    </w:tblStylePr>
    <w:tblStylePr w:type="lastRow">
      <w:rPr>
        <w:sz w:val="22"/>
      </w:rPr>
      <w:pPr>
        <w:pBdr/>
        <w:spacing/>
        <w:ind/>
      </w:pPr>
      <w:tblPr>
        <w:tblBorders/>
      </w:tblPr>
      <w:tcPr>
        <w:shd w:val="clear" w:color="d99695" w:fill="d9969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1" w:customStyle="1">
    <w:name w:val="Lined - Accent 3"/>
    <w:basedOn w:val="875"/>
    <w:uiPriority w:val="99"/>
    <w:pPr>
      <w:pBdr/>
      <w:spacing/>
      <w:ind/>
    </w:pPr>
    <w:tblPr>
      <w:tblStyleRowBandSize w:val="1"/>
      <w:tblStyleColBandSize w:val="1"/>
      <w:tblInd w:w="0" w:type="dxa"/>
      <w:tblCellMar>
        <w:left w:w="108" w:type="dxa"/>
        <w:top w:w="0" w:type="dxa"/>
        <w:right w:w="108" w:type="dxa"/>
        <w:bottom w:w="0" w:type="dxa"/>
      </w:tblCellMar>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eaf1dc" w:fill="eaf1dc"/>
        <w:tcBorders/>
      </w:tcPr>
    </w:tblStylePr>
    <w:tblStylePr w:type="band2Vert">
      <w:rPr>
        <w:sz w:val="22"/>
      </w:rPr>
      <w:pPr>
        <w:pBdr/>
        <w:spacing/>
        <w:ind/>
      </w:pPr>
      <w:tblPr>
        <w:tblBorders/>
      </w:tblPr>
      <w:tcPr>
        <w:shd w:val="clear" w:color="eaf1dc" w:fill="eaf1dc"/>
        <w:tcBorders/>
      </w:tcPr>
    </w:tblStylePr>
    <w:tblStylePr w:type="firstCol">
      <w:rPr>
        <w:sz w:val="22"/>
      </w:rPr>
      <w:pPr>
        <w:pBdr/>
        <w:spacing/>
        <w:ind/>
      </w:pPr>
      <w:tblPr>
        <w:tblBorders/>
      </w:tblPr>
      <w:tcPr>
        <w:shd w:val="clear" w:color="9abb59" w:fill="9abb59"/>
        <w:tcBorders/>
      </w:tcPr>
    </w:tblStylePr>
    <w:tblStylePr w:type="firstRow">
      <w:rPr>
        <w:sz w:val="22"/>
      </w:rPr>
      <w:pPr>
        <w:pBdr/>
        <w:spacing/>
        <w:ind/>
      </w:pPr>
      <w:tblPr>
        <w:tblBorders/>
      </w:tblPr>
      <w:tcPr>
        <w:shd w:val="clear" w:color="9abb59" w:fill="9abb59"/>
        <w:tcBorders/>
      </w:tcPr>
    </w:tblStylePr>
    <w:tblStylePr w:type="lastCol">
      <w:rPr>
        <w:sz w:val="22"/>
      </w:rPr>
      <w:pPr>
        <w:pBdr/>
        <w:spacing/>
        <w:ind/>
      </w:pPr>
      <w:tblPr>
        <w:tblBorders/>
      </w:tblPr>
      <w:tcPr>
        <w:shd w:val="clear" w:color="9abb59" w:fill="9abb59"/>
        <w:tcBorders/>
      </w:tcPr>
    </w:tblStylePr>
    <w:tblStylePr w:type="lastRow">
      <w:rPr>
        <w:sz w:val="22"/>
      </w:rPr>
      <w:pPr>
        <w:pBdr/>
        <w:spacing/>
        <w:ind/>
      </w:pPr>
      <w:tblPr>
        <w:tblBorders/>
      </w:tblPr>
      <w:tcPr>
        <w:shd w:val="clear" w:color="9abb59" w:fill="9abb59"/>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2" w:customStyle="1">
    <w:name w:val="Lined - Accent 4"/>
    <w:basedOn w:val="875"/>
    <w:uiPriority w:val="99"/>
    <w:pPr>
      <w:pBdr/>
      <w:spacing/>
      <w:ind/>
    </w:pPr>
    <w:tblPr>
      <w:tblStyleRowBandSize w:val="1"/>
      <w:tblStyleColBandSize w:val="1"/>
      <w:tblInd w:w="0" w:type="dxa"/>
      <w:tblCellMar>
        <w:left w:w="108" w:type="dxa"/>
        <w:top w:w="0" w:type="dxa"/>
        <w:right w:w="108" w:type="dxa"/>
        <w:bottom w:w="0" w:type="dxa"/>
      </w:tblCellMar>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e5dfec" w:fill="e5dfec"/>
        <w:tcBorders/>
      </w:tcPr>
    </w:tblStylePr>
    <w:tblStylePr w:type="band2Vert">
      <w:rPr>
        <w:sz w:val="22"/>
      </w:rPr>
      <w:pPr>
        <w:pBdr/>
        <w:spacing/>
        <w:ind/>
      </w:pPr>
      <w:tblPr>
        <w:tblBorders/>
      </w:tblPr>
      <w:tcPr>
        <w:shd w:val="clear" w:color="e5dfec" w:fill="e5dfec"/>
        <w:tcBorders/>
      </w:tcPr>
    </w:tblStylePr>
    <w:tblStylePr w:type="firstCol">
      <w:rPr>
        <w:sz w:val="22"/>
      </w:rPr>
      <w:pPr>
        <w:pBdr/>
        <w:spacing/>
        <w:ind/>
      </w:pPr>
      <w:tblPr>
        <w:tblBorders/>
      </w:tblPr>
      <w:tcPr>
        <w:shd w:val="clear" w:color="b2a1c6" w:fill="b2a1c6"/>
        <w:tcBorders/>
      </w:tcPr>
    </w:tblStylePr>
    <w:tblStylePr w:type="firstRow">
      <w:rPr>
        <w:sz w:val="22"/>
      </w:rPr>
      <w:pPr>
        <w:pBdr/>
        <w:spacing/>
        <w:ind/>
      </w:pPr>
      <w:tblPr>
        <w:tblBorders/>
      </w:tblPr>
      <w:tcPr>
        <w:shd w:val="clear" w:color="b2a1c6" w:fill="b2a1c6"/>
        <w:tcBorders/>
      </w:tcPr>
    </w:tblStylePr>
    <w:tblStylePr w:type="lastCol">
      <w:rPr>
        <w:sz w:val="22"/>
      </w:rPr>
      <w:pPr>
        <w:pBdr/>
        <w:spacing/>
        <w:ind/>
      </w:pPr>
      <w:tblPr>
        <w:tblBorders/>
      </w:tblPr>
      <w:tcPr>
        <w:shd w:val="clear" w:color="b2a1c6" w:fill="b2a1c6"/>
        <w:tcBorders/>
      </w:tcPr>
    </w:tblStylePr>
    <w:tblStylePr w:type="lastRow">
      <w:rPr>
        <w:sz w:val="22"/>
      </w:rPr>
      <w:pPr>
        <w:pBdr/>
        <w:spacing/>
        <w:ind/>
      </w:pPr>
      <w:tblPr>
        <w:tblBorders/>
      </w:tblPr>
      <w:tcPr>
        <w:shd w:val="clear" w:color="b2a1c6" w:fill="b2a1c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3" w:customStyle="1">
    <w:name w:val="Lined - Accent 5"/>
    <w:basedOn w:val="875"/>
    <w:uiPriority w:val="99"/>
    <w:pPr>
      <w:pBdr/>
      <w:spacing/>
      <w:ind/>
    </w:pPr>
    <w:tblPr>
      <w:tblStyleRowBandSize w:val="1"/>
      <w:tblStyleColBandSize w:val="1"/>
      <w:tblInd w:w="0" w:type="dxa"/>
      <w:tblCellMar>
        <w:left w:w="108" w:type="dxa"/>
        <w:top w:w="0" w:type="dxa"/>
        <w:right w:w="108" w:type="dxa"/>
        <w:bottom w:w="0" w:type="dxa"/>
      </w:tblCellMar>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daeef3" w:fill="daeef3"/>
        <w:tcBorders/>
      </w:tcPr>
    </w:tblStylePr>
    <w:tblStylePr w:type="band2Vert">
      <w:rPr>
        <w:sz w:val="22"/>
      </w:rPr>
      <w:pPr>
        <w:pBdr/>
        <w:spacing/>
        <w:ind/>
      </w:pPr>
      <w:tblPr>
        <w:tblBorders/>
      </w:tblPr>
      <w:tcPr>
        <w:shd w:val="clear" w:color="daeef3" w:fill="daeef3"/>
        <w:tcBorders/>
      </w:tcPr>
    </w:tblStylePr>
    <w:tblStylePr w:type="firstCol">
      <w:rPr>
        <w:sz w:val="22"/>
      </w:rPr>
      <w:pPr>
        <w:pBdr/>
        <w:spacing/>
        <w:ind/>
      </w:pPr>
      <w:tblPr>
        <w:tblBorders/>
      </w:tblPr>
      <w:tcPr>
        <w:shd w:val="clear" w:color="4bacc6" w:fill="4bacc6"/>
        <w:tcBorders/>
      </w:tcPr>
    </w:tblStylePr>
    <w:tblStylePr w:type="firstRow">
      <w:rPr>
        <w:sz w:val="22"/>
      </w:rPr>
      <w:pPr>
        <w:pBdr/>
        <w:spacing/>
        <w:ind/>
      </w:pPr>
      <w:tblPr>
        <w:tblBorders/>
      </w:tblPr>
      <w:tcPr>
        <w:shd w:val="clear" w:color="4bacc6" w:fill="4bacc6"/>
        <w:tcBorders/>
      </w:tcPr>
    </w:tblStylePr>
    <w:tblStylePr w:type="lastCol">
      <w:rPr>
        <w:sz w:val="22"/>
      </w:rPr>
      <w:pPr>
        <w:pBdr/>
        <w:spacing/>
        <w:ind/>
      </w:pPr>
      <w:tblPr>
        <w:tblBorders/>
      </w:tblPr>
      <w:tcPr>
        <w:shd w:val="clear" w:color="4bacc6" w:fill="4bacc6"/>
        <w:tcBorders/>
      </w:tcPr>
    </w:tblStylePr>
    <w:tblStylePr w:type="lastRow">
      <w:rPr>
        <w:sz w:val="22"/>
      </w:rPr>
      <w:pPr>
        <w:pBdr/>
        <w:spacing/>
        <w:ind/>
      </w:pPr>
      <w:tblPr>
        <w:tblBorders/>
      </w:tblPr>
      <w:tcPr>
        <w:shd w:val="clear" w:color="4bacc6" w:fill="4bacc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4" w:customStyle="1">
    <w:name w:val="Lined - Accent 6"/>
    <w:basedOn w:val="875"/>
    <w:uiPriority w:val="99"/>
    <w:pPr>
      <w:pBdr/>
      <w:spacing/>
      <w:ind/>
    </w:pPr>
    <w:tblPr>
      <w:tblStyleRowBandSize w:val="1"/>
      <w:tblStyleColBandSize w:val="1"/>
      <w:tblInd w:w="0" w:type="dxa"/>
      <w:tblCellMar>
        <w:left w:w="108" w:type="dxa"/>
        <w:top w:w="0" w:type="dxa"/>
        <w:right w:w="108" w:type="dxa"/>
        <w:bottom w:w="0" w:type="dxa"/>
      </w:tblCellMar>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de9d8" w:fill="fde9d8"/>
        <w:tcBorders/>
      </w:tcPr>
    </w:tblStylePr>
    <w:tblStylePr w:type="band2Vert">
      <w:rPr>
        <w:sz w:val="22"/>
      </w:rPr>
      <w:pPr>
        <w:pBdr/>
        <w:spacing/>
        <w:ind/>
      </w:pPr>
      <w:tblPr>
        <w:tblBorders/>
      </w:tblPr>
      <w:tcPr>
        <w:shd w:val="clear" w:color="fde9d8" w:fill="fde9d8"/>
        <w:tcBorders/>
      </w:tcPr>
    </w:tblStylePr>
    <w:tblStylePr w:type="firstCol">
      <w:rPr>
        <w:sz w:val="22"/>
      </w:rPr>
      <w:pPr>
        <w:pBdr/>
        <w:spacing/>
        <w:ind/>
      </w:pPr>
      <w:tblPr>
        <w:tblBorders/>
      </w:tblPr>
      <w:tcPr>
        <w:shd w:val="clear" w:color="f79646" w:fill="f79646"/>
        <w:tcBorders/>
      </w:tcPr>
    </w:tblStylePr>
    <w:tblStylePr w:type="firstRow">
      <w:rPr>
        <w:sz w:val="22"/>
      </w:rPr>
      <w:pPr>
        <w:pBdr/>
        <w:spacing/>
        <w:ind/>
      </w:pPr>
      <w:tblPr>
        <w:tblBorders/>
      </w:tblPr>
      <w:tcPr>
        <w:shd w:val="clear" w:color="f79646" w:fill="f79646"/>
        <w:tcBorders/>
      </w:tcPr>
    </w:tblStylePr>
    <w:tblStylePr w:type="lastCol">
      <w:rPr>
        <w:sz w:val="22"/>
      </w:rPr>
      <w:pPr>
        <w:pBdr/>
        <w:spacing/>
        <w:ind/>
      </w:pPr>
      <w:tblPr>
        <w:tblBorders/>
      </w:tblPr>
      <w:tcPr>
        <w:shd w:val="clear" w:color="f79646" w:fill="f79646"/>
        <w:tcBorders/>
      </w:tcPr>
    </w:tblStylePr>
    <w:tblStylePr w:type="lastRow">
      <w:rPr>
        <w:sz w:val="22"/>
      </w:rPr>
      <w:pPr>
        <w:pBdr/>
        <w:spacing/>
        <w:ind/>
      </w:pPr>
      <w:tblPr>
        <w:tblBorders/>
      </w:tblPr>
      <w:tcPr>
        <w:shd w:val="clear" w:color="f79646" w:fill="f7964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5" w:customStyle="1">
    <w:name w:val="Bordered &amp; Lined - Accent"/>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2f2f2" w:fill="f2f2f2"/>
        <w:tcBorders/>
      </w:tcPr>
    </w:tblStylePr>
    <w:tblStylePr w:type="band2Vert">
      <w:rPr>
        <w:sz w:val="22"/>
      </w:rPr>
      <w:pPr>
        <w:pBdr/>
        <w:spacing/>
        <w:ind/>
      </w:pPr>
      <w:tblPr>
        <w:tblBorders/>
      </w:tblPr>
      <w:tcPr>
        <w:shd w:val="clear" w:color="f2f2f2" w:fill="f2f2f2"/>
        <w:tcBorders/>
      </w:tcPr>
    </w:tblStylePr>
    <w:tblStylePr w:type="firstCol">
      <w:rPr>
        <w:sz w:val="22"/>
      </w:rPr>
      <w:pPr>
        <w:pBdr/>
        <w:spacing/>
        <w:ind/>
      </w:pPr>
      <w:tblPr>
        <w:tblBorders/>
      </w:tblPr>
      <w:tcPr>
        <w:shd w:val="clear" w:color="7f7f7f" w:fill="7f7f7f"/>
        <w:tcBorders/>
      </w:tcPr>
    </w:tblStylePr>
    <w:tblStylePr w:type="firstRow">
      <w:rPr>
        <w:sz w:val="22"/>
      </w:rPr>
      <w:pPr>
        <w:pBdr/>
        <w:spacing/>
        <w:ind/>
      </w:pPr>
      <w:tblPr>
        <w:tblBorders/>
      </w:tblPr>
      <w:tcPr>
        <w:shd w:val="clear" w:color="7f7f7f" w:fill="7f7f7f"/>
        <w:tcBorders/>
      </w:tcPr>
    </w:tblStylePr>
    <w:tblStylePr w:type="lastCol">
      <w:rPr>
        <w:sz w:val="22"/>
      </w:rPr>
      <w:pPr>
        <w:pBdr/>
        <w:spacing/>
        <w:ind/>
      </w:pPr>
      <w:tblPr>
        <w:tblBorders/>
      </w:tblPr>
      <w:tcPr>
        <w:shd w:val="clear" w:color="7f7f7f" w:fill="7f7f7f"/>
        <w:tcBorders/>
      </w:tcPr>
    </w:tblStylePr>
    <w:tblStylePr w:type="lastRow">
      <w:rPr>
        <w:sz w:val="22"/>
      </w:rPr>
      <w:pPr>
        <w:pBdr/>
        <w:spacing/>
        <w:ind/>
      </w:pPr>
      <w:tblPr>
        <w:tblBorders/>
      </w:tblPr>
      <w:tcPr>
        <w:shd w:val="clear" w:color="7f7f7f" w:fill="7f7f7f"/>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6" w:customStyle="1">
    <w:name w:val="Bordered &amp; Lined - Accent 1"/>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c7d7ea" w:fill="c7d7ea"/>
        <w:tcBorders/>
      </w:tcPr>
    </w:tblStylePr>
    <w:tblStylePr w:type="band2Vert">
      <w:rPr>
        <w:sz w:val="22"/>
      </w:rPr>
      <w:pPr>
        <w:pBdr/>
        <w:spacing/>
        <w:ind/>
      </w:pPr>
      <w:tblPr>
        <w:tblBorders/>
      </w:tblPr>
      <w:tcPr>
        <w:shd w:val="clear" w:color="c7d7ea" w:fill="c7d7ea"/>
        <w:tcBorders/>
      </w:tcPr>
    </w:tblStylePr>
    <w:tblStylePr w:type="firstCol">
      <w:rPr>
        <w:sz w:val="22"/>
      </w:rPr>
      <w:pPr>
        <w:pBdr/>
        <w:spacing/>
        <w:ind/>
      </w:pPr>
      <w:tblPr>
        <w:tblBorders/>
      </w:tblPr>
      <w:tcPr>
        <w:shd w:val="clear" w:color="5d8ac2" w:fill="5d8ac2"/>
        <w:tcBorders/>
      </w:tcPr>
    </w:tblStylePr>
    <w:tblStylePr w:type="firstRow">
      <w:rPr>
        <w:sz w:val="22"/>
      </w:rPr>
      <w:pPr>
        <w:pBdr/>
        <w:spacing/>
        <w:ind/>
      </w:pPr>
      <w:tblPr>
        <w:tblBorders/>
      </w:tblPr>
      <w:tcPr>
        <w:shd w:val="clear" w:color="5d8ac2" w:fill="5d8ac2"/>
        <w:tcBorders/>
      </w:tcPr>
    </w:tblStylePr>
    <w:tblStylePr w:type="lastCol">
      <w:rPr>
        <w:sz w:val="22"/>
      </w:rPr>
      <w:pPr>
        <w:pBdr/>
        <w:spacing/>
        <w:ind/>
      </w:pPr>
      <w:tblPr>
        <w:tblBorders/>
      </w:tblPr>
      <w:tcPr>
        <w:shd w:val="clear" w:color="5d8ac2" w:fill="5d8ac2"/>
        <w:tcBorders/>
      </w:tcPr>
    </w:tblStylePr>
    <w:tblStylePr w:type="lastRow">
      <w:rPr>
        <w:sz w:val="22"/>
      </w:rPr>
      <w:pPr>
        <w:pBdr/>
        <w:spacing/>
        <w:ind/>
      </w:pPr>
      <w:tblPr>
        <w:tblBorders/>
      </w:tblPr>
      <w:tcPr>
        <w:shd w:val="clear" w:color="5d8ac2" w:fill="5d8ac2"/>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7" w:customStyle="1">
    <w:name w:val="Bordered &amp; Lined - Accent 2"/>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2dcdc" w:fill="f2dcdc"/>
        <w:tcBorders/>
      </w:tcPr>
    </w:tblStylePr>
    <w:tblStylePr w:type="band2Vert">
      <w:rPr>
        <w:sz w:val="22"/>
      </w:rPr>
      <w:pPr>
        <w:pBdr/>
        <w:spacing/>
        <w:ind/>
      </w:pPr>
      <w:tblPr>
        <w:tblBorders/>
      </w:tblPr>
      <w:tcPr>
        <w:shd w:val="clear" w:color="f2dcdc" w:fill="f2dcdc"/>
        <w:tcBorders/>
      </w:tcPr>
    </w:tblStylePr>
    <w:tblStylePr w:type="firstCol">
      <w:rPr>
        <w:sz w:val="22"/>
      </w:rPr>
      <w:pPr>
        <w:pBdr/>
        <w:spacing/>
        <w:ind/>
      </w:pPr>
      <w:tblPr>
        <w:tblBorders/>
      </w:tblPr>
      <w:tcPr>
        <w:shd w:val="clear" w:color="d99695" w:fill="d99695"/>
        <w:tcBorders/>
      </w:tcPr>
    </w:tblStylePr>
    <w:tblStylePr w:type="firstRow">
      <w:rPr>
        <w:sz w:val="22"/>
      </w:rPr>
      <w:pPr>
        <w:pBdr/>
        <w:spacing/>
        <w:ind/>
      </w:pPr>
      <w:tblPr>
        <w:tblBorders/>
      </w:tblPr>
      <w:tcPr>
        <w:shd w:val="clear" w:color="d99695" w:fill="d99695"/>
        <w:tcBorders/>
      </w:tcPr>
    </w:tblStylePr>
    <w:tblStylePr w:type="lastCol">
      <w:rPr>
        <w:sz w:val="22"/>
      </w:rPr>
      <w:pPr>
        <w:pBdr/>
        <w:spacing/>
        <w:ind/>
      </w:pPr>
      <w:tblPr>
        <w:tblBorders/>
      </w:tblPr>
      <w:tcPr>
        <w:shd w:val="clear" w:color="d99695" w:fill="d99695"/>
        <w:tcBorders/>
      </w:tcPr>
    </w:tblStylePr>
    <w:tblStylePr w:type="lastRow">
      <w:rPr>
        <w:sz w:val="22"/>
      </w:rPr>
      <w:pPr>
        <w:pBdr/>
        <w:spacing/>
        <w:ind/>
      </w:pPr>
      <w:tblPr>
        <w:tblBorders/>
      </w:tblPr>
      <w:tcPr>
        <w:shd w:val="clear" w:color="d99695" w:fill="d9969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8" w:customStyle="1">
    <w:name w:val="Bordered &amp; Lined - Accent 3"/>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eaf1dc" w:fill="eaf1dc"/>
        <w:tcBorders/>
      </w:tcPr>
    </w:tblStylePr>
    <w:tblStylePr w:type="band2Vert">
      <w:rPr>
        <w:sz w:val="22"/>
      </w:rPr>
      <w:pPr>
        <w:pBdr/>
        <w:spacing/>
        <w:ind/>
      </w:pPr>
      <w:tblPr>
        <w:tblBorders/>
      </w:tblPr>
      <w:tcPr>
        <w:shd w:val="clear" w:color="eaf1dc" w:fill="eaf1dc"/>
        <w:tcBorders/>
      </w:tcPr>
    </w:tblStylePr>
    <w:tblStylePr w:type="firstCol">
      <w:rPr>
        <w:sz w:val="22"/>
      </w:rPr>
      <w:pPr>
        <w:pBdr/>
        <w:spacing/>
        <w:ind/>
      </w:pPr>
      <w:tblPr>
        <w:tblBorders/>
      </w:tblPr>
      <w:tcPr>
        <w:shd w:val="clear" w:color="9abb59" w:fill="9abb59"/>
        <w:tcBorders/>
      </w:tcPr>
    </w:tblStylePr>
    <w:tblStylePr w:type="firstRow">
      <w:rPr>
        <w:sz w:val="22"/>
      </w:rPr>
      <w:pPr>
        <w:pBdr/>
        <w:spacing/>
        <w:ind/>
      </w:pPr>
      <w:tblPr>
        <w:tblBorders/>
      </w:tblPr>
      <w:tcPr>
        <w:shd w:val="clear" w:color="9abb59" w:fill="9abb59"/>
        <w:tcBorders/>
      </w:tcPr>
    </w:tblStylePr>
    <w:tblStylePr w:type="lastCol">
      <w:rPr>
        <w:sz w:val="22"/>
      </w:rPr>
      <w:pPr>
        <w:pBdr/>
        <w:spacing/>
        <w:ind/>
      </w:pPr>
      <w:tblPr>
        <w:tblBorders/>
      </w:tblPr>
      <w:tcPr>
        <w:shd w:val="clear" w:color="9abb59" w:fill="9abb59"/>
        <w:tcBorders/>
      </w:tcPr>
    </w:tblStylePr>
    <w:tblStylePr w:type="lastRow">
      <w:rPr>
        <w:sz w:val="22"/>
      </w:rPr>
      <w:pPr>
        <w:pBdr/>
        <w:spacing/>
        <w:ind/>
      </w:pPr>
      <w:tblPr>
        <w:tblBorders/>
      </w:tblPr>
      <w:tcPr>
        <w:shd w:val="clear" w:color="9abb59" w:fill="9abb59"/>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9" w:customStyle="1">
    <w:name w:val="Bordered &amp; Lined - Accent 4"/>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e5dfec" w:fill="e5dfec"/>
        <w:tcBorders/>
      </w:tcPr>
    </w:tblStylePr>
    <w:tblStylePr w:type="band2Vert">
      <w:rPr>
        <w:sz w:val="22"/>
      </w:rPr>
      <w:pPr>
        <w:pBdr/>
        <w:spacing/>
        <w:ind/>
      </w:pPr>
      <w:tblPr>
        <w:tblBorders/>
      </w:tblPr>
      <w:tcPr>
        <w:shd w:val="clear" w:color="e5dfec" w:fill="e5dfec"/>
        <w:tcBorders/>
      </w:tcPr>
    </w:tblStylePr>
    <w:tblStylePr w:type="firstCol">
      <w:rPr>
        <w:sz w:val="22"/>
      </w:rPr>
      <w:pPr>
        <w:pBdr/>
        <w:spacing/>
        <w:ind/>
      </w:pPr>
      <w:tblPr>
        <w:tblBorders/>
      </w:tblPr>
      <w:tcPr>
        <w:shd w:val="clear" w:color="b2a1c6" w:fill="b2a1c6"/>
        <w:tcBorders/>
      </w:tcPr>
    </w:tblStylePr>
    <w:tblStylePr w:type="firstRow">
      <w:rPr>
        <w:sz w:val="22"/>
      </w:rPr>
      <w:pPr>
        <w:pBdr/>
        <w:spacing/>
        <w:ind/>
      </w:pPr>
      <w:tblPr>
        <w:tblBorders/>
      </w:tblPr>
      <w:tcPr>
        <w:shd w:val="clear" w:color="b2a1c6" w:fill="b2a1c6"/>
        <w:tcBorders/>
      </w:tcPr>
    </w:tblStylePr>
    <w:tblStylePr w:type="lastCol">
      <w:rPr>
        <w:sz w:val="22"/>
      </w:rPr>
      <w:pPr>
        <w:pBdr/>
        <w:spacing/>
        <w:ind/>
      </w:pPr>
      <w:tblPr>
        <w:tblBorders/>
      </w:tblPr>
      <w:tcPr>
        <w:shd w:val="clear" w:color="b2a1c6" w:fill="b2a1c6"/>
        <w:tcBorders/>
      </w:tcPr>
    </w:tblStylePr>
    <w:tblStylePr w:type="lastRow">
      <w:rPr>
        <w:sz w:val="22"/>
      </w:rPr>
      <w:pPr>
        <w:pBdr/>
        <w:spacing/>
        <w:ind/>
      </w:pPr>
      <w:tblPr>
        <w:tblBorders/>
      </w:tblPr>
      <w:tcPr>
        <w:shd w:val="clear" w:color="b2a1c6" w:fill="b2a1c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30" w:customStyle="1">
    <w:name w:val="Bordered &amp; Lined - Accent 5"/>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daeef3" w:fill="daeef3"/>
        <w:tcBorders/>
      </w:tcPr>
    </w:tblStylePr>
    <w:tblStylePr w:type="band2Vert">
      <w:rPr>
        <w:sz w:val="22"/>
      </w:rPr>
      <w:pPr>
        <w:pBdr/>
        <w:spacing/>
        <w:ind/>
      </w:pPr>
      <w:tblPr>
        <w:tblBorders/>
      </w:tblPr>
      <w:tcPr>
        <w:shd w:val="clear" w:color="daeef3" w:fill="daeef3"/>
        <w:tcBorders/>
      </w:tcPr>
    </w:tblStylePr>
    <w:tblStylePr w:type="firstCol">
      <w:rPr>
        <w:sz w:val="22"/>
      </w:rPr>
      <w:pPr>
        <w:pBdr/>
        <w:spacing/>
        <w:ind/>
      </w:pPr>
      <w:tblPr>
        <w:tblBorders/>
      </w:tblPr>
      <w:tcPr>
        <w:shd w:val="clear" w:color="4bacc6" w:fill="4bacc6"/>
        <w:tcBorders/>
      </w:tcPr>
    </w:tblStylePr>
    <w:tblStylePr w:type="firstRow">
      <w:rPr>
        <w:sz w:val="22"/>
      </w:rPr>
      <w:pPr>
        <w:pBdr/>
        <w:spacing/>
        <w:ind/>
      </w:pPr>
      <w:tblPr>
        <w:tblBorders/>
      </w:tblPr>
      <w:tcPr>
        <w:shd w:val="clear" w:color="4bacc6" w:fill="4bacc6"/>
        <w:tcBorders/>
      </w:tcPr>
    </w:tblStylePr>
    <w:tblStylePr w:type="lastCol">
      <w:rPr>
        <w:sz w:val="22"/>
      </w:rPr>
      <w:pPr>
        <w:pBdr/>
        <w:spacing/>
        <w:ind/>
      </w:pPr>
      <w:tblPr>
        <w:tblBorders/>
      </w:tblPr>
      <w:tcPr>
        <w:shd w:val="clear" w:color="4bacc6" w:fill="4bacc6"/>
        <w:tcBorders/>
      </w:tcPr>
    </w:tblStylePr>
    <w:tblStylePr w:type="lastRow">
      <w:rPr>
        <w:sz w:val="22"/>
      </w:rPr>
      <w:pPr>
        <w:pBdr/>
        <w:spacing/>
        <w:ind/>
      </w:pPr>
      <w:tblPr>
        <w:tblBorders/>
      </w:tblPr>
      <w:tcPr>
        <w:shd w:val="clear" w:color="4bacc6" w:fill="4bacc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31" w:customStyle="1">
    <w:name w:val="Bordered &amp; Lined - Accent 6"/>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de9d8" w:fill="fde9d8"/>
        <w:tcBorders/>
      </w:tcPr>
    </w:tblStylePr>
    <w:tblStylePr w:type="band2Vert">
      <w:rPr>
        <w:sz w:val="22"/>
      </w:rPr>
      <w:pPr>
        <w:pBdr/>
        <w:spacing/>
        <w:ind/>
      </w:pPr>
      <w:tblPr>
        <w:tblBorders/>
      </w:tblPr>
      <w:tcPr>
        <w:shd w:val="clear" w:color="fde9d8" w:fill="fde9d8"/>
        <w:tcBorders/>
      </w:tcPr>
    </w:tblStylePr>
    <w:tblStylePr w:type="firstCol">
      <w:rPr>
        <w:sz w:val="22"/>
      </w:rPr>
      <w:pPr>
        <w:pBdr/>
        <w:spacing/>
        <w:ind/>
      </w:pPr>
      <w:tblPr>
        <w:tblBorders/>
      </w:tblPr>
      <w:tcPr>
        <w:shd w:val="clear" w:color="f79646" w:fill="f79646"/>
        <w:tcBorders/>
      </w:tcPr>
    </w:tblStylePr>
    <w:tblStylePr w:type="firstRow">
      <w:rPr>
        <w:sz w:val="22"/>
      </w:rPr>
      <w:pPr>
        <w:pBdr/>
        <w:spacing/>
        <w:ind/>
      </w:pPr>
      <w:tblPr>
        <w:tblBorders/>
      </w:tblPr>
      <w:tcPr>
        <w:shd w:val="clear" w:color="f79646" w:fill="f79646"/>
        <w:tcBorders/>
      </w:tcPr>
    </w:tblStylePr>
    <w:tblStylePr w:type="lastCol">
      <w:rPr>
        <w:sz w:val="22"/>
      </w:rPr>
      <w:pPr>
        <w:pBdr/>
        <w:spacing/>
        <w:ind/>
      </w:pPr>
      <w:tblPr>
        <w:tblBorders/>
      </w:tblPr>
      <w:tcPr>
        <w:shd w:val="clear" w:color="f79646" w:fill="f79646"/>
        <w:tcBorders/>
      </w:tcPr>
    </w:tblStylePr>
    <w:tblStylePr w:type="lastRow">
      <w:rPr>
        <w:sz w:val="22"/>
      </w:rPr>
      <w:pPr>
        <w:pBdr/>
        <w:spacing/>
        <w:ind/>
      </w:pPr>
      <w:tblPr>
        <w:tblBorders/>
      </w:tblPr>
      <w:tcPr>
        <w:shd w:val="clear" w:color="f79646" w:fill="f7964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32" w:customStyle="1">
    <w:name w:val="Bordered"/>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cPr>
      <w:tcBorders/>
    </w:tcPr>
    <w:tblStylePr w:type="band1Horz">
      <w:rPr>
        <w:sz w:val="22"/>
      </w:rPr>
      <w:pPr>
        <w:pBdr/>
        <w:spacing/>
        <w:ind/>
      </w:pPr>
      <w:tblPr>
        <w:tblBorders/>
      </w:tblPr>
      <w:tcPr>
        <w:tcBorders>
          <w:top w:val="single" w:color="d9d9d9" w:sz="4" w:space="0"/>
          <w:left w:val="single" w:color="d9d9d9" w:sz="4" w:space="0"/>
          <w:bottom w:val="single" w:color="d9d9d9" w:sz="4" w:space="0"/>
          <w:right w:val="single" w:color="d9d9d9"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7f7f7f" w:sz="12" w:space="0"/>
        </w:tcBorders>
      </w:tcPr>
    </w:tblStylePr>
    <w:tblStylePr w:type="lastCol">
      <w:rPr>
        <w:sz w:val="22"/>
      </w:rPr>
      <w:pPr>
        <w:pBdr/>
        <w:spacing/>
        <w:ind/>
      </w:pPr>
      <w:tblPr>
        <w:tblBorders/>
      </w:tblPr>
      <w:tcPr>
        <w:tcBorders>
          <w:left w:val="single" w:color="7f7f7f" w:sz="12" w:space="0"/>
        </w:tcBorders>
      </w:tcPr>
    </w:tblStylePr>
    <w:tblStylePr w:type="lastRow">
      <w:rPr>
        <w:sz w:val="22"/>
      </w:rPr>
      <w:pPr>
        <w:pBdr/>
        <w:spacing/>
        <w:ind/>
      </w:pPr>
      <w:tblPr>
        <w:tblBorders/>
      </w:tblPr>
      <w:tcPr>
        <w:tcBorders>
          <w:top w:val="single" w:color="7f7f7f"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33" w:customStyle="1">
    <w:name w:val="Bordered - Accent 1"/>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cPr>
      <w:tcBorders/>
    </w:tcPr>
    <w:tblStylePr w:type="band1Horz">
      <w:rPr>
        <w:sz w:val="22"/>
      </w:rPr>
      <w:pPr>
        <w:pBdr/>
        <w:spacing/>
        <w:ind/>
      </w:pPr>
      <w:tblPr>
        <w:tblBorders/>
      </w:tblPr>
      <w:tcPr>
        <w:tcBorders>
          <w:top w:val="single" w:color="b7cbe4" w:sz="4" w:space="0"/>
          <w:left w:val="single" w:color="b7cbe4" w:sz="4" w:space="0"/>
          <w:bottom w:val="single" w:color="b7cbe4" w:sz="4" w:space="0"/>
          <w:right w:val="single" w:color="b7cbe4"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4f81bd" w:sz="12" w:space="0"/>
        </w:tcBorders>
      </w:tcPr>
    </w:tblStylePr>
    <w:tblStylePr w:type="lastCol">
      <w:rPr>
        <w:sz w:val="22"/>
      </w:rPr>
      <w:pPr>
        <w:pBdr/>
        <w:spacing/>
        <w:ind/>
      </w:pPr>
      <w:tblPr>
        <w:tblBorders/>
      </w:tblPr>
      <w:tcPr>
        <w:tcBorders>
          <w:left w:val="single" w:color="4f81bd" w:sz="12" w:space="0"/>
        </w:tcBorders>
      </w:tcPr>
    </w:tblStylePr>
    <w:tblStylePr w:type="lastRow">
      <w:rPr>
        <w:sz w:val="22"/>
      </w:rPr>
      <w:pPr>
        <w:pBdr/>
        <w:spacing/>
        <w:ind/>
      </w:pPr>
      <w:tblPr>
        <w:tblBorders/>
      </w:tblPr>
      <w:tcPr>
        <w:tcBorders>
          <w:top w:val="single" w:color="4f81bd"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34" w:customStyle="1">
    <w:name w:val="Bordered - Accent 2"/>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cPr>
      <w:tcBorders/>
    </w:tcPr>
    <w:tblStylePr w:type="band1Horz">
      <w:rPr>
        <w:sz w:val="22"/>
      </w:rPr>
      <w:pPr>
        <w:pBdr/>
        <w:spacing/>
        <w:ind/>
      </w:pPr>
      <w:tblPr>
        <w:tblBorders/>
      </w:tblPr>
      <w:tcPr>
        <w:tcBorders>
          <w:top w:val="single" w:color="e5b7b6" w:sz="4" w:space="0"/>
          <w:left w:val="single" w:color="e5b7b6" w:sz="4" w:space="0"/>
          <w:bottom w:val="single" w:color="e5b7b6" w:sz="4" w:space="0"/>
          <w:right w:val="single" w:color="e5b7b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d99695" w:sz="12" w:space="0"/>
        </w:tcBorders>
      </w:tcPr>
    </w:tblStylePr>
    <w:tblStylePr w:type="lastCol">
      <w:rPr>
        <w:sz w:val="22"/>
      </w:rPr>
      <w:pPr>
        <w:pBdr/>
        <w:spacing/>
        <w:ind/>
      </w:pPr>
      <w:tblPr>
        <w:tblBorders/>
      </w:tblPr>
      <w:tcPr>
        <w:tcBorders>
          <w:left w:val="single" w:color="d99695" w:sz="12" w:space="0"/>
        </w:tcBorders>
      </w:tcPr>
    </w:tblStylePr>
    <w:tblStylePr w:type="lastRow">
      <w:rPr>
        <w:sz w:val="22"/>
      </w:rPr>
      <w:pPr>
        <w:pBdr/>
        <w:spacing/>
        <w:ind/>
      </w:pPr>
      <w:tblPr>
        <w:tblBorders/>
      </w:tblPr>
      <w:tcPr>
        <w:tcBorders>
          <w:top w:val="single" w:color="d99695"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35" w:customStyle="1">
    <w:name w:val="Bordered - Accent 3"/>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cPr>
      <w:tcBorders/>
    </w:tcPr>
    <w:tblStylePr w:type="band1Horz">
      <w:rPr>
        <w:sz w:val="22"/>
      </w:rPr>
      <w:pPr>
        <w:pBdr/>
        <w:spacing/>
        <w:ind/>
      </w:pPr>
      <w:tblPr>
        <w:tblBorders/>
      </w:tblPr>
      <w:tcPr>
        <w:tcBorders>
          <w:top w:val="single" w:color="d6e3bb" w:sz="4" w:space="0"/>
          <w:left w:val="single" w:color="d6e3bb" w:sz="4" w:space="0"/>
          <w:bottom w:val="single" w:color="d6e3bb" w:sz="4" w:space="0"/>
          <w:right w:val="single" w:color="d6e3bb"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c3d69b" w:sz="12" w:space="0"/>
        </w:tcBorders>
      </w:tcPr>
    </w:tblStylePr>
    <w:tblStylePr w:type="lastCol">
      <w:rPr>
        <w:sz w:val="22"/>
      </w:rPr>
      <w:pPr>
        <w:pBdr/>
        <w:spacing/>
        <w:ind/>
      </w:pPr>
      <w:tblPr>
        <w:tblBorders/>
      </w:tblPr>
      <w:tcPr>
        <w:tcBorders>
          <w:left w:val="single" w:color="c3d69b" w:sz="12" w:space="0"/>
        </w:tcBorders>
      </w:tcPr>
    </w:tblStylePr>
    <w:tblStylePr w:type="lastRow">
      <w:rPr>
        <w:sz w:val="22"/>
      </w:rPr>
      <w:pPr>
        <w:pBdr/>
        <w:spacing/>
        <w:ind/>
      </w:pPr>
      <w:tblPr>
        <w:tblBorders/>
      </w:tblPr>
      <w:tcPr>
        <w:tcBorders>
          <w:top w:val="single" w:color="c3d69b"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36" w:customStyle="1">
    <w:name w:val="Bordered - Accent 4"/>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cPr>
      <w:tcBorders/>
    </w:tcPr>
    <w:tblStylePr w:type="band1Horz">
      <w:rPr>
        <w:sz w:val="22"/>
      </w:rPr>
      <w:pPr>
        <w:pBdr/>
        <w:spacing/>
        <w:ind/>
      </w:pPr>
      <w:tblPr>
        <w:tblBorders/>
      </w:tblPr>
      <w:tcPr>
        <w:tcBorders>
          <w:top w:val="single" w:color="cbc0d9" w:sz="4" w:space="0"/>
          <w:left w:val="single" w:color="cbc0d9" w:sz="4" w:space="0"/>
          <w:bottom w:val="single" w:color="cbc0d9" w:sz="4" w:space="0"/>
          <w:right w:val="single" w:color="cbc0d9"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b2a1c6" w:sz="12" w:space="0"/>
        </w:tcBorders>
      </w:tcPr>
    </w:tblStylePr>
    <w:tblStylePr w:type="lastCol">
      <w:rPr>
        <w:sz w:val="22"/>
      </w:rPr>
      <w:pPr>
        <w:pBdr/>
        <w:spacing/>
        <w:ind/>
      </w:pPr>
      <w:tblPr>
        <w:tblBorders/>
      </w:tblPr>
      <w:tcPr>
        <w:tcBorders>
          <w:left w:val="single" w:color="b2a1c6" w:sz="12" w:space="0"/>
        </w:tcBorders>
      </w:tcPr>
    </w:tblStylePr>
    <w:tblStylePr w:type="lastRow">
      <w:rPr>
        <w:sz w:val="22"/>
      </w:rPr>
      <w:pPr>
        <w:pBdr/>
        <w:spacing/>
        <w:ind/>
      </w:pPr>
      <w:tblPr>
        <w:tblBorders/>
      </w:tblPr>
      <w:tcPr>
        <w:tcBorders>
          <w:top w:val="single" w:color="b2a1c6"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37" w:customStyle="1">
    <w:name w:val="Bordered - Accent 5"/>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cPr>
      <w:tcBorders/>
    </w:tcPr>
    <w:tblStylePr w:type="band1Horz">
      <w:rPr>
        <w:sz w:val="22"/>
      </w:rPr>
      <w:pPr>
        <w:pBdr/>
        <w:spacing/>
        <w:ind/>
      </w:pPr>
      <w:tblPr>
        <w:tblBorders/>
      </w:tblPr>
      <w:tcPr>
        <w:tcBorders>
          <w:top w:val="single" w:color="b6dde8" w:sz="4" w:space="0"/>
          <w:left w:val="single" w:color="b6dde8" w:sz="4" w:space="0"/>
          <w:bottom w:val="single" w:color="b6dde8" w:sz="4" w:space="0"/>
          <w:right w:val="single" w:color="b6dde8"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92ccdc" w:sz="12" w:space="0"/>
        </w:tcBorders>
      </w:tcPr>
    </w:tblStylePr>
    <w:tblStylePr w:type="lastCol">
      <w:rPr>
        <w:sz w:val="22"/>
      </w:rPr>
      <w:pPr>
        <w:pBdr/>
        <w:spacing/>
        <w:ind/>
      </w:pPr>
      <w:tblPr>
        <w:tblBorders/>
      </w:tblPr>
      <w:tcPr>
        <w:tcBorders>
          <w:left w:val="single" w:color="92ccdc" w:sz="12" w:space="0"/>
        </w:tcBorders>
      </w:tcPr>
    </w:tblStylePr>
    <w:tblStylePr w:type="lastRow">
      <w:rPr>
        <w:sz w:val="22"/>
      </w:rPr>
      <w:pPr>
        <w:pBdr/>
        <w:spacing/>
        <w:ind/>
      </w:pPr>
      <w:tblPr>
        <w:tblBorders/>
      </w:tblPr>
      <w:tcPr>
        <w:tcBorders>
          <w:top w:val="single" w:color="92ccdc"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38" w:customStyle="1">
    <w:name w:val="Bordered - Accent 6"/>
    <w:basedOn w:val="875"/>
    <w:uiPriority w:val="99"/>
    <w:pPr>
      <w:pBdr/>
      <w:spacing/>
      <w:ind/>
    </w:pPr>
    <w:tblPr>
      <w:tblStyleRowBandSize w:val="1"/>
      <w:tblStyleColBandSize w:val="1"/>
      <w:tblInd w:w="0" w:type="dxa"/>
      <w:tblCellMar>
        <w:left w:w="108" w:type="dxa"/>
        <w:top w:w="0" w:type="dxa"/>
        <w:right w:w="108" w:type="dxa"/>
        <w:bottom w:w="0" w:type="dxa"/>
      </w:tblCellMa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cPr>
      <w:tcBorders/>
    </w:tcPr>
    <w:tblStylePr w:type="band1Horz">
      <w:rPr>
        <w:sz w:val="22"/>
      </w:rPr>
      <w:pPr>
        <w:pBdr/>
        <w:spacing/>
        <w:ind/>
      </w:pPr>
      <w:tblPr>
        <w:tblBorders/>
      </w:tblPr>
      <w:tcPr>
        <w:tcBorders>
          <w:top w:val="single" w:color="fbd4b4" w:sz="4" w:space="0"/>
          <w:left w:val="single" w:color="fbd4b4" w:sz="4" w:space="0"/>
          <w:bottom w:val="single" w:color="fbd4b4" w:sz="4" w:space="0"/>
          <w:right w:val="single" w:color="fbd4b4"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fac090" w:sz="12" w:space="0"/>
        </w:tcBorders>
      </w:tcPr>
    </w:tblStylePr>
    <w:tblStylePr w:type="lastCol">
      <w:rPr>
        <w:sz w:val="22"/>
      </w:rPr>
      <w:pPr>
        <w:pBdr/>
        <w:spacing/>
        <w:ind/>
      </w:pPr>
      <w:tblPr>
        <w:tblBorders/>
      </w:tblPr>
      <w:tcPr>
        <w:tcBorders>
          <w:left w:val="single" w:color="fac090" w:sz="12" w:space="0"/>
        </w:tcBorders>
      </w:tcPr>
    </w:tblStylePr>
    <w:tblStylePr w:type="lastRow">
      <w:rPr>
        <w:sz w:val="22"/>
      </w:rPr>
      <w:pPr>
        <w:pBdr/>
        <w:spacing/>
        <w:ind/>
      </w:pPr>
      <w:tblPr>
        <w:tblBorders/>
      </w:tblPr>
      <w:tcPr>
        <w:tcBorders>
          <w:top w:val="single" w:color="fac09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39">
    <w:name w:val="Grid Table Light"/>
    <w:basedOn w:val="875"/>
    <w:uiPriority w:val="40"/>
    <w:pPr>
      <w:pBdr/>
      <w:spacing/>
      <w:ind/>
    </w:pPr>
    <w:rPr>
      <w:sz w:val="22"/>
      <w:szCs w:val="22"/>
      <w:lang w:eastAsia="zh-CN"/>
    </w:rPr>
    <w:tblPr>
      <w:tblInd w:w="0" w:type="dxa"/>
      <w:tblCellMar>
        <w:left w:w="108" w:type="dxa"/>
        <w:top w:w="0" w:type="dxa"/>
        <w:right w:w="108" w:type="dxa"/>
        <w:bottom w:w="0" w:type="dxa"/>
      </w:tblCellMa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440" w:customStyle="1">
    <w:name w:val="Parágrafo da Lista"/>
    <w:uiPriority w:val="34"/>
    <w:qForma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720"/>
      <w:contextualSpacing w:val="true"/>
      <w:jc w:val="left"/>
    </w:pPr>
    <w:rPr>
      <w:rFonts w:ascii="Ecofont_Spranq_eco_Sans" w:hAnsi="Ecofont_Spranq_eco_Sans" w:eastAsia="Times New Roman" w:cs="Tahoma"/>
      <w:b w:val="0"/>
      <w:bCs w:val="0"/>
      <w:i w:val="0"/>
      <w:iCs w:val="0"/>
      <w:caps w:val="0"/>
      <w:smallCaps w:val="0"/>
      <w:strike w:val="0"/>
      <w:vanish w:val="0"/>
      <w:color w:val="auto"/>
      <w:spacing w:val="0"/>
      <w:position w:val="0"/>
      <w:sz w:val="24"/>
      <w:szCs w:val="24"/>
      <w:highlight w:val="none"/>
      <w:u w:val="none"/>
      <w:vertAlign w:val="baseline"/>
      <w:rtl w:val="0"/>
      <w:cs w:val="0"/>
      <w:lang w:val="pt-BR" w:eastAsia="pt-BR"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www.bllcompras.org.br/" TargetMode="External"/><Relationship Id="rId13" Type="http://schemas.openxmlformats.org/officeDocument/2006/relationships/hyperlink" Target="mailto:pmrroo@hotmail.com" TargetMode="External"/><Relationship Id="rId14" Type="http://schemas.openxmlformats.org/officeDocument/2006/relationships/hyperlink" Target="http://www.bllcompras.org.br/" TargetMode="External"/><Relationship Id="rId15"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7" Type="http://schemas.openxmlformats.org/officeDocument/2006/relationships/hyperlink" Target="http://www.bllcompras.com/"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4"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www.tst.jus.br/" TargetMode="External"/><Relationship Id="rId28" Type="http://schemas.openxmlformats.org/officeDocument/2006/relationships/hyperlink" Target="http://www.cnj.jus.br/improbidade_adm/consultar_requerido.php" TargetMode="External"/><Relationship Id="rId29" Type="http://schemas.openxmlformats.org/officeDocument/2006/relationships/hyperlink" Target="http://www.portaldatransparencia.gov.br/ceis" TargetMode="External"/><Relationship Id="rId30" Type="http://schemas.openxmlformats.org/officeDocument/2006/relationships/hyperlink" Target="https://certidoes-apf.apps.tcu.gov.br/" TargetMode="External"/><Relationship Id="rId31"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mailto:bllcompras.com" TargetMode="External"/><Relationship Id="rId33" Type="http://schemas.openxmlformats.org/officeDocument/2006/relationships/hyperlink" Target="http://www.planalto.gov.br/ccivil_03/_ato2019-2022/2021/lei/L14133.htm" TargetMode="External"/><Relationship Id="rId34" Type="http://schemas.openxmlformats.org/officeDocument/2006/relationships/hyperlink" Target="https://transparencia.rondonopolis.mt.gov.br/rondonopolis/publicacoes/23" TargetMode="External"/><Relationship Id="rId35"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38" Type="http://schemas.openxmlformats.org/officeDocument/2006/relationships/hyperlink" Target="mailto:bllcompras.com" TargetMode="External"/><Relationship Id="rId39" Type="http://schemas.openxmlformats.org/officeDocument/2006/relationships/hyperlink" Target="http://bllcompras.com/" TargetMode="External"/><Relationship Id="rId40" Type="http://schemas.openxmlformats.org/officeDocument/2006/relationships/hyperlink" Target="http://www.rondonopolis.mt.gov.br/" TargetMode="External"/><Relationship Id="rId41" Type="http://schemas.openxmlformats.org/officeDocument/2006/relationships/hyperlink" Target="mailto:pmrroo@hotmail.com" TargetMode="External"/><Relationship Id="rId42" Type="http://schemas.openxmlformats.org/officeDocument/2006/relationships/hyperlink" Target="https://transparencia.rondonopolis.mt.gov.br/rondonopolis/publicacoes/23" TargetMode="External"/><Relationship Id="rId43" Type="http://schemas.openxmlformats.org/officeDocument/2006/relationships/hyperlink" Target="https://www.planalto.gov.br/ccivil_03/constituicao/constituicaocompilado.htm" TargetMode="External"/><Relationship Id="rId44" Type="http://schemas.openxmlformats.org/officeDocument/2006/relationships/hyperlink" Target="https://www.planalto.gov.br/ccivil_03/constituicao/constituicaocompilado.htm" TargetMode="External"/><Relationship Id="rId45" Type="http://schemas.openxmlformats.org/officeDocument/2006/relationships/hyperlink" Target="https://www.planalto.gov.br/ccivil_03/leis/lcp/lcp123.htm" TargetMode="External"/><Relationship Id="rId46" Type="http://schemas.openxmlformats.org/officeDocument/2006/relationships/hyperlink" Target="https://www.planalto.gov.br/ccivil_03/leis/lcp/lcp123.htm" TargetMode="External"/><Relationship Id="rId47"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49" Type="http://schemas.openxmlformats.org/officeDocument/2006/relationships/hyperlink" Target="mailto:rfpmr2014@hotmail.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hyperlink" Target="http://www.rondonopolis.mt.gov.br/" TargetMode="External"/></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gradFill>
        <a:gradFill>
          <a:gsLst>
            <a:gs pos="0">
              <a:schemeClr val="phClr">
                <a:shade val="51000"/>
              </a:schemeClr>
            </a:gs>
            <a:gs pos="80000">
              <a:schemeClr val="phClr">
                <a:shade val="93000"/>
              </a:schemeClr>
            </a:gs>
            <a:gs pos="100000">
              <a:schemeClr val="phClr">
                <a:shade val="94000"/>
              </a:schemeClr>
            </a:gs>
          </a:gsLst>
          <a:lin ang="16200000" scaled="0"/>
        </a:gradFill>
      </a:fillStyleLst>
      <a:lnStyleLst>
        <a:ln w="9525"/>
        <a:ln w="25400"/>
        <a:ln w="38100"/>
      </a:lnStyleLst>
      <a:effectStyleLst>
        <a:effectStyle>
          <a:effectLst/>
        </a:effectStyle>
        <a:effectStyle>
          <a:effectLst/>
        </a:effectStyle>
        <a:effectStyle>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59AE0-12EB-4CC6-A99C-EAF339996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ONLYOFFICE/9.2.1.43</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LICITAÇÃO</dc:title>
  <dc:subject/>
  <dc:creator>silvia.bonjour</dc:creator>
  <dc:description/>
  <dc:language>pt-BR</dc:language>
  <cp:revision>56</cp:revision>
  <dcterms:created xsi:type="dcterms:W3CDTF">2025-10-02T14:32:00Z</dcterms:created>
  <dcterms:modified xsi:type="dcterms:W3CDTF">2026-04-09T20:14:16Z</dcterms:modified>
  <cp:version>1048576</cp:version>
</cp:coreProperties>
</file>