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media/hdphoto1.wdp" ContentType="image/vnd.ms-photo"/>
  <Override PartName="/word/media/image2.png" ContentType="image/png"/>
  <Override PartName="/word/media/image3.png" ContentType="image/png"/>
  <Override PartName="/word/media/image4.png" ContentType="image/png"/>
  <Override PartName="/word/media/image5.png" ContentType="image/png"/>
  <Override PartName="/word/media/image6.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hd w:val="clear" w:color="auto" w:fill="FFFFFF" w:themeFill="background1"/>
        <w:spacing w:lineRule="auto" w:line="276"/>
        <w:jc w:val="center"/>
        <w:rPr>
          <w:b/>
          <w:sz w:val="24"/>
          <w:szCs w:val="24"/>
          <w:u w:val="single"/>
        </w:rPr>
      </w:pPr>
      <w:r>
        <w:rPr>
          <w:b/>
          <w:sz w:val="24"/>
          <w:szCs w:val="24"/>
          <w:u w:val="single"/>
        </w:rPr>
        <w:t>TERMO DE REFERÊNCIA N.º 17/CROMT/2024</w:t>
      </w:r>
    </w:p>
    <w:p>
      <w:pPr>
        <w:pStyle w:val="Normal"/>
        <w:spacing w:lineRule="auto" w:line="276"/>
        <w:rPr>
          <w:sz w:val="24"/>
          <w:szCs w:val="24"/>
        </w:rPr>
      </w:pPr>
      <w:r>
        <w:rPr>
          <w:sz w:val="24"/>
          <w:szCs w:val="24"/>
        </w:rPr>
      </w:r>
    </w:p>
    <w:p>
      <w:pPr>
        <w:pStyle w:val="Normal"/>
        <w:pBdr>
          <w:top w:val="single" w:sz="4" w:space="0"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sz w:val="24"/>
          <w:szCs w:val="24"/>
        </w:rPr>
      </w:pPr>
      <w:r>
        <w:rPr>
          <w:b/>
          <w:bCs/>
          <w:sz w:val="24"/>
          <w:szCs w:val="24"/>
        </w:rPr>
        <w:t xml:space="preserve">1. OBJETO </w:t>
      </w:r>
    </w:p>
    <w:p>
      <w:pPr>
        <w:pStyle w:val="Normal"/>
        <w:spacing w:lineRule="auto" w:line="276"/>
        <w:jc w:val="both"/>
        <w:rPr>
          <w:sz w:val="24"/>
          <w:szCs w:val="24"/>
        </w:rPr>
      </w:pPr>
      <w:r>
        <w:rPr>
          <w:sz w:val="24"/>
          <w:szCs w:val="24"/>
        </w:rPr>
        <w:t xml:space="preserve">1.1 Este Termo de Referência tem por objeto a </w:t>
      </w:r>
      <w:r>
        <w:rPr>
          <w:rFonts w:eastAsia="Times New Roman" w:cs="Times New Roman"/>
          <w:color w:val="auto"/>
          <w:kern w:val="0"/>
          <w:sz w:val="24"/>
          <w:szCs w:val="24"/>
          <w:lang w:val="pt-BR" w:eastAsia="pt-BR" w:bidi="ar-SA"/>
        </w:rPr>
        <w:t>“</w:t>
      </w:r>
      <w:r>
        <w:rPr>
          <w:rFonts w:eastAsia="Times New Roman" w:cs="Times New Roman"/>
          <w:color w:val="000000"/>
          <w:kern w:val="0"/>
          <w:sz w:val="24"/>
          <w:szCs w:val="24"/>
          <w:lang w:val="pt-BR" w:eastAsia="pt-BR" w:bidi="ar-SA"/>
        </w:rPr>
        <w:t xml:space="preserve">locação de espaço para montagem de stand no III CONTOX - Congresso Harmonização Facial que acontecerá nos dias 19 e 20 de abril na FATEC-SENAI, conforme documentações em anexo. </w:t>
      </w:r>
      <w:r>
        <w:rPr>
          <w:rFonts w:eastAsia="Times New Roman" w:cs="Times New Roman"/>
          <w:color w:val="auto"/>
          <w:kern w:val="0"/>
          <w:sz w:val="24"/>
          <w:szCs w:val="24"/>
          <w:lang w:val="pt-BR" w:eastAsia="pt-BR" w:bidi="ar-SA"/>
        </w:rPr>
        <w:t>”</w:t>
      </w:r>
    </w:p>
    <w:p>
      <w:pPr>
        <w:pStyle w:val="Normal"/>
        <w:spacing w:lineRule="auto" w:line="276"/>
        <w:jc w:val="both"/>
        <w:rPr>
          <w:sz w:val="24"/>
          <w:szCs w:val="24"/>
        </w:rPr>
      </w:pPr>
      <w:r>
        <w:rPr>
          <w:sz w:val="24"/>
          <w:szCs w:val="24"/>
        </w:rPr>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Cs/>
          <w:sz w:val="24"/>
          <w:szCs w:val="24"/>
          <w:lang w:bidi="pt-PT"/>
        </w:rPr>
      </w:pPr>
      <w:r>
        <w:rPr>
          <w:b/>
          <w:bCs/>
          <w:sz w:val="24"/>
          <w:szCs w:val="24"/>
        </w:rPr>
        <w:t>2. JUSTIFICATIVA DA CONTRATAÇÃO</w:t>
      </w:r>
    </w:p>
    <w:p>
      <w:pPr>
        <w:pStyle w:val="Normal"/>
        <w:widowControl w:val="false"/>
        <w:tabs>
          <w:tab w:val="clear" w:pos="708"/>
          <w:tab w:val="left" w:pos="567" w:leader="none"/>
        </w:tabs>
        <w:suppressAutoHyphens w:val="true"/>
        <w:spacing w:lineRule="auto" w:line="276"/>
        <w:ind w:right="-23"/>
        <w:jc w:val="both"/>
        <w:rPr>
          <w:sz w:val="24"/>
          <w:szCs w:val="24"/>
        </w:rPr>
      </w:pPr>
      <w:r>
        <w:rPr>
          <w:bCs/>
          <w:sz w:val="24"/>
          <w:szCs w:val="24"/>
        </w:rPr>
        <w:t>2.1.</w:t>
      </w:r>
      <w:bookmarkStart w:id="0" w:name="_Hlk111704647"/>
      <w:r>
        <w:rPr>
          <w:sz w:val="24"/>
          <w:szCs w:val="24"/>
        </w:rPr>
        <w:t xml:space="preserve"> Da Justificativa da Contratação;</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suppressAutoHyphens w:val="true"/>
        <w:bidi w:val="0"/>
        <w:spacing w:lineRule="auto" w:line="276" w:before="0" w:after="0"/>
        <w:ind w:firstLine="850" w:left="0" w:right="0"/>
        <w:jc w:val="both"/>
        <w:rPr/>
      </w:pPr>
      <w:r>
        <w:rPr>
          <w:rFonts w:eastAsia="Times New Roman" w:cs="Times New Roman"/>
          <w:color w:val="000000"/>
          <w:sz w:val="24"/>
          <w:szCs w:val="24"/>
          <w:lang w:eastAsia="pt-BR"/>
        </w:rPr>
        <w:t>Considerando que os benefícios esperados para a essa contratação estão diretamente relacionados, atender às prerrogativas legais do Conselho Federal de Odontologia, quanto à competência de promover a educação continuada dos Profissionais da Odontologia, participação nos debates sobre temas relevantes para a odontologia, contribuir para o desenvolvimento e atualização dos profissionais e fortalecer a imagem institucional do CROMT”</w:t>
      </w:r>
    </w:p>
    <w:p>
      <w:pPr>
        <w:pStyle w:val="Normal"/>
        <w:widowControl/>
        <w:suppressAutoHyphens w:val="true"/>
        <w:bidi w:val="0"/>
        <w:spacing w:lineRule="auto" w:line="276" w:before="0" w:after="0"/>
        <w:ind w:firstLine="850" w:left="0" w:right="0"/>
        <w:jc w:val="both"/>
        <w:rPr>
          <w:rFonts w:ascii="Times New Roman" w:hAnsi="Times New Roman" w:eastAsia="Times New Roman" w:cs="Times New Roman"/>
          <w:color w:val="000000"/>
          <w:sz w:val="24"/>
          <w:szCs w:val="24"/>
          <w:lang w:eastAsia="pt-BR"/>
        </w:rPr>
      </w:pPr>
      <w:r>
        <w:rPr>
          <w:rFonts w:eastAsia="Times New Roman" w:cs="Times New Roman"/>
          <w:color w:val="000000"/>
          <w:sz w:val="24"/>
          <w:szCs w:val="24"/>
          <w:lang w:eastAsia="pt-BR"/>
        </w:rPr>
      </w:r>
    </w:p>
    <w:p>
      <w:pPr>
        <w:pStyle w:val="BodyText"/>
        <w:widowControl/>
        <w:suppressAutoHyphens w:val="true"/>
        <w:bidi w:val="0"/>
        <w:spacing w:lineRule="auto" w:line="276" w:before="0" w:after="0"/>
        <w:ind w:firstLine="850" w:left="0" w:right="0"/>
        <w:jc w:val="both"/>
        <w:rPr/>
      </w:pPr>
      <w:r>
        <w:rPr>
          <w:rFonts w:eastAsia="Times New Roman" w:cs="Times New Roman"/>
          <w:color w:val="000000"/>
          <w:kern w:val="0"/>
          <w:sz w:val="24"/>
          <w:szCs w:val="24"/>
          <w:lang w:val="pt-BR" w:eastAsia="pt-BR" w:bidi="ar-SA"/>
        </w:rPr>
        <w:t>Promover a atividade de representação comercial junto aos expositores (representadas e/ou representantes comerciais) e publico em geral, através da orientação e da fiscalização em caráter preventivo e educativo.</w:t>
      </w:r>
    </w:p>
    <w:p>
      <w:pPr>
        <w:pStyle w:val="BodyText"/>
        <w:widowControl/>
        <w:suppressAutoHyphens w:val="true"/>
        <w:bidi w:val="0"/>
        <w:spacing w:lineRule="auto" w:line="276" w:before="0" w:after="0"/>
        <w:ind w:firstLine="850" w:left="0" w:right="0"/>
        <w:jc w:val="both"/>
        <w:rPr>
          <w:rFonts w:ascii="Times New Roman" w:hAnsi="Times New Roman" w:eastAsia="Times New Roman" w:cs="Times New Roman"/>
          <w:color w:val="000000"/>
          <w:kern w:val="0"/>
          <w:sz w:val="24"/>
          <w:szCs w:val="24"/>
          <w:lang w:val="pt-BR" w:eastAsia="pt-BR" w:bidi="ar-SA"/>
        </w:rPr>
      </w:pPr>
      <w:r>
        <w:rPr>
          <w:rFonts w:eastAsia="Times New Roman" w:cs="Times New Roman"/>
          <w:color w:val="000000"/>
          <w:kern w:val="0"/>
          <w:sz w:val="24"/>
          <w:szCs w:val="24"/>
          <w:lang w:val="pt-BR" w:eastAsia="pt-BR" w:bidi="ar-SA"/>
        </w:rPr>
      </w:r>
    </w:p>
    <w:p>
      <w:pPr>
        <w:pStyle w:val="BodyText"/>
        <w:widowControl/>
        <w:suppressAutoHyphens w:val="true"/>
        <w:bidi w:val="0"/>
        <w:spacing w:lineRule="auto" w:line="276" w:before="0" w:after="0"/>
        <w:ind w:firstLine="850" w:left="0" w:right="0"/>
        <w:jc w:val="both"/>
        <w:rPr/>
      </w:pPr>
      <w:r>
        <w:rPr>
          <w:rFonts w:eastAsia="Times New Roman" w:cs="Times New Roman"/>
          <w:color w:val="000000"/>
          <w:kern w:val="0"/>
          <w:sz w:val="24"/>
          <w:szCs w:val="24"/>
          <w:lang w:val="pt-BR" w:eastAsia="pt-BR" w:bidi="ar-SA"/>
        </w:rPr>
        <w:t>Esclareço que as ações acima são fundamentais para a realização da atividade fim desta instituição, diante disso, é relevante a participação do CRO-MT, através do comparecimento físico no evento, acredito que ajudará a promover a instituição, a profissão do representante comercial, e, consequentemente permitir o regular funcionamento do Conselho Regional.</w:t>
      </w:r>
    </w:p>
    <w:p>
      <w:pPr>
        <w:pStyle w:val="BodyText"/>
        <w:widowControl/>
        <w:suppressAutoHyphens w:val="true"/>
        <w:bidi w:val="0"/>
        <w:spacing w:lineRule="auto" w:line="276" w:before="0" w:after="0"/>
        <w:ind w:firstLine="850" w:left="0" w:right="0"/>
        <w:jc w:val="both"/>
        <w:rPr/>
      </w:pPr>
      <w:r>
        <w:rPr/>
      </w:r>
    </w:p>
    <w:p>
      <w:pPr>
        <w:pStyle w:val="BodyText"/>
        <w:widowControl/>
        <w:suppressAutoHyphens w:val="true"/>
        <w:bidi w:val="0"/>
        <w:spacing w:lineRule="auto" w:line="276" w:before="0" w:after="0"/>
        <w:ind w:firstLine="850" w:left="0" w:right="0"/>
        <w:jc w:val="both"/>
        <w:rPr/>
      </w:pPr>
      <w:r>
        <w:rPr>
          <w:rFonts w:eastAsia="Times New Roman" w:cs="Times New Roman"/>
          <w:color w:val="000000"/>
          <w:kern w:val="0"/>
          <w:sz w:val="24"/>
          <w:szCs w:val="24"/>
          <w:lang w:val="pt-BR" w:eastAsia="pt-BR" w:bidi="ar-SA"/>
        </w:rPr>
        <w:t>O perfil de “expositor” do CRO-MT, na mencionada feira, promoverá a instituição como órgão habilitatório, regulamentar e fiscalizador da profissão da Odontologia.</w:t>
      </w:r>
    </w:p>
    <w:p>
      <w:pPr>
        <w:pStyle w:val="Normal"/>
        <w:widowControl/>
        <w:tabs>
          <w:tab w:val="clear" w:pos="708"/>
          <w:tab w:val="left" w:pos="0" w:leader="none"/>
        </w:tabs>
        <w:bidi w:val="0"/>
        <w:spacing w:lineRule="auto" w:line="276" w:before="0" w:after="0"/>
        <w:ind w:firstLine="907" w:left="0" w:right="0"/>
        <w:jc w:val="both"/>
        <w:rPr>
          <w:rFonts w:ascii="Times New Roman" w:hAnsi="Times New Roman" w:eastAsia="Times New Roman" w:cs="Times New Roman"/>
          <w:color w:val="auto"/>
          <w:kern w:val="0"/>
          <w:sz w:val="24"/>
          <w:szCs w:val="20"/>
          <w:lang w:val="pt-BR" w:eastAsia="pt-BR" w:bidi="ar-SA"/>
        </w:rPr>
      </w:pPr>
      <w:r>
        <w:rPr>
          <w:rFonts w:eastAsia="Times New Roman" w:cs="Times New Roman"/>
          <w:color w:val="auto"/>
          <w:kern w:val="0"/>
          <w:sz w:val="24"/>
          <w:szCs w:val="20"/>
          <w:lang w:val="pt-BR" w:eastAsia="pt-BR" w:bidi="ar-SA"/>
        </w:rPr>
      </w:r>
      <w:bookmarkEnd w:id="0"/>
    </w:p>
    <w:p>
      <w:pPr>
        <w:pStyle w:val="Normal"/>
        <w:widowControl w:val="false"/>
        <w:tabs>
          <w:tab w:val="clear" w:pos="708"/>
          <w:tab w:val="left" w:pos="567" w:leader="none"/>
        </w:tabs>
        <w:suppressAutoHyphens w:val="true"/>
        <w:bidi w:val="0"/>
        <w:spacing w:lineRule="auto" w:line="276" w:before="0" w:after="0"/>
        <w:ind w:firstLine="1134" w:left="0" w:right="0"/>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2.2. Ausência de ETP (Estudo Técnico Preliminar);</w:t>
      </w:r>
    </w:p>
    <w:p>
      <w:pPr>
        <w:pStyle w:val="Normal"/>
        <w:widowControl w:val="false"/>
        <w:tabs>
          <w:tab w:val="clear" w:pos="708"/>
          <w:tab w:val="left" w:pos="567" w:leader="none"/>
          <w:tab w:val="left" w:pos="1020" w:leader="none"/>
        </w:tabs>
        <w:suppressAutoHyphens w:val="true"/>
        <w:bidi w:val="0"/>
        <w:spacing w:lineRule="auto" w:line="276" w:before="0" w:after="0"/>
        <w:ind w:firstLine="907" w:left="0" w:right="0"/>
        <w:jc w:val="both"/>
        <w:rPr>
          <w:rFonts w:ascii="Times New Roman" w:hAnsi="Times New Roman" w:eastAsia="Times New Roman" w:cs="Times New Roman"/>
          <w:sz w:val="24"/>
          <w:szCs w:val="24"/>
          <w:lang w:eastAsia="pt-BR"/>
        </w:rPr>
      </w:pPr>
      <w:r>
        <w:rPr>
          <w:rFonts w:eastAsia="Times New Roman" w:cs="Times New Roman"/>
          <w:sz w:val="24"/>
          <w:szCs w:val="24"/>
          <w:lang w:eastAsia="pt-BR"/>
        </w:rPr>
      </w:r>
    </w:p>
    <w:p>
      <w:pPr>
        <w:pStyle w:val="Normal"/>
        <w:widowControl w:val="false"/>
        <w:tabs>
          <w:tab w:val="clear" w:pos="708"/>
          <w:tab w:val="left" w:pos="567" w:leader="none"/>
          <w:tab w:val="left" w:pos="1020" w:leader="none"/>
        </w:tabs>
        <w:suppressAutoHyphens w:val="true"/>
        <w:bidi w:val="0"/>
        <w:spacing w:lineRule="auto" w:line="276" w:before="0" w:after="0"/>
        <w:ind w:firstLine="907" w:left="0" w:right="0"/>
        <w:jc w:val="both"/>
        <w:rPr>
          <w:rFonts w:ascii="Times New Roman" w:hAnsi="Times New Roman" w:eastAsia="Times New Roman" w:cs="Times New Roman"/>
          <w:sz w:val="24"/>
          <w:szCs w:val="24"/>
          <w:lang w:eastAsia="pt-BR"/>
        </w:rPr>
      </w:pPr>
      <w:r>
        <w:rPr>
          <w:rFonts w:eastAsia="Times New Roman" w:cs="Times New Roman"/>
          <w:sz w:val="24"/>
          <w:szCs w:val="24"/>
          <w:lang w:eastAsia="pt-BR"/>
        </w:rPr>
        <w:t xml:space="preserve">Nos termos do art. 14, da IN SEGES/ME nº 58/2022, art. 20, § 2º, da IN MPDG nº 05/2017, combinada com a IN SEGES/ME nº 98/2022, bem como, do art. 72, I, da Lei nº 14.133/2021, que conferem discricionariedade à Administração para elaboração do Estudo Técnico Preliminar e da Análise de Riscos, entende-se, para os fins dos presentes autos, que a menor complexidade do objeto e o pequeno valor torna prescindível a necessidade de elaboração desses documentos (art. 75, inc. I e II da Lei 14.133/21). </w:t>
      </w:r>
    </w:p>
    <w:p>
      <w:pPr>
        <w:pStyle w:val="Normal"/>
        <w:widowControl w:val="false"/>
        <w:tabs>
          <w:tab w:val="clear" w:pos="708"/>
          <w:tab w:val="left" w:pos="567" w:leader="none"/>
          <w:tab w:val="left" w:pos="1020" w:leader="none"/>
        </w:tabs>
        <w:suppressAutoHyphens w:val="true"/>
        <w:bidi w:val="0"/>
        <w:spacing w:lineRule="auto" w:line="276" w:before="0" w:after="0"/>
        <w:ind w:firstLine="907" w:left="0" w:right="0"/>
        <w:jc w:val="both"/>
        <w:rPr>
          <w:rFonts w:ascii="Times New Roman" w:hAnsi="Times New Roman" w:eastAsia="Times New Roman" w:cs="Times New Roman"/>
          <w:sz w:val="24"/>
          <w:szCs w:val="24"/>
          <w:lang w:eastAsia="pt-BR"/>
        </w:rPr>
      </w:pPr>
      <w:r>
        <w:rPr>
          <w:rFonts w:eastAsia="Times New Roman" w:cs="Times New Roman"/>
          <w:sz w:val="24"/>
          <w:szCs w:val="24"/>
          <w:lang w:eastAsia="pt-BR"/>
        </w:rPr>
      </w:r>
    </w:p>
    <w:p>
      <w:pPr>
        <w:pStyle w:val="Normal"/>
        <w:widowControl w:val="false"/>
        <w:tabs>
          <w:tab w:val="clear" w:pos="708"/>
          <w:tab w:val="left" w:pos="567" w:leader="none"/>
          <w:tab w:val="left" w:pos="1020" w:leader="none"/>
        </w:tabs>
        <w:suppressAutoHyphens w:val="true"/>
        <w:bidi w:val="0"/>
        <w:spacing w:lineRule="auto" w:line="276" w:before="0" w:after="0"/>
        <w:ind w:firstLine="907" w:left="0" w:right="0"/>
        <w:jc w:val="both"/>
        <w:rPr>
          <w:rFonts w:ascii="Times New Roman" w:hAnsi="Times New Roman" w:eastAsia="Times New Roman" w:cs="Times New Roman"/>
          <w:sz w:val="24"/>
          <w:szCs w:val="24"/>
          <w:lang w:eastAsia="pt-BR"/>
        </w:rPr>
      </w:pPr>
      <w:r>
        <w:rPr>
          <w:rFonts w:eastAsia="Times New Roman" w:cs="Times New Roman"/>
          <w:sz w:val="24"/>
          <w:szCs w:val="24"/>
          <w:lang w:eastAsia="pt-BR"/>
        </w:rPr>
        <w:t xml:space="preserve">De toda forma, as informações necessárias e suficientes capazes de demonstrar o interesse público, provendo a devida segurança transacional, estão registradas nos documentos que compõem a instrução processual. </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
          <w:sz w:val="24"/>
          <w:szCs w:val="24"/>
        </w:rPr>
      </w:pPr>
      <w:r>
        <w:rPr>
          <w:b/>
          <w:sz w:val="24"/>
          <w:szCs w:val="24"/>
        </w:rPr>
        <w:t xml:space="preserve">3. DA </w:t>
      </w:r>
      <w:r>
        <w:rPr>
          <w:b/>
          <w:bCs/>
          <w:sz w:val="24"/>
          <w:szCs w:val="24"/>
        </w:rPr>
        <w:t>FUNDAMENTAÇÃO</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3.1. Para este processo se aplica a Lei 14.133 de, 1 abril de 2021 baseado na sua Seção II, Art. 74, Seção III 75 e Art. 95;</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 xml:space="preserve">Art. 74. É inexigível a licitação quando inviável a competição, em especial nos casos de: </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 xml:space="preserve">I - aquisição de materiais, de equipamentos ou de gêneros ou contratação de serviços que só possam ser fornecidos por produtor, empresa ou representante comercial exclusivos; </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t>[…]</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Art. 75. É dispensável a licitação:</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w:t>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r>
    </w:p>
    <w:p>
      <w:pPr>
        <w:pStyle w:val="Normal"/>
        <w:widowControl w:val="false"/>
        <w:tabs>
          <w:tab w:val="clear" w:pos="708"/>
          <w:tab w:val="left" w:pos="567" w:leader="none"/>
        </w:tabs>
        <w:suppressAutoHyphens w:val="true"/>
        <w:spacing w:lineRule="auto" w:line="276"/>
        <w:ind w:right="-23"/>
        <w:jc w:val="both"/>
        <w:rPr>
          <w:sz w:val="24"/>
          <w:szCs w:val="24"/>
        </w:rPr>
      </w:pPr>
      <w:r>
        <w:rPr>
          <w:sz w:val="24"/>
          <w:szCs w:val="24"/>
        </w:rPr>
        <w:t>II – para contratação que envolva inferiores a R$ 50.000,00 (cinquenta mil reais), no caso de outros serviços e compras;</w:t>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t>O valor alusivo ao Inciso II foi atualizado conforme decreto supracitado para o valor de R$ 59.906,02 (Cinquenta e nove mil novecentos e seis reais e dois centavos).</w:t>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t xml:space="preserve">Art. 95. O instrumento de contrato é obrigatório, salvo nas seguintes hipóteses, em que a Administração poderá substituí-lo por outro instrumento hábil, como carta-contrato, nota de empenho de despesa, autorização de compra ou ordem de execução de serviço: </w:t>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t xml:space="preserve">I - dispensa de licitação em razão de valor; </w:t>
      </w:r>
    </w:p>
    <w:p>
      <w:pPr>
        <w:pStyle w:val="Normal"/>
        <w:widowControl w:val="false"/>
        <w:tabs>
          <w:tab w:val="clear" w:pos="708"/>
          <w:tab w:val="left" w:pos="567" w:leader="none"/>
        </w:tabs>
        <w:suppressAutoHyphens w:val="true"/>
        <w:spacing w:lineRule="auto" w:line="276"/>
        <w:ind w:right="-23"/>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r>
    </w:p>
    <w:p>
      <w:pPr>
        <w:pStyle w:val="Normal"/>
        <w:widowControl w:val="false"/>
        <w:tabs>
          <w:tab w:val="clear" w:pos="708"/>
          <w:tab w:val="left" w:pos="567" w:leader="none"/>
        </w:tabs>
        <w:suppressAutoHyphens w:val="true"/>
        <w:spacing w:lineRule="auto" w:line="276"/>
        <w:ind w:right="-23"/>
        <w:jc w:val="both"/>
        <w:rPr>
          <w:sz w:val="24"/>
          <w:szCs w:val="24"/>
        </w:rPr>
      </w:pPr>
      <w:r>
        <w:rPr/>
        <w:t>[...]</w:t>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sz w:val="24"/>
          <w:szCs w:val="24"/>
        </w:rPr>
      </w:pPr>
      <w:r>
        <w:rPr>
          <w:b/>
          <w:bCs/>
          <w:sz w:val="24"/>
          <w:szCs w:val="24"/>
        </w:rPr>
        <w:t xml:space="preserve">4. DOTAÇÃO ORÇAMENTÁRIA </w:t>
      </w:r>
    </w:p>
    <w:p>
      <w:pPr>
        <w:pStyle w:val="Normal"/>
        <w:spacing w:lineRule="auto" w:line="276"/>
        <w:jc w:val="both"/>
        <w:rPr>
          <w:rFonts w:ascii="Arial" w:hAnsi="Arial" w:cs="Arial"/>
          <w:color w:val="000000"/>
          <w:sz w:val="21"/>
          <w:szCs w:val="21"/>
          <w:shd w:fill="FFFFFF" w:val="clear"/>
        </w:rPr>
      </w:pPr>
      <w:r>
        <w:rPr>
          <w:sz w:val="24"/>
          <w:szCs w:val="24"/>
        </w:rPr>
        <w:t>4.1. As despesas financeiras oriundas da contratação dos serviços que a seguir se especifica correrão por conta de dotação orçamentária própria, do exercício de 2024, conforme abaixo identificado:</w:t>
      </w:r>
      <w:r>
        <w:rPr>
          <w:rFonts w:cs="Arial" w:ascii="Arial" w:hAnsi="Arial"/>
          <w:color w:val="000000"/>
          <w:sz w:val="21"/>
          <w:szCs w:val="21"/>
          <w:shd w:fill="FFFFFF" w:val="clear"/>
        </w:rPr>
        <w:t xml:space="preserve"> </w:t>
      </w:r>
    </w:p>
    <w:p>
      <w:pPr>
        <w:pStyle w:val="Normal"/>
        <w:spacing w:lineRule="auto" w:line="276"/>
        <w:jc w:val="both"/>
        <w:rPr>
          <w:b/>
          <w:bCs/>
          <w:sz w:val="24"/>
          <w:szCs w:val="24"/>
        </w:rPr>
      </w:pPr>
      <w:r>
        <w:rPr>
          <w:b/>
          <w:bCs/>
          <w:sz w:val="24"/>
          <w:szCs w:val="24"/>
        </w:rPr>
      </w:r>
    </w:p>
    <w:p>
      <w:pPr>
        <w:pStyle w:val="Normal"/>
        <w:jc w:val="left"/>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t>Dotação Orçamentária</w:t>
      </w:r>
    </w:p>
    <w:p>
      <w:pPr>
        <w:pStyle w:val="Normal"/>
        <w:jc w:val="left"/>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t xml:space="preserve">Centro de Custo: </w:t>
      </w:r>
    </w:p>
    <w:p>
      <w:pPr>
        <w:pStyle w:val="Normal"/>
        <w:spacing w:lineRule="auto" w:line="276"/>
        <w:jc w:val="both"/>
        <w:rPr>
          <w:rFonts w:ascii="Times New Roman" w:hAnsi="Times New Roman" w:eastAsia="Times New Roman" w:cs="Times New Roman"/>
          <w:color w:val="auto"/>
          <w:kern w:val="0"/>
          <w:sz w:val="24"/>
          <w:szCs w:val="24"/>
          <w:lang w:val="pt-BR" w:eastAsia="pt-BR" w:bidi="ar-SA"/>
        </w:rPr>
      </w:pPr>
      <w:r>
        <w:rPr>
          <w:rFonts w:eastAsia="Times New Roman" w:cs="Times New Roman"/>
          <w:color w:val="auto"/>
          <w:kern w:val="0"/>
          <w:sz w:val="24"/>
          <w:szCs w:val="24"/>
          <w:lang w:val="pt-BR" w:eastAsia="pt-BR" w:bidi="ar-SA"/>
        </w:rPr>
        <w:t xml:space="preserve">Atividade: </w:t>
      </w:r>
    </w:p>
    <w:p>
      <w:pPr>
        <w:pStyle w:val="Normal"/>
        <w:spacing w:lineRule="auto" w:line="276"/>
        <w:jc w:val="both"/>
        <w:rPr>
          <w:b/>
          <w:bCs/>
          <w:sz w:val="24"/>
          <w:szCs w:val="24"/>
        </w:rPr>
      </w:pPr>
      <w:r>
        <w:rPr>
          <w:b/>
          <w:bCs/>
          <w:sz w:val="24"/>
          <w:szCs w:val="24"/>
        </w:rPr>
        <w:t xml:space="preserve">R$ 2.975,00 (Dois Mil, Novecentos e Setenta e Cinco Reais),recurso próprio, orçamento 2024. </w:t>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ind w:hanging="142" w:left="142"/>
        <w:jc w:val="both"/>
        <w:rPr>
          <w:b/>
          <w:bCs/>
          <w:color w:val="000000"/>
          <w:sz w:val="24"/>
          <w:szCs w:val="24"/>
          <w:shd w:fill="FFFFFF" w:val="clear"/>
        </w:rPr>
      </w:pPr>
      <w:r>
        <w:rPr>
          <w:b/>
          <w:bCs/>
          <w:sz w:val="24"/>
          <w:szCs w:val="24"/>
        </w:rPr>
        <w:t>5. DA ESPECIFICAÇÃO DO OBJETO</w:t>
      </w:r>
    </w:p>
    <w:p>
      <w:pPr>
        <w:pStyle w:val="Normal"/>
        <w:spacing w:lineRule="auto" w:line="276"/>
        <w:jc w:val="both"/>
        <w:rPr>
          <w:color w:val="222222"/>
          <w:sz w:val="24"/>
          <w:szCs w:val="24"/>
          <w:shd w:fill="FFFFFF" w:val="clear"/>
        </w:rPr>
      </w:pPr>
      <w:r>
        <w:rPr>
          <w:color w:val="222222"/>
          <w:sz w:val="24"/>
          <w:szCs w:val="24"/>
          <w:shd w:fill="FFFFFF" w:val="clear"/>
        </w:rPr>
        <w:t>5.1 – Do objeto:</w:t>
      </w:r>
    </w:p>
    <w:p>
      <w:pPr>
        <w:pStyle w:val="Normal"/>
        <w:spacing w:lineRule="auto" w:line="276"/>
        <w:jc w:val="both"/>
        <w:rPr>
          <w:color w:val="222222"/>
          <w:sz w:val="24"/>
          <w:szCs w:val="24"/>
          <w:shd w:fill="FFFFFF" w:val="clear"/>
        </w:rPr>
      </w:pPr>
      <w:r>
        <w:rPr>
          <w:color w:val="222222"/>
          <w:sz w:val="24"/>
          <w:szCs w:val="24"/>
          <w:shd w:fill="FFFFFF" w:val="clear"/>
        </w:rPr>
      </w:r>
    </w:p>
    <w:tbl>
      <w:tblPr>
        <w:tblW w:w="5000" w:type="pct"/>
        <w:jc w:val="left"/>
        <w:tblInd w:w="55" w:type="dxa"/>
        <w:tblLayout w:type="fixed"/>
        <w:tblCellMar>
          <w:top w:w="55" w:type="dxa"/>
          <w:left w:w="55" w:type="dxa"/>
          <w:bottom w:w="55" w:type="dxa"/>
          <w:right w:w="55" w:type="dxa"/>
        </w:tblCellMar>
      </w:tblPr>
      <w:tblGrid>
        <w:gridCol w:w="714"/>
        <w:gridCol w:w="2498"/>
        <w:gridCol w:w="1606"/>
        <w:gridCol w:w="1607"/>
        <w:gridCol w:w="1610"/>
        <w:gridCol w:w="1602"/>
      </w:tblGrid>
      <w:tr>
        <w:trPr/>
        <w:tc>
          <w:tcPr>
            <w:tcW w:w="9637" w:type="dxa"/>
            <w:gridSpan w:val="6"/>
            <w:tcBorders>
              <w:top w:val="single" w:sz="4" w:space="0" w:color="000000"/>
              <w:left w:val="single" w:sz="4" w:space="0" w:color="000000"/>
              <w:bottom w:val="single" w:sz="4" w:space="0" w:color="000000"/>
              <w:right w:val="single" w:sz="4" w:space="0" w:color="000000"/>
            </w:tcBorders>
            <w:vAlign w:val="center"/>
          </w:tcPr>
          <w:p>
            <w:pPr>
              <w:pStyle w:val="Contedodatabela"/>
              <w:widowControl w:val="false"/>
              <w:suppressLineNumbers/>
              <w:suppressAutoHyphens w:val="true"/>
              <w:bidi w:val="0"/>
              <w:spacing w:lineRule="auto" w:line="259" w:before="0" w:after="0"/>
              <w:ind w:hanging="0" w:left="-57" w:right="-57"/>
              <w:jc w:val="center"/>
              <w:rPr/>
            </w:pPr>
            <w:r>
              <w:rPr/>
              <w:t>LOTE ÚNICO</w:t>
            </w:r>
          </w:p>
        </w:tc>
      </w:tr>
      <w:tr>
        <w:trPr/>
        <w:tc>
          <w:tcPr>
            <w:tcW w:w="714" w:type="dxa"/>
            <w:tcBorders>
              <w:left w:val="single" w:sz="4" w:space="0" w:color="000000"/>
              <w:bottom w:val="single" w:sz="4" w:space="0" w:color="000000"/>
            </w:tcBorders>
            <w:vAlign w:val="center"/>
          </w:tcPr>
          <w:p>
            <w:pPr>
              <w:pStyle w:val="Contedodatabela"/>
              <w:spacing w:before="0" w:after="0"/>
              <w:jc w:val="center"/>
              <w:rPr/>
            </w:pPr>
            <w:r>
              <w:rPr/>
              <w:t>Item</w:t>
            </w:r>
          </w:p>
        </w:tc>
        <w:tc>
          <w:tcPr>
            <w:tcW w:w="2498" w:type="dxa"/>
            <w:tcBorders>
              <w:left w:val="single" w:sz="4" w:space="0" w:color="000000"/>
              <w:bottom w:val="single" w:sz="4" w:space="0" w:color="000000"/>
            </w:tcBorders>
            <w:vAlign w:val="center"/>
          </w:tcPr>
          <w:p>
            <w:pPr>
              <w:pStyle w:val="Contedodatabela"/>
              <w:spacing w:before="0" w:after="0"/>
              <w:jc w:val="center"/>
              <w:rPr/>
            </w:pPr>
            <w:r>
              <w:rPr/>
              <w:t>Descrição</w:t>
            </w:r>
          </w:p>
        </w:tc>
        <w:tc>
          <w:tcPr>
            <w:tcW w:w="1606" w:type="dxa"/>
            <w:tcBorders>
              <w:left w:val="single" w:sz="4" w:space="0" w:color="000000"/>
              <w:bottom w:val="single" w:sz="4" w:space="0" w:color="000000"/>
            </w:tcBorders>
            <w:vAlign w:val="center"/>
          </w:tcPr>
          <w:p>
            <w:pPr>
              <w:pStyle w:val="Contedodatabela"/>
              <w:spacing w:before="0" w:after="0"/>
              <w:jc w:val="center"/>
              <w:rPr/>
            </w:pPr>
            <w:r>
              <w:rPr/>
              <w:t>Unidade</w:t>
            </w:r>
          </w:p>
        </w:tc>
        <w:tc>
          <w:tcPr>
            <w:tcW w:w="1607" w:type="dxa"/>
            <w:tcBorders>
              <w:left w:val="single" w:sz="4" w:space="0" w:color="000000"/>
              <w:bottom w:val="single" w:sz="4" w:space="0" w:color="000000"/>
            </w:tcBorders>
            <w:vAlign w:val="center"/>
          </w:tcPr>
          <w:p>
            <w:pPr>
              <w:pStyle w:val="Contedodatabela"/>
              <w:spacing w:before="0" w:after="0"/>
              <w:jc w:val="center"/>
              <w:rPr/>
            </w:pPr>
            <w:r>
              <w:rPr/>
              <w:t>Quant. Estimada</w:t>
            </w:r>
          </w:p>
        </w:tc>
        <w:tc>
          <w:tcPr>
            <w:tcW w:w="1610" w:type="dxa"/>
            <w:tcBorders>
              <w:left w:val="single" w:sz="4" w:space="0" w:color="000000"/>
              <w:bottom w:val="single" w:sz="4" w:space="0" w:color="000000"/>
            </w:tcBorders>
            <w:vAlign w:val="center"/>
          </w:tcPr>
          <w:p>
            <w:pPr>
              <w:pStyle w:val="Contedodatabela"/>
              <w:spacing w:before="0" w:after="0"/>
              <w:jc w:val="center"/>
              <w:rPr/>
            </w:pPr>
            <w:r>
              <w:rPr/>
              <w:t>Valor Est. Unit.</w:t>
            </w:r>
          </w:p>
        </w:tc>
        <w:tc>
          <w:tcPr>
            <w:tcW w:w="1602" w:type="dxa"/>
            <w:tcBorders>
              <w:left w:val="single" w:sz="4" w:space="0" w:color="000000"/>
              <w:bottom w:val="single" w:sz="4" w:space="0" w:color="000000"/>
              <w:right w:val="single" w:sz="4" w:space="0" w:color="000000"/>
            </w:tcBorders>
            <w:vAlign w:val="center"/>
          </w:tcPr>
          <w:p>
            <w:pPr>
              <w:pStyle w:val="Contedodatabela"/>
              <w:spacing w:before="0" w:after="0"/>
              <w:jc w:val="center"/>
              <w:rPr/>
            </w:pPr>
            <w:r>
              <w:rPr/>
              <w:t>Valor Total Est.</w:t>
            </w:r>
          </w:p>
        </w:tc>
      </w:tr>
      <w:tr>
        <w:trPr/>
        <w:tc>
          <w:tcPr>
            <w:tcW w:w="714" w:type="dxa"/>
            <w:tcBorders>
              <w:left w:val="single" w:sz="4" w:space="0" w:color="000000"/>
              <w:bottom w:val="single" w:sz="4" w:space="0" w:color="000000"/>
            </w:tcBorders>
            <w:vAlign w:val="center"/>
          </w:tcPr>
          <w:p>
            <w:pPr>
              <w:pStyle w:val="Contedodatabela"/>
              <w:spacing w:before="0" w:after="0"/>
              <w:jc w:val="center"/>
              <w:rPr/>
            </w:pPr>
            <w:r>
              <w:rPr/>
              <w:t>01</w:t>
            </w:r>
          </w:p>
        </w:tc>
        <w:tc>
          <w:tcPr>
            <w:tcW w:w="2498" w:type="dxa"/>
            <w:tcBorders>
              <w:left w:val="single" w:sz="4" w:space="0" w:color="000000"/>
              <w:bottom w:val="single" w:sz="4" w:space="0" w:color="000000"/>
            </w:tcBorders>
          </w:tcPr>
          <w:p>
            <w:pPr>
              <w:pStyle w:val="Contedodatabela"/>
              <w:spacing w:before="0" w:after="0"/>
              <w:rPr/>
            </w:pPr>
            <w:r>
              <w:rPr/>
              <w:t>Espaço para exposição do Conselho Regional de Odontologia – metragem 2x2 metros</w:t>
            </w:r>
          </w:p>
        </w:tc>
        <w:tc>
          <w:tcPr>
            <w:tcW w:w="1606" w:type="dxa"/>
            <w:tcBorders>
              <w:left w:val="single" w:sz="4" w:space="0" w:color="000000"/>
              <w:bottom w:val="single" w:sz="4" w:space="0" w:color="000000"/>
            </w:tcBorders>
          </w:tcPr>
          <w:p>
            <w:pPr>
              <w:pStyle w:val="Contedodatabela"/>
              <w:spacing w:before="0" w:after="0"/>
              <w:jc w:val="center"/>
              <w:rPr/>
            </w:pPr>
            <w:r>
              <w:rPr/>
              <w:t>Metragem</w:t>
            </w:r>
          </w:p>
        </w:tc>
        <w:tc>
          <w:tcPr>
            <w:tcW w:w="1607" w:type="dxa"/>
            <w:tcBorders>
              <w:left w:val="single" w:sz="4" w:space="0" w:color="000000"/>
              <w:bottom w:val="single" w:sz="4" w:space="0" w:color="000000"/>
            </w:tcBorders>
          </w:tcPr>
          <w:p>
            <w:pPr>
              <w:pStyle w:val="Contedodatabela"/>
              <w:spacing w:before="0" w:after="0"/>
              <w:jc w:val="center"/>
              <w:rPr/>
            </w:pPr>
            <w:r>
              <w:rPr/>
              <w:t>2 M²</w:t>
            </w:r>
          </w:p>
        </w:tc>
        <w:tc>
          <w:tcPr>
            <w:tcW w:w="1610" w:type="dxa"/>
            <w:tcBorders>
              <w:left w:val="single" w:sz="4" w:space="0" w:color="000000"/>
              <w:bottom w:val="single" w:sz="4" w:space="0" w:color="000000"/>
            </w:tcBorders>
          </w:tcPr>
          <w:p>
            <w:pPr>
              <w:pStyle w:val="Contedodatabela"/>
              <w:spacing w:before="0" w:after="0"/>
              <w:jc w:val="center"/>
              <w:rPr/>
            </w:pPr>
            <w:r>
              <w:rPr/>
              <w:t>R$ 7.000,00</w:t>
            </w:r>
          </w:p>
        </w:tc>
        <w:tc>
          <w:tcPr>
            <w:tcW w:w="1602" w:type="dxa"/>
            <w:tcBorders>
              <w:left w:val="single" w:sz="4" w:space="0" w:color="000000"/>
              <w:bottom w:val="single" w:sz="4" w:space="0" w:color="000000"/>
              <w:right w:val="single" w:sz="4" w:space="0" w:color="000000"/>
            </w:tcBorders>
          </w:tcPr>
          <w:p>
            <w:pPr>
              <w:pStyle w:val="Contedodatabela"/>
              <w:spacing w:before="0" w:after="0"/>
              <w:jc w:val="center"/>
              <w:rPr/>
            </w:pPr>
            <w:r>
              <w:rPr/>
              <w:t>R$ 7.000,00</w:t>
            </w:r>
          </w:p>
        </w:tc>
      </w:tr>
    </w:tbl>
    <w:p>
      <w:pPr>
        <w:pStyle w:val="Normal"/>
        <w:widowControl/>
        <w:suppressAutoHyphens w:val="true"/>
        <w:bidi w:val="0"/>
        <w:spacing w:lineRule="auto" w:line="276" w:before="0" w:after="0"/>
        <w:ind w:hanging="0" w:left="170" w:right="113"/>
        <w:jc w:val="both"/>
        <w:rPr>
          <w:rFonts w:eastAsia="Times New Roman" w:cs="Times New Roman"/>
          <w:sz w:val="24"/>
          <w:szCs w:val="24"/>
          <w:lang w:eastAsia="pt-BR"/>
        </w:rPr>
      </w:pPr>
      <w:r>
        <w:rPr>
          <w:rFonts w:eastAsia="Times New Roman" w:cs="Times New Roman"/>
          <w:sz w:val="24"/>
          <w:szCs w:val="24"/>
          <w:lang w:eastAsia="pt-BR"/>
        </w:rPr>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
          <w:bCs/>
          <w:sz w:val="24"/>
          <w:szCs w:val="24"/>
        </w:rPr>
      </w:pPr>
      <w:r>
        <w:rPr>
          <w:b/>
          <w:bCs/>
          <w:sz w:val="24"/>
          <w:szCs w:val="24"/>
        </w:rPr>
        <w:t>6. LOCAL, PRAZO DE ENTREGA E EXECUÇÃO</w:t>
      </w:r>
    </w:p>
    <w:p>
      <w:pPr>
        <w:pStyle w:val="Normal"/>
        <w:widowControl/>
        <w:suppressAutoHyphens w:val="true"/>
        <w:bidi w:val="0"/>
        <w:spacing w:lineRule="auto" w:line="276" w:before="0" w:after="0"/>
        <w:ind w:hanging="0" w:left="0" w:right="0"/>
        <w:jc w:val="both"/>
        <w:rPr/>
      </w:pPr>
      <w:r>
        <w:rPr>
          <w:rFonts w:eastAsia="Calibri" w:cs="Times New Roman"/>
          <w:sz w:val="24"/>
          <w:szCs w:val="24"/>
        </w:rPr>
        <w:t xml:space="preserve">6.1. </w:t>
      </w:r>
      <w:r>
        <w:rPr>
          <w:rFonts w:eastAsia="Calibri" w:cs="Times New Roman"/>
          <w:sz w:val="24"/>
          <w:szCs w:val="24"/>
          <w:lang w:eastAsia="pt-BR"/>
        </w:rPr>
        <w:t>Prazo de Entrega.</w:t>
      </w:r>
    </w:p>
    <w:p>
      <w:pPr>
        <w:pStyle w:val="Normal"/>
        <w:widowControl/>
        <w:suppressAutoHyphens w:val="true"/>
        <w:bidi w:val="0"/>
        <w:spacing w:lineRule="auto" w:line="276" w:before="0" w:after="0"/>
        <w:ind w:hanging="0" w:left="0" w:right="0"/>
        <w:jc w:val="both"/>
        <w:rPr/>
      </w:pPr>
      <w:r>
        <w:rPr>
          <w:rFonts w:eastAsia="Calibri" w:cs="Times New Roman"/>
          <w:sz w:val="24"/>
          <w:szCs w:val="24"/>
          <w:lang w:eastAsia="pt-BR"/>
        </w:rPr>
        <w:t xml:space="preserve">6.1.1 Os serviços serão prestados/entregues nos dias </w:t>
      </w:r>
      <w:r>
        <w:rPr>
          <w:rFonts w:eastAsia="Calibri" w:cs="Times New Roman"/>
          <w:b/>
          <w:bCs/>
          <w:sz w:val="24"/>
          <w:szCs w:val="24"/>
          <w:lang w:eastAsia="pt-BR"/>
        </w:rPr>
        <w:t xml:space="preserve">19 e </w:t>
      </w:r>
      <w:r>
        <w:rPr>
          <w:rFonts w:eastAsia="Calibri" w:cs="Times New Roman"/>
          <w:b/>
          <w:sz w:val="24"/>
          <w:szCs w:val="24"/>
          <w:lang w:eastAsia="pt-BR"/>
        </w:rPr>
        <w:t xml:space="preserve">20 de abril de 2024, na FATEC-SENAI </w:t>
      </w:r>
      <w:r>
        <w:rPr>
          <w:rFonts w:eastAsia="Calibri" w:cs="Times New Roman"/>
          <w:sz w:val="24"/>
          <w:szCs w:val="24"/>
          <w:lang w:eastAsia="pt-BR"/>
        </w:rPr>
        <w:t>após a emissão da ordem de serviço, no seguinte endereço: Endereço: Av. XV de Novembro, 303 – Porto, Cuiabá – MT, 78020-300.</w:t>
      </w:r>
    </w:p>
    <w:p>
      <w:pPr>
        <w:pStyle w:val="Normal"/>
        <w:widowControl/>
        <w:suppressAutoHyphens w:val="true"/>
        <w:bidi w:val="0"/>
        <w:spacing w:lineRule="auto" w:line="276" w:before="0" w:after="0"/>
        <w:ind w:hanging="0" w:left="0" w:right="0"/>
        <w:jc w:val="both"/>
        <w:rPr>
          <w:rFonts w:eastAsia="Calibri" w:cs="Times New Roman"/>
          <w:sz w:val="24"/>
          <w:szCs w:val="24"/>
          <w:lang w:eastAsia="pt-BR"/>
        </w:rPr>
      </w:pPr>
      <w:r>
        <w:rPr>
          <w:rFonts w:eastAsia="Calibri" w:cs="Times New Roman"/>
          <w:sz w:val="24"/>
          <w:szCs w:val="24"/>
          <w:lang w:eastAsia="pt-BR"/>
        </w:rPr>
      </w:r>
    </w:p>
    <w:p>
      <w:pPr>
        <w:pStyle w:val="Normal"/>
        <w:spacing w:lineRule="auto" w:line="360"/>
        <w:ind w:hanging="0"/>
        <w:jc w:val="both"/>
        <w:rPr>
          <w:rFonts w:eastAsia="Calibri" w:eastAsiaTheme="minorHAnsi"/>
          <w:sz w:val="24"/>
          <w:szCs w:val="24"/>
          <w:lang w:eastAsia="en-US"/>
        </w:rPr>
      </w:pPr>
      <w:r>
        <w:rPr>
          <w:rFonts w:eastAsia="Calibri" w:eastAsiaTheme="minorHAnsi"/>
          <w:sz w:val="24"/>
          <w:szCs w:val="24"/>
          <w:lang w:eastAsia="en-US"/>
        </w:rPr>
        <w:t xml:space="preserve">6.2. </w:t>
      </w:r>
      <w:r>
        <w:rPr>
          <w:sz w:val="24"/>
          <w:szCs w:val="24"/>
        </w:rPr>
        <w:t>Da Subcontratação:</w:t>
      </w:r>
    </w:p>
    <w:p>
      <w:pPr>
        <w:pStyle w:val="Normal"/>
        <w:spacing w:lineRule="auto" w:line="360"/>
        <w:ind w:hanging="0"/>
        <w:jc w:val="both"/>
        <w:rPr>
          <w:rFonts w:eastAsia="Calibri" w:eastAsiaTheme="minorHAnsi"/>
          <w:sz w:val="24"/>
          <w:szCs w:val="24"/>
          <w:lang w:eastAsia="en-US"/>
        </w:rPr>
      </w:pPr>
      <w:r>
        <w:rPr>
          <w:sz w:val="24"/>
          <w:szCs w:val="24"/>
        </w:rPr>
        <w:t xml:space="preserve">6.2.1. </w:t>
      </w:r>
      <w:bookmarkStart w:id="1" w:name="_Hlk142054131"/>
      <w:r>
        <w:rPr>
          <w:sz w:val="24"/>
          <w:szCs w:val="24"/>
        </w:rPr>
        <w:t>Não será permitida a subcontratação no todo ou em parte do objeto deste certame.</w:t>
      </w:r>
      <w:bookmarkEnd w:id="1"/>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
          <w:bCs/>
          <w:sz w:val="24"/>
          <w:szCs w:val="24"/>
        </w:rPr>
      </w:pPr>
      <w:r>
        <w:rPr>
          <w:b/>
          <w:bCs/>
          <w:sz w:val="24"/>
          <w:szCs w:val="24"/>
        </w:rPr>
        <w:t>7. DAS OBRIGAÇÕES DA CONTRATANTE</w:t>
      </w:r>
    </w:p>
    <w:p>
      <w:pPr>
        <w:pStyle w:val="ListParagraph"/>
        <w:numPr>
          <w:ilvl w:val="1"/>
          <w:numId w:val="1"/>
        </w:numPr>
        <w:tabs>
          <w:tab w:val="clear" w:pos="708"/>
          <w:tab w:val="left" w:pos="142" w:leader="none"/>
        </w:tabs>
        <w:spacing w:lineRule="auto" w:line="276" w:before="0" w:after="200"/>
        <w:contextualSpacing/>
        <w:jc w:val="both"/>
        <w:rPr>
          <w:vanish/>
          <w:sz w:val="24"/>
          <w:szCs w:val="24"/>
        </w:rPr>
      </w:pPr>
      <w:r>
        <w:rPr>
          <w:vanish/>
          <w:sz w:val="24"/>
          <w:szCs w:val="24"/>
        </w:rPr>
      </w:r>
    </w:p>
    <w:p>
      <w:pPr>
        <w:pStyle w:val="Normal"/>
        <w:widowControl w:val="false"/>
        <w:tabs>
          <w:tab w:val="clear" w:pos="708"/>
          <w:tab w:val="left" w:pos="932" w:leader="none"/>
        </w:tabs>
        <w:spacing w:lineRule="auto" w:line="276"/>
        <w:jc w:val="both"/>
        <w:rPr>
          <w:bCs/>
          <w:sz w:val="24"/>
          <w:szCs w:val="24"/>
          <w:lang w:val="pt-PT"/>
        </w:rPr>
      </w:pPr>
      <w:r>
        <w:rPr>
          <w:bCs/>
          <w:sz w:val="24"/>
          <w:szCs w:val="24"/>
          <w:lang w:val="pt-PT"/>
        </w:rPr>
        <w:t>7.1. Receber o serviço no prazo e condições estabelecidas neste Termo de Referência/Contrato;</w:t>
      </w:r>
    </w:p>
    <w:p>
      <w:pPr>
        <w:pStyle w:val="Normal"/>
        <w:widowControl w:val="false"/>
        <w:tabs>
          <w:tab w:val="clear" w:pos="708"/>
          <w:tab w:val="left" w:pos="932" w:leader="none"/>
        </w:tabs>
        <w:spacing w:lineRule="auto" w:line="276"/>
        <w:jc w:val="both"/>
        <w:rPr>
          <w:bCs/>
          <w:sz w:val="24"/>
          <w:szCs w:val="24"/>
          <w:lang w:val="pt-PT"/>
        </w:rPr>
      </w:pPr>
      <w:r>
        <w:rPr>
          <w:bCs/>
          <w:sz w:val="24"/>
          <w:szCs w:val="24"/>
          <w:lang w:val="pt-PT"/>
        </w:rPr>
        <w:t>7.2. Verificar minuciosamente, no prazo fixado, a conformidade dos serviços recebidos  descrito no Termo de Referência/Contrato;</w:t>
      </w:r>
    </w:p>
    <w:p>
      <w:pPr>
        <w:pStyle w:val="Normal"/>
        <w:widowControl w:val="false"/>
        <w:tabs>
          <w:tab w:val="clear" w:pos="708"/>
          <w:tab w:val="left" w:pos="932" w:leader="none"/>
        </w:tabs>
        <w:spacing w:lineRule="auto" w:line="276"/>
        <w:jc w:val="both"/>
        <w:rPr>
          <w:bCs/>
          <w:sz w:val="24"/>
          <w:szCs w:val="24"/>
          <w:lang w:val="pt-PT"/>
        </w:rPr>
      </w:pPr>
      <w:r>
        <w:rPr>
          <w:bCs/>
          <w:sz w:val="24"/>
          <w:szCs w:val="24"/>
          <w:lang w:val="pt-PT"/>
        </w:rPr>
        <w:t>7.3. Comunicar à Contratada, por escrito, sobre imperfeições, falhas ou irregularidades verificadas no serviço prestado/objeto, para que seja tomado as devidas providencia;</w:t>
      </w:r>
    </w:p>
    <w:p>
      <w:pPr>
        <w:pStyle w:val="Normal"/>
        <w:widowControl w:val="false"/>
        <w:tabs>
          <w:tab w:val="clear" w:pos="708"/>
          <w:tab w:val="left" w:pos="932" w:leader="none"/>
        </w:tabs>
        <w:spacing w:lineRule="auto" w:line="276"/>
        <w:jc w:val="both"/>
        <w:rPr>
          <w:bCs/>
          <w:sz w:val="24"/>
          <w:szCs w:val="24"/>
          <w:lang w:val="pt-PT"/>
        </w:rPr>
      </w:pPr>
      <w:r>
        <w:rPr>
          <w:bCs/>
          <w:sz w:val="24"/>
          <w:szCs w:val="24"/>
          <w:lang w:val="pt-PT"/>
        </w:rPr>
        <w:t xml:space="preserve">7.4. Acompanhar e fiscalizar o cumprimento das obrigações da Contratada, através de servidor especialmente designado; </w:t>
      </w:r>
    </w:p>
    <w:p>
      <w:pPr>
        <w:pStyle w:val="Normal"/>
        <w:widowControl w:val="false"/>
        <w:tabs>
          <w:tab w:val="clear" w:pos="708"/>
          <w:tab w:val="left" w:pos="932" w:leader="none"/>
        </w:tabs>
        <w:spacing w:lineRule="auto" w:line="276"/>
        <w:jc w:val="both"/>
        <w:rPr>
          <w:bCs/>
          <w:sz w:val="24"/>
          <w:szCs w:val="24"/>
          <w:lang w:val="pt-PT"/>
        </w:rPr>
      </w:pPr>
      <w:r>
        <w:rPr>
          <w:bCs/>
          <w:sz w:val="24"/>
          <w:szCs w:val="24"/>
          <w:lang w:val="pt-PT"/>
        </w:rPr>
        <w:t xml:space="preserve">7.5 Efetuar o pagamento à Contratada no valor correspondente a prestação do serviço/entrega do material, no prazo e forma estabelecidos no Termo de Referência; </w:t>
      </w:r>
    </w:p>
    <w:p>
      <w:pPr>
        <w:pStyle w:val="Normal"/>
        <w:spacing w:lineRule="auto" w:line="276"/>
        <w:jc w:val="both"/>
        <w:rPr>
          <w:bCs/>
          <w:sz w:val="24"/>
          <w:szCs w:val="24"/>
          <w:lang w:val="pt-PT"/>
        </w:rPr>
      </w:pPr>
      <w:r>
        <w:rPr>
          <w:bCs/>
          <w:sz w:val="24"/>
          <w:szCs w:val="24"/>
          <w:lang w:val="pt-PT"/>
        </w:rPr>
        <w:t>7.6.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pPr>
        <w:pStyle w:val="Normal"/>
        <w:pBdr>
          <w:top w:val="single" w:sz="4" w:space="1" w:color="000000"/>
          <w:left w:val="single" w:sz="4" w:space="4" w:color="000000"/>
          <w:bottom w:val="single" w:sz="4" w:space="1" w:color="000000"/>
          <w:right w:val="single" w:sz="4" w:space="4" w:color="000000"/>
        </w:pBdr>
        <w:shd w:val="clear" w:color="auto" w:fill="AEAAAA" w:themeFill="background2" w:themeFillShade="bf"/>
        <w:spacing w:lineRule="auto" w:line="276"/>
        <w:jc w:val="both"/>
        <w:rPr>
          <w:bCs/>
          <w:sz w:val="24"/>
          <w:szCs w:val="24"/>
          <w:lang w:val="pt-PT"/>
        </w:rPr>
      </w:pPr>
      <w:r>
        <w:rPr>
          <w:b/>
          <w:bCs/>
          <w:sz w:val="24"/>
          <w:szCs w:val="24"/>
        </w:rPr>
        <w:t>8. DAS OBRIGAÇÕES DA CONTRATADA</w:t>
      </w:r>
    </w:p>
    <w:p>
      <w:pPr>
        <w:pStyle w:val="BodyText"/>
        <w:shd w:val="clear" w:color="auto" w:fill="FFFFFF"/>
        <w:spacing w:lineRule="auto" w:line="276"/>
        <w:jc w:val="both"/>
        <w:rPr>
          <w:sz w:val="24"/>
          <w:szCs w:val="24"/>
        </w:rPr>
      </w:pPr>
      <w:r>
        <w:rPr>
          <w:sz w:val="24"/>
          <w:szCs w:val="24"/>
        </w:rPr>
        <w:t xml:space="preserve">8.1 </w:t>
      </w:r>
      <w:bookmarkStart w:id="2" w:name="_Hlk142054252"/>
      <w:r>
        <w:rPr>
          <w:sz w:val="24"/>
          <w:szCs w:val="24"/>
        </w:rPr>
        <w:t xml:space="preserve">A </w:t>
      </w:r>
      <w:r>
        <w:rPr>
          <w:b/>
          <w:sz w:val="24"/>
          <w:szCs w:val="24"/>
        </w:rPr>
        <w:t>CONTRATADA</w:t>
      </w:r>
      <w:r>
        <w:rPr>
          <w:sz w:val="24"/>
          <w:szCs w:val="24"/>
        </w:rPr>
        <w:t xml:space="preserve"> se obriga à:</w:t>
      </w:r>
    </w:p>
    <w:p>
      <w:pPr>
        <w:pStyle w:val="BodyText"/>
        <w:shd w:val="clear" w:color="auto" w:fill="FFFFFF"/>
        <w:spacing w:lineRule="auto" w:line="276"/>
        <w:jc w:val="both"/>
        <w:rPr>
          <w:b/>
          <w:sz w:val="24"/>
          <w:szCs w:val="24"/>
        </w:rPr>
      </w:pPr>
      <w:r>
        <w:rPr>
          <w:sz w:val="24"/>
          <w:szCs w:val="24"/>
        </w:rPr>
        <w:t xml:space="preserve">a). Fornecer os serviços descritos neste Contrato Administrativo conforme solicitado via </w:t>
      </w:r>
      <w:r>
        <w:rPr>
          <w:b/>
          <w:sz w:val="24"/>
          <w:szCs w:val="24"/>
        </w:rPr>
        <w:t>Ordem de Fornecimento de Serviço, na data já estabelecida na proposta comercial, contados do recebimento da O.F.</w:t>
      </w:r>
    </w:p>
    <w:p>
      <w:pPr>
        <w:pStyle w:val="BodyText"/>
        <w:shd w:val="clear" w:color="auto" w:fill="FFFFFF"/>
        <w:spacing w:lineRule="auto" w:line="276"/>
        <w:ind w:left="426"/>
        <w:jc w:val="both"/>
        <w:rPr>
          <w:sz w:val="24"/>
          <w:szCs w:val="24"/>
        </w:rPr>
      </w:pPr>
      <w:r>
        <w:rPr>
          <w:sz w:val="24"/>
          <w:szCs w:val="24"/>
        </w:rPr>
        <w:t>a.1) A requisição poderá ser realizada por whatsapp ou e-mail a ser fornecido pelo CONTRATADO.</w:t>
      </w:r>
    </w:p>
    <w:p>
      <w:pPr>
        <w:pStyle w:val="BodyText"/>
        <w:shd w:val="clear" w:color="auto" w:fill="FFFFFF"/>
        <w:spacing w:lineRule="auto" w:line="276"/>
        <w:jc w:val="both"/>
        <w:rPr>
          <w:sz w:val="24"/>
          <w:szCs w:val="24"/>
        </w:rPr>
      </w:pPr>
      <w:r>
        <w:rPr>
          <w:sz w:val="24"/>
          <w:szCs w:val="24"/>
        </w:rPr>
        <w:t>b) A(s) Nota(s) Fiscal(is) do(s) material(ais)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sz w:val="24"/>
          <w:szCs w:val="24"/>
        </w:rPr>
        <w:t>.</w:t>
      </w:r>
      <w:r>
        <w:rPr>
          <w:sz w:val="24"/>
          <w:szCs w:val="24"/>
        </w:rP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pPr>
        <w:pStyle w:val="BodyText"/>
        <w:shd w:val="clear" w:color="auto" w:fill="FFFFFF"/>
        <w:spacing w:lineRule="auto" w:line="276"/>
        <w:ind w:left="426"/>
        <w:jc w:val="both"/>
        <w:rPr>
          <w:sz w:val="24"/>
          <w:szCs w:val="24"/>
        </w:rPr>
      </w:pPr>
      <w:r>
        <w:rPr>
          <w:sz w:val="24"/>
          <w:szCs w:val="24"/>
        </w:rPr>
        <w:t xml:space="preserve">b.1) Junto com a(s) Nota(s) Fiscal(is) A CONTRATADA deverá manter a regularidade fiscal a cada  pedido de pagamento, os documentos a seguir discriminados, para verificação perante os órgãos competentes: comprovação de regularidade junto ao Sistema da Seguridade Social (CND) e à Fazenda Federal que compõe a </w:t>
      </w:r>
      <w:r>
        <w:rPr>
          <w:sz w:val="24"/>
          <w:szCs w:val="24"/>
          <w:shd w:fill="FFFFFF" w:val="clear"/>
        </w:rPr>
        <w:t>Certidão de Débitos Relativos a Créditos Tributários Federais e à Dívida Ativa da União</w:t>
      </w:r>
      <w:r>
        <w:rPr>
          <w:sz w:val="24"/>
          <w:szCs w:val="24"/>
        </w:rPr>
        <w:t>, o Certificado de Regularidade do FGTS (CRF), e da certidão negativa de débitos trabalhistas (CNDT), se for optante pelo simples nacional apresentar declaração, sem que isso gere direito a alteração de preços ou compensação finan</w:t>
      </w:r>
      <w:r>
        <w:rPr>
          <w:sz w:val="24"/>
          <w:szCs w:val="24"/>
          <w:shd w:fill="auto" w:val="clear"/>
        </w:rPr>
        <w:t>ceira, da Fazenda Municipal com Certidão de Débitos Gerais do município de origem da Contratada e outra equivalente (</w:t>
      </w:r>
      <w:r>
        <w:rPr>
          <w:b/>
          <w:bCs w:val="false"/>
          <w:sz w:val="24"/>
          <w:szCs w:val="24"/>
          <w:shd w:fill="auto" w:val="clear"/>
        </w:rPr>
        <w:t>quando se tratar de serviços)</w:t>
      </w:r>
      <w:r>
        <w:rPr>
          <w:sz w:val="24"/>
          <w:szCs w:val="24"/>
          <w:shd w:fill="auto" w:val="clear"/>
        </w:rPr>
        <w:t xml:space="preserve"> e da Fazenda Estadual com Certidão Conjunta de Pendencias Tributárias e não Tributária Junto a SEFAZ a PGE do Estado de origem da Contratada ou outra equivalente. (</w:t>
      </w:r>
      <w:r>
        <w:rPr>
          <w:b/>
          <w:bCs w:val="false"/>
          <w:sz w:val="24"/>
          <w:szCs w:val="24"/>
          <w:shd w:fill="auto" w:val="clear"/>
        </w:rPr>
        <w:t>quando se tratar de materiais)</w:t>
      </w:r>
    </w:p>
    <w:p>
      <w:pPr>
        <w:pStyle w:val="BodyText"/>
        <w:shd w:val="clear" w:color="auto" w:fill="FFFFFF"/>
        <w:spacing w:lineRule="auto" w:line="276"/>
        <w:ind w:left="426"/>
        <w:jc w:val="both"/>
        <w:rPr>
          <w:sz w:val="24"/>
          <w:szCs w:val="24"/>
        </w:rPr>
      </w:pPr>
      <w:r>
        <w:rPr>
          <w:sz w:val="24"/>
          <w:szCs w:val="24"/>
        </w:rPr>
        <w:t xml:space="preserve">b.2). Serão aceitas como prova de regularidade, certidões positivas com efeito de negativas e certidões positivas que noticiem em seu corpo que os débitos estão judicialmente garantidos ou com sua exigibilidade suspensa. </w:t>
      </w:r>
    </w:p>
    <w:p>
      <w:pPr>
        <w:pStyle w:val="BodyText"/>
        <w:shd w:val="clear" w:color="auto" w:fill="FFFFFF"/>
        <w:spacing w:lineRule="auto" w:line="276"/>
        <w:jc w:val="both"/>
        <w:rPr>
          <w:sz w:val="24"/>
          <w:szCs w:val="24"/>
        </w:rPr>
      </w:pPr>
      <w:r>
        <w:rPr>
          <w:sz w:val="24"/>
          <w:szCs w:val="24"/>
        </w:rPr>
        <w:t xml:space="preserve">c) Fornecer os materiais/serviços nas instalações da </w:t>
      </w:r>
      <w:r>
        <w:rPr>
          <w:b/>
          <w:sz w:val="24"/>
          <w:szCs w:val="24"/>
        </w:rPr>
        <w:t>CONTRATANTE</w:t>
      </w:r>
      <w:r>
        <w:rPr>
          <w:sz w:val="24"/>
          <w:szCs w:val="24"/>
        </w:rPr>
        <w:t xml:space="preserve"> com esmero e sob sua exclusiva responsabilidade, sempre que solicitado pelo CROMT, sendo vedada a transferência dos mesmos a terceiros, sem previa e expressa concordância da CONTRATANTE. </w:t>
      </w:r>
    </w:p>
    <w:p>
      <w:pPr>
        <w:pStyle w:val="BodyText"/>
        <w:shd w:val="clear" w:color="auto" w:fill="FFFFFF"/>
        <w:spacing w:lineRule="auto" w:line="276"/>
        <w:jc w:val="both"/>
        <w:rPr>
          <w:sz w:val="24"/>
          <w:szCs w:val="24"/>
        </w:rPr>
      </w:pPr>
      <w:r>
        <w:rPr>
          <w:sz w:val="24"/>
          <w:szCs w:val="24"/>
        </w:rPr>
        <w:t xml:space="preserve">d) A Contratada deverá fornecer uma conta em nominal a pessoa jurídica deste processo. </w:t>
      </w:r>
    </w:p>
    <w:p>
      <w:pPr>
        <w:pStyle w:val="BodyText"/>
        <w:shd w:val="clear" w:color="auto" w:fill="FFFFFF"/>
        <w:spacing w:lineRule="auto" w:line="276"/>
        <w:ind w:left="42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8.2 Manter contato com a contratante sobre quaisquer assuntos relativos ao fornecimento do serviço objeto deste processo, sempre por escrito, ressalvados os entendimentos verbas determinados pela urgência de cada caso.</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8.3 Arcar com todas as despesas diretas ou indiretas, decorrentes do cumprimento das obrigações assumidas, sem qualquer ônus para a Contratante.</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8.4 Respeitar e fazer cumprir as legislações e normas regulamentadoras pertinentes à prestação de serviços a serem contratados.</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8.5 Comunicar imediatamente o Conselho Regional de Odontologia sobre qualquer alteração ocorrida no endereço, conta bancará e outros julgáveis necessários para o recebimento de correspondência.</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8.6 Efetuar a imediata correção das deficiências apontadas pela Contratante, com a relação à prestação dos serviços.</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8.7 Executar os serviços de acordo com a solicitação, obedecendo à proposta apresentada, dentro dos padrões pré-estabelecidos, em conformidade com as especificações; responsabilizando-se por eventuais prejuízos decorrentes do descumprimento de conduções pré-estabelecidas.</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8.8 Manter durante o prazo de vigência do Contrato ou instrumento equivalente, todas as condições de habilitação necessária a contratação.</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8.9 Prestar os esclarecimentos que forem solicitados pelo Fiscal do CROMT, cujas reclamações se obrigam a atender prontamente: bem como dar ciência imediatamente por escrito ao CROMT, de qualquer anormalidade que verificar quando do fornecimento/prestação ora contratado.</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8.10 Gerenciar junto ao CRO um preposto para prestar esclarecimentos e atender as reclamações/solicitações que surgirem durante a execução do contrato.</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bookmarkStart w:id="3" w:name="_Hlk143245736"/>
      <w:r>
        <w:rPr>
          <w:sz w:val="24"/>
          <w:szCs w:val="24"/>
        </w:rPr>
        <w:t xml:space="preserve">8.11 Responsabilizar-se por quaisquer ônus decorrentes de omissões ou erros na elaboração das estimativas de custos. </w:t>
      </w:r>
      <w:bookmarkEnd w:id="2"/>
      <w:bookmarkEnd w:id="3"/>
    </w:p>
    <w:p>
      <w:pPr>
        <w:pStyle w:val="Normal"/>
        <w:spacing w:lineRule="auto" w:line="276"/>
        <w:jc w:val="both"/>
        <w:rPr>
          <w:bCs/>
          <w:sz w:val="24"/>
          <w:szCs w:val="24"/>
          <w:lang w:val="pt-PT"/>
        </w:rPr>
      </w:pPr>
      <w:r>
        <w:rPr>
          <w:bCs/>
          <w:sz w:val="24"/>
          <w:szCs w:val="24"/>
          <w:lang w:val="pt-PT"/>
        </w:rPr>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
          <w:bCs/>
          <w:sz w:val="24"/>
          <w:szCs w:val="24"/>
        </w:rPr>
      </w:pPr>
      <w:r>
        <w:rPr>
          <w:b/>
          <w:bCs/>
          <w:sz w:val="24"/>
          <w:szCs w:val="24"/>
        </w:rPr>
        <w:t>9. DA HABILITAÇÃO:</w:t>
      </w:r>
    </w:p>
    <w:p>
      <w:pPr>
        <w:pStyle w:val="Normal"/>
        <w:spacing w:lineRule="auto" w:line="276"/>
        <w:jc w:val="both"/>
        <w:rPr>
          <w:bCs/>
          <w:sz w:val="24"/>
          <w:szCs w:val="24"/>
          <w:lang w:val="pt-PT" w:bidi="pt-PT"/>
        </w:rPr>
      </w:pPr>
      <w:r>
        <w:rPr>
          <w:bCs/>
          <w:sz w:val="24"/>
          <w:szCs w:val="24"/>
          <w:lang w:val="pt-PT" w:bidi="pt-PT"/>
        </w:rPr>
        <w:t>9.1 A Contratada que ofereceu o menor valor esá habilitada conforme documentações acostado ao processo:</w:t>
      </w:r>
    </w:p>
    <w:p>
      <w:pPr>
        <w:pStyle w:val="Normal"/>
        <w:spacing w:lineRule="auto" w:line="276"/>
        <w:ind w:firstLine="426"/>
        <w:jc w:val="both"/>
        <w:rPr>
          <w:bCs/>
          <w:sz w:val="24"/>
          <w:szCs w:val="24"/>
          <w:lang w:val="pt-PT" w:bidi="pt-PT"/>
        </w:rPr>
      </w:pPr>
      <w:r>
        <w:rPr>
          <w:bCs/>
          <w:sz w:val="24"/>
          <w:szCs w:val="24"/>
          <w:lang w:val="pt-PT" w:bidi="pt-PT"/>
        </w:rPr>
        <w:t>Empresa: CONTOX LTDA</w:t>
      </w:r>
    </w:p>
    <w:p>
      <w:pPr>
        <w:pStyle w:val="Normal"/>
        <w:spacing w:lineRule="auto" w:line="276"/>
        <w:ind w:firstLine="426"/>
        <w:jc w:val="both"/>
        <w:rPr>
          <w:bCs/>
          <w:sz w:val="24"/>
          <w:szCs w:val="24"/>
          <w:lang w:val="pt-PT" w:bidi="pt-PT"/>
        </w:rPr>
      </w:pPr>
      <w:r>
        <w:rPr>
          <w:bCs/>
          <w:sz w:val="24"/>
          <w:szCs w:val="24"/>
          <w:lang w:val="pt-PT" w:bidi="pt-PT"/>
        </w:rPr>
        <w:t>CNPJ: 37.829.155/0001-45</w:t>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ind w:hanging="142" w:left="142"/>
        <w:jc w:val="both"/>
        <w:rPr>
          <w:bCs/>
          <w:color w:themeColor="text1" w:val="000000"/>
          <w:sz w:val="24"/>
          <w:szCs w:val="24"/>
        </w:rPr>
      </w:pPr>
      <w:r>
        <w:rPr>
          <w:b/>
          <w:bCs/>
          <w:color w:themeColor="text1" w:val="000000"/>
          <w:sz w:val="24"/>
          <w:szCs w:val="24"/>
        </w:rPr>
        <w:t xml:space="preserve">10. DAS PENALIDADES: </w:t>
      </w:r>
    </w:p>
    <w:p>
      <w:pPr>
        <w:pStyle w:val="Normal"/>
        <w:suppressAutoHyphens w:val="true"/>
        <w:spacing w:lineRule="auto" w:line="276"/>
        <w:jc w:val="both"/>
        <w:rPr>
          <w:bCs/>
          <w:color w:val="000000"/>
          <w:sz w:val="24"/>
          <w:szCs w:val="24"/>
        </w:rPr>
      </w:pPr>
      <w:r>
        <w:rPr>
          <w:sz w:val="24"/>
          <w:szCs w:val="24"/>
        </w:rPr>
        <w:t>10.1</w:t>
      </w:r>
      <w:r>
        <w:rPr>
          <w:bCs/>
          <w:color w:val="000000"/>
          <w:sz w:val="24"/>
          <w:szCs w:val="24"/>
        </w:rPr>
        <w:t>. Comete infração administrativa o fornecedor que cometer quaisquer das infrações previstas no art. 155 da Lei nº 14.133, de 2021, quais sejam:</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10.1.1.dar causa à inexecução parcial do contrato;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10.1.2. dar causa à inexecução parcial do contrato que cause grave dano à Administração, ao funcionamento dos serviços públicos ou ao interesse coletivo;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10.1.3. dar causa à inexecução total do contrato;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10.1.4. deixar de entregar a documentação exigida para o certame;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10.1.5. não manter a proposta, salvo em decorrência de fato superveniente devidamente justificado; </w:t>
      </w:r>
    </w:p>
    <w:p>
      <w:pPr>
        <w:pStyle w:val="Normal"/>
        <w:suppressAutoHyphens w:val="true"/>
        <w:spacing w:lineRule="auto" w:line="276"/>
        <w:jc w:val="both"/>
        <w:rPr/>
      </w:pPr>
      <w:r>
        <w:rPr>
          <w:bCs/>
          <w:color w:val="000000"/>
          <w:sz w:val="24"/>
          <w:szCs w:val="24"/>
        </w:rPr>
        <w:t xml:space="preserve">    </w:t>
      </w:r>
      <w:r>
        <w:rPr>
          <w:bCs/>
          <w:color w:val="000000"/>
          <w:sz w:val="24"/>
          <w:szCs w:val="24"/>
        </w:rPr>
        <w:t>10.1.6. não celebrar o contrato ou não entregar a documentação exigida para a contratação, quando convocado dentro do prazo de validade de sua proposta;</w:t>
      </w:r>
      <w:r>
        <w:rPr/>
        <w:t xml:space="preserve"> </w:t>
      </w:r>
    </w:p>
    <w:p>
      <w:pPr>
        <w:pStyle w:val="Normal"/>
        <w:suppressAutoHyphens w:val="true"/>
        <w:spacing w:lineRule="auto" w:line="276"/>
        <w:jc w:val="both"/>
        <w:rPr>
          <w:bCs/>
          <w:color w:val="000000"/>
          <w:sz w:val="24"/>
          <w:szCs w:val="24"/>
        </w:rPr>
      </w:pPr>
      <w:r>
        <w:rPr/>
        <w:t xml:space="preserve">     </w:t>
      </w:r>
      <w:r>
        <w:rPr>
          <w:bCs/>
          <w:color w:val="000000"/>
          <w:sz w:val="24"/>
          <w:szCs w:val="24"/>
        </w:rPr>
        <w:t xml:space="preserve">10.1.7.ensejar o atraso na disponibilização do acesso às ferramentas e serviços em relação ao mês previsto para início da execução do contrato, sem motivo justificado;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10.1.8. apresentar declaração ou documentação falsa exigida para a execução do contrato;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10.1.9. praticar ato fraudulento na execução do contrato;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 xml:space="preserve">10.1.10. comportar-se de modo inidôneo ou cometer fraude de qualquer natureza; </w:t>
      </w:r>
    </w:p>
    <w:p>
      <w:pPr>
        <w:pStyle w:val="Normal"/>
        <w:suppressAutoHyphens w:val="true"/>
        <w:spacing w:lineRule="auto" w:line="276"/>
        <w:jc w:val="both"/>
        <w:rPr>
          <w:bCs/>
          <w:color w:val="000000"/>
          <w:sz w:val="24"/>
          <w:szCs w:val="24"/>
        </w:rPr>
      </w:pPr>
      <w:r>
        <w:rPr>
          <w:bCs/>
          <w:color w:val="000000"/>
          <w:sz w:val="24"/>
          <w:szCs w:val="24"/>
        </w:rPr>
        <w:t xml:space="preserve">        </w:t>
      </w:r>
      <w:r>
        <w:rPr>
          <w:bCs/>
          <w:color w:val="000000"/>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widowControl w:val="false"/>
        <w:spacing w:lineRule="auto" w:line="276"/>
        <w:ind w:firstLine="284"/>
        <w:jc w:val="both"/>
        <w:rPr>
          <w:bCs/>
          <w:color w:val="000000"/>
          <w:sz w:val="24"/>
          <w:szCs w:val="24"/>
        </w:rPr>
      </w:pPr>
      <w:r>
        <w:rPr>
          <w:bCs/>
          <w:color w:val="000000"/>
          <w:sz w:val="24"/>
          <w:szCs w:val="24"/>
        </w:rPr>
        <w:t xml:space="preserve">10.1.11. praticar atos ilícitos com vistas a frustrar os objetivos deste certame. </w:t>
      </w:r>
    </w:p>
    <w:p>
      <w:pPr>
        <w:pStyle w:val="Normal"/>
        <w:widowControl w:val="false"/>
        <w:spacing w:lineRule="auto" w:line="276"/>
        <w:ind w:firstLine="284"/>
        <w:jc w:val="both"/>
        <w:rPr>
          <w:bCs/>
          <w:color w:val="000000"/>
          <w:sz w:val="24"/>
          <w:szCs w:val="24"/>
        </w:rPr>
      </w:pPr>
      <w:r>
        <w:rPr>
          <w:bCs/>
          <w:color w:val="000000"/>
          <w:sz w:val="24"/>
          <w:szCs w:val="24"/>
        </w:rPr>
        <w:t>10.1.12. praticar ato lesivo previsto no art. 5º da Lei nº 12.846, de 1º de agosto de 2013.</w:t>
      </w:r>
    </w:p>
    <w:p>
      <w:pPr>
        <w:pStyle w:val="Normal"/>
        <w:widowControl w:val="false"/>
        <w:spacing w:lineRule="auto" w:line="276"/>
        <w:jc w:val="both"/>
        <w:rPr>
          <w:bCs/>
          <w:color w:val="000000"/>
          <w:sz w:val="24"/>
          <w:szCs w:val="24"/>
        </w:rPr>
      </w:pPr>
      <w:r>
        <w:rPr>
          <w:bCs/>
          <w:color w:val="000000"/>
          <w:sz w:val="24"/>
          <w:szCs w:val="24"/>
        </w:rPr>
      </w:r>
    </w:p>
    <w:p>
      <w:pPr>
        <w:pStyle w:val="Normal"/>
        <w:widowControl w:val="false"/>
        <w:spacing w:lineRule="auto" w:line="276"/>
        <w:jc w:val="both"/>
        <w:rPr>
          <w:bCs/>
          <w:color w:val="000000"/>
          <w:sz w:val="24"/>
          <w:szCs w:val="24"/>
        </w:rPr>
      </w:pPr>
      <w:r>
        <w:rPr>
          <w:sz w:val="24"/>
          <w:szCs w:val="24"/>
        </w:rPr>
        <w:t xml:space="preserve">10.2. O fornecedor que cometer qualquer das infrações discriminadas nos subitens anteriores ficará sujeito, sem prejuízo da responsabilidade civil e criminal, às seguintes sanções: </w:t>
      </w:r>
    </w:p>
    <w:p>
      <w:pPr>
        <w:pStyle w:val="Normal"/>
        <w:widowControl w:val="false"/>
        <w:spacing w:lineRule="auto" w:line="276"/>
        <w:ind w:firstLine="284"/>
        <w:jc w:val="both"/>
        <w:rPr>
          <w:sz w:val="24"/>
          <w:szCs w:val="24"/>
        </w:rPr>
      </w:pPr>
      <w:r>
        <w:rPr>
          <w:sz w:val="24"/>
          <w:szCs w:val="24"/>
        </w:rPr>
        <w:t xml:space="preserve">a) Advertência pela falta do subitem 10.1.1 deste Termo de Referência, quando não se justificar a imposição de penalidade mais grave; </w:t>
      </w:r>
    </w:p>
    <w:p>
      <w:pPr>
        <w:pStyle w:val="Normal"/>
        <w:widowControl w:val="false"/>
        <w:spacing w:lineRule="auto" w:line="276"/>
        <w:ind w:firstLine="284"/>
        <w:jc w:val="both"/>
        <w:rPr>
          <w:sz w:val="24"/>
          <w:szCs w:val="24"/>
        </w:rPr>
      </w:pPr>
      <w:r>
        <w:rPr>
          <w:sz w:val="24"/>
          <w:szCs w:val="24"/>
        </w:rPr>
        <w:t xml:space="preserve">b) Multa de 1% (um por cento) sobre o valor contratado do(s) item(s) prejudicado(s) pela conduta do fornecedor, por qualquer das infrações dos subitens 10.1.4 a 10.1.6 e 10.1.8 a 10.1 12; </w:t>
      </w:r>
    </w:p>
    <w:p>
      <w:pPr>
        <w:pStyle w:val="Normal"/>
        <w:widowControl w:val="false"/>
        <w:spacing w:lineRule="auto" w:line="276"/>
        <w:ind w:firstLine="284"/>
        <w:jc w:val="both"/>
        <w:rPr>
          <w:sz w:val="24"/>
          <w:szCs w:val="24"/>
        </w:rPr>
      </w:pPr>
      <w:r>
        <w:rPr>
          <w:sz w:val="24"/>
          <w:szCs w:val="24"/>
        </w:rPr>
        <w:t xml:space="preserve">d) Multa de mora de 1 % (um por cento) por dia, sobre o valor contratado do item prejudicado por infração do subitem </w:t>
      </w:r>
    </w:p>
    <w:p>
      <w:pPr>
        <w:pStyle w:val="Normal"/>
        <w:widowControl w:val="false"/>
        <w:spacing w:lineRule="auto" w:line="276"/>
        <w:ind w:firstLine="284"/>
        <w:jc w:val="both"/>
        <w:rPr>
          <w:sz w:val="24"/>
          <w:szCs w:val="24"/>
        </w:rPr>
      </w:pPr>
      <w:r>
        <w:rPr>
          <w:sz w:val="24"/>
          <w:szCs w:val="24"/>
        </w:rPr>
        <w:t xml:space="preserve">10.1.7, limitado a 20 dias. Após o vigésimo dia e a critério da Administração, poderá ser considerada inexecução total; </w:t>
      </w:r>
    </w:p>
    <w:p>
      <w:pPr>
        <w:pStyle w:val="Normal"/>
        <w:widowControl w:val="false"/>
        <w:spacing w:lineRule="auto" w:line="276"/>
        <w:ind w:firstLine="284"/>
        <w:jc w:val="both"/>
        <w:rPr>
          <w:sz w:val="24"/>
          <w:szCs w:val="24"/>
        </w:rPr>
      </w:pPr>
      <w:r>
        <w:rPr>
          <w:sz w:val="24"/>
          <w:szCs w:val="24"/>
        </w:rPr>
        <w:t xml:space="preserve">e) Multa de 30% (trinta por cento) sobre o valor contratado, por infração do subitem 10.1.3 (inexecução total do contrato). </w:t>
      </w:r>
    </w:p>
    <w:p>
      <w:pPr>
        <w:pStyle w:val="Normal"/>
        <w:widowControl w:val="false"/>
        <w:spacing w:lineRule="auto" w:line="276"/>
        <w:ind w:firstLine="284"/>
        <w:jc w:val="both"/>
        <w:rPr>
          <w:sz w:val="24"/>
          <w:szCs w:val="24"/>
        </w:rPr>
      </w:pPr>
      <w:r>
        <w:rPr>
          <w:sz w:val="24"/>
          <w:szCs w:val="24"/>
        </w:rPr>
        <w:t xml:space="preserve">f) Impedimento de licitar e contratar no âmbito da Administração Pública direta e indireta do ente federativo que tiver aplicado a sanção, pelo prazo máximo de 3 (três) anos, nos casos dos subitens 10.1.2 e 10.1.7 deste Termo de referência, quando não se justificar a imposição de penalidade mais grave; </w:t>
      </w:r>
    </w:p>
    <w:p>
      <w:pPr>
        <w:pStyle w:val="Normal"/>
        <w:widowControl w:val="false"/>
        <w:spacing w:lineRule="auto" w:line="276"/>
        <w:ind w:firstLine="284"/>
        <w:jc w:val="both"/>
        <w:rPr>
          <w:sz w:val="24"/>
          <w:szCs w:val="24"/>
        </w:rPr>
      </w:pPr>
      <w:r>
        <w:rPr>
          <w:sz w:val="24"/>
          <w:szCs w:val="24"/>
        </w:rPr>
        <w:t>g)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10.1.8 a 10.1.12, bem como nos demais casos que justifiquem a imposição da penalidade mais grave;</w:t>
      </w:r>
    </w:p>
    <w:p>
      <w:pPr>
        <w:pStyle w:val="Normal"/>
        <w:widowControl w:val="false"/>
        <w:spacing w:lineRule="auto" w:line="276"/>
        <w:ind w:firstLine="284"/>
        <w:jc w:val="both"/>
        <w:rPr>
          <w:sz w:val="24"/>
          <w:szCs w:val="24"/>
        </w:rPr>
      </w:pPr>
      <w:r>
        <w:rPr>
          <w:sz w:val="24"/>
          <w:szCs w:val="24"/>
        </w:rPr>
      </w:r>
    </w:p>
    <w:p>
      <w:pPr>
        <w:pStyle w:val="Normal"/>
        <w:widowControl w:val="false"/>
        <w:spacing w:lineRule="auto" w:line="276"/>
        <w:ind w:firstLine="284"/>
        <w:jc w:val="both"/>
        <w:rPr>
          <w:sz w:val="24"/>
          <w:szCs w:val="24"/>
        </w:rPr>
      </w:pPr>
      <w:r>
        <w:rPr>
          <w:sz w:val="24"/>
          <w:szCs w:val="24"/>
        </w:rPr>
        <w:t xml:space="preserve">10.3. Na aplicação das sanções serão considerados: </w:t>
      </w:r>
    </w:p>
    <w:p>
      <w:pPr>
        <w:pStyle w:val="Normal"/>
        <w:widowControl w:val="false"/>
        <w:spacing w:lineRule="auto" w:line="276"/>
        <w:ind w:firstLine="567"/>
        <w:jc w:val="both"/>
        <w:rPr>
          <w:sz w:val="24"/>
          <w:szCs w:val="24"/>
        </w:rPr>
      </w:pPr>
      <w:r>
        <w:rPr>
          <w:sz w:val="24"/>
          <w:szCs w:val="24"/>
        </w:rPr>
        <w:t xml:space="preserve">10.3.1. a natureza e a gravidade da infração cometida; </w:t>
      </w:r>
    </w:p>
    <w:p>
      <w:pPr>
        <w:pStyle w:val="Normal"/>
        <w:widowControl w:val="false"/>
        <w:spacing w:lineRule="auto" w:line="276"/>
        <w:ind w:firstLine="567"/>
        <w:jc w:val="both"/>
        <w:rPr>
          <w:sz w:val="24"/>
          <w:szCs w:val="24"/>
        </w:rPr>
      </w:pPr>
      <w:r>
        <w:rPr>
          <w:sz w:val="24"/>
          <w:szCs w:val="24"/>
        </w:rPr>
        <w:t xml:space="preserve">10.3.2. as peculiaridades do caso concreto; </w:t>
      </w:r>
    </w:p>
    <w:p>
      <w:pPr>
        <w:pStyle w:val="Normal"/>
        <w:widowControl w:val="false"/>
        <w:spacing w:lineRule="auto" w:line="276"/>
        <w:ind w:firstLine="567"/>
        <w:jc w:val="both"/>
        <w:rPr>
          <w:sz w:val="24"/>
          <w:szCs w:val="24"/>
        </w:rPr>
      </w:pPr>
      <w:r>
        <w:rPr>
          <w:sz w:val="24"/>
          <w:szCs w:val="24"/>
        </w:rPr>
        <w:t xml:space="preserve">10.3.3. as circunstâncias agravantes ou atenuantes; </w:t>
      </w:r>
    </w:p>
    <w:p>
      <w:pPr>
        <w:pStyle w:val="Normal"/>
        <w:widowControl w:val="false"/>
        <w:spacing w:lineRule="auto" w:line="276"/>
        <w:ind w:firstLine="567"/>
        <w:jc w:val="both"/>
        <w:rPr>
          <w:sz w:val="24"/>
          <w:szCs w:val="24"/>
        </w:rPr>
      </w:pPr>
      <w:r>
        <w:rPr>
          <w:sz w:val="24"/>
          <w:szCs w:val="24"/>
        </w:rPr>
        <w:t xml:space="preserve">10.3.4. os danos que dela provierem para a Administração Pública; </w:t>
      </w:r>
    </w:p>
    <w:p>
      <w:pPr>
        <w:pStyle w:val="Normal"/>
        <w:widowControl w:val="false"/>
        <w:spacing w:lineRule="auto" w:line="276"/>
        <w:ind w:firstLine="567"/>
        <w:jc w:val="both"/>
        <w:rPr>
          <w:sz w:val="24"/>
          <w:szCs w:val="24"/>
        </w:rPr>
      </w:pPr>
      <w:r>
        <w:rPr>
          <w:sz w:val="24"/>
          <w:szCs w:val="24"/>
        </w:rPr>
        <w:t xml:space="preserve">10.3.5. a implantação ou o aperfeiçoamento de programa de integridade, conforme normas e orientações dos órgãos de controle. </w:t>
      </w:r>
    </w:p>
    <w:p>
      <w:pPr>
        <w:pStyle w:val="Normal"/>
        <w:widowControl w:val="false"/>
        <w:spacing w:lineRule="auto" w:line="276"/>
        <w:ind w:firstLine="567"/>
        <w:jc w:val="both"/>
        <w:rPr>
          <w:sz w:val="24"/>
          <w:szCs w:val="24"/>
        </w:rPr>
      </w:pPr>
      <w:r>
        <w:rPr>
          <w:sz w:val="24"/>
          <w:szCs w:val="24"/>
        </w:rPr>
      </w:r>
    </w:p>
    <w:p>
      <w:pPr>
        <w:pStyle w:val="Normal"/>
        <w:widowControl w:val="false"/>
        <w:spacing w:lineRule="auto" w:line="276"/>
        <w:ind w:firstLine="426"/>
        <w:jc w:val="both"/>
        <w:rPr>
          <w:sz w:val="24"/>
          <w:szCs w:val="24"/>
        </w:rPr>
      </w:pPr>
      <w:r>
        <w:rPr>
          <w:sz w:val="24"/>
          <w:szCs w:val="24"/>
        </w:rPr>
        <w:t>10.4. Se a multa aplicada e as indenizações cabíveis forem superiores ao valor de pagamento eventualmente devido pela Administração ao contratado, além da perda desse valor, a diferença será cobrada judicialmente.</w:t>
      </w:r>
    </w:p>
    <w:p>
      <w:pPr>
        <w:pStyle w:val="Normal"/>
        <w:widowControl w:val="false"/>
        <w:spacing w:lineRule="auto" w:line="276"/>
        <w:ind w:firstLine="426"/>
        <w:jc w:val="both"/>
        <w:rPr>
          <w:sz w:val="24"/>
          <w:szCs w:val="24"/>
        </w:rPr>
      </w:pPr>
      <w:r>
        <w:rPr>
          <w:sz w:val="24"/>
          <w:szCs w:val="24"/>
        </w:rPr>
      </w:r>
    </w:p>
    <w:p>
      <w:pPr>
        <w:pStyle w:val="Normal"/>
        <w:widowControl w:val="false"/>
        <w:spacing w:lineRule="auto" w:line="276"/>
        <w:ind w:firstLine="426"/>
        <w:jc w:val="both"/>
        <w:rPr>
          <w:sz w:val="24"/>
          <w:szCs w:val="24"/>
        </w:rPr>
      </w:pPr>
      <w:r>
        <w:rPr>
          <w:sz w:val="24"/>
          <w:szCs w:val="24"/>
        </w:rPr>
        <w:t xml:space="preserve">10.5. A aplicação das sanções previstas neste Termo de Referência não exclui, em hipótese alguma, a obrigação de reparação integral do dano causado à Administração Pública. </w:t>
      </w:r>
    </w:p>
    <w:p>
      <w:pPr>
        <w:pStyle w:val="Normal"/>
        <w:widowControl w:val="false"/>
        <w:spacing w:lineRule="auto" w:line="276"/>
        <w:ind w:firstLine="426"/>
        <w:jc w:val="both"/>
        <w:rPr>
          <w:sz w:val="24"/>
          <w:szCs w:val="24"/>
        </w:rPr>
      </w:pPr>
      <w:r>
        <w:rPr>
          <w:sz w:val="24"/>
          <w:szCs w:val="24"/>
        </w:rPr>
      </w:r>
    </w:p>
    <w:p>
      <w:pPr>
        <w:pStyle w:val="Normal"/>
        <w:widowControl w:val="false"/>
        <w:spacing w:lineRule="auto" w:line="276"/>
        <w:ind w:firstLine="426"/>
        <w:jc w:val="both"/>
        <w:rPr>
          <w:sz w:val="24"/>
          <w:szCs w:val="24"/>
        </w:rPr>
      </w:pPr>
      <w:r>
        <w:rPr>
          <w:sz w:val="24"/>
          <w:szCs w:val="24"/>
        </w:rPr>
        <w:t>10.6. A penalidade de multa pode ser aplicada cumulativamente com as demais sanções.</w:t>
      </w:r>
    </w:p>
    <w:p>
      <w:pPr>
        <w:pStyle w:val="Normal"/>
        <w:widowControl w:val="false"/>
        <w:spacing w:lineRule="auto" w:line="276"/>
        <w:ind w:firstLine="426"/>
        <w:jc w:val="both"/>
        <w:rPr>
          <w:sz w:val="24"/>
          <w:szCs w:val="24"/>
        </w:rPr>
      </w:pPr>
      <w:r>
        <w:rPr>
          <w:sz w:val="24"/>
          <w:szCs w:val="24"/>
        </w:rPr>
      </w:r>
    </w:p>
    <w:p>
      <w:pPr>
        <w:pStyle w:val="Normal"/>
        <w:widowControl w:val="false"/>
        <w:spacing w:lineRule="auto" w:line="276"/>
        <w:ind w:firstLine="426"/>
        <w:jc w:val="both"/>
        <w:rPr>
          <w:sz w:val="24"/>
          <w:szCs w:val="24"/>
        </w:rPr>
      </w:pPr>
      <w:r>
        <w:rPr>
          <w:sz w:val="24"/>
          <w:szCs w:val="24"/>
        </w:rPr>
        <w:t>10.7. Se, durante o processo de aplicação de penalidade, houver indícios de prática de infração administrativa tipificada pela Lei nº 12.846, de 1º de agosto de 2013, como ato lesivo à administração pública nacional ou estrangeira, cópias do processo administrativos necessários à apuração da responsabilidade da empresa deverão ser remetidas à autoridade competente, com despacho fundamentado, para ciência e decisão sobre a eventual instauração de investigação preliminar ou Processo Administrativo de Responsabilização – PAR.</w:t>
      </w:r>
    </w:p>
    <w:p>
      <w:pPr>
        <w:pStyle w:val="Normal"/>
        <w:widowControl w:val="false"/>
        <w:spacing w:lineRule="auto" w:line="276"/>
        <w:ind w:firstLine="426"/>
        <w:jc w:val="both"/>
        <w:rPr>
          <w:sz w:val="24"/>
          <w:szCs w:val="24"/>
        </w:rPr>
      </w:pPr>
      <w:r>
        <w:rPr>
          <w:sz w:val="24"/>
          <w:szCs w:val="24"/>
        </w:rPr>
      </w:r>
    </w:p>
    <w:p>
      <w:pPr>
        <w:pStyle w:val="Normal"/>
        <w:widowControl w:val="false"/>
        <w:spacing w:lineRule="auto" w:line="276"/>
        <w:ind w:firstLine="426"/>
        <w:jc w:val="both"/>
        <w:rPr>
          <w:sz w:val="24"/>
          <w:szCs w:val="24"/>
        </w:rPr>
      </w:pPr>
      <w:r>
        <w:rPr>
          <w:sz w:val="24"/>
          <w:szCs w:val="24"/>
        </w:rPr>
        <w:t>10.8. A apuração e o julgamento das demais infrações administrativas não consideradas como ato lesivo à Administração Pública nacional ou estrangeira nos termos da Lei nº 12.846, de 1º de agosto de 2013, seguirão seu rito normal adotado por este Regional.</w:t>
      </w:r>
    </w:p>
    <w:p>
      <w:pPr>
        <w:pStyle w:val="Normal"/>
        <w:widowControl w:val="false"/>
        <w:spacing w:lineRule="auto" w:line="276"/>
        <w:ind w:firstLine="426"/>
        <w:jc w:val="both"/>
        <w:rPr>
          <w:sz w:val="24"/>
          <w:szCs w:val="24"/>
        </w:rPr>
      </w:pPr>
      <w:r>
        <w:rPr>
          <w:sz w:val="24"/>
          <w:szCs w:val="24"/>
        </w:rPr>
      </w:r>
    </w:p>
    <w:p>
      <w:pPr>
        <w:pStyle w:val="Normal"/>
        <w:widowControl w:val="false"/>
        <w:spacing w:lineRule="auto" w:line="276"/>
        <w:ind w:firstLine="426"/>
        <w:jc w:val="both"/>
        <w:rPr>
          <w:sz w:val="24"/>
          <w:szCs w:val="24"/>
        </w:rPr>
      </w:pPr>
      <w:r>
        <w:rPr>
          <w:sz w:val="24"/>
          <w:szCs w:val="24"/>
        </w:rPr>
        <w:t>10.9.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pPr>
        <w:pStyle w:val="Normal"/>
        <w:widowControl w:val="false"/>
        <w:spacing w:lineRule="auto" w:line="276"/>
        <w:ind w:firstLine="426"/>
        <w:jc w:val="both"/>
        <w:rPr>
          <w:sz w:val="24"/>
          <w:szCs w:val="24"/>
        </w:rPr>
      </w:pPr>
      <w:r>
        <w:rPr>
          <w:sz w:val="24"/>
          <w:szCs w:val="24"/>
        </w:rPr>
        <w:t xml:space="preserve"> </w:t>
      </w:r>
    </w:p>
    <w:p>
      <w:pPr>
        <w:pStyle w:val="Normal"/>
        <w:widowControl w:val="false"/>
        <w:spacing w:lineRule="auto" w:line="276"/>
        <w:ind w:firstLine="426"/>
        <w:jc w:val="both"/>
        <w:rPr>
          <w:sz w:val="24"/>
          <w:szCs w:val="24"/>
        </w:rPr>
      </w:pPr>
      <w:r>
        <w:rPr>
          <w:sz w:val="24"/>
          <w:szCs w:val="24"/>
        </w:rPr>
        <w:t>10.10. 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widowControl w:val="false"/>
        <w:spacing w:lineRule="auto" w:line="276"/>
        <w:ind w:firstLine="426"/>
        <w:jc w:val="both"/>
        <w:rPr>
          <w:sz w:val="24"/>
          <w:szCs w:val="24"/>
        </w:rPr>
      </w:pPr>
      <w:r>
        <w:rPr>
          <w:sz w:val="24"/>
          <w:szCs w:val="24"/>
        </w:rPr>
      </w:r>
    </w:p>
    <w:p>
      <w:pPr>
        <w:pStyle w:val="Normal"/>
        <w:widowControl w:val="false"/>
        <w:spacing w:lineRule="auto" w:line="276"/>
        <w:ind w:firstLine="426"/>
        <w:jc w:val="both"/>
        <w:rPr>
          <w:sz w:val="24"/>
          <w:szCs w:val="24"/>
        </w:rPr>
      </w:pPr>
      <w:bookmarkStart w:id="4" w:name="_Hlk144468566"/>
      <w:r>
        <w:rPr>
          <w:sz w:val="24"/>
          <w:szCs w:val="24"/>
        </w:rPr>
        <w:t>10.11. Resta afastada qualquer sanção administrativa em caso de eventual atraso, bem como inexecução parcial ou total decorrentes das situações originadas de caso fortuito, força maior, fato ou ato de terceiro, desde que comprovados, devido à imprevisibilidade e inevitabilidade que as revestem, impossibilitando a regular execução do objeto.</w:t>
      </w:r>
      <w:bookmarkEnd w:id="4"/>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
          <w:bCs/>
          <w:sz w:val="24"/>
          <w:szCs w:val="24"/>
        </w:rPr>
      </w:pPr>
      <w:r>
        <w:rPr>
          <w:b/>
          <w:bCs/>
          <w:sz w:val="24"/>
          <w:szCs w:val="24"/>
        </w:rPr>
        <w:t>11. DO FATURAMENTO E DO PAGAMENTO:</w:t>
      </w:r>
    </w:p>
    <w:p>
      <w:pPr>
        <w:pStyle w:val="BodyText"/>
        <w:shd w:val="clear" w:color="auto" w:fill="FFFFFF"/>
        <w:spacing w:lineRule="auto" w:line="276"/>
        <w:jc w:val="both"/>
        <w:rPr>
          <w:sz w:val="24"/>
          <w:szCs w:val="24"/>
        </w:rPr>
      </w:pPr>
      <w:r>
        <w:rPr>
          <w:bCs w:val="false"/>
          <w:sz w:val="24"/>
          <w:szCs w:val="24"/>
          <w:lang w:eastAsia="en-US"/>
        </w:rPr>
        <w:t>11</w:t>
      </w:r>
      <w:r>
        <w:rPr>
          <w:sz w:val="24"/>
          <w:szCs w:val="24"/>
          <w:lang w:eastAsia="en-US"/>
        </w:rPr>
        <w:t xml:space="preserve">.1. </w:t>
      </w:r>
      <w:r>
        <w:rPr>
          <w:sz w:val="24"/>
          <w:szCs w:val="24"/>
        </w:rPr>
        <w:t>As Notas Fiscais / Faturas devem ser discriminativas, em nome do CROMT.</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11.2 A (s) Nota (s) Fiscal (is) do (s) serviço (s) prestado (s) deverá ser remetida com antecedência mínima de 10 (dez) dias úteis em relação à data de seu vencimento e deve conter todos os dados da empresa, se é optante pelo simples nacional, o número da nota de empenho e/ou contrato e a descrição do objeto com a quantidade, para que o Fiscal do Contrato possa realizar sua verificação e, não havendo problemas, atestá-la</w:t>
      </w:r>
      <w:r>
        <w:rPr>
          <w:b/>
          <w:sz w:val="24"/>
          <w:szCs w:val="24"/>
        </w:rPr>
        <w:t>.</w:t>
      </w:r>
      <w:r>
        <w:rPr>
          <w:sz w:val="24"/>
          <w:szCs w:val="24"/>
        </w:rPr>
        <w:t xml:space="preserve"> O pagamento será efetuado nos dias 10 e/ou 20 do mês subsequente a prestação/aquisição do serviço/material, devendo apresentar Nota Fiscal e/ou documentos fiscal com 10 (dez) dias de antecedência das datas programadas para pagamento de fornecedores;</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11.3. Deverão acompanhar a fatura todos os recibos das entregas ocorridas durante o mês e apresentada Declaração nos moldes do anexo IV da Instrução Normativa SRF nº 480, de 15 de dezembro de 2004, no caso da Contratada ser optante pelo Simples Nacional.</w:t>
      </w:r>
    </w:p>
    <w:p>
      <w:pPr>
        <w:pStyle w:val="BodyText"/>
        <w:shd w:val="clear" w:color="auto" w:fill="FFFFFF"/>
        <w:spacing w:lineRule="auto" w:line="276"/>
        <w:jc w:val="both"/>
        <w:rPr>
          <w:sz w:val="24"/>
          <w:szCs w:val="24"/>
        </w:rPr>
      </w:pPr>
      <w:r>
        <w:rPr>
          <w:sz w:val="24"/>
          <w:szCs w:val="24"/>
        </w:rPr>
      </w:r>
    </w:p>
    <w:p>
      <w:pPr>
        <w:pStyle w:val="BodyText"/>
        <w:shd w:val="clear" w:color="auto" w:fill="FFFFFF"/>
        <w:spacing w:lineRule="auto" w:line="276"/>
        <w:jc w:val="both"/>
        <w:rPr>
          <w:sz w:val="24"/>
          <w:szCs w:val="24"/>
        </w:rPr>
      </w:pPr>
      <w:r>
        <w:rPr>
          <w:sz w:val="24"/>
          <w:szCs w:val="24"/>
        </w:rPr>
        <w:t>11.4. A conta de pagamento deverá ser vinculado ao nome da razão social do cnpj que está sendo contratado.</w:t>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Cs/>
          <w:sz w:val="24"/>
          <w:szCs w:val="24"/>
        </w:rPr>
      </w:pPr>
      <w:r>
        <w:rPr>
          <w:b/>
          <w:bCs/>
          <w:sz w:val="24"/>
          <w:szCs w:val="24"/>
        </w:rPr>
        <w:t>12. DO CONTRATO E SUA VIGÊNCIA:</w:t>
      </w:r>
    </w:p>
    <w:p>
      <w:pPr>
        <w:pStyle w:val="Normal"/>
        <w:spacing w:lineRule="auto" w:line="276"/>
        <w:jc w:val="both"/>
        <w:rPr>
          <w:sz w:val="24"/>
          <w:szCs w:val="24"/>
        </w:rPr>
      </w:pPr>
      <w:r>
        <w:rPr>
          <w:sz w:val="24"/>
          <w:szCs w:val="24"/>
        </w:rPr>
        <w:t>12.1. O período de vigência do contrato será de 90 (noventa) dias, a contar da data da emissão da Ordem de Fornecimento e da sua publicação no Portal Nacional de Contratos e Licitações, não podendo ser prorrogado.</w:t>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t xml:space="preserve">12.2 atuais e pelos preceitos de direto público, aplicando-se supletivamente os princípios da teoria geral dos contratos e as disposições de direito privado, na forma da Lei 14.133/2021. </w:t>
      </w:r>
    </w:p>
    <w:p>
      <w:pPr>
        <w:pStyle w:val="Normal"/>
        <w:spacing w:lineRule="auto" w:line="276"/>
        <w:jc w:val="both"/>
        <w:rPr>
          <w:sz w:val="24"/>
          <w:szCs w:val="24"/>
        </w:rPr>
      </w:pPr>
      <w:r>
        <w:rPr>
          <w:sz w:val="24"/>
          <w:szCs w:val="24"/>
        </w:rPr>
        <w:t>12.3. É vedado cauciona ou utilizar o contrato decorrente do presente instrumento para qualquer operação financeira sem prévia e expressão do CROMT.</w:t>
      </w:r>
    </w:p>
    <w:p>
      <w:pPr>
        <w:pStyle w:val="Normal"/>
        <w:spacing w:lineRule="auto" w:line="276"/>
        <w:jc w:val="both"/>
        <w:rPr>
          <w:sz w:val="24"/>
          <w:szCs w:val="24"/>
        </w:rPr>
      </w:pPr>
      <w:r>
        <w:rPr>
          <w:sz w:val="24"/>
          <w:szCs w:val="24"/>
        </w:rPr>
      </w:r>
    </w:p>
    <w:p>
      <w:pPr>
        <w:pStyle w:val="Normal"/>
        <w:spacing w:lineRule="auto" w:line="276"/>
        <w:jc w:val="both"/>
        <w:rPr>
          <w:sz w:val="24"/>
          <w:szCs w:val="24"/>
        </w:rPr>
      </w:pPr>
      <w:r>
        <w:rPr>
          <w:sz w:val="24"/>
          <w:szCs w:val="24"/>
        </w:rPr>
        <w:t>12.5. Da substituição do Instrumento Convocatório:</w:t>
      </w:r>
    </w:p>
    <w:p>
      <w:pPr>
        <w:pStyle w:val="Normal"/>
        <w:spacing w:lineRule="auto" w:line="276"/>
        <w:jc w:val="both"/>
        <w:rPr>
          <w:sz w:val="24"/>
          <w:szCs w:val="24"/>
        </w:rPr>
      </w:pPr>
      <w:r>
        <w:rPr>
          <w:sz w:val="24"/>
          <w:szCs w:val="24"/>
        </w:rPr>
        <w:t xml:space="preserve">    </w:t>
      </w:r>
      <w:r>
        <w:rPr>
          <w:sz w:val="24"/>
          <w:szCs w:val="24"/>
        </w:rPr>
        <w:t>12.5.1. O Contrato será substituído por Empenho e Ordem de Fornecimento conforme Art. 95 da Lei 14.133 de 01 de Abril de 2021.</w:t>
      </w:r>
    </w:p>
    <w:p>
      <w:pPr>
        <w:pStyle w:val="Normal"/>
        <w:spacing w:lineRule="auto" w:line="276"/>
        <w:jc w:val="both"/>
        <w:rPr>
          <w:sz w:val="24"/>
          <w:szCs w:val="24"/>
        </w:rPr>
      </w:pPr>
      <w:r>
        <w:rPr>
          <w:sz w:val="24"/>
          <w:szCs w:val="24"/>
        </w:rPr>
      </w:r>
    </w:p>
    <w:p>
      <w:pPr>
        <w:pStyle w:val="Normal"/>
        <w:spacing w:lineRule="auto" w:line="276"/>
        <w:ind w:firstLine="426"/>
        <w:jc w:val="both"/>
        <w:rPr>
          <w:sz w:val="24"/>
          <w:szCs w:val="24"/>
        </w:rPr>
      </w:pPr>
      <w:r>
        <w:rPr>
          <w:sz w:val="24"/>
          <w:szCs w:val="24"/>
        </w:rPr>
      </w:r>
    </w:p>
    <w:p>
      <w:pPr>
        <w:pStyle w:val="Normal"/>
        <w:spacing w:lineRule="auto" w:line="276"/>
        <w:jc w:val="both"/>
        <w:rPr>
          <w:sz w:val="24"/>
          <w:szCs w:val="24"/>
        </w:rPr>
      </w:pPr>
      <w:r>
        <w:rPr>
          <w:sz w:val="24"/>
          <w:szCs w:val="24"/>
        </w:rPr>
        <w:t>12.7. Da Proteção de Dados Pessoais – Lei nº 13.709/2018 - LGP:</w:t>
      </w:r>
    </w:p>
    <w:p>
      <w:pPr>
        <w:pStyle w:val="Normal"/>
        <w:spacing w:lineRule="auto" w:line="276"/>
        <w:ind w:firstLine="567"/>
        <w:jc w:val="both"/>
        <w:rPr>
          <w:sz w:val="24"/>
          <w:szCs w:val="24"/>
        </w:rPr>
      </w:pPr>
      <w:r>
        <w:rPr>
          <w:sz w:val="24"/>
          <w:szCs w:val="24"/>
        </w:rPr>
        <w:t xml:space="preserve">12.7. 1 Em observação às determinações constantes na lei 13.709/2018, o CONTRATANTE e a CONTRATADA se comprometem a proteger os direitos fundamentais de liberdade e de privacidade e o livre desenvolvimento da personalidade da pessoa natural, relativos ao tratamento de dados pessoais, inclusive nos meios digitais, garantindo que: </w:t>
      </w:r>
    </w:p>
    <w:p>
      <w:pPr>
        <w:pStyle w:val="Normal"/>
        <w:spacing w:lineRule="auto" w:line="276"/>
        <w:ind w:firstLine="567"/>
        <w:jc w:val="both"/>
        <w:rPr>
          <w:sz w:val="24"/>
          <w:szCs w:val="24"/>
        </w:rPr>
      </w:pPr>
      <w:r>
        <w:rPr>
          <w:sz w:val="24"/>
          <w:szCs w:val="24"/>
        </w:rPr>
        <w:t xml:space="preserve">a. O tratamento de dados pessoais dar-se-á de acordo com as bases legais previstas nas hipóteses dos Arts. 7º e/ou 11 da Lei 13.709/2018 às quais se submeterão os serviços, e para propósitos legítimos, específicos, explícitos e informados ao titular; </w:t>
      </w:r>
    </w:p>
    <w:p>
      <w:pPr>
        <w:pStyle w:val="Normal"/>
        <w:spacing w:lineRule="auto" w:line="276"/>
        <w:ind w:firstLine="567"/>
        <w:jc w:val="both"/>
        <w:rPr>
          <w:sz w:val="24"/>
          <w:szCs w:val="24"/>
        </w:rPr>
      </w:pPr>
      <w:r>
        <w:rPr>
          <w:sz w:val="24"/>
          <w:szCs w:val="24"/>
        </w:rPr>
        <w:t xml:space="preserve">b. O tratamento seja limitado às atividades necessárias ao atingimento das finalidades de execução do objeto do contrato, utilizando-os, quando seja o caso, em cumprimento de obrigação legal ou regulatória, no exercício regular de direito, por determinação judicial ou por requisição da Autoridade Nacional de Proteção de Dados (ANPD); ou ainda em atividades à operadora da CONTRATADA; </w:t>
      </w:r>
    </w:p>
    <w:p>
      <w:pPr>
        <w:pStyle w:val="Normal"/>
        <w:spacing w:lineRule="auto" w:line="276"/>
        <w:jc w:val="both"/>
        <w:rPr>
          <w:sz w:val="24"/>
          <w:szCs w:val="24"/>
        </w:rPr>
      </w:pPr>
      <w:bookmarkStart w:id="5" w:name="_Hlk146010494"/>
      <w:r>
        <w:rPr>
          <w:sz w:val="24"/>
          <w:szCs w:val="24"/>
        </w:rPr>
        <w:t>c. Em caso de necessidade de coleta de dados pessoais indispensáveis à própria prestação do serviço/aquisição de bens, está se dará para fins de cumprimento da execução do contratado. Os dados assim coletados só poderão ser utilizados na execução do objeto especificado neste contrato, ressalvado o tratamento para operações da Contratada, e quando o compartilhamento for necessário à atividade da CONTRATADA para fins da prestação do serviço, será exigido do terceiro o compromisso com a proteção de dados e privacidade.</w:t>
      </w:r>
      <w:bookmarkEnd w:id="5"/>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Cs/>
          <w:sz w:val="24"/>
          <w:szCs w:val="24"/>
        </w:rPr>
      </w:pPr>
      <w:r>
        <w:rPr>
          <w:b/>
          <w:bCs/>
          <w:sz w:val="24"/>
          <w:szCs w:val="24"/>
        </w:rPr>
        <w:t>13. DO VALOR ESTIMADO E DO CRITÉRIO DE REAJUSTE:</w:t>
      </w:r>
    </w:p>
    <w:p>
      <w:pPr>
        <w:pStyle w:val="Normal"/>
        <w:spacing w:lineRule="auto" w:line="276"/>
        <w:jc w:val="both"/>
        <w:rPr>
          <w:sz w:val="24"/>
          <w:szCs w:val="24"/>
        </w:rPr>
      </w:pPr>
      <w:r>
        <w:rPr>
          <w:sz w:val="24"/>
          <w:szCs w:val="24"/>
        </w:rPr>
        <w:t xml:space="preserve">13.1 O valor do Dispensa será de o valor de </w:t>
      </w:r>
      <w:r>
        <w:rPr>
          <w:b w:val="false"/>
          <w:bCs w:val="false"/>
          <w:color w:val="000000"/>
          <w:kern w:val="0"/>
          <w:sz w:val="24"/>
          <w:szCs w:val="32"/>
          <w:shd w:fill="FFFFFF" w:val="clear"/>
          <w:lang w:val="pt-PT" w:bidi="ar-SA"/>
        </w:rPr>
        <w:t>R$ 7.000,00 (Sete mil reais)</w:t>
      </w:r>
      <w:r>
        <w:rPr>
          <w:sz w:val="24"/>
          <w:szCs w:val="24"/>
        </w:rPr>
        <w:t xml:space="preserve"> conforme pesquisa de preço acostado ao processo. </w:t>
      </w:r>
    </w:p>
    <w:p>
      <w:pPr>
        <w:pStyle w:val="Normal"/>
        <w:spacing w:lineRule="auto" w:line="276"/>
        <w:jc w:val="both"/>
        <w:rPr>
          <w:sz w:val="24"/>
          <w:szCs w:val="24"/>
        </w:rPr>
      </w:pPr>
      <w:bookmarkStart w:id="6" w:name="_Hlk142054841"/>
      <w:bookmarkEnd w:id="6"/>
      <w:r>
        <w:rPr>
          <w:sz w:val="24"/>
          <w:szCs w:val="24"/>
        </w:rPr>
        <w:t xml:space="preserve">13.2. Do Critério de Reajuste: </w:t>
      </w:r>
    </w:p>
    <w:p>
      <w:pPr>
        <w:pStyle w:val="Normal"/>
        <w:spacing w:lineRule="auto" w:line="276"/>
        <w:jc w:val="both"/>
        <w:rPr>
          <w:rFonts w:eastAsia="Calibri" w:eastAsiaTheme="minorHAnsi"/>
          <w:color w:val="222222"/>
          <w:sz w:val="24"/>
          <w:szCs w:val="24"/>
          <w:lang w:eastAsia="en-US"/>
        </w:rPr>
      </w:pPr>
      <w:r>
        <w:rPr>
          <w:sz w:val="24"/>
          <w:szCs w:val="24"/>
        </w:rPr>
        <w:t>13.2.1 Está vedada o reajuste de valores durante a vigência contratual.</w:t>
      </w:r>
    </w:p>
    <w:p>
      <w:pPr>
        <w:pStyle w:val="Normal"/>
        <w:spacing w:lineRule="auto" w:line="276"/>
        <w:jc w:val="both"/>
        <w:rPr>
          <w:rFonts w:eastAsia="Calibri" w:eastAsiaTheme="minorHAnsi"/>
          <w:color w:val="222222"/>
          <w:sz w:val="24"/>
          <w:szCs w:val="24"/>
          <w:lang w:eastAsia="en-US"/>
        </w:rPr>
      </w:pPr>
      <w:r>
        <w:rPr/>
      </w:r>
    </w:p>
    <w:p>
      <w:pPr>
        <w:pStyle w:val="Normal"/>
        <w:spacing w:lineRule="auto" w:line="276"/>
        <w:jc w:val="both"/>
        <w:rPr>
          <w:rFonts w:eastAsia="Calibri" w:eastAsiaTheme="minorHAnsi"/>
          <w:color w:val="222222"/>
          <w:sz w:val="24"/>
          <w:szCs w:val="24"/>
          <w:lang w:eastAsia="en-US"/>
        </w:rPr>
      </w:pPr>
      <w:r>
        <w:rPr/>
      </w:r>
    </w:p>
    <w:p>
      <w:pPr>
        <w:pStyle w:val="Normal"/>
        <w:spacing w:lineRule="auto" w:line="276"/>
        <w:jc w:val="both"/>
        <w:rPr>
          <w:rFonts w:eastAsia="Calibri" w:eastAsiaTheme="minorHAnsi"/>
          <w:color w:val="222222"/>
          <w:sz w:val="24"/>
          <w:szCs w:val="24"/>
          <w:lang w:eastAsia="en-US"/>
        </w:rPr>
      </w:pPr>
      <w:r>
        <w:rPr/>
      </w:r>
    </w:p>
    <w:p>
      <w:pPr>
        <w:pStyle w:val="Normal"/>
        <w:spacing w:lineRule="auto" w:line="276"/>
        <w:jc w:val="both"/>
        <w:rPr>
          <w:rFonts w:eastAsia="Calibri" w:eastAsiaTheme="minorHAnsi"/>
          <w:color w:val="222222"/>
          <w:sz w:val="24"/>
          <w:szCs w:val="24"/>
          <w:lang w:eastAsia="en-US"/>
        </w:rPr>
      </w:pPr>
      <w:r>
        <w:rPr/>
      </w:r>
    </w:p>
    <w:p>
      <w:pPr>
        <w:pStyle w:val="Normal"/>
        <w:pBdr>
          <w:top w:val="single" w:sz="4" w:space="1" w:color="000000"/>
          <w:left w:val="single" w:sz="4" w:space="4" w:color="000000"/>
          <w:bottom w:val="single" w:sz="4" w:space="1" w:color="000000"/>
          <w:right w:val="single" w:sz="4" w:space="4" w:color="000000"/>
        </w:pBdr>
        <w:shd w:val="clear" w:color="auto" w:fill="A6A6A6" w:themeFill="background1" w:themeFillShade="a6"/>
        <w:spacing w:lineRule="auto" w:line="276"/>
        <w:jc w:val="both"/>
        <w:rPr>
          <w:bCs/>
          <w:sz w:val="24"/>
          <w:szCs w:val="24"/>
        </w:rPr>
      </w:pPr>
      <w:bookmarkStart w:id="7" w:name="_Hlk142054841_Copia_1"/>
      <w:bookmarkEnd w:id="7"/>
      <w:r>
        <w:rPr>
          <w:b/>
          <w:bCs/>
          <w:sz w:val="24"/>
          <w:szCs w:val="24"/>
        </w:rPr>
        <w:t>14. DAS CONSIDERAÇÕES FINAIS:</w:t>
      </w:r>
    </w:p>
    <w:p>
      <w:pPr>
        <w:pStyle w:val="Normal"/>
        <w:spacing w:lineRule="auto" w:line="276"/>
        <w:jc w:val="right"/>
        <w:rPr>
          <w:sz w:val="24"/>
          <w:szCs w:val="24"/>
        </w:rPr>
      </w:pPr>
      <w:r>
        <w:rPr>
          <w:sz w:val="24"/>
          <w:szCs w:val="24"/>
        </w:rPr>
        <w:t>Cuiabá/MT, 1</w:t>
      </w:r>
      <w:r>
        <w:rPr>
          <w:sz w:val="24"/>
          <w:szCs w:val="24"/>
        </w:rPr>
        <w:t>9</w:t>
      </w:r>
      <w:r>
        <w:rPr>
          <w:sz w:val="24"/>
          <w:szCs w:val="24"/>
        </w:rPr>
        <w:t xml:space="preserve"> de abril de 2024.</w:t>
      </w:r>
    </w:p>
    <w:p>
      <w:pPr>
        <w:pStyle w:val="Normal"/>
        <w:spacing w:lineRule="auto" w:line="276"/>
        <w:jc w:val="right"/>
        <w:rPr>
          <w:sz w:val="24"/>
          <w:szCs w:val="24"/>
        </w:rPr>
      </w:pPr>
      <w:r>
        <w:rPr>
          <w:sz w:val="24"/>
          <w:szCs w:val="24"/>
        </w:rPr>
      </w:r>
    </w:p>
    <w:p>
      <w:pPr>
        <w:pStyle w:val="Normal"/>
        <w:shd w:val="clear" w:color="auto" w:fill="FFFFFF"/>
        <w:jc w:val="center"/>
        <w:textAlignment w:val="baseline"/>
        <w:rPr>
          <w:sz w:val="24"/>
          <w:szCs w:val="24"/>
        </w:rPr>
      </w:pPr>
      <w:r>
        <w:rPr/>
        <mc:AlternateContent>
          <mc:Choice Requires="wps">
            <w:drawing>
              <wp:inline distT="0" distB="0" distL="0" distR="0" wp14:anchorId="74A67C2B">
                <wp:extent cx="2305050" cy="543560"/>
                <wp:effectExtent l="0" t="0" r="0" b="8890"/>
                <wp:docPr id="1" name="Imagem 2"/>
                <a:graphic xmlns:a="http://schemas.openxmlformats.org/drawingml/2006/main">
                  <a:graphicData uri="http://schemas.openxmlformats.org/drawingml/2006/picture">
                    <pic:pic xmlns:pic="http://schemas.openxmlformats.org/drawingml/2006/picture">
                      <pic:nvPicPr>
                        <pic:cNvPr id="2" name="Imagem 2" descr=""/>
                        <pic:cNvPicPr/>
                      </pic:nvPicPr>
                      <pic:blipFill>
                        <a:blip r:embed="rId2">
                          <a:extLst>
                            <a:ext uri="{BEBA8EAE-BF5A-486C-A8C5-ECC9F3942E4B}">
                              <a14:imgProps xmlns:a14="http://schemas.microsoft.com/office/drawing/2010/main">
                                <a14:imgLayer r:embed="rId3">
                                  <a14:imgEffect>
                                    <a14:brightnessContrast bright="40000"/>
                                  </a14:imgEffect>
                                </a14:imgLayer>
                              </a14:imgProps>
                            </a:ext>
                          </a:extLst>
                        </a:blip>
                        <a:stretch/>
                      </pic:blipFill>
                      <pic:spPr>
                        <a:xfrm>
                          <a:off x="0" y="0"/>
                          <a:ext cx="2305080" cy="543600"/>
                        </a:xfrm>
                        <a:prstGeom prst="rect">
                          <a:avLst/>
                        </a:prstGeom>
                        <a:ln w="0">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m 2" stroked="f" o:allowincell="f" style="position:absolute;margin-left:0pt;margin-top:-43.55pt;width:181.45pt;height:42.75pt;mso-wrap-style:none;v-text-anchor:middle;mso-position-vertical:top" wp14:anchorId="74A67C2B" type="_x0000_t75">
                <v:imagedata r:id="rId4" o:detectmouseclick="t"/>
                <v:stroke color="#3465a4" joinstyle="round" endcap="flat"/>
                <w10:wrap type="square"/>
              </v:shape>
            </w:pict>
          </mc:Fallback>
        </mc:AlternateContent>
      </w:r>
    </w:p>
    <w:p>
      <w:pPr>
        <w:pStyle w:val="NoSpacing"/>
        <w:jc w:val="center"/>
        <w:rPr>
          <w:rFonts w:ascii="Times New Roman" w:hAnsi="Times New Roman" w:eastAsia="Calibri" w:cs="Times New Roman"/>
          <w:b/>
          <w:sz w:val="24"/>
          <w:szCs w:val="24"/>
        </w:rPr>
      </w:pPr>
      <w:r>
        <w:rPr>
          <w:rFonts w:eastAsia="Calibri" w:cs="Times New Roman" w:ascii="Times New Roman" w:hAnsi="Times New Roman"/>
          <w:b/>
          <w:sz w:val="24"/>
          <w:szCs w:val="24"/>
        </w:rPr>
        <w:t>Paulo Vitor Ribeiro de Magalhães</w:t>
      </w:r>
    </w:p>
    <w:p>
      <w:pPr>
        <w:pStyle w:val="Normal"/>
        <w:tabs>
          <w:tab w:val="clear" w:pos="708"/>
          <w:tab w:val="center" w:pos="4252" w:leader="none"/>
          <w:tab w:val="right" w:pos="8504" w:leader="none"/>
        </w:tabs>
        <w:spacing w:lineRule="auto" w:line="276"/>
        <w:ind w:left="34"/>
        <w:jc w:val="center"/>
        <w:rPr>
          <w:b/>
          <w:bCs/>
          <w:color w:val="000000"/>
          <w:sz w:val="24"/>
          <w:szCs w:val="24"/>
        </w:rPr>
      </w:pPr>
      <w:r>
        <w:rPr>
          <w:b/>
          <w:sz w:val="24"/>
          <w:szCs w:val="24"/>
        </w:rPr>
        <w:t xml:space="preserve">Analista </w:t>
      </w:r>
      <w:r>
        <w:rPr>
          <w:b/>
          <w:bCs/>
          <w:color w:val="000000"/>
          <w:sz w:val="24"/>
          <w:szCs w:val="24"/>
        </w:rPr>
        <w:t>Administrativo - Compras e Licitação</w:t>
      </w:r>
    </w:p>
    <w:p>
      <w:pPr>
        <w:pStyle w:val="Normal"/>
        <w:spacing w:lineRule="auto" w:line="259" w:before="0" w:after="160"/>
        <w:jc w:val="center"/>
        <w:rPr>
          <w:b/>
          <w:sz w:val="24"/>
          <w:szCs w:val="24"/>
        </w:rPr>
      </w:pPr>
      <w:r>
        <w:rPr>
          <w:b/>
          <w:sz w:val="24"/>
          <w:szCs w:val="24"/>
        </w:rPr>
      </w:r>
    </w:p>
    <w:p>
      <w:pPr>
        <w:pStyle w:val="Normal"/>
        <w:spacing w:lineRule="auto" w:line="259" w:before="0" w:after="160"/>
        <w:jc w:val="center"/>
        <w:rPr>
          <w:b/>
          <w:sz w:val="32"/>
          <w:szCs w:val="32"/>
        </w:rPr>
      </w:pPr>
      <w:r>
        <w:rPr>
          <w:b/>
          <w:sz w:val="24"/>
          <w:szCs w:val="24"/>
        </w:rPr>
        <w:t>APRECIAÇÃO DA AUTORIDADE COMPETENTE</w:t>
      </w:r>
    </w:p>
    <w:p>
      <w:pPr>
        <w:pStyle w:val="Default"/>
        <w:spacing w:lineRule="auto" w:line="276"/>
        <w:jc w:val="both"/>
        <w:rPr>
          <w:color w:val="auto"/>
        </w:rPr>
      </w:pPr>
      <w:r>
        <w:rPr>
          <w:color w:val="auto"/>
        </w:rPr>
      </w:r>
    </w:p>
    <w:p>
      <w:pPr>
        <w:pStyle w:val="Normal"/>
        <w:spacing w:lineRule="auto" w:line="276"/>
        <w:jc w:val="both"/>
        <w:rPr>
          <w:sz w:val="24"/>
          <w:szCs w:val="24"/>
          <w:shd w:fill="FFFFFF" w:val="clear"/>
        </w:rPr>
      </w:pPr>
      <w:r>
        <w:rPr>
          <w:sz w:val="24"/>
          <w:szCs w:val="24"/>
          <w:shd w:fill="FFFFFF" w:val="clear"/>
        </w:rPr>
        <w:t>Considerando as necessidades deste Conselho Regional de Odontologia do Mato Grosso, as informações elencadas, os elementos técnicos e o valor do orçamento estimativo, contidos nestes autos; e ainda com observância às normas legais vigentes, bem como a conveniência e a oportunidade diante do caso concreto apresentado pelo solicitante, aprovo este Termo de Referência.</w:t>
      </w:r>
    </w:p>
    <w:p>
      <w:pPr>
        <w:pStyle w:val="Normal"/>
        <w:spacing w:lineRule="auto" w:line="276"/>
        <w:jc w:val="both"/>
        <w:rPr>
          <w:sz w:val="24"/>
          <w:szCs w:val="24"/>
        </w:rPr>
      </w:pPr>
      <w:r>
        <w:rPr>
          <w:sz w:val="24"/>
          <w:szCs w:val="24"/>
        </w:rPr>
        <w:drawing>
          <wp:anchor behindDoc="1" distT="0" distB="0" distL="0" distR="0" simplePos="0" locked="0" layoutInCell="0" allowOverlap="1" relativeHeight="39">
            <wp:simplePos x="0" y="0"/>
            <wp:positionH relativeFrom="margin">
              <wp:align>center</wp:align>
            </wp:positionH>
            <wp:positionV relativeFrom="paragraph">
              <wp:posOffset>80645</wp:posOffset>
            </wp:positionV>
            <wp:extent cx="1943100" cy="1034415"/>
            <wp:effectExtent l="0" t="0" r="0" b="0"/>
            <wp:wrapNone/>
            <wp:docPr id="3"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
                    <pic:cNvPicPr>
                      <a:picLocks noChangeAspect="1" noChangeArrowheads="1"/>
                    </pic:cNvPicPr>
                  </pic:nvPicPr>
                  <pic:blipFill>
                    <a:blip r:embed="rId5"/>
                    <a:stretch>
                      <a:fillRect/>
                    </a:stretch>
                  </pic:blipFill>
                  <pic:spPr bwMode="auto">
                    <a:xfrm>
                      <a:off x="0" y="0"/>
                      <a:ext cx="1943100" cy="1034415"/>
                    </a:xfrm>
                    <a:prstGeom prst="rect">
                      <a:avLst/>
                    </a:prstGeom>
                  </pic:spPr>
                </pic:pic>
              </a:graphicData>
            </a:graphic>
          </wp:anchor>
        </w:drawing>
      </w:r>
    </w:p>
    <w:p>
      <w:pPr>
        <w:pStyle w:val="Normal"/>
        <w:spacing w:lineRule="auto" w:line="276"/>
        <w:jc w:val="right"/>
        <w:rPr>
          <w:sz w:val="24"/>
          <w:szCs w:val="24"/>
        </w:rPr>
      </w:pPr>
      <w:r>
        <w:rPr>
          <w:sz w:val="24"/>
          <w:szCs w:val="24"/>
        </w:rPr>
        <w:t>Cuiabá/MT, 1 de abril de 2024</w:t>
      </w:r>
    </w:p>
    <w:p>
      <w:pPr>
        <w:pStyle w:val="Normal"/>
        <w:spacing w:lineRule="auto" w:line="276"/>
        <w:jc w:val="both"/>
        <w:rPr>
          <w:b/>
          <w:sz w:val="24"/>
          <w:szCs w:val="24"/>
        </w:rPr>
      </w:pPr>
      <w:r>
        <w:rPr>
          <w:b/>
          <w:sz w:val="24"/>
          <w:szCs w:val="24"/>
        </w:rPr>
      </w:r>
    </w:p>
    <w:p>
      <w:pPr>
        <w:pStyle w:val="Normal"/>
        <w:spacing w:lineRule="auto" w:line="276"/>
        <w:jc w:val="center"/>
        <w:rPr>
          <w:b/>
          <w:sz w:val="24"/>
          <w:szCs w:val="24"/>
        </w:rPr>
      </w:pPr>
      <w:r>
        <w:rPr>
          <w:b/>
          <w:sz w:val="24"/>
          <w:szCs w:val="24"/>
        </w:rPr>
      </w:r>
    </w:p>
    <w:p>
      <w:pPr>
        <w:pStyle w:val="Normal"/>
        <w:jc w:val="center"/>
        <w:rPr>
          <w:b/>
          <w:sz w:val="24"/>
          <w:szCs w:val="24"/>
        </w:rPr>
      </w:pPr>
      <w:r>
        <w:rPr>
          <w:b/>
          <w:sz w:val="24"/>
          <w:szCs w:val="24"/>
        </w:rPr>
        <w:t>Wania Christina Figueiredo Dantas, CD</w:t>
        <w:br/>
        <w:t>Presidente do CRO-MT</w:t>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jc w:val="center"/>
        <w:rPr>
          <w:b/>
          <w:sz w:val="24"/>
          <w:szCs w:val="24"/>
        </w:rPr>
      </w:pPr>
      <w:r>
        <w:rPr>
          <w:b/>
          <w:sz w:val="24"/>
          <w:szCs w:val="24"/>
        </w:rPr>
      </w:r>
    </w:p>
    <w:p>
      <w:pPr>
        <w:pStyle w:val="Normal"/>
        <w:rPr>
          <w:b/>
          <w:sz w:val="24"/>
          <w:szCs w:val="24"/>
        </w:rPr>
      </w:pPr>
      <w:r>
        <w:rPr>
          <w:b/>
          <w:sz w:val="24"/>
          <w:szCs w:val="24"/>
        </w:rPr>
      </w:r>
    </w:p>
    <w:sectPr>
      <w:headerReference w:type="default" r:id="rId6"/>
      <w:footerReference w:type="default" r:id="rId7"/>
      <w:type w:val="nextPage"/>
      <w:pgSz w:w="11906" w:h="16838"/>
      <w:pgMar w:left="1134" w:right="1134" w:gutter="0" w:header="709" w:top="2126" w:footer="709" w:bottom="1418"/>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Segoe UI">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mc:AlternateContent>
        <mc:Choice Requires="wps">
          <w:drawing>
            <wp:anchor behindDoc="1" distT="0" distB="0" distL="0" distR="0" simplePos="0" locked="0" layoutInCell="0" allowOverlap="1" relativeHeight="27" wp14:anchorId="4A0239BE">
              <wp:simplePos x="0" y="0"/>
              <wp:positionH relativeFrom="page">
                <wp:posOffset>4957445</wp:posOffset>
              </wp:positionH>
              <wp:positionV relativeFrom="paragraph">
                <wp:posOffset>-27305</wp:posOffset>
              </wp:positionV>
              <wp:extent cx="2766060" cy="484505"/>
              <wp:effectExtent l="0" t="0" r="0" b="635"/>
              <wp:wrapNone/>
              <wp:docPr id="8" name="Caixa de Texto 2"/>
              <a:graphic xmlns:a="http://schemas.openxmlformats.org/drawingml/2006/main">
                <a:graphicData uri="http://schemas.microsoft.com/office/word/2010/wordprocessingShape">
                  <wps:wsp>
                    <wps:cNvSpPr/>
                    <wps:spPr>
                      <a:xfrm>
                        <a:off x="0" y="0"/>
                        <a:ext cx="2766240" cy="484560"/>
                      </a:xfrm>
                      <a:prstGeom prst="rect">
                        <a:avLst/>
                      </a:prstGeom>
                      <a:solidFill>
                        <a:srgbClr val="ffffff"/>
                      </a:solidFill>
                      <a:ln w="9525">
                        <a:noFill/>
                      </a:ln>
                    </wps:spPr>
                    <wps:style>
                      <a:lnRef idx="0"/>
                      <a:fillRef idx="0"/>
                      <a:effectRef idx="0"/>
                      <a:fontRef idx="minor"/>
                    </wps:style>
                    <wps:txbx>
                      <w:txbxContent>
                        <w:p>
                          <w:pPr>
                            <w:pStyle w:val="Contedodoquadro"/>
                            <w:jc w:val="center"/>
                            <w:rPr>
                              <w:color w:val="990002"/>
                              <w:w w:val="90"/>
                              <w:sz w:val="18"/>
                              <w:szCs w:val="18"/>
                            </w:rPr>
                          </w:pPr>
                          <w:r>
                            <w:rPr>
                              <w:color w:val="990002"/>
                              <w:spacing w:val="-1"/>
                              <w:w w:val="90"/>
                              <w:sz w:val="18"/>
                              <w:szCs w:val="18"/>
                            </w:rPr>
                            <w:t>Rua</w:t>
                          </w:r>
                          <w:r>
                            <w:rPr>
                              <w:color w:val="990002"/>
                              <w:spacing w:val="-9"/>
                              <w:w w:val="90"/>
                              <w:sz w:val="18"/>
                              <w:szCs w:val="18"/>
                            </w:rPr>
                            <w:t xml:space="preserve"> </w:t>
                          </w:r>
                          <w:r>
                            <w:rPr>
                              <w:color w:val="990002"/>
                              <w:spacing w:val="-1"/>
                              <w:w w:val="90"/>
                              <w:sz w:val="18"/>
                              <w:szCs w:val="18"/>
                            </w:rPr>
                            <w:t>5,</w:t>
                          </w:r>
                          <w:r>
                            <w:rPr>
                              <w:color w:val="990002"/>
                              <w:spacing w:val="-9"/>
                              <w:w w:val="90"/>
                              <w:sz w:val="18"/>
                              <w:szCs w:val="18"/>
                            </w:rPr>
                            <w:t xml:space="preserve"> </w:t>
                          </w:r>
                          <w:r>
                            <w:rPr>
                              <w:color w:val="990002"/>
                              <w:w w:val="90"/>
                              <w:sz w:val="18"/>
                              <w:szCs w:val="18"/>
                            </w:rPr>
                            <w:t>Quadra</w:t>
                          </w:r>
                          <w:r>
                            <w:rPr>
                              <w:color w:val="990002"/>
                              <w:spacing w:val="-9"/>
                              <w:w w:val="90"/>
                              <w:sz w:val="18"/>
                              <w:szCs w:val="18"/>
                            </w:rPr>
                            <w:t xml:space="preserve"> </w:t>
                          </w:r>
                          <w:r>
                            <w:rPr>
                              <w:color w:val="990002"/>
                              <w:w w:val="90"/>
                              <w:sz w:val="18"/>
                              <w:szCs w:val="18"/>
                            </w:rPr>
                            <w:t>12,</w:t>
                          </w:r>
                          <w:r>
                            <w:rPr>
                              <w:color w:val="990002"/>
                              <w:spacing w:val="-9"/>
                              <w:w w:val="90"/>
                              <w:sz w:val="18"/>
                              <w:szCs w:val="18"/>
                            </w:rPr>
                            <w:t xml:space="preserve"> </w:t>
                          </w:r>
                          <w:r>
                            <w:rPr>
                              <w:color w:val="990002"/>
                              <w:w w:val="90"/>
                              <w:sz w:val="18"/>
                              <w:szCs w:val="18"/>
                            </w:rPr>
                            <w:t>Lote</w:t>
                          </w:r>
                          <w:r>
                            <w:rPr>
                              <w:color w:val="990002"/>
                              <w:spacing w:val="-8"/>
                              <w:w w:val="90"/>
                              <w:sz w:val="18"/>
                              <w:szCs w:val="18"/>
                            </w:rPr>
                            <w:t xml:space="preserve"> </w:t>
                          </w:r>
                          <w:r>
                            <w:rPr>
                              <w:color w:val="990002"/>
                              <w:w w:val="90"/>
                              <w:sz w:val="18"/>
                              <w:szCs w:val="18"/>
                            </w:rPr>
                            <w:t>7,</w:t>
                          </w:r>
                          <w:r>
                            <w:rPr>
                              <w:color w:val="990002"/>
                              <w:spacing w:val="-9"/>
                              <w:w w:val="90"/>
                              <w:sz w:val="18"/>
                              <w:szCs w:val="18"/>
                            </w:rPr>
                            <w:t xml:space="preserve"> </w:t>
                          </w:r>
                          <w:r>
                            <w:rPr>
                              <w:color w:val="990002"/>
                              <w:w w:val="90"/>
                              <w:sz w:val="18"/>
                              <w:szCs w:val="18"/>
                            </w:rPr>
                            <w:t>Setor</w:t>
                          </w:r>
                          <w:r>
                            <w:rPr>
                              <w:color w:val="990002"/>
                              <w:spacing w:val="-9"/>
                              <w:w w:val="90"/>
                              <w:sz w:val="18"/>
                              <w:szCs w:val="18"/>
                            </w:rPr>
                            <w:t xml:space="preserve"> </w:t>
                          </w:r>
                          <w:r>
                            <w:rPr>
                              <w:color w:val="990002"/>
                              <w:w w:val="90"/>
                              <w:sz w:val="18"/>
                              <w:szCs w:val="18"/>
                            </w:rPr>
                            <w:t>A,</w:t>
                          </w:r>
                          <w:r>
                            <w:rPr>
                              <w:color w:val="990002"/>
                              <w:spacing w:val="-9"/>
                              <w:w w:val="90"/>
                              <w:sz w:val="18"/>
                              <w:szCs w:val="18"/>
                            </w:rPr>
                            <w:t xml:space="preserve"> </w:t>
                          </w:r>
                          <w:r>
                            <w:rPr>
                              <w:color w:val="990002"/>
                              <w:w w:val="90"/>
                              <w:sz w:val="18"/>
                              <w:szCs w:val="18"/>
                            </w:rPr>
                            <w:t>Centro</w:t>
                          </w:r>
                          <w:r>
                            <w:rPr>
                              <w:color w:val="990002"/>
                              <w:spacing w:val="-9"/>
                              <w:w w:val="90"/>
                              <w:sz w:val="18"/>
                              <w:szCs w:val="18"/>
                            </w:rPr>
                            <w:t xml:space="preserve"> </w:t>
                          </w:r>
                          <w:r>
                            <w:rPr>
                              <w:color w:val="990002"/>
                              <w:w w:val="90"/>
                              <w:sz w:val="18"/>
                              <w:szCs w:val="18"/>
                            </w:rPr>
                            <w:t>Político</w:t>
                          </w:r>
                        </w:p>
                        <w:p>
                          <w:pPr>
                            <w:pStyle w:val="Contedodoquadro"/>
                            <w:jc w:val="center"/>
                            <w:rPr>
                              <w:color w:val="990002"/>
                              <w:w w:val="90"/>
                              <w:sz w:val="18"/>
                              <w:szCs w:val="18"/>
                            </w:rPr>
                          </w:pPr>
                          <w:r>
                            <w:rPr>
                              <w:color w:val="990002"/>
                              <w:w w:val="90"/>
                              <w:sz w:val="18"/>
                              <w:szCs w:val="18"/>
                            </w:rPr>
                            <w:t>Administrativo, Cuiabá-MT CEP: 78049-035</w:t>
                          </w:r>
                        </w:p>
                        <w:p>
                          <w:pPr>
                            <w:pStyle w:val="Contedodoquadro"/>
                            <w:jc w:val="center"/>
                            <w:rPr>
                              <w:sz w:val="18"/>
                              <w:szCs w:val="18"/>
                            </w:rPr>
                          </w:pPr>
                          <w:r>
                            <w:rPr>
                              <w:color w:val="990002"/>
                              <w:w w:val="90"/>
                              <w:sz w:val="18"/>
                              <w:szCs w:val="18"/>
                            </w:rPr>
                            <w:t>Telefones:</w:t>
                          </w:r>
                          <w:r>
                            <w:rPr>
                              <w:color w:val="990002"/>
                              <w:spacing w:val="-6"/>
                              <w:w w:val="90"/>
                              <w:sz w:val="18"/>
                              <w:szCs w:val="18"/>
                            </w:rPr>
                            <w:t xml:space="preserve"> </w:t>
                          </w:r>
                          <w:r>
                            <w:rPr>
                              <w:color w:val="990002"/>
                              <w:w w:val="90"/>
                              <w:sz w:val="18"/>
                              <w:szCs w:val="18"/>
                            </w:rPr>
                            <w:t>0800</w:t>
                          </w:r>
                          <w:r>
                            <w:rPr>
                              <w:color w:val="990002"/>
                              <w:spacing w:val="-5"/>
                              <w:w w:val="90"/>
                              <w:sz w:val="18"/>
                              <w:szCs w:val="18"/>
                            </w:rPr>
                            <w:t xml:space="preserve"> </w:t>
                          </w:r>
                          <w:r>
                            <w:rPr>
                              <w:color w:val="990002"/>
                              <w:w w:val="90"/>
                              <w:sz w:val="18"/>
                              <w:szCs w:val="18"/>
                            </w:rPr>
                            <w:t>723</w:t>
                          </w:r>
                          <w:r>
                            <w:rPr>
                              <w:color w:val="990002"/>
                              <w:spacing w:val="-6"/>
                              <w:w w:val="90"/>
                              <w:sz w:val="18"/>
                              <w:szCs w:val="18"/>
                            </w:rPr>
                            <w:t xml:space="preserve"> </w:t>
                          </w:r>
                          <w:r>
                            <w:rPr>
                              <w:color w:val="990002"/>
                              <w:w w:val="90"/>
                              <w:sz w:val="18"/>
                              <w:szCs w:val="18"/>
                            </w:rPr>
                            <w:t>2510</w:t>
                          </w:r>
                          <w:r>
                            <w:rPr>
                              <w:color w:val="990002"/>
                              <w:spacing w:val="-5"/>
                              <w:w w:val="90"/>
                              <w:sz w:val="18"/>
                              <w:szCs w:val="18"/>
                            </w:rPr>
                            <w:t xml:space="preserve"> </w:t>
                          </w:r>
                          <w:r>
                            <w:rPr>
                              <w:color w:val="990002"/>
                              <w:w w:val="90"/>
                              <w:sz w:val="18"/>
                              <w:szCs w:val="18"/>
                            </w:rPr>
                            <w:t>/</w:t>
                          </w:r>
                          <w:r>
                            <w:rPr>
                              <w:color w:val="990002"/>
                              <w:spacing w:val="-6"/>
                              <w:w w:val="90"/>
                              <w:sz w:val="18"/>
                              <w:szCs w:val="18"/>
                            </w:rPr>
                            <w:t xml:space="preserve"> </w:t>
                          </w:r>
                          <w:r>
                            <w:rPr>
                              <w:color w:val="990002"/>
                              <w:w w:val="90"/>
                              <w:sz w:val="18"/>
                              <w:szCs w:val="18"/>
                            </w:rPr>
                            <w:t>(65)</w:t>
                          </w:r>
                          <w:r>
                            <w:rPr>
                              <w:color w:val="990002"/>
                              <w:spacing w:val="-5"/>
                              <w:w w:val="90"/>
                              <w:sz w:val="18"/>
                              <w:szCs w:val="18"/>
                            </w:rPr>
                            <w:t xml:space="preserve"> </w:t>
                          </w:r>
                          <w:r>
                            <w:rPr>
                              <w:color w:val="990002"/>
                              <w:w w:val="90"/>
                              <w:sz w:val="18"/>
                              <w:szCs w:val="18"/>
                            </w:rPr>
                            <w:t>3644-2002</w:t>
                          </w:r>
                        </w:p>
                      </w:txbxContent>
                    </wps:txbx>
                    <wps:bodyPr anchor="t">
                      <a:spAutoFit/>
                    </wps:bodyPr>
                  </wps:wsp>
                </a:graphicData>
              </a:graphic>
              <wp14:sizeRelV relativeFrom="margin">
                <wp14:pctHeight>20000</wp14:pctHeight>
              </wp14:sizeRelV>
            </wp:anchor>
          </w:drawing>
        </mc:Choice>
        <mc:Fallback>
          <w:pict>
            <v:rect id="shape_0" ID="Caixa de Texto 2" path="m0,0l-2147483645,0l-2147483645,-2147483646l0,-2147483646xe" fillcolor="white" stroked="f" o:allowincell="f" style="position:absolute;margin-left:390.35pt;margin-top:-2.15pt;width:217.75pt;height:38.1pt;mso-wrap-style:square;v-text-anchor:top;mso-position-horizontal-relative:page" wp14:anchorId="4A0239BE">
              <v:fill o:detectmouseclick="t" type="solid" color2="black"/>
              <v:stroke color="#3465a4" weight="9360" joinstyle="round" endcap="flat"/>
              <v:textbox>
                <w:txbxContent>
                  <w:p>
                    <w:pPr>
                      <w:pStyle w:val="Contedodoquadro"/>
                      <w:jc w:val="center"/>
                      <w:rPr>
                        <w:color w:val="990002"/>
                        <w:w w:val="90"/>
                        <w:sz w:val="18"/>
                        <w:szCs w:val="18"/>
                      </w:rPr>
                    </w:pPr>
                    <w:r>
                      <w:rPr>
                        <w:color w:val="990002"/>
                        <w:spacing w:val="-1"/>
                        <w:w w:val="90"/>
                        <w:sz w:val="18"/>
                        <w:szCs w:val="18"/>
                      </w:rPr>
                      <w:t>Rua</w:t>
                    </w:r>
                    <w:r>
                      <w:rPr>
                        <w:color w:val="990002"/>
                        <w:spacing w:val="-9"/>
                        <w:w w:val="90"/>
                        <w:sz w:val="18"/>
                        <w:szCs w:val="18"/>
                      </w:rPr>
                      <w:t xml:space="preserve"> </w:t>
                    </w:r>
                    <w:r>
                      <w:rPr>
                        <w:color w:val="990002"/>
                        <w:spacing w:val="-1"/>
                        <w:w w:val="90"/>
                        <w:sz w:val="18"/>
                        <w:szCs w:val="18"/>
                      </w:rPr>
                      <w:t>5,</w:t>
                    </w:r>
                    <w:r>
                      <w:rPr>
                        <w:color w:val="990002"/>
                        <w:spacing w:val="-9"/>
                        <w:w w:val="90"/>
                        <w:sz w:val="18"/>
                        <w:szCs w:val="18"/>
                      </w:rPr>
                      <w:t xml:space="preserve"> </w:t>
                    </w:r>
                    <w:r>
                      <w:rPr>
                        <w:color w:val="990002"/>
                        <w:w w:val="90"/>
                        <w:sz w:val="18"/>
                        <w:szCs w:val="18"/>
                      </w:rPr>
                      <w:t>Quadra</w:t>
                    </w:r>
                    <w:r>
                      <w:rPr>
                        <w:color w:val="990002"/>
                        <w:spacing w:val="-9"/>
                        <w:w w:val="90"/>
                        <w:sz w:val="18"/>
                        <w:szCs w:val="18"/>
                      </w:rPr>
                      <w:t xml:space="preserve"> </w:t>
                    </w:r>
                    <w:r>
                      <w:rPr>
                        <w:color w:val="990002"/>
                        <w:w w:val="90"/>
                        <w:sz w:val="18"/>
                        <w:szCs w:val="18"/>
                      </w:rPr>
                      <w:t>12,</w:t>
                    </w:r>
                    <w:r>
                      <w:rPr>
                        <w:color w:val="990002"/>
                        <w:spacing w:val="-9"/>
                        <w:w w:val="90"/>
                        <w:sz w:val="18"/>
                        <w:szCs w:val="18"/>
                      </w:rPr>
                      <w:t xml:space="preserve"> </w:t>
                    </w:r>
                    <w:r>
                      <w:rPr>
                        <w:color w:val="990002"/>
                        <w:w w:val="90"/>
                        <w:sz w:val="18"/>
                        <w:szCs w:val="18"/>
                      </w:rPr>
                      <w:t>Lote</w:t>
                    </w:r>
                    <w:r>
                      <w:rPr>
                        <w:color w:val="990002"/>
                        <w:spacing w:val="-8"/>
                        <w:w w:val="90"/>
                        <w:sz w:val="18"/>
                        <w:szCs w:val="18"/>
                      </w:rPr>
                      <w:t xml:space="preserve"> </w:t>
                    </w:r>
                    <w:r>
                      <w:rPr>
                        <w:color w:val="990002"/>
                        <w:w w:val="90"/>
                        <w:sz w:val="18"/>
                        <w:szCs w:val="18"/>
                      </w:rPr>
                      <w:t>7,</w:t>
                    </w:r>
                    <w:r>
                      <w:rPr>
                        <w:color w:val="990002"/>
                        <w:spacing w:val="-9"/>
                        <w:w w:val="90"/>
                        <w:sz w:val="18"/>
                        <w:szCs w:val="18"/>
                      </w:rPr>
                      <w:t xml:space="preserve"> </w:t>
                    </w:r>
                    <w:r>
                      <w:rPr>
                        <w:color w:val="990002"/>
                        <w:w w:val="90"/>
                        <w:sz w:val="18"/>
                        <w:szCs w:val="18"/>
                      </w:rPr>
                      <w:t>Setor</w:t>
                    </w:r>
                    <w:r>
                      <w:rPr>
                        <w:color w:val="990002"/>
                        <w:spacing w:val="-9"/>
                        <w:w w:val="90"/>
                        <w:sz w:val="18"/>
                        <w:szCs w:val="18"/>
                      </w:rPr>
                      <w:t xml:space="preserve"> </w:t>
                    </w:r>
                    <w:r>
                      <w:rPr>
                        <w:color w:val="990002"/>
                        <w:w w:val="90"/>
                        <w:sz w:val="18"/>
                        <w:szCs w:val="18"/>
                      </w:rPr>
                      <w:t>A,</w:t>
                    </w:r>
                    <w:r>
                      <w:rPr>
                        <w:color w:val="990002"/>
                        <w:spacing w:val="-9"/>
                        <w:w w:val="90"/>
                        <w:sz w:val="18"/>
                        <w:szCs w:val="18"/>
                      </w:rPr>
                      <w:t xml:space="preserve"> </w:t>
                    </w:r>
                    <w:r>
                      <w:rPr>
                        <w:color w:val="990002"/>
                        <w:w w:val="90"/>
                        <w:sz w:val="18"/>
                        <w:szCs w:val="18"/>
                      </w:rPr>
                      <w:t>Centro</w:t>
                    </w:r>
                    <w:r>
                      <w:rPr>
                        <w:color w:val="990002"/>
                        <w:spacing w:val="-9"/>
                        <w:w w:val="90"/>
                        <w:sz w:val="18"/>
                        <w:szCs w:val="18"/>
                      </w:rPr>
                      <w:t xml:space="preserve"> </w:t>
                    </w:r>
                    <w:r>
                      <w:rPr>
                        <w:color w:val="990002"/>
                        <w:w w:val="90"/>
                        <w:sz w:val="18"/>
                        <w:szCs w:val="18"/>
                      </w:rPr>
                      <w:t>Político</w:t>
                    </w:r>
                  </w:p>
                  <w:p>
                    <w:pPr>
                      <w:pStyle w:val="Contedodoquadro"/>
                      <w:jc w:val="center"/>
                      <w:rPr>
                        <w:color w:val="990002"/>
                        <w:w w:val="90"/>
                        <w:sz w:val="18"/>
                        <w:szCs w:val="18"/>
                      </w:rPr>
                    </w:pPr>
                    <w:r>
                      <w:rPr>
                        <w:color w:val="990002"/>
                        <w:w w:val="90"/>
                        <w:sz w:val="18"/>
                        <w:szCs w:val="18"/>
                      </w:rPr>
                      <w:t>Administrativo, Cuiabá-MT CEP: 78049-035</w:t>
                    </w:r>
                  </w:p>
                  <w:p>
                    <w:pPr>
                      <w:pStyle w:val="Contedodoquadro"/>
                      <w:jc w:val="center"/>
                      <w:rPr>
                        <w:sz w:val="18"/>
                        <w:szCs w:val="18"/>
                      </w:rPr>
                    </w:pPr>
                    <w:r>
                      <w:rPr>
                        <w:color w:val="990002"/>
                        <w:w w:val="90"/>
                        <w:sz w:val="18"/>
                        <w:szCs w:val="18"/>
                      </w:rPr>
                      <w:t>Telefones:</w:t>
                    </w:r>
                    <w:r>
                      <w:rPr>
                        <w:color w:val="990002"/>
                        <w:spacing w:val="-6"/>
                        <w:w w:val="90"/>
                        <w:sz w:val="18"/>
                        <w:szCs w:val="18"/>
                      </w:rPr>
                      <w:t xml:space="preserve"> </w:t>
                    </w:r>
                    <w:r>
                      <w:rPr>
                        <w:color w:val="990002"/>
                        <w:w w:val="90"/>
                        <w:sz w:val="18"/>
                        <w:szCs w:val="18"/>
                      </w:rPr>
                      <w:t>0800</w:t>
                    </w:r>
                    <w:r>
                      <w:rPr>
                        <w:color w:val="990002"/>
                        <w:spacing w:val="-5"/>
                        <w:w w:val="90"/>
                        <w:sz w:val="18"/>
                        <w:szCs w:val="18"/>
                      </w:rPr>
                      <w:t xml:space="preserve"> </w:t>
                    </w:r>
                    <w:r>
                      <w:rPr>
                        <w:color w:val="990002"/>
                        <w:w w:val="90"/>
                        <w:sz w:val="18"/>
                        <w:szCs w:val="18"/>
                      </w:rPr>
                      <w:t>723</w:t>
                    </w:r>
                    <w:r>
                      <w:rPr>
                        <w:color w:val="990002"/>
                        <w:spacing w:val="-6"/>
                        <w:w w:val="90"/>
                        <w:sz w:val="18"/>
                        <w:szCs w:val="18"/>
                      </w:rPr>
                      <w:t xml:space="preserve"> </w:t>
                    </w:r>
                    <w:r>
                      <w:rPr>
                        <w:color w:val="990002"/>
                        <w:w w:val="90"/>
                        <w:sz w:val="18"/>
                        <w:szCs w:val="18"/>
                      </w:rPr>
                      <w:t>2510</w:t>
                    </w:r>
                    <w:r>
                      <w:rPr>
                        <w:color w:val="990002"/>
                        <w:spacing w:val="-5"/>
                        <w:w w:val="90"/>
                        <w:sz w:val="18"/>
                        <w:szCs w:val="18"/>
                      </w:rPr>
                      <w:t xml:space="preserve"> </w:t>
                    </w:r>
                    <w:r>
                      <w:rPr>
                        <w:color w:val="990002"/>
                        <w:w w:val="90"/>
                        <w:sz w:val="18"/>
                        <w:szCs w:val="18"/>
                      </w:rPr>
                      <w:t>/</w:t>
                    </w:r>
                    <w:r>
                      <w:rPr>
                        <w:color w:val="990002"/>
                        <w:spacing w:val="-6"/>
                        <w:w w:val="90"/>
                        <w:sz w:val="18"/>
                        <w:szCs w:val="18"/>
                      </w:rPr>
                      <w:t xml:space="preserve"> </w:t>
                    </w:r>
                    <w:r>
                      <w:rPr>
                        <w:color w:val="990002"/>
                        <w:w w:val="90"/>
                        <w:sz w:val="18"/>
                        <w:szCs w:val="18"/>
                      </w:rPr>
                      <w:t>(65)</w:t>
                    </w:r>
                    <w:r>
                      <w:rPr>
                        <w:color w:val="990002"/>
                        <w:spacing w:val="-5"/>
                        <w:w w:val="90"/>
                        <w:sz w:val="18"/>
                        <w:szCs w:val="18"/>
                      </w:rPr>
                      <w:t xml:space="preserve"> </w:t>
                    </w:r>
                    <w:r>
                      <w:rPr>
                        <w:color w:val="990002"/>
                        <w:w w:val="90"/>
                        <w:sz w:val="18"/>
                        <w:szCs w:val="18"/>
                      </w:rPr>
                      <w:t>3644-2002</w:t>
                    </w:r>
                  </w:p>
                </w:txbxContent>
              </v:textbox>
              <w10:wrap type="none"/>
            </v:rect>
          </w:pict>
        </mc:Fallback>
      </mc:AlternateContent>
      <w:drawing>
        <wp:anchor behindDoc="1" distT="0" distB="0" distL="0" distR="0" simplePos="0" locked="0" layoutInCell="1" allowOverlap="1" relativeHeight="37">
          <wp:simplePos x="0" y="0"/>
          <wp:positionH relativeFrom="column">
            <wp:posOffset>-784225</wp:posOffset>
          </wp:positionH>
          <wp:positionV relativeFrom="paragraph">
            <wp:posOffset>572135</wp:posOffset>
          </wp:positionV>
          <wp:extent cx="7559675" cy="59690"/>
          <wp:effectExtent l="0" t="0" r="0" b="0"/>
          <wp:wrapNone/>
          <wp:docPr id="9" name="Imagem 4236625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423662529" descr=""/>
                  <pic:cNvPicPr>
                    <a:picLocks noChangeAspect="1" noChangeArrowheads="1"/>
                  </pic:cNvPicPr>
                </pic:nvPicPr>
                <pic:blipFill>
                  <a:blip r:embed="rId1"/>
                  <a:stretch>
                    <a:fillRect/>
                  </a:stretch>
                </pic:blipFill>
                <pic:spPr bwMode="auto">
                  <a:xfrm>
                    <a:off x="0" y="0"/>
                    <a:ext cx="7559675" cy="59690"/>
                  </a:xfrm>
                  <a:prstGeom prst="rect">
                    <a:avLst/>
                  </a:prstGeom>
                </pic:spPr>
              </pic:pic>
            </a:graphicData>
          </a:graphic>
        </wp:anchor>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mc:AlternateContent>
        <mc:Choice Requires="wpg">
          <w:drawing>
            <wp:anchor behindDoc="1" distT="0" distB="0" distL="0" distR="0" simplePos="0" locked="0" layoutInCell="0" allowOverlap="1" relativeHeight="10" wp14:anchorId="6ECDBC99">
              <wp:simplePos x="0" y="0"/>
              <wp:positionH relativeFrom="page">
                <wp:posOffset>-17145</wp:posOffset>
              </wp:positionH>
              <wp:positionV relativeFrom="page">
                <wp:posOffset>161290</wp:posOffset>
              </wp:positionV>
              <wp:extent cx="7560310" cy="1035685"/>
              <wp:effectExtent l="0" t="0" r="0" b="0"/>
              <wp:wrapNone/>
              <wp:docPr id="4" name="Agrupar 1506851861"/>
              <a:graphic xmlns:a="http://schemas.openxmlformats.org/drawingml/2006/main">
                <a:graphicData uri="http://schemas.microsoft.com/office/word/2010/wordprocessingGroup">
                  <wpg:wgp>
                    <wpg:cNvGrpSpPr/>
                    <wpg:grpSpPr>
                      <a:xfrm>
                        <a:off x="0" y="0"/>
                        <a:ext cx="7560360" cy="1035720"/>
                        <a:chOff x="0" y="0"/>
                        <a:chExt cx="7560360" cy="1035720"/>
                      </a:xfrm>
                    </wpg:grpSpPr>
                    <pic:pic xmlns:pic="http://schemas.openxmlformats.org/drawingml/2006/picture">
                      <pic:nvPicPr>
                        <pic:cNvPr id="5" name="Picture 2" descr=""/>
                        <pic:cNvPicPr/>
                      </pic:nvPicPr>
                      <pic:blipFill>
                        <a:blip r:embed="rId1"/>
                        <a:stretch/>
                      </pic:blipFill>
                      <pic:spPr>
                        <a:xfrm>
                          <a:off x="0" y="0"/>
                          <a:ext cx="7560360" cy="1035720"/>
                        </a:xfrm>
                        <a:prstGeom prst="rect">
                          <a:avLst/>
                        </a:prstGeom>
                        <a:ln w="0">
                          <a:noFill/>
                        </a:ln>
                      </pic:spPr>
                    </pic:pic>
                    <pic:pic xmlns:pic="http://schemas.openxmlformats.org/drawingml/2006/picture">
                      <pic:nvPicPr>
                        <pic:cNvPr id="6" name="Picture 3" descr=""/>
                        <pic:cNvPicPr/>
                      </pic:nvPicPr>
                      <pic:blipFill>
                        <a:blip r:embed="rId2"/>
                        <a:stretch/>
                      </pic:blipFill>
                      <pic:spPr>
                        <a:xfrm>
                          <a:off x="1583640" y="415440"/>
                          <a:ext cx="762480" cy="332280"/>
                        </a:xfrm>
                        <a:prstGeom prst="rect">
                          <a:avLst/>
                        </a:prstGeom>
                        <a:ln w="0">
                          <a:noFill/>
                        </a:ln>
                      </pic:spPr>
                    </pic:pic>
                    <pic:pic xmlns:pic="http://schemas.openxmlformats.org/drawingml/2006/picture">
                      <pic:nvPicPr>
                        <pic:cNvPr id="7" name="Picture 4" descr=""/>
                        <pic:cNvPicPr/>
                      </pic:nvPicPr>
                      <pic:blipFill>
                        <a:blip r:embed="rId3"/>
                        <a:stretch/>
                      </pic:blipFill>
                      <pic:spPr>
                        <a:xfrm>
                          <a:off x="2411640" y="415440"/>
                          <a:ext cx="483840" cy="269280"/>
                        </a:xfrm>
                        <a:prstGeom prst="rect">
                          <a:avLst/>
                        </a:prstGeom>
                        <a:ln w="0">
                          <a:noFill/>
                        </a:ln>
                      </pic:spPr>
                    </pic:pic>
                  </wpg:wgp>
                </a:graphicData>
              </a:graphic>
            </wp:anchor>
          </w:drawing>
        </mc:Choice>
        <mc:Fallback>
          <w:pict>
            <v:group id="shape_0" alt="Agrupar 1506851861" style="position:absolute;margin-left:-1.35pt;margin-top:12.7pt;width:595.3pt;height:81.55pt" coordorigin="-27,254" coordsize="11906,1631">
              <v:shape id="shape_0" ID="Picture 2" stroked="f" o:allowincell="f" style="position:absolute;left:-27;top:254;width:11905;height:1630;mso-wrap-style:none;v-text-anchor:middle;mso-position-horizontal-relative:page;mso-position-vertical-relative:page" type="_x0000_t75">
                <v:imagedata r:id="rId4" o:detectmouseclick="t"/>
                <v:stroke color="#3465a4" joinstyle="round" endcap="flat"/>
                <w10:wrap type="none"/>
              </v:shape>
              <v:shape id="shape_0" ID="Picture 3" stroked="f" o:allowincell="f" style="position:absolute;left:2467;top:908;width:1200;height:522;mso-wrap-style:none;v-text-anchor:middle;mso-position-horizontal-relative:page;mso-position-vertical-relative:page" type="_x0000_t75">
                <v:imagedata r:id="rId5" o:detectmouseclick="t"/>
                <v:stroke color="#3465a4" joinstyle="round" endcap="flat"/>
                <w10:wrap type="none"/>
              </v:shape>
              <v:shape id="shape_0" ID="Picture 4" stroked="f" o:allowincell="f" style="position:absolute;left:3771;top:908;width:761;height:423;mso-wrap-style:none;v-text-anchor:middle;mso-position-horizontal-relative:page;mso-position-vertical-relative:page" type="_x0000_t75">
                <v:imagedata r:id="rId6" o:detectmouseclick="t"/>
                <v:stroke color="#3465a4" joinstyle="round" endcap="flat"/>
                <w10:wrap type="none"/>
              </v:shape>
            </v:group>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5"/>
      <w:numFmt w:val="decimal"/>
      <w:lvlText w:val="%1"/>
      <w:lvlJc w:val="left"/>
      <w:pPr>
        <w:tabs>
          <w:tab w:val="num" w:pos="0"/>
        </w:tabs>
        <w:ind w:left="480" w:hanging="480"/>
      </w:pPr>
      <w:rPr/>
    </w:lvl>
    <w:lvl w:ilvl="1">
      <w:start w:val="1"/>
      <w:numFmt w:val="decimal"/>
      <w:lvlText w:val="%1.%2"/>
      <w:lvlJc w:val="left"/>
      <w:pPr>
        <w:tabs>
          <w:tab w:val="num" w:pos="0"/>
        </w:tabs>
        <w:ind w:left="480" w:hanging="480"/>
      </w:pPr>
      <w:rPr/>
    </w:lvl>
    <w:lvl w:ilvl="2">
      <w:start w:val="1"/>
      <w:numFmt w:val="decimal"/>
      <w:lvlText w:val="%1.%2.%3"/>
      <w:lvlJc w:val="left"/>
      <w:pPr>
        <w:tabs>
          <w:tab w:val="num" w:pos="0"/>
        </w:tabs>
        <w:ind w:left="720" w:hanging="720"/>
      </w:pPr>
      <w:rPr/>
    </w:lvl>
    <w:lvl w:ilvl="3">
      <w:start w:val="1"/>
      <w:numFmt w:val="decimal"/>
      <w:lvlText w:val="%1.%2.%3.%4"/>
      <w:lvlJc w:val="left"/>
      <w:pPr>
        <w:tabs>
          <w:tab w:val="num" w:pos="0"/>
        </w:tabs>
        <w:ind w:left="720" w:hanging="72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080" w:hanging="108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440" w:hanging="1440"/>
      </w:pPr>
      <w:rPr/>
    </w:lvl>
    <w:lvl w:ilvl="8">
      <w:start w:val="1"/>
      <w:numFmt w:val="decimal"/>
      <w:lvlText w:val="%1.%2.%3.%4.%5.%6.%7.%8.%9"/>
      <w:lvlJc w:val="left"/>
      <w:pPr>
        <w:tabs>
          <w:tab w:val="num" w:pos="0"/>
        </w:tabs>
        <w:ind w:left="1800" w:hanging="180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91a33"/>
    <w:pPr>
      <w:widowControl/>
      <w:suppressAutoHyphens w:val="true"/>
      <w:bidi w:val="0"/>
      <w:spacing w:lineRule="auto" w:line="240" w:before="0" w:after="0"/>
      <w:jc w:val="left"/>
    </w:pPr>
    <w:rPr>
      <w:rFonts w:ascii="Times New Roman" w:hAnsi="Times New Roman" w:eastAsia="Times New Roman" w:cs="Times New Roman"/>
      <w:color w:val="auto"/>
      <w:kern w:val="0"/>
      <w:sz w:val="20"/>
      <w:szCs w:val="20"/>
      <w:lang w:val="pt-BR" w:eastAsia="pt-BR" w:bidi="ar-SA"/>
    </w:rPr>
  </w:style>
  <w:style w:type="paragraph" w:styleId="Heading1">
    <w:name w:val="Heading 1"/>
    <w:basedOn w:val="Normal"/>
    <w:next w:val="Normal"/>
    <w:link w:val="Ttulo1Char"/>
    <w:qFormat/>
    <w:rsid w:val="008f6e84"/>
    <w:pPr>
      <w:keepNext w:val="true"/>
      <w:outlineLvl w:val="0"/>
    </w:pPr>
    <w:rPr>
      <w:b/>
      <w:sz w:val="24"/>
      <w:szCs w:val="24"/>
    </w:rPr>
  </w:style>
  <w:style w:type="paragraph" w:styleId="Heading2">
    <w:name w:val="Heading 2"/>
    <w:basedOn w:val="Normal"/>
    <w:next w:val="Normal"/>
    <w:link w:val="Ttulo2Char"/>
    <w:uiPriority w:val="9"/>
    <w:semiHidden/>
    <w:unhideWhenUsed/>
    <w:qFormat/>
    <w:rsid w:val="00954939"/>
    <w:pPr>
      <w:keepNext w:val="true"/>
      <w:keepLines/>
      <w:spacing w:before="200" w:after="0"/>
      <w:outlineLvl w:val="1"/>
    </w:pPr>
    <w:rPr>
      <w:rFonts w:ascii="Calibri Light" w:hAnsi="Calibri Light" w:eastAsia="" w:cs="" w:asciiTheme="majorHAnsi" w:cstheme="majorBidi" w:eastAsiaTheme="majorEastAsia" w:hAnsiTheme="majorHAnsi"/>
      <w:b/>
      <w:bCs/>
      <w:color w:themeColor="accent1" w:val="5B9BD5"/>
      <w:sz w:val="26"/>
      <w:szCs w:val="26"/>
    </w:rPr>
  </w:style>
  <w:style w:type="character" w:styleId="DefaultParagraphFont" w:default="1">
    <w:name w:val="Default Paragraph Font"/>
    <w:uiPriority w:val="1"/>
    <w:semiHidden/>
    <w:unhideWhenUsed/>
    <w:qFormat/>
    <w:rPr/>
  </w:style>
  <w:style w:type="character" w:styleId="CorpodetextoChar" w:customStyle="1">
    <w:name w:val="Corpo de texto Char"/>
    <w:basedOn w:val="DefaultParagraphFont"/>
    <w:qFormat/>
    <w:rsid w:val="00010456"/>
    <w:rPr>
      <w:rFonts w:ascii="Times New Roman" w:hAnsi="Times New Roman" w:eastAsia="Times New Roman" w:cs="Times New Roman"/>
      <w:bCs/>
      <w:color w:val="000000"/>
      <w:sz w:val="28"/>
      <w:szCs w:val="20"/>
      <w:lang w:eastAsia="pt-BR"/>
    </w:rPr>
  </w:style>
  <w:style w:type="character" w:styleId="RecuodecorpodetextoChar" w:customStyle="1">
    <w:name w:val="Recuo de corpo de texto Char"/>
    <w:basedOn w:val="DefaultParagraphFont"/>
    <w:qFormat/>
    <w:rsid w:val="00010456"/>
    <w:rPr>
      <w:rFonts w:ascii="Times New Roman" w:hAnsi="Times New Roman" w:eastAsia="Times New Roman" w:cs="Times New Roman"/>
      <w:sz w:val="24"/>
      <w:szCs w:val="20"/>
      <w:lang w:eastAsia="pt-BR"/>
    </w:rPr>
  </w:style>
  <w:style w:type="character" w:styleId="Corpodetexto2Char" w:customStyle="1">
    <w:name w:val="Corpo de texto 2 Char"/>
    <w:basedOn w:val="DefaultParagraphFont"/>
    <w:link w:val="BodyText2"/>
    <w:uiPriority w:val="99"/>
    <w:qFormat/>
    <w:rsid w:val="00010456"/>
    <w:rPr>
      <w:rFonts w:ascii="Times New Roman" w:hAnsi="Times New Roman" w:eastAsia="Times New Roman" w:cs="Times New Roman"/>
      <w:sz w:val="20"/>
      <w:szCs w:val="20"/>
      <w:lang w:eastAsia="pt-BR"/>
    </w:rPr>
  </w:style>
  <w:style w:type="character" w:styleId="TextodebaloChar" w:customStyle="1">
    <w:name w:val="Texto de balão Char"/>
    <w:basedOn w:val="DefaultParagraphFont"/>
    <w:link w:val="BalloonText"/>
    <w:uiPriority w:val="99"/>
    <w:semiHidden/>
    <w:qFormat/>
    <w:rsid w:val="002738ad"/>
    <w:rPr>
      <w:rFonts w:ascii="Segoe UI" w:hAnsi="Segoe UI" w:eastAsia="Times New Roman" w:cs="Segoe UI"/>
      <w:sz w:val="18"/>
      <w:szCs w:val="18"/>
      <w:lang w:eastAsia="pt-BR"/>
    </w:rPr>
  </w:style>
  <w:style w:type="character" w:styleId="Ttulo1Char" w:customStyle="1">
    <w:name w:val="Título 1 Char"/>
    <w:basedOn w:val="DefaultParagraphFont"/>
    <w:qFormat/>
    <w:rsid w:val="008f6e84"/>
    <w:rPr>
      <w:rFonts w:ascii="Times New Roman" w:hAnsi="Times New Roman" w:eastAsia="Times New Roman" w:cs="Times New Roman"/>
      <w:b/>
      <w:sz w:val="24"/>
      <w:szCs w:val="24"/>
      <w:lang w:eastAsia="pt-BR"/>
    </w:rPr>
  </w:style>
  <w:style w:type="character" w:styleId="SemEspaamentoChar" w:customStyle="1">
    <w:name w:val="Sem Espaçamento Char"/>
    <w:basedOn w:val="DefaultParagraphFont"/>
    <w:link w:val="NoSpacing"/>
    <w:uiPriority w:val="1"/>
    <w:qFormat/>
    <w:rsid w:val="008f6e84"/>
    <w:rPr>
      <w:rFonts w:eastAsia="" w:eastAsiaTheme="minorEastAsia"/>
      <w:sz w:val="20"/>
      <w:szCs w:val="20"/>
    </w:rPr>
  </w:style>
  <w:style w:type="character" w:styleId="Hyperlink">
    <w:name w:val="Hyperlink"/>
    <w:basedOn w:val="DefaultParagraphFont"/>
    <w:rsid w:val="008f6e84"/>
    <w:rPr>
      <w:color w:val="0000FF"/>
      <w:u w:val="single"/>
    </w:rPr>
  </w:style>
  <w:style w:type="character" w:styleId="CabealhoChar" w:customStyle="1">
    <w:name w:val="Cabeçalho Char"/>
    <w:basedOn w:val="DefaultParagraphFont"/>
    <w:uiPriority w:val="99"/>
    <w:qFormat/>
    <w:rsid w:val="005711ea"/>
    <w:rPr>
      <w:rFonts w:ascii="Times New Roman" w:hAnsi="Times New Roman" w:eastAsia="Times New Roman" w:cs="Times New Roman"/>
      <w:sz w:val="20"/>
      <w:szCs w:val="20"/>
      <w:lang w:eastAsia="pt-BR"/>
    </w:rPr>
  </w:style>
  <w:style w:type="character" w:styleId="RodapChar" w:customStyle="1">
    <w:name w:val="Rodapé Char"/>
    <w:basedOn w:val="DefaultParagraphFont"/>
    <w:uiPriority w:val="99"/>
    <w:qFormat/>
    <w:rsid w:val="005711ea"/>
    <w:rPr>
      <w:rFonts w:ascii="Times New Roman" w:hAnsi="Times New Roman" w:eastAsia="Times New Roman" w:cs="Times New Roman"/>
      <w:sz w:val="20"/>
      <w:szCs w:val="20"/>
      <w:lang w:eastAsia="pt-BR"/>
    </w:rPr>
  </w:style>
  <w:style w:type="character" w:styleId="Annotationreference">
    <w:name w:val="annotation reference"/>
    <w:basedOn w:val="DefaultParagraphFont"/>
    <w:uiPriority w:val="99"/>
    <w:semiHidden/>
    <w:unhideWhenUsed/>
    <w:qFormat/>
    <w:rsid w:val="00c83dfd"/>
    <w:rPr>
      <w:sz w:val="16"/>
      <w:szCs w:val="16"/>
    </w:rPr>
  </w:style>
  <w:style w:type="character" w:styleId="TextodecomentrioChar" w:customStyle="1">
    <w:name w:val="Texto de comentário Char"/>
    <w:basedOn w:val="DefaultParagraphFont"/>
    <w:link w:val="Annotationtext"/>
    <w:uiPriority w:val="99"/>
    <w:semiHidden/>
    <w:qFormat/>
    <w:rsid w:val="00c83dfd"/>
    <w:rPr>
      <w:rFonts w:ascii="Times New Roman" w:hAnsi="Times New Roman" w:eastAsia="Times New Roman" w:cs="Times New Roman"/>
      <w:sz w:val="20"/>
      <w:szCs w:val="20"/>
      <w:lang w:eastAsia="pt-BR"/>
    </w:rPr>
  </w:style>
  <w:style w:type="character" w:styleId="AssuntodocomentrioChar" w:customStyle="1">
    <w:name w:val="Assunto do comentário Char"/>
    <w:basedOn w:val="TextodecomentrioChar"/>
    <w:link w:val="Annotationsubject"/>
    <w:uiPriority w:val="99"/>
    <w:semiHidden/>
    <w:qFormat/>
    <w:rsid w:val="00c83dfd"/>
    <w:rPr>
      <w:rFonts w:ascii="Times New Roman" w:hAnsi="Times New Roman" w:eastAsia="Times New Roman" w:cs="Times New Roman"/>
      <w:b/>
      <w:bCs/>
      <w:sz w:val="20"/>
      <w:szCs w:val="20"/>
      <w:lang w:eastAsia="pt-BR"/>
    </w:rPr>
  </w:style>
  <w:style w:type="character" w:styleId="TtuloChar" w:customStyle="1">
    <w:name w:val="Título Char"/>
    <w:basedOn w:val="DefaultParagraphFont"/>
    <w:qFormat/>
    <w:rsid w:val="00b71019"/>
    <w:rPr>
      <w:rFonts w:ascii="Times New Roman" w:hAnsi="Times New Roman" w:eastAsia="Times New Roman" w:cs="Times New Roman"/>
      <w:b/>
      <w:bCs/>
      <w:sz w:val="20"/>
      <w:szCs w:val="20"/>
      <w:lang w:eastAsia="pt-BR"/>
    </w:rPr>
  </w:style>
  <w:style w:type="character" w:styleId="Ttulo2Char" w:customStyle="1">
    <w:name w:val="Título 2 Char"/>
    <w:basedOn w:val="DefaultParagraphFont"/>
    <w:uiPriority w:val="9"/>
    <w:semiHidden/>
    <w:qFormat/>
    <w:rsid w:val="00954939"/>
    <w:rPr>
      <w:rFonts w:ascii="Calibri Light" w:hAnsi="Calibri Light" w:eastAsia="" w:cs="" w:asciiTheme="majorHAnsi" w:cstheme="majorBidi" w:eastAsiaTheme="majorEastAsia" w:hAnsiTheme="majorHAnsi"/>
      <w:b/>
      <w:bCs/>
      <w:color w:themeColor="accent1" w:val="5B9BD5"/>
      <w:sz w:val="26"/>
      <w:szCs w:val="26"/>
      <w:lang w:eastAsia="pt-BR"/>
    </w:rPr>
  </w:style>
  <w:style w:type="character" w:styleId="PargrafodaListaChar" w:customStyle="1">
    <w:name w:val="Parágrafo da Lista Char"/>
    <w:basedOn w:val="DefaultParagraphFont"/>
    <w:link w:val="ListParagraph"/>
    <w:uiPriority w:val="1"/>
    <w:qFormat/>
    <w:rsid w:val="00350ba7"/>
    <w:rPr>
      <w:rFonts w:ascii="Times New Roman" w:hAnsi="Times New Roman" w:eastAsia="Times New Roman" w:cs="Times New Roman"/>
      <w:sz w:val="20"/>
      <w:szCs w:val="20"/>
      <w:lang w:eastAsia="pt-BR"/>
    </w:rPr>
  </w:style>
  <w:style w:type="character" w:styleId="Strong">
    <w:name w:val="Strong"/>
    <w:basedOn w:val="DefaultParagraphFont"/>
    <w:uiPriority w:val="22"/>
    <w:qFormat/>
    <w:rsid w:val="00d77e12"/>
    <w:rPr>
      <w:b/>
      <w:bCs/>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link w:val="CorpodetextoChar"/>
    <w:rsid w:val="00010456"/>
    <w:pPr/>
    <w:rPr>
      <w:bCs/>
      <w:color w:val="000000"/>
      <w:sz w:val="28"/>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BodyTextIndent">
    <w:name w:val="Body Text Indent"/>
    <w:basedOn w:val="Normal"/>
    <w:link w:val="RecuodecorpodetextoChar"/>
    <w:rsid w:val="00010456"/>
    <w:pPr>
      <w:ind w:left="567"/>
      <w:jc w:val="both"/>
    </w:pPr>
    <w:rPr>
      <w:sz w:val="24"/>
    </w:rPr>
  </w:style>
  <w:style w:type="paragraph" w:styleId="BodyText2">
    <w:name w:val="Body Text 2"/>
    <w:basedOn w:val="Normal"/>
    <w:link w:val="Corpodetexto2Char"/>
    <w:uiPriority w:val="99"/>
    <w:unhideWhenUsed/>
    <w:qFormat/>
    <w:rsid w:val="00010456"/>
    <w:pPr>
      <w:spacing w:lineRule="auto" w:line="480" w:before="0" w:after="120"/>
    </w:pPr>
    <w:rPr/>
  </w:style>
  <w:style w:type="paragraph" w:styleId="BalloonText">
    <w:name w:val="Balloon Text"/>
    <w:basedOn w:val="Normal"/>
    <w:link w:val="TextodebaloChar"/>
    <w:uiPriority w:val="99"/>
    <w:semiHidden/>
    <w:unhideWhenUsed/>
    <w:qFormat/>
    <w:rsid w:val="002738ad"/>
    <w:pPr/>
    <w:rPr>
      <w:rFonts w:ascii="Segoe UI" w:hAnsi="Segoe UI" w:cs="Segoe UI"/>
      <w:sz w:val="18"/>
      <w:szCs w:val="18"/>
    </w:rPr>
  </w:style>
  <w:style w:type="paragraph" w:styleId="NoSpacing">
    <w:name w:val="No Spacing"/>
    <w:basedOn w:val="Normal"/>
    <w:link w:val="SemEspaamentoChar"/>
    <w:uiPriority w:val="1"/>
    <w:qFormat/>
    <w:rsid w:val="008f6e84"/>
    <w:pPr/>
    <w:rPr>
      <w:rFonts w:ascii="Calibri" w:hAnsi="Calibri" w:eastAsia="" w:cs="" w:asciiTheme="minorHAnsi" w:cstheme="minorBidi" w:eastAsiaTheme="minorEastAsia" w:hAnsiTheme="minorHAnsi"/>
      <w:lang w:eastAsia="en-US"/>
    </w:rPr>
  </w:style>
  <w:style w:type="paragraph" w:styleId="NormalWeb">
    <w:name w:val="Normal (Web)"/>
    <w:basedOn w:val="Normal"/>
    <w:uiPriority w:val="99"/>
    <w:qFormat/>
    <w:rsid w:val="008f6e84"/>
    <w:pPr>
      <w:spacing w:before="100" w:after="100"/>
    </w:pPr>
    <w:rPr>
      <w:rFonts w:ascii="Arial" w:hAnsi="Arial" w:cs="Arial"/>
      <w:szCs w:val="24"/>
    </w:rPr>
  </w:style>
  <w:style w:type="paragraph" w:styleId="CabealhoeRodap">
    <w:name w:val="Cabeçalho e Rodapé"/>
    <w:basedOn w:val="Normal"/>
    <w:qFormat/>
    <w:pPr/>
    <w:rPr/>
  </w:style>
  <w:style w:type="paragraph" w:styleId="Header">
    <w:name w:val="Header"/>
    <w:basedOn w:val="Normal"/>
    <w:link w:val="CabealhoChar"/>
    <w:uiPriority w:val="99"/>
    <w:unhideWhenUsed/>
    <w:rsid w:val="005711ea"/>
    <w:pPr>
      <w:tabs>
        <w:tab w:val="clear" w:pos="708"/>
        <w:tab w:val="center" w:pos="4252" w:leader="none"/>
        <w:tab w:val="right" w:pos="8504" w:leader="none"/>
      </w:tabs>
    </w:pPr>
    <w:rPr/>
  </w:style>
  <w:style w:type="paragraph" w:styleId="Footer">
    <w:name w:val="Footer"/>
    <w:basedOn w:val="Normal"/>
    <w:link w:val="RodapChar"/>
    <w:uiPriority w:val="99"/>
    <w:unhideWhenUsed/>
    <w:rsid w:val="005711ea"/>
    <w:pPr>
      <w:tabs>
        <w:tab w:val="clear" w:pos="708"/>
        <w:tab w:val="center" w:pos="4252" w:leader="none"/>
        <w:tab w:val="right" w:pos="8504" w:leader="none"/>
      </w:tabs>
    </w:pPr>
    <w:rPr/>
  </w:style>
  <w:style w:type="paragraph" w:styleId="Annotationtext">
    <w:name w:val="annotation text"/>
    <w:basedOn w:val="Normal"/>
    <w:link w:val="TextodecomentrioChar"/>
    <w:uiPriority w:val="99"/>
    <w:semiHidden/>
    <w:unhideWhenUsed/>
    <w:qFormat/>
    <w:rsid w:val="00c83dfd"/>
    <w:pPr/>
    <w:rPr/>
  </w:style>
  <w:style w:type="paragraph" w:styleId="Annotationsubject">
    <w:name w:val="annotation subject"/>
    <w:basedOn w:val="Annotationtext"/>
    <w:next w:val="Annotationtext"/>
    <w:link w:val="AssuntodocomentrioChar"/>
    <w:uiPriority w:val="99"/>
    <w:semiHidden/>
    <w:unhideWhenUsed/>
    <w:qFormat/>
    <w:rsid w:val="00c83dfd"/>
    <w:pPr/>
    <w:rPr>
      <w:b/>
      <w:bCs/>
    </w:rPr>
  </w:style>
  <w:style w:type="paragraph" w:styleId="Title">
    <w:name w:val="Title"/>
    <w:basedOn w:val="Normal"/>
    <w:link w:val="TtuloChar"/>
    <w:qFormat/>
    <w:rsid w:val="00b71019"/>
    <w:pPr>
      <w:jc w:val="center"/>
    </w:pPr>
    <w:rPr>
      <w:b/>
      <w:bCs/>
    </w:rPr>
  </w:style>
  <w:style w:type="paragraph" w:styleId="ListParagraph">
    <w:name w:val="List Paragraph"/>
    <w:basedOn w:val="Normal"/>
    <w:link w:val="PargrafodaListaChar"/>
    <w:uiPriority w:val="1"/>
    <w:qFormat/>
    <w:rsid w:val="00b61bac"/>
    <w:pPr>
      <w:spacing w:before="0" w:after="0"/>
      <w:ind w:left="720"/>
      <w:contextualSpacing/>
    </w:pPr>
    <w:rPr/>
  </w:style>
  <w:style w:type="paragraph" w:styleId="TableParagraph" w:customStyle="1">
    <w:name w:val="Table Paragraph"/>
    <w:basedOn w:val="Normal"/>
    <w:uiPriority w:val="1"/>
    <w:qFormat/>
    <w:rsid w:val="00c57c40"/>
    <w:pPr>
      <w:widowControl w:val="false"/>
    </w:pPr>
    <w:rPr>
      <w:rFonts w:ascii="Arial" w:hAnsi="Arial" w:eastAsia="Arial" w:cs="Arial"/>
      <w:sz w:val="22"/>
      <w:szCs w:val="22"/>
      <w:lang w:val="pt-PT" w:eastAsia="pt-PT" w:bidi="pt-PT"/>
    </w:rPr>
  </w:style>
  <w:style w:type="paragraph" w:styleId="Default" w:customStyle="1">
    <w:name w:val="Default"/>
    <w:qFormat/>
    <w:rsid w:val="00d77e12"/>
    <w:pPr>
      <w:widowControl/>
      <w:suppressAutoHyphens w:val="true"/>
      <w:bidi w:val="0"/>
      <w:spacing w:lineRule="auto" w:line="240" w:before="0" w:after="0"/>
      <w:jc w:val="left"/>
    </w:pPr>
    <w:rPr>
      <w:rFonts w:ascii="Times New Roman" w:hAnsi="Times New Roman" w:eastAsia="Calibri" w:cs="Times New Roman"/>
      <w:color w:val="000000"/>
      <w:kern w:val="0"/>
      <w:sz w:val="24"/>
      <w:szCs w:val="24"/>
      <w:lang w:val="pt-BR" w:eastAsia="en-US" w:bidi="ar-SA"/>
    </w:rPr>
  </w:style>
  <w:style w:type="paragraph" w:styleId="Texto" w:customStyle="1">
    <w:name w:val="texto"/>
    <w:qFormat/>
    <w:rsid w:val="00e27235"/>
    <w:pPr>
      <w:widowControl/>
      <w:tabs>
        <w:tab w:val="clear" w:pos="708"/>
        <w:tab w:val="left" w:pos="878" w:leader="none"/>
        <w:tab w:val="left" w:pos="1586" w:leader="none"/>
        <w:tab w:val="left" w:pos="2294" w:leader="none"/>
        <w:tab w:val="left" w:pos="3002" w:leader="none"/>
        <w:tab w:val="left" w:pos="3710" w:leader="none"/>
        <w:tab w:val="left" w:pos="4418" w:leader="none"/>
        <w:tab w:val="left" w:pos="5126" w:leader="none"/>
        <w:tab w:val="left" w:pos="5834" w:leader="none"/>
        <w:tab w:val="left" w:pos="6542" w:leader="none"/>
        <w:tab w:val="left" w:pos="7250" w:leader="none"/>
        <w:tab w:val="left" w:pos="7958" w:leader="none"/>
        <w:tab w:val="left" w:pos="8666" w:leader="none"/>
        <w:tab w:val="left" w:pos="9374" w:leader="none"/>
        <w:tab w:val="left" w:pos="10082" w:leader="none"/>
        <w:tab w:val="left" w:pos="10790" w:leader="none"/>
        <w:tab w:val="left" w:pos="11498" w:leader="none"/>
        <w:tab w:val="left" w:pos="12206" w:leader="none"/>
        <w:tab w:val="left" w:pos="12914" w:leader="none"/>
        <w:tab w:val="left" w:pos="13622" w:leader="none"/>
        <w:tab w:val="left" w:pos="14330" w:leader="none"/>
        <w:tab w:val="left" w:pos="15038" w:leader="none"/>
        <w:tab w:val="left" w:pos="15746" w:leader="none"/>
        <w:tab w:val="left" w:pos="16454" w:leader="none"/>
        <w:tab w:val="left" w:pos="17162" w:leader="none"/>
        <w:tab w:val="left" w:pos="17870" w:leader="none"/>
        <w:tab w:val="left" w:pos="18578" w:leader="none"/>
        <w:tab w:val="left" w:pos="19286" w:leader="none"/>
        <w:tab w:val="left" w:pos="19994" w:leader="none"/>
        <w:tab w:val="left" w:pos="20702" w:leader="none"/>
        <w:tab w:val="left" w:pos="21410" w:leader="none"/>
        <w:tab w:val="left" w:pos="22118" w:leader="none"/>
        <w:tab w:val="left" w:pos="22826" w:leader="none"/>
        <w:tab w:val="left" w:pos="23534" w:leader="none"/>
        <w:tab w:val="left" w:pos="24242" w:leader="none"/>
        <w:tab w:val="left" w:pos="24950" w:leader="none"/>
        <w:tab w:val="left" w:pos="25658" w:leader="none"/>
        <w:tab w:val="left" w:pos="26366" w:leader="none"/>
        <w:tab w:val="left" w:pos="27074" w:leader="none"/>
        <w:tab w:val="left" w:pos="27782" w:leader="none"/>
        <w:tab w:val="left" w:pos="28490" w:leader="none"/>
      </w:tabs>
      <w:suppressAutoHyphens w:val="true"/>
      <w:bidi w:val="0"/>
      <w:spacing w:lineRule="atLeast" w:line="240" w:before="0" w:after="0"/>
      <w:ind w:hanging="170" w:left="170"/>
      <w:jc w:val="both"/>
      <w:textAlignment w:val="baseline"/>
    </w:pPr>
    <w:rPr>
      <w:rFonts w:ascii="Times New Roman" w:hAnsi="Times New Roman" w:eastAsia="Arial" w:cs="Times New Roman"/>
      <w:color w:val="auto"/>
      <w:kern w:val="2"/>
      <w:sz w:val="20"/>
      <w:szCs w:val="20"/>
      <w:lang w:val="pt-BR" w:eastAsia="zh-CN" w:bidi="ar-SA"/>
    </w:rPr>
  </w:style>
  <w:style w:type="paragraph" w:styleId="Contedodoquadro">
    <w:name w:val="Conteúdo do quadro"/>
    <w:basedOn w:val="Normal"/>
    <w:qFormat/>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6a04a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microsoft.com/office/2007/relationships/hdphoto" Target="media/hdphoto1.wdp"/><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6.png"/>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5.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itchFamily="0" charset="1"/>
        <a:ea typeface=""/>
        <a:cs typeface=""/>
      </a:majorFont>
      <a:minorFont>
        <a:latin typeface="Calibri"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14285-1788-429E-B10A-642AF69EB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1220</TotalTime>
  <Application>LibreOffice/7.6.1.2$Windows_X86_64 LibreOffice_project/f5defcebd022c5bc36bbb79be232cb6926d8f674</Application>
  <AppVersion>15.0000</AppVersion>
  <Pages>9</Pages>
  <Words>3017</Words>
  <Characters>16971</Characters>
  <CharactersWithSpaces>19957</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2023-08-15T13:12:00Z</dcterms:created>
  <dc:creator>Fi</dc:creator>
  <dc:description/>
  <dc:language>pt-BR</dc:language>
  <cp:lastModifiedBy/>
  <cp:lastPrinted>2023-06-19T16:44:00Z</cp:lastPrinted>
  <dcterms:modified xsi:type="dcterms:W3CDTF">2024-04-19T13:30:54Z</dcterms:modified>
  <cp:revision>35</cp:revision>
  <dc:subject/>
  <dc:title/>
</cp:coreProperties>
</file>

<file path=docProps/custom.xml><?xml version="1.0" encoding="utf-8"?>
<Properties xmlns="http://schemas.openxmlformats.org/officeDocument/2006/custom-properties" xmlns:vt="http://schemas.openxmlformats.org/officeDocument/2006/docPropsVTypes"/>
</file>