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header+xml" PartName="/word/header.xml"/>
  <Override ContentType="image/png" PartName="/word/media/header_image_rId1.png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9 (Apache licensed) using REFERENCE JAXB in Temurin Java 1.8.0_345 on Linux -->
    <w:p>
      <w:pPr>
        <w:spacing w:before="0" w:after="0" w:line="360"/>
        <w:ind w:left="0"/>
        <w:jc w:val="center"/>
      </w:pPr>
      <w:bookmarkStart w:name="body" w:id="0"/>
      <w:bookmarkStart w:name="contents" w:id="1"/>
      <w:r>
        <w:rPr>
          <w:rFonts w:hint="default" w:ascii="Arial" w:hAnsi="Arial"/>
          <w:b w:val="false"/>
          <w:i w:val="false"/>
          <w:color w:val="000000"/>
          <w:sz w:val="28"/>
        </w:rPr>
        <w:t xml:space="preserve"/>
      </w:r>
      <w:r>
        <w:rPr>
          <w:rFonts w:hint="default" w:ascii="Arial" w:hAnsi="Arial"/>
          <w:b/>
          <w:i w:val="false"/>
          <w:color w:val="000000"/>
          <w:sz w:val="22"/>
          <w:u w:val="single"/>
        </w:rPr>
        <w:t>ANEXO I - QUADRO DE MATERIAIS E/OU SERVIÇOS</w:t>
      </w:r>
      <w:r>
        <w:rPr>
          <w:rFonts w:hint="default" w:ascii="Arial" w:hAnsi="Arial"/>
          <w:b/>
          <w:i w:val="false"/>
          <w:color w:val="000000"/>
          <w:sz w:val="22"/>
        </w:rPr>
        <w:t xml:space="preserve"/>
      </w:r>
    </w:p>
    <w:p>
      <w:pPr>
        <w:spacing w:before="0" w:after="0" w:line="360"/>
        <w:ind w:left="0"/>
        <w:jc w:val="center"/>
      </w:pPr>
    </w:p>
    <w:p>
      <w:pPr>
        <w:spacing w:before="0" w:after="0" w:line="360"/>
        <w:ind w:left="0"/>
        <w:jc w:val="left"/>
      </w:pPr>
      <w:r>
        <w:rPr>
          <w:rFonts w:hint="default" w:ascii="Arial" w:hAnsi="Arial"/>
          <w:b w:val="false"/>
          <w:i w:val="false"/>
          <w:color w:val="000000"/>
          <w:sz w:val="22"/>
        </w:rPr>
        <w:t xml:space="preserve"/>
      </w:r>
      <w:r>
        <w:rPr>
          <w:rFonts w:hint="default" w:ascii="Arial" w:hAnsi="Arial"/>
          <w:b/>
          <w:i w:val="false"/>
          <w:color w:val="000000"/>
          <w:sz w:val="22"/>
        </w:rPr>
        <w:t xml:space="preserve">DEMANDANTE: </w:t>
      </w:r>
      <w:r>
        <w:rPr>
          <w:rFonts w:hint="default" w:ascii="Arial" w:hAnsi="Arial"/>
          <w:b/>
          <w:i w:val="false"/>
          <w:color w:val="000000"/>
          <w:sz w:val="22"/>
        </w:rPr>
        <w:t>Secretaria Municipal de Gestão</w:t>
      </w:r>
      <w:r>
        <w:rPr>
          <w:rFonts w:hint="default" w:ascii="Arial" w:hAnsi="Arial"/>
          <w:b/>
          <w:i w:val="false"/>
          <w:color w:val="000000"/>
          <w:sz w:val="22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2"/>
        </w:rPr>
        <w:t xml:space="preserve">- </w:t>
      </w:r>
      <w:r>
        <w:rPr>
          <w:rFonts w:hint="default" w:ascii="Arial" w:hAnsi="Arial"/>
          <w:b/>
          <w:i w:val="false"/>
          <w:color w:val="000000"/>
          <w:sz w:val="22"/>
        </w:rPr>
        <w:t>SEGES</w:t>
      </w:r>
      <w:r>
        <w:rPr>
          <w:rFonts w:hint="default" w:ascii="Arial" w:hAnsi="Arial"/>
          <w:b/>
          <w:i w:val="false"/>
          <w:color w:val="000000"/>
          <w:sz w:val="22"/>
        </w:rPr>
        <w:t xml:space="preserve"/>
      </w:r>
    </w:p>
    <w:p>
      <w:pPr>
        <w:spacing w:before="0" w:after="0" w:line="360"/>
        <w:ind w:left="0"/>
        <w:jc w:val="left"/>
      </w:pPr>
    </w:p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/>
      </w:r>
      <w:r>
        <w:rPr>
          <w:rFonts w:hint="default" w:ascii="Arial" w:hAnsi="Arial"/>
          <w:b/>
          <w:i w:val="false"/>
          <w:color w:val="000000"/>
          <w:sz w:val="22"/>
        </w:rPr>
        <w:t xml:space="preserve">SC n°: </w:t>
      </w:r>
      <w:r>
        <w:rPr>
          <w:rFonts w:hint="default" w:ascii="Arial" w:hAnsi="Arial"/>
          <w:b/>
          <w:i w:val="false"/>
          <w:color w:val="000000"/>
          <w:sz w:val="22"/>
        </w:rPr>
        <w:t>SEGES/00018/TR/2023</w:t>
      </w:r>
      <w:r>
        <w:rPr>
          <w:rFonts w:hint="default" w:ascii="Arial" w:hAnsi="Arial"/>
          <w:b/>
          <w:i w:val="false"/>
          <w:color w:val="000000"/>
          <w:sz w:val="22"/>
        </w:rPr>
        <w:t xml:space="preserve"/>
      </w:r>
    </w:p>
    <w:p>
      <w:pPr>
        <w:spacing w:before="0" w:after="0" w:line="360"/>
        <w:ind w:left="0"/>
        <w:jc w:val="left"/>
      </w:pPr>
    </w:p>
    <w:p>
      <w:pPr>
        <w:spacing w:before="0" w:after="0" w:line="360"/>
        <w:ind w:left="0"/>
        <w:jc w:val="left"/>
      </w:pPr>
      <w:r>
        <w:rPr>
          <w:rFonts w:hint="default" w:ascii="Arial" w:hAnsi="Arial"/>
          <w:b w:val="false"/>
          <w:i w:val="false"/>
          <w:color w:val="000000"/>
          <w:sz w:val="22"/>
        </w:rPr>
        <w:t xml:space="preserve"/>
      </w:r>
      <w:r>
        <w:rPr>
          <w:rFonts w:hint="default" w:ascii="Arial" w:hAnsi="Arial"/>
          <w:b/>
          <w:i w:val="false"/>
          <w:color w:val="000000"/>
          <w:sz w:val="22"/>
        </w:rPr>
        <w:t xml:space="preserve">OBJETO: </w:t>
      </w:r>
      <w:r>
        <w:rPr>
          <w:rFonts w:hint="default" w:ascii="Arial" w:hAnsi="Arial"/>
          <w:b/>
          <w:i w:val="false"/>
          <w:color w:val="000000"/>
          <w:sz w:val="22"/>
        </w:rPr>
        <w:t>Contratação de empresa para o fornecimento de Água e Tratamento de Esgoto, visando atender as necessidades dos órgãos da Administração Direta da Prefeitura Municipal de Campo Grande.</w:t>
      </w:r>
      <w:r>
        <w:rPr>
          <w:rFonts w:hint="default" w:ascii="Arial" w:hAnsi="Arial"/>
          <w:b/>
          <w:i w:val="false"/>
          <w:color w:val="000000"/>
          <w:sz w:val="22"/>
        </w:rPr>
        <w:t xml:space="preserve"/>
      </w:r>
    </w:p>
    <w:p>
      <w:pPr>
        <w:spacing w:before="0" w:after="0" w:line="360"/>
        <w:ind w:left="0"/>
        <w:jc w:val="left"/>
      </w:pPr>
    </w:p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/>
      </w:r>
      <w:r>
        <w:rPr>
          <w:rFonts w:hint="default" w:ascii="Arial" w:hAnsi="Arial"/>
          <w:b/>
          <w:i w:val="false"/>
          <w:color w:val="000000"/>
          <w:sz w:val="22"/>
        </w:rPr>
        <w:t>1. QUADRO:</w:t>
      </w:r>
      <w:r>
        <w:rPr>
          <w:rFonts w:hint="default" w:ascii="Arial" w:hAnsi="Arial"/>
          <w:b w:val="false"/>
          <w:i w:val="false"/>
          <w:color w:val="000000"/>
          <w:sz w:val="22"/>
        </w:rPr>
        <w:t xml:space="preserve"/>
      </w:r>
    </w:p>
    <w:p>
      <w:pPr>
        <w:spacing w:before="0" w:after="0" w:line="360"/>
        <w:ind w:left="0"/>
        <w:jc w:val="left"/>
      </w:pPr>
    </w:p>
    <w:tbl>
      <w:tblPr>
        <w:tblW w:w="5000" w:type="pct"/>
        <w:jc w:val="center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186"/>
        <w:gridCol w:w="544"/>
        <w:gridCol w:w="1014"/>
        <w:gridCol w:w="4272"/>
        <w:gridCol w:w="1514"/>
        <w:gridCol w:w="522"/>
        <w:gridCol w:w="1691"/>
        <w:gridCol w:w="1445"/>
        <w:gridCol w:w="1446"/>
      </w:tblGrid>
      <w:tr>
        <w:trPr>
          <w:trHeight w:val="225" w:hRule="atLeast"/>
        </w:trPr>
        <w:tc>
          <w:tcPr>
            <w:tcW w:w="0" w:type="auto"/>
            <w:gridSpan w:val="9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Itens</w:t>
            </w:r>
          </w:p>
        </w:tc>
      </w:tr>
      <w:tr>
        <w:trPr>
          <w:trHeight w:val="225" w:hRule="atLeast"/>
        </w:trPr>
        <w:tc>
          <w:tcPr>
            <w:tcW w:w="1186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Tipo</w:t>
            </w:r>
          </w:p>
        </w:tc>
        <w:tc>
          <w:tcPr>
            <w:tcW w:w="544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Item</w:t>
            </w:r>
          </w:p>
        </w:tc>
        <w:tc>
          <w:tcPr>
            <w:tcW w:w="1014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Código</w:t>
            </w:r>
          </w:p>
        </w:tc>
        <w:tc>
          <w:tcPr>
            <w:tcW w:w="4272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Descrição</w:t>
            </w:r>
          </w:p>
        </w:tc>
        <w:tc>
          <w:tcPr>
            <w:tcW w:w="1514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Un. Aquisição</w:t>
            </w:r>
          </w:p>
        </w:tc>
        <w:tc>
          <w:tcPr>
            <w:tcW w:w="522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Qtd.</w:t>
            </w:r>
          </w:p>
        </w:tc>
        <w:tc>
          <w:tcPr>
            <w:tcW w:w="1691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Vlr. Unit.</w:t>
            </w:r>
          </w:p>
        </w:tc>
        <w:tc>
          <w:tcPr>
            <w:tcW w:w="1445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Vlr. Total</w:t>
            </w:r>
          </w:p>
        </w:tc>
        <w:tc>
          <w:tcPr>
            <w:tcW w:w="1446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Vlr. Acum.</w:t>
            </w:r>
          </w:p>
        </w:tc>
      </w:tr>
      <w:tr>
        <w:trPr>
          <w:trHeight w:val="255" w:hRule="atLeast"/>
        </w:trPr>
        <w:tc>
          <w:tcPr>
            <w:tcW w:w="1186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ITEM 001</w:t>
            </w:r>
          </w:p>
        </w:tc>
        <w:tc>
          <w:tcPr>
            <w:tcW w:w="544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1</w:t>
            </w:r>
          </w:p>
        </w:tc>
        <w:tc>
          <w:tcPr>
            <w:tcW w:w="1014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0000965</w:t>
            </w:r>
          </w:p>
        </w:tc>
        <w:tc>
          <w:tcPr>
            <w:tcW w:w="4272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Serviço de fornecimento de água e esgoto</w:t>
            </w:r>
          </w:p>
        </w:tc>
        <w:tc>
          <w:tcPr>
            <w:tcW w:w="1514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1 - Serviço</w:t>
            </w:r>
          </w:p>
        </w:tc>
        <w:tc>
          <w:tcPr>
            <w:tcW w:w="522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1</w:t>
            </w:r>
          </w:p>
        </w:tc>
        <w:tc>
          <w:tcPr>
            <w:tcW w:w="1691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8.780.231,7400</w:t>
            </w:r>
          </w:p>
        </w:tc>
        <w:tc>
          <w:tcPr>
            <w:tcW w:w="1445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8.780.231,74</w:t>
            </w:r>
          </w:p>
        </w:tc>
        <w:tc>
          <w:tcPr>
            <w:tcW w:w="1446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8.780.231,74</w:t>
            </w:r>
          </w:p>
        </w:tc>
      </w:tr>
      <w:tr>
        <w:trPr>
          <w:trHeight w:val="255" w:hRule="atLeast"/>
        </w:trPr>
        <w:tc>
          <w:tcPr>
            <w:tcW w:w="0" w:type="auto"/>
            <w:gridSpan w:val="6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Total (R$):</w:t>
            </w:r>
          </w:p>
        </w:tc>
        <w:tc>
          <w:tcPr>
            <w:tcW w:w="1691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8.780.231,7400</w:t>
            </w:r>
          </w:p>
        </w:tc>
        <w:tc>
          <w:tcPr>
            <w:tcW w:w="1445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8.780.231,74</w:t>
            </w:r>
          </w:p>
        </w:tc>
        <w:tc>
          <w:tcPr>
            <w:tcW w:w="1446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8.780.231,74</w:t>
            </w:r>
          </w:p>
        </w:tc>
      </w:tr>
    </w:tbl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/>
      </w:r>
      <w:r>
        <w:rPr>
          <w:rFonts w:hint="default" w:ascii="Arial" w:hAnsi="Arial"/>
          <w:b/>
          <w:i w:val="false"/>
          <w:color w:val="000000"/>
          <w:sz w:val="22"/>
        </w:rPr>
        <w:t>1.1. INFORMAÇÕES COMPLEMENTARES:</w:t>
      </w:r>
      <w:r>
        <w:rPr>
          <w:rFonts w:hint="default" w:ascii="Arial" w:hAnsi="Arial"/>
          <w:b w:val="false"/>
          <w:i w:val="false"/>
          <w:color w:val="000000"/>
          <w:sz w:val="22"/>
        </w:rPr>
        <w:t xml:space="preserve"/>
      </w:r>
    </w:p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1.2. O valor do contrato será baseado nas despesas do exercício de 2023, considerando variáveis devido ao horário de expediente e levando em conta a flexibilidade para possíveis reforços financeiros.</w:t>
      </w:r>
    </w:p>
    <w:p>
      <w:pPr>
        <w:spacing w:before="0" w:after="0" w:line="360"/>
        <w:ind w:left="0"/>
        <w:jc w:val="both"/>
      </w:pPr>
    </w:p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1.3. Valores pagos pelo contrato vigente de janeiro a outubro de 2023, bem como a média anual:</w:t>
      </w:r>
    </w:p>
    <w:p>
      <w:pPr>
        <w:spacing w:before="0" w:after="0" w:line="360"/>
        <w:ind w:left="0"/>
        <w:jc w:val="both"/>
      </w:pPr>
    </w:p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Janeiro: R$ 421.238,02</w:t>
      </w:r>
    </w:p>
    <w:p>
      <w:pPr>
        <w:spacing w:before="0" w:after="0" w:line="360"/>
        <w:ind w:left="0"/>
        <w:jc w:val="both"/>
      </w:pPr>
    </w:p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Fevereiro: R$ 482.119,09</w:t>
      </w:r>
    </w:p>
    <w:p>
      <w:pPr>
        <w:spacing w:before="0" w:after="0" w:line="360"/>
        <w:ind w:left="0"/>
        <w:jc w:val="both"/>
      </w:pPr>
    </w:p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Março: R$ 647,799,02</w:t>
      </w:r>
    </w:p>
    <w:p>
      <w:pPr>
        <w:spacing w:before="0" w:after="0" w:line="360"/>
        <w:ind w:left="0"/>
        <w:jc w:val="both"/>
      </w:pPr>
    </w:p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Abril: R$ 691.972,68</w:t>
      </w:r>
    </w:p>
    <w:p>
      <w:pPr>
        <w:spacing w:before="0" w:after="0" w:line="360"/>
        <w:ind w:left="0"/>
        <w:jc w:val="both"/>
      </w:pPr>
    </w:p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Maio: R$ 717.326,67</w:t>
      </w:r>
    </w:p>
    <w:p>
      <w:pPr>
        <w:spacing w:before="0" w:after="0" w:line="360"/>
        <w:ind w:left="0"/>
        <w:jc w:val="both"/>
      </w:pPr>
    </w:p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Junho: R$ 681.020,94</w:t>
      </w:r>
    </w:p>
    <w:p>
      <w:pPr>
        <w:spacing w:before="0" w:after="0" w:line="360"/>
        <w:ind w:left="0"/>
        <w:jc w:val="both"/>
      </w:pPr>
    </w:p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Julho: R$ 642.735,23</w:t>
      </w:r>
    </w:p>
    <w:p>
      <w:pPr>
        <w:spacing w:before="0" w:after="0" w:line="360"/>
        <w:ind w:left="0"/>
        <w:jc w:val="both"/>
      </w:pPr>
    </w:p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Agosto: R$ 713.145,84</w:t>
      </w:r>
    </w:p>
    <w:p>
      <w:pPr>
        <w:spacing w:before="0" w:after="0" w:line="360"/>
        <w:ind w:left="0"/>
        <w:jc w:val="both"/>
      </w:pPr>
    </w:p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Setembro: R$ 832.698,17</w:t>
      </w:r>
    </w:p>
    <w:p>
      <w:pPr>
        <w:spacing w:before="0" w:after="0" w:line="360"/>
        <w:ind w:left="0"/>
        <w:jc w:val="both"/>
      </w:pPr>
    </w:p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Outubro: R$ 821.635,05</w:t>
      </w:r>
    </w:p>
    <w:p>
      <w:pPr>
        <w:spacing w:before="0" w:after="0" w:line="360"/>
        <w:ind w:left="0"/>
        <w:jc w:val="both"/>
      </w:pPr>
    </w:p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Total até outubro/2023: R$ 6.651.690,71 (seis milhões, seiscentos e cinquenta e um mil, seiscentos e noventa reais e setenta e um centavos).</w:t>
      </w:r>
    </w:p>
    <w:p>
      <w:pPr>
        <w:spacing w:before="0" w:after="0" w:line="360"/>
        <w:ind w:left="0"/>
        <w:jc w:val="both"/>
      </w:pPr>
    </w:p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Média de valores até outubro: R$ 665.169,07 (seiscentos e sessenta e cinco mil, cento e sessenta e nove reais e sete centavos)</w:t>
      </w:r>
    </w:p>
    <w:p>
      <w:pPr>
        <w:spacing w:before="0" w:after="0" w:line="360"/>
        <w:ind w:left="0"/>
        <w:jc w:val="both"/>
      </w:pPr>
    </w:p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 valor estimado para o ano de 2024 é de R$ 8.780.231,74 (oito milhões, setecentos e oitenta mil e duzentos e trinta e um reais e setenta e quatro centavos), considerando a média de gastos e acrescentando 10% de margem para possíveis acréscimos tarifários.</w:t>
      </w:r>
    </w:p>
    <w:p>
      <w:pPr>
        <w:spacing w:before="0" w:after="0" w:line="360"/>
        <w:ind w:left="0"/>
        <w:jc w:val="both"/>
      </w:pPr>
    </w:p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 valor para o ano pode sofrer alterações também devido as novas ligações de água, vindas da necessidade de inclusão de unidades para atender a administração, devendo haver no contrato a flexibilidade de reforço financeiro no decorrer do ano, bem como inclusão de novas dotações orçamentárias vindas da criação de novas Unidades Gestoras, conforme planilha anexa a este Termo de Referência.</w:t>
      </w:r>
    </w:p>
    <w:p>
      <w:pPr>
        <w:spacing w:before="0" w:after="0" w:line="360"/>
        <w:ind w:left="0"/>
        <w:jc w:val="both"/>
      </w:pPr>
    </w:p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/>
      </w:r>
      <w:r>
        <w:rPr>
          <w:rFonts w:hint="default" w:ascii="Calibri" w:hAnsi="Calibri"/>
          <w:b w:val="false"/>
          <w:i w:val="false"/>
          <w:color w:val="000000"/>
          <w:sz w:val="22"/>
        </w:rPr>
        <w:t>As despesas decorrentes da execução do contrato do presente objeto ficarão por conta das dotações previstas para o exercício de 2024, que ainda não foram publicadas.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/>
      </w:r>
    </w:p>
    <w:p>
      <w:pPr>
        <w:spacing w:before="0" w:after="0" w:line="360"/>
        <w:ind w:left="0"/>
        <w:jc w:val="both"/>
      </w:pPr>
    </w:p>
    <w:p>
      <w:pPr>
        <w:spacing w:before="0" w:after="0" w:line="360"/>
        <w:ind w:left="0"/>
        <w:jc w:val="both"/>
      </w:pPr>
    </w:p>
    <w:p>
      <w:pPr>
        <w:spacing w:before="0" w:after="0" w:line="360"/>
        <w:ind w:left="0"/>
        <w:jc w:val="both"/>
      </w:pPr>
    </w:p>
    <w:p>
      <w:pPr>
        <w:spacing w:before="0" w:after="0"/>
        <w:ind w:left="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Campo Grande/MS, 19 de Dezembro de 2023</w:t>
      </w:r>
    </w:p>
    <w:p>
      <w:pPr>
        <w:spacing w:before="0" w:after="0"/>
        <w:ind w:left="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/>
      </w:r>
      <w:r>
        <w:rPr>
          <w:rFonts w:ascii="Times New Roman" w:hAnsi="Times New Roman"/>
          <w:b w:val="false"/>
          <w:i w:val="false"/>
          <w:color w:val="000000"/>
          <w:sz w:val="21"/>
        </w:rPr>
        <w:t>Atestado por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</w:t>
      </w:r>
      <w:r>
        <w:rPr>
          <w:rFonts w:ascii="Times New Roman" w:hAnsi="Times New Roman"/>
          <w:b/>
          <w:i w:val="false"/>
          <w:color w:val="000000"/>
          <w:sz w:val="21"/>
        </w:rPr>
        <w:t>CASSANDRA ALBINO RIBEIRO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Assistente Administrativo II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Autorizado por </w:t>
      </w:r>
      <w:r>
        <w:rPr>
          <w:rFonts w:ascii="Times New Roman" w:hAnsi="Times New Roman"/>
          <w:b/>
          <w:i w:val="false"/>
          <w:color w:val="000000"/>
          <w:sz w:val="21"/>
        </w:rPr>
        <w:t>Evelyse Ferreira Cruz Oyadomari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Secretária Municipal de Gestão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Concluído por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</w:t>
      </w:r>
      <w:r>
        <w:rPr>
          <w:rFonts w:ascii="Times New Roman" w:hAnsi="Times New Roman"/>
          <w:b/>
          <w:i w:val="false"/>
          <w:color w:val="000000"/>
          <w:sz w:val="21"/>
        </w:rPr>
        <w:t>NILZA FREITAS NEVES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Gerente da Gerência de Manutenção e Conservação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/>
      </w:r>
    </w:p>
    <w:p>
      <w:pPr>
        <w:spacing w:before="0" w:after="0"/>
        <w:ind w:left="0"/>
        <w:jc w:val="left"/>
      </w:pPr>
    </w:p>
    <w:bookmarkEnd w:id="1"/>
    <w:bookmarkEnd w:id="0"/>
    <w:sectPr>
      <w:headerReference w:type="default" r:id="rId4"/>
      <w:footerReference w:type="default" r:id="rId5"/>
      <w:pgSz w:w="11907" w:h="16839" w:code="9"/>
      <w:pgMar w:top="3402" w:right="1134" w:bottom="1134" w:left="1134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>
    <w:pPr>
      <w:spacing w:before="0" w:after="0"/>
      <w:ind w:left="120"/>
      <w:jc w:val="right"/>
    </w:pP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  <w:r>
      <w:fldChar w:fldCharType="begin"/>
    </w:r>
    <w:r>
      <w:instrText>PAGE</w:instrText>
    </w:r>
    <w:r>
      <w:fldChar w:fldCharType="end"/>
    </w: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</w:p>
</w:ftr>
</file>

<file path=word/header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>
    <w:pPr>
      <w:spacing w:before="0" w:after="0"/>
      <w:ind w:left="120"/>
      <w:jc w:val="center"/>
    </w:pP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  <w:r>
      <w:drawing>
        <wp:inline distT="0" distB="0" distL="0" distR="0">
          <wp:extent cx="762000" cy="761856"/>
          <wp:effectExtent l="0" t="0" r="0" b="0"/>
          <wp:docPr id="0" name="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2000" cy="7618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</w:p>
  <w:p>
    <w:pPr>
      <w:spacing w:before="0" w:after="0"/>
      <w:ind w:left="120"/>
      <w:jc w:val="center"/>
    </w:pPr>
    <w:r>
      <w:rPr>
        <w:rFonts w:ascii="Times New Roman" w:hAnsi="Times New Roman"/>
        <w:b w:val="false"/>
        <w:i w:val="false"/>
        <w:color w:val="000000"/>
        <w:sz w:val="22"/>
      </w:rPr>
      <w:t xml:space="preserve"> Prefeitura Municipal de Campo Grande </w:t>
    </w:r>
  </w:p>
  <w:p>
    <w:pPr>
      <w:spacing w:before="0" w:after="0"/>
      <w:ind w:left="120"/>
      <w:jc w:val="center"/>
    </w:pPr>
    <w:r>
      <w:rPr>
        <w:rFonts w:ascii="Times New Roman" w:hAnsi="Times New Roman"/>
        <w:b w:val="false"/>
        <w:i w:val="false"/>
        <w:color w:val="000000"/>
        <w:sz w:val="22"/>
      </w:rPr>
      <w:t xml:space="preserve"> Secretaria Municipal de Gestão </w:t>
    </w:r>
  </w:p>
  <w:p>
    <w:pPr>
      <w:spacing w:before="0" w:after="0"/>
      <w:ind w:left="120"/>
      <w:jc w:val="center"/>
    </w:pPr>
    <w:r>
      <w:rPr>
        <w:rFonts w:ascii="Times New Roman" w:hAnsi="Times New Roman"/>
        <w:b w:val="false"/>
        <w:i w:val="false"/>
        <w:color w:val="000000"/>
        <w:sz w:val="22"/>
      </w:rPr>
      <w:t xml:space="preserve"> Outras Solicitações SEGES/00018/TR/2023 </w:t>
    </w:r>
  </w:p>
  <w:p>
    <w:pPr>
      <w:spacing w:before="0" w:after="0"/>
      <w:ind w:left="120"/>
      <w:jc w:val="center"/>
    </w:pP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  <w:r>
      <w:br/>
    </w: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</w:p>
  <w:p>
    <w:pPr>
      <w:spacing w:before="0" w:after="0"/>
      <w:ind w:left="120"/>
      <w:jc w:val="center"/>
    </w:pP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  <w:r>
      <w:br/>
    </w: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</w:p>
  <w:p>
    <w:pPr>
      <w:spacing w:before="0" w:after="0"/>
      <w:ind w:left="120"/>
      <w:jc w:val="center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header.xml" Type="http://schemas.openxmlformats.org/officeDocument/2006/relationships/header" Id="rId4"/>
    <Relationship Target="footer.xml" Type="http://schemas.openxmlformats.org/officeDocument/2006/relationships/footer" Id="rId5"/>
</Relationships>

</file>

<file path=word/_rels/header.xml.rels><?xml version="1.0" encoding="UTF-8" standalone="yes"?>
<Relationships xmlns="http://schemas.openxmlformats.org/package/2006/relationships">
    <Relationship Target="media/header_image_rId1.png" Type="http://schemas.openxmlformats.org/officeDocument/2006/relationships/image" Id="rId1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