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header+xml" PartName="/word/header.xml"/>
  <Override ContentType="image/png" PartName="/word/media/header_image_rId1.png"/>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9 (Apache licensed) using REFERENCE JAXB in Temurin Java 1.8.0_345 on Linux -->
    <w:p>
      <w:pPr>
        <w:spacing w:before="0" w:after="0" w:line="360"/>
        <w:ind w:left="0"/>
        <w:jc w:val="center"/>
      </w:pPr>
      <w:bookmarkStart w:name="body" w:id="0"/>
      <w:bookmarkStart w:name="contents" w:id="1"/>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 xml:space="preserve">DEMANDANTE: </w:t>
      </w:r>
      <w:r>
        <w:rPr>
          <w:rFonts w:hint="default" w:ascii="Arial" w:hAnsi="Arial"/>
          <w:b/>
          <w:i w:val="false"/>
          <w:color w:val="000000"/>
          <w:sz w:val="24"/>
        </w:rPr>
        <w:t>Secretaria Municipal de Gestão</w:t>
      </w:r>
      <w:r>
        <w:rPr>
          <w:rFonts w:hint="default" w:ascii="Arial" w:hAnsi="Arial"/>
          <w:b/>
          <w:i w:val="false"/>
          <w:color w:val="000000"/>
          <w:sz w:val="24"/>
        </w:rPr>
        <w:t xml:space="preserve"> - </w:t>
      </w:r>
      <w:r>
        <w:rPr>
          <w:rFonts w:hint="default" w:ascii="Arial" w:hAnsi="Arial"/>
          <w:b/>
          <w:i w:val="false"/>
          <w:color w:val="000000"/>
          <w:sz w:val="24"/>
        </w:rPr>
        <w:t>SEGES</w:t>
      </w:r>
      <w:r>
        <w:rPr>
          <w:rFonts w:hint="default" w:ascii="Arial" w:hAnsi="Arial"/>
          <w:b w:val="false"/>
          <w:i w:val="false"/>
          <w:color w:val="000000"/>
          <w:sz w:val="24"/>
        </w:rPr>
        <w:t xml:space="preserve"/>
      </w: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 xml:space="preserve">SC n°: </w:t>
      </w:r>
      <w:r>
        <w:rPr>
          <w:rFonts w:hint="default" w:ascii="Arial" w:hAnsi="Arial"/>
          <w:b/>
          <w:i w:val="false"/>
          <w:color w:val="000000"/>
          <w:sz w:val="24"/>
        </w:rPr>
        <w:t>SEGES/00018/TR/2023</w:t>
      </w:r>
      <w:r>
        <w:rPr>
          <w:rFonts w:hint="default" w:ascii="Arial" w:hAnsi="Arial"/>
          <w:b w:val="false"/>
          <w:i w:val="false"/>
          <w:color w:val="000000"/>
          <w:sz w:val="24"/>
        </w:rPr>
        <w:t xml:space="preserve"/>
      </w: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 xml:space="preserve">OBJETO: </w:t>
      </w:r>
      <w:r>
        <w:rPr>
          <w:rFonts w:hint="default" w:ascii="Arial" w:hAnsi="Arial"/>
          <w:b/>
          <w:i w:val="false"/>
          <w:color w:val="000000"/>
          <w:sz w:val="24"/>
        </w:rPr>
        <w:t>Contratação de empresa para o fornecimento de Água e Tratamento de Esgoto, visando atender as necessidades dos órgãos da Administração Direta da Prefeitura Municipal de Campo Grande.</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p>
    <w:p>
      <w:pPr>
        <w:spacing w:before="0" w:after="0" w:line="360"/>
        <w:ind w:left="0"/>
        <w:jc w:val="center"/>
      </w:pPr>
      <w:r>
        <w:rPr>
          <w:rFonts w:hint="default" w:ascii="Arial" w:hAnsi="Arial"/>
          <w:b w:val="false"/>
          <w:i w:val="false"/>
          <w:color w:val="000000"/>
          <w:sz w:val="24"/>
        </w:rPr>
        <w:t xml:space="preserve"/>
      </w:r>
      <w:r>
        <w:rPr>
          <w:rFonts w:hint="default" w:ascii="Arial" w:hAnsi="Arial"/>
          <w:b/>
          <w:i w:val="false"/>
          <w:color w:val="000000"/>
          <w:sz w:val="24"/>
        </w:rPr>
        <w:t>ANEXO II - INFORMAÇÕES COMPLEMENTARES À EXECUÇÃO</w:t>
      </w:r>
      <w:r>
        <w:rPr>
          <w:rFonts w:hint="default" w:ascii="Arial" w:hAnsi="Arial"/>
          <w:b w:val="false"/>
          <w:i w:val="false"/>
          <w:color w:val="000000"/>
          <w:sz w:val="24"/>
        </w:rPr>
        <w:t xml:space="preserve"/>
      </w:r>
    </w:p>
    <w:p>
      <w:pPr>
        <w:spacing w:before="0" w:after="0" w:line="360"/>
        <w:ind w:left="0"/>
        <w:jc w:val="center"/>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1. OBRIGAÇÕES DA CONTRATADA (art. 92, XIV, XVI e XVII da Lei nº 14.133, de 2021):</w:t>
      </w:r>
      <w:r>
        <w:rPr>
          <w:rFonts w:hint="default" w:ascii="Arial" w:hAnsi="Arial"/>
          <w:b w:val="false"/>
          <w:i w:val="false"/>
          <w:color w:val="000000"/>
          <w:sz w:val="24"/>
        </w:rPr>
        <w:t xml:space="preserve"/>
      </w:r>
    </w:p>
    <w:p>
      <w:pPr>
        <w:spacing w:before="0" w:after="0" w:line="360"/>
        <w:ind w:left="0"/>
        <w:jc w:val="both"/>
      </w:pPr>
    </w:p>
    <w:p>
      <w:pPr>
        <w:spacing w:before="0" w:after="0" w:line="360"/>
        <w:ind w:left="600"/>
        <w:jc w:val="both"/>
      </w:pPr>
      <w:r>
        <w:rPr>
          <w:rFonts w:hint="default" w:ascii="Arial" w:hAnsi="Arial"/>
          <w:b w:val="false"/>
          <w:i w:val="false"/>
          <w:color w:val="000000"/>
          <w:sz w:val="24"/>
        </w:rPr>
        <w:t xml:space="preserve"/>
      </w:r>
      <w:r>
        <w:rPr>
          <w:rFonts w:hint="default" w:ascii="Arial" w:hAnsi="Arial"/>
          <w:b/>
          <w:i w:val="false"/>
          <w:color w:val="000000"/>
          <w:sz w:val="24"/>
        </w:rPr>
        <w:t>a)</w:t>
      </w:r>
      <w:r>
        <w:rPr>
          <w:rFonts w:hint="default" w:ascii="Arial" w:hAnsi="Arial"/>
          <w:b w:val="false"/>
          <w:i w:val="false"/>
          <w:color w:val="000000"/>
          <w:sz w:val="24"/>
        </w:rPr>
        <w:t xml:space="preserve"> cumprir todas as obrigações constantes deste Termo de Referência e em seus anexos, assumindo como exclusivamente seus os riscos e as despesas decorrentes da boa e perfeita execução do objeto contratado;</w:t>
      </w:r>
      <w:r>
        <w:rPr>
          <w:rFonts w:hint="default" w:ascii="Arial" w:hAnsi="Arial"/>
          <w:b w:val="false"/>
          <w:i w:val="false"/>
          <w:color w:val="000000"/>
          <w:sz w:val="24"/>
        </w:rPr>
        <w:t xml:space="preserve"/>
      </w:r>
    </w:p>
    <w:p>
      <w:pPr>
        <w:spacing w:before="0" w:after="0" w:line="360"/>
        <w:ind w:left="0"/>
        <w:jc w:val="both"/>
      </w:pPr>
    </w:p>
    <w:p>
      <w:pPr>
        <w:spacing w:before="0" w:after="0" w:line="360"/>
        <w:ind w:left="600"/>
        <w:jc w:val="both"/>
      </w:pPr>
      <w:r>
        <w:rPr>
          <w:rFonts w:ascii="Times New Roman" w:hAnsi="Times New Roman"/>
          <w:b w:val="false"/>
          <w:i w:val="false"/>
          <w:color w:val="000000"/>
          <w:sz w:val="22"/>
        </w:rPr>
        <w:t xml:space="preserve"/>
      </w:r>
      <w:r>
        <w:rPr>
          <w:rFonts w:hint="default" w:ascii="Arial" w:hAnsi="Arial"/>
          <w:b/>
          <w:i w:val="false"/>
          <w:color w:val="000000"/>
          <w:sz w:val="24"/>
        </w:rPr>
        <w:t xml:space="preserve">b) </w:t>
      </w:r>
      <w:r>
        <w:rPr>
          <w:rFonts w:hint="default" w:ascii="Arial" w:hAnsi="Arial"/>
          <w:b w:val="false"/>
          <w:i w:val="false"/>
          <w:color w:val="000000"/>
          <w:sz w:val="24"/>
        </w:rPr>
        <w:t>responsabilizar-se pelos vícios e danos decorrentes do objeto contratado, de acordo com o Código de Defesa do Consumidor (</w:t>
      </w:r>
      <w:r>
        <w:rPr>
          <w:rFonts w:hint="default" w:ascii="Arial" w:hAnsi="Arial"/>
          <w:b w:val="false"/>
          <w:i w:val="false"/>
          <w:color w:val="0000ff"/>
          <w:sz w:val="24"/>
        </w:rPr>
        <w:t>Lei nº 8.078, de 1990</w:t>
      </w:r>
      <w:r>
        <w:rPr>
          <w:rFonts w:hint="default" w:ascii="Arial" w:hAnsi="Arial"/>
          <w:b w:val="false"/>
          <w:i w:val="false"/>
          <w:color w:val="000000"/>
          <w:sz w:val="24"/>
        </w:rPr>
        <w:t>), obrigando-se a reparar, corrigir, remover, reconstruir ou substituir, a suas expensas, no total ou em parte, o objeto em que se verificarem vícios, defeitos ou incorreções resultantes de sua execução ou de materiais nela empregados;</w:t>
      </w:r>
      <w:r>
        <w:rPr>
          <w:rFonts w:ascii="Times New Roman" w:hAnsi="Times New Roman"/>
          <w:b w:val="false"/>
          <w:i w:val="false"/>
          <w:color w:val="000000"/>
          <w:sz w:val="22"/>
        </w:rPr>
        <w:t xml:space="preserve"/>
      </w:r>
    </w:p>
    <w:p>
      <w:pPr>
        <w:spacing w:before="0" w:after="0" w:line="360"/>
        <w:ind w:left="0"/>
        <w:jc w:val="both"/>
      </w:pPr>
    </w:p>
    <w:p>
      <w:pPr>
        <w:spacing w:before="0" w:after="0" w:line="360"/>
        <w:ind w:left="600"/>
        <w:jc w:val="both"/>
      </w:pPr>
      <w:r>
        <w:rPr>
          <w:rFonts w:hint="default" w:ascii="Arial" w:hAnsi="Arial"/>
          <w:b w:val="false"/>
          <w:i w:val="false"/>
          <w:color w:val="000000"/>
          <w:sz w:val="24"/>
        </w:rPr>
        <w:t xml:space="preserve"/>
      </w:r>
      <w:r>
        <w:rPr>
          <w:rFonts w:hint="default" w:ascii="Arial" w:hAnsi="Arial"/>
          <w:b/>
          <w:i w:val="false"/>
          <w:color w:val="000000"/>
          <w:sz w:val="24"/>
        </w:rPr>
        <w:t>c)</w:t>
      </w:r>
      <w:r>
        <w:rPr>
          <w:rFonts w:hint="default" w:ascii="Arial" w:hAnsi="Arial"/>
          <w:b w:val="false"/>
          <w:i w:val="false"/>
          <w:color w:val="000000"/>
          <w:sz w:val="24"/>
        </w:rPr>
        <w:t xml:space="preserve"> atender às determinações regulares emitidas pelo fiscal ou gestor do contrato ou autoridade superior (</w:t>
      </w:r>
      <w:r>
        <w:rPr>
          <w:rFonts w:hint="default" w:ascii="Arial" w:hAnsi="Arial"/>
          <w:b w:val="false"/>
          <w:i w:val="false"/>
          <w:color w:val="0000ff"/>
          <w:sz w:val="24"/>
        </w:rPr>
        <w:t>art. 137, II, da Lei n.º 14.133, de 2021</w:t>
      </w:r>
      <w:r>
        <w:rPr>
          <w:rFonts w:hint="default" w:ascii="Arial" w:hAnsi="Arial"/>
          <w:b w:val="false"/>
          <w:i w:val="false"/>
          <w:color w:val="000000"/>
          <w:sz w:val="24"/>
        </w:rPr>
        <w:t>) e prestar todo esclarecimento ou informação por eles solicitados;</w:t>
      </w:r>
      <w:r>
        <w:rPr>
          <w:rFonts w:hint="default" w:ascii="Arial" w:hAnsi="Arial"/>
          <w:b w:val="false"/>
          <w:i w:val="false"/>
          <w:color w:val="000000"/>
          <w:sz w:val="24"/>
        </w:rPr>
        <w:t xml:space="preserve"/>
      </w:r>
    </w:p>
    <w:p>
      <w:pPr>
        <w:spacing w:before="0" w:after="0" w:line="360"/>
        <w:ind w:left="600"/>
        <w:jc w:val="both"/>
      </w:pPr>
    </w:p>
    <w:p>
      <w:pPr>
        <w:spacing w:before="0" w:after="0" w:line="360"/>
        <w:ind w:left="600"/>
        <w:jc w:val="both"/>
      </w:pPr>
      <w:r>
        <w:rPr>
          <w:rFonts w:hint="default" w:ascii="Arial" w:hAnsi="Arial"/>
          <w:b w:val="false"/>
          <w:i w:val="false"/>
          <w:color w:val="000000"/>
          <w:sz w:val="24"/>
        </w:rPr>
        <w:t xml:space="preserve"/>
      </w:r>
      <w:r>
        <w:rPr>
          <w:rFonts w:hint="default" w:ascii="Arial" w:hAnsi="Arial"/>
          <w:b/>
          <w:i w:val="false"/>
          <w:color w:val="000000"/>
          <w:sz w:val="24"/>
        </w:rPr>
        <w:t>d)</w:t>
      </w:r>
      <w:r>
        <w:rPr>
          <w:rFonts w:hint="default" w:ascii="Arial" w:hAnsi="Arial"/>
          <w:b w:val="false"/>
          <w:i w:val="false"/>
          <w:color w:val="000000"/>
          <w:sz w:val="24"/>
        </w:rPr>
        <w:t xml:space="preserve"> quando não for possível a verificação da regularidade no Cadastro de Fornecedores do Município, a contratada deverá entregar ao setor responsável pela fiscalização, junto com a Nota Fiscal para fins de pagamento, os seguintes documentos: 1) prova de regularidade relativa à Seguridade Social; 2) certidão conjunta relativa aos tributos federais e à Dívida Ativa da União; 3) certidões que comprovem a regularidade perante a Fazenda Estadual do domicílio ou sede da contratada; 4) Certidão de Regularidade do FGTS – CRF; e 5) Certidão Negativa de Débitos Trabalhistas – CNDT;</w:t>
      </w:r>
      <w:r>
        <w:rPr>
          <w:rFonts w:hint="default" w:ascii="Arial" w:hAnsi="Arial"/>
          <w:b w:val="false"/>
          <w:i w:val="false"/>
          <w:color w:val="000000"/>
          <w:sz w:val="24"/>
        </w:rPr>
        <w:t xml:space="preserve"/>
      </w:r>
    </w:p>
    <w:p>
      <w:pPr>
        <w:spacing w:before="0" w:after="0" w:line="360"/>
        <w:ind w:left="600"/>
        <w:jc w:val="both"/>
      </w:pPr>
    </w:p>
    <w:p>
      <w:pPr>
        <w:spacing w:before="0" w:after="0" w:line="360"/>
        <w:ind w:left="600"/>
        <w:jc w:val="both"/>
      </w:pPr>
      <w:r>
        <w:rPr>
          <w:rFonts w:hint="default" w:ascii="Arial" w:hAnsi="Arial"/>
          <w:b w:val="false"/>
          <w:i w:val="false"/>
          <w:color w:val="000000"/>
          <w:sz w:val="24"/>
        </w:rPr>
        <w:t xml:space="preserve"/>
      </w:r>
      <w:r>
        <w:rPr>
          <w:rFonts w:hint="default" w:ascii="Arial" w:hAnsi="Arial"/>
          <w:b/>
          <w:i w:val="false"/>
          <w:color w:val="000000"/>
          <w:sz w:val="24"/>
        </w:rPr>
        <w:t>e)</w:t>
      </w:r>
      <w:r>
        <w:rPr>
          <w:rFonts w:hint="default" w:ascii="Arial" w:hAnsi="Arial"/>
          <w:b w:val="false"/>
          <w:i w:val="false"/>
          <w:color w:val="000000"/>
          <w:sz w:val="24"/>
        </w:rPr>
        <w:t xml:space="preserve"> responsabilizar-se pelo cumprimento de todas as obrigações trabalhistas, previdenciárias, fiscais, comerciais e as demais previstas em legislação específica, cuja inadimplência não transfere a responsabilidade ao contratante e não poderá onerar o objeto;</w:t>
      </w:r>
      <w:r>
        <w:rPr>
          <w:rFonts w:hint="default" w:ascii="Arial" w:hAnsi="Arial"/>
          <w:b w:val="false"/>
          <w:i w:val="false"/>
          <w:color w:val="000000"/>
          <w:sz w:val="24"/>
        </w:rPr>
        <w:t xml:space="preserve"/>
      </w:r>
    </w:p>
    <w:p>
      <w:pPr>
        <w:spacing w:before="0" w:after="0" w:line="360"/>
        <w:ind w:left="600"/>
        <w:jc w:val="both"/>
      </w:pPr>
    </w:p>
    <w:p>
      <w:pPr>
        <w:spacing w:before="0" w:after="0" w:line="360"/>
        <w:ind w:left="600"/>
        <w:jc w:val="both"/>
      </w:pPr>
      <w:r>
        <w:rPr>
          <w:rFonts w:hint="default" w:ascii="Arial" w:hAnsi="Arial"/>
          <w:b w:val="false"/>
          <w:i w:val="false"/>
          <w:color w:val="000000"/>
          <w:sz w:val="24"/>
        </w:rPr>
        <w:t xml:space="preserve"/>
      </w:r>
      <w:r>
        <w:rPr>
          <w:rFonts w:hint="default" w:ascii="Arial" w:hAnsi="Arial"/>
          <w:b/>
          <w:i w:val="false"/>
          <w:color w:val="000000"/>
          <w:sz w:val="24"/>
        </w:rPr>
        <w:t>f)</w:t>
      </w:r>
      <w:r>
        <w:rPr>
          <w:rFonts w:hint="default" w:ascii="Arial" w:hAnsi="Arial"/>
          <w:b w:val="false"/>
          <w:i w:val="false"/>
          <w:color w:val="000000"/>
          <w:sz w:val="24"/>
        </w:rPr>
        <w:t xml:space="preserve"> comunicar ao fiscal qualquer ocorrência anormal ou acidente que se verifique no local da execução do objeto contratual;</w:t>
      </w:r>
      <w:r>
        <w:rPr>
          <w:rFonts w:hint="default" w:ascii="Arial" w:hAnsi="Arial"/>
          <w:b w:val="false"/>
          <w:i w:val="false"/>
          <w:color w:val="000000"/>
          <w:sz w:val="24"/>
        </w:rPr>
        <w:t xml:space="preserve"/>
      </w:r>
    </w:p>
    <w:p>
      <w:pPr>
        <w:spacing w:before="0" w:after="0" w:line="360"/>
        <w:ind w:left="600"/>
        <w:jc w:val="both"/>
      </w:pPr>
    </w:p>
    <w:p>
      <w:pPr>
        <w:spacing w:before="0" w:after="0" w:line="360"/>
        <w:ind w:left="600"/>
        <w:jc w:val="both"/>
      </w:pPr>
      <w:r>
        <w:rPr>
          <w:rFonts w:hint="default" w:ascii="Arial" w:hAnsi="Arial"/>
          <w:b w:val="false"/>
          <w:i w:val="false"/>
          <w:color w:val="000000"/>
          <w:sz w:val="24"/>
        </w:rPr>
        <w:t xml:space="preserve"/>
      </w:r>
      <w:r>
        <w:rPr>
          <w:rFonts w:hint="default" w:ascii="Arial" w:hAnsi="Arial"/>
          <w:b/>
          <w:i w:val="false"/>
          <w:color w:val="000000"/>
          <w:sz w:val="24"/>
        </w:rPr>
        <w:t>g)</w:t>
      </w:r>
      <w:r>
        <w:rPr>
          <w:rFonts w:hint="default" w:ascii="Arial" w:hAnsi="Arial"/>
          <w:b w:val="false"/>
          <w:i w:val="false"/>
          <w:color w:val="000000"/>
          <w:sz w:val="24"/>
        </w:rPr>
        <w:t xml:space="preserve"> paralisar, por determinação do contratante, qualquer atividade que não esteja sendo executada de acordo com a boa técnica ou que ponha em risco a segurança de pessoas ou bens de terceiros;</w:t>
      </w:r>
      <w:r>
        <w:rPr>
          <w:rFonts w:hint="default" w:ascii="Arial" w:hAnsi="Arial"/>
          <w:b w:val="false"/>
          <w:i w:val="false"/>
          <w:color w:val="000000"/>
          <w:sz w:val="24"/>
        </w:rPr>
        <w:t xml:space="preserve"/>
      </w:r>
    </w:p>
    <w:p>
      <w:pPr>
        <w:spacing w:before="0" w:after="0" w:line="360"/>
        <w:ind w:left="0"/>
        <w:jc w:val="both"/>
      </w:pPr>
    </w:p>
    <w:p>
      <w:pPr>
        <w:spacing w:before="0" w:after="0" w:line="360"/>
        <w:ind w:left="600"/>
        <w:jc w:val="both"/>
      </w:pPr>
      <w:r>
        <w:rPr>
          <w:rFonts w:hint="default" w:ascii="Arial" w:hAnsi="Arial"/>
          <w:b w:val="false"/>
          <w:i w:val="false"/>
          <w:color w:val="000000"/>
          <w:sz w:val="24"/>
        </w:rPr>
        <w:t xml:space="preserve"/>
      </w:r>
      <w:r>
        <w:rPr>
          <w:rFonts w:hint="default" w:ascii="Arial" w:hAnsi="Arial"/>
          <w:b/>
          <w:i w:val="false"/>
          <w:color w:val="000000"/>
          <w:sz w:val="24"/>
        </w:rPr>
        <w:t>h)</w:t>
      </w:r>
      <w:r>
        <w:rPr>
          <w:rFonts w:hint="default" w:ascii="Arial" w:hAnsi="Arial"/>
          <w:b w:val="false"/>
          <w:i w:val="false"/>
          <w:color w:val="000000"/>
          <w:sz w:val="24"/>
        </w:rPr>
        <w:t xml:space="preserve"> não contratar, durante a vigência </w:t>
      </w:r>
      <w:r>
        <w:rPr>
          <w:rFonts w:hint="default" w:ascii="Arial" w:hAnsi="Arial"/>
          <w:b w:val="false"/>
          <w:i w:val="false"/>
          <w:color w:val="000000"/>
          <w:sz w:val="24"/>
        </w:rPr>
        <w:t>da contratação</w:t>
      </w:r>
      <w:r>
        <w:rPr>
          <w:rFonts w:hint="default" w:ascii="Arial" w:hAnsi="Arial"/>
          <w:b w:val="false"/>
          <w:i w:val="false"/>
          <w:color w:val="000000"/>
          <w:sz w:val="24"/>
        </w:rPr>
        <w:t xml:space="preserve">, cônjuge, companheiro ou parente em linha reta, colateral ou por afinidade, até o terceiro grau, de dirigente do contratante ou do fiscal ou gestor do contrato nos termos do </w:t>
      </w:r>
      <w:r>
        <w:rPr>
          <w:rFonts w:hint="default" w:ascii="Arial" w:hAnsi="Arial"/>
          <w:b w:val="false"/>
          <w:i w:val="false"/>
          <w:color w:val="0000ff"/>
          <w:sz w:val="24"/>
        </w:rPr>
        <w:t>artigo 48, parágrafo único, da Lei nº 14.133, de 2021</w:t>
      </w:r>
      <w:r>
        <w:rPr>
          <w:rFonts w:hint="default" w:ascii="Arial" w:hAnsi="Arial"/>
          <w:b w:val="false"/>
          <w:i w:val="false"/>
          <w:color w:val="000000"/>
          <w:sz w:val="24"/>
        </w:rPr>
        <w:t>;</w:t>
      </w:r>
      <w:r>
        <w:rPr>
          <w:rFonts w:hint="default" w:ascii="Arial" w:hAnsi="Arial"/>
          <w:b w:val="false"/>
          <w:i w:val="false"/>
          <w:color w:val="000000"/>
          <w:sz w:val="24"/>
        </w:rPr>
        <w:t xml:space="preserve"/>
      </w:r>
    </w:p>
    <w:p>
      <w:pPr>
        <w:spacing w:before="0" w:after="0" w:line="360"/>
        <w:ind w:left="600"/>
        <w:jc w:val="both"/>
      </w:pPr>
    </w:p>
    <w:p>
      <w:pPr>
        <w:spacing w:before="0" w:after="0" w:line="360"/>
        <w:ind w:left="600"/>
        <w:jc w:val="both"/>
      </w:pPr>
      <w:r>
        <w:rPr>
          <w:rFonts w:hint="default" w:ascii="Arial" w:hAnsi="Arial"/>
          <w:b w:val="false"/>
          <w:i w:val="false"/>
          <w:color w:val="000000"/>
          <w:sz w:val="24"/>
        </w:rPr>
        <w:t xml:space="preserve"/>
      </w:r>
      <w:r>
        <w:rPr>
          <w:rFonts w:hint="default" w:ascii="Arial" w:hAnsi="Arial"/>
          <w:b/>
          <w:i w:val="false"/>
          <w:color w:val="000000"/>
          <w:sz w:val="24"/>
        </w:rPr>
        <w:t>i)</w:t>
      </w:r>
      <w:r>
        <w:rPr>
          <w:rFonts w:hint="default" w:ascii="Arial" w:hAnsi="Arial"/>
          <w:b w:val="false"/>
          <w:i w:val="false"/>
          <w:color w:val="000000"/>
          <w:sz w:val="24"/>
        </w:rPr>
        <w:t xml:space="preserve"> manter durante toda a vigência </w:t>
      </w:r>
      <w:r>
        <w:rPr>
          <w:rFonts w:hint="default" w:ascii="Arial" w:hAnsi="Arial"/>
          <w:b w:val="false"/>
          <w:i w:val="false"/>
          <w:color w:val="000000"/>
          <w:sz w:val="24"/>
        </w:rPr>
        <w:t>da contratação</w:t>
      </w:r>
      <w:r>
        <w:rPr>
          <w:rFonts w:hint="default" w:ascii="Arial" w:hAnsi="Arial"/>
          <w:b w:val="false"/>
          <w:i w:val="false"/>
          <w:color w:val="000000"/>
          <w:sz w:val="24"/>
        </w:rPr>
        <w:t>, em compatibilidade com as obrigações assumidas, todas as condições exigidas para habilitação na licitação;</w:t>
      </w:r>
      <w:r>
        <w:rPr>
          <w:rFonts w:hint="default" w:ascii="Arial" w:hAnsi="Arial"/>
          <w:b w:val="false"/>
          <w:i w:val="false"/>
          <w:color w:val="000000"/>
          <w:sz w:val="24"/>
        </w:rPr>
        <w:t xml:space="preserve"/>
      </w:r>
    </w:p>
    <w:p>
      <w:pPr>
        <w:spacing w:before="0" w:after="0" w:line="360"/>
        <w:ind w:left="600"/>
        <w:jc w:val="both"/>
      </w:pPr>
    </w:p>
    <w:p>
      <w:pPr>
        <w:spacing w:before="0" w:after="0" w:line="360"/>
        <w:ind w:left="600"/>
        <w:jc w:val="both"/>
      </w:pPr>
      <w:r>
        <w:rPr>
          <w:rFonts w:hint="default" w:ascii="Arial" w:hAnsi="Arial"/>
          <w:b w:val="false"/>
          <w:i w:val="false"/>
          <w:color w:val="000000"/>
          <w:sz w:val="24"/>
        </w:rPr>
        <w:t xml:space="preserve"/>
      </w:r>
      <w:r>
        <w:rPr>
          <w:rFonts w:hint="default" w:ascii="Arial" w:hAnsi="Arial"/>
          <w:b/>
          <w:i w:val="false"/>
          <w:color w:val="000000"/>
          <w:sz w:val="24"/>
        </w:rPr>
        <w:t>j)</w:t>
      </w:r>
      <w:r>
        <w:rPr>
          <w:rFonts w:hint="default" w:ascii="Arial" w:hAnsi="Arial"/>
          <w:b w:val="false"/>
          <w:i w:val="false"/>
          <w:color w:val="000000"/>
          <w:sz w:val="24"/>
        </w:rPr>
        <w:t xml:space="preserve"> cumprir, durante todo o período de execução, a reserva de cargos prevista em lei para pessoa com deficiência, para reabilitado da Previdência Social ou para aprendiz, bem como as reservas de cargos previstas outras legislação aplicáveis ao objeto licitado (</w:t>
      </w:r>
      <w:r>
        <w:rPr>
          <w:rFonts w:hint="default" w:ascii="Arial" w:hAnsi="Arial"/>
          <w:b w:val="false"/>
          <w:i w:val="false"/>
          <w:color w:val="0000ff"/>
          <w:sz w:val="24"/>
        </w:rPr>
        <w:t>art. 116</w:t>
      </w:r>
      <w:r>
        <w:rPr>
          <w:rFonts w:hint="default" w:ascii="Arial" w:hAnsi="Arial"/>
          <w:b w:val="false"/>
          <w:i w:val="false"/>
          <w:color w:val="0000ff"/>
          <w:sz w:val="24"/>
        </w:rPr>
        <w:t xml:space="preserve"> da Lei nº 14.133, de 2021</w:t>
      </w:r>
      <w:r>
        <w:rPr>
          <w:rFonts w:hint="default" w:ascii="Arial" w:hAnsi="Arial"/>
          <w:b w:val="false"/>
          <w:i w:val="false"/>
          <w:color w:val="000000"/>
          <w:sz w:val="24"/>
        </w:rPr>
        <w:t>);</w:t>
      </w:r>
      <w:r>
        <w:rPr>
          <w:rFonts w:hint="default" w:ascii="Arial" w:hAnsi="Arial"/>
          <w:b w:val="false"/>
          <w:i w:val="false"/>
          <w:color w:val="000000"/>
          <w:sz w:val="24"/>
        </w:rPr>
        <w:t xml:space="preserve"/>
      </w:r>
    </w:p>
    <w:p>
      <w:pPr>
        <w:spacing w:before="0" w:after="0" w:line="360"/>
        <w:ind w:left="600"/>
        <w:jc w:val="both"/>
      </w:pPr>
    </w:p>
    <w:p>
      <w:pPr>
        <w:spacing w:before="0" w:after="0" w:line="360"/>
        <w:ind w:left="600"/>
        <w:jc w:val="both"/>
      </w:pPr>
      <w:r>
        <w:rPr>
          <w:rFonts w:hint="default" w:ascii="Arial" w:hAnsi="Arial"/>
          <w:b w:val="false"/>
          <w:i w:val="false"/>
          <w:color w:val="000000"/>
          <w:sz w:val="24"/>
        </w:rPr>
        <w:t xml:space="preserve"/>
      </w:r>
      <w:r>
        <w:rPr>
          <w:rFonts w:hint="default" w:ascii="Arial" w:hAnsi="Arial"/>
          <w:b/>
          <w:i w:val="false"/>
          <w:color w:val="000000"/>
          <w:sz w:val="24"/>
        </w:rPr>
        <w:t>k)</w:t>
      </w:r>
      <w:r>
        <w:rPr>
          <w:rFonts w:hint="default" w:ascii="Arial" w:hAnsi="Arial"/>
          <w:b w:val="false"/>
          <w:i w:val="false"/>
          <w:color w:val="000000"/>
          <w:sz w:val="24"/>
        </w:rPr>
        <w:t xml:space="preserve"> comprovar a reserva de cargos a que se refere a cláusula acima, no prazo fixado pelo fiscal, com a indicação dos empregados que preencheram as referidas vagas (</w:t>
      </w:r>
      <w:r>
        <w:rPr>
          <w:rFonts w:hint="default" w:ascii="Arial" w:hAnsi="Arial"/>
          <w:b w:val="false"/>
          <w:i w:val="false"/>
          <w:color w:val="0000ff"/>
          <w:sz w:val="24"/>
        </w:rPr>
        <w:t>art. 116, parágrafo único</w:t>
      </w:r>
      <w:r>
        <w:rPr>
          <w:rFonts w:hint="default" w:ascii="Arial" w:hAnsi="Arial"/>
          <w:b w:val="false"/>
          <w:i w:val="false"/>
          <w:color w:val="0000ff"/>
          <w:sz w:val="24"/>
        </w:rPr>
        <w:t xml:space="preserve"> da Lei nº 14.133, de 2021</w:t>
      </w:r>
      <w:r>
        <w:rPr>
          <w:rFonts w:hint="default" w:ascii="Arial" w:hAnsi="Arial"/>
          <w:b w:val="false"/>
          <w:i w:val="false"/>
          <w:color w:val="000000"/>
          <w:sz w:val="24"/>
        </w:rPr>
        <w:t>);</w:t>
      </w:r>
      <w:r>
        <w:rPr>
          <w:rFonts w:hint="default" w:ascii="Arial" w:hAnsi="Arial"/>
          <w:b w:val="false"/>
          <w:i w:val="false"/>
          <w:color w:val="000000"/>
          <w:sz w:val="24"/>
        </w:rPr>
        <w:t xml:space="preserve"/>
      </w:r>
    </w:p>
    <w:p>
      <w:pPr>
        <w:spacing w:before="0" w:after="0" w:line="360"/>
        <w:ind w:left="600"/>
        <w:jc w:val="both"/>
      </w:pPr>
    </w:p>
    <w:p>
      <w:pPr>
        <w:spacing w:before="0" w:after="0" w:line="360"/>
        <w:ind w:left="600"/>
        <w:jc w:val="both"/>
      </w:pPr>
      <w:r>
        <w:rPr>
          <w:rFonts w:hint="default" w:ascii="Arial" w:hAnsi="Arial"/>
          <w:b w:val="false"/>
          <w:i w:val="false"/>
          <w:color w:val="000000"/>
          <w:sz w:val="24"/>
        </w:rPr>
        <w:t xml:space="preserve"/>
      </w:r>
      <w:r>
        <w:rPr>
          <w:rFonts w:hint="default" w:ascii="Arial" w:hAnsi="Arial"/>
          <w:b/>
          <w:i w:val="false"/>
          <w:color w:val="000000"/>
          <w:sz w:val="24"/>
        </w:rPr>
        <w:t>l)</w:t>
      </w:r>
      <w:r>
        <w:rPr>
          <w:rFonts w:hint="default" w:ascii="Arial" w:hAnsi="Arial"/>
          <w:b w:val="false"/>
          <w:i w:val="false"/>
          <w:color w:val="000000"/>
          <w:sz w:val="24"/>
        </w:rPr>
        <w:t xml:space="preserve"> guardar sigilo sobre todas as informações obtidas em decorrência do cumprimento</w:t>
      </w:r>
      <w:r>
        <w:rPr>
          <w:rFonts w:hint="default" w:ascii="Arial" w:hAnsi="Arial"/>
          <w:b w:val="false"/>
          <w:i w:val="false"/>
          <w:color w:val="000000"/>
          <w:sz w:val="24"/>
        </w:rPr>
        <w:t xml:space="preserve"> da avença;</w:t>
      </w:r>
      <w:r>
        <w:rPr>
          <w:rFonts w:hint="default" w:ascii="Arial" w:hAnsi="Arial"/>
          <w:b w:val="false"/>
          <w:i w:val="false"/>
          <w:color w:val="000000"/>
          <w:sz w:val="24"/>
        </w:rPr>
        <w:t xml:space="preserve"/>
      </w:r>
    </w:p>
    <w:p>
      <w:pPr>
        <w:spacing w:before="0" w:after="0" w:line="360"/>
        <w:ind w:left="600"/>
        <w:jc w:val="both"/>
      </w:pPr>
    </w:p>
    <w:p>
      <w:pPr>
        <w:spacing w:before="0" w:after="0" w:line="360"/>
        <w:ind w:left="600"/>
        <w:jc w:val="both"/>
      </w:pPr>
      <w:r>
        <w:rPr>
          <w:rFonts w:hint="default" w:ascii="Arial" w:hAnsi="Arial"/>
          <w:b w:val="false"/>
          <w:i w:val="false"/>
          <w:color w:val="000000"/>
          <w:sz w:val="24"/>
        </w:rPr>
        <w:t xml:space="preserve"/>
      </w:r>
      <w:r>
        <w:rPr>
          <w:rFonts w:hint="default" w:ascii="Arial" w:hAnsi="Arial"/>
          <w:b/>
          <w:i w:val="false"/>
          <w:color w:val="000000"/>
          <w:sz w:val="24"/>
        </w:rPr>
        <w:t>m)</w:t>
      </w:r>
      <w:r>
        <w:rPr>
          <w:rFonts w:hint="default" w:ascii="Arial" w:hAnsi="Arial"/>
          <w:b w:val="false"/>
          <w:i w:val="false"/>
          <w:color w:val="000000"/>
          <w:sz w:val="24"/>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Pr>
          <w:rFonts w:hint="default" w:ascii="Arial" w:hAnsi="Arial"/>
          <w:b w:val="false"/>
          <w:i w:val="false"/>
          <w:color w:val="0000ff"/>
          <w:sz w:val="24"/>
        </w:rPr>
        <w:t>art. 124, II, d, da Lei nº 14.133, de 2021</w:t>
      </w:r>
      <w:r>
        <w:rPr>
          <w:rFonts w:hint="default" w:ascii="Arial" w:hAnsi="Arial"/>
          <w:b w:val="false"/>
          <w:i w:val="false"/>
          <w:color w:val="0000ff"/>
          <w:sz w:val="24"/>
        </w:rPr>
        <w:t>;</w:t>
      </w:r>
      <w:r>
        <w:rPr>
          <w:rFonts w:hint="default" w:ascii="Arial" w:hAnsi="Arial"/>
          <w:b w:val="false"/>
          <w:i w:val="false"/>
          <w:color w:val="000000"/>
          <w:sz w:val="24"/>
        </w:rPr>
        <w:t xml:space="preserve"/>
      </w:r>
    </w:p>
    <w:p>
      <w:pPr>
        <w:spacing w:before="0" w:after="0" w:line="360"/>
        <w:ind w:left="0"/>
        <w:jc w:val="both"/>
      </w:pPr>
    </w:p>
    <w:p>
      <w:pPr>
        <w:spacing w:before="0" w:after="0" w:line="360"/>
        <w:ind w:left="600"/>
        <w:jc w:val="both"/>
      </w:pPr>
      <w:r>
        <w:rPr>
          <w:rFonts w:hint="default" w:ascii="Arial" w:hAnsi="Arial"/>
          <w:b w:val="false"/>
          <w:i w:val="false"/>
          <w:color w:val="000000"/>
          <w:sz w:val="24"/>
        </w:rPr>
        <w:t xml:space="preserve"/>
      </w:r>
      <w:r>
        <w:rPr>
          <w:rFonts w:hint="default" w:ascii="Arial" w:hAnsi="Arial"/>
          <w:b/>
          <w:i w:val="false"/>
          <w:color w:val="000000"/>
          <w:sz w:val="24"/>
        </w:rPr>
        <w:t xml:space="preserve">n) </w:t>
      </w:r>
      <w:r>
        <w:rPr>
          <w:rFonts w:hint="default" w:ascii="Arial" w:hAnsi="Arial"/>
          <w:b w:val="false"/>
          <w:i w:val="false"/>
          <w:color w:val="000000"/>
          <w:sz w:val="24"/>
        </w:rPr>
        <w:t xml:space="preserve">nas alterações unilaterais a que se refere o artigo 124 </w:t>
      </w:r>
      <w:r>
        <w:rPr>
          <w:rFonts w:hint="default" w:ascii="Arial" w:hAnsi="Arial"/>
          <w:b w:val="false"/>
          <w:i w:val="false"/>
          <w:color w:val="0000ff"/>
          <w:sz w:val="24"/>
        </w:rPr>
        <w:t>da Lei nº 14.133, de 2021</w:t>
      </w:r>
      <w:r>
        <w:rPr>
          <w:rFonts w:hint="default" w:ascii="Arial" w:hAnsi="Arial"/>
          <w:b w:val="false"/>
          <w:i w:val="false"/>
          <w:color w:val="000000"/>
          <w:sz w:val="24"/>
        </w:rPr>
        <w:t>, a contratada será obrigada a aceitar, nas mesmas condições contratuais, acréscimos ou supressões de até 25% (vinte e cinco por cento) do valor inicial atualizado do contrato que se fizerem nas compras.</w:t>
      </w:r>
      <w:r>
        <w:rPr>
          <w:rFonts w:hint="default" w:ascii="Arial" w:hAnsi="Arial"/>
          <w:b w:val="false"/>
          <w:i w:val="false"/>
          <w:color w:val="000000"/>
          <w:sz w:val="24"/>
        </w:rPr>
        <w:t xml:space="preserve"/>
      </w:r>
    </w:p>
    <w:p>
      <w:pPr>
        <w:spacing w:before="0" w:after="0" w:line="360"/>
        <w:ind w:left="600"/>
        <w:jc w:val="both"/>
      </w:pPr>
    </w:p>
    <w:p>
      <w:pPr>
        <w:spacing w:before="0" w:after="0" w:line="360"/>
        <w:ind w:left="600"/>
        <w:jc w:val="both"/>
      </w:pPr>
      <w:r>
        <w:rPr>
          <w:rFonts w:hint="default" w:ascii="Arial" w:hAnsi="Arial"/>
          <w:b w:val="false"/>
          <w:i w:val="false"/>
          <w:color w:val="000000"/>
          <w:sz w:val="24"/>
        </w:rPr>
        <w:t xml:space="preserve"/>
      </w:r>
      <w:r>
        <w:rPr>
          <w:rFonts w:hint="default" w:ascii="Arial" w:hAnsi="Arial"/>
          <w:b/>
          <w:i w:val="false"/>
          <w:color w:val="000000"/>
          <w:sz w:val="24"/>
        </w:rPr>
        <w:t>o)</w:t>
      </w:r>
      <w:r>
        <w:rPr>
          <w:rFonts w:hint="default" w:ascii="Arial" w:hAnsi="Arial"/>
          <w:b w:val="false"/>
          <w:i w:val="false"/>
          <w:color w:val="000000"/>
          <w:sz w:val="24"/>
        </w:rPr>
        <w:t xml:space="preserve"> orientar e treinar seus empregados sobre os deveres previstos na Lei nº 13.709, de 14 de agosto de 2018, adotando medidas eficazes para proteção de dados pessoais a que tenha acesso por força da execução</w:t>
      </w:r>
      <w:r>
        <w:rPr>
          <w:rFonts w:hint="default" w:ascii="Arial" w:hAnsi="Arial"/>
          <w:b w:val="false"/>
          <w:i w:val="false"/>
          <w:color w:val="000000"/>
          <w:sz w:val="24"/>
        </w:rPr>
        <w:t>;</w:t>
      </w:r>
      <w:r>
        <w:rPr>
          <w:rFonts w:hint="default" w:ascii="Arial" w:hAnsi="Arial"/>
          <w:b w:val="false"/>
          <w:i w:val="false"/>
          <w:color w:val="000000"/>
          <w:sz w:val="24"/>
        </w:rPr>
        <w:t xml:space="preserve"/>
      </w:r>
    </w:p>
    <w:p>
      <w:pPr>
        <w:spacing w:before="0" w:after="0" w:line="360"/>
        <w:ind w:left="600"/>
        <w:jc w:val="both"/>
      </w:pPr>
    </w:p>
    <w:p>
      <w:pPr>
        <w:spacing w:before="0" w:after="0" w:line="360"/>
        <w:ind w:left="600"/>
        <w:jc w:val="both"/>
      </w:pPr>
      <w:r>
        <w:rPr>
          <w:rFonts w:hint="default" w:ascii="Arial" w:hAnsi="Arial"/>
          <w:b w:val="false"/>
          <w:i w:val="false"/>
          <w:color w:val="000000"/>
          <w:sz w:val="24"/>
        </w:rPr>
        <w:t xml:space="preserve"/>
      </w:r>
      <w:r>
        <w:rPr>
          <w:rFonts w:hint="default" w:ascii="Arial" w:hAnsi="Arial"/>
          <w:b/>
          <w:i w:val="false"/>
          <w:color w:val="000000"/>
          <w:sz w:val="24"/>
        </w:rPr>
        <w:t>p)</w:t>
      </w:r>
      <w:r>
        <w:rPr>
          <w:rFonts w:hint="default" w:ascii="Arial" w:hAnsi="Arial"/>
          <w:b w:val="false"/>
          <w:i w:val="false"/>
          <w:color w:val="000000"/>
          <w:sz w:val="24"/>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r>
        <w:rPr>
          <w:rFonts w:hint="default" w:ascii="Arial" w:hAnsi="Arial"/>
          <w:b w:val="false"/>
          <w:i w:val="false"/>
          <w:color w:val="000000"/>
          <w:sz w:val="24"/>
        </w:rPr>
        <w:t xml:space="preserve"/>
      </w:r>
    </w:p>
    <w:p>
      <w:pPr>
        <w:spacing w:before="0" w:after="0" w:line="360"/>
        <w:ind w:left="600"/>
        <w:jc w:val="both"/>
      </w:pPr>
    </w:p>
    <w:p>
      <w:pPr>
        <w:spacing w:before="0" w:after="0" w:line="360"/>
        <w:ind w:left="60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2. OBRIGAÇÕES DA CONTRATANTE (art. 92, X, XI e XIV da Lei nº 14.133, de 2021):</w:t>
      </w:r>
      <w:r>
        <w:rPr>
          <w:rFonts w:hint="default" w:ascii="Arial" w:hAnsi="Arial"/>
          <w:b w:val="false"/>
          <w:i w:val="false"/>
          <w:color w:val="000000"/>
          <w:sz w:val="24"/>
        </w:rPr>
        <w:t xml:space="preserve"/>
      </w:r>
    </w:p>
    <w:p>
      <w:pPr>
        <w:spacing w:before="0" w:after="0" w:line="360"/>
        <w:ind w:left="0"/>
        <w:jc w:val="both"/>
      </w:pPr>
    </w:p>
    <w:p>
      <w:pPr>
        <w:spacing w:before="0" w:after="0" w:line="360"/>
        <w:ind w:left="600"/>
        <w:jc w:val="both"/>
      </w:pPr>
      <w:r>
        <w:rPr>
          <w:rFonts w:hint="default" w:ascii="Arial" w:hAnsi="Arial"/>
          <w:b w:val="false"/>
          <w:i w:val="false"/>
          <w:color w:val="000000"/>
          <w:sz w:val="24"/>
        </w:rPr>
        <w:t xml:space="preserve"/>
      </w:r>
      <w:r>
        <w:rPr>
          <w:rFonts w:hint="default" w:ascii="Arial" w:hAnsi="Arial"/>
          <w:b/>
          <w:i w:val="false"/>
          <w:color w:val="000000"/>
          <w:sz w:val="24"/>
        </w:rPr>
        <w:t>a)</w:t>
      </w:r>
      <w:r>
        <w:rPr>
          <w:rFonts w:hint="default" w:ascii="Arial" w:hAnsi="Arial"/>
          <w:b w:val="false"/>
          <w:i w:val="false"/>
          <w:color w:val="000000"/>
          <w:sz w:val="24"/>
        </w:rPr>
        <w:t xml:space="preserve"> Exigir o cumprimento de todas as obrigações assumidas pela contratada, de acordo com o </w:t>
      </w:r>
      <w:r>
        <w:rPr>
          <w:rFonts w:hint="default" w:ascii="Arial" w:hAnsi="Arial"/>
          <w:b w:val="false"/>
          <w:i w:val="false"/>
          <w:color w:val="000000"/>
          <w:sz w:val="24"/>
        </w:rPr>
        <w:t xml:space="preserve">Termo de Referência </w:t>
      </w:r>
      <w:r>
        <w:rPr>
          <w:rFonts w:hint="default" w:ascii="Arial" w:hAnsi="Arial"/>
          <w:b w:val="false"/>
          <w:i w:val="false"/>
          <w:color w:val="000000"/>
          <w:sz w:val="24"/>
        </w:rPr>
        <w:t>e seus anexos;</w:t>
      </w:r>
      <w:r>
        <w:rPr>
          <w:rFonts w:hint="default" w:ascii="Arial" w:hAnsi="Arial"/>
          <w:b w:val="false"/>
          <w:i w:val="false"/>
          <w:color w:val="000000"/>
          <w:sz w:val="24"/>
        </w:rPr>
        <w:t xml:space="preserve"/>
      </w:r>
    </w:p>
    <w:p>
      <w:pPr>
        <w:spacing w:before="0" w:after="0" w:line="360"/>
        <w:ind w:left="0"/>
        <w:jc w:val="both"/>
      </w:pPr>
    </w:p>
    <w:p>
      <w:pPr>
        <w:spacing w:before="0" w:after="0" w:line="360"/>
        <w:ind w:left="600"/>
        <w:jc w:val="both"/>
      </w:pPr>
      <w:r>
        <w:rPr>
          <w:rFonts w:hint="default" w:ascii="Arial" w:hAnsi="Arial"/>
          <w:b w:val="false"/>
          <w:i w:val="false"/>
          <w:color w:val="000000"/>
          <w:sz w:val="24"/>
        </w:rPr>
        <w:t xml:space="preserve"/>
      </w:r>
      <w:r>
        <w:rPr>
          <w:rFonts w:hint="default" w:ascii="Arial" w:hAnsi="Arial"/>
          <w:b/>
          <w:i w:val="false"/>
          <w:color w:val="000000"/>
          <w:sz w:val="24"/>
        </w:rPr>
        <w:t>b)</w:t>
      </w:r>
      <w:r>
        <w:rPr>
          <w:rFonts w:hint="default" w:ascii="Arial" w:hAnsi="Arial"/>
          <w:b w:val="false"/>
          <w:i w:val="false"/>
          <w:color w:val="000000"/>
          <w:sz w:val="24"/>
        </w:rPr>
        <w:t xml:space="preserve"> Receber o objeto contratado no prazo e condições estabelecidas no Termo de Referência;</w:t>
      </w:r>
      <w:r>
        <w:rPr>
          <w:rFonts w:hint="default" w:ascii="Arial" w:hAnsi="Arial"/>
          <w:b w:val="false"/>
          <w:i w:val="false"/>
          <w:color w:val="000000"/>
          <w:sz w:val="24"/>
        </w:rPr>
        <w:t xml:space="preserve"/>
      </w:r>
    </w:p>
    <w:p>
      <w:pPr>
        <w:spacing w:before="0" w:after="0" w:line="360"/>
        <w:ind w:left="0"/>
        <w:jc w:val="both"/>
      </w:pPr>
    </w:p>
    <w:p>
      <w:pPr>
        <w:spacing w:before="0" w:after="0" w:line="360"/>
        <w:ind w:left="600"/>
        <w:jc w:val="both"/>
      </w:pPr>
      <w:r>
        <w:rPr>
          <w:rFonts w:hint="default" w:ascii="Arial" w:hAnsi="Arial"/>
          <w:b w:val="false"/>
          <w:i w:val="false"/>
          <w:color w:val="000000"/>
          <w:sz w:val="24"/>
        </w:rPr>
        <w:t xml:space="preserve"/>
      </w:r>
      <w:r>
        <w:rPr>
          <w:rFonts w:hint="default" w:ascii="Arial" w:hAnsi="Arial"/>
          <w:b/>
          <w:i w:val="false"/>
          <w:color w:val="000000"/>
          <w:sz w:val="24"/>
        </w:rPr>
        <w:t>c)</w:t>
      </w:r>
      <w:r>
        <w:rPr>
          <w:rFonts w:hint="default" w:ascii="Arial" w:hAnsi="Arial"/>
          <w:b w:val="false"/>
          <w:i w:val="false"/>
          <w:color w:val="000000"/>
          <w:sz w:val="24"/>
        </w:rPr>
        <w:t xml:space="preserve"> Notificar a contratada, por escrito, sobre vícios, defeitos ou incorreções verificadas no objeto fornecido, para que seja por ele substituído, reparado ou corrigido, no total ou em parte, às suas expensas;</w:t>
      </w:r>
      <w:r>
        <w:rPr>
          <w:rFonts w:hint="default" w:ascii="Arial" w:hAnsi="Arial"/>
          <w:b w:val="false"/>
          <w:i w:val="false"/>
          <w:color w:val="000000"/>
          <w:sz w:val="24"/>
        </w:rPr>
        <w:t xml:space="preserve"/>
      </w:r>
    </w:p>
    <w:p>
      <w:pPr>
        <w:spacing w:before="0" w:after="0" w:line="360"/>
        <w:ind w:left="0"/>
        <w:jc w:val="both"/>
      </w:pPr>
    </w:p>
    <w:p>
      <w:pPr>
        <w:spacing w:before="0" w:after="0" w:line="360"/>
        <w:ind w:left="600"/>
        <w:jc w:val="both"/>
      </w:pPr>
      <w:r>
        <w:rPr>
          <w:rFonts w:hint="default" w:ascii="Arial" w:hAnsi="Arial"/>
          <w:b w:val="false"/>
          <w:i w:val="false"/>
          <w:color w:val="000000"/>
          <w:sz w:val="24"/>
        </w:rPr>
        <w:t xml:space="preserve"/>
      </w:r>
      <w:r>
        <w:rPr>
          <w:rFonts w:hint="default" w:ascii="Arial" w:hAnsi="Arial"/>
          <w:b/>
          <w:i w:val="false"/>
          <w:color w:val="000000"/>
          <w:sz w:val="24"/>
        </w:rPr>
        <w:t>d)</w:t>
      </w:r>
      <w:r>
        <w:rPr>
          <w:rFonts w:hint="default" w:ascii="Arial" w:hAnsi="Arial"/>
          <w:b w:val="false"/>
          <w:i w:val="false"/>
          <w:color w:val="000000"/>
          <w:sz w:val="24"/>
        </w:rPr>
        <w:t xml:space="preserve"> Acompanhar e fiscalizar a execução </w:t>
      </w:r>
      <w:r>
        <w:rPr>
          <w:rFonts w:hint="default" w:ascii="Arial" w:hAnsi="Arial"/>
          <w:b w:val="false"/>
          <w:i w:val="false"/>
          <w:color w:val="000000"/>
          <w:sz w:val="24"/>
        </w:rPr>
        <w:t xml:space="preserve">da avença </w:t>
      </w:r>
      <w:r>
        <w:rPr>
          <w:rFonts w:hint="default" w:ascii="Arial" w:hAnsi="Arial"/>
          <w:b w:val="false"/>
          <w:i w:val="false"/>
          <w:color w:val="000000"/>
          <w:sz w:val="24"/>
        </w:rPr>
        <w:t>e o cumprimento das obrigações pela contratada;</w:t>
      </w:r>
      <w:r>
        <w:rPr>
          <w:rFonts w:hint="default" w:ascii="Arial" w:hAnsi="Arial"/>
          <w:b w:val="false"/>
          <w:i w:val="false"/>
          <w:color w:val="000000"/>
          <w:sz w:val="24"/>
        </w:rPr>
        <w:t xml:space="preserve"/>
      </w:r>
    </w:p>
    <w:p>
      <w:pPr>
        <w:spacing w:before="0" w:after="0" w:line="360"/>
        <w:ind w:left="600"/>
        <w:jc w:val="both"/>
      </w:pPr>
    </w:p>
    <w:p>
      <w:pPr>
        <w:spacing w:before="0" w:after="0" w:line="360"/>
        <w:ind w:left="600"/>
        <w:jc w:val="both"/>
      </w:pPr>
      <w:r>
        <w:rPr>
          <w:rFonts w:hint="default" w:ascii="Arial" w:hAnsi="Arial"/>
          <w:b w:val="false"/>
          <w:i w:val="false"/>
          <w:color w:val="000000"/>
          <w:sz w:val="24"/>
        </w:rPr>
        <w:t xml:space="preserve"/>
      </w:r>
      <w:r>
        <w:rPr>
          <w:rFonts w:hint="default" w:ascii="Arial" w:hAnsi="Arial"/>
          <w:b/>
          <w:i w:val="false"/>
          <w:color w:val="000000"/>
          <w:sz w:val="24"/>
        </w:rPr>
        <w:t>e)</w:t>
      </w:r>
      <w:r>
        <w:rPr>
          <w:rFonts w:hint="default" w:ascii="Arial" w:hAnsi="Arial"/>
          <w:b w:val="false"/>
          <w:i w:val="false"/>
          <w:color w:val="000000"/>
          <w:sz w:val="24"/>
        </w:rPr>
        <w:t xml:space="preserve"> Comunicar a contratada para emissão de nota fiscal no que pertine à parcela incontroversa da execução do objeto contratado, para efeito de liquidação e pagamento, quando houver controvérsia sobre a execução do objeto, quanto à dimensão, qualidade e quantidade, conforme o </w:t>
      </w:r>
      <w:r>
        <w:rPr>
          <w:rFonts w:hint="default" w:ascii="Arial" w:hAnsi="Arial"/>
          <w:b w:val="false"/>
          <w:i w:val="false"/>
          <w:color w:val="0000ff"/>
          <w:sz w:val="24"/>
        </w:rPr>
        <w:t>art. 143 da Lei nº 14.133, de 2021</w:t>
      </w:r>
      <w:r>
        <w:rPr>
          <w:rFonts w:hint="default" w:ascii="Arial" w:hAnsi="Arial"/>
          <w:b w:val="false"/>
          <w:i w:val="false"/>
          <w:color w:val="000000"/>
          <w:sz w:val="24"/>
        </w:rPr>
        <w:t>;</w:t>
      </w:r>
      <w:r>
        <w:rPr>
          <w:rFonts w:hint="default" w:ascii="Arial" w:hAnsi="Arial"/>
          <w:b w:val="false"/>
          <w:i w:val="false"/>
          <w:color w:val="000000"/>
          <w:sz w:val="24"/>
        </w:rPr>
        <w:t xml:space="preserve"/>
      </w:r>
    </w:p>
    <w:p>
      <w:pPr>
        <w:spacing w:before="0" w:after="0" w:line="360"/>
        <w:ind w:left="600"/>
        <w:jc w:val="both"/>
      </w:pPr>
    </w:p>
    <w:p>
      <w:pPr>
        <w:spacing w:before="0" w:after="0" w:line="360"/>
        <w:ind w:left="0"/>
        <w:jc w:val="both"/>
      </w:pPr>
    </w:p>
    <w:p>
      <w:pPr>
        <w:spacing w:before="0" w:after="0" w:line="360"/>
        <w:ind w:left="600"/>
        <w:jc w:val="both"/>
      </w:pPr>
      <w:r>
        <w:rPr>
          <w:rFonts w:ascii="Times New Roman" w:hAnsi="Times New Roman"/>
          <w:b w:val="false"/>
          <w:i w:val="false"/>
          <w:color w:val="000000"/>
          <w:sz w:val="24"/>
        </w:rPr>
        <w:t xml:space="preserve"/>
      </w:r>
      <w:r>
        <w:rPr>
          <w:rFonts w:hint="default" w:ascii="Arial" w:hAnsi="Arial"/>
          <w:b/>
          <w:i w:val="false"/>
          <w:color w:val="000000"/>
          <w:sz w:val="24"/>
        </w:rPr>
        <w:t xml:space="preserve">2.1. </w:t>
      </w:r>
      <w:r>
        <w:rPr>
          <w:rFonts w:hint="default" w:ascii="Arial" w:hAnsi="Arial"/>
          <w:b w:val="false"/>
          <w:i w:val="false"/>
          <w:color w:val="000000"/>
          <w:sz w:val="24"/>
        </w:rPr>
        <w:t xml:space="preserve">A Administração não responderá por quaisquer compromissos assumidos pela contratada com terceiros, ainda que vinculados à execução </w:t>
      </w:r>
      <w:r>
        <w:rPr>
          <w:rFonts w:hint="default" w:ascii="Arial" w:hAnsi="Arial"/>
          <w:b w:val="false"/>
          <w:i w:val="false"/>
          <w:color w:val="000000"/>
          <w:sz w:val="24"/>
        </w:rPr>
        <w:t>da avença, bem como por qualquer dano causado a terceiros em decorrência de ato da contratada, de seus empregados, prepostos ou subordinados.</w:t>
      </w:r>
      <w:r>
        <w:rPr>
          <w:rFonts w:ascii="Times New Roman" w:hAnsi="Times New Roman"/>
          <w:b w:val="false"/>
          <w:i w:val="false"/>
          <w:color w:val="000000"/>
          <w:sz w:val="24"/>
        </w:rPr>
        <w:t xml:space="preserve"/>
      </w:r>
    </w:p>
    <w:p>
      <w:pPr>
        <w:spacing w:before="0" w:after="0" w:line="360"/>
        <w:ind w:left="0"/>
        <w:jc w:val="both"/>
      </w:pP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3. DAS INFRAÇÕES E SANÇÕES ADMINISTRATIVAS (art. 92, XIV da Lei nº 14.133, de 2021):</w:t>
      </w:r>
      <w:r>
        <w:rPr>
          <w:rFonts w:hint="default" w:ascii="Arial" w:hAnsi="Arial"/>
          <w:b w:val="false"/>
          <w:i w:val="false"/>
          <w:color w:val="000000"/>
          <w:sz w:val="24"/>
        </w:rPr>
        <w:t xml:space="preserve"/>
      </w:r>
    </w:p>
    <w:p>
      <w:pPr>
        <w:spacing w:before="0" w:after="0" w:line="360"/>
        <w:ind w:left="600"/>
        <w:jc w:val="both"/>
      </w:pPr>
    </w:p>
    <w:p>
      <w:pPr>
        <w:spacing w:before="0" w:after="0" w:line="360"/>
        <w:ind w:left="600"/>
        <w:jc w:val="both"/>
      </w:pPr>
      <w:r>
        <w:rPr>
          <w:rFonts w:ascii="Times New Roman" w:hAnsi="Times New Roman"/>
          <w:b w:val="false"/>
          <w:i w:val="false"/>
          <w:color w:val="000000"/>
          <w:sz w:val="22"/>
        </w:rPr>
        <w:t xml:space="preserve"/>
      </w:r>
      <w:r>
        <w:rPr>
          <w:rFonts w:hint="default" w:ascii="Arial" w:hAnsi="Arial"/>
          <w:b w:val="false"/>
          <w:i w:val="false"/>
          <w:color w:val="040c28"/>
          <w:sz w:val="24"/>
        </w:rPr>
        <w:t>As sanções não são aplicáveis devido à natureza da empresa como uma concessionária de serviços públicos contínuos e ao fato de que o contrato é de adesão, com clausulas estabelecidas unilateralmente pelo fornecedor.</w:t>
      </w:r>
      <w:r>
        <w:rPr>
          <w:rFonts w:ascii="Times New Roman" w:hAnsi="Times New Roman"/>
          <w:b w:val="false"/>
          <w:i w:val="false"/>
          <w:color w:val="000000"/>
          <w:sz w:val="22"/>
        </w:rPr>
        <w:t xml:space="preserve"/>
      </w:r>
    </w:p>
    <w:p>
      <w:pPr>
        <w:spacing w:before="0" w:after="0" w:line="360"/>
        <w:ind w:left="0"/>
        <w:jc w:val="both"/>
      </w:pPr>
    </w:p>
    <w:p>
      <w:pPr>
        <w:spacing w:before="0" w:after="0"/>
        <w:ind w:left="0"/>
        <w:jc w:val="center"/>
      </w:pPr>
      <w:r>
        <w:rPr>
          <w:rFonts w:ascii="Times New Roman" w:hAnsi="Times New Roman"/>
          <w:b w:val="false"/>
          <w:i w:val="false"/>
          <w:color w:val="000000"/>
          <w:sz w:val="21"/>
        </w:rPr>
        <w:t>Campo Grande/MS, 19 de Dezembro de 2023</w:t>
      </w:r>
    </w:p>
    <w:p>
      <w:pPr>
        <w:spacing w:before="0" w:after="0"/>
        <w:ind w:left="0"/>
        <w:jc w:val="center"/>
      </w:pPr>
      <w:r>
        <w:rPr>
          <w:rFonts w:ascii="Times New Roman" w:hAnsi="Times New Roman"/>
          <w:b w:val="false"/>
          <w:i w:val="false"/>
          <w:color w:val="000000"/>
          <w:sz w:val="22"/>
        </w:rPr>
        <w:t xml:space="preserve"/>
      </w:r>
      <w:r>
        <w:rPr>
          <w:rFonts w:ascii="Times New Roman" w:hAnsi="Times New Roman"/>
          <w:b w:val="false"/>
          <w:i w:val="false"/>
          <w:color w:val="000000"/>
          <w:sz w:val="21"/>
        </w:rPr>
        <w:t>Atestado por</w:t>
      </w:r>
      <w:r>
        <w:rPr>
          <w:rFonts w:ascii="Times New Roman" w:hAnsi="Times New Roman"/>
          <w:b w:val="false"/>
          <w:i w:val="false"/>
          <w:color w:val="000000"/>
          <w:sz w:val="22"/>
        </w:rPr>
        <w:t xml:space="preserve"> </w:t>
      </w:r>
      <w:r>
        <w:rPr>
          <w:rFonts w:ascii="Times New Roman" w:hAnsi="Times New Roman"/>
          <w:b/>
          <w:i w:val="false"/>
          <w:color w:val="000000"/>
          <w:sz w:val="21"/>
        </w:rPr>
        <w:t>CASSANDRA ALBINO RIBEIRO</w:t>
      </w:r>
      <w:r>
        <w:rPr>
          <w:rFonts w:ascii="Times New Roman" w:hAnsi="Times New Roman"/>
          <w:b w:val="false"/>
          <w:i w:val="false"/>
          <w:color w:val="000000"/>
          <w:sz w:val="22"/>
        </w:rPr>
        <w:t xml:space="preserve"> </w:t>
      </w:r>
      <w:r>
        <w:rPr>
          <w:rFonts w:ascii="Times New Roman" w:hAnsi="Times New Roman"/>
          <w:b w:val="false"/>
          <w:i w:val="false"/>
          <w:color w:val="000000"/>
          <w:sz w:val="21"/>
        </w:rPr>
        <w:t>Assistente Administrativo II</w:t>
      </w:r>
      <w:r>
        <w:rPr>
          <w:rFonts w:ascii="Times New Roman" w:hAnsi="Times New Roman"/>
          <w:b w:val="false"/>
          <w:i w:val="false"/>
          <w:color w:val="000000"/>
          <w:sz w:val="22"/>
        </w:rPr>
        <w:t xml:space="preserve"> </w:t>
      </w:r>
      <w:r>
        <w:rPr>
          <w:rFonts w:ascii="Times New Roman" w:hAnsi="Times New Roman"/>
          <w:b w:val="false"/>
          <w:i w:val="false"/>
          <w:color w:val="000000"/>
          <w:sz w:val="21"/>
        </w:rPr>
        <w:t xml:space="preserve">Autorizado por </w:t>
      </w:r>
      <w:r>
        <w:rPr>
          <w:rFonts w:ascii="Times New Roman" w:hAnsi="Times New Roman"/>
          <w:b/>
          <w:i w:val="false"/>
          <w:color w:val="000000"/>
          <w:sz w:val="21"/>
        </w:rPr>
        <w:t>Evelyse Ferreira Cruz Oyadomari</w:t>
      </w:r>
      <w:r>
        <w:rPr>
          <w:rFonts w:ascii="Times New Roman" w:hAnsi="Times New Roman"/>
          <w:b w:val="false"/>
          <w:i w:val="false"/>
          <w:color w:val="000000"/>
          <w:sz w:val="22"/>
        </w:rPr>
        <w:t xml:space="preserve"> </w:t>
      </w:r>
      <w:r>
        <w:rPr>
          <w:rFonts w:ascii="Times New Roman" w:hAnsi="Times New Roman"/>
          <w:b w:val="false"/>
          <w:i w:val="false"/>
          <w:color w:val="000000"/>
          <w:sz w:val="21"/>
        </w:rPr>
        <w:t>Secretária Municipal de Gestão</w:t>
      </w:r>
      <w:r>
        <w:rPr>
          <w:rFonts w:ascii="Times New Roman" w:hAnsi="Times New Roman"/>
          <w:b w:val="false"/>
          <w:i w:val="false"/>
          <w:color w:val="000000"/>
          <w:sz w:val="22"/>
        </w:rPr>
        <w:t xml:space="preserve"> </w:t>
      </w:r>
      <w:r>
        <w:rPr>
          <w:rFonts w:ascii="Times New Roman" w:hAnsi="Times New Roman"/>
          <w:b w:val="false"/>
          <w:i w:val="false"/>
          <w:color w:val="000000"/>
          <w:sz w:val="21"/>
        </w:rPr>
        <w:t>Concluído por</w:t>
      </w:r>
      <w:r>
        <w:rPr>
          <w:rFonts w:ascii="Times New Roman" w:hAnsi="Times New Roman"/>
          <w:b w:val="false"/>
          <w:i w:val="false"/>
          <w:color w:val="000000"/>
          <w:sz w:val="22"/>
        </w:rPr>
        <w:t xml:space="preserve"> </w:t>
      </w:r>
      <w:r>
        <w:rPr>
          <w:rFonts w:ascii="Times New Roman" w:hAnsi="Times New Roman"/>
          <w:b/>
          <w:i w:val="false"/>
          <w:color w:val="000000"/>
          <w:sz w:val="21"/>
        </w:rPr>
        <w:t>NILZA FREITAS NEVES</w:t>
      </w:r>
      <w:r>
        <w:rPr>
          <w:rFonts w:ascii="Times New Roman" w:hAnsi="Times New Roman"/>
          <w:b w:val="false"/>
          <w:i w:val="false"/>
          <w:color w:val="000000"/>
          <w:sz w:val="22"/>
        </w:rPr>
        <w:t xml:space="preserve"> </w:t>
      </w:r>
      <w:r>
        <w:rPr>
          <w:rFonts w:ascii="Times New Roman" w:hAnsi="Times New Roman"/>
          <w:b w:val="false"/>
          <w:i w:val="false"/>
          <w:color w:val="000000"/>
          <w:sz w:val="21"/>
        </w:rPr>
        <w:t>Gerente da Gerência de Manutenção e Conservação</w:t>
      </w:r>
      <w:r>
        <w:rPr>
          <w:rFonts w:ascii="Times New Roman" w:hAnsi="Times New Roman"/>
          <w:b w:val="false"/>
          <w:i w:val="false"/>
          <w:color w:val="000000"/>
          <w:sz w:val="22"/>
        </w:rPr>
        <w:t xml:space="preserve"/>
      </w:r>
    </w:p>
    <w:p>
      <w:pPr>
        <w:spacing w:before="0" w:after="0"/>
        <w:ind w:left="0"/>
        <w:jc w:val="left"/>
      </w:pPr>
    </w:p>
    <w:bookmarkEnd w:id="1"/>
    <w:bookmarkEnd w:id="0"/>
    <w:sectPr>
      <w:headerReference w:type="default" r:id="rId4"/>
      <w:footerReference w:type="default" r:id="rId5"/>
      <w:pgSz w:w="11907" w:h="16839" w:code="9"/>
      <w:pgMar w:top="3402" w:right="1134" w:bottom="1134" w:left="1134"/>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p>
    <w:pPr>
      <w:spacing w:before="0" w:after="0"/>
      <w:ind w:left="120"/>
      <w:jc w:val="right"/>
    </w:pPr>
    <w:r>
      <w:rPr>
        <w:rFonts w:ascii="Times New Roman" w:hAnsi="Times New Roman"/>
        <w:b w:val="false"/>
        <w:i w:val="false"/>
        <w:color w:val="000000"/>
        <w:sz w:val="22"/>
      </w:rPr>
      <w:t xml:space="preserve"> </w:t>
    </w:r>
    <w:r>
      <w:fldChar w:fldCharType="begin"/>
    </w:r>
    <w:r>
      <w:instrText>PAGE</w:instrText>
    </w:r>
    <w:r>
      <w:fldChar w:fldCharType="end"/>
    </w:r>
    <w:r>
      <w:rPr>
        <w:rFonts w:ascii="Times New Roman" w:hAnsi="Times New Roman"/>
        <w:b w:val="false"/>
        <w:i w:val="false"/>
        <w:color w:val="000000"/>
        <w:sz w:val="22"/>
      </w:rPr>
      <w:t xml:space="preserve"> </w:t>
    </w:r>
  </w:p>
</w:ftr>
</file>

<file path=word/header.xml><?xml version="1.0" encoding="utf-8"?>
<w:hd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p>
    <w:pPr>
      <w:spacing w:before="0" w:after="0"/>
      <w:ind w:left="120"/>
      <w:jc w:val="center"/>
    </w:pPr>
    <w:r>
      <w:rPr>
        <w:rFonts w:ascii="Times New Roman" w:hAnsi="Times New Roman"/>
        <w:b w:val="false"/>
        <w:i w:val="false"/>
        <w:color w:val="000000"/>
        <w:sz w:val="22"/>
      </w:rPr>
      <w:t xml:space="preserve"> </w:t>
    </w:r>
    <w:r>
      <w:drawing>
        <wp:inline distT="0" distB="0" distL="0" distR="0">
          <wp:extent cx="762000" cy="761856"/>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1"/>
                  <a:stretch>
                    <a:fillRect/>
                  </a:stretch>
                </pic:blipFill>
                <pic:spPr>
                  <a:xfrm>
                    <a:off x="0" y="0"/>
                    <a:ext cx="762000" cy="761856"/>
                  </a:xfrm>
                  <a:prstGeom prst="rect">
                    <a:avLst/>
                  </a:prstGeom>
                </pic:spPr>
              </pic:pic>
            </a:graphicData>
          </a:graphic>
        </wp:inline>
      </w:drawing>
    </w:r>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2"/>
      </w:rPr>
      <w:t xml:space="preserve"> Prefeitura Municipal de Campo Grande </w:t>
    </w:r>
  </w:p>
  <w:p>
    <w:pPr>
      <w:spacing w:before="0" w:after="0"/>
      <w:ind w:left="120"/>
      <w:jc w:val="center"/>
    </w:pPr>
    <w:r>
      <w:rPr>
        <w:rFonts w:ascii="Times New Roman" w:hAnsi="Times New Roman"/>
        <w:b w:val="false"/>
        <w:i w:val="false"/>
        <w:color w:val="000000"/>
        <w:sz w:val="22"/>
      </w:rPr>
      <w:t xml:space="preserve"> Secretaria Municipal de Gestão </w:t>
    </w:r>
  </w:p>
  <w:p>
    <w:pPr>
      <w:spacing w:before="0" w:after="0"/>
      <w:ind w:left="120"/>
      <w:jc w:val="center"/>
    </w:pPr>
    <w:r>
      <w:rPr>
        <w:rFonts w:ascii="Times New Roman" w:hAnsi="Times New Roman"/>
        <w:b w:val="false"/>
        <w:i w:val="false"/>
        <w:color w:val="000000"/>
        <w:sz w:val="22"/>
      </w:rPr>
      <w:t xml:space="preserve"> Outras Solicitações SEGES/00018/TR/2023 </w:t>
    </w:r>
  </w:p>
  <w:p>
    <w:pPr>
      <w:spacing w:before="0" w:after="0"/>
      <w:ind w:left="120"/>
      <w:jc w:val="center"/>
    </w:pPr>
    <w:r>
      <w:rPr>
        <w:rFonts w:ascii="Times New Roman" w:hAnsi="Times New Roman"/>
        <w:b w:val="false"/>
        <w:i w:val="false"/>
        <w:color w:val="000000"/>
        <w:sz w:val="22"/>
      </w:rPr>
      <w:t xml:space="preserve"> </w:t>
    </w:r>
    <w:r>
      <w:br/>
    </w:r>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2"/>
      </w:rPr>
      <w:t xml:space="preserve"> </w:t>
    </w:r>
    <w:r>
      <w:br/>
    </w:r>
    <w:r>
      <w:rPr>
        <w:rFonts w:ascii="Times New Roman" w:hAnsi="Times New Roman"/>
        <w:b w:val="false"/>
        <w:i w:val="false"/>
        <w:color w:val="000000"/>
        <w:sz w:val="22"/>
      </w:rPr>
      <w:t xml:space="preserve"> </w:t>
    </w:r>
  </w:p>
  <w:p>
    <w:pPr>
      <w:spacing w:before="0" w:after="0"/>
      <w:ind w:left="120"/>
      <w:jc w:val="center"/>
    </w:pPr>
  </w:p>
</w:hd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header.xml" Type="http://schemas.openxmlformats.org/officeDocument/2006/relationships/header" Id="rId4"/>
    <Relationship Target="footer.xml" Type="http://schemas.openxmlformats.org/officeDocument/2006/relationships/footer" Id="rId5"/>
</Relationships>

</file>

<file path=word/_rels/header.xml.rels><?xml version="1.0" encoding="UTF-8" standalone="yes"?>
<Relationships xmlns="http://schemas.openxmlformats.org/package/2006/relationships">
    <Relationship Target="media/header_image_rId1.png" Type="http://schemas.openxmlformats.org/officeDocument/2006/relationships/image" Id="rId1"/>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