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70C" w:rsidRPr="000B6A74" w:rsidRDefault="0022170C" w:rsidP="0022170C">
      <w:pPr>
        <w:tabs>
          <w:tab w:val="left" w:pos="0"/>
        </w:tabs>
        <w:autoSpaceDE w:val="0"/>
        <w:autoSpaceDN w:val="0"/>
        <w:adjustRightInd w:val="0"/>
        <w:spacing w:before="240"/>
        <w:jc w:val="center"/>
        <w:rPr>
          <w:rFonts w:ascii="Arial" w:hAnsi="Arial" w:cs="Arial"/>
          <w:b/>
          <w:sz w:val="20"/>
          <w:szCs w:val="20"/>
        </w:rPr>
      </w:pPr>
      <w:bookmarkStart w:id="0" w:name="_Hlk126510444"/>
      <w:r w:rsidRPr="000B6A74">
        <w:rPr>
          <w:rFonts w:ascii="Arial" w:hAnsi="Arial" w:cs="Arial"/>
          <w:b/>
          <w:sz w:val="20"/>
          <w:szCs w:val="20"/>
        </w:rPr>
        <w:t>JUSTIFICATIVA</w:t>
      </w:r>
      <w:r w:rsidR="003C7053">
        <w:rPr>
          <w:rFonts w:ascii="Arial" w:hAnsi="Arial" w:cs="Arial"/>
          <w:b/>
          <w:sz w:val="20"/>
          <w:szCs w:val="20"/>
        </w:rPr>
        <w:t xml:space="preserve"> DE INEXIGIBILIDADE DE LICITAÇÃO</w:t>
      </w:r>
    </w:p>
    <w:p w:rsidR="0022170C" w:rsidRDefault="0022170C" w:rsidP="0022170C">
      <w:pPr>
        <w:autoSpaceDE w:val="0"/>
        <w:autoSpaceDN w:val="0"/>
        <w:adjustRightInd w:val="0"/>
        <w:rPr>
          <w:rFonts w:ascii="Arial" w:eastAsia="Calibri" w:hAnsi="Arial" w:cs="Arial"/>
          <w:b/>
          <w:bCs/>
          <w:sz w:val="20"/>
          <w:szCs w:val="20"/>
        </w:rPr>
      </w:pPr>
    </w:p>
    <w:p w:rsidR="0022170C" w:rsidRDefault="003C7F46" w:rsidP="0022170C">
      <w:pPr>
        <w:autoSpaceDE w:val="0"/>
        <w:autoSpaceDN w:val="0"/>
        <w:adjustRightInd w:val="0"/>
        <w:rPr>
          <w:rFonts w:ascii="Arial" w:eastAsia="Calibri" w:hAnsi="Arial" w:cs="Arial"/>
          <w:b/>
          <w:bCs/>
          <w:sz w:val="20"/>
          <w:szCs w:val="20"/>
        </w:rPr>
      </w:pPr>
      <w:r>
        <w:rPr>
          <w:rFonts w:ascii="Arial" w:eastAsia="Calibri" w:hAnsi="Arial" w:cs="Arial"/>
          <w:b/>
          <w:bCs/>
          <w:sz w:val="20"/>
          <w:szCs w:val="20"/>
        </w:rPr>
        <w:t>Processo A</w:t>
      </w:r>
      <w:r w:rsidR="0022170C" w:rsidRPr="000B6A74">
        <w:rPr>
          <w:rFonts w:ascii="Arial" w:eastAsia="Calibri" w:hAnsi="Arial" w:cs="Arial"/>
          <w:b/>
          <w:bCs/>
          <w:sz w:val="20"/>
          <w:szCs w:val="20"/>
        </w:rPr>
        <w:t>dministrativo</w:t>
      </w:r>
      <w:r>
        <w:rPr>
          <w:rFonts w:ascii="Arial" w:eastAsia="Calibri" w:hAnsi="Arial" w:cs="Arial"/>
          <w:b/>
          <w:bCs/>
          <w:sz w:val="20"/>
          <w:szCs w:val="20"/>
        </w:rPr>
        <w:t xml:space="preserve"> Eletrônico </w:t>
      </w:r>
      <w:r w:rsidR="0022170C" w:rsidRPr="000B6A74">
        <w:rPr>
          <w:rFonts w:ascii="Arial" w:eastAsia="Calibri" w:hAnsi="Arial" w:cs="Arial"/>
          <w:b/>
          <w:bCs/>
          <w:sz w:val="20"/>
          <w:szCs w:val="20"/>
        </w:rPr>
        <w:t>nº 44/2025</w:t>
      </w:r>
    </w:p>
    <w:p w:rsidR="006361DB" w:rsidRPr="000B6A74" w:rsidRDefault="006361DB" w:rsidP="0022170C">
      <w:pPr>
        <w:autoSpaceDE w:val="0"/>
        <w:autoSpaceDN w:val="0"/>
        <w:adjustRightInd w:val="0"/>
        <w:rPr>
          <w:rFonts w:ascii="Arial" w:eastAsia="Calibri" w:hAnsi="Arial" w:cs="Arial"/>
          <w:b/>
          <w:bCs/>
          <w:sz w:val="20"/>
          <w:szCs w:val="20"/>
        </w:rPr>
      </w:pPr>
      <w:r>
        <w:rPr>
          <w:rFonts w:ascii="Arial" w:eastAsia="Calibri" w:hAnsi="Arial" w:cs="Arial"/>
          <w:b/>
          <w:bCs/>
          <w:sz w:val="20"/>
          <w:szCs w:val="20"/>
        </w:rPr>
        <w:t>Processo Administrativo Licitatório nº 10/2025</w:t>
      </w:r>
    </w:p>
    <w:p w:rsidR="0022170C" w:rsidRPr="000B6A74" w:rsidRDefault="0022170C" w:rsidP="0022170C">
      <w:pPr>
        <w:autoSpaceDE w:val="0"/>
        <w:autoSpaceDN w:val="0"/>
        <w:adjustRightInd w:val="0"/>
        <w:jc w:val="both"/>
        <w:rPr>
          <w:rFonts w:ascii="Arial" w:eastAsia="Calibri" w:hAnsi="Arial" w:cs="Arial"/>
          <w:b/>
          <w:bCs/>
          <w:sz w:val="20"/>
          <w:szCs w:val="20"/>
        </w:rPr>
      </w:pPr>
      <w:r w:rsidRPr="000B6A74">
        <w:rPr>
          <w:rFonts w:ascii="Arial" w:eastAsia="Calibri" w:hAnsi="Arial" w:cs="Arial"/>
          <w:b/>
          <w:bCs/>
          <w:sz w:val="20"/>
          <w:szCs w:val="20"/>
        </w:rPr>
        <w:t>Inexigibilidade de Licitação nº 02/2025</w:t>
      </w:r>
      <w:r w:rsidRPr="000B6A74">
        <w:rPr>
          <w:rFonts w:ascii="Arial" w:eastAsia="Calibri" w:hAnsi="Arial" w:cs="Arial"/>
          <w:b/>
          <w:bCs/>
          <w:sz w:val="20"/>
          <w:szCs w:val="20"/>
        </w:rPr>
        <w:tab/>
      </w:r>
    </w:p>
    <w:p w:rsidR="0022170C" w:rsidRPr="000B6A74" w:rsidRDefault="0022170C" w:rsidP="0022170C">
      <w:pPr>
        <w:autoSpaceDE w:val="0"/>
        <w:autoSpaceDN w:val="0"/>
        <w:adjustRightInd w:val="0"/>
        <w:jc w:val="both"/>
        <w:rPr>
          <w:rFonts w:ascii="Arial" w:eastAsia="Calibri" w:hAnsi="Arial" w:cs="Arial"/>
          <w:b/>
          <w:bCs/>
          <w:sz w:val="20"/>
          <w:szCs w:val="20"/>
        </w:rPr>
      </w:pPr>
    </w:p>
    <w:p w:rsidR="0022170C" w:rsidRPr="000B6A74" w:rsidRDefault="0022170C" w:rsidP="0022170C">
      <w:pPr>
        <w:autoSpaceDE w:val="0"/>
        <w:autoSpaceDN w:val="0"/>
        <w:adjustRightInd w:val="0"/>
        <w:jc w:val="both"/>
        <w:rPr>
          <w:rFonts w:ascii="Arial" w:hAnsi="Arial" w:cs="Arial"/>
          <w:b/>
          <w:sz w:val="20"/>
          <w:szCs w:val="20"/>
        </w:rPr>
      </w:pPr>
      <w:r w:rsidRPr="000B6A74">
        <w:rPr>
          <w:rFonts w:ascii="Arial" w:eastAsia="Calibri" w:hAnsi="Arial" w:cs="Arial"/>
          <w:b/>
          <w:bCs/>
          <w:sz w:val="20"/>
          <w:szCs w:val="20"/>
        </w:rPr>
        <w:t>Objeto:</w:t>
      </w:r>
      <w:r w:rsidRPr="000B6A74">
        <w:rPr>
          <w:rFonts w:ascii="Arial" w:eastAsia="Calibri" w:hAnsi="Arial" w:cs="Arial"/>
          <w:bCs/>
          <w:sz w:val="20"/>
          <w:szCs w:val="20"/>
        </w:rPr>
        <w:t xml:space="preserve"> </w:t>
      </w:r>
      <w:r w:rsidRPr="000B6A74">
        <w:rPr>
          <w:sz w:val="20"/>
          <w:szCs w:val="20"/>
        </w:rPr>
        <w:t>CONTRATAÇÃO DE ESCRITÓRIO DE ADVOCACIA LUCIWALDO DA SILVA ALTHOFF SOCIEDADE INDIVIDUAL DE ADVOCACIA DE NOTÓRIA ESPECIALIZAÇÃO NA ÁREA DE DIREITO PÚBLICO E ADMINISTRATIVO PARA PROMOVER O ASSESSORAMENTO E A CONSULTORIA JURÍDICA À PREFEITURA MUNICIPAL DO MUNICÍPIO DE JARAGUARI– MS, COM ATUAÇÃO ESPECÍFICA, SINGULAR E QUE DIVERGE DAS ATRIBUIÇÕES COMUNS DO CORPO TÉCNICO LOCAL, A FIM DE CONTRIBUIR PARA O ALCANCE DA EFICIÊNCIA ADMINISTRATIVA, PAUTADA NO PLANEJAMENTO, CONTROLE, RESPONSABILIDADE E TRANSPARÊNCIA NA GESTÃO PÚBLICA, CONFORME CONDIÇÕES E EXIGÊNCIAS ESTABELECIDAS NESTE INSTRUMENTO.</w:t>
      </w:r>
    </w:p>
    <w:p w:rsidR="0022170C" w:rsidRPr="000B6A74" w:rsidRDefault="0022170C" w:rsidP="0022170C">
      <w:pPr>
        <w:ind w:left="1418"/>
        <w:jc w:val="both"/>
        <w:rPr>
          <w:rFonts w:ascii="Arial" w:hAnsi="Arial" w:cs="Arial"/>
          <w:b/>
          <w:sz w:val="20"/>
          <w:szCs w:val="20"/>
        </w:rPr>
      </w:pPr>
    </w:p>
    <w:p w:rsidR="0022170C" w:rsidRPr="000B6A74" w:rsidRDefault="0022170C" w:rsidP="0022170C">
      <w:pPr>
        <w:ind w:left="1418"/>
        <w:jc w:val="both"/>
        <w:rPr>
          <w:rFonts w:ascii="Arial" w:hAnsi="Arial" w:cs="Arial"/>
          <w:b/>
          <w:sz w:val="20"/>
          <w:szCs w:val="20"/>
        </w:rPr>
      </w:pPr>
      <w:r w:rsidRPr="000B6A74">
        <w:rPr>
          <w:rFonts w:ascii="Arial" w:hAnsi="Arial" w:cs="Arial"/>
          <w:b/>
          <w:sz w:val="20"/>
          <w:szCs w:val="20"/>
        </w:rPr>
        <w:t>Vistos etc.</w:t>
      </w:r>
    </w:p>
    <w:p w:rsidR="0022170C" w:rsidRPr="00DA2284" w:rsidRDefault="0022170C" w:rsidP="0022170C">
      <w:pPr>
        <w:spacing w:before="240"/>
        <w:ind w:firstLine="1418"/>
        <w:jc w:val="both"/>
        <w:rPr>
          <w:sz w:val="20"/>
          <w:szCs w:val="20"/>
        </w:rPr>
      </w:pPr>
      <w:r w:rsidRPr="00DA2284">
        <w:rPr>
          <w:color w:val="000000"/>
          <w:sz w:val="20"/>
          <w:szCs w:val="20"/>
        </w:rPr>
        <w:t xml:space="preserve">A Chefia de Gabinete da Prefeitura Municipal de </w:t>
      </w:r>
      <w:proofErr w:type="gramStart"/>
      <w:r w:rsidRPr="00DA2284">
        <w:rPr>
          <w:color w:val="000000"/>
          <w:sz w:val="20"/>
          <w:szCs w:val="20"/>
        </w:rPr>
        <w:t>Jaraguari-MS</w:t>
      </w:r>
      <w:proofErr w:type="gramEnd"/>
      <w:r w:rsidRPr="00DA2284">
        <w:rPr>
          <w:color w:val="000000"/>
          <w:sz w:val="20"/>
          <w:szCs w:val="20"/>
        </w:rPr>
        <w:t>,  submete a este Departamento Jurídico</w:t>
      </w:r>
      <w:r w:rsidRPr="00DA2284">
        <w:rPr>
          <w:sz w:val="20"/>
          <w:szCs w:val="20"/>
        </w:rPr>
        <w:t xml:space="preserve">, a solicitação e documentos que apresentou proposta para contratação da empresa </w:t>
      </w:r>
      <w:r w:rsidRPr="00DA2284">
        <w:rPr>
          <w:b/>
          <w:sz w:val="20"/>
          <w:szCs w:val="20"/>
        </w:rPr>
        <w:t>LUCIWALDO DA SILVA ALTHOFF SOCIEDADE INDIVIDUAL DE ADVOCACIA</w:t>
      </w:r>
      <w:r w:rsidRPr="00DA2284">
        <w:rPr>
          <w:b/>
          <w:sz w:val="20"/>
          <w:szCs w:val="20"/>
        </w:rPr>
        <w:br/>
        <w:t>CNPJ - 48.212.325/0001-64</w:t>
      </w:r>
      <w:r w:rsidRPr="00DA2284">
        <w:rPr>
          <w:sz w:val="20"/>
          <w:szCs w:val="20"/>
        </w:rPr>
        <w:t>, para promover o assessoramento e a consultoria jurídica à Prefeitura Municipal do Município de Jaraguari– MS.</w:t>
      </w:r>
    </w:p>
    <w:p w:rsidR="0022170C" w:rsidRPr="00DA2284" w:rsidRDefault="0022170C" w:rsidP="0022170C">
      <w:pPr>
        <w:spacing w:before="240"/>
        <w:ind w:firstLine="1418"/>
        <w:jc w:val="both"/>
        <w:rPr>
          <w:sz w:val="20"/>
          <w:szCs w:val="20"/>
        </w:rPr>
      </w:pPr>
      <w:r w:rsidRPr="00DA2284">
        <w:rPr>
          <w:sz w:val="20"/>
          <w:szCs w:val="20"/>
        </w:rPr>
        <w:t>Dos documentos juntados pelo Setor de Contabilidade verifica-se que a municipalidade possui suporte orçamentário, no exercício de 2025, para a contratação referida.</w:t>
      </w:r>
    </w:p>
    <w:p w:rsidR="0022170C" w:rsidRPr="00DA2284" w:rsidRDefault="0022170C" w:rsidP="0022170C">
      <w:pPr>
        <w:spacing w:before="240"/>
        <w:ind w:firstLine="1418"/>
        <w:jc w:val="both"/>
        <w:rPr>
          <w:sz w:val="20"/>
          <w:szCs w:val="20"/>
        </w:rPr>
      </w:pPr>
      <w:r w:rsidRPr="00DA2284">
        <w:rPr>
          <w:sz w:val="20"/>
          <w:szCs w:val="20"/>
        </w:rPr>
        <w:t xml:space="preserve">Em igual sentido, a Secretaria Municipal de </w:t>
      </w:r>
      <w:r>
        <w:rPr>
          <w:sz w:val="20"/>
          <w:szCs w:val="20"/>
        </w:rPr>
        <w:t>Fazenda</w:t>
      </w:r>
      <w:r w:rsidRPr="00DA2284">
        <w:rPr>
          <w:sz w:val="20"/>
          <w:szCs w:val="20"/>
        </w:rPr>
        <w:t xml:space="preserve"> informou que a Fazenda Municipal possuirá recursos financeiros para cobrir o pagamento das despesas sobreditas, no valor mensal </w:t>
      </w:r>
      <w:r w:rsidRPr="00DA2284">
        <w:rPr>
          <w:rStyle w:val="fontstyle01"/>
          <w:sz w:val="20"/>
          <w:szCs w:val="20"/>
        </w:rPr>
        <w:t>de R$ 26.500,00 (vinte e seis mil e quinhentos reais),</w:t>
      </w:r>
      <w:r w:rsidRPr="00DA2284">
        <w:rPr>
          <w:color w:val="000000"/>
          <w:sz w:val="20"/>
          <w:szCs w:val="20"/>
        </w:rPr>
        <w:br/>
      </w:r>
      <w:r w:rsidRPr="00DA2284">
        <w:rPr>
          <w:rStyle w:val="fontstyle01"/>
          <w:sz w:val="20"/>
          <w:szCs w:val="20"/>
        </w:rPr>
        <w:t>totalizando R$ 318.000,00 (trezentos e dezoito mil reais).</w:t>
      </w:r>
      <w:r w:rsidRPr="00DA2284">
        <w:rPr>
          <w:sz w:val="20"/>
          <w:szCs w:val="20"/>
        </w:rPr>
        <w:t xml:space="preserve"> </w:t>
      </w:r>
    </w:p>
    <w:p w:rsidR="0022170C" w:rsidRPr="00DA2284" w:rsidRDefault="0022170C" w:rsidP="0022170C">
      <w:pPr>
        <w:spacing w:before="240"/>
        <w:ind w:firstLine="1418"/>
        <w:jc w:val="both"/>
        <w:rPr>
          <w:sz w:val="20"/>
          <w:szCs w:val="20"/>
        </w:rPr>
      </w:pPr>
      <w:r w:rsidRPr="00DA2284">
        <w:rPr>
          <w:sz w:val="20"/>
          <w:szCs w:val="20"/>
        </w:rPr>
        <w:t>Pois bem.</w:t>
      </w:r>
    </w:p>
    <w:p w:rsidR="0022170C" w:rsidRDefault="0022170C" w:rsidP="0022170C">
      <w:pPr>
        <w:spacing w:before="240"/>
        <w:ind w:firstLine="1418"/>
        <w:jc w:val="both"/>
        <w:rPr>
          <w:i/>
          <w:sz w:val="20"/>
          <w:szCs w:val="20"/>
        </w:rPr>
      </w:pPr>
      <w:r w:rsidRPr="00DA2284">
        <w:rPr>
          <w:sz w:val="20"/>
          <w:szCs w:val="20"/>
        </w:rPr>
        <w:t xml:space="preserve">Nos termos do artigo </w:t>
      </w:r>
      <w:r>
        <w:rPr>
          <w:sz w:val="20"/>
          <w:szCs w:val="20"/>
        </w:rPr>
        <w:t xml:space="preserve">74, inciso III, </w:t>
      </w:r>
      <w:proofErr w:type="gramStart"/>
      <w:r>
        <w:rPr>
          <w:sz w:val="20"/>
          <w:szCs w:val="20"/>
        </w:rPr>
        <w:t>alíneas “c” e “e</w:t>
      </w:r>
      <w:r w:rsidRPr="00DA2284">
        <w:rPr>
          <w:sz w:val="20"/>
          <w:szCs w:val="20"/>
        </w:rPr>
        <w:t>”, da Lei Federal</w:t>
      </w:r>
      <w:proofErr w:type="gramEnd"/>
      <w:r w:rsidRPr="00DA2284">
        <w:rPr>
          <w:sz w:val="20"/>
          <w:szCs w:val="20"/>
        </w:rPr>
        <w:t xml:space="preserve"> nº. 14.133/2021 </w:t>
      </w:r>
      <w:r w:rsidRPr="00DA2284">
        <w:rPr>
          <w:i/>
          <w:sz w:val="20"/>
          <w:szCs w:val="20"/>
        </w:rPr>
        <w:t xml:space="preserve">“é inexigível a licitação quando houver inviabilidade de competição, em especial nos casos de: [...] III - contratação dos seguintes serviços técnicos </w:t>
      </w:r>
      <w:proofErr w:type="gramStart"/>
      <w:r w:rsidRPr="00DA2284">
        <w:rPr>
          <w:i/>
          <w:sz w:val="20"/>
          <w:szCs w:val="20"/>
        </w:rPr>
        <w:t>especializados de natureza predominantemente intelectual com profissionais ou empresas de notória especialização, vedada</w:t>
      </w:r>
      <w:proofErr w:type="gramEnd"/>
      <w:r w:rsidRPr="00DA2284">
        <w:rPr>
          <w:i/>
          <w:sz w:val="20"/>
          <w:szCs w:val="20"/>
        </w:rPr>
        <w:t xml:space="preserve"> a inexigibilidade para serviços de publicidade e divulgação: [...]</w:t>
      </w:r>
      <w:r w:rsidRPr="00660722">
        <w:rPr>
          <w:i/>
          <w:sz w:val="20"/>
          <w:szCs w:val="20"/>
        </w:rPr>
        <w:t xml:space="preserve">c) assessorias ou consultorias técnicas e auditorias financeiras ou tributárias; </w:t>
      </w:r>
      <w:r w:rsidRPr="00DA2284">
        <w:rPr>
          <w:i/>
          <w:sz w:val="20"/>
          <w:szCs w:val="20"/>
        </w:rPr>
        <w:t>[...]</w:t>
      </w:r>
      <w:r w:rsidRPr="00BE7627">
        <w:rPr>
          <w:b/>
          <w:i/>
          <w:sz w:val="20"/>
          <w:szCs w:val="20"/>
          <w:u w:val="single"/>
        </w:rPr>
        <w:t>e) patrocínio ou defesa de causas judiciais ou administrativas;</w:t>
      </w:r>
      <w:r w:rsidRPr="00660722">
        <w:rPr>
          <w:i/>
          <w:sz w:val="20"/>
          <w:szCs w:val="20"/>
        </w:rPr>
        <w:t xml:space="preserve"> </w:t>
      </w:r>
      <w:r w:rsidRPr="00DA2284">
        <w:rPr>
          <w:i/>
          <w:sz w:val="20"/>
          <w:szCs w:val="20"/>
        </w:rPr>
        <w:t>[...]</w:t>
      </w:r>
      <w:r>
        <w:rPr>
          <w:i/>
          <w:sz w:val="20"/>
          <w:szCs w:val="20"/>
        </w:rPr>
        <w:t>.</w:t>
      </w:r>
    </w:p>
    <w:p w:rsidR="0022170C" w:rsidRPr="00DA2284" w:rsidRDefault="0022170C" w:rsidP="0022170C">
      <w:pPr>
        <w:spacing w:before="240"/>
        <w:ind w:firstLine="1418"/>
        <w:jc w:val="both"/>
        <w:rPr>
          <w:sz w:val="20"/>
          <w:szCs w:val="20"/>
        </w:rPr>
      </w:pPr>
      <w:r w:rsidRPr="00DA2284">
        <w:rPr>
          <w:sz w:val="20"/>
          <w:szCs w:val="20"/>
        </w:rPr>
        <w:t>Extrai-se da norma que para a contratação por Inexigibilidade de Licitação, faz-se necessário que os serviços sejam técnicos especializados de natureza predominantemente intelectual, assim como prestados por profissional ou empresa detentora de notória especialização.</w:t>
      </w:r>
    </w:p>
    <w:p w:rsidR="0022170C" w:rsidRPr="00DA2284" w:rsidRDefault="0022170C" w:rsidP="0022170C">
      <w:pPr>
        <w:autoSpaceDE w:val="0"/>
        <w:autoSpaceDN w:val="0"/>
        <w:adjustRightInd w:val="0"/>
        <w:ind w:firstLine="1418"/>
        <w:jc w:val="both"/>
        <w:rPr>
          <w:rFonts w:eastAsia="Calibri"/>
          <w:bCs/>
          <w:sz w:val="20"/>
          <w:szCs w:val="20"/>
        </w:rPr>
      </w:pPr>
      <w:r w:rsidRPr="00660722">
        <w:rPr>
          <w:sz w:val="20"/>
          <w:szCs w:val="20"/>
        </w:rPr>
        <w:t xml:space="preserve">Na espécie, os serviços consistem na </w:t>
      </w:r>
      <w:r w:rsidRPr="00660722">
        <w:rPr>
          <w:rFonts w:eastAsia="Calibri"/>
          <w:sz w:val="20"/>
          <w:szCs w:val="20"/>
        </w:rPr>
        <w:t>Contratação</w:t>
      </w:r>
      <w:r w:rsidRPr="00660722">
        <w:rPr>
          <w:sz w:val="20"/>
          <w:szCs w:val="20"/>
        </w:rPr>
        <w:t xml:space="preserve"> de empresa especializada na área de Direito Público e administrativo para promover o assessoramento e a con</w:t>
      </w:r>
      <w:r>
        <w:rPr>
          <w:sz w:val="20"/>
          <w:szCs w:val="20"/>
        </w:rPr>
        <w:t>sultoria jurídica à P</w:t>
      </w:r>
      <w:r w:rsidRPr="00660722">
        <w:rPr>
          <w:sz w:val="20"/>
          <w:szCs w:val="20"/>
        </w:rPr>
        <w:t xml:space="preserve">refeitura </w:t>
      </w:r>
      <w:r>
        <w:rPr>
          <w:sz w:val="20"/>
          <w:szCs w:val="20"/>
        </w:rPr>
        <w:t>do M</w:t>
      </w:r>
      <w:r w:rsidRPr="00660722">
        <w:rPr>
          <w:sz w:val="20"/>
          <w:szCs w:val="20"/>
        </w:rPr>
        <w:t xml:space="preserve">unicípio de Jaraguari–MS, </w:t>
      </w:r>
      <w:r w:rsidRPr="00660722">
        <w:rPr>
          <w:rFonts w:eastAsia="Calibri"/>
          <w:sz w:val="20"/>
          <w:szCs w:val="20"/>
        </w:rPr>
        <w:t xml:space="preserve">com o objetivo de promover segurança jurídica, </w:t>
      </w:r>
      <w:r w:rsidRPr="00660722">
        <w:rPr>
          <w:sz w:val="20"/>
          <w:szCs w:val="20"/>
        </w:rPr>
        <w:t>eficiência administrativa, pautada no planejamento, controle, responsabilidade e transparência na gestão pública</w:t>
      </w:r>
      <w:r w:rsidRPr="00660722">
        <w:rPr>
          <w:rFonts w:eastAsia="Calibri"/>
          <w:sz w:val="20"/>
          <w:szCs w:val="20"/>
        </w:rPr>
        <w:t xml:space="preserve">, a administração </w:t>
      </w:r>
      <w:r w:rsidRPr="00660722">
        <w:rPr>
          <w:sz w:val="20"/>
          <w:szCs w:val="20"/>
        </w:rPr>
        <w:t xml:space="preserve">da do Município de </w:t>
      </w:r>
      <w:proofErr w:type="gramStart"/>
      <w:r w:rsidRPr="00660722">
        <w:rPr>
          <w:sz w:val="20"/>
          <w:szCs w:val="20"/>
        </w:rPr>
        <w:t>Jaraguari-MS</w:t>
      </w:r>
      <w:proofErr w:type="gramEnd"/>
      <w:r>
        <w:rPr>
          <w:sz w:val="20"/>
          <w:szCs w:val="20"/>
        </w:rPr>
        <w:t xml:space="preserve">. Portanto, a assessoria realizará a </w:t>
      </w:r>
      <w:r w:rsidRPr="00660722">
        <w:rPr>
          <w:sz w:val="20"/>
          <w:szCs w:val="20"/>
        </w:rPr>
        <w:t>emissão de pareceres jurídicos, elaboração de contratos; elaboração de projetos de lei, patrocínio de caudas judiciais em primeiro grau e segundo grau de jurisdição; atuação em órgãos e entidades administrativas estaduais e federais; realização de diligências e de audiências; defesas e recursos no âmbito dos Tribunais de Contas (TCM, TCE-MS e TCU); ajuizamento de ações de competição originária dos Tribunais Superiores e interposição de recursos junto a essas Cortes. Conforme já justificado no Estudo Técnico Preliminar e Termo de Referência</w:t>
      </w:r>
      <w:r w:rsidRPr="00DA2284">
        <w:rPr>
          <w:sz w:val="20"/>
          <w:szCs w:val="20"/>
        </w:rPr>
        <w:t>.</w:t>
      </w:r>
    </w:p>
    <w:p w:rsidR="0022170C" w:rsidRPr="00DA2284" w:rsidRDefault="0022170C" w:rsidP="0022170C">
      <w:pPr>
        <w:spacing w:before="240"/>
        <w:ind w:firstLine="1418"/>
        <w:jc w:val="both"/>
        <w:rPr>
          <w:sz w:val="20"/>
          <w:szCs w:val="20"/>
        </w:rPr>
      </w:pPr>
      <w:r w:rsidRPr="00DA2284">
        <w:rPr>
          <w:sz w:val="20"/>
          <w:szCs w:val="20"/>
        </w:rPr>
        <w:lastRenderedPageBreak/>
        <w:t>Em singela leitura do objeto é possível inferir que se trata de um serviço técnico especializado de natureza predominantemente intelectual.</w:t>
      </w:r>
    </w:p>
    <w:p w:rsidR="0022170C" w:rsidRPr="00DA2284" w:rsidRDefault="0022170C" w:rsidP="0022170C">
      <w:pPr>
        <w:spacing w:before="240"/>
        <w:ind w:firstLine="1418"/>
        <w:jc w:val="both"/>
        <w:rPr>
          <w:sz w:val="20"/>
          <w:szCs w:val="20"/>
        </w:rPr>
      </w:pPr>
      <w:r w:rsidRPr="00DA2284">
        <w:rPr>
          <w:sz w:val="20"/>
          <w:szCs w:val="20"/>
        </w:rPr>
        <w:t xml:space="preserve">Destarte, patente o enquadramento no disposto no art. 74, III, alíneas “c” e “f” da nova Lei de Licitações e Contratos Administrativos. </w:t>
      </w:r>
    </w:p>
    <w:p w:rsidR="0022170C" w:rsidRPr="00DA2284" w:rsidRDefault="0022170C" w:rsidP="0022170C">
      <w:pPr>
        <w:spacing w:before="240" w:after="240"/>
        <w:ind w:firstLine="1418"/>
        <w:jc w:val="both"/>
        <w:rPr>
          <w:sz w:val="20"/>
          <w:szCs w:val="20"/>
        </w:rPr>
      </w:pPr>
      <w:r w:rsidRPr="00DA2284">
        <w:rPr>
          <w:sz w:val="20"/>
          <w:szCs w:val="20"/>
        </w:rPr>
        <w:t xml:space="preserve">Ademais, conforme documentos anexados aos autos, a </w:t>
      </w:r>
      <w:r w:rsidRPr="00DA2284">
        <w:rPr>
          <w:color w:val="000000"/>
          <w:sz w:val="20"/>
          <w:szCs w:val="20"/>
        </w:rPr>
        <w:t>LUCIWALDO DA SILVA ALTHOFF SOCIEDADE INDIVIDUAL DE ADVOCACIA</w:t>
      </w:r>
      <w:r w:rsidRPr="00DA2284">
        <w:rPr>
          <w:color w:val="000000"/>
          <w:sz w:val="20"/>
          <w:szCs w:val="20"/>
        </w:rPr>
        <w:br/>
        <w:t>CNPJ - 48.212.325/0001-64</w:t>
      </w:r>
      <w:r w:rsidRPr="00DA2284">
        <w:rPr>
          <w:sz w:val="20"/>
          <w:szCs w:val="20"/>
        </w:rPr>
        <w:t xml:space="preserve">, tem como prestador de serviços o Dr. </w:t>
      </w:r>
      <w:r w:rsidRPr="00DA2284">
        <w:rPr>
          <w:b/>
          <w:bCs/>
          <w:color w:val="000000"/>
          <w:sz w:val="20"/>
          <w:szCs w:val="20"/>
        </w:rPr>
        <w:t>LUCIWALDO DA SILVA ALTHOFF</w:t>
      </w:r>
      <w:r w:rsidRPr="00DA2284">
        <w:rPr>
          <w:sz w:val="20"/>
          <w:szCs w:val="20"/>
        </w:rPr>
        <w:t xml:space="preserve"> – </w:t>
      </w:r>
      <w:r w:rsidRPr="00DA2284">
        <w:rPr>
          <w:rStyle w:val="fontstyle01"/>
          <w:sz w:val="20"/>
          <w:szCs w:val="20"/>
        </w:rPr>
        <w:t>OAB/MS n.º 12.895</w:t>
      </w:r>
      <w:r w:rsidRPr="00DA2284">
        <w:rPr>
          <w:sz w:val="20"/>
          <w:szCs w:val="20"/>
        </w:rPr>
        <w:t xml:space="preserve">, o qual possui titulação e experiência na área objeto da presente contratação, comprovando assim a notória especialização. </w:t>
      </w:r>
    </w:p>
    <w:p w:rsidR="0022170C" w:rsidRPr="00DA2284" w:rsidRDefault="0022170C" w:rsidP="0022170C">
      <w:pPr>
        <w:spacing w:after="240"/>
        <w:ind w:firstLine="1418"/>
        <w:jc w:val="both"/>
        <w:rPr>
          <w:sz w:val="20"/>
          <w:szCs w:val="20"/>
        </w:rPr>
      </w:pPr>
      <w:r w:rsidRPr="00DA2284">
        <w:rPr>
          <w:sz w:val="20"/>
          <w:szCs w:val="20"/>
        </w:rPr>
        <w:t xml:space="preserve">Importante lembrar que os nossos Tribunais Superiores têm reconhecido a legalidade da contratação, com inexigibilidade de licitação, orientada pela confiança do administrador na singularidade do serviço em face da notória especialização demonstrada pelo contratado. Veja-se:  </w:t>
      </w:r>
    </w:p>
    <w:p w:rsidR="0022170C" w:rsidRPr="000B6A74" w:rsidRDefault="0022170C" w:rsidP="0022170C">
      <w:pPr>
        <w:pBdr>
          <w:top w:val="single" w:sz="4" w:space="1" w:color="auto"/>
          <w:left w:val="single" w:sz="4" w:space="4" w:color="auto"/>
          <w:bottom w:val="single" w:sz="4" w:space="1" w:color="auto"/>
          <w:right w:val="single" w:sz="4" w:space="4" w:color="auto"/>
        </w:pBdr>
        <w:ind w:left="2835"/>
        <w:jc w:val="both"/>
        <w:rPr>
          <w:i/>
          <w:sz w:val="20"/>
          <w:szCs w:val="20"/>
        </w:rPr>
      </w:pPr>
      <w:r w:rsidRPr="000B6A74">
        <w:rPr>
          <w:rFonts w:ascii="Arial" w:hAnsi="Arial" w:cs="Arial"/>
          <w:i/>
          <w:sz w:val="20"/>
          <w:szCs w:val="20"/>
        </w:rPr>
        <w:t>“</w:t>
      </w:r>
      <w:r w:rsidRPr="000B6A74">
        <w:rPr>
          <w:i/>
          <w:sz w:val="20"/>
          <w:szCs w:val="20"/>
        </w:rPr>
        <w:t xml:space="preserve">AÇÃO PENAL PÚBLICA. CONTRATAÇÃO EMERGENCIAL DE ADVOGADOS FACE AO CAOS ADMINISTRATIVO HERDADO DA ADMINISTRAÇÃO MUNICIPAL SUCEDIDA. LICITAÇÃO. ART. 37, XXI, DA CONSTITUIÇÃO DO BRASIL. DISPENSA DE LICITAÇÃO NÃO CONFIGURADA. INEXIGIBILIDADE DE LICITAÇÃO CARACTERIZADA PELA NOTÓRIA ESPECIALIZAÇÃO DOS PROFISSIONAIS CONTRATADOS, COMPROVADA NOS AUTOS, ALIADA À CONFIANÇA DA ADMINISTRAÇÃO POR ELES DESFRUTADA. PREVISÃO LEGAL. A hipótese dos autos não é de dispensa de licitação, eis que não caracterizado o requisito da emergência. Caracterização de situação na qual há inviabilidade de competição e, logo, inexigibilidade de licitação. </w:t>
      </w:r>
      <w:proofErr w:type="gramStart"/>
      <w:r w:rsidRPr="000B6A74">
        <w:rPr>
          <w:i/>
          <w:sz w:val="20"/>
          <w:szCs w:val="20"/>
        </w:rPr>
        <w:t>2</w:t>
      </w:r>
      <w:proofErr w:type="gramEnd"/>
      <w:r w:rsidRPr="000B6A74">
        <w:rPr>
          <w:i/>
          <w:sz w:val="20"/>
          <w:szCs w:val="20"/>
        </w:rPr>
        <w:t xml:space="preserve">. "Serviços técnicos profissionais especializados" são serviços que a Administração deve contratar sem licitação, escolhendo o contratado de acordo, em última instância, com o grau de confiança que ela própria, Administração, deposite na especialização desse contratado. Nesses casos, o requisito da confiança da Administração em quem deseje contratar é subjetivo. Daí que a realização de procedimento licitatório para a contratação de tais serviços - procedimento regido, entre outros, pelo princípio do julgamento objetivo - é incompatível com a atribuição de exercício de subjetividade que o direito positivo confere à Administração para a escolha do "trabalho essencial e indiscutivelmente mais adequado à plena satisfação do objeto do contrato" (cf. o § 1º do art. 25 da Lei 8.666/93). O que a norma extraída do texto legal exige é a notória especialização, associada ao elemento subjetivo confiança. Há, no caso concreto, requisitos suficientes para o seu enquadramento em situação na qual não incide o dever de licitar, ou seja, de inexigibilidade de licitação: os profissionais contratados possuem notória especialização, comprovada nos autos, além de desfrutarem da confiança da Administração. Ação Penal que se julga improcedente”. </w:t>
      </w:r>
      <w:r w:rsidRPr="000B6A74">
        <w:rPr>
          <w:sz w:val="20"/>
          <w:szCs w:val="20"/>
        </w:rPr>
        <w:t xml:space="preserve">(AP no. 348-5/SC, Plenário, rel. Min. Eros Grau, j. em 15.12.2006, DJ de 03.08.2007). </w:t>
      </w:r>
    </w:p>
    <w:p w:rsidR="0022170C" w:rsidRPr="000B6A74" w:rsidRDefault="0022170C" w:rsidP="0022170C">
      <w:pPr>
        <w:ind w:left="2835"/>
        <w:jc w:val="both"/>
        <w:rPr>
          <w:i/>
          <w:sz w:val="20"/>
          <w:szCs w:val="20"/>
        </w:rPr>
      </w:pPr>
    </w:p>
    <w:p w:rsidR="0022170C" w:rsidRPr="000B6A74" w:rsidRDefault="0022170C" w:rsidP="0022170C">
      <w:pPr>
        <w:pBdr>
          <w:top w:val="single" w:sz="4" w:space="1" w:color="auto"/>
          <w:left w:val="single" w:sz="4" w:space="4" w:color="auto"/>
          <w:bottom w:val="single" w:sz="4" w:space="1" w:color="auto"/>
          <w:right w:val="single" w:sz="4" w:space="4" w:color="auto"/>
        </w:pBdr>
        <w:ind w:left="2835"/>
        <w:jc w:val="both"/>
        <w:rPr>
          <w:i/>
          <w:sz w:val="20"/>
          <w:szCs w:val="20"/>
        </w:rPr>
      </w:pPr>
      <w:r w:rsidRPr="000B6A74">
        <w:rPr>
          <w:i/>
          <w:sz w:val="20"/>
          <w:szCs w:val="20"/>
        </w:rPr>
        <w:t xml:space="preserve">“Habeas corpus: prescrição: ocorrência, no caso, tão somente quanto ao primeiro dos aditamentos à denúncia (L. 8.666/93, art. 92), ocorrido em 28.9.93. II. Alegação de nulidade da decisão que recebeu a denúncia no Tribunal de Justiça do Paraná: questão que não cabe ser analisada originariamente no Supremo Tribunal Federal e em </w:t>
      </w:r>
      <w:r w:rsidRPr="000B6A74">
        <w:rPr>
          <w:i/>
          <w:sz w:val="20"/>
          <w:szCs w:val="20"/>
        </w:rPr>
        <w:lastRenderedPageBreak/>
        <w:t xml:space="preserve">relação à qual, de resto, a instrução do pedido é deficiente. III. Habeas corpus: crimes previstos nos artigos 89 e 92 da L. 8.666/93: falta de justa causa para a ação penal, dada a inexigibilidade, no caso, de licitação para a contratação de serviços de advocacia. </w:t>
      </w:r>
      <w:proofErr w:type="gramStart"/>
      <w:r w:rsidRPr="000B6A74">
        <w:rPr>
          <w:i/>
          <w:sz w:val="20"/>
          <w:szCs w:val="20"/>
        </w:rPr>
        <w:t>1</w:t>
      </w:r>
      <w:proofErr w:type="gramEnd"/>
      <w:r w:rsidRPr="000B6A74">
        <w:rPr>
          <w:i/>
          <w:sz w:val="20"/>
          <w:szCs w:val="20"/>
        </w:rPr>
        <w:t xml:space="preserve">. A presença dos requisitos de notória especialização e confiança, ao lado do relevo do trabalho a ser contratado, que encontram respaldo da inequívoca prova documental trazida, permite concluir, no caso, pela inexigibilidade da licitação para a contratação dos serviços de advocacia. 2. Extrema dificuldade, de outro lado, da licitação de serviços de advocacia, dada a incompatibilidade com as limitações éticas e legais que da profissão (L. 8.906/94, art. 34, IV; e Código de Ética e Disciplina da OAB/1995, art. 7º)”. </w:t>
      </w:r>
      <w:r w:rsidRPr="000B6A74">
        <w:rPr>
          <w:sz w:val="20"/>
          <w:szCs w:val="20"/>
        </w:rPr>
        <w:t xml:space="preserve">(STF – HC: 86198, Relator Sepúlveda Pertence, </w:t>
      </w:r>
      <w:proofErr w:type="gramStart"/>
      <w:r w:rsidRPr="000B6A74">
        <w:rPr>
          <w:sz w:val="20"/>
          <w:szCs w:val="20"/>
        </w:rPr>
        <w:t>Data</w:t>
      </w:r>
      <w:proofErr w:type="gramEnd"/>
      <w:r w:rsidRPr="000B6A74">
        <w:rPr>
          <w:sz w:val="20"/>
          <w:szCs w:val="20"/>
        </w:rPr>
        <w:t xml:space="preserve"> de Julgamento: 17/04/2007).</w:t>
      </w:r>
      <w:r w:rsidRPr="000B6A74">
        <w:rPr>
          <w:i/>
          <w:sz w:val="20"/>
          <w:szCs w:val="20"/>
        </w:rPr>
        <w:t xml:space="preserve"> </w:t>
      </w:r>
    </w:p>
    <w:p w:rsidR="0022170C" w:rsidRPr="000B6A74" w:rsidRDefault="0022170C" w:rsidP="0022170C">
      <w:pPr>
        <w:ind w:left="2835"/>
        <w:jc w:val="both"/>
        <w:rPr>
          <w:i/>
          <w:sz w:val="20"/>
          <w:szCs w:val="20"/>
        </w:rPr>
      </w:pPr>
    </w:p>
    <w:p w:rsidR="0022170C" w:rsidRPr="000B6A74" w:rsidRDefault="0022170C" w:rsidP="0022170C">
      <w:pPr>
        <w:pBdr>
          <w:top w:val="single" w:sz="4" w:space="1" w:color="auto"/>
          <w:left w:val="single" w:sz="4" w:space="4" w:color="auto"/>
          <w:bottom w:val="single" w:sz="4" w:space="1" w:color="auto"/>
          <w:right w:val="single" w:sz="4" w:space="4" w:color="auto"/>
        </w:pBdr>
        <w:ind w:left="2835"/>
        <w:jc w:val="both"/>
        <w:rPr>
          <w:sz w:val="20"/>
          <w:szCs w:val="20"/>
        </w:rPr>
      </w:pPr>
      <w:r w:rsidRPr="000B6A74">
        <w:rPr>
          <w:i/>
          <w:sz w:val="20"/>
          <w:szCs w:val="20"/>
        </w:rPr>
        <w:t xml:space="preserve">“HABEAS CORPUS. LICITAÇÃO ILEGALMENTE INEXIGIDA (ART. 89 DA LEI N. 8.666/93). ATIPICIDADE DA CONDUTA. CONTRATAÇÃO DE ESCRITÓRIO DE ADVOCACIA. NOTÓRIA ESPECIALIZAÇÃO PROFISSIONAL PARA PATROCÍNIO DE CAUSA ESPECÍFICA. EXISTÊNCIA DE CORPO JURÍDICO CONSTITUÍDO NO ÂMBITO DA AGÊNCIA DE FOMENTO. CONFLITO DE INTERESSES CONFIGURADO. GRAU DE CONFIABILIDADE. CRITÉRIO SUBJETIVO. DISCRICIONARIEDADE DO AGENTE PÚBLICO. INVIABILIDADE DE COMPETIÇÃO. CONSTRANGIMENTO ILEGAL EVIDENCIADO. ORDEM CONCEDIDA. </w:t>
      </w:r>
      <w:proofErr w:type="gramStart"/>
      <w:r w:rsidRPr="000B6A74">
        <w:rPr>
          <w:i/>
          <w:sz w:val="20"/>
          <w:szCs w:val="20"/>
        </w:rPr>
        <w:t>1</w:t>
      </w:r>
      <w:proofErr w:type="gramEnd"/>
      <w:r w:rsidRPr="000B6A74">
        <w:rPr>
          <w:i/>
          <w:sz w:val="20"/>
          <w:szCs w:val="20"/>
        </w:rPr>
        <w:t xml:space="preserve">. O tipo penal descrito no artigo 89 da Lei n. 8.666/93 visa apenar o administrador que dispensa ou considera inexigível o procedimento licitatório fora das hipóteses legais (artigos 24 e 25 do aludido diploma legal), ou deixa de observar formalidades pertinentes à dispensa ou à inexigibilidade. 2. A inviabilidade de competição a que se refere o artigo 25, inciso II, da Lei n. 8.666/93, não se caracteriza apenas na exclusividade na prestação do serviço técnico almejado, mas também na sua singularidade, marcada pela notória especialização do profissional, bem como pela confiança nele depositada pela administração. Precedente do Supremo Tribunal Federal. 3. O grau de confiança depositado na contratação do profissional, em razão da sua carga subjetiva, não é suscetível de ser valorado no bojo de um certame licitatório e se encontra no âmbito de atuação discricionária do administrador público, razão pela qual a competição se torna inviável. 4. Na hipótese em apreço, o órgão acusatório considerou irregular a contratação direta pela administração pública pelo fato da agência de fomento presidida pelo paciente contar com um corpo jurídico próprio, o qual seria apto a defendê-la na demanda que é objeto do contrato. 5. O fato da agência de fomento presidida pelo paciente possuir um corpo jurídico próprio, por si só, não torna ilegal a contratação de escritório de advocacia por meio de inexigibilidade do certame licitatório, mormente pela existência de conflito de interesses de membros daquele </w:t>
      </w:r>
      <w:proofErr w:type="gramStart"/>
      <w:r w:rsidRPr="000B6A74">
        <w:rPr>
          <w:i/>
          <w:sz w:val="20"/>
          <w:szCs w:val="20"/>
        </w:rPr>
        <w:t>com</w:t>
      </w:r>
      <w:proofErr w:type="gramEnd"/>
      <w:r w:rsidRPr="000B6A74">
        <w:rPr>
          <w:i/>
          <w:sz w:val="20"/>
          <w:szCs w:val="20"/>
        </w:rPr>
        <w:t xml:space="preserve"> a demanda. 6. Constatando-se que a contratação direta ocorreu dentro dos limites legais, afasta-se a tipicidade da conduta, sendo imperioso o trancamento da ação penal em apreço. 7. Sendo comum aos demais </w:t>
      </w:r>
      <w:proofErr w:type="spellStart"/>
      <w:r w:rsidRPr="000B6A74">
        <w:rPr>
          <w:i/>
          <w:sz w:val="20"/>
          <w:szCs w:val="20"/>
        </w:rPr>
        <w:t>corréus</w:t>
      </w:r>
      <w:proofErr w:type="spellEnd"/>
      <w:r w:rsidRPr="000B6A74">
        <w:rPr>
          <w:i/>
          <w:sz w:val="20"/>
          <w:szCs w:val="20"/>
        </w:rPr>
        <w:t xml:space="preserve"> o constrangimento ilegal reconhecido, aplica-se o disposto no artigo 580 do Código de Processo Penal. 8. </w:t>
      </w:r>
      <w:proofErr w:type="gramStart"/>
      <w:r w:rsidRPr="000B6A74">
        <w:rPr>
          <w:i/>
          <w:sz w:val="20"/>
          <w:szCs w:val="20"/>
        </w:rPr>
        <w:t xml:space="preserve">Ordem concedida para reconhecer a atipicidade da conduta atribuída ao paciente, determinando-se o trancamento da ação penal deflagrada, estendendo-se os efeitos desta decisão aos </w:t>
      </w:r>
      <w:r w:rsidRPr="000B6A74">
        <w:rPr>
          <w:i/>
          <w:sz w:val="20"/>
          <w:szCs w:val="20"/>
        </w:rPr>
        <w:lastRenderedPageBreak/>
        <w:t xml:space="preserve">demais </w:t>
      </w:r>
      <w:proofErr w:type="spellStart"/>
      <w:r w:rsidRPr="000B6A74">
        <w:rPr>
          <w:i/>
          <w:sz w:val="20"/>
          <w:szCs w:val="20"/>
        </w:rPr>
        <w:t>corréus</w:t>
      </w:r>
      <w:proofErr w:type="spellEnd"/>
      <w:r w:rsidRPr="000B6A74">
        <w:rPr>
          <w:i/>
          <w:sz w:val="20"/>
          <w:szCs w:val="20"/>
        </w:rPr>
        <w:t>”</w:t>
      </w:r>
      <w:proofErr w:type="gramEnd"/>
      <w:r w:rsidRPr="000B6A74">
        <w:rPr>
          <w:i/>
          <w:sz w:val="20"/>
          <w:szCs w:val="20"/>
        </w:rPr>
        <w:t>.</w:t>
      </w:r>
      <w:r w:rsidRPr="000B6A74">
        <w:rPr>
          <w:sz w:val="20"/>
          <w:szCs w:val="20"/>
        </w:rPr>
        <w:t xml:space="preserve">  (STJ – HC: 228759 SC 2011/034958-7, Relator: Ministro Jorge </w:t>
      </w:r>
      <w:proofErr w:type="spellStart"/>
      <w:r w:rsidRPr="000B6A74">
        <w:rPr>
          <w:sz w:val="20"/>
          <w:szCs w:val="20"/>
        </w:rPr>
        <w:t>Mussi</w:t>
      </w:r>
      <w:proofErr w:type="spellEnd"/>
      <w:r w:rsidRPr="000B6A74">
        <w:rPr>
          <w:sz w:val="20"/>
          <w:szCs w:val="20"/>
        </w:rPr>
        <w:t xml:space="preserve">, Data de Julgamento: 24/04/2012).  </w:t>
      </w:r>
    </w:p>
    <w:p w:rsidR="0022170C" w:rsidRDefault="0022170C" w:rsidP="0022170C">
      <w:pPr>
        <w:spacing w:before="240"/>
        <w:ind w:firstLine="1418"/>
        <w:jc w:val="both"/>
        <w:rPr>
          <w:sz w:val="20"/>
          <w:szCs w:val="20"/>
        </w:rPr>
      </w:pPr>
      <w:r w:rsidRPr="00DA2284">
        <w:rPr>
          <w:sz w:val="20"/>
          <w:szCs w:val="20"/>
        </w:rPr>
        <w:t>Aliás, o nosso Tribunal de Contas (TCE/MS) também tem decidido pela regularidade de procedimentos licitatórios, com inexigibilidade de licitação, para contratação de profissionais com notória especialização para prestação de serviços técnicos especializados</w:t>
      </w:r>
      <w:r>
        <w:rPr>
          <w:sz w:val="20"/>
          <w:szCs w:val="20"/>
        </w:rPr>
        <w:t>.</w:t>
      </w:r>
    </w:p>
    <w:p w:rsidR="0022170C" w:rsidRPr="00DA2284" w:rsidRDefault="0022170C" w:rsidP="0022170C">
      <w:pPr>
        <w:spacing w:before="240"/>
        <w:ind w:firstLine="1418"/>
        <w:jc w:val="both"/>
        <w:rPr>
          <w:sz w:val="20"/>
          <w:szCs w:val="20"/>
        </w:rPr>
      </w:pPr>
      <w:r w:rsidRPr="00DA2284">
        <w:rPr>
          <w:sz w:val="20"/>
          <w:szCs w:val="20"/>
        </w:rPr>
        <w:t xml:space="preserve">Vale registrar que o TCE/MS expediu a Súmula TC/MS Nº 62 com o seguinte teor: </w:t>
      </w:r>
    </w:p>
    <w:p w:rsidR="0022170C" w:rsidRPr="000B6A74" w:rsidRDefault="0022170C" w:rsidP="0022170C">
      <w:pPr>
        <w:pBdr>
          <w:top w:val="single" w:sz="4" w:space="1" w:color="auto"/>
          <w:left w:val="single" w:sz="4" w:space="4" w:color="auto"/>
          <w:bottom w:val="single" w:sz="4" w:space="1" w:color="auto"/>
          <w:right w:val="single" w:sz="4" w:space="4" w:color="auto"/>
        </w:pBdr>
        <w:spacing w:before="240"/>
        <w:ind w:left="2835"/>
        <w:jc w:val="both"/>
        <w:rPr>
          <w:i/>
          <w:sz w:val="20"/>
          <w:szCs w:val="20"/>
        </w:rPr>
      </w:pPr>
      <w:r w:rsidRPr="000B6A74">
        <w:rPr>
          <w:i/>
          <w:sz w:val="20"/>
          <w:szCs w:val="20"/>
        </w:rPr>
        <w:t xml:space="preserve">“CONTRATO. ADVOGADO. SERVIÇO TÉCNICO PROFISSIONAL. CONCEITO NOTÓRIO. NATUREZA SINGULAR DO SERVIÇO. INEXIGIBILIDADE DE LICITAÇÃO. LEGALIDADE. REGULARIDADE. OS SERVIÇOS DE NATUREZA TÉCNICO-JURÍDICO, DE INTERESSE DA COISA PÚBLICA EM DEFESA NAS CAUSAS JUDICIAIS, ASSESSORIA OU CONSULTORIA, PODERÃO SER </w:t>
      </w:r>
      <w:proofErr w:type="gramStart"/>
      <w:r w:rsidRPr="000B6A74">
        <w:rPr>
          <w:i/>
          <w:sz w:val="20"/>
          <w:szCs w:val="20"/>
        </w:rPr>
        <w:t>CONSIDERADOS DE NOTÓRIA ESPECIALIZAÇÃO, DESDE QUE SEJA CONSIDERANDO O MAIS ADEQUADO À SATISFAÇÃO DO OBJETO DO CONTRATO, ESTE FIRMADO COM DISPENSA DO PROCESSO LICITATÓRIO</w:t>
      </w:r>
      <w:proofErr w:type="gramEnd"/>
      <w:r w:rsidRPr="000B6A74">
        <w:rPr>
          <w:i/>
          <w:sz w:val="20"/>
          <w:szCs w:val="20"/>
        </w:rPr>
        <w:t>.”</w:t>
      </w:r>
    </w:p>
    <w:p w:rsidR="0022170C" w:rsidRPr="00DA2284" w:rsidRDefault="0022170C" w:rsidP="0022170C">
      <w:pPr>
        <w:spacing w:before="240"/>
        <w:ind w:firstLine="1418"/>
        <w:jc w:val="both"/>
        <w:rPr>
          <w:sz w:val="20"/>
          <w:szCs w:val="20"/>
        </w:rPr>
      </w:pPr>
      <w:r w:rsidRPr="00DA2284">
        <w:rPr>
          <w:sz w:val="20"/>
          <w:szCs w:val="20"/>
        </w:rPr>
        <w:t>A Ordem dos Advogados do Brasil – Seção de Mato Grosso do Sul, expediu a RESOLUÇÃO OAB/MS N. 12/2017 com “</w:t>
      </w:r>
      <w:r w:rsidRPr="00DA2284">
        <w:rPr>
          <w:i/>
          <w:sz w:val="20"/>
          <w:szCs w:val="20"/>
        </w:rPr>
        <w:t>Deliberação da OAB/MS pela inexigibilidade de procedimento licitatório para a contratação de serviços advocatícios pela Administração Pública, dada a singularidade da atividade, a notória especialização e a inviabilização objetiva de competição</w:t>
      </w:r>
      <w:r w:rsidRPr="00DA2284">
        <w:rPr>
          <w:sz w:val="20"/>
          <w:szCs w:val="20"/>
        </w:rPr>
        <w:t xml:space="preserve">”. </w:t>
      </w:r>
    </w:p>
    <w:p w:rsidR="0022170C" w:rsidRPr="00DA2284" w:rsidRDefault="0022170C" w:rsidP="0022170C">
      <w:pPr>
        <w:spacing w:before="240"/>
        <w:ind w:firstLine="1418"/>
        <w:jc w:val="both"/>
        <w:rPr>
          <w:sz w:val="20"/>
          <w:szCs w:val="20"/>
        </w:rPr>
      </w:pPr>
      <w:r w:rsidRPr="00DA2284">
        <w:rPr>
          <w:sz w:val="20"/>
          <w:szCs w:val="20"/>
        </w:rPr>
        <w:t>De acordo com o disposto no artigo 1º de aludida Resolução “</w:t>
      </w:r>
      <w:r w:rsidRPr="00DA2284">
        <w:rPr>
          <w:b/>
          <w:i/>
          <w:sz w:val="20"/>
          <w:szCs w:val="20"/>
          <w:u w:val="single"/>
        </w:rPr>
        <w:t>não encontra óbice legal a inexigibilidade do procedimento licitatório para contratação de serviços advocatícios pela Administração Pública, dada a singularidade da atividade, a notória especialização e a inviabilização objetiva de competição</w:t>
      </w:r>
      <w:r w:rsidRPr="00DA2284">
        <w:rPr>
          <w:sz w:val="20"/>
          <w:szCs w:val="20"/>
        </w:rPr>
        <w:t xml:space="preserve">”.  </w:t>
      </w:r>
    </w:p>
    <w:p w:rsidR="0022170C" w:rsidRPr="00DA2284" w:rsidRDefault="0022170C" w:rsidP="0022170C">
      <w:pPr>
        <w:spacing w:before="240"/>
        <w:ind w:firstLine="1418"/>
        <w:jc w:val="both"/>
        <w:rPr>
          <w:sz w:val="20"/>
          <w:szCs w:val="20"/>
        </w:rPr>
      </w:pPr>
      <w:r w:rsidRPr="00DA2284">
        <w:rPr>
          <w:sz w:val="20"/>
          <w:szCs w:val="20"/>
        </w:rPr>
        <w:t xml:space="preserve">Assim sendo, resta evidenciada a notória especialização do futuro contratado. </w:t>
      </w:r>
    </w:p>
    <w:p w:rsidR="0022170C" w:rsidRPr="00B97F93" w:rsidRDefault="0022170C" w:rsidP="0022170C">
      <w:pPr>
        <w:spacing w:before="240"/>
        <w:ind w:firstLine="1418"/>
        <w:jc w:val="both"/>
        <w:rPr>
          <w:sz w:val="20"/>
          <w:szCs w:val="20"/>
        </w:rPr>
      </w:pPr>
      <w:r w:rsidRPr="00B97F93">
        <w:rPr>
          <w:sz w:val="20"/>
          <w:szCs w:val="20"/>
        </w:rPr>
        <w:t>Quanto ao preço da proposta apresentada, afere-se que este se encontra compatível com o interesse público, ainda mais porque o preço foi devidamente justificado nos autos pelo setor de compras, baseado em pesquisa de preço</w:t>
      </w:r>
      <w:r w:rsidRPr="00B97F93">
        <w:rPr>
          <w:color w:val="333333"/>
          <w:sz w:val="20"/>
          <w:szCs w:val="20"/>
          <w:shd w:val="clear" w:color="auto" w:fill="FFFFFF"/>
        </w:rPr>
        <w:t xml:space="preserve"> realizada com fundamento no</w:t>
      </w:r>
      <w:r>
        <w:rPr>
          <w:rStyle w:val="Forte"/>
          <w:color w:val="333333"/>
          <w:sz w:val="20"/>
          <w:szCs w:val="20"/>
          <w:shd w:val="clear" w:color="auto" w:fill="FFFFFF"/>
        </w:rPr>
        <w:t> Art.</w:t>
      </w:r>
      <w:r w:rsidRPr="00B97F93">
        <w:rPr>
          <w:rStyle w:val="Forte"/>
          <w:color w:val="333333"/>
          <w:sz w:val="20"/>
          <w:szCs w:val="20"/>
          <w:shd w:val="clear" w:color="auto" w:fill="FFFFFF"/>
        </w:rPr>
        <w:t>º 23, §1º, da lei 14.133/21</w:t>
      </w:r>
      <w:r>
        <w:rPr>
          <w:rStyle w:val="Forte"/>
          <w:color w:val="333333"/>
          <w:sz w:val="20"/>
          <w:szCs w:val="20"/>
          <w:shd w:val="clear" w:color="auto" w:fill="FFFFFF"/>
        </w:rPr>
        <w:t xml:space="preserve"> de</w:t>
      </w:r>
      <w:r w:rsidRPr="00B97F93">
        <w:rPr>
          <w:sz w:val="20"/>
          <w:szCs w:val="20"/>
        </w:rPr>
        <w:t xml:space="preserve"> outras contratações com o mesmo objeto, comprovando-se, assim, a razoabilidade do valor estimado neste processo. </w:t>
      </w:r>
    </w:p>
    <w:p w:rsidR="0022170C" w:rsidRPr="00DA2284" w:rsidRDefault="0022170C" w:rsidP="0022170C">
      <w:pPr>
        <w:spacing w:before="240"/>
        <w:ind w:firstLine="1418"/>
        <w:jc w:val="both"/>
        <w:rPr>
          <w:sz w:val="20"/>
          <w:szCs w:val="20"/>
        </w:rPr>
      </w:pPr>
      <w:r w:rsidRPr="00DA2284">
        <w:rPr>
          <w:sz w:val="20"/>
          <w:szCs w:val="20"/>
        </w:rPr>
        <w:t xml:space="preserve">Diante disso, aflora claro e inequívoco que presentes na espécie a natureza técnica do serviço e a notória especialização técnica da empresa contratada, em perfeita conformidade com as regras contidas nos artigos </w:t>
      </w:r>
      <w:r>
        <w:rPr>
          <w:sz w:val="20"/>
          <w:szCs w:val="20"/>
        </w:rPr>
        <w:t>74, inciso III, alíneas “c” e “e</w:t>
      </w:r>
      <w:r w:rsidRPr="00DA2284">
        <w:rPr>
          <w:sz w:val="20"/>
          <w:szCs w:val="20"/>
        </w:rPr>
        <w:t>” da Lei Federal nº. 14.133/2021, a evidenciar a inexigibilidade de licitação.</w:t>
      </w:r>
    </w:p>
    <w:p w:rsidR="009E29A4" w:rsidRDefault="009E29A4" w:rsidP="0022170C">
      <w:pPr>
        <w:spacing w:before="240"/>
        <w:ind w:firstLine="1418"/>
        <w:jc w:val="both"/>
        <w:rPr>
          <w:sz w:val="20"/>
          <w:szCs w:val="20"/>
        </w:rPr>
      </w:pPr>
    </w:p>
    <w:p w:rsidR="0022170C" w:rsidRDefault="0022170C" w:rsidP="0022170C">
      <w:pPr>
        <w:spacing w:before="240"/>
        <w:ind w:firstLine="1418"/>
        <w:jc w:val="both"/>
        <w:rPr>
          <w:sz w:val="20"/>
          <w:szCs w:val="20"/>
        </w:rPr>
      </w:pPr>
      <w:r w:rsidRPr="00DA2284">
        <w:rPr>
          <w:sz w:val="20"/>
          <w:szCs w:val="20"/>
        </w:rPr>
        <w:t xml:space="preserve">Jaraguari/MS, </w:t>
      </w:r>
      <w:r w:rsidR="009E29A4">
        <w:rPr>
          <w:sz w:val="20"/>
          <w:szCs w:val="20"/>
        </w:rPr>
        <w:t>13</w:t>
      </w:r>
      <w:r w:rsidRPr="00DA2284">
        <w:rPr>
          <w:sz w:val="20"/>
          <w:szCs w:val="20"/>
        </w:rPr>
        <w:t xml:space="preserve"> de </w:t>
      </w:r>
      <w:r w:rsidR="009E29A4">
        <w:rPr>
          <w:sz w:val="20"/>
          <w:szCs w:val="20"/>
        </w:rPr>
        <w:t>março</w:t>
      </w:r>
      <w:r w:rsidRPr="00DA2284">
        <w:rPr>
          <w:sz w:val="20"/>
          <w:szCs w:val="20"/>
        </w:rPr>
        <w:t xml:space="preserve"> de 2025.</w:t>
      </w:r>
    </w:p>
    <w:p w:rsidR="0022170C" w:rsidRPr="0022170C" w:rsidRDefault="0022170C" w:rsidP="0022170C">
      <w:pPr>
        <w:spacing w:before="240"/>
        <w:ind w:firstLine="1418"/>
        <w:jc w:val="both"/>
        <w:rPr>
          <w:sz w:val="20"/>
          <w:szCs w:val="20"/>
        </w:rPr>
      </w:pPr>
    </w:p>
    <w:p w:rsidR="0022170C" w:rsidRPr="000B6A74" w:rsidRDefault="0022170C" w:rsidP="0022170C">
      <w:pPr>
        <w:rPr>
          <w:rFonts w:ascii="Arial" w:hAnsi="Arial" w:cs="Arial"/>
          <w:sz w:val="20"/>
          <w:szCs w:val="20"/>
        </w:rPr>
      </w:pPr>
    </w:p>
    <w:p w:rsidR="0022170C" w:rsidRPr="000B6A74" w:rsidRDefault="0022170C" w:rsidP="0022170C">
      <w:pPr>
        <w:jc w:val="center"/>
        <w:rPr>
          <w:sz w:val="20"/>
          <w:szCs w:val="20"/>
        </w:rPr>
      </w:pPr>
      <w:r w:rsidRPr="000B6A74">
        <w:rPr>
          <w:sz w:val="20"/>
          <w:szCs w:val="20"/>
        </w:rPr>
        <w:t>_____________________</w:t>
      </w:r>
    </w:p>
    <w:bookmarkEnd w:id="0"/>
    <w:p w:rsidR="0022170C" w:rsidRPr="000B6A74" w:rsidRDefault="0022170C" w:rsidP="0022170C">
      <w:pPr>
        <w:jc w:val="center"/>
        <w:rPr>
          <w:b/>
          <w:sz w:val="20"/>
          <w:szCs w:val="20"/>
        </w:rPr>
      </w:pPr>
      <w:r w:rsidRPr="000B6A74">
        <w:rPr>
          <w:b/>
          <w:sz w:val="20"/>
          <w:szCs w:val="20"/>
        </w:rPr>
        <w:t xml:space="preserve">ALINE MORAES LIMA </w:t>
      </w:r>
    </w:p>
    <w:p w:rsidR="0022170C" w:rsidRPr="000B6A74" w:rsidRDefault="0022170C" w:rsidP="0022170C">
      <w:pPr>
        <w:jc w:val="center"/>
        <w:rPr>
          <w:rFonts w:ascii="Arial" w:hAnsi="Arial" w:cs="Arial"/>
          <w:b/>
          <w:sz w:val="20"/>
          <w:szCs w:val="20"/>
        </w:rPr>
      </w:pPr>
      <w:r w:rsidRPr="000B6A74">
        <w:rPr>
          <w:b/>
          <w:sz w:val="20"/>
          <w:szCs w:val="20"/>
        </w:rPr>
        <w:t>SECRETARIA CHEFE DE GABINETE PORTARIA Nº761/2025</w:t>
      </w:r>
    </w:p>
    <w:p w:rsidR="00CA3333" w:rsidRPr="0022170C" w:rsidRDefault="0022170C" w:rsidP="0022170C">
      <w:pPr>
        <w:rPr>
          <w:rFonts w:ascii="Arial" w:hAnsi="Arial" w:cs="Arial"/>
          <w:sz w:val="20"/>
          <w:szCs w:val="20"/>
        </w:rPr>
      </w:pPr>
      <w:r>
        <w:rPr>
          <w:noProof/>
          <w:sz w:val="20"/>
          <w:szCs w:val="20"/>
        </w:rPr>
        <w:drawing>
          <wp:anchor distT="0" distB="0" distL="114300" distR="114300" simplePos="0" relativeHeight="251660288" behindDoc="0" locked="0" layoutInCell="1" allowOverlap="1">
            <wp:simplePos x="0" y="0"/>
            <wp:positionH relativeFrom="column">
              <wp:posOffset>213360</wp:posOffset>
            </wp:positionH>
            <wp:positionV relativeFrom="paragraph">
              <wp:posOffset>9814560</wp:posOffset>
            </wp:positionV>
            <wp:extent cx="6898005" cy="800735"/>
            <wp:effectExtent l="0" t="0" r="0" b="0"/>
            <wp:wrapNone/>
            <wp:docPr id="3" name="Imagem 25" descr="C:\Users\User\Downloads\timbrados compras - ok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descr="C:\Users\User\Downloads\timbrados compras - ok (7).png"/>
                    <pic:cNvPicPr>
                      <a:picLocks noChangeAspect="1" noChangeArrowheads="1"/>
                    </pic:cNvPicPr>
                  </pic:nvPicPr>
                  <pic:blipFill>
                    <a:blip r:embed="rId7" cstate="print"/>
                    <a:srcRect/>
                    <a:stretch>
                      <a:fillRect/>
                    </a:stretch>
                  </pic:blipFill>
                  <pic:spPr bwMode="auto">
                    <a:xfrm>
                      <a:off x="0" y="0"/>
                      <a:ext cx="6898005" cy="800735"/>
                    </a:xfrm>
                    <a:prstGeom prst="rect">
                      <a:avLst/>
                    </a:prstGeom>
                    <a:noFill/>
                    <a:ln w="9525">
                      <a:noFill/>
                      <a:miter lim="800000"/>
                      <a:headEnd/>
                      <a:tailEnd/>
                    </a:ln>
                  </pic:spPr>
                </pic:pic>
              </a:graphicData>
            </a:graphic>
          </wp:anchor>
        </w:drawing>
      </w:r>
    </w:p>
    <w:sectPr w:rsidR="00CA3333" w:rsidRPr="0022170C" w:rsidSect="005C241C">
      <w:headerReference w:type="default" r:id="rId8"/>
      <w:footerReference w:type="default" r:id="rId9"/>
      <w:pgSz w:w="11906" w:h="16838"/>
      <w:pgMar w:top="1560" w:right="1701" w:bottom="1417" w:left="1701" w:header="426"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76D" w:rsidRDefault="0082476D" w:rsidP="00A4464E">
      <w:r>
        <w:separator/>
      </w:r>
    </w:p>
  </w:endnote>
  <w:endnote w:type="continuationSeparator" w:id="1">
    <w:p w:rsidR="0082476D" w:rsidRDefault="0082476D" w:rsidP="00A44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2">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6A0" w:rsidRDefault="00EA4FF8" w:rsidP="00787BAD">
    <w:pPr>
      <w:pStyle w:val="Rodap"/>
      <w:ind w:left="-851" w:hanging="142"/>
    </w:pPr>
    <w:r>
      <w:rPr>
        <w:noProof/>
        <w:lang w:eastAsia="pt-BR"/>
      </w:rPr>
      <w:drawing>
        <wp:inline distT="0" distB="0" distL="0" distR="0">
          <wp:extent cx="6357585" cy="485192"/>
          <wp:effectExtent l="19050" t="0" r="5115" b="0"/>
          <wp:docPr id="1" name="Imagem 0" descr="INFOS GABINE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S GABINETE.png"/>
                  <pic:cNvPicPr/>
                </pic:nvPicPr>
                <pic:blipFill>
                  <a:blip r:embed="rId1"/>
                  <a:stretch>
                    <a:fillRect/>
                  </a:stretch>
                </pic:blipFill>
                <pic:spPr>
                  <a:xfrm>
                    <a:off x="0" y="0"/>
                    <a:ext cx="6381866" cy="487045"/>
                  </a:xfrm>
                  <a:prstGeom prst="rect">
                    <a:avLst/>
                  </a:prstGeom>
                </pic:spPr>
              </pic:pic>
            </a:graphicData>
          </a:graphic>
        </wp:inline>
      </w:drawing>
    </w:r>
    <w:r w:rsidR="00787BAD">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76D" w:rsidRDefault="0082476D" w:rsidP="00A4464E">
      <w:r>
        <w:separator/>
      </w:r>
    </w:p>
  </w:footnote>
  <w:footnote w:type="continuationSeparator" w:id="1">
    <w:p w:rsidR="0082476D" w:rsidRDefault="0082476D" w:rsidP="00A446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41C" w:rsidRDefault="005C241C" w:rsidP="005C241C">
    <w:pPr>
      <w:pStyle w:val="Cabealho"/>
      <w:ind w:left="-1134"/>
    </w:pPr>
  </w:p>
  <w:p w:rsidR="000656A0" w:rsidRDefault="005C241C" w:rsidP="005C241C">
    <w:pPr>
      <w:pStyle w:val="Cabealho"/>
      <w:ind w:left="-1134"/>
    </w:pPr>
    <w:r>
      <w:rPr>
        <w:noProof/>
        <w:lang w:eastAsia="pt-BR"/>
      </w:rPr>
      <w:drawing>
        <wp:inline distT="0" distB="0" distL="0" distR="0">
          <wp:extent cx="3181350" cy="738445"/>
          <wp:effectExtent l="19050" t="0" r="0" b="0"/>
          <wp:docPr id="2" name="Imagem 1" descr="LOGO GEST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GESTAO.png"/>
                  <pic:cNvPicPr/>
                </pic:nvPicPr>
                <pic:blipFill>
                  <a:blip r:embed="rId1"/>
                  <a:stretch>
                    <a:fillRect/>
                  </a:stretch>
                </pic:blipFill>
                <pic:spPr>
                  <a:xfrm>
                    <a:off x="0" y="0"/>
                    <a:ext cx="3184261" cy="739121"/>
                  </a:xfrm>
                  <a:prstGeom prst="rect">
                    <a:avLst/>
                  </a:prstGeom>
                </pic:spPr>
              </pic:pic>
            </a:graphicData>
          </a:graphic>
        </wp:inline>
      </w:drawing>
    </w:r>
  </w:p>
  <w:p w:rsidR="00A4464E" w:rsidRPr="00A4464E" w:rsidRDefault="00A4464E" w:rsidP="000656A0">
    <w:pPr>
      <w:pStyle w:val="Cabealho"/>
      <w:ind w:left="851" w:hanging="198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0"/>
    <w:footnote w:id="1"/>
  </w:footnotePr>
  <w:endnotePr>
    <w:endnote w:id="0"/>
    <w:endnote w:id="1"/>
  </w:endnotePr>
  <w:compat/>
  <w:rsids>
    <w:rsidRoot w:val="00A4464E"/>
    <w:rsid w:val="000607CA"/>
    <w:rsid w:val="000656A0"/>
    <w:rsid w:val="0013647C"/>
    <w:rsid w:val="0022170C"/>
    <w:rsid w:val="00333930"/>
    <w:rsid w:val="003C7053"/>
    <w:rsid w:val="003C7F46"/>
    <w:rsid w:val="005C241C"/>
    <w:rsid w:val="006361DB"/>
    <w:rsid w:val="00681713"/>
    <w:rsid w:val="007633FB"/>
    <w:rsid w:val="00787BAD"/>
    <w:rsid w:val="0082476D"/>
    <w:rsid w:val="009E29A4"/>
    <w:rsid w:val="009E4B42"/>
    <w:rsid w:val="00A4464E"/>
    <w:rsid w:val="00BB0565"/>
    <w:rsid w:val="00BF3EA5"/>
    <w:rsid w:val="00CA3333"/>
    <w:rsid w:val="00CC71E4"/>
    <w:rsid w:val="00D351D3"/>
    <w:rsid w:val="00D84AF2"/>
    <w:rsid w:val="00D90CEC"/>
    <w:rsid w:val="00DF69A0"/>
    <w:rsid w:val="00E10330"/>
    <w:rsid w:val="00E45E45"/>
    <w:rsid w:val="00E63A87"/>
    <w:rsid w:val="00EA4FF8"/>
    <w:rsid w:val="00FC74D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0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464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A4464E"/>
  </w:style>
  <w:style w:type="paragraph" w:styleId="Rodap">
    <w:name w:val="footer"/>
    <w:basedOn w:val="Normal"/>
    <w:link w:val="RodapChar"/>
    <w:uiPriority w:val="99"/>
    <w:semiHidden/>
    <w:unhideWhenUsed/>
    <w:rsid w:val="00A4464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emiHidden/>
    <w:rsid w:val="00A4464E"/>
  </w:style>
  <w:style w:type="paragraph" w:styleId="Textodebalo">
    <w:name w:val="Balloon Text"/>
    <w:basedOn w:val="Normal"/>
    <w:link w:val="TextodebaloChar"/>
    <w:uiPriority w:val="99"/>
    <w:semiHidden/>
    <w:unhideWhenUsed/>
    <w:rsid w:val="00A4464E"/>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A4464E"/>
    <w:rPr>
      <w:rFonts w:ascii="Tahoma" w:hAnsi="Tahoma" w:cs="Tahoma"/>
      <w:sz w:val="16"/>
      <w:szCs w:val="16"/>
    </w:rPr>
  </w:style>
  <w:style w:type="character" w:customStyle="1" w:styleId="fontstyle01">
    <w:name w:val="fontstyle01"/>
    <w:basedOn w:val="Fontepargpadro"/>
    <w:rsid w:val="0022170C"/>
    <w:rPr>
      <w:rFonts w:ascii="CIDFont+F2" w:hAnsi="CIDFont+F2" w:hint="default"/>
      <w:b w:val="0"/>
      <w:bCs w:val="0"/>
      <w:i w:val="0"/>
      <w:iCs w:val="0"/>
      <w:color w:val="000000"/>
      <w:sz w:val="24"/>
      <w:szCs w:val="24"/>
    </w:rPr>
  </w:style>
  <w:style w:type="character" w:styleId="Forte">
    <w:name w:val="Strong"/>
    <w:basedOn w:val="Fontepargpadro"/>
    <w:uiPriority w:val="22"/>
    <w:qFormat/>
    <w:rsid w:val="0022170C"/>
    <w:rPr>
      <w:b/>
      <w:bCs/>
    </w:rPr>
  </w:style>
</w:styles>
</file>

<file path=word/webSettings.xml><?xml version="1.0" encoding="utf-8"?>
<w:webSettings xmlns:r="http://schemas.openxmlformats.org/officeDocument/2006/relationships" xmlns:w="http://schemas.openxmlformats.org/wordprocessingml/2006/main">
  <w:divs>
    <w:div w:id="455875552">
      <w:bodyDiv w:val="1"/>
      <w:marLeft w:val="0"/>
      <w:marRight w:val="0"/>
      <w:marTop w:val="0"/>
      <w:marBottom w:val="0"/>
      <w:divBdr>
        <w:top w:val="none" w:sz="0" w:space="0" w:color="auto"/>
        <w:left w:val="none" w:sz="0" w:space="0" w:color="auto"/>
        <w:bottom w:val="none" w:sz="0" w:space="0" w:color="auto"/>
        <w:right w:val="none" w:sz="0" w:space="0" w:color="auto"/>
      </w:divBdr>
      <w:divsChild>
        <w:div w:id="2066875995">
          <w:marLeft w:val="691"/>
          <w:marRight w:val="345"/>
          <w:marTop w:val="0"/>
          <w:marBottom w:val="0"/>
          <w:divBdr>
            <w:top w:val="none" w:sz="0" w:space="0" w:color="auto"/>
            <w:left w:val="none" w:sz="0" w:space="0" w:color="auto"/>
            <w:bottom w:val="none" w:sz="0" w:space="0" w:color="auto"/>
            <w:right w:val="none" w:sz="0" w:space="0" w:color="auto"/>
          </w:divBdr>
        </w:div>
        <w:div w:id="1648584599">
          <w:marLeft w:val="345"/>
          <w:marRight w:val="691"/>
          <w:marTop w:val="0"/>
          <w:marBottom w:val="0"/>
          <w:divBdr>
            <w:top w:val="none" w:sz="0" w:space="0" w:color="auto"/>
            <w:left w:val="none" w:sz="0" w:space="0" w:color="auto"/>
            <w:bottom w:val="none" w:sz="0" w:space="0" w:color="auto"/>
            <w:right w:val="none" w:sz="0" w:space="0" w:color="auto"/>
          </w:divBdr>
        </w:div>
        <w:div w:id="677466336">
          <w:marLeft w:val="691"/>
          <w:marRight w:val="345"/>
          <w:marTop w:val="0"/>
          <w:marBottom w:val="0"/>
          <w:divBdr>
            <w:top w:val="none" w:sz="0" w:space="0" w:color="auto"/>
            <w:left w:val="none" w:sz="0" w:space="0" w:color="auto"/>
            <w:bottom w:val="none" w:sz="0" w:space="0" w:color="auto"/>
            <w:right w:val="none" w:sz="0" w:space="0" w:color="auto"/>
          </w:divBdr>
        </w:div>
        <w:div w:id="1024406752">
          <w:marLeft w:val="345"/>
          <w:marRight w:val="691"/>
          <w:marTop w:val="0"/>
          <w:marBottom w:val="0"/>
          <w:divBdr>
            <w:top w:val="none" w:sz="0" w:space="0" w:color="auto"/>
            <w:left w:val="none" w:sz="0" w:space="0" w:color="auto"/>
            <w:bottom w:val="none" w:sz="0" w:space="0" w:color="auto"/>
            <w:right w:val="none" w:sz="0" w:space="0" w:color="auto"/>
          </w:divBdr>
        </w:div>
      </w:divsChild>
    </w:div>
    <w:div w:id="1660764749">
      <w:bodyDiv w:val="1"/>
      <w:marLeft w:val="0"/>
      <w:marRight w:val="0"/>
      <w:marTop w:val="0"/>
      <w:marBottom w:val="0"/>
      <w:divBdr>
        <w:top w:val="none" w:sz="0" w:space="0" w:color="auto"/>
        <w:left w:val="none" w:sz="0" w:space="0" w:color="auto"/>
        <w:bottom w:val="none" w:sz="0" w:space="0" w:color="auto"/>
        <w:right w:val="none" w:sz="0" w:space="0" w:color="auto"/>
      </w:divBdr>
      <w:divsChild>
        <w:div w:id="1731881502">
          <w:marLeft w:val="691"/>
          <w:marRight w:val="345"/>
          <w:marTop w:val="0"/>
          <w:marBottom w:val="0"/>
          <w:divBdr>
            <w:top w:val="none" w:sz="0" w:space="0" w:color="auto"/>
            <w:left w:val="none" w:sz="0" w:space="0" w:color="auto"/>
            <w:bottom w:val="none" w:sz="0" w:space="0" w:color="auto"/>
            <w:right w:val="none" w:sz="0" w:space="0" w:color="auto"/>
          </w:divBdr>
        </w:div>
        <w:div w:id="974331508">
          <w:marLeft w:val="345"/>
          <w:marRight w:val="691"/>
          <w:marTop w:val="0"/>
          <w:marBottom w:val="0"/>
          <w:divBdr>
            <w:top w:val="none" w:sz="0" w:space="0" w:color="auto"/>
            <w:left w:val="none" w:sz="0" w:space="0" w:color="auto"/>
            <w:bottom w:val="none" w:sz="0" w:space="0" w:color="auto"/>
            <w:right w:val="none" w:sz="0" w:space="0" w:color="auto"/>
          </w:divBdr>
        </w:div>
        <w:div w:id="1348600229">
          <w:marLeft w:val="691"/>
          <w:marRight w:val="345"/>
          <w:marTop w:val="0"/>
          <w:marBottom w:val="0"/>
          <w:divBdr>
            <w:top w:val="none" w:sz="0" w:space="0" w:color="auto"/>
            <w:left w:val="none" w:sz="0" w:space="0" w:color="auto"/>
            <w:bottom w:val="none" w:sz="0" w:space="0" w:color="auto"/>
            <w:right w:val="none" w:sz="0" w:space="0" w:color="auto"/>
          </w:divBdr>
        </w:div>
        <w:div w:id="292372944">
          <w:marLeft w:val="345"/>
          <w:marRight w:val="691"/>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883C0-1D44-414E-A304-52DBE8A0F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1966</Words>
  <Characters>10618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ERISTON XAVIER</dc:creator>
  <cp:lastModifiedBy>Usuário do Windows</cp:lastModifiedBy>
  <cp:revision>7</cp:revision>
  <cp:lastPrinted>2025-03-13T18:16:00Z</cp:lastPrinted>
  <dcterms:created xsi:type="dcterms:W3CDTF">2025-03-13T17:46:00Z</dcterms:created>
  <dcterms:modified xsi:type="dcterms:W3CDTF">2025-03-13T18:18:00Z</dcterms:modified>
</cp:coreProperties>
</file>