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header+xml" PartName="/word/header.xml"/>
  <Override ContentType="image/png" PartName="/word/media/header_image_rId1.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body>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1 - OBJETO</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1.1 – </w:t>
      </w:r>
      <w:r>
        <w:rPr>
          <w:rFonts w:hint="default" w:ascii="Arial" w:hAnsi="Arial"/>
          <w:b w:val="false"/>
          <w:i w:val="false"/>
          <w:color w:val="000000"/>
          <w:sz w:val="24"/>
        </w:rPr>
        <w:t>Contratação de empresa especializada em fornecimento de Coffee Break, para atendimento do Evento: 1º Workshop “Construir Inteligência Gestora pelas Análises de Dados”, que acontecerá em Campo Grande, Estado de Mato Grosso do Sul, nos dias 10 e 11 de maio de 2023.</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1.2.</w:t>
      </w:r>
      <w:r>
        <w:rPr>
          <w:rFonts w:hint="default" w:ascii="Arial" w:hAnsi="Arial"/>
          <w:b w:val="false"/>
          <w:i w:val="false"/>
          <w:color w:val="000000"/>
          <w:sz w:val="24"/>
        </w:rPr>
        <w:t xml:space="preserve"> – A contratação será via Dispensa de Licitação, conforme art. 75, inciso II da Lei 14.133/2021.</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1.3 </w:t>
      </w:r>
      <w:r>
        <w:rPr>
          <w:rFonts w:hint="default" w:ascii="Arial" w:hAnsi="Arial"/>
          <w:b w:val="false"/>
          <w:i w:val="false"/>
          <w:color w:val="000000"/>
          <w:sz w:val="24"/>
        </w:rPr>
        <w:t>- O fornecimento pela contratada deve observar as seguintes características e especificações:</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p>
    <w:tbl>
      <w:tblPr>
        <w:tblW w:w="0" w:type="auto"/>
        <w:tblCellSpacing w:w="0" w:type="auto"/>
        <w:tblBorders>
          <w:top w:val="none"/>
          <w:left w:val="none"/>
          <w:bottom w:val="none"/>
          <w:right w:val="none"/>
          <w:insideH w:val="none"/>
          <w:insideV w:val="none"/>
        </w:tblBorders>
      </w:tblPr>
      <w:tblGrid>
        <w:gridCol w:w="1420"/>
        <w:gridCol w:w="1495"/>
        <w:gridCol w:w="4320"/>
        <w:gridCol w:w="1468"/>
        <w:gridCol w:w="1225"/>
      </w:tblGrid>
      <w:tr>
        <w:tc>
          <w:tcPr>
            <w:tcW w:w="142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Item</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tc>
        <w:tc>
          <w:tcPr>
            <w:tcW w:w="1495"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Código</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tc>
        <w:tc>
          <w:tcPr>
            <w:tcW w:w="432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Descrição</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tc>
        <w:tc>
          <w:tcPr>
            <w:tcW w:w="1468"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Unidade</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tc>
        <w:tc>
          <w:tcPr>
            <w:tcW w:w="1225"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Quant.</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tc>
      </w:tr>
      <w:tr>
        <w:tc>
          <w:tcPr>
            <w:tcW w:w="142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001</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tc>
        <w:tc>
          <w:tcPr>
            <w:tcW w:w="1495"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0021295</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tc>
        <w:tc>
          <w:tcPr>
            <w:tcW w:w="432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Coffee cardápio break, conforme</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tc>
        <w:tc>
          <w:tcPr>
            <w:tcW w:w="1468"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1 – serv.</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tc>
        <w:tc>
          <w:tcPr>
            <w:tcW w:w="1225"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1</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tc>
      </w:tr>
    </w:tbl>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 </w:t>
      </w:r>
      <w:r>
        <w:br/>
      </w:r>
      <w:r>
        <w:rPr>
          <w:rFonts w:hint="default" w:ascii="Arial" w:hAnsi="Arial"/>
          <w:b/>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2 - MOTIVAÇÃO</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2.1.</w:t>
      </w:r>
      <w:r>
        <w:rPr>
          <w:rFonts w:hint="default" w:ascii="Arial" w:hAnsi="Arial"/>
          <w:b w:val="false"/>
          <w:i w:val="false"/>
          <w:color w:val="000000"/>
          <w:sz w:val="24"/>
        </w:rPr>
        <w:t xml:space="preserve"> A Secretaria de Saúde do Estado de Mato Grosso do Sul promoverá o 1º Workshop “Construir Inteligência Gestora pelas Análises de Dados”, que acontecerá em Campo Grande, Estado de Mato Grosso do Sul, nos dias 10/05/2023, das 08h30 às 16h e 11/05/2023, das 09h30 às 12h30, no Auditório Bioparque, Av. Afonso Pena, 6277 – Chácara Cachoeira, Campo Grande – MS.</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2.2.</w:t>
      </w:r>
      <w:r>
        <w:rPr>
          <w:rFonts w:hint="default" w:ascii="Arial" w:hAnsi="Arial"/>
          <w:b w:val="false"/>
          <w:i w:val="false"/>
          <w:color w:val="000000"/>
          <w:sz w:val="24"/>
        </w:rPr>
        <w:t xml:space="preserve"> O evento abordará temas muito relevantes para a Saúde Pública, como “O desafio da gestão estadual do SUS – Olhar da gestão estadual para tomada de decisão com base em evidência – Experiência do CONASS”; “A importância da visão multidisciplinar para tomada de decisão. Experiência de outros atores chaves no uso do dado para apoio a gestão.”; “A inteligência de dados para tomada de decisão na saúde”; “A inteligência de dados para qualificação do serviço público”; “Como a saúde pode ajudar as outras áreas no uso do dado para a melhoria das políticas públicas”, “Desafios para se construir inteligência no SUS”; e “Discussão, Avanços e desafios para a gestão.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2.3.</w:t>
      </w:r>
      <w:r>
        <w:rPr>
          <w:rFonts w:hint="default" w:ascii="Arial" w:hAnsi="Arial"/>
          <w:b w:val="false"/>
          <w:i w:val="false"/>
          <w:color w:val="000000"/>
          <w:sz w:val="24"/>
        </w:rPr>
        <w:t xml:space="preserve"> Considerando a extensa carga horária do evento, a ser cumprida em dois dias, de forma presencial, será necessária a contratação de empresa especializada em fornecimento de coffee break, para 200 (duzentas) pessoas no dia 10/05/2023 e 200 (duzentas) pessoas no dia 11/05/2023, totalizando 400 (quatrocentos) coffee breaks;</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2.4.</w:t>
      </w:r>
      <w:r>
        <w:rPr>
          <w:rFonts w:hint="default" w:ascii="Arial" w:hAnsi="Arial"/>
          <w:b w:val="false"/>
          <w:i w:val="false"/>
          <w:color w:val="000000"/>
          <w:sz w:val="24"/>
        </w:rPr>
        <w:t xml:space="preserve"> Soma-se, outrossim, ao fato de que inexiste ata de registro de preços ou contrato vigente que possa assegurar a contratação.</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2.5.</w:t>
      </w:r>
      <w:r>
        <w:rPr>
          <w:rFonts w:hint="default" w:ascii="Arial" w:hAnsi="Arial"/>
          <w:b w:val="false"/>
          <w:i w:val="false"/>
          <w:color w:val="000000"/>
          <w:sz w:val="24"/>
        </w:rPr>
        <w:t xml:space="preserve"> Diante do exposto, justifica-se a contratação pela relevância do evento na Saúde Pública do Estado de Mato Grosso do Sul.</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3 – ESPECIFICAÇÕES DO OBJETO</w:t>
      </w:r>
      <w:r>
        <w:rPr>
          <w:rFonts w:hint="default" w:ascii="Arial" w:hAnsi="Arial"/>
          <w:b w:val="false"/>
          <w:i w:val="false"/>
          <w:color w:val="000000"/>
          <w:sz w:val="24"/>
        </w:rPr>
        <w:t>:</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3.1.</w:t>
      </w:r>
      <w:r>
        <w:rPr>
          <w:rFonts w:hint="default" w:ascii="Arial" w:hAnsi="Arial"/>
          <w:b w:val="false"/>
          <w:i w:val="false"/>
          <w:color w:val="000000"/>
          <w:sz w:val="24"/>
        </w:rPr>
        <w:t xml:space="preserve"> Fornecimento de coffee break para 200 (duzentas) pessoas no dia 10/05/2023 e 200 (duzentas) pessoas no dia 11/05/2023, totalizando 400 (quatrocentos) coffee breaks, conforme cardápio.</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4 – PRAZO, LOCAL E CONDIÇÕES DE ENTREGA</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4.1.</w:t>
      </w:r>
      <w:r>
        <w:rPr>
          <w:rFonts w:hint="default" w:ascii="Arial" w:hAnsi="Arial"/>
          <w:b w:val="false"/>
          <w:i w:val="false"/>
          <w:color w:val="000000"/>
          <w:sz w:val="24"/>
        </w:rPr>
        <w:t xml:space="preserve"> A prestação do serviço deverá ser realizado conforme cronograma abaixo:</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4.1.1. Local: </w:t>
      </w:r>
      <w:r>
        <w:rPr>
          <w:rFonts w:hint="default" w:ascii="Arial" w:hAnsi="Arial"/>
          <w:b w:val="false"/>
          <w:i w:val="false"/>
          <w:color w:val="000000"/>
          <w:sz w:val="24"/>
        </w:rPr>
        <w:t>Bioparque Pantanal, localizado na Av. Afonso Pena, 6277 - Chácara Cachoeira, Campo Grande - MS, 79031-010.</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4.1.2. Data e período </w:t>
      </w:r>
      <w:r>
        <w:rPr>
          <w:rFonts w:hint="default" w:ascii="Arial" w:hAnsi="Arial"/>
          <w:b w:val="false"/>
          <w:i w:val="false"/>
          <w:color w:val="000000"/>
          <w:sz w:val="24"/>
        </w:rPr>
        <w:t>do fornecimento de coffee break:</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p>
    <w:tbl>
      <w:tblPr>
        <w:tblW w:w="0" w:type="auto"/>
        <w:tblCellSpacing w:w="0" w:type="auto"/>
        <w:tblBorders>
          <w:top w:val="none"/>
          <w:left w:val="none"/>
          <w:bottom w:val="none"/>
          <w:right w:val="none"/>
          <w:insideH w:val="none"/>
          <w:insideV w:val="none"/>
        </w:tblBorders>
      </w:tblPr>
      <w:tblGrid>
        <w:gridCol w:w="1758"/>
        <w:gridCol w:w="2327"/>
        <w:gridCol w:w="2016"/>
        <w:gridCol w:w="1838"/>
      </w:tblGrid>
      <w:tr>
        <w:tc>
          <w:tcPr>
            <w:tcW w:w="1758"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Data</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tc>
        <w:tc>
          <w:tcPr>
            <w:tcW w:w="2327"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Horário</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tc>
        <w:tc>
          <w:tcPr>
            <w:tcW w:w="2016"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Serviço</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tc>
        <w:tc>
          <w:tcPr>
            <w:tcW w:w="1838"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Qtd.</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tc>
      </w:tr>
      <w:tr>
        <w:tc>
          <w:tcPr>
            <w:tcW w:w="1758"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10/05/2023</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tc>
        <w:tc>
          <w:tcPr>
            <w:tcW w:w="2327"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09h às 09h30</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tc>
        <w:tc>
          <w:tcPr>
            <w:tcW w:w="2016"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Coffee Break</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tc>
        <w:tc>
          <w:tcPr>
            <w:tcW w:w="1838"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200 pessoas</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tc>
      </w:tr>
      <w:tr>
        <w:tc>
          <w:tcPr>
            <w:tcW w:w="1758"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11/05/2023</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tc>
        <w:tc>
          <w:tcPr>
            <w:tcW w:w="2327"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12h30 às 13h30</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tc>
        <w:tc>
          <w:tcPr>
            <w:tcW w:w="2016"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Coffee Break</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tc>
        <w:tc>
          <w:tcPr>
            <w:tcW w:w="1838"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200 pessoas</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tc>
      </w:tr>
    </w:tbl>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4.2. </w:t>
      </w:r>
      <w:r>
        <w:rPr>
          <w:rFonts w:hint="default" w:ascii="Arial" w:hAnsi="Arial"/>
          <w:b w:val="false"/>
          <w:i w:val="false"/>
          <w:color w:val="000000"/>
          <w:sz w:val="24"/>
        </w:rPr>
        <w:t>O coffee break, para 400 (quatrocentos) pessoas, deverá oferecer:</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4.2.1.</w:t>
      </w:r>
      <w:r>
        <w:rPr>
          <w:rFonts w:hint="default" w:ascii="Arial" w:hAnsi="Arial"/>
          <w:b w:val="false"/>
          <w:i w:val="false"/>
          <w:color w:val="000000"/>
          <w:sz w:val="24"/>
        </w:rPr>
        <w:t xml:space="preserve"> Duas mesas, com toalhas de festa, estilo Jacquard, de cor clara.</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4.2.2.</w:t>
      </w:r>
      <w:r>
        <w:rPr>
          <w:rFonts w:hint="default" w:ascii="Arial" w:hAnsi="Arial"/>
          <w:b w:val="false"/>
          <w:i w:val="false"/>
          <w:color w:val="000000"/>
          <w:sz w:val="24"/>
        </w:rPr>
        <w:t xml:space="preserve"> Taças em vidro, transparentes;</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4.2.3.</w:t>
      </w:r>
      <w:r>
        <w:rPr>
          <w:rFonts w:hint="default" w:ascii="Arial" w:hAnsi="Arial"/>
          <w:b w:val="false"/>
          <w:i w:val="false"/>
          <w:color w:val="000000"/>
          <w:sz w:val="24"/>
        </w:rPr>
        <w:t xml:space="preserve"> Copos descartáveis, em plástico, de 50 ml, cor branca;</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4.2.4</w:t>
      </w:r>
      <w:r>
        <w:rPr>
          <w:rFonts w:hint="default" w:ascii="Arial" w:hAnsi="Arial"/>
          <w:b w:val="false"/>
          <w:i w:val="false"/>
          <w:color w:val="000000"/>
          <w:sz w:val="24"/>
        </w:rPr>
        <w:t>. Pratinhos descartáveis, em plástico, 15 cm de diâmetro, cor branca;</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4.2.5.</w:t>
      </w:r>
      <w:r>
        <w:rPr>
          <w:rFonts w:hint="default" w:ascii="Arial" w:hAnsi="Arial"/>
          <w:b w:val="false"/>
          <w:i w:val="false"/>
          <w:color w:val="000000"/>
          <w:sz w:val="24"/>
        </w:rPr>
        <w:t xml:space="preserve"> Colheres descartáveis de café;</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4.2.6.</w:t>
      </w:r>
      <w:r>
        <w:rPr>
          <w:rFonts w:hint="default" w:ascii="Arial" w:hAnsi="Arial"/>
          <w:b w:val="false"/>
          <w:i w:val="false"/>
          <w:color w:val="000000"/>
          <w:sz w:val="24"/>
        </w:rPr>
        <w:t xml:space="preserve"> Garfos de sobremesa em inox;</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4.2.7.</w:t>
      </w:r>
      <w:r>
        <w:rPr>
          <w:rFonts w:hint="default" w:ascii="Arial" w:hAnsi="Arial"/>
          <w:b w:val="false"/>
          <w:i w:val="false"/>
          <w:color w:val="000000"/>
          <w:sz w:val="24"/>
        </w:rPr>
        <w:t xml:space="preserve"> Pegadores em inox;</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4.2.8.</w:t>
      </w:r>
      <w:r>
        <w:rPr>
          <w:rFonts w:hint="default" w:ascii="Arial" w:hAnsi="Arial"/>
          <w:b w:val="false"/>
          <w:i w:val="false"/>
          <w:color w:val="000000"/>
          <w:sz w:val="24"/>
        </w:rPr>
        <w:t xml:space="preserve"> Sachês de açúcar e adoçante;</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4.2.9.</w:t>
      </w:r>
      <w:r>
        <w:rPr>
          <w:rFonts w:hint="default" w:ascii="Arial" w:hAnsi="Arial"/>
          <w:b w:val="false"/>
          <w:i w:val="false"/>
          <w:color w:val="000000"/>
          <w:sz w:val="24"/>
        </w:rPr>
        <w:t xml:space="preserve"> Guardanapos de papel com folha dupla;</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4.2.10.</w:t>
      </w:r>
      <w:r>
        <w:rPr>
          <w:rFonts w:hint="default" w:ascii="Arial" w:hAnsi="Arial"/>
          <w:b w:val="false"/>
          <w:i w:val="false"/>
          <w:color w:val="000000"/>
          <w:sz w:val="24"/>
        </w:rPr>
        <w:t xml:space="preserve"> Jarras em vidro, garrafas térmicas em inox e suqueiras;</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4.2.11.</w:t>
      </w:r>
      <w:r>
        <w:rPr>
          <w:rFonts w:hint="default" w:ascii="Arial" w:hAnsi="Arial"/>
          <w:b w:val="false"/>
          <w:i w:val="false"/>
          <w:color w:val="000000"/>
          <w:sz w:val="24"/>
        </w:rPr>
        <w:t xml:space="preserve"> Alimentação conforme cardápio – Anexo.</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4.2.12.</w:t>
      </w:r>
      <w:r>
        <w:rPr>
          <w:rFonts w:hint="default" w:ascii="Arial" w:hAnsi="Arial"/>
          <w:b w:val="false"/>
          <w:i w:val="false"/>
          <w:color w:val="000000"/>
          <w:sz w:val="24"/>
        </w:rPr>
        <w:t xml:space="preserve"> Garçons/garçonetes devidamente uniformizados (camisa branca, calça preta, sapato social e luvas), para ealizer a reposição dos alimentos e demais insumos.</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5 - PRAZOS E CONDIÇÕES DE GARANTIA</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5.1</w:t>
      </w:r>
      <w:r>
        <w:rPr>
          <w:rFonts w:hint="default" w:ascii="Arial" w:hAnsi="Arial"/>
          <w:b w:val="false"/>
          <w:i w:val="false"/>
          <w:color w:val="000000"/>
          <w:sz w:val="24"/>
        </w:rPr>
        <w:t>. A contratada obriga-se a ofertar garantia legal estabelecida pelo art. 26, I, do Código de Defesa do Consumidor de 30 (trinta) dias – serviços não duráveis, a partir da data de recebimento definitivo do produto, sem prejuízo de outra garantia complementar fornecida pelo licitante em sua proposta comercial.</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6 – RESPONSÁVEL PELO RECEBIMENTO, TELEFONE E E-MAIL</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6.1 – </w:t>
      </w:r>
      <w:r>
        <w:rPr>
          <w:rFonts w:hint="default" w:ascii="Arial" w:hAnsi="Arial"/>
          <w:b w:val="false"/>
          <w:i w:val="false"/>
          <w:color w:val="000000"/>
          <w:sz w:val="24"/>
        </w:rPr>
        <w:t>Responsável pelo recebimento: Christinne Cavalheiro Maymone Gonçalves, matrícula: 56262024</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6.2 </w:t>
      </w:r>
      <w:r>
        <w:rPr>
          <w:rFonts w:hint="default" w:ascii="Arial" w:hAnsi="Arial"/>
          <w:b w:val="false"/>
          <w:i w:val="false"/>
          <w:color w:val="000000"/>
          <w:sz w:val="24"/>
        </w:rPr>
        <w:t>–Telefone: (67) 3318-1717</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6.3</w:t>
      </w:r>
      <w:r>
        <w:rPr>
          <w:rFonts w:hint="default" w:ascii="Arial" w:hAnsi="Arial"/>
          <w:b w:val="false"/>
          <w:i w:val="false"/>
          <w:color w:val="000000"/>
          <w:sz w:val="24"/>
        </w:rPr>
        <w:t xml:space="preserve"> – E-mail: </w:t>
      </w:r>
      <w:r>
        <w:rPr>
          <w:rFonts w:hint="default" w:ascii="Arial" w:hAnsi="Arial"/>
          <w:b w:val="false"/>
          <w:i w:val="false"/>
          <w:color w:val="0000ff"/>
          <w:sz w:val="24"/>
        </w:rPr>
        <w:t>gabinete.ses@saude.ms.gov.br</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6.4</w:t>
      </w:r>
      <w:r>
        <w:rPr>
          <w:rFonts w:hint="default" w:ascii="Arial" w:hAnsi="Arial"/>
          <w:b w:val="false"/>
          <w:i w:val="false"/>
          <w:color w:val="000000"/>
          <w:sz w:val="24"/>
        </w:rPr>
        <w:t xml:space="preserve"> – </w:t>
      </w:r>
      <w:r>
        <w:rPr>
          <w:rFonts w:hint="default" w:ascii="Arial" w:hAnsi="Arial"/>
          <w:b/>
          <w:i w:val="false"/>
          <w:color w:val="000000"/>
          <w:sz w:val="24"/>
        </w:rPr>
        <w:t xml:space="preserve">Fiscal de Contrato: </w:t>
      </w:r>
      <w:r>
        <w:rPr>
          <w:rFonts w:hint="default" w:ascii="Arial" w:hAnsi="Arial"/>
          <w:b w:val="false"/>
          <w:i w:val="false"/>
          <w:color w:val="000000"/>
          <w:sz w:val="24"/>
        </w:rPr>
        <w:t xml:space="preserve">André Luiz de Freitas Villa e Angélica Cristina Segatto Congro, matrícula: 125900021 </w:t>
      </w:r>
      <w:r>
        <w:rPr>
          <w:rFonts w:hint="default" w:ascii="Arial" w:hAnsi="Arial"/>
          <w:b/>
          <w:i w:val="false"/>
          <w:color w:val="000000"/>
          <w:sz w:val="24"/>
        </w:rPr>
        <w:t>(Substituta)</w:t>
      </w:r>
      <w:r>
        <w:rPr>
          <w:rFonts w:hint="default" w:ascii="Arial" w:hAnsi="Arial"/>
          <w:b w:val="false"/>
          <w:i w:val="false"/>
          <w:color w:val="000000"/>
          <w:sz w:val="24"/>
        </w:rPr>
        <w:t>.</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6.4.1</w:t>
      </w:r>
      <w:r>
        <w:rPr>
          <w:rFonts w:hint="default" w:ascii="Arial" w:hAnsi="Arial"/>
          <w:b w:val="false"/>
          <w:i w:val="false"/>
          <w:color w:val="000000"/>
          <w:sz w:val="24"/>
        </w:rPr>
        <w:t xml:space="preserve"> – O acompanhamento e a fiscalização da execução do objeto consistem na verificação de vícios, defeitos ou incorreções esultants de sua execução ou de materiais nela empregados, de forma a assegurar o perfeito cumprimento do ajuste, na forma dos arts. 117, § 1º e 119 da Lei n. 14.133/2021.</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6.4.2</w:t>
      </w:r>
      <w:r>
        <w:rPr>
          <w:rFonts w:hint="default" w:ascii="Arial" w:hAnsi="Arial"/>
          <w:b w:val="false"/>
          <w:i w:val="false"/>
          <w:color w:val="000000"/>
          <w:sz w:val="24"/>
        </w:rPr>
        <w:t xml:space="preserve"> – O contratado será responsável pelos danos causados diretamente à Administração ou a terceiros em razão da execução do contrato, e não excluirá nem reduzirá essa responsabilidade a fiscalização ou o acompanhamento pelo contratante, conforme dispõe o art. 120, da Lei n. 14.133/2021.</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6.4.3</w:t>
      </w:r>
      <w:r>
        <w:rPr>
          <w:rFonts w:hint="default" w:ascii="Arial" w:hAnsi="Arial"/>
          <w:b w:val="false"/>
          <w:i w:val="false"/>
          <w:color w:val="000000"/>
          <w:sz w:val="24"/>
        </w:rPr>
        <w:t xml:space="preserve"> – O fiscal do contrato anotará em registro próprio todas as ocorrências relacionadas à execução do contrato, determinando o que for necessário para a regularização das faltas ou dos defeitos observados. E informará a seus superiores, em tempo hábil para a adoção das medidas convenientes, a situação que demandar decisão ou providência que ultrapasse sua competência.</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6.5</w:t>
      </w:r>
      <w:r>
        <w:rPr>
          <w:rFonts w:hint="default" w:ascii="Arial" w:hAnsi="Arial"/>
          <w:b w:val="false"/>
          <w:i w:val="false"/>
          <w:color w:val="000000"/>
          <w:sz w:val="24"/>
        </w:rPr>
        <w:t xml:space="preserve"> – A gestão de contrato ficará a cargo da servidora Lucimeire de Carvalho Costa, matrícula: 106986024 e Gestora substituta: Nádia Rezende Loubet da Silva, matrícula: 119348022, que terão a competência de acompanhar os contratos.</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6.6</w:t>
      </w:r>
      <w:r>
        <w:rPr>
          <w:rFonts w:hint="default" w:ascii="Arial" w:hAnsi="Arial"/>
          <w:b w:val="false"/>
          <w:i w:val="false"/>
          <w:color w:val="000000"/>
          <w:sz w:val="24"/>
        </w:rPr>
        <w:t xml:space="preserve"> – Caso, no decorrer do contrato, os servidores acima indicados como responsáveis pelo recebimento do objeto, fiscalização de contrato e/ou gestão de contrato estejam afastadas de suas funções, caberá ao Órgão a indicação de substituto.</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7 – CONDIÇÕES DE PAGAMENTO</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7.1.</w:t>
      </w:r>
      <w:r>
        <w:rPr>
          <w:rFonts w:hint="default" w:ascii="Arial" w:hAnsi="Arial"/>
          <w:b w:val="false"/>
          <w:i w:val="false"/>
          <w:color w:val="000000"/>
          <w:sz w:val="24"/>
        </w:rPr>
        <w:t xml:space="preserve"> O pagamento, decorrente do fornecimento do objeto deste processo, será efetuado nos termos do art. 141 e seguintes da Lei 14.133/2021, mediante crédito em conta corrente, no prazo de até 30 (trinta) dias, contados do recebimento definitivo dos serviços prestados (art. 140, inc. I, alínea “b”, da Lei n. 14.133/2021), após a apresentação da respectiva documentação fiscal, devidamente atestada pelo setor competente, ressalvada eventual aplicação nos termos do art. 156, § 8º da Lei n° 14.133/2021.</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7.2.</w:t>
      </w:r>
      <w:r>
        <w:rPr>
          <w:rFonts w:hint="default" w:ascii="Arial" w:hAnsi="Arial"/>
          <w:b w:val="false"/>
          <w:i w:val="false"/>
          <w:color w:val="000000"/>
          <w:sz w:val="24"/>
        </w:rPr>
        <w:t xml:space="preserve"> A vencedora, durante toda a execução do contrato, deverá manter todas as condições exigidas no Termo de Referência.</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7.3.</w:t>
      </w:r>
      <w:r>
        <w:rPr>
          <w:rFonts w:hint="default" w:ascii="Arial" w:hAnsi="Arial"/>
          <w:b w:val="false"/>
          <w:i w:val="false"/>
          <w:color w:val="000000"/>
          <w:sz w:val="24"/>
        </w:rPr>
        <w:t xml:space="preserve"> Constatada a situação de irregularidade em quaisquer das certidões da Contratada, a mesma será notificada, por escrito, sem prejuízo do pagamento pelo objeto já executado, para, num prazo de 05 (cinco) dias úteis, regularizar tal situação ou, no mesmo prazo, apresentar defesa, em processo administrativo instaurado para esse fim específico.</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7.4.</w:t>
      </w:r>
      <w:r>
        <w:rPr>
          <w:rFonts w:hint="default" w:ascii="Arial" w:hAnsi="Arial"/>
          <w:b w:val="false"/>
          <w:i w:val="false"/>
          <w:color w:val="000000"/>
          <w:sz w:val="24"/>
        </w:rPr>
        <w:t xml:space="preserve"> O prazo para regularização ou encaminhamento de defesa de que trata o subitem anterior poderá ser prorrogado uma vez e por igual período, a critério da Contratante.</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7.5.</w:t>
      </w:r>
      <w:r>
        <w:rPr>
          <w:rFonts w:hint="default" w:ascii="Arial" w:hAnsi="Arial"/>
          <w:b w:val="false"/>
          <w:i w:val="false"/>
          <w:color w:val="000000"/>
          <w:sz w:val="24"/>
        </w:rPr>
        <w:t xml:space="preserve"> Não havendo regularização ou sendo a defesa considerada improcedente, a Contratante deverá comunicar aos órgãos responsáveis pela fiscalização da regularidade fiscal e trabalhista quanto à inadimplência do fornecedor, bem como quanto à existência de pagamento a ser efetuado pela Administração, para que sejam acionados os meios pertinentes e necessários para garantir o recebimento de seus créditos.</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7.6.</w:t>
      </w:r>
      <w:r>
        <w:rPr>
          <w:rFonts w:hint="default" w:ascii="Arial" w:hAnsi="Arial"/>
          <w:b w:val="false"/>
          <w:i w:val="false"/>
          <w:color w:val="000000"/>
          <w:sz w:val="24"/>
        </w:rPr>
        <w:t xml:space="preserve"> Persistindo a irregularidade, a Contratante, em decisão fundamentada, deverá aplicar a penalidade cabível nos autos do processo administrativo correspondente.</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8 – OBRIGAÇÕES DA CONTRATANTE</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8.1.</w:t>
      </w:r>
      <w:r>
        <w:rPr>
          <w:rFonts w:hint="default" w:ascii="Arial" w:hAnsi="Arial"/>
          <w:b w:val="false"/>
          <w:i w:val="false"/>
          <w:color w:val="000000"/>
          <w:sz w:val="24"/>
        </w:rPr>
        <w:t xml:space="preserve"> Constituem obrigações da Contratante:</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8.1.1</w:t>
      </w:r>
      <w:r>
        <w:rPr>
          <w:rFonts w:hint="default" w:ascii="Arial" w:hAnsi="Arial"/>
          <w:b w:val="false"/>
          <w:i w:val="false"/>
          <w:color w:val="000000"/>
          <w:sz w:val="24"/>
        </w:rPr>
        <w:t>. Cumprir os compromissos financeiros assumidos com a Contratada;</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8.1.2.</w:t>
      </w:r>
      <w:r>
        <w:rPr>
          <w:rFonts w:hint="default" w:ascii="Arial" w:hAnsi="Arial"/>
          <w:b w:val="false"/>
          <w:i w:val="false"/>
          <w:color w:val="000000"/>
          <w:sz w:val="24"/>
        </w:rPr>
        <w:t xml:space="preserve"> Fornecer e colocar à disposição da Contratada todos os elementos e informações que se fizerem necessários à execução do objeto;</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8.1.3.</w:t>
      </w:r>
      <w:r>
        <w:rPr>
          <w:rFonts w:hint="default" w:ascii="Arial" w:hAnsi="Arial"/>
          <w:b w:val="false"/>
          <w:i w:val="false"/>
          <w:color w:val="000000"/>
          <w:sz w:val="24"/>
        </w:rPr>
        <w:t xml:space="preserve"> Proporcionar condições para a boa consecução do objeto do Contrato;</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8.1.4.</w:t>
      </w:r>
      <w:r>
        <w:rPr>
          <w:rFonts w:hint="default" w:ascii="Arial" w:hAnsi="Arial"/>
          <w:b w:val="false"/>
          <w:i w:val="false"/>
          <w:color w:val="000000"/>
          <w:sz w:val="24"/>
        </w:rPr>
        <w:t xml:space="preserve"> Notificar, formal e tempestivamente, a Contratada sobre as irregularidades observadas no cumprimento do Contrato;</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8.1.5.</w:t>
      </w:r>
      <w:r>
        <w:rPr>
          <w:rFonts w:hint="default" w:ascii="Arial" w:hAnsi="Arial"/>
          <w:b w:val="false"/>
          <w:i w:val="false"/>
          <w:color w:val="000000"/>
          <w:sz w:val="24"/>
        </w:rPr>
        <w:t xml:space="preserve"> Notificar a Contratada, por escrito e com antecedência, sobre multas, penalidades e quaisquer débitos de sua responsabilidade;</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8.1.6</w:t>
      </w:r>
      <w:r>
        <w:rPr>
          <w:rFonts w:hint="default" w:ascii="Arial" w:hAnsi="Arial"/>
          <w:b w:val="false"/>
          <w:i w:val="false"/>
          <w:color w:val="000000"/>
          <w:sz w:val="24"/>
        </w:rPr>
        <w:t>. Fiscalizar o Contrato através do setor competente da Contratante;</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8.1.7</w:t>
      </w:r>
      <w:r>
        <w:rPr>
          <w:rFonts w:hint="default" w:ascii="Arial" w:hAnsi="Arial"/>
          <w:b w:val="false"/>
          <w:i w:val="false"/>
          <w:color w:val="000000"/>
          <w:sz w:val="24"/>
        </w:rPr>
        <w:t xml:space="preserve"> Acompanhar a entrega dos objetos ofertados efetuados pela Contratada, podendo intervir durante a sua execução, para fins de ajustes ou suspensão.</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9 – OBRIGAÇÕES DA CONTRATADA</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9.1</w:t>
      </w:r>
      <w:r>
        <w:rPr>
          <w:rFonts w:hint="default" w:ascii="Arial" w:hAnsi="Arial"/>
          <w:b w:val="false"/>
          <w:i w:val="false"/>
          <w:color w:val="000000"/>
          <w:sz w:val="24"/>
        </w:rPr>
        <w:t>. Constituem obrigações da Contratada:</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9.1.1</w:t>
      </w:r>
      <w:r>
        <w:rPr>
          <w:rFonts w:hint="default" w:ascii="Arial" w:hAnsi="Arial"/>
          <w:b w:val="false"/>
          <w:i w:val="false"/>
          <w:color w:val="000000"/>
          <w:sz w:val="24"/>
        </w:rPr>
        <w:t>. Não subcontratar, subempreitar, ceder ou transferir, total ou parcialmente o objeto do Contrato;</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9.1.2</w:t>
      </w:r>
      <w:r>
        <w:rPr>
          <w:rFonts w:hint="default" w:ascii="Arial" w:hAnsi="Arial"/>
          <w:b w:val="false"/>
          <w:i w:val="false"/>
          <w:color w:val="000000"/>
          <w:sz w:val="24"/>
        </w:rPr>
        <w:t>. Qualquer ato que implique a substituição do Contratado por outra pessoa jurídica, como a fusão, cisão ou incorporação, somente será admitida mediante expresso e prévio consentimento da Secretaria Estadual de Saúde, desde que:</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a)</w:t>
      </w:r>
      <w:r>
        <w:rPr>
          <w:rFonts w:hint="default" w:ascii="Arial" w:hAnsi="Arial"/>
          <w:b w:val="false"/>
          <w:i w:val="false"/>
          <w:color w:val="000000"/>
          <w:sz w:val="24"/>
        </w:rPr>
        <w:t xml:space="preserve"> seja mantida a condição de microempresa ou empresa de pequeno porte (quando for o caso);</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b)</w:t>
      </w:r>
      <w:r>
        <w:rPr>
          <w:rFonts w:hint="default" w:ascii="Arial" w:hAnsi="Arial"/>
          <w:b w:val="false"/>
          <w:i w:val="false"/>
          <w:color w:val="000000"/>
          <w:sz w:val="24"/>
        </w:rPr>
        <w:t xml:space="preserve"> sejam observados pela nova pessoa jurídica todos os requisitos de contratação exigidos no processo;</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c)</w:t>
      </w:r>
      <w:r>
        <w:rPr>
          <w:rFonts w:hint="default" w:ascii="Arial" w:hAnsi="Arial"/>
          <w:b w:val="false"/>
          <w:i w:val="false"/>
          <w:color w:val="000000"/>
          <w:sz w:val="24"/>
        </w:rPr>
        <w:t xml:space="preserve"> sejam mantidas as demais cláusulas e condições do contrato; e</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d)</w:t>
      </w:r>
      <w:r>
        <w:rPr>
          <w:rFonts w:hint="default" w:ascii="Arial" w:hAnsi="Arial"/>
          <w:b w:val="false"/>
          <w:i w:val="false"/>
          <w:color w:val="000000"/>
          <w:sz w:val="24"/>
        </w:rPr>
        <w:t xml:space="preserve"> não haja qualquer prejuízo à boa execução das obrigações pactuadas.</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9.1.3</w:t>
      </w:r>
      <w:r>
        <w:rPr>
          <w:rFonts w:hint="default" w:ascii="Arial" w:hAnsi="Arial"/>
          <w:b w:val="false"/>
          <w:i w:val="false"/>
          <w:color w:val="000000"/>
          <w:sz w:val="24"/>
        </w:rPr>
        <w:t>. Entregar os objetos ofertados, no prazo proposto e em conformidade com as especificações exigidas no Termo de Referência e seus Anexos;</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9.1.4.</w:t>
      </w:r>
      <w:r>
        <w:rPr>
          <w:rFonts w:hint="default" w:ascii="Arial" w:hAnsi="Arial"/>
          <w:b w:val="false"/>
          <w:i w:val="false"/>
          <w:color w:val="000000"/>
          <w:sz w:val="24"/>
        </w:rPr>
        <w:t xml:space="preserve"> Somente divulgar informações acerca dos objetos do contrato, que envolva o nome da contratante, mediante sua prévia e expressa autorização;</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9.1.5.</w:t>
      </w:r>
      <w:r>
        <w:rPr>
          <w:rFonts w:hint="default" w:ascii="Arial" w:hAnsi="Arial"/>
          <w:b w:val="false"/>
          <w:i w:val="false"/>
          <w:color w:val="000000"/>
          <w:sz w:val="24"/>
        </w:rPr>
        <w:t xml:space="preserve"> Manter, durante a execução do contrato, em compatibilidade com as obrigações assumidas, todas as condições de contratação;</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9.1.6.</w:t>
      </w:r>
      <w:r>
        <w:rPr>
          <w:rFonts w:hint="default" w:ascii="Arial" w:hAnsi="Arial"/>
          <w:b w:val="false"/>
          <w:i w:val="false"/>
          <w:color w:val="000000"/>
          <w:sz w:val="24"/>
        </w:rPr>
        <w:t xml:space="preserve"> Instruir o fornecimento dos objetos do contrato com as notas fiscais correspondentes, juntando cópia da solicitação de entrega e do comprovante do respectivo recebimento;</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9.1.7.</w:t>
      </w:r>
      <w:r>
        <w:rPr>
          <w:rFonts w:hint="default" w:ascii="Arial" w:hAnsi="Arial"/>
          <w:b w:val="false"/>
          <w:i w:val="false"/>
          <w:color w:val="000000"/>
          <w:sz w:val="24"/>
        </w:rPr>
        <w:t xml:space="preserve"> Cumprir todas as leis e posturas federais, estaduais e municipais pertinentes e responsabilizar-se por todos prejuízos decorrentes de infrações a que houver dado causa;</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9.1.8.</w:t>
      </w:r>
      <w:r>
        <w:rPr>
          <w:rFonts w:hint="default" w:ascii="Arial" w:hAnsi="Arial"/>
          <w:b w:val="false"/>
          <w:i w:val="false"/>
          <w:color w:val="000000"/>
          <w:sz w:val="24"/>
        </w:rPr>
        <w:t xml:space="preserve"> 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 inclusive quanto ao transporte interno dos bens;</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9.1.9.</w:t>
      </w:r>
      <w:r>
        <w:rPr>
          <w:rFonts w:hint="default" w:ascii="Arial" w:hAnsi="Arial"/>
          <w:b w:val="false"/>
          <w:i w:val="false"/>
          <w:color w:val="000000"/>
          <w:sz w:val="24"/>
        </w:rPr>
        <w:t xml:space="preserve"> Aceitar nas mesmas condições contratuais, os acréscimos ou supressões que se fizerem, no objeto, até 25% (vinte e cinco por cento) do valor inicial atualizado do contrato;</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9.1.10</w:t>
      </w:r>
      <w:r>
        <w:rPr>
          <w:rFonts w:hint="default" w:ascii="Arial" w:hAnsi="Arial"/>
          <w:b w:val="false"/>
          <w:i w:val="false"/>
          <w:color w:val="000000"/>
          <w:sz w:val="24"/>
        </w:rPr>
        <w:t>. Responder perante a Contratante e terceiros por eventuais prejuízos e danos decorrentes de sua demora ou de sua omissão, sob a sua responsabilidade ou por erro da execução deste contrato;</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9.1.11</w:t>
      </w:r>
      <w:r>
        <w:rPr>
          <w:rFonts w:hint="default" w:ascii="Arial" w:hAnsi="Arial"/>
          <w:b w:val="false"/>
          <w:i w:val="false"/>
          <w:color w:val="000000"/>
          <w:sz w:val="24"/>
        </w:rPr>
        <w:t>. Responsabilizar-se por quaisquer ônus decorrentes de omissões ou erros na elaboração de estimativa de custos e que redundem em aumento de despesas para a Contratante;</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9.1.12.</w:t>
      </w:r>
      <w:r>
        <w:rPr>
          <w:rFonts w:hint="default" w:ascii="Arial" w:hAnsi="Arial"/>
          <w:b w:val="false"/>
          <w:i w:val="false"/>
          <w:color w:val="000000"/>
          <w:sz w:val="24"/>
        </w:rPr>
        <w:t xml:space="preserve"> Responsabilizar-se pelo ônus resultante de quaisquer ações, demandas, custos e despesas decorrentes de danos causados por culpa ou dolo de seus empregados, prepostos e/ou contratados, bem como se obrigar por quaisquer responsabilidades decorrentes de ações judiciais que lhe venham a ser atribuída por força de lei, relacionadas com o cumprimento do Contrato;</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9.1.13</w:t>
      </w:r>
      <w:r>
        <w:rPr>
          <w:rFonts w:hint="default" w:ascii="Arial" w:hAnsi="Arial"/>
          <w:b w:val="false"/>
          <w:i w:val="false"/>
          <w:color w:val="000000"/>
          <w:sz w:val="24"/>
        </w:rPr>
        <w:t>. Responsabilizar-se pelos vícios e danos decorrentes do objeto, de acordo com os arts. 12, 13 e 17 a 27, do Código de Defesa do Consumidor (Lei nº 8.078, de 1990).</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9.1.14</w:t>
      </w:r>
      <w:r>
        <w:rPr>
          <w:rFonts w:hint="default" w:ascii="Arial" w:hAnsi="Arial"/>
          <w:b w:val="false"/>
          <w:i w:val="false"/>
          <w:color w:val="000000"/>
          <w:sz w:val="24"/>
        </w:rPr>
        <w:t>. Indicar preposto para representa-la durante a execução do contrato.</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10 – DOCUMENTOS NECESSÁRIOS</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10.1.</w:t>
      </w:r>
      <w:r>
        <w:rPr>
          <w:rFonts w:hint="default" w:ascii="Arial" w:hAnsi="Arial"/>
          <w:b w:val="false"/>
          <w:i w:val="false"/>
          <w:color w:val="000000"/>
          <w:sz w:val="24"/>
        </w:rPr>
        <w:t xml:space="preserve"> Após a abertura de cotação eletrônica no SGC – Sistema Gestor de Compras, caso a empresa vencedora não seja a mesma que apresentou os documentos no momento da primeira pesquisa de mercado efetuada pelo setor demandante, terá o prazo de até 24 (vinte e quatro) horas para apresentar os documentos elencados abaixo, sob pena de desclassificação.</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10.2.</w:t>
      </w:r>
      <w:r>
        <w:rPr>
          <w:rFonts w:hint="default" w:ascii="Arial" w:hAnsi="Arial"/>
          <w:b w:val="false"/>
          <w:i w:val="false"/>
          <w:color w:val="000000"/>
          <w:sz w:val="24"/>
        </w:rPr>
        <w:t xml:space="preserve"> A inscrição no Cadastro de Pessoas Físicas (CPF) ou no Cadastro Nacional da Pessoa Jurídica (CNPJ);</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10.3.</w:t>
      </w:r>
      <w:r>
        <w:rPr>
          <w:rFonts w:hint="default" w:ascii="Arial" w:hAnsi="Arial"/>
          <w:b w:val="false"/>
          <w:i w:val="false"/>
          <w:color w:val="000000"/>
          <w:sz w:val="24"/>
        </w:rPr>
        <w:t xml:space="preserve"> A inscrição no cadastro de contribuintes estadual e/ou municipal, se houver, relativo ao domicílio ou sede do licitante, pertinente ao seu ramo de atividade e compatível com o objeto contratual;</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10.4.</w:t>
      </w:r>
      <w:r>
        <w:rPr>
          <w:rFonts w:hint="default" w:ascii="Arial" w:hAnsi="Arial"/>
          <w:b w:val="false"/>
          <w:i w:val="false"/>
          <w:color w:val="000000"/>
          <w:sz w:val="24"/>
        </w:rPr>
        <w:t xml:space="preserve"> A regularidade perante a Fazenda federal, estadual e/ou municipal do domicílio ou sede do licitante, ou outra equivalente, na forma da lei;</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10.5.</w:t>
      </w:r>
      <w:r>
        <w:rPr>
          <w:rFonts w:hint="default" w:ascii="Arial" w:hAnsi="Arial"/>
          <w:b w:val="false"/>
          <w:i w:val="false"/>
          <w:color w:val="000000"/>
          <w:sz w:val="24"/>
        </w:rPr>
        <w:t xml:space="preserve"> A regularidade relativa à Seguridade Social e ao FGTS, que demonstre cumprimento dos encargos sociais instituídos por lei;</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10.6.</w:t>
      </w:r>
      <w:r>
        <w:rPr>
          <w:rFonts w:hint="default" w:ascii="Arial" w:hAnsi="Arial"/>
          <w:b w:val="false"/>
          <w:i w:val="false"/>
          <w:color w:val="000000"/>
          <w:sz w:val="24"/>
        </w:rPr>
        <w:t xml:space="preserve"> A regularidade perante a Justiça do Trabalho;</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10.7.</w:t>
      </w:r>
      <w:r>
        <w:rPr>
          <w:rFonts w:hint="default" w:ascii="Arial" w:hAnsi="Arial"/>
          <w:b w:val="false"/>
          <w:i w:val="false"/>
          <w:color w:val="000000"/>
          <w:sz w:val="24"/>
        </w:rPr>
        <w:t xml:space="preserve"> Declaração de cumprimento do disposto no inciso XXXIII do art. 7º da Constituição Federal, </w:t>
      </w:r>
      <w:r>
        <w:rPr>
          <w:rFonts w:hint="default" w:ascii="Arial" w:hAnsi="Arial"/>
          <w:b w:val="false"/>
          <w:i/>
          <w:color w:val="000000"/>
          <w:sz w:val="24"/>
        </w:rPr>
        <w:t>“proibição de trabalho noturno, perigoso ou insalubre a menores de dezoito e de qualquer trabalho a menores de dezesseis anos, salvo na condição de aprendiz, a partir de quatorze anos;”</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10.8.</w:t>
      </w:r>
      <w:r>
        <w:rPr>
          <w:rFonts w:hint="default" w:ascii="Arial" w:hAnsi="Arial"/>
          <w:b w:val="false"/>
          <w:i w:val="false"/>
          <w:color w:val="000000"/>
          <w:sz w:val="24"/>
        </w:rPr>
        <w:t xml:space="preserve"> Declaração de inexistência de fato impeditivo para licitar ou para contratar com a Administração Pública;</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10.9.</w:t>
      </w:r>
      <w:r>
        <w:rPr>
          <w:rFonts w:hint="default" w:ascii="Arial" w:hAnsi="Arial"/>
          <w:b w:val="false"/>
          <w:i w:val="false"/>
          <w:color w:val="000000"/>
          <w:sz w:val="24"/>
        </w:rPr>
        <w:t xml:space="preserve"> Declaração de enquadramento na condição de microempresa e empresa de pequeno porte, nos termos da Lei Complementar Federal nº 123, de 14 de dezembro de 2006, quando for o caso;</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10.10</w:t>
      </w:r>
      <w:r>
        <w:rPr>
          <w:rFonts w:hint="default" w:ascii="Arial" w:hAnsi="Arial"/>
          <w:b w:val="false"/>
          <w:i w:val="false"/>
          <w:color w:val="000000"/>
          <w:sz w:val="24"/>
        </w:rPr>
        <w:t>. Declaração de pleno conhecimento e de aceitação das regras e das condições gerais da contratação, constantes do procedimento;</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10.11</w:t>
      </w:r>
      <w:r>
        <w:rPr>
          <w:rFonts w:hint="default" w:ascii="Arial" w:hAnsi="Arial"/>
          <w:b w:val="false"/>
          <w:i w:val="false"/>
          <w:color w:val="000000"/>
          <w:sz w:val="24"/>
        </w:rPr>
        <w:t>. Declaração de responsabilidade pelas transações que forem efetuadas no SDE, assumindo-as como firmes e verdadeiras;</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10.12</w:t>
      </w:r>
      <w:r>
        <w:rPr>
          <w:rFonts w:hint="default" w:ascii="Arial" w:hAnsi="Arial"/>
          <w:b w:val="false"/>
          <w:i w:val="false"/>
          <w:color w:val="000000"/>
          <w:sz w:val="24"/>
        </w:rPr>
        <w:t>. Contrato Social e a última alteração, de forma que os documentos apresentados demonstrem compatibilidade com o objeto pretendido e o atual sócio majoritário.</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10.13</w:t>
      </w:r>
      <w:r>
        <w:rPr>
          <w:rFonts w:hint="default" w:ascii="Arial" w:hAnsi="Arial"/>
          <w:b w:val="false"/>
          <w:i w:val="false"/>
          <w:color w:val="000000"/>
          <w:sz w:val="24"/>
        </w:rPr>
        <w:t>. As informações acima exigidas são de inteira responsabilidade da empresa participante.</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10.14.</w:t>
      </w:r>
      <w:r>
        <w:rPr>
          <w:rFonts w:hint="default" w:ascii="Arial" w:hAnsi="Arial"/>
          <w:b w:val="false"/>
          <w:i w:val="false"/>
          <w:color w:val="000000"/>
          <w:sz w:val="24"/>
        </w:rPr>
        <w:t xml:space="preserve"> Após análise dos documentos inseridos neste Termo de Referência, como condição prévia, à declaração de vencedor, a Coordenadoria de Gestão de Compras verificará eventual descumprimento das condições de participação, especialmente quanto à existência de sanção que impeça a participação na cotação eletrônica ou a uture contratação, mediante a consulta ao seguinte cadastro:</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10.14.1.</w:t>
      </w:r>
      <w:r>
        <w:rPr>
          <w:rFonts w:hint="default" w:ascii="Arial" w:hAnsi="Arial"/>
          <w:b w:val="false"/>
          <w:i w:val="false"/>
          <w:color w:val="000000"/>
          <w:sz w:val="24"/>
        </w:rPr>
        <w:t xml:space="preserve"> Consulta consolidada de pessoa jurídica do Tribunal de Contas da União ( </w:t>
      </w:r>
      <w:r>
        <w:rPr>
          <w:rFonts w:hint="default" w:ascii="Arial" w:hAnsi="Arial"/>
          <w:b w:val="false"/>
          <w:i w:val="false"/>
          <w:color w:val="0000ff"/>
          <w:sz w:val="24"/>
        </w:rPr>
        <w:t>https://certidões-apf:apps.tcu.gov.br/</w:t>
      </w:r>
      <w:r>
        <w:rPr>
          <w:rFonts w:hint="default" w:ascii="Arial" w:hAnsi="Arial"/>
          <w:b w:val="false"/>
          <w:i w:val="false"/>
          <w:color w:val="000000"/>
          <w:sz w:val="24"/>
        </w:rPr>
        <w:t>).</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10.14.2.</w:t>
      </w:r>
      <w:r>
        <w:rPr>
          <w:rFonts w:hint="default" w:ascii="Arial" w:hAnsi="Arial"/>
          <w:b w:val="false"/>
          <w:i w:val="false"/>
          <w:color w:val="000000"/>
          <w:sz w:val="24"/>
        </w:rPr>
        <w:t xml:space="preserve"> A consulta ao citado cadastro será realizada em nome da empresa e também de seu sócio majoritário, por força do artigo 12 da Lei Federal n. 8.429, de 2 de junho de 1992, que prevê, dentre as sanções impostas ao responsável pela prática de ato de improbidade administrativa, a proibição de contratar com o Poder Público, inclusive por intermédio de pessoa jurídica da qual seja sócio majoritário.</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10.14.3</w:t>
      </w:r>
      <w:r>
        <w:rPr>
          <w:rFonts w:hint="default" w:ascii="Arial" w:hAnsi="Arial"/>
          <w:b w:val="false"/>
          <w:i w:val="false"/>
          <w:color w:val="000000"/>
          <w:sz w:val="24"/>
        </w:rPr>
        <w:t>. Constatada a existência de sanção, a Coordenadoria de Gestão de Compras/SES/MS reputará a empresa inabilitada por falta de condição de participação.</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11 – CRITÉRIO DE AVALIAÇÃO DAS PROPOSTAS</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11.1.</w:t>
      </w:r>
      <w:r>
        <w:rPr>
          <w:rFonts w:hint="default" w:ascii="Arial" w:hAnsi="Arial"/>
          <w:b w:val="false"/>
          <w:i w:val="false"/>
          <w:color w:val="000000"/>
          <w:sz w:val="24"/>
        </w:rPr>
        <w:t xml:space="preserve"> Menor preço por Item.</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12 – DOTAÇÃO ORÇAMENTÁRIA</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p>
    <w:tbl>
      <w:tblPr>
        <w:tblW w:w="0" w:type="auto"/>
        <w:tblCellSpacing w:w="0" w:type="auto"/>
        <w:tblBorders>
          <w:top w:val="none"/>
          <w:left w:val="none"/>
          <w:bottom w:val="none"/>
          <w:right w:val="none"/>
          <w:insideH w:val="none"/>
          <w:insideV w:val="none"/>
        </w:tblBorders>
      </w:tblPr>
      <w:tblGrid>
        <w:gridCol w:w="4620"/>
        <w:gridCol w:w="2985"/>
        <w:gridCol w:w="2541"/>
        <w:gridCol w:w="1527"/>
      </w:tblGrid>
      <w:tr>
        <w:tc>
          <w:tcPr>
            <w:tcW w:w="0" w:type="auto"/>
            <w:gridSpan w:val="4"/>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Dotação</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tc>
      </w:tr>
      <w:tr>
        <w:tc>
          <w:tcPr>
            <w:tcW w:w="462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Funcional Programática</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tc>
        <w:tc>
          <w:tcPr>
            <w:tcW w:w="2985"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Natureza de Despesa</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tc>
        <w:tc>
          <w:tcPr>
            <w:tcW w:w="2541"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Fonte de Recurso</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tc>
        <w:tc>
          <w:tcPr>
            <w:tcW w:w="1527"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Exercício</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tc>
      </w:tr>
      <w:tr>
        <w:tc>
          <w:tcPr>
            <w:tcW w:w="462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20.27901.10.422.2044.4075.0003</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tc>
        <w:tc>
          <w:tcPr>
            <w:tcW w:w="2985"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33903941</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tc>
        <w:tc>
          <w:tcPr>
            <w:tcW w:w="2541"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50010021</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tc>
        <w:tc>
          <w:tcPr>
            <w:tcW w:w="1527"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2023</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tc>
      </w:tr>
    </w:tbl>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12.1.</w:t>
      </w:r>
      <w:r>
        <w:rPr>
          <w:rFonts w:hint="default" w:ascii="Arial" w:hAnsi="Arial"/>
          <w:b w:val="false"/>
          <w:i w:val="false"/>
          <w:color w:val="000000"/>
          <w:sz w:val="24"/>
        </w:rPr>
        <w:t xml:space="preserve"> A Contratante reserva-se no direito de, a seu critério, utilizar ou não a totalidade da reserva orçamentária prevista.</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12.2.</w:t>
      </w:r>
      <w:r>
        <w:rPr>
          <w:rFonts w:hint="default" w:ascii="Arial" w:hAnsi="Arial"/>
          <w:b w:val="false"/>
          <w:i w:val="false"/>
          <w:color w:val="000000"/>
          <w:sz w:val="24"/>
        </w:rPr>
        <w:t xml:space="preserve"> As despesas efetuadas no próximo exercício correrão à conta do respectivo orçamento, dentro da mesma programação financeira.</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13. DA SUSTENTABILIDADE</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13.1.</w:t>
      </w:r>
      <w:r>
        <w:rPr>
          <w:rFonts w:hint="default" w:ascii="Arial" w:hAnsi="Arial"/>
          <w:b w:val="false"/>
          <w:i w:val="false"/>
          <w:color w:val="000000"/>
          <w:sz w:val="24"/>
        </w:rPr>
        <w:t xml:space="preserve"> De acordo com o art. 5º da Lei n. 14.133/2021, será observado, nas contratações públicas, além de outros princípios, o princípio do </w:t>
      </w:r>
      <w:r>
        <w:rPr>
          <w:rFonts w:hint="default" w:ascii="Arial" w:hAnsi="Arial"/>
          <w:b/>
          <w:i w:val="false"/>
          <w:color w:val="000000"/>
          <w:sz w:val="24"/>
        </w:rPr>
        <w:t>desenvolvimento nacional sustentável</w:t>
      </w:r>
      <w:r>
        <w:rPr>
          <w:rFonts w:hint="default" w:ascii="Arial" w:hAnsi="Arial"/>
          <w:b w:val="false"/>
          <w:i w:val="false"/>
          <w:color w:val="000000"/>
          <w:sz w:val="24"/>
        </w:rPr>
        <w:t>. O art. 11, inc. IV, da mesma lei, prevê que o processo licitatório tem como um dos seus objetivos, incentivar a inovação e o desenvolvimento nacional sustentável.</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13.2.</w:t>
      </w:r>
      <w:r>
        <w:rPr>
          <w:rFonts w:hint="default" w:ascii="Arial" w:hAnsi="Arial"/>
          <w:b w:val="false"/>
          <w:i w:val="false"/>
          <w:color w:val="000000"/>
          <w:sz w:val="24"/>
        </w:rPr>
        <w:t xml:space="preserve"> Isto posto, a presente contratação adotará os critérios de sustentabilidade previstos na Instrução Normativa n. 01/2010 art. 6º, II e IV da Secretaria de Logística e Tecnologia da Informação do Ministério do Planejamento e Guia de Licitações Sustentáveis da AGU, quais sejam: </w:t>
      </w:r>
      <w:r>
        <w:rPr>
          <w:rFonts w:hint="default" w:ascii="Arial" w:hAnsi="Arial"/>
          <w:b/>
          <w:i w:val="false"/>
          <w:color w:val="000000"/>
          <w:sz w:val="24"/>
        </w:rPr>
        <w:t xml:space="preserve">a) </w:t>
      </w:r>
      <w:r>
        <w:rPr>
          <w:rFonts w:hint="default" w:ascii="Arial" w:hAnsi="Arial"/>
          <w:b w:val="false"/>
          <w:i w:val="false"/>
          <w:color w:val="000000"/>
          <w:sz w:val="24"/>
        </w:rPr>
        <w:t xml:space="preserve">adotar medidas para evitar o desperdício de água tratada, conforme instituído no Decreto nº 48.138, de 8 de outubro de 2003 e </w:t>
      </w:r>
      <w:r>
        <w:rPr>
          <w:rFonts w:hint="default" w:ascii="Arial" w:hAnsi="Arial"/>
          <w:b/>
          <w:i w:val="false"/>
          <w:color w:val="000000"/>
          <w:sz w:val="24"/>
        </w:rPr>
        <w:t xml:space="preserve">b) </w:t>
      </w:r>
      <w:r>
        <w:rPr>
          <w:rFonts w:hint="default" w:ascii="Arial" w:hAnsi="Arial"/>
          <w:b w:val="false"/>
          <w:i w:val="false"/>
          <w:color w:val="000000"/>
          <w:sz w:val="24"/>
        </w:rPr>
        <w:t>fornecer aos empregados os equipamentos de segurança que se fizerem necessários, para a execução de serviços.</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14 – SANÇÕES</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14.1.</w:t>
      </w:r>
      <w:r>
        <w:rPr>
          <w:rFonts w:hint="default" w:ascii="Arial" w:hAnsi="Arial"/>
          <w:b w:val="false"/>
          <w:i w:val="false"/>
          <w:color w:val="000000"/>
          <w:sz w:val="24"/>
        </w:rPr>
        <w:t xml:space="preserve"> Serão aplicadas as sanções dispostas na Lei 14.133/2021 e suas alterações.</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15 – JUSTIFICATIVAS PARA O PARCELAMENTO OU NÃO DA CONTRATAÇÃO</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15.1.</w:t>
      </w:r>
      <w:r>
        <w:rPr>
          <w:rFonts w:hint="default" w:ascii="Arial" w:hAnsi="Arial"/>
          <w:b w:val="false"/>
          <w:i w:val="false"/>
          <w:color w:val="000000"/>
          <w:sz w:val="24"/>
        </w:rPr>
        <w:t xml:space="preserve"> Não se aplicará o parcelamento na presente contratação, por ausência de viabilidade econômica, posto que restou demonstrado que a aquisição do iteo do mesmo fornecedor importará em maior vantagem, em economia de escala e/ou redução de custos, nos termos dispostos do art. 40, § 3° inciso I, da Lei n. 14.133/21.</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16 - POSICIONAMENTO CONCLUSIVO SOBRE A ADEQUAÇÃO DA CONTRATAÇÃO PARA O ATENDIMENTO DA NECESSIDADE A QUE SE DESTINA</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16.1.</w:t>
      </w:r>
      <w:r>
        <w:rPr>
          <w:rFonts w:hint="default" w:ascii="Arial" w:hAnsi="Arial"/>
          <w:b w:val="false"/>
          <w:i w:val="false"/>
          <w:color w:val="000000"/>
          <w:sz w:val="24"/>
        </w:rPr>
        <w:t xml:space="preserve"> Após os estudos realizados, a contratação é dotada de viabilidade para o atendimento da necessidade descrita, na modalidade Dispensa de Licitação.</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17 - DISPENSA DO ESTUDO TÉCNICO PRELIMINAR</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17.1.</w:t>
      </w:r>
      <w:r>
        <w:rPr>
          <w:rFonts w:hint="default" w:ascii="Arial" w:hAnsi="Arial"/>
          <w:b w:val="false"/>
          <w:i w:val="false"/>
          <w:color w:val="000000"/>
          <w:sz w:val="24"/>
        </w:rPr>
        <w:t xml:space="preserve"> Considerando que a estimativa do valor para aquisição do presente objeto não ultrapassa o valor contido no art. 75, inciso II da Lei Federal n. 14.133/2021, e atualizado pelo Decreto Federal n. 11.317 de 29 de dezembro de 2022, é dispensada a elaboração do Estudo Técnico Preliminar conforme determina o art. 7º, § 6º, inciso I, do Decreto Estadual n º 15.941, de 26 de maio de 2022.</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right"/>
      </w:pPr>
      <w:r>
        <w:rPr>
          <w:rFonts w:hint="default" w:ascii="Arial" w:hAnsi="Arial"/>
          <w:b w:val="false"/>
          <w:i w:val="false"/>
          <w:color w:val="000000"/>
          <w:sz w:val="24"/>
        </w:rPr>
        <w:t xml:space="preserve"> 
       </w:t>
      </w:r>
      <w:r>
        <w:rPr>
          <w:rFonts w:hint="default" w:ascii="Arial" w:hAnsi="Arial"/>
          <w:b w:val="false"/>
          <w:i w:val="false"/>
          <w:color w:val="000000"/>
          <w:sz w:val="24"/>
        </w:rPr>
        <w:t>Campo Grande/MS, 18 de abril de 2023.</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Elaborador:</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André Luiz de Freitas Villa</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r>
        <w:rPr>
          <w:rFonts w:hint="default" w:ascii="Arial" w:hAnsi="Arial"/>
          <w:b w:val="false"/>
          <w:i w:val="false"/>
          <w:color w:val="000000"/>
          <w:sz w:val="24"/>
        </w:rPr>
        <w:t>Gerente de Apoio Técnico/DGAS</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Aprovado por:</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Antônio César Náglis</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r>
        <w:rPr>
          <w:rFonts w:hint="default" w:ascii="Arial" w:hAnsi="Arial"/>
          <w:b w:val="false"/>
          <w:i w:val="false"/>
          <w:color w:val="000000"/>
          <w:sz w:val="24"/>
        </w:rPr>
        <w:t>Ordenador de Despesas</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p>
    <w:p>
      <w:pPr>
        <w:spacing w:after="0"/>
        <w:ind w:left="0"/>
        <w:jc w:val="both"/>
      </w:pP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4"/>
        </w:rPr>
        <w:t>Secretaria de Estado de Saúde/SES</w:t>
      </w:r>
      <w:r>
        <w:rPr>
          <w:rFonts w:hint="default" w:ascii="Arial" w:hAnsi="Arial"/>
          <w:b w:val="false"/>
          <w:i w:val="false"/>
          <w:color w:val="000000"/>
          <w:sz w:val="20"/>
        </w:rPr>
        <w:t xml:space="preserve"> 
     </w:t>
      </w:r>
    </w:p>
    <w:sectPr>
      <w:headerReference w:type="default" r:id="rId4"/>
      <w:footerReference w:type="default" r:id="rId5"/>
      <w:pgSz w:w="11907" w:h="16839" w:code="9"/>
      <w:pgMar w:top="3402" w:right="1134" w:bottom="1134" w:left="1701"/>
    </w:sectPr>
  </w:body>
</w:document>
</file>

<file path=word/footer.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p>
    <w:pPr>
      <w:spacing w:after="120"/>
      <w:ind w:left="120"/>
      <w:jc w:val="left"/>
    </w:pPr>
  </w:p>
</w:ftr>
</file>

<file path=word/header.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p>
    <w:pPr>
      <w:spacing w:after="0"/>
      <w:ind w:left="0"/>
      <w:jc w:val="center"/>
    </w:pPr>
    <w:r>
      <w:rPr>
        <w:b w:val="false"/>
        <w:i w:val="false"/>
        <w:color w:val="000000"/>
        <w:sz w:val="22"/>
      </w:rPr>
      <w:t xml:space="preserve"> 
   </w:t>
    </w:r>
    <w:r>
      <w:drawing>
        <wp:inline distT="0" distB="0" distL="0" distR="0">
          <wp:extent cx="2540000" cy="764738"/>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1"/>
                  <a:stretch>
                    <a:fillRect/>
                  </a:stretch>
                </pic:blipFill>
                <pic:spPr>
                  <a:xfrm>
                    <a:off x="0" y="0"/>
                    <a:ext cx="2540000" cy="764738"/>
                  </a:xfrm>
                  <a:prstGeom prst="rect">
                    <a:avLst/>
                  </a:prstGeom>
                </pic:spPr>
              </pic:pic>
            </a:graphicData>
          </a:graphic>
        </wp:inline>
      </w:drawing>
    </w:r>
    <w:r>
      <w:rPr>
        <w:b w:val="false"/>
        <w:i w:val="false"/>
        <w:color w:val="000000"/>
        <w:sz w:val="22"/>
      </w:rPr>
      <w:t xml:space="preserve"> 
   </w:t>
    </w:r>
  </w:p>
  <w:p>
    <w:pPr>
      <w:spacing w:after="0"/>
      <w:ind w:left="0"/>
      <w:jc w:val="center"/>
    </w:pPr>
    <w:r>
      <w:rPr>
        <w:b w:val="false"/>
        <w:i w:val="false"/>
        <w:color w:val="000000"/>
        <w:sz w:val="22"/>
      </w:rPr>
      <w:t xml:space="preserve">
    Governo do Estado de Mato Grosso do Sul
   </w:t>
    </w:r>
  </w:p>
  <w:p>
    <w:pPr>
      <w:spacing w:after="0"/>
      <w:ind w:left="0"/>
      <w:jc w:val="center"/>
    </w:pPr>
    <w:r>
      <w:rPr>
        <w:b w:val="false"/>
        <w:i w:val="false"/>
        <w:color w:val="000000"/>
        <w:sz w:val="22"/>
      </w:rPr>
      <w:t xml:space="preserve">
    Fundo Especial de Saúde de Mato Grosso do Sul
   </w:t>
    </w:r>
  </w:p>
  <w:p>
    <w:pPr>
      <w:spacing w:after="0"/>
      <w:ind w:left="0"/>
      <w:jc w:val="center"/>
    </w:pPr>
    <w:r>
      <w:rPr>
        <w:b w:val="false"/>
        <w:i w:val="false"/>
        <w:color w:val="000000"/>
        <w:sz w:val="22"/>
      </w:rPr>
      <w:t xml:space="preserve">
    Termo de Referência FESA/00015/2023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header.xml" Type="http://schemas.openxmlformats.org/officeDocument/2006/relationships/header" Id="rId4"/>
    <Relationship Target="footer.xml" Type="http://schemas.openxmlformats.org/officeDocument/2006/relationships/footer" Id="rId5"/>
</Relationships>

</file>

<file path=word/_rels/header.xml.rels><?xml version="1.0" encoding="UTF-8" standalone="yes"?>
<Relationships xmlns="http://schemas.openxmlformats.org/package/2006/relationships">
    <Relationship Target="media/header_image_rId1.png" Type="http://schemas.openxmlformats.org/officeDocument/2006/relationships/image" Id="rId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