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77353C0" w14:textId="77777777" w:rsidR="003D171C" w:rsidRDefault="003D171C">
      <w:pPr>
        <w:jc w:val="center"/>
        <w:rPr>
          <w:rFonts w:asciiTheme="minorHAnsi" w:hAnsiTheme="minorHAnsi" w:cstheme="minorHAnsi"/>
          <w:b/>
          <w:bCs/>
          <w:sz w:val="24"/>
          <w:szCs w:val="24"/>
        </w:rPr>
      </w:pPr>
    </w:p>
    <w:p w14:paraId="2E60CEFC" w14:textId="77777777" w:rsidR="003D171C" w:rsidRDefault="00230661">
      <w:pPr>
        <w:jc w:val="center"/>
        <w:rPr>
          <w:rFonts w:ascii="Calibri" w:hAnsi="Calibri"/>
          <w:sz w:val="24"/>
          <w:szCs w:val="24"/>
        </w:rPr>
      </w:pPr>
      <w:r>
        <w:rPr>
          <w:rFonts w:asciiTheme="minorHAnsi" w:hAnsiTheme="minorHAnsi" w:cstheme="minorHAnsi"/>
          <w:b/>
          <w:bCs/>
          <w:sz w:val="24"/>
          <w:szCs w:val="24"/>
        </w:rPr>
        <w:t>TERMO DE REFERÊNCIA</w:t>
      </w:r>
    </w:p>
    <w:p w14:paraId="52F15D82" w14:textId="77777777" w:rsidR="003D171C" w:rsidRDefault="003D171C">
      <w:pPr>
        <w:jc w:val="center"/>
        <w:rPr>
          <w:rFonts w:asciiTheme="minorHAnsi" w:hAnsiTheme="minorHAnsi" w:cstheme="minorHAnsi"/>
          <w:b/>
          <w:bCs/>
          <w:sz w:val="24"/>
          <w:szCs w:val="24"/>
        </w:rPr>
      </w:pPr>
    </w:p>
    <w:p w14:paraId="109D1467" w14:textId="77777777" w:rsidR="003D171C" w:rsidRDefault="00230661">
      <w:pPr>
        <w:jc w:val="center"/>
        <w:rPr>
          <w:rFonts w:ascii="Calibri" w:hAnsi="Calibri"/>
          <w:sz w:val="24"/>
          <w:szCs w:val="24"/>
        </w:rPr>
      </w:pPr>
      <w:r>
        <w:rPr>
          <w:rFonts w:asciiTheme="minorHAnsi" w:hAnsiTheme="minorHAnsi" w:cstheme="minorHAnsi"/>
          <w:b/>
          <w:bCs/>
          <w:sz w:val="24"/>
          <w:szCs w:val="24"/>
        </w:rPr>
        <w:t>Processo Administrativo Nº 006/2025</w:t>
      </w:r>
    </w:p>
    <w:p w14:paraId="75247487" w14:textId="77777777" w:rsidR="003D171C" w:rsidRDefault="00230661">
      <w:pPr>
        <w:jc w:val="center"/>
        <w:rPr>
          <w:rFonts w:ascii="Calibri" w:hAnsi="Calibri"/>
          <w:sz w:val="24"/>
          <w:szCs w:val="24"/>
        </w:rPr>
      </w:pPr>
      <w:r>
        <w:rPr>
          <w:rFonts w:asciiTheme="minorHAnsi" w:hAnsiTheme="minorHAnsi" w:cstheme="minorHAnsi"/>
          <w:b/>
          <w:bCs/>
          <w:sz w:val="24"/>
          <w:szCs w:val="24"/>
        </w:rPr>
        <w:t>Inexigibilidade de Licitação Nº 002/2025</w:t>
      </w:r>
    </w:p>
    <w:p w14:paraId="12975954" w14:textId="77777777" w:rsidR="003D171C" w:rsidRDefault="003D171C">
      <w:pPr>
        <w:jc w:val="center"/>
        <w:rPr>
          <w:rFonts w:cstheme="minorHAnsi"/>
          <w:b/>
          <w:bCs/>
        </w:rPr>
      </w:pPr>
    </w:p>
    <w:p w14:paraId="534AAFC6" w14:textId="77777777" w:rsidR="003D171C" w:rsidRDefault="003D171C">
      <w:pPr>
        <w:tabs>
          <w:tab w:val="left" w:pos="517"/>
        </w:tabs>
        <w:ind w:right="283"/>
        <w:rPr>
          <w:rFonts w:asciiTheme="minorHAnsi" w:eastAsia="Tahoma" w:hAnsiTheme="minorHAnsi" w:cstheme="minorHAnsi"/>
          <w:b/>
          <w:color w:val="000000"/>
          <w:sz w:val="24"/>
          <w:szCs w:val="24"/>
        </w:rPr>
      </w:pPr>
    </w:p>
    <w:p w14:paraId="73462AF9" w14:textId="77777777" w:rsidR="003D171C" w:rsidRDefault="00230661">
      <w:pPr>
        <w:ind w:left="851"/>
        <w:rPr>
          <w:rFonts w:ascii="Calibri" w:hAnsi="Calibri"/>
          <w:sz w:val="24"/>
          <w:szCs w:val="24"/>
        </w:rPr>
      </w:pPr>
      <w:r>
        <w:rPr>
          <w:rFonts w:asciiTheme="minorHAnsi" w:hAnsiTheme="minorHAnsi" w:cstheme="minorHAnsi"/>
          <w:b/>
          <w:bCs/>
          <w:sz w:val="24"/>
          <w:szCs w:val="24"/>
        </w:rPr>
        <w:t>1. DA DEFINIÇÃO DO OBJETO</w:t>
      </w:r>
    </w:p>
    <w:p w14:paraId="65EB8FCF" w14:textId="77777777" w:rsidR="003D171C" w:rsidRDefault="00230661">
      <w:pPr>
        <w:widowControl/>
        <w:ind w:left="851" w:right="42"/>
        <w:jc w:val="both"/>
        <w:rPr>
          <w:rFonts w:ascii="Calibri" w:hAnsi="Calibri"/>
          <w:sz w:val="24"/>
          <w:szCs w:val="24"/>
        </w:rPr>
      </w:pPr>
      <w:r>
        <w:rPr>
          <w:rFonts w:asciiTheme="minorHAnsi" w:eastAsia="Tahoma" w:hAnsiTheme="minorHAnsi" w:cstheme="minorHAnsi"/>
          <w:color w:val="000000"/>
          <w:sz w:val="24"/>
          <w:szCs w:val="24"/>
        </w:rPr>
        <w:t>1.1. O objeto da presente contratação é a prestação de Serviços de Assessoria Jurídica.</w:t>
      </w:r>
    </w:p>
    <w:p w14:paraId="18F8F40F" w14:textId="77777777" w:rsidR="003D171C" w:rsidRDefault="00230661">
      <w:pPr>
        <w:widowControl/>
        <w:ind w:left="851" w:right="42"/>
        <w:jc w:val="both"/>
        <w:rPr>
          <w:rFonts w:ascii="Calibri" w:hAnsi="Calibri"/>
          <w:sz w:val="24"/>
          <w:szCs w:val="24"/>
        </w:rPr>
      </w:pPr>
      <w:r>
        <w:rPr>
          <w:rFonts w:ascii="Calibri" w:hAnsi="Calibri"/>
          <w:sz w:val="24"/>
          <w:szCs w:val="24"/>
        </w:rPr>
        <w:t xml:space="preserve">1.2. A contratação da empresa </w:t>
      </w:r>
      <w:r>
        <w:rPr>
          <w:rFonts w:ascii="Calibri" w:hAnsi="Calibri"/>
          <w:b/>
          <w:bCs/>
          <w:sz w:val="24"/>
          <w:szCs w:val="24"/>
        </w:rPr>
        <w:t>Patrícia Albuquerque Vieira Sociedade Individual de Advocacia, inscrita no CNPJ no 59.670.491/0001-20</w:t>
      </w:r>
      <w:r>
        <w:rPr>
          <w:rFonts w:ascii="Calibri" w:hAnsi="Calibri"/>
          <w:sz w:val="24"/>
          <w:szCs w:val="24"/>
        </w:rPr>
        <w:t>.</w:t>
      </w:r>
    </w:p>
    <w:p w14:paraId="21B7A098" w14:textId="77777777" w:rsidR="003D171C" w:rsidRDefault="00230661">
      <w:pPr>
        <w:widowControl/>
        <w:ind w:left="851" w:right="42"/>
        <w:jc w:val="both"/>
        <w:rPr>
          <w:rFonts w:ascii="Calibri" w:hAnsi="Calibri"/>
          <w:sz w:val="24"/>
          <w:szCs w:val="24"/>
        </w:rPr>
      </w:pPr>
      <w:r>
        <w:rPr>
          <w:rFonts w:ascii="Calibri" w:hAnsi="Calibri"/>
          <w:sz w:val="24"/>
          <w:szCs w:val="24"/>
        </w:rPr>
        <w:t xml:space="preserve">1.3. A contratação tem por finalidade o </w:t>
      </w:r>
      <w:proofErr w:type="spellStart"/>
      <w:r>
        <w:rPr>
          <w:rFonts w:ascii="Calibri" w:hAnsi="Calibri"/>
          <w:sz w:val="24"/>
          <w:szCs w:val="24"/>
        </w:rPr>
        <w:t>assessoramento</w:t>
      </w:r>
      <w:proofErr w:type="spellEnd"/>
      <w:r>
        <w:rPr>
          <w:rFonts w:ascii="Calibri" w:hAnsi="Calibri"/>
          <w:sz w:val="24"/>
          <w:szCs w:val="24"/>
        </w:rPr>
        <w:t xml:space="preserve"> jurídico para o Conselho Regional de Educação Física da 5ª Região – CREF5/CE, com a emissão de pareceres, apoio administrativo e </w:t>
      </w:r>
      <w:proofErr w:type="spellStart"/>
      <w:r>
        <w:rPr>
          <w:rFonts w:ascii="Calibri" w:hAnsi="Calibri"/>
          <w:sz w:val="24"/>
          <w:szCs w:val="24"/>
        </w:rPr>
        <w:t>fiscalizatório</w:t>
      </w:r>
      <w:proofErr w:type="spellEnd"/>
      <w:r>
        <w:rPr>
          <w:rFonts w:ascii="Calibri" w:hAnsi="Calibri"/>
          <w:sz w:val="24"/>
          <w:szCs w:val="24"/>
        </w:rPr>
        <w:t xml:space="preserve">. </w:t>
      </w:r>
    </w:p>
    <w:p w14:paraId="1C98A317" w14:textId="77777777" w:rsidR="003D171C" w:rsidRDefault="003D171C">
      <w:pPr>
        <w:widowControl/>
        <w:ind w:left="851" w:right="42"/>
        <w:jc w:val="both"/>
        <w:rPr>
          <w:rFonts w:eastAsia="Tahoma" w:cstheme="minorHAnsi"/>
          <w:color w:val="000000"/>
        </w:rPr>
      </w:pPr>
    </w:p>
    <w:tbl>
      <w:tblPr>
        <w:tblW w:w="9810" w:type="dxa"/>
        <w:tblInd w:w="754" w:type="dxa"/>
        <w:tblLayout w:type="fixed"/>
        <w:tblLook w:val="0400" w:firstRow="0" w:lastRow="0" w:firstColumn="0" w:lastColumn="0" w:noHBand="0" w:noVBand="1"/>
      </w:tblPr>
      <w:tblGrid>
        <w:gridCol w:w="2041"/>
        <w:gridCol w:w="1184"/>
        <w:gridCol w:w="1261"/>
        <w:gridCol w:w="2039"/>
        <w:gridCol w:w="1351"/>
        <w:gridCol w:w="1934"/>
      </w:tblGrid>
      <w:tr w:rsidR="003D171C" w14:paraId="7C0D7377" w14:textId="77777777">
        <w:trPr>
          <w:trHeight w:val="717"/>
        </w:trPr>
        <w:tc>
          <w:tcPr>
            <w:tcW w:w="2040" w:type="dxa"/>
            <w:tcBorders>
              <w:top w:val="single" w:sz="4" w:space="0" w:color="000000"/>
              <w:left w:val="single" w:sz="4" w:space="0" w:color="000000"/>
              <w:bottom w:val="single" w:sz="4" w:space="0" w:color="000000"/>
              <w:right w:val="single" w:sz="4" w:space="0" w:color="000000"/>
            </w:tcBorders>
            <w:shd w:val="clear" w:color="auto" w:fill="DDDDDD"/>
          </w:tcPr>
          <w:p w14:paraId="26B561DA" w14:textId="77777777" w:rsidR="003D171C" w:rsidRDefault="00230661">
            <w:pPr>
              <w:tabs>
                <w:tab w:val="left" w:pos="390"/>
              </w:tabs>
              <w:spacing w:before="57" w:after="57"/>
              <w:jc w:val="center"/>
            </w:pPr>
            <w:r>
              <w:rPr>
                <w:rFonts w:ascii="Calibri" w:eastAsia="Tahoma" w:hAnsi="Calibri" w:cs="Tahoma"/>
                <w:b/>
                <w:bCs/>
                <w:color w:val="000000"/>
                <w:sz w:val="24"/>
                <w:szCs w:val="24"/>
              </w:rPr>
              <w:t>ESPECIFICAÇÃO DO OBJETO</w:t>
            </w:r>
          </w:p>
        </w:tc>
        <w:tc>
          <w:tcPr>
            <w:tcW w:w="1184" w:type="dxa"/>
            <w:tcBorders>
              <w:top w:val="single" w:sz="4" w:space="0" w:color="000000"/>
              <w:left w:val="single" w:sz="4" w:space="0" w:color="000000"/>
              <w:bottom w:val="single" w:sz="4" w:space="0" w:color="000000"/>
              <w:right w:val="single" w:sz="4" w:space="0" w:color="000000"/>
            </w:tcBorders>
            <w:shd w:val="clear" w:color="auto" w:fill="DDDDDD"/>
          </w:tcPr>
          <w:p w14:paraId="1777C064" w14:textId="77777777" w:rsidR="003D171C" w:rsidRDefault="00230661">
            <w:pPr>
              <w:spacing w:before="228" w:after="228"/>
              <w:jc w:val="center"/>
              <w:rPr>
                <w:rFonts w:ascii="Calibri" w:hAnsi="Calibri"/>
                <w:b/>
                <w:bCs/>
                <w:sz w:val="24"/>
                <w:szCs w:val="24"/>
              </w:rPr>
            </w:pPr>
            <w:r>
              <w:rPr>
                <w:rFonts w:ascii="Calibri" w:eastAsia="Tahoma" w:hAnsi="Calibri" w:cs="Tahoma"/>
                <w:b/>
                <w:bCs/>
                <w:color w:val="000000"/>
                <w:sz w:val="24"/>
                <w:szCs w:val="24"/>
              </w:rPr>
              <w:t>CATSER</w:t>
            </w:r>
          </w:p>
        </w:tc>
        <w:tc>
          <w:tcPr>
            <w:tcW w:w="1261" w:type="dxa"/>
            <w:tcBorders>
              <w:top w:val="single" w:sz="4" w:space="0" w:color="000000"/>
              <w:left w:val="single" w:sz="4" w:space="0" w:color="000000"/>
              <w:bottom w:val="single" w:sz="4" w:space="0" w:color="000000"/>
              <w:right w:val="single" w:sz="4" w:space="0" w:color="000000"/>
            </w:tcBorders>
            <w:shd w:val="clear" w:color="auto" w:fill="DDDDDD"/>
          </w:tcPr>
          <w:p w14:paraId="681C67C9" w14:textId="77777777" w:rsidR="003D171C" w:rsidRDefault="00230661">
            <w:pPr>
              <w:spacing w:before="228" w:after="228"/>
              <w:jc w:val="center"/>
              <w:rPr>
                <w:rFonts w:ascii="Calibri" w:hAnsi="Calibri"/>
                <w:b/>
                <w:bCs/>
                <w:sz w:val="24"/>
                <w:szCs w:val="24"/>
              </w:rPr>
            </w:pPr>
            <w:r>
              <w:rPr>
                <w:rFonts w:ascii="Calibri" w:eastAsia="Tahoma" w:hAnsi="Calibri" w:cs="Tahoma"/>
                <w:b/>
                <w:bCs/>
                <w:color w:val="000000"/>
                <w:sz w:val="24"/>
                <w:szCs w:val="24"/>
              </w:rPr>
              <w:t>QUANT.</w:t>
            </w:r>
          </w:p>
        </w:tc>
        <w:tc>
          <w:tcPr>
            <w:tcW w:w="2039" w:type="dxa"/>
            <w:tcBorders>
              <w:top w:val="single" w:sz="4" w:space="0" w:color="000000"/>
              <w:left w:val="single" w:sz="4" w:space="0" w:color="000000"/>
              <w:bottom w:val="single" w:sz="4" w:space="0" w:color="000000"/>
              <w:right w:val="single" w:sz="4" w:space="0" w:color="000000"/>
            </w:tcBorders>
            <w:shd w:val="clear" w:color="auto" w:fill="DDDDDD"/>
          </w:tcPr>
          <w:p w14:paraId="24C67159" w14:textId="77777777" w:rsidR="003D171C" w:rsidRDefault="00230661">
            <w:pPr>
              <w:spacing w:before="57" w:after="57"/>
              <w:jc w:val="center"/>
              <w:rPr>
                <w:rFonts w:ascii="Calibri" w:hAnsi="Calibri"/>
                <w:b/>
                <w:bCs/>
                <w:sz w:val="24"/>
                <w:szCs w:val="24"/>
              </w:rPr>
            </w:pPr>
            <w:r>
              <w:rPr>
                <w:rFonts w:ascii="Calibri" w:eastAsia="Tahoma" w:hAnsi="Calibri" w:cs="Tahoma"/>
                <w:b/>
                <w:bCs/>
                <w:color w:val="000000"/>
                <w:sz w:val="24"/>
                <w:szCs w:val="24"/>
              </w:rPr>
              <w:t>VALOR MENSALMENTE</w:t>
            </w:r>
          </w:p>
        </w:tc>
        <w:tc>
          <w:tcPr>
            <w:tcW w:w="1351" w:type="dxa"/>
            <w:tcBorders>
              <w:top w:val="single" w:sz="4" w:space="0" w:color="000000"/>
              <w:left w:val="single" w:sz="4" w:space="0" w:color="000000"/>
              <w:bottom w:val="single" w:sz="4" w:space="0" w:color="000000"/>
              <w:right w:val="single" w:sz="4" w:space="0" w:color="000000"/>
            </w:tcBorders>
            <w:shd w:val="clear" w:color="auto" w:fill="DDDDDD"/>
          </w:tcPr>
          <w:p w14:paraId="6BF72950" w14:textId="77777777" w:rsidR="003D171C" w:rsidRDefault="00230661">
            <w:pPr>
              <w:spacing w:before="57" w:after="57"/>
              <w:jc w:val="center"/>
              <w:rPr>
                <w:rFonts w:ascii="Calibri" w:hAnsi="Calibri"/>
                <w:b/>
                <w:bCs/>
                <w:sz w:val="24"/>
                <w:szCs w:val="24"/>
              </w:rPr>
            </w:pPr>
            <w:r>
              <w:rPr>
                <w:rFonts w:ascii="Calibri" w:eastAsia="Tahoma" w:hAnsi="Calibri" w:cs="Tahoma"/>
                <w:b/>
                <w:bCs/>
                <w:color w:val="000000"/>
                <w:sz w:val="24"/>
                <w:szCs w:val="24"/>
              </w:rPr>
              <w:t>N° DE PARCELAS</w:t>
            </w:r>
          </w:p>
        </w:tc>
        <w:tc>
          <w:tcPr>
            <w:tcW w:w="1934" w:type="dxa"/>
            <w:tcBorders>
              <w:top w:val="single" w:sz="4" w:space="0" w:color="000000"/>
              <w:left w:val="single" w:sz="4" w:space="0" w:color="000000"/>
              <w:bottom w:val="single" w:sz="4" w:space="0" w:color="000000"/>
              <w:right w:val="single" w:sz="4" w:space="0" w:color="000000"/>
            </w:tcBorders>
            <w:shd w:val="clear" w:color="auto" w:fill="DDDDDD"/>
          </w:tcPr>
          <w:p w14:paraId="03F8D4EE" w14:textId="77777777" w:rsidR="003D171C" w:rsidRDefault="00230661">
            <w:pPr>
              <w:spacing w:before="57" w:after="57"/>
              <w:jc w:val="center"/>
              <w:rPr>
                <w:rFonts w:ascii="Calibri" w:hAnsi="Calibri"/>
                <w:b/>
                <w:bCs/>
                <w:sz w:val="24"/>
                <w:szCs w:val="24"/>
              </w:rPr>
            </w:pPr>
            <w:r>
              <w:rPr>
                <w:rFonts w:ascii="Calibri" w:eastAsia="Tahoma" w:hAnsi="Calibri" w:cs="Tahoma"/>
                <w:b/>
                <w:bCs/>
                <w:color w:val="000000"/>
                <w:sz w:val="24"/>
                <w:szCs w:val="24"/>
              </w:rPr>
              <w:t>VALOR TOTAL</w:t>
            </w:r>
          </w:p>
        </w:tc>
      </w:tr>
      <w:tr w:rsidR="003D171C" w14:paraId="2C96561A" w14:textId="77777777">
        <w:tc>
          <w:tcPr>
            <w:tcW w:w="2040" w:type="dxa"/>
            <w:tcBorders>
              <w:top w:val="single" w:sz="4" w:space="0" w:color="000000"/>
              <w:left w:val="single" w:sz="4" w:space="0" w:color="000000"/>
              <w:bottom w:val="single" w:sz="4" w:space="0" w:color="000000"/>
              <w:right w:val="single" w:sz="4" w:space="0" w:color="000000"/>
            </w:tcBorders>
          </w:tcPr>
          <w:p w14:paraId="2B13A799" w14:textId="77777777" w:rsidR="003D171C" w:rsidRDefault="00230661">
            <w:pPr>
              <w:tabs>
                <w:tab w:val="left" w:pos="390"/>
              </w:tabs>
              <w:spacing w:after="240"/>
              <w:jc w:val="center"/>
            </w:pPr>
            <w:r>
              <w:rPr>
                <w:rFonts w:ascii="Calibri" w:hAnsi="Calibri"/>
                <w:sz w:val="24"/>
                <w:szCs w:val="24"/>
              </w:rPr>
              <w:t>Consultoria e assessoria jurídica.</w:t>
            </w:r>
          </w:p>
        </w:tc>
        <w:tc>
          <w:tcPr>
            <w:tcW w:w="1184" w:type="dxa"/>
            <w:tcBorders>
              <w:top w:val="single" w:sz="4" w:space="0" w:color="000000"/>
              <w:left w:val="single" w:sz="4" w:space="0" w:color="000000"/>
              <w:bottom w:val="single" w:sz="4" w:space="0" w:color="000000"/>
              <w:right w:val="single" w:sz="4" w:space="0" w:color="000000"/>
            </w:tcBorders>
          </w:tcPr>
          <w:p w14:paraId="2C116CBA" w14:textId="77777777" w:rsidR="003D171C" w:rsidRDefault="00230661">
            <w:pPr>
              <w:spacing w:before="570" w:after="570"/>
              <w:jc w:val="center"/>
              <w:rPr>
                <w:rFonts w:ascii="Calibri" w:hAnsi="Calibri"/>
                <w:sz w:val="24"/>
                <w:szCs w:val="24"/>
              </w:rPr>
            </w:pPr>
            <w:r>
              <w:rPr>
                <w:rFonts w:ascii="Calibri" w:hAnsi="Calibri"/>
                <w:sz w:val="24"/>
                <w:szCs w:val="24"/>
              </w:rPr>
              <w:t>795</w:t>
            </w:r>
          </w:p>
        </w:tc>
        <w:tc>
          <w:tcPr>
            <w:tcW w:w="1261" w:type="dxa"/>
            <w:tcBorders>
              <w:top w:val="single" w:sz="4" w:space="0" w:color="000000"/>
              <w:left w:val="single" w:sz="4" w:space="0" w:color="000000"/>
              <w:bottom w:val="single" w:sz="4" w:space="0" w:color="000000"/>
              <w:right w:val="single" w:sz="4" w:space="0" w:color="000000"/>
            </w:tcBorders>
          </w:tcPr>
          <w:p w14:paraId="3384F4BC" w14:textId="77777777" w:rsidR="003D171C" w:rsidRDefault="00230661">
            <w:pPr>
              <w:spacing w:before="285" w:after="285"/>
              <w:jc w:val="center"/>
              <w:rPr>
                <w:rFonts w:ascii="Calibri" w:hAnsi="Calibri"/>
                <w:sz w:val="24"/>
                <w:szCs w:val="24"/>
              </w:rPr>
            </w:pPr>
            <w:r>
              <w:rPr>
                <w:rFonts w:ascii="Calibri" w:eastAsia="Tahoma" w:hAnsi="Calibri" w:cs="Tahoma"/>
                <w:color w:val="000000"/>
                <w:sz w:val="24"/>
                <w:szCs w:val="24"/>
              </w:rPr>
              <w:t>01</w:t>
            </w:r>
          </w:p>
        </w:tc>
        <w:tc>
          <w:tcPr>
            <w:tcW w:w="2039" w:type="dxa"/>
            <w:tcBorders>
              <w:top w:val="single" w:sz="4" w:space="0" w:color="000000"/>
              <w:left w:val="single" w:sz="4" w:space="0" w:color="000000"/>
              <w:bottom w:val="single" w:sz="4" w:space="0" w:color="000000"/>
              <w:right w:val="single" w:sz="4" w:space="0" w:color="000000"/>
            </w:tcBorders>
          </w:tcPr>
          <w:p w14:paraId="0EADAFFC" w14:textId="77777777" w:rsidR="003D171C" w:rsidRDefault="00230661">
            <w:pPr>
              <w:spacing w:before="570" w:after="570"/>
              <w:jc w:val="center"/>
              <w:rPr>
                <w:rFonts w:ascii="Calibri" w:hAnsi="Calibri"/>
                <w:sz w:val="24"/>
                <w:szCs w:val="24"/>
              </w:rPr>
            </w:pPr>
            <w:r>
              <w:rPr>
                <w:rFonts w:ascii="Calibri" w:hAnsi="Calibri"/>
                <w:sz w:val="24"/>
                <w:szCs w:val="24"/>
              </w:rPr>
              <w:t xml:space="preserve">R$ 6.529,88(seis mil quinhentos e vinte e nove </w:t>
            </w:r>
            <w:r>
              <w:rPr>
                <w:rFonts w:ascii="Calibri" w:hAnsi="Calibri"/>
                <w:sz w:val="24"/>
                <w:szCs w:val="24"/>
              </w:rPr>
              <w:t>reais e oitenta e oito centavos)</w:t>
            </w:r>
          </w:p>
        </w:tc>
        <w:tc>
          <w:tcPr>
            <w:tcW w:w="1351" w:type="dxa"/>
            <w:tcBorders>
              <w:top w:val="single" w:sz="4" w:space="0" w:color="000000"/>
              <w:left w:val="single" w:sz="4" w:space="0" w:color="000000"/>
              <w:bottom w:val="single" w:sz="4" w:space="0" w:color="000000"/>
              <w:right w:val="single" w:sz="4" w:space="0" w:color="000000"/>
            </w:tcBorders>
          </w:tcPr>
          <w:p w14:paraId="3845084D" w14:textId="77777777" w:rsidR="003D171C" w:rsidRDefault="00230661">
            <w:pPr>
              <w:spacing w:before="570" w:after="570"/>
              <w:jc w:val="center"/>
              <w:rPr>
                <w:rFonts w:ascii="Calibri" w:hAnsi="Calibri"/>
                <w:sz w:val="24"/>
                <w:szCs w:val="24"/>
              </w:rPr>
            </w:pPr>
            <w:r>
              <w:rPr>
                <w:rFonts w:ascii="Calibri" w:eastAsia="Tahoma" w:hAnsi="Calibri" w:cs="Tahoma"/>
                <w:color w:val="000000"/>
                <w:sz w:val="24"/>
                <w:szCs w:val="24"/>
              </w:rPr>
              <w:t>12 + 1</w:t>
            </w:r>
          </w:p>
        </w:tc>
        <w:tc>
          <w:tcPr>
            <w:tcW w:w="1934" w:type="dxa"/>
            <w:tcBorders>
              <w:top w:val="single" w:sz="4" w:space="0" w:color="000000"/>
              <w:left w:val="single" w:sz="4" w:space="0" w:color="000000"/>
              <w:bottom w:val="single" w:sz="4" w:space="0" w:color="000000"/>
              <w:right w:val="single" w:sz="4" w:space="0" w:color="000000"/>
            </w:tcBorders>
          </w:tcPr>
          <w:p w14:paraId="4B5C3CD3" w14:textId="77777777" w:rsidR="003D171C" w:rsidRDefault="00230661">
            <w:pPr>
              <w:tabs>
                <w:tab w:val="left" w:pos="630"/>
              </w:tabs>
              <w:spacing w:before="513" w:after="513"/>
              <w:jc w:val="both"/>
            </w:pPr>
            <w:r>
              <w:rPr>
                <w:rFonts w:asciiTheme="minorHAnsi" w:eastAsia="Tahoma" w:hAnsiTheme="minorHAnsi" w:cstheme="minorHAnsi"/>
                <w:b/>
                <w:bCs/>
                <w:color w:val="000000"/>
              </w:rPr>
              <w:t>R$ 84.888,53 (oitenta e quatro mil oitocentos e oitenta e oito reais e cinquenta e três centavos).</w:t>
            </w:r>
          </w:p>
        </w:tc>
      </w:tr>
    </w:tbl>
    <w:p w14:paraId="1E71E90E" w14:textId="77777777" w:rsidR="003D171C" w:rsidRDefault="003D171C">
      <w:pPr>
        <w:widowControl/>
        <w:ind w:left="851" w:right="42"/>
        <w:jc w:val="both"/>
        <w:rPr>
          <w:rFonts w:asciiTheme="minorHAnsi" w:eastAsia="Tahoma" w:hAnsiTheme="minorHAnsi" w:cstheme="minorHAnsi"/>
          <w:color w:val="000000"/>
          <w:sz w:val="24"/>
          <w:szCs w:val="24"/>
        </w:rPr>
      </w:pPr>
    </w:p>
    <w:p w14:paraId="13068E1D" w14:textId="77777777" w:rsidR="003D171C" w:rsidRDefault="00230661">
      <w:pPr>
        <w:tabs>
          <w:tab w:val="left" w:pos="851"/>
        </w:tabs>
        <w:ind w:left="851" w:right="294"/>
        <w:jc w:val="both"/>
        <w:rPr>
          <w:rFonts w:asciiTheme="minorHAnsi" w:eastAsia="Tahoma" w:hAnsiTheme="minorHAnsi" w:cstheme="minorHAnsi"/>
          <w:b/>
          <w:color w:val="000000"/>
          <w:sz w:val="24"/>
          <w:szCs w:val="24"/>
        </w:rPr>
      </w:pPr>
      <w:r>
        <w:rPr>
          <w:rFonts w:asciiTheme="minorHAnsi" w:eastAsia="Tahoma" w:hAnsiTheme="minorHAnsi" w:cstheme="minorHAnsi"/>
          <w:color w:val="000000"/>
          <w:sz w:val="24"/>
          <w:szCs w:val="24"/>
        </w:rPr>
        <w:t xml:space="preserve">1.4. O custo estimado total da contratação é de </w:t>
      </w:r>
      <w:r>
        <w:rPr>
          <w:rFonts w:asciiTheme="minorHAnsi" w:eastAsia="Tahoma" w:hAnsiTheme="minorHAnsi" w:cstheme="minorHAnsi"/>
          <w:b/>
          <w:color w:val="000000"/>
          <w:sz w:val="24"/>
          <w:szCs w:val="24"/>
        </w:rPr>
        <w:t xml:space="preserve">R$ 84.888,53 (oitenta e quatro mil oitocentos e oitenta e oito </w:t>
      </w:r>
      <w:r>
        <w:rPr>
          <w:rFonts w:asciiTheme="minorHAnsi" w:eastAsia="Tahoma" w:hAnsiTheme="minorHAnsi" w:cstheme="minorHAnsi"/>
          <w:b/>
          <w:color w:val="000000"/>
          <w:sz w:val="24"/>
          <w:szCs w:val="24"/>
        </w:rPr>
        <w:t>reais e cinquenta e três centavos).</w:t>
      </w:r>
    </w:p>
    <w:p w14:paraId="7D86A1B5" w14:textId="77777777" w:rsidR="003D171C" w:rsidRDefault="003D171C">
      <w:pPr>
        <w:tabs>
          <w:tab w:val="left" w:pos="851"/>
        </w:tabs>
        <w:ind w:left="851" w:right="294"/>
        <w:jc w:val="both"/>
        <w:rPr>
          <w:rFonts w:asciiTheme="minorHAnsi" w:eastAsia="Tahoma" w:hAnsiTheme="minorHAnsi" w:cstheme="minorHAnsi"/>
          <w:color w:val="000000"/>
          <w:sz w:val="24"/>
          <w:szCs w:val="24"/>
        </w:rPr>
      </w:pPr>
    </w:p>
    <w:p w14:paraId="30F69F48" w14:textId="77777777" w:rsidR="003D171C" w:rsidRDefault="00230661">
      <w:pPr>
        <w:tabs>
          <w:tab w:val="left" w:pos="851"/>
        </w:tabs>
        <w:ind w:left="851" w:right="294"/>
        <w:jc w:val="both"/>
      </w:pPr>
      <w:r>
        <w:rPr>
          <w:rFonts w:asciiTheme="minorHAnsi" w:eastAsia="Tahoma" w:hAnsiTheme="minorHAnsi" w:cstheme="minorHAnsi"/>
          <w:color w:val="000000"/>
          <w:sz w:val="24"/>
          <w:szCs w:val="24"/>
        </w:rPr>
        <w:t xml:space="preserve">1.5. Contratação de serviço técnico profissional especializado de assessoria e consultoria jurídica para atuação junto à coordenação do CREF5/CE, nos termos do </w:t>
      </w:r>
      <w:proofErr w:type="spellStart"/>
      <w:r>
        <w:rPr>
          <w:rFonts w:asciiTheme="minorHAnsi" w:eastAsia="Tahoma" w:hAnsiTheme="minorHAnsi" w:cstheme="minorHAnsi"/>
          <w:color w:val="000000"/>
          <w:sz w:val="24"/>
          <w:szCs w:val="24"/>
        </w:rPr>
        <w:t>art</w:t>
      </w:r>
      <w:proofErr w:type="spellEnd"/>
      <w:r>
        <w:rPr>
          <w:rFonts w:asciiTheme="minorHAnsi" w:eastAsia="Tahoma" w:hAnsiTheme="minorHAnsi" w:cstheme="minorHAnsi"/>
          <w:color w:val="000000"/>
          <w:sz w:val="24"/>
          <w:szCs w:val="24"/>
        </w:rPr>
        <w:t xml:space="preserve">. 74, </w:t>
      </w:r>
      <w:proofErr w:type="spellStart"/>
      <w:r>
        <w:rPr>
          <w:rFonts w:asciiTheme="minorHAnsi" w:eastAsia="Tahoma" w:hAnsiTheme="minorHAnsi" w:cstheme="minorHAnsi"/>
          <w:color w:val="000000"/>
          <w:sz w:val="24"/>
          <w:szCs w:val="24"/>
        </w:rPr>
        <w:t>inc.</w:t>
      </w:r>
      <w:proofErr w:type="spellEnd"/>
      <w:r>
        <w:rPr>
          <w:rFonts w:asciiTheme="minorHAnsi" w:eastAsia="Tahoma" w:hAnsiTheme="minorHAnsi" w:cstheme="minorHAnsi"/>
          <w:color w:val="000000"/>
          <w:sz w:val="24"/>
          <w:szCs w:val="24"/>
        </w:rPr>
        <w:t xml:space="preserve"> III, alínea "c" da Lei nº 14.133/2021.</w:t>
      </w:r>
    </w:p>
    <w:p w14:paraId="004950D2" w14:textId="77777777" w:rsidR="003D171C" w:rsidRDefault="00230661">
      <w:pPr>
        <w:tabs>
          <w:tab w:val="left" w:pos="851"/>
          <w:tab w:val="left" w:pos="6495"/>
        </w:tabs>
        <w:ind w:left="851" w:right="294"/>
        <w:jc w:val="both"/>
        <w:rPr>
          <w:rFonts w:asciiTheme="minorHAnsi" w:eastAsia="Tahoma" w:hAnsiTheme="minorHAnsi" w:cstheme="minorHAnsi"/>
          <w:color w:val="000000"/>
          <w:sz w:val="24"/>
          <w:szCs w:val="24"/>
        </w:rPr>
      </w:pPr>
      <w:r>
        <w:rPr>
          <w:rFonts w:asciiTheme="minorHAnsi" w:eastAsia="Tahoma" w:hAnsiTheme="minorHAnsi" w:cstheme="minorHAnsi"/>
          <w:color w:val="000000"/>
          <w:sz w:val="24"/>
          <w:szCs w:val="24"/>
        </w:rPr>
        <w:tab/>
      </w:r>
    </w:p>
    <w:p w14:paraId="17AE3C98" w14:textId="77777777" w:rsidR="003D171C" w:rsidRDefault="00230661">
      <w:pPr>
        <w:tabs>
          <w:tab w:val="left" w:pos="851"/>
        </w:tabs>
        <w:ind w:left="851" w:right="294"/>
        <w:jc w:val="both"/>
        <w:rPr>
          <w:rFonts w:ascii="Calibri" w:hAnsi="Calibri"/>
          <w:sz w:val="24"/>
          <w:szCs w:val="24"/>
        </w:rPr>
      </w:pPr>
      <w:r>
        <w:rPr>
          <w:rFonts w:asciiTheme="minorHAnsi" w:eastAsia="Tahoma" w:hAnsiTheme="minorHAnsi" w:cstheme="minorHAnsi"/>
          <w:color w:val="000000"/>
          <w:sz w:val="24"/>
          <w:szCs w:val="24"/>
        </w:rPr>
        <w:t xml:space="preserve">1.6. Considera-se para a contratação a especialização na área de execução do serviço, bem como a confiabilidade quanto à qualidade, em vista da prévia atuação do contratado em processos judiciais e administrativos anteriores, bem como a qualificação exigida. Além disso, justifica-se a contratação em razão da </w:t>
      </w:r>
      <w:proofErr w:type="spellStart"/>
      <w:r>
        <w:rPr>
          <w:rFonts w:asciiTheme="minorHAnsi" w:eastAsia="Tahoma" w:hAnsiTheme="minorHAnsi" w:cstheme="minorHAnsi"/>
          <w:color w:val="000000"/>
          <w:sz w:val="24"/>
          <w:szCs w:val="24"/>
        </w:rPr>
        <w:t>vantajosidade</w:t>
      </w:r>
      <w:proofErr w:type="spellEnd"/>
      <w:r>
        <w:rPr>
          <w:rFonts w:asciiTheme="minorHAnsi" w:eastAsia="Tahoma" w:hAnsiTheme="minorHAnsi" w:cstheme="minorHAnsi"/>
          <w:color w:val="000000"/>
          <w:sz w:val="24"/>
          <w:szCs w:val="24"/>
        </w:rPr>
        <w:t xml:space="preserve">, posto que, conforme demonstrado na pesquisa de preços, o valor está em conformidade com os valores médios para o serviço. </w:t>
      </w:r>
    </w:p>
    <w:p w14:paraId="12573E75" w14:textId="77777777" w:rsidR="003D171C" w:rsidRDefault="003D171C">
      <w:pPr>
        <w:rPr>
          <w:rFonts w:asciiTheme="minorHAnsi" w:eastAsia="Tahoma" w:hAnsiTheme="minorHAnsi" w:cstheme="minorHAnsi"/>
          <w:color w:val="000000"/>
          <w:sz w:val="24"/>
          <w:szCs w:val="24"/>
        </w:rPr>
      </w:pPr>
    </w:p>
    <w:p w14:paraId="3803C8EE" w14:textId="77777777" w:rsidR="003D171C" w:rsidRDefault="00230661">
      <w:pPr>
        <w:ind w:left="709" w:firstLine="142"/>
        <w:rPr>
          <w:rFonts w:ascii="Calibri" w:hAnsi="Calibri"/>
          <w:sz w:val="24"/>
          <w:szCs w:val="24"/>
        </w:rPr>
      </w:pPr>
      <w:r>
        <w:rPr>
          <w:rFonts w:asciiTheme="minorHAnsi" w:hAnsiTheme="minorHAnsi" w:cstheme="minorHAnsi"/>
          <w:b/>
          <w:bCs/>
          <w:sz w:val="24"/>
          <w:szCs w:val="24"/>
        </w:rPr>
        <w:t xml:space="preserve">2. DA FUNDAMENTAÇÃO E DA DESCRIÇÃO DA NECESSIDADE DA CONTRATAÇÃO </w:t>
      </w:r>
    </w:p>
    <w:p w14:paraId="044027DD" w14:textId="77777777" w:rsidR="003D171C" w:rsidRDefault="00230661">
      <w:pPr>
        <w:widowControl/>
        <w:tabs>
          <w:tab w:val="left" w:pos="709"/>
        </w:tabs>
        <w:ind w:left="851" w:right="152"/>
        <w:jc w:val="both"/>
      </w:pPr>
      <w:r>
        <w:rPr>
          <w:rFonts w:asciiTheme="minorHAnsi" w:eastAsia="Tahoma" w:hAnsiTheme="minorHAnsi" w:cstheme="minorHAnsi"/>
          <w:color w:val="000000"/>
          <w:sz w:val="24"/>
          <w:szCs w:val="24"/>
        </w:rPr>
        <w:t xml:space="preserve">2.1. Conforme expressamente previsto no </w:t>
      </w:r>
      <w:proofErr w:type="spellStart"/>
      <w:r>
        <w:rPr>
          <w:rFonts w:asciiTheme="minorHAnsi" w:eastAsia="Tahoma" w:hAnsiTheme="minorHAnsi" w:cstheme="minorHAnsi"/>
          <w:color w:val="000000"/>
          <w:sz w:val="24"/>
          <w:szCs w:val="24"/>
        </w:rPr>
        <w:t>art</w:t>
      </w:r>
      <w:proofErr w:type="spellEnd"/>
      <w:r>
        <w:rPr>
          <w:rFonts w:asciiTheme="minorHAnsi" w:eastAsia="Tahoma" w:hAnsiTheme="minorHAnsi" w:cstheme="minorHAnsi"/>
          <w:color w:val="000000"/>
          <w:sz w:val="24"/>
          <w:szCs w:val="24"/>
        </w:rPr>
        <w:t>. 74, da Lei nº 14.133/2021, é inexigível a licitação quando inviável a competição, em especial nos casos de:</w:t>
      </w:r>
    </w:p>
    <w:p w14:paraId="2C460754" w14:textId="77777777" w:rsidR="003D171C" w:rsidRDefault="003D171C">
      <w:pPr>
        <w:widowControl/>
        <w:tabs>
          <w:tab w:val="left" w:pos="709"/>
        </w:tabs>
        <w:ind w:left="851" w:right="152"/>
        <w:jc w:val="both"/>
        <w:rPr>
          <w:rFonts w:asciiTheme="minorHAnsi" w:eastAsia="Tahoma" w:hAnsiTheme="minorHAnsi" w:cstheme="minorHAnsi"/>
          <w:color w:val="000000"/>
          <w:sz w:val="24"/>
          <w:szCs w:val="24"/>
        </w:rPr>
      </w:pPr>
    </w:p>
    <w:p w14:paraId="1593E448" w14:textId="77777777" w:rsidR="003D171C" w:rsidRDefault="00230661">
      <w:pPr>
        <w:widowControl/>
        <w:tabs>
          <w:tab w:val="left" w:pos="709"/>
        </w:tabs>
        <w:ind w:left="4320" w:right="152"/>
        <w:jc w:val="both"/>
        <w:rPr>
          <w:rFonts w:asciiTheme="minorHAnsi" w:eastAsia="Tahoma" w:hAnsiTheme="minorHAnsi" w:cstheme="minorHAnsi"/>
          <w:color w:val="000000"/>
          <w:sz w:val="24"/>
          <w:szCs w:val="24"/>
        </w:rPr>
      </w:pPr>
      <w:r>
        <w:rPr>
          <w:rFonts w:asciiTheme="minorHAnsi" w:eastAsia="Tahoma" w:hAnsiTheme="minorHAnsi" w:cstheme="minorHAnsi"/>
          <w:color w:val="000000"/>
          <w:sz w:val="24"/>
          <w:szCs w:val="24"/>
        </w:rPr>
        <w:lastRenderedPageBreak/>
        <w:t xml:space="preserve">III-contratação dos seguintes serviços técnicos especializados de natureza predominantemente intelectual com profissionais ou empresas de notória especialização, vedada a inexigibilidade para serviços de publicidade e divulgação: </w:t>
      </w:r>
    </w:p>
    <w:p w14:paraId="65A94B90" w14:textId="77777777" w:rsidR="003D171C" w:rsidRDefault="00230661">
      <w:pPr>
        <w:widowControl/>
        <w:tabs>
          <w:tab w:val="left" w:pos="709"/>
        </w:tabs>
        <w:ind w:left="4320" w:right="152"/>
        <w:jc w:val="both"/>
        <w:rPr>
          <w:rFonts w:asciiTheme="minorHAnsi" w:eastAsia="Tahoma" w:hAnsiTheme="minorHAnsi" w:cstheme="minorHAnsi"/>
          <w:color w:val="000000"/>
          <w:sz w:val="24"/>
          <w:szCs w:val="24"/>
        </w:rPr>
      </w:pPr>
      <w:r>
        <w:rPr>
          <w:rFonts w:asciiTheme="minorHAnsi" w:eastAsia="Tahoma" w:hAnsiTheme="minorHAnsi" w:cstheme="minorHAnsi"/>
          <w:color w:val="000000"/>
          <w:sz w:val="24"/>
          <w:szCs w:val="24"/>
        </w:rPr>
        <w:t xml:space="preserve">( ... ) </w:t>
      </w:r>
    </w:p>
    <w:p w14:paraId="2AC4B000" w14:textId="77777777" w:rsidR="003D171C" w:rsidRDefault="00230661">
      <w:pPr>
        <w:widowControl/>
        <w:tabs>
          <w:tab w:val="left" w:pos="709"/>
        </w:tabs>
        <w:ind w:left="4320" w:right="152"/>
        <w:jc w:val="both"/>
      </w:pPr>
      <w:r>
        <w:rPr>
          <w:rFonts w:asciiTheme="minorHAnsi" w:eastAsia="Tahoma" w:hAnsiTheme="minorHAnsi" w:cstheme="minorHAnsi"/>
          <w:color w:val="000000"/>
          <w:sz w:val="24"/>
          <w:szCs w:val="24"/>
        </w:rPr>
        <w:t xml:space="preserve">c) assessorias ou consultorias técnicas e auditorias financeiras ou tributárias;  </w:t>
      </w:r>
    </w:p>
    <w:p w14:paraId="56A0BDED" w14:textId="77777777" w:rsidR="003D171C" w:rsidRDefault="003D171C">
      <w:pPr>
        <w:widowControl/>
        <w:tabs>
          <w:tab w:val="left" w:pos="709"/>
        </w:tabs>
        <w:ind w:left="851" w:right="152"/>
        <w:jc w:val="both"/>
        <w:rPr>
          <w:rFonts w:asciiTheme="minorHAnsi" w:eastAsia="Tahoma" w:hAnsiTheme="minorHAnsi" w:cstheme="minorHAnsi"/>
          <w:color w:val="000000"/>
          <w:sz w:val="24"/>
          <w:szCs w:val="24"/>
        </w:rPr>
      </w:pPr>
    </w:p>
    <w:p w14:paraId="6FA30356" w14:textId="77777777" w:rsidR="003D171C" w:rsidRDefault="00230661">
      <w:pPr>
        <w:widowControl/>
        <w:tabs>
          <w:tab w:val="left" w:pos="709"/>
          <w:tab w:val="left" w:pos="10367"/>
        </w:tabs>
        <w:ind w:left="850" w:right="170"/>
        <w:jc w:val="both"/>
        <w:rPr>
          <w:rFonts w:asciiTheme="minorHAnsi" w:eastAsia="Tahoma" w:hAnsiTheme="minorHAnsi" w:cstheme="minorHAnsi"/>
          <w:color w:val="000000"/>
          <w:sz w:val="24"/>
          <w:szCs w:val="24"/>
        </w:rPr>
      </w:pPr>
      <w:r>
        <w:rPr>
          <w:rFonts w:asciiTheme="minorHAnsi" w:eastAsia="Tahoma" w:hAnsiTheme="minorHAnsi" w:cstheme="minorHAnsi"/>
          <w:color w:val="000000"/>
          <w:sz w:val="24"/>
          <w:szCs w:val="24"/>
        </w:rPr>
        <w:t xml:space="preserve">2.2. As referidas características estão presentes na prestação de serviço pela empresa </w:t>
      </w:r>
      <w:r>
        <w:rPr>
          <w:rFonts w:asciiTheme="minorHAnsi" w:eastAsia="Tahoma" w:hAnsiTheme="minorHAnsi" w:cstheme="minorHAnsi"/>
          <w:b/>
          <w:bCs/>
          <w:color w:val="000000"/>
          <w:sz w:val="24"/>
          <w:szCs w:val="24"/>
        </w:rPr>
        <w:t>Patrícia Albuquerque Vieira Sociedade Individual de Advocacia, inscrita no CNPJ no 59.670.491/0001-20</w:t>
      </w:r>
      <w:r>
        <w:rPr>
          <w:rFonts w:asciiTheme="minorHAnsi" w:eastAsia="Tahoma" w:hAnsiTheme="minorHAnsi" w:cstheme="minorHAnsi"/>
          <w:color w:val="000000"/>
          <w:sz w:val="24"/>
          <w:szCs w:val="24"/>
        </w:rPr>
        <w:t xml:space="preserve">. </w:t>
      </w:r>
    </w:p>
    <w:p w14:paraId="5BC3FD11" w14:textId="77777777" w:rsidR="003D171C" w:rsidRDefault="003D171C">
      <w:pPr>
        <w:widowControl/>
        <w:tabs>
          <w:tab w:val="left" w:pos="709"/>
          <w:tab w:val="left" w:pos="10367"/>
        </w:tabs>
        <w:ind w:left="850" w:right="170"/>
        <w:jc w:val="both"/>
        <w:rPr>
          <w:rFonts w:asciiTheme="minorHAnsi" w:eastAsia="Tahoma" w:hAnsiTheme="minorHAnsi" w:cstheme="minorHAnsi"/>
          <w:color w:val="000000"/>
          <w:sz w:val="24"/>
          <w:szCs w:val="24"/>
        </w:rPr>
      </w:pPr>
    </w:p>
    <w:p w14:paraId="08D054B7" w14:textId="77777777" w:rsidR="003D171C" w:rsidRDefault="00230661">
      <w:pPr>
        <w:widowControl/>
        <w:tabs>
          <w:tab w:val="left" w:pos="709"/>
        </w:tabs>
        <w:ind w:left="851" w:right="152"/>
        <w:jc w:val="both"/>
        <w:rPr>
          <w:rFonts w:asciiTheme="minorHAnsi" w:eastAsia="Tahoma" w:hAnsiTheme="minorHAnsi" w:cstheme="minorHAnsi"/>
          <w:color w:val="000000"/>
          <w:sz w:val="24"/>
          <w:szCs w:val="24"/>
        </w:rPr>
      </w:pPr>
      <w:r>
        <w:rPr>
          <w:rFonts w:asciiTheme="minorHAnsi" w:eastAsia="Tahoma" w:hAnsiTheme="minorHAnsi" w:cstheme="minorHAnsi"/>
          <w:color w:val="000000"/>
          <w:sz w:val="24"/>
          <w:szCs w:val="24"/>
        </w:rPr>
        <w:t>2.3. A empresa contratada deverá assumir as seguintes responsabilidades como assessor jurídico do CREF5/CE:</w:t>
      </w:r>
    </w:p>
    <w:p w14:paraId="3B4E944C" w14:textId="77777777" w:rsidR="003D171C" w:rsidRDefault="003D171C">
      <w:pPr>
        <w:widowControl/>
        <w:tabs>
          <w:tab w:val="left" w:pos="709"/>
        </w:tabs>
        <w:ind w:left="851" w:right="152"/>
        <w:jc w:val="both"/>
        <w:rPr>
          <w:rFonts w:asciiTheme="minorHAnsi" w:eastAsia="Tahoma" w:hAnsiTheme="minorHAnsi" w:cstheme="minorHAnsi"/>
          <w:color w:val="000000"/>
          <w:sz w:val="24"/>
          <w:szCs w:val="24"/>
        </w:rPr>
      </w:pPr>
    </w:p>
    <w:p w14:paraId="509BFAB4" w14:textId="77777777" w:rsidR="003D171C" w:rsidRDefault="00230661">
      <w:pPr>
        <w:widowControl/>
        <w:tabs>
          <w:tab w:val="left" w:pos="709"/>
          <w:tab w:val="left" w:pos="1185"/>
        </w:tabs>
        <w:ind w:left="851" w:right="152"/>
        <w:jc w:val="both"/>
        <w:rPr>
          <w:rFonts w:asciiTheme="minorHAnsi" w:eastAsia="Tahoma" w:hAnsiTheme="minorHAnsi" w:cstheme="minorHAnsi"/>
          <w:color w:val="000000"/>
          <w:sz w:val="24"/>
          <w:szCs w:val="24"/>
        </w:rPr>
      </w:pPr>
      <w:r>
        <w:rPr>
          <w:rFonts w:asciiTheme="minorHAnsi" w:eastAsia="Tahoma" w:hAnsiTheme="minorHAnsi" w:cstheme="minorHAnsi"/>
          <w:color w:val="000000"/>
          <w:sz w:val="24"/>
          <w:szCs w:val="24"/>
        </w:rPr>
        <w:t>A.</w:t>
      </w:r>
      <w:r>
        <w:rPr>
          <w:rFonts w:asciiTheme="minorHAnsi" w:eastAsia="Tahoma" w:hAnsiTheme="minorHAnsi" w:cstheme="minorHAnsi"/>
          <w:color w:val="000000"/>
          <w:sz w:val="24"/>
          <w:szCs w:val="24"/>
        </w:rPr>
        <w:tab/>
        <w:t>Assessorar o setor de Orientação e Fiscalização (encaminhamento de notificações aos fiscalizados; formalizações de notícias crimes; acompanhamento em delegacias e juizados especiais; comunicações junto ao Ministério Público; recebimento de defesas administrativas e encaminhamento de respostas);</w:t>
      </w:r>
    </w:p>
    <w:p w14:paraId="0AEDB618" w14:textId="77777777" w:rsidR="003D171C" w:rsidRDefault="00230661">
      <w:pPr>
        <w:widowControl/>
        <w:tabs>
          <w:tab w:val="left" w:pos="709"/>
          <w:tab w:val="left" w:pos="1185"/>
        </w:tabs>
        <w:ind w:left="851" w:right="152"/>
        <w:jc w:val="both"/>
      </w:pPr>
      <w:r>
        <w:rPr>
          <w:rFonts w:asciiTheme="minorHAnsi" w:eastAsia="Tahoma" w:hAnsiTheme="minorHAnsi" w:cstheme="minorHAnsi"/>
          <w:color w:val="000000"/>
          <w:sz w:val="24"/>
          <w:szCs w:val="24"/>
        </w:rPr>
        <w:t>B.</w:t>
      </w:r>
      <w:r>
        <w:rPr>
          <w:rFonts w:asciiTheme="minorHAnsi" w:eastAsia="Tahoma" w:hAnsiTheme="minorHAnsi" w:cstheme="minorHAnsi"/>
          <w:color w:val="000000"/>
          <w:sz w:val="24"/>
          <w:szCs w:val="24"/>
        </w:rPr>
        <w:tab/>
        <w:t>Elaborar declarações;</w:t>
      </w:r>
    </w:p>
    <w:p w14:paraId="5C6F5D01" w14:textId="77777777" w:rsidR="003D171C" w:rsidRDefault="00230661">
      <w:pPr>
        <w:widowControl/>
        <w:tabs>
          <w:tab w:val="left" w:pos="709"/>
          <w:tab w:val="left" w:pos="1185"/>
        </w:tabs>
        <w:ind w:left="851" w:right="152"/>
        <w:jc w:val="both"/>
      </w:pPr>
      <w:r>
        <w:rPr>
          <w:rFonts w:asciiTheme="minorHAnsi" w:eastAsia="Tahoma" w:hAnsiTheme="minorHAnsi" w:cstheme="minorHAnsi"/>
          <w:color w:val="000000"/>
          <w:sz w:val="24"/>
          <w:szCs w:val="24"/>
        </w:rPr>
        <w:t>C.</w:t>
      </w:r>
      <w:r>
        <w:rPr>
          <w:rFonts w:asciiTheme="minorHAnsi" w:eastAsia="Tahoma" w:hAnsiTheme="minorHAnsi" w:cstheme="minorHAnsi"/>
          <w:color w:val="000000"/>
          <w:sz w:val="24"/>
          <w:szCs w:val="24"/>
        </w:rPr>
        <w:tab/>
        <w:t>Realizar cobrança judicial/cartorária;</w:t>
      </w:r>
    </w:p>
    <w:p w14:paraId="374FE899" w14:textId="77777777" w:rsidR="003D171C" w:rsidRDefault="00230661">
      <w:pPr>
        <w:widowControl/>
        <w:tabs>
          <w:tab w:val="left" w:pos="709"/>
          <w:tab w:val="left" w:pos="1185"/>
        </w:tabs>
        <w:ind w:left="851" w:right="152"/>
        <w:jc w:val="both"/>
      </w:pPr>
      <w:r>
        <w:rPr>
          <w:rFonts w:asciiTheme="minorHAnsi" w:eastAsia="Tahoma" w:hAnsiTheme="minorHAnsi" w:cstheme="minorHAnsi"/>
          <w:color w:val="000000"/>
          <w:sz w:val="24"/>
          <w:szCs w:val="24"/>
        </w:rPr>
        <w:t>D.</w:t>
      </w:r>
      <w:r>
        <w:rPr>
          <w:rFonts w:asciiTheme="minorHAnsi" w:eastAsia="Tahoma" w:hAnsiTheme="minorHAnsi" w:cstheme="minorHAnsi"/>
          <w:color w:val="000000"/>
          <w:sz w:val="24"/>
          <w:szCs w:val="24"/>
        </w:rPr>
        <w:tab/>
        <w:t xml:space="preserve">Observar e oficiar editais irregulares, bem como acompanhar a alteração </w:t>
      </w:r>
      <w:proofErr w:type="spellStart"/>
      <w:r>
        <w:rPr>
          <w:rFonts w:asciiTheme="minorHAnsi" w:eastAsia="Tahoma" w:hAnsiTheme="minorHAnsi" w:cstheme="minorHAnsi"/>
          <w:color w:val="000000"/>
          <w:sz w:val="24"/>
          <w:szCs w:val="24"/>
        </w:rPr>
        <w:t>editalícia</w:t>
      </w:r>
      <w:proofErr w:type="spellEnd"/>
      <w:r>
        <w:rPr>
          <w:rFonts w:asciiTheme="minorHAnsi" w:eastAsia="Tahoma" w:hAnsiTheme="minorHAnsi" w:cstheme="minorHAnsi"/>
          <w:color w:val="000000"/>
          <w:sz w:val="24"/>
          <w:szCs w:val="24"/>
        </w:rPr>
        <w:t xml:space="preserve"> </w:t>
      </w:r>
      <w:proofErr w:type="gramStart"/>
      <w:r>
        <w:rPr>
          <w:rFonts w:asciiTheme="minorHAnsi" w:eastAsia="Tahoma" w:hAnsiTheme="minorHAnsi" w:cstheme="minorHAnsi"/>
          <w:color w:val="000000"/>
          <w:sz w:val="24"/>
          <w:szCs w:val="24"/>
        </w:rPr>
        <w:t>para, caso</w:t>
      </w:r>
      <w:proofErr w:type="gramEnd"/>
      <w:r>
        <w:rPr>
          <w:rFonts w:asciiTheme="minorHAnsi" w:eastAsia="Tahoma" w:hAnsiTheme="minorHAnsi" w:cstheme="minorHAnsi"/>
          <w:color w:val="000000"/>
          <w:sz w:val="24"/>
          <w:szCs w:val="24"/>
        </w:rPr>
        <w:t xml:space="preserve"> contrário, ajuizar ação de obrigação de fazer;</w:t>
      </w:r>
    </w:p>
    <w:p w14:paraId="0F9B0B61" w14:textId="77777777" w:rsidR="003D171C" w:rsidRDefault="00230661">
      <w:pPr>
        <w:widowControl/>
        <w:tabs>
          <w:tab w:val="left" w:pos="709"/>
          <w:tab w:val="left" w:pos="1185"/>
        </w:tabs>
        <w:ind w:left="851" w:right="152"/>
        <w:jc w:val="both"/>
      </w:pPr>
      <w:r>
        <w:rPr>
          <w:rFonts w:asciiTheme="minorHAnsi" w:eastAsia="Tahoma" w:hAnsiTheme="minorHAnsi" w:cstheme="minorHAnsi"/>
          <w:color w:val="000000"/>
          <w:sz w:val="24"/>
          <w:szCs w:val="24"/>
        </w:rPr>
        <w:t>E.</w:t>
      </w:r>
      <w:r>
        <w:rPr>
          <w:rFonts w:asciiTheme="minorHAnsi" w:eastAsia="Tahoma" w:hAnsiTheme="minorHAnsi" w:cstheme="minorHAnsi"/>
          <w:color w:val="000000"/>
          <w:sz w:val="24"/>
          <w:szCs w:val="24"/>
        </w:rPr>
        <w:tab/>
        <w:t>Protocolar e acompanhar ações judiciais;</w:t>
      </w:r>
    </w:p>
    <w:p w14:paraId="4A103AE4" w14:textId="77777777" w:rsidR="003D171C" w:rsidRDefault="00230661">
      <w:pPr>
        <w:widowControl/>
        <w:tabs>
          <w:tab w:val="left" w:pos="709"/>
          <w:tab w:val="left" w:pos="1185"/>
        </w:tabs>
        <w:ind w:left="851" w:right="152"/>
        <w:jc w:val="both"/>
      </w:pPr>
      <w:r>
        <w:rPr>
          <w:rFonts w:asciiTheme="minorHAnsi" w:eastAsia="Tahoma" w:hAnsiTheme="minorHAnsi" w:cstheme="minorHAnsi"/>
          <w:color w:val="000000"/>
          <w:sz w:val="24"/>
          <w:szCs w:val="24"/>
        </w:rPr>
        <w:t>F.</w:t>
      </w:r>
      <w:r>
        <w:rPr>
          <w:rFonts w:asciiTheme="minorHAnsi" w:eastAsia="Tahoma" w:hAnsiTheme="minorHAnsi" w:cstheme="minorHAnsi"/>
          <w:color w:val="000000"/>
          <w:sz w:val="24"/>
          <w:szCs w:val="24"/>
        </w:rPr>
        <w:tab/>
        <w:t>Elaboração de pareceres jurídicos;</w:t>
      </w:r>
    </w:p>
    <w:p w14:paraId="6BB00E93" w14:textId="77777777" w:rsidR="003D171C" w:rsidRDefault="00230661">
      <w:pPr>
        <w:widowControl/>
        <w:tabs>
          <w:tab w:val="left" w:pos="709"/>
          <w:tab w:val="left" w:pos="1185"/>
        </w:tabs>
        <w:ind w:left="851" w:right="152"/>
        <w:jc w:val="both"/>
      </w:pPr>
      <w:r>
        <w:rPr>
          <w:rFonts w:asciiTheme="minorHAnsi" w:eastAsia="Tahoma" w:hAnsiTheme="minorHAnsi" w:cstheme="minorHAnsi"/>
          <w:color w:val="000000"/>
          <w:sz w:val="24"/>
          <w:szCs w:val="24"/>
        </w:rPr>
        <w:t>G.</w:t>
      </w:r>
      <w:r>
        <w:rPr>
          <w:rFonts w:asciiTheme="minorHAnsi" w:eastAsia="Tahoma" w:hAnsiTheme="minorHAnsi" w:cstheme="minorHAnsi"/>
          <w:color w:val="000000"/>
          <w:sz w:val="24"/>
          <w:szCs w:val="24"/>
        </w:rPr>
        <w:tab/>
        <w:t xml:space="preserve">Atendimento ao público diariamente, de 8:30 às 12:00h. </w:t>
      </w:r>
    </w:p>
    <w:p w14:paraId="5C2BFDC2" w14:textId="77777777" w:rsidR="003D171C" w:rsidRDefault="003D171C">
      <w:pPr>
        <w:tabs>
          <w:tab w:val="left" w:pos="709"/>
        </w:tabs>
        <w:jc w:val="both"/>
        <w:rPr>
          <w:rFonts w:ascii="Calibri" w:eastAsia="Tahoma" w:hAnsi="Calibri" w:cs="Calibri"/>
          <w:color w:val="000000"/>
          <w:sz w:val="24"/>
          <w:szCs w:val="24"/>
        </w:rPr>
      </w:pPr>
    </w:p>
    <w:p w14:paraId="1EB2EC19" w14:textId="77777777" w:rsidR="003D171C" w:rsidRDefault="00230661">
      <w:pPr>
        <w:ind w:left="850"/>
        <w:jc w:val="both"/>
        <w:rPr>
          <w:rFonts w:ascii="Calibri" w:eastAsia="Tahoma" w:hAnsi="Calibri" w:cs="Calibri"/>
          <w:color w:val="000000"/>
          <w:sz w:val="24"/>
          <w:szCs w:val="24"/>
        </w:rPr>
      </w:pPr>
      <w:r>
        <w:rPr>
          <w:rFonts w:ascii="Calibri" w:eastAsia="Tahoma" w:hAnsi="Calibri" w:cs="Calibri"/>
          <w:color w:val="000000"/>
          <w:sz w:val="24"/>
          <w:szCs w:val="24"/>
        </w:rPr>
        <w:t xml:space="preserve">2.4. Nessa contratação deve ser observado a presteza e tempestividades dos serviços, mostrando a </w:t>
      </w:r>
      <w:proofErr w:type="spellStart"/>
      <w:r>
        <w:rPr>
          <w:rFonts w:ascii="Calibri" w:eastAsia="Tahoma" w:hAnsi="Calibri" w:cs="Calibri"/>
          <w:color w:val="000000"/>
          <w:sz w:val="24"/>
          <w:szCs w:val="24"/>
        </w:rPr>
        <w:t>vantajosidade</w:t>
      </w:r>
      <w:proofErr w:type="spellEnd"/>
      <w:r>
        <w:rPr>
          <w:rFonts w:ascii="Calibri" w:eastAsia="Tahoma" w:hAnsi="Calibri" w:cs="Calibri"/>
          <w:color w:val="000000"/>
          <w:sz w:val="24"/>
          <w:szCs w:val="24"/>
        </w:rPr>
        <w:t xml:space="preserve"> da contratação ao longo do tempo.</w:t>
      </w:r>
    </w:p>
    <w:p w14:paraId="51182EC8" w14:textId="77777777" w:rsidR="003D171C" w:rsidRDefault="003D171C">
      <w:pPr>
        <w:tabs>
          <w:tab w:val="left" w:pos="709"/>
        </w:tabs>
        <w:jc w:val="both"/>
        <w:rPr>
          <w:rFonts w:ascii="Calibri" w:eastAsia="Tahoma" w:hAnsi="Calibri" w:cs="Calibri"/>
          <w:color w:val="000000"/>
          <w:sz w:val="24"/>
          <w:szCs w:val="24"/>
        </w:rPr>
      </w:pPr>
    </w:p>
    <w:p w14:paraId="27C7953C" w14:textId="77777777" w:rsidR="003D171C" w:rsidRDefault="00230661">
      <w:pPr>
        <w:widowControl/>
        <w:tabs>
          <w:tab w:val="left" w:pos="709"/>
        </w:tabs>
        <w:ind w:left="851" w:right="152"/>
        <w:jc w:val="both"/>
        <w:rPr>
          <w:rFonts w:ascii="Calibri" w:hAnsi="Calibri"/>
          <w:sz w:val="24"/>
          <w:szCs w:val="24"/>
        </w:rPr>
      </w:pPr>
      <w:r>
        <w:rPr>
          <w:rFonts w:ascii="Calibri" w:eastAsia="Tahoma" w:hAnsi="Calibri" w:cs="Calibri"/>
          <w:color w:val="000000"/>
          <w:sz w:val="24"/>
          <w:szCs w:val="24"/>
        </w:rPr>
        <w:t>2.5. A contratação está embasada no planejamento para o exercício de 2025.</w:t>
      </w:r>
    </w:p>
    <w:p w14:paraId="2EB4EBD3" w14:textId="77777777" w:rsidR="003D171C" w:rsidRDefault="003D171C">
      <w:pPr>
        <w:widowControl/>
        <w:tabs>
          <w:tab w:val="left" w:pos="709"/>
        </w:tabs>
        <w:ind w:left="851" w:right="152"/>
        <w:jc w:val="both"/>
        <w:rPr>
          <w:rFonts w:ascii="Calibri" w:eastAsia="Tahoma" w:hAnsi="Calibri" w:cs="Calibri"/>
          <w:color w:val="000000"/>
        </w:rPr>
      </w:pPr>
    </w:p>
    <w:p w14:paraId="6DC7CD00" w14:textId="77777777" w:rsidR="003D171C" w:rsidRDefault="00230661">
      <w:pPr>
        <w:ind w:left="851"/>
        <w:rPr>
          <w:rFonts w:ascii="Calibri" w:hAnsi="Calibri"/>
          <w:sz w:val="24"/>
          <w:szCs w:val="24"/>
        </w:rPr>
      </w:pPr>
      <w:r>
        <w:rPr>
          <w:rFonts w:asciiTheme="minorHAnsi" w:hAnsiTheme="minorHAnsi" w:cstheme="minorHAnsi"/>
          <w:b/>
          <w:bCs/>
          <w:sz w:val="24"/>
          <w:szCs w:val="24"/>
        </w:rPr>
        <w:t xml:space="preserve">3. DA DESCRIÇÃO DA SOLUÇÃO COMO UM </w:t>
      </w:r>
      <w:r>
        <w:rPr>
          <w:rFonts w:asciiTheme="minorHAnsi" w:hAnsiTheme="minorHAnsi" w:cstheme="minorHAnsi"/>
          <w:b/>
          <w:bCs/>
          <w:sz w:val="24"/>
          <w:szCs w:val="24"/>
        </w:rPr>
        <w:t>TODO CONSIDERANDO O CICLO DE VIDA DO OBJETO E ESPECIFICAÇÃO DO PRODUTO</w:t>
      </w:r>
    </w:p>
    <w:p w14:paraId="2510608E" w14:textId="77777777" w:rsidR="003D171C" w:rsidRDefault="00230661">
      <w:pPr>
        <w:widowControl/>
        <w:numPr>
          <w:ilvl w:val="1"/>
          <w:numId w:val="1"/>
        </w:numPr>
        <w:ind w:left="851" w:right="153" w:firstLine="0"/>
        <w:jc w:val="both"/>
        <w:rPr>
          <w:rFonts w:ascii="Calibri" w:hAnsi="Calibri"/>
          <w:sz w:val="24"/>
          <w:szCs w:val="24"/>
        </w:rPr>
      </w:pPr>
      <w:r>
        <w:rPr>
          <w:rFonts w:asciiTheme="minorHAnsi" w:eastAsia="Tahoma" w:hAnsiTheme="minorHAnsi" w:cstheme="minorHAnsi"/>
          <w:color w:val="000000"/>
          <w:sz w:val="24"/>
          <w:szCs w:val="24"/>
        </w:rPr>
        <w:t>A descrição da solução como um todo encontra-se pormenorizada em tópico 6, dos Estudos Técnicos Preliminares, deste Termo de Referência.</w:t>
      </w:r>
    </w:p>
    <w:p w14:paraId="0054DC44" w14:textId="77777777" w:rsidR="003D171C" w:rsidRDefault="003D171C">
      <w:pPr>
        <w:pStyle w:val="Ttulo31"/>
        <w:tabs>
          <w:tab w:val="left" w:pos="851"/>
        </w:tabs>
        <w:ind w:left="851" w:right="227"/>
        <w:jc w:val="both"/>
        <w:rPr>
          <w:rFonts w:asciiTheme="minorHAnsi" w:eastAsia="Tahoma" w:hAnsiTheme="minorHAnsi" w:cstheme="minorHAnsi"/>
          <w:sz w:val="24"/>
          <w:szCs w:val="24"/>
        </w:rPr>
      </w:pPr>
    </w:p>
    <w:p w14:paraId="5292C46A" w14:textId="77777777" w:rsidR="003D171C" w:rsidRDefault="00230661">
      <w:pPr>
        <w:rPr>
          <w:rFonts w:ascii="Calibri" w:hAnsi="Calibri"/>
          <w:sz w:val="24"/>
          <w:szCs w:val="24"/>
        </w:rPr>
      </w:pPr>
      <w:r>
        <w:rPr>
          <w:rFonts w:asciiTheme="minorHAnsi" w:hAnsiTheme="minorHAnsi" w:cstheme="minorHAnsi"/>
          <w:sz w:val="24"/>
          <w:szCs w:val="24"/>
        </w:rPr>
        <w:t xml:space="preserve">              </w:t>
      </w:r>
      <w:r>
        <w:rPr>
          <w:rFonts w:asciiTheme="minorHAnsi" w:hAnsiTheme="minorHAnsi" w:cstheme="minorHAnsi"/>
          <w:b/>
          <w:bCs/>
          <w:sz w:val="24"/>
          <w:szCs w:val="24"/>
        </w:rPr>
        <w:t>4. DOS REQUISITOS DA CONTRATAÇÃO</w:t>
      </w:r>
    </w:p>
    <w:p w14:paraId="6385FAB0" w14:textId="77777777" w:rsidR="003D171C" w:rsidRDefault="00230661">
      <w:pPr>
        <w:ind w:left="851"/>
        <w:jc w:val="both"/>
        <w:rPr>
          <w:rFonts w:asciiTheme="minorHAnsi" w:eastAsia="Tahoma" w:hAnsiTheme="minorHAnsi" w:cstheme="minorHAnsi"/>
          <w:sz w:val="24"/>
          <w:szCs w:val="24"/>
        </w:rPr>
      </w:pPr>
      <w:r>
        <w:rPr>
          <w:rFonts w:asciiTheme="minorHAnsi" w:eastAsia="Tahoma" w:hAnsiTheme="minorHAnsi" w:cstheme="minorHAnsi"/>
          <w:sz w:val="24"/>
          <w:szCs w:val="24"/>
        </w:rPr>
        <w:t>4.1. Para que o objeto da contratação seja atendido, é necessário o atendimento de alguns requisitos mínimos necessários, dentre eles os de qualidade e capacidade de execução pelo contratado, nos termos do artigo 72. da Lei Federal 14.133/2021.</w:t>
      </w:r>
    </w:p>
    <w:p w14:paraId="25EF148C" w14:textId="77777777" w:rsidR="003D171C" w:rsidRDefault="003D171C">
      <w:pPr>
        <w:ind w:left="851"/>
        <w:jc w:val="both"/>
        <w:rPr>
          <w:rFonts w:asciiTheme="minorHAnsi" w:eastAsia="Tahoma" w:hAnsiTheme="minorHAnsi" w:cstheme="minorHAnsi"/>
        </w:rPr>
      </w:pPr>
    </w:p>
    <w:p w14:paraId="5FF3F3D5" w14:textId="77777777" w:rsidR="003D171C" w:rsidRDefault="00230661">
      <w:pPr>
        <w:ind w:left="851"/>
        <w:jc w:val="both"/>
        <w:rPr>
          <w:rFonts w:ascii="Calibri" w:hAnsi="Calibri"/>
          <w:sz w:val="24"/>
          <w:szCs w:val="24"/>
        </w:rPr>
      </w:pPr>
      <w:r>
        <w:rPr>
          <w:rFonts w:asciiTheme="minorHAnsi" w:eastAsia="Tahoma" w:hAnsiTheme="minorHAnsi" w:cstheme="minorHAnsi"/>
          <w:sz w:val="24"/>
          <w:szCs w:val="24"/>
        </w:rPr>
        <w:t xml:space="preserve">4.2. </w:t>
      </w:r>
      <w:r>
        <w:rPr>
          <w:rFonts w:asciiTheme="minorHAnsi" w:eastAsia="Tahoma" w:hAnsiTheme="minorHAnsi" w:cstheme="minorHAnsi"/>
          <w:sz w:val="24"/>
          <w:szCs w:val="24"/>
        </w:rPr>
        <w:t>Não haverá necessidade de garantia da contratação.</w:t>
      </w:r>
    </w:p>
    <w:p w14:paraId="2CDE1C54" w14:textId="77777777" w:rsidR="003D171C" w:rsidRDefault="003D171C">
      <w:pPr>
        <w:ind w:left="851"/>
        <w:jc w:val="both"/>
        <w:rPr>
          <w:rFonts w:asciiTheme="minorHAnsi" w:eastAsia="Tahoma" w:hAnsiTheme="minorHAnsi" w:cstheme="minorHAnsi"/>
        </w:rPr>
      </w:pPr>
    </w:p>
    <w:p w14:paraId="5FF19635" w14:textId="77777777" w:rsidR="003D171C" w:rsidRDefault="00230661">
      <w:pPr>
        <w:ind w:left="851"/>
        <w:jc w:val="both"/>
        <w:rPr>
          <w:rFonts w:ascii="Calibri" w:hAnsi="Calibri"/>
          <w:sz w:val="24"/>
          <w:szCs w:val="24"/>
        </w:rPr>
      </w:pPr>
      <w:r>
        <w:rPr>
          <w:rFonts w:asciiTheme="minorHAnsi" w:eastAsia="Tahoma" w:hAnsiTheme="minorHAnsi" w:cstheme="minorHAnsi"/>
          <w:sz w:val="24"/>
          <w:szCs w:val="24"/>
        </w:rPr>
        <w:t>4.3. Não será admitida a subcontratação do objeto.</w:t>
      </w:r>
    </w:p>
    <w:p w14:paraId="521C6B56" w14:textId="77777777" w:rsidR="003D171C" w:rsidRDefault="003D171C">
      <w:pPr>
        <w:ind w:left="851"/>
        <w:jc w:val="both"/>
        <w:rPr>
          <w:rFonts w:eastAsia="Tahoma" w:cstheme="minorHAnsi"/>
        </w:rPr>
      </w:pPr>
    </w:p>
    <w:p w14:paraId="274E944A" w14:textId="77777777" w:rsidR="003D171C" w:rsidRDefault="00230661">
      <w:pPr>
        <w:ind w:left="851"/>
        <w:jc w:val="both"/>
        <w:rPr>
          <w:rFonts w:ascii="Calibri" w:hAnsi="Calibri"/>
          <w:sz w:val="24"/>
          <w:szCs w:val="24"/>
        </w:rPr>
      </w:pPr>
      <w:r>
        <w:rPr>
          <w:rFonts w:asciiTheme="minorHAnsi" w:eastAsia="Tahoma" w:hAnsiTheme="minorHAnsi" w:cstheme="minorHAnsi"/>
          <w:sz w:val="24"/>
          <w:szCs w:val="24"/>
        </w:rPr>
        <w:lastRenderedPageBreak/>
        <w:t>4.4.  Tal serviço, por sua vez, não está relacionado à incidência de impactos ambientais, de modo que não se faz necessário elencar, neste documento, critérios de sustentabilidade para a referida contratação.</w:t>
      </w:r>
    </w:p>
    <w:p w14:paraId="0C9BB0C1" w14:textId="77777777" w:rsidR="003D171C" w:rsidRDefault="003D171C">
      <w:pPr>
        <w:ind w:left="851"/>
        <w:jc w:val="both"/>
        <w:rPr>
          <w:rFonts w:asciiTheme="minorHAnsi" w:eastAsia="Tahoma" w:hAnsiTheme="minorHAnsi" w:cstheme="minorHAnsi"/>
        </w:rPr>
      </w:pPr>
    </w:p>
    <w:p w14:paraId="4BD895BC" w14:textId="77777777" w:rsidR="003D171C" w:rsidRDefault="00230661">
      <w:pPr>
        <w:ind w:left="851"/>
        <w:jc w:val="both"/>
        <w:rPr>
          <w:rFonts w:ascii="Calibri" w:hAnsi="Calibri"/>
          <w:sz w:val="24"/>
          <w:szCs w:val="24"/>
        </w:rPr>
      </w:pPr>
      <w:r>
        <w:rPr>
          <w:rFonts w:asciiTheme="minorHAnsi" w:eastAsia="Tahoma" w:hAnsiTheme="minorHAnsi" w:cstheme="minorHAnsi"/>
          <w:sz w:val="24"/>
          <w:szCs w:val="24"/>
        </w:rPr>
        <w:t>4.5. Destaca-se que a empresa contratada deverá possuir a documentação obrigatória atualizada (INSS, Receita Federal, FGTS Certidão negativa de débitos trabalhistas (CNDT, esta emitida pelo TST), e estar quite em todas as certidões emitidas com base na Consulta Consolidada de Pessoa Jurídica. Deverá disponibilizar pessoal técnico qualificado ao atendimento dos serviços contratados, além disso, deverá atender aos demais requisitos elencados neste Termo de Referência.</w:t>
      </w:r>
    </w:p>
    <w:p w14:paraId="4EF51AEC" w14:textId="77777777" w:rsidR="003D171C" w:rsidRDefault="003D171C">
      <w:pPr>
        <w:ind w:left="851"/>
        <w:jc w:val="both"/>
        <w:rPr>
          <w:rFonts w:ascii="Calibri" w:hAnsi="Calibri"/>
          <w:sz w:val="24"/>
          <w:szCs w:val="24"/>
        </w:rPr>
      </w:pPr>
    </w:p>
    <w:p w14:paraId="2C16B078" w14:textId="77777777" w:rsidR="003D171C" w:rsidRDefault="00230661">
      <w:pPr>
        <w:widowControl/>
        <w:ind w:left="851" w:right="152"/>
        <w:jc w:val="both"/>
        <w:rPr>
          <w:rFonts w:ascii="Calibri" w:hAnsi="Calibri"/>
          <w:sz w:val="24"/>
          <w:szCs w:val="24"/>
        </w:rPr>
      </w:pPr>
      <w:r>
        <w:rPr>
          <w:rFonts w:asciiTheme="minorHAnsi" w:eastAsia="Tahoma" w:hAnsiTheme="minorHAnsi" w:cstheme="minorHAnsi"/>
          <w:sz w:val="24"/>
          <w:szCs w:val="24"/>
        </w:rPr>
        <w:t xml:space="preserve">4.6. A empresa contratada deve estar devidamente cadastrada junto ao sistema SICAF e possuir a documentação obrigatória atualizada (INSS, Receita Federal, FGTS Certidão negativa de débitos trabalhistas emitida pelo TST) e estar quite em todas as certidões emitidas com base na Consulta Consolidada de Pessoa Jurídica, emitida pelo TCU (Certidões Administração Pública Federal, disponível em: </w:t>
      </w:r>
      <w:hyperlink r:id="rId8">
        <w:r>
          <w:rPr>
            <w:rStyle w:val="Hyperlink"/>
            <w:rFonts w:asciiTheme="minorHAnsi" w:eastAsia="Tahoma" w:hAnsiTheme="minorHAnsi" w:cstheme="minorHAnsi"/>
            <w:sz w:val="24"/>
            <w:szCs w:val="24"/>
          </w:rPr>
          <w:t>https://certidoesapf.apps.tcu.gov.br/</w:t>
        </w:r>
      </w:hyperlink>
      <w:r>
        <w:rPr>
          <w:rFonts w:asciiTheme="minorHAnsi" w:eastAsia="Tahoma" w:hAnsiTheme="minorHAnsi" w:cstheme="minorHAnsi"/>
          <w:sz w:val="24"/>
          <w:szCs w:val="24"/>
        </w:rPr>
        <w:t>).</w:t>
      </w:r>
    </w:p>
    <w:p w14:paraId="7D7CB22C" w14:textId="77777777" w:rsidR="003D171C" w:rsidRDefault="003D171C">
      <w:pPr>
        <w:widowControl/>
        <w:ind w:left="851" w:right="152"/>
        <w:jc w:val="both"/>
        <w:rPr>
          <w:rFonts w:eastAsia="Tahoma" w:cstheme="minorHAnsi"/>
        </w:rPr>
      </w:pPr>
    </w:p>
    <w:p w14:paraId="33CC463C" w14:textId="77777777" w:rsidR="003D171C" w:rsidRDefault="00230661">
      <w:pPr>
        <w:widowControl/>
        <w:ind w:left="851" w:right="152"/>
        <w:jc w:val="both"/>
        <w:rPr>
          <w:rFonts w:asciiTheme="minorHAnsi" w:eastAsia="Tahoma" w:hAnsiTheme="minorHAnsi" w:cstheme="minorHAnsi"/>
          <w:sz w:val="24"/>
          <w:szCs w:val="24"/>
        </w:rPr>
      </w:pPr>
      <w:r>
        <w:rPr>
          <w:rFonts w:asciiTheme="minorHAnsi" w:eastAsia="Tahoma" w:hAnsiTheme="minorHAnsi" w:cstheme="minorHAnsi"/>
          <w:sz w:val="24"/>
          <w:szCs w:val="24"/>
        </w:rPr>
        <w:t>4.7. A Contratada, naquilo que couber, deve adotar práticas sustentáveis em seu trabalho, como a utilização de equipamentos eficientes em termos de energia, o descarte adequado de resíduos e a adoção de práticas sustentáveis que causem menor dano, mitigando os possíveis impactos ambientais, nos termos da Instrução Normativa SLTI/MPOG n.º 01, de 19/01/2010 e demais ordenamentos jurídicos vigentes.</w:t>
      </w:r>
    </w:p>
    <w:p w14:paraId="3EAF3633" w14:textId="77777777" w:rsidR="003D171C" w:rsidRDefault="003D171C">
      <w:pPr>
        <w:widowControl/>
        <w:ind w:left="851" w:right="152"/>
        <w:jc w:val="both"/>
        <w:rPr>
          <w:rFonts w:ascii="Calibri" w:hAnsi="Calibri"/>
          <w:sz w:val="24"/>
          <w:szCs w:val="24"/>
        </w:rPr>
      </w:pPr>
    </w:p>
    <w:p w14:paraId="62BF2A87" w14:textId="77777777" w:rsidR="003D171C" w:rsidRDefault="00230661">
      <w:pPr>
        <w:widowControl/>
        <w:ind w:left="851" w:right="152"/>
        <w:jc w:val="both"/>
        <w:rPr>
          <w:rFonts w:asciiTheme="minorHAnsi" w:eastAsia="Tahoma" w:hAnsiTheme="minorHAnsi" w:cstheme="minorHAnsi"/>
          <w:sz w:val="24"/>
          <w:szCs w:val="24"/>
        </w:rPr>
      </w:pPr>
      <w:r>
        <w:rPr>
          <w:rFonts w:asciiTheme="minorHAnsi" w:eastAsia="Tahoma" w:hAnsiTheme="minorHAnsi" w:cstheme="minorHAnsi"/>
          <w:sz w:val="24"/>
          <w:szCs w:val="24"/>
        </w:rPr>
        <w:t xml:space="preserve">4.8. A seleção será por meio da realização de procedimento de inexigibilidade de licitação, com fundamento na hipótese do </w:t>
      </w:r>
      <w:proofErr w:type="spellStart"/>
      <w:r>
        <w:rPr>
          <w:rFonts w:asciiTheme="minorHAnsi" w:eastAsia="Tahoma" w:hAnsiTheme="minorHAnsi" w:cstheme="minorHAnsi"/>
          <w:sz w:val="24"/>
          <w:szCs w:val="24"/>
        </w:rPr>
        <w:t>art</w:t>
      </w:r>
      <w:proofErr w:type="spellEnd"/>
      <w:r>
        <w:rPr>
          <w:rFonts w:asciiTheme="minorHAnsi" w:eastAsia="Tahoma" w:hAnsiTheme="minorHAnsi" w:cstheme="minorHAnsi"/>
          <w:sz w:val="24"/>
          <w:szCs w:val="24"/>
        </w:rPr>
        <w:t xml:space="preserve">. 74, </w:t>
      </w:r>
      <w:proofErr w:type="spellStart"/>
      <w:r>
        <w:rPr>
          <w:rFonts w:asciiTheme="minorHAnsi" w:eastAsia="Tahoma" w:hAnsiTheme="minorHAnsi" w:cstheme="minorHAnsi"/>
          <w:sz w:val="24"/>
          <w:szCs w:val="24"/>
        </w:rPr>
        <w:t>inc.III</w:t>
      </w:r>
      <w:proofErr w:type="spellEnd"/>
      <w:r>
        <w:rPr>
          <w:rFonts w:asciiTheme="minorHAnsi" w:eastAsia="Tahoma" w:hAnsiTheme="minorHAnsi" w:cstheme="minorHAnsi"/>
          <w:sz w:val="24"/>
          <w:szCs w:val="24"/>
        </w:rPr>
        <w:t xml:space="preserve">, alínea "c" da Lei n.º 14.133 de 2021, por se tratar de serviço de natureza técnica especializada, predominantemente intelectual, com profissional de notória especialização na área requerida. </w:t>
      </w:r>
    </w:p>
    <w:p w14:paraId="5ACF5B60" w14:textId="77777777" w:rsidR="003D171C" w:rsidRDefault="003D171C">
      <w:pPr>
        <w:widowControl/>
        <w:ind w:left="851" w:right="152"/>
        <w:jc w:val="both"/>
        <w:rPr>
          <w:rFonts w:asciiTheme="minorHAnsi" w:eastAsia="Tahoma" w:hAnsiTheme="minorHAnsi" w:cstheme="minorHAnsi"/>
          <w:sz w:val="24"/>
          <w:szCs w:val="24"/>
        </w:rPr>
      </w:pPr>
    </w:p>
    <w:p w14:paraId="5FF16603" w14:textId="77777777" w:rsidR="003D171C" w:rsidRDefault="00230661">
      <w:pPr>
        <w:widowControl/>
        <w:ind w:left="851" w:right="152"/>
        <w:jc w:val="both"/>
        <w:rPr>
          <w:rFonts w:eastAsia="Tahoma" w:cstheme="minorHAnsi"/>
          <w:color w:val="000000"/>
        </w:rPr>
      </w:pPr>
      <w:r>
        <w:rPr>
          <w:rFonts w:asciiTheme="minorHAnsi" w:eastAsia="Tahoma" w:hAnsiTheme="minorHAnsi" w:cstheme="minorHAnsi"/>
          <w:sz w:val="24"/>
          <w:szCs w:val="24"/>
        </w:rPr>
        <w:t>4.9. Além de inscrição ativa na OAB, o fornecedor deverá comprovar, por meio de atestados de capacidade técnica, sua prévia experiência em assessoria e consultoria em processo em Conselho ou outros entes e órgãos públicos, bem como a notoriedade de sua especialização</w:t>
      </w:r>
      <w:r>
        <w:rPr>
          <w:rFonts w:eastAsia="Tahoma" w:cstheme="minorHAnsi"/>
          <w:color w:val="000000"/>
        </w:rPr>
        <w:t>.</w:t>
      </w:r>
    </w:p>
    <w:p w14:paraId="4AE36FC2" w14:textId="77777777" w:rsidR="003D171C" w:rsidRDefault="003D171C">
      <w:pPr>
        <w:widowControl/>
        <w:ind w:left="851" w:right="152"/>
        <w:jc w:val="both"/>
        <w:rPr>
          <w:rFonts w:eastAsia="Tahoma" w:cstheme="minorHAnsi"/>
          <w:color w:val="000000"/>
        </w:rPr>
      </w:pPr>
    </w:p>
    <w:p w14:paraId="12434A2F" w14:textId="77777777" w:rsidR="003D171C" w:rsidRDefault="00230661">
      <w:pPr>
        <w:widowControl/>
        <w:ind w:left="851" w:right="152"/>
        <w:jc w:val="both"/>
        <w:rPr>
          <w:rFonts w:asciiTheme="minorHAnsi" w:eastAsia="Tahoma" w:hAnsiTheme="minorHAnsi" w:cstheme="minorHAnsi"/>
          <w:sz w:val="24"/>
          <w:szCs w:val="24"/>
        </w:rPr>
      </w:pPr>
      <w:r>
        <w:rPr>
          <w:rFonts w:asciiTheme="minorHAnsi" w:eastAsia="Tahoma" w:hAnsiTheme="minorHAnsi" w:cstheme="minorHAnsi"/>
          <w:sz w:val="24"/>
          <w:szCs w:val="24"/>
        </w:rPr>
        <w:t xml:space="preserve">4.10. Previamente à celebração da Ordem de Serviço, a Administração verificará o eventual descumprimento das condições para contratação, especialmente quanto à existência de sanção que a impeça, mediante a consulta a cadastros informativo no SICAF; </w:t>
      </w:r>
    </w:p>
    <w:p w14:paraId="3A81A559" w14:textId="77777777" w:rsidR="003D171C" w:rsidRDefault="003D171C">
      <w:pPr>
        <w:widowControl/>
        <w:ind w:left="851" w:right="152"/>
        <w:jc w:val="both"/>
        <w:rPr>
          <w:rFonts w:asciiTheme="minorHAnsi" w:eastAsia="Tahoma" w:hAnsiTheme="minorHAnsi" w:cstheme="minorHAnsi"/>
          <w:sz w:val="24"/>
          <w:szCs w:val="24"/>
        </w:rPr>
      </w:pPr>
    </w:p>
    <w:p w14:paraId="1AB10A9F" w14:textId="77777777" w:rsidR="003D171C" w:rsidRDefault="00230661">
      <w:pPr>
        <w:widowControl/>
        <w:ind w:left="851" w:right="152"/>
        <w:jc w:val="both"/>
        <w:rPr>
          <w:rFonts w:asciiTheme="minorHAnsi" w:eastAsia="Tahoma" w:hAnsiTheme="minorHAnsi" w:cstheme="minorHAnsi"/>
          <w:sz w:val="24"/>
          <w:szCs w:val="24"/>
        </w:rPr>
      </w:pPr>
      <w:r>
        <w:rPr>
          <w:rFonts w:asciiTheme="minorHAnsi" w:eastAsia="Tahoma" w:hAnsiTheme="minorHAnsi" w:cstheme="minorHAnsi"/>
          <w:sz w:val="24"/>
          <w:szCs w:val="24"/>
        </w:rPr>
        <w:t xml:space="preserve">4.11. Caso conste na Consulta de Situação do Fornecedor a existência de Ocorrências Impeditivas Indiretas, o gestor diligenciará para verificar se houve fraude por parte das empresas apontadas no Relatório de Ocorrências Impeditivas Indiretas. </w:t>
      </w:r>
    </w:p>
    <w:p w14:paraId="14F12D96" w14:textId="77777777" w:rsidR="003D171C" w:rsidRDefault="003D171C">
      <w:pPr>
        <w:widowControl/>
        <w:ind w:left="851" w:right="152"/>
        <w:jc w:val="both"/>
        <w:rPr>
          <w:rFonts w:asciiTheme="minorHAnsi" w:eastAsia="Tahoma" w:hAnsiTheme="minorHAnsi" w:cstheme="minorHAnsi"/>
          <w:sz w:val="24"/>
          <w:szCs w:val="24"/>
        </w:rPr>
      </w:pPr>
    </w:p>
    <w:p w14:paraId="036E9356" w14:textId="77777777" w:rsidR="003D171C" w:rsidRDefault="00230661">
      <w:pPr>
        <w:widowControl/>
        <w:ind w:left="851" w:right="152"/>
        <w:jc w:val="both"/>
        <w:rPr>
          <w:rFonts w:asciiTheme="minorHAnsi" w:eastAsia="Tahoma" w:hAnsiTheme="minorHAnsi" w:cstheme="minorHAnsi"/>
          <w:sz w:val="24"/>
          <w:szCs w:val="24"/>
        </w:rPr>
      </w:pPr>
      <w:r>
        <w:rPr>
          <w:rFonts w:asciiTheme="minorHAnsi" w:eastAsia="Tahoma" w:hAnsiTheme="minorHAnsi" w:cstheme="minorHAnsi"/>
          <w:sz w:val="24"/>
          <w:szCs w:val="24"/>
        </w:rPr>
        <w:t>4.12. A tentativa de burla será verificada por meio dos vínculos societários, linhas de fornecimento similares, dentre outros.</w:t>
      </w:r>
    </w:p>
    <w:p w14:paraId="4416F46D" w14:textId="77777777" w:rsidR="003D171C" w:rsidRDefault="003D171C">
      <w:pPr>
        <w:widowControl/>
        <w:ind w:left="851" w:right="152"/>
        <w:jc w:val="both"/>
        <w:rPr>
          <w:rFonts w:asciiTheme="minorHAnsi" w:eastAsia="Tahoma" w:hAnsiTheme="minorHAnsi" w:cstheme="minorHAnsi"/>
          <w:sz w:val="24"/>
          <w:szCs w:val="24"/>
        </w:rPr>
      </w:pPr>
    </w:p>
    <w:p w14:paraId="3FABDD8D" w14:textId="77777777" w:rsidR="003D171C" w:rsidRDefault="00230661">
      <w:pPr>
        <w:widowControl/>
        <w:ind w:left="851" w:right="152"/>
        <w:jc w:val="both"/>
        <w:rPr>
          <w:rFonts w:asciiTheme="minorHAnsi" w:eastAsia="Tahoma" w:hAnsiTheme="minorHAnsi" w:cstheme="minorHAnsi"/>
          <w:sz w:val="24"/>
          <w:szCs w:val="24"/>
        </w:rPr>
      </w:pPr>
      <w:r>
        <w:rPr>
          <w:rFonts w:asciiTheme="minorHAnsi" w:eastAsia="Tahoma" w:hAnsiTheme="minorHAnsi" w:cstheme="minorHAnsi"/>
          <w:sz w:val="24"/>
          <w:szCs w:val="24"/>
        </w:rPr>
        <w:t xml:space="preserve">4.13. </w:t>
      </w:r>
      <w:r>
        <w:rPr>
          <w:rFonts w:asciiTheme="minorHAnsi" w:eastAsia="Tahoma" w:hAnsiTheme="minorHAnsi" w:cstheme="minorHAnsi"/>
          <w:sz w:val="24"/>
          <w:szCs w:val="24"/>
        </w:rPr>
        <w:tab/>
        <w:t>O fornecedor será convocado para manifestação previamente a uma eventual negativa de contratação.</w:t>
      </w:r>
    </w:p>
    <w:p w14:paraId="3F5F4FE7" w14:textId="77777777" w:rsidR="003D171C" w:rsidRDefault="003D171C">
      <w:pPr>
        <w:widowControl/>
        <w:ind w:left="851" w:right="152"/>
        <w:jc w:val="both"/>
        <w:rPr>
          <w:rFonts w:asciiTheme="minorHAnsi" w:eastAsia="Tahoma" w:hAnsiTheme="minorHAnsi" w:cstheme="minorHAnsi"/>
          <w:sz w:val="24"/>
          <w:szCs w:val="24"/>
        </w:rPr>
      </w:pPr>
    </w:p>
    <w:p w14:paraId="4689170D" w14:textId="77777777" w:rsidR="003D171C" w:rsidRDefault="00230661">
      <w:pPr>
        <w:widowControl/>
        <w:ind w:left="851" w:right="152"/>
        <w:jc w:val="both"/>
        <w:rPr>
          <w:rFonts w:asciiTheme="minorHAnsi" w:eastAsia="Tahoma" w:hAnsiTheme="minorHAnsi" w:cstheme="minorHAnsi"/>
          <w:sz w:val="24"/>
          <w:szCs w:val="24"/>
        </w:rPr>
      </w:pPr>
      <w:r>
        <w:rPr>
          <w:rFonts w:asciiTheme="minorHAnsi" w:eastAsia="Tahoma" w:hAnsiTheme="minorHAnsi" w:cstheme="minorHAnsi"/>
          <w:sz w:val="24"/>
          <w:szCs w:val="24"/>
        </w:rPr>
        <w:lastRenderedPageBreak/>
        <w:t xml:space="preserve">4.14. É dever do fornecedor manter atualizada a </w:t>
      </w:r>
      <w:proofErr w:type="spellStart"/>
      <w:r>
        <w:rPr>
          <w:rFonts w:asciiTheme="minorHAnsi" w:eastAsia="Tahoma" w:hAnsiTheme="minorHAnsi" w:cstheme="minorHAnsi"/>
          <w:sz w:val="24"/>
          <w:szCs w:val="24"/>
        </w:rPr>
        <w:t>respectiva</w:t>
      </w:r>
      <w:proofErr w:type="spellEnd"/>
      <w:r>
        <w:rPr>
          <w:rFonts w:asciiTheme="minorHAnsi" w:eastAsia="Tahoma" w:hAnsiTheme="minorHAnsi" w:cstheme="minorHAnsi"/>
          <w:sz w:val="24"/>
          <w:szCs w:val="24"/>
        </w:rPr>
        <w:t xml:space="preserve"> documentação constante do SICAF, ou encaminhar, quando solicitado pela Administração, a </w:t>
      </w:r>
      <w:proofErr w:type="spellStart"/>
      <w:r>
        <w:rPr>
          <w:rFonts w:asciiTheme="minorHAnsi" w:eastAsia="Tahoma" w:hAnsiTheme="minorHAnsi" w:cstheme="minorHAnsi"/>
          <w:sz w:val="24"/>
          <w:szCs w:val="24"/>
        </w:rPr>
        <w:t>respectiva</w:t>
      </w:r>
      <w:proofErr w:type="spellEnd"/>
      <w:r>
        <w:rPr>
          <w:rFonts w:asciiTheme="minorHAnsi" w:eastAsia="Tahoma" w:hAnsiTheme="minorHAnsi" w:cstheme="minorHAnsi"/>
          <w:sz w:val="24"/>
          <w:szCs w:val="24"/>
        </w:rPr>
        <w:t xml:space="preserve"> documentação atualizada.</w:t>
      </w:r>
    </w:p>
    <w:p w14:paraId="1446282A" w14:textId="77777777" w:rsidR="003D171C" w:rsidRDefault="00230661">
      <w:pPr>
        <w:widowControl/>
        <w:ind w:left="851" w:right="152"/>
        <w:jc w:val="both"/>
        <w:rPr>
          <w:rFonts w:asciiTheme="minorHAnsi" w:eastAsia="Tahoma" w:hAnsiTheme="minorHAnsi" w:cstheme="minorHAnsi"/>
          <w:sz w:val="24"/>
          <w:szCs w:val="24"/>
        </w:rPr>
      </w:pPr>
      <w:r>
        <w:rPr>
          <w:rFonts w:asciiTheme="minorHAnsi" w:eastAsia="Tahoma" w:hAnsiTheme="minorHAnsi" w:cstheme="minorHAnsi"/>
          <w:sz w:val="24"/>
          <w:szCs w:val="24"/>
        </w:rPr>
        <w:t xml:space="preserve"> </w:t>
      </w:r>
    </w:p>
    <w:p w14:paraId="627F8FF3" w14:textId="77777777" w:rsidR="003D171C" w:rsidRDefault="00230661">
      <w:pPr>
        <w:widowControl/>
        <w:ind w:left="851" w:right="152"/>
        <w:jc w:val="both"/>
        <w:rPr>
          <w:rFonts w:asciiTheme="minorHAnsi" w:eastAsia="Tahoma" w:hAnsiTheme="minorHAnsi" w:cstheme="minorHAnsi"/>
          <w:sz w:val="24"/>
          <w:szCs w:val="24"/>
        </w:rPr>
      </w:pPr>
      <w:r>
        <w:rPr>
          <w:rFonts w:asciiTheme="minorHAnsi" w:eastAsia="Tahoma" w:hAnsiTheme="minorHAnsi" w:cstheme="minorHAnsi"/>
          <w:sz w:val="24"/>
          <w:szCs w:val="24"/>
        </w:rPr>
        <w:t>4.15. Não serão aceitos documentos de habilitação com indicação de CNPJ/CPF diferentes, salvo aqueles legalmente permitidos.</w:t>
      </w:r>
    </w:p>
    <w:p w14:paraId="52C23C10" w14:textId="77777777" w:rsidR="003D171C" w:rsidRDefault="003D171C">
      <w:pPr>
        <w:widowControl/>
        <w:ind w:left="851" w:right="152"/>
        <w:jc w:val="both"/>
        <w:rPr>
          <w:rFonts w:asciiTheme="minorHAnsi" w:eastAsia="Tahoma" w:hAnsiTheme="minorHAnsi" w:cstheme="minorHAnsi"/>
          <w:sz w:val="24"/>
          <w:szCs w:val="24"/>
        </w:rPr>
      </w:pPr>
    </w:p>
    <w:p w14:paraId="0087030A" w14:textId="77777777" w:rsidR="003D171C" w:rsidRDefault="00230661">
      <w:pPr>
        <w:pStyle w:val="Ttulo31"/>
        <w:tabs>
          <w:tab w:val="left" w:pos="851"/>
        </w:tabs>
        <w:ind w:left="851" w:right="152"/>
        <w:jc w:val="both"/>
        <w:rPr>
          <w:rFonts w:ascii="Calibri" w:hAnsi="Calibri"/>
          <w:sz w:val="24"/>
          <w:szCs w:val="24"/>
        </w:rPr>
      </w:pPr>
      <w:r>
        <w:rPr>
          <w:rFonts w:asciiTheme="minorHAnsi" w:eastAsia="Tahoma" w:hAnsiTheme="minorHAnsi" w:cstheme="minorHAnsi"/>
          <w:sz w:val="24"/>
          <w:szCs w:val="24"/>
        </w:rPr>
        <w:t>5. DO MODELO DE EXECUÇÃO, RECEBIMENTO E ACEITAÇÃO DO OBJETO</w:t>
      </w:r>
    </w:p>
    <w:p w14:paraId="568C4636" w14:textId="77777777" w:rsidR="003D171C" w:rsidRDefault="00230661">
      <w:pPr>
        <w:widowControl/>
        <w:numPr>
          <w:ilvl w:val="1"/>
          <w:numId w:val="3"/>
        </w:numPr>
        <w:tabs>
          <w:tab w:val="left" w:pos="851"/>
          <w:tab w:val="left" w:pos="1250"/>
        </w:tabs>
        <w:ind w:left="851" w:right="152" w:firstLine="0"/>
        <w:jc w:val="both"/>
        <w:rPr>
          <w:rFonts w:ascii="Calibri" w:hAnsi="Calibri"/>
          <w:sz w:val="24"/>
          <w:szCs w:val="24"/>
        </w:rPr>
      </w:pPr>
      <w:r>
        <w:rPr>
          <w:rFonts w:asciiTheme="minorHAnsi" w:eastAsia="Tahoma" w:hAnsiTheme="minorHAnsi" w:cstheme="minorHAnsi"/>
          <w:b/>
          <w:color w:val="000000"/>
          <w:sz w:val="24"/>
          <w:szCs w:val="24"/>
        </w:rPr>
        <w:t>Prazo de Prestação do Serviço</w:t>
      </w:r>
    </w:p>
    <w:p w14:paraId="5E6E6C91" w14:textId="77777777" w:rsidR="003D171C" w:rsidRDefault="00230661">
      <w:pPr>
        <w:widowControl/>
        <w:numPr>
          <w:ilvl w:val="2"/>
          <w:numId w:val="3"/>
        </w:numPr>
        <w:tabs>
          <w:tab w:val="left" w:pos="851"/>
        </w:tabs>
        <w:ind w:left="851" w:right="152" w:firstLine="0"/>
        <w:jc w:val="both"/>
        <w:rPr>
          <w:rFonts w:ascii="Calibri" w:hAnsi="Calibri"/>
          <w:sz w:val="24"/>
          <w:szCs w:val="24"/>
        </w:rPr>
      </w:pPr>
      <w:r>
        <w:rPr>
          <w:rFonts w:asciiTheme="minorHAnsi" w:eastAsia="Tahoma" w:hAnsiTheme="minorHAnsi" w:cstheme="minorHAnsi"/>
          <w:color w:val="000000"/>
          <w:sz w:val="24"/>
          <w:szCs w:val="24"/>
        </w:rPr>
        <w:t xml:space="preserve">A prestação deve ser iniciada após a assinatura do contrato inicial e poderá ser renovado anualmente, pelo prazo inicial, sem ónus para o CREF5/CE, da não renovação. </w:t>
      </w:r>
    </w:p>
    <w:p w14:paraId="4D47F202" w14:textId="77777777" w:rsidR="003D171C" w:rsidRDefault="00230661">
      <w:pPr>
        <w:widowControl/>
        <w:numPr>
          <w:ilvl w:val="2"/>
          <w:numId w:val="3"/>
        </w:numPr>
        <w:tabs>
          <w:tab w:val="left" w:pos="851"/>
        </w:tabs>
        <w:ind w:left="851" w:right="152" w:firstLine="0"/>
        <w:jc w:val="both"/>
        <w:rPr>
          <w:rFonts w:ascii="Calibri" w:hAnsi="Calibri"/>
          <w:sz w:val="24"/>
          <w:szCs w:val="24"/>
        </w:rPr>
      </w:pPr>
      <w:r>
        <w:rPr>
          <w:rFonts w:asciiTheme="minorHAnsi" w:eastAsia="Tahoma" w:hAnsiTheme="minorHAnsi" w:cstheme="minorHAnsi"/>
          <w:color w:val="000000"/>
          <w:sz w:val="24"/>
          <w:szCs w:val="24"/>
        </w:rPr>
        <w:t xml:space="preserve">Tais renovações devem respeitar o prazo de 10 anos para prestação de serviços contínuos, conforme </w:t>
      </w:r>
      <w:proofErr w:type="spellStart"/>
      <w:r>
        <w:rPr>
          <w:rFonts w:asciiTheme="minorHAnsi" w:eastAsia="Tahoma" w:hAnsiTheme="minorHAnsi" w:cstheme="minorHAnsi"/>
          <w:color w:val="000000"/>
          <w:sz w:val="24"/>
          <w:szCs w:val="24"/>
        </w:rPr>
        <w:t>art</w:t>
      </w:r>
      <w:proofErr w:type="spellEnd"/>
      <w:r>
        <w:rPr>
          <w:rFonts w:asciiTheme="minorHAnsi" w:eastAsia="Tahoma" w:hAnsiTheme="minorHAnsi" w:cstheme="minorHAnsi"/>
          <w:color w:val="000000"/>
          <w:sz w:val="24"/>
          <w:szCs w:val="24"/>
        </w:rPr>
        <w:t>. 108, da 14.133/2021</w:t>
      </w:r>
    </w:p>
    <w:p w14:paraId="5C1C0FD1" w14:textId="77777777" w:rsidR="003D171C" w:rsidRDefault="00230661">
      <w:pPr>
        <w:widowControl/>
        <w:tabs>
          <w:tab w:val="left" w:pos="851"/>
        </w:tabs>
        <w:ind w:left="5387" w:right="152"/>
        <w:jc w:val="both"/>
        <w:rPr>
          <w:rFonts w:ascii="Calibri" w:hAnsi="Calibri"/>
          <w:sz w:val="24"/>
          <w:szCs w:val="24"/>
        </w:rPr>
      </w:pPr>
      <w:proofErr w:type="spellStart"/>
      <w:r>
        <w:rPr>
          <w:rFonts w:ascii="Calibri" w:hAnsi="Calibri"/>
          <w:sz w:val="24"/>
          <w:szCs w:val="24"/>
        </w:rPr>
        <w:t>Art</w:t>
      </w:r>
      <w:proofErr w:type="spellEnd"/>
      <w:r>
        <w:rPr>
          <w:rFonts w:ascii="Calibri" w:hAnsi="Calibri"/>
          <w:sz w:val="24"/>
          <w:szCs w:val="24"/>
        </w:rPr>
        <w:t xml:space="preserve">. 108. A Administração poderá celebrar contratos com prazo de até 10 (dez) anos nas hipóteses previstas nas alíneas “f” e “g” do inciso IV e nos incisos V, VI, XII e XVI do </w:t>
      </w:r>
      <w:proofErr w:type="spellStart"/>
      <w:r>
        <w:rPr>
          <w:rFonts w:ascii="Calibri" w:hAnsi="Calibri"/>
          <w:sz w:val="24"/>
          <w:szCs w:val="24"/>
        </w:rPr>
        <w:t>caput</w:t>
      </w:r>
      <w:proofErr w:type="spellEnd"/>
      <w:r>
        <w:rPr>
          <w:rFonts w:ascii="Calibri" w:hAnsi="Calibri"/>
          <w:sz w:val="24"/>
          <w:szCs w:val="24"/>
        </w:rPr>
        <w:t xml:space="preserve"> do </w:t>
      </w:r>
      <w:proofErr w:type="spellStart"/>
      <w:r>
        <w:rPr>
          <w:rFonts w:ascii="Calibri" w:hAnsi="Calibri"/>
          <w:sz w:val="24"/>
          <w:szCs w:val="24"/>
        </w:rPr>
        <w:t>art</w:t>
      </w:r>
      <w:proofErr w:type="spellEnd"/>
      <w:r>
        <w:rPr>
          <w:rFonts w:ascii="Calibri" w:hAnsi="Calibri"/>
          <w:sz w:val="24"/>
          <w:szCs w:val="24"/>
        </w:rPr>
        <w:t>. 75 desta Lei.</w:t>
      </w:r>
    </w:p>
    <w:p w14:paraId="3B979DA4" w14:textId="77777777" w:rsidR="003D171C" w:rsidRDefault="00230661">
      <w:pPr>
        <w:widowControl/>
        <w:numPr>
          <w:ilvl w:val="1"/>
          <w:numId w:val="3"/>
        </w:numPr>
        <w:tabs>
          <w:tab w:val="left" w:pos="851"/>
        </w:tabs>
        <w:ind w:right="152"/>
        <w:jc w:val="both"/>
        <w:rPr>
          <w:rFonts w:ascii="Calibri" w:hAnsi="Calibri"/>
          <w:sz w:val="24"/>
          <w:szCs w:val="24"/>
        </w:rPr>
      </w:pPr>
      <w:r>
        <w:rPr>
          <w:rFonts w:asciiTheme="minorHAnsi" w:eastAsia="Tahoma" w:hAnsiTheme="minorHAnsi" w:cstheme="minorHAnsi"/>
          <w:b/>
          <w:color w:val="000000"/>
          <w:sz w:val="24"/>
          <w:szCs w:val="24"/>
        </w:rPr>
        <w:t>Local da prestação do serviço</w:t>
      </w:r>
    </w:p>
    <w:p w14:paraId="428778D1" w14:textId="77777777" w:rsidR="003D171C" w:rsidRDefault="00230661">
      <w:pPr>
        <w:widowControl/>
        <w:numPr>
          <w:ilvl w:val="2"/>
          <w:numId w:val="3"/>
        </w:numPr>
        <w:tabs>
          <w:tab w:val="left" w:pos="851"/>
        </w:tabs>
        <w:ind w:left="851" w:right="152" w:firstLine="0"/>
        <w:jc w:val="both"/>
        <w:rPr>
          <w:rFonts w:ascii="Calibri" w:hAnsi="Calibri"/>
          <w:sz w:val="24"/>
          <w:szCs w:val="24"/>
        </w:rPr>
      </w:pPr>
      <w:r>
        <w:rPr>
          <w:rFonts w:asciiTheme="minorHAnsi" w:eastAsia="Tahoma" w:hAnsiTheme="minorHAnsi" w:cstheme="minorHAnsi"/>
          <w:color w:val="000000"/>
          <w:sz w:val="24"/>
          <w:szCs w:val="24"/>
        </w:rPr>
        <w:t xml:space="preserve">Rua Tibúrcio Frota, 1363, São João do Tauape, Fortaleza/CE - </w:t>
      </w:r>
      <w:proofErr w:type="spellStart"/>
      <w:r>
        <w:rPr>
          <w:rFonts w:asciiTheme="minorHAnsi" w:eastAsia="Tahoma" w:hAnsiTheme="minorHAnsi" w:cstheme="minorHAnsi"/>
          <w:color w:val="000000"/>
          <w:sz w:val="24"/>
          <w:szCs w:val="24"/>
        </w:rPr>
        <w:t>Cep</w:t>
      </w:r>
      <w:proofErr w:type="spellEnd"/>
      <w:r>
        <w:rPr>
          <w:rFonts w:asciiTheme="minorHAnsi" w:eastAsia="Tahoma" w:hAnsiTheme="minorHAnsi" w:cstheme="minorHAnsi"/>
          <w:color w:val="000000"/>
          <w:sz w:val="24"/>
          <w:szCs w:val="24"/>
        </w:rPr>
        <w:t>: 60130-301, Sede de CREF5/CE, ou outra que venha a existir.</w:t>
      </w:r>
    </w:p>
    <w:p w14:paraId="6232B467" w14:textId="77777777" w:rsidR="003D171C" w:rsidRDefault="00230661">
      <w:pPr>
        <w:widowControl/>
        <w:numPr>
          <w:ilvl w:val="2"/>
          <w:numId w:val="3"/>
        </w:numPr>
        <w:tabs>
          <w:tab w:val="left" w:pos="851"/>
        </w:tabs>
        <w:ind w:left="851" w:right="152" w:firstLine="0"/>
        <w:jc w:val="both"/>
        <w:rPr>
          <w:rFonts w:ascii="Calibri" w:hAnsi="Calibri"/>
          <w:sz w:val="24"/>
          <w:szCs w:val="24"/>
        </w:rPr>
      </w:pPr>
      <w:r>
        <w:rPr>
          <w:rFonts w:asciiTheme="minorHAnsi" w:eastAsia="Tahoma" w:hAnsiTheme="minorHAnsi" w:cstheme="minorHAnsi"/>
          <w:color w:val="000000"/>
          <w:sz w:val="24"/>
          <w:szCs w:val="24"/>
        </w:rPr>
        <w:t>Serviço externo quando solicitado.</w:t>
      </w:r>
    </w:p>
    <w:p w14:paraId="4E3FC263" w14:textId="77777777" w:rsidR="003D171C" w:rsidRDefault="00230661">
      <w:pPr>
        <w:widowControl/>
        <w:numPr>
          <w:ilvl w:val="2"/>
          <w:numId w:val="3"/>
        </w:numPr>
        <w:tabs>
          <w:tab w:val="left" w:pos="851"/>
        </w:tabs>
        <w:ind w:left="851" w:right="152" w:firstLine="0"/>
        <w:jc w:val="both"/>
        <w:rPr>
          <w:rFonts w:ascii="Calibri" w:hAnsi="Calibri"/>
          <w:sz w:val="24"/>
          <w:szCs w:val="24"/>
        </w:rPr>
      </w:pPr>
      <w:r>
        <w:rPr>
          <w:rFonts w:asciiTheme="minorHAnsi" w:eastAsia="Tahoma" w:hAnsiTheme="minorHAnsi" w:cstheme="minorHAnsi"/>
          <w:color w:val="000000"/>
          <w:sz w:val="24"/>
          <w:szCs w:val="24"/>
        </w:rPr>
        <w:t>A fixação não frustra o exercício em outro local, acordado entre as partes.</w:t>
      </w:r>
    </w:p>
    <w:p w14:paraId="7F112A2D" w14:textId="77777777" w:rsidR="003D171C" w:rsidRDefault="003D171C">
      <w:pPr>
        <w:widowControl/>
        <w:tabs>
          <w:tab w:val="left" w:pos="851"/>
        </w:tabs>
        <w:ind w:left="851" w:right="152"/>
        <w:jc w:val="both"/>
        <w:rPr>
          <w:rFonts w:ascii="Calibri" w:hAnsi="Calibri"/>
          <w:sz w:val="24"/>
          <w:szCs w:val="24"/>
        </w:rPr>
      </w:pPr>
    </w:p>
    <w:p w14:paraId="508BF4DC" w14:textId="77777777" w:rsidR="003D171C" w:rsidRDefault="00230661">
      <w:pPr>
        <w:widowControl/>
        <w:numPr>
          <w:ilvl w:val="1"/>
          <w:numId w:val="3"/>
        </w:numPr>
        <w:tabs>
          <w:tab w:val="left" w:pos="851"/>
        </w:tabs>
        <w:ind w:right="152"/>
        <w:jc w:val="both"/>
        <w:rPr>
          <w:rFonts w:ascii="Calibri" w:hAnsi="Calibri"/>
          <w:sz w:val="24"/>
          <w:szCs w:val="24"/>
        </w:rPr>
      </w:pPr>
      <w:r>
        <w:rPr>
          <w:rFonts w:asciiTheme="minorHAnsi" w:eastAsia="Tahoma" w:hAnsiTheme="minorHAnsi" w:cstheme="minorHAnsi"/>
          <w:b/>
          <w:color w:val="000000"/>
          <w:sz w:val="24"/>
          <w:szCs w:val="24"/>
        </w:rPr>
        <w:t>Recebimento</w:t>
      </w:r>
    </w:p>
    <w:p w14:paraId="243D8725" w14:textId="77777777" w:rsidR="003D171C" w:rsidRDefault="00230661">
      <w:pPr>
        <w:widowControl/>
        <w:tabs>
          <w:tab w:val="left" w:pos="850"/>
          <w:tab w:val="left" w:pos="851"/>
        </w:tabs>
        <w:ind w:left="850" w:right="170"/>
        <w:jc w:val="both"/>
      </w:pPr>
      <w:r>
        <w:rPr>
          <w:rFonts w:asciiTheme="minorHAnsi" w:eastAsia="Tahoma" w:hAnsiTheme="minorHAnsi" w:cstheme="minorHAnsi"/>
          <w:color w:val="000000"/>
          <w:sz w:val="24"/>
          <w:szCs w:val="24"/>
        </w:rPr>
        <w:t xml:space="preserve">5.3.1. O recebimento definitivo será concretizado após comprovada prestação dos serviços. </w:t>
      </w:r>
    </w:p>
    <w:p w14:paraId="67766D82" w14:textId="77777777" w:rsidR="003D171C" w:rsidRDefault="003D171C">
      <w:pPr>
        <w:widowControl/>
        <w:tabs>
          <w:tab w:val="left" w:pos="851"/>
          <w:tab w:val="left" w:pos="10065"/>
        </w:tabs>
        <w:ind w:left="851" w:right="152"/>
        <w:jc w:val="both"/>
        <w:rPr>
          <w:rFonts w:asciiTheme="minorHAnsi" w:eastAsia="Tahoma" w:hAnsiTheme="minorHAnsi" w:cstheme="minorHAnsi"/>
          <w:sz w:val="24"/>
          <w:szCs w:val="24"/>
        </w:rPr>
      </w:pPr>
    </w:p>
    <w:p w14:paraId="4553F09D" w14:textId="77777777" w:rsidR="003D171C" w:rsidRPr="00A64C48" w:rsidRDefault="00230661" w:rsidP="00A64C48">
      <w:pPr>
        <w:pStyle w:val="PargrafodaLista"/>
        <w:numPr>
          <w:ilvl w:val="0"/>
          <w:numId w:val="3"/>
        </w:numPr>
        <w:ind w:firstLine="491"/>
        <w:rPr>
          <w:rFonts w:asciiTheme="minorHAnsi" w:eastAsia="Tahoma" w:hAnsiTheme="minorHAnsi" w:cstheme="minorHAnsi"/>
          <w:b/>
          <w:bCs/>
          <w:sz w:val="24"/>
          <w:szCs w:val="24"/>
        </w:rPr>
      </w:pPr>
      <w:r w:rsidRPr="00A64C48">
        <w:rPr>
          <w:rFonts w:asciiTheme="minorHAnsi" w:eastAsia="Tahoma" w:hAnsiTheme="minorHAnsi" w:cstheme="minorHAnsi"/>
          <w:b/>
          <w:bCs/>
          <w:sz w:val="24"/>
          <w:szCs w:val="24"/>
        </w:rPr>
        <w:t>DAS RESPONSABILIDADES DA CONTRATADA</w:t>
      </w:r>
    </w:p>
    <w:p w14:paraId="31A43D72" w14:textId="77777777" w:rsidR="006A395F" w:rsidRDefault="006A395F" w:rsidP="006A395F">
      <w:pPr>
        <w:numPr>
          <w:ilvl w:val="1"/>
          <w:numId w:val="3"/>
        </w:numPr>
        <w:tabs>
          <w:tab w:val="left" w:pos="1185"/>
        </w:tabs>
        <w:ind w:left="851" w:right="153" w:firstLine="0"/>
        <w:jc w:val="both"/>
        <w:rPr>
          <w:rFonts w:ascii="Calibri" w:hAnsi="Calibri"/>
          <w:sz w:val="24"/>
          <w:szCs w:val="24"/>
        </w:rPr>
      </w:pPr>
      <w:r w:rsidRPr="006A395F">
        <w:rPr>
          <w:rFonts w:ascii="Calibri" w:hAnsi="Calibri"/>
          <w:sz w:val="24"/>
          <w:szCs w:val="24"/>
        </w:rPr>
        <w:t xml:space="preserve">Contratado deve cumprir todas as obrigações constantes neste Termo de Referência, assumindo como exclusivamente seus os riscos e as despesas decorrentes da boa e perfeita execução do objeto, observando, ainda, as obrigações a seguir dispostas: </w:t>
      </w:r>
    </w:p>
    <w:p w14:paraId="7F1C34CD" w14:textId="710891CC" w:rsidR="006A395F" w:rsidRDefault="006A395F" w:rsidP="006A395F">
      <w:pPr>
        <w:numPr>
          <w:ilvl w:val="1"/>
          <w:numId w:val="3"/>
        </w:numPr>
        <w:tabs>
          <w:tab w:val="left" w:pos="1185"/>
        </w:tabs>
        <w:ind w:left="851" w:right="153" w:firstLine="0"/>
        <w:jc w:val="both"/>
        <w:rPr>
          <w:rFonts w:ascii="Calibri" w:hAnsi="Calibri"/>
          <w:sz w:val="24"/>
          <w:szCs w:val="24"/>
        </w:rPr>
      </w:pPr>
      <w:r w:rsidRPr="006A395F">
        <w:rPr>
          <w:rFonts w:ascii="Calibri" w:hAnsi="Calibri"/>
          <w:sz w:val="24"/>
          <w:szCs w:val="24"/>
        </w:rPr>
        <w:t xml:space="preserve">Executar </w:t>
      </w:r>
      <w:r w:rsidR="00A64C48" w:rsidRPr="006A395F">
        <w:rPr>
          <w:rFonts w:ascii="Calibri" w:hAnsi="Calibri"/>
          <w:sz w:val="24"/>
          <w:szCs w:val="24"/>
        </w:rPr>
        <w:t>o serviço</w:t>
      </w:r>
      <w:r w:rsidRPr="006A395F">
        <w:rPr>
          <w:rFonts w:ascii="Calibri" w:hAnsi="Calibri"/>
          <w:sz w:val="24"/>
          <w:szCs w:val="24"/>
        </w:rPr>
        <w:t xml:space="preserve"> em conforme especificações deste Termo de Referência e de sua proposta; </w:t>
      </w:r>
    </w:p>
    <w:p w14:paraId="54015D89" w14:textId="77777777" w:rsidR="006A395F" w:rsidRDefault="006A395F" w:rsidP="006A395F">
      <w:pPr>
        <w:numPr>
          <w:ilvl w:val="1"/>
          <w:numId w:val="3"/>
        </w:numPr>
        <w:tabs>
          <w:tab w:val="left" w:pos="1185"/>
        </w:tabs>
        <w:ind w:left="851" w:right="153" w:firstLine="0"/>
        <w:jc w:val="both"/>
        <w:rPr>
          <w:rFonts w:ascii="Calibri" w:hAnsi="Calibri"/>
          <w:sz w:val="24"/>
          <w:szCs w:val="24"/>
        </w:rPr>
      </w:pPr>
      <w:r w:rsidRPr="006A395F">
        <w:rPr>
          <w:rFonts w:ascii="Calibri" w:hAnsi="Calibri"/>
          <w:sz w:val="24"/>
          <w:szCs w:val="24"/>
        </w:rPr>
        <w:t xml:space="preserve">Reparar, corrigir, remover, reconstruir ou substituir, às suas expensas, no total ou em parte, no prazo fixado pelo fiscal do contrato, os serviços nos quais se verificarem vícios, defeitos ou incorreções resultantes da execução; </w:t>
      </w:r>
    </w:p>
    <w:p w14:paraId="2A4692F7" w14:textId="02ECDDB0" w:rsidR="003D171C" w:rsidRPr="006A395F" w:rsidRDefault="006A395F" w:rsidP="006A395F">
      <w:pPr>
        <w:numPr>
          <w:ilvl w:val="1"/>
          <w:numId w:val="3"/>
        </w:numPr>
        <w:tabs>
          <w:tab w:val="left" w:pos="1185"/>
        </w:tabs>
        <w:ind w:left="851" w:right="153" w:firstLine="0"/>
        <w:jc w:val="both"/>
        <w:rPr>
          <w:rFonts w:ascii="Calibri" w:hAnsi="Calibri"/>
          <w:sz w:val="24"/>
          <w:szCs w:val="24"/>
        </w:rPr>
      </w:pPr>
      <w:r w:rsidRPr="006A395F">
        <w:rPr>
          <w:rFonts w:ascii="Calibri" w:hAnsi="Calibri"/>
          <w:sz w:val="24"/>
          <w:szCs w:val="24"/>
        </w:rPr>
        <w:t>Responsabilizar-se pelos vícios e danos decorrentes da execução do serviço,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w:t>
      </w:r>
      <w:r w:rsidRPr="006A395F">
        <w:rPr>
          <w:rFonts w:ascii="Calibri" w:hAnsi="Calibri"/>
          <w:sz w:val="24"/>
          <w:szCs w:val="24"/>
        </w:rPr>
        <w:t xml:space="preserve"> o</w:t>
      </w:r>
      <w:r w:rsidRPr="006A395F">
        <w:t xml:space="preserve"> </w:t>
      </w:r>
      <w:r w:rsidRPr="006A395F">
        <w:rPr>
          <w:rFonts w:ascii="Calibri" w:hAnsi="Calibri"/>
          <w:sz w:val="24"/>
          <w:szCs w:val="24"/>
        </w:rPr>
        <w:t>valor correspondente aos danos sofridos</w:t>
      </w:r>
    </w:p>
    <w:p w14:paraId="7080DD9A" w14:textId="77777777" w:rsidR="003D171C" w:rsidRDefault="003D171C">
      <w:pPr>
        <w:widowControl/>
        <w:ind w:left="1211"/>
        <w:jc w:val="both"/>
        <w:rPr>
          <w:rFonts w:asciiTheme="minorHAnsi" w:eastAsia="Tahoma" w:hAnsiTheme="minorHAnsi" w:cstheme="minorHAnsi"/>
          <w:b/>
          <w:color w:val="000000"/>
          <w:sz w:val="24"/>
          <w:szCs w:val="24"/>
        </w:rPr>
      </w:pPr>
    </w:p>
    <w:p w14:paraId="1AC24EEA" w14:textId="77777777" w:rsidR="003D171C" w:rsidRDefault="00230661">
      <w:pPr>
        <w:numPr>
          <w:ilvl w:val="0"/>
          <w:numId w:val="3"/>
        </w:numPr>
        <w:tabs>
          <w:tab w:val="left" w:pos="1185"/>
        </w:tabs>
        <w:ind w:left="851" w:right="153" w:firstLine="0"/>
        <w:jc w:val="both"/>
        <w:rPr>
          <w:rFonts w:ascii="Calibri" w:hAnsi="Calibri"/>
          <w:sz w:val="24"/>
          <w:szCs w:val="24"/>
        </w:rPr>
      </w:pPr>
      <w:r>
        <w:rPr>
          <w:rFonts w:asciiTheme="minorHAnsi" w:eastAsia="Tahoma" w:hAnsiTheme="minorHAnsi" w:cstheme="minorHAnsi"/>
          <w:b/>
          <w:color w:val="000000"/>
          <w:sz w:val="24"/>
          <w:szCs w:val="24"/>
        </w:rPr>
        <w:t>DAS RESPONSABILIDADES DA CONTRATANTE</w:t>
      </w:r>
    </w:p>
    <w:p w14:paraId="2B5A2520" w14:textId="77777777" w:rsidR="003D171C" w:rsidRDefault="00230661">
      <w:pPr>
        <w:widowControl/>
        <w:numPr>
          <w:ilvl w:val="1"/>
          <w:numId w:val="2"/>
        </w:numPr>
        <w:tabs>
          <w:tab w:val="left" w:pos="1245"/>
        </w:tabs>
        <w:ind w:left="851" w:right="153" w:firstLine="0"/>
        <w:jc w:val="both"/>
        <w:rPr>
          <w:rFonts w:ascii="Calibri" w:hAnsi="Calibri"/>
          <w:sz w:val="24"/>
          <w:szCs w:val="24"/>
        </w:rPr>
      </w:pPr>
      <w:r>
        <w:rPr>
          <w:rFonts w:asciiTheme="minorHAnsi" w:eastAsia="Tahoma" w:hAnsiTheme="minorHAnsi" w:cstheme="minorHAnsi"/>
          <w:sz w:val="24"/>
          <w:szCs w:val="24"/>
        </w:rPr>
        <w:t xml:space="preserve">Exigir o cumprimento de todas as obrigações assumidas pela Contratada, de acordo com o Termo de </w:t>
      </w:r>
      <w:r>
        <w:rPr>
          <w:rFonts w:asciiTheme="minorHAnsi" w:eastAsia="Tahoma" w:hAnsiTheme="minorHAnsi" w:cstheme="minorHAnsi"/>
          <w:sz w:val="24"/>
          <w:szCs w:val="24"/>
        </w:rPr>
        <w:t>Referência e seus anexos.</w:t>
      </w:r>
    </w:p>
    <w:p w14:paraId="3C4F065B" w14:textId="77777777" w:rsidR="003D171C" w:rsidRDefault="00230661">
      <w:pPr>
        <w:widowControl/>
        <w:numPr>
          <w:ilvl w:val="1"/>
          <w:numId w:val="2"/>
        </w:numPr>
        <w:tabs>
          <w:tab w:val="left" w:pos="1245"/>
        </w:tabs>
        <w:ind w:left="851" w:right="153" w:firstLine="0"/>
        <w:jc w:val="both"/>
        <w:rPr>
          <w:rFonts w:ascii="Calibri" w:hAnsi="Calibri"/>
          <w:sz w:val="24"/>
          <w:szCs w:val="24"/>
        </w:rPr>
      </w:pPr>
      <w:r>
        <w:rPr>
          <w:rFonts w:asciiTheme="minorHAnsi" w:eastAsia="Tahoma" w:hAnsiTheme="minorHAnsi" w:cstheme="minorHAnsi"/>
          <w:sz w:val="24"/>
          <w:szCs w:val="24"/>
        </w:rPr>
        <w:t>Receber o objeto no prazo e condições estabelecidas neste Termo de Referência.</w:t>
      </w:r>
    </w:p>
    <w:p w14:paraId="3EB3A0B5" w14:textId="77777777" w:rsidR="003D171C" w:rsidRDefault="00230661">
      <w:pPr>
        <w:widowControl/>
        <w:numPr>
          <w:ilvl w:val="1"/>
          <w:numId w:val="2"/>
        </w:numPr>
        <w:tabs>
          <w:tab w:val="left" w:pos="1245"/>
        </w:tabs>
        <w:ind w:left="851" w:right="153" w:firstLine="0"/>
        <w:jc w:val="both"/>
        <w:rPr>
          <w:rFonts w:ascii="Calibri" w:hAnsi="Calibri"/>
          <w:sz w:val="24"/>
          <w:szCs w:val="24"/>
        </w:rPr>
      </w:pPr>
      <w:r>
        <w:rPr>
          <w:rFonts w:asciiTheme="minorHAnsi" w:eastAsia="Tahoma" w:hAnsiTheme="minorHAnsi" w:cstheme="minorHAnsi"/>
          <w:sz w:val="24"/>
          <w:szCs w:val="24"/>
        </w:rPr>
        <w:lastRenderedPageBreak/>
        <w:t>Notificar a Contratada, por escrito, sobre vícios, defeitos ou incorreções verificadas no objeto fornecido, para que seja por ele substituído, reparado ou corrigido, no total ou em parte, às suas expensas.</w:t>
      </w:r>
    </w:p>
    <w:p w14:paraId="0C291CD1" w14:textId="77777777" w:rsidR="003D171C" w:rsidRDefault="00230661">
      <w:pPr>
        <w:widowControl/>
        <w:numPr>
          <w:ilvl w:val="1"/>
          <w:numId w:val="2"/>
        </w:numPr>
        <w:tabs>
          <w:tab w:val="left" w:pos="1305"/>
        </w:tabs>
        <w:ind w:left="851" w:right="153" w:firstLine="0"/>
        <w:jc w:val="both"/>
        <w:rPr>
          <w:rFonts w:ascii="Calibri" w:hAnsi="Calibri"/>
          <w:sz w:val="24"/>
          <w:szCs w:val="24"/>
        </w:rPr>
      </w:pPr>
      <w:r>
        <w:rPr>
          <w:rFonts w:asciiTheme="minorHAnsi" w:eastAsia="Tahoma" w:hAnsiTheme="minorHAnsi" w:cstheme="minorHAnsi"/>
          <w:sz w:val="24"/>
          <w:szCs w:val="24"/>
        </w:rPr>
        <w:t>Acompanhar e fiscalizar a execução do serviço e o cumprimento das obrigações pela Contratada.</w:t>
      </w:r>
    </w:p>
    <w:p w14:paraId="20434855" w14:textId="77777777" w:rsidR="003D171C" w:rsidRDefault="00230661">
      <w:pPr>
        <w:widowControl/>
        <w:numPr>
          <w:ilvl w:val="1"/>
          <w:numId w:val="2"/>
        </w:numPr>
        <w:tabs>
          <w:tab w:val="left" w:pos="1365"/>
        </w:tabs>
        <w:ind w:left="851" w:right="153" w:firstLine="0"/>
        <w:jc w:val="both"/>
        <w:rPr>
          <w:rFonts w:ascii="Calibri" w:hAnsi="Calibri"/>
          <w:sz w:val="24"/>
          <w:szCs w:val="24"/>
        </w:rPr>
      </w:pPr>
      <w:r>
        <w:rPr>
          <w:rFonts w:asciiTheme="minorHAnsi" w:eastAsia="Tahoma" w:hAnsiTheme="minorHAnsi" w:cstheme="minorHAnsi"/>
          <w:sz w:val="24"/>
          <w:szCs w:val="24"/>
        </w:rPr>
        <w:t>Efetuar o pagamento à Contratada do valor correspondente ao fornecimento do objeto, no prazo, forma e condições estabelecidos no presente Termo de Referência.</w:t>
      </w:r>
    </w:p>
    <w:p w14:paraId="503AA684" w14:textId="77777777" w:rsidR="003D171C" w:rsidRDefault="00230661">
      <w:pPr>
        <w:widowControl/>
        <w:numPr>
          <w:ilvl w:val="1"/>
          <w:numId w:val="2"/>
        </w:numPr>
        <w:tabs>
          <w:tab w:val="left" w:pos="1245"/>
        </w:tabs>
        <w:ind w:left="851" w:right="153" w:firstLine="0"/>
        <w:jc w:val="both"/>
        <w:rPr>
          <w:rFonts w:ascii="Calibri" w:hAnsi="Calibri"/>
          <w:sz w:val="24"/>
          <w:szCs w:val="24"/>
        </w:rPr>
      </w:pPr>
      <w:r>
        <w:rPr>
          <w:rFonts w:asciiTheme="minorHAnsi" w:eastAsia="Tahoma" w:hAnsiTheme="minorHAnsi" w:cstheme="minorHAnsi"/>
          <w:sz w:val="24"/>
          <w:szCs w:val="24"/>
        </w:rPr>
        <w:t>Aplicar à contratada sanção motivadas pela inexecução total ou parcial do serviço.</w:t>
      </w:r>
    </w:p>
    <w:p w14:paraId="7512F449" w14:textId="77777777" w:rsidR="003D171C" w:rsidRDefault="00230661">
      <w:pPr>
        <w:widowControl/>
        <w:numPr>
          <w:ilvl w:val="1"/>
          <w:numId w:val="2"/>
        </w:numPr>
        <w:tabs>
          <w:tab w:val="left" w:pos="1245"/>
        </w:tabs>
        <w:ind w:left="851" w:right="153" w:firstLine="0"/>
        <w:jc w:val="both"/>
        <w:rPr>
          <w:rFonts w:ascii="Calibri" w:hAnsi="Calibri"/>
          <w:sz w:val="24"/>
          <w:szCs w:val="24"/>
        </w:rPr>
      </w:pPr>
      <w:r>
        <w:rPr>
          <w:rFonts w:asciiTheme="minorHAnsi" w:eastAsia="Tahoma" w:hAnsiTheme="minorHAnsi" w:cstheme="minorHAnsi"/>
          <w:sz w:val="24"/>
          <w:szCs w:val="24"/>
        </w:rPr>
        <w:t>Cientificar seu órgão de representação judicial para adoção das medidas cabíveis quando do descumprimento de obrigações pela Contratada.</w:t>
      </w:r>
    </w:p>
    <w:p w14:paraId="733288A8" w14:textId="77777777" w:rsidR="003D171C" w:rsidRDefault="00230661">
      <w:pPr>
        <w:widowControl/>
        <w:numPr>
          <w:ilvl w:val="1"/>
          <w:numId w:val="2"/>
        </w:numPr>
        <w:tabs>
          <w:tab w:val="left" w:pos="1305"/>
        </w:tabs>
        <w:ind w:left="851" w:right="153" w:firstLine="0"/>
        <w:jc w:val="both"/>
        <w:rPr>
          <w:rFonts w:ascii="Calibri" w:hAnsi="Calibri"/>
          <w:sz w:val="24"/>
          <w:szCs w:val="24"/>
        </w:rPr>
      </w:pPr>
      <w:r>
        <w:rPr>
          <w:rFonts w:asciiTheme="minorHAnsi" w:eastAsia="Tahoma" w:hAnsiTheme="minorHAnsi" w:cstheme="minorHAnsi"/>
          <w:sz w:val="24"/>
          <w:szCs w:val="24"/>
        </w:rPr>
        <w:t>Explicitamente emitir decisão sobre todas as solicitações e reclamações relacionadas à execução do presente Termo de Referência, ressalvados os requerimentos manifestamente impertinentes, meramente protelatórios ou de nenhum interesse para a boa execução do ajuste.</w:t>
      </w:r>
    </w:p>
    <w:p w14:paraId="74B183D9" w14:textId="77777777" w:rsidR="003D171C" w:rsidRDefault="00230661">
      <w:pPr>
        <w:widowControl/>
        <w:numPr>
          <w:ilvl w:val="1"/>
          <w:numId w:val="2"/>
        </w:numPr>
        <w:tabs>
          <w:tab w:val="left" w:pos="1365"/>
        </w:tabs>
        <w:ind w:left="851" w:right="153" w:firstLine="0"/>
        <w:jc w:val="both"/>
        <w:rPr>
          <w:rFonts w:ascii="Calibri" w:hAnsi="Calibri"/>
          <w:sz w:val="24"/>
          <w:szCs w:val="24"/>
        </w:rPr>
      </w:pPr>
      <w:r>
        <w:rPr>
          <w:rFonts w:asciiTheme="minorHAnsi" w:eastAsia="Tahoma" w:hAnsiTheme="minorHAnsi" w:cstheme="minorHAnsi"/>
          <w:sz w:val="24"/>
          <w:szCs w:val="24"/>
        </w:rPr>
        <w:t>Concluída a instrução do requerimento, a Administração terá o prazo de 10 dias para decidir admitida a prorrogação motivada por igual período.</w:t>
      </w:r>
    </w:p>
    <w:p w14:paraId="591C0E8C" w14:textId="77777777" w:rsidR="003D171C" w:rsidRDefault="003D171C">
      <w:pPr>
        <w:ind w:left="851" w:right="153"/>
        <w:jc w:val="both"/>
        <w:rPr>
          <w:rFonts w:asciiTheme="minorHAnsi" w:eastAsia="Tahoma" w:hAnsiTheme="minorHAnsi" w:cstheme="minorHAnsi"/>
          <w:sz w:val="24"/>
          <w:szCs w:val="24"/>
        </w:rPr>
      </w:pPr>
    </w:p>
    <w:p w14:paraId="2466EE4C" w14:textId="77777777" w:rsidR="003D171C" w:rsidRDefault="00230661">
      <w:pPr>
        <w:pStyle w:val="Ttulo31"/>
        <w:tabs>
          <w:tab w:val="left" w:pos="851"/>
          <w:tab w:val="left" w:pos="1222"/>
        </w:tabs>
        <w:ind w:left="851" w:right="236"/>
        <w:jc w:val="both"/>
        <w:rPr>
          <w:rFonts w:ascii="Calibri" w:hAnsi="Calibri"/>
          <w:sz w:val="24"/>
          <w:szCs w:val="24"/>
        </w:rPr>
      </w:pPr>
      <w:r>
        <w:rPr>
          <w:rFonts w:asciiTheme="minorHAnsi" w:eastAsia="Tahoma" w:hAnsiTheme="minorHAnsi" w:cstheme="minorHAnsi"/>
          <w:smallCaps/>
          <w:sz w:val="24"/>
          <w:szCs w:val="24"/>
        </w:rPr>
        <w:t>8.  PAGAMENTO</w:t>
      </w:r>
    </w:p>
    <w:p w14:paraId="1BD0A07E" w14:textId="77777777" w:rsidR="003D171C" w:rsidRDefault="00230661">
      <w:pPr>
        <w:pStyle w:val="Ttulo31"/>
        <w:tabs>
          <w:tab w:val="left" w:pos="851"/>
          <w:tab w:val="left" w:pos="1222"/>
        </w:tabs>
        <w:ind w:left="851" w:right="236"/>
        <w:jc w:val="both"/>
        <w:rPr>
          <w:rFonts w:asciiTheme="minorHAnsi" w:eastAsia="Tahoma" w:hAnsiTheme="minorHAnsi" w:cstheme="minorHAnsi"/>
          <w:color w:val="000000"/>
          <w:sz w:val="24"/>
          <w:szCs w:val="24"/>
        </w:rPr>
      </w:pPr>
      <w:r>
        <w:rPr>
          <w:rFonts w:ascii="Calibri" w:eastAsia="Tahoma" w:hAnsi="Calibri" w:cstheme="minorHAnsi"/>
          <w:color w:val="000000"/>
          <w:sz w:val="24"/>
          <w:szCs w:val="24"/>
        </w:rPr>
        <w:t>8.1. Preço</w:t>
      </w:r>
    </w:p>
    <w:p w14:paraId="2DA9D52C" w14:textId="77777777" w:rsidR="003D171C" w:rsidRDefault="00230661">
      <w:pPr>
        <w:pStyle w:val="Ttulo31"/>
        <w:tabs>
          <w:tab w:val="left" w:pos="851"/>
          <w:tab w:val="left" w:pos="1222"/>
        </w:tabs>
        <w:ind w:left="851" w:right="236"/>
        <w:jc w:val="both"/>
        <w:rPr>
          <w:b w:val="0"/>
          <w:bCs w:val="0"/>
        </w:rPr>
      </w:pPr>
      <w:r>
        <w:rPr>
          <w:rFonts w:asciiTheme="minorHAnsi" w:eastAsia="Tahoma" w:hAnsiTheme="minorHAnsi" w:cstheme="minorHAnsi"/>
          <w:b w:val="0"/>
          <w:bCs w:val="0"/>
          <w:color w:val="000000"/>
          <w:sz w:val="24"/>
          <w:szCs w:val="24"/>
        </w:rPr>
        <w:t>8.1.1.</w:t>
      </w:r>
      <w:r>
        <w:rPr>
          <w:rFonts w:asciiTheme="minorHAnsi" w:hAnsiTheme="minorHAnsi"/>
          <w:b w:val="0"/>
          <w:bCs w:val="0"/>
          <w:color w:val="000000"/>
          <w:sz w:val="24"/>
          <w:szCs w:val="24"/>
        </w:rPr>
        <w:t xml:space="preserve"> O valor mensal de </w:t>
      </w:r>
      <w:r>
        <w:rPr>
          <w:rFonts w:asciiTheme="minorHAnsi" w:hAnsiTheme="minorHAnsi"/>
          <w:color w:val="000000"/>
          <w:sz w:val="24"/>
          <w:szCs w:val="24"/>
        </w:rPr>
        <w:t xml:space="preserve">R$ 6.529,88 (seis mil quinhentos e vinte e nove reais e oitenta e oito centavos), pagos em 13 vezes, totalizando um valor global de </w:t>
      </w:r>
      <w:bookmarkStart w:id="0" w:name="_Hlk194483716"/>
      <w:r>
        <w:rPr>
          <w:rFonts w:asciiTheme="minorHAnsi" w:hAnsiTheme="minorHAnsi"/>
          <w:color w:val="000000"/>
          <w:sz w:val="24"/>
          <w:szCs w:val="24"/>
        </w:rPr>
        <w:t>R$ 84.888,53(oitenta e quatro mil oitocentos e oitenta e oito reais e cinquenta e três centavos).</w:t>
      </w:r>
      <w:bookmarkEnd w:id="0"/>
    </w:p>
    <w:p w14:paraId="6763B2D4" w14:textId="77777777" w:rsidR="003D171C" w:rsidRDefault="00230661">
      <w:pPr>
        <w:ind w:left="851" w:right="153"/>
        <w:jc w:val="both"/>
      </w:pPr>
      <w:r>
        <w:rPr>
          <w:rFonts w:asciiTheme="minorHAnsi" w:eastAsia="Tahoma" w:hAnsiTheme="minorHAnsi" w:cstheme="minorHAnsi"/>
          <w:color w:val="000000"/>
          <w:sz w:val="24"/>
          <w:szCs w:val="24"/>
        </w:rPr>
        <w:t xml:space="preserve">8.1.2. </w:t>
      </w:r>
      <w:r>
        <w:rPr>
          <w:rFonts w:asciiTheme="minorHAnsi" w:hAnsiTheme="minorHAnsi"/>
          <w:color w:val="000000"/>
          <w:sz w:val="24"/>
          <w:szCs w:val="24"/>
        </w:rPr>
        <w:t>No valor acima estão incluídas todas as despesas ordinárias diretas e indiretas decorrentes da execução do objeto, inclusive tributos e/ou impostos, encargos sociais, trabalhistas, previdenciários, fiscais e comerciais incidentes, taxa de administração, seguro e outros necessários ao cumprimento integral do objeto.</w:t>
      </w:r>
    </w:p>
    <w:p w14:paraId="76D0518B" w14:textId="77777777" w:rsidR="003D171C" w:rsidRDefault="003D171C">
      <w:pPr>
        <w:ind w:left="851" w:right="153"/>
        <w:jc w:val="both"/>
        <w:rPr>
          <w:rFonts w:asciiTheme="minorHAnsi" w:eastAsia="Tahoma" w:hAnsiTheme="minorHAnsi" w:cstheme="minorHAnsi"/>
          <w:color w:val="000000"/>
          <w:sz w:val="24"/>
          <w:szCs w:val="24"/>
        </w:rPr>
      </w:pPr>
    </w:p>
    <w:p w14:paraId="30D53C3B" w14:textId="77777777" w:rsidR="003D171C" w:rsidRDefault="00230661">
      <w:pPr>
        <w:ind w:left="851" w:right="153"/>
        <w:jc w:val="both"/>
        <w:rPr>
          <w:rFonts w:ascii="Calibri" w:hAnsi="Calibri"/>
          <w:sz w:val="24"/>
          <w:szCs w:val="24"/>
        </w:rPr>
      </w:pPr>
      <w:r>
        <w:rPr>
          <w:rFonts w:asciiTheme="minorHAnsi" w:eastAsia="Tahoma" w:hAnsiTheme="minorHAnsi" w:cstheme="minorHAnsi"/>
          <w:b/>
          <w:bCs/>
          <w:sz w:val="24"/>
          <w:szCs w:val="24"/>
        </w:rPr>
        <w:t xml:space="preserve">8.2 Forma de </w:t>
      </w:r>
      <w:r>
        <w:rPr>
          <w:rFonts w:asciiTheme="minorHAnsi" w:eastAsia="Tahoma" w:hAnsiTheme="minorHAnsi" w:cstheme="minorHAnsi"/>
          <w:b/>
          <w:sz w:val="24"/>
          <w:szCs w:val="24"/>
        </w:rPr>
        <w:t>Pagamento</w:t>
      </w:r>
    </w:p>
    <w:p w14:paraId="7F746B49" w14:textId="77777777" w:rsidR="003D171C" w:rsidRDefault="00230661">
      <w:pPr>
        <w:widowControl/>
        <w:ind w:left="851" w:right="153"/>
        <w:jc w:val="both"/>
        <w:rPr>
          <w:rFonts w:ascii="Calibri" w:hAnsi="Calibri"/>
          <w:sz w:val="24"/>
          <w:szCs w:val="24"/>
        </w:rPr>
      </w:pPr>
      <w:r>
        <w:rPr>
          <w:rFonts w:asciiTheme="minorHAnsi" w:eastAsia="Tahoma" w:hAnsiTheme="minorHAnsi" w:cstheme="minorHAnsi"/>
          <w:sz w:val="24"/>
          <w:szCs w:val="24"/>
        </w:rPr>
        <w:t xml:space="preserve">8.2.1 Para fins de pagamento, a Contratada deverá emitir Notas Fiscais / Fatura, conforme proposta apresentada. Na Nota Fiscal deverão constar as retenções dos impostos, conforme IN RFB nº </w:t>
      </w:r>
      <w:r>
        <w:rPr>
          <w:rFonts w:asciiTheme="minorHAnsi" w:eastAsia="Tahoma" w:hAnsiTheme="minorHAnsi" w:cstheme="minorHAnsi"/>
          <w:sz w:val="24"/>
          <w:szCs w:val="24"/>
        </w:rPr>
        <w:t>1.234/2012.</w:t>
      </w:r>
    </w:p>
    <w:p w14:paraId="3044D724" w14:textId="77777777" w:rsidR="003D171C" w:rsidRDefault="00230661">
      <w:pPr>
        <w:widowControl/>
        <w:ind w:left="851" w:right="153"/>
        <w:jc w:val="both"/>
        <w:rPr>
          <w:rFonts w:ascii="Calibri" w:hAnsi="Calibri"/>
          <w:sz w:val="24"/>
          <w:szCs w:val="24"/>
        </w:rPr>
      </w:pPr>
      <w:r>
        <w:rPr>
          <w:rFonts w:asciiTheme="minorHAnsi" w:eastAsia="Tahoma" w:hAnsiTheme="minorHAnsi" w:cstheme="minorHAnsi"/>
          <w:sz w:val="24"/>
          <w:szCs w:val="24"/>
        </w:rPr>
        <w:t>8.2.2 A Nota Fiscal deverá ser apresentada ao CREF5/CE conforme prazos constantes na proposta apresentada, para pagamento pela Contratante à contratada até 05 (cinco) dias úteis seguinte à entrega da nota fiscal devidamente aprovada pelos departamentos competentes.</w:t>
      </w:r>
    </w:p>
    <w:p w14:paraId="5BFE5139" w14:textId="77777777" w:rsidR="003D171C" w:rsidRDefault="00230661">
      <w:pPr>
        <w:widowControl/>
        <w:ind w:left="851" w:right="153"/>
        <w:jc w:val="both"/>
        <w:rPr>
          <w:rFonts w:ascii="Calibri" w:hAnsi="Calibri"/>
          <w:sz w:val="24"/>
          <w:szCs w:val="24"/>
        </w:rPr>
      </w:pPr>
      <w:r>
        <w:rPr>
          <w:rFonts w:asciiTheme="minorHAnsi" w:eastAsia="Tahoma" w:hAnsiTheme="minorHAnsi" w:cstheme="minorHAnsi"/>
          <w:sz w:val="24"/>
          <w:szCs w:val="24"/>
        </w:rPr>
        <w:t>8.2.3 O eventual atraso na entrega da Nota Fiscal acarretará correspondente e proporcional atraso no pagamento, sem qualquer penalização ou atualização monetária.</w:t>
      </w:r>
    </w:p>
    <w:p w14:paraId="467EED0B" w14:textId="77777777" w:rsidR="003D171C" w:rsidRDefault="00230661">
      <w:pPr>
        <w:widowControl/>
        <w:ind w:left="851" w:right="153"/>
        <w:jc w:val="both"/>
        <w:rPr>
          <w:rFonts w:ascii="Calibri" w:hAnsi="Calibri"/>
          <w:sz w:val="24"/>
          <w:szCs w:val="24"/>
        </w:rPr>
      </w:pPr>
      <w:r>
        <w:rPr>
          <w:rFonts w:asciiTheme="minorHAnsi" w:eastAsia="Tahoma" w:hAnsiTheme="minorHAnsi" w:cstheme="minorHAnsi"/>
          <w:sz w:val="24"/>
          <w:szCs w:val="24"/>
        </w:rPr>
        <w:t>8.2.4 Caso se constate alguma irregularidade na Nota Fiscal emitida pela Contratada, o documento será devolvido para correção, sendo restabelecido o prazo de 10 (dez) dias para o pagamento, a contar do recebimento pelo CREF5/CE do documento corrigido.</w:t>
      </w:r>
    </w:p>
    <w:p w14:paraId="0E58AA12" w14:textId="77777777" w:rsidR="003D171C" w:rsidRDefault="00230661">
      <w:pPr>
        <w:widowControl/>
        <w:ind w:left="851" w:right="153"/>
        <w:jc w:val="both"/>
        <w:rPr>
          <w:rFonts w:ascii="Calibri" w:hAnsi="Calibri"/>
          <w:sz w:val="24"/>
          <w:szCs w:val="24"/>
        </w:rPr>
      </w:pPr>
      <w:r>
        <w:rPr>
          <w:rFonts w:asciiTheme="minorHAnsi" w:eastAsia="Tahoma" w:hAnsiTheme="minorHAnsi" w:cstheme="minorHAnsi"/>
          <w:sz w:val="24"/>
          <w:szCs w:val="24"/>
        </w:rPr>
        <w:t>8.2.5 A contratada deverá arcar com o recolhimento de todos os tributos e contribuições federais, estaduais e municipais, devidos em decorrência do objeto do contrato, inclusive aqueles retidos pelo CREF5/CE na forma da lei.</w:t>
      </w:r>
    </w:p>
    <w:p w14:paraId="7A813DAA" w14:textId="77777777" w:rsidR="003D171C" w:rsidRDefault="00230661">
      <w:pPr>
        <w:widowControl/>
        <w:ind w:left="851" w:right="153"/>
        <w:jc w:val="both"/>
        <w:rPr>
          <w:rFonts w:ascii="Calibri" w:hAnsi="Calibri"/>
          <w:sz w:val="24"/>
          <w:szCs w:val="24"/>
        </w:rPr>
      </w:pPr>
      <w:r>
        <w:rPr>
          <w:rFonts w:asciiTheme="minorHAnsi" w:eastAsia="Tahoma" w:hAnsiTheme="minorHAnsi" w:cstheme="minorHAnsi"/>
          <w:sz w:val="24"/>
          <w:szCs w:val="24"/>
        </w:rPr>
        <w:t xml:space="preserve">8.2.6 O descumprimento de qualquer obrigação por parte da contratada facultará ao CREF5/CE a retenção dos pagamentos previstos até a regularização da situação, não se aplicando qualquer índice de correção monetária aos valores retidos. A CONTRATADA não poderá suspender a </w:t>
      </w:r>
      <w:r>
        <w:rPr>
          <w:rFonts w:asciiTheme="minorHAnsi" w:eastAsia="Tahoma" w:hAnsiTheme="minorHAnsi" w:cstheme="minorHAnsi"/>
          <w:sz w:val="24"/>
          <w:szCs w:val="24"/>
        </w:rPr>
        <w:lastRenderedPageBreak/>
        <w:t>concessão do benefício em razão do não pagamento da fatura, desde que a CONTRATANTE comunique formalmente o motivo que levou a retenção.</w:t>
      </w:r>
    </w:p>
    <w:p w14:paraId="4B27ADC0" w14:textId="77777777" w:rsidR="003D171C" w:rsidRDefault="00230661">
      <w:pPr>
        <w:widowControl/>
        <w:ind w:left="851" w:right="153"/>
        <w:jc w:val="both"/>
        <w:rPr>
          <w:rFonts w:ascii="Calibri" w:hAnsi="Calibri"/>
          <w:sz w:val="24"/>
          <w:szCs w:val="24"/>
        </w:rPr>
      </w:pPr>
      <w:r>
        <w:rPr>
          <w:rFonts w:asciiTheme="minorHAnsi" w:eastAsia="Tahoma" w:hAnsiTheme="minorHAnsi" w:cstheme="minorHAnsi"/>
          <w:sz w:val="24"/>
          <w:szCs w:val="24"/>
        </w:rPr>
        <w:t>8.2.7 Em nenhuma hipótese, ocorrerá a antecipação de pagamento para viabilizar o cumprimento do objeto contratado.</w:t>
      </w:r>
    </w:p>
    <w:p w14:paraId="4C41767E" w14:textId="77777777" w:rsidR="003D171C" w:rsidRDefault="00230661">
      <w:pPr>
        <w:widowControl/>
        <w:ind w:left="851" w:right="153"/>
        <w:jc w:val="both"/>
        <w:rPr>
          <w:rFonts w:ascii="Calibri" w:hAnsi="Calibri"/>
          <w:sz w:val="24"/>
          <w:szCs w:val="24"/>
        </w:rPr>
      </w:pPr>
      <w:r>
        <w:rPr>
          <w:rFonts w:asciiTheme="minorHAnsi" w:eastAsia="Tahoma" w:hAnsiTheme="minorHAnsi" w:cstheme="minorHAnsi"/>
          <w:sz w:val="24"/>
          <w:szCs w:val="24"/>
        </w:rPr>
        <w:t>8.2.8 Na hipótese de o dia do pagamento coincidir com feriado bancário, este será realizado no primeiro dia útil seguinte.</w:t>
      </w:r>
    </w:p>
    <w:p w14:paraId="066B8E27" w14:textId="77777777" w:rsidR="003D171C" w:rsidRDefault="00230661">
      <w:pPr>
        <w:widowControl/>
        <w:ind w:left="851" w:right="153"/>
        <w:jc w:val="both"/>
        <w:rPr>
          <w:rFonts w:ascii="Calibri" w:hAnsi="Calibri"/>
          <w:sz w:val="24"/>
          <w:szCs w:val="24"/>
        </w:rPr>
      </w:pPr>
      <w:r>
        <w:rPr>
          <w:rFonts w:asciiTheme="minorHAnsi" w:eastAsia="Tahoma" w:hAnsiTheme="minorHAnsi" w:cstheme="minorHAnsi"/>
          <w:sz w:val="24"/>
          <w:szCs w:val="24"/>
        </w:rPr>
        <w:t>8.2.9 Estão inclusos na remuneração dos serviços contratados todos os insumos e tributos, inclusive contribuições fiscais e para fiscais, previdenciários e encargos trabalhistas, bem como quaisquer outras despesas necessárias à execução deste contrato.</w:t>
      </w:r>
    </w:p>
    <w:p w14:paraId="6739217E" w14:textId="77777777" w:rsidR="003D171C" w:rsidRDefault="00230661">
      <w:pPr>
        <w:widowControl/>
        <w:ind w:left="851" w:right="153"/>
        <w:jc w:val="both"/>
        <w:rPr>
          <w:rFonts w:ascii="Calibri" w:hAnsi="Calibri"/>
          <w:sz w:val="24"/>
          <w:szCs w:val="24"/>
        </w:rPr>
      </w:pPr>
      <w:r>
        <w:rPr>
          <w:rFonts w:asciiTheme="minorHAnsi" w:eastAsia="Tahoma" w:hAnsiTheme="minorHAnsi" w:cstheme="minorHAnsi"/>
          <w:sz w:val="24"/>
          <w:szCs w:val="24"/>
        </w:rPr>
        <w:t>8.2.10. Qualquer despesa não comprovada, realizada sem autorização prévia e expressa do CREF5/CE ou que não obedeça às condições aqui estabelecidas não será ressarcida.</w:t>
      </w:r>
    </w:p>
    <w:p w14:paraId="15C6C8E0" w14:textId="77777777" w:rsidR="003D171C" w:rsidRDefault="003D171C">
      <w:pPr>
        <w:ind w:left="851" w:right="153"/>
        <w:jc w:val="both"/>
        <w:rPr>
          <w:rFonts w:asciiTheme="minorHAnsi" w:eastAsia="Tahoma" w:hAnsiTheme="minorHAnsi" w:cstheme="minorHAnsi"/>
          <w:sz w:val="24"/>
          <w:szCs w:val="24"/>
        </w:rPr>
      </w:pPr>
    </w:p>
    <w:p w14:paraId="0614F4A6" w14:textId="77777777" w:rsidR="003D171C" w:rsidRDefault="00230661">
      <w:pPr>
        <w:pStyle w:val="Ttulo31"/>
        <w:tabs>
          <w:tab w:val="left" w:pos="851"/>
        </w:tabs>
        <w:ind w:left="851" w:right="228"/>
        <w:jc w:val="both"/>
        <w:rPr>
          <w:rFonts w:ascii="Calibri" w:hAnsi="Calibri"/>
          <w:sz w:val="24"/>
          <w:szCs w:val="24"/>
        </w:rPr>
      </w:pPr>
      <w:r>
        <w:rPr>
          <w:rFonts w:asciiTheme="minorHAnsi" w:eastAsia="Tahoma" w:hAnsiTheme="minorHAnsi" w:cstheme="minorHAnsi"/>
          <w:sz w:val="24"/>
          <w:szCs w:val="24"/>
        </w:rPr>
        <w:t>9. DA FORMA E CRITÉRIOS DE SELEÇÃO DO FORNECEDOR</w:t>
      </w:r>
    </w:p>
    <w:p w14:paraId="6CFA2B6A" w14:textId="77777777" w:rsidR="003D171C" w:rsidRDefault="00230661">
      <w:pPr>
        <w:tabs>
          <w:tab w:val="left" w:pos="1570"/>
        </w:tabs>
        <w:ind w:left="851" w:right="152"/>
        <w:jc w:val="both"/>
        <w:rPr>
          <w:rFonts w:ascii="Calibri" w:hAnsi="Calibri"/>
          <w:sz w:val="24"/>
          <w:szCs w:val="24"/>
        </w:rPr>
      </w:pPr>
      <w:r>
        <w:rPr>
          <w:rFonts w:asciiTheme="minorHAnsi" w:eastAsia="Tahoma" w:hAnsiTheme="minorHAnsi" w:cstheme="minorHAnsi"/>
          <w:color w:val="000000"/>
          <w:sz w:val="24"/>
          <w:szCs w:val="24"/>
        </w:rPr>
        <w:t>9.1.</w:t>
      </w:r>
      <w:r>
        <w:rPr>
          <w:rFonts w:asciiTheme="minorHAnsi" w:eastAsia="Tahoma" w:hAnsiTheme="minorHAnsi" w:cstheme="minorHAnsi"/>
          <w:sz w:val="24"/>
          <w:szCs w:val="24"/>
        </w:rPr>
        <w:t xml:space="preserve"> A seleção será por meio da realização de procedimento de inexigibilidade de licitação, com fundamento na</w:t>
      </w:r>
      <w:r>
        <w:rPr>
          <w:rFonts w:asciiTheme="minorHAnsi" w:eastAsia="Tahoma" w:hAnsiTheme="minorHAnsi" w:cstheme="minorHAnsi"/>
          <w:sz w:val="24"/>
          <w:szCs w:val="24"/>
        </w:rPr>
        <w:t xml:space="preserve"> hipótese do </w:t>
      </w:r>
      <w:proofErr w:type="spellStart"/>
      <w:r>
        <w:rPr>
          <w:rFonts w:asciiTheme="minorHAnsi" w:eastAsia="Tahoma" w:hAnsiTheme="minorHAnsi" w:cstheme="minorHAnsi"/>
          <w:sz w:val="24"/>
          <w:szCs w:val="24"/>
        </w:rPr>
        <w:t>art</w:t>
      </w:r>
      <w:proofErr w:type="spellEnd"/>
      <w:r>
        <w:rPr>
          <w:rFonts w:asciiTheme="minorHAnsi" w:eastAsia="Tahoma" w:hAnsiTheme="minorHAnsi" w:cstheme="minorHAnsi"/>
          <w:sz w:val="24"/>
          <w:szCs w:val="24"/>
        </w:rPr>
        <w:t>. 74, inciso III, alínea "c" da Lei n.º 14.133, de 2021, por se tratar de serviço de natureza técnica especializada, predomina</w:t>
      </w:r>
      <w:r>
        <w:rPr>
          <w:rFonts w:asciiTheme="minorHAnsi" w:eastAsia="Tahoma" w:hAnsiTheme="minorHAnsi" w:cstheme="minorHAnsi"/>
          <w:sz w:val="24"/>
          <w:szCs w:val="24"/>
        </w:rPr>
        <w:t xml:space="preserve">ntemente </w:t>
      </w:r>
      <w:r>
        <w:rPr>
          <w:rFonts w:asciiTheme="minorHAnsi" w:eastAsia="Tahoma" w:hAnsiTheme="minorHAnsi" w:cstheme="minorHAnsi"/>
          <w:sz w:val="24"/>
          <w:szCs w:val="24"/>
        </w:rPr>
        <w:t>intelectual, com profissional de notória especialização na área requerida.</w:t>
      </w:r>
    </w:p>
    <w:p w14:paraId="54607AAA" w14:textId="77777777" w:rsidR="003D171C" w:rsidRDefault="00230661">
      <w:pPr>
        <w:tabs>
          <w:tab w:val="left" w:pos="1570"/>
        </w:tabs>
        <w:ind w:left="851" w:right="152"/>
        <w:jc w:val="both"/>
        <w:rPr>
          <w:rFonts w:ascii="Calibri" w:hAnsi="Calibri"/>
          <w:sz w:val="24"/>
          <w:szCs w:val="24"/>
        </w:rPr>
      </w:pPr>
      <w:r>
        <w:rPr>
          <w:rFonts w:asciiTheme="minorHAnsi" w:eastAsia="Tahoma" w:hAnsiTheme="minorHAnsi" w:cstheme="minorHAnsi"/>
          <w:color w:val="000000"/>
          <w:sz w:val="24"/>
          <w:szCs w:val="24"/>
        </w:rPr>
        <w:t>9.1.1. As exigências de habilitação jurídica, fiscal, social e trabalhista são as usuais para generalidade dos objetos, devendo ser exigida da Contratada, tais como:</w:t>
      </w:r>
    </w:p>
    <w:p w14:paraId="144EC106" w14:textId="77777777" w:rsidR="003D171C" w:rsidRDefault="00230661">
      <w:pPr>
        <w:tabs>
          <w:tab w:val="left" w:pos="1570"/>
        </w:tabs>
        <w:ind w:left="851" w:right="152"/>
        <w:jc w:val="both"/>
        <w:rPr>
          <w:rFonts w:ascii="Calibri" w:hAnsi="Calibri"/>
          <w:sz w:val="24"/>
          <w:szCs w:val="24"/>
        </w:rPr>
      </w:pPr>
      <w:r>
        <w:rPr>
          <w:rFonts w:asciiTheme="minorHAnsi" w:eastAsia="Tahoma" w:hAnsiTheme="minorHAnsi" w:cstheme="minorHAnsi"/>
          <w:color w:val="000000"/>
          <w:sz w:val="24"/>
          <w:szCs w:val="24"/>
        </w:rPr>
        <w:t>9.1.2. Prova de inscrição no Cadastro Nacional de Pessoas Jurídicas ou no Cadastro de Pessoas Físicas.</w:t>
      </w:r>
    </w:p>
    <w:p w14:paraId="2C4FC0EC" w14:textId="77777777" w:rsidR="003D171C" w:rsidRDefault="00230661">
      <w:pPr>
        <w:tabs>
          <w:tab w:val="left" w:pos="1570"/>
        </w:tabs>
        <w:ind w:left="851" w:right="152"/>
        <w:jc w:val="both"/>
        <w:rPr>
          <w:rFonts w:ascii="Calibri" w:hAnsi="Calibri"/>
          <w:sz w:val="24"/>
          <w:szCs w:val="24"/>
        </w:rPr>
      </w:pPr>
      <w:r>
        <w:rPr>
          <w:rFonts w:asciiTheme="minorHAnsi" w:eastAsia="Tahoma" w:hAnsiTheme="minorHAnsi" w:cstheme="minorHAnsi"/>
          <w:color w:val="000000"/>
          <w:sz w:val="24"/>
          <w:szCs w:val="24"/>
        </w:rPr>
        <w:t>9.1.3. Prova de regularidade fiscal perante a Fazenda Nacional, mediante apresentação de certidão expedida conjuntamente pela Secretaria da Receita Federal do Brasil (RFB) e pela Procuradoria-Geral da Fazenda acional (PGFN), referente a todos os créditos tributários federais e à Dívida Ativa da União (DAU) por elas administrados, inclusive aqueles relativos à Seguridade Social.</w:t>
      </w:r>
    </w:p>
    <w:p w14:paraId="0AA8EAFD" w14:textId="77777777" w:rsidR="003D171C" w:rsidRDefault="00230661">
      <w:pPr>
        <w:tabs>
          <w:tab w:val="left" w:pos="1570"/>
        </w:tabs>
        <w:ind w:left="851" w:right="152"/>
        <w:jc w:val="both"/>
        <w:rPr>
          <w:rFonts w:ascii="Calibri" w:hAnsi="Calibri"/>
          <w:sz w:val="24"/>
          <w:szCs w:val="24"/>
        </w:rPr>
      </w:pPr>
      <w:r>
        <w:rPr>
          <w:rFonts w:asciiTheme="minorHAnsi" w:eastAsia="Tahoma" w:hAnsiTheme="minorHAnsi" w:cstheme="minorHAnsi"/>
          <w:color w:val="000000"/>
          <w:sz w:val="24"/>
          <w:szCs w:val="24"/>
        </w:rPr>
        <w:t>9.1.4. Prova de regularidade com o Fundo de Garantia do Tempo de Serviço (FGTS).</w:t>
      </w:r>
    </w:p>
    <w:p w14:paraId="0D4BA9CE" w14:textId="77777777" w:rsidR="003D171C" w:rsidRDefault="00230661">
      <w:pPr>
        <w:tabs>
          <w:tab w:val="left" w:pos="1570"/>
        </w:tabs>
        <w:ind w:left="851" w:right="152"/>
        <w:jc w:val="both"/>
        <w:rPr>
          <w:rFonts w:ascii="Calibri" w:hAnsi="Calibri"/>
          <w:sz w:val="24"/>
          <w:szCs w:val="24"/>
        </w:rPr>
      </w:pPr>
      <w:r>
        <w:rPr>
          <w:rFonts w:asciiTheme="minorHAnsi" w:eastAsia="Tahoma" w:hAnsiTheme="minorHAnsi" w:cstheme="minorHAnsi"/>
          <w:color w:val="000000"/>
          <w:sz w:val="24"/>
          <w:szCs w:val="24"/>
        </w:rPr>
        <w:t>9.1.5. Prova de inexistência de débitos inadimplidos perante a Justiça do Trabalho, mediante a apresentação de certidão negativa ou positiva com efeito de negativa.</w:t>
      </w:r>
    </w:p>
    <w:p w14:paraId="2ABDF8A9" w14:textId="77777777" w:rsidR="003D171C" w:rsidRDefault="00230661">
      <w:pPr>
        <w:tabs>
          <w:tab w:val="left" w:pos="1570"/>
        </w:tabs>
        <w:ind w:left="851" w:right="152"/>
        <w:jc w:val="both"/>
      </w:pPr>
      <w:r>
        <w:rPr>
          <w:rFonts w:asciiTheme="minorHAnsi" w:eastAsia="Tahoma" w:hAnsiTheme="minorHAnsi" w:cstheme="minorHAnsi"/>
          <w:color w:val="000000"/>
          <w:sz w:val="24"/>
          <w:szCs w:val="24"/>
        </w:rPr>
        <w:t>9.1.6. Prova de inscrição no cadastro de contribuintes relativo ao domicílio ou sede do fornecedor, pertinente ao seu ramo de atividade e compatível com o objeto contratual.</w:t>
      </w:r>
    </w:p>
    <w:p w14:paraId="54F94768" w14:textId="77777777" w:rsidR="003D171C" w:rsidRDefault="00230661">
      <w:pPr>
        <w:tabs>
          <w:tab w:val="left" w:pos="1570"/>
        </w:tabs>
        <w:ind w:left="851" w:right="152"/>
        <w:jc w:val="both"/>
        <w:rPr>
          <w:rFonts w:asciiTheme="minorHAnsi" w:eastAsia="Tahoma" w:hAnsiTheme="minorHAnsi" w:cstheme="minorHAnsi"/>
          <w:color w:val="000000"/>
          <w:sz w:val="24"/>
          <w:szCs w:val="24"/>
        </w:rPr>
      </w:pPr>
      <w:r>
        <w:rPr>
          <w:rFonts w:ascii="Calibri" w:eastAsia="Tahoma" w:hAnsi="Calibri" w:cstheme="minorHAnsi"/>
          <w:color w:val="000000"/>
          <w:sz w:val="24"/>
          <w:szCs w:val="24"/>
        </w:rPr>
        <w:t>9.1.7. Prova de regularidade com a Fazenda Municipal do domicílio da contratada.</w:t>
      </w:r>
    </w:p>
    <w:p w14:paraId="7A353CB7" w14:textId="77777777" w:rsidR="003D171C" w:rsidRDefault="003D171C">
      <w:pPr>
        <w:tabs>
          <w:tab w:val="left" w:pos="1570"/>
        </w:tabs>
        <w:ind w:left="851" w:right="152"/>
        <w:jc w:val="both"/>
        <w:rPr>
          <w:rFonts w:asciiTheme="minorHAnsi" w:eastAsia="Tahoma" w:hAnsiTheme="minorHAnsi" w:cstheme="minorHAnsi"/>
          <w:color w:val="000000"/>
          <w:sz w:val="24"/>
          <w:szCs w:val="24"/>
        </w:rPr>
      </w:pPr>
    </w:p>
    <w:p w14:paraId="676733CF" w14:textId="77777777" w:rsidR="003D171C" w:rsidRDefault="00230661">
      <w:pPr>
        <w:tabs>
          <w:tab w:val="left" w:pos="1570"/>
        </w:tabs>
        <w:ind w:left="851" w:right="152"/>
        <w:jc w:val="both"/>
      </w:pPr>
      <w:r>
        <w:rPr>
          <w:rFonts w:asciiTheme="minorHAnsi" w:eastAsia="Tahoma" w:hAnsiTheme="minorHAnsi" w:cstheme="minorHAnsi"/>
          <w:color w:val="000000"/>
          <w:sz w:val="24"/>
          <w:szCs w:val="24"/>
        </w:rPr>
        <w:t>9.2. Previamente à celebração da Ordem de Serviço, a Administração verificará o eventual descumprimento das condições para contratação, especialmente quanto à existência de sanção que a impeça, mediante a consulta a cadastros informativos oficiais, tais como:</w:t>
      </w:r>
    </w:p>
    <w:p w14:paraId="7D3B8BCC" w14:textId="77777777" w:rsidR="003D171C" w:rsidRDefault="003D171C">
      <w:pPr>
        <w:tabs>
          <w:tab w:val="left" w:pos="1570"/>
        </w:tabs>
        <w:ind w:left="851" w:right="152"/>
        <w:jc w:val="both"/>
        <w:rPr>
          <w:rFonts w:asciiTheme="minorHAnsi" w:eastAsia="Tahoma" w:hAnsiTheme="minorHAnsi" w:cstheme="minorHAnsi"/>
          <w:color w:val="000000"/>
          <w:sz w:val="24"/>
          <w:szCs w:val="24"/>
        </w:rPr>
      </w:pPr>
    </w:p>
    <w:p w14:paraId="706F1E1F" w14:textId="77777777" w:rsidR="003D171C" w:rsidRDefault="00230661">
      <w:pPr>
        <w:tabs>
          <w:tab w:val="left" w:pos="1570"/>
        </w:tabs>
        <w:ind w:left="851" w:right="152"/>
        <w:jc w:val="both"/>
      </w:pPr>
      <w:r>
        <w:rPr>
          <w:rFonts w:asciiTheme="minorHAnsi" w:eastAsia="Tahoma" w:hAnsiTheme="minorHAnsi" w:cstheme="minorHAnsi"/>
          <w:color w:val="000000"/>
          <w:sz w:val="24"/>
          <w:szCs w:val="24"/>
        </w:rPr>
        <w:t>a) SICAF;</w:t>
      </w:r>
    </w:p>
    <w:p w14:paraId="71E385C4" w14:textId="77777777" w:rsidR="003D171C" w:rsidRDefault="00230661">
      <w:pPr>
        <w:tabs>
          <w:tab w:val="left" w:pos="1570"/>
        </w:tabs>
        <w:ind w:left="851" w:right="152"/>
        <w:jc w:val="both"/>
      </w:pPr>
      <w:r>
        <w:rPr>
          <w:rFonts w:asciiTheme="minorHAnsi" w:eastAsia="Tahoma" w:hAnsiTheme="minorHAnsi" w:cstheme="minorHAnsi"/>
          <w:color w:val="000000"/>
          <w:sz w:val="24"/>
          <w:szCs w:val="24"/>
        </w:rPr>
        <w:t>b) Cadastro Nacional de Empresas Inidôneas e Suspensas - CEIS, mantido pela Controladoria-Geral da União (www.portaldatransparencia.gov.br/</w:t>
      </w:r>
      <w:proofErr w:type="spellStart"/>
      <w:r>
        <w:rPr>
          <w:rFonts w:asciiTheme="minorHAnsi" w:eastAsia="Tahoma" w:hAnsiTheme="minorHAnsi" w:cstheme="minorHAnsi"/>
          <w:color w:val="000000"/>
          <w:sz w:val="24"/>
          <w:szCs w:val="24"/>
        </w:rPr>
        <w:t>ceis</w:t>
      </w:r>
      <w:proofErr w:type="spellEnd"/>
      <w:r>
        <w:rPr>
          <w:rFonts w:asciiTheme="minorHAnsi" w:eastAsia="Tahoma" w:hAnsiTheme="minorHAnsi" w:cstheme="minorHAnsi"/>
          <w:color w:val="000000"/>
          <w:sz w:val="24"/>
          <w:szCs w:val="24"/>
        </w:rPr>
        <w:t xml:space="preserve">); e </w:t>
      </w:r>
    </w:p>
    <w:p w14:paraId="408FAFCE" w14:textId="77777777" w:rsidR="003D171C" w:rsidRDefault="00230661">
      <w:pPr>
        <w:tabs>
          <w:tab w:val="left" w:pos="1570"/>
        </w:tabs>
        <w:ind w:left="851" w:right="152"/>
        <w:jc w:val="both"/>
      </w:pPr>
      <w:r>
        <w:rPr>
          <w:rFonts w:asciiTheme="minorHAnsi" w:eastAsia="Tahoma" w:hAnsiTheme="minorHAnsi" w:cstheme="minorHAnsi"/>
          <w:color w:val="000000"/>
          <w:sz w:val="24"/>
          <w:szCs w:val="24"/>
        </w:rPr>
        <w:t xml:space="preserve">c) Cadastro Nacional de Empresas Punidas – CNEP, mantido pela Controladoria- Geral da União (https://www.portaltransparencia.gov.br/sancoes/cnep). </w:t>
      </w:r>
    </w:p>
    <w:p w14:paraId="63585890" w14:textId="77777777" w:rsidR="003D171C" w:rsidRDefault="003D171C">
      <w:pPr>
        <w:tabs>
          <w:tab w:val="left" w:pos="1570"/>
        </w:tabs>
        <w:ind w:left="851" w:right="152"/>
        <w:jc w:val="both"/>
        <w:rPr>
          <w:rFonts w:asciiTheme="minorHAnsi" w:eastAsia="Tahoma" w:hAnsiTheme="minorHAnsi" w:cstheme="minorHAnsi"/>
          <w:color w:val="000000"/>
          <w:sz w:val="24"/>
          <w:szCs w:val="24"/>
        </w:rPr>
      </w:pPr>
    </w:p>
    <w:p w14:paraId="4F4A6746" w14:textId="77777777" w:rsidR="003D171C" w:rsidRDefault="00230661">
      <w:pPr>
        <w:tabs>
          <w:tab w:val="left" w:pos="1570"/>
        </w:tabs>
        <w:ind w:left="851" w:right="152"/>
        <w:jc w:val="both"/>
      </w:pPr>
      <w:r>
        <w:rPr>
          <w:rFonts w:asciiTheme="minorHAnsi" w:eastAsia="Tahoma" w:hAnsiTheme="minorHAnsi" w:cstheme="minorHAnsi"/>
          <w:color w:val="000000"/>
          <w:sz w:val="24"/>
          <w:szCs w:val="24"/>
        </w:rPr>
        <w:t xml:space="preserve">9.2.1. A consulta aos cadastros será realizada em nome da empresa fornecedora e de seu sócio majoritário, por força do artigo 12 da Lei n° 8.429, de 1992, que prevê, dentre as sanções </w:t>
      </w:r>
      <w:r>
        <w:rPr>
          <w:rFonts w:asciiTheme="minorHAnsi" w:eastAsia="Tahoma" w:hAnsiTheme="minorHAnsi" w:cstheme="minorHAnsi"/>
          <w:color w:val="000000"/>
          <w:sz w:val="24"/>
          <w:szCs w:val="24"/>
        </w:rPr>
        <w:lastRenderedPageBreak/>
        <w:t>impostas ao responsável pela prática de ato de improbidade administrativa, a proibição de contratar com o Poder Público, inclusive por intermédio de pessoa jurídica da qual seja sócio majoritário. Caso conste na Consulta de Situação do Fornecedor a existência de Ocorrências Impeditivas Indiretas, o gestor diligenciará para verificar se houve fraude por parte das empresas apontadas no Relatório de Ocorrências Impeditivas Indiretas.</w:t>
      </w:r>
    </w:p>
    <w:p w14:paraId="7468D5E6" w14:textId="77777777" w:rsidR="003D171C" w:rsidRDefault="00230661">
      <w:pPr>
        <w:tabs>
          <w:tab w:val="left" w:pos="1570"/>
        </w:tabs>
        <w:ind w:left="851" w:right="152"/>
        <w:jc w:val="both"/>
      </w:pPr>
      <w:r>
        <w:rPr>
          <w:rFonts w:asciiTheme="minorHAnsi" w:eastAsia="Tahoma" w:hAnsiTheme="minorHAnsi" w:cstheme="minorHAnsi"/>
          <w:color w:val="000000"/>
          <w:sz w:val="24"/>
          <w:szCs w:val="24"/>
        </w:rPr>
        <w:t>9.2.2. A tentativa de burla será verificada por meio dos vínculos societários, linhas de fornecimento similares, dentre outros.</w:t>
      </w:r>
    </w:p>
    <w:p w14:paraId="74E2C0DA" w14:textId="77777777" w:rsidR="003D171C" w:rsidRDefault="00230661">
      <w:pPr>
        <w:tabs>
          <w:tab w:val="left" w:pos="1570"/>
        </w:tabs>
        <w:ind w:left="851" w:right="152"/>
        <w:jc w:val="both"/>
      </w:pPr>
      <w:r>
        <w:rPr>
          <w:rFonts w:asciiTheme="minorHAnsi" w:eastAsia="Tahoma" w:hAnsiTheme="minorHAnsi" w:cstheme="minorHAnsi"/>
          <w:color w:val="000000"/>
          <w:sz w:val="24"/>
          <w:szCs w:val="24"/>
        </w:rPr>
        <w:t>9.2.3. O fornecedor será convocado para manifestação previamente a uma eventual negativa de contratação.</w:t>
      </w:r>
    </w:p>
    <w:p w14:paraId="3A0D6567" w14:textId="77777777" w:rsidR="003D171C" w:rsidRDefault="00230661">
      <w:pPr>
        <w:tabs>
          <w:tab w:val="left" w:pos="1570"/>
        </w:tabs>
        <w:ind w:left="851" w:right="152"/>
        <w:jc w:val="both"/>
      </w:pPr>
      <w:r>
        <w:rPr>
          <w:rFonts w:asciiTheme="minorHAnsi" w:eastAsia="Tahoma" w:hAnsiTheme="minorHAnsi" w:cstheme="minorHAnsi"/>
          <w:color w:val="000000"/>
          <w:sz w:val="24"/>
          <w:szCs w:val="24"/>
        </w:rPr>
        <w:t>9.2.4. Caso atendidas as condições para contratação, a habilitação do fornecedor será verificada por meio do SICAF ou documentos por ele abrangidos.</w:t>
      </w:r>
    </w:p>
    <w:p w14:paraId="2EF80426" w14:textId="77777777" w:rsidR="003D171C" w:rsidRDefault="00230661">
      <w:pPr>
        <w:tabs>
          <w:tab w:val="left" w:pos="1570"/>
        </w:tabs>
        <w:ind w:left="851" w:right="152"/>
        <w:jc w:val="both"/>
      </w:pPr>
      <w:r>
        <w:rPr>
          <w:rFonts w:asciiTheme="minorHAnsi" w:eastAsia="Tahoma" w:hAnsiTheme="minorHAnsi" w:cstheme="minorHAnsi"/>
          <w:color w:val="000000"/>
          <w:sz w:val="24"/>
          <w:szCs w:val="24"/>
        </w:rPr>
        <w:t xml:space="preserve">9.2.5. É dever do fornecedor manter atualizada a </w:t>
      </w:r>
      <w:proofErr w:type="spellStart"/>
      <w:r>
        <w:rPr>
          <w:rFonts w:asciiTheme="minorHAnsi" w:eastAsia="Tahoma" w:hAnsiTheme="minorHAnsi" w:cstheme="minorHAnsi"/>
          <w:color w:val="000000"/>
          <w:sz w:val="24"/>
          <w:szCs w:val="24"/>
        </w:rPr>
        <w:t>respectiva</w:t>
      </w:r>
      <w:proofErr w:type="spellEnd"/>
      <w:r>
        <w:rPr>
          <w:rFonts w:asciiTheme="minorHAnsi" w:eastAsia="Tahoma" w:hAnsiTheme="minorHAnsi" w:cstheme="minorHAnsi"/>
          <w:color w:val="000000"/>
          <w:sz w:val="24"/>
          <w:szCs w:val="24"/>
        </w:rPr>
        <w:t xml:space="preserve"> documentação constante do SICAF, ou encaminhar, quando solicitado pela Administração, a </w:t>
      </w:r>
      <w:proofErr w:type="spellStart"/>
      <w:r>
        <w:rPr>
          <w:rFonts w:asciiTheme="minorHAnsi" w:eastAsia="Tahoma" w:hAnsiTheme="minorHAnsi" w:cstheme="minorHAnsi"/>
          <w:color w:val="000000"/>
          <w:sz w:val="24"/>
          <w:szCs w:val="24"/>
        </w:rPr>
        <w:t>respectiva</w:t>
      </w:r>
      <w:proofErr w:type="spellEnd"/>
      <w:r>
        <w:rPr>
          <w:rFonts w:asciiTheme="minorHAnsi" w:eastAsia="Tahoma" w:hAnsiTheme="minorHAnsi" w:cstheme="minorHAnsi"/>
          <w:color w:val="000000"/>
          <w:sz w:val="24"/>
          <w:szCs w:val="24"/>
        </w:rPr>
        <w:t xml:space="preserve"> documentação atualizada.</w:t>
      </w:r>
    </w:p>
    <w:p w14:paraId="7BC3F693" w14:textId="77777777" w:rsidR="003D171C" w:rsidRDefault="00230661">
      <w:pPr>
        <w:tabs>
          <w:tab w:val="left" w:pos="1570"/>
        </w:tabs>
        <w:ind w:left="851" w:right="152"/>
        <w:jc w:val="both"/>
      </w:pPr>
      <w:r>
        <w:rPr>
          <w:rFonts w:asciiTheme="minorHAnsi" w:eastAsia="Tahoma" w:hAnsiTheme="minorHAnsi" w:cstheme="minorHAnsi"/>
          <w:color w:val="000000"/>
          <w:sz w:val="24"/>
          <w:szCs w:val="24"/>
        </w:rPr>
        <w:t>9.2.6. Não serão aceitos documentos de habilitação com indicação de CNPJ/CPF diferentes, salvo aqueles legalmente permitidos.</w:t>
      </w:r>
    </w:p>
    <w:p w14:paraId="27D75E43" w14:textId="77777777" w:rsidR="003D171C" w:rsidRDefault="00230661">
      <w:pPr>
        <w:tabs>
          <w:tab w:val="left" w:pos="1570"/>
        </w:tabs>
        <w:ind w:left="851" w:right="152"/>
        <w:jc w:val="both"/>
      </w:pPr>
      <w:r>
        <w:rPr>
          <w:rFonts w:asciiTheme="minorHAnsi" w:eastAsia="Tahoma" w:hAnsiTheme="minorHAnsi" w:cstheme="minorHAnsi"/>
          <w:color w:val="000000"/>
          <w:sz w:val="24"/>
          <w:szCs w:val="24"/>
        </w:rPr>
        <w:t>9.2.7. Se o fornecedor for a matriz, todos os documentos deverão estar em nome da matriz, e se o fornecedor for a filial, todos os documentos deverão estar em nome da filial, exceto para atestados de capacidade técnica, caso exigidos, e no caso daqueles documentos que, pela própria natureza, comprovadamente, forem emitidos somente em nome da matriz.</w:t>
      </w:r>
    </w:p>
    <w:p w14:paraId="0C4809BC" w14:textId="77777777" w:rsidR="003D171C" w:rsidRDefault="00230661">
      <w:pPr>
        <w:tabs>
          <w:tab w:val="left" w:pos="1570"/>
        </w:tabs>
        <w:ind w:left="851" w:right="152"/>
        <w:jc w:val="both"/>
      </w:pPr>
      <w:r>
        <w:rPr>
          <w:rFonts w:asciiTheme="minorHAnsi" w:eastAsia="Tahoma" w:hAnsiTheme="minorHAnsi" w:cstheme="minorHAnsi"/>
          <w:color w:val="000000"/>
          <w:sz w:val="24"/>
          <w:szCs w:val="24"/>
        </w:rPr>
        <w:t>9.2.8. Serão aceitos registros de CNPJ de fornecedor matriz e filial com diferenças de números de documentos pertinentes ao CND e ao CRF/FGTS, quando for comprovada a centralização do recolhimento dessas contribuições.</w:t>
      </w:r>
    </w:p>
    <w:p w14:paraId="42AA1929" w14:textId="77777777" w:rsidR="003D171C" w:rsidRDefault="003D171C">
      <w:pPr>
        <w:tabs>
          <w:tab w:val="left" w:pos="1570"/>
        </w:tabs>
        <w:ind w:left="851" w:right="152"/>
        <w:jc w:val="both"/>
        <w:rPr>
          <w:rFonts w:asciiTheme="minorHAnsi" w:eastAsia="Tahoma" w:hAnsiTheme="minorHAnsi" w:cstheme="minorHAnsi"/>
          <w:color w:val="000000"/>
          <w:sz w:val="24"/>
          <w:szCs w:val="24"/>
        </w:rPr>
      </w:pPr>
    </w:p>
    <w:p w14:paraId="129405A6" w14:textId="01677FE3" w:rsidR="003D171C" w:rsidRDefault="00230661">
      <w:pPr>
        <w:tabs>
          <w:tab w:val="left" w:pos="1570"/>
        </w:tabs>
        <w:ind w:left="851" w:right="152"/>
        <w:jc w:val="both"/>
      </w:pPr>
      <w:r>
        <w:rPr>
          <w:rFonts w:asciiTheme="minorHAnsi" w:eastAsia="Tahoma" w:hAnsiTheme="minorHAnsi" w:cstheme="minorHAnsi"/>
          <w:color w:val="000000"/>
          <w:sz w:val="24"/>
          <w:szCs w:val="24"/>
        </w:rPr>
        <w:t>9.3. Habilitação técnica da titular da empresa, a qual deverá prestar os serviços presencialmente na Sede do Conselho, consta no Anexo I</w:t>
      </w:r>
      <w:r>
        <w:rPr>
          <w:rFonts w:asciiTheme="minorHAnsi" w:eastAsia="Tahoma" w:hAnsiTheme="minorHAnsi" w:cstheme="minorHAnsi"/>
          <w:color w:val="000000"/>
          <w:sz w:val="24"/>
          <w:szCs w:val="24"/>
        </w:rPr>
        <w:t xml:space="preserve"> deste Termo.</w:t>
      </w:r>
    </w:p>
    <w:p w14:paraId="53A97D48" w14:textId="77777777" w:rsidR="003D171C" w:rsidRDefault="003D171C">
      <w:pPr>
        <w:tabs>
          <w:tab w:val="left" w:pos="1570"/>
        </w:tabs>
        <w:ind w:left="851" w:right="152"/>
        <w:jc w:val="both"/>
        <w:rPr>
          <w:rFonts w:asciiTheme="minorHAnsi" w:eastAsia="Tahoma" w:hAnsiTheme="minorHAnsi" w:cstheme="minorHAnsi"/>
          <w:b/>
          <w:color w:val="000000"/>
          <w:sz w:val="24"/>
          <w:szCs w:val="24"/>
        </w:rPr>
      </w:pPr>
    </w:p>
    <w:p w14:paraId="2838140A" w14:textId="77777777" w:rsidR="003D171C" w:rsidRDefault="00230661">
      <w:pPr>
        <w:tabs>
          <w:tab w:val="left" w:pos="1570"/>
        </w:tabs>
        <w:ind w:left="851" w:right="152"/>
        <w:jc w:val="both"/>
      </w:pPr>
      <w:r>
        <w:rPr>
          <w:rFonts w:asciiTheme="minorHAnsi" w:eastAsia="Tahoma" w:hAnsiTheme="minorHAnsi" w:cstheme="minorHAnsi"/>
          <w:b/>
          <w:color w:val="000000"/>
          <w:sz w:val="24"/>
          <w:szCs w:val="24"/>
        </w:rPr>
        <w:t>10. DO REAJUSTAMENTO EM SENTIDO GERAL</w:t>
      </w:r>
    </w:p>
    <w:p w14:paraId="0A659828" w14:textId="77777777" w:rsidR="003D171C" w:rsidRDefault="00230661">
      <w:pPr>
        <w:widowControl/>
        <w:ind w:left="851"/>
        <w:jc w:val="both"/>
        <w:rPr>
          <w:rFonts w:ascii="Calibri" w:hAnsi="Calibri"/>
          <w:sz w:val="24"/>
          <w:szCs w:val="24"/>
        </w:rPr>
      </w:pPr>
      <w:r>
        <w:rPr>
          <w:rFonts w:asciiTheme="minorHAnsi" w:eastAsia="LiberationSans" w:hAnsiTheme="minorHAnsi" w:cstheme="minorHAnsi"/>
          <w:sz w:val="24"/>
          <w:szCs w:val="24"/>
        </w:rPr>
        <w:t xml:space="preserve">10.1. Os preços inicialmente contratados são fixos e irreajustáveis no prazo de 12 meses, a cada aniversário do contrato será reajustado pelo índice oficial IPCA (ÍNDICE DE PREÇOS AO CONSUMIDOR AMPLO), sempre e enquanto o contrato se mantiver vantajoso à Administração. </w:t>
      </w:r>
    </w:p>
    <w:p w14:paraId="768AE5CF" w14:textId="77777777" w:rsidR="003D171C" w:rsidRDefault="003D171C">
      <w:pPr>
        <w:widowControl/>
        <w:ind w:left="851"/>
        <w:jc w:val="both"/>
        <w:rPr>
          <w:rFonts w:eastAsia="LiberationSans" w:cstheme="minorHAnsi"/>
        </w:rPr>
      </w:pPr>
    </w:p>
    <w:p w14:paraId="499F27A4" w14:textId="77777777" w:rsidR="003D171C" w:rsidRDefault="00230661">
      <w:pPr>
        <w:widowControl/>
        <w:ind w:left="851"/>
        <w:jc w:val="both"/>
        <w:rPr>
          <w:rFonts w:ascii="Calibri" w:hAnsi="Calibri"/>
          <w:b/>
          <w:bCs/>
          <w:sz w:val="24"/>
          <w:szCs w:val="24"/>
        </w:rPr>
      </w:pPr>
      <w:r>
        <w:rPr>
          <w:rFonts w:asciiTheme="minorHAnsi" w:eastAsia="LiberationSans" w:hAnsiTheme="minorHAnsi" w:cstheme="minorHAnsi"/>
          <w:b/>
          <w:bCs/>
          <w:sz w:val="24"/>
          <w:szCs w:val="24"/>
        </w:rPr>
        <w:t xml:space="preserve">11. </w:t>
      </w:r>
      <w:r>
        <w:rPr>
          <w:rFonts w:asciiTheme="minorHAnsi" w:eastAsia="Tahoma" w:hAnsiTheme="minorHAnsi" w:cstheme="minorHAnsi"/>
          <w:b/>
          <w:bCs/>
          <w:sz w:val="24"/>
          <w:szCs w:val="24"/>
        </w:rPr>
        <w:t>ADEQUAÇÃO ORÇAMENTÁRIA</w:t>
      </w:r>
    </w:p>
    <w:p w14:paraId="79C098B7" w14:textId="77777777" w:rsidR="003D171C" w:rsidRDefault="00230661">
      <w:pPr>
        <w:tabs>
          <w:tab w:val="left" w:pos="851"/>
          <w:tab w:val="left" w:pos="10065"/>
        </w:tabs>
        <w:ind w:left="851"/>
        <w:jc w:val="both"/>
        <w:rPr>
          <w:rFonts w:asciiTheme="minorHAnsi" w:eastAsia="Tahoma" w:hAnsiTheme="minorHAnsi" w:cstheme="minorHAnsi"/>
          <w:color w:val="000000"/>
          <w:sz w:val="24"/>
          <w:szCs w:val="24"/>
        </w:rPr>
      </w:pPr>
      <w:r>
        <w:rPr>
          <w:rFonts w:asciiTheme="minorHAnsi" w:eastAsia="Tahoma" w:hAnsiTheme="minorHAnsi" w:cstheme="minorHAnsi"/>
          <w:color w:val="000000"/>
          <w:sz w:val="24"/>
          <w:szCs w:val="24"/>
        </w:rPr>
        <w:t>11.1 As despesas decorrentes da presente contratação correrão à conta de recursos específicos consignados no orçamento do CREF5/CE, deste exercício, na dotação abaixo discriminada:</w:t>
      </w:r>
    </w:p>
    <w:p w14:paraId="6CAF9206" w14:textId="77777777" w:rsidR="003D171C" w:rsidRDefault="00230661">
      <w:pPr>
        <w:tabs>
          <w:tab w:val="left" w:pos="851"/>
          <w:tab w:val="left" w:pos="10065"/>
        </w:tabs>
        <w:ind w:left="851"/>
        <w:jc w:val="both"/>
        <w:rPr>
          <w:rFonts w:ascii="Calibri" w:hAnsi="Calibri"/>
          <w:sz w:val="24"/>
          <w:szCs w:val="24"/>
        </w:rPr>
      </w:pPr>
      <w:r>
        <w:rPr>
          <w:rFonts w:ascii="Calibri" w:hAnsi="Calibri"/>
          <w:sz w:val="24"/>
          <w:szCs w:val="24"/>
        </w:rPr>
        <w:t xml:space="preserve">Rubrica Contábil </w:t>
      </w:r>
      <w:r>
        <w:rPr>
          <w:rFonts w:ascii="Calibri" w:hAnsi="Calibri"/>
          <w:b/>
          <w:bCs/>
          <w:sz w:val="24"/>
          <w:szCs w:val="24"/>
        </w:rPr>
        <w:t>nº 6.2.2.1.01.01.048</w:t>
      </w:r>
      <w:r>
        <w:rPr>
          <w:rFonts w:ascii="Calibri" w:hAnsi="Calibri"/>
          <w:sz w:val="24"/>
          <w:szCs w:val="24"/>
        </w:rPr>
        <w:t xml:space="preserve"> - SERVIÇOS ADVOCATÍCIOS (</w:t>
      </w:r>
      <w:proofErr w:type="spellStart"/>
      <w:r>
        <w:rPr>
          <w:rFonts w:ascii="Calibri" w:hAnsi="Calibri"/>
          <w:sz w:val="24"/>
          <w:szCs w:val="24"/>
        </w:rPr>
        <w:t>Ass</w:t>
      </w:r>
      <w:proofErr w:type="spellEnd"/>
      <w:r>
        <w:rPr>
          <w:rFonts w:ascii="Calibri" w:hAnsi="Calibri"/>
          <w:sz w:val="24"/>
          <w:szCs w:val="24"/>
        </w:rPr>
        <w:t>. Jurídica/Trabalhista)</w:t>
      </w:r>
    </w:p>
    <w:p w14:paraId="2681DF9A" w14:textId="77777777" w:rsidR="003D171C" w:rsidRDefault="003D171C">
      <w:pPr>
        <w:tabs>
          <w:tab w:val="left" w:pos="851"/>
        </w:tabs>
        <w:ind w:left="851"/>
        <w:jc w:val="both"/>
        <w:rPr>
          <w:rFonts w:eastAsia="Tahoma" w:cstheme="minorHAnsi"/>
        </w:rPr>
      </w:pPr>
    </w:p>
    <w:p w14:paraId="5F6BCE51" w14:textId="77777777" w:rsidR="003D171C" w:rsidRDefault="00230661">
      <w:pPr>
        <w:pStyle w:val="Ttulo31"/>
        <w:tabs>
          <w:tab w:val="left" w:pos="851"/>
        </w:tabs>
        <w:ind w:left="851"/>
        <w:rPr>
          <w:rFonts w:ascii="Calibri" w:hAnsi="Calibri"/>
          <w:sz w:val="24"/>
          <w:szCs w:val="24"/>
        </w:rPr>
      </w:pPr>
      <w:r>
        <w:rPr>
          <w:rFonts w:asciiTheme="minorHAnsi" w:eastAsia="Tahoma" w:hAnsiTheme="minorHAnsi" w:cstheme="minorHAnsi"/>
          <w:sz w:val="24"/>
          <w:szCs w:val="24"/>
        </w:rPr>
        <w:t>12. EQUIPE DE PLANEJAMENTO DA CONTRATAÇÃO E APROVAÇÃO</w:t>
      </w:r>
    </w:p>
    <w:p w14:paraId="45D6DC2E" w14:textId="77777777" w:rsidR="003D171C" w:rsidRDefault="00230661">
      <w:pPr>
        <w:tabs>
          <w:tab w:val="left" w:pos="851"/>
          <w:tab w:val="left" w:pos="1560"/>
          <w:tab w:val="left" w:pos="10206"/>
        </w:tabs>
        <w:ind w:left="851" w:right="11"/>
        <w:jc w:val="both"/>
        <w:rPr>
          <w:rFonts w:ascii="Calibri" w:hAnsi="Calibri"/>
          <w:sz w:val="24"/>
          <w:szCs w:val="24"/>
        </w:rPr>
      </w:pPr>
      <w:r>
        <w:rPr>
          <w:rFonts w:asciiTheme="minorHAnsi" w:eastAsia="Tahoma" w:hAnsiTheme="minorHAnsi" w:cstheme="minorHAnsi"/>
          <w:color w:val="000000"/>
          <w:sz w:val="24"/>
          <w:szCs w:val="24"/>
        </w:rPr>
        <w:t>12.1. O Termo de Referência segue assinado pela Equipe de Planejamento da Contratação e aprovado pela autoridade competente.</w:t>
      </w:r>
    </w:p>
    <w:p w14:paraId="5EC9B9FC" w14:textId="77777777" w:rsidR="003D171C" w:rsidRDefault="003D171C">
      <w:pPr>
        <w:tabs>
          <w:tab w:val="left" w:pos="851"/>
          <w:tab w:val="left" w:pos="1560"/>
          <w:tab w:val="left" w:pos="10206"/>
        </w:tabs>
        <w:ind w:left="851" w:right="11"/>
        <w:jc w:val="both"/>
        <w:rPr>
          <w:rFonts w:eastAsia="Tahoma" w:cstheme="minorHAnsi"/>
          <w:b/>
          <w:color w:val="000009"/>
        </w:rPr>
      </w:pPr>
    </w:p>
    <w:p w14:paraId="7BF0DA40" w14:textId="77777777" w:rsidR="003D171C" w:rsidRDefault="00230661">
      <w:pPr>
        <w:tabs>
          <w:tab w:val="left" w:pos="851"/>
          <w:tab w:val="left" w:pos="1560"/>
          <w:tab w:val="left" w:pos="10206"/>
        </w:tabs>
        <w:ind w:left="851" w:right="11"/>
        <w:jc w:val="both"/>
        <w:rPr>
          <w:rFonts w:ascii="Calibri" w:hAnsi="Calibri"/>
          <w:sz w:val="24"/>
          <w:szCs w:val="24"/>
        </w:rPr>
      </w:pPr>
      <w:r>
        <w:rPr>
          <w:rFonts w:asciiTheme="minorHAnsi" w:eastAsia="Tahoma" w:hAnsiTheme="minorHAnsi" w:cstheme="minorHAnsi"/>
          <w:b/>
          <w:color w:val="000009"/>
          <w:sz w:val="24"/>
          <w:szCs w:val="24"/>
        </w:rPr>
        <w:t xml:space="preserve">13. CASOS </w:t>
      </w:r>
      <w:r>
        <w:rPr>
          <w:rFonts w:asciiTheme="minorHAnsi" w:eastAsia="Tahoma" w:hAnsiTheme="minorHAnsi" w:cstheme="minorHAnsi"/>
          <w:b/>
          <w:color w:val="000009"/>
          <w:sz w:val="24"/>
          <w:szCs w:val="24"/>
        </w:rPr>
        <w:t>OMISSOS</w:t>
      </w:r>
    </w:p>
    <w:p w14:paraId="61F1C40E" w14:textId="77777777" w:rsidR="003D171C" w:rsidRDefault="00230661">
      <w:pPr>
        <w:tabs>
          <w:tab w:val="left" w:pos="851"/>
          <w:tab w:val="left" w:pos="10206"/>
        </w:tabs>
        <w:ind w:left="851" w:right="11"/>
        <w:jc w:val="both"/>
        <w:rPr>
          <w:rFonts w:ascii="Calibri" w:hAnsi="Calibri"/>
          <w:sz w:val="24"/>
          <w:szCs w:val="24"/>
        </w:rPr>
      </w:pPr>
      <w:r>
        <w:rPr>
          <w:rFonts w:asciiTheme="minorHAnsi" w:eastAsia="Tahoma" w:hAnsiTheme="minorHAnsi" w:cstheme="minorHAnsi"/>
          <w:color w:val="000009"/>
          <w:sz w:val="24"/>
          <w:szCs w:val="24"/>
        </w:rPr>
        <w:t xml:space="preserve">15.1 Os casos omissos serão decididos pelo CREF5/CE, segundo as disposições contidas e na Lei nº 14.133, de 1º de abril de 2021, e demais normas federais de licitações e contratos administrativos e, subsidiariamente, segundo as </w:t>
      </w:r>
      <w:r>
        <w:rPr>
          <w:rFonts w:asciiTheme="minorHAnsi" w:eastAsia="Tahoma" w:hAnsiTheme="minorHAnsi" w:cstheme="minorHAnsi"/>
          <w:color w:val="000009"/>
          <w:sz w:val="24"/>
          <w:szCs w:val="24"/>
        </w:rPr>
        <w:t>disposições contidas na Lei nº 8.078, de 1990 – Código de Defesa do Consumidor – e normas e princípios gerais dos contratos.</w:t>
      </w:r>
    </w:p>
    <w:p w14:paraId="12FB4234" w14:textId="77777777" w:rsidR="003D171C" w:rsidRDefault="003D171C">
      <w:pPr>
        <w:tabs>
          <w:tab w:val="left" w:pos="851"/>
          <w:tab w:val="left" w:pos="10206"/>
        </w:tabs>
        <w:ind w:left="851" w:right="11"/>
        <w:jc w:val="both"/>
        <w:rPr>
          <w:rFonts w:eastAsia="Tahoma" w:cstheme="minorHAnsi"/>
          <w:color w:val="000009"/>
        </w:rPr>
      </w:pPr>
    </w:p>
    <w:p w14:paraId="4C2774B2" w14:textId="77777777" w:rsidR="003D171C" w:rsidRDefault="003D171C">
      <w:pPr>
        <w:tabs>
          <w:tab w:val="left" w:pos="851"/>
          <w:tab w:val="left" w:pos="10206"/>
        </w:tabs>
        <w:ind w:left="851" w:right="11"/>
        <w:jc w:val="both"/>
        <w:rPr>
          <w:rFonts w:asciiTheme="minorHAnsi" w:eastAsia="Tahoma" w:hAnsiTheme="minorHAnsi" w:cstheme="minorHAnsi"/>
          <w:color w:val="000000"/>
          <w:sz w:val="24"/>
          <w:szCs w:val="24"/>
        </w:rPr>
      </w:pPr>
    </w:p>
    <w:p w14:paraId="20B4A629" w14:textId="77777777" w:rsidR="003D171C" w:rsidRDefault="00230661">
      <w:pPr>
        <w:tabs>
          <w:tab w:val="left" w:pos="851"/>
        </w:tabs>
        <w:ind w:left="851"/>
        <w:jc w:val="center"/>
      </w:pPr>
      <w:r>
        <w:rPr>
          <w:rFonts w:asciiTheme="minorHAnsi" w:eastAsia="Tahoma" w:hAnsiTheme="minorHAnsi" w:cstheme="minorHAnsi"/>
          <w:color w:val="000009"/>
          <w:sz w:val="24"/>
          <w:szCs w:val="24"/>
        </w:rPr>
        <w:t xml:space="preserve">Fortaleza- CE, 03 de </w:t>
      </w:r>
      <w:proofErr w:type="gramStart"/>
      <w:r>
        <w:rPr>
          <w:rFonts w:asciiTheme="minorHAnsi" w:eastAsia="Tahoma" w:hAnsiTheme="minorHAnsi" w:cstheme="minorHAnsi"/>
          <w:color w:val="000009"/>
          <w:sz w:val="24"/>
          <w:szCs w:val="24"/>
        </w:rPr>
        <w:t>Abril</w:t>
      </w:r>
      <w:proofErr w:type="gramEnd"/>
      <w:r>
        <w:rPr>
          <w:rFonts w:asciiTheme="minorHAnsi" w:eastAsia="Tahoma" w:hAnsiTheme="minorHAnsi" w:cstheme="minorHAnsi"/>
          <w:color w:val="000009"/>
          <w:sz w:val="24"/>
          <w:szCs w:val="24"/>
        </w:rPr>
        <w:t xml:space="preserve"> de 2025</w:t>
      </w:r>
      <w:r>
        <w:rPr>
          <w:rFonts w:asciiTheme="minorHAnsi" w:eastAsia="Tahoma" w:hAnsiTheme="minorHAnsi" w:cstheme="minorHAnsi"/>
          <w:i/>
          <w:iCs/>
          <w:color w:val="000009"/>
          <w:sz w:val="24"/>
          <w:szCs w:val="24"/>
        </w:rPr>
        <w:t>.</w:t>
      </w:r>
    </w:p>
    <w:p w14:paraId="4D573009" w14:textId="77777777" w:rsidR="003D171C" w:rsidRDefault="003D171C">
      <w:pPr>
        <w:tabs>
          <w:tab w:val="left" w:pos="851"/>
        </w:tabs>
        <w:ind w:left="851"/>
        <w:rPr>
          <w:rFonts w:eastAsia="Tahoma" w:cstheme="minorHAnsi"/>
          <w:i/>
          <w:iCs/>
          <w:color w:val="000009"/>
        </w:rPr>
      </w:pPr>
    </w:p>
    <w:p w14:paraId="24DAAB81" w14:textId="77777777" w:rsidR="003D171C" w:rsidRDefault="00230661">
      <w:pPr>
        <w:spacing w:beforeAutospacing="1" w:afterAutospacing="1"/>
        <w:ind w:left="567"/>
        <w:jc w:val="both"/>
        <w:rPr>
          <w:rFonts w:ascii="Calibri" w:hAnsi="Calibri"/>
          <w:sz w:val="24"/>
          <w:szCs w:val="24"/>
        </w:rPr>
      </w:pPr>
      <w:bookmarkStart w:id="1" w:name="bookmark=id.gjdgxs"/>
      <w:bookmarkEnd w:id="1"/>
      <w:r>
        <w:rPr>
          <w:rFonts w:asciiTheme="minorHAnsi" w:eastAsia="Times New Roman" w:hAnsiTheme="minorHAnsi" w:cstheme="minorHAnsi"/>
          <w:sz w:val="24"/>
          <w:szCs w:val="24"/>
        </w:rPr>
        <w:t>Responsável pela elaboração do Termo de Referência</w:t>
      </w:r>
    </w:p>
    <w:p w14:paraId="73F22C5B" w14:textId="77777777" w:rsidR="003D171C" w:rsidRDefault="003D171C">
      <w:pPr>
        <w:spacing w:beforeAutospacing="1" w:afterAutospacing="1"/>
        <w:ind w:left="567"/>
        <w:jc w:val="both"/>
        <w:rPr>
          <w:rFonts w:eastAsia="Times New Roman" w:cstheme="minorHAnsi"/>
        </w:rPr>
      </w:pPr>
    </w:p>
    <w:p w14:paraId="2C9C9D9D" w14:textId="77777777" w:rsidR="003D171C" w:rsidRDefault="003D171C">
      <w:pPr>
        <w:spacing w:beforeAutospacing="1" w:afterAutospacing="1"/>
        <w:ind w:left="567"/>
        <w:jc w:val="both"/>
        <w:rPr>
          <w:rFonts w:eastAsia="Times New Roman" w:cstheme="minorHAnsi"/>
        </w:rPr>
      </w:pPr>
    </w:p>
    <w:p w14:paraId="0F5761EF" w14:textId="77777777" w:rsidR="003D171C" w:rsidRDefault="003D171C">
      <w:pPr>
        <w:spacing w:beforeAutospacing="1" w:afterAutospacing="1"/>
        <w:ind w:left="567"/>
        <w:jc w:val="both"/>
        <w:rPr>
          <w:rFonts w:asciiTheme="minorHAnsi" w:eastAsia="Times New Roman" w:hAnsiTheme="minorHAnsi" w:cstheme="minorHAnsi"/>
          <w:sz w:val="24"/>
          <w:szCs w:val="24"/>
        </w:rPr>
      </w:pPr>
    </w:p>
    <w:tbl>
      <w:tblPr>
        <w:tblW w:w="8801" w:type="dxa"/>
        <w:tblInd w:w="1033" w:type="dxa"/>
        <w:tblLayout w:type="fixed"/>
        <w:tblCellMar>
          <w:left w:w="105" w:type="dxa"/>
          <w:right w:w="105" w:type="dxa"/>
        </w:tblCellMar>
        <w:tblLook w:val="04A0" w:firstRow="1" w:lastRow="0" w:firstColumn="1" w:lastColumn="0" w:noHBand="0" w:noVBand="1"/>
      </w:tblPr>
      <w:tblGrid>
        <w:gridCol w:w="4066"/>
        <w:gridCol w:w="683"/>
        <w:gridCol w:w="4052"/>
      </w:tblGrid>
      <w:tr w:rsidR="003D171C" w14:paraId="3C2ACEC0" w14:textId="77777777">
        <w:tc>
          <w:tcPr>
            <w:tcW w:w="4066" w:type="dxa"/>
            <w:tcBorders>
              <w:top w:val="single" w:sz="6" w:space="0" w:color="000000"/>
            </w:tcBorders>
          </w:tcPr>
          <w:p w14:paraId="2654D5C2" w14:textId="77777777" w:rsidR="003D171C" w:rsidRDefault="00230661">
            <w:pPr>
              <w:ind w:left="624"/>
              <w:jc w:val="center"/>
              <w:rPr>
                <w:rFonts w:ascii="Calibri" w:hAnsi="Calibri"/>
                <w:sz w:val="24"/>
                <w:szCs w:val="24"/>
              </w:rPr>
            </w:pPr>
            <w:r>
              <w:rPr>
                <w:rFonts w:asciiTheme="minorHAnsi" w:eastAsia="Times New Roman" w:hAnsiTheme="minorHAnsi" w:cstheme="minorHAnsi"/>
                <w:sz w:val="24"/>
                <w:szCs w:val="24"/>
              </w:rPr>
              <w:t xml:space="preserve">Joel </w:t>
            </w:r>
            <w:proofErr w:type="spellStart"/>
            <w:r>
              <w:rPr>
                <w:rFonts w:asciiTheme="minorHAnsi" w:eastAsia="Times New Roman" w:hAnsiTheme="minorHAnsi" w:cstheme="minorHAnsi"/>
                <w:sz w:val="24"/>
                <w:szCs w:val="24"/>
              </w:rPr>
              <w:t>vitor</w:t>
            </w:r>
            <w:proofErr w:type="spellEnd"/>
            <w:r>
              <w:rPr>
                <w:rFonts w:asciiTheme="minorHAnsi" w:eastAsia="Times New Roman" w:hAnsiTheme="minorHAnsi" w:cstheme="minorHAnsi"/>
                <w:sz w:val="24"/>
                <w:szCs w:val="24"/>
              </w:rPr>
              <w:t xml:space="preserve"> da Silva Castro</w:t>
            </w:r>
          </w:p>
          <w:p w14:paraId="1F993557" w14:textId="77777777" w:rsidR="003D171C" w:rsidRDefault="00230661">
            <w:pPr>
              <w:ind w:left="624"/>
              <w:jc w:val="center"/>
              <w:rPr>
                <w:rFonts w:ascii="Calibri" w:hAnsi="Calibri"/>
                <w:sz w:val="24"/>
                <w:szCs w:val="24"/>
              </w:rPr>
            </w:pPr>
            <w:proofErr w:type="spellStart"/>
            <w:r>
              <w:rPr>
                <w:rFonts w:asciiTheme="minorHAnsi" w:eastAsia="Times New Roman" w:hAnsiTheme="minorHAnsi" w:cstheme="minorHAnsi"/>
                <w:sz w:val="24"/>
                <w:szCs w:val="24"/>
              </w:rPr>
              <w:t>Matr</w:t>
            </w:r>
            <w:proofErr w:type="spellEnd"/>
            <w:r>
              <w:rPr>
                <w:rFonts w:asciiTheme="minorHAnsi" w:eastAsia="Times New Roman" w:hAnsiTheme="minorHAnsi" w:cstheme="minorHAnsi"/>
                <w:sz w:val="24"/>
                <w:szCs w:val="24"/>
              </w:rPr>
              <w:t>. CREF5 nº 070</w:t>
            </w:r>
          </w:p>
        </w:tc>
        <w:tc>
          <w:tcPr>
            <w:tcW w:w="683" w:type="dxa"/>
          </w:tcPr>
          <w:p w14:paraId="53A0177B" w14:textId="77777777" w:rsidR="003D171C" w:rsidRDefault="003D171C">
            <w:pPr>
              <w:spacing w:beforeAutospacing="1"/>
              <w:ind w:left="567"/>
              <w:jc w:val="center"/>
              <w:rPr>
                <w:rFonts w:asciiTheme="minorHAnsi" w:eastAsia="Times New Roman" w:hAnsiTheme="minorHAnsi" w:cstheme="minorHAnsi"/>
                <w:sz w:val="24"/>
                <w:szCs w:val="24"/>
              </w:rPr>
            </w:pPr>
          </w:p>
        </w:tc>
        <w:tc>
          <w:tcPr>
            <w:tcW w:w="4052" w:type="dxa"/>
            <w:tcBorders>
              <w:top w:val="single" w:sz="6" w:space="0" w:color="000000"/>
            </w:tcBorders>
          </w:tcPr>
          <w:p w14:paraId="3FB1B176" w14:textId="77777777" w:rsidR="003D171C" w:rsidRDefault="00230661">
            <w:pPr>
              <w:ind w:left="567"/>
              <w:jc w:val="center"/>
              <w:rPr>
                <w:rFonts w:ascii="Calibri" w:hAnsi="Calibri"/>
                <w:sz w:val="24"/>
                <w:szCs w:val="24"/>
              </w:rPr>
            </w:pPr>
            <w:r>
              <w:rPr>
                <w:rFonts w:asciiTheme="minorHAnsi" w:eastAsia="Times New Roman" w:hAnsiTheme="minorHAnsi" w:cstheme="minorHAnsi"/>
                <w:sz w:val="24"/>
                <w:szCs w:val="24"/>
              </w:rPr>
              <w:t xml:space="preserve">Vanessa </w:t>
            </w:r>
            <w:proofErr w:type="spellStart"/>
            <w:r>
              <w:rPr>
                <w:rFonts w:asciiTheme="minorHAnsi" w:eastAsia="Times New Roman" w:hAnsiTheme="minorHAnsi" w:cstheme="minorHAnsi"/>
                <w:sz w:val="24"/>
                <w:szCs w:val="24"/>
              </w:rPr>
              <w:t>Grangeiro</w:t>
            </w:r>
            <w:proofErr w:type="spellEnd"/>
            <w:r>
              <w:rPr>
                <w:rFonts w:asciiTheme="minorHAnsi" w:eastAsia="Times New Roman" w:hAnsiTheme="minorHAnsi" w:cstheme="minorHAnsi"/>
                <w:sz w:val="24"/>
                <w:szCs w:val="24"/>
              </w:rPr>
              <w:t xml:space="preserve"> da Costa</w:t>
            </w:r>
          </w:p>
          <w:p w14:paraId="1EF1C54D" w14:textId="77777777" w:rsidR="003D171C" w:rsidRDefault="00230661">
            <w:pPr>
              <w:ind w:left="567"/>
              <w:jc w:val="center"/>
              <w:rPr>
                <w:rFonts w:ascii="Calibri" w:hAnsi="Calibri"/>
                <w:sz w:val="24"/>
                <w:szCs w:val="24"/>
              </w:rPr>
            </w:pPr>
            <w:proofErr w:type="spellStart"/>
            <w:r>
              <w:rPr>
                <w:rFonts w:asciiTheme="minorHAnsi" w:eastAsia="Times New Roman" w:hAnsiTheme="minorHAnsi" w:cstheme="minorHAnsi"/>
                <w:sz w:val="24"/>
                <w:szCs w:val="24"/>
              </w:rPr>
              <w:t>Matr</w:t>
            </w:r>
            <w:proofErr w:type="spellEnd"/>
            <w:r>
              <w:rPr>
                <w:rFonts w:asciiTheme="minorHAnsi" w:eastAsia="Times New Roman" w:hAnsiTheme="minorHAnsi" w:cstheme="minorHAnsi"/>
                <w:sz w:val="24"/>
                <w:szCs w:val="24"/>
              </w:rPr>
              <w:t>. CREF5 nº 072</w:t>
            </w:r>
          </w:p>
        </w:tc>
      </w:tr>
    </w:tbl>
    <w:p w14:paraId="514A62EE" w14:textId="77777777" w:rsidR="003D171C" w:rsidRDefault="003D171C">
      <w:pPr>
        <w:spacing w:beforeAutospacing="1" w:afterAutospacing="1"/>
        <w:ind w:left="567"/>
        <w:jc w:val="center"/>
        <w:rPr>
          <w:rFonts w:asciiTheme="minorHAnsi" w:eastAsia="Times New Roman" w:hAnsiTheme="minorHAnsi" w:cstheme="minorHAnsi"/>
          <w:sz w:val="24"/>
          <w:szCs w:val="24"/>
        </w:rPr>
      </w:pPr>
    </w:p>
    <w:p w14:paraId="2DC233BB" w14:textId="77777777" w:rsidR="003D171C" w:rsidRDefault="003D171C">
      <w:pPr>
        <w:spacing w:beforeAutospacing="1" w:afterAutospacing="1"/>
        <w:ind w:left="567"/>
        <w:jc w:val="center"/>
        <w:rPr>
          <w:rFonts w:ascii="Calibri" w:hAnsi="Calibri"/>
          <w:sz w:val="24"/>
          <w:szCs w:val="24"/>
        </w:rPr>
      </w:pPr>
    </w:p>
    <w:p w14:paraId="0E475CA9" w14:textId="77777777" w:rsidR="003D171C" w:rsidRDefault="00230661">
      <w:pPr>
        <w:spacing w:beforeAutospacing="1" w:afterAutospacing="1"/>
        <w:ind w:left="567"/>
        <w:jc w:val="center"/>
        <w:rPr>
          <w:rFonts w:ascii="Calibri" w:hAnsi="Calibri"/>
          <w:sz w:val="24"/>
          <w:szCs w:val="24"/>
        </w:rPr>
      </w:pPr>
      <w:r>
        <w:rPr>
          <w:rFonts w:asciiTheme="minorHAnsi" w:eastAsia="Times New Roman" w:hAnsiTheme="minorHAnsi" w:cstheme="minorHAnsi"/>
          <w:sz w:val="24"/>
          <w:szCs w:val="24"/>
        </w:rPr>
        <w:t>AUTORIDADE COMPETENTE</w:t>
      </w:r>
    </w:p>
    <w:p w14:paraId="62BA7D0F" w14:textId="77777777" w:rsidR="003D171C" w:rsidRDefault="003D171C">
      <w:pPr>
        <w:spacing w:beforeAutospacing="1" w:afterAutospacing="1"/>
        <w:ind w:left="567"/>
        <w:jc w:val="center"/>
        <w:rPr>
          <w:rFonts w:asciiTheme="minorHAnsi" w:eastAsia="Times New Roman" w:hAnsiTheme="minorHAnsi" w:cstheme="minorHAnsi"/>
          <w:sz w:val="24"/>
          <w:szCs w:val="24"/>
        </w:rPr>
      </w:pPr>
    </w:p>
    <w:p w14:paraId="275C9519" w14:textId="77777777" w:rsidR="003D171C" w:rsidRDefault="00230661">
      <w:pPr>
        <w:spacing w:beforeAutospacing="1"/>
        <w:ind w:left="567"/>
        <w:jc w:val="center"/>
        <w:rPr>
          <w:rFonts w:ascii="Calibri" w:hAnsi="Calibri"/>
          <w:sz w:val="24"/>
          <w:szCs w:val="24"/>
        </w:rPr>
      </w:pPr>
      <w:r>
        <w:rPr>
          <w:rFonts w:asciiTheme="minorHAnsi" w:eastAsia="Times New Roman" w:hAnsiTheme="minorHAnsi" w:cstheme="minorHAnsi"/>
          <w:sz w:val="24"/>
          <w:szCs w:val="24"/>
        </w:rPr>
        <w:t>___________________</w:t>
      </w:r>
      <w:r>
        <w:rPr>
          <w:rFonts w:asciiTheme="minorHAnsi" w:eastAsia="Times New Roman" w:hAnsiTheme="minorHAnsi" w:cstheme="minorHAnsi"/>
          <w:sz w:val="24"/>
          <w:szCs w:val="24"/>
        </w:rPr>
        <w:softHyphen/>
      </w:r>
      <w:r>
        <w:rPr>
          <w:rFonts w:asciiTheme="minorHAnsi" w:eastAsia="Times New Roman" w:hAnsiTheme="minorHAnsi" w:cstheme="minorHAnsi"/>
          <w:sz w:val="24"/>
          <w:szCs w:val="24"/>
        </w:rPr>
        <w:softHyphen/>
      </w:r>
      <w:r>
        <w:rPr>
          <w:rFonts w:asciiTheme="minorHAnsi" w:eastAsia="Times New Roman" w:hAnsiTheme="minorHAnsi" w:cstheme="minorHAnsi"/>
          <w:sz w:val="24"/>
          <w:szCs w:val="24"/>
        </w:rPr>
        <w:softHyphen/>
      </w:r>
      <w:r>
        <w:rPr>
          <w:rFonts w:asciiTheme="minorHAnsi" w:eastAsia="Times New Roman" w:hAnsiTheme="minorHAnsi" w:cstheme="minorHAnsi"/>
          <w:sz w:val="24"/>
          <w:szCs w:val="24"/>
        </w:rPr>
        <w:softHyphen/>
      </w:r>
      <w:r>
        <w:rPr>
          <w:rFonts w:asciiTheme="minorHAnsi" w:eastAsia="Times New Roman" w:hAnsiTheme="minorHAnsi" w:cstheme="minorHAnsi"/>
          <w:sz w:val="24"/>
          <w:szCs w:val="24"/>
        </w:rPr>
        <w:softHyphen/>
      </w:r>
      <w:r>
        <w:rPr>
          <w:rFonts w:asciiTheme="minorHAnsi" w:eastAsia="Times New Roman" w:hAnsiTheme="minorHAnsi" w:cstheme="minorHAnsi"/>
          <w:sz w:val="24"/>
          <w:szCs w:val="24"/>
        </w:rPr>
        <w:softHyphen/>
      </w:r>
      <w:r>
        <w:rPr>
          <w:rFonts w:asciiTheme="minorHAnsi" w:eastAsia="Times New Roman" w:hAnsiTheme="minorHAnsi" w:cstheme="minorHAnsi"/>
          <w:sz w:val="24"/>
          <w:szCs w:val="24"/>
        </w:rPr>
        <w:softHyphen/>
      </w:r>
      <w:r>
        <w:rPr>
          <w:rFonts w:asciiTheme="minorHAnsi" w:eastAsia="Times New Roman" w:hAnsiTheme="minorHAnsi" w:cstheme="minorHAnsi"/>
          <w:sz w:val="24"/>
          <w:szCs w:val="24"/>
        </w:rPr>
        <w:softHyphen/>
      </w:r>
      <w:r>
        <w:rPr>
          <w:rFonts w:asciiTheme="minorHAnsi" w:eastAsia="Times New Roman" w:hAnsiTheme="minorHAnsi" w:cstheme="minorHAnsi"/>
          <w:sz w:val="24"/>
          <w:szCs w:val="24"/>
        </w:rPr>
        <w:softHyphen/>
      </w:r>
      <w:r>
        <w:rPr>
          <w:rFonts w:asciiTheme="minorHAnsi" w:eastAsia="Times New Roman" w:hAnsiTheme="minorHAnsi" w:cstheme="minorHAnsi"/>
          <w:sz w:val="24"/>
          <w:szCs w:val="24"/>
        </w:rPr>
        <w:softHyphen/>
      </w:r>
      <w:r>
        <w:rPr>
          <w:rFonts w:asciiTheme="minorHAnsi" w:eastAsia="Times New Roman" w:hAnsiTheme="minorHAnsi" w:cstheme="minorHAnsi"/>
          <w:sz w:val="24"/>
          <w:szCs w:val="24"/>
        </w:rPr>
        <w:softHyphen/>
      </w:r>
      <w:r>
        <w:rPr>
          <w:rFonts w:asciiTheme="minorHAnsi" w:eastAsia="Times New Roman" w:hAnsiTheme="minorHAnsi" w:cstheme="minorHAnsi"/>
          <w:sz w:val="24"/>
          <w:szCs w:val="24"/>
        </w:rPr>
        <w:softHyphen/>
      </w:r>
      <w:r>
        <w:rPr>
          <w:rFonts w:asciiTheme="minorHAnsi" w:eastAsia="Times New Roman" w:hAnsiTheme="minorHAnsi" w:cstheme="minorHAnsi"/>
          <w:sz w:val="24"/>
          <w:szCs w:val="24"/>
        </w:rPr>
        <w:softHyphen/>
        <w:t>________________________</w:t>
      </w:r>
    </w:p>
    <w:p w14:paraId="25D0A219" w14:textId="77777777" w:rsidR="003D171C" w:rsidRDefault="00230661">
      <w:pPr>
        <w:pStyle w:val="SemEspaamento"/>
        <w:jc w:val="center"/>
        <w:rPr>
          <w:sz w:val="24"/>
          <w:szCs w:val="24"/>
        </w:rPr>
      </w:pPr>
      <w:proofErr w:type="spellStart"/>
      <w:r>
        <w:rPr>
          <w:rFonts w:cstheme="minorHAnsi"/>
          <w:sz w:val="24"/>
          <w:szCs w:val="24"/>
        </w:rPr>
        <w:t>Renne</w:t>
      </w:r>
      <w:proofErr w:type="spellEnd"/>
      <w:r>
        <w:rPr>
          <w:rFonts w:cstheme="minorHAnsi"/>
          <w:sz w:val="24"/>
          <w:szCs w:val="24"/>
        </w:rPr>
        <w:t xml:space="preserve"> </w:t>
      </w:r>
      <w:proofErr w:type="spellStart"/>
      <w:r>
        <w:rPr>
          <w:rFonts w:cstheme="minorHAnsi"/>
          <w:sz w:val="24"/>
          <w:szCs w:val="24"/>
        </w:rPr>
        <w:t>Mazza</w:t>
      </w:r>
      <w:proofErr w:type="spellEnd"/>
      <w:r>
        <w:rPr>
          <w:rFonts w:cstheme="minorHAnsi"/>
          <w:sz w:val="24"/>
          <w:szCs w:val="24"/>
        </w:rPr>
        <w:t xml:space="preserve"> Cruz</w:t>
      </w:r>
    </w:p>
    <w:p w14:paraId="4FE74D88" w14:textId="77777777" w:rsidR="003D171C" w:rsidRDefault="00230661">
      <w:pPr>
        <w:pStyle w:val="SemEspaamento"/>
        <w:jc w:val="center"/>
        <w:rPr>
          <w:sz w:val="24"/>
          <w:szCs w:val="24"/>
        </w:rPr>
      </w:pPr>
      <w:r>
        <w:rPr>
          <w:rFonts w:cstheme="minorHAnsi"/>
          <w:sz w:val="24"/>
          <w:szCs w:val="24"/>
        </w:rPr>
        <w:t>Presidente CREF5/CE</w:t>
      </w:r>
    </w:p>
    <w:sectPr w:rsidR="003D171C">
      <w:headerReference w:type="even" r:id="rId9"/>
      <w:headerReference w:type="default" r:id="rId10"/>
      <w:footerReference w:type="even" r:id="rId11"/>
      <w:footerReference w:type="default" r:id="rId12"/>
      <w:headerReference w:type="first" r:id="rId13"/>
      <w:footerReference w:type="first" r:id="rId14"/>
      <w:pgSz w:w="11906" w:h="16838"/>
      <w:pgMar w:top="1840" w:right="1106" w:bottom="1276" w:left="317" w:header="351" w:footer="48" w:gutter="0"/>
      <w:pgNumType w:start="1"/>
      <w:cols w:space="720"/>
      <w:formProt w:val="0"/>
      <w:docGrid w:linePitch="100" w:charSpace="1228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A712F6" w14:textId="77777777" w:rsidR="00230661" w:rsidRDefault="00230661">
      <w:r>
        <w:separator/>
      </w:r>
    </w:p>
  </w:endnote>
  <w:endnote w:type="continuationSeparator" w:id="0">
    <w:p w14:paraId="54170CE0" w14:textId="77777777" w:rsidR="00230661" w:rsidRDefault="002306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adea">
    <w:altName w:val="Cambria"/>
    <w:panose1 w:val="02040503050406030204"/>
    <w:charset w:val="00"/>
    <w:family w:val="auto"/>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LiberationSans">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83FB4E3" w14:textId="77777777" w:rsidR="003D171C" w:rsidRDefault="003D171C">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03A6238" w14:textId="4714C0E1" w:rsidR="003D171C" w:rsidRDefault="009E1228">
    <w:pPr>
      <w:pStyle w:val="Rodap"/>
      <w:jc w:val="center"/>
      <w:rPr>
        <w:rFonts w:asciiTheme="minorHAnsi" w:hAnsiTheme="minorHAnsi" w:cstheme="minorHAnsi"/>
        <w:sz w:val="20"/>
        <w:szCs w:val="20"/>
      </w:rPr>
    </w:pPr>
    <w:r>
      <w:rPr>
        <w:noProof/>
      </w:rPr>
      <w:pict w14:anchorId="460E4B13">
        <v:line id="Conector reto 4" o:spid="_x0000_s2052" style="position:absolute;left:0;text-align:left;z-index:-251655168;visibility:visible;mso-wrap-style:square;mso-wrap-distance-left:1.15pt;mso-wrap-distance-top:1.15pt;mso-wrap-distance-right:1.15pt;mso-wrap-distance-bottom:1.15pt;mso-position-horizontal:absolute;mso-position-horizontal-relative:text;mso-position-vertical:absolute;mso-position-vertical-relative:text" from="57.75pt,.05pt" to="488.6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" strokecolor="#4ea150" strokeweight=".79mm"/>
      </w:pict>
    </w:r>
    <w:r w:rsidR="00230661">
      <w:rPr>
        <w:rFonts w:asciiTheme="minorHAnsi" w:hAnsiTheme="minorHAnsi" w:cstheme="minorHAnsi"/>
        <w:sz w:val="20"/>
        <w:szCs w:val="20"/>
      </w:rPr>
      <w:t>Criado pela Lei nº 9696/98 – CNPJ 03.567.753/0001-71</w:t>
    </w:r>
  </w:p>
  <w:p w14:paraId="4AD6CC1E" w14:textId="77777777" w:rsidR="003D171C" w:rsidRDefault="00230661">
    <w:pPr>
      <w:pStyle w:val="Rodap"/>
      <w:jc w:val="center"/>
      <w:rPr>
        <w:rFonts w:asciiTheme="minorHAnsi" w:hAnsiTheme="minorHAnsi" w:cstheme="minorHAnsi"/>
        <w:sz w:val="20"/>
        <w:szCs w:val="20"/>
      </w:rPr>
    </w:pPr>
    <w:r>
      <w:rPr>
        <w:rFonts w:asciiTheme="minorHAnsi" w:hAnsiTheme="minorHAnsi" w:cstheme="minorHAnsi"/>
        <w:sz w:val="20"/>
        <w:szCs w:val="20"/>
      </w:rPr>
      <w:t>Rua Tibúrcio Frota, 1363 – São João do Tauape – Fortaleza/CE - CEP 60130-301</w:t>
    </w:r>
  </w:p>
  <w:p w14:paraId="2D618992" w14:textId="77777777" w:rsidR="003D171C" w:rsidRDefault="00230661">
    <w:pPr>
      <w:pStyle w:val="Rodap"/>
      <w:jc w:val="center"/>
      <w:rPr>
        <w:rFonts w:asciiTheme="minorHAnsi" w:hAnsiTheme="minorHAnsi" w:cstheme="minorHAnsi"/>
        <w:sz w:val="20"/>
        <w:szCs w:val="20"/>
      </w:rPr>
    </w:pPr>
    <w:r>
      <w:rPr>
        <w:rFonts w:asciiTheme="minorHAnsi" w:hAnsiTheme="minorHAnsi" w:cstheme="minorHAnsi"/>
        <w:sz w:val="20"/>
        <w:szCs w:val="20"/>
      </w:rPr>
      <w:t>Telefone: (85) 3234-6038 / 3262-2945 www.cref5.org.br - cref5@cref5.org.br</w:t>
    </w:r>
  </w:p>
  <w:p w14:paraId="11E76462" w14:textId="77777777" w:rsidR="003D171C" w:rsidRDefault="003D171C">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3137CF0" w14:textId="73D28777" w:rsidR="003D171C" w:rsidRDefault="009E1228">
    <w:pPr>
      <w:pStyle w:val="Rodap"/>
      <w:jc w:val="center"/>
      <w:rPr>
        <w:rFonts w:asciiTheme="minorHAnsi" w:hAnsiTheme="minorHAnsi" w:cstheme="minorHAnsi"/>
        <w:sz w:val="20"/>
        <w:szCs w:val="20"/>
      </w:rPr>
    </w:pPr>
    <w:r>
      <w:rPr>
        <w:noProof/>
      </w:rPr>
      <w:pict w14:anchorId="472A25B3">
        <v:line id="_x0000_s2049" style="position:absolute;left:0;text-align:left;z-index:-251654144;visibility:visible;mso-wrap-style:square;mso-wrap-distance-left:1.15pt;mso-wrap-distance-top:1.15pt;mso-wrap-distance-right:1.15pt;mso-wrap-distance-bottom:1.15pt;mso-position-horizontal:absolute;mso-position-horizontal-relative:text;mso-position-vertical:absolute;mso-position-vertical-relative:text" from="57.75pt,.05pt" to="488.6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" strokecolor="#4ea150" strokeweight=".79mm"/>
      </w:pict>
    </w:r>
    <w:r w:rsidR="00230661">
      <w:rPr>
        <w:rFonts w:asciiTheme="minorHAnsi" w:hAnsiTheme="minorHAnsi" w:cstheme="minorHAnsi"/>
        <w:sz w:val="20"/>
        <w:szCs w:val="20"/>
      </w:rPr>
      <w:t>Criado pela Lei nº 9696/98 – CNPJ 03.567.753/0001-71</w:t>
    </w:r>
  </w:p>
  <w:p w14:paraId="2DACE1D3" w14:textId="77777777" w:rsidR="003D171C" w:rsidRDefault="00230661">
    <w:pPr>
      <w:pStyle w:val="Rodap"/>
      <w:jc w:val="center"/>
      <w:rPr>
        <w:rFonts w:asciiTheme="minorHAnsi" w:hAnsiTheme="minorHAnsi" w:cstheme="minorHAnsi"/>
        <w:sz w:val="20"/>
        <w:szCs w:val="20"/>
      </w:rPr>
    </w:pPr>
    <w:r>
      <w:rPr>
        <w:rFonts w:asciiTheme="minorHAnsi" w:hAnsiTheme="minorHAnsi" w:cstheme="minorHAnsi"/>
        <w:sz w:val="20"/>
        <w:szCs w:val="20"/>
      </w:rPr>
      <w:t>Rua Tibúrcio Frota, 1363 – São João do Tauape – Fortaleza/CE - CEP 60130-301</w:t>
    </w:r>
  </w:p>
  <w:p w14:paraId="5C601EF0" w14:textId="77777777" w:rsidR="003D171C" w:rsidRDefault="00230661">
    <w:pPr>
      <w:pStyle w:val="Rodap"/>
      <w:jc w:val="center"/>
      <w:rPr>
        <w:rFonts w:asciiTheme="minorHAnsi" w:hAnsiTheme="minorHAnsi" w:cstheme="minorHAnsi"/>
        <w:sz w:val="20"/>
        <w:szCs w:val="20"/>
      </w:rPr>
    </w:pPr>
    <w:r>
      <w:rPr>
        <w:rFonts w:asciiTheme="minorHAnsi" w:hAnsiTheme="minorHAnsi" w:cstheme="minorHAnsi"/>
        <w:sz w:val="20"/>
        <w:szCs w:val="20"/>
      </w:rPr>
      <w:t>Telefone: (85) 3234-6038 / 3262-2945 www.cref5.org.br - cref5@cref5.org.br</w:t>
    </w:r>
  </w:p>
  <w:p w14:paraId="6E8FBB5F" w14:textId="77777777" w:rsidR="003D171C" w:rsidRDefault="003D171C">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9639F0" w14:textId="77777777" w:rsidR="00230661" w:rsidRDefault="00230661">
      <w:r>
        <w:separator/>
      </w:r>
    </w:p>
  </w:footnote>
  <w:footnote w:type="continuationSeparator" w:id="0">
    <w:p w14:paraId="123E852F" w14:textId="77777777" w:rsidR="00230661" w:rsidRDefault="002306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3B80FD" w14:textId="77777777" w:rsidR="003D171C" w:rsidRDefault="003D171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F36BDBD" w14:textId="1C0A78CC" w:rsidR="003D171C" w:rsidRDefault="00230661">
    <w:pPr>
      <w:pStyle w:val="Cabealho"/>
      <w:jc w:val="center"/>
    </w:pPr>
    <w:r>
      <w:rPr>
        <w:noProof/>
      </w:rPr>
      <w:drawing>
        <wp:anchor distT="0" distB="0" distL="0" distR="0" simplePos="0" relativeHeight="251655168" behindDoc="1" locked="0" layoutInCell="1" allowOverlap="1" wp14:anchorId="34087280" wp14:editId="431D57F7">
          <wp:simplePos x="0" y="0"/>
          <wp:positionH relativeFrom="column">
            <wp:posOffset>5475605</wp:posOffset>
          </wp:positionH>
          <wp:positionV relativeFrom="paragraph">
            <wp:posOffset>133350</wp:posOffset>
          </wp:positionV>
          <wp:extent cx="1214120" cy="808355"/>
          <wp:effectExtent l="0" t="0" r="0" b="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1214120" cy="808355"/>
                  </a:xfrm>
                  <a:prstGeom prst="rect">
                    <a:avLst/>
                  </a:prstGeom>
                  <a:noFill/>
                </pic:spPr>
              </pic:pic>
            </a:graphicData>
          </a:graphic>
        </wp:anchor>
      </w:drawing>
    </w:r>
    <w:r>
      <w:rPr>
        <w:noProof/>
      </w:rPr>
      <w:drawing>
        <wp:inline distT="0" distB="0" distL="0" distR="0" wp14:anchorId="57C472CD" wp14:editId="2674F4AC">
          <wp:extent cx="932180" cy="935990"/>
          <wp:effectExtent l="0" t="0" r="0" b="0"/>
          <wp:docPr id="2" name="Figura2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gura2 Copia 1"/>
                  <pic:cNvPicPr>
                    <a:picLocks noChangeAspect="1" noChangeArrowheads="1"/>
                  </pic:cNvPicPr>
                </pic:nvPicPr>
                <pic:blipFill>
                  <a:blip r:embed="rId2"/>
                  <a:stretch>
                    <a:fillRect/>
                  </a:stretch>
                </pic:blipFill>
                <pic:spPr bwMode="auto">
                  <a:xfrm>
                    <a:off x="0" y="0"/>
                    <a:ext cx="932180" cy="935990"/>
                  </a:xfrm>
                  <a:prstGeom prst="rect">
                    <a:avLst/>
                  </a:prstGeom>
                  <a:noFill/>
                </pic:spPr>
              </pic:pic>
            </a:graphicData>
          </a:graphic>
        </wp:inline>
      </w:drawing>
    </w:r>
    <w:r>
      <w:t xml:space="preserve">  </w:t>
    </w:r>
    <w:r>
      <w:rPr>
        <w:noProof/>
      </w:rPr>
      <w:drawing>
        <wp:inline distT="0" distB="0" distL="0" distR="0" wp14:anchorId="6FDB27EC" wp14:editId="459786D7">
          <wp:extent cx="2915285" cy="951230"/>
          <wp:effectExtent l="0" t="0" r="0" b="0"/>
          <wp:docPr id="3" name="Imagem 2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2 Copia 1"/>
                  <pic:cNvPicPr>
                    <a:picLocks noChangeAspect="1" noChangeArrowheads="1"/>
                  </pic:cNvPicPr>
                </pic:nvPicPr>
                <pic:blipFill>
                  <a:blip r:embed="rId3"/>
                  <a:stretch>
                    <a:fillRect/>
                  </a:stretch>
                </pic:blipFill>
                <pic:spPr bwMode="auto">
                  <a:xfrm>
                    <a:off x="0" y="0"/>
                    <a:ext cx="2915285" cy="951230"/>
                  </a:xfrm>
                  <a:prstGeom prst="rect">
                    <a:avLst/>
                  </a:prstGeom>
                  <a:noFill/>
                </pic:spPr>
              </pic:pic>
            </a:graphicData>
          </a:graphic>
        </wp:inline>
      </w:drawing>
    </w:r>
    <w:r w:rsidR="009E1228">
      <w:rPr>
        <w:noProof/>
      </w:rPr>
      <w:pict w14:anchorId="05C76A2A">
        <v:rect id="Caixa de Texto 6" o:spid="_x0000_s2054" style="position:absolute;left:0;text-align:left;margin-left:460.5pt;margin-top:6.45pt;width:66.3pt;height:19.55pt;z-index:-251657216;visibility:visible;mso-wrap-style:square;mso-wrap-distance-left:9pt;mso-wrap-distance-top:3.35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" o:allowincell="f" filled="f" stroked="f" strokeweight="0">
          <v:textbox>
            <w:txbxContent>
              <w:p w14:paraId="50D12589" w14:textId="77777777" w:rsidR="003D171C" w:rsidRDefault="00230661">
                <w:pPr>
                  <w:pStyle w:val="Contedodoquadrouser"/>
                  <w:rPr>
                    <w:color w:val="000000"/>
                  </w:rPr>
                </w:pPr>
                <w:r>
                  <w:rPr>
                    <w:color w:val="000000"/>
                  </w:rPr>
                  <w:t>006/2025</w:t>
                </w:r>
              </w:p>
            </w:txbxContent>
          </v:textbox>
          <w10:wrap type="square"/>
        </v:rect>
      </w:pict>
    </w:r>
  </w:p>
  <w:p w14:paraId="5219DA98" w14:textId="33E4589C" w:rsidR="003D171C" w:rsidRDefault="009E1228">
    <w:pPr>
      <w:pStyle w:val="Cabealho"/>
      <w:jc w:val="center"/>
    </w:pPr>
    <w:r>
      <w:rPr>
        <w:noProof/>
      </w:rPr>
      <w:pict w14:anchorId="350B8F85">
        <v:line id="Conector reto 5" o:spid="_x0000_s2053" style="position:absolute;left:0;text-align:left;z-index:-251659264;visibility:visible;mso-wrap-style:square;mso-wrap-distance-left:1.15pt;mso-wrap-distance-top:1.15pt;mso-wrap-distance-right:1.15pt;mso-wrap-distance-bottom:1.15pt;mso-position-horizontal:absolute;mso-position-horizontal-relative:text;mso-position-vertical:absolute;mso-position-vertical-relative:text" from="69.5pt,3.85pt" to="500.3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" strokecolor="#4ea150" strokeweight=".79mm"/>
      </w:pict>
    </w:r>
    <w:r w:rsidR="00230661">
      <w:t xml:space="preserve">  </w:t>
    </w:r>
  </w:p>
  <w:p w14:paraId="44E3D861" w14:textId="77777777" w:rsidR="003D171C" w:rsidRDefault="00230661">
    <w:pPr>
      <w:spacing w:line="2" w:lineRule="auto"/>
      <w:rPr>
        <w:color w:val="000000"/>
        <w:sz w:val="20"/>
        <w:szCs w:val="20"/>
      </w:rPr>
    </w:pPr>
    <w:r>
      <w:rPr>
        <w:noProof/>
        <w:color w:val="000000"/>
        <w:sz w:val="20"/>
        <w:szCs w:val="20"/>
      </w:rPr>
      <w:drawing>
        <wp:anchor distT="0" distB="0" distL="0" distR="0" simplePos="0" relativeHeight="251653120" behindDoc="1" locked="0" layoutInCell="1" allowOverlap="1" wp14:anchorId="31C7812F" wp14:editId="4DB3A644">
          <wp:simplePos x="0" y="0"/>
          <wp:positionH relativeFrom="column">
            <wp:posOffset>5384800</wp:posOffset>
          </wp:positionH>
          <wp:positionV relativeFrom="paragraph">
            <wp:posOffset>6445250</wp:posOffset>
          </wp:positionV>
          <wp:extent cx="1371600" cy="2257425"/>
          <wp:effectExtent l="0" t="0" r="0" b="0"/>
          <wp:wrapNone/>
          <wp:docPr id="6"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2"/>
                  <pic:cNvPicPr>
                    <a:picLocks noChangeAspect="1" noChangeArrowheads="1"/>
                  </pic:cNvPicPr>
                </pic:nvPicPr>
                <pic:blipFill>
                  <a:blip r:embed="rId4"/>
                  <a:stretch>
                    <a:fillRect/>
                  </a:stretch>
                </pic:blipFill>
                <pic:spPr bwMode="auto">
                  <a:xfrm>
                    <a:off x="0" y="0"/>
                    <a:ext cx="1371600" cy="2257425"/>
                  </a:xfrm>
                  <a:prstGeom prst="rect">
                    <a:avLst/>
                  </a:prstGeom>
                  <a:noFill/>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4EE43AA" w14:textId="0BF576C2" w:rsidR="003D171C" w:rsidRDefault="00230661">
    <w:pPr>
      <w:pStyle w:val="Cabealho"/>
      <w:jc w:val="center"/>
    </w:pPr>
    <w:r>
      <w:rPr>
        <w:noProof/>
      </w:rPr>
      <w:drawing>
        <wp:anchor distT="0" distB="0" distL="0" distR="0" simplePos="0" relativeHeight="251656192" behindDoc="1" locked="0" layoutInCell="1" allowOverlap="1" wp14:anchorId="550D3A59" wp14:editId="77845593">
          <wp:simplePos x="0" y="0"/>
          <wp:positionH relativeFrom="column">
            <wp:posOffset>5475605</wp:posOffset>
          </wp:positionH>
          <wp:positionV relativeFrom="paragraph">
            <wp:posOffset>133350</wp:posOffset>
          </wp:positionV>
          <wp:extent cx="1214120" cy="808355"/>
          <wp:effectExtent l="0" t="0" r="0" b="0"/>
          <wp:wrapNone/>
          <wp:docPr id="7"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1"/>
                  <pic:cNvPicPr>
                    <a:picLocks noChangeAspect="1" noChangeArrowheads="1"/>
                  </pic:cNvPicPr>
                </pic:nvPicPr>
                <pic:blipFill>
                  <a:blip r:embed="rId1"/>
                  <a:stretch>
                    <a:fillRect/>
                  </a:stretch>
                </pic:blipFill>
                <pic:spPr bwMode="auto">
                  <a:xfrm>
                    <a:off x="0" y="0"/>
                    <a:ext cx="1214120" cy="808355"/>
                  </a:xfrm>
                  <a:prstGeom prst="rect">
                    <a:avLst/>
                  </a:prstGeom>
                  <a:noFill/>
                </pic:spPr>
              </pic:pic>
            </a:graphicData>
          </a:graphic>
        </wp:anchor>
      </w:drawing>
    </w:r>
    <w:r>
      <w:rPr>
        <w:noProof/>
      </w:rPr>
      <w:drawing>
        <wp:inline distT="0" distB="0" distL="0" distR="0" wp14:anchorId="2AD3E22A" wp14:editId="1D981F2E">
          <wp:extent cx="932180" cy="935990"/>
          <wp:effectExtent l="0" t="0" r="0" b="0"/>
          <wp:docPr id="8" name="Figura2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ura2 Copia 1"/>
                  <pic:cNvPicPr>
                    <a:picLocks noChangeAspect="1" noChangeArrowheads="1"/>
                  </pic:cNvPicPr>
                </pic:nvPicPr>
                <pic:blipFill>
                  <a:blip r:embed="rId2"/>
                  <a:stretch>
                    <a:fillRect/>
                  </a:stretch>
                </pic:blipFill>
                <pic:spPr bwMode="auto">
                  <a:xfrm>
                    <a:off x="0" y="0"/>
                    <a:ext cx="932180" cy="935990"/>
                  </a:xfrm>
                  <a:prstGeom prst="rect">
                    <a:avLst/>
                  </a:prstGeom>
                  <a:noFill/>
                </pic:spPr>
              </pic:pic>
            </a:graphicData>
          </a:graphic>
        </wp:inline>
      </w:drawing>
    </w:r>
    <w:r>
      <w:t xml:space="preserve">  </w:t>
    </w:r>
    <w:r>
      <w:rPr>
        <w:noProof/>
      </w:rPr>
      <w:drawing>
        <wp:inline distT="0" distB="0" distL="0" distR="0" wp14:anchorId="6FF0EAD8" wp14:editId="086E5715">
          <wp:extent cx="2915285" cy="951230"/>
          <wp:effectExtent l="0" t="0" r="0" b="0"/>
          <wp:docPr id="9" name="Imagem 2 Cop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m 2 Copia 1"/>
                  <pic:cNvPicPr>
                    <a:picLocks noChangeAspect="1" noChangeArrowheads="1"/>
                  </pic:cNvPicPr>
                </pic:nvPicPr>
                <pic:blipFill>
                  <a:blip r:embed="rId3"/>
                  <a:stretch>
                    <a:fillRect/>
                  </a:stretch>
                </pic:blipFill>
                <pic:spPr bwMode="auto">
                  <a:xfrm>
                    <a:off x="0" y="0"/>
                    <a:ext cx="2915285" cy="951230"/>
                  </a:xfrm>
                  <a:prstGeom prst="rect">
                    <a:avLst/>
                  </a:prstGeom>
                  <a:noFill/>
                </pic:spPr>
              </pic:pic>
            </a:graphicData>
          </a:graphic>
        </wp:inline>
      </w:drawing>
    </w:r>
    <w:r w:rsidR="009E1228">
      <w:rPr>
        <w:noProof/>
      </w:rPr>
      <w:pict w14:anchorId="7A932E9A">
        <v:rect id="_x0000_s2051" style="position:absolute;left:0;text-align:left;margin-left:460.5pt;margin-top:6.45pt;width:66.3pt;height:19.55pt;z-index:-251656192;visibility:visible;mso-wrap-style:square;mso-wrap-distance-left:9pt;mso-wrap-distance-top:3.35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" o:allowincell="f" filled="f" stroked="f" strokeweight="0">
          <v:textbox>
            <w:txbxContent>
              <w:p w14:paraId="64620320" w14:textId="77777777" w:rsidR="003D171C" w:rsidRDefault="00230661">
                <w:pPr>
                  <w:pStyle w:val="Contedodoquadrouser"/>
                  <w:rPr>
                    <w:color w:val="000000"/>
                  </w:rPr>
                </w:pPr>
                <w:r>
                  <w:rPr>
                    <w:color w:val="000000"/>
                  </w:rPr>
                  <w:t>006/2025</w:t>
                </w:r>
              </w:p>
            </w:txbxContent>
          </v:textbox>
          <w10:wrap type="square"/>
        </v:rect>
      </w:pict>
    </w:r>
  </w:p>
  <w:p w14:paraId="43A688BB" w14:textId="7C757671" w:rsidR="003D171C" w:rsidRDefault="009E1228">
    <w:pPr>
      <w:pStyle w:val="Cabealho"/>
      <w:jc w:val="center"/>
    </w:pPr>
    <w:r>
      <w:rPr>
        <w:noProof/>
      </w:rPr>
      <w:pict w14:anchorId="08B4609E">
        <v:line id="_x0000_s2050" style="position:absolute;left:0;text-align:left;z-index:-251658240;visibility:visible;mso-wrap-style:square;mso-wrap-distance-left:1.15pt;mso-wrap-distance-top:1.15pt;mso-wrap-distance-right:1.15pt;mso-wrap-distance-bottom:1.15pt;mso-position-horizontal:absolute;mso-position-horizontal-relative:text;mso-position-vertical:absolute;mso-position-vertical-relative:text" from="69.5pt,3.85pt" to="500.35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" strokecolor="#4ea150" strokeweight=".79mm"/>
      </w:pict>
    </w:r>
    <w:r w:rsidR="00230661">
      <w:t xml:space="preserve">  </w:t>
    </w:r>
  </w:p>
  <w:p w14:paraId="66D83BB5" w14:textId="77777777" w:rsidR="003D171C" w:rsidRDefault="00230661">
    <w:pPr>
      <w:spacing w:line="2" w:lineRule="auto"/>
      <w:rPr>
        <w:color w:val="000000"/>
        <w:sz w:val="20"/>
        <w:szCs w:val="20"/>
      </w:rPr>
    </w:pPr>
    <w:r>
      <w:rPr>
        <w:noProof/>
        <w:color w:val="000000"/>
        <w:sz w:val="20"/>
        <w:szCs w:val="20"/>
      </w:rPr>
      <w:drawing>
        <wp:anchor distT="0" distB="0" distL="0" distR="0" simplePos="0" relativeHeight="251654144" behindDoc="1" locked="0" layoutInCell="1" allowOverlap="1" wp14:anchorId="6EF12795" wp14:editId="3488682E">
          <wp:simplePos x="0" y="0"/>
          <wp:positionH relativeFrom="column">
            <wp:posOffset>5384800</wp:posOffset>
          </wp:positionH>
          <wp:positionV relativeFrom="paragraph">
            <wp:posOffset>6445250</wp:posOffset>
          </wp:positionV>
          <wp:extent cx="1371600" cy="2257425"/>
          <wp:effectExtent l="0" t="0" r="0" b="0"/>
          <wp:wrapNone/>
          <wp:docPr id="1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m 2"/>
                  <pic:cNvPicPr>
                    <a:picLocks noChangeAspect="1" noChangeArrowheads="1"/>
                  </pic:cNvPicPr>
                </pic:nvPicPr>
                <pic:blipFill>
                  <a:blip r:embed="rId4"/>
                  <a:stretch>
                    <a:fillRect/>
                  </a:stretch>
                </pic:blipFill>
                <pic:spPr bwMode="auto">
                  <a:xfrm>
                    <a:off x="0" y="0"/>
                    <a:ext cx="1371600" cy="2257425"/>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E40709D"/>
    <w:multiLevelType w:val="multilevel"/>
    <w:tmpl w:val="DA4898FE"/>
    <w:lvl w:ilvl="0">
      <w:start w:val="5"/>
      <w:numFmt w:val="decimal"/>
      <w:lvlText w:val="%1"/>
      <w:lvlJc w:val="left"/>
      <w:pPr>
        <w:tabs>
          <w:tab w:val="num" w:pos="0"/>
        </w:tabs>
        <w:ind w:left="360" w:hanging="360"/>
      </w:pPr>
    </w:lvl>
    <w:lvl w:ilvl="1">
      <w:start w:val="1"/>
      <w:numFmt w:val="decimal"/>
      <w:lvlText w:val="%1.%2"/>
      <w:lvlJc w:val="left"/>
      <w:pPr>
        <w:tabs>
          <w:tab w:val="num" w:pos="0"/>
        </w:tabs>
        <w:ind w:left="1211" w:hanging="360"/>
      </w:pPr>
      <w:rPr>
        <w:rFonts w:ascii="Tahoma" w:eastAsia="Tahoma" w:hAnsi="Tahoma" w:cs="Tahoma"/>
        <w:b w:val="0"/>
        <w:sz w:val="20"/>
        <w:szCs w:val="20"/>
      </w:rPr>
    </w:lvl>
    <w:lvl w:ilvl="2">
      <w:start w:val="1"/>
      <w:numFmt w:val="decimal"/>
      <w:lvlText w:val="%1.%2.%3"/>
      <w:lvlJc w:val="left"/>
      <w:pPr>
        <w:tabs>
          <w:tab w:val="num" w:pos="-567"/>
        </w:tabs>
        <w:ind w:left="1855" w:hanging="720"/>
      </w:pPr>
    </w:lvl>
    <w:lvl w:ilvl="3">
      <w:start w:val="1"/>
      <w:numFmt w:val="decimal"/>
      <w:lvlText w:val="%1.%2.%3.%4"/>
      <w:lvlJc w:val="left"/>
      <w:pPr>
        <w:tabs>
          <w:tab w:val="num" w:pos="0"/>
        </w:tabs>
        <w:ind w:left="3633" w:hanging="108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695" w:hanging="144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757" w:hanging="1800"/>
      </w:pPr>
    </w:lvl>
    <w:lvl w:ilvl="8">
      <w:start w:val="1"/>
      <w:numFmt w:val="decimal"/>
      <w:lvlText w:val="%1.%2.%3.%4.%5.%6.%7.%8.%9"/>
      <w:lvlJc w:val="left"/>
      <w:pPr>
        <w:tabs>
          <w:tab w:val="num" w:pos="0"/>
        </w:tabs>
        <w:ind w:left="8608" w:hanging="1800"/>
      </w:pPr>
    </w:lvl>
  </w:abstractNum>
  <w:abstractNum w:abstractNumId="1" w15:restartNumberingAfterBreak="0">
    <w:nsid w:val="409A08CA"/>
    <w:multiLevelType w:val="multilevel"/>
    <w:tmpl w:val="DA4898FE"/>
    <w:lvl w:ilvl="0">
      <w:start w:val="5"/>
      <w:numFmt w:val="decimal"/>
      <w:lvlText w:val="%1"/>
      <w:lvlJc w:val="left"/>
      <w:pPr>
        <w:tabs>
          <w:tab w:val="num" w:pos="0"/>
        </w:tabs>
        <w:ind w:left="360" w:hanging="360"/>
      </w:pPr>
    </w:lvl>
    <w:lvl w:ilvl="1">
      <w:start w:val="1"/>
      <w:numFmt w:val="decimal"/>
      <w:lvlText w:val="%1.%2"/>
      <w:lvlJc w:val="left"/>
      <w:pPr>
        <w:tabs>
          <w:tab w:val="num" w:pos="0"/>
        </w:tabs>
        <w:ind w:left="1211" w:hanging="360"/>
      </w:pPr>
      <w:rPr>
        <w:rFonts w:ascii="Tahoma" w:eastAsia="Tahoma" w:hAnsi="Tahoma" w:cs="Tahoma"/>
        <w:b w:val="0"/>
        <w:sz w:val="20"/>
        <w:szCs w:val="20"/>
      </w:rPr>
    </w:lvl>
    <w:lvl w:ilvl="2">
      <w:start w:val="1"/>
      <w:numFmt w:val="decimal"/>
      <w:lvlText w:val="%1.%2.%3"/>
      <w:lvlJc w:val="left"/>
      <w:pPr>
        <w:tabs>
          <w:tab w:val="num" w:pos="0"/>
        </w:tabs>
        <w:ind w:left="2422" w:hanging="720"/>
      </w:pPr>
    </w:lvl>
    <w:lvl w:ilvl="3">
      <w:start w:val="1"/>
      <w:numFmt w:val="decimal"/>
      <w:lvlText w:val="%1.%2.%3.%4"/>
      <w:lvlJc w:val="left"/>
      <w:pPr>
        <w:tabs>
          <w:tab w:val="num" w:pos="0"/>
        </w:tabs>
        <w:ind w:left="3633" w:hanging="108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695" w:hanging="144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757" w:hanging="1800"/>
      </w:pPr>
    </w:lvl>
    <w:lvl w:ilvl="8">
      <w:start w:val="1"/>
      <w:numFmt w:val="decimal"/>
      <w:lvlText w:val="%1.%2.%3.%4.%5.%6.%7.%8.%9"/>
      <w:lvlJc w:val="left"/>
      <w:pPr>
        <w:tabs>
          <w:tab w:val="num" w:pos="0"/>
        </w:tabs>
        <w:ind w:left="8608" w:hanging="1800"/>
      </w:pPr>
    </w:lvl>
  </w:abstractNum>
  <w:abstractNum w:abstractNumId="2" w15:restartNumberingAfterBreak="0">
    <w:nsid w:val="459768EF"/>
    <w:multiLevelType w:val="hybridMultilevel"/>
    <w:tmpl w:val="CF963AB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469D3B6C"/>
    <w:multiLevelType w:val="multilevel"/>
    <w:tmpl w:val="A780778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6DD67044"/>
    <w:multiLevelType w:val="multilevel"/>
    <w:tmpl w:val="DA4898FE"/>
    <w:lvl w:ilvl="0">
      <w:start w:val="5"/>
      <w:numFmt w:val="decimal"/>
      <w:lvlText w:val="%1"/>
      <w:lvlJc w:val="left"/>
      <w:pPr>
        <w:tabs>
          <w:tab w:val="num" w:pos="0"/>
        </w:tabs>
        <w:ind w:left="360" w:hanging="360"/>
      </w:pPr>
    </w:lvl>
    <w:lvl w:ilvl="1">
      <w:start w:val="1"/>
      <w:numFmt w:val="decimal"/>
      <w:lvlText w:val="%1.%2"/>
      <w:lvlJc w:val="left"/>
      <w:pPr>
        <w:tabs>
          <w:tab w:val="num" w:pos="0"/>
        </w:tabs>
        <w:ind w:left="1211" w:hanging="360"/>
      </w:pPr>
      <w:rPr>
        <w:rFonts w:ascii="Tahoma" w:eastAsia="Tahoma" w:hAnsi="Tahoma" w:cs="Tahoma"/>
        <w:b w:val="0"/>
        <w:sz w:val="20"/>
        <w:szCs w:val="20"/>
      </w:rPr>
    </w:lvl>
    <w:lvl w:ilvl="2">
      <w:start w:val="1"/>
      <w:numFmt w:val="decimal"/>
      <w:lvlText w:val="%1.%2.%3"/>
      <w:lvlJc w:val="left"/>
      <w:pPr>
        <w:tabs>
          <w:tab w:val="num" w:pos="-567"/>
        </w:tabs>
        <w:ind w:left="1855" w:hanging="720"/>
      </w:pPr>
    </w:lvl>
    <w:lvl w:ilvl="3">
      <w:start w:val="1"/>
      <w:numFmt w:val="decimal"/>
      <w:lvlText w:val="%1.%2.%3.%4"/>
      <w:lvlJc w:val="left"/>
      <w:pPr>
        <w:tabs>
          <w:tab w:val="num" w:pos="0"/>
        </w:tabs>
        <w:ind w:left="3633" w:hanging="108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695" w:hanging="144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757" w:hanging="1800"/>
      </w:pPr>
    </w:lvl>
    <w:lvl w:ilvl="8">
      <w:start w:val="1"/>
      <w:numFmt w:val="decimal"/>
      <w:lvlText w:val="%1.%2.%3.%4.%5.%6.%7.%8.%9"/>
      <w:lvlJc w:val="left"/>
      <w:pPr>
        <w:tabs>
          <w:tab w:val="num" w:pos="0"/>
        </w:tabs>
        <w:ind w:left="8608" w:hanging="1800"/>
      </w:pPr>
    </w:lvl>
  </w:abstractNum>
  <w:abstractNum w:abstractNumId="5" w15:restartNumberingAfterBreak="0">
    <w:nsid w:val="72ED488D"/>
    <w:multiLevelType w:val="multilevel"/>
    <w:tmpl w:val="1BEA318E"/>
    <w:lvl w:ilvl="0">
      <w:start w:val="3"/>
      <w:numFmt w:val="decimal"/>
      <w:lvlText w:val="%1"/>
      <w:lvlJc w:val="left"/>
      <w:pPr>
        <w:tabs>
          <w:tab w:val="num" w:pos="0"/>
        </w:tabs>
        <w:ind w:left="1211" w:hanging="360"/>
      </w:pPr>
    </w:lvl>
    <w:lvl w:ilvl="1">
      <w:start w:val="1"/>
      <w:numFmt w:val="decimal"/>
      <w:lvlText w:val="%1.%2"/>
      <w:lvlJc w:val="left"/>
      <w:pPr>
        <w:tabs>
          <w:tab w:val="num" w:pos="0"/>
        </w:tabs>
        <w:ind w:left="1211" w:hanging="360"/>
      </w:pPr>
      <w:rPr>
        <w:rFonts w:ascii="Tahoma" w:eastAsia="Tahoma" w:hAnsi="Tahoma" w:cs="Tahoma"/>
        <w:sz w:val="20"/>
        <w:szCs w:val="20"/>
      </w:rPr>
    </w:lvl>
    <w:lvl w:ilvl="2">
      <w:start w:val="1"/>
      <w:numFmt w:val="decimal"/>
      <w:lvlText w:val="%1.%2.%3"/>
      <w:lvlJc w:val="left"/>
      <w:pPr>
        <w:tabs>
          <w:tab w:val="num" w:pos="0"/>
        </w:tabs>
        <w:ind w:left="2422" w:hanging="720"/>
      </w:pPr>
      <w:rPr>
        <w:b w:val="0"/>
      </w:rPr>
    </w:lvl>
    <w:lvl w:ilvl="3">
      <w:start w:val="1"/>
      <w:numFmt w:val="decimal"/>
      <w:lvlText w:val="%1.%2.%3.%4"/>
      <w:lvlJc w:val="left"/>
      <w:pPr>
        <w:tabs>
          <w:tab w:val="num" w:pos="0"/>
        </w:tabs>
        <w:ind w:left="3633" w:hanging="1080"/>
      </w:pPr>
    </w:lvl>
    <w:lvl w:ilvl="4">
      <w:start w:val="1"/>
      <w:numFmt w:val="decimal"/>
      <w:lvlText w:val="%1.%2.%3.%4.%5"/>
      <w:lvlJc w:val="left"/>
      <w:pPr>
        <w:tabs>
          <w:tab w:val="num" w:pos="0"/>
        </w:tabs>
        <w:ind w:left="4484" w:hanging="1080"/>
      </w:pPr>
    </w:lvl>
    <w:lvl w:ilvl="5">
      <w:start w:val="1"/>
      <w:numFmt w:val="decimal"/>
      <w:lvlText w:val="%1.%2.%3.%4.%5.%6"/>
      <w:lvlJc w:val="left"/>
      <w:pPr>
        <w:tabs>
          <w:tab w:val="num" w:pos="0"/>
        </w:tabs>
        <w:ind w:left="5695" w:hanging="1440"/>
      </w:pPr>
    </w:lvl>
    <w:lvl w:ilvl="6">
      <w:start w:val="1"/>
      <w:numFmt w:val="decimal"/>
      <w:lvlText w:val="%1.%2.%3.%4.%5.%6.%7"/>
      <w:lvlJc w:val="left"/>
      <w:pPr>
        <w:tabs>
          <w:tab w:val="num" w:pos="0"/>
        </w:tabs>
        <w:ind w:left="6546" w:hanging="1440"/>
      </w:pPr>
    </w:lvl>
    <w:lvl w:ilvl="7">
      <w:start w:val="1"/>
      <w:numFmt w:val="decimal"/>
      <w:lvlText w:val="%1.%2.%3.%4.%5.%6.%7.%8"/>
      <w:lvlJc w:val="left"/>
      <w:pPr>
        <w:tabs>
          <w:tab w:val="num" w:pos="0"/>
        </w:tabs>
        <w:ind w:left="7757" w:hanging="1800"/>
      </w:pPr>
    </w:lvl>
    <w:lvl w:ilvl="8">
      <w:start w:val="1"/>
      <w:numFmt w:val="decimal"/>
      <w:lvlText w:val="%1.%2.%3.%4.%5.%6.%7.%8.%9"/>
      <w:lvlJc w:val="left"/>
      <w:pPr>
        <w:tabs>
          <w:tab w:val="num" w:pos="0"/>
        </w:tabs>
        <w:ind w:left="8608" w:hanging="1800"/>
      </w:pPr>
    </w:lvl>
  </w:abstractNum>
  <w:abstractNum w:abstractNumId="6" w15:restartNumberingAfterBreak="0">
    <w:nsid w:val="73EE4042"/>
    <w:multiLevelType w:val="multilevel"/>
    <w:tmpl w:val="C0C869A8"/>
    <w:lvl w:ilvl="0">
      <w:start w:val="7"/>
      <w:numFmt w:val="decimal"/>
      <w:lvlText w:val="%1"/>
      <w:lvlJc w:val="left"/>
      <w:pPr>
        <w:tabs>
          <w:tab w:val="num" w:pos="0"/>
        </w:tabs>
        <w:ind w:left="360" w:hanging="360"/>
      </w:pPr>
    </w:lvl>
    <w:lvl w:ilvl="1">
      <w:start w:val="1"/>
      <w:numFmt w:val="decimal"/>
      <w:lvlText w:val="%1.%2"/>
      <w:lvlJc w:val="left"/>
      <w:pPr>
        <w:tabs>
          <w:tab w:val="num" w:pos="0"/>
        </w:tabs>
        <w:ind w:left="1210" w:hanging="359"/>
      </w:pPr>
      <w:rPr>
        <w:b w:val="0"/>
        <w:bCs/>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1800" w:hanging="1800"/>
      </w:pPr>
    </w:lvl>
  </w:abstractNum>
  <w:num w:numId="1" w16cid:durableId="1464497187">
    <w:abstractNumId w:val="5"/>
  </w:num>
  <w:num w:numId="2" w16cid:durableId="26805691">
    <w:abstractNumId w:val="6"/>
  </w:num>
  <w:num w:numId="3" w16cid:durableId="1165363531">
    <w:abstractNumId w:val="1"/>
  </w:num>
  <w:num w:numId="4" w16cid:durableId="1419013979">
    <w:abstractNumId w:val="3"/>
  </w:num>
  <w:num w:numId="5" w16cid:durableId="1132409883">
    <w:abstractNumId w:val="0"/>
  </w:num>
  <w:num w:numId="6" w16cid:durableId="51851735">
    <w:abstractNumId w:val="2"/>
  </w:num>
  <w:num w:numId="7" w16cid:durableId="12211313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autoHyphenation/>
  <w:hyphenationZone w:val="0"/>
  <w:characterSpacingControl w:val="doNotCompress"/>
  <w:hdrShapeDefaults>
    <o:shapedefaults v:ext="edit" spidmax="2055"/>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3D171C"/>
    <w:rsid w:val="00230661"/>
    <w:rsid w:val="003D171C"/>
    <w:rsid w:val="006A395F"/>
    <w:rsid w:val="009E1228"/>
    <w:rsid w:val="00A64C48"/>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62CC72B0"/>
  <w15:docId w15:val="{8381046B-DF55-4782-81DC-91918A8C8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pt-BR" w:eastAsia="pt-BR"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D840B7"/>
    <w:pPr>
      <w:widowControl w:val="0"/>
    </w:pPr>
    <w:rPr>
      <w:lang w:val="pt-PT"/>
    </w:rPr>
  </w:style>
  <w:style w:type="paragraph" w:styleId="Ttulo1">
    <w:name w:val="heading 1"/>
    <w:basedOn w:val="Normal1"/>
    <w:next w:val="Normal1"/>
    <w:qFormat/>
    <w:rsid w:val="00CF17A1"/>
    <w:pPr>
      <w:ind w:left="2395"/>
      <w:jc w:val="center"/>
      <w:outlineLvl w:val="0"/>
    </w:pPr>
    <w:rPr>
      <w:b/>
      <w:sz w:val="24"/>
      <w:szCs w:val="24"/>
    </w:rPr>
  </w:style>
  <w:style w:type="paragraph" w:styleId="Ttulo2">
    <w:name w:val="heading 2"/>
    <w:basedOn w:val="Normal1"/>
    <w:next w:val="Normal1"/>
    <w:qFormat/>
    <w:rsid w:val="00CF17A1"/>
    <w:pPr>
      <w:ind w:left="862"/>
      <w:outlineLvl w:val="1"/>
    </w:pPr>
    <w:rPr>
      <w:sz w:val="24"/>
      <w:szCs w:val="24"/>
    </w:rPr>
  </w:style>
  <w:style w:type="paragraph" w:styleId="Ttulo3">
    <w:name w:val="heading 3"/>
    <w:basedOn w:val="Normal1"/>
    <w:next w:val="Normal1"/>
    <w:qFormat/>
    <w:rsid w:val="00CF17A1"/>
    <w:pPr>
      <w:ind w:left="862"/>
      <w:outlineLvl w:val="2"/>
    </w:pPr>
    <w:rPr>
      <w:b/>
      <w:sz w:val="20"/>
      <w:szCs w:val="20"/>
    </w:rPr>
  </w:style>
  <w:style w:type="paragraph" w:styleId="Ttulo4">
    <w:name w:val="heading 4"/>
    <w:basedOn w:val="Normal1"/>
    <w:next w:val="Normal1"/>
    <w:qFormat/>
    <w:rsid w:val="00CF17A1"/>
    <w:pPr>
      <w:keepNext/>
      <w:keepLines/>
      <w:spacing w:before="240" w:after="40"/>
      <w:outlineLvl w:val="3"/>
    </w:pPr>
    <w:rPr>
      <w:b/>
      <w:sz w:val="24"/>
      <w:szCs w:val="24"/>
    </w:rPr>
  </w:style>
  <w:style w:type="paragraph" w:styleId="Ttulo5">
    <w:name w:val="heading 5"/>
    <w:basedOn w:val="Normal1"/>
    <w:next w:val="Normal1"/>
    <w:qFormat/>
    <w:rsid w:val="00CF17A1"/>
    <w:pPr>
      <w:keepNext/>
      <w:keepLines/>
      <w:spacing w:before="220" w:after="40"/>
      <w:outlineLvl w:val="4"/>
    </w:pPr>
    <w:rPr>
      <w:b/>
    </w:rPr>
  </w:style>
  <w:style w:type="paragraph" w:styleId="Ttulo6">
    <w:name w:val="heading 6"/>
    <w:basedOn w:val="Normal1"/>
    <w:next w:val="Normal1"/>
    <w:qFormat/>
    <w:rsid w:val="00CF17A1"/>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rsid w:val="00177D4B"/>
    <w:rPr>
      <w:rFonts w:ascii="Arial" w:eastAsia="Arial" w:hAnsi="Arial" w:cs="Arial"/>
      <w:lang w:val="pt-PT"/>
    </w:rPr>
  </w:style>
  <w:style w:type="character" w:customStyle="1" w:styleId="RodapChar">
    <w:name w:val="Rodapé Char"/>
    <w:basedOn w:val="Fontepargpadro"/>
    <w:link w:val="Rodap"/>
    <w:uiPriority w:val="99"/>
    <w:qFormat/>
    <w:rsid w:val="00177D4B"/>
    <w:rPr>
      <w:rFonts w:ascii="Arial" w:eastAsia="Arial" w:hAnsi="Arial" w:cs="Arial"/>
      <w:lang w:val="pt-PT"/>
    </w:rPr>
  </w:style>
  <w:style w:type="character" w:styleId="Hyperlink">
    <w:name w:val="Hyperlink"/>
    <w:basedOn w:val="Fontepargpadro"/>
    <w:uiPriority w:val="99"/>
    <w:unhideWhenUsed/>
    <w:rsid w:val="00177D4B"/>
    <w:rPr>
      <w:color w:val="0000FF" w:themeColor="hyperlink"/>
      <w:u w:val="single"/>
    </w:rPr>
  </w:style>
  <w:style w:type="character" w:customStyle="1" w:styleId="PargrafodaListaChar">
    <w:name w:val="Parágrafo da Lista Char"/>
    <w:basedOn w:val="Fontepargpadro"/>
    <w:link w:val="PargrafodaLista"/>
    <w:qFormat/>
    <w:rsid w:val="007E3A46"/>
    <w:rPr>
      <w:rFonts w:ascii="Arial" w:eastAsia="Arial" w:hAnsi="Arial" w:cs="Arial"/>
      <w:lang w:val="pt-PT"/>
    </w:rPr>
  </w:style>
  <w:style w:type="character" w:styleId="HiperlinkVisitado">
    <w:name w:val="FollowedHyperlink"/>
    <w:basedOn w:val="Fontepargpadro"/>
    <w:uiPriority w:val="99"/>
    <w:semiHidden/>
    <w:unhideWhenUsed/>
    <w:rsid w:val="00D1098F"/>
    <w:rPr>
      <w:color w:val="800080" w:themeColor="followedHyperlink"/>
      <w:u w:val="single"/>
    </w:rPr>
  </w:style>
  <w:style w:type="character" w:customStyle="1" w:styleId="TextodecomentrioChar">
    <w:name w:val="Texto de comentário Char"/>
    <w:basedOn w:val="Fontepargpadro"/>
    <w:link w:val="Textodecomentrio"/>
    <w:uiPriority w:val="99"/>
    <w:semiHidden/>
    <w:qFormat/>
    <w:rsid w:val="00CF17A1"/>
    <w:rPr>
      <w:sz w:val="20"/>
      <w:szCs w:val="20"/>
      <w:lang w:val="pt-PT"/>
    </w:rPr>
  </w:style>
  <w:style w:type="character" w:styleId="Refdecomentrio">
    <w:name w:val="annotation reference"/>
    <w:basedOn w:val="Fontepargpadro"/>
    <w:uiPriority w:val="99"/>
    <w:semiHidden/>
    <w:unhideWhenUsed/>
    <w:qFormat/>
    <w:rsid w:val="00CF17A1"/>
    <w:rPr>
      <w:sz w:val="16"/>
      <w:szCs w:val="16"/>
    </w:rPr>
  </w:style>
  <w:style w:type="character" w:customStyle="1" w:styleId="TextodebaloChar">
    <w:name w:val="Texto de balão Char"/>
    <w:basedOn w:val="Fontepargpadro"/>
    <w:link w:val="Textodebalo"/>
    <w:uiPriority w:val="99"/>
    <w:semiHidden/>
    <w:qFormat/>
    <w:rsid w:val="00F61209"/>
    <w:rPr>
      <w:rFonts w:ascii="Tahoma" w:hAnsi="Tahoma" w:cs="Tahoma"/>
      <w:sz w:val="16"/>
      <w:szCs w:val="16"/>
      <w:lang w:val="pt-PT"/>
    </w:rPr>
  </w:style>
  <w:style w:type="character" w:styleId="MenoPendente">
    <w:name w:val="Unresolved Mention"/>
    <w:basedOn w:val="Fontepargpadro"/>
    <w:uiPriority w:val="99"/>
    <w:semiHidden/>
    <w:unhideWhenUsed/>
    <w:qFormat/>
    <w:rsid w:val="00C54E24"/>
    <w:rPr>
      <w:color w:val="605E5C"/>
      <w:shd w:val="clear" w:color="auto" w:fill="E1DFDD"/>
    </w:rPr>
  </w:style>
  <w:style w:type="paragraph" w:styleId="Ttulo">
    <w:name w:val="Title"/>
    <w:basedOn w:val="Normal1"/>
    <w:next w:val="Corpodetexto"/>
    <w:qFormat/>
    <w:rsid w:val="00CF17A1"/>
    <w:pPr>
      <w:keepNext/>
      <w:keepLines/>
      <w:spacing w:before="480" w:after="120"/>
    </w:pPr>
    <w:rPr>
      <w:b/>
      <w:sz w:val="72"/>
      <w:szCs w:val="72"/>
    </w:rPr>
  </w:style>
  <w:style w:type="paragraph" w:styleId="Corpodetexto">
    <w:name w:val="Body Text"/>
    <w:basedOn w:val="Normal"/>
    <w:uiPriority w:val="1"/>
    <w:qFormat/>
    <w:rsid w:val="00203C65"/>
    <w:rPr>
      <w:sz w:val="20"/>
      <w:szCs w:val="20"/>
    </w:rPr>
  </w:style>
  <w:style w:type="paragraph" w:styleId="Lista">
    <w:name w:val="List"/>
    <w:basedOn w:val="Corpodetexto"/>
  </w:style>
  <w:style w:type="paragraph" w:styleId="Legenda">
    <w:name w:val="caption"/>
    <w:basedOn w:val="Normal"/>
    <w:qFormat/>
    <w:pPr>
      <w:suppressLineNumbers/>
      <w:spacing w:before="120" w:after="120"/>
    </w:pPr>
    <w:rPr>
      <w:i/>
      <w:iCs/>
      <w:sz w:val="24"/>
      <w:szCs w:val="24"/>
    </w:rPr>
  </w:style>
  <w:style w:type="paragraph" w:customStyle="1" w:styleId="ndice">
    <w:name w:val="Índice"/>
    <w:basedOn w:val="Normal"/>
    <w:qFormat/>
    <w:pPr>
      <w:suppressLineNumbers/>
    </w:pPr>
  </w:style>
  <w:style w:type="paragraph" w:customStyle="1" w:styleId="Ttulouser">
    <w:name w:val="Título (user)"/>
    <w:basedOn w:val="Normal"/>
    <w:next w:val="Corpodetexto"/>
    <w:qFormat/>
    <w:pPr>
      <w:keepNext/>
      <w:spacing w:before="240" w:after="120"/>
    </w:pPr>
    <w:rPr>
      <w:rFonts w:ascii="Liberation Sans" w:eastAsia="Microsoft YaHei" w:hAnsi="Liberation Sans"/>
      <w:sz w:val="28"/>
      <w:szCs w:val="28"/>
    </w:rPr>
  </w:style>
  <w:style w:type="paragraph" w:customStyle="1" w:styleId="ndiceuser">
    <w:name w:val="Índice (user)"/>
    <w:basedOn w:val="Normal"/>
    <w:qFormat/>
    <w:pPr>
      <w:suppressLineNumbers/>
    </w:pPr>
  </w:style>
  <w:style w:type="paragraph" w:customStyle="1" w:styleId="Normal1">
    <w:name w:val="Normal1"/>
    <w:qFormat/>
    <w:rsid w:val="00CF17A1"/>
    <w:pPr>
      <w:widowControl w:val="0"/>
    </w:pPr>
  </w:style>
  <w:style w:type="paragraph" w:customStyle="1" w:styleId="Ttulo11">
    <w:name w:val="Título 11"/>
    <w:basedOn w:val="Normal"/>
    <w:uiPriority w:val="1"/>
    <w:qFormat/>
    <w:rsid w:val="00203C65"/>
    <w:pPr>
      <w:ind w:left="2395"/>
      <w:jc w:val="center"/>
      <w:outlineLvl w:val="1"/>
    </w:pPr>
    <w:rPr>
      <w:b/>
      <w:bCs/>
      <w:sz w:val="24"/>
      <w:szCs w:val="24"/>
    </w:rPr>
  </w:style>
  <w:style w:type="paragraph" w:customStyle="1" w:styleId="Ttulo21">
    <w:name w:val="Título 21"/>
    <w:basedOn w:val="Normal"/>
    <w:uiPriority w:val="1"/>
    <w:qFormat/>
    <w:rsid w:val="00203C65"/>
    <w:pPr>
      <w:ind w:left="862"/>
      <w:outlineLvl w:val="2"/>
    </w:pPr>
    <w:rPr>
      <w:sz w:val="24"/>
      <w:szCs w:val="24"/>
    </w:rPr>
  </w:style>
  <w:style w:type="paragraph" w:customStyle="1" w:styleId="Ttulo31">
    <w:name w:val="Título 31"/>
    <w:basedOn w:val="Normal"/>
    <w:uiPriority w:val="1"/>
    <w:qFormat/>
    <w:rsid w:val="00203C65"/>
    <w:pPr>
      <w:ind w:left="862"/>
      <w:outlineLvl w:val="3"/>
    </w:pPr>
    <w:rPr>
      <w:b/>
      <w:bCs/>
      <w:sz w:val="20"/>
      <w:szCs w:val="20"/>
    </w:rPr>
  </w:style>
  <w:style w:type="paragraph" w:styleId="PargrafodaLista">
    <w:name w:val="List Paragraph"/>
    <w:basedOn w:val="Normal"/>
    <w:link w:val="PargrafodaListaChar"/>
    <w:uiPriority w:val="1"/>
    <w:qFormat/>
    <w:rsid w:val="00203C65"/>
    <w:pPr>
      <w:ind w:left="862"/>
      <w:jc w:val="both"/>
    </w:pPr>
  </w:style>
  <w:style w:type="paragraph" w:customStyle="1" w:styleId="TableParagraph">
    <w:name w:val="Table Paragraph"/>
    <w:basedOn w:val="Normal"/>
    <w:uiPriority w:val="1"/>
    <w:qFormat/>
    <w:rsid w:val="00203C65"/>
  </w:style>
  <w:style w:type="paragraph" w:customStyle="1" w:styleId="Cabealhoerodapuser">
    <w:name w:val="Cabeçalho e rodapé (user)"/>
    <w:basedOn w:val="Normal"/>
    <w:qFormat/>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177D4B"/>
    <w:pPr>
      <w:tabs>
        <w:tab w:val="center" w:pos="4252"/>
        <w:tab w:val="right" w:pos="8504"/>
      </w:tabs>
    </w:pPr>
  </w:style>
  <w:style w:type="paragraph" w:styleId="Rodap">
    <w:name w:val="footer"/>
    <w:basedOn w:val="Normal"/>
    <w:link w:val="RodapChar"/>
    <w:uiPriority w:val="99"/>
    <w:unhideWhenUsed/>
    <w:rsid w:val="00177D4B"/>
    <w:pPr>
      <w:tabs>
        <w:tab w:val="center" w:pos="4252"/>
        <w:tab w:val="right" w:pos="8504"/>
      </w:tabs>
    </w:pPr>
  </w:style>
  <w:style w:type="paragraph" w:customStyle="1" w:styleId="Ttulo211">
    <w:name w:val="Título 211"/>
    <w:basedOn w:val="Normal"/>
    <w:qFormat/>
    <w:rsid w:val="007E3A46"/>
    <w:pPr>
      <w:widowControl/>
      <w:spacing w:after="200" w:line="276" w:lineRule="auto"/>
      <w:ind w:left="370"/>
      <w:outlineLvl w:val="2"/>
    </w:pPr>
    <w:rPr>
      <w:rFonts w:ascii="Caladea" w:eastAsia="Caladea" w:hAnsi="Caladea" w:cs="Caladea"/>
      <w:b/>
      <w:bCs/>
      <w:sz w:val="20"/>
      <w:szCs w:val="20"/>
    </w:rPr>
  </w:style>
  <w:style w:type="paragraph" w:customStyle="1" w:styleId="Cabealho1">
    <w:name w:val="Cabeçalho1"/>
    <w:basedOn w:val="Normal"/>
    <w:uiPriority w:val="99"/>
    <w:unhideWhenUsed/>
    <w:qFormat/>
    <w:rsid w:val="00C96215"/>
    <w:pPr>
      <w:widowControl/>
      <w:tabs>
        <w:tab w:val="center" w:pos="4252"/>
        <w:tab w:val="right" w:pos="8504"/>
      </w:tabs>
    </w:pPr>
    <w:rPr>
      <w:rFonts w:eastAsiaTheme="minorHAnsi" w:cstheme="minorBidi"/>
      <w:lang w:val="pt-BR"/>
    </w:rPr>
  </w:style>
  <w:style w:type="paragraph" w:customStyle="1" w:styleId="Rodap1">
    <w:name w:val="Rodapé1"/>
    <w:basedOn w:val="Normal"/>
    <w:uiPriority w:val="99"/>
    <w:unhideWhenUsed/>
    <w:qFormat/>
    <w:rsid w:val="00450F03"/>
    <w:pPr>
      <w:widowControl/>
      <w:tabs>
        <w:tab w:val="center" w:pos="4252"/>
        <w:tab w:val="right" w:pos="8504"/>
      </w:tabs>
    </w:pPr>
    <w:rPr>
      <w:rFonts w:eastAsiaTheme="minorHAnsi" w:cstheme="minorBidi"/>
      <w:lang w:val="pt-BR"/>
    </w:rPr>
  </w:style>
  <w:style w:type="paragraph" w:styleId="Subttulo">
    <w:name w:val="Subtitle"/>
    <w:basedOn w:val="Normal"/>
    <w:next w:val="Normal"/>
    <w:qFormat/>
    <w:rsid w:val="00CF17A1"/>
    <w:pPr>
      <w:keepNext/>
      <w:keepLines/>
      <w:spacing w:before="360" w:after="80"/>
    </w:pPr>
    <w:rPr>
      <w:rFonts w:ascii="Georgia" w:eastAsia="Georgia" w:hAnsi="Georgia" w:cs="Georgia"/>
      <w:i/>
      <w:color w:val="666666"/>
      <w:sz w:val="48"/>
      <w:szCs w:val="48"/>
    </w:rPr>
  </w:style>
  <w:style w:type="paragraph" w:styleId="Textodecomentrio">
    <w:name w:val="annotation text"/>
    <w:basedOn w:val="Normal"/>
    <w:link w:val="TextodecomentrioChar"/>
    <w:uiPriority w:val="99"/>
    <w:semiHidden/>
    <w:unhideWhenUsed/>
    <w:rsid w:val="00CF17A1"/>
    <w:rPr>
      <w:sz w:val="20"/>
      <w:szCs w:val="20"/>
    </w:rPr>
  </w:style>
  <w:style w:type="paragraph" w:styleId="Textodebalo">
    <w:name w:val="Balloon Text"/>
    <w:basedOn w:val="Normal"/>
    <w:link w:val="TextodebaloChar"/>
    <w:uiPriority w:val="99"/>
    <w:semiHidden/>
    <w:unhideWhenUsed/>
    <w:qFormat/>
    <w:rsid w:val="00F61209"/>
    <w:rPr>
      <w:rFonts w:ascii="Tahoma" w:hAnsi="Tahoma" w:cs="Tahoma"/>
      <w:sz w:val="16"/>
      <w:szCs w:val="16"/>
    </w:rPr>
  </w:style>
  <w:style w:type="paragraph" w:styleId="SemEspaamento">
    <w:name w:val="No Spacing"/>
    <w:uiPriority w:val="1"/>
    <w:qFormat/>
    <w:rsid w:val="00F95FE7"/>
    <w:pPr>
      <w:widowControl w:val="0"/>
    </w:pPr>
    <w:rPr>
      <w:rFonts w:ascii="Calibri" w:eastAsia="Calibri" w:hAnsi="Calibri" w:cs="Calibri"/>
      <w:lang w:val="pt-PT" w:eastAsia="en-US"/>
    </w:rPr>
  </w:style>
  <w:style w:type="paragraph" w:customStyle="1" w:styleId="Contedodoquadrouser">
    <w:name w:val="Conteúdo do quadro (user)"/>
    <w:basedOn w:val="Normal"/>
    <w:qFormat/>
  </w:style>
  <w:style w:type="paragraph" w:customStyle="1" w:styleId="Contedodoquadro">
    <w:name w:val="Conteúdo do quadro"/>
    <w:basedOn w:val="Normal"/>
    <w:qFormat/>
  </w:style>
  <w:style w:type="paragraph" w:customStyle="1" w:styleId="Linhahorizontaluser">
    <w:name w:val="Linha horizontal (user)"/>
    <w:basedOn w:val="Normal"/>
    <w:next w:val="Corpodetexto"/>
    <w:qFormat/>
    <w:pPr>
      <w:suppressLineNumbers/>
      <w:pBdr>
        <w:bottom w:val="double" w:sz="2" w:space="0" w:color="808080"/>
      </w:pBdr>
      <w:spacing w:after="283"/>
    </w:pPr>
    <w:rPr>
      <w:sz w:val="12"/>
      <w:szCs w:val="12"/>
    </w:rPr>
  </w:style>
  <w:style w:type="table" w:customStyle="1" w:styleId="TableNormal">
    <w:name w:val="Table Normal"/>
    <w:rsid w:val="00CF17A1"/>
    <w:tblPr>
      <w:tblCellMar>
        <w:top w:w="0" w:type="dxa"/>
        <w:left w:w="0" w:type="dxa"/>
        <w:bottom w:w="0" w:type="dxa"/>
        <w:right w:w="0" w:type="dxa"/>
      </w:tblCellMar>
    </w:tblPr>
  </w:style>
  <w:style w:type="table" w:customStyle="1" w:styleId="TableNormal1">
    <w:name w:val="Table Normal1"/>
    <w:uiPriority w:val="2"/>
    <w:semiHidden/>
    <w:unhideWhenUsed/>
    <w:qFormat/>
    <w:rsid w:val="00203C65"/>
    <w:tblPr>
      <w:tblCellMar>
        <w:top w:w="0" w:type="dxa"/>
        <w:left w:w="0" w:type="dxa"/>
        <w:bottom w:w="0" w:type="dxa"/>
        <w:right w:w="0" w:type="dxa"/>
      </w:tblCellMar>
    </w:tblPr>
  </w:style>
  <w:style w:type="table" w:styleId="Tabelacomgrade">
    <w:name w:val="Table Grid"/>
    <w:basedOn w:val="Tabelanormal"/>
    <w:uiPriority w:val="59"/>
    <w:rsid w:val="001C36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2"/>
    <w:basedOn w:val="TableNormal1"/>
    <w:rsid w:val="00CF17A1"/>
    <w:tblPr>
      <w:tblStyleRowBandSize w:val="1"/>
      <w:tblStyleColBandSize w:val="1"/>
      <w:tblCellMar>
        <w:left w:w="108" w:type="dxa"/>
        <w:right w:w="108" w:type="dxa"/>
      </w:tblCellMar>
    </w:tblPr>
  </w:style>
  <w:style w:type="table" w:customStyle="1" w:styleId="1">
    <w:name w:val="1"/>
    <w:basedOn w:val="TableNormal1"/>
    <w:rsid w:val="00CF17A1"/>
    <w:tblPr>
      <w:tblStyleRowBandSize w:val="1"/>
      <w:tblStyleColBandSize w:val="1"/>
      <w:tblCellMar>
        <w:left w:w="60" w:type="dxa"/>
        <w:right w:w="7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hyperlink" Target="https://certidoesapf.apps.tcu.gov.br/"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pn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roundtripDataSignature="AMtx7miOrzo9k5hJBlC9IkQ7CMRzAoQvAA==">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1178</TotalTime>
  <Pages>8</Pages>
  <Words>2961</Words>
  <Characters>15993</Characters>
  <Application>Microsoft Office Word</Application>
  <DocSecurity>0</DocSecurity>
  <Lines>133</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dc:description/>
  <cp:lastModifiedBy>Samuel Martins</cp:lastModifiedBy>
  <cp:revision>21</cp:revision>
  <cp:lastPrinted>2025-04-03T16:32:00Z</cp:lastPrinted>
  <dcterms:created xsi:type="dcterms:W3CDTF">2025-04-03T13:05:00Z</dcterms:created>
  <dcterms:modified xsi:type="dcterms:W3CDTF">2025-04-03T16:32:00Z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2023-01-31T00:00:00Z</vt:filetime>
  </property>
  <property fmtid="{D5CDD505-2E9C-101B-9397-08002B2CF9AE}" pid="3" name="Creator">
    <vt:lpwstr>Microsoft® Office Word 2007</vt:lpwstr>
  </property>
  <property fmtid="{D5CDD505-2E9C-101B-9397-08002B2CF9AE}" pid="4" name="LastSaved">
    <vt:filetime>2023-02-07T00:00:00Z</vt:filetime>
  </property>
</Properties>
</file>