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jc w:val="center"/>
        <w:rPr>
          <w:rFonts w:ascii="Times New Roman" w:hAnsi="Times New Roman" w:cs="Times New Roman"/>
          <w:b w:val="1"/>
          <w:sz w:val="24"/>
          <w:szCs w:val="24"/>
        </w:rPr>
      </w:pPr>
      <w:r>
        <w:rPr>
          <w:rFonts w:ascii="Times New Roman" w:hAnsi="Times New Roman" w:cs="Times New Roman"/>
          <w:b w:val="1"/>
          <w:sz w:val="24"/>
          <w:szCs w:val="24"/>
        </w:rPr>
        <w:t>TERMO DE REFERÊNCIA</w:t>
      </w:r>
    </w:p>
    <w:p>
      <w:pPr>
        <w:rPr>
          <w:rFonts w:ascii="Times New Roman" w:hAnsi="Times New Roman" w:cs="Times New Roman"/>
          <w:b w:val="1"/>
          <w:sz w:val="24"/>
          <w:szCs w:val="24"/>
        </w:rPr>
      </w:pPr>
    </w:p>
    <w:p>
      <w:pPr>
        <w:rPr>
          <w:rFonts w:ascii="Times New Roman" w:hAnsi="Times New Roman" w:cs="Times New Roman"/>
          <w:b w:val="1"/>
          <w:sz w:val="24"/>
          <w:szCs w:val="24"/>
        </w:rPr>
      </w:pPr>
    </w:p>
    <w:p>
      <w:pPr>
        <w:suppressAutoHyphens w:val="1"/>
        <w:spacing w:after="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1 – DO OBJETO:</w:t>
      </w:r>
    </w:p>
    <w:p>
      <w:pPr>
        <w:jc w:val="both"/>
        <w:rPr>
          <w:rFonts w:ascii="Times New Roman" w:hAnsi="Times New Roman" w:cs="Times New Roman"/>
          <w:b w:val="1"/>
          <w:sz w:val="24"/>
          <w:szCs w:val="24"/>
        </w:rPr>
      </w:pPr>
      <w:r>
        <w:rPr>
          <w:rFonts w:ascii="Times New Roman" w:hAnsi="Times New Roman" w:cs="Times New Roman"/>
          <w:sz w:val="24"/>
          <w:szCs w:val="24"/>
        </w:rPr>
        <w:t>1.1 - O presente Termo de Referência tem por finalidade a contratação de empresa especializada para a execução de serviços de reforma, recuperação e revestimento do mobiliário fixo do Plenário da Câmara Municipal de Diamantino/MT – tribuna, mesa diretora central e bancadas laterais –, com substituição integral dos materiais de revestimento, sendo o tampo em padrão laminado melamínico, conhecido como fórmica na cor GRAFITE e as frentes, laterais e fechamentos em PAINEL RIPADO AMADEIRADO, incluindo ainda a reforma das gavetas com fornecimento e instalação de novas fechaduras e corrediças, conforme condições e exigências estabelecidas neste instrumento. A contratação visa à recuperação, e conserto dos móveis de modo a garantir conforto e estética adequados ao espaço, conforme descrito abaixo</w:t>
      </w:r>
      <w:r>
        <w:rPr>
          <w:rFonts w:ascii="Times New Roman" w:hAnsi="Times New Roman" w:cs="Times New Roman"/>
          <w:b w:val="1"/>
          <w:bCs w:val="1"/>
          <w:sz w:val="24"/>
          <w:szCs w:val="24"/>
        </w:rPr>
        <w:t>.</w:t>
      </w:r>
    </w:p>
    <w:p>
      <w:pPr>
        <w:rPr>
          <w:rFonts w:ascii="Times New Roman" w:hAnsi="Times New Roman" w:cs="Times New Roman"/>
          <w:b w:val="1"/>
          <w:sz w:val="24"/>
          <w:szCs w:val="24"/>
        </w:rPr>
      </w:pPr>
    </w:p>
    <w:p>
      <w:pPr>
        <w:suppressAutoHyphens w:val="1"/>
        <w:spacing w:after="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 xml:space="preserve">2 – DAS ESPECIFICAÇÕES DO OBJETO: </w:t>
      </w:r>
    </w:p>
    <w:p>
      <w:pPr>
        <w:jc w:val="both"/>
        <w:rPr>
          <w:rFonts w:ascii="Times New Roman" w:hAnsi="Times New Roman" w:cs="Times New Roman"/>
          <w:sz w:val="24"/>
          <w:szCs w:val="24"/>
        </w:rPr>
      </w:pPr>
      <w:r>
        <w:rPr>
          <w:rFonts w:ascii="Times New Roman" w:hAnsi="Times New Roman" w:cs="Times New Roman"/>
          <w:sz w:val="24"/>
          <w:szCs w:val="24"/>
        </w:rPr>
        <w:t>2.1 - Constitui objeto do presente Termo de Referência a contratação dos serviços, conforme descrito abaixo:</w:t>
      </w:r>
    </w:p>
    <w:tbl>
      <w:tblPr>
        <w:tblW w:w="9638" w:type="dxa"/>
        <w:tblBorders>
          <w:top w:val="single" w:sz="4" w:space="0" w:shadow="0" w:frame="0" w:color="555555"/>
          <w:left w:val="single" w:sz="4" w:space="0" w:shadow="0" w:frame="0" w:color="555555"/>
          <w:bottom w:val="single" w:sz="4" w:space="0" w:shadow="0" w:frame="0" w:color="555555"/>
          <w:right w:val="single" w:sz="4" w:space="0" w:shadow="0" w:frame="0" w:color="555555"/>
          <w:insideH w:val="single" w:sz="4" w:space="0" w:shadow="0" w:frame="0" w:color="555555"/>
          <w:insideV w:val="single" w:sz="4" w:space="0" w:shadow="0" w:frame="0" w:color="555555"/>
        </w:tblBorders>
        <w:tblCellMar>
          <w:left w:w="10" w:type="dxa"/>
          <w:right w:w="10" w:type="dxa"/>
        </w:tblCellMar>
        <w:tblLook w:val="0000"/>
      </w:tblPr>
      <w:tblGrid>
        <w:gridCol w:w="804"/>
        <w:gridCol w:w="4636"/>
        <w:gridCol w:w="801"/>
        <w:gridCol w:w="1029"/>
        <w:gridCol w:w="1288"/>
        <w:gridCol w:w="1080"/>
      </w:tblGrid>
      <w:tr>
        <w:trPr>
          <w:gridAfter w:val="0"/>
          <w:tblHeader/>
        </w:trPr>
        <w:tc>
          <w:tcPr>
            <w:cnfStyle w:val="1000000000000"/>
            <w:tcW w:w="808" w:type="dxa"/>
            <w:vMerge w:val="restart"/>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r>
              <w:rPr>
                <w:rFonts w:ascii="Times New Roman" w:hAnsi="Times New Roman" w:cs="Times New Roman"/>
                <w:b w:val="1"/>
                <w:bCs w:val="1"/>
                <w:sz w:val="20"/>
                <w:szCs w:val="20"/>
              </w:rPr>
              <w:t>ITEM</w:t>
            </w:r>
          </w:p>
        </w:tc>
        <w:tc>
          <w:tcPr>
            <w:cnfStyle w:val="1000000000000"/>
            <w:tcW w:w="4748" w:type="dxa"/>
            <w:vMerge w:val="restart"/>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r>
              <w:rPr>
                <w:rFonts w:ascii="Times New Roman" w:hAnsi="Times New Roman" w:cs="Times New Roman"/>
                <w:b w:val="1"/>
                <w:bCs w:val="1"/>
                <w:sz w:val="20"/>
                <w:szCs w:val="20"/>
              </w:rPr>
              <w:t>ESPECIFICAÇÃO DO MOBILIÁRIO E DOS SERVIÇOS</w:t>
            </w:r>
          </w:p>
        </w:tc>
        <w:tc>
          <w:tcPr>
            <w:cnfStyle w:val="1000000000000"/>
            <w:tcW w:w="806" w:type="dxa"/>
            <w:vMerge w:val="restart"/>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r>
              <w:rPr>
                <w:rFonts w:ascii="Times New Roman" w:hAnsi="Times New Roman" w:cs="Times New Roman"/>
                <w:b w:val="1"/>
                <w:bCs w:val="1"/>
                <w:sz w:val="20"/>
                <w:szCs w:val="20"/>
              </w:rPr>
              <w:t>UND.</w:t>
            </w:r>
          </w:p>
        </w:tc>
        <w:tc>
          <w:tcPr>
            <w:cnfStyle w:val="1000000000000"/>
            <w:tcW w:w="1032" w:type="dxa"/>
            <w:vMerge w:val="restart"/>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r>
              <w:rPr>
                <w:rFonts w:ascii="Times New Roman" w:hAnsi="Times New Roman" w:cs="Times New Roman"/>
                <w:b w:val="1"/>
                <w:bCs w:val="1"/>
                <w:sz w:val="20"/>
                <w:szCs w:val="20"/>
              </w:rPr>
              <w:t>QUANT.</w:t>
            </w:r>
          </w:p>
        </w:tc>
        <w:tc>
          <w:tcPr>
            <w:tcW w:w="2244" w:type="dxa"/>
            <w:gridSpan w:val="2"/>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b w:val="1"/>
                <w:bCs w:val="1"/>
                <w:sz w:val="20"/>
                <w:szCs w:val="20"/>
                <w:rtl w:val="0"/>
                <w:lang w:val="pt-BR" w:bidi="pt-BR" w:eastAsia="pt-BR"/>
              </w:rPr>
            </w:pPr>
            <w:r>
              <w:rPr>
                <w:rFonts w:ascii="Times New Roman" w:hAnsi="Times New Roman" w:cs="Times New Roman"/>
                <w:b w:val="1"/>
                <w:bCs w:val="1"/>
                <w:sz w:val="20"/>
                <w:szCs w:val="20"/>
                <w:rtl w:val="0"/>
                <w:lang w:val="pt-BR" w:bidi="pt-BR" w:eastAsia="pt-BR"/>
              </w:rPr>
              <w:t>V</w:t>
            </w:r>
            <w:r>
              <w:rPr>
                <w:rFonts w:ascii="Times New Roman" w:hAnsi="Times New Roman" w:cs="Times New Roman"/>
                <w:b w:val="1"/>
                <w:bCs w:val="1"/>
                <w:sz w:val="20"/>
                <w:szCs w:val="20"/>
                <w:rtl w:val="0"/>
                <w:lang w:val="pt-BR" w:bidi="pt-BR" w:eastAsia="pt-BR"/>
              </w:rPr>
              <w:t>ALOR ESTIMADO</w:t>
            </w:r>
          </w:p>
          <w:p>
            <w:pPr>
              <w:spacing w:lineRule="auto" w:line="260" w:beforeAutospacing="0" w:afterAutospacing="0"/>
              <w:jc w:val="center"/>
              <w:rPr>
                <w:rFonts w:ascii="Times New Roman" w:hAnsi="Times New Roman" w:cs="Times New Roman"/>
                <w:b w:val="1"/>
                <w:bCs w:val="1"/>
                <w:sz w:val="20"/>
                <w:szCs w:val="20"/>
                <w:rtl w:val="0"/>
                <w:lang w:val="pt-BR" w:bidi="pt-BR" w:eastAsia="pt-BR"/>
              </w:rPr>
            </w:pPr>
            <w:r>
              <w:rPr>
                <w:rFonts w:ascii="Times New Roman" w:hAnsi="Times New Roman" w:cs="Times New Roman"/>
                <w:b w:val="1"/>
                <w:bCs w:val="1"/>
                <w:sz w:val="20"/>
                <w:szCs w:val="20"/>
                <w:rtl w:val="0"/>
                <w:lang w:val="pt-BR" w:bidi="pt-BR" w:eastAsia="pt-BR"/>
              </w:rPr>
              <w:t>TOTAL</w:t>
            </w:r>
          </w:p>
        </w:tc>
      </w:tr>
      <w:tr>
        <w:trPr>
          <w:gridAfter w:val="0"/>
          <w:tblHeader/>
        </w:trPr>
        <w:tc>
          <w:tcPr>
            <w:cnfStyle w:val="1000000000000"/>
            <w:tcW w:w="808" w:type="dxa"/>
            <w:vMerge w:val="continue"/>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p>
        </w:tc>
        <w:tc>
          <w:tcPr>
            <w:cnfStyle w:val="1000000000000"/>
            <w:tcW w:w="4748" w:type="dxa"/>
            <w:vMerge w:val="continue"/>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p>
        </w:tc>
        <w:tc>
          <w:tcPr>
            <w:cnfStyle w:val="1000000000000"/>
            <w:tcW w:w="806" w:type="dxa"/>
            <w:vMerge w:val="continue"/>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p>
        </w:tc>
        <w:tc>
          <w:tcPr>
            <w:cnfStyle w:val="1000000000000"/>
            <w:tcW w:w="1032" w:type="dxa"/>
            <w:vMerge w:val="continue"/>
            <w:shd w:val="clear" w:color="auto" w:fill="D9D9D9"/>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1"/>
                <w:bCs w:val="1"/>
                <w:sz w:val="20"/>
                <w:szCs w:val="20"/>
              </w:rPr>
            </w:pPr>
          </w:p>
        </w:tc>
        <w:tc>
          <w:tcPr>
            <w:tcW w:w="1291" w:type="dxa"/>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b w:val="1"/>
                <w:bCs w:val="1"/>
                <w:sz w:val="20"/>
                <w:szCs w:val="20"/>
                <w:rtl w:val="0"/>
                <w:lang w:val="pt-BR" w:bidi="pt-BR" w:eastAsia="pt-BR"/>
              </w:rPr>
            </w:pPr>
            <w:r>
              <w:rPr>
                <w:rFonts w:ascii="Times New Roman" w:hAnsi="Times New Roman" w:cs="Times New Roman"/>
                <w:b w:val="1"/>
                <w:bCs w:val="1"/>
                <w:sz w:val="20"/>
                <w:szCs w:val="20"/>
                <w:rtl w:val="0"/>
                <w:lang w:val="pt-BR" w:bidi="pt-BR" w:eastAsia="pt-BR"/>
              </w:rPr>
              <w:t>UNITÁRIO</w:t>
            </w:r>
          </w:p>
        </w:tc>
        <w:tc>
          <w:tcPr>
            <w:tcW w:w="953" w:type="dxa"/>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b w:val="1"/>
                <w:bCs w:val="1"/>
                <w:sz w:val="20"/>
                <w:szCs w:val="20"/>
                <w:rtl w:val="0"/>
                <w:lang w:val="pt-BR" w:bidi="pt-BR" w:eastAsia="pt-BR"/>
              </w:rPr>
            </w:pPr>
            <w:r>
              <w:rPr>
                <w:rFonts w:ascii="Times New Roman" w:hAnsi="Times New Roman" w:cs="Times New Roman"/>
                <w:b w:val="1"/>
                <w:bCs w:val="1"/>
                <w:sz w:val="20"/>
                <w:szCs w:val="20"/>
                <w:rtl w:val="0"/>
                <w:lang w:val="pt-BR" w:bidi="pt-BR" w:eastAsia="pt-BR"/>
              </w:rPr>
              <w:t>TOTAL</w:t>
            </w:r>
          </w:p>
        </w:tc>
      </w:tr>
      <w:tr>
        <w:trPr>
          <w:gridAfter w:val="0"/>
        </w:trPr>
        <w:tc>
          <w:tcPr>
            <w:tcW w:w="808"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b w:val="1"/>
                <w:bCs w:val="1"/>
                <w:sz w:val="20"/>
                <w:szCs w:val="20"/>
              </w:rPr>
              <w:t>01</w:t>
            </w:r>
          </w:p>
        </w:tc>
        <w:tc>
          <w:tcPr>
            <w:tcW w:w="4748"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20"/>
                <w:szCs w:val="20"/>
              </w:rPr>
            </w:pPr>
            <w:r>
              <w:rPr>
                <w:rFonts w:ascii="Times New Roman" w:hAnsi="Times New Roman" w:cs="Times New Roman"/>
                <w:b w:val="1"/>
                <w:bCs w:val="1"/>
                <w:sz w:val="20"/>
                <w:szCs w:val="20"/>
              </w:rPr>
              <w:t>REFORMA DA TRIBUNA DO PLENÁRIO</w:t>
            </w:r>
            <w:r>
              <w:rPr>
                <w:rFonts w:ascii="Times New Roman" w:hAnsi="Times New Roman" w:cs="Times New Roman"/>
                <w:sz w:val="20"/>
                <w:szCs w:val="20"/>
              </w:rPr>
              <w:t xml:space="preserve"> – frente curva, medindo aproximadamente 2,55 m de frente x 1,30 m de altura. Compreende a retirada integral do revestimento existente e a aplicação de novo revestimento: tampo/superfície superior em padrão </w:t>
            </w:r>
            <w:r>
              <w:rPr>
                <w:rFonts w:ascii="Times New Roman" w:hAnsi="Times New Roman" w:cs="Times New Roman"/>
                <w:b w:val="1"/>
                <w:bCs w:val="1"/>
                <w:sz w:val="20"/>
                <w:szCs w:val="20"/>
              </w:rPr>
              <w:t>GRAFITE</w:t>
            </w:r>
            <w:r>
              <w:rPr>
                <w:rFonts w:ascii="Times New Roman" w:hAnsi="Times New Roman" w:cs="Times New Roman"/>
                <w:sz w:val="20"/>
                <w:szCs w:val="20"/>
              </w:rPr>
              <w:t xml:space="preserve"> e frentes, laterais e fechamentos em GRAFITE, conforme item 4 e modelo fotográfico anexo.</w:t>
            </w:r>
          </w:p>
        </w:tc>
        <w:tc>
          <w:tcPr>
            <w:tcW w:w="80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un</w:t>
            </w:r>
          </w:p>
        </w:tc>
        <w:tc>
          <w:tcPr>
            <w:tcW w:w="103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01</w:t>
            </w:r>
          </w:p>
        </w:tc>
        <w:tc>
          <w:tcPr>
            <w:cnfStyle w:val="1000000000000"/>
            <w:tcW w:w="1291" w:type="dxa"/>
            <w:shd w:val="clear" w:color="auto" w:fill="auto"/>
            <w:noWrap w:val="0"/>
            <w:tcMar>
              <w:top w:w="80" w:type="dxa"/>
              <w:left w:w="100" w:type="dxa"/>
              <w:bottom w:w="80" w:type="dxa"/>
              <w:right w:w="100" w:type="dxa"/>
            </w:tcMar>
            <w:textDirection w:val="lrTb"/>
            <w:tcFitText w:val="0"/>
            <w:vAlign w:val="center"/>
            <w:hideMark w:val="0"/>
          </w:tcPr>
          <w:p>
            <w:pPr>
              <w:spacing w:lineRule="auto" w:line="260" w:beforeAutospacing="0" w:afterAutospacing="0"/>
              <w:jc w:val="center"/>
              <w:rPr>
                <w:rFonts w:ascii="Times New Roman" w:hAnsi="Times New Roman" w:cs="Times New Roman"/>
                <w:b w:val="0"/>
                <w:i w:val="0"/>
                <w:bCs w:val="0"/>
                <w:iCs w:val="0"/>
                <w:sz w:val="20"/>
                <w:szCs w:val="20"/>
                <w:rtl w:val="0"/>
                <w:lang w:val="pt-BR" w:bidi="pt-BR" w:eastAsia="pt-BR"/>
              </w:rPr>
            </w:pPr>
            <w:r>
              <w:rPr>
                <w:rFonts w:ascii="Times New Roman" w:hAnsi="Times New Roman" w:cs="Times New Roman"/>
                <w:b w:val="0"/>
                <w:bCs w:val="0"/>
                <w:sz w:val="20"/>
                <w:szCs w:val="20"/>
                <w:rtl w:val="0"/>
                <w:lang w:val="pt-BR" w:bidi="pt-BR" w:eastAsia="pt-BR"/>
              </w:rPr>
              <w:t>7</w:t>
            </w:r>
            <w:r>
              <w:rPr>
                <w:rFonts w:ascii="Times New Roman" w:hAnsi="Times New Roman" w:cs="Times New Roman"/>
                <w:b w:val="0"/>
                <w:bCs w:val="0"/>
                <w:sz w:val="20"/>
                <w:szCs w:val="20"/>
                <w:rtl w:val="0"/>
                <w:lang w:val="pt-BR" w:bidi="pt-BR" w:eastAsia="pt-BR"/>
              </w:rPr>
              <w:t>.</w:t>
            </w:r>
            <w:r>
              <w:rPr>
                <w:rFonts w:ascii="Times New Roman" w:hAnsi="Times New Roman" w:cs="Times New Roman"/>
                <w:b w:val="0"/>
                <w:bCs w:val="0"/>
                <w:sz w:val="20"/>
                <w:szCs w:val="20"/>
                <w:rtl w:val="0"/>
                <w:lang w:val="pt-BR" w:bidi="pt-BR" w:eastAsia="pt-BR"/>
              </w:rPr>
              <w:t>775,00</w:t>
            </w:r>
          </w:p>
        </w:tc>
        <w:tc>
          <w:tcPr>
            <w:cnfStyle w:val="1000000000000"/>
            <w:tcW w:w="953" w:type="dxa"/>
            <w:shd w:val="clear" w:color="auto" w:fill="auto"/>
            <w:noWrap w:val="0"/>
            <w:tcMar>
              <w:top w:w="80" w:type="dxa"/>
              <w:left w:w="100" w:type="dxa"/>
              <w:bottom w:w="80" w:type="dxa"/>
              <w:right w:w="100" w:type="dxa"/>
            </w:tcMar>
            <w:textDirection w:val="lrTb"/>
            <w:tcFitText w:val="0"/>
            <w:vAlign w:val="center"/>
            <w:hideMark w:val="0"/>
          </w:tcPr>
          <w:p>
            <w:pPr>
              <w:jc w:val="center"/>
              <w:rPr>
                <w:rFonts w:ascii="Times New Roman" w:hAnsi="Times New Roman" w:cs="Times New Roman"/>
                <w:b w:val="0"/>
                <w:i w:val="0"/>
                <w:bCs w:val="0"/>
                <w:iCs w:val="0"/>
                <w:sz w:val="20"/>
                <w:szCs w:val="20"/>
              </w:rPr>
            </w:pPr>
            <w:r>
              <w:rPr>
                <w:rFonts w:ascii="Times New Roman" w:hAnsi="Times New Roman" w:cs="Times New Roman"/>
                <w:b w:val="0"/>
                <w:bCs w:val="0"/>
                <w:sz w:val="20"/>
                <w:szCs w:val="20"/>
                <w:rtl w:val="0"/>
                <w:lang w:val="pt-BR" w:bidi="pt-BR" w:eastAsia="pt-BR"/>
              </w:rPr>
              <w:t>7</w:t>
            </w:r>
            <w:r>
              <w:rPr>
                <w:rFonts w:ascii="Times New Roman" w:hAnsi="Times New Roman" w:cs="Times New Roman"/>
                <w:b w:val="0"/>
                <w:bCs w:val="0"/>
                <w:sz w:val="20"/>
                <w:szCs w:val="20"/>
                <w:rtl w:val="0"/>
                <w:lang w:val="pt-BR" w:bidi="pt-BR" w:eastAsia="pt-BR"/>
              </w:rPr>
              <w:t>.</w:t>
            </w:r>
            <w:r>
              <w:rPr>
                <w:rFonts w:ascii="Times New Roman" w:hAnsi="Times New Roman" w:cs="Times New Roman"/>
                <w:b w:val="0"/>
                <w:bCs w:val="0"/>
                <w:sz w:val="20"/>
                <w:szCs w:val="20"/>
                <w:rtl w:val="0"/>
                <w:lang w:val="pt-BR" w:bidi="pt-BR" w:eastAsia="pt-BR"/>
              </w:rPr>
              <w:t>775,00</w:t>
            </w:r>
          </w:p>
        </w:tc>
      </w:tr>
      <w:tr>
        <w:trPr>
          <w:gridAfter w:val="0"/>
        </w:trPr>
        <w:tc>
          <w:tcPr>
            <w:tcW w:w="808"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b w:val="1"/>
                <w:bCs w:val="1"/>
                <w:sz w:val="20"/>
                <w:szCs w:val="20"/>
              </w:rPr>
              <w:t>02</w:t>
            </w:r>
          </w:p>
        </w:tc>
        <w:tc>
          <w:tcPr>
            <w:tcW w:w="4748"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20"/>
                <w:szCs w:val="20"/>
              </w:rPr>
            </w:pPr>
            <w:r>
              <w:rPr>
                <w:rFonts w:ascii="Times New Roman" w:hAnsi="Times New Roman" w:cs="Times New Roman"/>
                <w:b w:val="1"/>
                <w:bCs w:val="1"/>
                <w:sz w:val="20"/>
                <w:szCs w:val="20"/>
              </w:rPr>
              <w:t>REFORMA DA MESA DIRETORA CENTRAL</w:t>
            </w:r>
            <w:r>
              <w:rPr>
                <w:rFonts w:ascii="Times New Roman" w:hAnsi="Times New Roman" w:cs="Times New Roman"/>
                <w:sz w:val="20"/>
                <w:szCs w:val="20"/>
              </w:rPr>
              <w:t xml:space="preserve"> – 03 (três) lugares, frente curva, medindo aproximadamente 3,65 m de frente x 0,80 m de altura. Compreende a retirada integral do revestimento existente e a aplicação de novo revestimento: tampo em padrão GRAFITE e frentes, laterais e fechamentos em </w:t>
            </w:r>
            <w:r>
              <w:rPr>
                <w:rFonts w:ascii="Times New Roman" w:hAnsi="Times New Roman" w:cs="Times New Roman"/>
                <w:b w:val="1"/>
                <w:bCs w:val="1"/>
                <w:sz w:val="20"/>
                <w:szCs w:val="20"/>
              </w:rPr>
              <w:t>PAINEL RIPADO AMADEIRADO</w:t>
            </w:r>
            <w:r>
              <w:rPr>
                <w:rFonts w:ascii="Times New Roman" w:hAnsi="Times New Roman" w:cs="Times New Roman"/>
                <w:sz w:val="20"/>
                <w:szCs w:val="20"/>
              </w:rPr>
              <w:t>, conforme item 4 e modelo fotográfico anexo.</w:t>
            </w:r>
          </w:p>
        </w:tc>
        <w:tc>
          <w:tcPr>
            <w:tcW w:w="80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un</w:t>
            </w:r>
          </w:p>
        </w:tc>
        <w:tc>
          <w:tcPr>
            <w:tcW w:w="103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01</w:t>
            </w:r>
          </w:p>
        </w:tc>
        <w:tc>
          <w:tcPr>
            <w:cnfStyle w:val="1000000000000"/>
            <w:tcW w:w="1291" w:type="dxa"/>
            <w:shd w:val="clear" w:color="auto" w:fill="auto"/>
            <w:noWrap w:val="0"/>
            <w:tcMar>
              <w:top w:w="80" w:type="dxa"/>
              <w:left w:w="100" w:type="dxa"/>
              <w:bottom w:w="80" w:type="dxa"/>
              <w:right w:w="100" w:type="dxa"/>
            </w:tcMar>
            <w:textDirection w:val="lrTb"/>
            <w:tcFitText w:val="0"/>
            <w:vAlign w:val="center"/>
            <w:hideMark w:val="0"/>
          </w:tcPr>
          <w:p>
            <w:pPr>
              <w:jc w:val="center"/>
              <w:rPr>
                <w:rFonts w:ascii="Times New Roman" w:hAnsi="Times New Roman" w:cs="Times New Roman"/>
                <w:b w:val="0"/>
                <w:i w:val="0"/>
                <w:bCs w:val="0"/>
                <w:iCs w:val="0"/>
                <w:sz w:val="20"/>
                <w:szCs w:val="20"/>
              </w:rPr>
            </w:pPr>
            <w:r>
              <w:rPr>
                <w:rFonts w:ascii="Times New Roman" w:hAnsi="Times New Roman" w:cs="Times New Roman"/>
                <w:b w:val="0"/>
                <w:bCs w:val="0"/>
                <w:sz w:val="20"/>
                <w:szCs w:val="20"/>
                <w:rtl w:val="0"/>
                <w:lang w:val="pt-BR" w:bidi="pt-BR" w:eastAsia="pt-BR"/>
              </w:rPr>
              <w:t>6</w:t>
            </w:r>
            <w:r>
              <w:rPr>
                <w:rFonts w:ascii="Times New Roman" w:hAnsi="Times New Roman" w:cs="Times New Roman"/>
                <w:b w:val="0"/>
                <w:bCs w:val="0"/>
                <w:sz w:val="20"/>
                <w:szCs w:val="20"/>
                <w:rtl w:val="0"/>
                <w:lang w:val="pt-BR" w:bidi="pt-BR" w:eastAsia="pt-BR"/>
              </w:rPr>
              <w:t>.</w:t>
            </w:r>
            <w:r>
              <w:rPr>
                <w:rFonts w:ascii="Times New Roman" w:hAnsi="Times New Roman" w:cs="Times New Roman"/>
                <w:b w:val="0"/>
                <w:bCs w:val="0"/>
                <w:sz w:val="20"/>
                <w:szCs w:val="20"/>
                <w:rtl w:val="0"/>
                <w:lang w:val="pt-BR" w:bidi="pt-BR" w:eastAsia="pt-BR"/>
              </w:rPr>
              <w:t>520,00</w:t>
            </w:r>
          </w:p>
        </w:tc>
        <w:tc>
          <w:tcPr>
            <w:cnfStyle w:val="1000000000000"/>
            <w:tcW w:w="953" w:type="dxa"/>
            <w:shd w:val="clear" w:color="auto" w:fill="auto"/>
            <w:noWrap w:val="0"/>
            <w:tcMar>
              <w:top w:w="80" w:type="dxa"/>
              <w:left w:w="100" w:type="dxa"/>
              <w:bottom w:w="80" w:type="dxa"/>
              <w:right w:w="100" w:type="dxa"/>
            </w:tcMar>
            <w:textDirection w:val="lrTb"/>
            <w:tcFitText w:val="0"/>
            <w:vAlign w:val="center"/>
            <w:hideMark w:val="0"/>
          </w:tcPr>
          <w:p>
            <w:pPr>
              <w:jc w:val="center"/>
              <w:rPr>
                <w:rFonts w:ascii="Times New Roman" w:hAnsi="Times New Roman" w:cs="Times New Roman"/>
                <w:b w:val="0"/>
                <w:i w:val="0"/>
                <w:bCs w:val="0"/>
                <w:iCs w:val="0"/>
                <w:sz w:val="20"/>
                <w:szCs w:val="20"/>
              </w:rPr>
            </w:pPr>
            <w:r>
              <w:rPr>
                <w:rFonts w:ascii="Times New Roman" w:hAnsi="Times New Roman" w:cs="Times New Roman"/>
                <w:b w:val="0"/>
                <w:bCs w:val="0"/>
                <w:sz w:val="20"/>
                <w:szCs w:val="20"/>
                <w:rtl w:val="0"/>
                <w:lang w:val="pt-BR" w:bidi="pt-BR" w:eastAsia="pt-BR"/>
              </w:rPr>
              <w:t>6</w:t>
            </w:r>
            <w:r>
              <w:rPr>
                <w:rFonts w:ascii="Times New Roman" w:hAnsi="Times New Roman" w:cs="Times New Roman"/>
                <w:b w:val="0"/>
                <w:bCs w:val="0"/>
                <w:sz w:val="20"/>
                <w:szCs w:val="20"/>
                <w:rtl w:val="0"/>
                <w:lang w:val="pt-BR" w:bidi="pt-BR" w:eastAsia="pt-BR"/>
              </w:rPr>
              <w:t>.</w:t>
            </w:r>
            <w:r>
              <w:rPr>
                <w:rFonts w:ascii="Times New Roman" w:hAnsi="Times New Roman" w:cs="Times New Roman"/>
                <w:b w:val="0"/>
                <w:bCs w:val="0"/>
                <w:sz w:val="20"/>
                <w:szCs w:val="20"/>
                <w:rtl w:val="0"/>
                <w:lang w:val="pt-BR" w:bidi="pt-BR" w:eastAsia="pt-BR"/>
              </w:rPr>
              <w:t>520,00</w:t>
            </w:r>
          </w:p>
        </w:tc>
      </w:tr>
      <w:tr>
        <w:trPr>
          <w:gridAfter w:val="0"/>
        </w:trPr>
        <w:tc>
          <w:tcPr>
            <w:tcW w:w="808"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b w:val="1"/>
                <w:bCs w:val="1"/>
                <w:sz w:val="20"/>
                <w:szCs w:val="20"/>
              </w:rPr>
              <w:t>03</w:t>
            </w:r>
          </w:p>
        </w:tc>
        <w:tc>
          <w:tcPr>
            <w:tcW w:w="4748"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20"/>
                <w:szCs w:val="20"/>
              </w:rPr>
            </w:pPr>
            <w:r>
              <w:rPr>
                <w:rFonts w:ascii="Times New Roman" w:hAnsi="Times New Roman" w:cs="Times New Roman"/>
                <w:b w:val="1"/>
                <w:bCs w:val="1"/>
                <w:sz w:val="20"/>
                <w:szCs w:val="20"/>
              </w:rPr>
              <w:t>REFORMA DAS BANCADAS LATERAIS</w:t>
            </w:r>
            <w:r>
              <w:rPr>
                <w:rFonts w:ascii="Times New Roman" w:hAnsi="Times New Roman" w:cs="Times New Roman"/>
                <w:sz w:val="20"/>
                <w:szCs w:val="20"/>
              </w:rPr>
              <w:t xml:space="preserve"> – 04 (quatro) lugares cada, frente medindo aproximadamente 3,65 m x 0,80 m de altura. Compreende a retirada integral do revestimento existente e a aplicação de novo revestimento: tampo em padrão GRAFITE e frentes, laterais e fechamentos em </w:t>
            </w:r>
            <w:r>
              <w:rPr>
                <w:rFonts w:ascii="Times New Roman" w:hAnsi="Times New Roman" w:cs="Times New Roman"/>
                <w:b w:val="1"/>
                <w:bCs w:val="1"/>
                <w:sz w:val="20"/>
                <w:szCs w:val="20"/>
              </w:rPr>
              <w:t>PAINEL RIPADO AMADEIRADO</w:t>
            </w:r>
            <w:r>
              <w:rPr>
                <w:rFonts w:ascii="Times New Roman" w:hAnsi="Times New Roman" w:cs="Times New Roman"/>
                <w:sz w:val="20"/>
                <w:szCs w:val="20"/>
              </w:rPr>
              <w:t>, conforme item 4 e modelo fotográfico anexo.</w:t>
            </w:r>
          </w:p>
        </w:tc>
        <w:tc>
          <w:tcPr>
            <w:tcW w:w="80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un</w:t>
            </w:r>
          </w:p>
        </w:tc>
        <w:tc>
          <w:tcPr>
            <w:tcW w:w="103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02</w:t>
            </w:r>
          </w:p>
        </w:tc>
        <w:tc>
          <w:tcPr>
            <w:tcW w:w="1291" w:type="dxa"/>
            <w:tcMar>
              <w:top w:w="80" w:type="dxa"/>
              <w:left w:w="100" w:type="dxa"/>
              <w:bottom w:w="80" w:type="dxa"/>
              <w:right w:w="100" w:type="dxa"/>
            </w:tcMar>
            <w:vAlign w:val="center"/>
          </w:tcPr>
          <w:p>
            <w:pPr>
              <w:jc w:val="center"/>
              <w:rPr>
                <w:rFonts w:ascii="Times New Roman" w:hAnsi="Times New Roman" w:cs="Times New Roman"/>
                <w:b w:val="0"/>
                <w:i w:val="0"/>
                <w:bCs w:val="0"/>
                <w:iCs w:val="0"/>
                <w:sz w:val="20"/>
                <w:szCs w:val="20"/>
              </w:rPr>
            </w:pPr>
            <w:r>
              <w:rPr>
                <w:rFonts w:ascii="Times New Roman" w:hAnsi="Times New Roman" w:cs="Times New Roman"/>
                <w:b w:val="0"/>
                <w:i w:val="0"/>
                <w:bCs w:val="0"/>
                <w:iCs w:val="0"/>
                <w:sz w:val="20"/>
                <w:szCs w:val="20"/>
                <w:rtl w:val="0"/>
                <w:lang w:val="pt-BR" w:bidi="pt-BR" w:eastAsia="pt-BR"/>
              </w:rPr>
              <w:t>4</w:t>
            </w:r>
            <w:r>
              <w:rPr>
                <w:rFonts w:ascii="Times New Roman" w:hAnsi="Times New Roman" w:cs="Times New Roman"/>
                <w:b w:val="0"/>
                <w:i w:val="0"/>
                <w:bCs w:val="0"/>
                <w:iCs w:val="0"/>
                <w:sz w:val="20"/>
                <w:szCs w:val="20"/>
                <w:rtl w:val="0"/>
                <w:lang w:val="pt-BR" w:bidi="pt-BR" w:eastAsia="pt-BR"/>
              </w:rPr>
              <w:t>.</w:t>
            </w:r>
            <w:r>
              <w:rPr>
                <w:rFonts w:ascii="Times New Roman" w:hAnsi="Times New Roman" w:cs="Times New Roman"/>
                <w:b w:val="0"/>
                <w:i w:val="0"/>
                <w:bCs w:val="0"/>
                <w:iCs w:val="0"/>
                <w:sz w:val="20"/>
                <w:szCs w:val="20"/>
                <w:rtl w:val="0"/>
                <w:lang w:val="pt-BR" w:bidi="pt-BR" w:eastAsia="pt-BR"/>
              </w:rPr>
              <w:t>990,00</w:t>
            </w:r>
          </w:p>
        </w:tc>
        <w:tc>
          <w:tcPr>
            <w:tcW w:w="953" w:type="dxa"/>
            <w:tcMar>
              <w:top w:w="80" w:type="dxa"/>
              <w:left w:w="100" w:type="dxa"/>
              <w:bottom w:w="80" w:type="dxa"/>
              <w:right w:w="100" w:type="dxa"/>
            </w:tcMar>
            <w:vAlign w:val="center"/>
          </w:tcPr>
          <w:p>
            <w:pPr>
              <w:jc w:val="center"/>
              <w:rPr>
                <w:rFonts w:ascii="Times New Roman" w:hAnsi="Times New Roman" w:cs="Times New Roman"/>
                <w:b w:val="0"/>
                <w:i w:val="0"/>
                <w:bCs w:val="0"/>
                <w:iCs w:val="0"/>
                <w:sz w:val="20"/>
                <w:szCs w:val="20"/>
              </w:rPr>
            </w:pPr>
            <w:r>
              <w:rPr>
                <w:rFonts w:ascii="Times New Roman" w:hAnsi="Times New Roman" w:cs="Times New Roman"/>
                <w:b w:val="0"/>
                <w:bCs w:val="0"/>
                <w:sz w:val="20"/>
                <w:szCs w:val="20"/>
                <w:rtl w:val="0"/>
                <w:lang w:val="pt-BR" w:bidi="pt-BR" w:eastAsia="pt-BR"/>
              </w:rPr>
              <w:t>9</w:t>
            </w:r>
            <w:r>
              <w:rPr>
                <w:rFonts w:ascii="Times New Roman" w:hAnsi="Times New Roman" w:cs="Times New Roman"/>
                <w:b w:val="0"/>
                <w:bCs w:val="0"/>
                <w:sz w:val="20"/>
                <w:szCs w:val="20"/>
                <w:rtl w:val="0"/>
                <w:lang w:val="pt-BR" w:bidi="pt-BR" w:eastAsia="pt-BR"/>
              </w:rPr>
              <w:t>.</w:t>
            </w:r>
            <w:r>
              <w:rPr>
                <w:rFonts w:ascii="Times New Roman" w:hAnsi="Times New Roman" w:cs="Times New Roman"/>
                <w:b w:val="0"/>
                <w:bCs w:val="0"/>
                <w:sz w:val="20"/>
                <w:szCs w:val="20"/>
                <w:rtl w:val="0"/>
                <w:lang w:val="pt-BR" w:bidi="pt-BR" w:eastAsia="pt-BR"/>
              </w:rPr>
              <w:t>980</w:t>
            </w:r>
            <w:r>
              <w:rPr>
                <w:rFonts w:ascii="Times New Roman" w:hAnsi="Times New Roman" w:cs="Times New Roman"/>
                <w:b w:val="0"/>
                <w:bCs w:val="0"/>
                <w:sz w:val="20"/>
                <w:szCs w:val="20"/>
                <w:rtl w:val="0"/>
                <w:lang w:val="pt-BR" w:bidi="pt-BR" w:eastAsia="pt-BR"/>
              </w:rPr>
              <w:t>,00</w:t>
            </w:r>
          </w:p>
        </w:tc>
      </w:tr>
      <w:tr>
        <w:trPr>
          <w:gridAfter w:val="0"/>
        </w:trPr>
        <w:tc>
          <w:tcPr>
            <w:tcW w:w="808"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b w:val="1"/>
                <w:bCs w:val="1"/>
                <w:sz w:val="20"/>
                <w:szCs w:val="20"/>
              </w:rPr>
              <w:t>04</w:t>
            </w:r>
          </w:p>
        </w:tc>
        <w:tc>
          <w:tcPr>
            <w:tcW w:w="4748"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20"/>
                <w:szCs w:val="20"/>
              </w:rPr>
            </w:pPr>
            <w:r>
              <w:rPr>
                <w:rFonts w:ascii="Times New Roman" w:hAnsi="Times New Roman" w:cs="Times New Roman"/>
                <w:b w:val="1"/>
                <w:bCs w:val="1"/>
                <w:sz w:val="20"/>
                <w:szCs w:val="20"/>
              </w:rPr>
              <w:t>REFORMA DAS GAVETAS DAS MESAS DO PLENÁRIO</w:t>
            </w:r>
            <w:r>
              <w:rPr>
                <w:rFonts w:ascii="Times New Roman" w:hAnsi="Times New Roman" w:cs="Times New Roman"/>
                <w:sz w:val="20"/>
                <w:szCs w:val="20"/>
              </w:rPr>
              <w:t xml:space="preserve"> – medidas 70cmx54cm, com fornecimento e instalação de novas fechaduras (com 02 chaves cada) e novas corrediças telescópicas metálicas, incluindo recuperação/substituição das caixas de gaveta na cor </w:t>
            </w:r>
            <w:r>
              <w:rPr>
                <w:rFonts w:ascii="Times New Roman" w:hAnsi="Times New Roman" w:cs="Times New Roman"/>
                <w:b w:val="1"/>
                <w:bCs w:val="1"/>
                <w:sz w:val="20"/>
                <w:szCs w:val="20"/>
              </w:rPr>
              <w:t>GRAFITE</w:t>
            </w:r>
            <w:r>
              <w:rPr>
                <w:rFonts w:ascii="Times New Roman" w:hAnsi="Times New Roman" w:cs="Times New Roman"/>
                <w:sz w:val="20"/>
                <w:szCs w:val="20"/>
              </w:rPr>
              <w:t>, revestimento das frentes no mesmo padrão do conjunto, regulagem e alinhamento, conforme item 4.4.</w:t>
            </w:r>
          </w:p>
        </w:tc>
        <w:tc>
          <w:tcPr>
            <w:tcW w:w="80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un</w:t>
            </w:r>
          </w:p>
        </w:tc>
        <w:tc>
          <w:tcPr>
            <w:tcW w:w="103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20"/>
                <w:szCs w:val="20"/>
              </w:rPr>
            </w:pPr>
            <w:r>
              <w:rPr>
                <w:rFonts w:ascii="Times New Roman" w:hAnsi="Times New Roman" w:cs="Times New Roman"/>
                <w:sz w:val="20"/>
                <w:szCs w:val="20"/>
              </w:rPr>
              <w:t>11</w:t>
            </w:r>
          </w:p>
        </w:tc>
        <w:tc>
          <w:tcPr>
            <w:tcW w:w="1291" w:type="dxa"/>
            <w:tcMar>
              <w:top w:w="80" w:type="dxa"/>
              <w:left w:w="100" w:type="dxa"/>
              <w:bottom w:w="80" w:type="dxa"/>
              <w:right w:w="100" w:type="dxa"/>
            </w:tcMar>
            <w:vAlign w:val="center"/>
          </w:tcPr>
          <w:p>
            <w:pPr>
              <w:jc w:val="center"/>
              <w:rPr>
                <w:rFonts w:ascii="Times New Roman" w:hAnsi="Times New Roman" w:cs="Times New Roman"/>
                <w:b w:val="0"/>
                <w:i w:val="0"/>
                <w:bCs w:val="0"/>
                <w:iCs w:val="0"/>
                <w:sz w:val="20"/>
                <w:szCs w:val="20"/>
              </w:rPr>
            </w:pPr>
            <w:r>
              <w:rPr>
                <w:rFonts w:ascii="Times New Roman" w:hAnsi="Times New Roman" w:cs="Times New Roman"/>
                <w:b w:val="0"/>
                <w:i w:val="0"/>
                <w:bCs w:val="0"/>
                <w:iCs w:val="0"/>
                <w:sz w:val="20"/>
                <w:szCs w:val="20"/>
                <w:rtl w:val="0"/>
                <w:lang w:val="pt-BR" w:bidi="pt-BR" w:eastAsia="pt-BR"/>
              </w:rPr>
              <w:t>295,00</w:t>
            </w:r>
          </w:p>
        </w:tc>
        <w:tc>
          <w:tcPr>
            <w:tcW w:w="953" w:type="dxa"/>
            <w:tcMar>
              <w:top w:w="80" w:type="dxa"/>
              <w:left w:w="100" w:type="dxa"/>
              <w:bottom w:w="80" w:type="dxa"/>
              <w:right w:w="100" w:type="dxa"/>
            </w:tcMar>
            <w:vAlign w:val="center"/>
          </w:tcPr>
          <w:p>
            <w:pPr>
              <w:jc w:val="center"/>
              <w:rPr>
                <w:rFonts w:ascii="Times New Roman" w:hAnsi="Times New Roman" w:cs="Times New Roman"/>
                <w:b w:val="0"/>
                <w:i w:val="0"/>
                <w:bCs w:val="0"/>
                <w:iCs w:val="0"/>
                <w:sz w:val="20"/>
                <w:szCs w:val="20"/>
                <w:rtl w:val="0"/>
                <w:lang w:val="pt-BR" w:bidi="pt-BR" w:eastAsia="pt-BR"/>
              </w:rPr>
            </w:pPr>
            <w:r>
              <w:rPr>
                <w:rFonts w:ascii="Times New Roman" w:hAnsi="Times New Roman" w:cs="Times New Roman"/>
                <w:b w:val="0"/>
                <w:i w:val="0"/>
                <w:bCs w:val="0"/>
                <w:iCs w:val="0"/>
                <w:sz w:val="20"/>
                <w:szCs w:val="20"/>
                <w:rtl w:val="0"/>
                <w:lang w:val="pt-BR" w:bidi="pt-BR" w:eastAsia="pt-BR"/>
              </w:rPr>
              <w:t>3.245,00</w:t>
            </w:r>
          </w:p>
        </w:tc>
      </w:tr>
      <w:tr>
        <w:trPr>
          <w:gridAfter w:val="0"/>
        </w:trPr>
        <w:tc>
          <w:tcPr>
            <w:tcW w:w="8685" w:type="dxa"/>
            <w:gridSpan w:val="5"/>
            <w:tcMar>
              <w:top w:w="80" w:type="dxa"/>
              <w:left w:w="100" w:type="dxa"/>
              <w:bottom w:w="80" w:type="dxa"/>
              <w:right w:w="100" w:type="dxa"/>
            </w:tcMar>
            <w:vAlign w:val="center"/>
          </w:tcPr>
          <w:p>
            <w:pPr>
              <w:jc w:val="right"/>
              <w:rPr>
                <w:rFonts w:ascii="Times New Roman" w:hAnsi="Times New Roman" w:cs="Times New Roman"/>
                <w:b w:val="0"/>
                <w:i w:val="0"/>
                <w:bCs w:val="0"/>
                <w:iCs w:val="0"/>
                <w:sz w:val="20"/>
                <w:szCs w:val="20"/>
                <w:rtl w:val="0"/>
                <w:lang w:val="pt-BR" w:bidi="pt-BR" w:eastAsia="pt-BR"/>
              </w:rPr>
            </w:pPr>
            <w:r>
              <w:rPr>
                <w:rFonts w:ascii="Times New Roman" w:hAnsi="Times New Roman" w:cs="Times New Roman"/>
                <w:b w:val="1"/>
                <w:i w:val="0"/>
                <w:bCs w:val="1"/>
                <w:iCs w:val="0"/>
                <w:sz w:val="20"/>
                <w:szCs w:val="20"/>
                <w:rtl w:val="0"/>
                <w:lang w:val="pt-BR" w:bidi="pt-BR" w:eastAsia="pt-BR"/>
              </w:rPr>
              <w:t>VALOR TOTAL:</w:t>
            </w:r>
          </w:p>
        </w:tc>
        <w:tc>
          <w:tcPr>
            <w:tcW w:w="953" w:type="dxa"/>
            <w:tcMar>
              <w:top w:w="80" w:type="dxa"/>
              <w:left w:w="100" w:type="dxa"/>
              <w:bottom w:w="80" w:type="dxa"/>
              <w:right w:w="100" w:type="dxa"/>
            </w:tcMar>
            <w:vAlign w:val="center"/>
          </w:tcPr>
          <w:p>
            <w:pPr>
              <w:jc w:val="center"/>
              <w:rPr>
                <w:rFonts w:ascii="Times New Roman" w:hAnsi="Times New Roman" w:cs="Times New Roman"/>
                <w:b w:val="1"/>
                <w:i w:val="0"/>
                <w:bCs w:val="1"/>
                <w:iCs w:val="0"/>
                <w:sz w:val="22"/>
                <w:szCs w:val="22"/>
                <w:rtl w:val="0"/>
                <w:lang w:val="pt-BR" w:bidi="pt-BR" w:eastAsia="pt-BR"/>
              </w:rPr>
            </w:pPr>
            <w:r>
              <w:rPr>
                <w:rFonts w:ascii="Times New Roman" w:hAnsi="Times New Roman" w:cs="Times New Roman"/>
                <w:b w:val="1"/>
                <w:i w:val="0"/>
                <w:bCs w:val="1"/>
                <w:iCs w:val="0"/>
                <w:sz w:val="22"/>
                <w:szCs w:val="22"/>
                <w:rtl w:val="0"/>
                <w:lang w:val="pt-BR" w:bidi="pt-BR" w:eastAsia="pt-BR"/>
              </w:rPr>
              <w:t>27.520,00</w:t>
            </w:r>
          </w:p>
        </w:tc>
      </w:tr>
    </w:tbl>
    <w:p>
      <w:pPr>
        <w:jc w:val="both"/>
        <w:rPr>
          <w:rFonts w:ascii="Times New Roman" w:hAnsi="Times New Roman" w:cs="Times New Roman"/>
          <w:b w:val="1"/>
          <w:sz w:val="24"/>
          <w:szCs w:val="24"/>
        </w:rPr>
      </w:pPr>
      <w:r>
        <w:rPr>
          <w:b w:val="1"/>
          <w:i w:val="1"/>
          <w:bCs w:val="1"/>
          <w:iCs w:val="1"/>
          <w:sz w:val="19"/>
          <w:szCs w:val="19"/>
        </w:rPr>
        <w:t>As medidas indicadas são aproximadas e referem-se ao mobiliário existente; deverão ser obrigatoriamente conferidas no local pelo interessado antes da apresentação da proposta</w:t>
      </w:r>
      <w:r>
        <w:rPr>
          <w:i w:val="1"/>
          <w:iCs w:val="1"/>
          <w:sz w:val="19"/>
          <w:szCs w:val="19"/>
        </w:rPr>
        <w:t>.</w:t>
      </w:r>
    </w:p>
    <w:p>
      <w:pPr>
        <w:jc w:val="both"/>
        <w:rPr>
          <w:rFonts w:ascii="Times New Roman" w:hAnsi="Times New Roman" w:cs="Times New Roman"/>
          <w:sz w:val="24"/>
          <w:szCs w:val="24"/>
        </w:rPr>
      </w:pPr>
    </w:p>
    <w:p>
      <w:pPr>
        <w:shd w:val="clear" w:fill="D9D9D9" w:themeFill="background1" w:themeFillShade="D9"/>
        <w:jc w:val="both"/>
        <w:rPr>
          <w:rFonts w:ascii="Times New Roman" w:hAnsi="Times New Roman" w:cs="Times New Roman"/>
          <w:b w:val="1"/>
          <w:sz w:val="24"/>
          <w:szCs w:val="24"/>
        </w:rPr>
      </w:pPr>
      <w:r>
        <w:rPr>
          <w:rFonts w:ascii="Times New Roman" w:hAnsi="Times New Roman" w:cs="Times New Roman"/>
          <w:b w:val="1"/>
          <w:sz w:val="24"/>
          <w:szCs w:val="24"/>
        </w:rPr>
        <w:t>2.2. Especificações técnicas EM ANEXO.</w:t>
      </w:r>
    </w:p>
    <w:p>
      <w:pPr>
        <w:rPr>
          <w:rFonts w:ascii="Times New Roman" w:hAnsi="Times New Roman" w:cs="Times New Roman"/>
          <w:b w:val="1"/>
          <w:sz w:val="24"/>
          <w:szCs w:val="24"/>
        </w:rPr>
      </w:pPr>
    </w:p>
    <w:p>
      <w:pPr>
        <w:suppressAutoHyphens w:val="1"/>
        <w:spacing w:after="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3 – DAS CONDIÇÕES GERAIS DA CONTRATAÇÃO:</w:t>
      </w:r>
    </w:p>
    <w:p>
      <w:pPr>
        <w:suppressAutoHyphens w:val="1"/>
        <w:jc w:val="both"/>
        <w:rPr>
          <w:rFonts w:ascii="Times New Roman" w:hAnsi="Times New Roman" w:cs="Times New Roman"/>
          <w:sz w:val="24"/>
          <w:szCs w:val="24"/>
        </w:rPr>
      </w:pPr>
      <w:r>
        <w:rPr>
          <w:rFonts w:ascii="Times New Roman" w:hAnsi="Times New Roman" w:cs="Times New Roman"/>
          <w:sz w:val="24"/>
          <w:szCs w:val="24"/>
        </w:rPr>
        <w:t>3.1 - Os objetos relacionados no presente Termo de Referência são considerados bens e serviços comuns, conforme disposto no art. 6º, inciso XIII, da Lei Federal nº 14.133/2021, uma vez que os padrões de desempenho e qualidade podem ser objetivamente definidos por meio de especificações usuais de mercado.</w:t>
      </w:r>
    </w:p>
    <w:p>
      <w:pPr>
        <w:suppressAutoHyphens w:val="1"/>
        <w:jc w:val="both"/>
        <w:rPr>
          <w:rFonts w:ascii="Times New Roman" w:hAnsi="Times New Roman" w:cs="Times New Roman"/>
          <w:sz w:val="24"/>
          <w:szCs w:val="24"/>
        </w:rPr>
      </w:pPr>
    </w:p>
    <w:p>
      <w:pPr>
        <w:suppressAutoHyphens w:val="1"/>
        <w:jc w:val="both"/>
        <w:rPr>
          <w:rFonts w:ascii="Times New Roman" w:hAnsi="Times New Roman" w:cs="Times New Roman"/>
          <w:sz w:val="24"/>
          <w:szCs w:val="24"/>
        </w:rPr>
      </w:pPr>
      <w:r>
        <w:rPr>
          <w:rFonts w:ascii="Times New Roman" w:hAnsi="Times New Roman" w:cs="Times New Roman"/>
          <w:sz w:val="24"/>
          <w:szCs w:val="24"/>
        </w:rPr>
        <w:t xml:space="preserve">3.2 - A presente licitação será realizada na modalidade de Dispensa Eletrônica, nos termos do art. 75, inciso II, da Lei Federal nº 14.133/2021. </w:t>
      </w:r>
    </w:p>
    <w:p>
      <w:pPr>
        <w:suppressAutoHyphens w:val="1"/>
        <w:jc w:val="both"/>
        <w:rPr>
          <w:rFonts w:ascii="Times New Roman" w:hAnsi="Times New Roman" w:cs="Times New Roman"/>
          <w:sz w:val="24"/>
          <w:szCs w:val="24"/>
        </w:rPr>
      </w:pPr>
    </w:p>
    <w:p>
      <w:pPr>
        <w:suppressAutoHyphens w:val="1"/>
        <w:jc w:val="both"/>
        <w:rPr>
          <w:rFonts w:ascii="Times New Roman" w:hAnsi="Times New Roman" w:cs="Times New Roman"/>
          <w:b w:val="1"/>
          <w:sz w:val="24"/>
          <w:szCs w:val="24"/>
        </w:rPr>
      </w:pPr>
      <w:r>
        <w:rPr>
          <w:rFonts w:ascii="Times New Roman" w:hAnsi="Times New Roman" w:cs="Times New Roman"/>
          <w:b w:val="1"/>
          <w:sz w:val="24"/>
          <w:szCs w:val="24"/>
        </w:rPr>
        <w:t>4 – DA FUNDAMENTAÇÃO E DESCRIÇÃO DA NECESSIDADE DA CONTRATAÇÃO:</w:t>
      </w:r>
    </w:p>
    <w:p>
      <w:pPr>
        <w:suppressAutoHyphens w:val="1"/>
        <w:jc w:val="both"/>
        <w:rPr>
          <w:rFonts w:ascii="Times New Roman" w:hAnsi="Times New Roman" w:cs="Times New Roman"/>
          <w:b w:val="1"/>
          <w:sz w:val="24"/>
          <w:szCs w:val="24"/>
        </w:rPr>
      </w:pPr>
    </w:p>
    <w:p>
      <w:pPr>
        <w:spacing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4.1 - A contratação fundamenta-se no inciso II, art. 75 da Lei nº 14.133/2021, que aduz que: </w:t>
      </w:r>
    </w:p>
    <w:p>
      <w:pPr>
        <w:ind w:left="1134"/>
        <w:jc w:val="both"/>
        <w:rPr>
          <w:rFonts w:ascii="Times New Roman" w:hAnsi="Times New Roman" w:cs="Times New Roman"/>
          <w:sz w:val="24"/>
          <w:szCs w:val="24"/>
        </w:rPr>
      </w:pPr>
      <w:r>
        <w:rPr>
          <w:rFonts w:ascii="Times New Roman" w:hAnsi="Times New Roman" w:cs="Times New Roman"/>
          <w:sz w:val="24"/>
          <w:szCs w:val="24"/>
        </w:rPr>
        <w:t xml:space="preserve">Art. 75. É dispensável a licitação: </w:t>
      </w:r>
    </w:p>
    <w:p>
      <w:pPr>
        <w:ind w:left="1134"/>
        <w:jc w:val="both"/>
        <w:rPr>
          <w:rFonts w:ascii="Times New Roman" w:hAnsi="Times New Roman" w:cs="Times New Roman"/>
          <w:sz w:val="24"/>
          <w:szCs w:val="24"/>
        </w:rPr>
      </w:pPr>
      <w:r>
        <w:rPr>
          <w:rFonts w:ascii="Times New Roman" w:hAnsi="Times New Roman" w:cs="Times New Roman"/>
          <w:sz w:val="24"/>
          <w:szCs w:val="24"/>
        </w:rPr>
        <w:t xml:space="preserve">(...) </w:t>
      </w:r>
    </w:p>
    <w:p>
      <w:pPr>
        <w:ind w:left="1134"/>
        <w:jc w:val="both"/>
        <w:rPr>
          <w:rFonts w:ascii="Times New Roman" w:hAnsi="Times New Roman" w:cs="Times New Roman"/>
          <w:sz w:val="24"/>
          <w:szCs w:val="24"/>
        </w:rPr>
      </w:pPr>
      <w:r>
        <w:rPr>
          <w:rFonts w:ascii="Times New Roman" w:hAnsi="Times New Roman" w:cs="Times New Roman"/>
          <w:sz w:val="24"/>
          <w:szCs w:val="24"/>
        </w:rPr>
        <w:t xml:space="preserve">II - para contratação que envolva valores inferiores a R$ 50.000,00 (cinquenta mil reais), no caso de outros serviços e compras; (Vide Decreto nº 10.922, de 2021) (Vigência) (Vide Decreto nº 11.317, de 2022) Vigência (Vide Decreto nº 11.871, de 2023) Vigência (Vide Decreto nº 12.343, de 2024) Vigência (Vide Decreto nº 12.807, de 2025) Vigência; </w:t>
      </w:r>
    </w:p>
    <w:p>
      <w:pPr>
        <w:ind w:left="1134"/>
        <w:jc w:val="both"/>
        <w:rPr>
          <w:rFonts w:ascii="Times New Roman" w:hAnsi="Times New Roman" w:cs="Times New Roman"/>
          <w:sz w:val="24"/>
          <w:szCs w:val="24"/>
        </w:rPr>
      </w:pPr>
      <w:r>
        <w:rPr>
          <w:rFonts w:ascii="Times New Roman" w:hAnsi="Times New Roman" w:cs="Times New Roman"/>
          <w:sz w:val="24"/>
          <w:szCs w:val="24"/>
        </w:rPr>
        <w:t>(...)</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4.2. A contratação de empresa especializada em reforma, e conserto dos mobiliários justifica-se pela necessidade de restabelecer o perfeito estado de uso dos móveis, garantindo durabilidade, funcionalidade, melhoria estética e a satisfação para os vereadores, priorizando funcionalidade, padronização estética e integração com a identidade visual do Poder Legislativo Municipal.</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4.3. Redução de gastos com a aquisição de novos mobiliários, aproveitando os móveis já existentes no Espaço Qualidade de Vida, que poderão ser reformados, reparados e/ou recuperados. Para esse fim, entende-se que, sob a ótica de custo-benefício, é a mais vantajosa para a Administração, pois permite a continuidade de uso dos móveis atuais, promovendo o reaproveitamento do mobiliário disponível.</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4.4. Ressalta-se que o reaproveitamento do mobiliário mencionado preservará as características originais, reduzirá custos para a administração pública e fortalecerá as ações de gestão da manutenção, adotando medidas claras para conservação e aprimoramento do patrimônio.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4.5. A bancada atual destinada ao uso dos edis é composta por um conjunto de três módulos, sendo duas bancadas e uma mesa diretora, alocadas uma ao lado da outra, e a Tribuna, a maioria estão deterioradas devido ao tempo de uso, algumas com a lateral soltando, com gavetas estragadas, inclusive do Presidente.</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4.5.1. O objeto da contratação não está previsto no Plano de Contratações Anual 2026 (PCA).</w:t>
      </w:r>
    </w:p>
    <w:p>
      <w:pPr>
        <w:spacing w:before="120" w:beforeAutospacing="0" w:afterAutospacing="0"/>
        <w:jc w:val="both"/>
        <w:rPr>
          <w:rFonts w:ascii="Times New Roman" w:hAnsi="Times New Roman" w:cs="Times New Roman"/>
          <w:sz w:val="24"/>
          <w:szCs w:val="24"/>
        </w:rPr>
      </w:pPr>
    </w:p>
    <w:p>
      <w:pPr>
        <w:suppressAutoHyphens w:val="1"/>
        <w:jc w:val="both"/>
        <w:rPr>
          <w:rFonts w:ascii="Times New Roman" w:hAnsi="Times New Roman" w:cs="Times New Roman"/>
          <w:b w:val="1"/>
          <w:sz w:val="24"/>
          <w:szCs w:val="24"/>
        </w:rPr>
      </w:pPr>
      <w:r>
        <w:rPr>
          <w:rFonts w:ascii="Times New Roman" w:hAnsi="Times New Roman" w:cs="Times New Roman"/>
          <w:b w:val="1"/>
          <w:sz w:val="24"/>
          <w:szCs w:val="24"/>
        </w:rPr>
        <w:t xml:space="preserve">5 – DA DESCRIÇÃO DA SOLUÇÃO COMO UM TODO: </w:t>
      </w:r>
    </w:p>
    <w:p>
      <w:pPr>
        <w:spacing w:before="120" w:beforeAutospacing="0" w:afterAutospacing="0"/>
        <w:jc w:val="both"/>
        <w:rPr>
          <w:rFonts w:ascii="Times New Roman" w:hAnsi="Times New Roman" w:cs="Times New Roman"/>
          <w:sz w:val="24"/>
          <w:szCs w:val="24"/>
          <w:lang w:val="pt-BR" w:eastAsia="pt-BR"/>
        </w:rPr>
      </w:pPr>
      <w:r>
        <w:rPr>
          <w:rFonts w:ascii="Times New Roman" w:hAnsi="Times New Roman" w:cs="Times New Roman"/>
          <w:sz w:val="24"/>
          <w:szCs w:val="24"/>
          <w:lang w:eastAsia="pt-BR"/>
        </w:rPr>
        <w:t xml:space="preserve">5.1. </w:t>
      </w:r>
      <w:r>
        <w:rPr>
          <w:rFonts w:ascii="Times New Roman" w:hAnsi="Times New Roman" w:cs="Times New Roman"/>
          <w:sz w:val="24"/>
          <w:szCs w:val="24"/>
          <w:lang w:val="pt-BR" w:eastAsia="pt-BR"/>
        </w:rPr>
        <w:t>A presente contratação tem por objeto o serviço de reforma de bens móveis, para o Plenário do Poder Legislativo Municipal de Diamantino/MT, abrangendo todas as etapas necessárias para restabelecer suas condições de uso, segurança, funcionalidade e aparência, conforme especificações, quantidades e padrões definidos no Termo de Referência.</w:t>
      </w:r>
    </w:p>
    <w:p>
      <w:pPr>
        <w:spacing w:before="120" w:beforeAutospacing="0" w:afterAutospacing="0"/>
        <w:jc w:val="both"/>
        <w:rPr>
          <w:rFonts w:ascii="Times New Roman" w:hAnsi="Times New Roman" w:cs="Times New Roman"/>
          <w:sz w:val="24"/>
          <w:szCs w:val="24"/>
          <w:lang w:val="pt-BR" w:eastAsia="pt-BR"/>
        </w:rPr>
      </w:pPr>
      <w:r>
        <w:rPr>
          <w:rFonts w:ascii="Times New Roman" w:hAnsi="Times New Roman" w:cs="Times New Roman"/>
          <w:sz w:val="24"/>
          <w:szCs w:val="24"/>
          <w:lang w:val="pt-BR" w:eastAsia="pt-BR"/>
        </w:rPr>
        <w:t>5.2. A solução compreende, conforme a necessidade de cada item, a desmontagem, avaliação técnica, substituição ou recuperação de componentes, reparos estruturais, reforço de peças, serviços de marcenaria, serralheria, lixamento, envernizamento, polimento, acabamento e remontagem. Inclui também o fornecimento de materiais, peças, ferragens, insumos, equipamentos e mão de obra especializada necessários à completa execução dos serviços.</w:t>
      </w:r>
    </w:p>
    <w:p>
      <w:pPr>
        <w:spacing w:before="120" w:beforeAutospacing="0" w:afterAutospacing="0"/>
        <w:jc w:val="both"/>
        <w:rPr>
          <w:rFonts w:ascii="Times New Roman" w:hAnsi="Times New Roman" w:cs="Times New Roman"/>
          <w:sz w:val="24"/>
          <w:szCs w:val="24"/>
          <w:lang w:val="pt-BR" w:eastAsia="pt-BR"/>
        </w:rPr>
      </w:pPr>
      <w:r>
        <w:rPr>
          <w:rFonts w:ascii="Times New Roman" w:hAnsi="Times New Roman" w:cs="Times New Roman"/>
          <w:sz w:val="24"/>
          <w:szCs w:val="24"/>
          <w:lang w:eastAsia="pt-BR"/>
        </w:rPr>
        <w:t xml:space="preserve">5.3. </w:t>
      </w:r>
      <w:r>
        <w:rPr>
          <w:rFonts w:ascii="Times New Roman" w:hAnsi="Times New Roman" w:cs="Times New Roman"/>
          <w:sz w:val="24"/>
          <w:szCs w:val="24"/>
          <w:lang w:val="pt-BR" w:eastAsia="pt-BR"/>
        </w:rPr>
        <w:t>A contratada será responsável pela retirada dos móveis nos locais indicados pela Administração, quando prevista, pelo transporte adequado até o local de execução, pela proteção e conservação dos bens durante o serviço e pela posterior entrega e instalação. Os móveis deverão ser devolvidos limpos, montados e em perfeitas condições de funcionamento, sem danos ou alterações não autorizadas.</w:t>
      </w:r>
    </w:p>
    <w:p>
      <w:pPr>
        <w:spacing w:before="120" w:beforeAutospacing="0" w:afterAutospacing="0"/>
        <w:jc w:val="both"/>
        <w:rPr>
          <w:rFonts w:ascii="Times New Roman" w:hAnsi="Times New Roman" w:cs="Times New Roman"/>
          <w:sz w:val="24"/>
          <w:szCs w:val="24"/>
          <w:lang w:val="pt-BR" w:eastAsia="pt-BR"/>
        </w:rPr>
      </w:pPr>
      <w:r>
        <w:rPr>
          <w:rFonts w:ascii="Times New Roman" w:hAnsi="Times New Roman" w:cs="Times New Roman"/>
          <w:sz w:val="24"/>
          <w:szCs w:val="24"/>
          <w:lang w:eastAsia="pt-BR"/>
        </w:rPr>
        <w:t xml:space="preserve">5.4. </w:t>
      </w:r>
      <w:r>
        <w:rPr>
          <w:rFonts w:ascii="Times New Roman" w:hAnsi="Times New Roman" w:cs="Times New Roman"/>
          <w:sz w:val="24"/>
          <w:szCs w:val="24"/>
          <w:lang w:val="pt-BR" w:eastAsia="pt-BR"/>
        </w:rPr>
        <w:t>A solução busca prolongar a vida útil do mobiliário, recuperar bens ainda economicamente aproveitáveis, reduzir custos com novas aquisições, evitar descarte prematuro e promover maior eficiência no uso dos recursos públicos, observando critérios de economicidade, sustentabilidade e interesse público.</w:t>
      </w:r>
    </w:p>
    <w:p>
      <w:pPr>
        <w:spacing w:before="120" w:beforeAutospacing="0" w:afterAutospacing="0"/>
        <w:jc w:val="both"/>
        <w:rPr>
          <w:rFonts w:ascii="Times New Roman" w:hAnsi="Times New Roman" w:cs="Times New Roman"/>
          <w:sz w:val="24"/>
          <w:szCs w:val="24"/>
          <w:lang w:eastAsia="pt-BR"/>
        </w:rPr>
      </w:pPr>
    </w:p>
    <w:p>
      <w:pPr>
        <w:suppressAutoHyphens w:val="1"/>
        <w:jc w:val="both"/>
        <w:rPr>
          <w:rFonts w:ascii="Times New Roman" w:hAnsi="Times New Roman" w:cs="Times New Roman"/>
          <w:b w:val="1"/>
          <w:sz w:val="24"/>
          <w:szCs w:val="24"/>
        </w:rPr>
      </w:pPr>
      <w:r>
        <w:rPr>
          <w:rFonts w:ascii="Times New Roman" w:hAnsi="Times New Roman" w:cs="Times New Roman"/>
          <w:b w:val="1"/>
          <w:sz w:val="24"/>
          <w:szCs w:val="24"/>
        </w:rPr>
        <w:t>6 – DOS REQUISITOS DA CONTRATAÇÃO:</w:t>
      </w:r>
    </w:p>
    <w:p>
      <w:pPr>
        <w:spacing w:before="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6.1. Obrigações da Contratada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 Executar todos os serviços contratados em conformidade com as características exigidas neste Termo de Referência e de acordo com a legislação vigente pertinente, sendo vedadas soluções alternativas para consecução do objeto, ressalvadas as hipóteses de expressa anuência por parte da Administração.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6.1.2. Efetuar o serviço dentro das especificações e/ou condições constantes da cotação vencedora e em conformidade com este Termo de Referência.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6.1.3. Substituir, no total ou em parte, qualquer material que se apresente com a qualidade comprometida, vícios, defeitos ou incorreções resultantes da reforma ou em desacordo com as especificações descritas neste Termo de Referência, no prazo de até 05 (cinco) dias úteis, contados a partir da notificação da Câmara Municipal de Diamantino/MT, sem qualquer custo para este órgão.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6.1.4. Aceitar, nas mesmas condições contratuais, os acréscimos ou supressões, até o limite de 25% (vinte e cinco por cento) do valor inicial atualizado do contrato, desde que a despesa não esteja liquidada.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6.1.5. Responsabilizar-se pela remoção de todos os materiais e embalagens utilizados na entrega do objeto fornecido.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6.1.6. Assumir todos os possíveis danos, tanto físicos, quanto materiais, causados à Câmara Municipal de Diamantino e/ou terceiros, advindos de imperícia, negligência, imprudência ou desrespeito às normas de segurança, quando da execução dos serviços.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6.1.7. Prestar todos os esclarecimentos que forem solicitados pela Câmara Municipal de Diamantino, obrigando-se a atender, de imediato, todas as reclamações a respeito da qualidade dos materiais fornecidos.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6.1.8. Garantir a proteção e segurança das pessoas envolvidas direta ou indiretamente na entrega do objeto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6.1.9. Arcar com despesa decorrente de qualquer infração, seja qual for, desde que praticada por seus empregados quando da entrega dos materiais.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6.1.10. Atender prontamente todas as solicitações da Câmara Municipal de Diamantino previstas no Termo de Referência.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6.1.11. Cumprir com as demais obrigações constantes deste Termo de Referência.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6.1.12. Responsabilizar-se em relação aos seus empregados por todas as despesas decorrentes da execução dos serviços, tais como: salários, taxas, impostos, indenizações, vale-refeição, vale-transporte, contribuições e outras que venham a ser exigidas.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6.1.13. Reparar, corrigir, remover, constituir ou refazer, às suas expensas, os itens nos quais se verificarem defeitos e incorreções, assim como os materiais que estiverem em desacordo com os padrões dos bens.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6.1.14. Prestar todos os esclarecimentos que forem solicitados pelo Contratante, bem como cumprir todas as exigências e prazos definidos neste instrumento.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6.1.15. Responsabilizar-se pelos danos causados direta ou indiretamente à Administração ou a terceiros, decorrentes de ação/omissão seus empregados, prepostos ou mandatários, quando da execução dos serviços objeto do contrato.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6.1.16. Retirar e entregar os bens nas dependências do Contratante, sem ônus adicional ao valor da contratação.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6.1.17. Emitir, para efeito de pagamento, documento fiscal constando a relação dos bens reformados, com seus respectivos números de patrimônio, quando entrega dos bens reformados.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6.1.18. Responder pelos vícios e defeitos nos bens reformados e assumir as despesas que se fizerem necessárias para adimplemento das obrigações, decorrentes da realização dos serviços, além de providenciar a imediata correção das deficiências, falhas ou irregularidades apontadas pelo Executor do contrato.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6.1.19. Dispor de pessoal técnico qualificado para execução dos serviços contratados, bem como de eventuais instrumentos/materiais.</w:t>
      </w:r>
    </w:p>
    <w:p>
      <w:pPr>
        <w:jc w:val="both"/>
        <w:rPr>
          <w:rFonts w:ascii="Times New Roman" w:hAnsi="Times New Roman" w:cs="Times New Roman"/>
          <w:sz w:val="24"/>
          <w:szCs w:val="24"/>
        </w:rPr>
      </w:pPr>
    </w:p>
    <w:p>
      <w:pPr>
        <w:spacing w:before="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6.2. Subcontratação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6.2.1. Não é admitida a subcontratação do objeto contratual.</w:t>
      </w:r>
    </w:p>
    <w:p>
      <w:pPr>
        <w:spacing w:before="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6.3. Garantia da Contratação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6.3.1. Tendo em vista o objeto da pretensa contratação não haverá exigência da garantia da contratação, conforme artigos 96 ao 102, da Lei Federal n.º 14.133, de 2021 e alterações vigentes.</w:t>
      </w:r>
    </w:p>
    <w:p>
      <w:pPr>
        <w:spacing w:before="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6.3.2. Garantia dos serviços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6.3.2.1. Garantia: mínima de 12 (doze) meses, contados do recebimento definitivo, abrangendo materiais empregados e mão de obra</w:t>
      </w:r>
    </w:p>
    <w:p>
      <w:pPr>
        <w:spacing w:before="24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6.4. VISTORIA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6.4.1. </w:t>
      </w:r>
      <w:r>
        <w:rPr>
          <w:rFonts w:ascii="Times New Roman" w:hAnsi="Times New Roman" w:cs="Times New Roman"/>
          <w:b w:val="1"/>
          <w:bCs w:val="1"/>
          <w:sz w:val="24"/>
          <w:szCs w:val="24"/>
        </w:rPr>
        <w:t>A avaliação prévia dos mobiliários é facultativa, porém imprescindível</w:t>
      </w:r>
      <w:r>
        <w:rPr>
          <w:rFonts w:ascii="Times New Roman" w:hAnsi="Times New Roman" w:cs="Times New Roman"/>
          <w:sz w:val="24"/>
          <w:szCs w:val="24"/>
        </w:rPr>
        <w:t xml:space="preserve"> para o conhecimento pleno das condições e peculiaridades do objeto a ser contratado, sendo assegurado ao interessado o direito de realização de vistoria prévia, acompanhado por servidor designado para esse fim, segunda-feira das 07h às 11h e das 13h às 17h, e de terça à sexta-feira, das 12h às 18h.</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6.4.2. Serão disponibilizados data e horário diferentes aos interessados em realizar a vistoria prévia.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6.4.3. Para a vistoria, o representante legal da empresa ou responsável técnico deverá estar devidamente identificado, apresentando documento de identidade civil e documento expedido pela empresa comprovando sua habilitação para a realização da vistoria.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6.4.4. A visita poderá ser agendada previamente pelo telefone (65) 3336-1419 junto a Câmara Municipal de Diamantino; no endereço: Av. Desembargador JPF Mendes, 2345, Jd Eldorado; ou pelo e-mail: licita@diamantino.mt.</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6.4.5. </w:t>
      </w:r>
      <w:r>
        <w:rPr>
          <w:rFonts w:ascii="Times New Roman" w:hAnsi="Times New Roman" w:cs="Times New Roman"/>
          <w:sz w:val="24"/>
          <w:szCs w:val="24"/>
          <w:u w:val="single"/>
        </w:rPr>
        <w:t>Caso o interessado opte por não realizar a vistoria, deverá prestar declaração formal assinada por seu responsável técnico acerca do conhecimento pleno das condições e peculiaridades da contratação</w:t>
      </w:r>
      <w:r>
        <w:rPr>
          <w:rFonts w:ascii="Times New Roman" w:hAnsi="Times New Roman" w:cs="Times New Roman"/>
          <w:sz w:val="24"/>
          <w:szCs w:val="24"/>
        </w:rPr>
        <w:t xml:space="preserve">. </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6.4.6. </w:t>
      </w:r>
      <w:r>
        <w:rPr>
          <w:rFonts w:ascii="Times New Roman" w:hAnsi="Times New Roman" w:cs="Times New Roman"/>
          <w:b w:val="1"/>
          <w:bCs w:val="1"/>
          <w:sz w:val="24"/>
          <w:szCs w:val="24"/>
          <w:u w:val="single"/>
        </w:rPr>
        <w:t>A não realização da vistoria não poderá embasar posteriores alegações de desconhecimento das condições e especificações dos mobiliários</w:t>
      </w:r>
      <w:r>
        <w:rPr>
          <w:rFonts w:ascii="Times New Roman" w:hAnsi="Times New Roman" w:cs="Times New Roman"/>
          <w:sz w:val="24"/>
          <w:szCs w:val="24"/>
        </w:rPr>
        <w:t>, dúvidas ou esquecimentos de quaisquer detalhes para a prestação dos serviços, devendo o contratado assumir os ônus dos serviços decorrentes.</w:t>
      </w:r>
    </w:p>
    <w:p>
      <w:pPr>
        <w:jc w:val="both"/>
        <w:rPr>
          <w:rFonts w:ascii="Times New Roman" w:hAnsi="Times New Roman" w:cs="Times New Roman"/>
          <w:sz w:val="24"/>
          <w:szCs w:val="24"/>
        </w:rPr>
      </w:pPr>
    </w:p>
    <w:p>
      <w:pPr>
        <w:spacing w:before="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6.5. Obrigações da Contratante</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6.5.1. Acompanhar, controlar, fiscalizar e avaliar o cumprimento do objeto desta contratação, solicitando à contratada todas as providências necessárias ao bom andamento do serviço.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6.5.2. Efetuar o pagamento mediante comprovação do fornecimento do objeto, no prazo e forma ajustados neste Termo de Referência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6.5.3. Rejeitar ou recusar, no todo ou em parte, o recebimento do objeto e/ou materiais entregues que não estiver em conformidade com as especificações constantes da proposta apresentada pela CONTRATADA.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6.5.4. Comunicar e notificar à CONTRATADA qualquer irregularidade verificada no cumprimento do objeto desta contratação, determinando, de imediato, a adoção de medidas necessárias à solução dos problemas.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6.5.5. Prestar todas as informações e esclarecimentos referentes ao objeto, que venham a ser solicitadas pela CONTRATADA, necessários ao cumprimento do objeto desta contratação.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6.5.6. Receber o objeto no dia previamente agendado, no horário de funcionamento da unidade responsável pelo recebimento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6.5.7. O representante da administração deverá comunicar à autoridade superior, em tempo hábil e por escrito, as situações que impliquem em atraso e descumprimento de dispositivos constantes deste Termo, para adoção dos procedimentos necessários à aplicação das sanções cabíveis, resguardados os Princípios do Contraditório e da Ampla Defesa.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6.5.8. Permitir acesso do pessoal da Contratada às dependências da Câmara Municipal de Diamantino para a entrega e/ou troca do objeto contratado, respeitadas as normas que disciplinam a segurança do patrimônio e das pessoas.</w:t>
      </w:r>
    </w:p>
    <w:p>
      <w:pPr>
        <w:spacing w:before="120" w:beforeAutospacing="0" w:afterAutospacing="0"/>
        <w:jc w:val="both"/>
        <w:rPr>
          <w:rFonts w:ascii="Times New Roman" w:hAnsi="Times New Roman" w:cs="Times New Roman"/>
          <w:sz w:val="24"/>
          <w:szCs w:val="24"/>
          <w:lang w:eastAsia="pt-BR"/>
        </w:rPr>
      </w:pPr>
      <w:r>
        <w:rPr>
          <w:rFonts w:ascii="Times New Roman" w:hAnsi="Times New Roman" w:cs="Times New Roman"/>
          <w:sz w:val="24"/>
          <w:szCs w:val="24"/>
        </w:rPr>
        <w:t>6.5.9. Cumprir as demais obrigações constantes deste Termo de Referência</w:t>
      </w:r>
      <w:r>
        <w:rPr>
          <w:rFonts w:ascii="Times New Roman" w:hAnsi="Times New Roman" w:cs="Times New Roman"/>
          <w:sz w:val="24"/>
          <w:szCs w:val="24"/>
          <w:lang w:eastAsia="pt-BR"/>
        </w:rPr>
        <w:t>.</w:t>
      </w:r>
    </w:p>
    <w:p>
      <w:pPr>
        <w:suppressAutoHyphens w:val="1"/>
        <w:spacing w:before="24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 xml:space="preserve">7 – </w:t>
      </w:r>
      <w:r>
        <w:rPr>
          <w:rFonts w:ascii="Times New Roman" w:hAnsi="Times New Roman" w:cs="Times New Roman"/>
          <w:b w:val="1"/>
          <w:bCs w:val="1"/>
          <w:sz w:val="24"/>
          <w:szCs w:val="24"/>
        </w:rPr>
        <w:t>MODELO DE EXECUÇÃO DO OBJETO</w:t>
      </w:r>
    </w:p>
    <w:p>
      <w:pPr>
        <w:suppressAutoHyphens w:val="1"/>
        <w:spacing w:before="120" w:beforeAutospacing="0" w:afterAutospacing="0"/>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7.1. </w:t>
      </w:r>
      <w:r>
        <w:rPr>
          <w:rFonts w:ascii="Times New Roman" w:hAnsi="Times New Roman" w:cs="Times New Roman"/>
          <w:b w:val="1"/>
          <w:bCs w:val="1"/>
          <w:sz w:val="24"/>
          <w:szCs w:val="24"/>
        </w:rPr>
        <w:t>Condições de execução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7.1.1. Levantamento Inicial: a empresa </w:t>
      </w:r>
      <w:r>
        <w:rPr>
          <w:rFonts w:ascii="Times New Roman" w:hAnsi="Times New Roman" w:cs="Times New Roman"/>
          <w:b w:val="1"/>
          <w:bCs w:val="1"/>
          <w:sz w:val="24"/>
          <w:szCs w:val="24"/>
        </w:rPr>
        <w:t>deverá realizar uma visita para avaliar as condições dos mobiliários</w:t>
      </w:r>
      <w:r>
        <w:rPr>
          <w:rFonts w:ascii="Times New Roman" w:hAnsi="Times New Roman" w:cs="Times New Roman"/>
          <w:sz w:val="24"/>
          <w:szCs w:val="24"/>
        </w:rPr>
        <w:t xml:space="preserve">, conforme constantes na tabela do item 2.1 e apresentar proposta. </w:t>
      </w:r>
    </w:p>
    <w:p>
      <w:pPr>
        <w:pStyle w:val="P13"/>
        <w:numPr>
          <w:ilvl w:val="0"/>
          <w:numId w:val="10"/>
        </w:numPr>
        <w:spacing w:before="120" w:beforeAutospacing="0" w:afterAutospacing="0"/>
        <w:ind w:left="1134"/>
        <w:jc w:val="both"/>
        <w:rPr>
          <w:rFonts w:ascii="Times New Roman" w:hAnsi="Times New Roman" w:cs="Times New Roman"/>
          <w:sz w:val="24"/>
          <w:szCs w:val="24"/>
        </w:rPr>
      </w:pPr>
      <w:r>
        <w:rPr>
          <w:rFonts w:ascii="Times New Roman" w:hAnsi="Times New Roman" w:cs="Times New Roman"/>
          <w:sz w:val="24"/>
          <w:szCs w:val="24"/>
        </w:rPr>
        <w:t>Especificações técnicas com modelo fotográfica em anexo</w:t>
      </w:r>
      <w:r>
        <w:t>.</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7.1.2. </w:t>
      </w:r>
      <w:r>
        <w:rPr>
          <w:rFonts w:ascii="Times New Roman" w:hAnsi="Times New Roman" w:cs="Times New Roman"/>
          <w:b w:val="1"/>
          <w:bCs w:val="1"/>
          <w:sz w:val="24"/>
          <w:szCs w:val="24"/>
        </w:rPr>
        <w:t>Elaboração de Proposta</w:t>
      </w:r>
      <w:r>
        <w:rPr>
          <w:rFonts w:ascii="Times New Roman" w:hAnsi="Times New Roman" w:cs="Times New Roman"/>
          <w:sz w:val="24"/>
          <w:szCs w:val="24"/>
        </w:rPr>
        <w:t>: a proposta deve incluir detalhes sobre os materiais a serem utilizados, prazos e custos, conforme requisitos exigidos pela Contratante.</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7.1.3. </w:t>
      </w:r>
      <w:r>
        <w:rPr>
          <w:rFonts w:ascii="Times New Roman" w:hAnsi="Times New Roman" w:cs="Times New Roman"/>
          <w:b w:val="1"/>
          <w:bCs w:val="1"/>
          <w:sz w:val="24"/>
          <w:szCs w:val="24"/>
        </w:rPr>
        <w:t>Execução dos Serviços</w:t>
      </w:r>
      <w:r>
        <w:rPr>
          <w:rFonts w:ascii="Times New Roman" w:hAnsi="Times New Roman" w:cs="Times New Roman"/>
          <w:sz w:val="24"/>
          <w:szCs w:val="24"/>
        </w:rPr>
        <w:t xml:space="preserve">: </w:t>
      </w:r>
    </w:p>
    <w:p>
      <w:pPr>
        <w:pStyle w:val="P13"/>
        <w:numPr>
          <w:ilvl w:val="0"/>
          <w:numId w:val="22"/>
        </w:num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Os serviços serão executados integralmente nas dependências da empresa contratada, sendo de sua inteira responsabilidade a retirada do mobiliário na sede da Câmara Municipal de Diamantino/MT e a posterior devolução e reinstalação no local de origem.</w:t>
      </w:r>
    </w:p>
    <w:p>
      <w:pPr>
        <w:pStyle w:val="P13"/>
        <w:numPr>
          <w:ilvl w:val="0"/>
          <w:numId w:val="22"/>
        </w:num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Correm por conta e risco exclusivos da contratada a desmontagem, embalagem, carga, transporte de ida e de volta, descarga, guarda, montagem e reinstalação das peças, incluindo mão de obra, veículos, equipamentos e eventuais seguros, sem qualquer ônus adicional para a contratante.</w:t>
      </w:r>
    </w:p>
    <w:p>
      <w:pPr>
        <w:pStyle w:val="P13"/>
        <w:numPr>
          <w:ilvl w:val="0"/>
          <w:numId w:val="22"/>
        </w:numPr>
        <w:spacing w:lineRule="auto" w:line="276" w:after="80" w:beforeAutospacing="0" w:afterAutospacing="0"/>
        <w:jc w:val="both"/>
        <w:rPr>
          <w:rFonts w:ascii="Times New Roman" w:hAnsi="Times New Roman" w:cs="Times New Roman"/>
          <w:sz w:val="24"/>
          <w:szCs w:val="24"/>
        </w:rPr>
      </w:pPr>
      <w:r>
        <w:rPr>
          <w:rFonts w:ascii="Times New Roman" w:hAnsi="Times New Roman" w:cs="Times New Roman"/>
          <w:sz w:val="24"/>
          <w:szCs w:val="24"/>
        </w:rPr>
        <w:t>Eventuais danos causados ao mobiliário, às instalações ou a bens de terceiros durante a retirada, o transporte, a execução dos serviços, a devolução ou a reinstalação serão de responsabilidade integral da contratada, que deverá promover o reparo ou a substituição das peças danificadas, sem custo para a contratante.</w:t>
      </w:r>
    </w:p>
    <w:p>
      <w:pPr>
        <w:pStyle w:val="P13"/>
        <w:numPr>
          <w:ilvl w:val="0"/>
          <w:numId w:val="22"/>
        </w:numPr>
        <w:spacing w:lineRule="auto" w:line="276" w:after="80" w:beforeAutospacing="0" w:afterAutospacing="0"/>
        <w:jc w:val="both"/>
        <w:rPr>
          <w:rFonts w:ascii="Times New Roman" w:hAnsi="Times New Roman" w:cs="Times New Roman"/>
          <w:sz w:val="24"/>
          <w:szCs w:val="24"/>
        </w:rPr>
      </w:pPr>
      <w:r>
        <w:rPr>
          <w:rFonts w:ascii="Times New Roman" w:hAnsi="Times New Roman" w:cs="Times New Roman"/>
          <w:sz w:val="24"/>
          <w:szCs w:val="24"/>
        </w:rPr>
        <w:t>As datas de retirada e de devolução do mobiliário deverão ser previamente agendadas com a Administração da Casa, de modo a não interferir na realização das sessões plenárias e demais atividades legislativas.</w:t>
      </w:r>
    </w:p>
    <w:p>
      <w:pPr>
        <w:pStyle w:val="P13"/>
        <w:numPr>
          <w:ilvl w:val="0"/>
          <w:numId w:val="22"/>
        </w:numPr>
        <w:spacing w:lineRule="auto" w:line="276" w:after="80" w:beforeAutospacing="0" w:afterAutospacing="0"/>
        <w:jc w:val="both"/>
        <w:rPr>
          <w:rFonts w:ascii="Times New Roman" w:hAnsi="Times New Roman" w:cs="Times New Roman"/>
          <w:sz w:val="24"/>
          <w:szCs w:val="24"/>
        </w:rPr>
      </w:pPr>
      <w:r>
        <w:rPr>
          <w:rFonts w:ascii="Times New Roman" w:hAnsi="Times New Roman" w:cs="Times New Roman"/>
          <w:sz w:val="24"/>
          <w:szCs w:val="24"/>
        </w:rPr>
        <w:t>Proteção prévia do piso, das poltronas e dos equipamentos do Plenário durante as operações de retirada e de reinstalação, com limpeza da área ao final de cada etapa.</w:t>
      </w:r>
    </w:p>
    <w:p>
      <w:pPr>
        <w:pStyle w:val="P13"/>
        <w:numPr>
          <w:ilvl w:val="0"/>
          <w:numId w:val="22"/>
        </w:numPr>
        <w:spacing w:lineRule="auto" w:line="276" w:after="80" w:beforeAutospacing="0" w:afterAutospacing="0"/>
        <w:jc w:val="both"/>
        <w:rPr>
          <w:rFonts w:ascii="Times New Roman" w:hAnsi="Times New Roman" w:cs="Times New Roman"/>
          <w:sz w:val="24"/>
          <w:szCs w:val="24"/>
        </w:rPr>
      </w:pPr>
      <w:r>
        <w:rPr>
          <w:rFonts w:ascii="Times New Roman" w:hAnsi="Times New Roman" w:cs="Times New Roman"/>
          <w:sz w:val="24"/>
          <w:szCs w:val="24"/>
        </w:rPr>
        <w:t>Remoção, transporte e descarte adequado de todos os revestimentos e componentes substituídos, por conta da contratada.</w:t>
      </w:r>
    </w:p>
    <w:p>
      <w:pPr>
        <w:pStyle w:val="P13"/>
        <w:numPr>
          <w:ilvl w:val="0"/>
          <w:numId w:val="22"/>
        </w:numPr>
        <w:spacing w:before="120" w:beforeAutospacing="0" w:afterAutospacing="0"/>
        <w:jc w:val="both"/>
      </w:pPr>
      <w:r>
        <w:rPr>
          <w:rFonts w:ascii="Times New Roman" w:hAnsi="Times New Roman" w:cs="Times New Roman"/>
          <w:sz w:val="24"/>
          <w:szCs w:val="24"/>
        </w:rPr>
        <w:t>O mobiliário deverá ser devolvido montado, nivelado, fixado e pronto para uso, com todos os recortes</w:t>
      </w:r>
      <w:r>
        <w:t>, passa-fios, cabeamentos e acessórios recolocados em suas posições originais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7.1.4. Os serviços devem ser executados de modo a preservar o padrão original do mobiliário anterior à reforma.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7.1.5. A Contratada executará os serviços mediante solicitação e autorização do Contratante, cujo prazo de entrega não poderá ser superior a 15 (quinze) dias corridos, contados a partir do primeiro dia útil subsequente ao do recebimento da Nota de Empenho.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7.1.6. Caso não seja possível a entrega na data assinalada, a empresa deverá comunicar as razões respectivas com pelo menos 03 (três) dias de antecedência para que qualquer pleito de prorrogação de prazo seja analisado, endereçado a Câmara Municipal de Diamantino-MT, endereço: Av. Desembargador JPF Mendes, 2345. Jd. Eldorado, e-mail: licita@diamantino.mt.leg.br.</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7.1.7. A avaliação e o atesto do contrato se dará pela conferência do serviço e, se verificadas irregularidades, o FORNECEDOR será comunicado e terá o prazo de 5 (cinco) dias úteis para corrigi-lo.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7.1.8. O fornecedor é obrigado a reparar, corrigir, remover, reconstruir ou substituir, às suas expensas, no total ou em parte, o objeto em que se verificarem vícios, defeitos ou incorreções resultantes da execução do serviço ou de materiais empregados.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7.1.9. </w:t>
      </w:r>
      <w:r>
        <w:rPr>
          <w:rFonts w:ascii="Times New Roman" w:hAnsi="Times New Roman" w:cs="Times New Roman"/>
          <w:b w:val="1"/>
          <w:bCs w:val="1"/>
          <w:sz w:val="24"/>
          <w:szCs w:val="24"/>
        </w:rPr>
        <w:t>O prazo para realização da reforma será de até 15 dias corridos</w:t>
      </w:r>
      <w:r>
        <w:rPr>
          <w:rFonts w:ascii="Times New Roman" w:hAnsi="Times New Roman" w:cs="Times New Roman"/>
          <w:sz w:val="24"/>
          <w:szCs w:val="24"/>
        </w:rPr>
        <w:t>.</w:t>
      </w:r>
    </w:p>
    <w:p>
      <w:pPr>
        <w:spacing w:before="24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7.2. Local e horário da prestação dos serviços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7.2.1. A retirada e posterior entrega do mobiliário objeto dessa licitação, será feita na Câmara Municipal de Diamantino/MT, e-mail: licita@diamantino.mt.leg.br, Telefone: 65 – 3336-1419, horário: das 12h às 18h.</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7.2.2. A licitante deverá entregar os móveis sem apresentar nenhuma rachadura ou avaria.</w:t>
      </w:r>
    </w:p>
    <w:p>
      <w:pPr>
        <w:spacing w:before="24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 xml:space="preserve">7.3. Materiais a serem disponibilizados </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7.3.1. A Contratante não disponibilizará nenhum tipo de material para execução dos serviços, sendo de integral responsabilidade da empresa Contratada fornecer todos os insumos necessários para execução do contrato.</w:t>
      </w:r>
    </w:p>
    <w:p>
      <w:pPr>
        <w:spacing w:before="24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7.3.2. Informações relevantes para o dimensionamento da proposta</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7.3.3. As proponentes deverão apresentar proposta contendo, além da descrição completa do serviço, o número do item, o quantitativo, o preço unitário e total do item e/ou grupo, bem como todos seus componentes expansíveis, opcionais ou que possam oferecer variação de configuração.</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7.3.4. É de inteira responsabilidade do proponente o preenchimento exato da proposta, não sendo admitida a alegação de omissões, enganos ou erros posteriores à sua apresentação, tampouco alterações nos valores ofertados.</w:t>
      </w:r>
    </w:p>
    <w:p>
      <w:pPr>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7.3.5. deverão estar inclusos no valor proposto todos os custos diretos e indiretos, tais como materiais, mão de obra, ferramentas, equipamentos de proteção individual, desmontagem, embalagem, transporte de ida e de volta, carga e descarga, montagem e reinstalação, encargos sociais e trabalhistas, tributos, seguros e demais despesas necessárias à integral execução do objeto.</w:t>
      </w:r>
    </w:p>
    <w:p>
      <w:pPr>
        <w:suppressAutoHyphens w:val="1"/>
        <w:jc w:val="both"/>
        <w:rPr>
          <w:rFonts w:ascii="Times New Roman" w:hAnsi="Times New Roman" w:cs="Times New Roman"/>
          <w:sz w:val="24"/>
          <w:szCs w:val="24"/>
        </w:rPr>
      </w:pPr>
    </w:p>
    <w:p>
      <w:pPr>
        <w:suppressAutoHyphens w:val="1"/>
        <w:jc w:val="both"/>
        <w:rPr>
          <w:rFonts w:ascii="Times New Roman" w:hAnsi="Times New Roman" w:cs="Times New Roman"/>
          <w:b w:val="1"/>
          <w:sz w:val="24"/>
          <w:szCs w:val="24"/>
        </w:rPr>
      </w:pPr>
      <w:r>
        <w:rPr>
          <w:rFonts w:ascii="Times New Roman" w:hAnsi="Times New Roman" w:cs="Times New Roman"/>
          <w:b w:val="1"/>
          <w:sz w:val="24"/>
          <w:szCs w:val="24"/>
        </w:rPr>
        <w:t>9 – DOS CRITÉRIOS DE PAGAMENTO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9.1 - Os serviços serão recebidos provisoriamente, de forma sumária, no ato da entrega, pelo(a) responsável pelo acompanhamento e fiscalização do Contrato, para efeito de posterior verificação de sua conformidade com as especificações constantes no presente Termo de Referência, na Proposta e nos demais elementos do processo licitatório.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9.2. O pagamento será realizado de acordo com as Normas de Planejamento, Orçamento, Finanças, mediante a apresentação de Nota Fiscal, devidamente atestada pelo Fiscal do Contrato.</w:t>
      </w:r>
    </w:p>
    <w:p>
      <w:pPr>
        <w:suppressAutoHyphens w:val="1"/>
        <w:jc w:val="both"/>
        <w:rPr>
          <w:rFonts w:ascii="Times New Roman" w:hAnsi="Times New Roman" w:cs="Times New Roman"/>
          <w:sz w:val="24"/>
          <w:szCs w:val="24"/>
        </w:rPr>
      </w:pPr>
      <w:r>
        <w:rPr>
          <w:rFonts w:ascii="Times New Roman" w:hAnsi="Times New Roman" w:cs="Times New Roman"/>
          <w:sz w:val="24"/>
          <w:szCs w:val="24"/>
        </w:rPr>
        <w:t>9.3. Para efeito de pagamento, a Contratada deverá apresentar os documentos abaixo relacionados:</w:t>
      </w:r>
    </w:p>
    <w:p>
      <w:pPr>
        <w:pStyle w:val="P13"/>
        <w:numPr>
          <w:ilvl w:val="0"/>
          <w:numId w:val="4"/>
        </w:numPr>
        <w:suppressAutoHyphens w:val="1"/>
        <w:spacing w:lineRule="auto" w:line="276" w:before="24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Prova de regularidade para com a Fazenda Federal, na forma da lei;</w:t>
      </w:r>
    </w:p>
    <w:p>
      <w:pPr>
        <w:pStyle w:val="P13"/>
        <w:numPr>
          <w:ilvl w:val="0"/>
          <w:numId w:val="4"/>
        </w:numPr>
        <w:suppressAutoHyphens w:val="1"/>
        <w:spacing w:lineRule="auto" w:line="276" w:before="24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Certidão de Regularidade com a Fazenda do Distrito Federal;</w:t>
      </w:r>
    </w:p>
    <w:p>
      <w:pPr>
        <w:pStyle w:val="P13"/>
        <w:numPr>
          <w:ilvl w:val="0"/>
          <w:numId w:val="4"/>
        </w:numPr>
        <w:suppressAutoHyphens w:val="1"/>
        <w:spacing w:lineRule="auto" w:line="276" w:before="24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Certificado de Regularidade do Fundo de Garantia por Tempo de Serviço – FGTS, fornecido pela CEF – Caixa Econômica Federal, devidamente atualizado (Lei nº 8.036/90);</w:t>
      </w:r>
    </w:p>
    <w:p>
      <w:pPr>
        <w:pStyle w:val="P13"/>
        <w:numPr>
          <w:ilvl w:val="0"/>
          <w:numId w:val="4"/>
        </w:numPr>
        <w:suppressAutoHyphens w:val="1"/>
        <w:spacing w:lineRule="auto" w:line="276" w:before="24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Certidão de Regularidade de Débitos Trabalhistas – CNDT (em www.tst.gov.br), em cumprimento à Lei nº 12.440/2011. Visando comprovar a inexistência de débitos inadimplidos perante a justiça do Trabalho.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9.4. O pagamento será efetuado até 30 (trinta) dias, contados a partir da data de apresentação da Nota Fiscal, desde que o documento de cobrança esteja em condições de liquidação de pagamento.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9.5. Passados 30 (trinta) dias sem o devido pagamento por parte da Administração, a parcela devida será atualizada monetariamente, desde o vencimento da obrigação até a data do efetivo pagamento de acordo com a variação “pro rata tempore” do IPCA.</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9.6. Nenhum pagamento será efetuado à CONTRATADA enquanto pendente de liquidação qualquer obrigação que lhe for imposta, em virtude de penalidade ou inadimplência, sem que isso gere direito ao pleito de reajustamento de preços ou correção monetária (quando for o caso).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9.7. Caso haja multa por inadimplemento contratual, será descontada dos pagamentos eventualmente devidos, ou ainda, quando for o caso, cobrada judicialmente.</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9.8. Documentos de cobrança rejeitados por erros ou incorreções em seu preenchimento serão formalmente devolvidos à Contratada, no prazo máximo de 05 (cinco) dias úteis contados da data de sua apresentação.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9.9. Em caso de rejeição da Nota Fiscal/Fatura, motivada por erro ou incorreções, o prazo de pagamento passará a ser contado a partir da data de sua reapresentação.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9.10. O pagamento será realizado através de ordem bancária, para crédito em banco, agência e conta corrente indicados pelo contratado.</w:t>
      </w:r>
    </w:p>
    <w:p>
      <w:pPr>
        <w:suppressAutoHyphens w:val="1"/>
        <w:spacing w:before="120" w:beforeAutospacing="0" w:afterAutospacing="0"/>
        <w:jc w:val="both"/>
        <w:rPr>
          <w:rFonts w:ascii="Times New Roman" w:hAnsi="Times New Roman" w:cs="Times New Roman"/>
          <w:sz w:val="24"/>
          <w:szCs w:val="24"/>
        </w:rPr>
      </w:pPr>
      <w:r>
        <w:rPr>
          <w:rFonts w:ascii="Times New Roman" w:hAnsi="Times New Roman" w:cs="Times New Roman"/>
          <w:sz w:val="24"/>
          <w:szCs w:val="24"/>
        </w:rPr>
        <w:t>9.11.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suppressAutoHyphens w:val="1"/>
        <w:spacing w:before="24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10 – FORMA E CRITÉRIOS DE SELEÇÃO E REGIME DE EXECUÇÃO:</w:t>
      </w:r>
    </w:p>
    <w:p>
      <w:pPr>
        <w:suppressAutoHyphens w:val="1"/>
        <w:spacing w:before="120" w:after="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10.1 Forma de seleção e critério de julgamento da proposta</w:t>
      </w:r>
    </w:p>
    <w:p>
      <w:pPr>
        <w:suppressAutoHyphens w:val="1"/>
        <w:spacing w:before="120" w:after="120" w:beforeAutospacing="0" w:afterAutospacing="0"/>
        <w:jc w:val="both"/>
        <w:rPr>
          <w:rFonts w:ascii="Times New Roman" w:hAnsi="Times New Roman" w:cs="Times New Roman"/>
          <w:bCs w:val="1"/>
          <w:sz w:val="24"/>
          <w:szCs w:val="24"/>
        </w:rPr>
      </w:pPr>
      <w:r>
        <w:rPr>
          <w:rFonts w:ascii="Times New Roman" w:hAnsi="Times New Roman" w:cs="Times New Roman"/>
          <w:bCs w:val="1"/>
          <w:sz w:val="24"/>
          <w:szCs w:val="24"/>
        </w:rPr>
        <w:t>10.1.1. O contratado será selecionado por meio da realização de procedimento de dispensa de licitação, na forma eletrônica, com fundamento na hipótese do art. 75, inciso II da Lei nº 14.133/2021, que culminará com a seleção da proposta de MENOR PREÇO GLOBAL.</w:t>
      </w:r>
    </w:p>
    <w:p>
      <w:pPr>
        <w:suppressAutoHyphens w:val="1"/>
        <w:spacing w:before="120" w:after="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10.1.3. Regime de Execução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bCs w:val="1"/>
          <w:sz w:val="24"/>
          <w:szCs w:val="24"/>
        </w:rPr>
        <w:t>10.1.4. O regime de execução do contrato será o de empreitada por preço global,</w:t>
      </w:r>
      <w:r>
        <w:rPr>
          <w:rFonts w:ascii="Times New Roman" w:hAnsi="Times New Roman" w:cs="Times New Roman"/>
          <w:sz w:val="24"/>
          <w:szCs w:val="24"/>
        </w:rPr>
        <w:t xml:space="preserve"> com adoção do critério de julgamento pelo MENOR PREÇO, conforme condições estabelecidas na Lei Federal nº 14.133/2021.</w:t>
      </w:r>
    </w:p>
    <w:p>
      <w:pPr>
        <w:suppressAutoHyphens w:val="1"/>
        <w:spacing w:before="120" w:after="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10.1.5. Exigências de habilitação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10.1.6. Previamente à celebração do contrato, a Administração verificará o eventual descumprimento das condições para contratação, especialmente quanto à existência de sanção que a impeça, mediante a consulta a cadastros informativos oficiais, tais como: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10.1.6.1. SICAF;</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10.1.6.2. Cadastro Nacional de Empresas Inidôneas e Suspensas - CEIS, mantido pela Controladoria-Geral da União (</w:t>
      </w:r>
      <w:hyperlink r:id="R2">
        <w:r>
          <w:rPr>
            <w:rStyle w:val="C2"/>
            <w:rFonts w:ascii="Times New Roman" w:hAnsi="Times New Roman" w:cs="Times New Roman"/>
            <w:sz w:val="24"/>
            <w:szCs w:val="24"/>
          </w:rPr>
          <w:t>www.portaldatransparencia.gov.br/ceis</w:t>
        </w:r>
      </w:hyperlink>
      <w:r>
        <w:rPr>
          <w:rFonts w:ascii="Times New Roman" w:hAnsi="Times New Roman" w:cs="Times New Roman"/>
          <w:sz w:val="24"/>
          <w:szCs w:val="24"/>
        </w:rPr>
        <w:t>);</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10.1.6.3. Cadastro Nacional de Empresas Punidas – CNEP, mantido pela Controladoria-Geral da União (</w:t>
      </w:r>
      <w:hyperlink r:id="R3">
        <w:r>
          <w:rPr>
            <w:rStyle w:val="C2"/>
            <w:rFonts w:ascii="Times New Roman" w:hAnsi="Times New Roman" w:cs="Times New Roman"/>
            <w:sz w:val="24"/>
            <w:szCs w:val="24"/>
          </w:rPr>
          <w:t>https://www.portaltransparencia.gov.br/sancoes/cnep</w:t>
        </w:r>
      </w:hyperlink>
      <w:r>
        <w:rPr>
          <w:rFonts w:ascii="Times New Roman" w:hAnsi="Times New Roman" w:cs="Times New Roman"/>
          <w:sz w:val="24"/>
          <w:szCs w:val="24"/>
        </w:rPr>
        <w:t>);</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10.1.7. Caso atendidas as condições para contratação, a habilitação do interessado será verificada por meio do SICAF, nos documentos por ele abrangidos.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10.1.8. É dever do interessado manter atualizada a respectiva documentação constante do SICAF, ou encaminhar, quando solicitado pela Administração, a respectiva documentação atualizada.</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10.1.9. Não serão aceitos documentos de habilitação com indicação de CNPJ/CPF diferentes, salvo aqueles legalmente permitidos.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10.1.10.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10.1.11. Serão aceitos registros de CNPJ de fornecedor matriz e filial com diferenças de números de documentos pertinentes ao CND e ao CRF/FGTS, quando for comprovada a centralização do recolhimento dessas contribuições.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10.1.12. Para fins de habilitação, deverá o interessado comprovar os seguintes requisitos, que serão exigidos conforme sua natureza jurídica.</w:t>
      </w:r>
    </w:p>
    <w:p>
      <w:pPr>
        <w:suppressAutoHyphens w:val="1"/>
        <w:spacing w:before="120" w:after="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10.1.13. Habilitação jurídica</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10.1.14. Empresário individual: inscrição no Registro Público de Empresas Mercantis, a cargo da Junta Comercial da respectiva sede;</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 xml:space="preserve">10.1.15. Microempreendedor Individual - MEI: Certificado da Condição de Microempreendedor Individual - CCMEI, cuja aceitação ficará condicionada à verificação da autenticidade no sítio </w:t>
      </w:r>
      <w:hyperlink r:id="R4">
        <w:r>
          <w:rPr>
            <w:rStyle w:val="C2"/>
            <w:rFonts w:ascii="Times New Roman" w:hAnsi="Times New Roman" w:cs="Times New Roman"/>
            <w:sz w:val="24"/>
            <w:szCs w:val="24"/>
          </w:rPr>
          <w:t>https://www.gov.br/empresas-e-negocios/pt-br/empreendedor</w:t>
        </w:r>
      </w:hyperlink>
      <w:r>
        <w:rPr>
          <w:rFonts w:ascii="Times New Roman" w:hAnsi="Times New Roman" w:cs="Times New Roman"/>
          <w:sz w:val="24"/>
          <w:szCs w:val="24"/>
        </w:rPr>
        <w:t>;</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10.1.16. Sociedade empresária, 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10.1.18. Sociedade simples: inscrição do ato constitutivo no Registro Civil de Pessoas Jurídicas do local de sua sede, acompanhada de documento comprobatório de seus administradores;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10.1.19.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10.1.20. Os documentos apresentados deverão estar acompanhados de todas as alterações ou da consolidação respectiva.</w:t>
      </w:r>
    </w:p>
    <w:p>
      <w:pPr>
        <w:suppressAutoHyphens w:val="1"/>
        <w:spacing w:before="120" w:after="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10.1.21. Habilitação fiscal, social e trabalhista</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10.1.22. Prova de inscrição no Cadastro Nacional de Pessoas Jurídicas ou no Cadastro de Pessoas Físicas, conforme o caso;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10.1.24. Prova de regularidade com o Fundo de Garantia do Tempo de Serviço (FGTS);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10.1.25. Declaração de que não emprega menor de 18 anos em trabalho noturno, perigoso ou insalubre e não emprega menor de 16 anos, salvo menor, a partir de 14 anos, na condição de aprendiz, nos termos do artigo 7°, XXXIII, da Constituição;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10.1.27. Prova de inscrição no cadastro de contribuintes relativo ao domicílio ou sede do fornecedor, pertinente ao seu ramo de atividade e compatível com o objeto contratual;</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10.1.28. Prova de regularidade com a Fazenda do domicílio ou sede do fornecedor, relativa à atividade em cujo exercício contrata ou concorre;</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10.1.29. Caso o fornecedor seja considerado isento dos tributos relacionados ao objeto contratual, deverá comprovar tal condição mediante a apresentação de declaração da Fazenda respectiva do seu domicílio ou sede, ou outra equivalente, na forma da lei.</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10.1.30. O fornecedor enquadrado como microempreendedor individual que pretenda auferir os benefícios do tratamento diferenciado previstos na Lei Complementar n. 123, de 2006, estará dispensado da prova de inscrição nos cadastros de contribuintes estadual e municipal.</w:t>
      </w:r>
    </w:p>
    <w:p>
      <w:pPr>
        <w:suppressAutoHyphens w:val="1"/>
        <w:spacing w:before="240" w:after="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10.1.31. Qualificação Econômico-Financeira</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10.1.32. Certidão negativa de falência ou concordata expedida pelo distribuidor da sede da pessoa jurídica, ou de execução patrimonial, expedida no domicílio da pessoa física;</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10.1.33. Balanço patrimonial, demonstração de resultado de exercício e demais demonstrações contábeis dos 2 (dois) últimos exercícios sociais.</w:t>
      </w:r>
    </w:p>
    <w:p>
      <w:pPr>
        <w:suppressAutoHyphens w:val="1"/>
        <w:spacing w:before="120" w:after="120" w:beforeAutospacing="0" w:afterAutospacing="0"/>
        <w:rPr>
          <w:rFonts w:ascii="Times New Roman" w:hAnsi="Times New Roman" w:cs="Times New Roman"/>
          <w:sz w:val="24"/>
          <w:szCs w:val="24"/>
        </w:rPr>
      </w:pPr>
      <w:r>
        <w:rPr>
          <w:rFonts w:ascii="Times New Roman" w:hAnsi="Times New Roman" w:cs="Times New Roman"/>
          <w:sz w:val="24"/>
          <w:szCs w:val="24"/>
        </w:rPr>
        <w:t xml:space="preserve">10.1.33.1. </w:t>
      </w:r>
      <w:r>
        <w:rPr>
          <w:rFonts w:ascii="Times New Roman" w:hAnsi="Times New Roman" w:cs="Times New Roman"/>
          <w:b w:val="1"/>
          <w:bCs w:val="1"/>
          <w:sz w:val="24"/>
          <w:szCs w:val="24"/>
          <w:u w:val="single"/>
          <w:lang w:val="pt-BR"/>
        </w:rPr>
        <w:t>Alternativamente</w:t>
      </w:r>
      <w:r>
        <w:rPr>
          <w:rFonts w:ascii="Times New Roman" w:hAnsi="Times New Roman" w:cs="Times New Roman"/>
          <w:sz w:val="24"/>
          <w:szCs w:val="24"/>
          <w:lang w:val="pt-BR"/>
        </w:rPr>
        <w:t xml:space="preserve">, </w:t>
      </w:r>
      <w:r>
        <w:rPr>
          <w:rFonts w:ascii="Times New Roman" w:hAnsi="Times New Roman" w:cs="Times New Roman"/>
          <w:sz w:val="24"/>
          <w:szCs w:val="24"/>
        </w:rPr>
        <w:t>o licitante poderá apresentar documentos extraído do Sistema Público de Escrituração Digital – Sped, na seguinte forma: </w:t>
      </w:r>
    </w:p>
    <w:p>
      <w:pPr>
        <w:pStyle w:val="P13"/>
        <w:numPr>
          <w:ilvl w:val="0"/>
          <w:numId w:val="21"/>
        </w:num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Recibo de Entrega de Livro Digital transmitido através do Sistema Público de Escrituração Digital – Sped; </w:t>
      </w:r>
    </w:p>
    <w:p>
      <w:pPr>
        <w:pStyle w:val="P13"/>
        <w:numPr>
          <w:ilvl w:val="0"/>
          <w:numId w:val="21"/>
        </w:num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Termos de Abertura e Encerramento do Livro Diário Digital extraídos do Sistema Público de Escrituração Digital–Sped;</w:t>
      </w:r>
    </w:p>
    <w:p>
      <w:pPr>
        <w:pStyle w:val="P13"/>
        <w:numPr>
          <w:ilvl w:val="0"/>
          <w:numId w:val="21"/>
        </w:num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Balanço e Demonstração do Resultado do Exercício extraídos do Sistema Público de Escrituração Digital – Sped;</w:t>
      </w:r>
    </w:p>
    <w:p>
      <w:pPr>
        <w:suppressAutoHyphens w:val="1"/>
        <w:spacing w:before="240" w:after="1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10.1.34. Qualificação Técnica</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10.1.35. Declaração de que o interessado tomou conhecimento de todas as informações e das condições locais para o cumprimento das obrigações objeto da contratação;</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10.1.36.Apresentação de pelo menos 01 (um) atestado emitido por pessoa jurídica de direito público ou privado, comprovando que a licitante já prestou serviço com características iguais ou semelhantes.</w:t>
      </w:r>
    </w:p>
    <w:p>
      <w:pPr>
        <w:suppressAutoHyphens w:val="1"/>
        <w:spacing w:before="120" w:after="120" w:beforeAutospacing="0" w:afterAutospacing="0"/>
        <w:jc w:val="both"/>
        <w:rPr>
          <w:rFonts w:ascii="Times New Roman" w:hAnsi="Times New Roman" w:cs="Times New Roman"/>
          <w:sz w:val="24"/>
          <w:szCs w:val="24"/>
        </w:rPr>
      </w:pPr>
      <w:r>
        <w:rPr>
          <w:rFonts w:ascii="Times New Roman" w:hAnsi="Times New Roman" w:cs="Times New Roman"/>
          <w:sz w:val="24"/>
          <w:szCs w:val="24"/>
        </w:rPr>
        <w:t>10.1.37. Os atestados de capacidade técnica poderão ser apresentados em nome da matriz ou da filial da empresa interessada.</w:t>
      </w:r>
    </w:p>
    <w:p>
      <w:pPr>
        <w:suppressAutoHyphens w:val="1"/>
        <w:spacing w:before="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11. DAS INFRAÇÕES E SANÇÕES ADMINISTRATIVAS</w:t>
      </w:r>
    </w:p>
    <w:p>
      <w:pPr>
        <w:suppressAutoHyphens w:val="1"/>
        <w:spacing w:before="120" w:beforeAutospacing="0" w:afterAutospacing="0"/>
        <w:jc w:val="both"/>
        <w:rPr>
          <w:rFonts w:ascii="Times New Roman" w:hAnsi="Times New Roman" w:cs="Times New Roman"/>
          <w:bCs w:val="1"/>
          <w:sz w:val="24"/>
          <w:szCs w:val="24"/>
        </w:rPr>
      </w:pPr>
      <w:r>
        <w:rPr>
          <w:rFonts w:ascii="Times New Roman" w:hAnsi="Times New Roman" w:cs="Times New Roman"/>
          <w:bCs w:val="1"/>
          <w:sz w:val="24"/>
          <w:szCs w:val="24"/>
        </w:rPr>
        <w:t xml:space="preserve">11.1. A contratada estará sujeita às sanções administrativas previstas na Lei nº 14.133/2021, e às demais cominações previstas em regulamento específico que trata dos procedimentos de aplicação de sanções, resguardado o direito à ampla defesa e ao contraditório. </w:t>
      </w:r>
    </w:p>
    <w:p>
      <w:pPr>
        <w:pStyle w:val="P22"/>
        <w:spacing w:lineRule="auto" w:line="276" w:before="120" w:beforeAutospacing="0" w:afterAutospacing="0"/>
        <w:rPr>
          <w:rFonts w:ascii="Times New Roman" w:hAnsi="Times New Roman" w:cs="Times New Roman"/>
          <w:sz w:val="24"/>
          <w:szCs w:val="24"/>
        </w:rPr>
      </w:pPr>
      <w:r>
        <w:rPr>
          <w:rFonts w:ascii="Times New Roman" w:hAnsi="Times New Roman" w:cs="Times New Roman"/>
          <w:bCs w:val="1"/>
          <w:sz w:val="24"/>
          <w:szCs w:val="24"/>
        </w:rPr>
        <w:t xml:space="preserve">11.2. </w:t>
      </w:r>
      <w:r>
        <w:rPr>
          <w:rFonts w:ascii="Times New Roman" w:hAnsi="Times New Roman" w:cs="Times New Roman"/>
          <w:sz w:val="24"/>
          <w:szCs w:val="24"/>
        </w:rPr>
        <w:t xml:space="preserve">Comete infração administrativa nos termos da Lei, o Contratado/Adjudicatário que não assinar o termo de contrato (se houver), quando convocado dentro do prazo de validade da proposta; </w:t>
      </w:r>
    </w:p>
    <w:p>
      <w:pPr>
        <w:pStyle w:val="P22"/>
        <w:numPr>
          <w:ilvl w:val="0"/>
          <w:numId w:val="9"/>
        </w:numPr>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 xml:space="preserve">Apresentar documentação falsa; </w:t>
      </w:r>
    </w:p>
    <w:p>
      <w:pPr>
        <w:pStyle w:val="P22"/>
        <w:numPr>
          <w:ilvl w:val="0"/>
          <w:numId w:val="9"/>
        </w:numPr>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Deixar de entregar os documentos exigidos no certame;</w:t>
      </w:r>
    </w:p>
    <w:p>
      <w:pPr>
        <w:pStyle w:val="P22"/>
        <w:numPr>
          <w:ilvl w:val="0"/>
          <w:numId w:val="9"/>
        </w:numPr>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 xml:space="preserve">Ensejar o retardamento da execução do objeto; </w:t>
      </w:r>
    </w:p>
    <w:p>
      <w:pPr>
        <w:pStyle w:val="P22"/>
        <w:numPr>
          <w:ilvl w:val="0"/>
          <w:numId w:val="9"/>
        </w:numPr>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 xml:space="preserve">Não mantiver a proposta; Cometer fraude fiscal; </w:t>
      </w:r>
    </w:p>
    <w:p>
      <w:pPr>
        <w:pStyle w:val="P22"/>
        <w:numPr>
          <w:ilvl w:val="0"/>
          <w:numId w:val="9"/>
        </w:numPr>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 xml:space="preserve">Comportar-se de modo inidôneo, dentro outras condutas ilícitas previstas na Lei Federal nº 14.133/2021. </w:t>
      </w:r>
    </w:p>
    <w:p>
      <w:pPr>
        <w:pStyle w:val="P22"/>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 xml:space="preserve">11.3. À empresa, total ou parcialmente inadimplente, serão aplicadas as sanções previstas nos Arts. 156 e 162 Lei nº 14.133/2021, a saber: </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 xml:space="preserve">Advertência por faltas leves, assim entendidas aquelas que não acarretem prejuízos significativos para a Contratante; </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Multa compensatória que não excederá, em seu total, 20% (vinte por cento) do valor do contrato, nas hipóteses de inexecução, com ou sem prejuízo para o fornecimento;</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Multa moratória de 1% (um por cento) por dia de atraso, que não excederá, em seu total, 10% (quinze por cento) do valor total do contrato, sem prejuízo do direito de rescisão contratual nos casos previstos na Lei Federal nº 14.133/21 e/ou no contrato;</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Suspensão temporária de participação em licitação e impedimento para contratar com o Município de Diamantino, por prazo não superior a três anos;</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 xml:space="preserve">Declaração de inidoneidade para licitar e contratar com a Administração Pública, pelo prazo máximo de cinco anos, enquanto perdurarem os seus motivos determinantes ou até que seja promovida a reabilitação perante a autoridade que aplicou a penalidade. </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 xml:space="preserve">As penalidades de multas, poderão ser aplicadas de forma isolada ou cumulativamente com qualquer das demais, podendo ser descontada de eventuais créditos que tenha em face da empresa. </w:t>
      </w:r>
    </w:p>
    <w:p>
      <w:pPr>
        <w:pStyle w:val="P22"/>
        <w:numPr>
          <w:ilvl w:val="0"/>
          <w:numId w:val="8"/>
        </w:numPr>
        <w:spacing w:lineRule="auto" w:line="276" w:before="120" w:beforeAutospacing="0" w:afterAutospacing="0"/>
        <w:rPr>
          <w:rFonts w:ascii="Times New Roman" w:hAnsi="Times New Roman" w:cs="Times New Roman"/>
          <w:sz w:val="24"/>
          <w:szCs w:val="24"/>
        </w:rPr>
      </w:pPr>
      <w:r>
        <w:rPr>
          <w:rFonts w:ascii="Times New Roman" w:hAnsi="Times New Roman" w:cs="Times New Roman"/>
          <w:sz w:val="24"/>
          <w:szCs w:val="24"/>
        </w:rPr>
        <w:t>É cabível, ainda, a aplicação das demais sanções estabelecidas nos arts. 90 §5º, 156, 162 e 337 da Lei nº. 14.133/2021.</w:t>
      </w:r>
    </w:p>
    <w:p>
      <w:pPr>
        <w:pStyle w:val="P22"/>
        <w:spacing w:lineRule="auto" w:line="276" w:beforeAutospacing="0" w:afterAutospacing="0"/>
        <w:rPr>
          <w:rFonts w:ascii="Times New Roman" w:hAnsi="Times New Roman" w:cs="Times New Roman"/>
          <w:sz w:val="24"/>
          <w:szCs w:val="24"/>
        </w:rPr>
      </w:pPr>
      <w:r>
        <w:rPr>
          <w:rFonts w:ascii="Times New Roman" w:hAnsi="Times New Roman" w:cs="Times New Roman"/>
          <w:sz w:val="24"/>
          <w:szCs w:val="24"/>
        </w:rPr>
        <w:t>11.4. A aplicação de qualquer das penalidades previstas realizar-se-á em processo administrativo que assegurará o contraditório e a ampla defesa à Contratada, observando-se o procediento previsto na Lei nº 14.133, de 2021.</w:t>
      </w:r>
    </w:p>
    <w:p>
      <w:pPr>
        <w:suppressAutoHyphens w:val="1"/>
        <w:spacing w:before="120" w:beforeAutospacing="0" w:afterAutospacing="0"/>
        <w:jc w:val="both"/>
        <w:rPr>
          <w:rFonts w:ascii="Times New Roman" w:hAnsi="Times New Roman" w:cs="Times New Roman"/>
          <w:bCs w:val="1"/>
          <w:sz w:val="24"/>
          <w:szCs w:val="24"/>
        </w:rPr>
      </w:pPr>
      <w:r>
        <w:rPr>
          <w:rFonts w:ascii="Times New Roman" w:hAnsi="Times New Roman" w:cs="Times New Roman"/>
          <w:sz w:val="24"/>
          <w:szCs w:val="24"/>
        </w:rPr>
        <w:t>11.5 A autoridade competente, na aplicação das sanções, levará em consideração a gravidade da conduta do infrator, o caráter educativo da pena, bem como o dano causado à Administração, observado o princípio da proporcionalidade.</w:t>
      </w:r>
    </w:p>
    <w:p>
      <w:pPr>
        <w:suppressAutoHyphens w:val="1"/>
        <w:jc w:val="both"/>
        <w:rPr>
          <w:rFonts w:ascii="Times New Roman" w:hAnsi="Times New Roman" w:cs="Times New Roman"/>
          <w:b w:val="1"/>
          <w:sz w:val="24"/>
          <w:szCs w:val="24"/>
        </w:rPr>
      </w:pPr>
    </w:p>
    <w:p>
      <w:pPr>
        <w:suppressAutoHyphens w:val="1"/>
        <w:spacing w:after="120" w:beforeAutospacing="0" w:afterAutospacing="0"/>
        <w:jc w:val="both"/>
        <w:rPr>
          <w:rFonts w:ascii="Times New Roman" w:hAnsi="Times New Roman" w:cs="Times New Roman"/>
          <w:b w:val="1"/>
          <w:sz w:val="24"/>
          <w:szCs w:val="24"/>
        </w:rPr>
      </w:pPr>
      <w:r>
        <w:rPr>
          <w:rFonts w:ascii="Times New Roman" w:hAnsi="Times New Roman" w:cs="Times New Roman"/>
          <w:b w:val="1"/>
          <w:sz w:val="24"/>
          <w:szCs w:val="24"/>
        </w:rPr>
        <w:t>11 – DA ESTIMATIVA DO VALOR DA CONTRATAÇÃO:</w:t>
      </w:r>
    </w:p>
    <w:p>
      <w:pPr>
        <w:suppressAutoHyphens w:val="1"/>
        <w:jc w:val="both"/>
        <w:rPr>
          <w:rFonts w:ascii="Times New Roman" w:hAnsi="Times New Roman" w:cs="Times New Roman"/>
          <w:sz w:val="24"/>
          <w:szCs w:val="24"/>
        </w:rPr>
      </w:pPr>
      <w:r>
        <w:rPr>
          <w:rFonts w:ascii="Times New Roman" w:hAnsi="Times New Roman" w:cs="Times New Roman"/>
          <w:sz w:val="24"/>
          <w:szCs w:val="24"/>
        </w:rPr>
        <w:t xml:space="preserve">11.1 - Com base nos levantamentos de preços efetuados, o valor total estimado da presente contratação é de </w:t>
      </w:r>
      <w:r>
        <w:rPr>
          <w:rFonts w:ascii="Times New Roman" w:hAnsi="Times New Roman" w:cs="Times New Roman"/>
          <w:b w:val="1"/>
          <w:bCs w:val="1"/>
          <w:sz w:val="24"/>
          <w:szCs w:val="24"/>
        </w:rPr>
        <w:t>R$ 27.520,00 (vinte e sete mil quinhentos e vinte reais),</w:t>
      </w:r>
      <w:r>
        <w:rPr>
          <w:rFonts w:ascii="Times New Roman" w:hAnsi="Times New Roman" w:cs="Times New Roman"/>
          <w:sz w:val="24"/>
          <w:szCs w:val="24"/>
        </w:rPr>
        <w:t xml:space="preserve"> conforme os valores unitários listados na tabela de preços descrita no subitem 2.1 deste Termo de Referência.  </w:t>
      </w:r>
    </w:p>
    <w:p>
      <w:pPr>
        <w:suppressAutoHyphens w:val="1"/>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11.2 - Os valores estimados da presente contratação foram obtidos com fornecedores locais, visto a singularidade do objeto, em conformidade com o art. 23 da Lei Federal nº 14.133/2021, conforme demonstrado no mapa de preços em anexo.</w:t>
      </w:r>
    </w:p>
    <w:p>
      <w:pPr>
        <w:pStyle w:val="P16"/>
        <w:numPr>
          <w:ilvl w:val="0"/>
          <w:numId w:val="0"/>
        </w:numPr>
        <w:spacing w:before="240" w:beforeAutospacing="0" w:afterAutospacing="0"/>
        <w:ind w:firstLine="0" w:left="0"/>
        <w:rPr>
          <w:rFonts w:ascii="Times New Roman" w:hAnsi="Times New Roman" w:cs="Times New Roman"/>
          <w:b w:val="1"/>
          <w:color w:val="auto"/>
          <w:sz w:val="24"/>
          <w:szCs w:val="24"/>
          <w:lang w:val="pt-PT" w:eastAsia="en-US"/>
        </w:rPr>
      </w:pPr>
      <w:r>
        <w:rPr>
          <w:rFonts w:ascii="Times New Roman" w:hAnsi="Times New Roman" w:cs="Times New Roman"/>
          <w:b w:val="1"/>
          <w:color w:val="auto"/>
          <w:sz w:val="24"/>
          <w:szCs w:val="24"/>
          <w:lang w:val="pt-PT" w:eastAsia="en-US"/>
        </w:rPr>
        <w:t>12 - DOTAÇÃO ORÇAMENTÁRIA</w:t>
      </w:r>
    </w:p>
    <w:p>
      <w:pPr>
        <w:pStyle w:val="P16"/>
        <w:numPr>
          <w:ilvl w:val="0"/>
          <w:numId w:val="0"/>
        </w:numPr>
        <w:ind w:firstLine="0" w:left="0"/>
        <w:rPr>
          <w:rFonts w:ascii="Times New Roman" w:hAnsi="Times New Roman" w:cs="Times New Roman"/>
          <w:sz w:val="24"/>
          <w:szCs w:val="24"/>
        </w:rPr>
      </w:pPr>
      <w:r>
        <w:rPr>
          <w:rFonts w:ascii="Times New Roman" w:hAnsi="Times New Roman" w:cs="Times New Roman"/>
          <w:sz w:val="24"/>
          <w:szCs w:val="24"/>
        </w:rPr>
        <w:t>As despesas decorrentes da presente contratação correrão à conta de recursos específicos consignados na Câmara Municipal de Diamantino deste exercício, na dotação abaixo discriminada:</w:t>
      </w:r>
    </w:p>
    <w:p>
      <w:pPr>
        <w:pStyle w:val="P17"/>
        <w:numPr>
          <w:ilvl w:val="0"/>
          <w:numId w:val="0"/>
        </w:numPr>
        <w:spacing w:lineRule="auto" w:line="240" w:before="0" w:after="0" w:beforeAutospacing="0" w:afterAutospacing="0"/>
        <w:ind w:firstLine="0" w:left="284"/>
        <w:rPr>
          <w:rFonts w:ascii="Times New Roman" w:hAnsi="Times New Roman" w:cs="Times New Roman"/>
          <w:sz w:val="24"/>
          <w:szCs w:val="24"/>
        </w:rPr>
      </w:pPr>
      <w:r>
        <w:rPr>
          <w:rFonts w:ascii="Times New Roman" w:hAnsi="Times New Roman" w:cs="Times New Roman"/>
          <w:sz w:val="24"/>
          <w:szCs w:val="24"/>
          <w:lang w:val="pt-PT"/>
        </w:rPr>
        <w:t>Dotação: 01.001.01.031.0001.20001.3390140000.15000000000</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Diamantino, 08 de setembro de 2026.</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jc w:val="center"/>
        <w:rPr>
          <w:rFonts w:ascii="Times New Roman" w:hAnsi="Times New Roman" w:cs="Times New Roman" w:eastAsiaTheme="minorEastAsia"/>
          <w:b w:val="1"/>
          <w:bCs w:val="1"/>
          <w:color w:val="000000"/>
          <w:sz w:val="24"/>
          <w:szCs w:val="24"/>
          <w:lang w:val="pt-BR" w:eastAsia="pt-BR"/>
        </w:rPr>
      </w:pPr>
      <w:r>
        <w:rPr>
          <w:rFonts w:ascii="Times New Roman" w:hAnsi="Times New Roman" w:cs="Times New Roman" w:eastAsiaTheme="minorEastAsia"/>
          <w:b w:val="1"/>
          <w:bCs w:val="1"/>
          <w:color w:val="000000"/>
          <w:sz w:val="24"/>
          <w:szCs w:val="24"/>
          <w:lang w:val="pt-BR" w:eastAsia="pt-BR"/>
        </w:rPr>
        <w:t>Katia Aparecida do Prado</w:t>
      </w:r>
    </w:p>
    <w:p>
      <w:pPr>
        <w:jc w:val="center"/>
        <w:rPr>
          <w:rFonts w:ascii="Times New Roman" w:hAnsi="Times New Roman" w:cs="Times New Roman" w:eastAsiaTheme="minorEastAsia"/>
          <w:b w:val="1"/>
          <w:bCs w:val="1"/>
          <w:color w:val="000000"/>
          <w:sz w:val="24"/>
          <w:szCs w:val="24"/>
          <w:lang w:val="pt-BR" w:eastAsia="pt-BR"/>
        </w:rPr>
      </w:pPr>
      <w:r>
        <w:rPr>
          <w:rFonts w:ascii="Times New Roman" w:hAnsi="Times New Roman" w:cs="Times New Roman" w:eastAsiaTheme="minorEastAsia"/>
          <w:b w:val="1"/>
          <w:bCs w:val="1"/>
          <w:color w:val="000000"/>
          <w:sz w:val="24"/>
          <w:szCs w:val="24"/>
          <w:lang w:val="pt-BR" w:eastAsia="pt-BR"/>
        </w:rPr>
        <w:t>Agente de Contratação</w:t>
      </w:r>
    </w:p>
    <w:p>
      <w:pPr>
        <w:rPr>
          <w:rFonts w:ascii="Times New Roman" w:hAnsi="Times New Roman" w:cs="Times New Roman"/>
          <w:sz w:val="24"/>
          <w:szCs w:val="24"/>
        </w:rPr>
      </w:pPr>
    </w:p>
    <w:p>
      <w:pPr>
        <w:rPr>
          <w:rFonts w:ascii="Times New Roman" w:hAnsi="Times New Roman" w:cs="Times New Roman"/>
          <w:sz w:val="24"/>
          <w:szCs w:val="24"/>
        </w:rPr>
      </w:pPr>
    </w:p>
    <w:p>
      <w:pPr>
        <w:widowControl w:val="1"/>
        <w:spacing w:lineRule="auto" w:line="278" w:after="160" w:beforeAutospacing="0" w:afterAutospacing="0"/>
        <w:rPr>
          <w:rFonts w:ascii="Times New Roman" w:hAnsi="Times New Roman" w:cs="Times New Roman"/>
          <w:sz w:val="24"/>
          <w:szCs w:val="24"/>
        </w:rPr>
      </w:pPr>
      <w:r>
        <w:rPr>
          <w:rFonts w:ascii="Times New Roman" w:hAnsi="Times New Roman" w:cs="Times New Roman"/>
          <w:sz w:val="24"/>
          <w:szCs w:val="24"/>
        </w:rPr>
        <w:br w:type="page"/>
      </w:r>
    </w:p>
    <w:p>
      <w:pPr>
        <w:spacing w:lineRule="auto" w:line="276" w:beforeAutospacing="0" w:afterAutospacing="0"/>
        <w:jc w:val="center"/>
        <w:rPr>
          <w:rFonts w:ascii="Times New Roman" w:hAnsi="Times New Roman" w:cs="Times New Roman"/>
          <w:b w:val="1"/>
          <w:bCs w:val="1"/>
        </w:rPr>
      </w:pPr>
      <w:r>
        <w:rPr>
          <w:rFonts w:ascii="Times New Roman" w:hAnsi="Times New Roman" w:cs="Times New Roman"/>
          <w:b w:val="1"/>
          <w:bCs w:val="1"/>
        </w:rPr>
        <w:t>ANEXO</w:t>
      </w:r>
    </w:p>
    <w:p>
      <w:pPr>
        <w:jc w:val="center"/>
        <w:rPr>
          <w:rFonts w:ascii="Times New Roman" w:hAnsi="Times New Roman" w:cs="Times New Roman"/>
          <w:b w:val="1"/>
          <w:bCs w:val="1"/>
        </w:rPr>
      </w:pPr>
      <w:r>
        <w:rPr>
          <w:rFonts w:ascii="Times New Roman" w:hAnsi="Times New Roman" w:cs="Times New Roman"/>
          <w:b w:val="1"/>
          <w:bCs w:val="1"/>
        </w:rPr>
        <w:t>Especificações técnicas dos materiais e acabamentos</w:t>
      </w:r>
    </w:p>
    <w:p>
      <w:pPr>
        <w:spacing w:before="260" w:after="140" w:beforeAutospacing="0" w:afterAutospacing="0"/>
        <w:rPr>
          <w:rFonts w:ascii="Times New Roman" w:hAnsi="Times New Roman" w:cs="Times New Roman"/>
        </w:rPr>
      </w:pPr>
      <w:r>
        <w:rPr>
          <w:rFonts w:ascii="Times New Roman" w:hAnsi="Times New Roman" w:cs="Times New Roman"/>
          <w:b w:val="1"/>
          <w:bCs w:val="1"/>
        </w:rPr>
        <w:t>1. Relação dos mobiliários para manutenção e conserto</w:t>
      </w:r>
    </w:p>
    <w:tbl>
      <w:tblPr>
        <w:tblW w:w="9638" w:type="dxa"/>
        <w:tblBorders>
          <w:top w:val="single" w:sz="4" w:space="0" w:shadow="0" w:frame="0" w:color="555555"/>
          <w:left w:val="single" w:sz="4" w:space="0" w:shadow="0" w:frame="0" w:color="555555"/>
          <w:bottom w:val="single" w:sz="4" w:space="0" w:shadow="0" w:frame="0" w:color="555555"/>
          <w:right w:val="single" w:sz="4" w:space="0" w:shadow="0" w:frame="0" w:color="555555"/>
          <w:insideH w:val="single" w:sz="4" w:space="0" w:shadow="0" w:frame="0" w:color="555555"/>
          <w:insideV w:val="single" w:sz="4" w:space="0" w:shadow="0" w:frame="0" w:color="555555"/>
        </w:tblBorders>
        <w:tblCellMar>
          <w:left w:w="10" w:type="dxa"/>
          <w:right w:w="10" w:type="dxa"/>
        </w:tblCellMar>
        <w:tblLook w:val="0000"/>
      </w:tblPr>
      <w:tblGrid>
        <w:gridCol w:w="800"/>
        <w:gridCol w:w="6850"/>
        <w:gridCol w:w="992"/>
        <w:gridCol w:w="996"/>
      </w:tblGrid>
      <w:tr>
        <w:trPr>
          <w:tblHeader/>
        </w:trPr>
        <w:tc>
          <w:tcPr>
            <w:tcW w:w="800" w:type="dxa"/>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ITEM</w:t>
            </w:r>
          </w:p>
        </w:tc>
        <w:tc>
          <w:tcPr>
            <w:tcW w:w="6850" w:type="dxa"/>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ESPECIFICAÇÃO DO MOBILIÁRIO E DOS SERVIÇOS</w:t>
            </w:r>
          </w:p>
        </w:tc>
        <w:tc>
          <w:tcPr>
            <w:tcW w:w="992" w:type="dxa"/>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UND.</w:t>
            </w:r>
          </w:p>
        </w:tc>
        <w:tc>
          <w:tcPr>
            <w:tcW w:w="996" w:type="dxa"/>
            <w:shd w:val="clear" w:color="auto" w:fill="D9D9D9"/>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QUANT.</w:t>
            </w:r>
          </w:p>
        </w:tc>
      </w:tr>
      <w:tr>
        <w:tc>
          <w:tcPr>
            <w:tcW w:w="800"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01</w:t>
            </w:r>
          </w:p>
        </w:tc>
        <w:tc>
          <w:tcPr>
            <w:tcW w:w="6850"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18"/>
                <w:szCs w:val="18"/>
              </w:rPr>
            </w:pPr>
            <w:r>
              <w:rPr>
                <w:rFonts w:ascii="Times New Roman" w:hAnsi="Times New Roman" w:cs="Times New Roman"/>
                <w:b w:val="1"/>
                <w:bCs w:val="1"/>
                <w:sz w:val="18"/>
                <w:szCs w:val="18"/>
              </w:rPr>
              <w:t>REFORMA DA TRIBUNA DO PLENÁRIO</w:t>
            </w:r>
            <w:r>
              <w:rPr>
                <w:rFonts w:ascii="Times New Roman" w:hAnsi="Times New Roman" w:cs="Times New Roman"/>
                <w:sz w:val="18"/>
                <w:szCs w:val="18"/>
              </w:rPr>
              <w:t xml:space="preserve"> – frente curva, medindo aproximadamente 2,55 m de frente x 1,30 m de altura. Compreende a retirada integral do revestimento existente e a aplicação de novo revestimento: tampo/superfície superior em padrão GRAFITE e frentes, laterais e fechamentos em GRAFITE, conforme item 2 e modelo fotográfico anexo.</w:t>
            </w:r>
          </w:p>
        </w:tc>
        <w:tc>
          <w:tcPr>
            <w:tcW w:w="99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un</w:t>
            </w:r>
          </w:p>
        </w:tc>
        <w:tc>
          <w:tcPr>
            <w:tcW w:w="99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01</w:t>
            </w:r>
          </w:p>
        </w:tc>
      </w:tr>
      <w:tr>
        <w:tc>
          <w:tcPr>
            <w:tcW w:w="800"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02</w:t>
            </w:r>
          </w:p>
        </w:tc>
        <w:tc>
          <w:tcPr>
            <w:tcW w:w="6850"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18"/>
                <w:szCs w:val="18"/>
              </w:rPr>
            </w:pPr>
            <w:r>
              <w:rPr>
                <w:rFonts w:ascii="Times New Roman" w:hAnsi="Times New Roman" w:cs="Times New Roman"/>
                <w:b w:val="1"/>
                <w:bCs w:val="1"/>
                <w:sz w:val="18"/>
                <w:szCs w:val="18"/>
              </w:rPr>
              <w:t>REFORMA DA MESA DIRETORA CENTRAL</w:t>
            </w:r>
            <w:r>
              <w:rPr>
                <w:rFonts w:ascii="Times New Roman" w:hAnsi="Times New Roman" w:cs="Times New Roman"/>
                <w:sz w:val="18"/>
                <w:szCs w:val="18"/>
              </w:rPr>
              <w:t xml:space="preserve"> – 03 (três) lugares, frente curva, medindo aproximadamente 3,65 m de frente x 0,80 m de altura. Compreende a retirada integral do revestimento existente e a aplicação de novo revestimento: tampo em padrão GRAFITE e frentes, laterais e fechamentos em PAINEL RIPADO AMADEIRADO, conforme item 2 e modelo fotográfico anexo.</w:t>
            </w:r>
          </w:p>
        </w:tc>
        <w:tc>
          <w:tcPr>
            <w:tcW w:w="99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un</w:t>
            </w:r>
          </w:p>
        </w:tc>
        <w:tc>
          <w:tcPr>
            <w:tcW w:w="99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01</w:t>
            </w:r>
          </w:p>
        </w:tc>
      </w:tr>
      <w:tr>
        <w:tc>
          <w:tcPr>
            <w:tcW w:w="800"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03</w:t>
            </w:r>
          </w:p>
        </w:tc>
        <w:tc>
          <w:tcPr>
            <w:tcW w:w="6850"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18"/>
                <w:szCs w:val="18"/>
              </w:rPr>
            </w:pPr>
            <w:r>
              <w:rPr>
                <w:rFonts w:ascii="Times New Roman" w:hAnsi="Times New Roman" w:cs="Times New Roman"/>
                <w:b w:val="1"/>
                <w:bCs w:val="1"/>
                <w:sz w:val="18"/>
                <w:szCs w:val="18"/>
              </w:rPr>
              <w:t>REFORMA DAS BANCADAS LATERAIS</w:t>
            </w:r>
            <w:r>
              <w:rPr>
                <w:rFonts w:ascii="Times New Roman" w:hAnsi="Times New Roman" w:cs="Times New Roman"/>
                <w:sz w:val="18"/>
                <w:szCs w:val="18"/>
              </w:rPr>
              <w:t xml:space="preserve"> – 04 (quatro) lugares cada, frente medindo aproximadamente 3,65 m x 0,80 m de altura. Compreende a retirada integral do revestimento existente e a aplicação de novo revestimento: tampo em padrão GRAFITE e frentes, laterais e fechamentos em PAINEL RIPADO AMADEIRADO, conforme item 2 e modelo fotográfico anexo.</w:t>
            </w:r>
          </w:p>
        </w:tc>
        <w:tc>
          <w:tcPr>
            <w:tcW w:w="99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un</w:t>
            </w:r>
          </w:p>
        </w:tc>
        <w:tc>
          <w:tcPr>
            <w:tcW w:w="99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02</w:t>
            </w:r>
          </w:p>
        </w:tc>
      </w:tr>
      <w:tr>
        <w:tc>
          <w:tcPr>
            <w:tcW w:w="800"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04</w:t>
            </w:r>
          </w:p>
        </w:tc>
        <w:tc>
          <w:tcPr>
            <w:tcW w:w="6850" w:type="dxa"/>
            <w:tcMar>
              <w:top w:w="80" w:type="dxa"/>
              <w:left w:w="100" w:type="dxa"/>
              <w:bottom w:w="80" w:type="dxa"/>
              <w:right w:w="100" w:type="dxa"/>
            </w:tcMar>
          </w:tcPr>
          <w:p>
            <w:pPr>
              <w:spacing w:lineRule="auto" w:line="260" w:beforeAutospacing="0" w:afterAutospacing="0"/>
              <w:jc w:val="both"/>
              <w:rPr>
                <w:rFonts w:ascii="Times New Roman" w:hAnsi="Times New Roman" w:cs="Times New Roman"/>
                <w:sz w:val="18"/>
                <w:szCs w:val="18"/>
              </w:rPr>
            </w:pPr>
            <w:r>
              <w:rPr>
                <w:rFonts w:ascii="Times New Roman" w:hAnsi="Times New Roman" w:cs="Times New Roman"/>
                <w:b w:val="1"/>
                <w:bCs w:val="1"/>
                <w:sz w:val="18"/>
                <w:szCs w:val="18"/>
              </w:rPr>
              <w:t>REFORMA DAS GAVETAS DAS MESAS DO PLENÁRIO</w:t>
            </w:r>
            <w:r>
              <w:rPr>
                <w:rFonts w:ascii="Times New Roman" w:hAnsi="Times New Roman" w:cs="Times New Roman"/>
                <w:sz w:val="18"/>
                <w:szCs w:val="18"/>
              </w:rPr>
              <w:t xml:space="preserve"> – medidas 70cmx54cm, com fornecimento e instalação de novas fechaduras (com 02 chaves cada) e novas corrediças telescópicas metálicas, incluindo recuperação/substituição das caixas de gaveta na cor GRAFITE, revestimento das frentes no mesmo padrão do conjunto, regulagem e alinhamento, conforme item 2.4.</w:t>
            </w:r>
          </w:p>
        </w:tc>
        <w:tc>
          <w:tcPr>
            <w:tcW w:w="992"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sz w:val="18"/>
                <w:szCs w:val="18"/>
              </w:rPr>
              <w:t>un</w:t>
            </w:r>
          </w:p>
        </w:tc>
        <w:tc>
          <w:tcPr>
            <w:tcW w:w="996" w:type="dxa"/>
            <w:tcMar>
              <w:top w:w="80" w:type="dxa"/>
              <w:left w:w="100" w:type="dxa"/>
              <w:bottom w:w="80" w:type="dxa"/>
              <w:right w:w="100" w:type="dxa"/>
            </w:tcMar>
            <w:vAlign w:val="center"/>
          </w:tcPr>
          <w:p>
            <w:pPr>
              <w:spacing w:lineRule="auto" w:line="260" w:beforeAutospacing="0" w:afterAutospacing="0"/>
              <w:jc w:val="center"/>
              <w:rPr>
                <w:rFonts w:ascii="Times New Roman" w:hAnsi="Times New Roman" w:cs="Times New Roman"/>
                <w:sz w:val="18"/>
                <w:szCs w:val="18"/>
              </w:rPr>
            </w:pPr>
            <w:r>
              <w:rPr>
                <w:rFonts w:ascii="Times New Roman" w:hAnsi="Times New Roman" w:cs="Times New Roman"/>
                <w:b w:val="1"/>
                <w:bCs w:val="1"/>
                <w:sz w:val="18"/>
                <w:szCs w:val="18"/>
              </w:rPr>
              <w:t>11</w:t>
            </w:r>
          </w:p>
        </w:tc>
      </w:tr>
    </w:tbl>
    <w:p>
      <w:pPr>
        <w:spacing w:lineRule="auto" w:line="276" w:before="120" w:after="120" w:beforeAutospacing="0" w:afterAutospacing="0"/>
        <w:jc w:val="both"/>
        <w:rPr>
          <w:rFonts w:ascii="Times New Roman" w:hAnsi="Times New Roman" w:cs="Times New Roman"/>
          <w:sz w:val="20"/>
          <w:szCs w:val="20"/>
        </w:rPr>
      </w:pPr>
      <w:r>
        <w:rPr>
          <w:rFonts w:ascii="Times New Roman" w:hAnsi="Times New Roman" w:cs="Times New Roman"/>
          <w:b w:val="1"/>
          <w:i w:val="1"/>
          <w:bCs w:val="1"/>
          <w:iCs w:val="1"/>
          <w:sz w:val="20"/>
          <w:szCs w:val="20"/>
        </w:rPr>
        <w:t>1.1</w:t>
      </w:r>
      <w:r>
        <w:rPr>
          <w:rFonts w:ascii="Times New Roman" w:hAnsi="Times New Roman" w:cs="Times New Roman"/>
          <w:i w:val="1"/>
          <w:iCs w:val="1"/>
          <w:sz w:val="20"/>
          <w:szCs w:val="20"/>
        </w:rPr>
        <w:t>. As medidas indicadas são aproximadas e referem-se ao mobiliário existente; deverão ser obrigatoriamente conferidas no local pelo interessado antes da apresentação da proposta.</w:t>
      </w:r>
    </w:p>
    <w:p>
      <w:pPr>
        <w:spacing w:before="260" w:after="140" w:beforeAutospacing="0" w:afterAutospacing="0"/>
        <w:rPr>
          <w:rFonts w:ascii="Times New Roman" w:hAnsi="Times New Roman" w:cs="Times New Roman"/>
        </w:rPr>
      </w:pPr>
      <w:r>
        <w:rPr>
          <w:rFonts w:ascii="Times New Roman" w:hAnsi="Times New Roman" w:cs="Times New Roman"/>
          <w:b w:val="1"/>
          <w:bCs w:val="1"/>
        </w:rPr>
        <w:t>2. ESPECIFICAÇÕES TÉCNICAS DOS MATERIAIS E ACABAMENTOS</w:t>
      </w:r>
    </w:p>
    <w:p>
      <w:pPr>
        <w:spacing w:lineRule="auto" w:line="276" w:after="120" w:beforeAutospacing="0" w:afterAutospacing="0"/>
        <w:jc w:val="both"/>
        <w:rPr>
          <w:rFonts w:ascii="Times New Roman" w:hAnsi="Times New Roman" w:cs="Times New Roman"/>
        </w:rPr>
      </w:pPr>
      <w:r>
        <w:rPr>
          <w:rFonts w:ascii="Times New Roman" w:hAnsi="Times New Roman" w:cs="Times New Roman"/>
        </w:rPr>
        <w:t>Aplicam-se a todos os itens da tabela do item 1, salvo indicação em contrário.</w:t>
      </w:r>
    </w:p>
    <w:p>
      <w:pPr>
        <w:spacing w:lineRule="auto" w:line="276" w:after="100" w:beforeAutospacing="0" w:afterAutospacing="0"/>
        <w:jc w:val="both"/>
        <w:rPr>
          <w:rFonts w:ascii="Times New Roman" w:hAnsi="Times New Roman" w:cs="Times New Roman"/>
          <w:b w:val="1"/>
          <w:bCs w:val="1"/>
        </w:rPr>
      </w:pPr>
      <w:r>
        <w:rPr>
          <w:rFonts w:ascii="Times New Roman" w:hAnsi="Times New Roman" w:cs="Times New Roman"/>
          <w:b w:val="1"/>
          <w:bCs w:val="1"/>
        </w:rPr>
        <w:t>2.1. Tampo (superfície superior de trabalho) – cor GRAFITE</w:t>
      </w:r>
    </w:p>
    <w:p>
      <w:pPr>
        <w:pStyle w:val="P13"/>
        <w:numPr>
          <w:ilvl w:val="0"/>
          <w:numId w:val="16"/>
        </w:numPr>
        <w:spacing w:lineRule="auto" w:line="276" w:after="80" w:beforeAutospacing="0" w:afterAutospacing="0"/>
        <w:jc w:val="both"/>
        <w:rPr>
          <w:rFonts w:ascii="Times New Roman" w:hAnsi="Times New Roman" w:cs="Times New Roman"/>
        </w:rPr>
      </w:pPr>
      <w:r>
        <w:rPr>
          <w:rFonts w:ascii="Times New Roman" w:hAnsi="Times New Roman" w:cs="Times New Roman"/>
        </w:rPr>
        <w:t>Painel em MDF de, no mínimo, 25 mm de espessura, revestido em laminado melamínico em ambas as faces.</w:t>
      </w:r>
    </w:p>
    <w:p>
      <w:pPr>
        <w:pStyle w:val="P13"/>
        <w:numPr>
          <w:ilvl w:val="0"/>
          <w:numId w:val="16"/>
        </w:numPr>
        <w:spacing w:lineRule="auto" w:line="276" w:after="80" w:beforeAutospacing="0" w:afterAutospacing="0"/>
        <w:jc w:val="both"/>
        <w:rPr>
          <w:rFonts w:ascii="Times New Roman" w:hAnsi="Times New Roman" w:cs="Times New Roman"/>
        </w:rPr>
      </w:pPr>
      <w:r>
        <w:rPr>
          <w:rFonts w:ascii="Times New Roman" w:hAnsi="Times New Roman" w:cs="Times New Roman"/>
        </w:rPr>
        <w:t>Padrão/cor: GRAFITE – padrão de aspecto GRAFITE, tonalidade cinza escuro, acabamento fosco ou texturizado, resistente a riscos e de fácil limpeza.</w:t>
      </w:r>
    </w:p>
    <w:p>
      <w:pPr>
        <w:pStyle w:val="P13"/>
        <w:numPr>
          <w:ilvl w:val="0"/>
          <w:numId w:val="16"/>
        </w:numPr>
        <w:spacing w:lineRule="auto" w:line="276" w:after="80" w:beforeAutospacing="0" w:afterAutospacing="0"/>
        <w:jc w:val="both"/>
        <w:rPr>
          <w:rFonts w:ascii="Times New Roman" w:hAnsi="Times New Roman" w:cs="Times New Roman"/>
        </w:rPr>
      </w:pPr>
      <w:r>
        <w:rPr>
          <w:rFonts w:ascii="Times New Roman" w:hAnsi="Times New Roman" w:cs="Times New Roman"/>
        </w:rPr>
        <w:t>Bordas: fita de bordo em ABS de 2 mm no mesmo padrão do tampo, colada por sistema hot melt, com cantos arredondados e sem arestas vivas.</w:t>
      </w:r>
    </w:p>
    <w:p>
      <w:pPr>
        <w:pStyle w:val="P13"/>
        <w:numPr>
          <w:ilvl w:val="0"/>
          <w:numId w:val="16"/>
        </w:numPr>
        <w:spacing w:lineRule="auto" w:line="276" w:after="80" w:beforeAutospacing="0" w:afterAutospacing="0"/>
        <w:jc w:val="both"/>
        <w:rPr>
          <w:rFonts w:ascii="Times New Roman" w:hAnsi="Times New Roman" w:cs="Times New Roman"/>
        </w:rPr>
      </w:pPr>
      <w:r>
        <w:rPr>
          <w:rFonts w:ascii="Times New Roman" w:hAnsi="Times New Roman" w:cs="Times New Roman"/>
        </w:rPr>
        <w:t>Nas peças de frente curva (tribuna e mesa diretora), o tampo deverá acompanhar integralmente a curvatura existente, sem emendas aparentes na face superior.</w:t>
      </w:r>
    </w:p>
    <w:p>
      <w:pPr>
        <w:pStyle w:val="P13"/>
        <w:numPr>
          <w:ilvl w:val="0"/>
          <w:numId w:val="16"/>
        </w:numPr>
        <w:spacing w:lineRule="auto" w:line="276" w:after="80" w:beforeAutospacing="0" w:afterAutospacing="0"/>
        <w:jc w:val="both"/>
        <w:rPr>
          <w:rFonts w:ascii="Times New Roman" w:hAnsi="Times New Roman" w:cs="Times New Roman"/>
        </w:rPr>
      </w:pPr>
      <w:r>
        <w:rPr>
          <w:rFonts w:ascii="Times New Roman" w:hAnsi="Times New Roman" w:cs="Times New Roman"/>
        </w:rPr>
        <w:t>Deverão ser reproduzidos, nas mesmas posições atuais, todos os recortes existentes para passagem de cabos, caixas de tomada e suportes de monitor, com instalação de passa-fios em PVC ou alumínio.</w:t>
      </w:r>
    </w:p>
    <w:p>
      <w:pPr>
        <w:spacing w:lineRule="auto" w:line="276" w:after="100" w:beforeAutospacing="0" w:afterAutospacing="0"/>
        <w:jc w:val="both"/>
        <w:rPr>
          <w:rFonts w:ascii="Times New Roman" w:hAnsi="Times New Roman" w:cs="Times New Roman"/>
          <w:b w:val="1"/>
          <w:bCs w:val="1"/>
        </w:rPr>
      </w:pPr>
      <w:r>
        <w:rPr>
          <w:rFonts w:ascii="Times New Roman" w:hAnsi="Times New Roman" w:cs="Times New Roman"/>
          <w:b w:val="1"/>
          <w:bCs w:val="1"/>
        </w:rPr>
        <w:t>2.2. Frentes, laterais e fechamentos – PAINEL RIPADO AMADEIRADO</w:t>
      </w:r>
    </w:p>
    <w:p>
      <w:pPr>
        <w:pStyle w:val="P13"/>
        <w:numPr>
          <w:ilvl w:val="0"/>
          <w:numId w:val="15"/>
        </w:numPr>
        <w:spacing w:lineRule="auto" w:line="276" w:after="80" w:beforeAutospacing="0" w:afterAutospacing="0"/>
        <w:jc w:val="both"/>
        <w:rPr>
          <w:rFonts w:ascii="Times New Roman" w:hAnsi="Times New Roman" w:cs="Times New Roman"/>
        </w:rPr>
      </w:pPr>
      <w:r>
        <w:rPr>
          <w:rFonts w:ascii="Times New Roman" w:hAnsi="Times New Roman" w:cs="Times New Roman"/>
        </w:rPr>
        <w:t>Painel ripado composto por réguas de MDF de seção aproximada 20 mm x 30 mm, fixadas sobre base contínua em MDF de 15 mm.</w:t>
      </w:r>
    </w:p>
    <w:p>
      <w:pPr>
        <w:pStyle w:val="P13"/>
        <w:numPr>
          <w:ilvl w:val="0"/>
          <w:numId w:val="15"/>
        </w:numPr>
        <w:spacing w:lineRule="auto" w:line="276" w:after="80" w:beforeAutospacing="0" w:afterAutospacing="0"/>
        <w:jc w:val="both"/>
        <w:rPr>
          <w:rFonts w:ascii="Times New Roman" w:hAnsi="Times New Roman" w:cs="Times New Roman"/>
        </w:rPr>
      </w:pPr>
      <w:r>
        <w:rPr>
          <w:rFonts w:ascii="Times New Roman" w:hAnsi="Times New Roman" w:cs="Times New Roman"/>
        </w:rPr>
        <w:t>Espaçamento uniforme entre as réguas, de 12 mm a 15 mm, mantido constante em toda a extensão da peça.</w:t>
      </w:r>
    </w:p>
    <w:p>
      <w:pPr>
        <w:pStyle w:val="P13"/>
        <w:numPr>
          <w:ilvl w:val="0"/>
          <w:numId w:val="15"/>
        </w:numPr>
        <w:spacing w:lineRule="auto" w:line="276" w:after="80" w:beforeAutospacing="0" w:afterAutospacing="0"/>
        <w:jc w:val="both"/>
        <w:rPr>
          <w:rFonts w:ascii="Times New Roman" w:hAnsi="Times New Roman" w:cs="Times New Roman"/>
        </w:rPr>
      </w:pPr>
      <w:r>
        <w:rPr>
          <w:rFonts w:ascii="Times New Roman" w:hAnsi="Times New Roman" w:cs="Times New Roman"/>
        </w:rPr>
        <w:t>Revestimento das réguas em laminado melamínico padrão AMADEIRADO, tom médio (referência: nogueira, freijó ou similar), acabamento fosco, conforme modelo fotográfico anexo.</w:t>
      </w:r>
    </w:p>
    <w:p>
      <w:pPr>
        <w:pStyle w:val="P13"/>
        <w:numPr>
          <w:ilvl w:val="0"/>
          <w:numId w:val="15"/>
        </w:numPr>
        <w:spacing w:lineRule="auto" w:line="276" w:after="80" w:beforeAutospacing="0" w:afterAutospacing="0"/>
        <w:jc w:val="both"/>
        <w:rPr>
          <w:rFonts w:ascii="Times New Roman" w:hAnsi="Times New Roman" w:cs="Times New Roman"/>
        </w:rPr>
      </w:pPr>
      <w:r>
        <w:rPr>
          <w:rFonts w:ascii="Times New Roman" w:hAnsi="Times New Roman" w:cs="Times New Roman"/>
        </w:rPr>
        <w:t>Fundo do ripado (base aparente entre as réguas) revestido em melamina na cor GRAFITE, para contraste, conforme modelo fotográfico anexo.</w:t>
      </w:r>
    </w:p>
    <w:p>
      <w:pPr>
        <w:pStyle w:val="P13"/>
        <w:numPr>
          <w:ilvl w:val="0"/>
          <w:numId w:val="15"/>
        </w:numPr>
        <w:spacing w:lineRule="auto" w:line="276" w:after="80" w:beforeAutospacing="0" w:afterAutospacing="0"/>
        <w:jc w:val="both"/>
        <w:rPr>
          <w:rFonts w:ascii="Times New Roman" w:hAnsi="Times New Roman" w:cs="Times New Roman"/>
        </w:rPr>
      </w:pPr>
      <w:r>
        <w:rPr>
          <w:rFonts w:ascii="Times New Roman" w:hAnsi="Times New Roman" w:cs="Times New Roman"/>
        </w:rPr>
        <w:t>Nas peças de frente curva, as réguas deverão ser aplicadas radialmente, acompanhando a curvatura, com espaçamento constante e sem deformações.</w:t>
      </w:r>
    </w:p>
    <w:p>
      <w:pPr>
        <w:pStyle w:val="P13"/>
        <w:numPr>
          <w:ilvl w:val="0"/>
          <w:numId w:val="15"/>
        </w:numPr>
        <w:spacing w:lineRule="auto" w:line="276" w:after="80" w:beforeAutospacing="0" w:afterAutospacing="0"/>
        <w:jc w:val="both"/>
        <w:rPr>
          <w:rFonts w:ascii="Times New Roman" w:hAnsi="Times New Roman" w:cs="Times New Roman"/>
        </w:rPr>
      </w:pPr>
      <w:r>
        <w:rPr>
          <w:rFonts w:ascii="Times New Roman" w:hAnsi="Times New Roman" w:cs="Times New Roman"/>
        </w:rPr>
        <w:t>Fixação por colagem estrutural e/ou pinos internos, sem parafusos, pregos ou emendas aparentes na face externa.</w:t>
      </w:r>
    </w:p>
    <w:p>
      <w:pPr>
        <w:spacing w:lineRule="auto" w:line="276" w:after="100" w:beforeAutospacing="0" w:afterAutospacing="0"/>
        <w:jc w:val="both"/>
        <w:rPr>
          <w:rFonts w:ascii="Times New Roman" w:hAnsi="Times New Roman" w:cs="Times New Roman"/>
          <w:b w:val="1"/>
          <w:bCs w:val="1"/>
        </w:rPr>
      </w:pPr>
      <w:r>
        <w:rPr>
          <w:rFonts w:ascii="Times New Roman" w:hAnsi="Times New Roman" w:cs="Times New Roman"/>
          <w:b w:val="1"/>
          <w:bCs w:val="1"/>
        </w:rPr>
        <w:t>2.3. Estrutura</w:t>
      </w:r>
    </w:p>
    <w:p>
      <w:pPr>
        <w:pStyle w:val="P13"/>
        <w:numPr>
          <w:ilvl w:val="0"/>
          <w:numId w:val="14"/>
        </w:numPr>
        <w:spacing w:lineRule="auto" w:line="276" w:after="80" w:beforeAutospacing="0" w:afterAutospacing="0"/>
        <w:jc w:val="both"/>
        <w:rPr>
          <w:rFonts w:ascii="Times New Roman" w:hAnsi="Times New Roman" w:cs="Times New Roman"/>
        </w:rPr>
      </w:pPr>
      <w:r>
        <w:rPr>
          <w:rFonts w:ascii="Times New Roman" w:hAnsi="Times New Roman" w:cs="Times New Roman"/>
        </w:rPr>
        <w:t>As estruturas internas existentes deverão ser vistoriadas, limpas, reforçadas e reaproveitadas quando em boas condições de uso.</w:t>
      </w:r>
    </w:p>
    <w:p>
      <w:pPr>
        <w:pStyle w:val="P13"/>
        <w:numPr>
          <w:ilvl w:val="0"/>
          <w:numId w:val="14"/>
        </w:numPr>
        <w:spacing w:lineRule="auto" w:line="276" w:after="80" w:beforeAutospacing="0" w:afterAutospacing="0"/>
        <w:jc w:val="both"/>
        <w:rPr>
          <w:rFonts w:ascii="Times New Roman" w:hAnsi="Times New Roman" w:cs="Times New Roman"/>
        </w:rPr>
      </w:pPr>
      <w:r>
        <w:rPr>
          <w:rFonts w:ascii="Times New Roman" w:hAnsi="Times New Roman" w:cs="Times New Roman"/>
        </w:rPr>
        <w:t>Peças estruturais deterioradas, empenadas, com infiltração ou com perda de resistência deverão ser substituídas pela contratada, mediante prévia comunicação e autorização da contratante.</w:t>
      </w:r>
    </w:p>
    <w:p>
      <w:pPr>
        <w:spacing w:lineRule="auto" w:line="276" w:after="100" w:beforeAutospacing="0" w:afterAutospacing="0"/>
        <w:jc w:val="both"/>
        <w:rPr>
          <w:rFonts w:ascii="Times New Roman" w:hAnsi="Times New Roman" w:cs="Times New Roman"/>
          <w:b w:val="1"/>
          <w:bCs w:val="1"/>
        </w:rPr>
      </w:pPr>
      <w:r>
        <w:rPr>
          <w:rFonts w:ascii="Times New Roman" w:hAnsi="Times New Roman" w:cs="Times New Roman"/>
          <w:b w:val="1"/>
          <w:bCs w:val="1"/>
        </w:rPr>
        <w:t>2.4. Gavetas, fechaduras e corrediças – 11 (onze) unidades</w:t>
      </w:r>
    </w:p>
    <w:p>
      <w:pPr>
        <w:pStyle w:val="P13"/>
        <w:numPr>
          <w:ilvl w:val="0"/>
          <w:numId w:val="13"/>
        </w:numPr>
        <w:spacing w:lineRule="auto" w:line="276" w:after="80" w:beforeAutospacing="0" w:afterAutospacing="0"/>
        <w:jc w:val="both"/>
        <w:rPr>
          <w:rFonts w:ascii="Times New Roman" w:hAnsi="Times New Roman" w:cs="Times New Roman"/>
        </w:rPr>
      </w:pPr>
      <w:r>
        <w:rPr>
          <w:rFonts w:ascii="Times New Roman" w:hAnsi="Times New Roman" w:cs="Times New Roman"/>
        </w:rPr>
        <w:t>Corrediças telescópicas metálicas, com rolamentos, curso total, capacidade mínima de 35 kg por par, com trava de fim de curso.</w:t>
      </w:r>
    </w:p>
    <w:p>
      <w:pPr>
        <w:pStyle w:val="P13"/>
        <w:numPr>
          <w:ilvl w:val="0"/>
          <w:numId w:val="13"/>
        </w:numPr>
        <w:spacing w:lineRule="auto" w:line="276" w:after="80" w:beforeAutospacing="0" w:afterAutospacing="0"/>
        <w:jc w:val="both"/>
        <w:rPr>
          <w:rFonts w:ascii="Times New Roman" w:hAnsi="Times New Roman" w:cs="Times New Roman"/>
        </w:rPr>
      </w:pPr>
      <w:r>
        <w:rPr>
          <w:rFonts w:ascii="Times New Roman" w:hAnsi="Times New Roman" w:cs="Times New Roman"/>
        </w:rPr>
        <w:t>Fechaduras tipo cilindro, com acionamento por chave, fornecidas com 02 (duas) chaves por unidade e segredos distintos entre si.</w:t>
      </w:r>
    </w:p>
    <w:p>
      <w:pPr>
        <w:pStyle w:val="P13"/>
        <w:numPr>
          <w:ilvl w:val="0"/>
          <w:numId w:val="13"/>
        </w:numPr>
        <w:spacing w:lineRule="auto" w:line="276" w:after="80" w:beforeAutospacing="0" w:afterAutospacing="0"/>
        <w:jc w:val="both"/>
        <w:rPr>
          <w:rFonts w:ascii="Times New Roman" w:hAnsi="Times New Roman" w:cs="Times New Roman"/>
        </w:rPr>
      </w:pPr>
      <w:r>
        <w:rPr>
          <w:rFonts w:ascii="Times New Roman" w:hAnsi="Times New Roman" w:cs="Times New Roman"/>
        </w:rPr>
        <w:t>Caixas de gaveta em MDF de 15 mm, com fundo de 6 mm, revestimento melamínico interno na cor GRAFITE.</w:t>
      </w:r>
    </w:p>
    <w:p>
      <w:pPr>
        <w:pStyle w:val="P13"/>
        <w:numPr>
          <w:ilvl w:val="0"/>
          <w:numId w:val="13"/>
        </w:numPr>
        <w:spacing w:lineRule="auto" w:line="276" w:after="80" w:beforeAutospacing="0" w:afterAutospacing="0"/>
        <w:jc w:val="both"/>
        <w:rPr>
          <w:rFonts w:ascii="Times New Roman" w:hAnsi="Times New Roman" w:cs="Times New Roman"/>
        </w:rPr>
      </w:pPr>
      <w:r>
        <w:rPr>
          <w:rFonts w:ascii="Times New Roman" w:hAnsi="Times New Roman" w:cs="Times New Roman"/>
        </w:rPr>
        <w:t>Frentes de gaveta revestidas no mesmo padrão do conjunto em que se inserem, com puxadores metálicos em padrão único para todas as unidades.</w:t>
      </w:r>
    </w:p>
    <w:p>
      <w:pPr>
        <w:pStyle w:val="P13"/>
        <w:numPr>
          <w:ilvl w:val="0"/>
          <w:numId w:val="13"/>
        </w:numPr>
        <w:spacing w:lineRule="auto" w:line="276" w:after="80" w:beforeAutospacing="0" w:afterAutospacing="0"/>
        <w:jc w:val="both"/>
        <w:rPr>
          <w:rFonts w:ascii="Times New Roman" w:hAnsi="Times New Roman" w:cs="Times New Roman"/>
        </w:rPr>
      </w:pPr>
      <w:r>
        <w:rPr>
          <w:rFonts w:ascii="Times New Roman" w:hAnsi="Times New Roman" w:cs="Times New Roman"/>
        </w:rPr>
        <w:t>Regulagem e alinhamento de todas as gavetas, com folgas uniformes e abertura/fechamento suaves.</w:t>
      </w:r>
    </w:p>
    <w:p>
      <w:pPr>
        <w:spacing w:lineRule="auto" w:line="276" w:after="80" w:beforeAutospacing="0" w:afterAutospacing="0"/>
        <w:ind w:hanging="200" w:left="340"/>
        <w:jc w:val="both"/>
        <w:rPr>
          <w:rFonts w:ascii="Times New Roman" w:hAnsi="Times New Roman" w:cs="Times New Roman"/>
        </w:rPr>
      </w:pPr>
    </w:p>
    <w:p>
      <w:pPr>
        <w:spacing w:before="320" w:beforeAutospacing="0" w:afterAutospacing="0"/>
        <w:jc w:val="both"/>
        <w:rPr>
          <w:rFonts w:ascii="Times New Roman" w:hAnsi="Times New Roman" w:cs="Times New Roman"/>
          <w:b w:val="1"/>
          <w:bCs w:val="1"/>
          <w:sz w:val="24"/>
          <w:szCs w:val="24"/>
        </w:rPr>
      </w:pPr>
      <w:r>
        <w:rPr>
          <w:rFonts w:ascii="Times New Roman" w:hAnsi="Times New Roman" w:cs="Times New Roman"/>
          <w:b w:val="1"/>
          <w:bCs w:val="1"/>
          <w:sz w:val="24"/>
          <w:szCs w:val="24"/>
        </w:rPr>
        <w:t>ANEXO</w:t>
      </w:r>
    </w:p>
    <w:p>
      <w:pPr>
        <w:spacing w:before="120" w:beforeAutospacing="0" w:afterAutospacing="0"/>
        <w:jc w:val="both"/>
        <w:rPr>
          <w:rFonts w:ascii="Times New Roman" w:hAnsi="Times New Roman" w:cs="Times New Roman"/>
          <w:b w:val="1"/>
          <w:i w:val="1"/>
          <w:bCs w:val="1"/>
          <w:iCs w:val="1"/>
          <w:sz w:val="24"/>
          <w:szCs w:val="24"/>
        </w:rPr>
      </w:pPr>
      <w:r>
        <w:rPr>
          <w:rFonts w:ascii="Times New Roman" w:hAnsi="Times New Roman" w:cs="Times New Roman"/>
          <w:b w:val="1"/>
          <w:i w:val="1"/>
          <w:bCs w:val="1"/>
          <w:iCs w:val="1"/>
          <w:sz w:val="24"/>
          <w:szCs w:val="24"/>
        </w:rPr>
        <w:t>Modelo fotográfico de referência do acabamento pretendido (tampo em padrão granito, frentes e laterais em painel ripado amadeirado, testeira e rodapé em grafite).</w:t>
      </w:r>
    </w:p>
    <w:p>
      <w:pPr>
        <w:spacing w:before="120" w:beforeAutospacing="0" w:afterAutospacing="0"/>
        <w:jc w:val="both"/>
      </w:pPr>
      <w:r>
        <w:rPr>
          <w:noProof w:val="1"/>
        </w:rPr>
        <w:drawing>
          <wp:inline xmlns:wp="http://schemas.openxmlformats.org/drawingml/2006/wordprocessingDrawing" distT="0" distB="0" distL="0" distR="0">
            <wp:extent cx="6120130" cy="2888615"/>
            <wp:effectExtent l="0" t="0" r="0" b="6985"/>
            <wp:docPr id="19652502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50222" name="Picture 1"/>
                    <pic:cNvPicPr/>
                  </pic:nvPicPr>
                  <pic:blipFill dpi="0">
                    <a:blip xmlns:r="http://schemas.openxmlformats.org/officeDocument/2006/relationships" r:embed="Relimage1"/>
                    <a:srcRect/>
                    <a:stretch>
                      <a:fillRect/>
                    </a:stretch>
                  </pic:blipFill>
                  <pic:spPr>
                    <a:xfrm>
                      <a:off x="0" y="0"/>
                      <a:ext cx="6120130" cy="2888615"/>
                    </a:xfrm>
                    <a:prstGeom prst="rect"/>
                  </pic:spPr>
                </pic:pic>
              </a:graphicData>
            </a:graphic>
          </wp:inline>
        </w:drawing>
      </w:r>
    </w:p>
    <w:p>
      <w:pPr>
        <w:rPr>
          <w:rFonts w:ascii="Times New Roman" w:hAnsi="Times New Roman" w:cs="Times New Roman"/>
          <w:sz w:val="24"/>
          <w:szCs w:val="24"/>
        </w:rPr>
      </w:pPr>
    </w:p>
    <w:sectPr>
      <w:headerReference w:type="default" r:id="RelHdr1"/>
      <w:footerReference w:type="default" r:id="RelFtr1"/>
      <w:footnotePr/>
      <w:endnotePr/>
      <w:type w:val="nextPage"/>
      <w:pgSz w:w="11906" w:h="16838" w:code="0"/>
      <w:pgMar w:left="1134" w:right="1134" w:top="1418" w:bottom="1418" w:header="708" w:footer="708" w:gutter="0"/>
    </w:sectPr>
  </w:body>
</w:document>
</file>

<file path=word/endnotes.xml><?xml version="1.0" encoding="utf-8"?>
<w:endnotes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r>
        <w:separator/>
      </w:r>
    </w:p>
  </w:endnote>
  <w:endnote w:type="continuationSeparator" w:id="0">
    <w:p>
      <w:r>
        <w:continuationSeparator/>
      </w:r>
    </w:p>
  </w:endnote>
</w:endnotes>
</file>

<file path=word/footer1.xml><?xml version="1.0" encoding="utf-8"?>
<w:ftr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spacing w:after="20" w:beforeAutospacing="0" w:afterAutospacing="0"/>
      <w:jc w:val="right"/>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Pr>
        <w:sz w:val="16"/>
        <w:szCs w:val="16"/>
      </w:rPr>
      <w:t>#</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Pr>
        <w:sz w:val="16"/>
        <w:szCs w:val="16"/>
      </w:rPr>
      <w:t>#</w:t>
    </w:r>
    <w:r>
      <w:rPr>
        <w:sz w:val="16"/>
        <w:szCs w:val="16"/>
      </w:rPr>
      <w:fldChar w:fldCharType="end"/>
    </w:r>
  </w:p>
  <w:p>
    <w:pPr>
      <w:spacing w:before="20" w:after="20" w:beforeAutospacing="0" w:afterAutospacing="0"/>
      <w:ind w:right="360"/>
      <w:jc w:val="center"/>
      <w:rPr>
        <w:rFonts w:ascii="Arial" w:hAnsi="Arial" w:cs="Arial"/>
        <w:bCs w:val="1"/>
        <w:sz w:val="16"/>
        <w:szCs w:val="16"/>
      </w:rPr>
    </w:pPr>
    <w:r>
      <w:rPr>
        <w:rFonts w:ascii="Arial" w:hAnsi="Arial" w:cs="Arial"/>
        <w:bCs w:val="1"/>
        <w:sz w:val="16"/>
        <w:szCs w:val="16"/>
      </w:rPr>
      <w:t>Rua Des. Joaquim P. F. Mendes, 2345 – Jd. Eldorado – Diamantino-MT – 78400-000</w:t>
    </w:r>
  </w:p>
  <w:p>
    <w:pPr>
      <w:jc w:val="center"/>
      <w:rPr>
        <w:rFonts w:ascii="Arial" w:hAnsi="Arial" w:cs="Arial"/>
        <w:bCs w:val="1"/>
        <w:sz w:val="16"/>
        <w:szCs w:val="16"/>
      </w:rPr>
    </w:pPr>
    <w:r>
      <w:rPr>
        <w:rFonts w:ascii="Arial" w:hAnsi="Arial" w:cs="Arial"/>
        <w:bCs w:val="1"/>
        <w:color w:val="000000"/>
        <w:sz w:val="16"/>
        <w:szCs w:val="16"/>
      </w:rPr>
      <w:t>(65) 3336-1419 - www.diamantino.mt.leg.br</w:t>
    </w:r>
  </w:p>
</w:ftr>
</file>

<file path=word/footnotes.xml><?xml version="1.0" encoding="utf-8"?>
<w:footnotes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20"/>
      <w:ind w:left="426"/>
    </w:pPr>
    <w:bookmarkStart w:id="0" w:name="_Hlk166227590"/>
    <w:bookmarkStart w:id="1" w:name="_Hlk166227591"/>
    <w:r>
      <w:rPr>
        <w:noProof w:val="1"/>
      </w:rPr>
      <mc:AlternateContent>
        <mc:Choice Requires="wps">
          <w:drawing>
            <wp:anchor xmlns:wp="http://schemas.openxmlformats.org/drawingml/2006/wordprocessingDrawing" distT="0" distB="0" distL="114300" distR="114300" simplePos="0" relativeHeight="1" behindDoc="0" locked="0" layoutInCell="1" allowOverlap="1">
              <wp:simplePos x="0" y="0"/>
              <wp:positionH relativeFrom="column">
                <wp:posOffset>1099185</wp:posOffset>
              </wp:positionH>
              <wp:positionV relativeFrom="paragraph">
                <wp:posOffset>-99060</wp:posOffset>
              </wp:positionV>
              <wp:extent cx="3200400" cy="658495"/>
              <wp:effectExtent l="0" t="0" r="0" b="8255"/>
              <wp:wrapNone/>
              <wp:docPr id="34" name="Caixa de Texto 2"/>
              <wp:cNvGraphicFramePr/>
              <a:graphic xmlns:a="http://schemas.openxmlformats.org/drawingml/2006/main">
                <a:graphicData uri="http://schemas.microsoft.com/office/word/2010/wordprocessingShape">
                  <wps:wsp>
                    <wps:cNvSpPr txBox="1">
                      <a:spLocks noChangeArrowheads="1"/>
                    </wps:cNvSpPr>
                    <wps:spPr bwMode="auto">
                      <a:xfrm>
                        <a:off x="0" y="0"/>
                        <a:ext cx="3200400" cy="658906"/>
                      </a:xfrm>
                      <a:prstGeom prst="rect"/>
                      <a:noFill/>
                      <a:ln>
                        <a:noFill/>
                      </a:ln>
                    </wps:spPr>
                    <wps:style>
                      <a:lnRef idx="0">
                        <a:srgbClr val="000000">
                          <a:alpha val="0"/>
                        </a:srgbClr>
                      </a:lnRef>
                      <a:fillRef idx="0">
                        <a:srgbClr val="000000">
                          <a:alpha val="0"/>
                        </a:srgbClr>
                      </a:fillRef>
                      <a:effectRef idx="0">
                        <a:srgbClr val="000000">
                          <a:alpha val="0"/>
                        </a:srgbClr>
                      </a:effectRef>
                      <a:fontRef idx="none">
                        <a:srgbClr val="000000">
                          <a:alpha val="0"/>
                        </a:srgbClr>
                      </a:fontRef>
                    </wps:style>
                    <wps:txbx>
                      <w:txbxContent>
                        <w:p>
                          <w:pPr>
                            <w:spacing w:before="20" w:after="20" w:beforeAutospacing="0" w:afterAutospacing="0"/>
                            <w:rPr>
                              <w:rFonts w:ascii="Bahnschrift SemiBold" w:hAnsi="Bahnschrift SemiBold"/>
                              <w:b w:val="1"/>
                            </w:rPr>
                          </w:pPr>
                          <w:r>
                            <w:rPr>
                              <w:rFonts w:ascii="Bahnschrift SemiBold" w:hAnsi="Bahnschrift SemiBold"/>
                              <w:b w:val="1"/>
                              <w:color w:val="000000"/>
                              <w:kern w:val="2"/>
                            </w:rPr>
                            <w:t>ESTADO DE MATO GROSSO</w:t>
                          </w:r>
                        </w:p>
                        <w:p>
                          <w:pPr>
                            <w:pStyle w:val="P1"/>
                            <w:spacing w:before="20" w:after="20" w:beforeAutospacing="0" w:afterAutospacing="0"/>
                            <w:rPr>
                              <w:rFonts w:ascii="Bahnschrift SemiBold" w:hAnsi="Bahnschrift SemiBold"/>
                              <w:color w:val="auto"/>
                              <w:sz w:val="22"/>
                              <w:szCs w:val="22"/>
                            </w:rPr>
                          </w:pPr>
                          <w:r>
                            <w:rPr>
                              <w:rFonts w:ascii="Bahnschrift SemiBold" w:hAnsi="Bahnschrift SemiBold"/>
                              <w:color w:val="auto"/>
                              <w:sz w:val="22"/>
                              <w:szCs w:val="22"/>
                            </w:rPr>
                            <w:t>CÂMARA MUNICIPAL DE DIAMANTINO</w:t>
                          </w:r>
                        </w:p>
                        <w:p>
                          <w:pPr>
                            <w:rPr>
                              <w:rFonts w:ascii="Bahnschrift SemiBold" w:hAnsi="Bahnschrift SemiBold"/>
                              <w:b w:val="1"/>
                            </w:rPr>
                          </w:pPr>
                          <w:r>
                            <w:rPr>
                              <w:rFonts w:ascii="Bahnschrift SemiBold" w:hAnsi="Bahnschrift SemiBold"/>
                              <w:b w:val="1"/>
                            </w:rPr>
                            <w:t>CNPJ: 03.932.753/0001-23</w:t>
                          </w:r>
                        </w:p>
                      </w:txbxContent>
                    </wps:txbx>
                    <wps:bodyPr rot="0" vert="horz" wrap="square" lIns="91440" tIns="45720" rIns="91440" bIns="45720" anchor="t" anchorCtr="0" upright="1">
                      <a:noAutofit/>
                    </wps:bodyPr>
                  </wps:wsp>
                </a:graphicData>
              </a:graphic>
            </wp:anchor>
          </w:drawing>
        </mc:Choice>
        <mc:Fallback>
          <w:pict>
            <v:shapetype xmlns:o="urn:schemas-microsoft-com:office:office" id="_x0000_t202" coordsize="21600,21600" o:spt="202" path="m,l,21600r21600,l21600,xe">
              <v:stroke joinstyle="miter"/>
              <v:path gradientshapeok="t" o:connecttype="rect"/>
            </v:shapetype>
            <v:shape xmlns:o="urn:schemas-microsoft-com:office:office" type="#_x0000_t202" id="Caixa de Texto 2" o:spid="_x0000_s1026" style="position:absolute;width:252pt;height:51.85pt;z-index:1;mso-wrap-distance-left:9pt;mso-wrap-distance-top:0pt;mso-wrap-distance-right:9pt;mso-wrap-distance-bottom:0pt;margin-left:86.55pt;margin-top:-7.8pt;mso-position-horizontal:absolute;mso-position-horizontal-relative:text;mso-position-vertical:absolute;mso-position-vertical-relative:text" o:allowincell="t" filled="f" stroked="f">
              <v:textbox inset="3mm,1mm,3mm,1mm">
                <w:txbxContent>
                  <w:p>
                    <w:pPr>
                      <w:spacing w:before="20" w:after="20" w:beforeAutospacing="0" w:afterAutospacing="0"/>
                      <w:rPr>
                        <w:rFonts w:ascii="Bahnschrift SemiBold" w:hAnsi="Bahnschrift SemiBold"/>
                        <w:b w:val="1"/>
                      </w:rPr>
                    </w:pPr>
                    <w:r>
                      <w:rPr>
                        <w:rFonts w:ascii="Bahnschrift SemiBold" w:hAnsi="Bahnschrift SemiBold"/>
                        <w:b w:val="1"/>
                        <w:color w:val="000000"/>
                        <w:kern w:val="2"/>
                      </w:rPr>
                      <w:t>ESTADO DE MATO GROSSO</w:t>
                    </w:r>
                  </w:p>
                  <w:p>
                    <w:pPr>
                      <w:pStyle w:val="P1"/>
                      <w:spacing w:before="20" w:after="20" w:beforeAutospacing="0" w:afterAutospacing="0"/>
                      <w:rPr>
                        <w:rFonts w:ascii="Bahnschrift SemiBold" w:hAnsi="Bahnschrift SemiBold"/>
                        <w:color w:val="auto"/>
                        <w:sz w:val="22"/>
                        <w:szCs w:val="22"/>
                      </w:rPr>
                    </w:pPr>
                    <w:r>
                      <w:rPr>
                        <w:rFonts w:ascii="Bahnschrift SemiBold" w:hAnsi="Bahnschrift SemiBold"/>
                        <w:color w:val="auto"/>
                        <w:sz w:val="22"/>
                        <w:szCs w:val="22"/>
                      </w:rPr>
                      <w:t>CÂMARA MUNICIPAL DE DIAMANTINO</w:t>
                    </w:r>
                  </w:p>
                  <w:p>
                    <w:pPr>
                      <w:rPr>
                        <w:rFonts w:ascii="Bahnschrift SemiBold" w:hAnsi="Bahnschrift SemiBold"/>
                        <w:b w:val="1"/>
                      </w:rPr>
                    </w:pPr>
                    <w:r>
                      <w:rPr>
                        <w:rFonts w:ascii="Bahnschrift SemiBold" w:hAnsi="Bahnschrift SemiBold"/>
                        <w:b w:val="1"/>
                      </w:rPr>
                      <w:t>CNPJ: 03.932.753/0001-23</w:t>
                    </w:r>
                  </w:p>
                </w:txbxContent>
              </v:textbox>
            </v:shape>
          </w:pict>
        </mc:Fallback>
      </mc:AlternateContent>
    </w:r>
    <w:r>
      <w:rPr>
        <w:noProof w:val="1"/>
      </w:rPr>
      <w:drawing>
        <wp:anchor xmlns:wp="http://schemas.openxmlformats.org/drawingml/2006/wordprocessingDrawing" distT="0" distB="0" distL="114300" distR="114300" simplePos="0" relativeHeight="10" behindDoc="1" locked="0" layoutInCell="1" allowOverlap="1">
          <wp:simplePos x="0" y="0"/>
          <wp:positionH relativeFrom="column">
            <wp:posOffset>5149850</wp:posOffset>
          </wp:positionH>
          <wp:positionV relativeFrom="paragraph">
            <wp:posOffset>-158115</wp:posOffset>
          </wp:positionV>
          <wp:extent cx="717550" cy="603885"/>
          <wp:effectExtent l="0" t="0" r="6350" b="5715"/>
          <wp:wrapNone/>
          <wp:docPr id="518876062" name="Imagem 1667080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67080932"/>
                  <pic:cNvPicPr>
                    <a:picLocks noChangeAspect="1" noChangeArrowheads="1"/>
                  </pic:cNvPicPr>
                </pic:nvPicPr>
                <pic:blipFill dpi="0">
                  <a:blip xmlns:r="http://schemas.openxmlformats.org/officeDocument/2006/relationships" r:embed="Relimage2">
                    <a:extLst>
                      <a:ext uri="{28A0092B-C50C-407E-A947-70E740481C1C}">
                        <a14:useLocalDpi xmlns:a14="http://schemas.microsoft.com/office/drawing/2010/main" val="0"/>
                      </a:ext>
                    </a:extLst>
                  </a:blip>
                  <a:srcRect/>
                  <a:stretch>
                    <a:fillRect/>
                  </a:stretch>
                </pic:blipFill>
                <pic:spPr bwMode="auto">
                  <a:xfrm>
                    <a:off x="0" y="0"/>
                    <a:ext cx="722455" cy="608107"/>
                  </a:xfrm>
                  <a:prstGeom prst="rect"/>
                  <a:noFill/>
                  <a:ln>
                    <a:noFill/>
                  </a:ln>
                </pic:spPr>
              </pic:pic>
            </a:graphicData>
          </a:graphic>
        </wp:anchor>
      </w:drawing>
    </w:r>
    <w:r>
      <w:rPr>
        <w:noProof w:val="1"/>
        <w:lang w:val="pt-BR" w:eastAsia="pt-BR"/>
      </w:rPr>
      <w:drawing>
        <wp:inline xmlns:wp="http://schemas.openxmlformats.org/drawingml/2006/wordprocessingDrawing" distT="0" distB="0" distL="0" distR="0">
          <wp:extent cx="676275" cy="578485"/>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dpi="0">
                  <a:blip xmlns:r="http://schemas.openxmlformats.org/officeDocument/2006/relationships" r:embed="Relimage3">
                    <a:extLst>
                      <a:ext uri="{28A0092B-C50C-407E-A947-70E740481C1C}">
                        <a14:useLocalDpi xmlns:a14="http://schemas.microsoft.com/office/drawing/2010/main" val="0"/>
                      </a:ext>
                    </a:extLst>
                  </a:blip>
                  <a:srcRect/>
                  <a:stretch>
                    <a:fillRect/>
                  </a:stretch>
                </pic:blipFill>
                <pic:spPr bwMode="auto">
                  <a:xfrm>
                    <a:off x="0" y="0"/>
                    <a:ext cx="676275" cy="578485"/>
                  </a:xfrm>
                  <a:prstGeom prst="rect"/>
                  <a:noFill/>
                  <a:ln>
                    <a:noFill/>
                  </a:ln>
                </pic:spPr>
              </pic:pic>
            </a:graphicData>
          </a:graphic>
        </wp:inline>
      </w:drawing>
    </w:r>
    <w:bookmarkEnd w:id="0"/>
    <w:bookmarkEnd w:id="1"/>
  </w:p>
</w:hdr>
</file>

<file path=word/numbering.xml><?xml version="1.0" encoding="utf-8"?>
<w:numbering xmlns:w="http://schemas.openxmlformats.org/wordprocessingml/2006/main">
  <w:abstractNum w:abstractNumId="0">
    <w:nsid w:val="05C8005D"/>
    <w:multiLevelType w:val="hybridMultilevel"/>
    <w:lvl w:ilvl="0" w:tplc="04160017">
      <w:start w:val="1"/>
      <w:numFmt w:val="lowerLetter"/>
      <w:suff w:val="tab"/>
      <w:lvlText w:val="%1)"/>
      <w:lvlJc w:val="left"/>
      <w:pPr>
        <w:ind w:hanging="360" w:left="720"/>
      </w:pPr>
      <w:rPr>
        <w:rFonts w:cs="Times New Roman"/>
      </w:rPr>
    </w:lvl>
    <w:lvl w:ilvl="1" w:tplc="04160019">
      <w:start w:val="1"/>
      <w:numFmt w:val="lowerLetter"/>
      <w:suff w:val="tab"/>
      <w:lvlText w:val="%2."/>
      <w:lvlJc w:val="left"/>
      <w:pPr>
        <w:ind w:hanging="360" w:left="1440"/>
      </w:pPr>
      <w:rPr>
        <w:rFonts w:cs="Times New Roman"/>
      </w:rPr>
    </w:lvl>
    <w:lvl w:ilvl="2" w:tplc="0416001B">
      <w:start w:val="1"/>
      <w:numFmt w:val="lowerRoman"/>
      <w:suff w:val="tab"/>
      <w:lvlText w:val="%3."/>
      <w:lvlJc w:val="right"/>
      <w:pPr>
        <w:ind w:hanging="180" w:left="2160"/>
      </w:pPr>
      <w:rPr>
        <w:rFonts w:cs="Times New Roman"/>
      </w:rPr>
    </w:lvl>
    <w:lvl w:ilvl="3" w:tplc="0416000F">
      <w:start w:val="1"/>
      <w:numFmt w:val="decimal"/>
      <w:suff w:val="tab"/>
      <w:lvlText w:val="%4."/>
      <w:lvlJc w:val="left"/>
      <w:pPr>
        <w:ind w:hanging="360" w:left="2880"/>
      </w:pPr>
      <w:rPr>
        <w:rFonts w:cs="Times New Roman"/>
      </w:rPr>
    </w:lvl>
    <w:lvl w:ilvl="4" w:tplc="04160019">
      <w:start w:val="1"/>
      <w:numFmt w:val="lowerLetter"/>
      <w:suff w:val="tab"/>
      <w:lvlText w:val="%5."/>
      <w:lvlJc w:val="left"/>
      <w:pPr>
        <w:ind w:hanging="360" w:left="3600"/>
      </w:pPr>
      <w:rPr>
        <w:rFonts w:cs="Times New Roman"/>
      </w:rPr>
    </w:lvl>
    <w:lvl w:ilvl="5" w:tplc="0416001B">
      <w:start w:val="1"/>
      <w:numFmt w:val="lowerRoman"/>
      <w:suff w:val="tab"/>
      <w:lvlText w:val="%6."/>
      <w:lvlJc w:val="right"/>
      <w:pPr>
        <w:ind w:hanging="180" w:left="4320"/>
      </w:pPr>
      <w:rPr>
        <w:rFonts w:cs="Times New Roman"/>
      </w:rPr>
    </w:lvl>
    <w:lvl w:ilvl="6" w:tplc="0416000F">
      <w:start w:val="1"/>
      <w:numFmt w:val="decimal"/>
      <w:suff w:val="tab"/>
      <w:lvlText w:val="%7."/>
      <w:lvlJc w:val="left"/>
      <w:pPr>
        <w:ind w:hanging="360" w:left="5040"/>
      </w:pPr>
      <w:rPr>
        <w:rFonts w:cs="Times New Roman"/>
      </w:rPr>
    </w:lvl>
    <w:lvl w:ilvl="7" w:tplc="04160019">
      <w:start w:val="1"/>
      <w:numFmt w:val="lowerLetter"/>
      <w:suff w:val="tab"/>
      <w:lvlText w:val="%8."/>
      <w:lvlJc w:val="left"/>
      <w:pPr>
        <w:ind w:hanging="360" w:left="5760"/>
      </w:pPr>
      <w:rPr>
        <w:rFonts w:cs="Times New Roman"/>
      </w:rPr>
    </w:lvl>
    <w:lvl w:ilvl="8" w:tplc="0416001B">
      <w:start w:val="1"/>
      <w:numFmt w:val="lowerRoman"/>
      <w:suff w:val="tab"/>
      <w:lvlText w:val="%9."/>
      <w:lvlJc w:val="right"/>
      <w:pPr>
        <w:ind w:hanging="180" w:left="6480"/>
      </w:pPr>
      <w:rPr>
        <w:rFonts w:cs="Times New Roman"/>
      </w:rPr>
    </w:lvl>
  </w:abstractNum>
  <w:abstractNum w:abstractNumId="1">
    <w:nsid w:val="0ED832FF"/>
    <w:multiLevelType w:val="hybridMultilevel"/>
    <w:lvl w:ilvl="0" w:tplc="04160017">
      <w:start w:val="1"/>
      <w:numFmt w:val="lowerLetter"/>
      <w:suff w:val="tab"/>
      <w:lvlText w:val="%1)"/>
      <w:lvlJc w:val="left"/>
      <w:pPr>
        <w:ind w:hanging="360" w:left="860"/>
      </w:pPr>
      <w:rPr/>
    </w:lvl>
    <w:lvl w:ilvl="1" w:tplc="04160019">
      <w:start w:val="1"/>
      <w:numFmt w:val="lowerLetter"/>
      <w:suff w:val="tab"/>
      <w:lvlText w:val="%2."/>
      <w:lvlJc w:val="left"/>
      <w:pPr>
        <w:ind w:hanging="360" w:left="1580"/>
      </w:pPr>
      <w:rPr/>
    </w:lvl>
    <w:lvl w:ilvl="2" w:tplc="0416001B">
      <w:start w:val="1"/>
      <w:numFmt w:val="lowerRoman"/>
      <w:suff w:val="tab"/>
      <w:lvlText w:val="%3."/>
      <w:lvlJc w:val="right"/>
      <w:pPr>
        <w:ind w:hanging="180" w:left="2300"/>
      </w:pPr>
      <w:rPr/>
    </w:lvl>
    <w:lvl w:ilvl="3" w:tplc="0416000F">
      <w:start w:val="1"/>
      <w:numFmt w:val="decimal"/>
      <w:suff w:val="tab"/>
      <w:lvlText w:val="%4."/>
      <w:lvlJc w:val="left"/>
      <w:pPr>
        <w:ind w:hanging="360" w:left="3020"/>
      </w:pPr>
      <w:rPr/>
    </w:lvl>
    <w:lvl w:ilvl="4" w:tplc="04160019">
      <w:start w:val="1"/>
      <w:numFmt w:val="lowerLetter"/>
      <w:suff w:val="tab"/>
      <w:lvlText w:val="%5."/>
      <w:lvlJc w:val="left"/>
      <w:pPr>
        <w:ind w:hanging="360" w:left="3740"/>
      </w:pPr>
      <w:rPr/>
    </w:lvl>
    <w:lvl w:ilvl="5" w:tplc="0416001B">
      <w:start w:val="1"/>
      <w:numFmt w:val="lowerRoman"/>
      <w:suff w:val="tab"/>
      <w:lvlText w:val="%6."/>
      <w:lvlJc w:val="right"/>
      <w:pPr>
        <w:ind w:hanging="180" w:left="4460"/>
      </w:pPr>
      <w:rPr/>
    </w:lvl>
    <w:lvl w:ilvl="6" w:tplc="0416000F">
      <w:start w:val="1"/>
      <w:numFmt w:val="decimal"/>
      <w:suff w:val="tab"/>
      <w:lvlText w:val="%7."/>
      <w:lvlJc w:val="left"/>
      <w:pPr>
        <w:ind w:hanging="360" w:left="5180"/>
      </w:pPr>
      <w:rPr/>
    </w:lvl>
    <w:lvl w:ilvl="7" w:tplc="04160019">
      <w:start w:val="1"/>
      <w:numFmt w:val="lowerLetter"/>
      <w:suff w:val="tab"/>
      <w:lvlText w:val="%8."/>
      <w:lvlJc w:val="left"/>
      <w:pPr>
        <w:ind w:hanging="360" w:left="5900"/>
      </w:pPr>
      <w:rPr/>
    </w:lvl>
    <w:lvl w:ilvl="8" w:tplc="0416001B">
      <w:start w:val="1"/>
      <w:numFmt w:val="lowerRoman"/>
      <w:suff w:val="tab"/>
      <w:lvlText w:val="%9."/>
      <w:lvlJc w:val="right"/>
      <w:pPr>
        <w:ind w:hanging="180" w:left="6620"/>
      </w:pPr>
      <w:rPr/>
    </w:lvl>
  </w:abstractNum>
  <w:abstractNum w:abstractNumId="2">
    <w:nsid w:val="18400D4C"/>
    <w:multiLevelType w:val="hybridMultilevel"/>
    <w:lvl w:ilvl="0" w:tplc="04160017">
      <w:start w:val="1"/>
      <w:numFmt w:val="lowerLetter"/>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3">
    <w:nsid w:val="1D5C100D"/>
    <w:multiLevelType w:val="multilevel"/>
    <w:lvl w:ilvl="0">
      <w:start w:val="1"/>
      <w:numFmt w:val="decimal"/>
      <w:pStyle w:val="P15"/>
      <w:suff w:val="tab"/>
      <w:lvlText w:val="%1."/>
      <w:lvlJc w:val="left"/>
      <w:pPr>
        <w:ind w:hanging="360" w:left="360"/>
      </w:pPr>
      <w:rPr>
        <w:rFonts w:cs="Times New Roman"/>
        <w:b w:val="1"/>
      </w:rPr>
    </w:lvl>
    <w:lvl w:ilvl="1">
      <w:start w:val="1"/>
      <w:numFmt w:val="decimal"/>
      <w:pStyle w:val="P16"/>
      <w:suff w:val="tab"/>
      <w:lvlText w:val="%1.%2."/>
      <w:lvlJc w:val="left"/>
      <w:pPr>
        <w:ind w:hanging="432" w:left="999"/>
      </w:pPr>
      <w:rPr>
        <w:rFonts w:cs="Times New Roman"/>
        <w:b w:val="0"/>
        <w:i w:val="0"/>
        <w:color w:val="auto"/>
        <w:sz w:val="20"/>
        <w:szCs w:val="20"/>
        <w:u w:val="none"/>
      </w:rPr>
    </w:lvl>
    <w:lvl w:ilvl="2">
      <w:start w:val="1"/>
      <w:numFmt w:val="decimal"/>
      <w:pStyle w:val="P17"/>
      <w:suff w:val="tab"/>
      <w:lvlText w:val="%1.%2.%3."/>
      <w:lvlJc w:val="left"/>
      <w:pPr>
        <w:ind w:hanging="504" w:left="3623"/>
      </w:pPr>
      <w:rPr>
        <w:rFonts w:ascii="Arial" w:hAnsi="Arial" w:cs="Times New Roman" w:hint="default"/>
        <w:b w:val="0"/>
        <w:i w:val="0"/>
        <w:color w:val="auto"/>
        <w:sz w:val="20"/>
        <w:szCs w:val="20"/>
      </w:rPr>
    </w:lvl>
    <w:lvl w:ilvl="3">
      <w:start w:val="1"/>
      <w:numFmt w:val="decimal"/>
      <w:pStyle w:val="P18"/>
      <w:suff w:val="tab"/>
      <w:lvlText w:val="%1.%2.%3.%4."/>
      <w:lvlJc w:val="left"/>
      <w:pPr>
        <w:ind w:hanging="648" w:left="2491"/>
      </w:pPr>
      <w:rPr>
        <w:rFonts w:cs="Times New Roman"/>
      </w:rPr>
    </w:lvl>
    <w:lvl w:ilvl="4">
      <w:start w:val="1"/>
      <w:numFmt w:val="decimal"/>
      <w:pStyle w:val="P19"/>
      <w:suff w:val="tab"/>
      <w:lvlText w:val="%1.%2.%3.%4.%5."/>
      <w:lvlJc w:val="left"/>
      <w:pPr>
        <w:ind w:hanging="792" w:left="2232"/>
      </w:pPr>
      <w:rPr>
        <w:rFonts w:cs="Times New Roman"/>
      </w:rPr>
    </w:lvl>
    <w:lvl w:ilvl="5">
      <w:start w:val="1"/>
      <w:numFmt w:val="decimal"/>
      <w:suff w:val="tab"/>
      <w:lvlText w:val="%1.%2.%3.%4.%5.%6."/>
      <w:lvlJc w:val="left"/>
      <w:pPr>
        <w:ind w:hanging="936" w:left="2736"/>
      </w:pPr>
      <w:rPr>
        <w:rFonts w:cs="Times New Roman"/>
      </w:rPr>
    </w:lvl>
    <w:lvl w:ilvl="6">
      <w:start w:val="1"/>
      <w:numFmt w:val="decimal"/>
      <w:suff w:val="tab"/>
      <w:lvlText w:val="%1.%2.%3.%4.%5.%6.%7."/>
      <w:lvlJc w:val="left"/>
      <w:pPr>
        <w:ind w:hanging="1080" w:left="3240"/>
      </w:pPr>
      <w:rPr>
        <w:rFonts w:cs="Times New Roman"/>
      </w:rPr>
    </w:lvl>
    <w:lvl w:ilvl="7">
      <w:start w:val="1"/>
      <w:numFmt w:val="decimal"/>
      <w:suff w:val="tab"/>
      <w:lvlText w:val="%1.%2.%3.%4.%5.%6.%7.%8."/>
      <w:lvlJc w:val="left"/>
      <w:pPr>
        <w:ind w:hanging="1224" w:left="3744"/>
      </w:pPr>
      <w:rPr>
        <w:rFonts w:cs="Times New Roman"/>
      </w:rPr>
    </w:lvl>
    <w:lvl w:ilvl="8">
      <w:start w:val="1"/>
      <w:numFmt w:val="decimal"/>
      <w:suff w:val="tab"/>
      <w:lvlText w:val="%1.%2.%3.%4.%5.%6.%7.%8.%9."/>
      <w:lvlJc w:val="left"/>
      <w:pPr>
        <w:ind w:hanging="1440" w:left="4320"/>
      </w:pPr>
      <w:rPr>
        <w:rFonts w:cs="Times New Roman"/>
      </w:rPr>
    </w:lvl>
  </w:abstractNum>
  <w:abstractNum w:abstractNumId="4">
    <w:nsid w:val="2E425DAE"/>
    <w:multiLevelType w:val="hybridMultilevel"/>
    <w:lvl w:ilvl="0" w:tplc="04160017">
      <w:start w:val="1"/>
      <w:numFmt w:val="lowerLetter"/>
      <w:suff w:val="tab"/>
      <w:lvlText w:val="%1)"/>
      <w:lvlJc w:val="left"/>
      <w:pPr>
        <w:ind w:hanging="360" w:left="860"/>
      </w:pPr>
      <w:rPr/>
    </w:lvl>
    <w:lvl w:ilvl="1" w:tplc="04160019">
      <w:start w:val="1"/>
      <w:numFmt w:val="lowerLetter"/>
      <w:suff w:val="tab"/>
      <w:lvlText w:val="%2."/>
      <w:lvlJc w:val="left"/>
      <w:pPr>
        <w:ind w:hanging="360" w:left="1580"/>
      </w:pPr>
      <w:rPr/>
    </w:lvl>
    <w:lvl w:ilvl="2" w:tplc="0416001B">
      <w:start w:val="1"/>
      <w:numFmt w:val="lowerRoman"/>
      <w:suff w:val="tab"/>
      <w:lvlText w:val="%3."/>
      <w:lvlJc w:val="right"/>
      <w:pPr>
        <w:ind w:hanging="180" w:left="2300"/>
      </w:pPr>
      <w:rPr/>
    </w:lvl>
    <w:lvl w:ilvl="3" w:tplc="0416000F">
      <w:start w:val="1"/>
      <w:numFmt w:val="decimal"/>
      <w:suff w:val="tab"/>
      <w:lvlText w:val="%4."/>
      <w:lvlJc w:val="left"/>
      <w:pPr>
        <w:ind w:hanging="360" w:left="3020"/>
      </w:pPr>
      <w:rPr/>
    </w:lvl>
    <w:lvl w:ilvl="4" w:tplc="04160019">
      <w:start w:val="1"/>
      <w:numFmt w:val="lowerLetter"/>
      <w:suff w:val="tab"/>
      <w:lvlText w:val="%5."/>
      <w:lvlJc w:val="left"/>
      <w:pPr>
        <w:ind w:hanging="360" w:left="3740"/>
      </w:pPr>
      <w:rPr/>
    </w:lvl>
    <w:lvl w:ilvl="5" w:tplc="0416001B">
      <w:start w:val="1"/>
      <w:numFmt w:val="lowerRoman"/>
      <w:suff w:val="tab"/>
      <w:lvlText w:val="%6."/>
      <w:lvlJc w:val="right"/>
      <w:pPr>
        <w:ind w:hanging="180" w:left="4460"/>
      </w:pPr>
      <w:rPr/>
    </w:lvl>
    <w:lvl w:ilvl="6" w:tplc="0416000F">
      <w:start w:val="1"/>
      <w:numFmt w:val="decimal"/>
      <w:suff w:val="tab"/>
      <w:lvlText w:val="%7."/>
      <w:lvlJc w:val="left"/>
      <w:pPr>
        <w:ind w:hanging="360" w:left="5180"/>
      </w:pPr>
      <w:rPr/>
    </w:lvl>
    <w:lvl w:ilvl="7" w:tplc="04160019">
      <w:start w:val="1"/>
      <w:numFmt w:val="lowerLetter"/>
      <w:suff w:val="tab"/>
      <w:lvlText w:val="%8."/>
      <w:lvlJc w:val="left"/>
      <w:pPr>
        <w:ind w:hanging="360" w:left="5900"/>
      </w:pPr>
      <w:rPr/>
    </w:lvl>
    <w:lvl w:ilvl="8" w:tplc="0416001B">
      <w:start w:val="1"/>
      <w:numFmt w:val="lowerRoman"/>
      <w:suff w:val="tab"/>
      <w:lvlText w:val="%9."/>
      <w:lvlJc w:val="right"/>
      <w:pPr>
        <w:ind w:hanging="180" w:left="6620"/>
      </w:pPr>
      <w:rPr/>
    </w:lvl>
  </w:abstractNum>
  <w:abstractNum w:abstractNumId="5">
    <w:nsid w:val="3020692C"/>
    <w:multiLevelType w:val="hybridMultilevel"/>
    <w:lvl w:ilvl="0" w:tplc="04160013">
      <w:start w:val="1"/>
      <w:numFmt w:val="upperRoman"/>
      <w:suff w:val="tab"/>
      <w:lvlText w:val="%1."/>
      <w:lvlJc w:val="right"/>
      <w:pPr>
        <w:ind w:hanging="360" w:left="860"/>
      </w:pPr>
      <w:rPr/>
    </w:lvl>
    <w:lvl w:ilvl="1" w:tplc="04160019">
      <w:start w:val="1"/>
      <w:numFmt w:val="lowerLetter"/>
      <w:suff w:val="tab"/>
      <w:lvlText w:val="%2."/>
      <w:lvlJc w:val="left"/>
      <w:pPr>
        <w:ind w:hanging="360" w:left="1580"/>
      </w:pPr>
      <w:rPr/>
    </w:lvl>
    <w:lvl w:ilvl="2" w:tplc="0416001B">
      <w:start w:val="1"/>
      <w:numFmt w:val="lowerRoman"/>
      <w:suff w:val="tab"/>
      <w:lvlText w:val="%3."/>
      <w:lvlJc w:val="right"/>
      <w:pPr>
        <w:ind w:hanging="180" w:left="2300"/>
      </w:pPr>
      <w:rPr/>
    </w:lvl>
    <w:lvl w:ilvl="3" w:tplc="0416000F">
      <w:start w:val="1"/>
      <w:numFmt w:val="decimal"/>
      <w:suff w:val="tab"/>
      <w:lvlText w:val="%4."/>
      <w:lvlJc w:val="left"/>
      <w:pPr>
        <w:ind w:hanging="360" w:left="3020"/>
      </w:pPr>
      <w:rPr/>
    </w:lvl>
    <w:lvl w:ilvl="4" w:tplc="04160019">
      <w:start w:val="1"/>
      <w:numFmt w:val="lowerLetter"/>
      <w:suff w:val="tab"/>
      <w:lvlText w:val="%5."/>
      <w:lvlJc w:val="left"/>
      <w:pPr>
        <w:ind w:hanging="360" w:left="3740"/>
      </w:pPr>
      <w:rPr/>
    </w:lvl>
    <w:lvl w:ilvl="5" w:tplc="0416001B">
      <w:start w:val="1"/>
      <w:numFmt w:val="lowerRoman"/>
      <w:suff w:val="tab"/>
      <w:lvlText w:val="%6."/>
      <w:lvlJc w:val="right"/>
      <w:pPr>
        <w:ind w:hanging="180" w:left="4460"/>
      </w:pPr>
      <w:rPr/>
    </w:lvl>
    <w:lvl w:ilvl="6" w:tplc="0416000F">
      <w:start w:val="1"/>
      <w:numFmt w:val="decimal"/>
      <w:suff w:val="tab"/>
      <w:lvlText w:val="%7."/>
      <w:lvlJc w:val="left"/>
      <w:pPr>
        <w:ind w:hanging="360" w:left="5180"/>
      </w:pPr>
      <w:rPr/>
    </w:lvl>
    <w:lvl w:ilvl="7" w:tplc="04160019">
      <w:start w:val="1"/>
      <w:numFmt w:val="lowerLetter"/>
      <w:suff w:val="tab"/>
      <w:lvlText w:val="%8."/>
      <w:lvlJc w:val="left"/>
      <w:pPr>
        <w:ind w:hanging="360" w:left="5900"/>
      </w:pPr>
      <w:rPr/>
    </w:lvl>
    <w:lvl w:ilvl="8" w:tplc="0416001B">
      <w:start w:val="1"/>
      <w:numFmt w:val="lowerRoman"/>
      <w:suff w:val="tab"/>
      <w:lvlText w:val="%9."/>
      <w:lvlJc w:val="right"/>
      <w:pPr>
        <w:ind w:hanging="180" w:left="6620"/>
      </w:pPr>
      <w:rPr/>
    </w:lvl>
  </w:abstractNum>
  <w:abstractNum w:abstractNumId="6">
    <w:nsid w:val="30A738AE"/>
    <w:multiLevelType w:val="hybridMultilevel"/>
    <w:lvl w:ilvl="0" w:tplc="04160013">
      <w:start w:val="1"/>
      <w:numFmt w:val="upperRoman"/>
      <w:suff w:val="tab"/>
      <w:lvlText w:val="%1."/>
      <w:lvlJc w:val="righ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7">
    <w:nsid w:val="3AD8230C"/>
    <w:multiLevelType w:val="hybridMultilevel"/>
    <w:lvl w:ilvl="0" w:tplc="04160017">
      <w:start w:val="1"/>
      <w:numFmt w:val="lowerLetter"/>
      <w:suff w:val="tab"/>
      <w:lvlText w:val="%1)"/>
      <w:lvlJc w:val="left"/>
      <w:pPr>
        <w:ind w:hanging="360" w:left="860"/>
      </w:pPr>
      <w:rPr/>
    </w:lvl>
    <w:lvl w:ilvl="1" w:tplc="04160019">
      <w:start w:val="1"/>
      <w:numFmt w:val="lowerLetter"/>
      <w:suff w:val="tab"/>
      <w:lvlText w:val="%2."/>
      <w:lvlJc w:val="left"/>
      <w:pPr>
        <w:ind w:hanging="360" w:left="1580"/>
      </w:pPr>
      <w:rPr/>
    </w:lvl>
    <w:lvl w:ilvl="2" w:tplc="0416001B">
      <w:start w:val="1"/>
      <w:numFmt w:val="lowerRoman"/>
      <w:suff w:val="tab"/>
      <w:lvlText w:val="%3."/>
      <w:lvlJc w:val="right"/>
      <w:pPr>
        <w:ind w:hanging="180" w:left="2300"/>
      </w:pPr>
      <w:rPr/>
    </w:lvl>
    <w:lvl w:ilvl="3" w:tplc="0416000F">
      <w:start w:val="1"/>
      <w:numFmt w:val="decimal"/>
      <w:suff w:val="tab"/>
      <w:lvlText w:val="%4."/>
      <w:lvlJc w:val="left"/>
      <w:pPr>
        <w:ind w:hanging="360" w:left="3020"/>
      </w:pPr>
      <w:rPr/>
    </w:lvl>
    <w:lvl w:ilvl="4" w:tplc="04160019">
      <w:start w:val="1"/>
      <w:numFmt w:val="lowerLetter"/>
      <w:suff w:val="tab"/>
      <w:lvlText w:val="%5."/>
      <w:lvlJc w:val="left"/>
      <w:pPr>
        <w:ind w:hanging="360" w:left="3740"/>
      </w:pPr>
      <w:rPr/>
    </w:lvl>
    <w:lvl w:ilvl="5" w:tplc="0416001B">
      <w:start w:val="1"/>
      <w:numFmt w:val="lowerRoman"/>
      <w:suff w:val="tab"/>
      <w:lvlText w:val="%6."/>
      <w:lvlJc w:val="right"/>
      <w:pPr>
        <w:ind w:hanging="180" w:left="4460"/>
      </w:pPr>
      <w:rPr/>
    </w:lvl>
    <w:lvl w:ilvl="6" w:tplc="0416000F">
      <w:start w:val="1"/>
      <w:numFmt w:val="decimal"/>
      <w:suff w:val="tab"/>
      <w:lvlText w:val="%7."/>
      <w:lvlJc w:val="left"/>
      <w:pPr>
        <w:ind w:hanging="360" w:left="5180"/>
      </w:pPr>
      <w:rPr/>
    </w:lvl>
    <w:lvl w:ilvl="7" w:tplc="04160019">
      <w:start w:val="1"/>
      <w:numFmt w:val="lowerLetter"/>
      <w:suff w:val="tab"/>
      <w:lvlText w:val="%8."/>
      <w:lvlJc w:val="left"/>
      <w:pPr>
        <w:ind w:hanging="360" w:left="5900"/>
      </w:pPr>
      <w:rPr/>
    </w:lvl>
    <w:lvl w:ilvl="8" w:tplc="0416001B">
      <w:start w:val="1"/>
      <w:numFmt w:val="lowerRoman"/>
      <w:suff w:val="tab"/>
      <w:lvlText w:val="%9."/>
      <w:lvlJc w:val="right"/>
      <w:pPr>
        <w:ind w:hanging="180" w:left="6620"/>
      </w:pPr>
      <w:rPr/>
    </w:lvl>
  </w:abstractNum>
  <w:abstractNum w:abstractNumId="8">
    <w:nsid w:val="3F69546A"/>
    <w:multiLevelType w:val="hybridMultilevel"/>
    <w:lvl w:ilvl="0" w:tplc="15581136">
      <w:start w:val="1"/>
      <w:numFmt w:val="lowerLetter"/>
      <w:suff w:val="tab"/>
      <w:lvlText w:val="%1)"/>
      <w:lvlJc w:val="left"/>
      <w:pPr>
        <w:ind w:hanging="360" w:left="1364"/>
      </w:pPr>
      <w:rPr>
        <w:rFonts w:hint="default"/>
      </w:rPr>
    </w:lvl>
    <w:lvl w:ilvl="1" w:tplc="04160019">
      <w:start w:val="1"/>
      <w:numFmt w:val="lowerLetter"/>
      <w:suff w:val="tab"/>
      <w:lvlText w:val="%2."/>
      <w:lvlJc w:val="left"/>
      <w:pPr>
        <w:ind w:hanging="360" w:left="2084"/>
      </w:pPr>
      <w:rPr/>
    </w:lvl>
    <w:lvl w:ilvl="2" w:tplc="0416001B">
      <w:start w:val="1"/>
      <w:numFmt w:val="lowerRoman"/>
      <w:suff w:val="tab"/>
      <w:lvlText w:val="%3."/>
      <w:lvlJc w:val="right"/>
      <w:pPr>
        <w:ind w:hanging="180" w:left="2804"/>
      </w:pPr>
      <w:rPr/>
    </w:lvl>
    <w:lvl w:ilvl="3" w:tplc="0416000F">
      <w:start w:val="1"/>
      <w:numFmt w:val="decimal"/>
      <w:suff w:val="tab"/>
      <w:lvlText w:val="%4."/>
      <w:lvlJc w:val="left"/>
      <w:pPr>
        <w:ind w:hanging="360" w:left="3524"/>
      </w:pPr>
      <w:rPr/>
    </w:lvl>
    <w:lvl w:ilvl="4" w:tplc="04160019">
      <w:start w:val="1"/>
      <w:numFmt w:val="lowerLetter"/>
      <w:suff w:val="tab"/>
      <w:lvlText w:val="%5."/>
      <w:lvlJc w:val="left"/>
      <w:pPr>
        <w:ind w:hanging="360" w:left="4244"/>
      </w:pPr>
      <w:rPr/>
    </w:lvl>
    <w:lvl w:ilvl="5" w:tplc="0416001B">
      <w:start w:val="1"/>
      <w:numFmt w:val="lowerRoman"/>
      <w:suff w:val="tab"/>
      <w:lvlText w:val="%6."/>
      <w:lvlJc w:val="right"/>
      <w:pPr>
        <w:ind w:hanging="180" w:left="4964"/>
      </w:pPr>
      <w:rPr/>
    </w:lvl>
    <w:lvl w:ilvl="6" w:tplc="0416000F">
      <w:start w:val="1"/>
      <w:numFmt w:val="decimal"/>
      <w:suff w:val="tab"/>
      <w:lvlText w:val="%7."/>
      <w:lvlJc w:val="left"/>
      <w:pPr>
        <w:ind w:hanging="360" w:left="5684"/>
      </w:pPr>
      <w:rPr/>
    </w:lvl>
    <w:lvl w:ilvl="7" w:tplc="04160019">
      <w:start w:val="1"/>
      <w:numFmt w:val="lowerLetter"/>
      <w:suff w:val="tab"/>
      <w:lvlText w:val="%8."/>
      <w:lvlJc w:val="left"/>
      <w:pPr>
        <w:ind w:hanging="360" w:left="6404"/>
      </w:pPr>
      <w:rPr/>
    </w:lvl>
    <w:lvl w:ilvl="8" w:tplc="0416001B">
      <w:start w:val="1"/>
      <w:numFmt w:val="lowerRoman"/>
      <w:suff w:val="tab"/>
      <w:lvlText w:val="%9."/>
      <w:lvlJc w:val="right"/>
      <w:pPr>
        <w:ind w:hanging="180" w:left="7124"/>
      </w:pPr>
      <w:rPr/>
    </w:lvl>
  </w:abstractNum>
  <w:abstractNum w:abstractNumId="9">
    <w:nsid w:val="41BF0C6E"/>
    <w:multiLevelType w:val="hybridMultilevel"/>
    <w:lvl w:ilvl="0" w:tplc="04160017">
      <w:start w:val="1"/>
      <w:numFmt w:val="lowerLetter"/>
      <w:suff w:val="tab"/>
      <w:lvlText w:val="%1)"/>
      <w:lvlJc w:val="left"/>
      <w:pPr>
        <w:ind w:hanging="360" w:left="720"/>
      </w:pPr>
      <w:rPr>
        <w:rFonts w:cs="Times New Roman"/>
      </w:rPr>
    </w:lvl>
    <w:lvl w:ilvl="1" w:tplc="04160019">
      <w:start w:val="1"/>
      <w:numFmt w:val="lowerLetter"/>
      <w:suff w:val="tab"/>
      <w:lvlText w:val="%2."/>
      <w:lvlJc w:val="left"/>
      <w:pPr>
        <w:ind w:hanging="360" w:left="1440"/>
      </w:pPr>
      <w:rPr>
        <w:rFonts w:cs="Times New Roman"/>
      </w:rPr>
    </w:lvl>
    <w:lvl w:ilvl="2" w:tplc="0416001B">
      <w:start w:val="1"/>
      <w:numFmt w:val="lowerRoman"/>
      <w:suff w:val="tab"/>
      <w:lvlText w:val="%3."/>
      <w:lvlJc w:val="right"/>
      <w:pPr>
        <w:ind w:hanging="180" w:left="2160"/>
      </w:pPr>
      <w:rPr>
        <w:rFonts w:cs="Times New Roman"/>
      </w:rPr>
    </w:lvl>
    <w:lvl w:ilvl="3" w:tplc="0416000F">
      <w:start w:val="1"/>
      <w:numFmt w:val="decimal"/>
      <w:suff w:val="tab"/>
      <w:lvlText w:val="%4."/>
      <w:lvlJc w:val="left"/>
      <w:pPr>
        <w:ind w:hanging="360" w:left="2880"/>
      </w:pPr>
      <w:rPr>
        <w:rFonts w:cs="Times New Roman"/>
      </w:rPr>
    </w:lvl>
    <w:lvl w:ilvl="4" w:tplc="04160019">
      <w:start w:val="1"/>
      <w:numFmt w:val="lowerLetter"/>
      <w:suff w:val="tab"/>
      <w:lvlText w:val="%5."/>
      <w:lvlJc w:val="left"/>
      <w:pPr>
        <w:ind w:hanging="360" w:left="3600"/>
      </w:pPr>
      <w:rPr>
        <w:rFonts w:cs="Times New Roman"/>
      </w:rPr>
    </w:lvl>
    <w:lvl w:ilvl="5" w:tplc="0416001B">
      <w:start w:val="1"/>
      <w:numFmt w:val="lowerRoman"/>
      <w:suff w:val="tab"/>
      <w:lvlText w:val="%6."/>
      <w:lvlJc w:val="right"/>
      <w:pPr>
        <w:ind w:hanging="180" w:left="4320"/>
      </w:pPr>
      <w:rPr>
        <w:rFonts w:cs="Times New Roman"/>
      </w:rPr>
    </w:lvl>
    <w:lvl w:ilvl="6" w:tplc="0416000F">
      <w:start w:val="1"/>
      <w:numFmt w:val="decimal"/>
      <w:suff w:val="tab"/>
      <w:lvlText w:val="%7."/>
      <w:lvlJc w:val="left"/>
      <w:pPr>
        <w:ind w:hanging="360" w:left="5040"/>
      </w:pPr>
      <w:rPr>
        <w:rFonts w:cs="Times New Roman"/>
      </w:rPr>
    </w:lvl>
    <w:lvl w:ilvl="7" w:tplc="04160019">
      <w:start w:val="1"/>
      <w:numFmt w:val="lowerLetter"/>
      <w:suff w:val="tab"/>
      <w:lvlText w:val="%8."/>
      <w:lvlJc w:val="left"/>
      <w:pPr>
        <w:ind w:hanging="360" w:left="5760"/>
      </w:pPr>
      <w:rPr>
        <w:rFonts w:cs="Times New Roman"/>
      </w:rPr>
    </w:lvl>
    <w:lvl w:ilvl="8" w:tplc="0416001B">
      <w:start w:val="1"/>
      <w:numFmt w:val="lowerRoman"/>
      <w:suff w:val="tab"/>
      <w:lvlText w:val="%9."/>
      <w:lvlJc w:val="right"/>
      <w:pPr>
        <w:ind w:hanging="180" w:left="6480"/>
      </w:pPr>
      <w:rPr>
        <w:rFonts w:cs="Times New Roman"/>
      </w:rPr>
    </w:lvl>
  </w:abstractNum>
  <w:abstractNum w:abstractNumId="10">
    <w:nsid w:val="5776092A"/>
    <w:multiLevelType w:val="hybridMultilevel"/>
    <w:lvl w:ilvl="0" w:tplc="04160017">
      <w:start w:val="1"/>
      <w:numFmt w:val="lowerLetter"/>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11">
    <w:nsid w:val="5A2C1E03"/>
    <w:multiLevelType w:val="multilevel"/>
    <w:lvl w:ilvl="0">
      <w:start w:val="1"/>
      <w:numFmt w:val="decimal"/>
      <w:suff w:val="tab"/>
      <w:lvlText w:val="%1."/>
      <w:lvlJc w:val="left"/>
      <w:pPr>
        <w:ind w:hanging="360" w:left="720"/>
        <w:tabs>
          <w:tab w:val="num" w:pos="720" w:leader="none"/>
        </w:tabs>
      </w:pPr>
      <w:rPr/>
    </w:lvl>
    <w:lvl w:ilvl="1">
      <w:start w:val="1"/>
      <w:numFmt w:val="decimal"/>
      <w:suff w:val="tab"/>
      <w:lvlText w:val="%2."/>
      <w:lvlJc w:val="left"/>
      <w:pPr>
        <w:ind w:hanging="360" w:left="1440"/>
        <w:tabs>
          <w:tab w:val="num" w:pos="1440" w:leader="none"/>
        </w:tabs>
      </w:pPr>
      <w:rPr/>
    </w:lvl>
    <w:lvl w:ilvl="2">
      <w:start w:val="1"/>
      <w:numFmt w:val="decimal"/>
      <w:suff w:val="tab"/>
      <w:lvlText w:val="%3."/>
      <w:lvlJc w:val="left"/>
      <w:pPr>
        <w:ind w:hanging="360" w:left="2160"/>
        <w:tabs>
          <w:tab w:val="num" w:pos="2160" w:leader="none"/>
        </w:tabs>
      </w:pPr>
      <w:rPr/>
    </w:lvl>
    <w:lvl w:ilvl="3">
      <w:start w:val="1"/>
      <w:numFmt w:val="decimal"/>
      <w:suff w:val="tab"/>
      <w:lvlText w:val="%4."/>
      <w:lvlJc w:val="left"/>
      <w:pPr>
        <w:ind w:hanging="360" w:left="2880"/>
        <w:tabs>
          <w:tab w:val="num" w:pos="2880" w:leader="none"/>
        </w:tabs>
      </w:pPr>
      <w:rPr/>
    </w:lvl>
    <w:lvl w:ilvl="4">
      <w:start w:val="1"/>
      <w:numFmt w:val="decimal"/>
      <w:suff w:val="tab"/>
      <w:lvlText w:val="%5."/>
      <w:lvlJc w:val="left"/>
      <w:pPr>
        <w:ind w:hanging="360" w:left="3600"/>
        <w:tabs>
          <w:tab w:val="num" w:pos="3600" w:leader="none"/>
        </w:tabs>
      </w:pPr>
      <w:rPr/>
    </w:lvl>
    <w:lvl w:ilvl="5">
      <w:start w:val="1"/>
      <w:numFmt w:val="decimal"/>
      <w:suff w:val="tab"/>
      <w:lvlText w:val="%6."/>
      <w:lvlJc w:val="left"/>
      <w:pPr>
        <w:ind w:hanging="360" w:left="4320"/>
        <w:tabs>
          <w:tab w:val="num" w:pos="4320" w:leader="none"/>
        </w:tabs>
      </w:pPr>
      <w:rPr/>
    </w:lvl>
    <w:lvl w:ilvl="6">
      <w:start w:val="1"/>
      <w:numFmt w:val="decimal"/>
      <w:suff w:val="tab"/>
      <w:lvlText w:val="%7."/>
      <w:lvlJc w:val="left"/>
      <w:pPr>
        <w:ind w:hanging="360" w:left="5040"/>
        <w:tabs>
          <w:tab w:val="num" w:pos="5040" w:leader="none"/>
        </w:tabs>
      </w:pPr>
      <w:rPr/>
    </w:lvl>
    <w:lvl w:ilvl="7">
      <w:start w:val="1"/>
      <w:numFmt w:val="decimal"/>
      <w:suff w:val="tab"/>
      <w:lvlText w:val="%8."/>
      <w:lvlJc w:val="left"/>
      <w:pPr>
        <w:ind w:hanging="360" w:left="5760"/>
        <w:tabs>
          <w:tab w:val="num" w:pos="5760" w:leader="none"/>
        </w:tabs>
      </w:pPr>
      <w:rPr/>
    </w:lvl>
    <w:lvl w:ilvl="8">
      <w:start w:val="1"/>
      <w:numFmt w:val="decimal"/>
      <w:suff w:val="tab"/>
      <w:lvlText w:val="%9."/>
      <w:lvlJc w:val="left"/>
      <w:pPr>
        <w:ind w:hanging="360" w:left="6480"/>
        <w:tabs>
          <w:tab w:val="num" w:pos="6480" w:leader="none"/>
        </w:tabs>
      </w:pPr>
      <w:rPr/>
    </w:lvl>
  </w:abstractNum>
  <w:abstractNum w:abstractNumId="12">
    <w:nsid w:val="5D426A38"/>
    <w:multiLevelType w:val="hybridMultilevel"/>
    <w:lvl w:ilvl="0" w:tplc="04160017">
      <w:start w:val="1"/>
      <w:numFmt w:val="lowerLetter"/>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13">
    <w:nsid w:val="5D4B6066"/>
    <w:multiLevelType w:val="hybridMultilevel"/>
    <w:lvl w:ilvl="0" w:tplc="04160017">
      <w:start w:val="1"/>
      <w:numFmt w:val="lowerLetter"/>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14">
    <w:nsid w:val="638115E4"/>
    <w:multiLevelType w:val="hybridMultilevel"/>
    <w:lvl w:ilvl="0" w:tplc="04160013">
      <w:start w:val="1"/>
      <w:numFmt w:val="upperRoman"/>
      <w:suff w:val="tab"/>
      <w:lvlText w:val="%1."/>
      <w:lvlJc w:val="right"/>
      <w:pPr>
        <w:ind w:hanging="360" w:left="860"/>
      </w:pPr>
      <w:rPr/>
    </w:lvl>
    <w:lvl w:ilvl="1" w:tplc="04160019">
      <w:start w:val="1"/>
      <w:numFmt w:val="lowerLetter"/>
      <w:suff w:val="tab"/>
      <w:lvlText w:val="%2."/>
      <w:lvlJc w:val="left"/>
      <w:pPr>
        <w:ind w:hanging="360" w:left="1580"/>
      </w:pPr>
      <w:rPr/>
    </w:lvl>
    <w:lvl w:ilvl="2" w:tplc="0416001B">
      <w:start w:val="1"/>
      <w:numFmt w:val="lowerRoman"/>
      <w:suff w:val="tab"/>
      <w:lvlText w:val="%3."/>
      <w:lvlJc w:val="right"/>
      <w:pPr>
        <w:ind w:hanging="180" w:left="2300"/>
      </w:pPr>
      <w:rPr/>
    </w:lvl>
    <w:lvl w:ilvl="3" w:tplc="0416000F">
      <w:start w:val="1"/>
      <w:numFmt w:val="decimal"/>
      <w:suff w:val="tab"/>
      <w:lvlText w:val="%4."/>
      <w:lvlJc w:val="left"/>
      <w:pPr>
        <w:ind w:hanging="360" w:left="3020"/>
      </w:pPr>
      <w:rPr/>
    </w:lvl>
    <w:lvl w:ilvl="4" w:tplc="04160019">
      <w:start w:val="1"/>
      <w:numFmt w:val="lowerLetter"/>
      <w:suff w:val="tab"/>
      <w:lvlText w:val="%5."/>
      <w:lvlJc w:val="left"/>
      <w:pPr>
        <w:ind w:hanging="360" w:left="3740"/>
      </w:pPr>
      <w:rPr/>
    </w:lvl>
    <w:lvl w:ilvl="5" w:tplc="0416001B">
      <w:start w:val="1"/>
      <w:numFmt w:val="lowerRoman"/>
      <w:suff w:val="tab"/>
      <w:lvlText w:val="%6."/>
      <w:lvlJc w:val="right"/>
      <w:pPr>
        <w:ind w:hanging="180" w:left="4460"/>
      </w:pPr>
      <w:rPr/>
    </w:lvl>
    <w:lvl w:ilvl="6" w:tplc="0416000F">
      <w:start w:val="1"/>
      <w:numFmt w:val="decimal"/>
      <w:suff w:val="tab"/>
      <w:lvlText w:val="%7."/>
      <w:lvlJc w:val="left"/>
      <w:pPr>
        <w:ind w:hanging="360" w:left="5180"/>
      </w:pPr>
      <w:rPr/>
    </w:lvl>
    <w:lvl w:ilvl="7" w:tplc="04160019">
      <w:start w:val="1"/>
      <w:numFmt w:val="lowerLetter"/>
      <w:suff w:val="tab"/>
      <w:lvlText w:val="%8."/>
      <w:lvlJc w:val="left"/>
      <w:pPr>
        <w:ind w:hanging="360" w:left="5900"/>
      </w:pPr>
      <w:rPr/>
    </w:lvl>
    <w:lvl w:ilvl="8" w:tplc="0416001B">
      <w:start w:val="1"/>
      <w:numFmt w:val="lowerRoman"/>
      <w:suff w:val="tab"/>
      <w:lvlText w:val="%9."/>
      <w:lvlJc w:val="right"/>
      <w:pPr>
        <w:ind w:hanging="180" w:left="6620"/>
      </w:pPr>
      <w:rPr/>
    </w:lvl>
  </w:abstractNum>
  <w:abstractNum w:abstractNumId="15">
    <w:nsid w:val="67A91840"/>
    <w:multiLevelType w:val="hybridMultilevel"/>
    <w:lvl w:ilvl="0" w:tplc="04160017">
      <w:start w:val="1"/>
      <w:numFmt w:val="lowerLetter"/>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16">
    <w:nsid w:val="699543AD"/>
    <w:multiLevelType w:val="hybridMultilevel"/>
    <w:lvl w:ilvl="0" w:tplc="04160017">
      <w:start w:val="1"/>
      <w:numFmt w:val="lowerLetter"/>
      <w:suff w:val="tab"/>
      <w:lvlText w:val="%1)"/>
      <w:lvlJc w:val="left"/>
      <w:pPr>
        <w:ind w:hanging="360" w:left="860"/>
      </w:pPr>
      <w:rPr/>
    </w:lvl>
    <w:lvl w:ilvl="1" w:tplc="04160019">
      <w:start w:val="1"/>
      <w:numFmt w:val="lowerLetter"/>
      <w:suff w:val="tab"/>
      <w:lvlText w:val="%2."/>
      <w:lvlJc w:val="left"/>
      <w:pPr>
        <w:ind w:hanging="360" w:left="1580"/>
      </w:pPr>
      <w:rPr/>
    </w:lvl>
    <w:lvl w:ilvl="2" w:tplc="0416001B">
      <w:start w:val="1"/>
      <w:numFmt w:val="lowerRoman"/>
      <w:suff w:val="tab"/>
      <w:lvlText w:val="%3."/>
      <w:lvlJc w:val="right"/>
      <w:pPr>
        <w:ind w:hanging="180" w:left="2300"/>
      </w:pPr>
      <w:rPr/>
    </w:lvl>
    <w:lvl w:ilvl="3" w:tplc="0416000F">
      <w:start w:val="1"/>
      <w:numFmt w:val="decimal"/>
      <w:suff w:val="tab"/>
      <w:lvlText w:val="%4."/>
      <w:lvlJc w:val="left"/>
      <w:pPr>
        <w:ind w:hanging="360" w:left="3020"/>
      </w:pPr>
      <w:rPr/>
    </w:lvl>
    <w:lvl w:ilvl="4" w:tplc="04160019">
      <w:start w:val="1"/>
      <w:numFmt w:val="lowerLetter"/>
      <w:suff w:val="tab"/>
      <w:lvlText w:val="%5."/>
      <w:lvlJc w:val="left"/>
      <w:pPr>
        <w:ind w:hanging="360" w:left="3740"/>
      </w:pPr>
      <w:rPr/>
    </w:lvl>
    <w:lvl w:ilvl="5" w:tplc="0416001B">
      <w:start w:val="1"/>
      <w:numFmt w:val="lowerRoman"/>
      <w:suff w:val="tab"/>
      <w:lvlText w:val="%6."/>
      <w:lvlJc w:val="right"/>
      <w:pPr>
        <w:ind w:hanging="180" w:left="4460"/>
      </w:pPr>
      <w:rPr/>
    </w:lvl>
    <w:lvl w:ilvl="6" w:tplc="0416000F">
      <w:start w:val="1"/>
      <w:numFmt w:val="decimal"/>
      <w:suff w:val="tab"/>
      <w:lvlText w:val="%7."/>
      <w:lvlJc w:val="left"/>
      <w:pPr>
        <w:ind w:hanging="360" w:left="5180"/>
      </w:pPr>
      <w:rPr/>
    </w:lvl>
    <w:lvl w:ilvl="7" w:tplc="04160019">
      <w:start w:val="1"/>
      <w:numFmt w:val="lowerLetter"/>
      <w:suff w:val="tab"/>
      <w:lvlText w:val="%8."/>
      <w:lvlJc w:val="left"/>
      <w:pPr>
        <w:ind w:hanging="360" w:left="5900"/>
      </w:pPr>
      <w:rPr/>
    </w:lvl>
    <w:lvl w:ilvl="8" w:tplc="0416001B">
      <w:start w:val="1"/>
      <w:numFmt w:val="lowerRoman"/>
      <w:suff w:val="tab"/>
      <w:lvlText w:val="%9."/>
      <w:lvlJc w:val="right"/>
      <w:pPr>
        <w:ind w:hanging="180" w:left="6620"/>
      </w:pPr>
      <w:rPr/>
    </w:lvl>
  </w:abstractNum>
  <w:abstractNum w:abstractNumId="17">
    <w:nsid w:val="6A65737B"/>
    <w:multiLevelType w:val="hybridMultilevel"/>
    <w:lvl w:ilvl="0" w:tplc="04160013">
      <w:start w:val="1"/>
      <w:numFmt w:val="upperRoman"/>
      <w:suff w:val="tab"/>
      <w:lvlText w:val="%1."/>
      <w:lvlJc w:val="right"/>
      <w:pPr>
        <w:ind w:hanging="360" w:left="1004"/>
      </w:pPr>
      <w:rPr/>
    </w:lvl>
    <w:lvl w:ilvl="1" w:tplc="04160019">
      <w:start w:val="1"/>
      <w:numFmt w:val="lowerLetter"/>
      <w:suff w:val="tab"/>
      <w:lvlText w:val="%2."/>
      <w:lvlJc w:val="left"/>
      <w:pPr>
        <w:ind w:hanging="360" w:left="1724"/>
      </w:pPr>
      <w:rPr/>
    </w:lvl>
    <w:lvl w:ilvl="2" w:tplc="0416001B">
      <w:start w:val="1"/>
      <w:numFmt w:val="lowerRoman"/>
      <w:suff w:val="tab"/>
      <w:lvlText w:val="%3."/>
      <w:lvlJc w:val="right"/>
      <w:pPr>
        <w:ind w:hanging="180" w:left="2444"/>
      </w:pPr>
      <w:rPr/>
    </w:lvl>
    <w:lvl w:ilvl="3" w:tplc="0416000F">
      <w:start w:val="1"/>
      <w:numFmt w:val="decimal"/>
      <w:suff w:val="tab"/>
      <w:lvlText w:val="%4."/>
      <w:lvlJc w:val="left"/>
      <w:pPr>
        <w:ind w:hanging="360" w:left="3164"/>
      </w:pPr>
      <w:rPr/>
    </w:lvl>
    <w:lvl w:ilvl="4" w:tplc="04160019">
      <w:start w:val="1"/>
      <w:numFmt w:val="lowerLetter"/>
      <w:suff w:val="tab"/>
      <w:lvlText w:val="%5."/>
      <w:lvlJc w:val="left"/>
      <w:pPr>
        <w:ind w:hanging="360" w:left="3884"/>
      </w:pPr>
      <w:rPr/>
    </w:lvl>
    <w:lvl w:ilvl="5" w:tplc="0416001B">
      <w:start w:val="1"/>
      <w:numFmt w:val="lowerRoman"/>
      <w:suff w:val="tab"/>
      <w:lvlText w:val="%6."/>
      <w:lvlJc w:val="right"/>
      <w:pPr>
        <w:ind w:hanging="180" w:left="4604"/>
      </w:pPr>
      <w:rPr/>
    </w:lvl>
    <w:lvl w:ilvl="6" w:tplc="0416000F">
      <w:start w:val="1"/>
      <w:numFmt w:val="decimal"/>
      <w:suff w:val="tab"/>
      <w:lvlText w:val="%7."/>
      <w:lvlJc w:val="left"/>
      <w:pPr>
        <w:ind w:hanging="360" w:left="5324"/>
      </w:pPr>
      <w:rPr/>
    </w:lvl>
    <w:lvl w:ilvl="7" w:tplc="04160019">
      <w:start w:val="1"/>
      <w:numFmt w:val="lowerLetter"/>
      <w:suff w:val="tab"/>
      <w:lvlText w:val="%8."/>
      <w:lvlJc w:val="left"/>
      <w:pPr>
        <w:ind w:hanging="360" w:left="6044"/>
      </w:pPr>
      <w:rPr/>
    </w:lvl>
    <w:lvl w:ilvl="8" w:tplc="0416001B">
      <w:start w:val="1"/>
      <w:numFmt w:val="lowerRoman"/>
      <w:suff w:val="tab"/>
      <w:lvlText w:val="%9."/>
      <w:lvlJc w:val="right"/>
      <w:pPr>
        <w:ind w:hanging="180" w:left="6764"/>
      </w:pPr>
      <w:rPr/>
    </w:lvl>
  </w:abstractNum>
  <w:abstractNum w:abstractNumId="18">
    <w:nsid w:val="766B47A1"/>
    <w:multiLevelType w:val="hybridMultilevel"/>
    <w:lvl w:ilvl="0" w:tplc="04160017">
      <w:start w:val="1"/>
      <w:numFmt w:val="lowerLetter"/>
      <w:suff w:val="tab"/>
      <w:lvlText w:val="%1)"/>
      <w:lvlJc w:val="left"/>
      <w:pPr>
        <w:ind w:hanging="360" w:left="860"/>
      </w:pPr>
      <w:rPr/>
    </w:lvl>
    <w:lvl w:ilvl="1" w:tplc="FFFFFFFF">
      <w:start w:val="1"/>
      <w:numFmt w:val="lowerLetter"/>
      <w:suff w:val="tab"/>
      <w:lvlText w:val="%2."/>
      <w:lvlJc w:val="left"/>
      <w:pPr>
        <w:ind w:hanging="360" w:left="1580"/>
      </w:pPr>
      <w:rPr/>
    </w:lvl>
    <w:lvl w:ilvl="2" w:tplc="FFFFFFFF">
      <w:start w:val="1"/>
      <w:numFmt w:val="lowerRoman"/>
      <w:suff w:val="tab"/>
      <w:lvlText w:val="%3."/>
      <w:lvlJc w:val="right"/>
      <w:pPr>
        <w:ind w:hanging="180" w:left="2300"/>
      </w:pPr>
      <w:rPr/>
    </w:lvl>
    <w:lvl w:ilvl="3" w:tplc="FFFFFFFF">
      <w:start w:val="1"/>
      <w:numFmt w:val="decimal"/>
      <w:suff w:val="tab"/>
      <w:lvlText w:val="%4."/>
      <w:lvlJc w:val="left"/>
      <w:pPr>
        <w:ind w:hanging="360" w:left="3020"/>
      </w:pPr>
      <w:rPr/>
    </w:lvl>
    <w:lvl w:ilvl="4" w:tplc="FFFFFFFF">
      <w:start w:val="1"/>
      <w:numFmt w:val="lowerLetter"/>
      <w:suff w:val="tab"/>
      <w:lvlText w:val="%5."/>
      <w:lvlJc w:val="left"/>
      <w:pPr>
        <w:ind w:hanging="360" w:left="3740"/>
      </w:pPr>
      <w:rPr/>
    </w:lvl>
    <w:lvl w:ilvl="5" w:tplc="FFFFFFFF">
      <w:start w:val="1"/>
      <w:numFmt w:val="lowerRoman"/>
      <w:suff w:val="tab"/>
      <w:lvlText w:val="%6."/>
      <w:lvlJc w:val="right"/>
      <w:pPr>
        <w:ind w:hanging="180" w:left="4460"/>
      </w:pPr>
      <w:rPr/>
    </w:lvl>
    <w:lvl w:ilvl="6" w:tplc="FFFFFFFF">
      <w:start w:val="1"/>
      <w:numFmt w:val="decimal"/>
      <w:suff w:val="tab"/>
      <w:lvlText w:val="%7."/>
      <w:lvlJc w:val="left"/>
      <w:pPr>
        <w:ind w:hanging="360" w:left="5180"/>
      </w:pPr>
      <w:rPr/>
    </w:lvl>
    <w:lvl w:ilvl="7" w:tplc="FFFFFFFF">
      <w:start w:val="1"/>
      <w:numFmt w:val="lowerLetter"/>
      <w:suff w:val="tab"/>
      <w:lvlText w:val="%8."/>
      <w:lvlJc w:val="left"/>
      <w:pPr>
        <w:ind w:hanging="360" w:left="5900"/>
      </w:pPr>
      <w:rPr/>
    </w:lvl>
    <w:lvl w:ilvl="8" w:tplc="FFFFFFFF">
      <w:start w:val="1"/>
      <w:numFmt w:val="lowerRoman"/>
      <w:suff w:val="tab"/>
      <w:lvlText w:val="%9."/>
      <w:lvlJc w:val="right"/>
      <w:pPr>
        <w:ind w:hanging="180" w:left="6620"/>
      </w:pPr>
      <w:rPr/>
    </w:lvl>
  </w:abstractNum>
  <w:abstractNum w:abstractNumId="19">
    <w:nsid w:val="7C6A3D4E"/>
    <w:multiLevelType w:val="hybridMultilevel"/>
    <w:lvl w:ilvl="0" w:tplc="04160017">
      <w:start w:val="1"/>
      <w:numFmt w:val="lowerLetter"/>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num w:numId="1">
    <w:abstractNumId w:val="3"/>
  </w:num>
  <w:num w:numId="2">
    <w:abstractNumId w:val="10"/>
  </w:num>
  <w:num w:numId="3">
    <w:abstractNumId w:val="13"/>
  </w:num>
  <w:num w:numId="4">
    <w:abstractNumId w:val="15"/>
  </w:num>
  <w:num w:numId="5">
    <w:abstractNumId w:val="12"/>
  </w:num>
  <w:num w:numId="6">
    <w:abstractNumId w:val="17"/>
  </w:num>
  <w:num w:numId="7">
    <w:abstractNumId w:val="8"/>
  </w:num>
  <w:num w:numId="8">
    <w:abstractNumId w:val="0"/>
  </w:num>
  <w:num w:numId="9">
    <w:abstractNumId w:val="9"/>
  </w:num>
  <w:num w:numId="10">
    <w:abstractNumId w:val="2"/>
  </w:num>
  <w:num w:numId="11">
    <w:abstractNumId w:val="5"/>
  </w:num>
  <w:num w:numId="12">
    <w:abstractNumId w:val="14"/>
  </w:num>
  <w:num w:numId="13">
    <w:abstractNumId w:val="18"/>
  </w:num>
  <w:num w:numId="14">
    <w:abstractNumId w:val="4"/>
  </w:num>
  <w:num w:numId="15">
    <w:abstractNumId w:val="16"/>
  </w:num>
  <w:num w:numId="16">
    <w:abstractNumId w:val="7"/>
  </w:num>
  <w:num w:numId="17">
    <w:abstractNumId w:val="1"/>
  </w:num>
  <w:num w:numId="18">
    <w:abstractNumId w:val="11"/>
    <w:lvlOverride w:ilvl="0">
      <w:lvl w:ilvl="0">
        <w:start w:val="1"/>
        <w:numFmt w:val="upperRoman"/>
        <w:suff w:val="tab"/>
        <w:lvlText w:val="%1."/>
        <w:lvlJc w:val="right"/>
        <w:pPr/>
        <w:rPr/>
      </w:lvl>
    </w:lvlOverride>
  </w:num>
  <w:num w:numId="19">
    <w:abstractNumId w:val="11"/>
    <w:lvlOverride w:ilvl="0">
      <w:lvl w:ilvl="0">
        <w:start w:val="1"/>
        <w:numFmt w:val="upperRoman"/>
        <w:suff w:val="tab"/>
        <w:lvlText w:val="%1."/>
        <w:lvlJc w:val="right"/>
        <w:pPr/>
        <w:rPr/>
      </w:lvl>
    </w:lvlOverride>
  </w:num>
  <w:num w:numId="20">
    <w:abstractNumId w:val="11"/>
    <w:lvlOverride w:ilvl="0">
      <w:lvl w:ilvl="0">
        <w:start w:val="1"/>
        <w:numFmt w:val="upperRoman"/>
        <w:suff w:val="tab"/>
        <w:lvlText w:val="%1."/>
        <w:lvlJc w:val="right"/>
        <w:pPr/>
        <w:rPr/>
      </w:lvl>
    </w:lvlOverride>
  </w:num>
  <w:num w:numId="21">
    <w:abstractNumId w:val="6"/>
  </w:num>
  <w:num w:numId="22">
    <w:abstractNumId w:val="19"/>
  </w:num>
</w:numbering>
</file>

<file path=word/settings.xml><?xml version="1.0" encoding="utf-8"?>
<w:settings xmlns:r="http://schemas.openxmlformats.org/officeDocument/2006/relationships" xmlns:w="http://schemas.openxmlformats.org/wordprocessingml/2006/main">
  <w:displayBackgroundShape w:val="0"/>
  <w:defaultTabStop w:val="708"/>
  <w:autoHyphenation w:val="0"/>
  <w:hyphenationZone w:val="425"/>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brkBin m:val="before"/>
    <m:brkBinSub m:val="--"/>
    <m:defJc m:val="centerGroup"/>
    <m:dispDef/>
    <m:interSp m:val="0"/>
    <m:intLim m:val="subSup"/>
    <m:intraSp m:val="0"/>
    <m:lMargin m:val="0"/>
    <m:mathFont m:val="Cambria Math"/>
    <m:naryLim m:val="undOvr"/>
    <m:postSp m:val="0"/>
    <m:preSp m:val="0"/>
    <m:rMargin m:val="0"/>
    <m:smallFrac/>
    <m:wrapIndent m:val="1440"/>
    <m:wrapRight m:val="0"/>
  </m:mathPr>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4"/>
        <w:szCs w:val="24"/>
        <w:kern w:val="2"/>
        <w:lang w:val="pt-BR" w:bidi="ar-SA" w:eastAsia="en-US"/>
      </w:rPr>
    </w:rPrDefault>
    <w:pPrDefault>
      <w:pPr>
        <w:keepNext w:val="0"/>
        <w:keepLines w:val="0"/>
        <w:pageBreakBefore w:val="0"/>
        <w:widowControl w:val="1"/>
        <w:suppressLineNumbers w:val="0"/>
        <w:shd w:val="clear" w:fill="auto"/>
        <w:suppressAutoHyphens w:val="0"/>
        <w:spacing w:lineRule="auto" w:line="278" w:before="0" w:after="160" w:beforeAutospacing="0" w:afterAutospacing="0"/>
        <w:ind w:firstLine="0" w:left="0" w:right="0"/>
        <w:contextualSpacing w:val="0"/>
        <w:bidi w:val="0"/>
        <w:jc w:val="left"/>
        <w:outlineLvl w:val="9"/>
      </w:pPr>
    </w:pPrDefault>
  </w:docDefaults>
  <w:style w:type="paragraph" w:styleId="P0" w:default="1">
    <w:name w:val="Normal"/>
    <w:qFormat/>
    <w:pPr>
      <w:widowControl w:val="0"/>
      <w:spacing w:lineRule="auto" w:line="240" w:after="0" w:beforeAutospacing="0" w:afterAutospacing="0"/>
    </w:pPr>
    <w:rPr>
      <w:rFonts w:ascii="Arial MT" w:hAnsi="Arial MT" w:cs="Arial MT" w:eastAsia="Times New Roman"/>
      <w:sz w:val="22"/>
      <w:szCs w:val="22"/>
      <w:lang w:val="pt-PT"/>
    </w:rPr>
  </w:style>
  <w:style w:type="paragraph" w:styleId="P1">
    <w:name w:val="Heading 1"/>
    <w:basedOn w:val="P0"/>
    <w:next w:val="P0"/>
    <w:link w:val="C3"/>
    <w:qFormat/>
    <w:pPr>
      <w:keepNext w:val="1"/>
      <w:keepLines w:val="1"/>
      <w:spacing w:before="360" w:after="80" w:beforeAutospacing="0" w:afterAutospacing="0"/>
      <w:outlineLvl w:val="0"/>
    </w:pPr>
    <w:rPr>
      <w:rFonts w:asciiTheme="majorHAnsi" w:hAnsiTheme="majorHAnsi" w:cstheme="majorBidi" w:eastAsiaTheme="majorEastAsia"/>
      <w:color w:val="2F5496" w:themeColor="accent1" w:themeShade="BF"/>
      <w:sz w:val="40"/>
      <w:szCs w:val="40"/>
    </w:rPr>
  </w:style>
  <w:style w:type="paragraph" w:styleId="P2">
    <w:name w:val="Heading 2"/>
    <w:basedOn w:val="P0"/>
    <w:next w:val="P0"/>
    <w:link w:val="C4"/>
    <w:semiHidden/>
    <w:qFormat/>
    <w:pPr>
      <w:keepNext w:val="1"/>
      <w:keepLines w:val="1"/>
      <w:spacing w:before="160" w:after="80" w:beforeAutospacing="0" w:afterAutospacing="0"/>
      <w:outlineLvl w:val="1"/>
    </w:pPr>
    <w:rPr>
      <w:rFonts w:asciiTheme="majorHAnsi" w:hAnsiTheme="majorHAnsi" w:cstheme="majorBidi" w:eastAsiaTheme="majorEastAsia"/>
      <w:color w:val="2F5496" w:themeColor="accent1" w:themeShade="BF"/>
      <w:sz w:val="32"/>
      <w:szCs w:val="32"/>
    </w:rPr>
  </w:style>
  <w:style w:type="paragraph" w:styleId="P3">
    <w:name w:val="Heading 3"/>
    <w:basedOn w:val="P0"/>
    <w:next w:val="P0"/>
    <w:link w:val="C5"/>
    <w:semiHidden/>
    <w:qFormat/>
    <w:pPr>
      <w:keepNext w:val="1"/>
      <w:keepLines w:val="1"/>
      <w:spacing w:before="160" w:after="80" w:beforeAutospacing="0" w:afterAutospacing="0"/>
      <w:outlineLvl w:val="2"/>
    </w:pPr>
    <w:rPr>
      <w:rFonts w:cstheme="majorBidi" w:eastAsiaTheme="majorEastAsia"/>
      <w:color w:val="2F5496" w:themeColor="accent1" w:themeShade="BF"/>
      <w:sz w:val="28"/>
      <w:szCs w:val="28"/>
    </w:rPr>
  </w:style>
  <w:style w:type="paragraph" w:styleId="P4">
    <w:name w:val="Heading 4"/>
    <w:basedOn w:val="P0"/>
    <w:next w:val="P0"/>
    <w:link w:val="C6"/>
    <w:semiHidden/>
    <w:qFormat/>
    <w:pPr>
      <w:keepNext w:val="1"/>
      <w:keepLines w:val="1"/>
      <w:spacing w:before="80" w:after="40" w:beforeAutospacing="0" w:afterAutospacing="0"/>
      <w:outlineLvl w:val="3"/>
    </w:pPr>
    <w:rPr>
      <w:rFonts w:cstheme="majorBidi" w:eastAsiaTheme="majorEastAsia"/>
      <w:i w:val="1"/>
      <w:iCs w:val="1"/>
      <w:color w:val="2F5496" w:themeColor="accent1" w:themeShade="BF"/>
    </w:rPr>
  </w:style>
  <w:style w:type="paragraph" w:styleId="P5">
    <w:name w:val="Heading 5"/>
    <w:basedOn w:val="P0"/>
    <w:next w:val="P0"/>
    <w:link w:val="C7"/>
    <w:semiHidden/>
    <w:qFormat/>
    <w:pPr>
      <w:keepNext w:val="1"/>
      <w:keepLines w:val="1"/>
      <w:spacing w:before="80" w:after="40" w:beforeAutospacing="0" w:afterAutospacing="0"/>
      <w:outlineLvl w:val="4"/>
    </w:pPr>
    <w:rPr>
      <w:rFonts w:cstheme="majorBidi" w:eastAsiaTheme="majorEastAsia"/>
      <w:color w:val="2F5496" w:themeColor="accent1" w:themeShade="BF"/>
    </w:rPr>
  </w:style>
  <w:style w:type="paragraph" w:styleId="P6">
    <w:name w:val="Heading 6"/>
    <w:basedOn w:val="P0"/>
    <w:next w:val="P0"/>
    <w:link w:val="C8"/>
    <w:semiHidden/>
    <w:qFormat/>
    <w:pPr>
      <w:keepNext w:val="1"/>
      <w:keepLines w:val="1"/>
      <w:spacing w:before="40" w:beforeAutospacing="0" w:afterAutospacing="0"/>
      <w:outlineLvl w:val="5"/>
    </w:pPr>
    <w:rPr>
      <w:rFonts w:cstheme="majorBidi" w:eastAsiaTheme="majorEastAsia"/>
      <w:i w:val="1"/>
      <w:iCs w:val="1"/>
      <w:color w:val="595959" w:themeColor="text1" w:themeTint="A6"/>
    </w:rPr>
  </w:style>
  <w:style w:type="paragraph" w:styleId="P7">
    <w:name w:val="Heading 7"/>
    <w:basedOn w:val="P0"/>
    <w:next w:val="P0"/>
    <w:link w:val="C9"/>
    <w:semiHidden/>
    <w:qFormat/>
    <w:pPr>
      <w:keepNext w:val="1"/>
      <w:keepLines w:val="1"/>
      <w:spacing w:before="40" w:beforeAutospacing="0" w:afterAutospacing="0"/>
      <w:outlineLvl w:val="6"/>
    </w:pPr>
    <w:rPr>
      <w:rFonts w:cstheme="majorBidi" w:eastAsiaTheme="majorEastAsia"/>
      <w:color w:val="595959" w:themeColor="text1" w:themeTint="A6"/>
    </w:rPr>
  </w:style>
  <w:style w:type="paragraph" w:styleId="P8">
    <w:name w:val="Heading 8"/>
    <w:basedOn w:val="P0"/>
    <w:next w:val="P0"/>
    <w:link w:val="C10"/>
    <w:semiHidden/>
    <w:qFormat/>
    <w:pPr>
      <w:keepNext w:val="1"/>
      <w:keepLines w:val="1"/>
      <w:outlineLvl w:val="7"/>
    </w:pPr>
    <w:rPr>
      <w:rFonts w:cstheme="majorBidi" w:eastAsiaTheme="majorEastAsia"/>
      <w:i w:val="1"/>
      <w:iCs w:val="1"/>
      <w:color w:val="272727" w:themeColor="text1" w:themeTint="D8"/>
    </w:rPr>
  </w:style>
  <w:style w:type="paragraph" w:styleId="P9">
    <w:name w:val="Heading 9"/>
    <w:basedOn w:val="P0"/>
    <w:next w:val="P0"/>
    <w:link w:val="C11"/>
    <w:semiHidden/>
    <w:qFormat/>
    <w:pPr>
      <w:keepNext w:val="1"/>
      <w:keepLines w:val="1"/>
      <w:outlineLvl w:val="8"/>
    </w:pPr>
    <w:rPr>
      <w:rFonts w:cstheme="majorBidi" w:eastAsiaTheme="majorEastAsia"/>
      <w:color w:val="272727" w:themeColor="text1" w:themeTint="D8"/>
    </w:rPr>
  </w:style>
  <w:style w:type="paragraph" w:styleId="P10">
    <w:name w:val="Title"/>
    <w:basedOn w:val="P0"/>
    <w:next w:val="P0"/>
    <w:link w:val="C12"/>
    <w:qFormat/>
    <w:pPr>
      <w:spacing w:after="80" w:beforeAutospacing="0" w:afterAutospacing="0"/>
      <w:contextualSpacing w:val="1"/>
    </w:pPr>
    <w:rPr>
      <w:rFonts w:asciiTheme="majorHAnsi" w:hAnsiTheme="majorHAnsi" w:cstheme="majorBidi" w:eastAsiaTheme="majorEastAsia"/>
      <w:sz w:val="56"/>
      <w:szCs w:val="56"/>
      <w:spacing w:val="-10"/>
      <w:kern w:val="28"/>
    </w:rPr>
  </w:style>
  <w:style w:type="paragraph" w:styleId="P11">
    <w:name w:val="Subtitle"/>
    <w:basedOn w:val="P0"/>
    <w:next w:val="P0"/>
    <w:link w:val="C13"/>
    <w:qFormat/>
    <w:pPr/>
    <w:rPr>
      <w:rFonts w:cstheme="majorBidi" w:eastAsiaTheme="majorEastAsia"/>
      <w:color w:val="595959" w:themeColor="text1" w:themeTint="A6"/>
      <w:sz w:val="28"/>
      <w:szCs w:val="28"/>
      <w:spacing w:val="15"/>
    </w:rPr>
  </w:style>
  <w:style w:type="paragraph" w:styleId="P12">
    <w:name w:val="Quote"/>
    <w:basedOn w:val="P0"/>
    <w:next w:val="P0"/>
    <w:link w:val="C14"/>
    <w:qFormat/>
    <w:pPr>
      <w:spacing w:before="160" w:beforeAutospacing="0" w:afterAutospacing="0"/>
      <w:jc w:val="center"/>
    </w:pPr>
    <w:rPr>
      <w:i w:val="1"/>
      <w:iCs w:val="1"/>
      <w:color w:val="404040" w:themeColor="text1" w:themeTint="BF"/>
    </w:rPr>
  </w:style>
  <w:style w:type="paragraph" w:styleId="P13">
    <w:name w:val="List Paragraph"/>
    <w:basedOn w:val="P0"/>
    <w:qFormat/>
    <w:pPr>
      <w:ind w:left="720"/>
      <w:contextualSpacing w:val="1"/>
    </w:pPr>
    <w:rPr/>
  </w:style>
  <w:style w:type="paragraph" w:styleId="P14">
    <w:name w:val="Intense Quote"/>
    <w:basedOn w:val="P0"/>
    <w:next w:val="P0"/>
    <w:link w:val="C16"/>
    <w:qFormat/>
    <w:pPr>
      <w:pBdr>
        <w:top w:val="single" w:sz="4" w:space="10" w:shadow="0" w:frame="0" w:color="2F5496" w:themeColor="accent1" w:themeShade="BF"/>
        <w:left w:val="none" w:sz="0" w:space="0" w:shadow="0" w:frame="0" w:color="auto"/>
        <w:bottom w:val="single" w:sz="4" w:space="10" w:shadow="0" w:frame="0" w:color="2F5496" w:themeColor="accent1" w:themeShade="BF"/>
        <w:right w:val="none" w:sz="0" w:space="0" w:shadow="0" w:frame="0" w:color="auto"/>
        <w:between w:val="none" w:sz="0" w:space="0" w:shadow="0" w:frame="0" w:color="auto"/>
      </w:pBdr>
      <w:spacing w:before="360" w:after="360" w:beforeAutospacing="0" w:afterAutospacing="0"/>
      <w:ind w:left="864" w:right="864"/>
      <w:jc w:val="center"/>
    </w:pPr>
    <w:rPr>
      <w:i w:val="1"/>
      <w:iCs w:val="1"/>
      <w:color w:val="2F5496" w:themeColor="accent1" w:themeShade="BF"/>
    </w:rPr>
  </w:style>
  <w:style w:type="paragraph" w:styleId="P15">
    <w:name w:val="Nivel 01"/>
    <w:basedOn w:val="P1"/>
    <w:next w:val="P0"/>
    <w:autoRedefine w:val="1"/>
    <w:qFormat/>
    <w:pPr>
      <w:numPr>
        <w:numId w:val="1"/>
      </w:numPr>
      <w:tabs>
        <w:tab w:val="left" w:pos="567" w:leader="none"/>
      </w:tabs>
      <w:spacing w:lineRule="auto" w:line="312" w:before="288" w:after="120" w:beforeAutospacing="0" w:afterAutospacing="0"/>
      <w:jc w:val="both"/>
    </w:pPr>
    <w:rPr>
      <w:rFonts w:ascii="Arial" w:hAnsi="Arial" w:cs="Arial"/>
      <w:b w:val="1"/>
      <w:bCs w:val="1"/>
      <w:color w:val="auto"/>
      <w:sz w:val="20"/>
      <w:szCs w:val="20"/>
      <w:lang w:eastAsia="pt-BR"/>
    </w:rPr>
  </w:style>
  <w:style w:type="paragraph" w:styleId="P16">
    <w:name w:val="Nivel 2"/>
    <w:basedOn w:val="P0"/>
    <w:link w:val="C18"/>
    <w:qFormat/>
    <w:pPr>
      <w:widowControl w:val="1"/>
      <w:numPr>
        <w:ilvl w:val="1"/>
        <w:numId w:val="1"/>
      </w:numPr>
      <w:spacing w:lineRule="auto" w:line="276" w:before="120" w:after="120" w:beforeAutospacing="0" w:afterAutospacing="0"/>
      <w:jc w:val="both"/>
    </w:pPr>
    <w:rPr>
      <w:rFonts w:ascii="Arial" w:hAnsi="Arial" w:cs="Arial" w:eastAsiaTheme="minorEastAsia"/>
      <w:color w:val="000000"/>
      <w:sz w:val="20"/>
      <w:szCs w:val="20"/>
      <w:lang w:val="pt-BR" w:eastAsia="pt-BR"/>
    </w:rPr>
  </w:style>
  <w:style w:type="paragraph" w:styleId="P17">
    <w:name w:val="Nivel 3"/>
    <w:basedOn w:val="P0"/>
    <w:link w:val="C19"/>
    <w:qFormat/>
    <w:pPr>
      <w:widowControl w:val="1"/>
      <w:numPr>
        <w:ilvl w:val="2"/>
        <w:numId w:val="1"/>
      </w:numPr>
      <w:spacing w:lineRule="auto" w:line="276" w:before="120" w:after="120" w:beforeAutospacing="0" w:afterAutospacing="0"/>
      <w:ind w:left="284"/>
      <w:jc w:val="both"/>
    </w:pPr>
    <w:rPr>
      <w:rFonts w:ascii="Arial" w:hAnsi="Arial" w:cs="Arial" w:eastAsiaTheme="minorEastAsia"/>
      <w:color w:val="000000"/>
      <w:sz w:val="20"/>
      <w:szCs w:val="20"/>
      <w:lang w:val="pt-BR" w:eastAsia="pt-BR"/>
    </w:rPr>
  </w:style>
  <w:style w:type="paragraph" w:styleId="P18">
    <w:name w:val="Nivel 4"/>
    <w:basedOn w:val="P17"/>
    <w:qFormat/>
    <w:pPr>
      <w:numPr>
        <w:ilvl w:val="3"/>
      </w:numPr>
      <w:tabs>
        <w:tab w:val="num" w:pos="360" w:leader="none"/>
      </w:tabs>
      <w:ind w:left="567"/>
    </w:pPr>
    <w:rPr>
      <w:color w:val="auto"/>
    </w:rPr>
  </w:style>
  <w:style w:type="paragraph" w:styleId="P19">
    <w:name w:val="Nivel 5"/>
    <w:basedOn w:val="P18"/>
    <w:qFormat/>
    <w:pPr>
      <w:numPr>
        <w:ilvl w:val="4"/>
      </w:numPr>
      <w:tabs>
        <w:tab w:val="num" w:pos="360" w:leader="none"/>
      </w:tabs>
      <w:ind w:left="851"/>
    </w:pPr>
    <w:rPr/>
  </w:style>
  <w:style w:type="paragraph" w:styleId="P20">
    <w:name w:val="Header"/>
    <w:basedOn w:val="P0"/>
    <w:link w:val="C20"/>
    <w:pPr>
      <w:tabs>
        <w:tab w:val="center" w:pos="4252" w:leader="none"/>
        <w:tab w:val="right" w:pos="8504" w:leader="none"/>
      </w:tabs>
    </w:pPr>
    <w:rPr/>
  </w:style>
  <w:style w:type="paragraph" w:styleId="P21">
    <w:name w:val="Footer"/>
    <w:basedOn w:val="P0"/>
    <w:link w:val="C21"/>
    <w:pPr>
      <w:tabs>
        <w:tab w:val="center" w:pos="4252" w:leader="none"/>
        <w:tab w:val="right" w:pos="8504" w:leader="none"/>
      </w:tabs>
    </w:pPr>
    <w:rPr/>
  </w:style>
  <w:style w:type="paragraph" w:styleId="P22">
    <w:name w:val="Body Text"/>
    <w:basedOn w:val="P0"/>
    <w:link w:val="C23"/>
    <w:qFormat/>
    <w:pPr>
      <w:jc w:val="both"/>
    </w:pPr>
    <w:rPr/>
  </w:style>
  <w:style w:type="paragraph" w:styleId="P23">
    <w:name w:val="Normal (Web)"/>
    <w:basedOn w:val="P0"/>
    <w:semiHidden/>
    <w:pPr/>
    <w:rPr>
      <w:rFonts w:ascii="Times New Roman" w:hAnsi="Times New Roman" w:cs="Times New Roman"/>
      <w:sz w:val="24"/>
      <w:szCs w:val="24"/>
    </w:rPr>
  </w:style>
  <w:style w:type="paragraph" w:styleId="P24">
    <w:name w:val="Footnote Text"/>
    <w:link w:val="C25"/>
    <w:semiHidden/>
    <w:pPr>
      <w:spacing w:lineRule="auto" w:line="240" w:after="0"/>
    </w:pPr>
    <w:rPr>
      <w:sz w:val="20"/>
      <w:szCs w:val="20"/>
    </w:rPr>
  </w:style>
  <w:style w:type="paragraph" w:styleId="P25">
    <w:name w:val="Endnote Text"/>
    <w:link w:val="C27"/>
    <w:semiHidden/>
    <w:pPr>
      <w:spacing w:lineRule="auto" w:line="240" w:after="0"/>
    </w:pPr>
    <w:rPr>
      <w:sz w:val="20"/>
      <w:szCs w:val="20"/>
    </w:rPr>
  </w:style>
  <w:style w:type="character" w:styleId="C0" w:default="1">
    <w:name w:val="Default Paragraph Font"/>
    <w:rPr/>
  </w:style>
  <w:style w:type="character" w:styleId="C1">
    <w:name w:val="Line Number"/>
    <w:basedOn w:val="C0"/>
    <w:semiHidden/>
    <w:rPr/>
  </w:style>
  <w:style w:type="character" w:styleId="C2">
    <w:name w:val="Hyperlink"/>
    <w:basedOn w:val="C0"/>
    <w:rPr>
      <w:color w:val="0563C1" w:themeColor="hyperlink"/>
      <w:u w:val="single"/>
    </w:rPr>
  </w:style>
  <w:style w:type="character" w:styleId="C3">
    <w:name w:val="Título 1 Char"/>
    <w:basedOn w:val="C0"/>
    <w:link w:val="P1"/>
    <w:rPr>
      <w:rFonts w:asciiTheme="majorHAnsi" w:hAnsiTheme="majorHAnsi" w:cstheme="majorBidi" w:eastAsiaTheme="majorEastAsia"/>
      <w:color w:val="2F5496" w:themeColor="accent1" w:themeShade="BF"/>
      <w:sz w:val="40"/>
      <w:szCs w:val="40"/>
    </w:rPr>
  </w:style>
  <w:style w:type="character" w:styleId="C4">
    <w:name w:val="Título 2 Char"/>
    <w:basedOn w:val="C0"/>
    <w:link w:val="P2"/>
    <w:semiHidden/>
    <w:rPr>
      <w:rFonts w:asciiTheme="majorHAnsi" w:hAnsiTheme="majorHAnsi" w:cstheme="majorBidi" w:eastAsiaTheme="majorEastAsia"/>
      <w:color w:val="2F5496" w:themeColor="accent1" w:themeShade="BF"/>
      <w:sz w:val="32"/>
      <w:szCs w:val="32"/>
    </w:rPr>
  </w:style>
  <w:style w:type="character" w:styleId="C5">
    <w:name w:val="Título 3 Char"/>
    <w:basedOn w:val="C0"/>
    <w:link w:val="P3"/>
    <w:semiHidden/>
    <w:rPr>
      <w:rFonts w:cstheme="majorBidi" w:eastAsiaTheme="majorEastAsia"/>
      <w:color w:val="2F5496" w:themeColor="accent1" w:themeShade="BF"/>
      <w:sz w:val="28"/>
      <w:szCs w:val="28"/>
    </w:rPr>
  </w:style>
  <w:style w:type="character" w:styleId="C6">
    <w:name w:val="Título 4 Char"/>
    <w:basedOn w:val="C0"/>
    <w:link w:val="P4"/>
    <w:semiHidden/>
    <w:rPr>
      <w:rFonts w:cstheme="majorBidi" w:eastAsiaTheme="majorEastAsia"/>
      <w:i w:val="1"/>
      <w:iCs w:val="1"/>
      <w:color w:val="2F5496" w:themeColor="accent1" w:themeShade="BF"/>
    </w:rPr>
  </w:style>
  <w:style w:type="character" w:styleId="C7">
    <w:name w:val="Título 5 Char"/>
    <w:basedOn w:val="C0"/>
    <w:link w:val="P5"/>
    <w:semiHidden/>
    <w:rPr>
      <w:rFonts w:cstheme="majorBidi" w:eastAsiaTheme="majorEastAsia"/>
      <w:color w:val="2F5496" w:themeColor="accent1" w:themeShade="BF"/>
    </w:rPr>
  </w:style>
  <w:style w:type="character" w:styleId="C8">
    <w:name w:val="Título 6 Char"/>
    <w:basedOn w:val="C0"/>
    <w:link w:val="P6"/>
    <w:semiHidden/>
    <w:rPr>
      <w:rFonts w:cstheme="majorBidi" w:eastAsiaTheme="majorEastAsia"/>
      <w:i w:val="1"/>
      <w:iCs w:val="1"/>
      <w:color w:val="595959" w:themeColor="text1" w:themeTint="A6"/>
    </w:rPr>
  </w:style>
  <w:style w:type="character" w:styleId="C9">
    <w:name w:val="Título 7 Char"/>
    <w:basedOn w:val="C0"/>
    <w:link w:val="P7"/>
    <w:semiHidden/>
    <w:rPr>
      <w:rFonts w:cstheme="majorBidi" w:eastAsiaTheme="majorEastAsia"/>
      <w:color w:val="595959" w:themeColor="text1" w:themeTint="A6"/>
    </w:rPr>
  </w:style>
  <w:style w:type="character" w:styleId="C10">
    <w:name w:val="Título 8 Char"/>
    <w:basedOn w:val="C0"/>
    <w:link w:val="P8"/>
    <w:semiHidden/>
    <w:rPr>
      <w:rFonts w:cstheme="majorBidi" w:eastAsiaTheme="majorEastAsia"/>
      <w:i w:val="1"/>
      <w:iCs w:val="1"/>
      <w:color w:val="272727" w:themeColor="text1" w:themeTint="D8"/>
    </w:rPr>
  </w:style>
  <w:style w:type="character" w:styleId="C11">
    <w:name w:val="Título 9 Char"/>
    <w:basedOn w:val="C0"/>
    <w:link w:val="P9"/>
    <w:semiHidden/>
    <w:rPr>
      <w:rFonts w:cstheme="majorBidi" w:eastAsiaTheme="majorEastAsia"/>
      <w:color w:val="272727" w:themeColor="text1" w:themeTint="D8"/>
    </w:rPr>
  </w:style>
  <w:style w:type="character" w:styleId="C12">
    <w:name w:val="Título Char"/>
    <w:basedOn w:val="C0"/>
    <w:link w:val="P10"/>
    <w:rPr>
      <w:rFonts w:asciiTheme="majorHAnsi" w:hAnsiTheme="majorHAnsi" w:cstheme="majorBidi" w:eastAsiaTheme="majorEastAsia"/>
      <w:sz w:val="56"/>
      <w:szCs w:val="56"/>
      <w:spacing w:val="-10"/>
      <w:kern w:val="28"/>
    </w:rPr>
  </w:style>
  <w:style w:type="character" w:styleId="C13">
    <w:name w:val="Subtítulo Char"/>
    <w:basedOn w:val="C0"/>
    <w:link w:val="P11"/>
    <w:rPr>
      <w:rFonts w:cstheme="majorBidi" w:eastAsiaTheme="majorEastAsia"/>
      <w:color w:val="595959" w:themeColor="text1" w:themeTint="A6"/>
      <w:sz w:val="28"/>
      <w:szCs w:val="28"/>
      <w:spacing w:val="15"/>
    </w:rPr>
  </w:style>
  <w:style w:type="character" w:styleId="C14">
    <w:name w:val="Citação Char"/>
    <w:basedOn w:val="C0"/>
    <w:link w:val="P12"/>
    <w:rPr>
      <w:i w:val="1"/>
      <w:iCs w:val="1"/>
      <w:color w:val="404040" w:themeColor="text1" w:themeTint="BF"/>
    </w:rPr>
  </w:style>
  <w:style w:type="character" w:styleId="C15">
    <w:name w:val="Intense Emphasis"/>
    <w:basedOn w:val="C0"/>
    <w:qFormat/>
    <w:rPr>
      <w:i w:val="1"/>
      <w:iCs w:val="1"/>
      <w:color w:val="2F5496" w:themeColor="accent1" w:themeShade="BF"/>
    </w:rPr>
  </w:style>
  <w:style w:type="character" w:styleId="C16">
    <w:name w:val="Citação Intensa Char"/>
    <w:basedOn w:val="C0"/>
    <w:link w:val="P14"/>
    <w:rPr>
      <w:i w:val="1"/>
      <w:iCs w:val="1"/>
      <w:color w:val="2F5496" w:themeColor="accent1" w:themeShade="BF"/>
    </w:rPr>
  </w:style>
  <w:style w:type="character" w:styleId="C17">
    <w:name w:val="Intense Reference1"/>
    <w:basedOn w:val="C0"/>
    <w:qFormat/>
    <w:rPr>
      <w:b w:val="1"/>
      <w:bCs w:val="1"/>
      <w:smallCaps w:val="1"/>
      <w:color w:val="2F5496" w:themeColor="accent1" w:themeShade="BF"/>
      <w:spacing w:val="5"/>
    </w:rPr>
  </w:style>
  <w:style w:type="character" w:styleId="C18">
    <w:name w:val="Nivel 2 Char"/>
    <w:basedOn w:val="C0"/>
    <w:link w:val="P16"/>
    <w:rPr>
      <w:rFonts w:ascii="Arial" w:hAnsi="Arial" w:cs="Arial" w:eastAsiaTheme="minorEastAsia"/>
      <w:color w:val="000000"/>
      <w:sz w:val="20"/>
      <w:szCs w:val="20"/>
      <w:lang w:eastAsia="pt-BR"/>
    </w:rPr>
  </w:style>
  <w:style w:type="character" w:styleId="C19">
    <w:name w:val="Nivel 3 Char"/>
    <w:basedOn w:val="C0"/>
    <w:link w:val="P17"/>
    <w:rPr>
      <w:rFonts w:ascii="Arial" w:hAnsi="Arial" w:cs="Arial" w:eastAsiaTheme="minorEastAsia"/>
      <w:color w:val="000000"/>
      <w:sz w:val="20"/>
      <w:szCs w:val="20"/>
      <w:lang w:eastAsia="pt-BR"/>
    </w:rPr>
  </w:style>
  <w:style w:type="character" w:styleId="C20">
    <w:name w:val="Cabeçalho Char"/>
    <w:basedOn w:val="C0"/>
    <w:link w:val="P20"/>
    <w:rPr>
      <w:rFonts w:ascii="Arial MT" w:hAnsi="Arial MT" w:cs="Arial MT" w:eastAsia="Times New Roman"/>
      <w:sz w:val="22"/>
      <w:szCs w:val="22"/>
      <w:lang w:val="pt-PT"/>
    </w:rPr>
  </w:style>
  <w:style w:type="character" w:styleId="C21">
    <w:name w:val="Rodapé Char"/>
    <w:basedOn w:val="C0"/>
    <w:link w:val="P21"/>
    <w:rPr>
      <w:rFonts w:ascii="Arial MT" w:hAnsi="Arial MT" w:cs="Arial MT" w:eastAsia="Times New Roman"/>
      <w:sz w:val="22"/>
      <w:szCs w:val="22"/>
      <w:lang w:val="pt-PT"/>
    </w:rPr>
  </w:style>
  <w:style w:type="character" w:styleId="C22">
    <w:name w:val="Unresolved Mention1"/>
    <w:basedOn w:val="C0"/>
    <w:semiHidden/>
    <w:rPr>
      <w:color w:val="605E5C"/>
      <w:shd w:val="clear" w:color="auto" w:fill="E1DFDD"/>
    </w:rPr>
  </w:style>
  <w:style w:type="character" w:styleId="C23">
    <w:name w:val="Corpo de texto Char"/>
    <w:basedOn w:val="C0"/>
    <w:link w:val="P22"/>
    <w:rPr>
      <w:rFonts w:ascii="Arial MT" w:hAnsi="Arial MT" w:cs="Arial MT" w:eastAsia="Times New Roman"/>
      <w:sz w:val="22"/>
      <w:szCs w:val="22"/>
      <w:lang w:val="pt-PT"/>
    </w:rPr>
  </w:style>
  <w:style w:type="character" w:styleId="C24">
    <w:name w:val="Footnote Reference"/>
    <w:semiHidden/>
    <w:rPr>
      <w:vertAlign w:val="superscript"/>
    </w:rPr>
  </w:style>
  <w:style w:type="character" w:styleId="C25">
    <w:name w:val="Footnote Text Char"/>
    <w:link w:val="P24"/>
    <w:semiHidden/>
    <w:rPr>
      <w:sz w:val="20"/>
      <w:szCs w:val="20"/>
    </w:rPr>
  </w:style>
  <w:style w:type="character" w:styleId="C26">
    <w:name w:val="Endnote Reference"/>
    <w:semiHidden/>
    <w:rPr>
      <w:vertAlign w:val="superscript"/>
    </w:rPr>
  </w:style>
  <w:style w:type="character" w:styleId="C27">
    <w:name w:val="Endnote Text Char"/>
    <w:link w:val="P25"/>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2" Type="http://schemas.openxmlformats.org/officeDocument/2006/relationships/hyperlink" Target="http://www.portaldatransparencia.gov.br/ceis" TargetMode="External" /><Relationship Id="R3" Type="http://schemas.openxmlformats.org/officeDocument/2006/relationships/hyperlink" Target="https://www.portaltransparencia.gov.br/sancoes/cnep" TargetMode="External" /><Relationship Id="R4" Type="http://schemas.openxmlformats.org/officeDocument/2006/relationships/hyperlink" Target="https://www.gov.br/empresas-e-negocios/pt-br/empreendedor" TargetMode="External" /><Relationship Id="RelHdr1" Type="http://schemas.openxmlformats.org/officeDocument/2006/relationships/header" Target="header1.xml" /><Relationship Id="RelFtr1" Type="http://schemas.openxmlformats.org/officeDocument/2006/relationships/footer" Target="footer1.xm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header1.xml.rels>&#65279;<?xml version="1.0" encoding="utf-8"?><Relationships xmlns="http://schemas.openxmlformats.org/package/2006/relationships"><Relationship Id="Relimage2" Type="http://schemas.openxmlformats.org/officeDocument/2006/relationships/image" Target="/media/image2.jpg" /><Relationship Id="Relimage3" Type="http://schemas.openxmlformats.org/officeDocument/2006/relationships/image" Target="/media/image3.emf"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app.xml><?xml version="1.0" encoding="utf-8"?>
<Properties xmlns="http://schemas.openxmlformats.org/officeDocument/2006/extended-properties">
  <Application>DevExpress Office File API/25.2.3.0</Application>
  <AppVersion>25.2</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CMD</dc:creator>
  <dcterms:created xsi:type="dcterms:W3CDTF">2026-10-16T22:50:49Z</dcterms:created>
  <dcterms:modified xsi:type="dcterms:W3CDTF">2026-10-16T22:50:49Z</dcterms:modified>
  <cp:revision>2</cp:revision>
</cp:coreProperties>
</file>