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F3504" w14:textId="225DD8A2" w:rsidR="00ED6E49" w:rsidRDefault="00ED6E49" w:rsidP="00ED6E49">
      <w:pPr>
        <w:jc w:val="center"/>
        <w:rPr>
          <w:b/>
          <w:bCs/>
        </w:rPr>
      </w:pPr>
      <w:r>
        <w:rPr>
          <w:b/>
          <w:bCs/>
        </w:rPr>
        <w:t>QUESTIONAMENTO</w:t>
      </w:r>
      <w:r w:rsidR="00E148A5">
        <w:rPr>
          <w:b/>
          <w:bCs/>
        </w:rPr>
        <w:t>S</w:t>
      </w:r>
      <w:r>
        <w:rPr>
          <w:b/>
          <w:bCs/>
        </w:rPr>
        <w:t xml:space="preserve"> EDITAL </w:t>
      </w:r>
      <w:r w:rsidRPr="00ED6E49">
        <w:rPr>
          <w:b/>
          <w:bCs/>
        </w:rPr>
        <w:t>DE CONCORRÊNCIA N° 001/2026</w:t>
      </w:r>
    </w:p>
    <w:p w14:paraId="183F56E0" w14:textId="77777777" w:rsidR="00ED6E49" w:rsidRDefault="00ED6E49" w:rsidP="00ED6E49">
      <w:pPr>
        <w:jc w:val="both"/>
        <w:rPr>
          <w:b/>
          <w:bCs/>
        </w:rPr>
      </w:pPr>
    </w:p>
    <w:p w14:paraId="7FA54678" w14:textId="6BB19F76" w:rsidR="00ED6E49" w:rsidRPr="00ED6E49" w:rsidRDefault="00ED6E49" w:rsidP="00ED6E49">
      <w:pPr>
        <w:jc w:val="both"/>
        <w:rPr>
          <w:b/>
          <w:bCs/>
        </w:rPr>
      </w:pPr>
      <w:r w:rsidRPr="00ED6E49">
        <w:rPr>
          <w:b/>
          <w:bCs/>
        </w:rPr>
        <w:t>1. Esclarecimento quanto à formação do profissional da área social</w:t>
      </w:r>
    </w:p>
    <w:p w14:paraId="028D7677" w14:textId="77777777" w:rsidR="00ED6E49" w:rsidRPr="00ED6E49" w:rsidRDefault="00ED6E49" w:rsidP="00ED6E49">
      <w:pPr>
        <w:jc w:val="both"/>
      </w:pPr>
      <w:r w:rsidRPr="00ED6E49">
        <w:t>No item 9.8.2 – “Qualificação técnico-profissional”, §1º, inciso IV, do Edital atualizado, exige-se, como integrante mínimo da equipe técnica multidisciplinar, “profissional da área social, para apoio às atividades de mobilização comunitária e cadastro socioeconômico”.</w:t>
      </w:r>
    </w:p>
    <w:p w14:paraId="080652EE" w14:textId="77777777" w:rsidR="00ED6E49" w:rsidRPr="00ED6E49" w:rsidRDefault="00ED6E49" w:rsidP="00ED6E49">
      <w:pPr>
        <w:jc w:val="both"/>
      </w:pPr>
      <w:r w:rsidRPr="00ED6E49">
        <w:t>Ocorre que o instrumento convocatório não especifica, de forma expressa, quais formações acadêmicas serão aceitas para fins de atendimento a essa exigência.</w:t>
      </w:r>
    </w:p>
    <w:p w14:paraId="75A82191" w14:textId="77777777" w:rsidR="00ED6E49" w:rsidRPr="00ED6E49" w:rsidRDefault="00ED6E49" w:rsidP="00ED6E49">
      <w:pPr>
        <w:jc w:val="both"/>
      </w:pPr>
      <w:r w:rsidRPr="00ED6E49">
        <w:t>Dessa forma, solicita-se esclarecimento quanto às formações admitidas para o referido profissional da área social, especialmente se será aceito profissional com formação em Psicologia para o desempenho das atividades de mobilização comunitária e apoio ao cadastro socioeconômico.</w:t>
      </w:r>
    </w:p>
    <w:p w14:paraId="4E1CB5D8" w14:textId="77777777" w:rsidR="00ED6E49" w:rsidRDefault="00ED6E49" w:rsidP="00ED6E49">
      <w:pPr>
        <w:jc w:val="both"/>
      </w:pPr>
      <w:r w:rsidRPr="00ED6E49">
        <w:t>Entendemos que sim, considerando a natureza das atribuições previstas no edital, especialmente aquelas relacionadas à interação com a comunidade, mobilização social, escuta qualificada e apoio ao levantamento de informações socioeconômicas.</w:t>
      </w:r>
    </w:p>
    <w:p w14:paraId="01E4EBC2" w14:textId="77777777" w:rsidR="00E148A5" w:rsidRPr="00ED6E49" w:rsidRDefault="00E148A5" w:rsidP="00ED6E49">
      <w:pPr>
        <w:jc w:val="both"/>
      </w:pPr>
    </w:p>
    <w:p w14:paraId="7F42B2A8" w14:textId="77777777" w:rsidR="00ED6E49" w:rsidRPr="00ED6E49" w:rsidRDefault="00ED6E49" w:rsidP="00ED6E49">
      <w:pPr>
        <w:jc w:val="both"/>
      </w:pPr>
      <w:r w:rsidRPr="00ED6E49">
        <w:rPr>
          <w:b/>
          <w:bCs/>
        </w:rPr>
        <w:t>2. Disponibilização dos Anexos VI e VII</w:t>
      </w:r>
    </w:p>
    <w:p w14:paraId="3CCCD8BC" w14:textId="77777777" w:rsidR="00ED6E49" w:rsidRPr="00ED6E49" w:rsidRDefault="00ED6E49" w:rsidP="00ED6E49">
      <w:pPr>
        <w:jc w:val="both"/>
      </w:pPr>
      <w:r w:rsidRPr="00ED6E49">
        <w:t>O item 12.11 do Edital atualizado informa que integram o instrumento convocatório, dentre outros, os seguintes anexos:</w:t>
      </w:r>
    </w:p>
    <w:p w14:paraId="2FF9CA44" w14:textId="77777777" w:rsidR="00E148A5" w:rsidRDefault="00ED6E49" w:rsidP="00ED6E49">
      <w:pPr>
        <w:jc w:val="both"/>
      </w:pPr>
      <w:r w:rsidRPr="00ED6E49">
        <w:t>Anexo VI – Modelos de Declarações;</w:t>
      </w:r>
    </w:p>
    <w:p w14:paraId="19A367F6" w14:textId="64F54235" w:rsidR="00ED6E49" w:rsidRPr="00ED6E49" w:rsidRDefault="00ED6E49" w:rsidP="00ED6E49">
      <w:pPr>
        <w:jc w:val="both"/>
      </w:pPr>
      <w:r w:rsidRPr="00ED6E49">
        <w:t>Anexo VII – Cronograma físico-financeiro.</w:t>
      </w:r>
    </w:p>
    <w:p w14:paraId="2CD7FCAB" w14:textId="77777777" w:rsidR="00ED6E49" w:rsidRPr="00ED6E49" w:rsidRDefault="00ED6E49" w:rsidP="00ED6E49">
      <w:pPr>
        <w:jc w:val="both"/>
      </w:pPr>
      <w:r w:rsidRPr="00ED6E49">
        <w:t>Entretanto, tais anexos não foram identificados no corpo do Edital disponibilizado.</w:t>
      </w:r>
    </w:p>
    <w:p w14:paraId="7504FDB7" w14:textId="77777777" w:rsidR="00ED6E49" w:rsidRDefault="00ED6E49" w:rsidP="00ED6E49">
      <w:pPr>
        <w:jc w:val="both"/>
      </w:pPr>
      <w:r w:rsidRPr="00ED6E49">
        <w:t>Diante disso, solicita-se a disponibilização dos referidos anexos, a fim de assegurar o pleno conhecimento das exigências do certame e possibilitar a adequada elaboração da documentação e das propostas pelos licitantes.</w:t>
      </w:r>
    </w:p>
    <w:p w14:paraId="25558F2D" w14:textId="77777777" w:rsidR="00E148A5" w:rsidRPr="00ED6E49" w:rsidRDefault="00E148A5" w:rsidP="00ED6E49">
      <w:pPr>
        <w:jc w:val="both"/>
      </w:pPr>
    </w:p>
    <w:p w14:paraId="6170F293" w14:textId="77777777" w:rsidR="00ED6E49" w:rsidRPr="00ED6E49" w:rsidRDefault="00ED6E49" w:rsidP="00ED6E49">
      <w:pPr>
        <w:jc w:val="both"/>
      </w:pPr>
      <w:r w:rsidRPr="00ED6E49">
        <w:rPr>
          <w:b/>
          <w:bCs/>
        </w:rPr>
        <w:t>3. Esclarecimentos quanto aos critérios objetivos de pontuação da proposta técnica</w:t>
      </w:r>
    </w:p>
    <w:p w14:paraId="4516D475" w14:textId="77777777" w:rsidR="00ED6E49" w:rsidRPr="00ED6E49" w:rsidRDefault="00ED6E49" w:rsidP="00ED6E49">
      <w:pPr>
        <w:jc w:val="both"/>
      </w:pPr>
      <w:r w:rsidRPr="00ED6E49">
        <w:t>Solicita-se maiores esclarecimentos quanto aos critérios de pontuação previstos no Anexo I – Critérios de Julgamento e Pontuação das Propostas Técnicas, especialmente em relação aos itens 3.3 e 3.4.</w:t>
      </w:r>
    </w:p>
    <w:p w14:paraId="17E16B4A" w14:textId="77777777" w:rsidR="00ED6E49" w:rsidRPr="00ED6E49" w:rsidRDefault="00ED6E49" w:rsidP="00ED6E49">
      <w:pPr>
        <w:jc w:val="both"/>
      </w:pPr>
      <w:r w:rsidRPr="00ED6E49">
        <w:lastRenderedPageBreak/>
        <w:t>No item 3.3 – “Equipe Técnica Multidisciplinar”, com pontuação de até 25 pontos, consta como subcritério “Experiência comprovada em REURB ou atividades correlatas”, com pontuação de até 10 pontos.</w:t>
      </w:r>
    </w:p>
    <w:p w14:paraId="3DDDC71B" w14:textId="77777777" w:rsidR="00ED6E49" w:rsidRPr="00ED6E49" w:rsidRDefault="00ED6E49" w:rsidP="00ED6E49">
      <w:pPr>
        <w:jc w:val="both"/>
      </w:pPr>
      <w:r w:rsidRPr="00ED6E49">
        <w:t>Já no item 3.4 – “Experiência da Empresa”, com pontuação de até 15 pontos, constam os subcritérios “Experiência em Regularização Fundiária Urbana – REURB”, com pontuação de até 10 pontos, e “Execução de projetos similares em escala equivalente”, com pontuação de até 5 pontos.</w:t>
      </w:r>
    </w:p>
    <w:p w14:paraId="002C2CC1" w14:textId="77777777" w:rsidR="00ED6E49" w:rsidRPr="00ED6E49" w:rsidRDefault="00ED6E49" w:rsidP="00ED6E49">
      <w:pPr>
        <w:jc w:val="both"/>
      </w:pPr>
      <w:r w:rsidRPr="00ED6E49">
        <w:t>Contudo, o Edital não define de forma objetiva como será realizada a gradação da pontuação em cada um desses subcritérios, especialmente quanto à quantidade de atestados, características mínimas dos serviços, quantitativos executados, porte dos projetos ou outros parâmetros necessários para obtenção da pontuação máxima.</w:t>
      </w:r>
    </w:p>
    <w:p w14:paraId="2703FEDD" w14:textId="3E25E8B0" w:rsidR="00315F6C" w:rsidRDefault="00ED6E49" w:rsidP="00ED6E49">
      <w:pPr>
        <w:jc w:val="both"/>
      </w:pPr>
      <w:r w:rsidRPr="00ED6E49">
        <w:t>Dessa forma, questiona-se:</w:t>
      </w:r>
      <w:r w:rsidRPr="00ED6E49">
        <w:t xml:space="preserve"> </w:t>
      </w:r>
      <w:r w:rsidRPr="00ED6E49">
        <w:t>Haverá quantitativo mínimo ou máximo de atestados para obtenção da pontuação máxima nos respectivos subcritérios?</w:t>
      </w:r>
    </w:p>
    <w:p w14:paraId="193640BA" w14:textId="77777777" w:rsidR="00774424" w:rsidRDefault="00774424" w:rsidP="00ED6E49">
      <w:pPr>
        <w:jc w:val="both"/>
      </w:pPr>
    </w:p>
    <w:p w14:paraId="544BB335" w14:textId="421153E6" w:rsidR="00CE6EFE" w:rsidRPr="00CE6EFE" w:rsidRDefault="00774424" w:rsidP="00CE6EFE">
      <w:pPr>
        <w:jc w:val="both"/>
      </w:pPr>
      <w:r>
        <w:rPr>
          <w:b/>
          <w:bCs/>
        </w:rPr>
        <w:t xml:space="preserve">4. </w:t>
      </w:r>
      <w:r w:rsidR="00CE6EFE" w:rsidRPr="00CE6EFE">
        <w:rPr>
          <w:b/>
          <w:bCs/>
        </w:rPr>
        <w:t>Esclarecimento quanto à responsabilidade por custas cartoriais, emolumentos e despesas de registro</w:t>
      </w:r>
    </w:p>
    <w:p w14:paraId="7726C8A6" w14:textId="77777777" w:rsidR="00CE6EFE" w:rsidRPr="00CE6EFE" w:rsidRDefault="00CE6EFE" w:rsidP="00CE6EFE">
      <w:pPr>
        <w:jc w:val="both"/>
      </w:pPr>
      <w:r w:rsidRPr="00CE6EFE">
        <w:t>Considerando que o Termo de Referência prevê, dentre as atividades da contratada, o apoio técnico aos procedimentos registrais junto ao Cartório de Registro de Imóveis competente, incluindo preparação documental, protocolo, acompanhamento do processo de registro do PRF, atendimento a eventuais exigências do oficial registrador e apoio à abertura de matrículas, solicita-se esclarecimento quanto à responsabilidade pelo pagamento de custas cartoriais, emolumentos, taxas de registro, certidões, prenotações, averbações e demais despesas cobradas pelo Cartório de Registro de Imóveis.</w:t>
      </w:r>
    </w:p>
    <w:p w14:paraId="25EC84B0" w14:textId="77777777" w:rsidR="00CE6EFE" w:rsidRPr="00CE6EFE" w:rsidRDefault="00CE6EFE" w:rsidP="00CE6EFE">
      <w:pPr>
        <w:jc w:val="both"/>
      </w:pPr>
      <w:r w:rsidRPr="00CE6EFE">
        <w:t>Pergunta-se: tais custos e emolumentos deverão ser incluídos no valor global da proposta da licitante, ou serão suportados diretamente pela Administração/IPPUR, pelo convênio ou por outra fonte de recursos?</w:t>
      </w:r>
    </w:p>
    <w:p w14:paraId="196FA31A" w14:textId="77777777" w:rsidR="002D514C" w:rsidRPr="002D514C" w:rsidRDefault="002D514C" w:rsidP="002D514C">
      <w:pPr>
        <w:jc w:val="both"/>
      </w:pPr>
      <w:r w:rsidRPr="002D514C">
        <w:t xml:space="preserve">Ressalta-se que, caso se pretenda atribuir tais despesas à contratada, mostra-se necessária a indicação expressa dessa obrigação no instrumento convocatório, bem como a definição clara dos parâmetros e atos cartorários a serem considerados na composição da proposta. Isso porque tais despesas possuem natureza variável e dependem de fatores que não estão integralmente sob controle da licitante, como o número de atos efetivamente exigidos pelo Cartório de Registro de Imóveis, exigências formuladas pelo oficial registrador, necessidade de certidões, averbações, prenotações, aberturas de matrículas, registros </w:t>
      </w:r>
      <w:r w:rsidRPr="002D514C">
        <w:lastRenderedPageBreak/>
        <w:t>complementares e demais atos eventualmente necessários à conclusão do procedimento.</w:t>
      </w:r>
    </w:p>
    <w:p w14:paraId="6AD0E906" w14:textId="77777777" w:rsidR="002D514C" w:rsidRPr="002D514C" w:rsidRDefault="002D514C" w:rsidP="002D514C">
      <w:pPr>
        <w:jc w:val="both"/>
      </w:pPr>
      <w:r w:rsidRPr="002D514C">
        <w:t>Além disso, destaca-se que é inviável prever com segurança esse tipo de despesa na fase de elaboração da proposta, especialmente diante da elevada variação dos valores cartorários e da possibilidade de surgirem exigências supervenientes durante a tramitação registral. A ausência de definição objetiva sobre a responsabilidade por tais custos pode comprometer a adequada formação dos preços, gerar assimetria entre as propostas apresentadas e afetar a isonomia entre os licitantes.</w:t>
      </w:r>
    </w:p>
    <w:p w14:paraId="6B886E15" w14:textId="77777777" w:rsidR="002D514C" w:rsidRPr="002D514C" w:rsidRDefault="002D514C" w:rsidP="002D514C">
      <w:pPr>
        <w:jc w:val="both"/>
      </w:pPr>
      <w:r w:rsidRPr="002D514C">
        <w:t xml:space="preserve">Dessa forma, solicita-se que a Administração esclareça, de maneira expressa, se as custas cartoriais, emolumentos e demais despesas de registro deverão ser suportados </w:t>
      </w:r>
      <w:proofErr w:type="spellStart"/>
      <w:r w:rsidRPr="002D514C">
        <w:t>pela</w:t>
      </w:r>
      <w:proofErr w:type="spellEnd"/>
      <w:r w:rsidRPr="002D514C">
        <w:t xml:space="preserve"> contratada ou pela Administração/convênio, bem como, em caso de responsabilidade da contratada, quais atos deverão ser considerados, quais parâmetros deverão ser utilizados para estimativa e se haverá previsão de reembolso, ressarcimento ou recomposição em caso de despesas não previsíveis ou supervenientes.</w:t>
      </w:r>
    </w:p>
    <w:p w14:paraId="3C6AE052" w14:textId="77777777" w:rsidR="00CE6EFE" w:rsidRDefault="00CE6EFE" w:rsidP="00ED6E49">
      <w:pPr>
        <w:jc w:val="both"/>
      </w:pPr>
    </w:p>
    <w:sectPr w:rsidR="00CE6E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49"/>
    <w:rsid w:val="00171B2E"/>
    <w:rsid w:val="002515BA"/>
    <w:rsid w:val="002D514C"/>
    <w:rsid w:val="00315F6C"/>
    <w:rsid w:val="003514B9"/>
    <w:rsid w:val="0044118B"/>
    <w:rsid w:val="0073116D"/>
    <w:rsid w:val="00774424"/>
    <w:rsid w:val="007C5138"/>
    <w:rsid w:val="007E14E1"/>
    <w:rsid w:val="00AE2CEA"/>
    <w:rsid w:val="00BA654F"/>
    <w:rsid w:val="00C7256F"/>
    <w:rsid w:val="00CE6EFE"/>
    <w:rsid w:val="00E06CF3"/>
    <w:rsid w:val="00E148A5"/>
    <w:rsid w:val="00ED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C9284"/>
  <w15:chartTrackingRefBased/>
  <w15:docId w15:val="{3FDAF68C-8E47-46C4-9E48-B567CE744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D6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6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6E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6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6E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6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6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6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6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6E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6E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6E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6E4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6E4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6E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6E4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6E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6E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6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D6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6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D6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6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D6E4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6E4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D6E4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6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6E4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6E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785</Words>
  <Characters>4598</Characters>
  <Application>Microsoft Office Word</Application>
  <DocSecurity>0</DocSecurity>
  <Lines>104</Lines>
  <Paragraphs>47</Paragraphs>
  <ScaleCrop>false</ScaleCrop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Goes</dc:creator>
  <cp:keywords/>
  <dc:description/>
  <cp:lastModifiedBy>Ingrid Goes</cp:lastModifiedBy>
  <cp:revision>10</cp:revision>
  <dcterms:created xsi:type="dcterms:W3CDTF">2026-05-05T20:50:00Z</dcterms:created>
  <dcterms:modified xsi:type="dcterms:W3CDTF">2026-05-05T20:59:00Z</dcterms:modified>
</cp:coreProperties>
</file>