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88FEE" w14:textId="77777777" w:rsidR="006D64CE" w:rsidRPr="00EB2564" w:rsidRDefault="00000000" w:rsidP="00EB2564">
      <w:pPr>
        <w:pBdr>
          <w:top w:val="single" w:sz="4" w:space="1" w:color="auto"/>
          <w:bottom w:val="single" w:sz="4" w:space="1" w:color="auto"/>
        </w:pBdr>
        <w:shd w:val="clear" w:color="auto" w:fill="D6E3BC"/>
        <w:jc w:val="center"/>
        <w:rPr>
          <w:rFonts w:eastAsiaTheme="minorEastAsia"/>
          <w:b/>
          <w:sz w:val="24"/>
          <w:szCs w:val="24"/>
        </w:rPr>
      </w:pPr>
      <w:r w:rsidRPr="00EB2564">
        <w:rPr>
          <w:rFonts w:eastAsiaTheme="minorEastAsia"/>
          <w:b/>
          <w:sz w:val="24"/>
          <w:szCs w:val="24"/>
        </w:rPr>
        <w:t>TERMO DE REFERÊNCIA</w:t>
      </w:r>
    </w:p>
    <w:p w14:paraId="2466938D" w14:textId="77777777" w:rsidR="006D64CE" w:rsidRPr="00EB2564" w:rsidRDefault="00000000">
      <w:pPr>
        <w:spacing w:after="300"/>
        <w:jc w:val="center"/>
        <w:rPr>
          <w:sz w:val="24"/>
          <w:szCs w:val="24"/>
        </w:rPr>
      </w:pPr>
      <w:r w:rsidRPr="00EB2564">
        <w:rPr>
          <w:rFonts w:eastAsia="Calibri"/>
          <w:b/>
          <w:bCs/>
          <w:sz w:val="24"/>
          <w:szCs w:val="24"/>
        </w:rPr>
        <w:t>Processo Administrativo nº 143/2026</w:t>
      </w:r>
    </w:p>
    <w:p w14:paraId="0E3745E4" w14:textId="77777777" w:rsidR="006D64CE" w:rsidRPr="00EB2564" w:rsidRDefault="00000000">
      <w:pPr>
        <w:spacing w:before="280" w:after="140"/>
        <w:rPr>
          <w:sz w:val="24"/>
          <w:szCs w:val="24"/>
        </w:rPr>
      </w:pPr>
      <w:r w:rsidRPr="00EB2564">
        <w:rPr>
          <w:rFonts w:eastAsia="Calibri"/>
          <w:b/>
          <w:bCs/>
          <w:sz w:val="24"/>
          <w:szCs w:val="24"/>
        </w:rPr>
        <w:t>1. OBJETO</w:t>
      </w:r>
    </w:p>
    <w:p w14:paraId="7981021C" w14:textId="77777777" w:rsidR="006D64CE" w:rsidRPr="00EB2564" w:rsidRDefault="00000000">
      <w:pPr>
        <w:spacing w:after="160"/>
        <w:jc w:val="both"/>
        <w:rPr>
          <w:sz w:val="24"/>
          <w:szCs w:val="24"/>
        </w:rPr>
      </w:pPr>
      <w:r w:rsidRPr="00EB2564">
        <w:rPr>
          <w:rFonts w:eastAsia="Calibri"/>
          <w:sz w:val="24"/>
          <w:szCs w:val="24"/>
        </w:rPr>
        <w:t>1.1. Contratação de empresa para fornecimento de bois folclóricos, figurinos e elementos culturais destinados à realização de apresentações folclóricas no Município de Eirunepé/AM, conforme especificações e quantitativos constantes deste Termo de Referência.</w:t>
      </w:r>
    </w:p>
    <w:p w14:paraId="653AD48C" w14:textId="77777777" w:rsidR="006D64CE" w:rsidRPr="00EB2564" w:rsidRDefault="00000000">
      <w:pPr>
        <w:spacing w:after="160"/>
        <w:jc w:val="both"/>
        <w:rPr>
          <w:sz w:val="24"/>
          <w:szCs w:val="24"/>
        </w:rPr>
      </w:pPr>
      <w:r w:rsidRPr="00EB2564">
        <w:rPr>
          <w:rFonts w:eastAsia="Calibri"/>
          <w:sz w:val="24"/>
          <w:szCs w:val="24"/>
        </w:rPr>
        <w:t>1.2. Estimativa de necessidade individualizada do órgão contratante:</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5650"/>
        <w:gridCol w:w="1500"/>
        <w:gridCol w:w="1500"/>
      </w:tblGrid>
      <w:tr w:rsidR="006D64CE" w:rsidRPr="00EB2564" w14:paraId="7B590500" w14:textId="77777777" w:rsidTr="00EB2564">
        <w:trPr>
          <w:trHeight w:val="20"/>
          <w:tblHeader/>
        </w:trPr>
        <w:tc>
          <w:tcPr>
            <w:tcW w:w="700" w:type="dxa"/>
            <w:shd w:val="clear" w:color="auto" w:fill="D9D9D9"/>
            <w:tcMar>
              <w:top w:w="80" w:type="dxa"/>
              <w:left w:w="100" w:type="dxa"/>
              <w:bottom w:w="80" w:type="dxa"/>
              <w:right w:w="100" w:type="dxa"/>
            </w:tcMar>
          </w:tcPr>
          <w:p w14:paraId="1CF8D9C0" w14:textId="77777777" w:rsidR="006D64CE" w:rsidRPr="00EB2564" w:rsidRDefault="00000000" w:rsidP="00EB2564">
            <w:pPr>
              <w:jc w:val="center"/>
              <w:rPr>
                <w:sz w:val="24"/>
                <w:szCs w:val="24"/>
              </w:rPr>
            </w:pPr>
            <w:r w:rsidRPr="00EB2564">
              <w:rPr>
                <w:rFonts w:eastAsia="Calibri"/>
                <w:b/>
                <w:bCs/>
                <w:sz w:val="24"/>
                <w:szCs w:val="24"/>
              </w:rPr>
              <w:t>Item</w:t>
            </w:r>
          </w:p>
        </w:tc>
        <w:tc>
          <w:tcPr>
            <w:tcW w:w="5650" w:type="dxa"/>
            <w:shd w:val="clear" w:color="auto" w:fill="D9D9D9"/>
            <w:tcMar>
              <w:top w:w="80" w:type="dxa"/>
              <w:left w:w="100" w:type="dxa"/>
              <w:bottom w:w="80" w:type="dxa"/>
              <w:right w:w="100" w:type="dxa"/>
            </w:tcMar>
          </w:tcPr>
          <w:p w14:paraId="11C65AE4" w14:textId="77777777" w:rsidR="006D64CE" w:rsidRPr="00EB2564" w:rsidRDefault="00000000" w:rsidP="00EB2564">
            <w:pPr>
              <w:jc w:val="center"/>
              <w:rPr>
                <w:sz w:val="24"/>
                <w:szCs w:val="24"/>
              </w:rPr>
            </w:pPr>
            <w:r w:rsidRPr="00EB2564">
              <w:rPr>
                <w:rFonts w:eastAsia="Calibri"/>
                <w:b/>
                <w:bCs/>
                <w:sz w:val="24"/>
                <w:szCs w:val="24"/>
              </w:rPr>
              <w:t>Descrição</w:t>
            </w:r>
          </w:p>
        </w:tc>
        <w:tc>
          <w:tcPr>
            <w:tcW w:w="1500" w:type="dxa"/>
            <w:shd w:val="clear" w:color="auto" w:fill="D9D9D9"/>
            <w:tcMar>
              <w:top w:w="80" w:type="dxa"/>
              <w:left w:w="100" w:type="dxa"/>
              <w:bottom w:w="80" w:type="dxa"/>
              <w:right w:w="100" w:type="dxa"/>
            </w:tcMar>
          </w:tcPr>
          <w:p w14:paraId="0199A2E4" w14:textId="77777777" w:rsidR="006D64CE" w:rsidRPr="00EB2564" w:rsidRDefault="00000000" w:rsidP="00EB2564">
            <w:pPr>
              <w:jc w:val="center"/>
              <w:rPr>
                <w:sz w:val="24"/>
                <w:szCs w:val="24"/>
              </w:rPr>
            </w:pPr>
            <w:r w:rsidRPr="00EB2564">
              <w:rPr>
                <w:rFonts w:eastAsia="Calibri"/>
                <w:b/>
                <w:bCs/>
                <w:sz w:val="24"/>
                <w:szCs w:val="24"/>
              </w:rPr>
              <w:t>Quantidade</w:t>
            </w:r>
          </w:p>
        </w:tc>
        <w:tc>
          <w:tcPr>
            <w:tcW w:w="1500" w:type="dxa"/>
            <w:shd w:val="clear" w:color="auto" w:fill="D9D9D9"/>
            <w:tcMar>
              <w:top w:w="80" w:type="dxa"/>
              <w:left w:w="100" w:type="dxa"/>
              <w:bottom w:w="80" w:type="dxa"/>
              <w:right w:w="100" w:type="dxa"/>
            </w:tcMar>
          </w:tcPr>
          <w:p w14:paraId="7E0AB1EE" w14:textId="77777777" w:rsidR="006D64CE" w:rsidRPr="00EB2564" w:rsidRDefault="00000000" w:rsidP="00EB2564">
            <w:pPr>
              <w:jc w:val="center"/>
              <w:rPr>
                <w:sz w:val="24"/>
                <w:szCs w:val="24"/>
              </w:rPr>
            </w:pPr>
            <w:r w:rsidRPr="00EB2564">
              <w:rPr>
                <w:rFonts w:eastAsia="Calibri"/>
                <w:b/>
                <w:bCs/>
                <w:sz w:val="24"/>
                <w:szCs w:val="24"/>
              </w:rPr>
              <w:t>Unidade</w:t>
            </w:r>
          </w:p>
        </w:tc>
      </w:tr>
      <w:tr w:rsidR="006D64CE" w:rsidRPr="00EB2564" w14:paraId="41EF5122" w14:textId="77777777" w:rsidTr="00EB2564">
        <w:trPr>
          <w:trHeight w:val="20"/>
        </w:trPr>
        <w:tc>
          <w:tcPr>
            <w:tcW w:w="700" w:type="dxa"/>
            <w:tcMar>
              <w:top w:w="80" w:type="dxa"/>
              <w:left w:w="100" w:type="dxa"/>
              <w:bottom w:w="80" w:type="dxa"/>
              <w:right w:w="100" w:type="dxa"/>
            </w:tcMar>
            <w:vAlign w:val="center"/>
          </w:tcPr>
          <w:p w14:paraId="2121BB07" w14:textId="77777777" w:rsidR="006D64CE" w:rsidRPr="00EB2564" w:rsidRDefault="00000000" w:rsidP="00EB2564">
            <w:pPr>
              <w:jc w:val="center"/>
              <w:rPr>
                <w:sz w:val="24"/>
                <w:szCs w:val="24"/>
              </w:rPr>
            </w:pPr>
            <w:r w:rsidRPr="00EB2564">
              <w:rPr>
                <w:rFonts w:eastAsia="Calibri"/>
                <w:sz w:val="24"/>
                <w:szCs w:val="24"/>
              </w:rPr>
              <w:t>1</w:t>
            </w:r>
          </w:p>
        </w:tc>
        <w:tc>
          <w:tcPr>
            <w:tcW w:w="5650" w:type="dxa"/>
            <w:tcMar>
              <w:top w:w="80" w:type="dxa"/>
              <w:left w:w="100" w:type="dxa"/>
              <w:bottom w:w="80" w:type="dxa"/>
              <w:right w:w="100" w:type="dxa"/>
            </w:tcMar>
            <w:vAlign w:val="center"/>
          </w:tcPr>
          <w:p w14:paraId="2610AFEB" w14:textId="77777777" w:rsidR="006D64CE" w:rsidRPr="00EB2564" w:rsidRDefault="00000000" w:rsidP="00EB2564">
            <w:pPr>
              <w:rPr>
                <w:sz w:val="24"/>
                <w:szCs w:val="24"/>
              </w:rPr>
            </w:pPr>
            <w:r w:rsidRPr="00EB2564">
              <w:rPr>
                <w:rFonts w:eastAsia="Calibri"/>
                <w:sz w:val="24"/>
                <w:szCs w:val="24"/>
              </w:rPr>
              <w:t>Boi Estrela do Juruá — alegoria completa de boi-bumbá (armação, revestimento, adornos e acabamento característicos)</w:t>
            </w:r>
          </w:p>
        </w:tc>
        <w:tc>
          <w:tcPr>
            <w:tcW w:w="1500" w:type="dxa"/>
            <w:tcMar>
              <w:top w:w="80" w:type="dxa"/>
              <w:left w:w="100" w:type="dxa"/>
              <w:bottom w:w="80" w:type="dxa"/>
              <w:right w:w="100" w:type="dxa"/>
            </w:tcMar>
            <w:vAlign w:val="center"/>
          </w:tcPr>
          <w:p w14:paraId="6939A2EF" w14:textId="77777777" w:rsidR="006D64CE" w:rsidRPr="00EB2564" w:rsidRDefault="00000000" w:rsidP="00EB2564">
            <w:pPr>
              <w:jc w:val="center"/>
              <w:rPr>
                <w:sz w:val="24"/>
                <w:szCs w:val="24"/>
              </w:rPr>
            </w:pPr>
            <w:r w:rsidRPr="00EB2564">
              <w:rPr>
                <w:rFonts w:eastAsia="Calibri"/>
                <w:sz w:val="24"/>
                <w:szCs w:val="24"/>
              </w:rPr>
              <w:t>1</w:t>
            </w:r>
          </w:p>
        </w:tc>
        <w:tc>
          <w:tcPr>
            <w:tcW w:w="1500" w:type="dxa"/>
            <w:tcMar>
              <w:top w:w="80" w:type="dxa"/>
              <w:left w:w="100" w:type="dxa"/>
              <w:bottom w:w="80" w:type="dxa"/>
              <w:right w:w="100" w:type="dxa"/>
            </w:tcMar>
            <w:vAlign w:val="center"/>
          </w:tcPr>
          <w:p w14:paraId="632C9F7C" w14:textId="77777777" w:rsidR="006D64CE" w:rsidRPr="00EB2564" w:rsidRDefault="00000000" w:rsidP="00EB2564">
            <w:pPr>
              <w:jc w:val="center"/>
              <w:rPr>
                <w:sz w:val="24"/>
                <w:szCs w:val="24"/>
              </w:rPr>
            </w:pPr>
            <w:r w:rsidRPr="00EB2564">
              <w:rPr>
                <w:rFonts w:eastAsia="Calibri"/>
                <w:sz w:val="24"/>
                <w:szCs w:val="24"/>
              </w:rPr>
              <w:t>Unidade</w:t>
            </w:r>
          </w:p>
        </w:tc>
      </w:tr>
      <w:tr w:rsidR="006D64CE" w:rsidRPr="00EB2564" w14:paraId="0A4FB404" w14:textId="77777777" w:rsidTr="00EB2564">
        <w:trPr>
          <w:trHeight w:val="20"/>
        </w:trPr>
        <w:tc>
          <w:tcPr>
            <w:tcW w:w="700" w:type="dxa"/>
            <w:tcMar>
              <w:top w:w="80" w:type="dxa"/>
              <w:left w:w="100" w:type="dxa"/>
              <w:bottom w:w="80" w:type="dxa"/>
              <w:right w:w="100" w:type="dxa"/>
            </w:tcMar>
            <w:vAlign w:val="center"/>
          </w:tcPr>
          <w:p w14:paraId="15084D36" w14:textId="77777777" w:rsidR="006D64CE" w:rsidRPr="00EB2564" w:rsidRDefault="00000000" w:rsidP="00EB2564">
            <w:pPr>
              <w:jc w:val="center"/>
              <w:rPr>
                <w:sz w:val="24"/>
                <w:szCs w:val="24"/>
              </w:rPr>
            </w:pPr>
            <w:r w:rsidRPr="00EB2564">
              <w:rPr>
                <w:rFonts w:eastAsia="Calibri"/>
                <w:sz w:val="24"/>
                <w:szCs w:val="24"/>
              </w:rPr>
              <w:t>2</w:t>
            </w:r>
          </w:p>
        </w:tc>
        <w:tc>
          <w:tcPr>
            <w:tcW w:w="5650" w:type="dxa"/>
            <w:tcMar>
              <w:top w:w="80" w:type="dxa"/>
              <w:left w:w="100" w:type="dxa"/>
              <w:bottom w:w="80" w:type="dxa"/>
              <w:right w:w="100" w:type="dxa"/>
            </w:tcMar>
            <w:vAlign w:val="center"/>
          </w:tcPr>
          <w:p w14:paraId="7A86CB82" w14:textId="4CE8AB1C" w:rsidR="006D64CE" w:rsidRPr="00EB2564" w:rsidRDefault="00000000" w:rsidP="00EB2564">
            <w:pPr>
              <w:rPr>
                <w:sz w:val="24"/>
                <w:szCs w:val="24"/>
              </w:rPr>
            </w:pPr>
            <w:r w:rsidRPr="00EB2564">
              <w:rPr>
                <w:rFonts w:eastAsia="Calibri"/>
                <w:sz w:val="24"/>
                <w:szCs w:val="24"/>
              </w:rPr>
              <w:t>Boi Triunfo do Juruá — alegoria completa de boi-bumbá (armação, revestimento, adornos e acabamento característicos)</w:t>
            </w:r>
            <w:r w:rsidR="00DC6608">
              <w:rPr>
                <w:rFonts w:eastAsia="Calibri"/>
                <w:sz w:val="24"/>
                <w:szCs w:val="24"/>
              </w:rPr>
              <w:t xml:space="preserve"> </w:t>
            </w:r>
          </w:p>
        </w:tc>
        <w:tc>
          <w:tcPr>
            <w:tcW w:w="1500" w:type="dxa"/>
            <w:tcMar>
              <w:top w:w="80" w:type="dxa"/>
              <w:left w:w="100" w:type="dxa"/>
              <w:bottom w:w="80" w:type="dxa"/>
              <w:right w:w="100" w:type="dxa"/>
            </w:tcMar>
            <w:vAlign w:val="center"/>
          </w:tcPr>
          <w:p w14:paraId="203A3197" w14:textId="77777777" w:rsidR="006D64CE" w:rsidRPr="00EB2564" w:rsidRDefault="00000000" w:rsidP="00EB2564">
            <w:pPr>
              <w:jc w:val="center"/>
              <w:rPr>
                <w:sz w:val="24"/>
                <w:szCs w:val="24"/>
              </w:rPr>
            </w:pPr>
            <w:r w:rsidRPr="00EB2564">
              <w:rPr>
                <w:rFonts w:eastAsia="Calibri"/>
                <w:sz w:val="24"/>
                <w:szCs w:val="24"/>
              </w:rPr>
              <w:t>1</w:t>
            </w:r>
          </w:p>
        </w:tc>
        <w:tc>
          <w:tcPr>
            <w:tcW w:w="1500" w:type="dxa"/>
            <w:tcMar>
              <w:top w:w="80" w:type="dxa"/>
              <w:left w:w="100" w:type="dxa"/>
              <w:bottom w:w="80" w:type="dxa"/>
              <w:right w:w="100" w:type="dxa"/>
            </w:tcMar>
            <w:vAlign w:val="center"/>
          </w:tcPr>
          <w:p w14:paraId="738D2EF7" w14:textId="77777777" w:rsidR="006D64CE" w:rsidRPr="00EB2564" w:rsidRDefault="00000000" w:rsidP="00EB2564">
            <w:pPr>
              <w:jc w:val="center"/>
              <w:rPr>
                <w:sz w:val="24"/>
                <w:szCs w:val="24"/>
              </w:rPr>
            </w:pPr>
            <w:r w:rsidRPr="00EB2564">
              <w:rPr>
                <w:rFonts w:eastAsia="Calibri"/>
                <w:sz w:val="24"/>
                <w:szCs w:val="24"/>
              </w:rPr>
              <w:t>Unidade</w:t>
            </w:r>
          </w:p>
        </w:tc>
      </w:tr>
      <w:tr w:rsidR="006D64CE" w:rsidRPr="00EB2564" w14:paraId="2D99F5A9" w14:textId="77777777" w:rsidTr="00EB2564">
        <w:trPr>
          <w:trHeight w:val="20"/>
        </w:trPr>
        <w:tc>
          <w:tcPr>
            <w:tcW w:w="700" w:type="dxa"/>
            <w:tcMar>
              <w:top w:w="80" w:type="dxa"/>
              <w:left w:w="100" w:type="dxa"/>
              <w:bottom w:w="80" w:type="dxa"/>
              <w:right w:w="100" w:type="dxa"/>
            </w:tcMar>
            <w:vAlign w:val="center"/>
          </w:tcPr>
          <w:p w14:paraId="2EB9C1B7" w14:textId="77777777" w:rsidR="006D64CE" w:rsidRPr="00EB2564" w:rsidRDefault="00000000" w:rsidP="00EB2564">
            <w:pPr>
              <w:jc w:val="center"/>
              <w:rPr>
                <w:sz w:val="24"/>
                <w:szCs w:val="24"/>
              </w:rPr>
            </w:pPr>
            <w:r w:rsidRPr="00EB2564">
              <w:rPr>
                <w:rFonts w:eastAsia="Calibri"/>
                <w:sz w:val="24"/>
                <w:szCs w:val="24"/>
              </w:rPr>
              <w:t>3</w:t>
            </w:r>
          </w:p>
        </w:tc>
        <w:tc>
          <w:tcPr>
            <w:tcW w:w="5650" w:type="dxa"/>
            <w:tcMar>
              <w:top w:w="80" w:type="dxa"/>
              <w:left w:w="100" w:type="dxa"/>
              <w:bottom w:w="80" w:type="dxa"/>
              <w:right w:w="100" w:type="dxa"/>
            </w:tcMar>
            <w:vAlign w:val="center"/>
          </w:tcPr>
          <w:p w14:paraId="27494F2A" w14:textId="35D5A4F9" w:rsidR="006D64CE" w:rsidRPr="00EB2564" w:rsidRDefault="00000000" w:rsidP="00EB2564">
            <w:pPr>
              <w:rPr>
                <w:sz w:val="24"/>
                <w:szCs w:val="24"/>
              </w:rPr>
            </w:pPr>
            <w:r w:rsidRPr="00EB2564">
              <w:rPr>
                <w:rFonts w:eastAsia="Calibri"/>
                <w:sz w:val="24"/>
                <w:szCs w:val="24"/>
              </w:rPr>
              <w:t>Figurino de Porta-estandarte</w:t>
            </w:r>
            <w:r w:rsidR="00DC6608">
              <w:rPr>
                <w:rFonts w:eastAsia="Calibri"/>
                <w:sz w:val="24"/>
                <w:szCs w:val="24"/>
              </w:rPr>
              <w:t xml:space="preserve"> </w:t>
            </w:r>
            <w:r w:rsidR="00DC6608" w:rsidRPr="00D03045">
              <w:rPr>
                <w:rFonts w:eastAsia="Calibri"/>
                <w:sz w:val="24"/>
                <w:szCs w:val="24"/>
              </w:rPr>
              <w:t>- locação</w:t>
            </w:r>
          </w:p>
        </w:tc>
        <w:tc>
          <w:tcPr>
            <w:tcW w:w="1500" w:type="dxa"/>
            <w:tcMar>
              <w:top w:w="80" w:type="dxa"/>
              <w:left w:w="100" w:type="dxa"/>
              <w:bottom w:w="80" w:type="dxa"/>
              <w:right w:w="100" w:type="dxa"/>
            </w:tcMar>
            <w:vAlign w:val="center"/>
          </w:tcPr>
          <w:p w14:paraId="426ED540" w14:textId="77777777" w:rsidR="006D64CE" w:rsidRPr="00EB2564" w:rsidRDefault="00000000" w:rsidP="00EB2564">
            <w:pPr>
              <w:jc w:val="center"/>
              <w:rPr>
                <w:sz w:val="24"/>
                <w:szCs w:val="24"/>
              </w:rPr>
            </w:pPr>
            <w:r w:rsidRPr="00EB2564">
              <w:rPr>
                <w:rFonts w:eastAsia="Calibri"/>
                <w:sz w:val="24"/>
                <w:szCs w:val="24"/>
              </w:rPr>
              <w:t>2</w:t>
            </w:r>
          </w:p>
        </w:tc>
        <w:tc>
          <w:tcPr>
            <w:tcW w:w="1500" w:type="dxa"/>
            <w:tcMar>
              <w:top w:w="80" w:type="dxa"/>
              <w:left w:w="100" w:type="dxa"/>
              <w:bottom w:w="80" w:type="dxa"/>
              <w:right w:w="100" w:type="dxa"/>
            </w:tcMar>
            <w:vAlign w:val="center"/>
          </w:tcPr>
          <w:p w14:paraId="30F7CDAB" w14:textId="77777777" w:rsidR="006D64CE" w:rsidRPr="00EB2564" w:rsidRDefault="00000000" w:rsidP="00EB2564">
            <w:pPr>
              <w:jc w:val="center"/>
              <w:rPr>
                <w:sz w:val="24"/>
                <w:szCs w:val="24"/>
              </w:rPr>
            </w:pPr>
            <w:r w:rsidRPr="00EB2564">
              <w:rPr>
                <w:rFonts w:eastAsia="Calibri"/>
                <w:sz w:val="24"/>
                <w:szCs w:val="24"/>
              </w:rPr>
              <w:t>Unidade</w:t>
            </w:r>
          </w:p>
        </w:tc>
      </w:tr>
      <w:tr w:rsidR="006D64CE" w:rsidRPr="00EB2564" w14:paraId="6AE3F360" w14:textId="77777777" w:rsidTr="00EB2564">
        <w:trPr>
          <w:trHeight w:val="20"/>
        </w:trPr>
        <w:tc>
          <w:tcPr>
            <w:tcW w:w="700" w:type="dxa"/>
            <w:tcMar>
              <w:top w:w="80" w:type="dxa"/>
              <w:left w:w="100" w:type="dxa"/>
              <w:bottom w:w="80" w:type="dxa"/>
              <w:right w:w="100" w:type="dxa"/>
            </w:tcMar>
            <w:vAlign w:val="center"/>
          </w:tcPr>
          <w:p w14:paraId="06721463" w14:textId="77777777" w:rsidR="006D64CE" w:rsidRPr="00EB2564" w:rsidRDefault="00000000" w:rsidP="00EB2564">
            <w:pPr>
              <w:jc w:val="center"/>
              <w:rPr>
                <w:sz w:val="24"/>
                <w:szCs w:val="24"/>
              </w:rPr>
            </w:pPr>
            <w:r w:rsidRPr="00EB2564">
              <w:rPr>
                <w:rFonts w:eastAsia="Calibri"/>
                <w:sz w:val="24"/>
                <w:szCs w:val="24"/>
              </w:rPr>
              <w:t>4</w:t>
            </w:r>
          </w:p>
        </w:tc>
        <w:tc>
          <w:tcPr>
            <w:tcW w:w="5650" w:type="dxa"/>
            <w:tcMar>
              <w:top w:w="80" w:type="dxa"/>
              <w:left w:w="100" w:type="dxa"/>
              <w:bottom w:w="80" w:type="dxa"/>
              <w:right w:w="100" w:type="dxa"/>
            </w:tcMar>
            <w:vAlign w:val="center"/>
          </w:tcPr>
          <w:p w14:paraId="6184D216" w14:textId="43856F5B" w:rsidR="006D64CE" w:rsidRPr="00EB2564" w:rsidRDefault="00000000" w:rsidP="00EB2564">
            <w:pPr>
              <w:rPr>
                <w:sz w:val="24"/>
                <w:szCs w:val="24"/>
              </w:rPr>
            </w:pPr>
            <w:r w:rsidRPr="00EB2564">
              <w:rPr>
                <w:rFonts w:eastAsia="Calibri"/>
                <w:sz w:val="24"/>
                <w:szCs w:val="24"/>
              </w:rPr>
              <w:t>Figurino de Sinhazinha da Fazenda</w:t>
            </w:r>
            <w:r w:rsidR="00DC6608">
              <w:rPr>
                <w:rFonts w:eastAsia="Calibri"/>
                <w:sz w:val="24"/>
                <w:szCs w:val="24"/>
              </w:rPr>
              <w:t xml:space="preserve"> </w:t>
            </w:r>
            <w:r w:rsidR="00DC6608" w:rsidRPr="00D03045">
              <w:rPr>
                <w:rFonts w:eastAsia="Calibri"/>
                <w:sz w:val="24"/>
                <w:szCs w:val="24"/>
              </w:rPr>
              <w:t>- locação</w:t>
            </w:r>
          </w:p>
        </w:tc>
        <w:tc>
          <w:tcPr>
            <w:tcW w:w="1500" w:type="dxa"/>
            <w:tcMar>
              <w:top w:w="80" w:type="dxa"/>
              <w:left w:w="100" w:type="dxa"/>
              <w:bottom w:w="80" w:type="dxa"/>
              <w:right w:w="100" w:type="dxa"/>
            </w:tcMar>
            <w:vAlign w:val="center"/>
          </w:tcPr>
          <w:p w14:paraId="3F7C71B4" w14:textId="77777777" w:rsidR="006D64CE" w:rsidRPr="00EB2564" w:rsidRDefault="00000000" w:rsidP="00EB2564">
            <w:pPr>
              <w:jc w:val="center"/>
              <w:rPr>
                <w:sz w:val="24"/>
                <w:szCs w:val="24"/>
              </w:rPr>
            </w:pPr>
            <w:r w:rsidRPr="00EB2564">
              <w:rPr>
                <w:rFonts w:eastAsia="Calibri"/>
                <w:sz w:val="24"/>
                <w:szCs w:val="24"/>
              </w:rPr>
              <w:t>2</w:t>
            </w:r>
          </w:p>
        </w:tc>
        <w:tc>
          <w:tcPr>
            <w:tcW w:w="1500" w:type="dxa"/>
            <w:tcMar>
              <w:top w:w="80" w:type="dxa"/>
              <w:left w:w="100" w:type="dxa"/>
              <w:bottom w:w="80" w:type="dxa"/>
              <w:right w:w="100" w:type="dxa"/>
            </w:tcMar>
            <w:vAlign w:val="center"/>
          </w:tcPr>
          <w:p w14:paraId="2422ECD2" w14:textId="77777777" w:rsidR="006D64CE" w:rsidRPr="00EB2564" w:rsidRDefault="00000000" w:rsidP="00EB2564">
            <w:pPr>
              <w:jc w:val="center"/>
              <w:rPr>
                <w:sz w:val="24"/>
                <w:szCs w:val="24"/>
              </w:rPr>
            </w:pPr>
            <w:r w:rsidRPr="00EB2564">
              <w:rPr>
                <w:rFonts w:eastAsia="Calibri"/>
                <w:sz w:val="24"/>
                <w:szCs w:val="24"/>
              </w:rPr>
              <w:t>Unidade</w:t>
            </w:r>
          </w:p>
        </w:tc>
      </w:tr>
      <w:tr w:rsidR="006D64CE" w:rsidRPr="00EB2564" w14:paraId="54FC4828" w14:textId="77777777" w:rsidTr="00EB2564">
        <w:trPr>
          <w:trHeight w:val="20"/>
        </w:trPr>
        <w:tc>
          <w:tcPr>
            <w:tcW w:w="700" w:type="dxa"/>
            <w:tcMar>
              <w:top w:w="80" w:type="dxa"/>
              <w:left w:w="100" w:type="dxa"/>
              <w:bottom w:w="80" w:type="dxa"/>
              <w:right w:w="100" w:type="dxa"/>
            </w:tcMar>
            <w:vAlign w:val="center"/>
          </w:tcPr>
          <w:p w14:paraId="45FCA7D4" w14:textId="77777777" w:rsidR="006D64CE" w:rsidRPr="00EB2564" w:rsidRDefault="00000000" w:rsidP="00EB2564">
            <w:pPr>
              <w:jc w:val="center"/>
              <w:rPr>
                <w:sz w:val="24"/>
                <w:szCs w:val="24"/>
              </w:rPr>
            </w:pPr>
            <w:r w:rsidRPr="00EB2564">
              <w:rPr>
                <w:rFonts w:eastAsia="Calibri"/>
                <w:sz w:val="24"/>
                <w:szCs w:val="24"/>
              </w:rPr>
              <w:t>5</w:t>
            </w:r>
          </w:p>
        </w:tc>
        <w:tc>
          <w:tcPr>
            <w:tcW w:w="5650" w:type="dxa"/>
            <w:tcMar>
              <w:top w:w="80" w:type="dxa"/>
              <w:left w:w="100" w:type="dxa"/>
              <w:bottom w:w="80" w:type="dxa"/>
              <w:right w:w="100" w:type="dxa"/>
            </w:tcMar>
            <w:vAlign w:val="center"/>
          </w:tcPr>
          <w:p w14:paraId="08BF56E5" w14:textId="378C17A5" w:rsidR="006D64CE" w:rsidRPr="00EB2564" w:rsidRDefault="00000000" w:rsidP="00EB2564">
            <w:pPr>
              <w:rPr>
                <w:sz w:val="24"/>
                <w:szCs w:val="24"/>
              </w:rPr>
            </w:pPr>
            <w:r w:rsidRPr="00EB2564">
              <w:rPr>
                <w:rFonts w:eastAsia="Calibri"/>
                <w:sz w:val="24"/>
                <w:szCs w:val="24"/>
              </w:rPr>
              <w:t>Figurino de Rainha do Folclore</w:t>
            </w:r>
            <w:r w:rsidR="00DC6608">
              <w:rPr>
                <w:rFonts w:eastAsia="Calibri"/>
                <w:sz w:val="24"/>
                <w:szCs w:val="24"/>
              </w:rPr>
              <w:t xml:space="preserve"> </w:t>
            </w:r>
            <w:r w:rsidR="00DC6608" w:rsidRPr="00D03045">
              <w:rPr>
                <w:rFonts w:eastAsia="Calibri"/>
                <w:sz w:val="24"/>
                <w:szCs w:val="24"/>
              </w:rPr>
              <w:t>- locação</w:t>
            </w:r>
          </w:p>
        </w:tc>
        <w:tc>
          <w:tcPr>
            <w:tcW w:w="1500" w:type="dxa"/>
            <w:tcMar>
              <w:top w:w="80" w:type="dxa"/>
              <w:left w:w="100" w:type="dxa"/>
              <w:bottom w:w="80" w:type="dxa"/>
              <w:right w:w="100" w:type="dxa"/>
            </w:tcMar>
            <w:vAlign w:val="center"/>
          </w:tcPr>
          <w:p w14:paraId="2F7551BB" w14:textId="77777777" w:rsidR="006D64CE" w:rsidRPr="00EB2564" w:rsidRDefault="00000000" w:rsidP="00EB2564">
            <w:pPr>
              <w:jc w:val="center"/>
              <w:rPr>
                <w:sz w:val="24"/>
                <w:szCs w:val="24"/>
              </w:rPr>
            </w:pPr>
            <w:r w:rsidRPr="00EB2564">
              <w:rPr>
                <w:rFonts w:eastAsia="Calibri"/>
                <w:sz w:val="24"/>
                <w:szCs w:val="24"/>
              </w:rPr>
              <w:t>2</w:t>
            </w:r>
          </w:p>
        </w:tc>
        <w:tc>
          <w:tcPr>
            <w:tcW w:w="1500" w:type="dxa"/>
            <w:tcMar>
              <w:top w:w="80" w:type="dxa"/>
              <w:left w:w="100" w:type="dxa"/>
              <w:bottom w:w="80" w:type="dxa"/>
              <w:right w:w="100" w:type="dxa"/>
            </w:tcMar>
            <w:vAlign w:val="center"/>
          </w:tcPr>
          <w:p w14:paraId="42CD31CC" w14:textId="77777777" w:rsidR="006D64CE" w:rsidRPr="00EB2564" w:rsidRDefault="00000000" w:rsidP="00EB2564">
            <w:pPr>
              <w:jc w:val="center"/>
              <w:rPr>
                <w:sz w:val="24"/>
                <w:szCs w:val="24"/>
              </w:rPr>
            </w:pPr>
            <w:r w:rsidRPr="00EB2564">
              <w:rPr>
                <w:rFonts w:eastAsia="Calibri"/>
                <w:sz w:val="24"/>
                <w:szCs w:val="24"/>
              </w:rPr>
              <w:t>Unidade</w:t>
            </w:r>
          </w:p>
        </w:tc>
      </w:tr>
      <w:tr w:rsidR="006D64CE" w:rsidRPr="00EB2564" w14:paraId="15F30FED" w14:textId="77777777" w:rsidTr="00EB2564">
        <w:trPr>
          <w:trHeight w:val="20"/>
        </w:trPr>
        <w:tc>
          <w:tcPr>
            <w:tcW w:w="700" w:type="dxa"/>
            <w:tcMar>
              <w:top w:w="80" w:type="dxa"/>
              <w:left w:w="100" w:type="dxa"/>
              <w:bottom w:w="80" w:type="dxa"/>
              <w:right w:w="100" w:type="dxa"/>
            </w:tcMar>
            <w:vAlign w:val="center"/>
          </w:tcPr>
          <w:p w14:paraId="6D6919B2" w14:textId="77777777" w:rsidR="006D64CE" w:rsidRPr="00EB2564" w:rsidRDefault="00000000" w:rsidP="00EB2564">
            <w:pPr>
              <w:jc w:val="center"/>
              <w:rPr>
                <w:sz w:val="24"/>
                <w:szCs w:val="24"/>
              </w:rPr>
            </w:pPr>
            <w:r w:rsidRPr="00EB2564">
              <w:rPr>
                <w:rFonts w:eastAsia="Calibri"/>
                <w:sz w:val="24"/>
                <w:szCs w:val="24"/>
              </w:rPr>
              <w:t>6</w:t>
            </w:r>
          </w:p>
        </w:tc>
        <w:tc>
          <w:tcPr>
            <w:tcW w:w="5650" w:type="dxa"/>
            <w:tcMar>
              <w:top w:w="80" w:type="dxa"/>
              <w:left w:w="100" w:type="dxa"/>
              <w:bottom w:w="80" w:type="dxa"/>
              <w:right w:w="100" w:type="dxa"/>
            </w:tcMar>
            <w:vAlign w:val="center"/>
          </w:tcPr>
          <w:p w14:paraId="740BA278" w14:textId="3D434FD9" w:rsidR="006D64CE" w:rsidRPr="00EB2564" w:rsidRDefault="00000000" w:rsidP="00EB2564">
            <w:pPr>
              <w:rPr>
                <w:sz w:val="24"/>
                <w:szCs w:val="24"/>
              </w:rPr>
            </w:pPr>
            <w:r w:rsidRPr="00EB2564">
              <w:rPr>
                <w:rFonts w:eastAsia="Calibri"/>
                <w:sz w:val="24"/>
                <w:szCs w:val="24"/>
              </w:rPr>
              <w:t>Figurino de Cunhã-Poranga</w:t>
            </w:r>
            <w:r w:rsidR="00DC6608">
              <w:rPr>
                <w:rFonts w:eastAsia="Calibri"/>
                <w:sz w:val="24"/>
                <w:szCs w:val="24"/>
              </w:rPr>
              <w:t xml:space="preserve"> </w:t>
            </w:r>
            <w:r w:rsidR="00DC6608" w:rsidRPr="00D03045">
              <w:rPr>
                <w:rFonts w:eastAsia="Calibri"/>
                <w:sz w:val="24"/>
                <w:szCs w:val="24"/>
              </w:rPr>
              <w:t>- locação</w:t>
            </w:r>
          </w:p>
        </w:tc>
        <w:tc>
          <w:tcPr>
            <w:tcW w:w="1500" w:type="dxa"/>
            <w:tcMar>
              <w:top w:w="80" w:type="dxa"/>
              <w:left w:w="100" w:type="dxa"/>
              <w:bottom w:w="80" w:type="dxa"/>
              <w:right w:w="100" w:type="dxa"/>
            </w:tcMar>
            <w:vAlign w:val="center"/>
          </w:tcPr>
          <w:p w14:paraId="7D64C981" w14:textId="77777777" w:rsidR="006D64CE" w:rsidRPr="00EB2564" w:rsidRDefault="00000000" w:rsidP="00EB2564">
            <w:pPr>
              <w:jc w:val="center"/>
              <w:rPr>
                <w:sz w:val="24"/>
                <w:szCs w:val="24"/>
              </w:rPr>
            </w:pPr>
            <w:r w:rsidRPr="00EB2564">
              <w:rPr>
                <w:rFonts w:eastAsia="Calibri"/>
                <w:sz w:val="24"/>
                <w:szCs w:val="24"/>
              </w:rPr>
              <w:t>2</w:t>
            </w:r>
          </w:p>
        </w:tc>
        <w:tc>
          <w:tcPr>
            <w:tcW w:w="1500" w:type="dxa"/>
            <w:tcMar>
              <w:top w:w="80" w:type="dxa"/>
              <w:left w:w="100" w:type="dxa"/>
              <w:bottom w:w="80" w:type="dxa"/>
              <w:right w:w="100" w:type="dxa"/>
            </w:tcMar>
            <w:vAlign w:val="center"/>
          </w:tcPr>
          <w:p w14:paraId="1E935A11" w14:textId="77777777" w:rsidR="006D64CE" w:rsidRPr="00EB2564" w:rsidRDefault="00000000" w:rsidP="00EB2564">
            <w:pPr>
              <w:jc w:val="center"/>
              <w:rPr>
                <w:sz w:val="24"/>
                <w:szCs w:val="24"/>
              </w:rPr>
            </w:pPr>
            <w:r w:rsidRPr="00EB2564">
              <w:rPr>
                <w:rFonts w:eastAsia="Calibri"/>
                <w:sz w:val="24"/>
                <w:szCs w:val="24"/>
              </w:rPr>
              <w:t>Unidade</w:t>
            </w:r>
          </w:p>
        </w:tc>
      </w:tr>
      <w:tr w:rsidR="006D64CE" w:rsidRPr="00EB2564" w14:paraId="009FE6D1" w14:textId="77777777" w:rsidTr="00EB2564">
        <w:trPr>
          <w:trHeight w:val="20"/>
        </w:trPr>
        <w:tc>
          <w:tcPr>
            <w:tcW w:w="700" w:type="dxa"/>
            <w:tcMar>
              <w:top w:w="80" w:type="dxa"/>
              <w:left w:w="100" w:type="dxa"/>
              <w:bottom w:w="80" w:type="dxa"/>
              <w:right w:w="100" w:type="dxa"/>
            </w:tcMar>
            <w:vAlign w:val="center"/>
          </w:tcPr>
          <w:p w14:paraId="28B6B118" w14:textId="77777777" w:rsidR="006D64CE" w:rsidRPr="00EB2564" w:rsidRDefault="00000000" w:rsidP="00EB2564">
            <w:pPr>
              <w:jc w:val="center"/>
              <w:rPr>
                <w:sz w:val="24"/>
                <w:szCs w:val="24"/>
              </w:rPr>
            </w:pPr>
            <w:r w:rsidRPr="00EB2564">
              <w:rPr>
                <w:rFonts w:eastAsia="Calibri"/>
                <w:sz w:val="24"/>
                <w:szCs w:val="24"/>
              </w:rPr>
              <w:t>7</w:t>
            </w:r>
          </w:p>
        </w:tc>
        <w:tc>
          <w:tcPr>
            <w:tcW w:w="5650" w:type="dxa"/>
            <w:tcMar>
              <w:top w:w="80" w:type="dxa"/>
              <w:left w:w="100" w:type="dxa"/>
              <w:bottom w:w="80" w:type="dxa"/>
              <w:right w:w="100" w:type="dxa"/>
            </w:tcMar>
            <w:vAlign w:val="center"/>
          </w:tcPr>
          <w:p w14:paraId="03B4AFD4" w14:textId="720F8D2C" w:rsidR="006D64CE" w:rsidRPr="00EB2564" w:rsidRDefault="00000000" w:rsidP="00EB2564">
            <w:pPr>
              <w:rPr>
                <w:sz w:val="24"/>
                <w:szCs w:val="24"/>
              </w:rPr>
            </w:pPr>
            <w:r w:rsidRPr="00EB2564">
              <w:rPr>
                <w:rFonts w:eastAsia="Calibri"/>
                <w:sz w:val="24"/>
                <w:szCs w:val="24"/>
              </w:rPr>
              <w:t>Figurino de Pajé</w:t>
            </w:r>
            <w:r w:rsidR="00DC6608">
              <w:rPr>
                <w:rFonts w:eastAsia="Calibri"/>
                <w:sz w:val="24"/>
                <w:szCs w:val="24"/>
              </w:rPr>
              <w:t xml:space="preserve"> </w:t>
            </w:r>
            <w:r w:rsidR="00DC6608" w:rsidRPr="00D03045">
              <w:rPr>
                <w:rFonts w:eastAsia="Calibri"/>
                <w:sz w:val="24"/>
                <w:szCs w:val="24"/>
              </w:rPr>
              <w:t>- locação</w:t>
            </w:r>
          </w:p>
        </w:tc>
        <w:tc>
          <w:tcPr>
            <w:tcW w:w="1500" w:type="dxa"/>
            <w:tcMar>
              <w:top w:w="80" w:type="dxa"/>
              <w:left w:w="100" w:type="dxa"/>
              <w:bottom w:w="80" w:type="dxa"/>
              <w:right w:w="100" w:type="dxa"/>
            </w:tcMar>
            <w:vAlign w:val="center"/>
          </w:tcPr>
          <w:p w14:paraId="45C9FDC8" w14:textId="77777777" w:rsidR="006D64CE" w:rsidRPr="00EB2564" w:rsidRDefault="00000000" w:rsidP="00EB2564">
            <w:pPr>
              <w:jc w:val="center"/>
              <w:rPr>
                <w:sz w:val="24"/>
                <w:szCs w:val="24"/>
              </w:rPr>
            </w:pPr>
            <w:r w:rsidRPr="00EB2564">
              <w:rPr>
                <w:rFonts w:eastAsia="Calibri"/>
                <w:sz w:val="24"/>
                <w:szCs w:val="24"/>
              </w:rPr>
              <w:t>2</w:t>
            </w:r>
          </w:p>
        </w:tc>
        <w:tc>
          <w:tcPr>
            <w:tcW w:w="1500" w:type="dxa"/>
            <w:tcMar>
              <w:top w:w="80" w:type="dxa"/>
              <w:left w:w="100" w:type="dxa"/>
              <w:bottom w:w="80" w:type="dxa"/>
              <w:right w:w="100" w:type="dxa"/>
            </w:tcMar>
            <w:vAlign w:val="center"/>
          </w:tcPr>
          <w:p w14:paraId="7119AA1C" w14:textId="77777777" w:rsidR="006D64CE" w:rsidRPr="00EB2564" w:rsidRDefault="00000000" w:rsidP="00EB2564">
            <w:pPr>
              <w:jc w:val="center"/>
              <w:rPr>
                <w:sz w:val="24"/>
                <w:szCs w:val="24"/>
              </w:rPr>
            </w:pPr>
            <w:r w:rsidRPr="00EB2564">
              <w:rPr>
                <w:rFonts w:eastAsia="Calibri"/>
                <w:sz w:val="24"/>
                <w:szCs w:val="24"/>
              </w:rPr>
              <w:t>Unidade</w:t>
            </w:r>
          </w:p>
        </w:tc>
      </w:tr>
      <w:tr w:rsidR="006D64CE" w:rsidRPr="00EB2564" w14:paraId="5E5490BB" w14:textId="77777777" w:rsidTr="00EB2564">
        <w:trPr>
          <w:trHeight w:val="20"/>
        </w:trPr>
        <w:tc>
          <w:tcPr>
            <w:tcW w:w="700" w:type="dxa"/>
            <w:tcMar>
              <w:top w:w="80" w:type="dxa"/>
              <w:left w:w="100" w:type="dxa"/>
              <w:bottom w:w="80" w:type="dxa"/>
              <w:right w:w="100" w:type="dxa"/>
            </w:tcMar>
            <w:vAlign w:val="center"/>
          </w:tcPr>
          <w:p w14:paraId="1166901C" w14:textId="77777777" w:rsidR="006D64CE" w:rsidRPr="00EB2564" w:rsidRDefault="00000000" w:rsidP="00EB2564">
            <w:pPr>
              <w:jc w:val="center"/>
              <w:rPr>
                <w:sz w:val="24"/>
                <w:szCs w:val="24"/>
              </w:rPr>
            </w:pPr>
            <w:r w:rsidRPr="00EB2564">
              <w:rPr>
                <w:rFonts w:eastAsia="Calibri"/>
                <w:sz w:val="24"/>
                <w:szCs w:val="24"/>
              </w:rPr>
              <w:t>8</w:t>
            </w:r>
          </w:p>
        </w:tc>
        <w:tc>
          <w:tcPr>
            <w:tcW w:w="5650" w:type="dxa"/>
            <w:tcMar>
              <w:top w:w="80" w:type="dxa"/>
              <w:left w:w="100" w:type="dxa"/>
              <w:bottom w:w="80" w:type="dxa"/>
              <w:right w:w="100" w:type="dxa"/>
            </w:tcMar>
            <w:vAlign w:val="center"/>
          </w:tcPr>
          <w:p w14:paraId="26B32DC8" w14:textId="18B1AAA8" w:rsidR="006D64CE" w:rsidRPr="00EB2564" w:rsidRDefault="00000000" w:rsidP="00EB2564">
            <w:pPr>
              <w:rPr>
                <w:sz w:val="24"/>
                <w:szCs w:val="24"/>
              </w:rPr>
            </w:pPr>
            <w:r w:rsidRPr="00EB2564">
              <w:rPr>
                <w:rFonts w:eastAsia="Calibri"/>
                <w:sz w:val="24"/>
                <w:szCs w:val="24"/>
              </w:rPr>
              <w:t>Figurino de Apresentador/Amo do Boi</w:t>
            </w:r>
            <w:r w:rsidR="00DC6608">
              <w:rPr>
                <w:rFonts w:eastAsia="Calibri"/>
                <w:sz w:val="24"/>
                <w:szCs w:val="24"/>
              </w:rPr>
              <w:t xml:space="preserve"> </w:t>
            </w:r>
            <w:r w:rsidR="00DC6608" w:rsidRPr="00D03045">
              <w:rPr>
                <w:rFonts w:eastAsia="Calibri"/>
                <w:sz w:val="24"/>
                <w:szCs w:val="24"/>
              </w:rPr>
              <w:t>- locação</w:t>
            </w:r>
          </w:p>
        </w:tc>
        <w:tc>
          <w:tcPr>
            <w:tcW w:w="1500" w:type="dxa"/>
            <w:tcMar>
              <w:top w:w="80" w:type="dxa"/>
              <w:left w:w="100" w:type="dxa"/>
              <w:bottom w:w="80" w:type="dxa"/>
              <w:right w:w="100" w:type="dxa"/>
            </w:tcMar>
            <w:vAlign w:val="center"/>
          </w:tcPr>
          <w:p w14:paraId="42F02C0F" w14:textId="77777777" w:rsidR="006D64CE" w:rsidRPr="00EB2564" w:rsidRDefault="00000000" w:rsidP="00EB2564">
            <w:pPr>
              <w:jc w:val="center"/>
              <w:rPr>
                <w:sz w:val="24"/>
                <w:szCs w:val="24"/>
              </w:rPr>
            </w:pPr>
            <w:r w:rsidRPr="00EB2564">
              <w:rPr>
                <w:rFonts w:eastAsia="Calibri"/>
                <w:sz w:val="24"/>
                <w:szCs w:val="24"/>
              </w:rPr>
              <w:t>2</w:t>
            </w:r>
          </w:p>
        </w:tc>
        <w:tc>
          <w:tcPr>
            <w:tcW w:w="1500" w:type="dxa"/>
            <w:tcMar>
              <w:top w:w="80" w:type="dxa"/>
              <w:left w:w="100" w:type="dxa"/>
              <w:bottom w:w="80" w:type="dxa"/>
              <w:right w:w="100" w:type="dxa"/>
            </w:tcMar>
            <w:vAlign w:val="center"/>
          </w:tcPr>
          <w:p w14:paraId="12D707D7" w14:textId="77777777" w:rsidR="006D64CE" w:rsidRPr="00EB2564" w:rsidRDefault="00000000" w:rsidP="00EB2564">
            <w:pPr>
              <w:jc w:val="center"/>
              <w:rPr>
                <w:sz w:val="24"/>
                <w:szCs w:val="24"/>
              </w:rPr>
            </w:pPr>
            <w:r w:rsidRPr="00EB2564">
              <w:rPr>
                <w:rFonts w:eastAsia="Calibri"/>
                <w:sz w:val="24"/>
                <w:szCs w:val="24"/>
              </w:rPr>
              <w:t>Unidade</w:t>
            </w:r>
          </w:p>
        </w:tc>
      </w:tr>
      <w:tr w:rsidR="006D64CE" w:rsidRPr="00EB2564" w14:paraId="36E212F2" w14:textId="77777777" w:rsidTr="00EB2564">
        <w:trPr>
          <w:trHeight w:val="20"/>
        </w:trPr>
        <w:tc>
          <w:tcPr>
            <w:tcW w:w="700" w:type="dxa"/>
            <w:tcMar>
              <w:top w:w="80" w:type="dxa"/>
              <w:left w:w="100" w:type="dxa"/>
              <w:bottom w:w="80" w:type="dxa"/>
              <w:right w:w="100" w:type="dxa"/>
            </w:tcMar>
            <w:vAlign w:val="center"/>
          </w:tcPr>
          <w:p w14:paraId="6D4136AA" w14:textId="77777777" w:rsidR="006D64CE" w:rsidRPr="00EB2564" w:rsidRDefault="00000000" w:rsidP="00EB2564">
            <w:pPr>
              <w:jc w:val="center"/>
              <w:rPr>
                <w:sz w:val="24"/>
                <w:szCs w:val="24"/>
              </w:rPr>
            </w:pPr>
            <w:r w:rsidRPr="00EB2564">
              <w:rPr>
                <w:rFonts w:eastAsia="Calibri"/>
                <w:sz w:val="24"/>
                <w:szCs w:val="24"/>
              </w:rPr>
              <w:t>9</w:t>
            </w:r>
          </w:p>
        </w:tc>
        <w:tc>
          <w:tcPr>
            <w:tcW w:w="5650" w:type="dxa"/>
            <w:tcMar>
              <w:top w:w="80" w:type="dxa"/>
              <w:left w:w="100" w:type="dxa"/>
              <w:bottom w:w="80" w:type="dxa"/>
              <w:right w:w="100" w:type="dxa"/>
            </w:tcMar>
            <w:vAlign w:val="center"/>
          </w:tcPr>
          <w:p w14:paraId="79DB04B3" w14:textId="6FB548AB" w:rsidR="006D64CE" w:rsidRPr="00EB2564" w:rsidRDefault="00000000" w:rsidP="00EB2564">
            <w:pPr>
              <w:rPr>
                <w:sz w:val="24"/>
                <w:szCs w:val="24"/>
              </w:rPr>
            </w:pPr>
            <w:r w:rsidRPr="00EB2564">
              <w:rPr>
                <w:rFonts w:eastAsia="Calibri"/>
                <w:sz w:val="24"/>
                <w:szCs w:val="24"/>
              </w:rPr>
              <w:t>Figurinos de Tribo/Ritual Indígena (conjunto de 25 integrantes por boi)</w:t>
            </w:r>
            <w:r w:rsidR="00DC6608" w:rsidRPr="00DC6608">
              <w:rPr>
                <w:rFonts w:eastAsia="Calibri"/>
                <w:color w:val="EE0000"/>
                <w:sz w:val="24"/>
                <w:szCs w:val="24"/>
              </w:rPr>
              <w:t xml:space="preserve"> </w:t>
            </w:r>
            <w:r w:rsidR="00DC6608" w:rsidRPr="00D03045">
              <w:rPr>
                <w:rFonts w:eastAsia="Calibri"/>
                <w:sz w:val="24"/>
                <w:szCs w:val="24"/>
              </w:rPr>
              <w:t>- locação</w:t>
            </w:r>
          </w:p>
        </w:tc>
        <w:tc>
          <w:tcPr>
            <w:tcW w:w="1500" w:type="dxa"/>
            <w:tcMar>
              <w:top w:w="80" w:type="dxa"/>
              <w:left w:w="100" w:type="dxa"/>
              <w:bottom w:w="80" w:type="dxa"/>
              <w:right w:w="100" w:type="dxa"/>
            </w:tcMar>
            <w:vAlign w:val="center"/>
          </w:tcPr>
          <w:p w14:paraId="62504B6D" w14:textId="77777777" w:rsidR="006D64CE" w:rsidRPr="00EB2564" w:rsidRDefault="00000000" w:rsidP="00EB2564">
            <w:pPr>
              <w:jc w:val="center"/>
              <w:rPr>
                <w:sz w:val="24"/>
                <w:szCs w:val="24"/>
              </w:rPr>
            </w:pPr>
            <w:r w:rsidRPr="00EB2564">
              <w:rPr>
                <w:rFonts w:eastAsia="Calibri"/>
                <w:sz w:val="24"/>
                <w:szCs w:val="24"/>
              </w:rPr>
              <w:t>50</w:t>
            </w:r>
          </w:p>
        </w:tc>
        <w:tc>
          <w:tcPr>
            <w:tcW w:w="1500" w:type="dxa"/>
            <w:tcMar>
              <w:top w:w="80" w:type="dxa"/>
              <w:left w:w="100" w:type="dxa"/>
              <w:bottom w:w="80" w:type="dxa"/>
              <w:right w:w="100" w:type="dxa"/>
            </w:tcMar>
            <w:vAlign w:val="center"/>
          </w:tcPr>
          <w:p w14:paraId="3D6A6CF0" w14:textId="77777777" w:rsidR="006D64CE" w:rsidRPr="00EB2564" w:rsidRDefault="00000000" w:rsidP="00EB2564">
            <w:pPr>
              <w:jc w:val="center"/>
              <w:rPr>
                <w:sz w:val="24"/>
                <w:szCs w:val="24"/>
              </w:rPr>
            </w:pPr>
            <w:r w:rsidRPr="00EB2564">
              <w:rPr>
                <w:rFonts w:eastAsia="Calibri"/>
                <w:sz w:val="24"/>
                <w:szCs w:val="24"/>
              </w:rPr>
              <w:t>Unidade</w:t>
            </w:r>
          </w:p>
        </w:tc>
      </w:tr>
    </w:tbl>
    <w:p w14:paraId="19FDAD00" w14:textId="77777777" w:rsidR="006D64CE" w:rsidRPr="00EB2564" w:rsidRDefault="006D64CE">
      <w:pPr>
        <w:spacing w:after="160"/>
        <w:jc w:val="both"/>
        <w:rPr>
          <w:sz w:val="24"/>
          <w:szCs w:val="24"/>
        </w:rPr>
      </w:pPr>
    </w:p>
    <w:p w14:paraId="33E29FBC" w14:textId="77777777" w:rsidR="006D64CE" w:rsidRPr="00EB2564" w:rsidRDefault="00000000">
      <w:pPr>
        <w:spacing w:after="160"/>
        <w:jc w:val="both"/>
        <w:rPr>
          <w:sz w:val="24"/>
          <w:szCs w:val="24"/>
        </w:rPr>
      </w:pPr>
      <w:r w:rsidRPr="00EB2564">
        <w:rPr>
          <w:rFonts w:eastAsia="Calibri"/>
          <w:sz w:val="24"/>
          <w:szCs w:val="24"/>
        </w:rPr>
        <w:t>1.3. Especificações técnicas mínimas dos itens:</w:t>
      </w:r>
    </w:p>
    <w:p w14:paraId="1816B4C2"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Bois folclóricos (itens 1 e 2): alegorias completas, confeccionadas em estrutura leve e resistente (armação em madeira, ferro ou material similar), revestidas em tecido e materiais decorativos (lantejoulas, miçangas, plumas, fitas e pedrarias), com pintura, iluminação e acabamento condizentes com a identidade visual de cada boi, em tamanho e porte adequados à apresentação em arraial ou palco;</w:t>
      </w:r>
    </w:p>
    <w:p w14:paraId="3A213890"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Figurinos (itens 3 a 8): confeccionados em tecido apropriado ao uso cênico, compreendendo vestimenta completa, adereços de cabeça, acessórios e complementos característicos de cada personagem do boi-bumbá, em tamanhos compatíveis com os integrantes que os utilizarão;</w:t>
      </w:r>
    </w:p>
    <w:p w14:paraId="2783CE19"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Figurinos de tribo/ritual indígena (item 9): conjuntos completos por integrante, incluindo vestimenta, cocar ou adereço de cabeça, pintura corporal ou elemento similar e demais acessórios cênicos, em quantidade suficiente para os 25 integrantes de cada boi;</w:t>
      </w:r>
    </w:p>
    <w:p w14:paraId="06864A23"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lastRenderedPageBreak/>
        <w:t>Todos os itens deverão ser entregues novos, em perfeitas condições de uso, livres de defeitos de fabricação, e compatíveis com o tema e o porte das apresentações folclóricas do Município.</w:t>
      </w:r>
    </w:p>
    <w:p w14:paraId="68D6C4E7" w14:textId="77777777" w:rsidR="006D64CE" w:rsidRPr="00EB2564" w:rsidRDefault="00000000">
      <w:pPr>
        <w:spacing w:after="160"/>
        <w:jc w:val="both"/>
        <w:rPr>
          <w:sz w:val="24"/>
          <w:szCs w:val="24"/>
        </w:rPr>
      </w:pPr>
      <w:r w:rsidRPr="00EB2564">
        <w:rPr>
          <w:rFonts w:eastAsia="Calibri"/>
          <w:sz w:val="24"/>
          <w:szCs w:val="24"/>
        </w:rPr>
        <w:t>1.4. O objeto desta contratação não se enquadra como sendo de bem de luxo, conforme Decreto nº 10.818, de 27 de setembro de 2021.</w:t>
      </w:r>
    </w:p>
    <w:p w14:paraId="124CC7DC" w14:textId="77777777" w:rsidR="006D64CE" w:rsidRPr="00EB2564" w:rsidRDefault="00000000">
      <w:pPr>
        <w:spacing w:before="280" w:after="140"/>
        <w:rPr>
          <w:sz w:val="24"/>
          <w:szCs w:val="24"/>
        </w:rPr>
      </w:pPr>
      <w:r w:rsidRPr="00EB2564">
        <w:rPr>
          <w:rFonts w:eastAsia="Calibri"/>
          <w:b/>
          <w:bCs/>
          <w:sz w:val="24"/>
          <w:szCs w:val="24"/>
        </w:rPr>
        <w:t>2. JUSTIFICATIVA E OBJETIVO DA CONTRATAÇÃO</w:t>
      </w:r>
    </w:p>
    <w:p w14:paraId="269BF2A7" w14:textId="77777777" w:rsidR="006D64CE" w:rsidRPr="00EB2564" w:rsidRDefault="00000000">
      <w:pPr>
        <w:spacing w:after="160"/>
        <w:jc w:val="both"/>
        <w:rPr>
          <w:sz w:val="24"/>
          <w:szCs w:val="24"/>
        </w:rPr>
      </w:pPr>
      <w:r w:rsidRPr="00EB2564">
        <w:rPr>
          <w:rFonts w:eastAsia="Calibri"/>
          <w:sz w:val="24"/>
          <w:szCs w:val="24"/>
        </w:rPr>
        <w:t>2.1. A presente contratação justifica-se pela necessidade de a Secretaria Municipal de Cultura e Economia Criativa de Eirunepé/AM dispor de bois folclóricos, figurinos e elementos culturais indispensáveis à realização de apresentações folclóricas no Município, atividade que integra o calendário cultural local e promove a valorização das manifestações populares típicas da região amazônica.</w:t>
      </w:r>
    </w:p>
    <w:p w14:paraId="47B8BF31" w14:textId="77777777" w:rsidR="006D64CE" w:rsidRPr="00EB2564" w:rsidRDefault="00000000">
      <w:pPr>
        <w:spacing w:after="160"/>
        <w:jc w:val="both"/>
        <w:rPr>
          <w:sz w:val="24"/>
          <w:szCs w:val="24"/>
        </w:rPr>
      </w:pPr>
      <w:r w:rsidRPr="00EB2564">
        <w:rPr>
          <w:rFonts w:eastAsia="Calibri"/>
          <w:sz w:val="24"/>
          <w:szCs w:val="24"/>
        </w:rPr>
        <w:t>2.2. As apresentações folclóricas constituem manifestação cultural de relevante interesse público, contribuindo para a preservação da identidade cultural do Município, o fortalecimento do turismo local e a promoção do lazer e do acesso à cultura pela população.</w:t>
      </w:r>
    </w:p>
    <w:p w14:paraId="158BA26E" w14:textId="77777777" w:rsidR="006D64CE" w:rsidRPr="00EB2564" w:rsidRDefault="00000000">
      <w:pPr>
        <w:spacing w:after="160"/>
        <w:jc w:val="both"/>
        <w:rPr>
          <w:sz w:val="24"/>
          <w:szCs w:val="24"/>
        </w:rPr>
      </w:pPr>
      <w:r w:rsidRPr="00EB2564">
        <w:rPr>
          <w:rFonts w:eastAsia="Calibri"/>
          <w:sz w:val="24"/>
          <w:szCs w:val="24"/>
        </w:rPr>
        <w:t>2.3. A Administração não dispõe, em seu patrimônio, dos bois folclóricos, figurinos e elementos culturais necessários à realização do evento, tampouco de estrutura própria para a confecção desses itens, o que torna imprescindível a contratação de empresa especializada no fornecimento de tais bens.</w:t>
      </w:r>
    </w:p>
    <w:p w14:paraId="28E31175" w14:textId="77777777" w:rsidR="006D64CE" w:rsidRPr="00EB2564" w:rsidRDefault="00000000">
      <w:pPr>
        <w:spacing w:after="160"/>
        <w:jc w:val="both"/>
        <w:rPr>
          <w:sz w:val="24"/>
          <w:szCs w:val="24"/>
        </w:rPr>
      </w:pPr>
      <w:r w:rsidRPr="00EB2564">
        <w:rPr>
          <w:rFonts w:eastAsia="Calibri"/>
          <w:sz w:val="24"/>
          <w:szCs w:val="24"/>
        </w:rPr>
        <w:t>2.4. A contratação contribuirá para:</w:t>
      </w:r>
    </w:p>
    <w:p w14:paraId="2A217186"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viabilizar a realização das apresentações folclóricas no Município, em conformidade com o calendário cultural local;</w:t>
      </w:r>
    </w:p>
    <w:p w14:paraId="600CE81C"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assegurar a qualidade e a adequação técnica dos bois, figurinos e elementos culturais utilizados nas apresentações;</w:t>
      </w:r>
    </w:p>
    <w:p w14:paraId="6A31707B"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promover e preservar as manifestações culturais e o folclore regional, em atenção ao dever constitucional de proteção ao patrimônio cultural imaterial;</w:t>
      </w:r>
    </w:p>
    <w:p w14:paraId="05B5179F"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fomentar o turismo e a economia criativa local, gerados a partir do evento cultural.</w:t>
      </w:r>
    </w:p>
    <w:p w14:paraId="0F57E8AF" w14:textId="77777777" w:rsidR="006D64CE" w:rsidRPr="00EB2564" w:rsidRDefault="00000000">
      <w:pPr>
        <w:spacing w:after="160"/>
        <w:jc w:val="both"/>
        <w:rPr>
          <w:sz w:val="24"/>
          <w:szCs w:val="24"/>
        </w:rPr>
      </w:pPr>
      <w:r w:rsidRPr="00EB2564">
        <w:rPr>
          <w:rFonts w:eastAsia="Calibri"/>
          <w:sz w:val="24"/>
          <w:szCs w:val="24"/>
        </w:rPr>
        <w:t>2.5. Dessa forma, a contratação busca garantir a adequada realização do evento cultural, assegurando o fornecimento de bens compatíveis com as especificações técnicas definidas neste Termo de Referência.</w:t>
      </w:r>
    </w:p>
    <w:p w14:paraId="3A8644B6" w14:textId="77777777" w:rsidR="006D64CE" w:rsidRPr="00EB2564" w:rsidRDefault="00000000">
      <w:pPr>
        <w:spacing w:before="280" w:after="140"/>
        <w:rPr>
          <w:sz w:val="24"/>
          <w:szCs w:val="24"/>
        </w:rPr>
      </w:pPr>
      <w:r w:rsidRPr="00EB2564">
        <w:rPr>
          <w:rFonts w:eastAsia="Calibri"/>
          <w:b/>
          <w:bCs/>
          <w:sz w:val="24"/>
          <w:szCs w:val="24"/>
        </w:rPr>
        <w:t>3. CLASSIFICAÇÃO DOS BENS E SERVIÇOS COMUNS</w:t>
      </w:r>
    </w:p>
    <w:p w14:paraId="4C06CA5D" w14:textId="77777777" w:rsidR="006D64CE" w:rsidRPr="00EB2564" w:rsidRDefault="00000000">
      <w:pPr>
        <w:spacing w:after="160"/>
        <w:jc w:val="both"/>
        <w:rPr>
          <w:sz w:val="24"/>
          <w:szCs w:val="24"/>
        </w:rPr>
      </w:pPr>
      <w:r w:rsidRPr="00EB2564">
        <w:rPr>
          <w:rFonts w:eastAsia="Calibri"/>
          <w:sz w:val="24"/>
          <w:szCs w:val="24"/>
        </w:rPr>
        <w:t>3.1. A natureza do objeto a ser contratado é comum, nos termos do inciso XLI do art. 6º da Lei nº 14.133, de 2021, tratando-se de aquisição de bens cujos padrões de desempenho e qualidade são objetivamente definidos neste Termo de Referência, usualmente disponíveis no mercado, o que permite ampla comparabilidade entre propostas.</w:t>
      </w:r>
    </w:p>
    <w:p w14:paraId="3B8E403B" w14:textId="77777777" w:rsidR="006D64CE" w:rsidRPr="00EB2564" w:rsidRDefault="00000000">
      <w:pPr>
        <w:spacing w:after="160"/>
        <w:jc w:val="both"/>
        <w:rPr>
          <w:sz w:val="24"/>
          <w:szCs w:val="24"/>
        </w:rPr>
      </w:pPr>
      <w:r w:rsidRPr="00EB2564">
        <w:rPr>
          <w:rFonts w:eastAsia="Calibri"/>
          <w:sz w:val="24"/>
          <w:szCs w:val="24"/>
        </w:rPr>
        <w:t>3.2. Trata-se de aquisição de bens não continuada, com entrega integral e única, destinada a evento cultural específico, não se caracterizando como serviço de natureza continuada.</w:t>
      </w:r>
    </w:p>
    <w:p w14:paraId="5B42E73B" w14:textId="77777777" w:rsidR="006D64CE" w:rsidRPr="00EB2564" w:rsidRDefault="00000000">
      <w:pPr>
        <w:spacing w:before="280" w:after="140"/>
        <w:rPr>
          <w:sz w:val="24"/>
          <w:szCs w:val="24"/>
        </w:rPr>
      </w:pPr>
      <w:r w:rsidRPr="00EB2564">
        <w:rPr>
          <w:rFonts w:eastAsia="Calibri"/>
          <w:b/>
          <w:bCs/>
          <w:sz w:val="24"/>
          <w:szCs w:val="24"/>
        </w:rPr>
        <w:t>4. ENTREGA, RECEBIMENTO E CRITÉRIOS DE ACEITAÇÃO DO OBJETO</w:t>
      </w:r>
    </w:p>
    <w:p w14:paraId="30ADAD6F" w14:textId="77777777" w:rsidR="006D64CE" w:rsidRPr="00EB2564" w:rsidRDefault="00000000">
      <w:pPr>
        <w:spacing w:after="160"/>
        <w:jc w:val="both"/>
        <w:rPr>
          <w:sz w:val="24"/>
          <w:szCs w:val="24"/>
        </w:rPr>
      </w:pPr>
      <w:r w:rsidRPr="00EB2564">
        <w:rPr>
          <w:rFonts w:eastAsia="Calibri"/>
          <w:sz w:val="24"/>
          <w:szCs w:val="24"/>
        </w:rPr>
        <w:t>4.1. O prazo para entrega dos bens será de até 15 (quinze) dias corridos, contados a partir da emissão da Ordem de Fornecimento ou da assinatura do instrumento contratual, podendo ser prorrogado mediante justificativa aceita pela Administração.</w:t>
      </w:r>
    </w:p>
    <w:p w14:paraId="11E33D7D" w14:textId="77777777" w:rsidR="006D64CE" w:rsidRPr="00EB2564" w:rsidRDefault="00000000">
      <w:pPr>
        <w:spacing w:after="160"/>
        <w:jc w:val="both"/>
        <w:rPr>
          <w:sz w:val="24"/>
          <w:szCs w:val="24"/>
        </w:rPr>
      </w:pPr>
      <w:r w:rsidRPr="00EB2564">
        <w:rPr>
          <w:rFonts w:eastAsia="Calibri"/>
          <w:sz w:val="24"/>
          <w:szCs w:val="24"/>
        </w:rPr>
        <w:lastRenderedPageBreak/>
        <w:t>4.2. Os bens deverão ser entregues no local indicado pela Secretaria Municipal de Cultura e Economia Criativa, em Eirunepé/AM, correndo por conta da contratada as despesas de embalagem, seguro, transporte, tributos, encargos e demais custos decorrentes da entrega.</w:t>
      </w:r>
    </w:p>
    <w:p w14:paraId="55BAA6CC" w14:textId="77777777" w:rsidR="006D64CE" w:rsidRPr="00EB2564" w:rsidRDefault="00000000">
      <w:pPr>
        <w:spacing w:after="160"/>
        <w:jc w:val="both"/>
        <w:rPr>
          <w:sz w:val="24"/>
          <w:szCs w:val="24"/>
        </w:rPr>
      </w:pPr>
      <w:r w:rsidRPr="00EB2564">
        <w:rPr>
          <w:rFonts w:eastAsia="Calibri"/>
          <w:sz w:val="24"/>
          <w:szCs w:val="24"/>
        </w:rPr>
        <w:t>4.3. O recebimento do objeto observará o disposto no art. 140 da Lei nº 14.133, de 2021, compreendendo:</w:t>
      </w:r>
    </w:p>
    <w:p w14:paraId="749DB766"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recebimento provisório: no ato da entrega, para posterior verificação da conformidade dos bens com as especificações deste Termo de Referência;</w:t>
      </w:r>
    </w:p>
    <w:p w14:paraId="6191B558"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recebimento definitivo: em até 05 (cinco) dias úteis, contados do recebimento provisório, após verificação da qualidade, quantidade e adequação dos itens entregues, mediante termo circunstanciado ou recibo firmado pelo fiscal do contrato.</w:t>
      </w:r>
    </w:p>
    <w:p w14:paraId="2DE6E363" w14:textId="77777777" w:rsidR="006D64CE" w:rsidRPr="00EB2564" w:rsidRDefault="00000000">
      <w:pPr>
        <w:spacing w:after="160"/>
        <w:jc w:val="both"/>
        <w:rPr>
          <w:sz w:val="24"/>
          <w:szCs w:val="24"/>
        </w:rPr>
      </w:pPr>
      <w:r w:rsidRPr="00EB2564">
        <w:rPr>
          <w:rFonts w:eastAsia="Calibri"/>
          <w:sz w:val="24"/>
          <w:szCs w:val="24"/>
        </w:rPr>
        <w:t>4.4. Os bens que estiverem em desacordo com as especificações deste Termo de Referência, ou que apresentarem defeitos, vícios ou incorreções, serão rejeitados, no todo ou em parte, devendo a contratada providenciar a substituição ou correção no prazo máximo de 05 (cinco) dias úteis, contados da notificação, sem ônus adicional para a Administração.</w:t>
      </w:r>
    </w:p>
    <w:p w14:paraId="0DAE0E75" w14:textId="77777777" w:rsidR="006D64CE" w:rsidRPr="00EB2564" w:rsidRDefault="00000000">
      <w:pPr>
        <w:spacing w:after="160"/>
        <w:jc w:val="both"/>
        <w:rPr>
          <w:sz w:val="24"/>
          <w:szCs w:val="24"/>
        </w:rPr>
      </w:pPr>
      <w:r w:rsidRPr="00EB2564">
        <w:rPr>
          <w:rFonts w:eastAsia="Calibri"/>
          <w:sz w:val="24"/>
          <w:szCs w:val="24"/>
        </w:rPr>
        <w:t>4.5. O recebimento definitivo não exclui a responsabilidade da contratada pela qualidade, correção e segurança dos bens fornecidos.</w:t>
      </w:r>
    </w:p>
    <w:p w14:paraId="696D4889" w14:textId="77777777" w:rsidR="006D64CE" w:rsidRPr="00EB2564" w:rsidRDefault="00000000">
      <w:pPr>
        <w:spacing w:before="280" w:after="140"/>
        <w:rPr>
          <w:sz w:val="24"/>
          <w:szCs w:val="24"/>
        </w:rPr>
      </w:pPr>
      <w:r w:rsidRPr="00EB2564">
        <w:rPr>
          <w:rFonts w:eastAsia="Calibri"/>
          <w:b/>
          <w:bCs/>
          <w:sz w:val="24"/>
          <w:szCs w:val="24"/>
        </w:rPr>
        <w:t>5. OBRIGAÇÕES DA CONTRATANTE</w:t>
      </w:r>
    </w:p>
    <w:p w14:paraId="2084AC27" w14:textId="77777777" w:rsidR="006D64CE" w:rsidRPr="00EB2564" w:rsidRDefault="00000000">
      <w:pPr>
        <w:spacing w:after="160"/>
        <w:jc w:val="both"/>
        <w:rPr>
          <w:sz w:val="24"/>
          <w:szCs w:val="24"/>
        </w:rPr>
      </w:pPr>
      <w:r w:rsidRPr="00EB2564">
        <w:rPr>
          <w:rFonts w:eastAsia="Calibri"/>
          <w:sz w:val="24"/>
          <w:szCs w:val="24"/>
        </w:rPr>
        <w:t>5.1. São obrigações da Contratante:</w:t>
      </w:r>
    </w:p>
    <w:p w14:paraId="1CCD1BBA"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receber o objeto no local e prazo estabelecidos, nos termos deste Termo de Referência;</w:t>
      </w:r>
    </w:p>
    <w:p w14:paraId="03AD73F5"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verificar a conformidade dos bens entregues com as especificações contratadas, procedendo aos recebimentos provisório e definitivo;</w:t>
      </w:r>
    </w:p>
    <w:p w14:paraId="30463920"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designar servidor responsável para acompanhamento e fiscalização do contrato;</w:t>
      </w:r>
    </w:p>
    <w:p w14:paraId="110A402B"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efetuar o pagamento conforme as condições estabelecidas neste Termo de Referência;</w:t>
      </w:r>
    </w:p>
    <w:p w14:paraId="514C664C"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comunicar formalmente à contratada qualquer irregularidade verificada na execução do objeto;</w:t>
      </w:r>
    </w:p>
    <w:p w14:paraId="7AFD3FAE"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proporcionar à contratada as condições necessárias à regular execução do contrato.</w:t>
      </w:r>
    </w:p>
    <w:p w14:paraId="608100C0" w14:textId="77777777" w:rsidR="006D64CE" w:rsidRPr="00EB2564" w:rsidRDefault="00000000">
      <w:pPr>
        <w:spacing w:before="280" w:after="140"/>
        <w:rPr>
          <w:sz w:val="24"/>
          <w:szCs w:val="24"/>
        </w:rPr>
      </w:pPr>
      <w:r w:rsidRPr="00EB2564">
        <w:rPr>
          <w:rFonts w:eastAsia="Calibri"/>
          <w:b/>
          <w:bCs/>
          <w:sz w:val="24"/>
          <w:szCs w:val="24"/>
        </w:rPr>
        <w:t>6. OBRIGAÇÕES DA CONTRATADA</w:t>
      </w:r>
    </w:p>
    <w:p w14:paraId="5006C068" w14:textId="77777777" w:rsidR="006D64CE" w:rsidRPr="00EB2564" w:rsidRDefault="00000000">
      <w:pPr>
        <w:spacing w:after="160"/>
        <w:jc w:val="both"/>
        <w:rPr>
          <w:sz w:val="24"/>
          <w:szCs w:val="24"/>
        </w:rPr>
      </w:pPr>
      <w:r w:rsidRPr="00EB2564">
        <w:rPr>
          <w:rFonts w:eastAsia="Calibri"/>
          <w:sz w:val="24"/>
          <w:szCs w:val="24"/>
        </w:rPr>
        <w:t>6.1. A Contratada deve cumprir todas as obrigações constantes neste instrumento e em sua proposta, assumindo como exclusivamente seus os riscos e as despesas decorrentes do fornecimento e da entrega do objeto e, ainda:</w:t>
      </w:r>
    </w:p>
    <w:p w14:paraId="2E103CE2" w14:textId="77777777" w:rsidR="006D64CE" w:rsidRPr="00EB2564" w:rsidRDefault="00000000">
      <w:pPr>
        <w:pStyle w:val="PargrafodaLista"/>
        <w:numPr>
          <w:ilvl w:val="0"/>
          <w:numId w:val="2"/>
        </w:numPr>
        <w:spacing w:after="100"/>
        <w:jc w:val="both"/>
        <w:rPr>
          <w:sz w:val="24"/>
          <w:szCs w:val="24"/>
        </w:rPr>
      </w:pPr>
      <w:proofErr w:type="spellStart"/>
      <w:r w:rsidRPr="00EB2564">
        <w:rPr>
          <w:rFonts w:eastAsia="Calibri"/>
          <w:sz w:val="24"/>
          <w:szCs w:val="24"/>
        </w:rPr>
        <w:t>fornecer</w:t>
      </w:r>
      <w:proofErr w:type="spellEnd"/>
      <w:r w:rsidRPr="00EB2564">
        <w:rPr>
          <w:rFonts w:eastAsia="Calibri"/>
          <w:sz w:val="24"/>
          <w:szCs w:val="24"/>
        </w:rPr>
        <w:t xml:space="preserve"> os bens em conformidade com as especificações, quantitativos, prazos e condições constantes neste Termo de Referência;</w:t>
      </w:r>
    </w:p>
    <w:p w14:paraId="3FFC818B"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substituir, às suas expensas, no prazo fixado pelo fiscal do contrato, os bens que forem recusados por não atenderem às especificações contratadas;</w:t>
      </w:r>
    </w:p>
    <w:p w14:paraId="55028A5C"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responsabilizar-se pelos encargos trabalhistas, previdenciários, fiscais, comerciais e tributários decorrentes da execução do contrato;</w:t>
      </w:r>
    </w:p>
    <w:p w14:paraId="5D82D598"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manter, durante toda a execução do contrato, em compatibilidade com as obrigações assumidas, todas as condições de habilitação exigidas para a contratação;</w:t>
      </w:r>
    </w:p>
    <w:p w14:paraId="7F4910D1"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indicar preposto para representá-la durante a execução do contrato, quando aplicável;</w:t>
      </w:r>
    </w:p>
    <w:p w14:paraId="311711A5"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lastRenderedPageBreak/>
        <w:t>garantir a qualidade dos bens fornecidos, respondendo por vícios ou defeitos verificados após o recebimento definitivo, na forma da legislação civil e consumerista aplicável.</w:t>
      </w:r>
    </w:p>
    <w:p w14:paraId="5D0CBA2F" w14:textId="77777777" w:rsidR="006D64CE" w:rsidRPr="00EB2564" w:rsidRDefault="00000000">
      <w:pPr>
        <w:spacing w:before="280" w:after="140"/>
        <w:rPr>
          <w:sz w:val="24"/>
          <w:szCs w:val="24"/>
        </w:rPr>
      </w:pPr>
      <w:r w:rsidRPr="00EB2564">
        <w:rPr>
          <w:rFonts w:eastAsia="Calibri"/>
          <w:b/>
          <w:bCs/>
          <w:sz w:val="24"/>
          <w:szCs w:val="24"/>
        </w:rPr>
        <w:t>7. FORMA E CRITÉRIOS DE SELEÇÃO DO FORNECEDOR</w:t>
      </w:r>
    </w:p>
    <w:p w14:paraId="4C4F95B5" w14:textId="6A5E74BE" w:rsidR="006D64CE" w:rsidRPr="00EB2564" w:rsidRDefault="00000000">
      <w:pPr>
        <w:spacing w:after="160"/>
        <w:jc w:val="both"/>
        <w:rPr>
          <w:sz w:val="24"/>
          <w:szCs w:val="24"/>
        </w:rPr>
      </w:pPr>
      <w:r w:rsidRPr="00EB2564">
        <w:rPr>
          <w:rFonts w:eastAsia="Calibri"/>
          <w:sz w:val="24"/>
          <w:szCs w:val="24"/>
        </w:rPr>
        <w:t xml:space="preserve">7.1. O fornecedor será selecionado por meio da realização de procedimento de contratação direta por dispensa de licitação, com fundamento no </w:t>
      </w:r>
      <w:r w:rsidRPr="00EB2564">
        <w:rPr>
          <w:rFonts w:eastAsia="Calibri"/>
          <w:b/>
          <w:bCs/>
          <w:sz w:val="24"/>
          <w:szCs w:val="24"/>
        </w:rPr>
        <w:t>art. 75, inciso II, da Lei nº 14.133, de 2021</w:t>
      </w:r>
      <w:r w:rsidRPr="00EB2564">
        <w:rPr>
          <w:rFonts w:eastAsia="Calibri"/>
          <w:sz w:val="24"/>
          <w:szCs w:val="24"/>
        </w:rPr>
        <w:t>, tendo em vista que o valor estimado da contratação (</w:t>
      </w:r>
      <w:r w:rsidRPr="00EB2564">
        <w:rPr>
          <w:rFonts w:eastAsia="Calibri"/>
          <w:b/>
          <w:bCs/>
          <w:sz w:val="24"/>
          <w:szCs w:val="24"/>
        </w:rPr>
        <w:t>R$ 64.</w:t>
      </w:r>
      <w:r w:rsidR="00D03045">
        <w:rPr>
          <w:rFonts w:eastAsia="Calibri"/>
          <w:b/>
          <w:bCs/>
          <w:sz w:val="24"/>
          <w:szCs w:val="24"/>
        </w:rPr>
        <w:t>103</w:t>
      </w:r>
      <w:r w:rsidRPr="00EB2564">
        <w:rPr>
          <w:rFonts w:eastAsia="Calibri"/>
          <w:b/>
          <w:bCs/>
          <w:sz w:val="24"/>
          <w:szCs w:val="24"/>
        </w:rPr>
        <w:t>,</w:t>
      </w:r>
      <w:r w:rsidR="00D03045">
        <w:rPr>
          <w:rFonts w:eastAsia="Calibri"/>
          <w:b/>
          <w:bCs/>
          <w:sz w:val="24"/>
          <w:szCs w:val="24"/>
        </w:rPr>
        <w:t>33</w:t>
      </w:r>
      <w:r w:rsidRPr="00EB2564">
        <w:rPr>
          <w:rFonts w:eastAsia="Calibri"/>
          <w:sz w:val="24"/>
          <w:szCs w:val="24"/>
        </w:rPr>
        <w:t xml:space="preserve">) não ultrapassa o limite de </w:t>
      </w:r>
      <w:r w:rsidRPr="00EB2564">
        <w:rPr>
          <w:rFonts w:eastAsia="Calibri"/>
          <w:b/>
          <w:bCs/>
          <w:sz w:val="24"/>
          <w:szCs w:val="24"/>
        </w:rPr>
        <w:t>R$ 65.492,11</w:t>
      </w:r>
      <w:r w:rsidRPr="00EB2564">
        <w:rPr>
          <w:rFonts w:eastAsia="Calibri"/>
          <w:sz w:val="24"/>
          <w:szCs w:val="24"/>
        </w:rPr>
        <w:t>, vigente para o exercício de 2026 nos termos do Decreto nº 12.807, de 29 de dezembro de 2025, editado em cumprimento ao art. 182 da Lei nº 14.133, de 2021.</w:t>
      </w:r>
    </w:p>
    <w:p w14:paraId="242F2B87" w14:textId="77777777" w:rsidR="006D64CE" w:rsidRPr="00EB2564" w:rsidRDefault="00000000">
      <w:pPr>
        <w:spacing w:after="160"/>
        <w:jc w:val="both"/>
        <w:rPr>
          <w:sz w:val="24"/>
          <w:szCs w:val="24"/>
        </w:rPr>
      </w:pPr>
      <w:r w:rsidRPr="00EB2564">
        <w:rPr>
          <w:rFonts w:eastAsia="Calibri"/>
          <w:sz w:val="24"/>
          <w:szCs w:val="24"/>
        </w:rPr>
        <w:t>7.2. A contratação não é restrita a Microempreendedor Individual - MEI, podendo participar qualquer pessoa jurídica regularmente constituída, do ramo de atividade compatível com o objeto, inclusive Microempresas (ME) e Empresas de Pequeno Porte (EPP), observado, quando aplicável, o tratamento diferenciado previsto na Lei Complementar nº 123, de 2006.</w:t>
      </w:r>
    </w:p>
    <w:p w14:paraId="40A5ADAA" w14:textId="77777777" w:rsidR="006D64CE" w:rsidRPr="00EB2564" w:rsidRDefault="00000000">
      <w:pPr>
        <w:spacing w:after="160"/>
        <w:jc w:val="both"/>
        <w:rPr>
          <w:sz w:val="24"/>
          <w:szCs w:val="24"/>
        </w:rPr>
      </w:pPr>
      <w:r w:rsidRPr="00EB2564">
        <w:rPr>
          <w:rFonts w:eastAsia="Calibri"/>
          <w:sz w:val="24"/>
          <w:szCs w:val="24"/>
        </w:rPr>
        <w:t>7.3. Para fins de habilitação, deverá o interessado comprovar os seguintes requisitos:</w:t>
      </w:r>
    </w:p>
    <w:p w14:paraId="2F042182" w14:textId="77777777" w:rsidR="006D64CE" w:rsidRPr="00EB2564" w:rsidRDefault="00000000">
      <w:pPr>
        <w:spacing w:after="160"/>
        <w:jc w:val="both"/>
        <w:rPr>
          <w:sz w:val="24"/>
          <w:szCs w:val="24"/>
        </w:rPr>
      </w:pPr>
      <w:r w:rsidRPr="00EB2564">
        <w:rPr>
          <w:rFonts w:eastAsia="Calibri"/>
          <w:sz w:val="24"/>
          <w:szCs w:val="24"/>
        </w:rPr>
        <w:t>7.4. Habilitação jurídica</w:t>
      </w:r>
    </w:p>
    <w:p w14:paraId="4C864E65"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ato constitutivo, estatuto ou contrato social em vigor, devidamente registrado, ou Certificado da Condição de Microempreendedor Individual - CCMEI, conforme o caso, compatível com o objeto da contratação.</w:t>
      </w:r>
    </w:p>
    <w:p w14:paraId="577A4E2F" w14:textId="77777777" w:rsidR="006D64CE" w:rsidRPr="00EB2564" w:rsidRDefault="00000000">
      <w:pPr>
        <w:spacing w:after="160"/>
        <w:jc w:val="both"/>
        <w:rPr>
          <w:sz w:val="24"/>
          <w:szCs w:val="24"/>
        </w:rPr>
      </w:pPr>
      <w:r w:rsidRPr="00EB2564">
        <w:rPr>
          <w:rFonts w:eastAsia="Calibri"/>
          <w:sz w:val="24"/>
          <w:szCs w:val="24"/>
        </w:rPr>
        <w:t>7.5. Habilitação fiscal, social e trabalhista</w:t>
      </w:r>
    </w:p>
    <w:p w14:paraId="0A164495"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prova de inscrição no Cadastro Nacional da Pessoa Jurídica (CNPJ);</w:t>
      </w:r>
    </w:p>
    <w:p w14:paraId="1351C400"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prova de regularidade fiscal perante a Fazenda Nacional, mediante certidão conjunta expedida pela Secretaria Especial da Receita Federal do Brasil (RFB) e pela Procuradoria-Geral da Fazenda Nacional (PGFN);</w:t>
      </w:r>
    </w:p>
    <w:p w14:paraId="42D8EC7F"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prova de regularidade relativa ao Fundo de Garantia do Tempo de Serviço (FGTS);</w:t>
      </w:r>
    </w:p>
    <w:p w14:paraId="16F59C55"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prova de inexistência de débitos inadimplidos perante a Justiça do Trabalho, mediante Certidão Negativa de Débitos Trabalhistas (CNDT);</w:t>
      </w:r>
    </w:p>
    <w:p w14:paraId="50E3BD05" w14:textId="557371B8" w:rsidR="006D64CE" w:rsidRPr="00FD6F83" w:rsidRDefault="00000000" w:rsidP="00FD6F83">
      <w:pPr>
        <w:pStyle w:val="PargrafodaLista"/>
        <w:numPr>
          <w:ilvl w:val="0"/>
          <w:numId w:val="2"/>
        </w:numPr>
        <w:spacing w:after="100"/>
        <w:jc w:val="both"/>
        <w:rPr>
          <w:sz w:val="24"/>
          <w:szCs w:val="24"/>
        </w:rPr>
      </w:pPr>
      <w:r w:rsidRPr="00EB2564">
        <w:rPr>
          <w:rFonts w:eastAsia="Calibri"/>
          <w:sz w:val="24"/>
          <w:szCs w:val="24"/>
        </w:rPr>
        <w:t>prova de regularidade perante as Fazendas Estadual e Municipal do domicílio ou sede da contratada.</w:t>
      </w:r>
    </w:p>
    <w:p w14:paraId="4BD75BD5" w14:textId="77777777" w:rsidR="006D64CE" w:rsidRPr="00EB2564" w:rsidRDefault="00000000">
      <w:pPr>
        <w:spacing w:before="280" w:after="140"/>
        <w:rPr>
          <w:sz w:val="24"/>
          <w:szCs w:val="24"/>
        </w:rPr>
      </w:pPr>
      <w:r w:rsidRPr="00EB2564">
        <w:rPr>
          <w:rFonts w:eastAsia="Calibri"/>
          <w:b/>
          <w:bCs/>
          <w:sz w:val="24"/>
          <w:szCs w:val="24"/>
        </w:rPr>
        <w:t>8. DA SUBCONTRATAÇÃO</w:t>
      </w:r>
    </w:p>
    <w:p w14:paraId="1FEACD40" w14:textId="77777777" w:rsidR="006D64CE" w:rsidRPr="00EB2564" w:rsidRDefault="00000000">
      <w:pPr>
        <w:spacing w:after="160"/>
        <w:jc w:val="both"/>
        <w:rPr>
          <w:sz w:val="24"/>
          <w:szCs w:val="24"/>
        </w:rPr>
      </w:pPr>
      <w:r w:rsidRPr="00EB2564">
        <w:rPr>
          <w:rFonts w:eastAsia="Calibri"/>
          <w:sz w:val="24"/>
          <w:szCs w:val="24"/>
        </w:rPr>
        <w:t>8.1. Será admitida a subcontratação parcial do objeto, limitada à confecção de itens específicos (bois folclóricos, figurinos ou adereços), desde que previamente autorizada pela Administração e mantida a responsabilidade integral da contratada pela qualidade e pelo prazo de entrega do objeto.</w:t>
      </w:r>
    </w:p>
    <w:p w14:paraId="0DD0E60C" w14:textId="77777777" w:rsidR="006D64CE" w:rsidRPr="00EB2564" w:rsidRDefault="00000000">
      <w:pPr>
        <w:spacing w:before="280" w:after="140"/>
        <w:rPr>
          <w:sz w:val="24"/>
          <w:szCs w:val="24"/>
        </w:rPr>
      </w:pPr>
      <w:r w:rsidRPr="00EB2564">
        <w:rPr>
          <w:rFonts w:eastAsia="Calibri"/>
          <w:b/>
          <w:bCs/>
          <w:sz w:val="24"/>
          <w:szCs w:val="24"/>
        </w:rPr>
        <w:t>9. DA ALTERAÇÃO SUBJETIVA</w:t>
      </w:r>
    </w:p>
    <w:p w14:paraId="22160D03" w14:textId="77777777" w:rsidR="006D64CE" w:rsidRDefault="00000000">
      <w:pPr>
        <w:spacing w:after="160"/>
        <w:jc w:val="both"/>
        <w:rPr>
          <w:rFonts w:eastAsia="Calibri"/>
          <w:sz w:val="24"/>
          <w:szCs w:val="24"/>
        </w:rPr>
      </w:pPr>
      <w:r w:rsidRPr="00EB2564">
        <w:rPr>
          <w:rFonts w:eastAsia="Calibri"/>
          <w:sz w:val="24"/>
          <w:szCs w:val="24"/>
        </w:rPr>
        <w:t>9.1. É admitida a fusão, cisão ou incorporação da contratada, desde que mantidas as condições de habilitação exigidas nesta contratação e não haja prejuízo à execução do objeto, mediante anuência expressa da Administração.</w:t>
      </w:r>
    </w:p>
    <w:p w14:paraId="17F43299" w14:textId="77777777" w:rsidR="00965A65" w:rsidRDefault="00965A65">
      <w:pPr>
        <w:spacing w:after="160"/>
        <w:jc w:val="both"/>
        <w:rPr>
          <w:rFonts w:eastAsia="Calibri"/>
          <w:sz w:val="24"/>
          <w:szCs w:val="24"/>
        </w:rPr>
      </w:pPr>
    </w:p>
    <w:p w14:paraId="2766464B" w14:textId="77777777" w:rsidR="00965A65" w:rsidRPr="00EB2564" w:rsidRDefault="00965A65">
      <w:pPr>
        <w:spacing w:after="160"/>
        <w:jc w:val="both"/>
        <w:rPr>
          <w:sz w:val="24"/>
          <w:szCs w:val="24"/>
        </w:rPr>
      </w:pPr>
    </w:p>
    <w:p w14:paraId="42FDFDD6" w14:textId="77777777" w:rsidR="006D64CE" w:rsidRPr="00EB2564" w:rsidRDefault="00000000">
      <w:pPr>
        <w:spacing w:before="280" w:after="140"/>
        <w:rPr>
          <w:sz w:val="24"/>
          <w:szCs w:val="24"/>
        </w:rPr>
      </w:pPr>
      <w:r w:rsidRPr="00EB2564">
        <w:rPr>
          <w:rFonts w:eastAsia="Calibri"/>
          <w:b/>
          <w:bCs/>
          <w:sz w:val="24"/>
          <w:szCs w:val="24"/>
        </w:rPr>
        <w:lastRenderedPageBreak/>
        <w:t>10. DO CONTROLE E FISCALIZAÇÃO DA EXECUÇÃO</w:t>
      </w:r>
    </w:p>
    <w:p w14:paraId="24FFDB1A" w14:textId="77777777" w:rsidR="006D64CE" w:rsidRPr="00EB2564" w:rsidRDefault="00000000">
      <w:pPr>
        <w:spacing w:after="160"/>
        <w:jc w:val="both"/>
        <w:rPr>
          <w:sz w:val="24"/>
          <w:szCs w:val="24"/>
        </w:rPr>
      </w:pPr>
      <w:r w:rsidRPr="00EB2564">
        <w:rPr>
          <w:rFonts w:eastAsia="Calibri"/>
          <w:sz w:val="24"/>
          <w:szCs w:val="24"/>
        </w:rPr>
        <w:t>10.1. Nos termos do art. 117 da Lei nº 14.133, de 2021, será designado representante para acompanhar e fiscalizar o fornecimento dos bens, anotando em registro próprio todas as ocorrências relacionadas com a execução e determinando o que for necessário à regularização de falhas ou defeitos observados.</w:t>
      </w:r>
    </w:p>
    <w:p w14:paraId="06853E8E" w14:textId="77777777" w:rsidR="006D64CE" w:rsidRPr="00EB2564" w:rsidRDefault="00000000">
      <w:pPr>
        <w:spacing w:after="160"/>
        <w:jc w:val="both"/>
        <w:rPr>
          <w:sz w:val="24"/>
          <w:szCs w:val="24"/>
        </w:rPr>
      </w:pPr>
      <w:r w:rsidRPr="00EB2564">
        <w:rPr>
          <w:rFonts w:eastAsia="Calibri"/>
          <w:sz w:val="24"/>
          <w:szCs w:val="24"/>
        </w:rPr>
        <w:t>10.2. A fiscalização de que trata este item não exclui nem reduz a responsabilidade da Contratada, inclusive perante terceiros, por qualquer irregularidade, ainda que resultante de imperfeições técnicas, e, na ocorrência desta, não implica corresponsabilidade da Administração ou de seus agentes e prepostos, nos termos do art. 120 da Lei nº 14.133, de 2021.</w:t>
      </w:r>
    </w:p>
    <w:p w14:paraId="40BD735A" w14:textId="77777777" w:rsidR="006D64CE" w:rsidRPr="00EB2564" w:rsidRDefault="00000000">
      <w:pPr>
        <w:spacing w:after="160"/>
        <w:jc w:val="both"/>
        <w:rPr>
          <w:sz w:val="24"/>
          <w:szCs w:val="24"/>
        </w:rPr>
      </w:pPr>
      <w:r w:rsidRPr="00EB2564">
        <w:rPr>
          <w:rFonts w:eastAsia="Calibri"/>
          <w:sz w:val="24"/>
          <w:szCs w:val="24"/>
        </w:rPr>
        <w:t>10.3. O representante da Administração anotará em registro próprio todas as ocorrências relacionadas com a execução do contrato, indicando dia, mês e ano, determinando o que for necessário à regularização das falhas ou defeitos observados e encaminhando os apontamentos à autoridade competente para as providências cabíveis.</w:t>
      </w:r>
    </w:p>
    <w:p w14:paraId="3EFF0C27" w14:textId="77777777" w:rsidR="006D64CE" w:rsidRPr="00EB2564" w:rsidRDefault="00000000">
      <w:pPr>
        <w:spacing w:before="280" w:after="140"/>
        <w:rPr>
          <w:sz w:val="24"/>
          <w:szCs w:val="24"/>
        </w:rPr>
      </w:pPr>
      <w:r w:rsidRPr="00EB2564">
        <w:rPr>
          <w:rFonts w:eastAsia="Calibri"/>
          <w:b/>
          <w:bCs/>
          <w:sz w:val="24"/>
          <w:szCs w:val="24"/>
        </w:rPr>
        <w:t>11. DO PAGAMENTO</w:t>
      </w:r>
    </w:p>
    <w:p w14:paraId="59820072" w14:textId="3E5F85B6" w:rsidR="006D64CE" w:rsidRPr="00EB2564" w:rsidRDefault="00000000">
      <w:pPr>
        <w:spacing w:after="160"/>
        <w:jc w:val="both"/>
        <w:rPr>
          <w:sz w:val="24"/>
          <w:szCs w:val="24"/>
        </w:rPr>
      </w:pPr>
      <w:r w:rsidRPr="00EB2564">
        <w:rPr>
          <w:rFonts w:eastAsia="Calibri"/>
          <w:sz w:val="24"/>
          <w:szCs w:val="24"/>
        </w:rPr>
        <w:t>11.1. O pagamento será efetuado no prazo máximo de até 30 (trinta) dias, contados a partir do recebimento definitivo do objeto e da respectiva Nota Fiscal, no valor total estimado de R$ 64.</w:t>
      </w:r>
      <w:r w:rsidR="00983F1E">
        <w:rPr>
          <w:rFonts w:eastAsia="Calibri"/>
          <w:sz w:val="24"/>
          <w:szCs w:val="24"/>
        </w:rPr>
        <w:t>103</w:t>
      </w:r>
      <w:r w:rsidRPr="00EB2564">
        <w:rPr>
          <w:rFonts w:eastAsia="Calibri"/>
          <w:sz w:val="24"/>
          <w:szCs w:val="24"/>
        </w:rPr>
        <w:t>,</w:t>
      </w:r>
      <w:r w:rsidR="00983F1E">
        <w:rPr>
          <w:rFonts w:eastAsia="Calibri"/>
          <w:sz w:val="24"/>
          <w:szCs w:val="24"/>
        </w:rPr>
        <w:t>33</w:t>
      </w:r>
      <w:r w:rsidRPr="00EB2564">
        <w:rPr>
          <w:rFonts w:eastAsia="Calibri"/>
          <w:sz w:val="24"/>
          <w:szCs w:val="24"/>
        </w:rPr>
        <w:t xml:space="preserve"> (sessenta e quatro mil</w:t>
      </w:r>
      <w:r w:rsidR="00983F1E">
        <w:rPr>
          <w:rFonts w:eastAsia="Calibri"/>
          <w:sz w:val="24"/>
          <w:szCs w:val="24"/>
        </w:rPr>
        <w:t>,</w:t>
      </w:r>
      <w:r w:rsidRPr="00EB2564">
        <w:rPr>
          <w:rFonts w:eastAsia="Calibri"/>
          <w:sz w:val="24"/>
          <w:szCs w:val="24"/>
        </w:rPr>
        <w:t xml:space="preserve"> </w:t>
      </w:r>
      <w:r w:rsidR="00983F1E">
        <w:rPr>
          <w:rFonts w:eastAsia="Calibri"/>
          <w:sz w:val="24"/>
          <w:szCs w:val="24"/>
        </w:rPr>
        <w:t>cento e três reais e trinta e três centavos</w:t>
      </w:r>
      <w:r w:rsidRPr="00EB2564">
        <w:rPr>
          <w:rFonts w:eastAsia="Calibri"/>
          <w:sz w:val="24"/>
          <w:szCs w:val="24"/>
        </w:rPr>
        <w:t>), através de ordem bancária, para crédito em banco, agência e conta corrente indicados pela contratada.</w:t>
      </w:r>
    </w:p>
    <w:p w14:paraId="6B57EBCE" w14:textId="77777777" w:rsidR="006D64CE" w:rsidRPr="00EB2564" w:rsidRDefault="00000000">
      <w:pPr>
        <w:spacing w:after="160"/>
        <w:jc w:val="both"/>
        <w:rPr>
          <w:sz w:val="24"/>
          <w:szCs w:val="24"/>
        </w:rPr>
      </w:pPr>
      <w:r w:rsidRPr="00EB2564">
        <w:rPr>
          <w:rFonts w:eastAsia="Calibri"/>
          <w:sz w:val="24"/>
          <w:szCs w:val="24"/>
        </w:rPr>
        <w:t>11.2. A Nota Fiscal deverá ser obrigatoriamente acompanhada da comprovação da regularidade fiscal, constatada por meio de consulta on-line aos sítios eletrônicos oficiais.</w:t>
      </w:r>
    </w:p>
    <w:p w14:paraId="26FE283C" w14:textId="77777777" w:rsidR="006D64CE" w:rsidRPr="00EB2564" w:rsidRDefault="00000000">
      <w:pPr>
        <w:spacing w:after="160"/>
        <w:jc w:val="both"/>
        <w:rPr>
          <w:sz w:val="24"/>
          <w:szCs w:val="24"/>
        </w:rPr>
      </w:pPr>
      <w:r w:rsidRPr="00EB2564">
        <w:rPr>
          <w:rFonts w:eastAsia="Calibri"/>
          <w:sz w:val="24"/>
          <w:szCs w:val="24"/>
        </w:rPr>
        <w:t>11.3. Havendo erro na apresentação da Nota Fiscal ou dos documentos pertinentes à contratação, ou circunstância que impeça a liquidação da despesa, o pagamento ficará sobrestado até que a Contratada providencie as medidas saneadoras, não acarretando qualquer ônus para a Contratante.</w:t>
      </w:r>
    </w:p>
    <w:p w14:paraId="7F5A5CEF" w14:textId="77777777" w:rsidR="006D64CE" w:rsidRPr="00EB2564" w:rsidRDefault="00000000">
      <w:pPr>
        <w:spacing w:after="160"/>
        <w:jc w:val="both"/>
        <w:rPr>
          <w:sz w:val="24"/>
          <w:szCs w:val="24"/>
        </w:rPr>
      </w:pPr>
      <w:r w:rsidRPr="00EB2564">
        <w:rPr>
          <w:rFonts w:eastAsia="Calibri"/>
          <w:sz w:val="24"/>
          <w:szCs w:val="24"/>
        </w:rPr>
        <w:t>11.4. Antes do pagamento à contratada, será realizada consulta on-line aos sítios eletrônicos oficiais para verificar a manutenção das condições de habilitação exigidas.</w:t>
      </w:r>
    </w:p>
    <w:p w14:paraId="48AC468B" w14:textId="77777777" w:rsidR="006D64CE" w:rsidRPr="00EB2564" w:rsidRDefault="00000000">
      <w:pPr>
        <w:spacing w:after="160"/>
        <w:jc w:val="both"/>
        <w:rPr>
          <w:sz w:val="24"/>
          <w:szCs w:val="24"/>
        </w:rPr>
      </w:pPr>
      <w:r w:rsidRPr="00EB2564">
        <w:rPr>
          <w:rFonts w:eastAsia="Calibri"/>
          <w:sz w:val="24"/>
          <w:szCs w:val="24"/>
        </w:rPr>
        <w:t>11.5. Constatando-se situação de irregularidade da contratada, será providenciada sua notificação, por escrito, para que, no prazo de 5 (cinco) dias úteis, regularize sua situação ou apresente defesa, prorrogável uma vez por igual período, a critério da contratante.</w:t>
      </w:r>
    </w:p>
    <w:p w14:paraId="141B16F1" w14:textId="77777777" w:rsidR="006D64CE" w:rsidRPr="00EB2564" w:rsidRDefault="00000000">
      <w:pPr>
        <w:spacing w:after="160"/>
        <w:jc w:val="both"/>
        <w:rPr>
          <w:sz w:val="24"/>
          <w:szCs w:val="24"/>
        </w:rPr>
      </w:pPr>
      <w:r w:rsidRPr="00EB2564">
        <w:rPr>
          <w:rFonts w:eastAsia="Calibri"/>
          <w:sz w:val="24"/>
          <w:szCs w:val="24"/>
        </w:rPr>
        <w:t>11.6. Persistindo a irregularidade, a contratante deverá adotar as medidas necessárias à rescisão contratual, assegurada à contratada a ampla defesa.</w:t>
      </w:r>
    </w:p>
    <w:p w14:paraId="6E4BEA39" w14:textId="77777777" w:rsidR="006D64CE" w:rsidRPr="00EB2564" w:rsidRDefault="00000000">
      <w:pPr>
        <w:spacing w:after="160"/>
        <w:jc w:val="both"/>
        <w:rPr>
          <w:sz w:val="24"/>
          <w:szCs w:val="24"/>
        </w:rPr>
      </w:pPr>
      <w:r w:rsidRPr="00EB2564">
        <w:rPr>
          <w:rFonts w:eastAsia="Calibri"/>
          <w:sz w:val="24"/>
          <w:szCs w:val="24"/>
        </w:rPr>
        <w:t>11.7. Quando do pagamento, será efetuada a retenção tributária prevista na legislação aplicável, ressalvada a Contratada regularmente optante pelo Simples Nacional, nos termos da Lei Complementar nº 123, de 2006, condicionado à apresentação de comprovação de que faz jus ao tratamento tributário favorecido.</w:t>
      </w:r>
    </w:p>
    <w:p w14:paraId="71658244" w14:textId="77777777" w:rsidR="006D64CE" w:rsidRPr="00EB2564" w:rsidRDefault="00000000">
      <w:pPr>
        <w:spacing w:before="280" w:after="140"/>
        <w:rPr>
          <w:sz w:val="24"/>
          <w:szCs w:val="24"/>
        </w:rPr>
      </w:pPr>
      <w:r w:rsidRPr="00EB2564">
        <w:rPr>
          <w:rFonts w:eastAsia="Calibri"/>
          <w:b/>
          <w:bCs/>
          <w:sz w:val="24"/>
          <w:szCs w:val="24"/>
        </w:rPr>
        <w:t>12. DO REAJUSTE</w:t>
      </w:r>
    </w:p>
    <w:p w14:paraId="5E436AC1" w14:textId="77777777" w:rsidR="006D64CE" w:rsidRDefault="00000000">
      <w:pPr>
        <w:spacing w:after="160"/>
        <w:jc w:val="both"/>
        <w:rPr>
          <w:rFonts w:eastAsia="Calibri"/>
          <w:sz w:val="24"/>
          <w:szCs w:val="24"/>
        </w:rPr>
      </w:pPr>
      <w:r w:rsidRPr="00EB2564">
        <w:rPr>
          <w:rFonts w:eastAsia="Calibri"/>
          <w:sz w:val="24"/>
          <w:szCs w:val="24"/>
        </w:rPr>
        <w:t>12.1. Não se aplica reajuste de preços à presente contratação, tendo em vista tratar-se de aquisição de bens com entrega integral e única, a ser executada em prazo inferior a um ano, nos termos do art. 25, §7º, da Lei nº 14.133, de 2021.</w:t>
      </w:r>
    </w:p>
    <w:p w14:paraId="3032BA4E" w14:textId="77777777" w:rsidR="00965A65" w:rsidRPr="00EB2564" w:rsidRDefault="00965A65">
      <w:pPr>
        <w:spacing w:after="160"/>
        <w:jc w:val="both"/>
        <w:rPr>
          <w:sz w:val="24"/>
          <w:szCs w:val="24"/>
        </w:rPr>
      </w:pPr>
    </w:p>
    <w:p w14:paraId="5B635849" w14:textId="77777777" w:rsidR="006D64CE" w:rsidRPr="00EB2564" w:rsidRDefault="00000000">
      <w:pPr>
        <w:spacing w:before="280" w:after="140"/>
        <w:rPr>
          <w:sz w:val="24"/>
          <w:szCs w:val="24"/>
        </w:rPr>
      </w:pPr>
      <w:r w:rsidRPr="00EB2564">
        <w:rPr>
          <w:rFonts w:eastAsia="Calibri"/>
          <w:b/>
          <w:bCs/>
          <w:sz w:val="24"/>
          <w:szCs w:val="24"/>
        </w:rPr>
        <w:lastRenderedPageBreak/>
        <w:t>13. DA GARANTIA DE EXECUÇÃO</w:t>
      </w:r>
    </w:p>
    <w:p w14:paraId="0D3ED11F" w14:textId="77777777" w:rsidR="006D64CE" w:rsidRPr="00EB2564" w:rsidRDefault="00000000">
      <w:pPr>
        <w:spacing w:after="160"/>
        <w:jc w:val="both"/>
        <w:rPr>
          <w:sz w:val="24"/>
          <w:szCs w:val="24"/>
        </w:rPr>
      </w:pPr>
      <w:r w:rsidRPr="00EB2564">
        <w:rPr>
          <w:rFonts w:eastAsia="Calibri"/>
          <w:sz w:val="24"/>
          <w:szCs w:val="24"/>
        </w:rPr>
        <w:t>13.1. Não haverá exigência de garantia contratual de execução, considerando a natureza do objeto — fornecimento de bens de baixa complexidade e risco — e o valor estimado da contratação, nos termos do art. 96 da Lei nº 14.133, de 2021.</w:t>
      </w:r>
    </w:p>
    <w:p w14:paraId="3DE95B9E" w14:textId="77777777" w:rsidR="006D64CE" w:rsidRPr="00EB2564" w:rsidRDefault="00000000">
      <w:pPr>
        <w:spacing w:before="280" w:after="140"/>
        <w:rPr>
          <w:sz w:val="24"/>
          <w:szCs w:val="24"/>
        </w:rPr>
      </w:pPr>
      <w:r w:rsidRPr="00EB2564">
        <w:rPr>
          <w:rFonts w:eastAsia="Calibri"/>
          <w:b/>
          <w:bCs/>
          <w:sz w:val="24"/>
          <w:szCs w:val="24"/>
        </w:rPr>
        <w:t>14. DA GARANTIA DOS BENS FORNECIDOS</w:t>
      </w:r>
    </w:p>
    <w:p w14:paraId="3C6C8F92" w14:textId="77777777" w:rsidR="006D64CE" w:rsidRPr="00EB2564" w:rsidRDefault="00000000">
      <w:pPr>
        <w:spacing w:after="160"/>
        <w:jc w:val="both"/>
        <w:rPr>
          <w:sz w:val="24"/>
          <w:szCs w:val="24"/>
        </w:rPr>
      </w:pPr>
      <w:r w:rsidRPr="00EB2564">
        <w:rPr>
          <w:rFonts w:eastAsia="Calibri"/>
          <w:sz w:val="24"/>
          <w:szCs w:val="24"/>
        </w:rPr>
        <w:t>14.1. Os bens fornecidos deverão possuir garantia mínima de 90 (noventa) dias, contados do recebimento definitivo, contra defeitos de fabricação, vícios de qualidade ou quantidade que os tornem impróprios ou inadequados ao uso a que se destinam, sem prejuízo de prazo superior estabelecido em legislação específica ou pelo fabricante.</w:t>
      </w:r>
    </w:p>
    <w:p w14:paraId="2BCC9F58" w14:textId="77777777" w:rsidR="006D64CE" w:rsidRPr="00EB2564" w:rsidRDefault="00000000">
      <w:pPr>
        <w:spacing w:after="160"/>
        <w:jc w:val="both"/>
        <w:rPr>
          <w:sz w:val="24"/>
          <w:szCs w:val="24"/>
        </w:rPr>
      </w:pPr>
      <w:r w:rsidRPr="00EB2564">
        <w:rPr>
          <w:rFonts w:eastAsia="Calibri"/>
          <w:sz w:val="24"/>
          <w:szCs w:val="24"/>
        </w:rPr>
        <w:t>14.2. Constatado o defeito ou vício dentro do prazo de garantia, a contratada deverá promover a substituição ou o reparo do bem no prazo máximo de 05 (cinco) dias úteis, contados da notificação, sem ônus para a Contratante.</w:t>
      </w:r>
    </w:p>
    <w:p w14:paraId="6409BB7F" w14:textId="77777777" w:rsidR="006D64CE" w:rsidRPr="00EB2564" w:rsidRDefault="00000000">
      <w:pPr>
        <w:spacing w:before="280" w:after="140"/>
        <w:rPr>
          <w:sz w:val="24"/>
          <w:szCs w:val="24"/>
        </w:rPr>
      </w:pPr>
      <w:r w:rsidRPr="00EB2564">
        <w:rPr>
          <w:rFonts w:eastAsia="Calibri"/>
          <w:b/>
          <w:bCs/>
          <w:sz w:val="24"/>
          <w:szCs w:val="24"/>
        </w:rPr>
        <w:t>15. DAS SANÇÕES ADMINISTRATIVAS</w:t>
      </w:r>
    </w:p>
    <w:p w14:paraId="646AF0BE" w14:textId="77777777" w:rsidR="006D64CE" w:rsidRPr="00EB2564" w:rsidRDefault="00000000">
      <w:pPr>
        <w:spacing w:after="160"/>
        <w:jc w:val="both"/>
        <w:rPr>
          <w:sz w:val="24"/>
          <w:szCs w:val="24"/>
        </w:rPr>
      </w:pPr>
      <w:r w:rsidRPr="00EB2564">
        <w:rPr>
          <w:rFonts w:eastAsia="Calibri"/>
          <w:sz w:val="24"/>
          <w:szCs w:val="24"/>
        </w:rPr>
        <w:t xml:space="preserve">15.1. Comete infração administrativa, nos termos da Lei nº 14.133, de 2021, a Contratada que: </w:t>
      </w:r>
      <w:proofErr w:type="spellStart"/>
      <w:r w:rsidRPr="00EB2564">
        <w:rPr>
          <w:rFonts w:eastAsia="Calibri"/>
          <w:sz w:val="24"/>
          <w:szCs w:val="24"/>
        </w:rPr>
        <w:t>inexecutar</w:t>
      </w:r>
      <w:proofErr w:type="spellEnd"/>
      <w:r w:rsidRPr="00EB2564">
        <w:rPr>
          <w:rFonts w:eastAsia="Calibri"/>
          <w:sz w:val="24"/>
          <w:szCs w:val="24"/>
        </w:rPr>
        <w:t xml:space="preserve"> total ou parcialmente qualquer das obrigações assumidas; ensejar o retardamento da execução do objeto; falhar ou fraudar na execução do contrato; comportar-se de modo inidôneo; ou cometer fraude fiscal.</w:t>
      </w:r>
    </w:p>
    <w:p w14:paraId="75A2A1A8" w14:textId="77777777" w:rsidR="006D64CE" w:rsidRPr="00EB2564" w:rsidRDefault="00000000">
      <w:pPr>
        <w:spacing w:after="160"/>
        <w:jc w:val="both"/>
        <w:rPr>
          <w:sz w:val="24"/>
          <w:szCs w:val="24"/>
        </w:rPr>
      </w:pPr>
      <w:r w:rsidRPr="00EB2564">
        <w:rPr>
          <w:rFonts w:eastAsia="Calibri"/>
          <w:sz w:val="24"/>
          <w:szCs w:val="24"/>
        </w:rPr>
        <w:t>15.2. Pela inexecução total ou parcial do objeto, a Administração poderá aplicar à Contratada as seguintes sanções:</w:t>
      </w:r>
    </w:p>
    <w:p w14:paraId="7B2094CD"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advertência, por faltas leves, assim entendidas aquelas que não acarretem prejuízos significativos à Contratante;</w:t>
      </w:r>
    </w:p>
    <w:p w14:paraId="2BF97688"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multa moratória de 0,5% (meio por cento) por dia de atraso injustificado, até o limite de 30% (trinta por cento), nos termos do art. 156, §3º, da Lei nº 14.133, de 2021;</w:t>
      </w:r>
    </w:p>
    <w:p w14:paraId="1C451534"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multa compensatória de 20% (vinte por cento) sobre o valor total do contrato, em caso de inexecução total, aplicada de forma proporcional em caso de inexecução parcial;</w:t>
      </w:r>
    </w:p>
    <w:p w14:paraId="214B1E8B"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suspensão de licitar e impedimento de contratar com o órgão, entidade ou unidade administrativa, pelo prazo de até 2 (dois) anos;</w:t>
      </w:r>
    </w:p>
    <w:p w14:paraId="59DF8C3E"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impedimento de licitar e contratar com órgãos e entidades da Prefeitura Municipal de Eirunepé/AM, pelo prazo de até 5 (cinco) anos;</w:t>
      </w:r>
    </w:p>
    <w:p w14:paraId="701406E1" w14:textId="77777777" w:rsidR="006D64CE" w:rsidRPr="00EB2564" w:rsidRDefault="00000000">
      <w:pPr>
        <w:pStyle w:val="PargrafodaLista"/>
        <w:numPr>
          <w:ilvl w:val="0"/>
          <w:numId w:val="2"/>
        </w:numPr>
        <w:spacing w:after="100"/>
        <w:jc w:val="both"/>
        <w:rPr>
          <w:sz w:val="24"/>
          <w:szCs w:val="24"/>
        </w:rPr>
      </w:pPr>
      <w:r w:rsidRPr="00EB2564">
        <w:rPr>
          <w:rFonts w:eastAsia="Calibri"/>
          <w:sz w:val="24"/>
          <w:szCs w:val="24"/>
        </w:rPr>
        <w:t>declaração de inidoneidade para licitar ou contratar com a Administração Pública, enquanto perdurarem os motivos determinantes da punição.</w:t>
      </w:r>
    </w:p>
    <w:p w14:paraId="4B58D635" w14:textId="77777777" w:rsidR="006D64CE" w:rsidRPr="00EB2564" w:rsidRDefault="00000000">
      <w:pPr>
        <w:spacing w:after="160"/>
        <w:jc w:val="both"/>
        <w:rPr>
          <w:sz w:val="24"/>
          <w:szCs w:val="24"/>
        </w:rPr>
      </w:pPr>
      <w:r w:rsidRPr="00EB2564">
        <w:rPr>
          <w:rFonts w:eastAsia="Calibri"/>
          <w:sz w:val="24"/>
          <w:szCs w:val="24"/>
        </w:rPr>
        <w:t>15.3. As sanções de suspensão, impedimento e declaração de inidoneidade poderão ser aplicadas cumulativamente com a multa, descontando-a dos pagamentos devidos.</w:t>
      </w:r>
    </w:p>
    <w:p w14:paraId="2A1E7B75" w14:textId="77777777" w:rsidR="006D64CE" w:rsidRPr="00EB2564" w:rsidRDefault="00000000">
      <w:pPr>
        <w:spacing w:after="160"/>
        <w:jc w:val="both"/>
        <w:rPr>
          <w:sz w:val="24"/>
          <w:szCs w:val="24"/>
        </w:rPr>
      </w:pPr>
      <w:r w:rsidRPr="00EB2564">
        <w:rPr>
          <w:rFonts w:eastAsia="Calibri"/>
          <w:sz w:val="24"/>
          <w:szCs w:val="24"/>
        </w:rPr>
        <w:t>15.4. A aplicação das penalidades observará processo administrativo que assegure o contraditório e a ampla defesa à Contratada, nos termos da Lei nº 14.133, de 2021, e, subsidiariamente, da Lei nº 9.784, de 1999.</w:t>
      </w:r>
    </w:p>
    <w:p w14:paraId="6E7306ED" w14:textId="77777777" w:rsidR="006D64CE" w:rsidRPr="00EB2564" w:rsidRDefault="00000000">
      <w:pPr>
        <w:spacing w:after="160"/>
        <w:jc w:val="both"/>
        <w:rPr>
          <w:sz w:val="24"/>
          <w:szCs w:val="24"/>
        </w:rPr>
      </w:pPr>
      <w:r w:rsidRPr="00EB2564">
        <w:rPr>
          <w:rFonts w:eastAsia="Calibri"/>
          <w:sz w:val="24"/>
          <w:szCs w:val="24"/>
        </w:rPr>
        <w:t>15.5. As multas e/ou prejuízos causados à Contratante serão deduzidos dos valores a serem pagos ou cobrados judicialmente, conforme o caso.</w:t>
      </w:r>
    </w:p>
    <w:p w14:paraId="4DDDA09E" w14:textId="77777777" w:rsidR="006D64CE" w:rsidRPr="00EB2564" w:rsidRDefault="00000000">
      <w:pPr>
        <w:spacing w:after="160"/>
        <w:jc w:val="both"/>
        <w:rPr>
          <w:sz w:val="24"/>
          <w:szCs w:val="24"/>
        </w:rPr>
      </w:pPr>
      <w:r w:rsidRPr="00EB2564">
        <w:rPr>
          <w:rFonts w:eastAsia="Calibri"/>
          <w:sz w:val="24"/>
          <w:szCs w:val="24"/>
        </w:rPr>
        <w:t>15.6. As penalidades serão obrigatoriamente publicadas no órgão oficial de imprensa do Município.</w:t>
      </w:r>
    </w:p>
    <w:p w14:paraId="4A67A43D" w14:textId="77777777" w:rsidR="006D64CE" w:rsidRPr="00EB2564" w:rsidRDefault="00000000">
      <w:pPr>
        <w:spacing w:before="280" w:after="140"/>
        <w:rPr>
          <w:sz w:val="24"/>
          <w:szCs w:val="24"/>
        </w:rPr>
      </w:pPr>
      <w:r w:rsidRPr="00EB2564">
        <w:rPr>
          <w:rFonts w:eastAsia="Calibri"/>
          <w:b/>
          <w:bCs/>
          <w:sz w:val="24"/>
          <w:szCs w:val="24"/>
        </w:rPr>
        <w:lastRenderedPageBreak/>
        <w:t>16. ESTIMATIVA DE PREÇOS E PREÇOS REFERENCIAIS</w:t>
      </w:r>
    </w:p>
    <w:p w14:paraId="0514A602" w14:textId="71BD5CF5" w:rsidR="006D64CE" w:rsidRPr="00EB2564" w:rsidRDefault="00000000">
      <w:pPr>
        <w:spacing w:after="160"/>
        <w:jc w:val="both"/>
        <w:rPr>
          <w:sz w:val="24"/>
          <w:szCs w:val="24"/>
        </w:rPr>
      </w:pPr>
      <w:r w:rsidRPr="00D03045">
        <w:rPr>
          <w:rFonts w:eastAsia="Calibri"/>
          <w:sz w:val="24"/>
          <w:szCs w:val="24"/>
        </w:rPr>
        <w:t xml:space="preserve">16.1. O custo estimado da contratação é de </w:t>
      </w:r>
      <w:r w:rsidRPr="00D03045">
        <w:rPr>
          <w:rFonts w:eastAsia="Calibri"/>
          <w:b/>
          <w:bCs/>
          <w:sz w:val="24"/>
          <w:szCs w:val="24"/>
        </w:rPr>
        <w:t>R$ 64.</w:t>
      </w:r>
      <w:r w:rsidR="00D03045" w:rsidRPr="00D03045">
        <w:rPr>
          <w:rFonts w:eastAsia="Calibri"/>
          <w:b/>
          <w:bCs/>
          <w:sz w:val="24"/>
          <w:szCs w:val="24"/>
        </w:rPr>
        <w:t>103,33</w:t>
      </w:r>
      <w:r w:rsidRPr="00D03045">
        <w:rPr>
          <w:rFonts w:eastAsia="Calibri"/>
          <w:b/>
          <w:bCs/>
          <w:sz w:val="24"/>
          <w:szCs w:val="24"/>
        </w:rPr>
        <w:t xml:space="preserve"> (sessenta e quatro mil</w:t>
      </w:r>
      <w:r w:rsidR="00D03045" w:rsidRPr="00D03045">
        <w:rPr>
          <w:rFonts w:eastAsia="Calibri"/>
          <w:b/>
          <w:bCs/>
          <w:sz w:val="24"/>
          <w:szCs w:val="24"/>
        </w:rPr>
        <w:t>, cento e três reais e trinta e três centavos</w:t>
      </w:r>
      <w:r w:rsidRPr="00D03045">
        <w:rPr>
          <w:rFonts w:eastAsia="Calibri"/>
          <w:b/>
          <w:bCs/>
          <w:sz w:val="24"/>
          <w:szCs w:val="24"/>
        </w:rPr>
        <w:t xml:space="preserve">), </w:t>
      </w:r>
      <w:r w:rsidRPr="00D03045">
        <w:rPr>
          <w:rFonts w:eastAsia="Calibri"/>
          <w:sz w:val="24"/>
          <w:szCs w:val="24"/>
        </w:rPr>
        <w:t>apurado com base em pesquisa de preços realizada nos termos do art. 23 da Lei nº 14.133, de 2021.</w:t>
      </w:r>
    </w:p>
    <w:p w14:paraId="04315925" w14:textId="77777777" w:rsidR="006D64CE" w:rsidRPr="00EB2564" w:rsidRDefault="00000000">
      <w:pPr>
        <w:spacing w:after="160"/>
        <w:jc w:val="both"/>
        <w:rPr>
          <w:sz w:val="24"/>
          <w:szCs w:val="24"/>
        </w:rPr>
      </w:pPr>
      <w:r w:rsidRPr="00EB2564">
        <w:rPr>
          <w:rFonts w:eastAsia="Calibri"/>
          <w:sz w:val="24"/>
          <w:szCs w:val="24"/>
        </w:rPr>
        <w:t>16.2. O valor estimado situa-se abaixo do limite de R$ 65.492,11 previsto no art. 75, inciso II, da Lei nº 14.133, de 2021, para o exercício de 2026, devendo a Administração observar, na instrução processual, a manutenção dessa margem até a formalização da contratação, em razão da reduzida folga em relação ao teto legal.</w:t>
      </w:r>
    </w:p>
    <w:p w14:paraId="74359FAE" w14:textId="77777777" w:rsidR="006D64CE" w:rsidRPr="00EB2564" w:rsidRDefault="00000000">
      <w:pPr>
        <w:spacing w:before="280" w:after="140"/>
        <w:rPr>
          <w:sz w:val="24"/>
          <w:szCs w:val="24"/>
        </w:rPr>
      </w:pPr>
      <w:r w:rsidRPr="00EB2564">
        <w:rPr>
          <w:rFonts w:eastAsia="Calibri"/>
          <w:b/>
          <w:bCs/>
          <w:sz w:val="24"/>
          <w:szCs w:val="24"/>
        </w:rPr>
        <w:t>17. DOS RECURSOS ORÇAMENTÁRIOS</w:t>
      </w:r>
    </w:p>
    <w:p w14:paraId="483BBBBD" w14:textId="77777777" w:rsidR="006D64CE" w:rsidRPr="00EB2564" w:rsidRDefault="00000000">
      <w:pPr>
        <w:spacing w:after="160"/>
        <w:jc w:val="both"/>
        <w:rPr>
          <w:sz w:val="24"/>
          <w:szCs w:val="24"/>
        </w:rPr>
      </w:pPr>
      <w:r w:rsidRPr="00EB2564">
        <w:rPr>
          <w:rFonts w:eastAsia="Calibri"/>
          <w:sz w:val="24"/>
          <w:szCs w:val="24"/>
        </w:rPr>
        <w:t>17.1. As despesas para atender a esta contratação estão programadas em dotação orçamentária própria, prevista no orçamento do Município de Eirunepé/AM para o exercício de 2026, na classificação abaixo:</w:t>
      </w:r>
    </w:p>
    <w:p w14:paraId="369E204C" w14:textId="065296B6" w:rsidR="006D64CE" w:rsidRPr="00965A65" w:rsidRDefault="00000000" w:rsidP="00EB2564">
      <w:pPr>
        <w:jc w:val="both"/>
        <w:rPr>
          <w:sz w:val="24"/>
          <w:szCs w:val="24"/>
        </w:rPr>
      </w:pPr>
      <w:r w:rsidRPr="00965A65">
        <w:rPr>
          <w:rFonts w:eastAsia="Calibri"/>
          <w:sz w:val="24"/>
          <w:szCs w:val="24"/>
        </w:rPr>
        <w:t>Unidade Orçamentária: 02.14.01 - Secretaria Municipal de Cultura e Economia Criativa</w:t>
      </w:r>
      <w:r w:rsidR="00353D51">
        <w:rPr>
          <w:rFonts w:eastAsia="Calibri"/>
          <w:sz w:val="24"/>
          <w:szCs w:val="24"/>
        </w:rPr>
        <w:t>.</w:t>
      </w:r>
    </w:p>
    <w:p w14:paraId="6B49C6E5" w14:textId="296C8349" w:rsidR="006D64CE" w:rsidRPr="00965A65" w:rsidRDefault="00000000" w:rsidP="00EB2564">
      <w:pPr>
        <w:jc w:val="both"/>
        <w:rPr>
          <w:sz w:val="24"/>
          <w:szCs w:val="24"/>
        </w:rPr>
      </w:pPr>
      <w:r w:rsidRPr="00965A65">
        <w:rPr>
          <w:rFonts w:eastAsia="Calibri"/>
          <w:sz w:val="24"/>
          <w:szCs w:val="24"/>
        </w:rPr>
        <w:t>Programa de Trabalho: 13.392.0270.2022.0000 - Encargos com eventos culturais no município</w:t>
      </w:r>
      <w:r w:rsidR="00353D51">
        <w:rPr>
          <w:rFonts w:eastAsia="Calibri"/>
          <w:sz w:val="24"/>
          <w:szCs w:val="24"/>
        </w:rPr>
        <w:t>.</w:t>
      </w:r>
    </w:p>
    <w:p w14:paraId="08601D61" w14:textId="42F53FB7" w:rsidR="006D64CE" w:rsidRDefault="00000000" w:rsidP="00EB2564">
      <w:pPr>
        <w:jc w:val="both"/>
        <w:rPr>
          <w:rFonts w:eastAsia="Calibri"/>
          <w:sz w:val="24"/>
          <w:szCs w:val="24"/>
        </w:rPr>
      </w:pPr>
      <w:r w:rsidRPr="00965A65">
        <w:rPr>
          <w:rFonts w:eastAsia="Calibri"/>
          <w:sz w:val="24"/>
          <w:szCs w:val="24"/>
        </w:rPr>
        <w:t>Elemento de despesa:</w:t>
      </w:r>
      <w:r w:rsidRPr="00EB2564">
        <w:rPr>
          <w:rFonts w:eastAsia="Calibri"/>
          <w:b/>
          <w:bCs/>
          <w:sz w:val="24"/>
          <w:szCs w:val="24"/>
        </w:rPr>
        <w:t xml:space="preserve"> </w:t>
      </w:r>
      <w:r w:rsidRPr="00EB2564">
        <w:rPr>
          <w:rFonts w:eastAsia="Calibri"/>
          <w:sz w:val="24"/>
          <w:szCs w:val="24"/>
        </w:rPr>
        <w:t>3.3.90.30 — Material de consumo</w:t>
      </w:r>
      <w:r w:rsidR="00353D51">
        <w:rPr>
          <w:rFonts w:eastAsia="Calibri"/>
          <w:sz w:val="24"/>
          <w:szCs w:val="24"/>
        </w:rPr>
        <w:t>.</w:t>
      </w:r>
    </w:p>
    <w:p w14:paraId="4234537D" w14:textId="77777777" w:rsidR="00EB2564" w:rsidRPr="00EB2564" w:rsidRDefault="00EB2564" w:rsidP="00EB2564">
      <w:pPr>
        <w:jc w:val="both"/>
        <w:rPr>
          <w:sz w:val="24"/>
          <w:szCs w:val="24"/>
        </w:rPr>
      </w:pPr>
    </w:p>
    <w:p w14:paraId="6A53D226" w14:textId="7559DD8D" w:rsidR="006D64CE" w:rsidRDefault="00000000">
      <w:pPr>
        <w:spacing w:before="400" w:after="400"/>
        <w:jc w:val="right"/>
        <w:rPr>
          <w:rFonts w:eastAsia="Calibri"/>
          <w:sz w:val="24"/>
          <w:szCs w:val="24"/>
        </w:rPr>
      </w:pPr>
      <w:r w:rsidRPr="00EB2564">
        <w:rPr>
          <w:rFonts w:eastAsia="Calibri"/>
          <w:sz w:val="24"/>
          <w:szCs w:val="24"/>
        </w:rPr>
        <w:t xml:space="preserve">Eirunepé/AM, </w:t>
      </w:r>
      <w:r w:rsidR="00EB2564">
        <w:rPr>
          <w:rFonts w:eastAsia="Calibri"/>
          <w:sz w:val="24"/>
          <w:szCs w:val="24"/>
        </w:rPr>
        <w:t>17</w:t>
      </w:r>
      <w:r w:rsidRPr="00EB2564">
        <w:rPr>
          <w:rFonts w:eastAsia="Calibri"/>
          <w:sz w:val="24"/>
          <w:szCs w:val="24"/>
        </w:rPr>
        <w:t xml:space="preserve"> de agosto de 2026.</w:t>
      </w:r>
    </w:p>
    <w:p w14:paraId="2FEF97AE" w14:textId="77777777" w:rsidR="00EB2564" w:rsidRPr="00EB2564" w:rsidRDefault="00EB2564">
      <w:pPr>
        <w:spacing w:before="400" w:after="400"/>
        <w:jc w:val="right"/>
        <w:rPr>
          <w:sz w:val="24"/>
          <w:szCs w:val="24"/>
        </w:rPr>
      </w:pPr>
    </w:p>
    <w:p w14:paraId="2CB1F9B0" w14:textId="77777777" w:rsidR="006D64CE" w:rsidRPr="00EB2564" w:rsidRDefault="00000000">
      <w:pPr>
        <w:spacing w:before="600"/>
        <w:jc w:val="center"/>
        <w:rPr>
          <w:sz w:val="24"/>
          <w:szCs w:val="24"/>
        </w:rPr>
      </w:pPr>
      <w:r w:rsidRPr="00EB2564">
        <w:rPr>
          <w:rFonts w:eastAsia="Calibri"/>
          <w:sz w:val="24"/>
          <w:szCs w:val="24"/>
        </w:rPr>
        <w:t>_______________________________________</w:t>
      </w:r>
    </w:p>
    <w:p w14:paraId="42C48E68" w14:textId="77777777" w:rsidR="006D64CE" w:rsidRPr="00EB2564" w:rsidRDefault="00000000">
      <w:pPr>
        <w:jc w:val="center"/>
        <w:rPr>
          <w:sz w:val="24"/>
          <w:szCs w:val="24"/>
        </w:rPr>
      </w:pPr>
      <w:r w:rsidRPr="00EB2564">
        <w:rPr>
          <w:rFonts w:eastAsia="Calibri"/>
          <w:b/>
          <w:bCs/>
          <w:sz w:val="24"/>
          <w:szCs w:val="24"/>
        </w:rPr>
        <w:t>FELIPE VIEIRA DAS NEVES</w:t>
      </w:r>
    </w:p>
    <w:p w14:paraId="099811D6" w14:textId="77777777" w:rsidR="006D64CE" w:rsidRPr="00EB2564" w:rsidRDefault="00000000">
      <w:pPr>
        <w:jc w:val="center"/>
        <w:rPr>
          <w:sz w:val="24"/>
          <w:szCs w:val="24"/>
        </w:rPr>
      </w:pPr>
      <w:r w:rsidRPr="00EB2564">
        <w:rPr>
          <w:rFonts w:eastAsia="Calibri"/>
          <w:sz w:val="24"/>
          <w:szCs w:val="24"/>
        </w:rPr>
        <w:t>Agente de Contratação</w:t>
      </w:r>
    </w:p>
    <w:p w14:paraId="29F1015B" w14:textId="77777777" w:rsidR="006D64CE" w:rsidRPr="00EB2564" w:rsidRDefault="00000000">
      <w:pPr>
        <w:jc w:val="center"/>
        <w:rPr>
          <w:sz w:val="24"/>
          <w:szCs w:val="24"/>
        </w:rPr>
      </w:pPr>
      <w:r w:rsidRPr="00EB2564">
        <w:rPr>
          <w:rFonts w:eastAsia="Calibri"/>
          <w:sz w:val="24"/>
          <w:szCs w:val="24"/>
        </w:rPr>
        <w:t>Portaria 412/2025 - GABPRE</w:t>
      </w:r>
    </w:p>
    <w:sectPr w:rsidR="006D64CE" w:rsidRPr="00EB2564" w:rsidSect="00EB2564">
      <w:headerReference w:type="default" r:id="rId7"/>
      <w:pgSz w:w="11906" w:h="16838"/>
      <w:pgMar w:top="1701"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FB3BF" w14:textId="77777777" w:rsidR="001368F6" w:rsidRDefault="001368F6" w:rsidP="00EB2564">
      <w:r>
        <w:separator/>
      </w:r>
    </w:p>
  </w:endnote>
  <w:endnote w:type="continuationSeparator" w:id="0">
    <w:p w14:paraId="3ADA1446" w14:textId="77777777" w:rsidR="001368F6" w:rsidRDefault="001368F6" w:rsidP="00EB2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2F907" w14:textId="77777777" w:rsidR="001368F6" w:rsidRDefault="001368F6" w:rsidP="00EB2564">
      <w:r>
        <w:separator/>
      </w:r>
    </w:p>
  </w:footnote>
  <w:footnote w:type="continuationSeparator" w:id="0">
    <w:p w14:paraId="1956F61A" w14:textId="77777777" w:rsidR="001368F6" w:rsidRDefault="001368F6" w:rsidP="00EB2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75E11" w14:textId="35DD269B" w:rsidR="00EB2564" w:rsidRPr="00EB2564" w:rsidRDefault="00EB2564" w:rsidP="00EB2564">
    <w:pPr>
      <w:jc w:val="center"/>
      <w:rPr>
        <w:color w:val="000000"/>
        <w:sz w:val="24"/>
        <w:szCs w:val="24"/>
      </w:rPr>
    </w:pPr>
    <w:r w:rsidRPr="00EB2564">
      <w:rPr>
        <w:noProof/>
        <w:sz w:val="24"/>
        <w:szCs w:val="24"/>
      </w:rPr>
      <w:drawing>
        <wp:anchor distT="0" distB="0" distL="114300" distR="114300" simplePos="0" relativeHeight="251659264" behindDoc="0" locked="0" layoutInCell="1" allowOverlap="1" wp14:anchorId="00625D60" wp14:editId="18E2E272">
          <wp:simplePos x="0" y="0"/>
          <wp:positionH relativeFrom="margin">
            <wp:posOffset>100965</wp:posOffset>
          </wp:positionH>
          <wp:positionV relativeFrom="paragraph">
            <wp:posOffset>-107315</wp:posOffset>
          </wp:positionV>
          <wp:extent cx="579120" cy="73152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1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2564">
      <w:rPr>
        <w:noProof/>
        <w:color w:val="000000" w:themeColor="text1"/>
        <w:sz w:val="24"/>
        <w:szCs w:val="24"/>
      </w:rPr>
      <w:drawing>
        <wp:anchor distT="0" distB="0" distL="114300" distR="114300" simplePos="0" relativeHeight="251660288" behindDoc="1" locked="0" layoutInCell="1" allowOverlap="1" wp14:anchorId="490506C3" wp14:editId="716B942C">
          <wp:simplePos x="0" y="0"/>
          <wp:positionH relativeFrom="margin">
            <wp:align>right</wp:align>
          </wp:positionH>
          <wp:positionV relativeFrom="paragraph">
            <wp:posOffset>90113</wp:posOffset>
          </wp:positionV>
          <wp:extent cx="1178560" cy="313589"/>
          <wp:effectExtent l="0" t="0" r="2540" b="0"/>
          <wp:wrapNone/>
          <wp:docPr id="33065797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8560" cy="3135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B2564">
      <w:rPr>
        <w:color w:val="000000"/>
        <w:sz w:val="24"/>
        <w:szCs w:val="24"/>
      </w:rPr>
      <w:t>Estado do Amazonas</w:t>
    </w:r>
    <w:r w:rsidRPr="00EB2564">
      <w:rPr>
        <w:noProof/>
        <w:sz w:val="24"/>
        <w:szCs w:val="24"/>
      </w:rPr>
      <w:t xml:space="preserve">  </w:t>
    </w:r>
  </w:p>
  <w:p w14:paraId="576075C3" w14:textId="0F589105" w:rsidR="00EB2564" w:rsidRPr="00EB2564" w:rsidRDefault="00EB2564" w:rsidP="00EB2564">
    <w:pPr>
      <w:jc w:val="center"/>
      <w:rPr>
        <w:b/>
        <w:bCs/>
        <w:color w:val="000000"/>
        <w:sz w:val="24"/>
        <w:szCs w:val="24"/>
      </w:rPr>
    </w:pPr>
    <w:r w:rsidRPr="00EB2564">
      <w:rPr>
        <w:b/>
        <w:bCs/>
        <w:color w:val="000000"/>
        <w:sz w:val="24"/>
        <w:szCs w:val="24"/>
      </w:rPr>
      <w:t>PREFEITURA MUNICIPAL DE EIRUNEPÉ</w:t>
    </w:r>
  </w:p>
  <w:p w14:paraId="2A928D89" w14:textId="77777777" w:rsidR="00EB2564" w:rsidRPr="00EB2564" w:rsidRDefault="00EB2564" w:rsidP="00EB2564">
    <w:pPr>
      <w:jc w:val="center"/>
      <w:rPr>
        <w:b/>
        <w:bCs/>
        <w:color w:val="000000"/>
        <w:sz w:val="24"/>
        <w:szCs w:val="24"/>
      </w:rPr>
    </w:pPr>
    <w:r w:rsidRPr="00EB2564">
      <w:rPr>
        <w:b/>
        <w:bCs/>
        <w:color w:val="000000"/>
        <w:sz w:val="24"/>
        <w:szCs w:val="24"/>
      </w:rPr>
      <w:t>PODER EXECUTIVO</w:t>
    </w:r>
  </w:p>
  <w:p w14:paraId="534C967D" w14:textId="77777777" w:rsidR="00EB2564" w:rsidRPr="00EB2564" w:rsidRDefault="00EB2564" w:rsidP="00EB2564">
    <w:pPr>
      <w:pStyle w:val="Cabealho"/>
      <w:rPr>
        <w:sz w:val="24"/>
        <w:szCs w:val="24"/>
      </w:rPr>
    </w:pPr>
  </w:p>
  <w:p w14:paraId="315F1BB6" w14:textId="77777777" w:rsidR="00EB2564" w:rsidRPr="00EB2564" w:rsidRDefault="00EB2564">
    <w:pPr>
      <w:pStyle w:val="Cabealho"/>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5730A"/>
    <w:multiLevelType w:val="hybridMultilevel"/>
    <w:tmpl w:val="5CEC4A66"/>
    <w:lvl w:ilvl="0" w:tplc="A59E2E86">
      <w:start w:val="1"/>
      <w:numFmt w:val="bullet"/>
      <w:lvlText w:val="●"/>
      <w:lvlJc w:val="left"/>
      <w:pPr>
        <w:ind w:left="720" w:hanging="360"/>
      </w:pPr>
    </w:lvl>
    <w:lvl w:ilvl="1" w:tplc="1902A528">
      <w:start w:val="1"/>
      <w:numFmt w:val="bullet"/>
      <w:lvlText w:val="○"/>
      <w:lvlJc w:val="left"/>
      <w:pPr>
        <w:ind w:left="1440" w:hanging="360"/>
      </w:pPr>
    </w:lvl>
    <w:lvl w:ilvl="2" w:tplc="8F3A356A">
      <w:start w:val="1"/>
      <w:numFmt w:val="bullet"/>
      <w:lvlText w:val="■"/>
      <w:lvlJc w:val="left"/>
      <w:pPr>
        <w:ind w:left="2160" w:hanging="360"/>
      </w:pPr>
    </w:lvl>
    <w:lvl w:ilvl="3" w:tplc="B07E5548">
      <w:start w:val="1"/>
      <w:numFmt w:val="bullet"/>
      <w:lvlText w:val="●"/>
      <w:lvlJc w:val="left"/>
      <w:pPr>
        <w:ind w:left="2880" w:hanging="360"/>
      </w:pPr>
    </w:lvl>
    <w:lvl w:ilvl="4" w:tplc="2A569946">
      <w:start w:val="1"/>
      <w:numFmt w:val="bullet"/>
      <w:lvlText w:val="○"/>
      <w:lvlJc w:val="left"/>
      <w:pPr>
        <w:ind w:left="3600" w:hanging="360"/>
      </w:pPr>
    </w:lvl>
    <w:lvl w:ilvl="5" w:tplc="8C620492">
      <w:start w:val="1"/>
      <w:numFmt w:val="bullet"/>
      <w:lvlText w:val="■"/>
      <w:lvlJc w:val="left"/>
      <w:pPr>
        <w:ind w:left="4320" w:hanging="360"/>
      </w:pPr>
    </w:lvl>
    <w:lvl w:ilvl="6" w:tplc="9B94FBAC">
      <w:start w:val="1"/>
      <w:numFmt w:val="bullet"/>
      <w:lvlText w:val="●"/>
      <w:lvlJc w:val="left"/>
      <w:pPr>
        <w:ind w:left="5040" w:hanging="360"/>
      </w:pPr>
    </w:lvl>
    <w:lvl w:ilvl="7" w:tplc="A6C6AD2A">
      <w:start w:val="1"/>
      <w:numFmt w:val="bullet"/>
      <w:lvlText w:val="●"/>
      <w:lvlJc w:val="left"/>
      <w:pPr>
        <w:ind w:left="5760" w:hanging="360"/>
      </w:pPr>
    </w:lvl>
    <w:lvl w:ilvl="8" w:tplc="980A3740">
      <w:start w:val="1"/>
      <w:numFmt w:val="bullet"/>
      <w:lvlText w:val="●"/>
      <w:lvlJc w:val="left"/>
      <w:pPr>
        <w:ind w:left="6480" w:hanging="360"/>
      </w:pPr>
    </w:lvl>
  </w:abstractNum>
  <w:abstractNum w:abstractNumId="1" w15:restartNumberingAfterBreak="0">
    <w:nsid w:val="26222A38"/>
    <w:multiLevelType w:val="hybridMultilevel"/>
    <w:tmpl w:val="A06A9A22"/>
    <w:lvl w:ilvl="0" w:tplc="A5B20C36">
      <w:start w:val="1"/>
      <w:numFmt w:val="bullet"/>
      <w:lvlText w:val="•"/>
      <w:lvlJc w:val="left"/>
      <w:pPr>
        <w:ind w:left="720" w:hanging="360"/>
      </w:pPr>
    </w:lvl>
    <w:lvl w:ilvl="1" w:tplc="E6AE57D4">
      <w:numFmt w:val="decimal"/>
      <w:lvlText w:val=""/>
      <w:lvlJc w:val="left"/>
    </w:lvl>
    <w:lvl w:ilvl="2" w:tplc="EEBE97EC">
      <w:numFmt w:val="decimal"/>
      <w:lvlText w:val=""/>
      <w:lvlJc w:val="left"/>
    </w:lvl>
    <w:lvl w:ilvl="3" w:tplc="D598B6AA">
      <w:numFmt w:val="decimal"/>
      <w:lvlText w:val=""/>
      <w:lvlJc w:val="left"/>
    </w:lvl>
    <w:lvl w:ilvl="4" w:tplc="22F2E8AC">
      <w:numFmt w:val="decimal"/>
      <w:lvlText w:val=""/>
      <w:lvlJc w:val="left"/>
    </w:lvl>
    <w:lvl w:ilvl="5" w:tplc="AADA0F22">
      <w:numFmt w:val="decimal"/>
      <w:lvlText w:val=""/>
      <w:lvlJc w:val="left"/>
    </w:lvl>
    <w:lvl w:ilvl="6" w:tplc="F3F83248">
      <w:numFmt w:val="decimal"/>
      <w:lvlText w:val=""/>
      <w:lvlJc w:val="left"/>
    </w:lvl>
    <w:lvl w:ilvl="7" w:tplc="7C984BC8">
      <w:numFmt w:val="decimal"/>
      <w:lvlText w:val=""/>
      <w:lvlJc w:val="left"/>
    </w:lvl>
    <w:lvl w:ilvl="8" w:tplc="88D84FE8">
      <w:numFmt w:val="decimal"/>
      <w:lvlText w:val=""/>
      <w:lvlJc w:val="left"/>
    </w:lvl>
  </w:abstractNum>
  <w:num w:numId="1" w16cid:durableId="1418790568">
    <w:abstractNumId w:val="0"/>
    <w:lvlOverride w:ilvl="0">
      <w:startOverride w:val="1"/>
    </w:lvlOverride>
  </w:num>
  <w:num w:numId="2" w16cid:durableId="163895347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4CE"/>
    <w:rsid w:val="001368F6"/>
    <w:rsid w:val="00353D51"/>
    <w:rsid w:val="00490A91"/>
    <w:rsid w:val="0053777F"/>
    <w:rsid w:val="006D64CE"/>
    <w:rsid w:val="006E6AAC"/>
    <w:rsid w:val="008B4A51"/>
    <w:rsid w:val="00965A65"/>
    <w:rsid w:val="00983F1E"/>
    <w:rsid w:val="00A645D3"/>
    <w:rsid w:val="00AC308D"/>
    <w:rsid w:val="00B41AFE"/>
    <w:rsid w:val="00D03045"/>
    <w:rsid w:val="00D4432D"/>
    <w:rsid w:val="00DA329A"/>
    <w:rsid w:val="00DC4454"/>
    <w:rsid w:val="00DC6608"/>
    <w:rsid w:val="00EB2564"/>
    <w:rsid w:val="00FD6F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8871B"/>
  <w15:docId w15:val="{AA2384DE-F928-457F-B8FA-4D57FCED3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style>
  <w:style w:type="character" w:customStyle="1" w:styleId="TextodenotadefimChar">
    <w:name w:val="Texto de nota de fim Char"/>
    <w:link w:val="Textodenotadefim"/>
    <w:uiPriority w:val="99"/>
    <w:semiHidden/>
    <w:unhideWhenUsed/>
    <w:rPr>
      <w:sz w:val="20"/>
      <w:szCs w:val="20"/>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unhideWhenUsed/>
    <w:rsid w:val="00EB2564"/>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EB2564"/>
  </w:style>
  <w:style w:type="paragraph" w:styleId="Rodap">
    <w:name w:val="footer"/>
    <w:basedOn w:val="Normal"/>
    <w:link w:val="RodapChar"/>
    <w:uiPriority w:val="99"/>
    <w:unhideWhenUsed/>
    <w:rsid w:val="00EB2564"/>
    <w:pPr>
      <w:tabs>
        <w:tab w:val="center" w:pos="4252"/>
        <w:tab w:val="right" w:pos="8504"/>
      </w:tabs>
    </w:pPr>
  </w:style>
  <w:style w:type="character" w:customStyle="1" w:styleId="RodapChar">
    <w:name w:val="Rodapé Char"/>
    <w:basedOn w:val="Fontepargpadro"/>
    <w:link w:val="Rodap"/>
    <w:uiPriority w:val="99"/>
    <w:rsid w:val="00EB25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TotalTime>
  <Pages>7</Pages>
  <Words>2696</Words>
  <Characters>14563</Characters>
  <Application>Microsoft Office Word</Application>
  <DocSecurity>0</DocSecurity>
  <Lines>121</Lines>
  <Paragraphs>34</Paragraphs>
  <ScaleCrop>false</ScaleCrop>
  <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ACER</cp:lastModifiedBy>
  <cp:revision>8</cp:revision>
  <cp:lastPrinted>2026-08-20T19:28:00Z</cp:lastPrinted>
  <dcterms:created xsi:type="dcterms:W3CDTF">2026-08-20T19:28:00Z</dcterms:created>
  <dcterms:modified xsi:type="dcterms:W3CDTF">2026-10-07T18:48:00Z</dcterms:modified>
</cp:coreProperties>
</file>