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left"/>
      </w:pPr>
      <w:bookmarkStart w:name="body" w:id="0"/>
      <w:bookmarkStart w:name="contents" w:id="1"/>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w:t>
      </w:r>
      <w:r>
        <w:rPr>
          <w:rFonts w:ascii="Times New Roman" w:hAnsi="Times New Roman"/>
          <w:b w:val="false"/>
          <w:i w:val="false"/>
          <w:color w:val="000000"/>
          <w:sz w:val="22"/>
        </w:rPr>
        <w:t xml:space="preserve"> </w:t>
      </w:r>
      <w:r>
        <w:rPr>
          <w:b/>
          <w:i w:val="false"/>
          <w:color w:val="000000"/>
          <w:sz w:val="22"/>
        </w:rPr>
        <w:t>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1.1.</w:t>
      </w:r>
      <w:r>
        <w:rPr>
          <w:rFonts w:ascii="Times New Roman" w:hAnsi="Times New Roman"/>
          <w:b w:val="false"/>
          <w:i w:val="false"/>
          <w:color w:val="000000"/>
          <w:sz w:val="22"/>
        </w:rPr>
        <w:t xml:space="preserve"> </w:t>
      </w:r>
      <w:r>
        <w:rPr>
          <w:rFonts w:hint="default" w:ascii="Times New Roman" w:hAnsi="Times New Roman"/>
          <w:b w:val="false"/>
          <w:i w:val="false"/>
          <w:color w:val="000000"/>
          <w:sz w:val="22"/>
        </w:rPr>
        <w:t>C</w:t>
      </w:r>
      <w:r>
        <w:rPr>
          <w:rFonts w:ascii="Times New Roman" w:hAnsi="Times New Roman"/>
          <w:b w:val="false"/>
          <w:i w:val="false"/>
          <w:color w:val="000000"/>
          <w:sz w:val="22"/>
        </w:rPr>
        <w:t xml:space="preserve"> </w:t>
      </w:r>
      <w:r>
        <w:rPr>
          <w:rFonts w:hint="default" w:ascii="Times New Roman" w:hAnsi="Times New Roman"/>
          <w:b w:val="false"/>
          <w:i w:val="false"/>
          <w:color w:val="000000"/>
          <w:sz w:val="22"/>
        </w:rPr>
        <w:t>ontratação de empresa especializada para readequação da TV Educativa, incluindo o fornecimento e instalação de materiais para o serviço e aquisição do novo espaço instagramável de interação de vídeo para os usuários. Com o objetivo de criar maior interconectividade e sensação de pertencimento para o público da Fundação Jornalista Luiz Chagas de Rádio e Tv Educativa de Mato Grosso do Sul (FERTEL), conforme condição, quantidade, especificação e exigência estabelecidas no instrumento;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1.1.1.</w:t>
      </w:r>
      <w:r>
        <w:rPr>
          <w:rFonts w:ascii="Times New Roman" w:hAnsi="Times New Roman"/>
          <w:b w:val="false"/>
          <w:i w:val="false"/>
          <w:color w:val="000000"/>
          <w:sz w:val="22"/>
        </w:rPr>
        <w:t xml:space="preserve"> </w:t>
      </w:r>
      <w:r>
        <w:rPr>
          <w:b w:val="false"/>
          <w:i w:val="false"/>
          <w:color w:val="000000"/>
          <w:sz w:val="22"/>
        </w:rPr>
        <w:t xml:space="preserve">A aquisição será por dispensa de licitação, conforme art. 75, inciso II, da lei 14.133/2021, Decreto Estadual n.º 15.616/2021 e </w:t>
      </w:r>
      <w:r>
        <w:rPr>
          <w:b w:val="false"/>
          <w:i w:val="false"/>
          <w:color w:val="000000"/>
          <w:sz w:val="22"/>
        </w:rPr>
        <w:t>Decreto nº 16.119/2023.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1.1.2.</w:t>
      </w:r>
      <w:r>
        <w:rPr>
          <w:rFonts w:ascii="Times New Roman" w:hAnsi="Times New Roman"/>
          <w:b w:val="false"/>
          <w:i w:val="false"/>
          <w:color w:val="000000"/>
          <w:sz w:val="22"/>
        </w:rPr>
        <w:t xml:space="preserve"> </w:t>
      </w:r>
      <w:r>
        <w:rPr>
          <w:b w:val="false"/>
          <w:i w:val="false"/>
          <w:color w:val="000000"/>
          <w:sz w:val="22"/>
        </w:rPr>
        <w:t>Os serviços ofertados devem observar as seguintes características e especificações:</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768"/>
        <w:gridCol w:w="1768"/>
        <w:gridCol w:w="1769"/>
        <w:gridCol w:w="4520"/>
        <w:gridCol w:w="2040"/>
        <w:gridCol w:w="1769"/>
      </w:tblGrid>
      <w:tr>
        <w:trPr>
          <w:trHeight w:val="405" w:hRule="atLeast"/>
        </w:trPr>
        <w:tc>
          <w:tcPr>
            <w:tcW w:w="176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 xml:space="preserve">TIPO</w:t>
            </w:r>
          </w:p>
        </w:tc>
        <w:tc>
          <w:tcPr>
            <w:tcW w:w="176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ITEM</w:t>
            </w:r>
          </w:p>
        </w:tc>
        <w:tc>
          <w:tcPr>
            <w:tcW w:w="1769"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CÓD.</w:t>
            </w:r>
          </w:p>
        </w:tc>
        <w:tc>
          <w:tcPr>
            <w:tcW w:w="452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DESCRIÇÃO</w:t>
            </w:r>
          </w:p>
        </w:tc>
        <w:tc>
          <w:tcPr>
            <w:tcW w:w="204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UNID.</w:t>
            </w:r>
          </w:p>
        </w:tc>
        <w:tc>
          <w:tcPr>
            <w:tcW w:w="1769"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QTDE.</w:t>
            </w:r>
          </w:p>
        </w:tc>
      </w:tr>
      <w:tr>
        <w:trPr>
          <w:trHeight w:val="1485" w:hRule="atLeast"/>
        </w:trPr>
        <w:tc>
          <w:tcPr>
            <w:tcW w:w="176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LOTE ÚNICO</w:t>
            </w:r>
          </w:p>
        </w:tc>
        <w:tc>
          <w:tcPr>
            <w:tcW w:w="1768"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001</w:t>
            </w:r>
          </w:p>
        </w:tc>
        <w:tc>
          <w:tcPr>
            <w:tcW w:w="1769"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 xml:space="preserve">0004564</w:t>
            </w:r>
          </w:p>
        </w:tc>
        <w:tc>
          <w:tcPr>
            <w:tcW w:w="452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Kit de estrutura metálica – Contém: projeto executivo da cobertura, peças e acessórios, manual de montagem, ART ou RRT do projeto executivo.</w:t>
            </w:r>
          </w:p>
        </w:tc>
        <w:tc>
          <w:tcPr>
            <w:tcW w:w="204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ascii="Times New Roman" w:hAnsi="Times New Roman"/>
                <w:b w:val="false"/>
                <w:i w:val="false"/>
                <w:color w:val="000000"/>
                <w:sz w:val="22"/>
              </w:rPr>
              <w:t xml:space="preserve"/>
            </w:r>
            <w:r>
              <w:rPr>
                <w:rFonts w:hint="default" w:ascii="Times New Roman" w:hAnsi="Times New Roman"/>
                <w:b w:val="false"/>
                <w:i w:val="false"/>
                <w:color w:val="000000"/>
                <w:sz w:val="20"/>
              </w:rPr>
              <w:t>Material/Serviço</w:t>
            </w:r>
            <w:r>
              <w:rPr>
                <w:rFonts w:ascii="Times New Roman" w:hAnsi="Times New Roman"/>
                <w:b w:val="false"/>
                <w:i w:val="false"/>
                <w:color w:val="000000"/>
                <w:sz w:val="22"/>
              </w:rPr>
              <w:t xml:space="preserve"/>
            </w:r>
          </w:p>
        </w:tc>
        <w:tc>
          <w:tcPr>
            <w:tcW w:w="1769"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22"/>
              </w:rPr>
              <w:t>1</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1.2.</w:t>
      </w:r>
      <w:r>
        <w:rPr>
          <w:rFonts w:ascii="Times New Roman" w:hAnsi="Times New Roman"/>
          <w:b w:val="false"/>
          <w:i w:val="false"/>
          <w:color w:val="000000"/>
          <w:sz w:val="22"/>
        </w:rPr>
        <w:t xml:space="preserve"> </w:t>
      </w:r>
      <w:r>
        <w:rPr>
          <w:b w:val="false"/>
          <w:i w:val="false"/>
          <w:color w:val="000000"/>
          <w:sz w:val="22"/>
        </w:rPr>
        <w:t>Deverá ser disponibilizado uma aquisição de ambiente instagramável para Fundação Jornalista Luiz Chagas de Rádio e Tv Educativa de Mato Grosso do Sul (FERTEL) de acordo com descrição nos itens abaixo;</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1567"/>
        <w:gridCol w:w="10500"/>
        <w:gridCol w:w="1567"/>
      </w:tblGrid>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ITEM</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DESCRIÇÃO</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 xml:space="preserve"/>
            </w:r>
            <w:r>
              <w:rPr>
                <w:rFonts w:ascii="Arial" w:hAnsi="Arial"/>
                <w:b w:val="false"/>
                <w:i w:val="false"/>
                <w:color w:val="000000"/>
                <w:sz w:val="19"/>
              </w:rPr>
              <w:t>QTDE.</w:t>
            </w:r>
            <w:r>
              <w:rPr>
                <w:rFonts w:hint="default" w:ascii="Times New Roman" w:hAnsi="Times New Roman"/>
                <w:b w:val="false"/>
                <w:i w:val="false"/>
                <w:color w:val="000000"/>
                <w:sz w:val="22"/>
              </w:rPr>
              <w:t xml:space="preserve"/>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Kit (1) de estrutura metálica contém, projeto executivo da cobertura, peças e acessórios</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02</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Kit (2) de estrutura metálica contém, projeto executivo da cobertura, peças e acessórios.</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03</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ART e ou RRT do projeto executivo.</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04</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Limpeza, impressão e aplicação de adesivo nos vidros</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18</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05</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Readequação e Troca de Lona</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06</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Readequação balcão recepção</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07</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Readequação MDF recepção</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r>
        <w:trPr>
          <w:trHeight w:val="375" w:hRule="atLeast"/>
        </w:trPr>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08</w:t>
            </w:r>
          </w:p>
        </w:tc>
        <w:tc>
          <w:tcPr>
            <w:tcW w:w="10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Readequação MDF recepção 2</w:t>
            </w:r>
          </w:p>
        </w:tc>
        <w:tc>
          <w:tcPr>
            <w:tcW w:w="156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01</w:t>
            </w:r>
          </w:p>
        </w:tc>
      </w:tr>
    </w:tbl>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drawing>
          <wp:inline distT="0" distB="0" distL="0" distR="0">
            <wp:extent cx="6493193" cy="45529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6493193" cy="4552950"/>
                    </a:xfrm>
                    <a:prstGeom prst="rect">
                      <a:avLst/>
                    </a:prstGeom>
                  </pic:spPr>
                </pic:pic>
              </a:graphicData>
            </a:graphic>
          </wp:inline>
        </w:drawing>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1.3.</w:t>
      </w:r>
      <w:r>
        <w:rPr>
          <w:rFonts w:ascii="Times New Roman" w:hAnsi="Times New Roman"/>
          <w:b w:val="false"/>
          <w:i w:val="false"/>
          <w:color w:val="000000"/>
          <w:sz w:val="22"/>
        </w:rPr>
        <w:t xml:space="preserve"> </w:t>
      </w:r>
      <w:r>
        <w:rPr>
          <w:rFonts w:hint="default" w:ascii="Times New Roman" w:hAnsi="Times New Roman"/>
          <w:b w:val="false"/>
          <w:i w:val="false"/>
          <w:color w:val="000000"/>
          <w:sz w:val="22"/>
        </w:rPr>
        <w:t>O objeto desta contratação não se enquadra como sendo bem de “luxo”, conforme Decreto Estadual nº 15.775, de 2021,</w:t>
      </w:r>
      <w:r>
        <w:rPr>
          <w:rFonts w:ascii="Times New Roman" w:hAnsi="Times New Roman"/>
          <w:b w:val="false"/>
          <w:i w:val="false"/>
          <w:color w:val="000000"/>
          <w:sz w:val="22"/>
        </w:rPr>
        <w:t xml:space="preserve"> </w:t>
      </w:r>
      <w:r>
        <w:rPr>
          <w:rFonts w:ascii="Times New Roman" w:hAnsi="Times New Roman"/>
          <w:b/>
          <w:i w:val="false"/>
          <w:color w:val="000000"/>
          <w:sz w:val="22"/>
        </w:rPr>
        <w:t>que Regulamenta o enquadramento dos bens de consumo adquiridos no âmbito da Administração Direta, das autarquias e das fundações do Poder Executivo Estadual, nas categorias “comum” e “luxo”.</w:t>
      </w:r>
      <w:r>
        <w:rPr>
          <w:rFonts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1.4.</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prazo de vigência será contado na emissão da Nota de Empenho, Ordem de Serviço ou na entrega de todo o material solicitação no item 1.2, na forma do artigo 105 da Lei n° 14.133/2021.</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1.5.</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 xml:space="preserve">O custo estimado total da </w:t>
      </w:r>
      <w:r>
        <w:rPr>
          <w:rFonts w:hint="default" w:ascii="Times New Roman" w:hAnsi="Times New Roman"/>
          <w:b w:val="false"/>
          <w:i w:val="false"/>
          <w:color w:val="000000"/>
          <w:sz w:val="22"/>
        </w:rPr>
        <w:t xml:space="preserve">contratação será de R$ 57.000,00 (cinquenta e sete mil reais), bem como foram feitas pesquisa de preços conforme consta nos autos do processo administrativo FERTEL/00017/2023, e ainda é importante ressaltar que o processo mencionado seguirá requisito que traz o Decreto Estadual n.º 16.119/2023, </w:t>
      </w:r>
      <w:r>
        <w:rPr>
          <w:rFonts w:hint="default" w:ascii="Times New Roman" w:hAnsi="Times New Roman"/>
          <w:b/>
          <w:i w:val="false"/>
          <w:color w:val="000000"/>
          <w:sz w:val="22"/>
        </w:rPr>
        <w:t>“Estabelece normas procedimentais para contratação direta, nas hipóteses de dispensa e inexigibilidade, e dispõe sobre o Sistema de Dispensa Eletrônica, no âmbito dos órgãos da Administração Direta e das entidades autárquicas e fundacionais do Poder Executivo Estadual, e dá outras providências”,</w:t>
      </w:r>
      <w:r>
        <w:rPr>
          <w:rFonts w:hint="default" w:ascii="Times New Roman" w:hAnsi="Times New Roman"/>
          <w:b w:val="false"/>
          <w:i w:val="false"/>
          <w:color w:val="000000"/>
          <w:sz w:val="22"/>
        </w:rPr>
        <w:t xml:space="preserve"> para lance preço em reais ofertado pelo fornecedor, após a abertura da sessão pública de competitividade, para cada itens que compõe o Termo de Referência;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1.6.</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Objeto dessa licitação é classificado como bem comum, pois possui especificação usual de mercado e padrão de qualidade definidas neste Termo de Referência;</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1.7.</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DO AGRUPAMENTO DOS ITENS;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2.</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agrupamento dos itens se justifica em virtude da necessidade que deixarão ser compatíveis, de acordo com o Técnico responsável, juntamente com a DIRETORA DE TECNOLOGIA, ENGENHARIA E OPERAÇÕES para esta fundação. Para atender nossa demanda de realizações nesta TV e emissora de Rádio, haverá uma nova programação na REDE “E”, sendo entrevistas de personalidades importantes, bem como considerando que o ambiente instagramável tem se tornado uma tendência crescente que visa proporcionar aos visitantes um espaço atrativo e visualmente impactante para a criação de conteúdo, em especial nas redes sociais. Ainda que é uma estratégia eficaz para promover, atrair mais visitantes e fortalecer a identidade e a missão da Rede E junto a população sul-mato-grossense.</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3.</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Logo, ao investir em um ambiente instagramável, a REDE “E”, ficará marcado na memória dos frequentadores. E também proporcionam uma experiência diferenciada, o que fará com que os clientes se encantem e indiquem para amigos e seguidores. Logo, proporcione um bom atendimento, com um espaço confortável e agradável que, certamente, teremos bons resultados.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4.</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Por fim, o espaço também irá disponibilizar, com exclusividade e em formato multimídia, o conteúdo produzido pelos ex-diretores Presidentes da FERTEL durante o mandato, além de fornecer informações bibliográficas e publicações de suas gestões.</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5.</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FUNDAMENTAÇÃO E DESCRIÇÃO DA NECESSIDADE DA CONTRATAÇÃO (ART. 6º, INCISO XXIII, ALÍNEA ‘B’, DA LEI Nº 14.133/2021) e DEFINIÇÃO DOS MÉTODOS PARA A EXECUÇÃO DO OBJETO;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É necessário a aquisição de ambiente instagramável descrito nos itens 1.2 destes termos de referência.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5.1.1.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Informamos ainda que não houve nenhuma aquisição de objeto similar no decorrer do ano de 2022 no âmbito desta fundação contratante.</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5.1.2.</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Cada entrega deverá ser efetuada mediante solicitação por escrito, formalizada pela Fundação Jornalista Luiz Chagas de Rádio e Tv Educativa de Mato Grosso do Sul (FERTEL) de, dela devendo constar: a data, o valor global da entrega, a quantidade pretendida, o local para a entrega, o prazo, o carimbo e a assinatura do responsável, sendo efetuado diretamente pelo órgão/entidade requisitante, devidamente autorizado pela autoridade superior, e ainda acompanhada pela nota de empenho ou instrumento equivalente.</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5.2.</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prazo de entrega dos bens é de 30 (trinta) dias, a contados do recebimento da nota de empenho ou assinatura do contrato ou instrumento equivalente, em remessa única no endereço: Av. Des. Leão Neto do Carmo, 710 - Parque dos Poderes, Campo Grande - MS, 79037-100 de segunda à sexta, das 07h30 às 11h30 e das 13h30 às 17h.</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5.3.</w:t>
      </w:r>
      <w:r>
        <w:rPr>
          <w:rFonts w:hint="default" w:ascii="Times New Roman" w:hAnsi="Times New Roman"/>
          <w:b w:val="false"/>
          <w:i w:val="false"/>
          <w:color w:val="000000"/>
          <w:sz w:val="22"/>
        </w:rPr>
        <w:t xml:space="preserve">A contratada obriga-se a entregar os objetos em conformidade com as especificações </w:t>
      </w:r>
      <w:r>
        <w:rPr>
          <w:rFonts w:hint="default" w:ascii="Times New Roman" w:hAnsi="Times New Roman"/>
          <w:b w:val="false"/>
          <w:i w:val="false"/>
          <w:color w:val="000000"/>
          <w:sz w:val="22"/>
        </w:rPr>
        <w:t xml:space="preserve">descritas na Proposta de Preços e neste </w:t>
      </w:r>
      <w:r>
        <w:rPr>
          <w:rFonts w:hint="default" w:ascii="Times New Roman" w:hAnsi="Times New Roman"/>
          <w:b/>
          <w:i w:val="false"/>
          <w:color w:val="000000"/>
          <w:sz w:val="22"/>
        </w:rPr>
        <w:t>Termo de Referência</w:t>
      </w:r>
      <w:r>
        <w:rPr>
          <w:rFonts w:hint="default" w:ascii="Times New Roman" w:hAnsi="Times New Roman"/>
          <w:b w:val="false"/>
          <w:i w:val="false"/>
          <w:color w:val="000000"/>
          <w:sz w:val="22"/>
        </w:rPr>
        <w:t>, sendo de sua inteira responsabilidade a substituição, caso não esteja em conformidade com as referidas especificações.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5.4.</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Todas as despesas relativas à entrega e transporte dos objetos licitados, bem como todos os impostos, taxas e demais despesas decorrentes do contrato correrão por conta exclusiva da contratada.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5.5.</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recebimento dos objetos se efetivará, em conformidade com inciso II do art. 140 da Lei 14.133/2021 mediante recibo, nos seguintes termos: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6.</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provisoriamente, de forma sumária, pelo responsável por seu acompanhamento e fiscalização, com verificação posterior da conformidade do material com as exigências contratuais ou similar;</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7.</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definitivamente, por servidor ou comissão designada pela autoridade competente, mediante termo detalhado que comprove o atendimento das exigências contratuais, ou similar;</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8.</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objeto do contrato poderá ser rejeitado, no todo ou em parte, quando estiver em desacordo com o contrato ou similar;</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8.1.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procedida dentro do prazo fixado, reputar-se-á como realizada, consumando-se o</w:t>
      </w:r>
      <w:r>
        <w:rPr>
          <w:rFonts w:hint="default" w:ascii="Times New Roman" w:hAnsi="Times New Roman"/>
          <w:b/>
          <w:i w:val="false"/>
          <w:color w:val="000000"/>
          <w:sz w:val="22"/>
        </w:rPr>
        <w:t xml:space="preserve"> </w:t>
      </w:r>
      <w:r>
        <w:rPr>
          <w:rFonts w:hint="default" w:ascii="Times New Roman" w:hAnsi="Times New Roman"/>
          <w:b w:val="false"/>
          <w:i w:val="false"/>
          <w:color w:val="000000"/>
          <w:sz w:val="22"/>
        </w:rPr>
        <w:t>recebimento definitivo no dia do esgotamento do prazo.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8.2.</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Serão recusados os objetos licitados considerados imprestáveis ou defeituosos, que não atendam as especificações constantes no termo de referência e/ou que não estejam adequados para o uso.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8.3.</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Os objetos deverão ser entregues embalados de forma a não serem danificados durante as operações de transporte e descarga no local da entrega.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8.4.</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Independente de aceitação, a contratada garantirá a qualidade e segurança dos objetos contra defeitos de fabricação, pelo prazo mínimo de 12 (doze) meses, sendo 90 (noventa) dias de garantia legal (Art. 26, II do CDC), e 7 (sete) meses de garantia contratual, conforme art. 50 do CDC, ou garantia do fabricante caso a mesma seja superior.</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8.5.</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De acordo com a especificação contidas no item 1.2 deste Termo de Referência, bem como a disseminação do conhecimento, da formação e da educação, baseada no uso consciente dos recursos hídricos, visando o bem-estar das gerações futuras e do desenvolvimento sustentável.</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9.</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ESTIMATIVA DE PREÇO E PREÇOS REFERENCIAIS;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9.1.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procedimento para a pesquisa de preços observará o disposto no Decreto Estadual nº 15.617/2021 e suas alterações, ou o regulamento estadual correspondente que lhe venha substituir; caso a contratação utilize exclusivamente recursos estaduais e, obedecer ao disposto na IN MPOG n. 73, de 5 de agosto de 2020,</w:t>
      </w:r>
      <w:r>
        <w:rPr>
          <w:rFonts w:hint="default" w:ascii="Times New Roman" w:hAnsi="Times New Roman"/>
          <w:b/>
          <w:i w:val="false"/>
          <w:color w:val="000000"/>
          <w:sz w:val="22"/>
        </w:rPr>
        <w:t xml:space="preserve"> </w:t>
      </w:r>
      <w:r>
        <w:rPr>
          <w:rFonts w:hint="default" w:ascii="Times New Roman" w:hAnsi="Times New Roman"/>
          <w:b w:val="false"/>
          <w:i w:val="false"/>
          <w:color w:val="000000"/>
          <w:sz w:val="22"/>
        </w:rPr>
        <w:t>na hipótese de utilização de recurso oriundo de transferência voluntária efetivada pela União (convênio).</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10.</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CRITERIO DE JULGAMENTO DAS PROPOSTAS;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10.1.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A dispensa de licitação será realizada no Lote único.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10.2.</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O critério de julgamento adotado será o menor preço do global, observadas as exigências contidas neste Termo de Referência quanto às especificações do objeto.</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11.</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PARCELAMENTO DO OBJETO;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11.1.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Considerando tratar-se de um único lote, não é cabível o parcelamento.</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12.</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CONSÓRCIO;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12.1.</w:t>
      </w:r>
      <w:r>
        <w:rPr>
          <w:rFonts w:hint="default" w:ascii="Times New Roman" w:hAnsi="Times New Roman"/>
          <w:b w:val="false"/>
          <w:i w:val="false"/>
          <w:color w:val="000000"/>
          <w:sz w:val="22"/>
        </w:rPr>
        <w:t xml:space="preserve"> Não será permitida a participação de empresas reunidas em consórcio, devido à baixa </w:t>
      </w:r>
      <w:r>
        <w:rPr>
          <w:rFonts w:hint="default" w:ascii="Times New Roman" w:hAnsi="Times New Roman"/>
          <w:b w:val="false"/>
          <w:i w:val="false"/>
          <w:color w:val="000000"/>
          <w:sz w:val="22"/>
        </w:rPr>
        <w:t>complexidade do objeto a ser adquirido, somando-se ao fato de não se cuidar de contratação de grande vulto.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12.2.</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Subcontratação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12.2.1.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Não será admitida a subcontratação do objeto licitatório.</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13.</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INFORMAÇÕES COMPLEMENTARES;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DOCUMENTOS DA PROPOSTA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Quando o envio da documentação a licitante deverá encaminhar:</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13.1.2.</w:t>
      </w:r>
      <w:r>
        <w:rPr>
          <w:rFonts w:hint="default" w:ascii="Times New Roman" w:hAnsi="Times New Roman"/>
          <w:b w:val="false"/>
          <w:i w:val="false"/>
          <w:color w:val="000000"/>
          <w:sz w:val="22"/>
        </w:rPr>
        <w:t xml:space="preserve"> Catálogos/prospectos dos produtos ofertados para comprovação das características </w:t>
      </w:r>
      <w:r>
        <w:rPr>
          <w:rFonts w:hint="default" w:ascii="Times New Roman" w:hAnsi="Times New Roman"/>
          <w:b w:val="false"/>
          <w:i w:val="false"/>
          <w:color w:val="000000"/>
          <w:sz w:val="22"/>
        </w:rPr>
        <w:t>técnicas mínimas.</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13.1.3.</w:t>
      </w:r>
      <w:r>
        <w:rPr>
          <w:rFonts w:hint="default" w:ascii="Times New Roman" w:hAnsi="Times New Roman"/>
          <w:b w:val="false"/>
          <w:i w:val="false"/>
          <w:color w:val="000000"/>
          <w:sz w:val="22"/>
        </w:rPr>
        <w:t xml:space="preserve"> Caso o catálogo do fabricante seja omisso na descrição de algum item de composição, </w:t>
      </w:r>
      <w:r>
        <w:rPr>
          <w:rFonts w:hint="default" w:ascii="Times New Roman" w:hAnsi="Times New Roman"/>
          <w:b w:val="false"/>
          <w:i w:val="false"/>
          <w:color w:val="000000"/>
          <w:sz w:val="22"/>
        </w:rPr>
        <w:t>será aceito declaração complementar do fabricante, descrevendo a especificação faltante no prospecto.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13.1.4.</w:t>
      </w:r>
      <w:r>
        <w:rPr>
          <w:rFonts w:hint="default" w:ascii="Times New Roman" w:hAnsi="Times New Roman"/>
          <w:b w:val="false"/>
          <w:i w:val="false"/>
          <w:color w:val="000000"/>
          <w:sz w:val="22"/>
        </w:rPr>
        <w:t xml:space="preserve"> Caso o catálogo ou declaração esteja em língua estrangeira deverá ser traduzido </w:t>
      </w:r>
      <w:r>
        <w:rPr>
          <w:rFonts w:hint="default" w:ascii="Times New Roman" w:hAnsi="Times New Roman"/>
          <w:b w:val="false"/>
          <w:i w:val="false"/>
          <w:color w:val="000000"/>
          <w:sz w:val="22"/>
        </w:rPr>
        <w:t>em língua portuguesa brasileira, com juntada do documento (cópia ou original), da língua originária.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13.1.5.</w:t>
      </w:r>
      <w:r>
        <w:rPr>
          <w:rFonts w:hint="default" w:ascii="Times New Roman" w:hAnsi="Times New Roman"/>
          <w:b w:val="false"/>
          <w:i w:val="false"/>
          <w:color w:val="000000"/>
          <w:sz w:val="22"/>
        </w:rPr>
        <w:t xml:space="preserve">Ficam vedadas quaisquer transformações, montagens ou adaptações na </w:t>
      </w:r>
      <w:r>
        <w:rPr>
          <w:rFonts w:hint="default" w:ascii="Times New Roman" w:hAnsi="Times New Roman"/>
          <w:b w:val="false"/>
          <w:i w:val="false"/>
          <w:color w:val="000000"/>
          <w:sz w:val="22"/>
        </w:rPr>
        <w:t>especificação original do catálogo que deverá estar disponível no site oficial do fabricante.</w:t>
      </w:r>
      <w:r>
        <w:rPr>
          <w:rFonts w:hint="default"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i w:val="false"/>
          <w:color w:val="000000"/>
          <w:sz w:val="22"/>
        </w:rPr>
        <w:t>14.</w:t>
      </w:r>
      <w:r>
        <w:rPr>
          <w:rFonts w:hint="default" w:ascii="Times New Roman" w:hAnsi="Times New Roman"/>
          <w:b w:val="false"/>
          <w:i w:val="false"/>
          <w:color w:val="000000"/>
          <w:sz w:val="22"/>
        </w:rPr>
        <w:t xml:space="preserve"> </w:t>
      </w:r>
      <w:r>
        <w:rPr>
          <w:rFonts w:hint="default" w:ascii="Times New Roman" w:hAnsi="Times New Roman"/>
          <w:b/>
          <w:i w:val="false"/>
          <w:color w:val="000000"/>
          <w:sz w:val="22"/>
        </w:rPr>
        <w:t>DOTAÇÃO ORÇAMENTÁRIA;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14.1.</w:t>
      </w:r>
      <w:r>
        <w:rPr>
          <w:rFonts w:hint="default" w:ascii="Times New Roman" w:hAnsi="Times New Roman"/>
          <w:b w:val="false"/>
          <w:i w:val="false"/>
          <w:color w:val="000000"/>
          <w:sz w:val="22"/>
        </w:rPr>
        <w:t xml:space="preserve"> </w:t>
      </w:r>
      <w:r>
        <w:rPr>
          <w:rFonts w:hint="default" w:ascii="Times New Roman" w:hAnsi="Times New Roman"/>
          <w:b w:val="false"/>
          <w:i w:val="false"/>
          <w:color w:val="000000"/>
          <w:sz w:val="22"/>
        </w:rPr>
        <w:t>As despesas decorrentes da contratação da presente licitação correrão às seguintes despesas:</w:t>
      </w:r>
      <w:r>
        <w:rPr>
          <w:rFonts w:hint="default"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2780"/>
        <w:gridCol w:w="2500"/>
        <w:gridCol w:w="3020"/>
        <w:gridCol w:w="2360"/>
        <w:gridCol w:w="3060"/>
      </w:tblGrid>
      <w:tr>
        <w:trPr>
          <w:trHeight w:val="705" w:hRule="atLeast"/>
        </w:trPr>
        <w:tc>
          <w:tcPr>
            <w:tcW w:w="278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ESFERA</w:t>
            </w:r>
          </w:p>
        </w:tc>
        <w:tc>
          <w:tcPr>
            <w:tcW w:w="2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FUNCIONAL</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PROGRAMÁTICA</w:t>
            </w:r>
            <w:r>
              <w:rPr>
                <w:rFonts w:hint="default" w:ascii="Times New Roman" w:hAnsi="Times New Roman"/>
                <w:b w:val="false"/>
                <w:i w:val="false"/>
                <w:color w:val="000000"/>
                <w:sz w:val="22"/>
              </w:rPr>
              <w:t xml:space="preserve"/>
            </w:r>
          </w:p>
        </w:tc>
        <w:tc>
          <w:tcPr>
            <w:tcW w:w="302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FONTE DE RECURSO</w:t>
            </w:r>
          </w:p>
        </w:tc>
        <w:tc>
          <w:tcPr>
            <w:tcW w:w="236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ELEMENTO DE DESPESA</w:t>
            </w:r>
          </w:p>
        </w:tc>
        <w:tc>
          <w:tcPr>
            <w:tcW w:w="306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UNIDADE GESTORA RESPONSÁVEL</w:t>
            </w:r>
          </w:p>
        </w:tc>
      </w:tr>
      <w:tr>
        <w:trPr>
          <w:trHeight w:val="1695" w:hRule="atLeast"/>
        </w:trPr>
        <w:tc>
          <w:tcPr>
            <w:tcW w:w="278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10 – Orçamento Fiscal</w:t>
            </w:r>
          </w:p>
        </w:tc>
        <w:tc>
          <w:tcPr>
            <w:tcW w:w="250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10.51204.13.392.</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2079.3025.0001 –</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Equipamentos -</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FERTEL</w:t>
            </w:r>
            <w:r>
              <w:rPr>
                <w:rFonts w:hint="default" w:ascii="Times New Roman" w:hAnsi="Times New Roman"/>
                <w:b w:val="false"/>
                <w:i w:val="false"/>
                <w:color w:val="000000"/>
                <w:sz w:val="22"/>
              </w:rPr>
              <w:t xml:space="preserve"/>
            </w:r>
          </w:p>
        </w:tc>
        <w:tc>
          <w:tcPr>
            <w:tcW w:w="302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0170631201 – Emendas Parlamentares de</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Bancada - Especial</w:t>
            </w:r>
            <w:r>
              <w:rPr>
                <w:rFonts w:hint="default" w:ascii="Times New Roman" w:hAnsi="Times New Roman"/>
                <w:b w:val="false"/>
                <w:i w:val="false"/>
                <w:color w:val="000000"/>
                <w:sz w:val="22"/>
              </w:rPr>
              <w:t xml:space="preserve"/>
            </w:r>
          </w:p>
        </w:tc>
        <w:tc>
          <w:tcPr>
            <w:tcW w:w="236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center"/>
            </w:pPr>
            <w:r>
              <w:rPr>
                <w:rFonts w:hint="default" w:ascii="Times New Roman" w:hAnsi="Times New Roman"/>
                <w:b w:val="false"/>
                <w:i w:val="false"/>
                <w:color w:val="000000"/>
                <w:sz w:val="22"/>
              </w:rPr>
              <w:t xml:space="preserve">44903024</w:t>
            </w:r>
          </w:p>
        </w:tc>
        <w:tc>
          <w:tcPr>
            <w:tcW w:w="3060"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510204 – Fundação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Estadual Jornalista Luiz Chagas TV e Rádio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Educativa de Mato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Grosso do Sul</w:t>
            </w:r>
            <w:r>
              <w:rPr>
                <w:rFonts w:hint="default" w:ascii="Times New Roman" w:hAnsi="Times New Roman"/>
                <w:b w:val="false"/>
                <w:i w:val="false"/>
                <w:color w:val="000000"/>
                <w:sz w:val="22"/>
              </w:rPr>
              <w:t xml:space="preserve"/>
            </w:r>
          </w:p>
        </w:tc>
      </w:tr>
    </w:tbl>
    <w:p>
      <w:pPr>
        <w:spacing w:before="0" w:after="0" w:line="360"/>
        <w:ind w:left="0"/>
        <w:jc w:val="both"/>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A Contratante reserva-se no direito de, a seu critério, utilizar ou não a totalidade da reserva orçamentária prevista.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14.2.</w:t>
      </w:r>
      <w:r>
        <w:rPr>
          <w:rFonts w:ascii="Times New Roman" w:hAnsi="Times New Roman"/>
          <w:b w:val="false"/>
          <w:i w:val="false"/>
          <w:color w:val="000000"/>
          <w:sz w:val="22"/>
        </w:rPr>
        <w:t xml:space="preserve"> </w:t>
      </w:r>
      <w:r>
        <w:rPr>
          <w:b w:val="false"/>
          <w:i w:val="false"/>
          <w:color w:val="000000"/>
          <w:sz w:val="22"/>
        </w:rPr>
        <w:t>As despesas efetuadas no próximo exercício correrão à conta do respectivo orçamento, dentro da mesma programação financeira.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15.</w:t>
      </w:r>
      <w:r>
        <w:rPr>
          <w:rFonts w:ascii="Times New Roman" w:hAnsi="Times New Roman"/>
          <w:b w:val="false"/>
          <w:i w:val="false"/>
          <w:color w:val="000000"/>
          <w:sz w:val="22"/>
        </w:rPr>
        <w:t xml:space="preserve"> </w:t>
      </w:r>
      <w:r>
        <w:rPr>
          <w:b/>
          <w:i w:val="false"/>
          <w:color w:val="000000"/>
          <w:sz w:val="22"/>
        </w:rPr>
        <w:t>DESCRIÇÃO DA SOLUÇÃO COMO UM TODO CONSIDERADO O CICLO DE VIDA DO OBJETO E ESPECIFICAÇÃO DO PRODUTO (ART. 6º, INCISO XXIII, ALÍNEA ‘C’, E ART. 40, §1º, INCISO I, DA LEI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w:t>
      </w:r>
      <w:r>
        <w:rPr>
          <w:rFonts w:ascii="Times New Roman" w:hAnsi="Times New Roman"/>
          <w:b w:val="false"/>
          <w:i w:val="false"/>
          <w:color w:val="000000"/>
          <w:sz w:val="22"/>
        </w:rPr>
        <w:t xml:space="preserve"> </w:t>
      </w:r>
      <w:r>
        <w:rPr>
          <w:b w:val="false"/>
          <w:i w:val="false"/>
          <w:color w:val="000000"/>
          <w:sz w:val="22"/>
        </w:rPr>
        <w:t>Análise das possíveis soluções para atender a demanda definido neste instrumento: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15.1.1.</w:t>
      </w:r>
      <w:r>
        <w:rPr>
          <w:rFonts w:ascii="Times New Roman" w:hAnsi="Times New Roman"/>
          <w:b w:val="false"/>
          <w:i w:val="false"/>
          <w:color w:val="000000"/>
          <w:sz w:val="22"/>
        </w:rPr>
        <w:t xml:space="preserve"> </w:t>
      </w:r>
      <w:r>
        <w:rPr>
          <w:b w:val="false"/>
          <w:i w:val="false"/>
          <w:color w:val="000000"/>
          <w:sz w:val="22"/>
        </w:rPr>
        <w:t>Adesão a Ata de Registro de Preço;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15.1.2.</w:t>
      </w:r>
      <w:r>
        <w:rPr>
          <w:rFonts w:ascii="Times New Roman" w:hAnsi="Times New Roman"/>
          <w:b w:val="false"/>
          <w:i w:val="false"/>
          <w:color w:val="000000"/>
          <w:sz w:val="22"/>
        </w:rPr>
        <w:t xml:space="preserve"> </w:t>
      </w:r>
      <w:r>
        <w:rPr>
          <w:b w:val="false"/>
          <w:i w:val="false"/>
          <w:color w:val="000000"/>
          <w:sz w:val="22"/>
        </w:rPr>
        <w:t>Pregão Eletrônico;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15.1.3.</w:t>
      </w:r>
      <w:r>
        <w:rPr>
          <w:rFonts w:ascii="Times New Roman" w:hAnsi="Times New Roman"/>
          <w:b w:val="false"/>
          <w:i w:val="false"/>
          <w:color w:val="000000"/>
          <w:sz w:val="22"/>
        </w:rPr>
        <w:t xml:space="preserve"> </w:t>
      </w:r>
      <w:r>
        <w:rPr>
          <w:b w:val="false"/>
          <w:i w:val="false"/>
          <w:color w:val="000000"/>
          <w:sz w:val="22"/>
        </w:rPr>
        <w:t>Dispensa Eletrônica em razão do valor.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15.2.</w:t>
      </w:r>
      <w:r>
        <w:rPr>
          <w:rFonts w:ascii="Times New Roman" w:hAnsi="Times New Roman"/>
          <w:b w:val="false"/>
          <w:i w:val="false"/>
          <w:color w:val="000000"/>
          <w:sz w:val="22"/>
        </w:rPr>
        <w:t xml:space="preserve"> </w:t>
      </w:r>
      <w:r>
        <w:rPr>
          <w:b/>
          <w:i w:val="false"/>
          <w:color w:val="000000"/>
          <w:sz w:val="22"/>
        </w:rPr>
        <w:t>Solução 1: Adesão a Ata: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15.2.1.</w:t>
      </w:r>
      <w:r>
        <w:rPr>
          <w:rFonts w:ascii="Times New Roman" w:hAnsi="Times New Roman"/>
          <w:b w:val="false"/>
          <w:i w:val="false"/>
          <w:color w:val="000000"/>
          <w:sz w:val="22"/>
        </w:rPr>
        <w:t xml:space="preserve"> </w:t>
      </w:r>
      <w:r>
        <w:rPr>
          <w:b w:val="false"/>
          <w:i w:val="false"/>
          <w:color w:val="000000"/>
          <w:sz w:val="22"/>
        </w:rPr>
        <w:t>A adesão a ata de Registro de preço é um instituto chamado "carona" a uma ata de Registro de preços existente em um outro órgão. O problema previsto aqui, seria a dificuldade de localizar o objeto pretendido em relação ao objeto registrado.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15.3.</w:t>
      </w:r>
      <w:r>
        <w:rPr>
          <w:rFonts w:ascii="Times New Roman" w:hAnsi="Times New Roman"/>
          <w:b w:val="false"/>
          <w:i w:val="false"/>
          <w:color w:val="000000"/>
          <w:sz w:val="22"/>
        </w:rPr>
        <w:t xml:space="preserve"> </w:t>
      </w:r>
      <w:r>
        <w:rPr>
          <w:b/>
          <w:i w:val="false"/>
          <w:color w:val="000000"/>
          <w:sz w:val="22"/>
        </w:rPr>
        <w:t>Solução 2: Pregão Eletrônico: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15.3.1.</w:t>
      </w:r>
      <w:r>
        <w:rPr>
          <w:rFonts w:ascii="Times New Roman" w:hAnsi="Times New Roman"/>
          <w:b w:val="false"/>
          <w:i w:val="false"/>
          <w:color w:val="000000"/>
          <w:sz w:val="22"/>
        </w:rPr>
        <w:t xml:space="preserve"> </w:t>
      </w:r>
      <w:r>
        <w:rPr>
          <w:b w:val="false"/>
          <w:i w:val="false"/>
          <w:color w:val="000000"/>
          <w:sz w:val="22"/>
        </w:rPr>
        <w:t>Nesta solução seria conduzido uma Licitação própria para aquisição na modalidade Pregão Eletrônico. Ampla concorrência. Processo mais demorado.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w:t>
      </w:r>
      <w:r>
        <w:rPr>
          <w:rFonts w:ascii="Times New Roman" w:hAnsi="Times New Roman"/>
          <w:b w:val="false"/>
          <w:i w:val="false"/>
          <w:color w:val="000000"/>
          <w:sz w:val="22"/>
        </w:rPr>
        <w:t xml:space="preserve"> </w:t>
      </w:r>
      <w:r>
        <w:rPr>
          <w:b/>
          <w:i w:val="false"/>
          <w:color w:val="000000"/>
          <w:sz w:val="22"/>
        </w:rPr>
        <w:t>Solução 3: Dispensa Eletrônica em Razão do Baixo Valor: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15.4.1.</w:t>
      </w:r>
      <w:r>
        <w:rPr>
          <w:rFonts w:ascii="Times New Roman" w:hAnsi="Times New Roman"/>
          <w:b w:val="false"/>
          <w:i w:val="false"/>
          <w:color w:val="000000"/>
          <w:sz w:val="22"/>
        </w:rPr>
        <w:t xml:space="preserve"> </w:t>
      </w:r>
      <w:r>
        <w:rPr>
          <w:b w:val="false"/>
          <w:i w:val="false"/>
          <w:color w:val="000000"/>
          <w:sz w:val="22"/>
        </w:rPr>
        <w:t>Hipótese do art. 75, inciso II, nos termos da Lei n° 14.133/2021 e Decreto Estadual n.°16.119/2023;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15.4.2.</w:t>
      </w:r>
      <w:r>
        <w:rPr>
          <w:rFonts w:ascii="Times New Roman" w:hAnsi="Times New Roman"/>
          <w:b w:val="false"/>
          <w:i w:val="false"/>
          <w:color w:val="000000"/>
          <w:sz w:val="22"/>
        </w:rPr>
        <w:t xml:space="preserve"> </w:t>
      </w:r>
      <w:r>
        <w:rPr>
          <w:b w:val="false"/>
          <w:i w:val="false"/>
          <w:color w:val="000000"/>
          <w:sz w:val="22"/>
        </w:rPr>
        <w:t>Contratação que envolva valores inferiores a R$57.208,33 (cinquenta sete mil, duzentos e oito mil reais e trinta e três centavos), no caso de outros serviços e compras.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15.4.3.</w:t>
      </w:r>
      <w:r>
        <w:rPr>
          <w:rFonts w:ascii="Times New Roman" w:hAnsi="Times New Roman"/>
          <w:b w:val="false"/>
          <w:i w:val="false"/>
          <w:color w:val="000000"/>
          <w:sz w:val="22"/>
        </w:rPr>
        <w:t xml:space="preserve"> </w:t>
      </w:r>
      <w:r>
        <w:rPr>
          <w:b/>
          <w:i w:val="false"/>
          <w:color w:val="000000"/>
          <w:sz w:val="22"/>
        </w:rPr>
        <w:t xml:space="preserve">Esta solução é a que melhor se adequa à contratação em tela. Como trata-se de uma contratação por escopo, será efetuada a aquisição de uma única vez, a dispensa eletrônica não restringe a competitividade e é um processo mais célere, </w:t>
      </w:r>
      <w:r>
        <w:rPr>
          <w:b w:val="false"/>
          <w:i w:val="false"/>
          <w:color w:val="000000"/>
          <w:sz w:val="22"/>
        </w:rPr>
        <w:t>conforme Decreto Estadual 15.1616/2021.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15.4.4.</w:t>
      </w:r>
      <w:r>
        <w:rPr>
          <w:rFonts w:ascii="Times New Roman" w:hAnsi="Times New Roman"/>
          <w:b w:val="false"/>
          <w:i w:val="false"/>
          <w:color w:val="000000"/>
          <w:sz w:val="22"/>
        </w:rPr>
        <w:t xml:space="preserve"> </w:t>
      </w:r>
      <w:r>
        <w:rPr>
          <w:b w:val="false"/>
          <w:i w:val="false"/>
          <w:color w:val="000000"/>
          <w:sz w:val="22"/>
        </w:rPr>
        <w:t>Conforme Inciso I do art. 14 da Instrução Normativa Seges Nº 58 de 8 de agosto de 2022, foi dispensado a elaboração do Estudo Técnico Preliminar para esta contratação e art.7 § 6°, inciso I do Decreto Estadual</w:t>
      </w:r>
      <w:r>
        <w:rPr>
          <w:b/>
          <w:i w:val="false"/>
          <w:color w:val="000000"/>
          <w:sz w:val="22"/>
        </w:rPr>
        <w:t xml:space="preserve"> </w:t>
      </w:r>
      <w:r>
        <w:rPr>
          <w:b w:val="false"/>
          <w:i w:val="false"/>
          <w:color w:val="000000"/>
          <w:sz w:val="22"/>
        </w:rPr>
        <w:t>nº15.941/2022.</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16.</w:t>
      </w:r>
      <w:r>
        <w:rPr>
          <w:rFonts w:ascii="Times New Roman" w:hAnsi="Times New Roman"/>
          <w:b w:val="false"/>
          <w:i w:val="false"/>
          <w:color w:val="000000"/>
          <w:sz w:val="22"/>
        </w:rPr>
        <w:t xml:space="preserve"> </w:t>
      </w:r>
      <w:r>
        <w:rPr>
          <w:b/>
          <w:i w:val="false"/>
          <w:color w:val="000000"/>
          <w:sz w:val="22"/>
        </w:rPr>
        <w:t>REQUISITOS DA CONTRATAÇÃO (ART. 6º, XXIII, ALÍNEA ‘D’, DA LEI Nº 14.133/21);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w:t>
      </w:r>
      <w:r>
        <w:rPr>
          <w:rFonts w:ascii="Times New Roman" w:hAnsi="Times New Roman"/>
          <w:b w:val="false"/>
          <w:i w:val="false"/>
          <w:color w:val="000000"/>
          <w:sz w:val="22"/>
        </w:rPr>
        <w:t xml:space="preserve"> </w:t>
      </w:r>
      <w:r>
        <w:rPr>
          <w:b w:val="false"/>
          <w:i w:val="false"/>
          <w:color w:val="000000"/>
          <w:sz w:val="22"/>
        </w:rPr>
        <w:t>A contratação deverá observar os seguintes requisitos: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16.1.1.</w:t>
      </w:r>
      <w:r>
        <w:rPr>
          <w:rFonts w:ascii="Times New Roman" w:hAnsi="Times New Roman"/>
          <w:b w:val="false"/>
          <w:i w:val="false"/>
          <w:color w:val="000000"/>
          <w:sz w:val="22"/>
        </w:rPr>
        <w:t xml:space="preserve"> </w:t>
      </w:r>
      <w:r>
        <w:rPr>
          <w:b w:val="false"/>
          <w:i w:val="false"/>
          <w:color w:val="000000"/>
          <w:sz w:val="22"/>
        </w:rPr>
        <w:t>Sustentabilidade: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16.1.2.</w:t>
      </w:r>
      <w:r>
        <w:rPr>
          <w:rFonts w:ascii="Times New Roman" w:hAnsi="Times New Roman"/>
          <w:b w:val="false"/>
          <w:i w:val="false"/>
          <w:color w:val="000000"/>
          <w:sz w:val="22"/>
        </w:rPr>
        <w:t xml:space="preserve"> </w:t>
      </w:r>
      <w:r>
        <w:rPr>
          <w:b w:val="false"/>
          <w:i w:val="false"/>
          <w:color w:val="000000"/>
          <w:sz w:val="22"/>
        </w:rPr>
        <w:t>No entanto, salienta-se que não foi identificado impacto ambiental.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16.1.3.</w:t>
      </w:r>
      <w:r>
        <w:rPr>
          <w:rFonts w:ascii="Times New Roman" w:hAnsi="Times New Roman"/>
          <w:b w:val="false"/>
          <w:i w:val="false"/>
          <w:color w:val="000000"/>
          <w:sz w:val="22"/>
        </w:rPr>
        <w:t xml:space="preserve"> </w:t>
      </w:r>
      <w:r>
        <w:rPr>
          <w:b w:val="false"/>
          <w:i w:val="false"/>
          <w:color w:val="000000"/>
          <w:sz w:val="22"/>
        </w:rPr>
        <w:t>Não será admitida a subcontratação do objeto contratual.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16.1.4.</w:t>
      </w:r>
      <w:r>
        <w:rPr>
          <w:rFonts w:ascii="Times New Roman" w:hAnsi="Times New Roman"/>
          <w:b w:val="false"/>
          <w:i w:val="false"/>
          <w:color w:val="000000"/>
          <w:sz w:val="22"/>
        </w:rPr>
        <w:t xml:space="preserve"> </w:t>
      </w:r>
      <w:r>
        <w:rPr>
          <w:b w:val="false"/>
          <w:i w:val="false"/>
          <w:color w:val="000000"/>
          <w:sz w:val="22"/>
        </w:rPr>
        <w:t>Não haverá exigência da garantia da contratação dos arts. 96 e seguintes da Lei nº 14.133/21, pelas razões abaixo justificadas: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16.1.5.</w:t>
      </w:r>
      <w:r>
        <w:rPr>
          <w:rFonts w:ascii="Times New Roman" w:hAnsi="Times New Roman"/>
          <w:b w:val="false"/>
          <w:i w:val="false"/>
          <w:color w:val="000000"/>
          <w:sz w:val="22"/>
        </w:rPr>
        <w:t xml:space="preserve"> </w:t>
      </w:r>
      <w:r>
        <w:rPr>
          <w:b w:val="false"/>
          <w:i w:val="false"/>
          <w:color w:val="000000"/>
          <w:sz w:val="22"/>
        </w:rPr>
        <w:t>Considerando o baixo valor global da contratação;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16.1.6.</w:t>
      </w:r>
      <w:r>
        <w:rPr>
          <w:rFonts w:ascii="Times New Roman" w:hAnsi="Times New Roman"/>
          <w:b w:val="false"/>
          <w:i w:val="false"/>
          <w:color w:val="000000"/>
          <w:sz w:val="22"/>
        </w:rPr>
        <w:t xml:space="preserve"> </w:t>
      </w:r>
      <w:r>
        <w:rPr>
          <w:b w:val="false"/>
          <w:i w:val="false"/>
          <w:color w:val="000000"/>
          <w:sz w:val="22"/>
        </w:rPr>
        <w:t>Ademais a garantia é obrigatória para os contratos que envolvam a execução de serviços continuados com dedicação exclusiva de mão de obra, nos termos do art. 8°, VI do Decreto n° 9.570, de 2018, e do item 3 do Anexo VII-F da Instrução Normativa SEGES/MP n° 05/2017, o que não é o caso da presente contratação.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17.</w:t>
      </w:r>
      <w:r>
        <w:rPr>
          <w:rFonts w:ascii="Times New Roman" w:hAnsi="Times New Roman"/>
          <w:b w:val="false"/>
          <w:i w:val="false"/>
          <w:color w:val="000000"/>
          <w:sz w:val="22"/>
        </w:rPr>
        <w:t xml:space="preserve"> </w:t>
      </w:r>
      <w:r>
        <w:rPr>
          <w:b/>
          <w:i w:val="false"/>
          <w:color w:val="000000"/>
          <w:sz w:val="22"/>
        </w:rPr>
        <w:t>MODELO DE EXECUÇÃO CONTRATUAL (ARTS. 6º, XXIII, ALÍNEA “E” E 40, §1º, INCISO II, DA LEI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17.1.</w:t>
      </w:r>
      <w:r>
        <w:rPr>
          <w:rFonts w:ascii="Times New Roman" w:hAnsi="Times New Roman"/>
          <w:b w:val="false"/>
          <w:i w:val="false"/>
          <w:color w:val="000000"/>
          <w:sz w:val="22"/>
        </w:rPr>
        <w:t xml:space="preserve"> </w:t>
      </w:r>
      <w:r>
        <w:rPr>
          <w:b w:val="false"/>
          <w:i w:val="false"/>
          <w:color w:val="000000"/>
          <w:sz w:val="22"/>
        </w:rPr>
        <w:t>O prazo de entrega dos bens é de 30 (trinta) dias, contados do recebimento pelo fornecedor do instrumento contratual (Nota de Empenho), em remessa única.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17.2.</w:t>
      </w:r>
      <w:r>
        <w:rPr>
          <w:rFonts w:ascii="Times New Roman" w:hAnsi="Times New Roman"/>
          <w:b w:val="false"/>
          <w:i w:val="false"/>
          <w:color w:val="000000"/>
          <w:sz w:val="22"/>
        </w:rPr>
        <w:t xml:space="preserve"> </w:t>
      </w:r>
      <w:r>
        <w:rPr>
          <w:b w:val="false"/>
          <w:i w:val="false"/>
          <w:color w:val="000000"/>
          <w:sz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17.3.</w:t>
      </w:r>
      <w:r>
        <w:rPr>
          <w:rFonts w:ascii="Times New Roman" w:hAnsi="Times New Roman"/>
          <w:b w:val="false"/>
          <w:i w:val="false"/>
          <w:color w:val="000000"/>
          <w:sz w:val="22"/>
        </w:rPr>
        <w:t xml:space="preserve"> </w:t>
      </w:r>
      <w:r>
        <w:rPr>
          <w:b w:val="false"/>
          <w:i w:val="false"/>
          <w:color w:val="000000"/>
          <w:sz w:val="22"/>
        </w:rPr>
        <w:t>Os bens deverão ser entregues no seguinte endereço: Rua Av. Desembargador Leão Neto do Carmo, 710 Parque dos Poderes – 79037-900 Campo Grande/MS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17.4.</w:t>
      </w:r>
      <w:r>
        <w:rPr>
          <w:rFonts w:ascii="Times New Roman" w:hAnsi="Times New Roman"/>
          <w:b w:val="false"/>
          <w:i w:val="false"/>
          <w:color w:val="000000"/>
          <w:sz w:val="22"/>
        </w:rPr>
        <w:t xml:space="preserve"> </w:t>
      </w:r>
      <w:r>
        <w:rPr>
          <w:b w:val="false"/>
          <w:i w:val="false"/>
          <w:color w:val="000000"/>
          <w:sz w:val="22"/>
        </w:rPr>
        <w:t>Os bens serão recebidos provisoriamente, de forma sumária, no prazo de 30 (trinta) dias, pelo(a) responsável pelo acompanhamento e fiscalização do contrato, para efeito de posterior verificação de sua conformidade com as especificações constantes neste Termo de Referência e na proposta.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17.5.</w:t>
      </w:r>
      <w:r>
        <w:rPr>
          <w:rFonts w:ascii="Times New Roman" w:hAnsi="Times New Roman"/>
          <w:b w:val="false"/>
          <w:i w:val="false"/>
          <w:color w:val="000000"/>
          <w:sz w:val="22"/>
        </w:rPr>
        <w:t xml:space="preserve"> </w:t>
      </w:r>
      <w:r>
        <w:rPr>
          <w:b w:val="false"/>
          <w:i w:val="false"/>
          <w:color w:val="000000"/>
          <w:sz w:val="22"/>
        </w:rPr>
        <w:t>Os bens serão recebidos definitivamente no prazo do item 14.1 neste Termo de Referência, contados do recebimento provisório, após a verificação da qualidade e quantidade do material e consequente aceitação mediante termo detalhado.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17.6.</w:t>
      </w:r>
      <w:r>
        <w:rPr>
          <w:rFonts w:ascii="Times New Roman" w:hAnsi="Times New Roman"/>
          <w:b w:val="false"/>
          <w:i w:val="false"/>
          <w:color w:val="000000"/>
          <w:sz w:val="22"/>
        </w:rPr>
        <w:t xml:space="preserve"> </w:t>
      </w:r>
      <w:r>
        <w:rPr>
          <w:b w:val="false"/>
          <w:i w:val="false"/>
          <w:color w:val="000000"/>
          <w:sz w:val="22"/>
        </w:rPr>
        <w:t>Na hipótese da verificação, o que se refere o subitem anterior não ser procedida dentro do prazo fixado, reputar-se-á como realizada, consumando-se o recebimento definitivo no dia do esgotamento do prazo.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17.7.</w:t>
      </w:r>
      <w:r>
        <w:rPr>
          <w:rFonts w:ascii="Times New Roman" w:hAnsi="Times New Roman"/>
          <w:b w:val="false"/>
          <w:i w:val="false"/>
          <w:color w:val="000000"/>
          <w:sz w:val="22"/>
        </w:rPr>
        <w:t xml:space="preserve"> </w:t>
      </w:r>
      <w:r>
        <w:rPr>
          <w:b w:val="false"/>
          <w:i w:val="false"/>
          <w:color w:val="000000"/>
          <w:sz w:val="22"/>
        </w:rPr>
        <w:t>O recebimento provisório ou definitivo não excluirá a responsabilidade civil pela solidez e pela segurança do serviço, nem a responsabilidade ético profissional.</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18.</w:t>
      </w:r>
      <w:r>
        <w:rPr>
          <w:rFonts w:ascii="Times New Roman" w:hAnsi="Times New Roman"/>
          <w:b w:val="false"/>
          <w:i w:val="false"/>
          <w:color w:val="000000"/>
          <w:sz w:val="22"/>
        </w:rPr>
        <w:t xml:space="preserve"> </w:t>
      </w:r>
      <w:r>
        <w:rPr>
          <w:b/>
          <w:i w:val="false"/>
          <w:color w:val="000000"/>
          <w:sz w:val="22"/>
        </w:rPr>
        <w:t>ESPECIFICAÇÃO DA GARANTIA CONTRATUAL EXIGIDA E DAS CONDIÇÕES DE MANUTENÇÃO E ASSISTÊNCIA TÉCNICA (ART. 40, §1º, INCISO III, DA LEI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18.1.</w:t>
      </w:r>
      <w:r>
        <w:rPr>
          <w:rFonts w:ascii="Times New Roman" w:hAnsi="Times New Roman"/>
          <w:b w:val="false"/>
          <w:i w:val="false"/>
          <w:color w:val="000000"/>
          <w:sz w:val="22"/>
        </w:rPr>
        <w:t xml:space="preserve"> </w:t>
      </w:r>
      <w:r>
        <w:rPr>
          <w:b w:val="false"/>
          <w:i w:val="false"/>
          <w:color w:val="000000"/>
          <w:sz w:val="22"/>
        </w:rPr>
        <w:t>O prazo de garantia contratual dos bens, complementar à garantia legal de 3 (três) meses, é de, no mínimo, 9 (nove) meses, ou pelo prazo fornecido pelo fabricante, se superior, contado a partir do primeiro dia útil subsequente à data do recebimento definitivo 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18.2.</w:t>
      </w:r>
      <w:r>
        <w:rPr>
          <w:rFonts w:ascii="Times New Roman" w:hAnsi="Times New Roman"/>
          <w:b w:val="false"/>
          <w:i w:val="false"/>
          <w:color w:val="000000"/>
          <w:sz w:val="22"/>
        </w:rPr>
        <w:t xml:space="preserve"> </w:t>
      </w:r>
      <w:r>
        <w:rPr>
          <w:b w:val="false"/>
          <w:i w:val="false"/>
          <w:color w:val="000000"/>
          <w:sz w:val="22"/>
        </w:rPr>
        <w:t>A garantia será prestada com vistas a manter os equipamentos fornecidos em perfeitas condições de uso, sem qualquer ônus ou custo adicional para o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18.3.</w:t>
      </w:r>
      <w:r>
        <w:rPr>
          <w:rFonts w:ascii="Times New Roman" w:hAnsi="Times New Roman"/>
          <w:b w:val="false"/>
          <w:i w:val="false"/>
          <w:color w:val="000000"/>
          <w:sz w:val="22"/>
        </w:rPr>
        <w:t xml:space="preserve"> </w:t>
      </w:r>
      <w:r>
        <w:rPr>
          <w:b w:val="false"/>
          <w:i w:val="false"/>
          <w:color w:val="000000"/>
          <w:sz w:val="22"/>
        </w:rPr>
        <w:t>A garantia abrange a realização da manutenção corretiva dos bens pela própria Contratada, ou, se for o caso, por meio de assistência técnica autorizada, de acordo com as normas técnicas específicas.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18.4.</w:t>
      </w:r>
      <w:r>
        <w:rPr>
          <w:rFonts w:ascii="Times New Roman" w:hAnsi="Times New Roman"/>
          <w:b w:val="false"/>
          <w:i w:val="false"/>
          <w:color w:val="000000"/>
          <w:sz w:val="22"/>
        </w:rPr>
        <w:t xml:space="preserve"> </w:t>
      </w:r>
      <w:r>
        <w:rPr>
          <w:b w:val="false"/>
          <w:i w:val="false"/>
          <w:color w:val="000000"/>
          <w:sz w:val="22"/>
        </w:rPr>
        <w:t>Entende-se por manutenção corretiva aquela destinada a corrigir os defeitos apresentados pelos bens, compreendendo a substituição de peças, a realização de ajustes, reparos e correções necessárias.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18.5.</w:t>
      </w:r>
      <w:r>
        <w:rPr>
          <w:rFonts w:ascii="Times New Roman" w:hAnsi="Times New Roman"/>
          <w:b w:val="false"/>
          <w:i w:val="false"/>
          <w:color w:val="000000"/>
          <w:sz w:val="22"/>
        </w:rPr>
        <w:t xml:space="preserve"> </w:t>
      </w:r>
      <w:r>
        <w:rPr>
          <w:b w:val="false"/>
          <w:i w:val="false"/>
          <w:color w:val="000000"/>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18.6.</w:t>
      </w:r>
      <w:r>
        <w:rPr>
          <w:rFonts w:ascii="Times New Roman" w:hAnsi="Times New Roman"/>
          <w:b w:val="false"/>
          <w:i w:val="false"/>
          <w:color w:val="000000"/>
          <w:sz w:val="22"/>
        </w:rPr>
        <w:t xml:space="preserve"> </w:t>
      </w:r>
      <w:r>
        <w:rPr>
          <w:b w:val="false"/>
          <w:i w:val="false"/>
          <w:color w:val="000000"/>
          <w:sz w:val="22"/>
        </w:rPr>
        <w:t>Uma vez notificada, a Contratada realizará a reparação ou substituição dos bens que apresentarem vício ou defeito no prazo de até 20 (vinte) dias úteis, contados a partir da data de retirada do equipamento das dependências da Administração pela Contratada ou pela assistência técnica autorizada.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18.7.</w:t>
      </w:r>
      <w:r>
        <w:rPr>
          <w:rFonts w:ascii="Times New Roman" w:hAnsi="Times New Roman"/>
          <w:b w:val="false"/>
          <w:i w:val="false"/>
          <w:color w:val="000000"/>
          <w:sz w:val="22"/>
        </w:rPr>
        <w:t xml:space="preserve"> </w:t>
      </w:r>
      <w:r>
        <w:rPr>
          <w:b w:val="false"/>
          <w:i w:val="false"/>
          <w:color w:val="000000"/>
          <w:sz w:val="22"/>
        </w:rPr>
        <w:t>O prazo indicado no subitem anterior, durante seu transcurso, poderá ser prorrogado uma única vez, por igual período, mediante solicitação escrita e justificada da Contratada, aceita pelo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18.8.</w:t>
      </w:r>
      <w:r>
        <w:rPr>
          <w:rFonts w:ascii="Times New Roman" w:hAnsi="Times New Roman"/>
          <w:b w:val="false"/>
          <w:i w:val="false"/>
          <w:color w:val="000000"/>
          <w:sz w:val="22"/>
        </w:rPr>
        <w:t xml:space="preserve"> </w:t>
      </w:r>
      <w:r>
        <w:rPr>
          <w:b w:val="false"/>
          <w:i w:val="false"/>
          <w:color w:val="000000"/>
          <w:sz w:val="22"/>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18.9.</w:t>
      </w:r>
      <w:r>
        <w:rPr>
          <w:rFonts w:ascii="Times New Roman" w:hAnsi="Times New Roman"/>
          <w:b w:val="false"/>
          <w:i w:val="false"/>
          <w:color w:val="000000"/>
          <w:sz w:val="22"/>
        </w:rPr>
        <w:t xml:space="preserve"> </w:t>
      </w:r>
      <w:r>
        <w:rPr>
          <w:b w:val="false"/>
          <w:i w:val="false"/>
          <w:color w:val="000000"/>
          <w:sz w:val="22"/>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18.10.</w:t>
      </w:r>
      <w:r>
        <w:rPr>
          <w:rFonts w:ascii="Times New Roman" w:hAnsi="Times New Roman"/>
          <w:b w:val="false"/>
          <w:i w:val="false"/>
          <w:color w:val="000000"/>
          <w:sz w:val="22"/>
        </w:rPr>
        <w:t xml:space="preserve"> </w:t>
      </w:r>
      <w:r>
        <w:rPr>
          <w:b w:val="false"/>
          <w:i w:val="false"/>
          <w:color w:val="000000"/>
          <w:sz w:val="22"/>
        </w:rPr>
        <w:t>O custo referente ao transporte dos equipamentos cobertos pela garantia será de responsabilidade da Contratada.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18.11.</w:t>
      </w:r>
      <w:r>
        <w:rPr>
          <w:rFonts w:ascii="Times New Roman" w:hAnsi="Times New Roman"/>
          <w:b w:val="false"/>
          <w:i w:val="false"/>
          <w:color w:val="000000"/>
          <w:sz w:val="22"/>
        </w:rPr>
        <w:t xml:space="preserve"> </w:t>
      </w:r>
      <w:r>
        <w:rPr>
          <w:b w:val="false"/>
          <w:i w:val="false"/>
          <w:color w:val="000000"/>
          <w:sz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19.</w:t>
      </w:r>
      <w:r>
        <w:rPr>
          <w:rFonts w:ascii="Times New Roman" w:hAnsi="Times New Roman"/>
          <w:b w:val="false"/>
          <w:i w:val="false"/>
          <w:color w:val="000000"/>
          <w:sz w:val="22"/>
        </w:rPr>
        <w:t xml:space="preserve"> </w:t>
      </w:r>
      <w:r>
        <w:rPr>
          <w:b/>
          <w:i w:val="false"/>
          <w:color w:val="000000"/>
          <w:sz w:val="22"/>
        </w:rPr>
        <w:t>MODELO DE GESTÃO DO CONTRATO (ART. 6º, XXIII, ALÍNEA “F”, DA LEI Nº 14.133/21 E DECRETO ESTADUAL N.º 15.524/2020);</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19.1.</w:t>
      </w:r>
      <w:r>
        <w:rPr>
          <w:rFonts w:ascii="Times New Roman" w:hAnsi="Times New Roman"/>
          <w:b w:val="false"/>
          <w:i w:val="false"/>
          <w:color w:val="000000"/>
          <w:sz w:val="22"/>
        </w:rPr>
        <w:t xml:space="preserve"> </w:t>
      </w:r>
      <w:r>
        <w:rPr>
          <w:b w:val="false"/>
          <w:i w:val="false"/>
          <w:color w:val="000000"/>
          <w:sz w:val="22"/>
        </w:rPr>
        <w:t>O contrato deverá ser executado fielmente pelas partes, de acordo com as cláusulas avençadas e as normas da Lei nº14.133/2021, e cada parte responderá pelas consequências de sua inexecução total ou parcial (Lei nº 14.133/2021, art. 115, caput).</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19.2.</w:t>
      </w:r>
      <w:r>
        <w:rPr>
          <w:rFonts w:ascii="Times New Roman" w:hAnsi="Times New Roman"/>
          <w:b w:val="false"/>
          <w:i w:val="false"/>
          <w:color w:val="000000"/>
          <w:sz w:val="22"/>
        </w:rPr>
        <w:t xml:space="preserve"> </w:t>
      </w:r>
      <w:r>
        <w:rPr>
          <w:b w:val="false"/>
          <w:i w:val="false"/>
          <w:color w:val="000000"/>
          <w:sz w:val="22"/>
        </w:rPr>
        <w:t>Em caso de impedimento, ordem de paralisação ou suspensão do contrato, o cronograma de execução será prorrogado automaticamente pelo tempo correspondente, anotadas tais circunstâncias mediantes simples apostila (Lei nº 14.133/2021, art. 115, §5º).</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19.3.</w:t>
      </w:r>
      <w:r>
        <w:rPr>
          <w:rFonts w:ascii="Times New Roman" w:hAnsi="Times New Roman"/>
          <w:b w:val="false"/>
          <w:i w:val="false"/>
          <w:color w:val="000000"/>
          <w:sz w:val="22"/>
        </w:rPr>
        <w:t xml:space="preserve"> </w:t>
      </w:r>
      <w:r>
        <w:rPr>
          <w:b w:val="false"/>
          <w:i w:val="false"/>
          <w:color w:val="000000"/>
          <w:sz w:val="22"/>
        </w:rPr>
        <w:t>Será designado representante para acompanhar e fiscalizar a entrega dos bens, anotando em registro próprio todas as ocorrências relacionadas com a execução e determinando o que for necessário à regularização de falhas ou defeitos observados.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19.4.</w:t>
      </w:r>
      <w:r>
        <w:rPr>
          <w:rFonts w:ascii="Times New Roman" w:hAnsi="Times New Roman"/>
          <w:b w:val="false"/>
          <w:i w:val="false"/>
          <w:color w:val="000000"/>
          <w:sz w:val="22"/>
        </w:rPr>
        <w:t xml:space="preserve"> </w:t>
      </w:r>
      <w:r>
        <w:rPr>
          <w:b w:val="false"/>
          <w:i w:val="false"/>
          <w:color w:val="000000"/>
          <w:sz w:val="22"/>
        </w:rPr>
        <w:t>A fiscalização de que trata este item não exclui nem reduz a responsabilidade da Contratada, inclusive perante terceiros, por qualquer irregularidade, ainda que resultante de imperfeições técnicas ou vícios redibitórios, e, falhas ou defeitos observados.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19.5.</w:t>
      </w:r>
      <w:r>
        <w:rPr>
          <w:rFonts w:ascii="Times New Roman" w:hAnsi="Times New Roman"/>
          <w:b w:val="false"/>
          <w:i w:val="false"/>
          <w:color w:val="000000"/>
          <w:sz w:val="22"/>
        </w:rPr>
        <w:t xml:space="preserve"> </w:t>
      </w:r>
      <w:r>
        <w:rPr>
          <w:b w:val="false"/>
          <w:i w:val="false"/>
          <w:color w:val="000000"/>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19.6.</w:t>
      </w:r>
      <w:r>
        <w:rPr>
          <w:rFonts w:ascii="Times New Roman" w:hAnsi="Times New Roman"/>
          <w:b w:val="false"/>
          <w:i w:val="false"/>
          <w:color w:val="000000"/>
          <w:sz w:val="22"/>
        </w:rPr>
        <w:t xml:space="preserve"> </w:t>
      </w:r>
      <w:r>
        <w:rPr>
          <w:b w:val="false"/>
          <w:i w:val="false"/>
          <w:color w:val="000000"/>
          <w:sz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19.7.</w:t>
      </w:r>
      <w:r>
        <w:rPr>
          <w:rFonts w:ascii="Times New Roman" w:hAnsi="Times New Roman"/>
          <w:b w:val="false"/>
          <w:i w:val="false"/>
          <w:color w:val="000000"/>
          <w:sz w:val="22"/>
        </w:rPr>
        <w:t xml:space="preserve"> </w:t>
      </w:r>
      <w:r>
        <w:rPr>
          <w:b w:val="false"/>
          <w:i w:val="false"/>
          <w:color w:val="000000"/>
          <w:sz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19.8.</w:t>
      </w:r>
      <w:r>
        <w:rPr>
          <w:rFonts w:ascii="Times New Roman" w:hAnsi="Times New Roman"/>
          <w:b w:val="false"/>
          <w:i w:val="false"/>
          <w:color w:val="000000"/>
          <w:sz w:val="22"/>
        </w:rPr>
        <w:t xml:space="preserve"> </w:t>
      </w:r>
      <w:r>
        <w:rPr>
          <w:b w:val="false"/>
          <w:i w:val="false"/>
          <w:color w:val="000000"/>
          <w:sz w:val="22"/>
        </w:rPr>
        <w:t>As comunicações entre o órgão ou entidade e a contratada devem ser realizadas por escrito sempre que o ato exigir tal formalidade, admitindo-se, excepcionalmente, o uso de mensagem eletrônica para esse fim (IN 5/2017, art. 44, §2º).</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19.9.</w:t>
      </w:r>
      <w:r>
        <w:rPr>
          <w:rFonts w:ascii="Times New Roman" w:hAnsi="Times New Roman"/>
          <w:b w:val="false"/>
          <w:i w:val="false"/>
          <w:color w:val="000000"/>
          <w:sz w:val="22"/>
        </w:rPr>
        <w:t xml:space="preserve"> </w:t>
      </w:r>
      <w:r>
        <w:rPr>
          <w:b w:val="false"/>
          <w:i w:val="false"/>
          <w:color w:val="000000"/>
          <w:sz w:val="22"/>
        </w:rPr>
        <w:t>O órgão ou entidade poderá convocar representante da empresa para adoção de providências que devem ser cumpridas de imediato.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19.10.</w:t>
      </w:r>
      <w:r>
        <w:rPr>
          <w:rFonts w:ascii="Times New Roman" w:hAnsi="Times New Roman"/>
          <w:b w:val="false"/>
          <w:i w:val="false"/>
          <w:color w:val="000000"/>
          <w:sz w:val="22"/>
        </w:rPr>
        <w:t xml:space="preserve"> </w:t>
      </w:r>
      <w:r>
        <w:rPr>
          <w:b w:val="false"/>
          <w:i w:val="false"/>
          <w:color w:val="000000"/>
          <w:sz w:val="22"/>
        </w:rPr>
        <w:t>Antes do pagamento da nota fiscal ou da fatura, deverá ser consultada a situação da empresa junto ao cadastro de fornecedores do estado de Mato Grosso do Sul (</w:t>
      </w:r>
      <w:r>
        <w:rPr>
          <w:b/>
          <w:i w:val="false"/>
          <w:color w:val="000000"/>
          <w:sz w:val="22"/>
        </w:rPr>
        <w:t>CERCA</w:t>
      </w:r>
      <w:r>
        <w:rPr>
          <w:b w:val="false"/>
          <w:i w:val="false"/>
          <w:color w:val="000000"/>
          <w:sz w:val="22"/>
        </w:rPr>
        <w:t>). Entrar no site disponível: (</w:t>
      </w:r>
      <w:hyperlink r:id="rId5">
        <w:r>
          <w:rPr>
            <w:rStyle w:val="Hyperlink"/>
            <w:b w:val="false"/>
            <w:i w:val="false"/>
            <w:color w:val="0000ff"/>
            <w:sz w:val="22"/>
            <w:u w:val="single"/>
          </w:rPr>
          <w:t>http://www.compras.ms.gov.br/cadastro-de-fornecedores/</w:t>
        </w:r>
      </w:hyperlink>
      <w:r>
        <w:rPr>
          <w:b w:val="false"/>
          <w:i w:val="false"/>
          <w:color w:val="000000"/>
          <w:sz w:val="22"/>
        </w:rPr>
        <w:t>)</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19.11.</w:t>
      </w:r>
      <w:r>
        <w:rPr>
          <w:rFonts w:ascii="Times New Roman" w:hAnsi="Times New Roman"/>
          <w:b w:val="false"/>
          <w:i w:val="false"/>
          <w:color w:val="000000"/>
          <w:sz w:val="22"/>
        </w:rPr>
        <w:t xml:space="preserve"> </w:t>
      </w:r>
      <w:r>
        <w:rPr>
          <w:b w:val="false"/>
          <w:i w:val="false"/>
          <w:color w:val="000000"/>
          <w:sz w:val="22"/>
        </w:rPr>
        <w:t xml:space="preserve">Serão exigidos a Certidão Negativa de Débito (CND) relativa a Créditos Tributários Federais e à Dívida Ativa da União, o Certificado de Regularidade do FGTS (CRF) e a Certidão Negativa de Débitos Trabalhistas (CNDT), caso esses documentos não estejam regularizados no site disponível: </w:t>
      </w:r>
      <w:r>
        <w:rPr>
          <w:b w:val="false"/>
          <w:i w:val="false"/>
          <w:color w:val="0000ff"/>
          <w:sz w:val="22"/>
        </w:rPr>
        <w:t>Certidões | Portal TCU</w:t>
      </w:r>
      <w:r>
        <w:rPr>
          <w:b w:val="false"/>
          <w:i w:val="false"/>
          <w:color w:val="000000"/>
          <w:sz w:val="22"/>
        </w:rPr>
        <w:t xml:space="preserve"> ...emitir certidão de idoneidade.</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20.</w:t>
      </w:r>
      <w:r>
        <w:rPr>
          <w:rFonts w:ascii="Times New Roman" w:hAnsi="Times New Roman"/>
          <w:b w:val="false"/>
          <w:i w:val="false"/>
          <w:color w:val="000000"/>
          <w:sz w:val="22"/>
        </w:rPr>
        <w:t xml:space="preserve"> </w:t>
      </w:r>
      <w:r>
        <w:rPr>
          <w:b/>
          <w:i w:val="false"/>
          <w:color w:val="000000"/>
          <w:sz w:val="22"/>
        </w:rPr>
        <w:t>Gestão e Fiscalização do Contrato: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20.1.</w:t>
      </w:r>
      <w:r>
        <w:rPr>
          <w:rFonts w:ascii="Times New Roman" w:hAnsi="Times New Roman"/>
          <w:b w:val="false"/>
          <w:i w:val="false"/>
          <w:color w:val="000000"/>
          <w:sz w:val="22"/>
        </w:rPr>
        <w:t xml:space="preserve"> </w:t>
      </w:r>
      <w:r>
        <w:rPr>
          <w:b w:val="false"/>
          <w:i w:val="false"/>
          <w:color w:val="000000"/>
          <w:sz w:val="22"/>
        </w:rPr>
        <w:t>Abaixo, segue os nomes dos indicados para atuarem na posterior equipe de fiscalização do contrato:</w:t>
      </w:r>
      <w:r>
        <w:rPr>
          <w:rFonts w:ascii="Times New Roman" w:hAnsi="Times New Roman"/>
          <w:b w:val="false"/>
          <w:i w:val="false"/>
          <w:color w:val="000000"/>
          <w:sz w:val="22"/>
        </w:rPr>
        <w:t xml:space="preserve"/>
      </w:r>
    </w:p>
    <w:tbl>
      <w:tblPr>
        <w:tblW w:w="5000" w:type="pct"/>
        <w:jc w:val="center"/>
        <w:tblCellSpacing w:w="0" w:type="auto"/>
        <w:tblBorders>
          <w:top w:val="none"/>
          <w:left w:val="none"/>
          <w:bottom w:val="none"/>
          <w:right w:val="none"/>
          <w:insideH w:val="none"/>
          <w:insideV w:val="none"/>
        </w:tblBorders>
        <w:tblLayout w:type="fixed"/>
      </w:tblPr>
      <w:tblGrid>
        <w:gridCol w:w="6817"/>
        <w:gridCol w:w="6817"/>
      </w:tblGrid>
      <w:tr>
        <w:trPr>
          <w:trHeight w:val="375" w:hRule="atLeast"/>
        </w:trPr>
        <w:tc>
          <w:tcPr>
            <w:tcW w:w="681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Gestor do Contrato</w:t>
            </w:r>
          </w:p>
        </w:tc>
        <w:tc>
          <w:tcPr>
            <w:tcW w:w="681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Fiscal do Contrato</w:t>
            </w:r>
          </w:p>
        </w:tc>
      </w:tr>
      <w:tr>
        <w:trPr>
          <w:trHeight w:val="1035" w:hRule="atLeast"/>
        </w:trPr>
        <w:tc>
          <w:tcPr>
            <w:tcW w:w="681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0"/>
              </w:rPr>
              <w:t>Nome: Eduardo Silva Quintana</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0"/>
              </w:rPr>
              <w:t>Matrícula: 431918027</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0"/>
              </w:rPr>
              <w:t xml:space="preserve">E-mail: </w:t>
            </w:r>
            <w:r>
              <w:rPr>
                <w:rFonts w:hint="default" w:ascii="Times New Roman" w:hAnsi="Times New Roman"/>
                <w:b w:val="false"/>
                <w:i w:val="false"/>
                <w:color w:val="000000"/>
                <w:sz w:val="20"/>
              </w:rPr>
              <w:t>equintana@fertel.ms.gov.br</w:t>
            </w:r>
            <w:r>
              <w:rPr>
                <w:rFonts w:hint="default" w:ascii="Times New Roman" w:hAnsi="Times New Roman"/>
                <w:b w:val="false"/>
                <w:i w:val="false"/>
                <w:color w:val="000000"/>
                <w:sz w:val="22"/>
              </w:rPr>
              <w:t xml:space="preserve"/>
            </w:r>
          </w:p>
        </w:tc>
        <w:tc>
          <w:tcPr>
            <w:tcW w:w="6817" w:type="dxa"/>
            <w:tcBorders>
              <w:top w:val="single" w:color="777777" w:sz="8"/>
              <w:left w:val="single" w:color="777777" w:sz="8"/>
              <w:bottom w:val="single" w:color="777777" w:sz="8"/>
              <w:right w:val="single" w:color="777777" w:sz="8"/>
            </w:tcBorders>
            <w:tcMar>
              <w:top w:w="15" w:type="dxa"/>
              <w:left w:w="15" w:type="dxa"/>
              <w:bottom w:w="15" w:type="dxa"/>
              <w:right w:w="15" w:type="dxa"/>
            </w:tcMar>
            <w:vAlign w:val="center"/>
          </w:tcPr>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Nome: Josemir Constantino Bispo</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Matricula: 101.271.026</w:t>
            </w:r>
            <w:r>
              <w:rPr>
                <w:rFonts w:hint="default" w:ascii="Times New Roman" w:hAnsi="Times New Roman"/>
                <w:b w:val="false"/>
                <w:i w:val="false"/>
                <w:color w:val="000000"/>
                <w:sz w:val="22"/>
              </w:rPr>
              <w:t xml:space="preserve"/>
            </w:r>
          </w:p>
          <w:p>
            <w:pPr>
              <w:spacing w:before="0" w:after="0" w:line="360"/>
              <w:ind w:left="0"/>
              <w:jc w:val="both"/>
            </w:pPr>
            <w:r>
              <w:rPr>
                <w:rFonts w:hint="default" w:ascii="Times New Roman" w:hAnsi="Times New Roman"/>
                <w:b w:val="false"/>
                <w:i w:val="false"/>
                <w:color w:val="000000"/>
                <w:sz w:val="22"/>
              </w:rPr>
              <w:t xml:space="preserve"/>
            </w:r>
            <w:r>
              <w:rPr>
                <w:rFonts w:hint="default" w:ascii="Times New Roman" w:hAnsi="Times New Roman"/>
                <w:b w:val="false"/>
                <w:i w:val="false"/>
                <w:color w:val="000000"/>
                <w:sz w:val="22"/>
              </w:rPr>
              <w:t>E-mail: jbispo@fertel.ms.gov.br</w:t>
            </w:r>
            <w:r>
              <w:rPr>
                <w:rFonts w:hint="default" w:ascii="Times New Roman" w:hAnsi="Times New Roman"/>
                <w:b w:val="false"/>
                <w:i w:val="false"/>
                <w:color w:val="000000"/>
                <w:sz w:val="22"/>
              </w:rPr>
              <w:t xml:space="preserve"/>
            </w:r>
          </w:p>
        </w:tc>
      </w:tr>
    </w:tbl>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20.2.</w:t>
      </w:r>
      <w:r>
        <w:rPr>
          <w:rFonts w:ascii="Times New Roman" w:hAnsi="Times New Roman"/>
          <w:b w:val="false"/>
          <w:i w:val="false"/>
          <w:color w:val="000000"/>
          <w:sz w:val="22"/>
        </w:rPr>
        <w:t xml:space="preserve"> </w:t>
      </w:r>
      <w:r>
        <w:rPr>
          <w:b w:val="false"/>
          <w:i w:val="false"/>
          <w:color w:val="000000"/>
          <w:sz w:val="22"/>
        </w:rPr>
        <w:t>O acompanhamento e a fiscalização da execução do objeto, consistem na verificação da conformidade da prestação dos serviços, dos materiais, técnicas e equipamentos empregados, de forma a assegurar o perfeito cumprimento do ajuste na forma dos art.140, da Lei Federal n.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20.3.</w:t>
      </w:r>
      <w:r>
        <w:rPr>
          <w:rFonts w:ascii="Times New Roman" w:hAnsi="Times New Roman"/>
          <w:b w:val="false"/>
          <w:i w:val="false"/>
          <w:color w:val="000000"/>
          <w:sz w:val="22"/>
        </w:rPr>
        <w:t xml:space="preserve"> </w:t>
      </w:r>
      <w:r>
        <w:rPr>
          <w:b w:val="false"/>
          <w:i w:val="false"/>
          <w:color w:val="000000"/>
          <w:sz w:val="22"/>
        </w:rPr>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20.4.</w:t>
      </w:r>
      <w:r>
        <w:rPr>
          <w:rFonts w:ascii="Times New Roman" w:hAnsi="Times New Roman"/>
          <w:b w:val="false"/>
          <w:i w:val="false"/>
          <w:color w:val="000000"/>
          <w:sz w:val="22"/>
        </w:rPr>
        <w:t xml:space="preserve"> </w:t>
      </w:r>
      <w:r>
        <w:rPr>
          <w:b w:val="false"/>
          <w:i w:val="false"/>
          <w:color w:val="000000"/>
          <w:sz w:val="22"/>
        </w:rPr>
        <w:t>Cabe ao gestor do contrato emitir os termos provisório e definitivo dos equipamentos entregues pela contratada em conformidade com a proposta feita, e, mensalmente.</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21.</w:t>
      </w:r>
      <w:r>
        <w:rPr>
          <w:rFonts w:ascii="Times New Roman" w:hAnsi="Times New Roman"/>
          <w:b w:val="false"/>
          <w:i w:val="false"/>
          <w:color w:val="000000"/>
          <w:sz w:val="22"/>
        </w:rPr>
        <w:t xml:space="preserve"> </w:t>
      </w:r>
      <w:r>
        <w:rPr>
          <w:b/>
          <w:i w:val="false"/>
          <w:color w:val="000000"/>
          <w:sz w:val="22"/>
        </w:rPr>
        <w:t>FORMA E CRITÉRIOS DE SELEÇÃO DO FORNECEDOR MEDIANTE O USO DO SISTEMA DE DISPENSA ELETRÔNICA (ART. 6º, INCISO XXIII, ALÍNEA ‘H’, DA LEI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21.1.</w:t>
      </w:r>
      <w:r>
        <w:rPr>
          <w:rFonts w:ascii="Times New Roman" w:hAnsi="Times New Roman"/>
          <w:b w:val="false"/>
          <w:i w:val="false"/>
          <w:color w:val="000000"/>
          <w:sz w:val="22"/>
        </w:rPr>
        <w:t xml:space="preserve"> </w:t>
      </w:r>
      <w:r>
        <w:rPr>
          <w:b w:val="false"/>
          <w:i w:val="false"/>
          <w:color w:val="000000"/>
          <w:sz w:val="22"/>
        </w:rPr>
        <w:t>O fornecedor será selecionado por meio da realização de procedimento de dispensa de licitação, na forma eletrônica, com fundamento na hipótese do art. 75, inciso II da Lei n.º 14.133/2021, que culminará com a seleção da proposta de menor preço global.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21.2.</w:t>
      </w:r>
      <w:r>
        <w:rPr>
          <w:rFonts w:ascii="Times New Roman" w:hAnsi="Times New Roman"/>
          <w:b w:val="false"/>
          <w:i w:val="false"/>
          <w:color w:val="000000"/>
          <w:sz w:val="22"/>
        </w:rPr>
        <w:t xml:space="preserve"> </w:t>
      </w:r>
      <w:r>
        <w:rPr>
          <w:b w:val="false"/>
          <w:i w:val="false"/>
          <w:color w:val="000000"/>
          <w:sz w:val="22"/>
        </w:rPr>
        <w:t>As exigências de habilitação jurídica e de regularidade fiscal e trabalhista são as usuais para a generalidade dos objetos, conforme disciplinado no Aviso de Contratação Direta.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21.3.</w:t>
      </w:r>
      <w:r>
        <w:rPr>
          <w:rFonts w:ascii="Times New Roman" w:hAnsi="Times New Roman"/>
          <w:b w:val="false"/>
          <w:i w:val="false"/>
          <w:color w:val="000000"/>
          <w:sz w:val="22"/>
        </w:rPr>
        <w:t xml:space="preserve"> </w:t>
      </w:r>
      <w:r>
        <w:rPr>
          <w:b w:val="false"/>
          <w:i w:val="false"/>
          <w:color w:val="000000"/>
          <w:sz w:val="22"/>
        </w:rPr>
        <w:t>Os critérios de qualificação econômico-financeira a serem atendidos pelo fornecedor, estão previstos do Aviso de Contratação Direta.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21.4.</w:t>
      </w:r>
      <w:r>
        <w:rPr>
          <w:rFonts w:ascii="Times New Roman" w:hAnsi="Times New Roman"/>
          <w:b w:val="false"/>
          <w:i w:val="false"/>
          <w:color w:val="000000"/>
          <w:sz w:val="22"/>
        </w:rPr>
        <w:t xml:space="preserve"> </w:t>
      </w:r>
      <w:r>
        <w:rPr>
          <w:b w:val="false"/>
          <w:i w:val="false"/>
          <w:color w:val="000000"/>
          <w:sz w:val="22"/>
        </w:rPr>
        <w:t>Os critérios de qualificação técnica a serem atendidos pelo fornecedor serão: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21.5.</w:t>
      </w:r>
      <w:r>
        <w:rPr>
          <w:rFonts w:ascii="Times New Roman" w:hAnsi="Times New Roman"/>
          <w:b w:val="false"/>
          <w:i w:val="false"/>
          <w:color w:val="000000"/>
          <w:sz w:val="22"/>
        </w:rPr>
        <w:t xml:space="preserve"> </w:t>
      </w:r>
      <w:r>
        <w:rPr>
          <w:b w:val="false"/>
          <w:i w:val="false"/>
          <w:color w:val="000000"/>
          <w:sz w:val="22"/>
        </w:rPr>
        <w:t>Comprovação de aptidão para o fornecimento de bens em características, quantidades e prazos compatíveis com o objeto desta licitação, ou com o item pertinente, por meio da apresentação de atestados fornecidos por pessoas jurídicas de direito público.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21.6.</w:t>
      </w:r>
      <w:r>
        <w:rPr>
          <w:rFonts w:ascii="Times New Roman" w:hAnsi="Times New Roman"/>
          <w:b w:val="false"/>
          <w:i w:val="false"/>
          <w:color w:val="000000"/>
          <w:sz w:val="22"/>
        </w:rPr>
        <w:t xml:space="preserve"> </w:t>
      </w:r>
      <w:r>
        <w:rPr>
          <w:b w:val="false"/>
          <w:i w:val="false"/>
          <w:color w:val="000000"/>
          <w:sz w:val="22"/>
        </w:rPr>
        <w:t>Os critérios de aceitabilidade de preços serão: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21.7.</w:t>
      </w:r>
      <w:r>
        <w:rPr>
          <w:rFonts w:ascii="Times New Roman" w:hAnsi="Times New Roman"/>
          <w:b w:val="false"/>
          <w:i w:val="false"/>
          <w:color w:val="000000"/>
          <w:sz w:val="22"/>
        </w:rPr>
        <w:t xml:space="preserve"> </w:t>
      </w:r>
      <w:r>
        <w:rPr>
          <w:b w:val="false"/>
          <w:i w:val="false"/>
          <w:color w:val="000000"/>
          <w:sz w:val="22"/>
        </w:rPr>
        <w:t>Valor Global: R$57.000,00 (cinquenta e sete mil reais)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21.8.</w:t>
      </w:r>
      <w:r>
        <w:rPr>
          <w:rFonts w:ascii="Times New Roman" w:hAnsi="Times New Roman"/>
          <w:b w:val="false"/>
          <w:i w:val="false"/>
          <w:color w:val="000000"/>
          <w:sz w:val="22"/>
        </w:rPr>
        <w:t xml:space="preserve"> </w:t>
      </w:r>
      <w:r>
        <w:rPr>
          <w:b w:val="false"/>
          <w:i w:val="false"/>
          <w:color w:val="000000"/>
          <w:sz w:val="22"/>
        </w:rPr>
        <w:t>O critério de julgamento da proposta é o menor preço global.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21.9.</w:t>
      </w:r>
      <w:r>
        <w:rPr>
          <w:rFonts w:ascii="Times New Roman" w:hAnsi="Times New Roman"/>
          <w:b w:val="false"/>
          <w:i w:val="false"/>
          <w:color w:val="000000"/>
          <w:sz w:val="22"/>
        </w:rPr>
        <w:t xml:space="preserve"> </w:t>
      </w:r>
      <w:r>
        <w:rPr>
          <w:b w:val="false"/>
          <w:i w:val="false"/>
          <w:color w:val="000000"/>
          <w:sz w:val="22"/>
        </w:rPr>
        <w:t>As regras de desempate entre propostas são as discriminadas no edital.</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22.</w:t>
      </w:r>
      <w:r>
        <w:rPr>
          <w:rFonts w:ascii="Times New Roman" w:hAnsi="Times New Roman"/>
          <w:b w:val="false"/>
          <w:i w:val="false"/>
          <w:color w:val="000000"/>
          <w:sz w:val="22"/>
        </w:rPr>
        <w:t xml:space="preserve"> </w:t>
      </w:r>
      <w:r>
        <w:rPr>
          <w:b/>
          <w:i w:val="false"/>
          <w:color w:val="000000"/>
          <w:sz w:val="22"/>
        </w:rPr>
        <w:t>INFRAÇÕES E SANÇÕES ADMINISTRATIVAS (art. 92, XIV);</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22.1.</w:t>
      </w:r>
      <w:r>
        <w:rPr>
          <w:rFonts w:ascii="Times New Roman" w:hAnsi="Times New Roman"/>
          <w:b w:val="false"/>
          <w:i w:val="false"/>
          <w:color w:val="000000"/>
          <w:sz w:val="22"/>
        </w:rPr>
        <w:t xml:space="preserve"> </w:t>
      </w:r>
      <w:r>
        <w:rPr>
          <w:b w:val="false"/>
          <w:i w:val="false"/>
          <w:color w:val="000000"/>
          <w:sz w:val="22"/>
        </w:rPr>
        <w:t>Serão aplicadas as sanções dispostas na Lei 14.133/2021 e suas alterações.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23.</w:t>
      </w:r>
      <w:r>
        <w:rPr>
          <w:rFonts w:ascii="Times New Roman" w:hAnsi="Times New Roman"/>
          <w:b w:val="false"/>
          <w:i w:val="false"/>
          <w:color w:val="000000"/>
          <w:sz w:val="22"/>
        </w:rPr>
        <w:t xml:space="preserve"> </w:t>
      </w:r>
      <w:r>
        <w:rPr>
          <w:b/>
          <w:i w:val="false"/>
          <w:color w:val="000000"/>
          <w:sz w:val="22"/>
        </w:rPr>
        <w:t>DO FORO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23.1.</w:t>
      </w:r>
      <w:r>
        <w:rPr>
          <w:rFonts w:ascii="Times New Roman" w:hAnsi="Times New Roman"/>
          <w:b w:val="false"/>
          <w:i w:val="false"/>
          <w:color w:val="000000"/>
          <w:sz w:val="22"/>
        </w:rPr>
        <w:t xml:space="preserve"> </w:t>
      </w:r>
      <w:r>
        <w:rPr>
          <w:b w:val="false"/>
          <w:i w:val="false"/>
          <w:color w:val="000000"/>
          <w:sz w:val="22"/>
        </w:rPr>
        <w:t>Para dirimir qualquer controvérsia oriunda desse instrumento, as partes elegem o foro da comarca de Campo Grande/MS.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24.</w:t>
      </w:r>
      <w:r>
        <w:rPr>
          <w:rFonts w:ascii="Times New Roman" w:hAnsi="Times New Roman"/>
          <w:b w:val="false"/>
          <w:i w:val="false"/>
          <w:color w:val="000000"/>
          <w:sz w:val="22"/>
        </w:rPr>
        <w:t xml:space="preserve"> </w:t>
      </w:r>
      <w:r>
        <w:rPr>
          <w:b/>
          <w:i w:val="false"/>
          <w:color w:val="000000"/>
          <w:sz w:val="22"/>
        </w:rPr>
        <w:t>AMOSTRA;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24.1.</w:t>
      </w:r>
      <w:r>
        <w:rPr>
          <w:rFonts w:ascii="Times New Roman" w:hAnsi="Times New Roman"/>
          <w:b w:val="false"/>
          <w:i w:val="false"/>
          <w:color w:val="000000"/>
          <w:sz w:val="22"/>
        </w:rPr>
        <w:t xml:space="preserve"> </w:t>
      </w:r>
      <w:r>
        <w:rPr>
          <w:b w:val="false"/>
          <w:i w:val="false"/>
          <w:color w:val="000000"/>
          <w:sz w:val="22"/>
        </w:rPr>
        <w:t>Não se aplica.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25.</w:t>
      </w:r>
      <w:r>
        <w:rPr>
          <w:rFonts w:ascii="Times New Roman" w:hAnsi="Times New Roman"/>
          <w:b w:val="false"/>
          <w:i w:val="false"/>
          <w:color w:val="000000"/>
          <w:sz w:val="22"/>
        </w:rPr>
        <w:t xml:space="preserve"> </w:t>
      </w:r>
      <w:r>
        <w:rPr>
          <w:b/>
          <w:i w:val="false"/>
          <w:color w:val="000000"/>
          <w:sz w:val="22"/>
        </w:rPr>
        <w:t>OBRIGAÇÕES DO CONTRATADO (art. 92, XIV, XVI e XVII);</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25.1.</w:t>
      </w:r>
      <w:r>
        <w:rPr>
          <w:rFonts w:ascii="Times New Roman" w:hAnsi="Times New Roman"/>
          <w:b w:val="false"/>
          <w:i w:val="false"/>
          <w:color w:val="000000"/>
          <w:sz w:val="22"/>
        </w:rPr>
        <w:t xml:space="preserve"> </w:t>
      </w:r>
      <w:r>
        <w:rPr>
          <w:b w:val="false"/>
          <w:i w:val="false"/>
          <w:color w:val="000000"/>
          <w:sz w:val="22"/>
        </w:rPr>
        <w:t>O Contratado deve cumprir todas as obrigações constantes deste Termo de Referência e em seus anexos, assumindo como exclusivamente seus riscos e as despesas decorrentes da boa e perfeita execução do objeto, observando, ainda, as obrigações a seguir dispostas: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25.2.</w:t>
      </w:r>
      <w:r>
        <w:rPr>
          <w:rFonts w:ascii="Times New Roman" w:hAnsi="Times New Roman"/>
          <w:b w:val="false"/>
          <w:i w:val="false"/>
          <w:color w:val="000000"/>
          <w:sz w:val="22"/>
        </w:rPr>
        <w:t xml:space="preserve"> </w:t>
      </w:r>
      <w:r>
        <w:rPr>
          <w:b w:val="false"/>
          <w:i w:val="false"/>
          <w:color w:val="000000"/>
          <w:sz w:val="22"/>
        </w:rPr>
        <w:t>Entregar o objeto acompanhado do manual do usuário, com uma versão em português, e da relação da rede de assistência técnica autorizada;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25.3.</w:t>
      </w:r>
      <w:r>
        <w:rPr>
          <w:rFonts w:ascii="Times New Roman" w:hAnsi="Times New Roman"/>
          <w:b w:val="false"/>
          <w:i w:val="false"/>
          <w:color w:val="000000"/>
          <w:sz w:val="22"/>
        </w:rPr>
        <w:t xml:space="preserve"> </w:t>
      </w:r>
      <w:r>
        <w:rPr>
          <w:b w:val="false"/>
          <w:i w:val="false"/>
          <w:color w:val="000000"/>
          <w:sz w:val="22"/>
        </w:rPr>
        <w:t>Comunicar ao Contratante, no prazo máximo de 24 (vinte e quatro) horas que antecede a data da entrega, os motivos que impossibilitem o cumprimento do prazo previsto, com a devida comprovação;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25.4.</w:t>
      </w:r>
      <w:r>
        <w:rPr>
          <w:rFonts w:ascii="Times New Roman" w:hAnsi="Times New Roman"/>
          <w:b w:val="false"/>
          <w:i w:val="false"/>
          <w:color w:val="000000"/>
          <w:sz w:val="22"/>
        </w:rPr>
        <w:t xml:space="preserve"> </w:t>
      </w:r>
      <w:r>
        <w:rPr>
          <w:b w:val="false"/>
          <w:i w:val="false"/>
          <w:color w:val="000000"/>
          <w:sz w:val="22"/>
        </w:rPr>
        <w:t>Reparar, corrigir, remover, reconstruir ou substituir, às suas expensas, no total ou em parte, no prazo fixado pelo contratante, os bens nos quais se verificarem vícios, defeitos ou incorreções resultantes da execução ou dos materiais empregados;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25.5.</w:t>
      </w:r>
      <w:r>
        <w:rPr>
          <w:rFonts w:ascii="Times New Roman" w:hAnsi="Times New Roman"/>
          <w:b w:val="false"/>
          <w:i w:val="false"/>
          <w:color w:val="000000"/>
          <w:sz w:val="22"/>
        </w:rPr>
        <w:t xml:space="preserve"> </w:t>
      </w:r>
      <w:r>
        <w:rPr>
          <w:b w:val="false"/>
          <w:i w:val="false"/>
          <w:color w:val="000000"/>
          <w:sz w:val="22"/>
        </w:rPr>
        <w:t>Paralisar, por determinação do Contratante, qualquer atividade que não esteja sendo executada de acordo com a boa técnica ou que ponha em risco a segurança de pessoas ou bens de terceiros.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25.6.</w:t>
      </w:r>
      <w:r>
        <w:rPr>
          <w:rFonts w:ascii="Times New Roman" w:hAnsi="Times New Roman"/>
          <w:b w:val="false"/>
          <w:i w:val="false"/>
          <w:color w:val="000000"/>
          <w:sz w:val="22"/>
        </w:rPr>
        <w:t xml:space="preserve"> </w:t>
      </w:r>
      <w:r>
        <w:rPr>
          <w:b w:val="false"/>
          <w:i w:val="false"/>
          <w:color w:val="000000"/>
          <w:sz w:val="22"/>
        </w:rPr>
        <w:t>Manter durante toda a vigência do contrato ou empenho ou ordem de serviço ou similar, em compatibilidade com as obrigações assumidas, todas as condições exigidas para habilitação na licitação, ou para qualificação, na contratação direta;</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26.</w:t>
      </w:r>
      <w:r>
        <w:rPr>
          <w:rFonts w:ascii="Times New Roman" w:hAnsi="Times New Roman"/>
          <w:b w:val="false"/>
          <w:i w:val="false"/>
          <w:color w:val="000000"/>
          <w:sz w:val="22"/>
        </w:rPr>
        <w:t xml:space="preserve"> </w:t>
      </w:r>
      <w:r>
        <w:rPr>
          <w:b/>
          <w:i w:val="false"/>
          <w:color w:val="000000"/>
          <w:sz w:val="22"/>
        </w:rPr>
        <w:t>OBRIGAÇÕES DA CONTRATANTE (art. 92, X, XI e XIV);</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26.1.</w:t>
      </w:r>
      <w:r>
        <w:rPr>
          <w:rFonts w:ascii="Times New Roman" w:hAnsi="Times New Roman"/>
          <w:b w:val="false"/>
          <w:i w:val="false"/>
          <w:color w:val="000000"/>
          <w:sz w:val="22"/>
        </w:rPr>
        <w:t xml:space="preserve"> </w:t>
      </w:r>
      <w:r>
        <w:rPr>
          <w:b w:val="false"/>
          <w:i w:val="false"/>
          <w:color w:val="000000"/>
          <w:sz w:val="22"/>
        </w:rPr>
        <w:t>São obrigações da Contratante:</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26.2.</w:t>
      </w:r>
      <w:r>
        <w:rPr>
          <w:rFonts w:ascii="Times New Roman" w:hAnsi="Times New Roman"/>
          <w:b w:val="false"/>
          <w:i w:val="false"/>
          <w:color w:val="000000"/>
          <w:sz w:val="22"/>
        </w:rPr>
        <w:t xml:space="preserve"> </w:t>
      </w:r>
      <w:r>
        <w:rPr>
          <w:b w:val="false"/>
          <w:i w:val="false"/>
          <w:color w:val="000000"/>
          <w:sz w:val="22"/>
        </w:rPr>
        <w:t>Exigir o cumprimento de todas as obrigações assumidas pelo Contratado, de acordo com o Termo de Referência e seus anexos;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26.3.</w:t>
      </w:r>
      <w:r>
        <w:rPr>
          <w:rFonts w:ascii="Times New Roman" w:hAnsi="Times New Roman"/>
          <w:b w:val="false"/>
          <w:i w:val="false"/>
          <w:color w:val="000000"/>
          <w:sz w:val="22"/>
        </w:rPr>
        <w:t xml:space="preserve"> </w:t>
      </w:r>
      <w:r>
        <w:rPr>
          <w:b w:val="false"/>
          <w:i w:val="false"/>
          <w:color w:val="000000"/>
          <w:sz w:val="22"/>
        </w:rPr>
        <w:t>Receber o objeto no prazo e condições estabelecidas no Termo de Referência;</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26.4.</w:t>
      </w:r>
      <w:r>
        <w:rPr>
          <w:rFonts w:ascii="Times New Roman" w:hAnsi="Times New Roman"/>
          <w:b w:val="false"/>
          <w:i w:val="false"/>
          <w:color w:val="000000"/>
          <w:sz w:val="22"/>
        </w:rPr>
        <w:t xml:space="preserve"> </w:t>
      </w:r>
      <w:r>
        <w:rPr>
          <w:b w:val="false"/>
          <w:i w:val="false"/>
          <w:color w:val="000000"/>
          <w:sz w:val="22"/>
        </w:rPr>
        <w:t>Notificar o Contratado, por escrito, sobre vícios, defeitos ou incorreções verificadas no objeto fornecido, para que seja por ele substituído, reparado ou corrigido, no total ou em parte, às suas expensas;</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26.5.</w:t>
      </w:r>
      <w:r>
        <w:rPr>
          <w:rFonts w:ascii="Times New Roman" w:hAnsi="Times New Roman"/>
          <w:b w:val="false"/>
          <w:i w:val="false"/>
          <w:color w:val="000000"/>
          <w:sz w:val="22"/>
        </w:rPr>
        <w:t xml:space="preserve"> </w:t>
      </w:r>
      <w:r>
        <w:rPr>
          <w:b w:val="false"/>
          <w:i w:val="false"/>
          <w:color w:val="000000"/>
          <w:sz w:val="22"/>
        </w:rPr>
        <w:t>Efetuar o pagamento ao Contratado do valor correspondente ao fornecimento 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26.6.</w:t>
      </w:r>
      <w:r>
        <w:rPr>
          <w:rFonts w:ascii="Times New Roman" w:hAnsi="Times New Roman"/>
          <w:b w:val="false"/>
          <w:i w:val="false"/>
          <w:color w:val="000000"/>
          <w:sz w:val="22"/>
        </w:rPr>
        <w:t xml:space="preserve"> </w:t>
      </w:r>
      <w:r>
        <w:rPr>
          <w:b w:val="false"/>
          <w:i w:val="false"/>
          <w:color w:val="000000"/>
          <w:sz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27.</w:t>
      </w:r>
      <w:r>
        <w:rPr>
          <w:rFonts w:ascii="Times New Roman" w:hAnsi="Times New Roman"/>
          <w:b w:val="false"/>
          <w:i w:val="false"/>
          <w:color w:val="000000"/>
          <w:sz w:val="22"/>
        </w:rPr>
        <w:t xml:space="preserve"> </w:t>
      </w:r>
      <w:r>
        <w:rPr>
          <w:b/>
          <w:i w:val="false"/>
          <w:color w:val="000000"/>
          <w:sz w:val="22"/>
        </w:rPr>
        <w:t>FORMA E CRITÉRIOS DE SELEÇÃO DO FORNECEDOR (art. 33 e art. 6º, inciso XXIII, alínea ‘h’, da Lei nº 14.133/2021 e o Decreto Estadual n. 16.119/2023);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27.1.</w:t>
      </w:r>
      <w:r>
        <w:rPr>
          <w:rFonts w:ascii="Times New Roman" w:hAnsi="Times New Roman"/>
          <w:b w:val="false"/>
          <w:i w:val="false"/>
          <w:color w:val="000000"/>
          <w:sz w:val="22"/>
        </w:rPr>
        <w:t xml:space="preserve"> </w:t>
      </w:r>
      <w:r>
        <w:rPr>
          <w:b w:val="false"/>
          <w:i w:val="false"/>
          <w:color w:val="000000"/>
          <w:sz w:val="22"/>
        </w:rPr>
        <w:t>O fornecedor será selecionado por meio da realização de procedimento de dispensa de licitação, com fundamento na hipótese do art. 75, inciso II, da Lei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w:t>
      </w:r>
      <w:r>
        <w:rPr>
          <w:rFonts w:ascii="Times New Roman" w:hAnsi="Times New Roman"/>
          <w:b w:val="false"/>
          <w:i w:val="false"/>
          <w:color w:val="000000"/>
          <w:sz w:val="22"/>
        </w:rPr>
        <w:t xml:space="preserve"> </w:t>
      </w:r>
      <w:r>
        <w:rPr>
          <w:b w:val="false"/>
          <w:i w:val="false"/>
          <w:color w:val="000000"/>
          <w:sz w:val="22"/>
        </w:rPr>
        <w:t>Previamente à celebração do contrato ou similar, a Administração verificará o eventual descumprimento das condições para contratação, especialmente quanto à existência de sanção que a impeça, mediante a consulta a cadastros informativos oficiais, tais como: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27.2.1.</w:t>
      </w:r>
      <w:r>
        <w:rPr>
          <w:rFonts w:ascii="Times New Roman" w:hAnsi="Times New Roman"/>
          <w:b w:val="false"/>
          <w:i w:val="false"/>
          <w:color w:val="000000"/>
          <w:sz w:val="22"/>
        </w:rPr>
        <w:t xml:space="preserve"> </w:t>
      </w:r>
      <w:r>
        <w:rPr>
          <w:b w:val="false"/>
          <w:i w:val="false"/>
          <w:color w:val="000000"/>
          <w:sz w:val="22"/>
        </w:rPr>
        <w:t>Contrato Social e a última alteração, de forma que os documentos apresentados demonstrem compatibilidade com o objeto pretendido e o atual sócio majoritário.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27.2.2.</w:t>
      </w:r>
      <w:r>
        <w:rPr>
          <w:rFonts w:ascii="Times New Roman" w:hAnsi="Times New Roman"/>
          <w:b w:val="false"/>
          <w:i w:val="false"/>
          <w:color w:val="000000"/>
          <w:sz w:val="22"/>
        </w:rPr>
        <w:t xml:space="preserve"> </w:t>
      </w:r>
      <w:r>
        <w:rPr>
          <w:b w:val="false"/>
          <w:i w:val="false"/>
          <w:color w:val="000000"/>
          <w:sz w:val="22"/>
        </w:rPr>
        <w:t>A inscrição no Cadastro de Pessoas Físicas (CPF) ou no Cadastro Nacional da Pessoa Jurídica (CNPJ) (Art. 68, I, Lei Federal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27.2.3.</w:t>
      </w:r>
      <w:r>
        <w:rPr>
          <w:rFonts w:ascii="Times New Roman" w:hAnsi="Times New Roman"/>
          <w:b w:val="false"/>
          <w:i w:val="false"/>
          <w:color w:val="000000"/>
          <w:sz w:val="22"/>
        </w:rPr>
        <w:t xml:space="preserve"> </w:t>
      </w:r>
      <w:r>
        <w:rPr>
          <w:b w:val="false"/>
          <w:i w:val="false"/>
          <w:color w:val="000000"/>
          <w:sz w:val="22"/>
        </w:rPr>
        <w:t>A inscrição no cadastro de contribuintes estadual e/ou municipal, se houver, relativo ao domicílio ou sede do licitante, pertinente ao seu ramo de atividade e compatível com o objeto contratual (Art. 68, II, Lei Federal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27.2.4.</w:t>
      </w:r>
      <w:r>
        <w:rPr>
          <w:rFonts w:ascii="Times New Roman" w:hAnsi="Times New Roman"/>
          <w:b w:val="false"/>
          <w:i w:val="false"/>
          <w:color w:val="000000"/>
          <w:sz w:val="22"/>
        </w:rPr>
        <w:t xml:space="preserve"> </w:t>
      </w:r>
      <w:r>
        <w:rPr>
          <w:b w:val="false"/>
          <w:i w:val="false"/>
          <w:color w:val="000000"/>
          <w:sz w:val="22"/>
        </w:rPr>
        <w:t>A regularidade perante a Fazenda federal, estadual e/ou municipal do domicílio ou sede do licitante, ou outra equivalente, na forma da lei (Art. 68, III, Lei Federal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27.2.5.</w:t>
      </w:r>
      <w:r>
        <w:rPr>
          <w:rFonts w:ascii="Times New Roman" w:hAnsi="Times New Roman"/>
          <w:b w:val="false"/>
          <w:i w:val="false"/>
          <w:color w:val="000000"/>
          <w:sz w:val="22"/>
        </w:rPr>
        <w:t xml:space="preserve"> </w:t>
      </w:r>
      <w:r>
        <w:rPr>
          <w:b w:val="false"/>
          <w:i w:val="false"/>
          <w:color w:val="000000"/>
          <w:sz w:val="22"/>
        </w:rPr>
        <w:t>A regularidade relativa à Seguridade Social e ao FGTS, que demonstre cumprimento dos encargos sociais instituídos por lei (Art. 68, VI, Lei Federal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27.2.6.</w:t>
      </w:r>
      <w:r>
        <w:rPr>
          <w:rFonts w:ascii="Times New Roman" w:hAnsi="Times New Roman"/>
          <w:b w:val="false"/>
          <w:i w:val="false"/>
          <w:color w:val="000000"/>
          <w:sz w:val="22"/>
        </w:rPr>
        <w:t xml:space="preserve"> </w:t>
      </w:r>
      <w:r>
        <w:rPr>
          <w:b w:val="false"/>
          <w:i w:val="false"/>
          <w:color w:val="000000"/>
          <w:sz w:val="22"/>
        </w:rPr>
        <w:t>A regularidade perante a Justiça do Trabalho (Art. 68, V, Lei Federal nº 14.133/2021);</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27.2.7.</w:t>
      </w:r>
      <w:r>
        <w:rPr>
          <w:rFonts w:ascii="Times New Roman" w:hAnsi="Times New Roman"/>
          <w:b w:val="false"/>
          <w:i w:val="false"/>
          <w:color w:val="000000"/>
          <w:sz w:val="22"/>
        </w:rPr>
        <w:t xml:space="preserve"> </w:t>
      </w:r>
      <w:r>
        <w:rPr>
          <w:b w:val="false"/>
          <w:i w:val="false"/>
          <w:color w:val="000000"/>
          <w:sz w:val="22"/>
        </w:rPr>
        <w:t xml:space="preserve">O cumprimento do disposto no </w:t>
      </w:r>
      <w:hyperlink r:id="rId6">
        <w:r>
          <w:rPr>
            <w:rStyle w:val="Hyperlink"/>
            <w:b w:val="false"/>
            <w:i w:val="false"/>
            <w:color w:val="0000ff"/>
            <w:sz w:val="22"/>
            <w:u w:val="single"/>
          </w:rPr>
          <w:t>inciso XXXIII do art. 7º da Constituição Federal</w:t>
        </w:r>
      </w:hyperlink>
      <w:r>
        <w:rPr>
          <w:b w:val="false"/>
          <w:i w:val="false"/>
          <w:color w:val="000000"/>
          <w:sz w:val="22"/>
        </w:rPr>
        <w:t xml:space="preserve"> (Art. 68, VI, Lei Federal nº 14.133/2021) – Declaração que não emprega menor;</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27.3.</w:t>
      </w:r>
      <w:r>
        <w:rPr>
          <w:rFonts w:ascii="Times New Roman" w:hAnsi="Times New Roman"/>
          <w:b w:val="false"/>
          <w:i w:val="false"/>
          <w:color w:val="000000"/>
          <w:sz w:val="22"/>
        </w:rPr>
        <w:t xml:space="preserve"> </w:t>
      </w:r>
      <w:r>
        <w:rPr>
          <w:b/>
          <w:i w:val="false"/>
          <w:color w:val="000000"/>
          <w:sz w:val="22"/>
        </w:rPr>
        <w:t>QUALIFICAÇÃO TÉCNICO-OPERACIONAL: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27.3.1.</w:t>
      </w:r>
      <w:r>
        <w:rPr>
          <w:rFonts w:ascii="Times New Roman" w:hAnsi="Times New Roman"/>
          <w:b w:val="false"/>
          <w:i w:val="false"/>
          <w:color w:val="000000"/>
          <w:sz w:val="22"/>
        </w:rPr>
        <w:t xml:space="preserve"> </w:t>
      </w:r>
      <w:r>
        <w:rPr>
          <w:b w:val="false"/>
          <w:i w:val="false"/>
          <w:color w:val="000000"/>
          <w:sz w:val="22"/>
        </w:rPr>
        <w:t>A empresa licitante deverá apresentar os seguintes atestados técnicos que comprovem que a mesma possui experiência e capacidade técnica para a execução do objeto.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27.3.2.</w:t>
      </w:r>
      <w:r>
        <w:rPr>
          <w:rFonts w:ascii="Times New Roman" w:hAnsi="Times New Roman"/>
          <w:b w:val="false"/>
          <w:i w:val="false"/>
          <w:color w:val="000000"/>
          <w:sz w:val="22"/>
        </w:rPr>
        <w:t xml:space="preserve"> </w:t>
      </w:r>
      <w:r>
        <w:rPr>
          <w:b w:val="false"/>
          <w:i w:val="false"/>
          <w:color w:val="000000"/>
          <w:sz w:val="22"/>
        </w:rPr>
        <w:t>Registro da empresa no Conselho Regional de Engenharia (CREA) e/ou Conselho de Arquitetura e Urbanismo (CAU);</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27.3.3.</w:t>
      </w:r>
      <w:r>
        <w:rPr>
          <w:rFonts w:ascii="Times New Roman" w:hAnsi="Times New Roman"/>
          <w:b w:val="false"/>
          <w:i w:val="false"/>
          <w:color w:val="000000"/>
          <w:sz w:val="22"/>
        </w:rPr>
        <w:t xml:space="preserve"> </w:t>
      </w:r>
      <w:r>
        <w:rPr>
          <w:b w:val="false"/>
          <w:i w:val="false"/>
          <w:color w:val="000000"/>
          <w:sz w:val="22"/>
        </w:rPr>
        <w:t>Atestado(s) de capacidade técnica em nome da empresa licitante, fornecido(s) por pessoa(s) jurídica(s) de direito público ou privado comprovando ela ter executado serviços semelhantes ao objeto conforme empresas.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27.4.</w:t>
      </w:r>
      <w:r>
        <w:rPr>
          <w:rFonts w:ascii="Times New Roman" w:hAnsi="Times New Roman"/>
          <w:b w:val="false"/>
          <w:i w:val="false"/>
          <w:color w:val="000000"/>
          <w:sz w:val="22"/>
        </w:rPr>
        <w:t xml:space="preserve"> </w:t>
      </w:r>
      <w:r>
        <w:rPr>
          <w:b/>
          <w:i w:val="false"/>
          <w:color w:val="000000"/>
          <w:sz w:val="22"/>
        </w:rPr>
        <w:t>QUALIFICAÇÃO TÉCNICO-PROFISSIONAL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27.4.1.</w:t>
      </w:r>
      <w:r>
        <w:rPr>
          <w:rFonts w:ascii="Times New Roman" w:hAnsi="Times New Roman"/>
          <w:b w:val="false"/>
          <w:i w:val="false"/>
          <w:color w:val="000000"/>
          <w:sz w:val="22"/>
        </w:rPr>
        <w:t xml:space="preserve"> </w:t>
      </w:r>
      <w:r>
        <w:rPr>
          <w:b w:val="false"/>
          <w:i w:val="false"/>
          <w:color w:val="000000"/>
          <w:sz w:val="22"/>
        </w:rPr>
        <w:t>A demonstração da experiência se dará através de atestado(s) de capacidade técnica em nome do responsável técnico da empresa, fornecido(s) por pessoa(s) jurídica(s) de direito público ou privado, registrados no Conselho de Regional de Engenharia e Agronomia (CREA) e/ou Conselho de Arquitetura e Urbanismo (CAU).</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27.4.2.</w:t>
      </w:r>
      <w:r>
        <w:rPr>
          <w:rFonts w:ascii="Times New Roman" w:hAnsi="Times New Roman"/>
          <w:b w:val="false"/>
          <w:i w:val="false"/>
          <w:color w:val="000000"/>
          <w:sz w:val="22"/>
        </w:rPr>
        <w:t xml:space="preserve"> </w:t>
      </w:r>
      <w:r>
        <w:rPr>
          <w:b w:val="false"/>
          <w:i w:val="false"/>
          <w:color w:val="000000"/>
          <w:sz w:val="22"/>
        </w:rPr>
        <w:t>A empresa contratada deverá apresentar todos os atestados de capacidade técnica observados no edital, a fim de minimizar eventuais danos irreversíveis no Patrimônio Cultural.</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27.4.3.</w:t>
      </w:r>
      <w:r>
        <w:rPr>
          <w:rFonts w:ascii="Times New Roman" w:hAnsi="Times New Roman"/>
          <w:b w:val="false"/>
          <w:i w:val="false"/>
          <w:color w:val="000000"/>
          <w:sz w:val="22"/>
        </w:rPr>
        <w:t xml:space="preserve"> </w:t>
      </w:r>
      <w:r>
        <w:rPr>
          <w:b w:val="false"/>
          <w:i w:val="false"/>
          <w:color w:val="000000"/>
          <w:sz w:val="22"/>
        </w:rPr>
        <w:t>A empresa contratada deverá demonstrar conhecimento e experiência através de Atestados Técnicos de participação de similares, que apresentam características técnicas exclusivas no que couber, ter na equipe: Engenheiro Civil, Engenheiro Eletricista, Arquiteto, sendo assim anexar a tabela para apresentação da Equipe Técnica dos profissionais.</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b/>
          <w:i w:val="false"/>
          <w:color w:val="000000"/>
          <w:sz w:val="22"/>
        </w:rPr>
        <w:t>28.</w:t>
      </w:r>
      <w:r>
        <w:rPr>
          <w:rFonts w:ascii="Times New Roman" w:hAnsi="Times New Roman"/>
          <w:b w:val="false"/>
          <w:i w:val="false"/>
          <w:color w:val="000000"/>
          <w:sz w:val="22"/>
        </w:rPr>
        <w:t xml:space="preserve"> </w:t>
      </w:r>
      <w:r>
        <w:rPr>
          <w:b/>
          <w:i w:val="false"/>
          <w:color w:val="000000"/>
          <w:sz w:val="22"/>
        </w:rPr>
        <w:t>FORMA DE PAGAMENTO;</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b w:val="false"/>
          <w:i w:val="false"/>
          <w:color w:val="000000"/>
          <w:sz w:val="22"/>
        </w:rPr>
        <w:t>28.1.</w:t>
      </w:r>
      <w:r>
        <w:rPr>
          <w:rFonts w:ascii="Times New Roman" w:hAnsi="Times New Roman"/>
          <w:b w:val="false"/>
          <w:i w:val="false"/>
          <w:color w:val="000000"/>
          <w:sz w:val="22"/>
        </w:rPr>
        <w:t xml:space="preserve"> </w:t>
      </w:r>
      <w:r>
        <w:rPr>
          <w:b w:val="false"/>
          <w:i w:val="false"/>
          <w:color w:val="000000"/>
          <w:sz w:val="22"/>
        </w:rPr>
        <w:t>O pagamento será realizado através de ordem bancária, para crédito em banco, agência e conta corrente indicados pelo contratado.</w:t>
      </w:r>
      <w:r>
        <w:rPr>
          <w:rFonts w:ascii="Times New Roman" w:hAnsi="Times New Roman"/>
          <w:b w:val="false"/>
          <w:i w:val="false"/>
          <w:color w:val="000000"/>
          <w:sz w:val="22"/>
        </w:rPr>
        <w:t xml:space="preserve"/>
      </w:r>
    </w:p>
    <w:p>
      <w:pPr>
        <w:spacing w:before="0" w:after="0" w:line="360"/>
        <w:ind w:left="0"/>
        <w:jc w:val="right"/>
      </w:pPr>
      <w:r>
        <w:rPr>
          <w:rFonts w:ascii="Times New Roman" w:hAnsi="Times New Roman"/>
          <w:b w:val="false"/>
          <w:i w:val="false"/>
          <w:color w:val="000000"/>
          <w:sz w:val="22"/>
        </w:rPr>
        <w:t xml:space="preserve"/>
      </w:r>
      <w:r>
        <w:rPr>
          <w:rFonts w:hint="default" w:ascii="Arial" w:hAnsi="Arial"/>
          <w:b w:val="false"/>
          <w:i w:val="false"/>
          <w:color w:val="000000"/>
          <w:sz w:val="24"/>
        </w:rPr>
        <w:t>Campo Grande, 20 de Junho de 2023</w:t>
      </w:r>
      <w:r>
        <w:rPr>
          <w:rFonts w:ascii="Times New Roman" w:hAnsi="Times New Roman"/>
          <w:b w:val="false"/>
          <w:i w:val="false"/>
          <w:color w:val="000000"/>
          <w:sz w:val="22"/>
        </w:rPr>
        <w:t xml:space="preserve"/>
      </w: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4"/>
        </w:rPr>
        <w:t>Elaborador;</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EVELYN CAROLINE DOS SANTOS PAIVA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ASSESSORAMENTO</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COORDENADORIA ADMINISTRATIVA E COMPRAS-FERTEL</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JOÃO BATISTA RODRIGUES JUNIOR</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ASSESSORAMENTO</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COORDENADORIA ADMINISTRATIVA E COMPRAS-FERTEL</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i w:val="false"/>
          <w:color w:val="000000"/>
          <w:sz w:val="24"/>
        </w:rPr>
        <w:t>APROVO</w:t>
      </w:r>
      <w:r>
        <w:rPr>
          <w:rFonts w:hint="default" w:ascii="Arial" w:hAnsi="Arial"/>
          <w:b w:val="false"/>
          <w:i w:val="false"/>
          <w:color w:val="000000"/>
          <w:sz w:val="24"/>
        </w:rPr>
        <w:t xml:space="preserve"> o termo de referência e </w:t>
      </w:r>
      <w:r>
        <w:rPr>
          <w:rFonts w:hint="default" w:ascii="Arial" w:hAnsi="Arial"/>
          <w:b/>
          <w:i w:val="false"/>
          <w:color w:val="000000"/>
          <w:sz w:val="24"/>
        </w:rPr>
        <w:t>AUTORIZO</w:t>
      </w:r>
      <w:r>
        <w:rPr>
          <w:rFonts w:hint="default" w:ascii="Arial" w:hAnsi="Arial"/>
          <w:b w:val="false"/>
          <w:i w:val="false"/>
          <w:color w:val="000000"/>
          <w:sz w:val="24"/>
        </w:rPr>
        <w:t xml:space="preserve"> a Coordenadoria de Administrativa e Compras a dar continuidade ao processo de contratação, na forma do artigo 13, §§1º e 2º do Decreto nº15.941/2022, tomando todas providências necessárias para a contratação.</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RODRIGO DE ALMEIDA ANTUNES FERREIRA</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4"/>
        </w:rPr>
        <w:t>DIRETOR DE ADMINISTRATIVO</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4"/>
        </w:rPr>
        <w:t>ORDENADOR DE DESPESAS – FERTEL</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center"/>
      </w:pPr>
    </w:p>
    <w:bookmarkEnd w:id="1"/>
    <w:bookmarkEnd w:id="0"/>
    <w:sectPr>
      <w:pgSz w:w="11907" w:h="16839" w:code="9"/>
      <w:pgMar w:top="1701" w:right="1134" w:bottom="1134" w:left="1701"/>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edia/document_image_rId4.jpeg" Type="http://schemas.openxmlformats.org/officeDocument/2006/relationships/image" Id="rId4"/>
    <Relationship TargetMode="External" Target="http://www.compras.ms.gov.br/cadastro-de-fornecedores/" Type="http://schemas.openxmlformats.org/officeDocument/2006/relationships/hyperlink" Id="rId5"/>
    <Relationship TargetMode="External" Target="http://www.planalto.gov.br/ccivil_03/Constituicao/Constituicao.htm#art7xxxiii" Type="http://schemas.openxmlformats.org/officeDocument/2006/relationships/hyperlink"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