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header+xml" PartName="/word/head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body>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TERMO DE REFERÊNCIA PARA A AQUISIÇÃO DE BENS</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4"/>
        </w:rPr>
        <w:t>1.</w:t>
      </w:r>
      <w:r>
        <w:rPr>
          <w:rFonts w:hint="default" w:ascii="Arial" w:hAnsi="Arial"/>
          <w:b w:val="false"/>
          <w:i w:val="false"/>
          <w:color w:val="000000"/>
          <w:sz w:val="20"/>
        </w:rPr>
        <w:t xml:space="preserve"> Aquisição de material sem mão de obras exclusiva, para atender a demanda da TV Educativa e FM 104,7 conforme condição, quantidade, especificação e exigência estabelecidas no instrumento;
     </w:t>
      </w:r>
    </w:p>
    <w:p>
      <w:pPr>
        <w:spacing w:after="0"/>
        <w:ind w:left="0"/>
        <w:jc w:val="both"/>
      </w:pPr>
      <w:r>
        <w:rPr>
          <w:rFonts w:hint="default" w:ascii="Arial" w:hAnsi="Arial"/>
          <w:b w:val="false"/>
          <w:i w:val="false"/>
          <w:color w:val="000000"/>
          <w:sz w:val="20"/>
        </w:rPr>
        <w:t xml:space="preserve"> 
      </w:t>
      </w:r>
      <w:r>
        <w:rPr>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p>
    <w:p>
      <w:pPr>
        <w:spacing w:after="0"/>
        <w:ind w:left="0"/>
        <w:jc w:val="both"/>
      </w:pPr>
    </w:p>
    <w:tbl>
      <w:tblPr>
        <w:tblW w:w="0" w:type="auto"/>
        <w:tblCellSpacing w:w="0" w:type="auto"/>
        <w:tblBorders>
          <w:top w:val="none"/>
          <w:left w:val="none"/>
          <w:bottom w:val="none"/>
          <w:right w:val="none"/>
          <w:insideH w:val="none"/>
          <w:insideV w:val="none"/>
        </w:tblBorders>
      </w:tblPr>
      <w:tblGrid>
        <w:gridCol w:w="1253"/>
        <w:gridCol w:w="467"/>
        <w:gridCol w:w="783"/>
        <w:gridCol w:w="5518"/>
        <w:gridCol w:w="1216"/>
        <w:gridCol w:w="451"/>
        <w:gridCol w:w="1315"/>
        <w:gridCol w:w="1315"/>
        <w:gridCol w:w="1316"/>
      </w:tblGrid>
      <w:tr>
        <w:tc>
          <w:tcPr>
            <w:tcW w:w="0" w:type="auto"/>
            <w:gridSpan w:val="9"/>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Itens</w:t>
            </w:r>
          </w:p>
        </w:tc>
      </w:tr>
      <w:tr>
        <w:tc>
          <w:tcPr>
            <w:tcW w:w="1253"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Tipo</w:t>
            </w:r>
          </w:p>
        </w:tc>
        <w:tc>
          <w:tcPr>
            <w:tcW w:w="467"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Item</w:t>
            </w:r>
          </w:p>
        </w:tc>
        <w:tc>
          <w:tcPr>
            <w:tcW w:w="783"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Código</w:t>
            </w:r>
          </w:p>
        </w:tc>
        <w:tc>
          <w:tcPr>
            <w:tcW w:w="5518"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Descrição</w:t>
            </w:r>
          </w:p>
        </w:tc>
        <w:tc>
          <w:tcPr>
            <w:tcW w:w="1216"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Un. Aquisição</w:t>
            </w:r>
          </w:p>
        </w:tc>
        <w:tc>
          <w:tcPr>
            <w:tcW w:w="451"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Qtd.</w:t>
            </w:r>
          </w:p>
        </w:tc>
        <w:tc>
          <w:tcPr>
            <w:tcW w:w="1315"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Vlr. Unit.</w:t>
            </w:r>
          </w:p>
        </w:tc>
        <w:tc>
          <w:tcPr>
            <w:tcW w:w="1315"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Vlr. Total</w:t>
            </w:r>
          </w:p>
        </w:tc>
        <w:tc>
          <w:tcPr>
            <w:tcW w:w="1316"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Vlr. Acum.</w:t>
            </w:r>
          </w:p>
        </w:tc>
      </w:tr>
      <w:tr>
        <w:tc>
          <w:tcPr>
            <w:tcW w:w="1253"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LOTE ÚNICO</w:t>
            </w:r>
          </w:p>
        </w:tc>
        <w:tc>
          <w:tcPr>
            <w:tcW w:w="467"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1</w:t>
            </w:r>
          </w:p>
        </w:tc>
        <w:tc>
          <w:tcPr>
            <w:tcW w:w="783"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0003182</w:t>
            </w:r>
          </w:p>
        </w:tc>
        <w:tc>
          <w:tcPr>
            <w:tcW w:w="5518"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Fornecimento de peças - Requisito: conforme especificações no anexo.</w:t>
            </w:r>
          </w:p>
        </w:tc>
        <w:tc>
          <w:tcPr>
            <w:tcW w:w="1216"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1 - Unidade</w:t>
            </w:r>
          </w:p>
        </w:tc>
        <w:tc>
          <w:tcPr>
            <w:tcW w:w="451"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1</w:t>
            </w:r>
          </w:p>
        </w:tc>
        <w:tc>
          <w:tcPr>
            <w:tcW w:w="1315"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56.000,00</w:t>
            </w:r>
          </w:p>
        </w:tc>
        <w:tc>
          <w:tcPr>
            <w:tcW w:w="1315"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56.000,00</w:t>
            </w:r>
          </w:p>
        </w:tc>
        <w:tc>
          <w:tcPr>
            <w:tcW w:w="1316"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56.000,00</w:t>
            </w:r>
          </w:p>
        </w:tc>
      </w:tr>
      <w:tr>
        <w:tc>
          <w:tcPr>
            <w:tcW w:w="0" w:type="auto"/>
            <w:gridSpan w:val="6"/>
            <w:tcBorders/>
          </w:tcPr>
          <w:p>
            <w:pPr>
              <w:spacing w:after="0"/>
              <w:ind w:left="0"/>
              <w:jc w:val="right"/>
            </w:pPr>
            <w:r>
              <w:rPr>
                <w:rFonts w:hint="default" w:ascii="Arial" w:hAnsi="Arial"/>
                <w:b/>
                <w:i w:val="false"/>
                <w:color w:val="000000"/>
                <w:sz w:val="20"/>
              </w:rPr>
              <w:t>Total (R$):</w:t>
            </w:r>
          </w:p>
        </w:tc>
        <w:tc>
          <w:tcPr>
            <w:tcW w:w="1315" w:type="dxa"/>
            <w:tcBorders/>
          </w:tcPr>
          <w:p>
            <w:pPr>
              <w:spacing w:after="0"/>
              <w:ind w:left="0"/>
              <w:jc w:val="left"/>
            </w:pPr>
            <w:r>
              <w:rPr>
                <w:rFonts w:hint="default" w:ascii="Arial" w:hAnsi="Arial"/>
                <w:b/>
                <w:i w:val="false"/>
                <w:color w:val="000000"/>
                <w:sz w:val="20"/>
              </w:rPr>
              <w:t>56.000,00</w:t>
            </w:r>
          </w:p>
        </w:tc>
        <w:tc>
          <w:tcPr>
            <w:tcW w:w="1315" w:type="dxa"/>
            <w:tcBorders/>
          </w:tcPr>
          <w:p>
            <w:pPr>
              <w:spacing w:after="0"/>
              <w:ind w:left="0"/>
              <w:jc w:val="left"/>
            </w:pPr>
            <w:r>
              <w:rPr>
                <w:rFonts w:hint="default" w:ascii="Arial" w:hAnsi="Arial"/>
                <w:b/>
                <w:i w:val="false"/>
                <w:color w:val="000000"/>
                <w:sz w:val="20"/>
              </w:rPr>
              <w:t>56.000,00</w:t>
            </w:r>
          </w:p>
        </w:tc>
        <w:tc>
          <w:tcPr>
            <w:tcW w:w="1316" w:type="dxa"/>
            <w:tcBorders/>
          </w:tcPr>
          <w:p>
            <w:pPr>
              <w:spacing w:after="0"/>
              <w:ind w:left="0"/>
              <w:jc w:val="left"/>
            </w:pPr>
            <w:r>
              <w:rPr>
                <w:rFonts w:hint="default" w:ascii="Arial" w:hAnsi="Arial"/>
                <w:b/>
                <w:i w:val="false"/>
                <w:color w:val="000000"/>
                <w:sz w:val="20"/>
              </w:rPr>
              <w:t>56.000,00</w:t>
            </w:r>
          </w:p>
        </w:tc>
      </w:tr>
    </w:tbl>
    <w:p>
      <w:pPr>
        <w:spacing w:after="0"/>
        <w:ind w:left="0"/>
        <w:jc w:val="both"/>
      </w:pPr>
      <w:r>
        <w:rPr>
          <w:rFonts w:hint="default" w:ascii="Arial" w:hAnsi="Arial"/>
          <w:b w:val="false"/>
          <w:i w:val="false"/>
          <w:color w:val="000000"/>
          <w:sz w:val="20"/>
        </w:rPr>
        <w:t xml:space="preserve"> 
      </w:t>
      </w:r>
      <w:r>
        <w:rPr>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1.1.1. A aquisição será por dispensa de licitação, conforme art. 75, inciso II, da lei 14.133/2021, Decreto Estadual n.º 15.616/2021 e 15.524/2020 e suas alterações;
     </w:t>
      </w:r>
    </w:p>
    <w:p>
      <w:pPr>
        <w:spacing w:after="0"/>
        <w:ind w:left="0"/>
        <w:jc w:val="both"/>
      </w:pPr>
      <w:r>
        <w:rPr>
          <w:rFonts w:hint="default" w:ascii="Arial" w:hAnsi="Arial"/>
          <w:b w:val="false"/>
          <w:i w:val="false"/>
          <w:color w:val="000000"/>
          <w:sz w:val="20"/>
        </w:rPr>
        <w:t xml:space="preserve"> 
      </w:t>
      </w:r>
      <w:r>
        <w:rPr>
          <w:b w:val="false"/>
          <w:i w:val="false"/>
          <w:color w:val="000000"/>
          <w:sz w:val="20"/>
        </w:rPr>
        <w:t xml:space="preserve"> </w:t>
      </w:r>
      <w:r>
        <w:rPr>
          <w:rFonts w:hint="default" w:ascii="Arial" w:hAnsi="Arial"/>
          <w:b w:val="false"/>
          <w:i w:val="false"/>
          <w:color w:val="000000"/>
          <w:sz w:val="20"/>
        </w:rPr>
        <w:t xml:space="preserve"> 
      </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 xml:space="preserve"> </w:t>
      </w:r>
      <w:r>
        <w:rPr>
          <w:rFonts w:hint="default" w:ascii="Arial" w:hAnsi="Arial"/>
          <w:b w:val="false"/>
          <w:i w:val="false"/>
          <w:color w:val="000000"/>
          <w:sz w:val="20"/>
        </w:rPr>
        <w:t xml:space="preserve"> 
      </w:t>
      </w:r>
      <w:r>
        <w:rPr>
          <w:b w:val="false"/>
          <w:i w:val="false"/>
          <w:color w:val="000000"/>
          <w:sz w:val="20"/>
        </w:rPr>
        <w:t xml:space="preserve">1.1.2. Os serviços ofertados devem observar as seguintes características e especificações nos itens abaixo do lote único; </w:t>
      </w:r>
      <w:r>
        <w:rPr>
          <w:rFonts w:hint="default" w:ascii="Arial" w:hAnsi="Arial"/>
          <w:b w:val="false"/>
          <w:i w:val="false"/>
          <w:color w:val="000000"/>
          <w:sz w:val="20"/>
        </w:rPr>
        <w:t xml:space="preserve"> 
     </w:t>
      </w:r>
    </w:p>
    <w:p>
      <w:pPr>
        <w:spacing w:after="0"/>
        <w:ind w:left="0"/>
        <w:jc w:val="both"/>
      </w:pPr>
    </w:p>
    <w:tbl>
      <w:tblPr>
        <w:tblW w:w="0" w:type="auto"/>
        <w:tblCellSpacing w:w="0" w:type="auto"/>
        <w:tblBorders>
          <w:top w:val="none"/>
          <w:left w:val="none"/>
          <w:bottom w:val="none"/>
          <w:right w:val="none"/>
          <w:insideH w:val="none"/>
          <w:insideV w:val="none"/>
        </w:tblBorders>
      </w:tblPr>
      <w:tblGrid>
        <w:gridCol w:w="1820"/>
        <w:gridCol w:w="5840"/>
        <w:gridCol w:w="5974"/>
      </w:tblGrid>
      <w:tr>
        <w:tc>
          <w:tcPr>
            <w:tcW w:w="182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6"/>
              </w:rPr>
              <w:t xml:space="preserve"> </w:t>
            </w:r>
            <w:r>
              <w:rPr>
                <w:rFonts w:hint="default" w:ascii="Arial" w:hAnsi="Arial"/>
                <w:b w:val="false"/>
                <w:i w:val="false"/>
                <w:color w:val="000000"/>
                <w:sz w:val="16"/>
              </w:rPr>
              <w:t xml:space="preserve">Item </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p>
          <w:p>
            <w:pPr>
              <w:spacing w:after="0"/>
              <w:ind w:left="0"/>
              <w:jc w:val="both"/>
            </w:pPr>
            <w:r>
              <w:rPr>
                <w:rFonts w:hint="default" w:ascii="Arial" w:hAnsi="Arial"/>
                <w:b w:val="false"/>
                <w:i w:val="false"/>
                <w:color w:val="000000"/>
                <w:sz w:val="16"/>
              </w:rPr>
              <w:t xml:space="preserve"> </w:t>
            </w:r>
          </w:p>
        </w:tc>
        <w:tc>
          <w:tcPr>
            <w:tcW w:w="584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6"/>
              </w:rPr>
              <w:t xml:space="preserve"> </w:t>
            </w:r>
            <w:r>
              <w:rPr>
                <w:rFonts w:hint="default" w:ascii="Arial" w:hAnsi="Arial"/>
                <w:b w:val="false"/>
                <w:i w:val="false"/>
                <w:color w:val="000000"/>
                <w:sz w:val="16"/>
              </w:rPr>
              <w:t xml:space="preserve">DESCRIÇÃO </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p>
          <w:p>
            <w:pPr>
              <w:spacing w:after="0"/>
              <w:ind w:left="0"/>
              <w:jc w:val="both"/>
            </w:pPr>
            <w:r>
              <w:rPr>
                <w:rFonts w:hint="default" w:ascii="Arial" w:hAnsi="Arial"/>
                <w:b w:val="false"/>
                <w:i w:val="false"/>
                <w:color w:val="000000"/>
                <w:sz w:val="16"/>
              </w:rPr>
              <w:t xml:space="preserve"> </w:t>
            </w:r>
          </w:p>
        </w:tc>
        <w:tc>
          <w:tcPr>
            <w:tcW w:w="5974"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6"/>
              </w:rPr>
              <w:t xml:space="preserve"> </w:t>
            </w:r>
            <w:r>
              <w:rPr>
                <w:rFonts w:hint="default" w:ascii="Arial" w:hAnsi="Arial"/>
                <w:b w:val="false"/>
                <w:i w:val="false"/>
                <w:color w:val="000000"/>
                <w:sz w:val="16"/>
              </w:rPr>
              <w:t xml:space="preserve">Quantidade </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p>
          <w:p>
            <w:pPr>
              <w:spacing w:after="0"/>
              <w:ind w:left="0"/>
              <w:jc w:val="both"/>
            </w:pPr>
            <w:r>
              <w:rPr>
                <w:rFonts w:hint="default" w:ascii="Arial" w:hAnsi="Arial"/>
                <w:b w:val="false"/>
                <w:i w:val="false"/>
                <w:color w:val="000000"/>
                <w:sz w:val="16"/>
              </w:rPr>
              <w:t xml:space="preserve"> </w:t>
            </w:r>
          </w:p>
        </w:tc>
      </w:tr>
      <w:tr>
        <w:tc>
          <w:tcPr>
            <w:tcW w:w="182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6"/>
              </w:rPr>
              <w:t xml:space="preserve"> </w:t>
            </w:r>
            <w:r>
              <w:rPr>
                <w:rFonts w:hint="default" w:ascii="Arial" w:hAnsi="Arial"/>
                <w:b w:val="false"/>
                <w:i w:val="false"/>
                <w:color w:val="000000"/>
                <w:sz w:val="16"/>
              </w:rPr>
              <w:t>01</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p>
          <w:p>
            <w:pPr>
              <w:spacing w:after="0"/>
              <w:ind w:left="0"/>
              <w:jc w:val="both"/>
            </w:pPr>
            <w:r>
              <w:rPr>
                <w:rFonts w:hint="default" w:ascii="Arial" w:hAnsi="Arial"/>
                <w:b w:val="false"/>
                <w:i w:val="false"/>
                <w:color w:val="000000"/>
                <w:sz w:val="16"/>
              </w:rPr>
              <w:t xml:space="preserve"> </w:t>
            </w:r>
          </w:p>
        </w:tc>
        <w:tc>
          <w:tcPr>
            <w:tcW w:w="584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6"/>
              </w:rPr>
              <w:t xml:space="preserve"> </w:t>
            </w:r>
            <w:r>
              <w:rPr>
                <w:rFonts w:hint="default" w:ascii="Arial" w:hAnsi="Arial"/>
                <w:b w:val="false"/>
                <w:i w:val="false"/>
                <w:color w:val="000000"/>
                <w:sz w:val="16"/>
              </w:rPr>
              <w:t>Coluna vertical array de 400 wts ativa 129 db RF 120 hz a 20 kz aplicação PA e FLY sensibilidade de entrada de linha 4 DBU. Alimentação de 115 a 230 vaC filtro high pass, altura 1160 largura 150, profundidade 160 pesao 12 kg</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p>
          <w:p>
            <w:pPr>
              <w:spacing w:after="0"/>
              <w:ind w:left="0"/>
              <w:jc w:val="both"/>
            </w:pPr>
            <w:r>
              <w:rPr>
                <w:rFonts w:hint="default" w:ascii="Arial" w:hAnsi="Arial"/>
                <w:b w:val="false"/>
                <w:i w:val="false"/>
                <w:color w:val="000000"/>
                <w:sz w:val="16"/>
              </w:rPr>
              <w:t xml:space="preserve"> </w:t>
            </w:r>
          </w:p>
        </w:tc>
        <w:tc>
          <w:tcPr>
            <w:tcW w:w="5974"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6"/>
              </w:rPr>
              <w:t xml:space="preserve"> </w:t>
            </w:r>
            <w:r>
              <w:rPr>
                <w:rFonts w:hint="default" w:ascii="Arial" w:hAnsi="Arial"/>
                <w:b w:val="false"/>
                <w:i w:val="false"/>
                <w:color w:val="000000"/>
                <w:sz w:val="16"/>
              </w:rPr>
              <w:t>06</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p>
          <w:p>
            <w:pPr>
              <w:spacing w:after="0"/>
              <w:ind w:left="0"/>
              <w:jc w:val="both"/>
            </w:pPr>
            <w:r>
              <w:rPr>
                <w:rFonts w:hint="default" w:ascii="Arial" w:hAnsi="Arial"/>
                <w:b w:val="false"/>
                <w:i w:val="false"/>
                <w:color w:val="000000"/>
                <w:sz w:val="16"/>
              </w:rPr>
              <w:t xml:space="preserve"> </w:t>
            </w:r>
          </w:p>
        </w:tc>
      </w:tr>
      <w:tr>
        <w:tc>
          <w:tcPr>
            <w:tcW w:w="182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6"/>
              </w:rPr>
              <w:t xml:space="preserve"> </w:t>
            </w:r>
            <w:r>
              <w:rPr>
                <w:rFonts w:hint="default" w:ascii="Arial" w:hAnsi="Arial"/>
                <w:b w:val="false"/>
                <w:i w:val="false"/>
                <w:color w:val="000000"/>
                <w:sz w:val="16"/>
              </w:rPr>
              <w:t>02</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p>
          <w:p>
            <w:pPr>
              <w:spacing w:after="0"/>
              <w:ind w:left="0"/>
              <w:jc w:val="both"/>
            </w:pPr>
            <w:r>
              <w:rPr>
                <w:rFonts w:hint="default" w:ascii="Arial" w:hAnsi="Arial"/>
                <w:b w:val="false"/>
                <w:i w:val="false"/>
                <w:color w:val="000000"/>
                <w:sz w:val="16"/>
              </w:rPr>
              <w:t xml:space="preserve"> </w:t>
            </w:r>
          </w:p>
        </w:tc>
        <w:tc>
          <w:tcPr>
            <w:tcW w:w="584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6"/>
              </w:rPr>
              <w:t xml:space="preserve"> </w:t>
            </w:r>
            <w:r>
              <w:rPr>
                <w:rFonts w:hint="default" w:ascii="Arial" w:hAnsi="Arial"/>
                <w:b w:val="false"/>
                <w:i w:val="false"/>
                <w:color w:val="000000"/>
                <w:sz w:val="16"/>
              </w:rPr>
              <w:t>Microfone s/frio RF 50hz a 20kz multifrequencial de 12 bandaDinâmico padrão polar cardioide. Para uso profissional</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p>
          <w:p>
            <w:pPr>
              <w:spacing w:after="0"/>
              <w:ind w:left="0"/>
              <w:jc w:val="both"/>
            </w:pPr>
            <w:r>
              <w:rPr>
                <w:rFonts w:hint="default" w:ascii="Arial" w:hAnsi="Arial"/>
                <w:b w:val="false"/>
                <w:i w:val="false"/>
                <w:color w:val="000000"/>
                <w:sz w:val="16"/>
              </w:rPr>
              <w:t xml:space="preserve"> </w:t>
            </w:r>
          </w:p>
        </w:tc>
        <w:tc>
          <w:tcPr>
            <w:tcW w:w="5974"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6"/>
              </w:rPr>
              <w:t xml:space="preserve"> </w:t>
            </w:r>
            <w:r>
              <w:rPr>
                <w:rFonts w:hint="default" w:ascii="Arial" w:hAnsi="Arial"/>
                <w:b w:val="false"/>
                <w:i w:val="false"/>
                <w:color w:val="000000"/>
                <w:sz w:val="16"/>
              </w:rPr>
              <w:t>01</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p>
          <w:p>
            <w:pPr>
              <w:spacing w:after="0"/>
              <w:ind w:left="0"/>
              <w:jc w:val="both"/>
            </w:pPr>
            <w:r>
              <w:rPr>
                <w:rFonts w:hint="default" w:ascii="Arial" w:hAnsi="Arial"/>
                <w:b w:val="false"/>
                <w:i w:val="false"/>
                <w:color w:val="000000"/>
                <w:sz w:val="16"/>
              </w:rPr>
              <w:t xml:space="preserve"> </w:t>
            </w:r>
          </w:p>
        </w:tc>
      </w:tr>
      <w:tr>
        <w:tc>
          <w:tcPr>
            <w:tcW w:w="182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6"/>
              </w:rPr>
              <w:t xml:space="preserve"> </w:t>
            </w:r>
            <w:r>
              <w:rPr>
                <w:rFonts w:hint="default" w:ascii="Arial" w:hAnsi="Arial"/>
                <w:b w:val="false"/>
                <w:i w:val="false"/>
                <w:color w:val="000000"/>
                <w:sz w:val="16"/>
              </w:rPr>
              <w:t>03</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p>
          <w:p>
            <w:pPr>
              <w:spacing w:after="0"/>
              <w:ind w:left="0"/>
              <w:jc w:val="both"/>
            </w:pPr>
            <w:r>
              <w:rPr>
                <w:rFonts w:hint="default" w:ascii="Arial" w:hAnsi="Arial"/>
                <w:b w:val="false"/>
                <w:i w:val="false"/>
                <w:color w:val="000000"/>
                <w:sz w:val="16"/>
              </w:rPr>
              <w:t xml:space="preserve"> </w:t>
            </w:r>
          </w:p>
        </w:tc>
        <w:tc>
          <w:tcPr>
            <w:tcW w:w="584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6"/>
              </w:rPr>
              <w:t xml:space="preserve"> </w:t>
            </w:r>
            <w:r>
              <w:rPr>
                <w:rFonts w:hint="default" w:ascii="Arial" w:hAnsi="Arial"/>
                <w:b w:val="false"/>
                <w:i w:val="false"/>
                <w:color w:val="000000"/>
                <w:sz w:val="16"/>
              </w:rPr>
              <w:t>Sub woofer – passiva – 300 wts rms 8Ohms Spl 125 db woofer 12´´ Resposta de frequência de 45 hz a 180hz, conexão Speakon</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p>
          <w:p>
            <w:pPr>
              <w:spacing w:after="0"/>
              <w:ind w:left="0"/>
              <w:jc w:val="both"/>
            </w:pPr>
            <w:r>
              <w:rPr>
                <w:rFonts w:hint="default" w:ascii="Arial" w:hAnsi="Arial"/>
                <w:b w:val="false"/>
                <w:i w:val="false"/>
                <w:color w:val="000000"/>
                <w:sz w:val="16"/>
              </w:rPr>
              <w:t xml:space="preserve"> </w:t>
            </w:r>
          </w:p>
        </w:tc>
        <w:tc>
          <w:tcPr>
            <w:tcW w:w="5974"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6"/>
              </w:rPr>
              <w:t xml:space="preserve"> </w:t>
            </w:r>
            <w:r>
              <w:rPr>
                <w:rFonts w:hint="default" w:ascii="Arial" w:hAnsi="Arial"/>
                <w:b w:val="false"/>
                <w:i w:val="false"/>
                <w:color w:val="000000"/>
                <w:sz w:val="16"/>
              </w:rPr>
              <w:t>01</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p>
          <w:p>
            <w:pPr>
              <w:spacing w:after="0"/>
              <w:ind w:left="0"/>
              <w:jc w:val="both"/>
            </w:pPr>
            <w:r>
              <w:rPr>
                <w:rFonts w:hint="default" w:ascii="Arial" w:hAnsi="Arial"/>
                <w:b w:val="false"/>
                <w:i w:val="false"/>
                <w:color w:val="000000"/>
                <w:sz w:val="16"/>
              </w:rPr>
              <w:t xml:space="preserve"> </w:t>
            </w:r>
          </w:p>
        </w:tc>
      </w:tr>
      <w:tr>
        <w:tc>
          <w:tcPr>
            <w:tcW w:w="182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6"/>
              </w:rPr>
              <w:t xml:space="preserve"> </w:t>
            </w:r>
            <w:r>
              <w:rPr>
                <w:rFonts w:hint="default" w:ascii="Arial" w:hAnsi="Arial"/>
                <w:b w:val="false"/>
                <w:i w:val="false"/>
                <w:color w:val="000000"/>
                <w:sz w:val="16"/>
              </w:rPr>
              <w:t>04</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p>
          <w:p>
            <w:pPr>
              <w:spacing w:after="0"/>
              <w:ind w:left="0"/>
              <w:jc w:val="both"/>
            </w:pPr>
            <w:r>
              <w:rPr>
                <w:rFonts w:hint="default" w:ascii="Arial" w:hAnsi="Arial"/>
                <w:b w:val="false"/>
                <w:i w:val="false"/>
                <w:color w:val="000000"/>
                <w:sz w:val="16"/>
              </w:rPr>
              <w:t xml:space="preserve"> </w:t>
            </w:r>
          </w:p>
        </w:tc>
        <w:tc>
          <w:tcPr>
            <w:tcW w:w="584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6"/>
              </w:rPr>
              <w:t xml:space="preserve"> </w:t>
            </w:r>
            <w:r>
              <w:rPr>
                <w:rFonts w:hint="default" w:ascii="Arial" w:hAnsi="Arial"/>
                <w:b w:val="false"/>
                <w:i w:val="false"/>
                <w:color w:val="000000"/>
                <w:sz w:val="16"/>
              </w:rPr>
              <w:t>mixer digital 8 canais sendo entrada1e 2 xlr, e 3 e 4 combo, 5,6,7,8 plug trs 1/4 balanceados. Mic ein 20hz a 20 khz 117 dBu .alimentoação fantasma + 48.</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p>
          <w:p>
            <w:pPr>
              <w:spacing w:after="0"/>
              <w:ind w:left="0"/>
              <w:jc w:val="both"/>
            </w:pPr>
            <w:r>
              <w:rPr>
                <w:rFonts w:hint="default" w:ascii="Arial" w:hAnsi="Arial"/>
                <w:b w:val="false"/>
                <w:i w:val="false"/>
                <w:color w:val="000000"/>
                <w:sz w:val="16"/>
              </w:rPr>
              <w:t xml:space="preserve"> </w:t>
            </w:r>
          </w:p>
        </w:tc>
        <w:tc>
          <w:tcPr>
            <w:tcW w:w="5974"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6"/>
              </w:rPr>
              <w:t xml:space="preserve"> </w:t>
            </w:r>
            <w:r>
              <w:rPr>
                <w:rFonts w:hint="default" w:ascii="Arial" w:hAnsi="Arial"/>
                <w:b w:val="false"/>
                <w:i w:val="false"/>
                <w:color w:val="000000"/>
                <w:sz w:val="16"/>
              </w:rPr>
              <w:t>01</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p>
          <w:p>
            <w:pPr>
              <w:spacing w:after="0"/>
              <w:ind w:left="0"/>
              <w:jc w:val="both"/>
            </w:pPr>
            <w:r>
              <w:rPr>
                <w:rFonts w:hint="default" w:ascii="Arial" w:hAnsi="Arial"/>
                <w:b w:val="false"/>
                <w:i w:val="false"/>
                <w:color w:val="000000"/>
                <w:sz w:val="16"/>
              </w:rPr>
              <w:t xml:space="preserve"> </w:t>
            </w:r>
          </w:p>
        </w:tc>
      </w:tr>
      <w:tr>
        <w:tc>
          <w:tcPr>
            <w:tcW w:w="182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6"/>
              </w:rPr>
              <w:t xml:space="preserve"> </w:t>
            </w:r>
            <w:r>
              <w:rPr>
                <w:rFonts w:hint="default" w:ascii="Arial" w:hAnsi="Arial"/>
                <w:b w:val="false"/>
                <w:i w:val="false"/>
                <w:color w:val="000000"/>
                <w:sz w:val="16"/>
              </w:rPr>
              <w:t>05</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p>
          <w:p>
            <w:pPr>
              <w:spacing w:after="0"/>
              <w:ind w:left="0"/>
              <w:jc w:val="both"/>
            </w:pPr>
            <w:r>
              <w:rPr>
                <w:rFonts w:hint="default" w:ascii="Arial" w:hAnsi="Arial"/>
                <w:b w:val="false"/>
                <w:i w:val="false"/>
                <w:color w:val="000000"/>
                <w:sz w:val="16"/>
              </w:rPr>
              <w:t xml:space="preserve"> </w:t>
            </w:r>
          </w:p>
        </w:tc>
        <w:tc>
          <w:tcPr>
            <w:tcW w:w="584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6"/>
              </w:rPr>
              <w:t xml:space="preserve"> </w:t>
            </w:r>
            <w:r>
              <w:rPr>
                <w:rFonts w:hint="default" w:ascii="Arial" w:hAnsi="Arial"/>
                <w:b w:val="false"/>
                <w:i w:val="false"/>
                <w:color w:val="000000"/>
                <w:sz w:val="16"/>
              </w:rPr>
              <w:t>Processador de áudio 2 entrada e 6 saidas. 01 entrada frontal para mic rtaTaxa de amostragem em 48khz, Delay de alimento, equalizador, crossover, compressor, limiter, feedback suppression, subharmonic. Operação por aplicativo Windows pc, apple Macintosh, apple ipad, android phone or tablete, apple ios phone.</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p>
          <w:p>
            <w:pPr>
              <w:spacing w:after="0"/>
              <w:ind w:left="0"/>
              <w:jc w:val="both"/>
            </w:pPr>
            <w:r>
              <w:rPr>
                <w:rFonts w:hint="default" w:ascii="Arial" w:hAnsi="Arial"/>
                <w:b w:val="false"/>
                <w:i w:val="false"/>
                <w:color w:val="000000"/>
                <w:sz w:val="16"/>
              </w:rPr>
              <w:t xml:space="preserve"> </w:t>
            </w:r>
          </w:p>
        </w:tc>
        <w:tc>
          <w:tcPr>
            <w:tcW w:w="5974"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6"/>
              </w:rPr>
              <w:t xml:space="preserve"> </w:t>
            </w:r>
            <w:r>
              <w:rPr>
                <w:rFonts w:hint="default" w:ascii="Arial" w:hAnsi="Arial"/>
                <w:b w:val="false"/>
                <w:i w:val="false"/>
                <w:color w:val="000000"/>
                <w:sz w:val="16"/>
              </w:rPr>
              <w:t>01</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p>
          <w:p>
            <w:pPr>
              <w:spacing w:after="0"/>
              <w:ind w:left="0"/>
              <w:jc w:val="both"/>
            </w:pPr>
            <w:r>
              <w:rPr>
                <w:rFonts w:hint="default" w:ascii="Arial" w:hAnsi="Arial"/>
                <w:b w:val="false"/>
                <w:i w:val="false"/>
                <w:color w:val="000000"/>
                <w:sz w:val="16"/>
              </w:rPr>
              <w:t xml:space="preserve"> </w:t>
            </w:r>
          </w:p>
        </w:tc>
      </w:tr>
      <w:tr>
        <w:tc>
          <w:tcPr>
            <w:tcW w:w="182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6"/>
              </w:rPr>
              <w:t xml:space="preserve"> </w:t>
            </w:r>
            <w:r>
              <w:rPr>
                <w:rFonts w:hint="default" w:ascii="Arial" w:hAnsi="Arial"/>
                <w:b w:val="false"/>
                <w:i w:val="false"/>
                <w:color w:val="000000"/>
                <w:sz w:val="16"/>
              </w:rPr>
              <w:t>06</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p>
          <w:p>
            <w:pPr>
              <w:spacing w:after="0"/>
              <w:ind w:left="0"/>
              <w:jc w:val="both"/>
            </w:pPr>
            <w:r>
              <w:rPr>
                <w:rFonts w:hint="default" w:ascii="Arial" w:hAnsi="Arial"/>
                <w:b w:val="false"/>
                <w:i w:val="false"/>
                <w:color w:val="000000"/>
                <w:sz w:val="16"/>
              </w:rPr>
              <w:t xml:space="preserve"> </w:t>
            </w:r>
          </w:p>
        </w:tc>
        <w:tc>
          <w:tcPr>
            <w:tcW w:w="584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6"/>
              </w:rPr>
              <w:t xml:space="preserve"> </w:t>
            </w:r>
            <w:r>
              <w:rPr>
                <w:rFonts w:hint="default" w:ascii="Arial" w:hAnsi="Arial"/>
                <w:b w:val="false"/>
                <w:i w:val="false"/>
                <w:color w:val="000000"/>
                <w:sz w:val="16"/>
              </w:rPr>
              <w:t>Sub woofer 12 ativa 500 wts em 4 Ohms Resposta de frequência 45hz a 180hz ajuste variável, spl 125 db, impedância de entrada 20K balanceada sensibilidade +4 dbUdbU ( 123V)</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p>
          <w:p>
            <w:pPr>
              <w:spacing w:after="0"/>
              <w:ind w:left="0"/>
              <w:jc w:val="both"/>
            </w:pPr>
            <w:r>
              <w:rPr>
                <w:rFonts w:hint="default" w:ascii="Arial" w:hAnsi="Arial"/>
                <w:b w:val="false"/>
                <w:i w:val="false"/>
                <w:color w:val="000000"/>
                <w:sz w:val="16"/>
              </w:rPr>
              <w:t xml:space="preserve"> </w:t>
            </w:r>
          </w:p>
        </w:tc>
        <w:tc>
          <w:tcPr>
            <w:tcW w:w="5974"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6"/>
              </w:rPr>
              <w:t xml:space="preserve"> </w:t>
            </w:r>
            <w:r>
              <w:rPr>
                <w:rFonts w:hint="default" w:ascii="Arial" w:hAnsi="Arial"/>
                <w:b w:val="false"/>
                <w:i w:val="false"/>
                <w:color w:val="000000"/>
                <w:sz w:val="16"/>
              </w:rPr>
              <w:t>01</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r>
              <w:rPr>
                <w:rFonts w:hint="default" w:ascii="Arial" w:hAnsi="Arial"/>
                <w:b w:val="false"/>
                <w:i w:val="false"/>
                <w:color w:val="000000"/>
                <w:sz w:val="16"/>
              </w:rPr>
              <w:t xml:space="preserve"> 
          </w:t>
            </w:r>
          </w:p>
          <w:p>
            <w:pPr>
              <w:spacing w:after="0"/>
              <w:ind w:left="0"/>
              <w:jc w:val="both"/>
            </w:pPr>
            <w:r>
              <w:rPr>
                <w:rFonts w:hint="default" w:ascii="Arial" w:hAnsi="Arial"/>
                <w:b w:val="false"/>
                <w:i w:val="false"/>
                <w:color w:val="000000"/>
                <w:sz w:val="16"/>
              </w:rPr>
              <w:t xml:space="preserve"> </w:t>
            </w:r>
          </w:p>
        </w:tc>
      </w:tr>
    </w:tbl>
    <w:p>
      <w:pPr>
        <w:spacing w:after="0"/>
        <w:ind w:left="0"/>
        <w:jc w:val="both"/>
      </w:pPr>
      <w:r>
        <w:rPr>
          <w:rFonts w:hint="default" w:ascii="Arial" w:hAnsi="Arial"/>
          <w:b w:val="false"/>
          <w:i w:val="false"/>
          <w:color w:val="000000"/>
          <w:sz w:val="20"/>
        </w:rPr>
        <w:t xml:space="preserve"> 
      </w:t>
      </w:r>
      <w:r>
        <w:rPr>
          <w:b w:val="false"/>
          <w:i w:val="false"/>
          <w:color w:val="000000"/>
          <w:sz w:val="20"/>
        </w:rPr>
        <w:t xml:space="preserve"> </w:t>
      </w:r>
      <w:r>
        <w:rPr>
          <w:rFonts w:hint="default" w:ascii="Arial" w:hAnsi="Arial"/>
          <w:b w:val="false"/>
          <w:i w:val="false"/>
          <w:color w:val="000000"/>
          <w:sz w:val="20"/>
        </w:rPr>
        <w:t xml:space="preserve"> 
      </w:t>
      </w:r>
      <w:r>
        <w:rPr>
          <w:b w:val="false"/>
          <w:i w:val="false"/>
          <w:color w:val="000000"/>
          <w:sz w:val="20"/>
        </w:rPr>
        <w:t xml:space="preserve"> </w:t>
      </w:r>
      <w:r>
        <w:rPr>
          <w:b/>
          <w:i w:val="false"/>
          <w:color w:val="000000"/>
          <w:sz w:val="20"/>
        </w:rPr>
        <w:t xml:space="preserve"> </w:t>
      </w:r>
      <w:r>
        <w:rPr>
          <w:b w:val="false"/>
          <w:i w:val="false"/>
          <w:color w:val="000000"/>
          <w:sz w:val="20"/>
        </w:rPr>
        <w:t>1.2. O objeto desta contratação não se enquadra como sendo de bem de “luxo”, conforme Decreto Estadual nº 15.775, de 2021,</w:t>
      </w:r>
      <w:r>
        <w:rPr>
          <w:b w:val="false"/>
          <w:i/>
          <w:color w:val="000000"/>
          <w:sz w:val="20"/>
        </w:rPr>
        <w:t xml:space="preserve"> </w:t>
      </w:r>
      <w:r>
        <w:rPr>
          <w:b w:val="false"/>
          <w:i w:val="false"/>
          <w:color w:val="000000"/>
          <w:sz w:val="20"/>
        </w:rPr>
        <w:t xml:space="preserve"> </w:t>
      </w:r>
      <w:r>
        <w:rPr>
          <w:b/>
          <w:i w:val="false"/>
          <w:color w:val="000000"/>
          <w:sz w:val="20"/>
        </w:rPr>
        <w:t>que Regulamenta o enquadramento dos bens de consumo adquiridos no âmbito da Administração Direta, das autarquias e das fundações do Poder Executivo Estadual, nas categorias “comum” e “luxo”.</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 xml:space="preserve"> </w:t>
      </w:r>
      <w:r>
        <w:rPr>
          <w:rFonts w:hint="default" w:ascii="Arial" w:hAnsi="Arial"/>
          <w:b w:val="false"/>
          <w:i w:val="false"/>
          <w:color w:val="000000"/>
          <w:sz w:val="20"/>
        </w:rPr>
        <w:t xml:space="preserve"> 
      </w:t>
      </w:r>
      <w:r>
        <w:rPr>
          <w:b w:val="false"/>
          <w:i w:val="false"/>
          <w:color w:val="000000"/>
          <w:sz w:val="20"/>
        </w:rPr>
        <w:t>1.2.1. O prazo de vigência da contratação é de 12 (doze) meses ou na entrega de todos os itens 1.1.2. na forma do artigo 105 da Lei n° 14.133/2021.</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 xml:space="preserve"> </w:t>
      </w:r>
      <w:r>
        <w:rPr>
          <w:rFonts w:hint="default" w:ascii="Arial" w:hAnsi="Arial"/>
          <w:b w:val="false"/>
          <w:i w:val="false"/>
          <w:color w:val="000000"/>
          <w:sz w:val="20"/>
        </w:rPr>
        <w:t xml:space="preserve"> 
      </w:t>
      </w:r>
      <w:r>
        <w:rPr>
          <w:b w:val="false"/>
          <w:i w:val="false"/>
          <w:color w:val="000000"/>
          <w:sz w:val="20"/>
        </w:rPr>
        <w:t xml:space="preserve">1.2.2. O custo estimado total da </w:t>
      </w:r>
      <w:r>
        <w:rPr>
          <w:b w:val="false"/>
          <w:i w:val="false"/>
          <w:color w:val="0000ff"/>
          <w:sz w:val="20"/>
        </w:rPr>
        <w:t xml:space="preserve"> </w:t>
      </w:r>
      <w:r>
        <w:rPr>
          <w:b w:val="false"/>
          <w:i w:val="false"/>
          <w:color w:val="000000"/>
          <w:sz w:val="20"/>
        </w:rPr>
        <w:t xml:space="preserve">contratação é de R$ 56.000,00 (cinquenta e seis mil reais), conforme custos unitários apostos na tabela acima, bem como foram feitas pesquisa de preços conforme consta nos autos do processo administrativo 51/003.735/2023 , e ainda é importe ressaltar que o processo mencionado seguira requisito que traz o Decreto Estadual n.º 16.119/2023, </w:t>
      </w:r>
      <w:r>
        <w:rPr>
          <w:b/>
          <w:i w:val="false"/>
          <w:color w:val="000000"/>
          <w:sz w:val="20"/>
        </w:rPr>
        <w:t>“ Estabelece normas procedimentais para contratação direta, nas hipóteses de dispensa e inexigibilidade, e dispõe sobre o Sistema de Dispensa Eletrônica, no âmbito dos órgãos da Administração Direta e das entidades autárquicas e fundacionais do Poder Executivo Estadual, e dá outras providências”,</w:t>
      </w:r>
      <w:r>
        <w:rPr>
          <w:b w:val="false"/>
          <w:i w:val="false"/>
          <w:color w:val="000000"/>
          <w:sz w:val="20"/>
        </w:rPr>
        <w:t xml:space="preserve"> para lance preço em reais ofertado pelo fornecedor, após a abertura da sessão pública de competitividade, para cada itens que compõe o Termo de Referência;</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 xml:space="preserve"> </w:t>
      </w:r>
      <w:r>
        <w:rPr>
          <w:rFonts w:hint="default" w:ascii="Arial" w:hAnsi="Arial"/>
          <w:b w:val="false"/>
          <w:i w:val="false"/>
          <w:color w:val="000000"/>
          <w:sz w:val="20"/>
        </w:rPr>
        <w:t xml:space="preserve"> 
      </w:t>
      </w:r>
      <w:r>
        <w:rPr>
          <w:b w:val="false"/>
          <w:i w:val="false"/>
          <w:color w:val="000000"/>
          <w:sz w:val="20"/>
        </w:rPr>
        <w:t>1.2.3. Objeto dessa licitação é classificado como bem comum, pois possui especificação usual de mercado e padrão de qualidade definidas neste Termo de Referência;</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 xml:space="preserve"> </w:t>
      </w:r>
      <w:r>
        <w:rPr>
          <w:rFonts w:hint="default" w:ascii="Arial" w:hAnsi="Arial"/>
          <w:b w:val="false"/>
          <w:i w:val="false"/>
          <w:color w:val="000000"/>
          <w:sz w:val="20"/>
        </w:rPr>
        <w:t xml:space="preserve"> 
      </w:t>
      </w:r>
      <w:r>
        <w:rPr>
          <w:b w:val="false"/>
          <w:i w:val="false"/>
          <w:color w:val="000000"/>
          <w:sz w:val="20"/>
        </w:rPr>
        <w:t xml:space="preserve"> </w:t>
      </w:r>
      <w:r>
        <w:rPr>
          <w:b/>
          <w:i w:val="false"/>
          <w:color w:val="000000"/>
          <w:sz w:val="20"/>
        </w:rPr>
        <w:t xml:space="preserve">1.3. DO AGRUPAMENTO DOS ITENS; </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 xml:space="preserve"> </w:t>
      </w:r>
      <w:r>
        <w:rPr>
          <w:rFonts w:hint="default" w:ascii="Arial" w:hAnsi="Arial"/>
          <w:b w:val="false"/>
          <w:i w:val="false"/>
          <w:color w:val="000000"/>
          <w:sz w:val="20"/>
        </w:rPr>
        <w:t xml:space="preserve"> 
      </w:t>
      </w:r>
      <w:r>
        <w:rPr>
          <w:b w:val="false"/>
          <w:i w:val="false"/>
          <w:color w:val="000000"/>
          <w:sz w:val="20"/>
        </w:rPr>
        <w:t xml:space="preserve">1.3.1. O agrupamento dos itens se justifica em virtude da necessidade que deixarão ser compatíveis um que esta fundação tem para atender nossa demanda de realizações nesta tv e emissora de rádio.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i w:val="false"/>
          <w:color w:val="000000"/>
          <w:sz w:val="20"/>
        </w:rPr>
        <w:t>2.</w:t>
      </w:r>
      <w:r>
        <w:rPr>
          <w:rFonts w:hint="default" w:ascii="Arial" w:hAnsi="Arial"/>
          <w:b w:val="false"/>
          <w:i w:val="false"/>
          <w:color w:val="000000"/>
          <w:sz w:val="20"/>
        </w:rPr>
        <w:t xml:space="preserve"> 
      </w:t>
      </w:r>
      <w:r>
        <w:rPr>
          <w:b w:val="false"/>
          <w:i w:val="false"/>
          <w:color w:val="000000"/>
          <w:sz w:val="20"/>
        </w:rPr>
        <w:t xml:space="preserve"> </w:t>
      </w:r>
      <w:r>
        <w:rPr>
          <w:b/>
          <w:i w:val="false"/>
          <w:color w:val="000000"/>
          <w:sz w:val="20"/>
        </w:rPr>
        <w:t xml:space="preserve">FUNDAMENTAÇÃO E DESCRIÇÃO DA NECESSIDADE DA CONTRATAÇÃO (ART. 6º, INCISO XXIII, ALÍNEA ‘B’, DA LEI Nº 14.133/2021) e DEFINIÇÃO DOS MÉTODOS PARA A EXECUÇÃO DO OBJETO; </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2.1.</w:t>
      </w:r>
      <w:r>
        <w:rPr>
          <w:rFonts w:hint="default" w:ascii="Arial" w:hAnsi="Arial"/>
          <w:b w:val="false"/>
          <w:i w:val="false"/>
          <w:color w:val="000000"/>
          <w:sz w:val="20"/>
        </w:rPr>
        <w:t xml:space="preserve"> 
      </w:t>
      </w:r>
      <w:r>
        <w:rPr>
          <w:b w:val="false"/>
          <w:i w:val="false"/>
          <w:color w:val="000000"/>
          <w:sz w:val="20"/>
        </w:rPr>
        <w:t xml:space="preserve"> </w:t>
      </w:r>
      <w:r>
        <w:rPr>
          <w:b/>
          <w:i w:val="false"/>
          <w:color w:val="000000"/>
          <w:sz w:val="20"/>
        </w:rPr>
        <w:t xml:space="preserve"> </w:t>
      </w:r>
      <w:r>
        <w:rPr>
          <w:b w:val="false"/>
          <w:i w:val="false"/>
          <w:color w:val="000000"/>
          <w:sz w:val="20"/>
        </w:rPr>
        <w:t>Fundação Estadual Jornalista Luiz Chagas de Rádio e TV Educativa de Mato Grosso do Sul (FERTEL), fundação pública instituída pelo Decreto nº 10.125, de 16 de novembro de 2000, é pessoa jurídica de direito público, sem fins lucrativos, com patrimônio próprio, autonomia administrativa e financeira, sede e foro na Capital do Estado, com prazo de duração indeterminado, vinculada à Secretaria de Estado de Governo, nos termos do art. 10, inciso III, alínea “f”, item 7, da Lei nº 4.640, de 24 de dezembro de 2014, reger-se-á pelas disposições contidas neste Estatuto e nas demais normas legais e regulamentares que lhes sejam aplicáveis.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2.1.1.</w:t>
      </w:r>
      <w:r>
        <w:rPr>
          <w:rFonts w:hint="default" w:ascii="Arial" w:hAnsi="Arial"/>
          <w:b w:val="false"/>
          <w:i w:val="false"/>
          <w:color w:val="000000"/>
          <w:sz w:val="20"/>
        </w:rPr>
        <w:t xml:space="preserve"> 
      </w:t>
      </w:r>
      <w:r>
        <w:rPr>
          <w:b w:val="false"/>
          <w:i w:val="false"/>
          <w:color w:val="000000"/>
          <w:sz w:val="20"/>
        </w:rPr>
        <w:t xml:space="preserve">A FERTEL, de acordo com o decreto n. 12.575, de 26 de junho de 2008, tem por finalidade estimular as manifestações do pensamento, a criação, a expressão e a informação, através do sistema de radiodifusão sonora e de sons e imagens, visando a disseminação do conhecimento, da informação, da educação e da cultura no Estado de MS. </w:t>
      </w:r>
      <w:r>
        <w:rPr>
          <w:b w:val="false"/>
          <w:i w:val="false"/>
          <w:color w:val="0000ff"/>
          <w:sz w:val="20"/>
        </w:rPr>
        <w:t xml:space="preserve"> </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2.1.2.</w:t>
      </w:r>
      <w:r>
        <w:rPr>
          <w:rFonts w:hint="default" w:ascii="Arial" w:hAnsi="Arial"/>
          <w:b w:val="false"/>
          <w:i w:val="false"/>
          <w:color w:val="000000"/>
          <w:sz w:val="20"/>
        </w:rPr>
        <w:t xml:space="preserve"> 
      </w:t>
      </w:r>
      <w:r>
        <w:rPr>
          <w:b w:val="false"/>
          <w:i w:val="false"/>
          <w:color w:val="000000"/>
          <w:sz w:val="20"/>
        </w:rPr>
        <w:t>A estrutura física da FERTEL, no que tange reforma ou reestruturação, sendo que durante ao longo dos anos, as tecnologias evoluíram e foram atualizadas, ao passo que a infraestrutura de rede local ficou com sua tecnologia estagnada.</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2.1.3.</w:t>
      </w:r>
      <w:r>
        <w:rPr>
          <w:rFonts w:hint="default" w:ascii="Arial" w:hAnsi="Arial"/>
          <w:b w:val="false"/>
          <w:i w:val="false"/>
          <w:color w:val="000000"/>
          <w:sz w:val="20"/>
        </w:rPr>
        <w:t xml:space="preserve"> 
      </w:t>
      </w:r>
      <w:r>
        <w:rPr>
          <w:b w:val="false"/>
          <w:i w:val="false"/>
          <w:color w:val="000000"/>
          <w:sz w:val="20"/>
        </w:rPr>
        <w:t xml:space="preserve"> </w:t>
      </w:r>
      <w:r>
        <w:rPr>
          <w:b w:val="false"/>
          <w:i w:val="false"/>
          <w:color w:val="0000ff"/>
          <w:sz w:val="20"/>
        </w:rPr>
        <w:t xml:space="preserve"> </w:t>
      </w:r>
      <w:r>
        <w:rPr>
          <w:b w:val="false"/>
          <w:i w:val="false"/>
          <w:color w:val="000000"/>
          <w:sz w:val="20"/>
        </w:rPr>
        <w:t xml:space="preserve">Com vistas nessa necessidade, justifica-se que a Futura contratação se faz extremamente necessária a aquisição desses equipamentos.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2.2.</w:t>
      </w:r>
      <w:r>
        <w:rPr>
          <w:rFonts w:hint="default" w:ascii="Arial" w:hAnsi="Arial"/>
          <w:b w:val="false"/>
          <w:i w:val="false"/>
          <w:color w:val="000000"/>
          <w:sz w:val="20"/>
        </w:rPr>
        <w:t xml:space="preserve"> 
      </w:t>
      </w:r>
      <w:r>
        <w:rPr>
          <w:b w:val="false"/>
          <w:i w:val="false"/>
          <w:color w:val="000000"/>
          <w:sz w:val="20"/>
        </w:rPr>
        <w:t xml:space="preserve">É necessário a aquisição de equipamento descrito nos itens 1.2 destes termos de referência.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2.2.1.</w:t>
      </w:r>
      <w:r>
        <w:rPr>
          <w:rFonts w:hint="default" w:ascii="Arial" w:hAnsi="Arial"/>
          <w:b w:val="false"/>
          <w:i w:val="false"/>
          <w:color w:val="000000"/>
          <w:sz w:val="20"/>
        </w:rPr>
        <w:t xml:space="preserve"> 
      </w:t>
      </w:r>
      <w:r>
        <w:rPr>
          <w:b w:val="false"/>
          <w:i w:val="false"/>
          <w:color w:val="000000"/>
          <w:sz w:val="20"/>
        </w:rPr>
        <w:t xml:space="preserve"> Informamos ainda que não houve nenhuma aquisição de objeto similar no decorrer do ano de 2022 no âmbito desta fundação contratante.</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2.2.2.</w:t>
      </w:r>
      <w:r>
        <w:rPr>
          <w:rFonts w:hint="default" w:ascii="Arial" w:hAnsi="Arial"/>
          <w:b w:val="false"/>
          <w:i w:val="false"/>
          <w:color w:val="000000"/>
          <w:sz w:val="20"/>
        </w:rPr>
        <w:t xml:space="preserve"> 
      </w:t>
      </w:r>
      <w:r>
        <w:rPr>
          <w:b w:val="false"/>
          <w:i w:val="false"/>
          <w:color w:val="000000"/>
          <w:sz w:val="20"/>
        </w:rPr>
        <w:t>Cada entrega deverá ser efetuada mediante solicitação por escrito, formalizada pela Fundação Jornalista Luiz Chagas de Rádio e Tv Educativa de Mato Grosso do Sul (FERTEL) de, dela devendo constar: a data, o valor global da entrega, a quantidade pretendida, o local para a entrega, o prazo, o carimbo e a assinatura do responsável, sendo efetuado diretamente pelo órgão/entidade requisitante, devidamente autorizado pela autoridade superior, e ainda acompanhada pela nota de empenho ou instrumento equivalente.</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2.3.</w:t>
      </w:r>
      <w:r>
        <w:rPr>
          <w:rFonts w:hint="default" w:ascii="Arial" w:hAnsi="Arial"/>
          <w:b w:val="false"/>
          <w:i w:val="false"/>
          <w:color w:val="000000"/>
          <w:sz w:val="20"/>
        </w:rPr>
        <w:t xml:space="preserve"> 
      </w:t>
      </w:r>
      <w:r>
        <w:rPr>
          <w:b w:val="false"/>
          <w:i w:val="false"/>
          <w:color w:val="000000"/>
          <w:sz w:val="20"/>
        </w:rPr>
        <w:t>O prazo de entrega dos bens é de 30 (trinta) dias, a contados do recebimento da nota de empenho ou assinatura do contrato ou instrumento equivalente, em remessa única, na Rua Desembargador Leão Neto do Carmo, n.º 710, bairro parque dos poderes Campo Grande – MS de segunda à sexta, das 07:30h às 11:30h e das 13:30h às 17h.</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2.4.</w:t>
      </w:r>
      <w:r>
        <w:rPr>
          <w:rFonts w:hint="default" w:ascii="Arial" w:hAnsi="Arial"/>
          <w:b w:val="false"/>
          <w:i w:val="false"/>
          <w:color w:val="000000"/>
          <w:sz w:val="20"/>
        </w:rPr>
        <w:t xml:space="preserve"> 
      </w:t>
      </w:r>
      <w:r>
        <w:rPr>
          <w:b w:val="false"/>
          <w:i w:val="false"/>
          <w:color w:val="000000"/>
          <w:sz w:val="20"/>
        </w:rPr>
        <w:t>A contratada obriga-se a entregar os objetos em conformidade com as especificações</w:t>
      </w:r>
      <w:r>
        <w:br/>
      </w:r>
      <w:r>
        <w:rPr>
          <w:b w:val="false"/>
          <w:i w:val="false"/>
          <w:color w:val="000000"/>
          <w:sz w:val="20"/>
        </w:rPr>
        <w:t xml:space="preserve">descritas na Proposta de Preços e neste </w:t>
      </w:r>
      <w:r>
        <w:rPr>
          <w:b/>
          <w:i w:val="false"/>
          <w:color w:val="000000"/>
          <w:sz w:val="20"/>
        </w:rPr>
        <w:t>termo de referência</w:t>
      </w:r>
      <w:r>
        <w:rPr>
          <w:b w:val="false"/>
          <w:i w:val="false"/>
          <w:color w:val="000000"/>
          <w:sz w:val="20"/>
        </w:rPr>
        <w:t>, sendo de sua inteira</w:t>
      </w:r>
      <w:r>
        <w:br/>
      </w:r>
      <w:r>
        <w:rPr>
          <w:b w:val="false"/>
          <w:i w:val="false"/>
          <w:color w:val="000000"/>
          <w:sz w:val="20"/>
        </w:rPr>
        <w:t>responsabilidade a substituição, caso não esteja em conformidade com as referidas</w:t>
      </w:r>
      <w:r>
        <w:br/>
      </w:r>
      <w:r>
        <w:rPr>
          <w:b w:val="false"/>
          <w:i w:val="false"/>
          <w:color w:val="000000"/>
          <w:sz w:val="20"/>
        </w:rPr>
        <w:t>especificações.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2.5.</w:t>
      </w:r>
      <w:r>
        <w:rPr>
          <w:rFonts w:hint="default" w:ascii="Arial" w:hAnsi="Arial"/>
          <w:b w:val="false"/>
          <w:i w:val="false"/>
          <w:color w:val="000000"/>
          <w:sz w:val="20"/>
        </w:rPr>
        <w:t xml:space="preserve"> 
      </w:t>
      </w:r>
      <w:r>
        <w:rPr>
          <w:b w:val="false"/>
          <w:i w:val="false"/>
          <w:color w:val="000000"/>
          <w:sz w:val="20"/>
        </w:rPr>
        <w:t>Todas as despesas relativas à entrega e transporte dos objetos licitados, bem como todos os impostos, taxas e demais despesas decorrentes do contrato correrão por conta exclusiva da contratada.</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2.6.</w:t>
      </w:r>
      <w:r>
        <w:rPr>
          <w:rFonts w:hint="default" w:ascii="Arial" w:hAnsi="Arial"/>
          <w:b w:val="false"/>
          <w:i w:val="false"/>
          <w:color w:val="000000"/>
          <w:sz w:val="20"/>
        </w:rPr>
        <w:t xml:space="preserve"> 
      </w:t>
      </w:r>
      <w:r>
        <w:rPr>
          <w:b w:val="false"/>
          <w:i w:val="false"/>
          <w:color w:val="000000"/>
          <w:sz w:val="20"/>
        </w:rPr>
        <w:t>O recebimento dos objetos se efetivará, em conformidade com inciso II do art. 140 da Lei 14.133/2021 mediante recibo, nos seguintes termos: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 xml:space="preserve">2.7. Provisoriamente, de forma sumária, pelo responsável por seu acompanhamento e fiscalização, com verificação posterior da conformidade do material com as exigências contratuais ou similar;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 xml:space="preserve">definitivamente, por servidor ou comissão designada pela autoridade competente, mediante termo detalhado que comprove o atendimento das exigências contratuais, ou similar;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2.8. O objeto do contrato poderá ser rejeitado, no todo ou em parte, quando estiver em desacordo com o contrato ou similar;</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 xml:space="preserve"> </w:t>
      </w:r>
      <w:r>
        <w:rPr>
          <w:rFonts w:hint="default" w:ascii="Arial" w:hAnsi="Arial"/>
          <w:b w:val="false"/>
          <w:i w:val="false"/>
          <w:color w:val="000000"/>
          <w:sz w:val="20"/>
        </w:rPr>
        <w:t xml:space="preserve"> 
      </w:t>
      </w:r>
      <w:r>
        <w:rPr>
          <w:b w:val="false"/>
          <w:i w:val="false"/>
          <w:color w:val="000000"/>
          <w:sz w:val="20"/>
        </w:rPr>
        <w:t>2.9. procedida dentro do prazo fixado, reputar-se-á como realizada, consumando-se o</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b w:val="false"/>
          <w:i w:val="false"/>
          <w:color w:val="000000"/>
          <w:sz w:val="20"/>
        </w:rPr>
        <w:t>recebimento definitivo no dia do esgotamento do prazo.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 xml:space="preserve"> </w:t>
      </w:r>
      <w:r>
        <w:rPr>
          <w:rFonts w:hint="default" w:ascii="Arial" w:hAnsi="Arial"/>
          <w:b w:val="false"/>
          <w:i w:val="false"/>
          <w:color w:val="000000"/>
          <w:sz w:val="20"/>
        </w:rPr>
        <w:t xml:space="preserve"> 
      </w:t>
      </w:r>
      <w:r>
        <w:rPr>
          <w:b w:val="false"/>
          <w:i w:val="false"/>
          <w:color w:val="000000"/>
          <w:sz w:val="20"/>
        </w:rPr>
        <w:t>2.10. Serão recusados os objetos licitados considerados imprestáveis ou defeituosos, que não atendam as especificações constantes no termo de referência e/ou que não estejam adequados para o uso.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 xml:space="preserve"> </w:t>
      </w:r>
      <w:r>
        <w:rPr>
          <w:rFonts w:hint="default" w:ascii="Arial" w:hAnsi="Arial"/>
          <w:b w:val="false"/>
          <w:i w:val="false"/>
          <w:color w:val="000000"/>
          <w:sz w:val="20"/>
        </w:rPr>
        <w:t xml:space="preserve"> 
      </w:t>
      </w:r>
      <w:r>
        <w:rPr>
          <w:b w:val="false"/>
          <w:i w:val="false"/>
          <w:color w:val="000000"/>
          <w:sz w:val="20"/>
        </w:rPr>
        <w:t>2.11. Os objetos deverão ser entregues embalados de forma a não serem danificados durante as operações de transporte e descarga no local da entrega.</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 xml:space="preserve"> </w:t>
      </w:r>
      <w:r>
        <w:rPr>
          <w:rFonts w:hint="default" w:ascii="Arial" w:hAnsi="Arial"/>
          <w:b w:val="false"/>
          <w:i w:val="false"/>
          <w:color w:val="000000"/>
          <w:sz w:val="20"/>
        </w:rPr>
        <w:t xml:space="preserve"> 
      </w:t>
      </w:r>
      <w:r>
        <w:rPr>
          <w:b w:val="false"/>
          <w:i w:val="false"/>
          <w:color w:val="000000"/>
          <w:sz w:val="20"/>
        </w:rPr>
        <w:t xml:space="preserve">2.12. Independente de aceitação, a contratada garantirá a qualidade e segurança dos objetos contra defeitos de fabricação, pelo prazo mínimo de 12 (doze) meses, sendo 90 (noventa) dias de garantia legal (Art. 26, II do CDC), e 7 (sete) meses de garantia contratual, conforme art. 50 do CDC, ou garantia do fabricante caso a mesma seja superior.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 xml:space="preserve"> </w:t>
      </w:r>
      <w:r>
        <w:rPr>
          <w:rFonts w:hint="default" w:ascii="Arial" w:hAnsi="Arial"/>
          <w:b w:val="false"/>
          <w:i w:val="false"/>
          <w:color w:val="000000"/>
          <w:sz w:val="20"/>
        </w:rPr>
        <w:t xml:space="preserve"> 
      </w:t>
      </w:r>
      <w:r>
        <w:rPr>
          <w:b w:val="false"/>
          <w:i w:val="false"/>
          <w:color w:val="000000"/>
          <w:sz w:val="20"/>
        </w:rPr>
        <w:t xml:space="preserve">2.13. De acordo com s especificação contidas no item 1.2 deste termo, bem como a disseminação do conhecimento, da formação e da educação, baseada no uso consciente dos recursos hídricos, visando o bem-estar das gerações futuras e do desenvolvimento sustentável.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i w:val="false"/>
          <w:color w:val="000000"/>
          <w:sz w:val="20"/>
        </w:rPr>
        <w:t>3.</w:t>
      </w:r>
      <w:r>
        <w:rPr>
          <w:rFonts w:hint="default" w:ascii="Arial" w:hAnsi="Arial"/>
          <w:b w:val="false"/>
          <w:i w:val="false"/>
          <w:color w:val="000000"/>
          <w:sz w:val="20"/>
        </w:rPr>
        <w:t xml:space="preserve"> 
      </w:t>
      </w:r>
      <w:r>
        <w:rPr>
          <w:b w:val="false"/>
          <w:i w:val="false"/>
          <w:color w:val="000000"/>
          <w:sz w:val="20"/>
        </w:rPr>
        <w:t xml:space="preserve"> </w:t>
      </w:r>
      <w:r>
        <w:rPr>
          <w:b/>
          <w:i w:val="false"/>
          <w:color w:val="000000"/>
          <w:sz w:val="20"/>
        </w:rPr>
        <w:t>ESTIMATIVA DE PREÇO E PREÇOS REFERENCIAIS;</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3.1.</w:t>
      </w:r>
      <w:r>
        <w:rPr>
          <w:rFonts w:hint="default" w:ascii="Arial" w:hAnsi="Arial"/>
          <w:b w:val="false"/>
          <w:i w:val="false"/>
          <w:color w:val="000000"/>
          <w:sz w:val="20"/>
        </w:rPr>
        <w:t xml:space="preserve"> 
      </w:t>
      </w:r>
      <w:r>
        <w:rPr>
          <w:b w:val="false"/>
          <w:i w:val="false"/>
          <w:color w:val="000000"/>
          <w:sz w:val="20"/>
        </w:rPr>
        <w:t>O procedimento para a pesquisa de preços observará o disposto no Decreto Estadual nº 15.617/2021 e suas alterações, ou o regulamento estadual correspondente que lhe venha substituir; caso a contratação utilize exclusivamente recursos estaduais e, obedecer ao disposto na IN MPOG n. 73, de 5 de agosto de 2020,</w:t>
      </w:r>
      <w:r>
        <w:rPr>
          <w:b/>
          <w:i w:val="false"/>
          <w:color w:val="000000"/>
          <w:sz w:val="20"/>
        </w:rPr>
        <w:t xml:space="preserve"> na hipótese de utilização de recurso oriundo de transferência voluntária efetivada pela União (convênio). </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i w:val="false"/>
          <w:color w:val="000000"/>
          <w:sz w:val="20"/>
        </w:rPr>
        <w:t>4.</w:t>
      </w:r>
      <w:r>
        <w:rPr>
          <w:rFonts w:hint="default" w:ascii="Arial" w:hAnsi="Arial"/>
          <w:b w:val="false"/>
          <w:i w:val="false"/>
          <w:color w:val="000000"/>
          <w:sz w:val="20"/>
        </w:rPr>
        <w:t xml:space="preserve"> 
      </w:t>
      </w:r>
      <w:r>
        <w:rPr>
          <w:b w:val="false"/>
          <w:i w:val="false"/>
          <w:color w:val="000000"/>
          <w:sz w:val="20"/>
        </w:rPr>
        <w:t xml:space="preserve"> </w:t>
      </w:r>
      <w:r>
        <w:rPr>
          <w:b/>
          <w:i w:val="false"/>
          <w:color w:val="000000"/>
          <w:sz w:val="20"/>
        </w:rPr>
        <w:t>CRITERIO DE JULGAMENTO DAS PROPOSTAS;</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4.1.</w:t>
      </w:r>
      <w:r>
        <w:rPr>
          <w:rFonts w:hint="default" w:ascii="Arial" w:hAnsi="Arial"/>
          <w:b w:val="false"/>
          <w:i w:val="false"/>
          <w:color w:val="000000"/>
          <w:sz w:val="20"/>
        </w:rPr>
        <w:t xml:space="preserve"> 
      </w:t>
      </w:r>
      <w:r>
        <w:rPr>
          <w:b w:val="false"/>
          <w:i w:val="false"/>
          <w:color w:val="000000"/>
          <w:sz w:val="20"/>
        </w:rPr>
        <w:t xml:space="preserve">A dispensa de licitação será realizada no Lote único conforme segue modelo no anexo I.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4.2.</w:t>
      </w:r>
      <w:r>
        <w:rPr>
          <w:rFonts w:hint="default" w:ascii="Arial" w:hAnsi="Arial"/>
          <w:b w:val="false"/>
          <w:i w:val="false"/>
          <w:color w:val="000000"/>
          <w:sz w:val="20"/>
        </w:rPr>
        <w:t xml:space="preserve"> 
      </w:t>
      </w:r>
      <w:r>
        <w:rPr>
          <w:b w:val="false"/>
          <w:i w:val="false"/>
          <w:color w:val="000000"/>
          <w:sz w:val="20"/>
        </w:rPr>
        <w:t xml:space="preserve"> O critério de julgamento adotado será o menor preço do global, observadas as exigências contidas neste Termo de Referência quanto às especificações do objeto item 1.1.2.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i w:val="false"/>
          <w:color w:val="000000"/>
          <w:sz w:val="20"/>
        </w:rPr>
        <w:t>5.</w:t>
      </w:r>
      <w:r>
        <w:rPr>
          <w:rFonts w:hint="default" w:ascii="Arial" w:hAnsi="Arial"/>
          <w:b w:val="false"/>
          <w:i w:val="false"/>
          <w:color w:val="000000"/>
          <w:sz w:val="20"/>
        </w:rPr>
        <w:t xml:space="preserve"> 
      </w:t>
      </w:r>
      <w:r>
        <w:rPr>
          <w:b w:val="false"/>
          <w:i w:val="false"/>
          <w:color w:val="000000"/>
          <w:sz w:val="20"/>
        </w:rPr>
        <w:t xml:space="preserve"> </w:t>
      </w:r>
      <w:r>
        <w:rPr>
          <w:b/>
          <w:i w:val="false"/>
          <w:color w:val="000000"/>
          <w:sz w:val="20"/>
        </w:rPr>
        <w:t>PARCELAMENTO DO OBJETO;</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5.1.</w:t>
      </w:r>
      <w:r>
        <w:rPr>
          <w:rFonts w:hint="default" w:ascii="Arial" w:hAnsi="Arial"/>
          <w:b w:val="false"/>
          <w:i w:val="false"/>
          <w:color w:val="000000"/>
          <w:sz w:val="20"/>
        </w:rPr>
        <w:t xml:space="preserve"> 
      </w:t>
      </w:r>
      <w:r>
        <w:rPr>
          <w:b w:val="false"/>
          <w:i w:val="false"/>
          <w:color w:val="000000"/>
          <w:sz w:val="20"/>
        </w:rPr>
        <w:t>Considerando tratar-se de um único item, não é cabível o parcelamento.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i w:val="false"/>
          <w:color w:val="000000"/>
          <w:sz w:val="20"/>
        </w:rPr>
        <w:t>6.</w:t>
      </w:r>
      <w:r>
        <w:rPr>
          <w:rFonts w:hint="default" w:ascii="Arial" w:hAnsi="Arial"/>
          <w:b w:val="false"/>
          <w:i w:val="false"/>
          <w:color w:val="000000"/>
          <w:sz w:val="20"/>
        </w:rPr>
        <w:t xml:space="preserve"> 
      </w:t>
      </w:r>
      <w:r>
        <w:rPr>
          <w:b w:val="false"/>
          <w:i w:val="false"/>
          <w:color w:val="000000"/>
          <w:sz w:val="20"/>
        </w:rPr>
        <w:t xml:space="preserve"> </w:t>
      </w:r>
      <w:r>
        <w:rPr>
          <w:b/>
          <w:i w:val="false"/>
          <w:color w:val="000000"/>
          <w:sz w:val="20"/>
        </w:rPr>
        <w:t>CONSÓRCIO;</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6.1.</w:t>
      </w:r>
      <w:r>
        <w:rPr>
          <w:rFonts w:hint="default" w:ascii="Arial" w:hAnsi="Arial"/>
          <w:b w:val="false"/>
          <w:i w:val="false"/>
          <w:color w:val="000000"/>
          <w:sz w:val="20"/>
        </w:rPr>
        <w:t xml:space="preserve"> 
      </w:t>
      </w:r>
      <w:r>
        <w:rPr>
          <w:b w:val="false"/>
          <w:i w:val="false"/>
          <w:color w:val="000000"/>
          <w:sz w:val="20"/>
        </w:rPr>
        <w:t>Não será permitida a participação de empresas reunidas em consórcio, devido à baixa complexidade do objeto a ser adquirido, somando-se ao fato de não se cuidar de contratação de grande vulto.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6.2.</w:t>
      </w:r>
      <w:r>
        <w:rPr>
          <w:rFonts w:hint="default" w:ascii="Arial" w:hAnsi="Arial"/>
          <w:b w:val="false"/>
          <w:i w:val="false"/>
          <w:color w:val="000000"/>
          <w:sz w:val="20"/>
        </w:rPr>
        <w:t xml:space="preserve"> 
      </w:t>
      </w:r>
      <w:r>
        <w:rPr>
          <w:b w:val="false"/>
          <w:i w:val="false"/>
          <w:color w:val="000000"/>
          <w:sz w:val="20"/>
        </w:rPr>
        <w:t xml:space="preserve"> </w:t>
      </w:r>
      <w:r>
        <w:rPr>
          <w:b/>
          <w:i w:val="false"/>
          <w:color w:val="000000"/>
          <w:sz w:val="20"/>
        </w:rPr>
        <w:t xml:space="preserve">Subcontratação </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6.2.1.</w:t>
      </w:r>
      <w:r>
        <w:rPr>
          <w:rFonts w:hint="default" w:ascii="Arial" w:hAnsi="Arial"/>
          <w:b w:val="false"/>
          <w:i w:val="false"/>
          <w:color w:val="000000"/>
          <w:sz w:val="20"/>
        </w:rPr>
        <w:t xml:space="preserve"> 
      </w:t>
      </w:r>
      <w:r>
        <w:rPr>
          <w:b w:val="false"/>
          <w:i w:val="false"/>
          <w:color w:val="000000"/>
          <w:sz w:val="20"/>
        </w:rPr>
        <w:t>Não será admitida a subcontratação do objeto licitatório.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i w:val="false"/>
          <w:color w:val="000000"/>
          <w:sz w:val="20"/>
        </w:rPr>
        <w:t>7.</w:t>
      </w:r>
      <w:r>
        <w:rPr>
          <w:rFonts w:hint="default" w:ascii="Arial" w:hAnsi="Arial"/>
          <w:b w:val="false"/>
          <w:i w:val="false"/>
          <w:color w:val="000000"/>
          <w:sz w:val="20"/>
        </w:rPr>
        <w:t xml:space="preserve"> 
      </w:t>
      </w:r>
      <w:r>
        <w:rPr>
          <w:b w:val="false"/>
          <w:i w:val="false"/>
          <w:color w:val="000000"/>
          <w:sz w:val="20"/>
        </w:rPr>
        <w:t xml:space="preserve"> </w:t>
      </w:r>
      <w:r>
        <w:rPr>
          <w:b/>
          <w:i w:val="false"/>
          <w:color w:val="000000"/>
          <w:sz w:val="20"/>
        </w:rPr>
        <w:t>INFORMAÇÕES COMPLEMENTARES;</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7.1.</w:t>
      </w:r>
      <w:r>
        <w:rPr>
          <w:rFonts w:hint="default" w:ascii="Arial" w:hAnsi="Arial"/>
          <w:b w:val="false"/>
          <w:i w:val="false"/>
          <w:color w:val="000000"/>
          <w:sz w:val="20"/>
        </w:rPr>
        <w:t xml:space="preserve"> 
      </w:t>
      </w:r>
      <w:r>
        <w:rPr>
          <w:b w:val="false"/>
          <w:i w:val="false"/>
          <w:color w:val="000000"/>
          <w:sz w:val="20"/>
        </w:rPr>
        <w:t xml:space="preserve"> </w:t>
      </w:r>
      <w:r>
        <w:rPr>
          <w:b/>
          <w:i w:val="false"/>
          <w:color w:val="000000"/>
          <w:sz w:val="20"/>
        </w:rPr>
        <w:t>DOCUMENTOS DA PROPOSTA</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7.1.1.</w:t>
      </w:r>
      <w:r>
        <w:rPr>
          <w:rFonts w:hint="default" w:ascii="Arial" w:hAnsi="Arial"/>
          <w:b w:val="false"/>
          <w:i w:val="false"/>
          <w:color w:val="000000"/>
          <w:sz w:val="20"/>
        </w:rPr>
        <w:t xml:space="preserve"> 
      </w:t>
      </w:r>
      <w:r>
        <w:rPr>
          <w:b w:val="false"/>
          <w:i w:val="false"/>
          <w:color w:val="000000"/>
          <w:sz w:val="20"/>
        </w:rPr>
        <w:t>Quando do envio da documentação a licitante deverá encaminhar:</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7.1.2.</w:t>
      </w:r>
      <w:r>
        <w:rPr>
          <w:rFonts w:hint="default" w:ascii="Arial" w:hAnsi="Arial"/>
          <w:b w:val="false"/>
          <w:i w:val="false"/>
          <w:color w:val="000000"/>
          <w:sz w:val="20"/>
        </w:rPr>
        <w:t xml:space="preserve"> 
      </w:t>
      </w:r>
      <w:r>
        <w:rPr>
          <w:b w:val="false"/>
          <w:i w:val="false"/>
          <w:color w:val="000000"/>
          <w:sz w:val="20"/>
        </w:rPr>
        <w:t>Catálogos/prospectos dos produtos ofertados para comprovação das características técnicas mínimas.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7.1.3.</w:t>
      </w:r>
      <w:r>
        <w:rPr>
          <w:rFonts w:hint="default" w:ascii="Arial" w:hAnsi="Arial"/>
          <w:b w:val="false"/>
          <w:i w:val="false"/>
          <w:color w:val="000000"/>
          <w:sz w:val="20"/>
        </w:rPr>
        <w:t xml:space="preserve"> 
      </w:t>
      </w:r>
      <w:r>
        <w:rPr>
          <w:b w:val="false"/>
          <w:i w:val="false"/>
          <w:color w:val="000000"/>
          <w:sz w:val="20"/>
        </w:rPr>
        <w:t>Caso o catálogo do fabricante seja omisso na descrição de algum item de composição, será aceito declaração complementar do fabricante, descrevendo a especificação faltante no prospecto.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7.1.4.</w:t>
      </w:r>
      <w:r>
        <w:rPr>
          <w:rFonts w:hint="default" w:ascii="Arial" w:hAnsi="Arial"/>
          <w:b w:val="false"/>
          <w:i w:val="false"/>
          <w:color w:val="000000"/>
          <w:sz w:val="20"/>
        </w:rPr>
        <w:t xml:space="preserve"> 
      </w:t>
      </w:r>
      <w:r>
        <w:rPr>
          <w:b w:val="false"/>
          <w:i w:val="false"/>
          <w:color w:val="000000"/>
          <w:sz w:val="20"/>
        </w:rPr>
        <w:t>Caso o catálogo ou declaração esteja em língua estrangeira deverá ser traduzido em língua portuguesa brasileira, com juntada do documento (cópia ou original), da língua originária.</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7.1.5.</w:t>
      </w:r>
      <w:r>
        <w:rPr>
          <w:rFonts w:hint="default" w:ascii="Arial" w:hAnsi="Arial"/>
          <w:b w:val="false"/>
          <w:i w:val="false"/>
          <w:color w:val="000000"/>
          <w:sz w:val="20"/>
        </w:rPr>
        <w:t xml:space="preserve"> 
      </w:t>
      </w:r>
      <w:r>
        <w:rPr>
          <w:b w:val="false"/>
          <w:i w:val="false"/>
          <w:color w:val="000000"/>
          <w:sz w:val="20"/>
        </w:rPr>
        <w:t>Ficam vedadas quaisquer transformações, montagens ou adaptações na especificação original do catálogo que deverá estar disponível no site oficial do fabricante.</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i w:val="false"/>
          <w:color w:val="000000"/>
          <w:sz w:val="20"/>
        </w:rPr>
        <w:t>8.</w:t>
      </w:r>
      <w:r>
        <w:rPr>
          <w:rFonts w:hint="default" w:ascii="Arial" w:hAnsi="Arial"/>
          <w:b w:val="false"/>
          <w:i w:val="false"/>
          <w:color w:val="000000"/>
          <w:sz w:val="20"/>
        </w:rPr>
        <w:t xml:space="preserve"> 
      </w:t>
      </w:r>
      <w:r>
        <w:rPr>
          <w:b w:val="false"/>
          <w:i w:val="false"/>
          <w:color w:val="000000"/>
          <w:sz w:val="20"/>
        </w:rPr>
        <w:t xml:space="preserve"> </w:t>
      </w:r>
      <w:r>
        <w:rPr>
          <w:b/>
          <w:i w:val="false"/>
          <w:color w:val="000000"/>
          <w:sz w:val="20"/>
        </w:rPr>
        <w:t>DOTAÇÃO ORÇAMENTÁRIA;</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8.1.</w:t>
      </w:r>
      <w:r>
        <w:rPr>
          <w:rFonts w:hint="default" w:ascii="Arial" w:hAnsi="Arial"/>
          <w:b w:val="false"/>
          <w:i w:val="false"/>
          <w:color w:val="000000"/>
          <w:sz w:val="20"/>
        </w:rPr>
        <w:t xml:space="preserve"> 
      </w:t>
      </w:r>
      <w:r>
        <w:rPr>
          <w:b w:val="false"/>
          <w:i w:val="false"/>
          <w:color w:val="000000"/>
          <w:sz w:val="20"/>
        </w:rPr>
        <w:t>As despesas decorrentes da contratação da presente licitação correrão às seguintes despesas: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 xml:space="preserve"> </w:t>
      </w:r>
      <w:r>
        <w:br/>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p>
    <w:tbl>
      <w:tblPr>
        <w:tblW w:w="0" w:type="auto"/>
        <w:tblCellSpacing w:w="0" w:type="auto"/>
        <w:tblBorders>
          <w:top w:val="none"/>
          <w:left w:val="none"/>
          <w:bottom w:val="none"/>
          <w:right w:val="none"/>
          <w:insideH w:val="none"/>
          <w:insideV w:val="none"/>
        </w:tblBorders>
      </w:tblPr>
      <w:tblGrid>
        <w:gridCol w:w="5014"/>
        <w:gridCol w:w="2992"/>
        <w:gridCol w:w="2532"/>
        <w:gridCol w:w="1533"/>
        <w:gridCol w:w="1563"/>
      </w:tblGrid>
      <w:tr>
        <w:tc>
          <w:tcPr>
            <w:tcW w:w="0" w:type="auto"/>
            <w:gridSpan w:val="5"/>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Dotação</w:t>
            </w:r>
          </w:p>
        </w:tc>
      </w:tr>
      <w:tr>
        <w:tc>
          <w:tcPr>
            <w:tcW w:w="5014"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Funcional Programática</w:t>
            </w:r>
          </w:p>
        </w:tc>
        <w:tc>
          <w:tcPr>
            <w:tcW w:w="2992"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Natureza de Despesa</w:t>
            </w:r>
          </w:p>
        </w:tc>
        <w:tc>
          <w:tcPr>
            <w:tcW w:w="2532"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Fonte de Recurso</w:t>
            </w:r>
          </w:p>
        </w:tc>
        <w:tc>
          <w:tcPr>
            <w:tcW w:w="1533"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Valor</w:t>
            </w:r>
          </w:p>
        </w:tc>
        <w:tc>
          <w:tcPr>
            <w:tcW w:w="1563"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Exercício.</w:t>
            </w:r>
          </w:p>
        </w:tc>
      </w:tr>
      <w:tr>
        <w:tc>
          <w:tcPr>
            <w:tcW w:w="5014"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510204 51204 13392207930250001</w:t>
            </w:r>
          </w:p>
        </w:tc>
        <w:tc>
          <w:tcPr>
            <w:tcW w:w="2992"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44905233</w:t>
            </w:r>
          </w:p>
        </w:tc>
        <w:tc>
          <w:tcPr>
            <w:tcW w:w="2532"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0279981461</w:t>
            </w:r>
          </w:p>
        </w:tc>
        <w:tc>
          <w:tcPr>
            <w:tcW w:w="1533"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56.000,00</w:t>
            </w:r>
          </w:p>
        </w:tc>
        <w:tc>
          <w:tcPr>
            <w:tcW w:w="1563"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2023</w:t>
            </w:r>
          </w:p>
        </w:tc>
      </w:tr>
      <w:tr>
        <w:tc>
          <w:tcPr>
            <w:tcW w:w="0" w:type="auto"/>
            <w:gridSpan w:val="3"/>
            <w:tcBorders/>
          </w:tcPr>
          <w:p>
            <w:pPr>
              <w:spacing w:after="0"/>
              <w:ind w:left="0"/>
              <w:jc w:val="right"/>
            </w:pPr>
            <w:r>
              <w:rPr>
                <w:rFonts w:hint="default" w:ascii="Arial" w:hAnsi="Arial"/>
                <w:b/>
                <w:i w:val="false"/>
                <w:color w:val="000000"/>
                <w:sz w:val="20"/>
              </w:rPr>
              <w:t>Custo total estimado (R$):</w:t>
            </w:r>
          </w:p>
        </w:tc>
        <w:tc>
          <w:tcPr>
            <w:tcW w:w="0" w:type="auto"/>
            <w:gridSpan w:val="2"/>
            <w:tcBorders/>
          </w:tcPr>
          <w:p>
            <w:pPr>
              <w:spacing w:after="0"/>
              <w:ind w:left="0"/>
              <w:jc w:val="left"/>
            </w:pPr>
            <w:r>
              <w:rPr>
                <w:rFonts w:hint="default" w:ascii="Arial" w:hAnsi="Arial"/>
                <w:b/>
                <w:i w:val="false"/>
                <w:color w:val="000000"/>
                <w:sz w:val="20"/>
              </w:rPr>
              <w:t>56.000,00</w:t>
            </w:r>
          </w:p>
        </w:tc>
      </w:tr>
    </w:tbl>
    <w:p>
      <w:pPr>
        <w:spacing w:after="0"/>
        <w:ind w:left="0"/>
        <w:jc w:val="both"/>
      </w:pPr>
      <w:r>
        <w:rPr>
          <w:rFonts w:hint="default" w:ascii="Arial" w:hAnsi="Arial"/>
          <w:b w:val="false"/>
          <w:i w:val="false"/>
          <w:color w:val="000000"/>
          <w:sz w:val="20"/>
        </w:rPr>
        <w:t xml:space="preserve"> 
      </w:t>
      </w:r>
      <w:r>
        <w:rPr>
          <w:b w:val="false"/>
          <w:i w:val="false"/>
          <w:color w:val="000000"/>
          <w:sz w:val="24"/>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8.2.</w:t>
      </w:r>
      <w:r>
        <w:rPr>
          <w:rFonts w:hint="default" w:ascii="Arial" w:hAnsi="Arial"/>
          <w:b w:val="false"/>
          <w:i w:val="false"/>
          <w:color w:val="000000"/>
          <w:sz w:val="20"/>
        </w:rPr>
        <w:t xml:space="preserve"> 
      </w:t>
      </w:r>
      <w:r>
        <w:rPr>
          <w:b w:val="false"/>
          <w:i w:val="false"/>
          <w:color w:val="000000"/>
          <w:sz w:val="20"/>
        </w:rPr>
        <w:t>A Contratante reserva-se no direito de, a seu critério, utilizar ou não a totalidade da reserva orçamentária prevista.</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8.3.</w:t>
      </w:r>
      <w:r>
        <w:rPr>
          <w:rFonts w:hint="default" w:ascii="Arial" w:hAnsi="Arial"/>
          <w:b w:val="false"/>
          <w:i w:val="false"/>
          <w:color w:val="000000"/>
          <w:sz w:val="20"/>
        </w:rPr>
        <w:t xml:space="preserve"> 
      </w:t>
      </w:r>
      <w:r>
        <w:rPr>
          <w:b w:val="false"/>
          <w:i w:val="false"/>
          <w:color w:val="000000"/>
          <w:sz w:val="20"/>
        </w:rPr>
        <w:t>As despesas efetuadas no próximo exercício correrão à conta do respectivo orçamento, dentro da mesma programação financeira.</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i w:val="false"/>
          <w:color w:val="000000"/>
          <w:sz w:val="20"/>
        </w:rPr>
        <w:t>9.</w:t>
      </w:r>
      <w:r>
        <w:rPr>
          <w:rFonts w:hint="default" w:ascii="Arial" w:hAnsi="Arial"/>
          <w:b w:val="false"/>
          <w:i w:val="false"/>
          <w:color w:val="000000"/>
          <w:sz w:val="20"/>
        </w:rPr>
        <w:t xml:space="preserve"> 
      </w:t>
      </w:r>
      <w:r>
        <w:rPr>
          <w:b w:val="false"/>
          <w:i w:val="false"/>
          <w:color w:val="000000"/>
          <w:sz w:val="20"/>
        </w:rPr>
        <w:t xml:space="preserve"> </w:t>
      </w:r>
      <w:r>
        <w:rPr>
          <w:b/>
          <w:i w:val="false"/>
          <w:color w:val="000000"/>
          <w:sz w:val="20"/>
        </w:rPr>
        <w:t xml:space="preserve">DESCRIÇÃO DA SOLUÇÃO COMO UM TODO CONSIDERADO O CICLO DE VIDA DO OBJETO E ESPECIFICAÇÃO DO PRODUTO (ART. 6º, INCISO XXIII, ALÍNEA ‘C’, E ART. 40, §1º, INCISO I, DA LEI Nº 14.133/2021; </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9.1.</w:t>
      </w:r>
      <w:r>
        <w:rPr>
          <w:rFonts w:hint="default" w:ascii="Arial" w:hAnsi="Arial"/>
          <w:b w:val="false"/>
          <w:i w:val="false"/>
          <w:color w:val="000000"/>
          <w:sz w:val="20"/>
        </w:rPr>
        <w:t xml:space="preserve"> 
      </w:t>
      </w:r>
      <w:r>
        <w:rPr>
          <w:b w:val="false"/>
          <w:i w:val="false"/>
          <w:color w:val="000000"/>
          <w:sz w:val="20"/>
        </w:rPr>
        <w:t>Análise das possíveis soluções para atender a demanda definida neste instrumento: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9.1.1.</w:t>
      </w:r>
      <w:r>
        <w:rPr>
          <w:rFonts w:hint="default" w:ascii="Arial" w:hAnsi="Arial"/>
          <w:b w:val="false"/>
          <w:i w:val="false"/>
          <w:color w:val="000000"/>
          <w:sz w:val="20"/>
        </w:rPr>
        <w:t xml:space="preserve"> 
      </w:t>
      </w:r>
      <w:r>
        <w:rPr>
          <w:b w:val="false"/>
          <w:i w:val="false"/>
          <w:color w:val="000000"/>
          <w:sz w:val="20"/>
        </w:rPr>
        <w:t>Adesão a Ata de Registro de Preço;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9.1.2.</w:t>
      </w:r>
      <w:r>
        <w:rPr>
          <w:rFonts w:hint="default" w:ascii="Arial" w:hAnsi="Arial"/>
          <w:b w:val="false"/>
          <w:i w:val="false"/>
          <w:color w:val="000000"/>
          <w:sz w:val="20"/>
        </w:rPr>
        <w:t xml:space="preserve"> 
      </w:t>
      </w:r>
      <w:r>
        <w:rPr>
          <w:b w:val="false"/>
          <w:i w:val="false"/>
          <w:color w:val="000000"/>
          <w:sz w:val="20"/>
        </w:rPr>
        <w:t>Pregão Eletrônico;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9.1.3.</w:t>
      </w:r>
      <w:r>
        <w:rPr>
          <w:rFonts w:hint="default" w:ascii="Arial" w:hAnsi="Arial"/>
          <w:b w:val="false"/>
          <w:i w:val="false"/>
          <w:color w:val="000000"/>
          <w:sz w:val="20"/>
        </w:rPr>
        <w:t xml:space="preserve"> 
      </w:t>
      </w:r>
      <w:r>
        <w:rPr>
          <w:b w:val="false"/>
          <w:i w:val="false"/>
          <w:color w:val="000000"/>
          <w:sz w:val="20"/>
        </w:rPr>
        <w:t>Dispensa Eletrônica em razão do valor.</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9.2.</w:t>
      </w:r>
      <w:r>
        <w:rPr>
          <w:rFonts w:hint="default" w:ascii="Arial" w:hAnsi="Arial"/>
          <w:b w:val="false"/>
          <w:i w:val="false"/>
          <w:color w:val="000000"/>
          <w:sz w:val="20"/>
        </w:rPr>
        <w:t xml:space="preserve"> 
      </w:t>
      </w:r>
      <w:r>
        <w:rPr>
          <w:b w:val="false"/>
          <w:i w:val="false"/>
          <w:color w:val="000000"/>
          <w:sz w:val="20"/>
        </w:rPr>
        <w:t xml:space="preserve"> </w:t>
      </w:r>
      <w:r>
        <w:rPr>
          <w:b/>
          <w:i w:val="false"/>
          <w:color w:val="000000"/>
          <w:sz w:val="20"/>
        </w:rPr>
        <w:t>Solução 1: Adesão a Ata:</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9.2.1.</w:t>
      </w:r>
      <w:r>
        <w:rPr>
          <w:rFonts w:hint="default" w:ascii="Arial" w:hAnsi="Arial"/>
          <w:b w:val="false"/>
          <w:i w:val="false"/>
          <w:color w:val="000000"/>
          <w:sz w:val="20"/>
        </w:rPr>
        <w:t xml:space="preserve"> 
      </w:t>
      </w:r>
      <w:r>
        <w:rPr>
          <w:b w:val="false"/>
          <w:i w:val="false"/>
          <w:color w:val="000000"/>
          <w:sz w:val="20"/>
        </w:rPr>
        <w:t>A adesão a ata de Registro de preço é um instituto chamado "carona" a uma ata de Registro de preços existente em um outro órgão. O problema previsto aqui, seria a dificuldade de localizar o objeto pretendido em relação ao objeto registrado.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9.3.</w:t>
      </w:r>
      <w:r>
        <w:rPr>
          <w:rFonts w:hint="default" w:ascii="Arial" w:hAnsi="Arial"/>
          <w:b w:val="false"/>
          <w:i w:val="false"/>
          <w:color w:val="000000"/>
          <w:sz w:val="20"/>
        </w:rPr>
        <w:t xml:space="preserve"> 
      </w:t>
      </w:r>
      <w:r>
        <w:rPr>
          <w:b w:val="false"/>
          <w:i w:val="false"/>
          <w:color w:val="000000"/>
          <w:sz w:val="20"/>
        </w:rPr>
        <w:t xml:space="preserve"> </w:t>
      </w:r>
      <w:r>
        <w:rPr>
          <w:b/>
          <w:i w:val="false"/>
          <w:color w:val="000000"/>
          <w:sz w:val="20"/>
        </w:rPr>
        <w:t>Solução 2: Pregão Eletrônico:</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9.3.1.</w:t>
      </w:r>
      <w:r>
        <w:rPr>
          <w:rFonts w:hint="default" w:ascii="Arial" w:hAnsi="Arial"/>
          <w:b w:val="false"/>
          <w:i w:val="false"/>
          <w:color w:val="000000"/>
          <w:sz w:val="20"/>
        </w:rPr>
        <w:t xml:space="preserve"> 
      </w:t>
      </w:r>
      <w:r>
        <w:rPr>
          <w:b w:val="false"/>
          <w:i w:val="false"/>
          <w:color w:val="000000"/>
          <w:sz w:val="20"/>
        </w:rPr>
        <w:t>Nesta solução seria conduzido uma Licitação própria para aquisição na modalidade Pregão Eletrônico. Ampla concorrência. Processo mais demorado.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9.4.</w:t>
      </w:r>
      <w:r>
        <w:rPr>
          <w:rFonts w:hint="default" w:ascii="Arial" w:hAnsi="Arial"/>
          <w:b w:val="false"/>
          <w:i w:val="false"/>
          <w:color w:val="000000"/>
          <w:sz w:val="20"/>
        </w:rPr>
        <w:t xml:space="preserve"> 
      </w:t>
      </w:r>
      <w:r>
        <w:rPr>
          <w:b w:val="false"/>
          <w:i w:val="false"/>
          <w:color w:val="000000"/>
          <w:sz w:val="20"/>
        </w:rPr>
        <w:t xml:space="preserve"> </w:t>
      </w:r>
      <w:r>
        <w:rPr>
          <w:b/>
          <w:i w:val="false"/>
          <w:color w:val="000000"/>
          <w:sz w:val="20"/>
        </w:rPr>
        <w:t>Solução 3: Dispensa Eletrônica em Razão do Baixo Valor:</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9.4.1.</w:t>
      </w:r>
      <w:r>
        <w:rPr>
          <w:rFonts w:hint="default" w:ascii="Arial" w:hAnsi="Arial"/>
          <w:b w:val="false"/>
          <w:i w:val="false"/>
          <w:color w:val="000000"/>
          <w:sz w:val="20"/>
        </w:rPr>
        <w:t xml:space="preserve"> 
      </w:t>
      </w:r>
      <w:r>
        <w:rPr>
          <w:b w:val="false"/>
          <w:i w:val="false"/>
          <w:color w:val="000000"/>
          <w:sz w:val="20"/>
        </w:rPr>
        <w:t>Hipótese do art. 75, inciso II, nos termos da Lei n° 14.133/2021 e Decreto Estadual n.° 16.119/2023;</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9.4.2.</w:t>
      </w:r>
      <w:r>
        <w:rPr>
          <w:rFonts w:hint="default" w:ascii="Arial" w:hAnsi="Arial"/>
          <w:b w:val="false"/>
          <w:i w:val="false"/>
          <w:color w:val="000000"/>
          <w:sz w:val="20"/>
        </w:rPr>
        <w:t xml:space="preserve"> 
      </w:t>
      </w:r>
      <w:r>
        <w:rPr>
          <w:b w:val="false"/>
          <w:i w:val="false"/>
          <w:color w:val="000000"/>
          <w:sz w:val="20"/>
        </w:rPr>
        <w:t xml:space="preserve">Contratação que envolva valores inferiores a </w:t>
      </w:r>
      <w:r>
        <w:rPr>
          <w:b/>
          <w:i w:val="false"/>
          <w:color w:val="000000"/>
          <w:sz w:val="20"/>
        </w:rPr>
        <w:t>R$ 57.208,33</w:t>
      </w:r>
      <w:r>
        <w:rPr>
          <w:b w:val="false"/>
          <w:i w:val="false"/>
          <w:color w:val="000000"/>
          <w:sz w:val="20"/>
        </w:rPr>
        <w:t xml:space="preserve"> (cinquenta sete mil, duzentos e oito mil reais e trinta e três centavos), no caso de outros serviços e compras.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9.4.3.</w:t>
      </w:r>
      <w:r>
        <w:rPr>
          <w:rFonts w:hint="default" w:ascii="Arial" w:hAnsi="Arial"/>
          <w:b w:val="false"/>
          <w:i w:val="false"/>
          <w:color w:val="000000"/>
          <w:sz w:val="20"/>
        </w:rPr>
        <w:t xml:space="preserve"> 
      </w:t>
      </w:r>
      <w:r>
        <w:rPr>
          <w:b w:val="false"/>
          <w:i w:val="false"/>
          <w:color w:val="000000"/>
          <w:sz w:val="20"/>
        </w:rPr>
        <w:t xml:space="preserve"> </w:t>
      </w:r>
      <w:r>
        <w:rPr>
          <w:b/>
          <w:i w:val="false"/>
          <w:color w:val="000000"/>
          <w:sz w:val="20"/>
        </w:rPr>
        <w:t>Esta solução é a que melhor se adequa à contratação em tela, c</w:t>
      </w:r>
      <w:r>
        <w:rPr>
          <w:b w:val="false"/>
          <w:i w:val="false"/>
          <w:color w:val="000000"/>
          <w:sz w:val="20"/>
        </w:rPr>
        <w:t xml:space="preserve">omo trata-se de uma contratação por escopo, será efetuada a aquisição de uma única vez, a dispensa eletrônica não restringe a competitividade é um processo mais célere, conforme Decreto Estadual 15.1616/2021.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9.4.4</w:t>
      </w:r>
      <w:r>
        <w:rPr>
          <w:rFonts w:hint="default" w:ascii="Arial" w:hAnsi="Arial"/>
          <w:b w:val="false"/>
          <w:i w:val="false"/>
          <w:color w:val="000000"/>
          <w:sz w:val="24"/>
        </w:rPr>
        <w:t>. C</w:t>
      </w:r>
      <w:r>
        <w:rPr>
          <w:rFonts w:hint="default" w:ascii="Arial" w:hAnsi="Arial"/>
          <w:b w:val="false"/>
          <w:i w:val="false"/>
          <w:color w:val="000000"/>
          <w:sz w:val="20"/>
        </w:rPr>
        <w:t>onforme Inciso I do art. 14 da Instrução Normativa Seges Nº 58 de 8 de agosto de 2022, foi dispensado a elaboração do Estudo Técnico Preliminar para esta contratação e artigo 5º, §4º, inciso IV do Decreto nº 15.524/2020.</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i w:val="false"/>
          <w:color w:val="000000"/>
          <w:sz w:val="20"/>
        </w:rPr>
        <w:t>10.</w:t>
      </w:r>
      <w:r>
        <w:rPr>
          <w:rFonts w:hint="default" w:ascii="Arial" w:hAnsi="Arial"/>
          <w:b w:val="false"/>
          <w:i w:val="false"/>
          <w:color w:val="000000"/>
          <w:sz w:val="20"/>
        </w:rPr>
        <w:t xml:space="preserve"> 
      </w:t>
      </w:r>
      <w:r>
        <w:rPr>
          <w:b w:val="false"/>
          <w:i w:val="false"/>
          <w:color w:val="000000"/>
          <w:sz w:val="20"/>
        </w:rPr>
        <w:t xml:space="preserve"> </w:t>
      </w:r>
      <w:r>
        <w:rPr>
          <w:b w:val="false"/>
          <w:i w:val="false"/>
          <w:color w:val="0000ff"/>
          <w:sz w:val="20"/>
        </w:rPr>
        <w:t xml:space="preserve"> </w:t>
      </w:r>
      <w:r>
        <w:rPr>
          <w:b w:val="false"/>
          <w:i w:val="false"/>
          <w:color w:val="000000"/>
          <w:sz w:val="20"/>
        </w:rPr>
        <w:t xml:space="preserve"> </w:t>
      </w:r>
      <w:r>
        <w:rPr>
          <w:b/>
          <w:i w:val="false"/>
          <w:color w:val="000000"/>
          <w:sz w:val="20"/>
        </w:rPr>
        <w:t>REQUISITOS DA CONTRATAÇÃO (ART. 6º, XXIII, ALÍNEA ‘D’, DA LEI Nº 14.133/21);</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10.1.</w:t>
      </w:r>
      <w:r>
        <w:rPr>
          <w:rFonts w:hint="default" w:ascii="Arial" w:hAnsi="Arial"/>
          <w:b w:val="false"/>
          <w:i w:val="false"/>
          <w:color w:val="000000"/>
          <w:sz w:val="20"/>
        </w:rPr>
        <w:t xml:space="preserve"> 
      </w:t>
      </w:r>
      <w:r>
        <w:rPr>
          <w:b w:val="false"/>
          <w:i w:val="false"/>
          <w:color w:val="000000"/>
          <w:sz w:val="20"/>
        </w:rPr>
        <w:t>A contratação deverá observar os seguintes requisitos: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10.1.1.</w:t>
      </w:r>
      <w:r>
        <w:rPr>
          <w:rFonts w:hint="default" w:ascii="Arial" w:hAnsi="Arial"/>
          <w:b w:val="false"/>
          <w:i w:val="false"/>
          <w:color w:val="000000"/>
          <w:sz w:val="20"/>
        </w:rPr>
        <w:t xml:space="preserve"> 
      </w:t>
      </w:r>
      <w:r>
        <w:rPr>
          <w:b w:val="false"/>
          <w:i w:val="false"/>
          <w:color w:val="000000"/>
          <w:sz w:val="20"/>
        </w:rPr>
        <w:t xml:space="preserve"> </w:t>
      </w:r>
      <w:r>
        <w:rPr>
          <w:b/>
          <w:i w:val="false"/>
          <w:color w:val="000000"/>
          <w:sz w:val="20"/>
        </w:rPr>
        <w:t xml:space="preserve"> </w:t>
      </w:r>
      <w:r>
        <w:rPr>
          <w:b w:val="false"/>
          <w:i w:val="false"/>
          <w:color w:val="000000"/>
          <w:sz w:val="20"/>
        </w:rPr>
        <w:t>Sustentabilidade:</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10.1.2.</w:t>
      </w:r>
      <w:r>
        <w:rPr>
          <w:rFonts w:hint="default" w:ascii="Arial" w:hAnsi="Arial"/>
          <w:b w:val="false"/>
          <w:i w:val="false"/>
          <w:color w:val="000000"/>
          <w:sz w:val="20"/>
        </w:rPr>
        <w:t xml:space="preserve"> 
      </w:t>
      </w:r>
      <w:r>
        <w:rPr>
          <w:b w:val="false"/>
          <w:i w:val="false"/>
          <w:color w:val="000000"/>
          <w:sz w:val="20"/>
        </w:rPr>
        <w:t xml:space="preserve">A CONTRATADA deverá seguir os requisitos definidos nos Guias de Licitações Sustentáveis da Advocacia Geral da União (AGU) - Guia Nacional de Licitações Sustentáveis - NESLIC e Guia Prático de Licitações Sustentáveis - 3@ Edição - disponíveis em </w:t>
      </w:r>
      <w:hyperlink r:id="rId4">
        <w:r>
          <w:rPr>
            <w:rStyle w:val="Hyperlink"/>
            <w:b w:val="false"/>
            <w:i w:val="false"/>
            <w:color w:val="0000ff"/>
            <w:sz w:val="20"/>
            <w:u w:val="single"/>
          </w:rPr>
          <w:t>http://www.agu.gov.br/page/content/detail/id conteudo/138067</w:t>
        </w:r>
      </w:hyperlink>
      <w:r>
        <w:rPr>
          <w:b w:val="false"/>
          <w:i w:val="false"/>
          <w:color w:val="000000"/>
          <w:sz w:val="20"/>
        </w:rPr>
        <w:t>;</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10.1.3.</w:t>
      </w:r>
      <w:r>
        <w:rPr>
          <w:rFonts w:hint="default" w:ascii="Arial" w:hAnsi="Arial"/>
          <w:b w:val="false"/>
          <w:i w:val="false"/>
          <w:color w:val="000000"/>
          <w:sz w:val="20"/>
        </w:rPr>
        <w:t xml:space="preserve"> 
      </w:t>
      </w:r>
      <w:r>
        <w:rPr>
          <w:b w:val="false"/>
          <w:i w:val="false"/>
          <w:color w:val="000000"/>
          <w:sz w:val="20"/>
        </w:rPr>
        <w:t>No entanto, salienta-se que não foi identificado impacto ambiental.</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10.1.4.</w:t>
      </w:r>
      <w:r>
        <w:rPr>
          <w:rFonts w:hint="default" w:ascii="Arial" w:hAnsi="Arial"/>
          <w:b w:val="false"/>
          <w:i w:val="false"/>
          <w:color w:val="000000"/>
          <w:sz w:val="20"/>
        </w:rPr>
        <w:t xml:space="preserve"> 
      </w:t>
      </w:r>
      <w:r>
        <w:rPr>
          <w:b w:val="false"/>
          <w:i w:val="false"/>
          <w:color w:val="000000"/>
          <w:sz w:val="20"/>
        </w:rPr>
        <w:t>Não será admitida a subcontratação do objeto contratual.</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10.1.5.</w:t>
      </w:r>
      <w:r>
        <w:rPr>
          <w:rFonts w:hint="default" w:ascii="Arial" w:hAnsi="Arial"/>
          <w:b w:val="false"/>
          <w:i w:val="false"/>
          <w:color w:val="000000"/>
          <w:sz w:val="20"/>
        </w:rPr>
        <w:t xml:space="preserve"> 
      </w:t>
      </w:r>
      <w:r>
        <w:rPr>
          <w:b w:val="false"/>
          <w:i w:val="false"/>
          <w:color w:val="000000"/>
          <w:sz w:val="20"/>
        </w:rPr>
        <w:t>Não haverá exigência da garantia da contratação dos arts. 96 e seguintes da Lei nº 14.133/21, pelas razões abaixo justificadas: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10.1.6.</w:t>
      </w:r>
      <w:r>
        <w:rPr>
          <w:rFonts w:hint="default" w:ascii="Arial" w:hAnsi="Arial"/>
          <w:b w:val="false"/>
          <w:i w:val="false"/>
          <w:color w:val="000000"/>
          <w:sz w:val="20"/>
        </w:rPr>
        <w:t xml:space="preserve"> 
      </w:t>
      </w:r>
      <w:r>
        <w:rPr>
          <w:b w:val="false"/>
          <w:i w:val="false"/>
          <w:color w:val="000000"/>
          <w:sz w:val="20"/>
        </w:rPr>
        <w:t>Considerando o baixo valor global da contratação;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10.1.7.</w:t>
      </w:r>
      <w:r>
        <w:rPr>
          <w:rFonts w:hint="default" w:ascii="Arial" w:hAnsi="Arial"/>
          <w:b w:val="false"/>
          <w:i w:val="false"/>
          <w:color w:val="000000"/>
          <w:sz w:val="20"/>
        </w:rPr>
        <w:t xml:space="preserve"> 
      </w:t>
      </w:r>
      <w:r>
        <w:rPr>
          <w:b w:val="false"/>
          <w:i w:val="false"/>
          <w:color w:val="000000"/>
          <w:sz w:val="20"/>
        </w:rPr>
        <w:t>Ademais a garantia é obrigatória para os contratos que envolvam a execução de serviços continuados com dedicação exclusiva de mão de obra, nos termos do art 8°, VI do Decreto n° 9.570, de 2018, e do item 3 do Anexo VII-F da Instrução Normativa SEGES/MP n° 05/2017, o que não é o caso da presente contratação.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i w:val="false"/>
          <w:color w:val="000000"/>
          <w:sz w:val="20"/>
        </w:rPr>
        <w:t>11.</w:t>
      </w:r>
      <w:r>
        <w:rPr>
          <w:rFonts w:hint="default" w:ascii="Arial" w:hAnsi="Arial"/>
          <w:b w:val="false"/>
          <w:i w:val="false"/>
          <w:color w:val="000000"/>
          <w:sz w:val="20"/>
        </w:rPr>
        <w:t xml:space="preserve"> 
      </w:t>
      </w:r>
      <w:r>
        <w:rPr>
          <w:b w:val="false"/>
          <w:i w:val="false"/>
          <w:color w:val="000000"/>
          <w:sz w:val="20"/>
        </w:rPr>
        <w:t xml:space="preserve"> </w:t>
      </w:r>
      <w:r>
        <w:rPr>
          <w:b w:val="false"/>
          <w:i w:val="false"/>
          <w:color w:val="0000ff"/>
          <w:sz w:val="20"/>
        </w:rPr>
        <w:t xml:space="preserve"> </w:t>
      </w:r>
      <w:r>
        <w:rPr>
          <w:b w:val="false"/>
          <w:i w:val="false"/>
          <w:color w:val="000000"/>
          <w:sz w:val="20"/>
        </w:rPr>
        <w:t xml:space="preserve"> </w:t>
      </w:r>
      <w:r>
        <w:rPr>
          <w:b/>
          <w:i w:val="false"/>
          <w:color w:val="000000"/>
          <w:sz w:val="20"/>
        </w:rPr>
        <w:t>MODELO DE EXECUÇÃO CONTRATUAL (ARTS. 6º, XXIII, ALÍNEA “E” E 40, §1º, INCISO II, DA LEI Nº 14.133/2021);</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11.1.</w:t>
      </w:r>
      <w:r>
        <w:rPr>
          <w:rFonts w:hint="default" w:ascii="Arial" w:hAnsi="Arial"/>
          <w:b w:val="false"/>
          <w:i w:val="false"/>
          <w:color w:val="000000"/>
          <w:sz w:val="20"/>
        </w:rPr>
        <w:t xml:space="preserve"> 
      </w:t>
      </w:r>
      <w:r>
        <w:rPr>
          <w:b w:val="false"/>
          <w:i w:val="false"/>
          <w:color w:val="000000"/>
          <w:sz w:val="20"/>
        </w:rPr>
        <w:t>O prazo de entrega dos bens é de 30 (trinta) dias, contados do recebimento pelo fornecedor do instrumento contratual (Nota de Empenho), em remessa única.</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11.2.</w:t>
      </w:r>
      <w:r>
        <w:rPr>
          <w:rFonts w:hint="default" w:ascii="Arial" w:hAnsi="Arial"/>
          <w:b w:val="false"/>
          <w:i w:val="false"/>
          <w:color w:val="000000"/>
          <w:sz w:val="20"/>
        </w:rPr>
        <w:t xml:space="preserve"> 
      </w:t>
      </w:r>
      <w:r>
        <w:rPr>
          <w:b w:val="false"/>
          <w:i w:val="false"/>
          <w:color w:val="000000"/>
          <w:sz w:val="20"/>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11.3.</w:t>
      </w:r>
      <w:r>
        <w:rPr>
          <w:rFonts w:hint="default" w:ascii="Arial" w:hAnsi="Arial"/>
          <w:b w:val="false"/>
          <w:i w:val="false"/>
          <w:color w:val="000000"/>
          <w:sz w:val="20"/>
        </w:rPr>
        <w:t xml:space="preserve"> 
      </w:t>
      </w:r>
      <w:r>
        <w:rPr>
          <w:b w:val="false"/>
          <w:i w:val="false"/>
          <w:color w:val="000000"/>
          <w:sz w:val="20"/>
        </w:rPr>
        <w:t xml:space="preserve">Os bens deverão ser entregues no seguinte endereço: Rua Des. Leão Neto do Carmo, 710 Parque dos poderes – 79037-900 Campo Grande/MS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11.4.</w:t>
      </w:r>
      <w:r>
        <w:rPr>
          <w:rFonts w:hint="default" w:ascii="Arial" w:hAnsi="Arial"/>
          <w:b w:val="false"/>
          <w:i w:val="false"/>
          <w:color w:val="000000"/>
          <w:sz w:val="20"/>
        </w:rPr>
        <w:t xml:space="preserve"> 
      </w:t>
      </w:r>
      <w:r>
        <w:rPr>
          <w:b w:val="false"/>
          <w:i w:val="false"/>
          <w:color w:val="000000"/>
          <w:sz w:val="20"/>
        </w:rPr>
        <w:t xml:space="preserve">Os bens serão recebidos provisoriamente, de forma sumária, no prazo de 30 (quinze) dias, </w:t>
      </w:r>
      <w:r>
        <w:rPr>
          <w:rFonts w:hint="default" w:ascii="Arial" w:hAnsi="Arial"/>
          <w:b w:val="false"/>
          <w:i w:val="false"/>
          <w:color w:val="000000"/>
          <w:sz w:val="20"/>
        </w:rPr>
        <w:t xml:space="preserve"> 
      </w:t>
      </w:r>
      <w:r>
        <w:rPr>
          <w:rFonts w:hint="default" w:ascii="Arial" w:hAnsi="Arial"/>
          <w:b w:val="false"/>
          <w:i w:val="false"/>
          <w:color w:val="000000"/>
          <w:sz w:val="20"/>
        </w:rPr>
        <w:t>pelo(a) responsável pelo acompanhamento e fiscalização do contrato, para efeito de posterior verificação de sua conformidade com as especificações constantes neste Termo de Referência e na proposta.</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11.5.</w:t>
      </w:r>
      <w:r>
        <w:rPr>
          <w:rFonts w:hint="default" w:ascii="Arial" w:hAnsi="Arial"/>
          <w:b w:val="false"/>
          <w:i w:val="false"/>
          <w:color w:val="000000"/>
          <w:sz w:val="20"/>
        </w:rPr>
        <w:t xml:space="preserve"> 
      </w:t>
      </w:r>
      <w:r>
        <w:rPr>
          <w:b w:val="false"/>
          <w:i w:val="false"/>
          <w:color w:val="000000"/>
          <w:sz w:val="20"/>
        </w:rPr>
        <w:t>Os bens serão recebidos definitivamente no prazo do item 11.4, contados do recebimento provisório, após a verificação da qualidade e quantidade do material e consequente aceitação mediante termo detalhado.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11.6.</w:t>
      </w:r>
      <w:r>
        <w:rPr>
          <w:rFonts w:hint="default" w:ascii="Arial" w:hAnsi="Arial"/>
          <w:b w:val="false"/>
          <w:i w:val="false"/>
          <w:color w:val="000000"/>
          <w:sz w:val="20"/>
        </w:rPr>
        <w:t xml:space="preserve"> 
      </w:t>
      </w:r>
      <w:r>
        <w:rPr>
          <w:b w:val="false"/>
          <w:i w:val="false"/>
          <w:color w:val="000000"/>
          <w:sz w:val="20"/>
        </w:rPr>
        <w:t>Na hipótese de a verificação a que se refere o subitem anterior não ser procedida dentro do prazo fixado, reputar-se-á como realizada, consumando-se o recebimento definitivo no dia do esgotamento do prazo.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11.7.</w:t>
      </w:r>
      <w:r>
        <w:rPr>
          <w:rFonts w:hint="default" w:ascii="Arial" w:hAnsi="Arial"/>
          <w:b w:val="false"/>
          <w:i w:val="false"/>
          <w:color w:val="000000"/>
          <w:sz w:val="20"/>
        </w:rPr>
        <w:t xml:space="preserve"> 
      </w:t>
      </w:r>
      <w:r>
        <w:rPr>
          <w:b w:val="false"/>
          <w:i w:val="false"/>
          <w:color w:val="000000"/>
          <w:sz w:val="20"/>
        </w:rPr>
        <w:t>O recebimento provisório ou definitivo não excluirá a responsabilidade civil pela solidez e pela segurança do serviço nem a responsabilidade ético-profissional.</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i w:val="false"/>
          <w:color w:val="000000"/>
          <w:sz w:val="20"/>
        </w:rPr>
        <w:t>12.</w:t>
      </w:r>
      <w:r>
        <w:rPr>
          <w:rFonts w:hint="default" w:ascii="Arial" w:hAnsi="Arial"/>
          <w:b w:val="false"/>
          <w:i w:val="false"/>
          <w:color w:val="000000"/>
          <w:sz w:val="20"/>
        </w:rPr>
        <w:t xml:space="preserve"> 
      </w:t>
      </w:r>
      <w:r>
        <w:rPr>
          <w:b w:val="false"/>
          <w:i w:val="false"/>
          <w:color w:val="000000"/>
          <w:sz w:val="20"/>
        </w:rPr>
        <w:t xml:space="preserve"> </w:t>
      </w:r>
      <w:r>
        <w:rPr>
          <w:b w:val="false"/>
          <w:i w:val="false"/>
          <w:color w:val="0000ff"/>
          <w:sz w:val="20"/>
        </w:rPr>
        <w:t xml:space="preserve"> </w:t>
      </w:r>
      <w:r>
        <w:rPr>
          <w:b w:val="false"/>
          <w:i w:val="false"/>
          <w:color w:val="000000"/>
          <w:sz w:val="20"/>
        </w:rPr>
        <w:t xml:space="preserve"> </w:t>
      </w:r>
      <w:r>
        <w:rPr>
          <w:b/>
          <w:i w:val="false"/>
          <w:color w:val="000000"/>
          <w:sz w:val="20"/>
        </w:rPr>
        <w:t xml:space="preserve">ESPECIFICAÇÃO DA GARANTIA CONTRATUAL EXIGIDA E DAS CONDIÇÕES DE MANUTENÇÃO E ASSISTÊNCIA TÉCNICA (ART. 40, §1º, INCISO III, DA LEI Nº 14.133/2021); </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12.1.</w:t>
      </w:r>
      <w:r>
        <w:rPr>
          <w:rFonts w:hint="default" w:ascii="Arial" w:hAnsi="Arial"/>
          <w:b w:val="false"/>
          <w:i w:val="false"/>
          <w:color w:val="000000"/>
          <w:sz w:val="20"/>
        </w:rPr>
        <w:t xml:space="preserve"> 
      </w:t>
      </w:r>
      <w:r>
        <w:rPr>
          <w:b w:val="false"/>
          <w:i w:val="false"/>
          <w:color w:val="000000"/>
          <w:sz w:val="20"/>
        </w:rPr>
        <w:t>O prazo de garantia contratual dos bens, complementar à garantia legal de 3 (três) meses, é de, no mínimo, 9 (nove) meses, ou pelo prazo fornecido pelo fabricante, se superior, contado a partir do primeiro dia útil subsequente à data do recebimento definitivo do objeto.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12.2.</w:t>
      </w:r>
      <w:r>
        <w:rPr>
          <w:rFonts w:hint="default" w:ascii="Arial" w:hAnsi="Arial"/>
          <w:b w:val="false"/>
          <w:i w:val="false"/>
          <w:color w:val="000000"/>
          <w:sz w:val="20"/>
        </w:rPr>
        <w:t xml:space="preserve"> 
      </w:t>
      </w:r>
      <w:r>
        <w:rPr>
          <w:b w:val="false"/>
          <w:i w:val="false"/>
          <w:color w:val="000000"/>
          <w:sz w:val="20"/>
        </w:rPr>
        <w:t>A garantia será prestada com vistas a manter os equipamentos fornecidos em perfeitas condições de uso, sem qualquer ônus ou custo adicional para o Contratante.</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12.3.</w:t>
      </w:r>
      <w:r>
        <w:rPr>
          <w:rFonts w:hint="default" w:ascii="Arial" w:hAnsi="Arial"/>
          <w:b w:val="false"/>
          <w:i w:val="false"/>
          <w:color w:val="000000"/>
          <w:sz w:val="20"/>
        </w:rPr>
        <w:t xml:space="preserve"> 
      </w:t>
      </w:r>
      <w:r>
        <w:rPr>
          <w:b w:val="false"/>
          <w:i w:val="false"/>
          <w:color w:val="000000"/>
          <w:sz w:val="20"/>
        </w:rPr>
        <w:t>A garantia abrange a realização da manutenção corretiva dos bens pela própria Contratada, ou, se for o caso, por meio de assistência técnica autorizada, de acordo com as normas técnicas específicas.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12.4.</w:t>
      </w:r>
      <w:r>
        <w:rPr>
          <w:rFonts w:hint="default" w:ascii="Arial" w:hAnsi="Arial"/>
          <w:b w:val="false"/>
          <w:i w:val="false"/>
          <w:color w:val="000000"/>
          <w:sz w:val="20"/>
        </w:rPr>
        <w:t xml:space="preserve"> 
      </w:t>
      </w:r>
      <w:r>
        <w:rPr>
          <w:b w:val="false"/>
          <w:i w:val="false"/>
          <w:color w:val="000000"/>
          <w:sz w:val="20"/>
        </w:rPr>
        <w:t>Entende-se por manutenção corretiva aquela destinada a corrigir os defeitos apresentados pelos bens, compreendendo a substituição de peças, a realização de ajustes, reparos e correções necessárias.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12.5.</w:t>
      </w:r>
      <w:r>
        <w:rPr>
          <w:rFonts w:hint="default" w:ascii="Arial" w:hAnsi="Arial"/>
          <w:b w:val="false"/>
          <w:i w:val="false"/>
          <w:color w:val="000000"/>
          <w:sz w:val="20"/>
        </w:rPr>
        <w:t xml:space="preserve"> 
      </w:t>
      </w:r>
      <w:r>
        <w:rPr>
          <w:b w:val="false"/>
          <w:i w:val="false"/>
          <w:color w:val="000000"/>
          <w:sz w:val="20"/>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12.6.</w:t>
      </w:r>
      <w:r>
        <w:rPr>
          <w:rFonts w:hint="default" w:ascii="Arial" w:hAnsi="Arial"/>
          <w:b w:val="false"/>
          <w:i w:val="false"/>
          <w:color w:val="000000"/>
          <w:sz w:val="20"/>
        </w:rPr>
        <w:t xml:space="preserve"> 
      </w:t>
      </w:r>
      <w:r>
        <w:rPr>
          <w:b w:val="false"/>
          <w:i w:val="false"/>
          <w:color w:val="000000"/>
          <w:sz w:val="20"/>
        </w:rPr>
        <w:t>Uma vez notificada, a Contratada realizará a reparação ou substituição dos bens que apresentarem vício ou defeito no prazo de até 20 (vinte) dias úteis, contados a partir da data de retirada do equipamento das dependências da Administração pela Contratada ou pela assistência técnica autorizada.</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12.7.</w:t>
      </w:r>
      <w:r>
        <w:rPr>
          <w:rFonts w:hint="default" w:ascii="Arial" w:hAnsi="Arial"/>
          <w:b w:val="false"/>
          <w:i w:val="false"/>
          <w:color w:val="000000"/>
          <w:sz w:val="20"/>
        </w:rPr>
        <w:t xml:space="preserve"> 
      </w:t>
      </w:r>
      <w:r>
        <w:rPr>
          <w:b w:val="false"/>
          <w:i w:val="false"/>
          <w:color w:val="000000"/>
          <w:sz w:val="20"/>
        </w:rPr>
        <w:t>O prazo indicado no subitem anterior, durante seu transcurso, poderá ser prorrogado uma única vez, por igual período, mediante solicitação escrita e justificada da Contratada, aceita pelo Contratante.</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12.8.</w:t>
      </w:r>
      <w:r>
        <w:rPr>
          <w:rFonts w:hint="default" w:ascii="Arial" w:hAnsi="Arial"/>
          <w:b w:val="false"/>
          <w:i w:val="false"/>
          <w:color w:val="000000"/>
          <w:sz w:val="20"/>
        </w:rPr>
        <w:t xml:space="preserve"> 
      </w:t>
      </w:r>
      <w:r>
        <w:rPr>
          <w:b w:val="false"/>
          <w:i w:val="false"/>
          <w:color w:val="000000"/>
          <w:sz w:val="20"/>
        </w:rPr>
        <w:t>Na hipótese do subitem acima, a Contratada deverá disponibilizar equipamento equivalente, de especificação igual ou superior ao anteriormente fornecido, para utilização em caráter provisório pelo Contratante, de modo a garantir a continuidade dos trabalhos administrativos durante a execução dos reparos.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12.9.</w:t>
      </w:r>
      <w:r>
        <w:rPr>
          <w:rFonts w:hint="default" w:ascii="Arial" w:hAnsi="Arial"/>
          <w:b w:val="false"/>
          <w:i w:val="false"/>
          <w:color w:val="000000"/>
          <w:sz w:val="20"/>
        </w:rPr>
        <w:t xml:space="preserve"> 
      </w:t>
      </w:r>
      <w:r>
        <w:rPr>
          <w:b w:val="false"/>
          <w:i w:val="false"/>
          <w:color w:val="000000"/>
          <w:sz w:val="20"/>
        </w:rPr>
        <w:t>Decorrido o prazo para reparos e substituições sem o atendimento da solicitação do Contratante ou a apresentação de justificativas pela Contratada, fica o Contratante autorizado a contratar empresa diversa para executar os reparos, ajustes ou a substituição do bem ou de seus componentes, bem como a exigir da Contratada o reembolso pelos custos respectivos, sem que tal fato acarrete a perda da garantia dos equipamentos.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12.10.</w:t>
      </w:r>
      <w:r>
        <w:rPr>
          <w:rFonts w:hint="default" w:ascii="Arial" w:hAnsi="Arial"/>
          <w:b w:val="false"/>
          <w:i w:val="false"/>
          <w:color w:val="000000"/>
          <w:sz w:val="20"/>
        </w:rPr>
        <w:t xml:space="preserve"> 
      </w:t>
      </w:r>
      <w:r>
        <w:rPr>
          <w:b w:val="false"/>
          <w:i w:val="false"/>
          <w:color w:val="000000"/>
          <w:sz w:val="20"/>
        </w:rPr>
        <w:t>O custo referente ao transporte dos equipamentos cobertos pela garantia será de responsabilidade da Contratada.</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12.11.</w:t>
      </w:r>
      <w:r>
        <w:rPr>
          <w:rFonts w:hint="default" w:ascii="Arial" w:hAnsi="Arial"/>
          <w:b w:val="false"/>
          <w:i w:val="false"/>
          <w:color w:val="000000"/>
          <w:sz w:val="20"/>
        </w:rPr>
        <w:t xml:space="preserve"> 
      </w:t>
      </w:r>
      <w:r>
        <w:rPr>
          <w:b w:val="false"/>
          <w:i w:val="false"/>
          <w:color w:val="000000"/>
          <w:sz w:val="20"/>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i w:val="false"/>
          <w:color w:val="000000"/>
          <w:sz w:val="20"/>
        </w:rPr>
        <w:t>13.</w:t>
      </w:r>
      <w:r>
        <w:rPr>
          <w:rFonts w:hint="default" w:ascii="Arial" w:hAnsi="Arial"/>
          <w:b w:val="false"/>
          <w:i w:val="false"/>
          <w:color w:val="000000"/>
          <w:sz w:val="20"/>
        </w:rPr>
        <w:t xml:space="preserve"> 
      </w:t>
      </w:r>
      <w:r>
        <w:rPr>
          <w:b w:val="false"/>
          <w:i w:val="false"/>
          <w:color w:val="000000"/>
          <w:sz w:val="20"/>
        </w:rPr>
        <w:t xml:space="preserve"> </w:t>
      </w:r>
      <w:r>
        <w:rPr>
          <w:b/>
          <w:i w:val="false"/>
          <w:color w:val="000000"/>
          <w:sz w:val="20"/>
        </w:rPr>
        <w:t>MODELO DE GESTÃO DO CONTRATO (ART. 6º, XXIII, ALÍNEA “F”, DA LEI Nº 14.133/21 E DECRETO ESTADUAL N.° 15.524/2020);</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13.1.</w:t>
      </w:r>
      <w:r>
        <w:rPr>
          <w:rFonts w:hint="default" w:ascii="Arial" w:hAnsi="Arial"/>
          <w:b w:val="false"/>
          <w:i w:val="false"/>
          <w:color w:val="000000"/>
          <w:sz w:val="20"/>
        </w:rPr>
        <w:t xml:space="preserve"> 
      </w:t>
      </w:r>
      <w:r>
        <w:rPr>
          <w:b w:val="false"/>
          <w:i w:val="false"/>
          <w:color w:val="000000"/>
          <w:sz w:val="20"/>
        </w:rPr>
        <w:t>O contrato deverá ser executado fielmente pelas partes, de acordo com as cláusulas avençadas e as normas da Lei nº 14.133, de 2021, e cada parte responderá pelas consequências de sua inexecução total ou parcial (Lei nº 14.133/2021, art. 115, caput).</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13.2.</w:t>
      </w:r>
      <w:r>
        <w:rPr>
          <w:rFonts w:hint="default" w:ascii="Arial" w:hAnsi="Arial"/>
          <w:b w:val="false"/>
          <w:i w:val="false"/>
          <w:color w:val="000000"/>
          <w:sz w:val="20"/>
        </w:rPr>
        <w:t xml:space="preserve"> 
      </w:t>
      </w:r>
      <w:r>
        <w:rPr>
          <w:b w:val="false"/>
          <w:i w:val="false"/>
          <w:color w:val="000000"/>
          <w:sz w:val="20"/>
        </w:rPr>
        <w:t>Em caso de impedimento, ordem de paralisação ou suspensão do contrato, o cronograma de execução será prorrogado automaticamente pelo tempo correspondente, anotadas tais circunstâncias mediantes simples apostila (Lei nº 14.133/2021, art. 115, §5º).</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13.3.</w:t>
      </w:r>
      <w:r>
        <w:rPr>
          <w:rFonts w:hint="default" w:ascii="Arial" w:hAnsi="Arial"/>
          <w:b w:val="false"/>
          <w:i w:val="false"/>
          <w:color w:val="000000"/>
          <w:sz w:val="20"/>
        </w:rPr>
        <w:t xml:space="preserve"> 
      </w:t>
      </w:r>
      <w:r>
        <w:rPr>
          <w:b w:val="false"/>
          <w:i w:val="false"/>
          <w:color w:val="000000"/>
          <w:sz w:val="20"/>
        </w:rPr>
        <w:t>Será designado representante para acompanhar e fiscalizar a entrega dos bens, anotando em registro próprio todas as ocorrências relacionadas com a execução e determinando o que for necessário à regularização de falhas ou defeitos observados.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13.4.</w:t>
      </w:r>
      <w:r>
        <w:rPr>
          <w:rFonts w:hint="default" w:ascii="Arial" w:hAnsi="Arial"/>
          <w:b w:val="false"/>
          <w:i w:val="false"/>
          <w:color w:val="000000"/>
          <w:sz w:val="20"/>
        </w:rPr>
        <w:t xml:space="preserve"> 
      </w:t>
      </w:r>
      <w:r>
        <w:rPr>
          <w:b w:val="false"/>
          <w:i w:val="false"/>
          <w:color w:val="000000"/>
          <w:sz w:val="20"/>
        </w:rPr>
        <w:t>A fiscalização de que trata este item não exclui nem reduz a responsabilidade da Contratada, inclusive perante terceiros, por qualquer irregularidade, ainda que resultante de imperfeições técnicas ou vícios redibitórios, e, falhas ou defeitos observados.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13.5.</w:t>
      </w:r>
      <w:r>
        <w:rPr>
          <w:rFonts w:hint="default" w:ascii="Arial" w:hAnsi="Arial"/>
          <w:b w:val="false"/>
          <w:i w:val="false"/>
          <w:color w:val="000000"/>
          <w:sz w:val="20"/>
        </w:rPr>
        <w:t xml:space="preserve"> 
      </w:t>
      </w:r>
      <w:r>
        <w:rPr>
          <w:b w:val="false"/>
          <w:i w:val="false"/>
          <w:color w:val="000000"/>
          <w:sz w:val="20"/>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13.6.</w:t>
      </w:r>
      <w:r>
        <w:rPr>
          <w:rFonts w:hint="default" w:ascii="Arial" w:hAnsi="Arial"/>
          <w:b w:val="false"/>
          <w:i w:val="false"/>
          <w:color w:val="000000"/>
          <w:sz w:val="20"/>
        </w:rPr>
        <w:t xml:space="preserve"> 
      </w:t>
      </w:r>
      <w:r>
        <w:rPr>
          <w:b w:val="false"/>
          <w:i w:val="false"/>
          <w:color w:val="000000"/>
          <w:sz w:val="20"/>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13.7.</w:t>
      </w:r>
      <w:r>
        <w:rPr>
          <w:rFonts w:hint="default" w:ascii="Arial" w:hAnsi="Arial"/>
          <w:b w:val="false"/>
          <w:i w:val="false"/>
          <w:color w:val="000000"/>
          <w:sz w:val="20"/>
        </w:rPr>
        <w:t xml:space="preserve"> 
      </w:t>
      </w:r>
      <w:r>
        <w:rPr>
          <w:b w:val="false"/>
          <w:i w:val="false"/>
          <w:color w:val="000000"/>
          <w:sz w:val="20"/>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13.8.</w:t>
      </w:r>
      <w:r>
        <w:rPr>
          <w:rFonts w:hint="default" w:ascii="Arial" w:hAnsi="Arial"/>
          <w:b w:val="false"/>
          <w:i w:val="false"/>
          <w:color w:val="000000"/>
          <w:sz w:val="20"/>
        </w:rPr>
        <w:t xml:space="preserve"> 
      </w:t>
      </w:r>
      <w:r>
        <w:rPr>
          <w:b w:val="false"/>
          <w:i w:val="false"/>
          <w:color w:val="000000"/>
          <w:sz w:val="20"/>
        </w:rPr>
        <w:t xml:space="preserve">As comunicações entre o órgão ou entidade e a contratada devem ser realizadas por </w:t>
      </w:r>
      <w:r>
        <w:rPr>
          <w:b/>
          <w:i w:val="false"/>
          <w:color w:val="000000"/>
          <w:sz w:val="20"/>
        </w:rPr>
        <w:t xml:space="preserve"> </w:t>
      </w:r>
      <w:r>
        <w:rPr>
          <w:b w:val="false"/>
          <w:i w:val="false"/>
          <w:color w:val="000000"/>
          <w:sz w:val="20"/>
        </w:rPr>
        <w:t>escrito sempre que o ato exigir tal formalidade, admitindo-se, excepcionalmente, o uso de mensagem eletrônica para esse fim (IN 5/2017, art. 44, §2º).</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13.9.</w:t>
      </w:r>
      <w:r>
        <w:rPr>
          <w:rFonts w:hint="default" w:ascii="Arial" w:hAnsi="Arial"/>
          <w:b w:val="false"/>
          <w:i w:val="false"/>
          <w:color w:val="000000"/>
          <w:sz w:val="20"/>
        </w:rPr>
        <w:t xml:space="preserve"> 
      </w:t>
      </w:r>
      <w:r>
        <w:rPr>
          <w:b w:val="false"/>
          <w:i w:val="false"/>
          <w:color w:val="000000"/>
          <w:sz w:val="20"/>
        </w:rPr>
        <w:t>O órgão ou entidade poderá convocar representante da empresa para adoção de providências que devam ser cumpridas de imediato.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13.10.</w:t>
      </w:r>
      <w:r>
        <w:rPr>
          <w:rFonts w:hint="default" w:ascii="Arial" w:hAnsi="Arial"/>
          <w:b w:val="false"/>
          <w:i w:val="false"/>
          <w:color w:val="000000"/>
          <w:sz w:val="20"/>
        </w:rPr>
        <w:t xml:space="preserve"> 
      </w:t>
      </w:r>
      <w:r>
        <w:rPr>
          <w:b w:val="false"/>
          <w:i w:val="false"/>
          <w:color w:val="000000"/>
          <w:sz w:val="20"/>
        </w:rPr>
        <w:t xml:space="preserve">Antes do pagamento da nota fiscal ou da fatura, deverá ser consultada a situação da empresa junto ao SICAF.( </w:t>
      </w:r>
      <w:r>
        <w:rPr>
          <w:b w:val="false"/>
          <w:i w:val="false"/>
          <w:color w:val="0000ff"/>
          <w:sz w:val="20"/>
        </w:rPr>
        <w:t>https://cadastro.governodigital.net/fornecedores/sicafnet.html</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13.11.</w:t>
      </w:r>
      <w:r>
        <w:rPr>
          <w:rFonts w:hint="default" w:ascii="Arial" w:hAnsi="Arial"/>
          <w:b w:val="false"/>
          <w:i w:val="false"/>
          <w:color w:val="000000"/>
          <w:sz w:val="20"/>
        </w:rPr>
        <w:t xml:space="preserve"> 
      </w:t>
      </w:r>
      <w:r>
        <w:rPr>
          <w:b w:val="false"/>
          <w:i w:val="false"/>
          <w:color w:val="000000"/>
          <w:sz w:val="20"/>
        </w:rPr>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13.12.</w:t>
      </w:r>
      <w:r>
        <w:rPr>
          <w:rFonts w:hint="default" w:ascii="Arial" w:hAnsi="Arial"/>
          <w:b w:val="false"/>
          <w:i w:val="false"/>
          <w:color w:val="000000"/>
          <w:sz w:val="20"/>
        </w:rPr>
        <w:t xml:space="preserve"> 
      </w:t>
      </w:r>
      <w:r>
        <w:rPr>
          <w:b w:val="false"/>
          <w:i w:val="false"/>
          <w:color w:val="000000"/>
          <w:sz w:val="20"/>
        </w:rPr>
        <w:t xml:space="preserve"> </w:t>
      </w:r>
      <w:r>
        <w:rPr>
          <w:b/>
          <w:i w:val="false"/>
          <w:color w:val="000000"/>
          <w:sz w:val="20"/>
        </w:rPr>
        <w:t>Gestão e Fiscalização do Contrato:</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p>
    <w:tbl>
      <w:tblPr>
        <w:tblW w:w="0" w:type="auto"/>
        <w:tblCellSpacing w:w="0" w:type="auto"/>
        <w:tblBorders>
          <w:top w:val="none"/>
          <w:left w:val="none"/>
          <w:bottom w:val="none"/>
          <w:right w:val="none"/>
          <w:insideH w:val="none"/>
          <w:insideV w:val="none"/>
        </w:tblBorders>
      </w:tblPr>
      <w:tblGrid>
        <w:gridCol w:w="4960"/>
        <w:gridCol w:w="4226"/>
      </w:tblGrid>
      <w:tr>
        <w:tc>
          <w:tcPr>
            <w:tcW w:w="4960" w:type="dxa"/>
            <w:tcBorders>
              <w:top w:val="single" w:color="#777777" w:sz="8"/>
              <w:left w:val="single" w:color="#777777" w:sz="8"/>
              <w:bottom w:val="single" w:color="#777777" w:sz="8"/>
              <w:right w:val="single" w:color="#777777" w:sz="8"/>
            </w:tcBorders>
          </w:tcPr>
          <w:p>
            <w:pPr>
              <w:spacing w:after="0"/>
              <w:ind w:left="0"/>
              <w:jc w:val="center"/>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Gestor do Contrato</w:t>
            </w:r>
            <w:r>
              <w:rPr>
                <w:rFonts w:hint="default" w:ascii="Arial" w:hAnsi="Arial"/>
                <w:b/>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p>
        </w:tc>
        <w:tc>
          <w:tcPr>
            <w:tcW w:w="4226" w:type="dxa"/>
            <w:tcBorders>
              <w:top w:val="single" w:color="#777777" w:sz="8"/>
              <w:left w:val="single" w:color="#777777" w:sz="8"/>
              <w:bottom w:val="single" w:color="#777777" w:sz="8"/>
              <w:right w:val="single" w:color="#777777" w:sz="8"/>
            </w:tcBorders>
          </w:tcPr>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Fiscal do Contrato</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p>
        </w:tc>
      </w:tr>
      <w:tr>
        <w:tc>
          <w:tcPr>
            <w:tcW w:w="496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Nome: Jonas de Paula</w:t>
            </w:r>
            <w:r>
              <w:br/>
            </w:r>
            <w:r>
              <w:rPr>
                <w:rFonts w:hint="default" w:ascii="Arial" w:hAnsi="Arial"/>
                <w:b w:val="false"/>
                <w:i w:val="false"/>
                <w:color w:val="000000"/>
                <w:sz w:val="20"/>
              </w:rPr>
              <w:t>Matricula: 469199027</w:t>
            </w:r>
            <w:r>
              <w:br/>
            </w:r>
            <w:r>
              <w:rPr>
                <w:rFonts w:hint="default" w:ascii="Arial" w:hAnsi="Arial"/>
                <w:b w:val="false"/>
                <w:i w:val="false"/>
                <w:color w:val="000000"/>
                <w:sz w:val="20"/>
              </w:rPr>
              <w:t>E-mail: jpaulo@fertel.gov.ms.br</w:t>
            </w:r>
            <w:r>
              <w:br/>
            </w:r>
            <w:r>
              <w:rPr>
                <w:rFonts w:hint="default" w:ascii="Arial" w:hAnsi="Arial"/>
                <w:b w:val="false"/>
                <w:i w:val="false"/>
                <w:color w:val="000000"/>
                <w:sz w:val="20"/>
              </w:rPr>
              <w:t xml:space="preserve">Cargo: Diretor da Radio </w:t>
            </w:r>
            <w:r>
              <w:br/>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c>
          <w:tcPr>
            <w:tcW w:w="4226"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Nome: Cezar Sabino Roriz </w:t>
            </w:r>
            <w:r>
              <w:br/>
            </w:r>
            <w:r>
              <w:rPr>
                <w:rFonts w:hint="default" w:ascii="Arial" w:hAnsi="Arial"/>
                <w:b w:val="false"/>
                <w:i w:val="false"/>
                <w:color w:val="000000"/>
                <w:sz w:val="20"/>
              </w:rPr>
              <w:t xml:space="preserve">Matricula: 30842024 </w:t>
            </w:r>
            <w:r>
              <w:br/>
            </w:r>
            <w:r>
              <w:rPr>
                <w:rFonts w:hint="default" w:ascii="Arial" w:hAnsi="Arial"/>
                <w:b w:val="false"/>
                <w:i w:val="false"/>
                <w:color w:val="000000"/>
                <w:sz w:val="20"/>
              </w:rPr>
              <w:t>E-mail: croriz@fertel.gov.ms.br</w:t>
            </w:r>
            <w:r>
              <w:br/>
            </w:r>
            <w:r>
              <w:rPr>
                <w:rFonts w:hint="default" w:ascii="Arial" w:hAnsi="Arial"/>
                <w:b w:val="false"/>
                <w:i w:val="false"/>
                <w:color w:val="000000"/>
                <w:sz w:val="20"/>
              </w:rPr>
              <w:t xml:space="preserve">Cargo: Gerente Técnico Operacional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r>
      <w:tr>
        <w:tc>
          <w:tcPr>
            <w:tcW w:w="4960" w:type="dxa"/>
            <w:tcBorders>
              <w:top w:val="single" w:color="#777777" w:sz="8"/>
              <w:left w:val="single" w:color="#777777" w:sz="8"/>
              <w:bottom w:val="single" w:color="#777777" w:sz="8"/>
              <w:right w:val="single" w:color="#777777" w:sz="8"/>
            </w:tcBorders>
          </w:tcPr>
          <w:p>
            <w:pPr>
              <w:spacing w:after="0"/>
              <w:ind w:left="0"/>
              <w:jc w:val="both"/>
            </w:pPr>
          </w:p>
        </w:tc>
        <w:tc>
          <w:tcPr>
            <w:tcW w:w="4226" w:type="dxa"/>
            <w:tcBorders>
              <w:top w:val="single" w:color="#777777" w:sz="8"/>
              <w:left w:val="single" w:color="#777777" w:sz="8"/>
              <w:bottom w:val="single" w:color="#777777" w:sz="8"/>
              <w:right w:val="single" w:color="#777777" w:sz="8"/>
            </w:tcBorders>
          </w:tcPr>
          <w:p>
            <w:pPr>
              <w:spacing w:after="0"/>
              <w:ind w:left="0"/>
              <w:jc w:val="both"/>
            </w:pPr>
          </w:p>
        </w:tc>
      </w:tr>
    </w:tbl>
    <w:p>
      <w:pPr>
        <w:spacing w:after="0"/>
        <w:ind w:left="0"/>
        <w:jc w:val="both"/>
      </w:pPr>
      <w:r>
        <w:rPr>
          <w:rFonts w:hint="default" w:ascii="Arial" w:hAnsi="Arial"/>
          <w:b w:val="false"/>
          <w:i w:val="false"/>
          <w:color w:val="000000"/>
          <w:sz w:val="20"/>
        </w:rPr>
        <w:t xml:space="preserve"> 
      </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13.13.</w:t>
      </w:r>
      <w:r>
        <w:rPr>
          <w:rFonts w:hint="default" w:ascii="Arial" w:hAnsi="Arial"/>
          <w:b w:val="false"/>
          <w:i w:val="false"/>
          <w:color w:val="000000"/>
          <w:sz w:val="20"/>
        </w:rPr>
        <w:t xml:space="preserve"> 
      </w:t>
      </w:r>
      <w:r>
        <w:rPr>
          <w:b w:val="false"/>
          <w:i w:val="false"/>
          <w:color w:val="000000"/>
          <w:sz w:val="20"/>
        </w:rPr>
        <w:t xml:space="preserve"> Abaixo, segue os nomes dos indicados para atuarem na posterior equipe de fiscalização do contrato: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13.14.</w:t>
      </w:r>
      <w:r>
        <w:rPr>
          <w:rFonts w:hint="default" w:ascii="Arial" w:hAnsi="Arial"/>
          <w:b w:val="false"/>
          <w:i w:val="false"/>
          <w:color w:val="000000"/>
          <w:sz w:val="20"/>
        </w:rPr>
        <w:t xml:space="preserve"> 
      </w:t>
      </w:r>
      <w:r>
        <w:rPr>
          <w:b w:val="false"/>
          <w:i w:val="false"/>
          <w:color w:val="000000"/>
          <w:sz w:val="20"/>
        </w:rPr>
        <w:t xml:space="preserve">O acompanhamento e a fiscalização da execução do objeto consistem na verificação da conformidade da prestação dos serviços, dos materiais, técnicas e equipamentos empregados, de forma a assegurar o perfeito cumprimento do ajuste na forma dos art.140, da Lei Federal n. 14.133/2021.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13.15.</w:t>
      </w:r>
      <w:r>
        <w:rPr>
          <w:rFonts w:hint="default" w:ascii="Arial" w:hAnsi="Arial"/>
          <w:b w:val="false"/>
          <w:i w:val="false"/>
          <w:color w:val="000000"/>
          <w:sz w:val="20"/>
        </w:rPr>
        <w:t xml:space="preserve"> 
      </w:t>
      </w:r>
      <w:r>
        <w:rPr>
          <w:b w:val="false"/>
          <w:i w:val="false"/>
          <w:color w:val="000000"/>
          <w:sz w:val="20"/>
        </w:rPr>
        <w:t xml:space="preserve">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13.16.</w:t>
      </w:r>
      <w:r>
        <w:rPr>
          <w:rFonts w:hint="default" w:ascii="Arial" w:hAnsi="Arial"/>
          <w:b w:val="false"/>
          <w:i w:val="false"/>
          <w:color w:val="000000"/>
          <w:sz w:val="20"/>
        </w:rPr>
        <w:t xml:space="preserve"> 
      </w:t>
      </w:r>
      <w:r>
        <w:rPr>
          <w:b w:val="false"/>
          <w:i w:val="false"/>
          <w:color w:val="000000"/>
          <w:sz w:val="20"/>
        </w:rPr>
        <w:t>Cabe ao gestor do contrato emitir os termos provisório e definitivo dos equipamentos entregues pela contratada em conformidade com a proposta feita, e, mensalmente.</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i w:val="false"/>
          <w:color w:val="000000"/>
          <w:sz w:val="20"/>
        </w:rPr>
        <w:t>14.</w:t>
      </w:r>
      <w:r>
        <w:rPr>
          <w:rFonts w:hint="default" w:ascii="Arial" w:hAnsi="Arial"/>
          <w:b w:val="false"/>
          <w:i w:val="false"/>
          <w:color w:val="000000"/>
          <w:sz w:val="20"/>
        </w:rPr>
        <w:t xml:space="preserve"> 
      </w:t>
      </w:r>
      <w:r>
        <w:rPr>
          <w:b w:val="false"/>
          <w:i w:val="false"/>
          <w:color w:val="000000"/>
          <w:sz w:val="20"/>
        </w:rPr>
        <w:t xml:space="preserve"> </w:t>
      </w:r>
      <w:r>
        <w:rPr>
          <w:b w:val="false"/>
          <w:i w:val="false"/>
          <w:color w:val="0000ff"/>
          <w:sz w:val="20"/>
        </w:rPr>
        <w:t xml:space="preserve"> </w:t>
      </w:r>
      <w:r>
        <w:rPr>
          <w:b w:val="false"/>
          <w:i w:val="false"/>
          <w:color w:val="000000"/>
          <w:sz w:val="20"/>
        </w:rPr>
        <w:t xml:space="preserve"> </w:t>
      </w:r>
      <w:r>
        <w:rPr>
          <w:b/>
          <w:i w:val="false"/>
          <w:color w:val="000000"/>
          <w:sz w:val="20"/>
        </w:rPr>
        <w:t>FORMA E CRITÉRIOS DE SELEÇÃO DO FORNECEDOR MEDIANTE O USO DO SISTEMA DE DISPENSA ELETRÔNICA (ART. 6º, INCISO XXIII, ALÍNEA ‘H’, DA LEI Nº 14.133/2021)</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14.1.</w:t>
      </w:r>
      <w:r>
        <w:rPr>
          <w:rFonts w:hint="default" w:ascii="Arial" w:hAnsi="Arial"/>
          <w:b w:val="false"/>
          <w:i w:val="false"/>
          <w:color w:val="000000"/>
          <w:sz w:val="20"/>
        </w:rPr>
        <w:t xml:space="preserve"> 
      </w:t>
      </w:r>
      <w:r>
        <w:rPr>
          <w:b w:val="false"/>
          <w:i w:val="false"/>
          <w:color w:val="000000"/>
          <w:sz w:val="20"/>
        </w:rPr>
        <w:t xml:space="preserve"> </w:t>
      </w:r>
      <w:r>
        <w:rPr>
          <w:b w:val="false"/>
          <w:i w:val="false"/>
          <w:color w:val="0000ff"/>
          <w:sz w:val="20"/>
        </w:rPr>
        <w:t xml:space="preserve"> </w:t>
      </w:r>
      <w:r>
        <w:rPr>
          <w:b w:val="false"/>
          <w:i w:val="false"/>
          <w:color w:val="000000"/>
          <w:sz w:val="20"/>
        </w:rPr>
        <w:t>O fornecedor será selecionado por meio da realização de procedimento de dispensa de licitação, na forma eletrônica, com fundamento na hipótese do art. 75, inciso II da Lei n.º 14.133/2021, que culminará com a seleção da proposta de menor preço global.</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14.2.</w:t>
      </w:r>
      <w:r>
        <w:rPr>
          <w:rFonts w:hint="default" w:ascii="Arial" w:hAnsi="Arial"/>
          <w:b w:val="false"/>
          <w:i w:val="false"/>
          <w:color w:val="000000"/>
          <w:sz w:val="20"/>
        </w:rPr>
        <w:t xml:space="preserve"> 
      </w:t>
      </w:r>
      <w:r>
        <w:rPr>
          <w:b w:val="false"/>
          <w:i w:val="false"/>
          <w:color w:val="000000"/>
          <w:sz w:val="20"/>
        </w:rPr>
        <w:t>As exigências de habilitação jurídica e de regularidade fiscal e trabalhista são as usuais para a generalidade dos objetos, conforme disciplinado no Aviso de Contratação Direta.</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14.3.</w:t>
      </w:r>
      <w:r>
        <w:rPr>
          <w:rFonts w:hint="default" w:ascii="Arial" w:hAnsi="Arial"/>
          <w:b w:val="false"/>
          <w:i w:val="false"/>
          <w:color w:val="000000"/>
          <w:sz w:val="20"/>
        </w:rPr>
        <w:t xml:space="preserve"> 
      </w:t>
      </w:r>
      <w:r>
        <w:rPr>
          <w:b w:val="false"/>
          <w:i w:val="false"/>
          <w:color w:val="000000"/>
          <w:sz w:val="20"/>
        </w:rPr>
        <w:t>Os critérios de qualificação econômico-financeira a serem atendidos pelo fornecedor estão previstos do Aviso de Contratação Direta.</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14.4.</w:t>
      </w:r>
      <w:r>
        <w:rPr>
          <w:rFonts w:hint="default" w:ascii="Arial" w:hAnsi="Arial"/>
          <w:b w:val="false"/>
          <w:i w:val="false"/>
          <w:color w:val="000000"/>
          <w:sz w:val="20"/>
        </w:rPr>
        <w:t xml:space="preserve"> 
      </w:t>
      </w:r>
      <w:r>
        <w:rPr>
          <w:b w:val="false"/>
          <w:i w:val="false"/>
          <w:color w:val="000000"/>
          <w:sz w:val="20"/>
        </w:rPr>
        <w:t>Os critérios de qualificação técnica a serem atendidos pelo fornecedor serão: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14.5.</w:t>
      </w:r>
      <w:r>
        <w:rPr>
          <w:rFonts w:hint="default" w:ascii="Arial" w:hAnsi="Arial"/>
          <w:b w:val="false"/>
          <w:i w:val="false"/>
          <w:color w:val="000000"/>
          <w:sz w:val="20"/>
        </w:rPr>
        <w:t xml:space="preserve"> 
      </w:t>
      </w:r>
      <w:r>
        <w:rPr>
          <w:b w:val="false"/>
          <w:i w:val="false"/>
          <w:color w:val="000000"/>
          <w:sz w:val="20"/>
        </w:rPr>
        <w:t>Comprovação de aptidão para o fornecimento de bens em características, quantidades e prazos compatíveis com o objeto desta licitação, ou com o item pertinente, por meio da apresentação de atestados fornecidos por pessoas jurídicas de direito público ou privado.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14.6.</w:t>
      </w:r>
      <w:r>
        <w:rPr>
          <w:rFonts w:hint="default" w:ascii="Arial" w:hAnsi="Arial"/>
          <w:b w:val="false"/>
          <w:i w:val="false"/>
          <w:color w:val="000000"/>
          <w:sz w:val="20"/>
        </w:rPr>
        <w:t xml:space="preserve"> 
      </w:t>
      </w:r>
      <w:r>
        <w:rPr>
          <w:b w:val="false"/>
          <w:i w:val="false"/>
          <w:color w:val="000000"/>
          <w:sz w:val="20"/>
        </w:rPr>
        <w:t>Os critérios de aceitabilidade de preços serão: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14.7.</w:t>
      </w:r>
      <w:r>
        <w:rPr>
          <w:rFonts w:hint="default" w:ascii="Arial" w:hAnsi="Arial"/>
          <w:b w:val="false"/>
          <w:i w:val="false"/>
          <w:color w:val="000000"/>
          <w:sz w:val="20"/>
        </w:rPr>
        <w:t xml:space="preserve"> 
      </w:t>
      </w:r>
      <w:r>
        <w:rPr>
          <w:b w:val="false"/>
          <w:i w:val="false"/>
          <w:color w:val="000000"/>
          <w:sz w:val="20"/>
        </w:rPr>
        <w:t xml:space="preserve">Valor Global estimado na pesquisa de preço do item 1.1.2. foi de R$ 56.000,00 (cinquenta e seis mil reais).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14.8.</w:t>
      </w:r>
      <w:r>
        <w:rPr>
          <w:rFonts w:hint="default" w:ascii="Arial" w:hAnsi="Arial"/>
          <w:b w:val="false"/>
          <w:i w:val="false"/>
          <w:color w:val="000000"/>
          <w:sz w:val="20"/>
        </w:rPr>
        <w:t xml:space="preserve"> 
      </w:t>
      </w:r>
      <w:r>
        <w:rPr>
          <w:b w:val="false"/>
          <w:i w:val="false"/>
          <w:color w:val="000000"/>
          <w:sz w:val="20"/>
        </w:rPr>
        <w:t>O critério de julgamento da proposta é o menor preço global.</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14.9.</w:t>
      </w:r>
      <w:r>
        <w:rPr>
          <w:rFonts w:hint="default" w:ascii="Arial" w:hAnsi="Arial"/>
          <w:b w:val="false"/>
          <w:i w:val="false"/>
          <w:color w:val="000000"/>
          <w:sz w:val="20"/>
        </w:rPr>
        <w:t xml:space="preserve"> 
      </w:t>
      </w:r>
      <w:r>
        <w:rPr>
          <w:b w:val="false"/>
          <w:i w:val="false"/>
          <w:color w:val="000000"/>
          <w:sz w:val="20"/>
        </w:rPr>
        <w:t>As regras de desempate entre propostas são as discriminadas no edital.</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14.10.</w:t>
      </w:r>
      <w:r>
        <w:rPr>
          <w:rFonts w:hint="default" w:ascii="Arial" w:hAnsi="Arial"/>
          <w:b w:val="false"/>
          <w:i w:val="false"/>
          <w:color w:val="000000"/>
          <w:sz w:val="20"/>
        </w:rPr>
        <w:t xml:space="preserve"> 
      </w:t>
      </w:r>
      <w:r>
        <w:rPr>
          <w:b w:val="false"/>
          <w:i w:val="false"/>
          <w:color w:val="000000"/>
          <w:sz w:val="20"/>
        </w:rPr>
        <w:t xml:space="preserve">Impotente mencionar para as demais hipóteses em que for adotado o procedimento de cotação eletrônica, mediante ato devidamente motivado, será facultada a adoção de prazo diferenciado do </w:t>
      </w:r>
      <w:r>
        <w:rPr>
          <w:b/>
          <w:i w:val="false"/>
          <w:color w:val="000000"/>
          <w:sz w:val="20"/>
        </w:rPr>
        <w:t>disposto no § 3º do art. 75 da Lei Federal nº 14.133, de 2021, não podendo ser inferior a 6 (seis) horas úteis.</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i w:val="false"/>
          <w:color w:val="000000"/>
          <w:sz w:val="20"/>
        </w:rPr>
        <w:t>15.</w:t>
      </w:r>
      <w:r>
        <w:rPr>
          <w:rFonts w:hint="default" w:ascii="Arial" w:hAnsi="Arial"/>
          <w:b w:val="false"/>
          <w:i w:val="false"/>
          <w:color w:val="000000"/>
          <w:sz w:val="20"/>
        </w:rPr>
        <w:t xml:space="preserve"> 
      </w:t>
      </w:r>
      <w:r>
        <w:rPr>
          <w:b w:val="false"/>
          <w:i w:val="false"/>
          <w:color w:val="000000"/>
          <w:sz w:val="20"/>
        </w:rPr>
        <w:t xml:space="preserve"> </w:t>
      </w:r>
      <w:r>
        <w:rPr>
          <w:b w:val="false"/>
          <w:i w:val="false"/>
          <w:color w:val="0000ff"/>
          <w:sz w:val="20"/>
        </w:rPr>
        <w:t xml:space="preserve"> </w:t>
      </w:r>
      <w:r>
        <w:rPr>
          <w:b w:val="false"/>
          <w:i w:val="false"/>
          <w:color w:val="000000"/>
          <w:sz w:val="20"/>
        </w:rPr>
        <w:t xml:space="preserve"> </w:t>
      </w:r>
      <w:r>
        <w:rPr>
          <w:b/>
          <w:i w:val="false"/>
          <w:color w:val="000000"/>
          <w:sz w:val="20"/>
        </w:rPr>
        <w:t>INFRAÇÕES E SANÇÕES ADMINISTRATIVAS (art. 92, XIV);</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15.1.</w:t>
      </w:r>
      <w:r>
        <w:rPr>
          <w:rFonts w:hint="default" w:ascii="Arial" w:hAnsi="Arial"/>
          <w:b w:val="false"/>
          <w:i w:val="false"/>
          <w:color w:val="000000"/>
          <w:sz w:val="20"/>
        </w:rPr>
        <w:t xml:space="preserve"> 
      </w:t>
      </w:r>
      <w:r>
        <w:rPr>
          <w:b w:val="false"/>
          <w:i w:val="false"/>
          <w:color w:val="000000"/>
          <w:sz w:val="20"/>
        </w:rPr>
        <w:t xml:space="preserve">Serão aplicadas as sanções dispostas na Lei 14.133/2021 e suas alterações.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i w:val="false"/>
          <w:color w:val="000000"/>
          <w:sz w:val="20"/>
        </w:rPr>
        <w:t>16.</w:t>
      </w:r>
      <w:r>
        <w:rPr>
          <w:rFonts w:hint="default" w:ascii="Arial" w:hAnsi="Arial"/>
          <w:b w:val="false"/>
          <w:i w:val="false"/>
          <w:color w:val="000000"/>
          <w:sz w:val="20"/>
        </w:rPr>
        <w:t xml:space="preserve"> 
      </w:t>
      </w:r>
      <w:r>
        <w:rPr>
          <w:b w:val="false"/>
          <w:i w:val="false"/>
          <w:color w:val="000000"/>
          <w:sz w:val="20"/>
        </w:rPr>
        <w:t xml:space="preserve"> </w:t>
      </w:r>
      <w:r>
        <w:rPr>
          <w:b/>
          <w:i w:val="false"/>
          <w:color w:val="000000"/>
          <w:sz w:val="20"/>
        </w:rPr>
        <w:t>DO FORO</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16.1.</w:t>
      </w:r>
      <w:r>
        <w:rPr>
          <w:rFonts w:hint="default" w:ascii="Arial" w:hAnsi="Arial"/>
          <w:b w:val="false"/>
          <w:i w:val="false"/>
          <w:color w:val="000000"/>
          <w:sz w:val="20"/>
        </w:rPr>
        <w:t xml:space="preserve"> 
      </w:t>
      </w:r>
      <w:r>
        <w:rPr>
          <w:b w:val="false"/>
          <w:i w:val="false"/>
          <w:color w:val="000000"/>
          <w:sz w:val="20"/>
        </w:rPr>
        <w:t>Para dirimir qualquer controvérsia oriunda desse instrumento, as partes elegem o foro da comarca de Campo Grande/MS.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i w:val="false"/>
          <w:color w:val="000000"/>
          <w:sz w:val="20"/>
        </w:rPr>
        <w:t>17.</w:t>
      </w:r>
      <w:r>
        <w:rPr>
          <w:rFonts w:hint="default" w:ascii="Arial" w:hAnsi="Arial"/>
          <w:b w:val="false"/>
          <w:i w:val="false"/>
          <w:color w:val="000000"/>
          <w:sz w:val="20"/>
        </w:rPr>
        <w:t xml:space="preserve"> 
      </w:t>
      </w:r>
      <w:r>
        <w:rPr>
          <w:b w:val="false"/>
          <w:i w:val="false"/>
          <w:color w:val="000000"/>
          <w:sz w:val="20"/>
        </w:rPr>
        <w:t xml:space="preserve"> </w:t>
      </w:r>
      <w:r>
        <w:rPr>
          <w:b/>
          <w:i w:val="false"/>
          <w:color w:val="000000"/>
          <w:sz w:val="20"/>
        </w:rPr>
        <w:t xml:space="preserve"> AMOSTRA;</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17.1.</w:t>
      </w:r>
      <w:r>
        <w:rPr>
          <w:rFonts w:hint="default" w:ascii="Arial" w:hAnsi="Arial"/>
          <w:b w:val="false"/>
          <w:i w:val="false"/>
          <w:color w:val="000000"/>
          <w:sz w:val="20"/>
        </w:rPr>
        <w:t xml:space="preserve"> 
      </w:t>
      </w:r>
      <w:r>
        <w:rPr>
          <w:b w:val="false"/>
          <w:i w:val="false"/>
          <w:color w:val="000000"/>
          <w:sz w:val="20"/>
        </w:rPr>
        <w:t xml:space="preserve">Não se aplica.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i w:val="false"/>
          <w:color w:val="000000"/>
          <w:sz w:val="20"/>
        </w:rPr>
        <w:t>18.</w:t>
      </w:r>
      <w:r>
        <w:rPr>
          <w:rFonts w:hint="default" w:ascii="Arial" w:hAnsi="Arial"/>
          <w:b w:val="false"/>
          <w:i w:val="false"/>
          <w:color w:val="000000"/>
          <w:sz w:val="20"/>
        </w:rPr>
        <w:t xml:space="preserve"> 
      </w:t>
      </w:r>
      <w:r>
        <w:rPr>
          <w:b w:val="false"/>
          <w:i w:val="false"/>
          <w:color w:val="000000"/>
          <w:sz w:val="20"/>
        </w:rPr>
        <w:t xml:space="preserve"> </w:t>
      </w:r>
      <w:r>
        <w:rPr>
          <w:b/>
          <w:i w:val="false"/>
          <w:color w:val="000000"/>
          <w:sz w:val="20"/>
        </w:rPr>
        <w:t>OBRIGAÇÕES DO CONTRATADO (art. 92, XIV, XVI e XVII);</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18.1.</w:t>
      </w:r>
      <w:r>
        <w:rPr>
          <w:rFonts w:hint="default" w:ascii="Arial" w:hAnsi="Arial"/>
          <w:b w:val="false"/>
          <w:i w:val="false"/>
          <w:color w:val="000000"/>
          <w:sz w:val="20"/>
        </w:rPr>
        <w:t xml:space="preserve"> 
      </w:t>
      </w:r>
      <w:r>
        <w:rPr>
          <w:b w:val="false"/>
          <w:i w:val="false"/>
          <w:color w:val="000000"/>
          <w:sz w:val="20"/>
        </w:rPr>
        <w:t>O Contratado deve cumprir todas as obrigações constantes deste termo de referência e em seus anexos, assumindo como exclusivamente seus os riscos e as despesas decorrentes da boa e perfeita execução do objeto, observando, ainda, as obrigações a seguir dispostas: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18.2.</w:t>
      </w:r>
      <w:r>
        <w:rPr>
          <w:rFonts w:hint="default" w:ascii="Arial" w:hAnsi="Arial"/>
          <w:b w:val="false"/>
          <w:i w:val="false"/>
          <w:color w:val="000000"/>
          <w:sz w:val="20"/>
        </w:rPr>
        <w:t xml:space="preserve"> 
      </w:t>
      </w:r>
      <w:r>
        <w:rPr>
          <w:b w:val="false"/>
          <w:i w:val="false"/>
          <w:color w:val="000000"/>
          <w:sz w:val="20"/>
        </w:rPr>
        <w:t>Entregar o objeto acompanhado do manual do usuário, com uma versão em português, e da relação da rede de assistência técnica autorizada;</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18.3.</w:t>
      </w:r>
      <w:r>
        <w:rPr>
          <w:rFonts w:hint="default" w:ascii="Arial" w:hAnsi="Arial"/>
          <w:b w:val="false"/>
          <w:i w:val="false"/>
          <w:color w:val="000000"/>
          <w:sz w:val="20"/>
        </w:rPr>
        <w:t xml:space="preserve"> 
      </w:t>
      </w:r>
      <w:r>
        <w:rPr>
          <w:b w:val="false"/>
          <w:i w:val="false"/>
          <w:color w:val="000000"/>
          <w:sz w:val="20"/>
        </w:rPr>
        <w:t>comunicar ao Contratante, no prazo máximo de 24 (vinte e quatro) horas que antecede a data da entrega, os motivos que impossibilitem o cumprimento do prazo previsto, com a devida comprovação;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18.4.</w:t>
      </w:r>
      <w:r>
        <w:rPr>
          <w:rFonts w:hint="default" w:ascii="Arial" w:hAnsi="Arial"/>
          <w:b w:val="false"/>
          <w:i w:val="false"/>
          <w:color w:val="000000"/>
          <w:sz w:val="20"/>
        </w:rPr>
        <w:t xml:space="preserve"> 
      </w:t>
      </w:r>
      <w:r>
        <w:rPr>
          <w:b w:val="false"/>
          <w:i w:val="false"/>
          <w:color w:val="000000"/>
          <w:sz w:val="20"/>
        </w:rPr>
        <w:t>Reparar, corrigir, remover, reconstruir ou substituir, às suas expensas, no total ou em parte, no prazo fixado pelo contratante, os bens nos quais se verificarem vícios, defeitos ou incorreções resultantes da execução ou dos materiais empregados;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18.5.</w:t>
      </w:r>
      <w:r>
        <w:rPr>
          <w:rFonts w:hint="default" w:ascii="Arial" w:hAnsi="Arial"/>
          <w:b w:val="false"/>
          <w:i w:val="false"/>
          <w:color w:val="000000"/>
          <w:sz w:val="20"/>
        </w:rPr>
        <w:t xml:space="preserve"> 
      </w:t>
      </w:r>
      <w:r>
        <w:rPr>
          <w:b w:val="false"/>
          <w:i w:val="false"/>
          <w:color w:val="000000"/>
          <w:sz w:val="20"/>
        </w:rPr>
        <w:t>Paralisar, por determinação do Contratante, qualquer atividade que não esteja sendo executada de acordo com a boa técnica ou que ponha em risco a segurança de pessoas ou bens de terceiros.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18.6.</w:t>
      </w:r>
      <w:r>
        <w:rPr>
          <w:rFonts w:hint="default" w:ascii="Arial" w:hAnsi="Arial"/>
          <w:b w:val="false"/>
          <w:i w:val="false"/>
          <w:color w:val="000000"/>
          <w:sz w:val="20"/>
        </w:rPr>
        <w:t xml:space="preserve"> 
      </w:t>
      </w:r>
      <w:r>
        <w:rPr>
          <w:b w:val="false"/>
          <w:i w:val="false"/>
          <w:color w:val="000000"/>
          <w:sz w:val="20"/>
        </w:rPr>
        <w:t>Manter durante toda a vigência do contrato ou empenho ou ordem de serviço ou similar, em compatibilidade com as obrigações assumidas, todas as condições exigidas para habilitação na licitação, ou para qualificação, na contratação direta;</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i w:val="false"/>
          <w:color w:val="000000"/>
          <w:sz w:val="20"/>
        </w:rPr>
        <w:t>19.</w:t>
      </w:r>
      <w:r>
        <w:rPr>
          <w:rFonts w:hint="default" w:ascii="Arial" w:hAnsi="Arial"/>
          <w:b w:val="false"/>
          <w:i w:val="false"/>
          <w:color w:val="000000"/>
          <w:sz w:val="20"/>
        </w:rPr>
        <w:t xml:space="preserve"> 
      </w:t>
      </w:r>
      <w:r>
        <w:rPr>
          <w:b w:val="false"/>
          <w:i w:val="false"/>
          <w:color w:val="000000"/>
          <w:sz w:val="20"/>
        </w:rPr>
        <w:t xml:space="preserve"> </w:t>
      </w:r>
      <w:r>
        <w:rPr>
          <w:b/>
          <w:i w:val="false"/>
          <w:color w:val="000000"/>
          <w:sz w:val="20"/>
        </w:rPr>
        <w:t>OBRIGAÇÕES DA CONTRATANTE (art. 92, X, XI e XIV);</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19.1.</w:t>
      </w:r>
      <w:r>
        <w:rPr>
          <w:rFonts w:hint="default" w:ascii="Arial" w:hAnsi="Arial"/>
          <w:b w:val="false"/>
          <w:i w:val="false"/>
          <w:color w:val="000000"/>
          <w:sz w:val="20"/>
        </w:rPr>
        <w:t xml:space="preserve"> 
      </w:t>
      </w:r>
      <w:r>
        <w:rPr>
          <w:b w:val="false"/>
          <w:i w:val="false"/>
          <w:color w:val="000000"/>
          <w:sz w:val="20"/>
        </w:rPr>
        <w:t>São obrigações da Contratante:</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19.2.</w:t>
      </w:r>
      <w:r>
        <w:rPr>
          <w:rFonts w:hint="default" w:ascii="Arial" w:hAnsi="Arial"/>
          <w:b w:val="false"/>
          <w:i w:val="false"/>
          <w:color w:val="000000"/>
          <w:sz w:val="20"/>
        </w:rPr>
        <w:t xml:space="preserve"> 
      </w:t>
      </w:r>
      <w:r>
        <w:rPr>
          <w:b w:val="false"/>
          <w:i w:val="false"/>
          <w:color w:val="000000"/>
          <w:sz w:val="20"/>
        </w:rPr>
        <w:t xml:space="preserve">Exigir o cumprimento de todas as obrigações assumidas pelo Contratado, de acordo com o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Termo de Referência e seus anexos;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19.3.</w:t>
      </w:r>
      <w:r>
        <w:rPr>
          <w:rFonts w:hint="default" w:ascii="Arial" w:hAnsi="Arial"/>
          <w:b w:val="false"/>
          <w:i w:val="false"/>
          <w:color w:val="000000"/>
          <w:sz w:val="20"/>
        </w:rPr>
        <w:t xml:space="preserve"> 
      </w:t>
      </w:r>
      <w:r>
        <w:rPr>
          <w:b w:val="false"/>
          <w:i w:val="false"/>
          <w:color w:val="000000"/>
          <w:sz w:val="20"/>
        </w:rPr>
        <w:t>Receber o objeto no prazo e condições estabelecidas no Termo de Referência;</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19.4.</w:t>
      </w:r>
      <w:r>
        <w:rPr>
          <w:rFonts w:hint="default" w:ascii="Arial" w:hAnsi="Arial"/>
          <w:b w:val="false"/>
          <w:i w:val="false"/>
          <w:color w:val="000000"/>
          <w:sz w:val="20"/>
        </w:rPr>
        <w:t xml:space="preserve"> 
      </w:t>
      </w:r>
      <w:r>
        <w:rPr>
          <w:b w:val="false"/>
          <w:i w:val="false"/>
          <w:color w:val="000000"/>
          <w:sz w:val="20"/>
        </w:rPr>
        <w:t>Notificar o Contratado, por escrito, sobre vícios, defeitos ou incorreções verificadas no objeto fornecido, para que seja por ele substituído, reparado ou corrigido, no total ou em parte, às suas expensas;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19.5.</w:t>
      </w:r>
      <w:r>
        <w:rPr>
          <w:rFonts w:hint="default" w:ascii="Arial" w:hAnsi="Arial"/>
          <w:b w:val="false"/>
          <w:i w:val="false"/>
          <w:color w:val="000000"/>
          <w:sz w:val="20"/>
        </w:rPr>
        <w:t xml:space="preserve"> 
      </w:t>
      </w:r>
      <w:r>
        <w:rPr>
          <w:b w:val="false"/>
          <w:i w:val="false"/>
          <w:color w:val="000000"/>
          <w:sz w:val="20"/>
        </w:rPr>
        <w:t xml:space="preserve">Efetuar o pagamento ao Contratado do valor correspondente ao fornecimento do objeto.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19.6.</w:t>
      </w:r>
      <w:r>
        <w:rPr>
          <w:rFonts w:hint="default" w:ascii="Arial" w:hAnsi="Arial"/>
          <w:b w:val="false"/>
          <w:i w:val="false"/>
          <w:color w:val="000000"/>
          <w:sz w:val="20"/>
        </w:rPr>
        <w:t xml:space="preserve"> 
      </w:t>
      </w:r>
      <w:r>
        <w:rPr>
          <w:b w:val="false"/>
          <w:i w:val="false"/>
          <w:color w:val="000000"/>
          <w:sz w:val="20"/>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i w:val="false"/>
          <w:color w:val="000000"/>
          <w:sz w:val="20"/>
        </w:rPr>
        <w:t>20.</w:t>
      </w:r>
      <w:r>
        <w:rPr>
          <w:rFonts w:hint="default" w:ascii="Arial" w:hAnsi="Arial"/>
          <w:b w:val="false"/>
          <w:i w:val="false"/>
          <w:color w:val="000000"/>
          <w:sz w:val="20"/>
        </w:rPr>
        <w:t xml:space="preserve"> 
      </w:t>
      </w:r>
      <w:r>
        <w:rPr>
          <w:b w:val="false"/>
          <w:i w:val="false"/>
          <w:color w:val="000000"/>
          <w:sz w:val="20"/>
        </w:rPr>
        <w:t xml:space="preserve"> </w:t>
      </w:r>
      <w:r>
        <w:rPr>
          <w:b/>
          <w:i w:val="false"/>
          <w:color w:val="000000"/>
          <w:sz w:val="20"/>
        </w:rPr>
        <w:t>FORMA E CRITÉRIOS DE SELEÇÃO DO FORNECEDOR (art. 33 e art. 6º, inciso XXIII, alínea ‘h’, da Lei nº 14.133/2021 e o Decreto Estadual n. 16.119/2023);</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20.1.</w:t>
      </w:r>
      <w:r>
        <w:rPr>
          <w:rFonts w:hint="default" w:ascii="Arial" w:hAnsi="Arial"/>
          <w:b w:val="false"/>
          <w:i w:val="false"/>
          <w:color w:val="000000"/>
          <w:sz w:val="20"/>
        </w:rPr>
        <w:t xml:space="preserve"> 
      </w:t>
      </w:r>
      <w:r>
        <w:rPr>
          <w:b w:val="false"/>
          <w:i w:val="false"/>
          <w:color w:val="000000"/>
          <w:sz w:val="20"/>
        </w:rPr>
        <w:t>O fornecedor será selecionado por meio da realização de procedimento de dispensa de licitação, com fundamento na hipótese do art. 75, inciso II, da Lei nº 14.133/2021.</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20.2.</w:t>
      </w:r>
      <w:r>
        <w:rPr>
          <w:rFonts w:hint="default" w:ascii="Arial" w:hAnsi="Arial"/>
          <w:b w:val="false"/>
          <w:i w:val="false"/>
          <w:color w:val="000000"/>
          <w:sz w:val="20"/>
        </w:rPr>
        <w:t xml:space="preserve"> 
      </w:t>
      </w:r>
      <w:r>
        <w:rPr>
          <w:b w:val="false"/>
          <w:i w:val="false"/>
          <w:color w:val="000000"/>
          <w:sz w:val="20"/>
        </w:rPr>
        <w:t>Previamente à celebração do contrato, a Administração verificará o eventual descumprimento das condições para contratação, especialmente quanto à existência de sanção que a impeça, mediante a consulta a cadastros informativos oficiais, tais como: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20.2.1.</w:t>
      </w:r>
      <w:r>
        <w:rPr>
          <w:rFonts w:hint="default" w:ascii="Arial" w:hAnsi="Arial"/>
          <w:b w:val="false"/>
          <w:i w:val="false"/>
          <w:color w:val="000000"/>
          <w:sz w:val="20"/>
        </w:rPr>
        <w:t xml:space="preserve"> 
      </w:t>
      </w:r>
      <w:r>
        <w:rPr>
          <w:b w:val="false"/>
          <w:i w:val="false"/>
          <w:color w:val="000000"/>
          <w:sz w:val="20"/>
        </w:rPr>
        <w:t>Contrato Social e a última alteração, de forma que os documentos apresentados demonstrem compatibilidade com o objeto pretendido e o atual sócio majoritário.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20.2.2.</w:t>
      </w:r>
      <w:r>
        <w:rPr>
          <w:rFonts w:hint="default" w:ascii="Arial" w:hAnsi="Arial"/>
          <w:b w:val="false"/>
          <w:i w:val="false"/>
          <w:color w:val="000000"/>
          <w:sz w:val="20"/>
        </w:rPr>
        <w:t xml:space="preserve"> 
      </w:t>
      </w:r>
      <w:r>
        <w:rPr>
          <w:b w:val="false"/>
          <w:i w:val="false"/>
          <w:color w:val="000000"/>
          <w:sz w:val="20"/>
        </w:rPr>
        <w:t xml:space="preserve"> A inscrição no Cadastro de Pessoas Físicas (CPF) ou no Cadastro Nacional da Pessoa Jurídica (CNPJ) (Art. 68, I, Lei Federal nº 14.133/2021);</w:t>
      </w:r>
      <w:r>
        <w:rPr>
          <w:b w:val="false"/>
          <w:i w:val="false"/>
          <w:color w:val="0000ff"/>
          <w:sz w:val="20"/>
        </w:rPr>
        <w:t xml:space="preserve"> </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20.2.3.</w:t>
      </w:r>
      <w:r>
        <w:rPr>
          <w:rFonts w:hint="default" w:ascii="Arial" w:hAnsi="Arial"/>
          <w:b w:val="false"/>
          <w:i w:val="false"/>
          <w:color w:val="000000"/>
          <w:sz w:val="20"/>
        </w:rPr>
        <w:t xml:space="preserve"> 
      </w:t>
      </w:r>
      <w:r>
        <w:rPr>
          <w:b w:val="false"/>
          <w:i w:val="false"/>
          <w:color w:val="000000"/>
          <w:sz w:val="20"/>
        </w:rPr>
        <w:t>A inscrição no cadastro de contribuintes estadual e/ou municipal, se houver, relativo ao domicílio ou sede do licitante, pertinente ao seu ramo de atividade e compatível com o objeto contratual (Art. 68, II, Lei Federal nº 14.133/2021);</w:t>
      </w:r>
      <w:r>
        <w:rPr>
          <w:b w:val="false"/>
          <w:i w:val="false"/>
          <w:color w:val="0000ff"/>
          <w:sz w:val="20"/>
        </w:rPr>
        <w:t xml:space="preserve"> </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20.2.4.</w:t>
      </w:r>
      <w:r>
        <w:rPr>
          <w:rFonts w:hint="default" w:ascii="Arial" w:hAnsi="Arial"/>
          <w:b w:val="false"/>
          <w:i w:val="false"/>
          <w:color w:val="000000"/>
          <w:sz w:val="20"/>
        </w:rPr>
        <w:t xml:space="preserve"> 
      </w:t>
      </w:r>
      <w:r>
        <w:rPr>
          <w:b w:val="false"/>
          <w:i w:val="false"/>
          <w:color w:val="000000"/>
          <w:sz w:val="20"/>
        </w:rPr>
        <w:t>A regularidade perante a Fazenda federal, estadual e/ou municipal do domicílio ou sede do licitante, ou outra equivalente, na forma da lei (Art. 68, III, Lei Federal nº 14.133/2021);</w:t>
      </w:r>
      <w:r>
        <w:rPr>
          <w:b w:val="false"/>
          <w:i w:val="false"/>
          <w:color w:val="0000ff"/>
          <w:sz w:val="20"/>
        </w:rPr>
        <w:t xml:space="preserve"> </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20.2.5.</w:t>
      </w:r>
      <w:r>
        <w:rPr>
          <w:rFonts w:hint="default" w:ascii="Arial" w:hAnsi="Arial"/>
          <w:b w:val="false"/>
          <w:i w:val="false"/>
          <w:color w:val="000000"/>
          <w:sz w:val="20"/>
        </w:rPr>
        <w:t xml:space="preserve"> 
      </w:t>
      </w:r>
      <w:r>
        <w:rPr>
          <w:b w:val="false"/>
          <w:i w:val="false"/>
          <w:color w:val="000000"/>
          <w:sz w:val="20"/>
        </w:rPr>
        <w:t>A regularidade relativa à Seguridade Social e ao FGTS, que demonstre cumprimento dos encargos sociais instituídos por lei (Art. 68, VI, Lei Federal nº 14.133/2021);</w:t>
      </w:r>
      <w:r>
        <w:rPr>
          <w:b w:val="false"/>
          <w:i w:val="false"/>
          <w:color w:val="0000ff"/>
          <w:sz w:val="20"/>
        </w:rPr>
        <w:t xml:space="preserve"> </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20.2.6.</w:t>
      </w:r>
      <w:r>
        <w:rPr>
          <w:rFonts w:hint="default" w:ascii="Arial" w:hAnsi="Arial"/>
          <w:b w:val="false"/>
          <w:i w:val="false"/>
          <w:color w:val="000000"/>
          <w:sz w:val="20"/>
        </w:rPr>
        <w:t xml:space="preserve"> 
      </w:t>
      </w:r>
      <w:r>
        <w:rPr>
          <w:b w:val="false"/>
          <w:i w:val="false"/>
          <w:color w:val="000000"/>
          <w:sz w:val="20"/>
        </w:rPr>
        <w:t>A regularidade perante a Justiça do Trabalho (Art. 68, V, Lei Federal nº 14.133/2021);</w:t>
      </w:r>
      <w:r>
        <w:rPr>
          <w:b w:val="false"/>
          <w:i w:val="false"/>
          <w:color w:val="0000ff"/>
          <w:sz w:val="20"/>
        </w:rPr>
        <w:t xml:space="preserve"> </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20.2.7.</w:t>
      </w:r>
      <w:r>
        <w:rPr>
          <w:rFonts w:hint="default" w:ascii="Arial" w:hAnsi="Arial"/>
          <w:b w:val="false"/>
          <w:i w:val="false"/>
          <w:color w:val="000000"/>
          <w:sz w:val="20"/>
        </w:rPr>
        <w:t xml:space="preserve"> 
      </w:t>
      </w:r>
      <w:r>
        <w:rPr>
          <w:b w:val="false"/>
          <w:i w:val="false"/>
          <w:color w:val="000000"/>
          <w:sz w:val="20"/>
        </w:rPr>
        <w:t xml:space="preserve">O cumprimento do disposto no </w:t>
      </w:r>
      <w:hyperlink r:id="rId5">
        <w:r>
          <w:rPr>
            <w:rStyle w:val="Hyperlink"/>
            <w:b w:val="false"/>
            <w:i w:val="false"/>
            <w:color w:val="0000ff"/>
            <w:sz w:val="20"/>
            <w:u w:val="single"/>
          </w:rPr>
          <w:t>inciso XXXIII do art. 7º da Constituição Federal</w:t>
        </w:r>
      </w:hyperlink>
      <w:r>
        <w:rPr>
          <w:b w:val="false"/>
          <w:i w:val="false"/>
          <w:color w:val="000000"/>
          <w:sz w:val="20"/>
        </w:rPr>
        <w:t xml:space="preserve"> (Art. 68, VI, Lei Federal nº 14.133/2021) – Declaração que não emprega menor;</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i w:val="false"/>
          <w:color w:val="000000"/>
          <w:sz w:val="20"/>
        </w:rPr>
        <w:t>21.</w:t>
      </w:r>
      <w:r>
        <w:rPr>
          <w:rFonts w:hint="default" w:ascii="Arial" w:hAnsi="Arial"/>
          <w:b w:val="false"/>
          <w:i w:val="false"/>
          <w:color w:val="000000"/>
          <w:sz w:val="20"/>
        </w:rPr>
        <w:t xml:space="preserve"> 
      </w:t>
      </w:r>
      <w:r>
        <w:rPr>
          <w:b w:val="false"/>
          <w:i w:val="false"/>
          <w:color w:val="000000"/>
          <w:sz w:val="20"/>
        </w:rPr>
        <w:t xml:space="preserve"> </w:t>
      </w:r>
      <w:r>
        <w:rPr>
          <w:b w:val="false"/>
          <w:i w:val="false"/>
          <w:color w:val="0000ff"/>
          <w:sz w:val="20"/>
        </w:rPr>
        <w:t xml:space="preserve"> </w:t>
      </w:r>
      <w:r>
        <w:rPr>
          <w:b w:val="false"/>
          <w:i w:val="false"/>
          <w:color w:val="000000"/>
          <w:sz w:val="20"/>
        </w:rPr>
        <w:t xml:space="preserve"> </w:t>
      </w:r>
      <w:r>
        <w:rPr>
          <w:b/>
          <w:i w:val="false"/>
          <w:color w:val="000000"/>
          <w:sz w:val="20"/>
        </w:rPr>
        <w:t>FORMA DE PAGAMENTO;</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21.1.</w:t>
      </w:r>
      <w:r>
        <w:rPr>
          <w:rFonts w:hint="default" w:ascii="Arial" w:hAnsi="Arial"/>
          <w:b w:val="false"/>
          <w:i w:val="false"/>
          <w:color w:val="000000"/>
          <w:sz w:val="20"/>
        </w:rPr>
        <w:t xml:space="preserve"> 
      </w:t>
      </w:r>
      <w:r>
        <w:rPr>
          <w:b w:val="false"/>
          <w:i w:val="false"/>
          <w:color w:val="000000"/>
          <w:sz w:val="20"/>
        </w:rPr>
        <w:t>O pagamento será realizado através de ordem bancária, para crédito em banco, agência e conta corrente indicados pelo contratado.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right"/>
      </w:pPr>
      <w:r>
        <w:rPr>
          <w:rFonts w:hint="default" w:ascii="Arial" w:hAnsi="Arial"/>
          <w:b w:val="false"/>
          <w:i w:val="false"/>
          <w:color w:val="000000"/>
          <w:sz w:val="20"/>
        </w:rPr>
        <w:t xml:space="preserve"> 
       </w:t>
      </w:r>
      <w:r>
        <w:rPr>
          <w:rFonts w:hint="default" w:ascii="Arial" w:hAnsi="Arial"/>
          <w:b w:val="false"/>
          <w:i w:val="false"/>
          <w:color w:val="000000"/>
          <w:sz w:val="20"/>
        </w:rPr>
        <w:t>Campo Grande, 19 de maio de 2023</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Elaborador;</w:t>
      </w:r>
      <w:r>
        <w:rPr>
          <w:rFonts w:hint="default" w:ascii="Arial" w:hAnsi="Arial"/>
          <w:b w:val="false"/>
          <w:i w:val="false"/>
          <w:color w:val="0000ff"/>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ff"/>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JOÃO BATISTA RODRIGUES JUNIOR</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ASSESSORAMENTO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COORDENADORIA ADMINISTRATIVA E COMPRAS-FERTEL</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Técnico operacional: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ELIAS GUILHERME DOS SANTOS</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GESTÃO E ASSISTENCIA</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COORDENADORIA TÉCNICA DA RÁDIO- FERTEL</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APROVO</w:t>
      </w:r>
      <w:r>
        <w:rPr>
          <w:rFonts w:hint="default" w:ascii="Arial" w:hAnsi="Arial"/>
          <w:b w:val="false"/>
          <w:i w:val="false"/>
          <w:color w:val="000000"/>
          <w:sz w:val="24"/>
        </w:rPr>
        <w:t xml:space="preserve"> o termo de referência e </w:t>
      </w:r>
      <w:r>
        <w:rPr>
          <w:rFonts w:hint="default" w:ascii="Arial" w:hAnsi="Arial"/>
          <w:b/>
          <w:i w:val="false"/>
          <w:color w:val="000000"/>
          <w:sz w:val="24"/>
        </w:rPr>
        <w:t>AUTORIZO</w:t>
      </w:r>
      <w:r>
        <w:rPr>
          <w:rFonts w:hint="default" w:ascii="Arial" w:hAnsi="Arial"/>
          <w:b w:val="false"/>
          <w:i w:val="false"/>
          <w:color w:val="000000"/>
          <w:sz w:val="24"/>
        </w:rPr>
        <w:t xml:space="preserve"> a C</w:t>
      </w:r>
      <w:r>
        <w:rPr>
          <w:rFonts w:hint="default" w:ascii="Arial" w:hAnsi="Arial"/>
          <w:b w:val="false"/>
          <w:i w:val="false"/>
          <w:color w:val="000000"/>
          <w:sz w:val="24"/>
          <w:u w:val="single"/>
        </w:rPr>
        <w:t>oordenadoria de Administrativa e Compras</w:t>
      </w:r>
      <w:r>
        <w:rPr>
          <w:rFonts w:hint="default" w:ascii="Arial" w:hAnsi="Arial"/>
          <w:b w:val="false"/>
          <w:i w:val="false"/>
          <w:color w:val="000000"/>
          <w:sz w:val="24"/>
        </w:rPr>
        <w:t xml:space="preserve"> a dar continuidade ao processo de contratação, na forma do artigo 11, §§1º e 2º do Decreto nº 15.524/2020, tomando todas providências necessárias para a contratação.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ff"/>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RODRIGO DE ALMEIDA ANTUNES FERREIRA</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DIRETOR DE FINANCEIRO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ORDENADOR DE DESPESAS – FERTEL</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w:t>
      </w:r>
      <w:r>
        <w:br/>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br/>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ANEXO I</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p>
    <w:tbl>
      <w:tblPr>
        <w:tblW w:w="0" w:type="auto"/>
        <w:tblCellSpacing w:w="0" w:type="auto"/>
        <w:tblBorders>
          <w:top w:val="none"/>
          <w:left w:val="none"/>
          <w:bottom w:val="none"/>
          <w:right w:val="none"/>
          <w:insideH w:val="none"/>
          <w:insideV w:val="none"/>
        </w:tblBorders>
      </w:tblPr>
      <w:tblGrid>
        <w:gridCol w:w="3338"/>
        <w:gridCol w:w="5971"/>
        <w:gridCol w:w="1605"/>
        <w:gridCol w:w="2598"/>
      </w:tblGrid>
      <w:tr>
        <w:tc>
          <w:tcPr>
            <w:tcW w:w="3338"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PROPOSTA DE PREÇO</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c>
          <w:tcPr>
            <w:tcW w:w="5971"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MODALIDADE DISPENSA DE LICITAÇÃO</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c>
          <w:tcPr>
            <w:tcW w:w="1605"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NÚMERO</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c>
          <w:tcPr>
            <w:tcW w:w="2598"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TIPO Menor Preço</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r>
      <w:tr>
        <w:tc>
          <w:tcPr>
            <w:tcW w:w="0" w:type="auto"/>
            <w:gridSpan w:val="4"/>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Órgão: : FERTEL - Fundação Estadual Jornalista Luiz Chagas de Rádio e Televisão Educativa de Mato Grosso do Sul</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r>
      <w:tr>
        <w:tc>
          <w:tcPr>
            <w:tcW w:w="0" w:type="auto"/>
            <w:gridSpan w:val="4"/>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Processo Nº: 51/XXX.XXX/2023 - REGISTRO DE PREÇOS PARA REFORMA E/OU ADEQUAÇÃO ESPAÇO RÁDIO</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r>
    </w:tbl>
    <w:p>
      <w:pPr>
        <w:spacing w:after="0"/>
        <w:ind w:left="0"/>
        <w:jc w:val="both"/>
      </w:pPr>
      <w:r>
        <w:rPr>
          <w:rFonts w:hint="default" w:ascii="Arial" w:hAnsi="Arial"/>
          <w:b w:val="false"/>
          <w:i w:val="false"/>
          <w:color w:val="000000"/>
          <w:sz w:val="20"/>
        </w:rPr>
        <w:t xml:space="preserve"> 
      </w:t>
      </w:r>
    </w:p>
    <w:p>
      <w:pPr>
        <w:spacing w:after="0"/>
        <w:ind w:left="0"/>
        <w:jc w:val="both"/>
      </w:pPr>
    </w:p>
    <w:tbl>
      <w:tblPr>
        <w:tblW w:w="0" w:type="auto"/>
        <w:tblCellSpacing w:w="0" w:type="auto"/>
        <w:tblBorders>
          <w:top w:val="none"/>
          <w:left w:val="none"/>
          <w:bottom w:val="none"/>
          <w:right w:val="none"/>
          <w:insideH w:val="none"/>
          <w:insideV w:val="none"/>
        </w:tblBorders>
      </w:tblPr>
      <w:tblGrid>
        <w:gridCol w:w="2300"/>
        <w:gridCol w:w="944"/>
        <w:gridCol w:w="4301"/>
        <w:gridCol w:w="5"/>
        <w:gridCol w:w="954"/>
        <w:gridCol w:w="1221"/>
        <w:gridCol w:w="1362"/>
        <w:gridCol w:w="1466"/>
        <w:gridCol w:w="1081"/>
      </w:tblGrid>
      <w:tr>
        <w:tc>
          <w:tcPr>
            <w:tcW w:w="230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Proponente: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c>
          <w:tcPr>
            <w:tcW w:w="0" w:type="auto"/>
            <w:gridSpan w:val="8"/>
            <w:tcBorders>
              <w:top w:val="single" w:color="#777777" w:sz="8"/>
              <w:left w:val="single" w:color="#777777" w:sz="8"/>
              <w:bottom w:val="single" w:color="#777777" w:sz="8"/>
              <w:right w:val="single" w:color="#777777" w:sz="8"/>
            </w:tcBorders>
          </w:tcPr>
          <w:p>
            <w:pPr>
              <w:spacing w:after="0"/>
              <w:ind w:left="0"/>
              <w:jc w:val="both"/>
            </w:pPr>
          </w:p>
        </w:tc>
      </w:tr>
      <w:tr>
        <w:tc>
          <w:tcPr>
            <w:tcW w:w="230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Endereço: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c>
          <w:tcPr>
            <w:tcW w:w="0" w:type="auto"/>
            <w:gridSpan w:val="8"/>
            <w:tcBorders>
              <w:top w:val="single" w:color="#777777" w:sz="8"/>
              <w:left w:val="single" w:color="#777777" w:sz="8"/>
              <w:bottom w:val="single" w:color="#777777" w:sz="8"/>
              <w:right w:val="single" w:color="#777777" w:sz="8"/>
            </w:tcBorders>
          </w:tcPr>
          <w:p>
            <w:pPr>
              <w:spacing w:after="0"/>
              <w:ind w:left="0"/>
              <w:jc w:val="both"/>
            </w:pPr>
          </w:p>
        </w:tc>
      </w:tr>
      <w:tr>
        <w:tc>
          <w:tcPr>
            <w:tcW w:w="230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Cidade: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c>
          <w:tcPr>
            <w:tcW w:w="0" w:type="auto"/>
            <w:gridSpan w:val="8"/>
            <w:tcBorders>
              <w:top w:val="single" w:color="#777777" w:sz="8"/>
              <w:left w:val="single" w:color="#777777" w:sz="8"/>
              <w:bottom w:val="single" w:color="#777777" w:sz="8"/>
              <w:right w:val="single" w:color="#777777" w:sz="8"/>
            </w:tcBorders>
          </w:tcPr>
          <w:p>
            <w:pPr>
              <w:spacing w:after="0"/>
              <w:ind w:left="0"/>
              <w:jc w:val="both"/>
            </w:pPr>
          </w:p>
        </w:tc>
      </w:tr>
      <w:tr>
        <w:tc>
          <w:tcPr>
            <w:tcW w:w="230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Telefone: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c>
          <w:tcPr>
            <w:tcW w:w="944" w:type="dxa"/>
            <w:tcBorders>
              <w:top w:val="single" w:color="#777777" w:sz="8"/>
              <w:left w:val="single" w:color="#777777" w:sz="8"/>
              <w:bottom w:val="single" w:color="#777777" w:sz="8"/>
              <w:right w:val="single" w:color="#777777" w:sz="8"/>
            </w:tcBorders>
          </w:tcPr>
          <w:p>
            <w:pPr>
              <w:spacing w:after="0"/>
              <w:ind w:left="0"/>
              <w:jc w:val="both"/>
            </w:pPr>
          </w:p>
        </w:tc>
        <w:tc>
          <w:tcPr>
            <w:tcW w:w="4301"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Email: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c>
          <w:tcPr>
            <w:tcW w:w="0" w:type="auto"/>
            <w:gridSpan w:val="6"/>
            <w:tcBorders>
              <w:top w:val="single" w:color="#777777" w:sz="8"/>
              <w:left w:val="single" w:color="#777777" w:sz="8"/>
              <w:bottom w:val="single" w:color="#777777" w:sz="8"/>
              <w:right w:val="single" w:color="#777777" w:sz="8"/>
            </w:tcBorders>
          </w:tcPr>
          <w:p>
            <w:pPr>
              <w:spacing w:after="0"/>
              <w:ind w:left="0"/>
              <w:jc w:val="both"/>
            </w:pPr>
          </w:p>
        </w:tc>
      </w:tr>
      <w:tr>
        <w:tc>
          <w:tcPr>
            <w:tcW w:w="230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ITEM</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c>
          <w:tcPr>
            <w:tcW w:w="0" w:type="auto"/>
            <w:gridSpan w:val="3"/>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ESPECIFICAÇÃO</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c>
          <w:tcPr>
            <w:tcW w:w="954"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UNID.</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c>
          <w:tcPr>
            <w:tcW w:w="1221"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QUANT.</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c>
          <w:tcPr>
            <w:tcW w:w="1362"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MARCA E MODELO</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c>
          <w:tcPr>
            <w:tcW w:w="1466"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PRAZO DE ENTREGA</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c>
          <w:tcPr>
            <w:tcW w:w="1081"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PREÇO UNIT.</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r>
      <w:tr>
        <w:tc>
          <w:tcPr>
            <w:tcW w:w="2300" w:type="dxa"/>
            <w:tcBorders>
              <w:top w:val="single" w:color="#777777" w:sz="8"/>
              <w:left w:val="single" w:color="#777777" w:sz="8"/>
              <w:bottom w:val="single" w:color="#777777" w:sz="8"/>
              <w:right w:val="single" w:color="#777777" w:sz="8"/>
            </w:tcBorders>
          </w:tcPr>
          <w:p>
            <w:pPr>
              <w:spacing w:after="0"/>
              <w:ind w:left="0"/>
              <w:jc w:val="both"/>
            </w:pPr>
          </w:p>
        </w:tc>
        <w:tc>
          <w:tcPr>
            <w:tcW w:w="0" w:type="auto"/>
            <w:gridSpan w:val="8"/>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ITEM 001</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r>
      <w:tr>
        <w:tc>
          <w:tcPr>
            <w:tcW w:w="230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c>
          <w:tcPr>
            <w:tcW w:w="0" w:type="auto"/>
            <w:gridSpan w:val="3"/>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Coluna vertical array de 400 wts ativa 129 db RF 120 hz a 20 kz aplicação PA e FLY sensibilidade de entrada de linha 4 DBU. Alimentação de 115 a 230 vaC filtro high pass, altura 1160 largura 150, profundidade 160 pesao 12 kg</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c>
          <w:tcPr>
            <w:tcW w:w="954"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1 - Un.</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c>
          <w:tcPr>
            <w:tcW w:w="1221"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06</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c>
          <w:tcPr>
            <w:tcW w:w="1362" w:type="dxa"/>
            <w:tcBorders>
              <w:top w:val="single" w:color="#777777" w:sz="8"/>
              <w:left w:val="single" w:color="#777777" w:sz="8"/>
              <w:bottom w:val="single" w:color="#777777" w:sz="8"/>
              <w:right w:val="single" w:color="#777777" w:sz="8"/>
            </w:tcBorders>
          </w:tcPr>
          <w:p>
            <w:pPr>
              <w:spacing w:after="0"/>
              <w:ind w:left="0"/>
              <w:jc w:val="both"/>
            </w:pPr>
          </w:p>
        </w:tc>
        <w:tc>
          <w:tcPr>
            <w:tcW w:w="1466" w:type="dxa"/>
            <w:tcBorders>
              <w:top w:val="single" w:color="#777777" w:sz="8"/>
              <w:left w:val="single" w:color="#777777" w:sz="8"/>
              <w:bottom w:val="single" w:color="#777777" w:sz="8"/>
              <w:right w:val="single" w:color="#777777" w:sz="8"/>
            </w:tcBorders>
          </w:tcPr>
          <w:p>
            <w:pPr>
              <w:spacing w:after="0"/>
              <w:ind w:left="0"/>
              <w:jc w:val="both"/>
            </w:pPr>
          </w:p>
        </w:tc>
        <w:tc>
          <w:tcPr>
            <w:tcW w:w="1081" w:type="dxa"/>
            <w:tcBorders>
              <w:top w:val="single" w:color="#777777" w:sz="8"/>
              <w:left w:val="single" w:color="#777777" w:sz="8"/>
              <w:bottom w:val="single" w:color="#777777" w:sz="8"/>
              <w:right w:val="single" w:color="#777777" w:sz="8"/>
            </w:tcBorders>
          </w:tcPr>
          <w:p>
            <w:pPr>
              <w:spacing w:after="0"/>
              <w:ind w:left="0"/>
              <w:jc w:val="both"/>
            </w:pPr>
          </w:p>
        </w:tc>
      </w:tr>
      <w:tr>
        <w:tc>
          <w:tcPr>
            <w:tcW w:w="230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2</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c>
          <w:tcPr>
            <w:tcW w:w="0" w:type="auto"/>
            <w:gridSpan w:val="3"/>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Microfone s/frio RF 50hz a 20kz multifrequencial de 12 banda, Dinâmico padrão polar cardioide. Para uso profissional</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c>
          <w:tcPr>
            <w:tcW w:w="954"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1 - Un.</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c>
          <w:tcPr>
            <w:tcW w:w="1221"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01</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c>
          <w:tcPr>
            <w:tcW w:w="1362" w:type="dxa"/>
            <w:tcBorders>
              <w:top w:val="single" w:color="#777777" w:sz="8"/>
              <w:left w:val="single" w:color="#777777" w:sz="8"/>
              <w:bottom w:val="single" w:color="#777777" w:sz="8"/>
              <w:right w:val="single" w:color="#777777" w:sz="8"/>
            </w:tcBorders>
          </w:tcPr>
          <w:p>
            <w:pPr>
              <w:spacing w:after="0"/>
              <w:ind w:left="0"/>
              <w:jc w:val="both"/>
            </w:pPr>
          </w:p>
        </w:tc>
        <w:tc>
          <w:tcPr>
            <w:tcW w:w="1466" w:type="dxa"/>
            <w:tcBorders>
              <w:top w:val="single" w:color="#777777" w:sz="8"/>
              <w:left w:val="single" w:color="#777777" w:sz="8"/>
              <w:bottom w:val="single" w:color="#777777" w:sz="8"/>
              <w:right w:val="single" w:color="#777777" w:sz="8"/>
            </w:tcBorders>
          </w:tcPr>
          <w:p>
            <w:pPr>
              <w:spacing w:after="0"/>
              <w:ind w:left="0"/>
              <w:jc w:val="both"/>
            </w:pPr>
          </w:p>
        </w:tc>
        <w:tc>
          <w:tcPr>
            <w:tcW w:w="1081" w:type="dxa"/>
            <w:tcBorders>
              <w:top w:val="single" w:color="#777777" w:sz="8"/>
              <w:left w:val="single" w:color="#777777" w:sz="8"/>
              <w:bottom w:val="single" w:color="#777777" w:sz="8"/>
              <w:right w:val="single" w:color="#777777" w:sz="8"/>
            </w:tcBorders>
          </w:tcPr>
          <w:p>
            <w:pPr>
              <w:spacing w:after="0"/>
              <w:ind w:left="0"/>
              <w:jc w:val="both"/>
            </w:pPr>
          </w:p>
        </w:tc>
      </w:tr>
      <w:tr>
        <w:tc>
          <w:tcPr>
            <w:tcW w:w="230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3</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c>
          <w:tcPr>
            <w:tcW w:w="0" w:type="auto"/>
            <w:gridSpan w:val="3"/>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Sub woofer – passiva – 300 wts rms 8Ohms Spl 125 db woofer 12´´ Resposta de frequência de 45 hz a 180hz, conexão Speakon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c>
          <w:tcPr>
            <w:tcW w:w="954"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1 - Un.</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c>
          <w:tcPr>
            <w:tcW w:w="1221"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01</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c>
          <w:tcPr>
            <w:tcW w:w="1362" w:type="dxa"/>
            <w:tcBorders>
              <w:top w:val="single" w:color="#777777" w:sz="8"/>
              <w:left w:val="single" w:color="#777777" w:sz="8"/>
              <w:bottom w:val="single" w:color="#777777" w:sz="8"/>
              <w:right w:val="single" w:color="#777777" w:sz="8"/>
            </w:tcBorders>
          </w:tcPr>
          <w:p>
            <w:pPr>
              <w:spacing w:after="0"/>
              <w:ind w:left="0"/>
              <w:jc w:val="both"/>
            </w:pPr>
          </w:p>
        </w:tc>
        <w:tc>
          <w:tcPr>
            <w:tcW w:w="1466" w:type="dxa"/>
            <w:tcBorders>
              <w:top w:val="single" w:color="#777777" w:sz="8"/>
              <w:left w:val="single" w:color="#777777" w:sz="8"/>
              <w:bottom w:val="single" w:color="#777777" w:sz="8"/>
              <w:right w:val="single" w:color="#777777" w:sz="8"/>
            </w:tcBorders>
          </w:tcPr>
          <w:p>
            <w:pPr>
              <w:spacing w:after="0"/>
              <w:ind w:left="0"/>
              <w:jc w:val="both"/>
            </w:pPr>
          </w:p>
        </w:tc>
        <w:tc>
          <w:tcPr>
            <w:tcW w:w="1081" w:type="dxa"/>
            <w:tcBorders>
              <w:top w:val="single" w:color="#777777" w:sz="8"/>
              <w:left w:val="single" w:color="#777777" w:sz="8"/>
              <w:bottom w:val="single" w:color="#777777" w:sz="8"/>
              <w:right w:val="single" w:color="#777777" w:sz="8"/>
            </w:tcBorders>
          </w:tcPr>
          <w:p>
            <w:pPr>
              <w:spacing w:after="0"/>
              <w:ind w:left="0"/>
              <w:jc w:val="both"/>
            </w:pPr>
          </w:p>
        </w:tc>
      </w:tr>
      <w:tr>
        <w:tc>
          <w:tcPr>
            <w:tcW w:w="230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4</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c>
          <w:tcPr>
            <w:tcW w:w="0" w:type="auto"/>
            <w:gridSpan w:val="3"/>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mixer digital 8 canais sendo entrada1e 2 xlr, e 3 e 4 combo, 5,6,7,8 plug trs 1/4 balanceados. Mic ein 20hz a 20 khz 117 dBu .alimentoação fantasma + 48.</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c>
          <w:tcPr>
            <w:tcW w:w="954"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1 - Un.</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c>
          <w:tcPr>
            <w:tcW w:w="1221"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01</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c>
          <w:tcPr>
            <w:tcW w:w="1362" w:type="dxa"/>
            <w:tcBorders>
              <w:top w:val="single" w:color="#777777" w:sz="8"/>
              <w:left w:val="single" w:color="#777777" w:sz="8"/>
              <w:bottom w:val="single" w:color="#777777" w:sz="8"/>
              <w:right w:val="single" w:color="#777777" w:sz="8"/>
            </w:tcBorders>
          </w:tcPr>
          <w:p>
            <w:pPr>
              <w:spacing w:after="0"/>
              <w:ind w:left="0"/>
              <w:jc w:val="both"/>
            </w:pPr>
          </w:p>
        </w:tc>
        <w:tc>
          <w:tcPr>
            <w:tcW w:w="1466" w:type="dxa"/>
            <w:tcBorders>
              <w:top w:val="single" w:color="#777777" w:sz="8"/>
              <w:left w:val="single" w:color="#777777" w:sz="8"/>
              <w:bottom w:val="single" w:color="#777777" w:sz="8"/>
              <w:right w:val="single" w:color="#777777" w:sz="8"/>
            </w:tcBorders>
          </w:tcPr>
          <w:p>
            <w:pPr>
              <w:spacing w:after="0"/>
              <w:ind w:left="0"/>
              <w:jc w:val="both"/>
            </w:pPr>
          </w:p>
        </w:tc>
        <w:tc>
          <w:tcPr>
            <w:tcW w:w="1081" w:type="dxa"/>
            <w:tcBorders>
              <w:top w:val="single" w:color="#777777" w:sz="8"/>
              <w:left w:val="single" w:color="#777777" w:sz="8"/>
              <w:bottom w:val="single" w:color="#777777" w:sz="8"/>
              <w:right w:val="single" w:color="#777777" w:sz="8"/>
            </w:tcBorders>
          </w:tcPr>
          <w:p>
            <w:pPr>
              <w:spacing w:after="0"/>
              <w:ind w:left="0"/>
              <w:jc w:val="both"/>
            </w:pPr>
          </w:p>
        </w:tc>
      </w:tr>
      <w:tr>
        <w:tc>
          <w:tcPr>
            <w:tcW w:w="230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5</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c>
          <w:tcPr>
            <w:tcW w:w="0" w:type="auto"/>
            <w:gridSpan w:val="3"/>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Processador de áudio 2 entrada e 6 saidas. 01 entrada frontal para mic rta Taxa de amostragem em 48khz, Delay de alimento, equalizador, crossover, compressor, limiter, feedback suppression, subharmonic. Operação por aplicativo Windows pc, apple Macintosh, apple ipad, android phone or tablete, apple ios phone.</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c>
          <w:tcPr>
            <w:tcW w:w="954"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1 - Un.</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c>
          <w:tcPr>
            <w:tcW w:w="1221"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01</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c>
          <w:tcPr>
            <w:tcW w:w="1362" w:type="dxa"/>
            <w:tcBorders>
              <w:top w:val="single" w:color="#777777" w:sz="8"/>
              <w:left w:val="single" w:color="#777777" w:sz="8"/>
              <w:bottom w:val="single" w:color="#777777" w:sz="8"/>
              <w:right w:val="single" w:color="#777777" w:sz="8"/>
            </w:tcBorders>
          </w:tcPr>
          <w:p>
            <w:pPr>
              <w:spacing w:after="0"/>
              <w:ind w:left="0"/>
              <w:jc w:val="both"/>
            </w:pPr>
          </w:p>
        </w:tc>
        <w:tc>
          <w:tcPr>
            <w:tcW w:w="1466" w:type="dxa"/>
            <w:tcBorders>
              <w:top w:val="single" w:color="#777777" w:sz="8"/>
              <w:left w:val="single" w:color="#777777" w:sz="8"/>
              <w:bottom w:val="single" w:color="#777777" w:sz="8"/>
              <w:right w:val="single" w:color="#777777" w:sz="8"/>
            </w:tcBorders>
          </w:tcPr>
          <w:p>
            <w:pPr>
              <w:spacing w:after="0"/>
              <w:ind w:left="0"/>
              <w:jc w:val="both"/>
            </w:pPr>
          </w:p>
        </w:tc>
        <w:tc>
          <w:tcPr>
            <w:tcW w:w="1081" w:type="dxa"/>
            <w:tcBorders>
              <w:top w:val="single" w:color="#777777" w:sz="8"/>
              <w:left w:val="single" w:color="#777777" w:sz="8"/>
              <w:bottom w:val="single" w:color="#777777" w:sz="8"/>
              <w:right w:val="single" w:color="#777777" w:sz="8"/>
            </w:tcBorders>
          </w:tcPr>
          <w:p>
            <w:pPr>
              <w:spacing w:after="0"/>
              <w:ind w:left="0"/>
              <w:jc w:val="both"/>
            </w:pPr>
          </w:p>
        </w:tc>
      </w:tr>
      <w:tr>
        <w:tc>
          <w:tcPr>
            <w:tcW w:w="230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6</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c>
          <w:tcPr>
            <w:tcW w:w="0" w:type="auto"/>
            <w:gridSpan w:val="3"/>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Sub woofer 12 ativa 500 wts em 4 OhmsResposta de frequência 45hz a 180hz ajuste variável, spl 125 db, impedância de entrada 20K balanceada sensibilidade +4 dbUdbU ( 123V)</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c>
          <w:tcPr>
            <w:tcW w:w="954"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1 - Un.</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c>
          <w:tcPr>
            <w:tcW w:w="1221"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01</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c>
          <w:tcPr>
            <w:tcW w:w="1362" w:type="dxa"/>
            <w:tcBorders>
              <w:top w:val="single" w:color="#777777" w:sz="8"/>
              <w:left w:val="single" w:color="#777777" w:sz="8"/>
              <w:bottom w:val="single" w:color="#777777" w:sz="8"/>
              <w:right w:val="single" w:color="#777777" w:sz="8"/>
            </w:tcBorders>
          </w:tcPr>
          <w:p>
            <w:pPr>
              <w:spacing w:after="0"/>
              <w:ind w:left="0"/>
              <w:jc w:val="both"/>
            </w:pPr>
          </w:p>
        </w:tc>
        <w:tc>
          <w:tcPr>
            <w:tcW w:w="1466" w:type="dxa"/>
            <w:tcBorders>
              <w:top w:val="single" w:color="#777777" w:sz="8"/>
              <w:left w:val="single" w:color="#777777" w:sz="8"/>
              <w:bottom w:val="single" w:color="#777777" w:sz="8"/>
              <w:right w:val="single" w:color="#777777" w:sz="8"/>
            </w:tcBorders>
          </w:tcPr>
          <w:p>
            <w:pPr>
              <w:spacing w:after="0"/>
              <w:ind w:left="0"/>
              <w:jc w:val="both"/>
            </w:pPr>
          </w:p>
        </w:tc>
        <w:tc>
          <w:tcPr>
            <w:tcW w:w="1081" w:type="dxa"/>
            <w:tcBorders>
              <w:top w:val="single" w:color="#777777" w:sz="8"/>
              <w:left w:val="single" w:color="#777777" w:sz="8"/>
              <w:bottom w:val="single" w:color="#777777" w:sz="8"/>
              <w:right w:val="single" w:color="#777777" w:sz="8"/>
            </w:tcBorders>
          </w:tcPr>
          <w:p>
            <w:pPr>
              <w:spacing w:after="0"/>
              <w:ind w:left="0"/>
              <w:jc w:val="both"/>
            </w:pPr>
          </w:p>
        </w:tc>
      </w:tr>
      <w:tr>
        <w:tc>
          <w:tcPr>
            <w:tcW w:w="2300" w:type="dxa"/>
            <w:tcBorders>
              <w:top w:val="single" w:color="#777777" w:sz="8"/>
              <w:left w:val="single" w:color="#777777" w:sz="8"/>
              <w:bottom w:val="single" w:color="#777777" w:sz="8"/>
              <w:right w:val="single" w:color="#777777" w:sz="8"/>
            </w:tcBorders>
          </w:tcPr>
          <w:p>
            <w:pPr>
              <w:spacing w:after="0"/>
              <w:ind w:left="0"/>
              <w:jc w:val="both"/>
            </w:pPr>
          </w:p>
        </w:tc>
        <w:tc>
          <w:tcPr>
            <w:tcW w:w="0" w:type="auto"/>
            <w:gridSpan w:val="8"/>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VALOR TOTAL UNITÁRIO TIPO ITEM 001 R$</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r>
    </w:tbl>
    <w:p>
      <w:pPr>
        <w:spacing w:after="0"/>
        <w:ind w:left="0"/>
        <w:jc w:val="both"/>
      </w:pPr>
      <w:r>
        <w:rPr>
          <w:rFonts w:hint="default" w:ascii="Arial" w:hAnsi="Arial"/>
          <w:b w:val="false"/>
          <w:i w:val="false"/>
          <w:color w:val="000000"/>
          <w:sz w:val="20"/>
        </w:rPr>
        <w:t xml:space="preserve"> 
      </w:t>
      </w:r>
    </w:p>
    <w:p>
      <w:pPr>
        <w:spacing w:after="0"/>
        <w:ind w:left="0"/>
        <w:jc w:val="both"/>
      </w:pPr>
    </w:p>
    <w:tbl>
      <w:tblPr>
        <w:tblW w:w="0" w:type="auto"/>
        <w:tblCellSpacing w:w="0" w:type="auto"/>
        <w:tblBorders>
          <w:top w:val="none"/>
          <w:left w:val="none"/>
          <w:bottom w:val="none"/>
          <w:right w:val="none"/>
          <w:insideH w:val="none"/>
          <w:insideV w:val="none"/>
        </w:tblBorders>
      </w:tblPr>
      <w:tblGrid>
        <w:gridCol w:w="13634"/>
      </w:tblGrid>
      <w:tr>
        <w:tc>
          <w:tcPr>
            <w:tcW w:w="13634"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Estando de acordo com os termos do ato convocatório e com a legislação nele indicada, propomos os valores acima com validade da proposta de ____dias, com pagamento através do banco _____ agência nº ______ c/c nº ___________________ Local e Data ______/____________________________/______ CARIMBO E ASSINATURA DO REPRESENTANTE LEGAL DA EMPRESA</w:t>
            </w:r>
            <w:r>
              <w:rPr>
                <w:rFonts w:hint="default" w:ascii="Arial" w:hAnsi="Arial"/>
                <w:b w:val="false"/>
                <w:i w:val="false"/>
                <w:color w:val="000000"/>
                <w:sz w:val="20"/>
              </w:rPr>
              <w:t xml:space="preserve"> </w:t>
            </w:r>
          </w:p>
        </w:tc>
      </w:tr>
    </w:tbl>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p>
    <w:tbl>
      <w:tblPr>
        <w:tblW w:w="0" w:type="auto"/>
        <w:tblCellSpacing w:w="0" w:type="auto"/>
        <w:tblBorders>
          <w:top w:val="none"/>
          <w:left w:val="none"/>
          <w:bottom w:val="none"/>
          <w:right w:val="none"/>
          <w:insideH w:val="none"/>
          <w:insideV w:val="none"/>
        </w:tblBorders>
      </w:tblPr>
      <w:tblGrid>
        <w:gridCol w:w="220"/>
        <w:gridCol w:w="8178"/>
      </w:tblGrid>
      <w:tr>
        <w:tc>
          <w:tcPr>
            <w:tcW w:w="22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c>
          <w:tcPr>
            <w:tcW w:w="8178"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CARIMBO DA EMPRESA LICITANTE (contendo o CNPJ)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tc>
      </w:tr>
    </w:tbl>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sectPr>
      <w:headerReference w:type="default" r:id="rId6"/>
      <w:footerReference w:type="default" r:id="rId7"/>
      <w:pgSz w:w="11907" w:h="16839" w:code="9"/>
      <w:pgMar w:top="1701" w:right="1134" w:bottom="1134" w:left="1701"/>
    </w:sectPr>
  </w:body>
</w:document>
</file>

<file path=word/footer.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pPr>
      <w:spacing w:after="120"/>
      <w:ind w:left="120"/>
      <w:jc w:val="left"/>
    </w:pPr>
  </w:p>
</w:ftr>
</file>

<file path=word/header.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pPr>
      <w:spacing w:after="120"/>
      <w:ind w:left="120"/>
      <w:jc w:val="left"/>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www.agu.gov.br/page/content/detail/id%20conteudo/138067" Type="http://schemas.openxmlformats.org/officeDocument/2006/relationships/hyperlink" Id="rId4"/>
    <Relationship TargetMode="External" Target="http://www.planalto.gov.br/ccivil_03/Constituicao/Constituicao.htm#art7xxxiii" Type="http://schemas.openxmlformats.org/officeDocument/2006/relationships/hyperlink" Id="rId5"/>
    <Relationship Target="header.xml" Type="http://schemas.openxmlformats.org/officeDocument/2006/relationships/header"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