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jc w:val="center"/>
        <w:rPr>
          <w:rFonts w:ascii="Courier New" w:hAnsi="Courier New" w:cs="Courier New"/>
          <w:sz w:val="20"/>
          <w:u w:val="single"/>
        </w:rPr>
      </w:pPr>
      <w:r>
        <w:rPr>
          <w:rFonts w:cs="Courier New" w:ascii="Courier New" w:hAnsi="Courier New"/>
          <w:sz w:val="20"/>
          <w:u w:val="single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jc w:val="center"/>
        <w:rPr>
          <w:rFonts w:ascii="Arial" w:hAnsi="Arial"/>
          <w:sz w:val="20"/>
          <w:szCs w:val="20"/>
        </w:rPr>
      </w:pPr>
      <w:r>
        <w:rPr>
          <w:rFonts w:cs="Courier New"/>
          <w:b/>
          <w:sz w:val="20"/>
          <w:szCs w:val="20"/>
          <w:u w:val="single"/>
        </w:rPr>
        <w:t>ESTUDO TÉCNICO PRELIMINAR</w:t>
      </w:r>
    </w:p>
    <w:p>
      <w:pPr>
        <w:pStyle w:val="Normal"/>
        <w:jc w:val="both"/>
        <w:rPr>
          <w:rFonts w:ascii="Arial" w:hAnsi="Arial" w:cs="Courier New"/>
          <w:b/>
          <w:bCs/>
          <w:sz w:val="20"/>
          <w:szCs w:val="20"/>
        </w:rPr>
      </w:pPr>
      <w:r>
        <w:rPr>
          <w:rFonts w:cs="Courier New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 w:cs="Courier New"/>
          <w:b/>
          <w:bCs/>
          <w:sz w:val="20"/>
          <w:szCs w:val="20"/>
        </w:rPr>
      </w:pPr>
      <w:r>
        <w:rPr>
          <w:rFonts w:cs="Courier New"/>
          <w:b/>
          <w:bCs/>
          <w:sz w:val="20"/>
          <w:szCs w:val="20"/>
        </w:rPr>
      </w:r>
    </w:p>
    <w:p>
      <w:pPr>
        <w:pStyle w:val="Heading3"/>
        <w:numPr>
          <w:ilvl w:val="0"/>
          <w:numId w:val="0"/>
        </w:numPr>
        <w:tabs>
          <w:tab w:val="clear" w:pos="708"/>
          <w:tab w:val="left" w:pos="284" w:leader="none"/>
        </w:tabs>
        <w:ind w:hanging="0" w:left="0"/>
        <w:jc w:val="both"/>
        <w:rPr>
          <w:rFonts w:ascii="Arial" w:hAnsi="Arial" w:eastAsia="Times New Roman" w:cs="Courier New"/>
          <w:b/>
          <w:bCs/>
          <w:sz w:val="20"/>
          <w:szCs w:val="20"/>
        </w:rPr>
      </w:pPr>
      <w:r>
        <w:rPr>
          <w:rFonts w:eastAsia="Times New Roman" w:cs="Courier New" w:ascii="Arial" w:hAnsi="Arial"/>
          <w:b/>
          <w:bCs/>
          <w:sz w:val="20"/>
          <w:szCs w:val="20"/>
        </w:rPr>
        <w:t>1. DESCRIÇÃO DA NECESSIDADE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0" w:name="p-rc_f29ae76e0e48b820-44"/>
      <w:bookmarkEnd w:id="0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O município possui uma extensa malha viária rural que serve de base para o escoamento da produção agropecuária, trânsito de veículos de passeio e transporte escolar. Atualmente, diversos trechos apresentam problemas de drenagem, com bueiros obstruídos ou inexistentes, o que causa erosão nas estradas e dificulta o acesso às propriedades e lavouras em períodos de chuva. A aquisição visa a recuperação desses pontos críticos e a construção de novas travessias para garantir a trafegabilidade. 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/>
          <w:bCs/>
          <w:sz w:val="20"/>
          <w:szCs w:val="20"/>
        </w:rPr>
      </w:pPr>
      <w:r>
        <w:rPr>
          <w:rFonts w:cs="Courier New" w:ascii="Arial" w:hAnsi="Arial"/>
          <w:b/>
          <w:bCs/>
          <w:sz w:val="20"/>
          <w:szCs w:val="20"/>
        </w:rPr>
      </w:r>
    </w:p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  <w:t>2. ALINHAMENTO ENTRE A CONTRATAÇÃO E O PLANEJAMENTO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" w:name="p-rc_f29ae76e0e48b820-45"/>
      <w:bookmarkEnd w:id="1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A necessidade da presente contratação não se encontra respaldada no Plano de Contratações Anual (PCA), visto que o município ainda não instituiu tal documento; todavia, a demanda está em consonância com a legislação orçamentária municipal. Ressalta-se que a necessidade surgiu de demanda imediata e possui previsão orçamentária para sua execução. 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</w:r>
    </w:p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  <w:t>3. DESCRIÇÃO DOS REQUISITOS DA CONTRATAÇÃO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2" w:name="p-rc_f29ae76e0e48b820-46"/>
      <w:bookmarkEnd w:id="2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Os materiais deverão cumprir as especificações técnicas para garantir a durabilidade das obras na zona rural: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3" w:name="p-rc_f29ae76e0e48b820-47"/>
      <w:bookmarkEnd w:id="3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300 PS1 PB, JR: seção circular, diâmetro nominal de 300mm, classe de resistência PS1 (concreto simples), encaixe ponta e bolsa com junta rígida.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4" w:name="p-rc_f29ae76e0e48b820-48"/>
      <w:bookmarkEnd w:id="4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400 PS1 PB, JR: seção circular, diâmetro nominal de 400mm, classe de resistência PS1 (concreto simples), encaixe ponta e bolsa com junta rígida.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5" w:name="p-rc_f29ae76e0e48b820-49"/>
      <w:bookmarkEnd w:id="5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500 PS1 PB, JR: seção circular, diâmetro nominal de 500mm, classe de resistência PS1 (concreto simples), encaixe ponta e bolsa com junta rígida.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6" w:name="p-rc_f29ae76e0e48b820-50"/>
      <w:bookmarkEnd w:id="6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600 PS1 PB, JR: seção circular, diâmetro nominal de 600mm, classe de resistência PS1 (concreto simples), encaixe ponta e bolsa com junta rígida.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7" w:name="p-rc_f29ae76e0e48b820-51"/>
      <w:bookmarkEnd w:id="7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800 PA2 PB, JR: seção circular, diâmetro nominal de 800mm, classe de resistência PA2 (concreto armado), encaixe ponta e bolsa com junta rígida. </w:t>
      </w:r>
    </w:p>
    <w:p>
      <w:pPr>
        <w:pStyle w:val="BodyText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8" w:name="p-rc_f29ae76e0e48b820-52"/>
      <w:bookmarkEnd w:id="8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Tubo de Concreto DN 1000 PA2 PB, JR: seção circular, diâmetro nominal de 1000mm, classe de resistência PA2 (concreto armado), encaixe ponta e bolsa com junta rígida. 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9" w:name="p-rc_f29ae76e0e48b820-53"/>
      <w:bookmarkEnd w:id="9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Todos os itens devem ser fabricados de acordo com a NBR 8890, garantindo os ensaios de absorção de água e resistência à compressão diametral. 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</w:r>
    </w:p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  <w:t>4. ESTIMATIVA DAS QUANTIDADES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0" w:name="p-rc_f29ae76e0e48b820-54"/>
      <w:bookmarkEnd w:id="10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Os quantitativos baseiam-se na estimativa de demanda anual realizada pela Secretaria de Obras municipal. </w:t>
      </w:r>
    </w:p>
    <w:tbl>
      <w:tblPr>
        <w:tblW w:w="8505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3"/>
        <w:gridCol w:w="5810"/>
        <w:gridCol w:w="654"/>
        <w:gridCol w:w="1467"/>
      </w:tblGrid>
      <w:tr>
        <w:trPr>
          <w:tblHeader w:val="true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Item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Descrição Técnica Detalhada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Qtd.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01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300, PS1,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02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400, PS1,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03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500, PS1,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04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600, PS1,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05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800, PA2,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  <w:tr>
        <w:trPr/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06</w:t>
            </w:r>
          </w:p>
        </w:tc>
        <w:tc>
          <w:tcPr>
            <w:tcW w:w="5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1000, PA2, PB, JR, NBR 8890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Unid.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</w:tr>
    </w:tbl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b w:val="false"/>
          <w:bCs w:val="false"/>
          <w:sz w:val="20"/>
          <w:szCs w:val="20"/>
        </w:rPr>
      </w:pPr>
      <w:r>
        <w:rPr>
          <w:rFonts w:eastAsia="Times New Roman" w:cs="Courier New" w:ascii="Arial" w:hAnsi="Arial"/>
          <w:b w:val="false"/>
          <w:bCs w:val="false"/>
          <w:sz w:val="20"/>
          <w:szCs w:val="20"/>
        </w:rPr>
      </w:r>
    </w:p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  <w:t>5. ESTIMATIVA DO VALOR DA CONTRATAÇÃO</w:t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1" w:name="p-rc_f29ae76e0e48b820-55"/>
      <w:bookmarkEnd w:id="11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A estimativa de custos foi balizada por pesquisa de preços junto ao sistema Licitacon/TCE-RS. </w:t>
      </w:r>
    </w:p>
    <w:tbl>
      <w:tblPr>
        <w:tblW w:w="8518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4"/>
        <w:gridCol w:w="3865"/>
        <w:gridCol w:w="658"/>
        <w:gridCol w:w="1548"/>
        <w:gridCol w:w="1593"/>
      </w:tblGrid>
      <w:tr>
        <w:trPr>
          <w:tblHeader w:val="true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Item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Especificação Técnica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Qtd.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Valor Unitário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/>
            </w:pPr>
            <w:r>
              <w:rPr>
                <w:rStyle w:val="Strong"/>
                <w:b w:val="false"/>
                <w:bCs w:val="false"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01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300, PS1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R$ 44,86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R$ 44.860,00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02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400, PS1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R$ 57,86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R$ 57.860,00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03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500, PS1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R$ 82,83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R$ 82.830,00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04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600, PS1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R$ 92,44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R$ 92.440,00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05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800, PA2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R$ 260,86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R$ 260.860,00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06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TUBO DE CONCRETO DN 1000, PA2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R$ 333,51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R$ 333.510,00</w:t>
            </w:r>
          </w:p>
        </w:tc>
      </w:tr>
      <w:tr>
        <w:trPr/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</w:t>
            </w:r>
          </w:p>
        </w:tc>
        <w:tc>
          <w:tcPr>
            <w:tcW w:w="3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6.000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spacing w:lineRule="auto" w:line="274" w:before="0" w:after="0"/>
              <w:ind w:hanging="0" w:left="0" w:right="0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R$ 871.360,00</w:t>
            </w:r>
          </w:p>
        </w:tc>
      </w:tr>
    </w:tbl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b w:val="false"/>
          <w:bCs w:val="false"/>
          <w:sz w:val="20"/>
          <w:szCs w:val="20"/>
        </w:rPr>
      </w:pPr>
      <w:r>
        <w:rPr>
          <w:rFonts w:eastAsia="Times New Roman" w:cs="Courier New" w:ascii="Arial" w:hAnsi="Arial"/>
          <w:b w:val="false"/>
          <w:bCs w:val="false"/>
          <w:sz w:val="20"/>
          <w:szCs w:val="20"/>
        </w:rPr>
      </w:r>
    </w:p>
    <w:p>
      <w:pPr>
        <w:pStyle w:val="Heading3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  <w:t>6. DESCRIÇÃO DA SOLUÇÃO COMO UM TODO</w:t>
      </w:r>
    </w:p>
    <w:p>
      <w:pPr>
        <w:pStyle w:val="BodyText"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jc w:val="both"/>
        <w:rPr>
          <w:rFonts w:ascii="Arial" w:hAnsi="Arial" w:eastAsia="Times New Roman" w:cs="Courier New"/>
          <w:sz w:val="20"/>
          <w:szCs w:val="20"/>
        </w:rPr>
      </w:pPr>
      <w:r>
        <w:rPr>
          <w:rFonts w:eastAsia="Times New Roman" w:cs="Courier New" w:ascii="Arial" w:hAnsi="Arial"/>
          <w:sz w:val="20"/>
          <w:szCs w:val="20"/>
        </w:rPr>
      </w:r>
    </w:p>
    <w:p>
      <w:pPr>
        <w:pStyle w:val="BodyText"/>
        <w:widowControl/>
        <w:tabs>
          <w:tab w:val="clear" w:pos="708"/>
          <w:tab w:val="left" w:pos="284" w:leader="none"/>
        </w:tabs>
        <w:spacing w:lineRule="auto" w:line="274" w:before="0" w:after="0"/>
        <w:ind w:hanging="0" w:left="0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2" w:name="p-rc_f29ae76e0e48b820-56"/>
      <w:bookmarkEnd w:id="12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A estratégia de suprimento baseia-se no Pregão Eletrônico com Registro de Preços. As vantagens incluem: </w:t>
      </w:r>
    </w:p>
    <w:p>
      <w:pPr>
        <w:pStyle w:val="BodyText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3" w:name="p-rc_f29ae76e0e48b820-57"/>
      <w:bookmarkEnd w:id="13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Agilidade: Pronta entrega para manutenção urgente de bueiros. </w:t>
      </w:r>
    </w:p>
    <w:p>
      <w:pPr>
        <w:pStyle w:val="BodyText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4" w:name="p-rc_f29ae76e0e48b820-58"/>
      <w:bookmarkEnd w:id="14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Qualidade Técnica: Materiais padronizados pela NBR 8890. </w:t>
      </w:r>
    </w:p>
    <w:p>
      <w:pPr>
        <w:pStyle w:val="BodyText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4" w:before="0" w:after="0"/>
        <w:ind w:hanging="283" w:left="709" w:right="0"/>
        <w:rPr>
          <w:rFonts w:ascii="Arial" w:hAnsi="Arial" w:cs="Courier New"/>
          <w:b w:val="false"/>
          <w:bCs w:val="false"/>
          <w:sz w:val="20"/>
          <w:szCs w:val="20"/>
        </w:rPr>
      </w:pPr>
      <w:bookmarkStart w:id="15" w:name="p-rc_f29ae76e0e48b820-59"/>
      <w:bookmarkEnd w:id="15"/>
      <w:r>
        <w:rPr>
          <w:rFonts w:cs="Courier New" w:ascii="Arial" w:hAnsi="Arial"/>
          <w:b w:val="false"/>
          <w:bCs w:val="false"/>
          <w:sz w:val="20"/>
          <w:szCs w:val="20"/>
        </w:rPr>
        <w:t xml:space="preserve">Vantagem Econômica: Preços competitivos validados pelo Licitacon/TCE.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ind w:hanging="0" w:left="0"/>
        <w:jc w:val="both"/>
        <w:rPr>
          <w:rFonts w:ascii="Arial" w:hAnsi="Arial" w:cs="Courier New"/>
          <w:b w:val="false"/>
          <w:bCs w:val="false"/>
          <w:sz w:val="20"/>
          <w:szCs w:val="20"/>
        </w:rPr>
      </w:pPr>
      <w:r>
        <w:rPr>
          <w:rFonts w:cs="Courier New"/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rFonts w:ascii="Arial" w:hAnsi="Arial" w:cs="Courier New"/>
          <w:sz w:val="20"/>
          <w:szCs w:val="20"/>
        </w:rPr>
      </w:pPr>
      <w:r>
        <w:rPr>
          <w:rFonts w:cs="Courier New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ourier New"/>
          <w:b/>
          <w:bCs/>
          <w:sz w:val="20"/>
          <w:szCs w:val="20"/>
        </w:rPr>
        <w:t>7. CONTRATAÇÃO: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 entrega será realizada de forma parcelada, conforme a demanda da Secretaria requerente. </w:t>
      </w:r>
    </w:p>
    <w:p>
      <w:pPr>
        <w:pStyle w:val="NormalWeb"/>
        <w:spacing w:before="280" w:after="280"/>
        <w:jc w:val="both"/>
        <w:rPr>
          <w:rFonts w:ascii="Arial" w:hAnsi="Arial" w:cs="Courier New"/>
          <w:b/>
          <w:bCs/>
          <w:sz w:val="20"/>
          <w:szCs w:val="20"/>
        </w:rPr>
      </w:pPr>
      <w:r>
        <w:rPr>
          <w:rFonts w:cs="Courier New" w:ascii="Arial" w:hAnsi="Arial"/>
          <w:b/>
          <w:bCs/>
          <w:sz w:val="20"/>
          <w:szCs w:val="20"/>
        </w:rPr>
        <w:t>8. RESULTADOS PRETENDIDOS:</w:t>
      </w:r>
      <w:r>
        <w:rPr>
          <w:rFonts w:cs="Courier New" w:ascii="Arial" w:hAnsi="Arial"/>
          <w:b w:val="false"/>
          <w:bCs w:val="false"/>
          <w:sz w:val="20"/>
          <w:szCs w:val="20"/>
        </w:rPr>
        <w:t xml:space="preserve"> Com a aquisição e instalação dos tubos, a administração municipal busca alcançar os seguintes resultados:</w:t>
      </w:r>
    </w:p>
    <w:p>
      <w:pPr>
        <w:pStyle w:val="NormalWeb"/>
        <w:numPr>
          <w:ilvl w:val="0"/>
          <w:numId w:val="2"/>
        </w:numPr>
        <w:spacing w:before="280" w:after="0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  <w:t>Garantia do Escoamento da Safra: Assegurar que as estradas suportem o tráfego de caminhões e maquinário pesado, evitando interrupções no acesso às lavouras.</w:t>
      </w:r>
    </w:p>
    <w:p>
      <w:pPr>
        <w:pStyle w:val="NormalWeb"/>
        <w:numPr>
          <w:ilvl w:val="0"/>
          <w:numId w:val="2"/>
        </w:numPr>
        <w:spacing w:before="0" w:after="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  <w:t>Melhoria na Drenagem Rural: Eliminar pontos críticos de alagamento e erosão através da instalação e substituição de bueiros.</w:t>
      </w:r>
    </w:p>
    <w:p>
      <w:pPr>
        <w:pStyle w:val="NormalWeb"/>
        <w:numPr>
          <w:ilvl w:val="0"/>
          <w:numId w:val="2"/>
        </w:numPr>
        <w:spacing w:before="0" w:after="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  <w:t>Segurança no Transporte: Proporcionar vias seguras para o trânsito de moradores e, principalmente, para o transporte escolar rural.</w:t>
      </w:r>
    </w:p>
    <w:p>
      <w:pPr>
        <w:pStyle w:val="NormalWeb"/>
        <w:numPr>
          <w:ilvl w:val="0"/>
          <w:numId w:val="2"/>
        </w:numPr>
        <w:spacing w:before="0" w:after="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  <w:t>Eficiência no Gasto Público: Reduzir custos com manutenções emergenciais repetitivas, utilizando materiais que atendem às normas técnicas (NBR 8890).</w:t>
      </w:r>
    </w:p>
    <w:p>
      <w:pPr>
        <w:pStyle w:val="NormalWeb"/>
        <w:numPr>
          <w:ilvl w:val="0"/>
          <w:numId w:val="2"/>
        </w:numPr>
        <w:spacing w:before="0" w:after="28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cs="Courier New" w:ascii="Arial" w:hAnsi="Arial"/>
          <w:b w:val="false"/>
          <w:bCs w:val="false"/>
          <w:sz w:val="20"/>
          <w:szCs w:val="20"/>
        </w:rPr>
        <w:t>Celeridade no Atendimento: Atender prontamente as demandas dos produtores rurais através da agilidade na entrega.</w:t>
      </w:r>
    </w:p>
    <w:p>
      <w:pPr>
        <w:pStyle w:val="NormalWeb"/>
        <w:spacing w:before="280" w:after="280"/>
        <w:jc w:val="both"/>
        <w:rPr>
          <w:rFonts w:ascii="Arial" w:hAnsi="Arial"/>
          <w:sz w:val="20"/>
          <w:szCs w:val="20"/>
        </w:rPr>
      </w:pPr>
      <w:r>
        <w:rPr>
          <w:rFonts w:cs="Courier New" w:ascii="Arial" w:hAnsi="Arial"/>
          <w:b/>
          <w:bCs/>
          <w:sz w:val="20"/>
          <w:szCs w:val="20"/>
          <w:lang w:eastAsia="zh-CN"/>
        </w:rPr>
        <w:t xml:space="preserve">9. PROVIDÊNCIAS PRÉVIAS AO CONTRATO: </w:t>
      </w:r>
      <w:r>
        <w:rPr>
          <w:rFonts w:cs="Courier New" w:ascii="Arial" w:hAnsi="Arial"/>
          <w:color w:val="000000"/>
          <w:sz w:val="20"/>
          <w:szCs w:val="20"/>
        </w:rPr>
        <w:t>A Secretaria de Obras atuará como gestora da contratação e poderá sanar eventuais dúvidas e esclarecimentos sobre este objeto.</w:t>
      </w:r>
    </w:p>
    <w:p>
      <w:pPr>
        <w:pStyle w:val="NormalWeb"/>
        <w:spacing w:before="280" w:after="240"/>
        <w:jc w:val="both"/>
        <w:rPr>
          <w:rFonts w:ascii="Arial" w:hAnsi="Arial"/>
          <w:sz w:val="20"/>
          <w:szCs w:val="20"/>
        </w:rPr>
      </w:pPr>
      <w:r>
        <w:rPr>
          <w:rFonts w:cs="Courier New" w:ascii="Arial" w:hAnsi="Arial"/>
          <w:b/>
          <w:bCs/>
          <w:color w:val="000000"/>
          <w:sz w:val="20"/>
          <w:szCs w:val="20"/>
        </w:rPr>
        <w:t xml:space="preserve">10. CONTRATAÇÕES CORRELATAS E/OU INTERDEPENDENTES: </w:t>
      </w:r>
      <w:r>
        <w:rPr>
          <w:rFonts w:cs="Courier New" w:ascii="Arial" w:hAnsi="Arial"/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da proposta.</w:t>
      </w:r>
    </w:p>
    <w:p>
      <w:pPr>
        <w:pStyle w:val="NormalWeb"/>
        <w:spacing w:before="280" w:after="280"/>
        <w:jc w:val="both"/>
        <w:rPr>
          <w:rFonts w:ascii="Arial" w:hAnsi="Arial"/>
          <w:sz w:val="20"/>
          <w:szCs w:val="20"/>
        </w:rPr>
      </w:pPr>
      <w:r>
        <w:rPr>
          <w:rFonts w:cs="Courier New" w:ascii="Arial" w:hAnsi="Arial"/>
          <w:b/>
          <w:bCs/>
          <w:color w:val="000000"/>
          <w:sz w:val="20"/>
          <w:szCs w:val="20"/>
        </w:rPr>
        <w:t xml:space="preserve">11. POSSÍVEIS IMPACTOS AMBIENTAIS: </w:t>
      </w:r>
      <w:r>
        <w:rPr>
          <w:rFonts w:cs="Courier New" w:ascii="Arial" w:hAnsi="Arial"/>
          <w:sz w:val="20"/>
          <w:szCs w:val="20"/>
        </w:rPr>
        <w:t xml:space="preserve">Não se vislumbram impactos ambientais provenientes desta contratação. </w:t>
      </w:r>
      <w:r>
        <w:rPr>
          <w:rFonts w:cs="Courier New" w:ascii="Arial" w:hAnsi="Arial"/>
          <w:color w:val="000000"/>
          <w:sz w:val="20"/>
          <w:szCs w:val="20"/>
        </w:rPr>
        <w:t>Orientações complementares acerca da sustentabilidade da prestação almejada poderão ser repassadas pela fiscalização competente.</w:t>
      </w:r>
    </w:p>
    <w:p>
      <w:pPr>
        <w:pStyle w:val="NormalWeb"/>
        <w:spacing w:before="280" w:after="280"/>
        <w:jc w:val="both"/>
        <w:rPr>
          <w:rFonts w:ascii="Arial" w:hAnsi="Arial"/>
          <w:sz w:val="20"/>
          <w:szCs w:val="20"/>
        </w:rPr>
      </w:pPr>
      <w:bookmarkStart w:id="16" w:name="art18§1xiii"/>
      <w:bookmarkEnd w:id="16"/>
      <w:r>
        <w:rPr>
          <w:rFonts w:cs="Courier New" w:ascii="Arial" w:hAnsi="Arial"/>
          <w:b/>
          <w:bCs/>
          <w:color w:val="000000"/>
          <w:sz w:val="20"/>
          <w:szCs w:val="20"/>
        </w:rPr>
        <w:t xml:space="preserve">12. DECLARAÇÃO DE VIABILIDADE: </w:t>
      </w:r>
      <w:r>
        <w:rPr>
          <w:rFonts w:ascii="Arial" w:hAnsi="Arial"/>
          <w:sz w:val="20"/>
          <w:szCs w:val="20"/>
        </w:rPr>
        <w:t xml:space="preserve">Com base na análise técnica e econômica, a contratação via Pregão Eletrônico é declarada </w:t>
      </w:r>
      <w:r>
        <w:rPr>
          <w:rFonts w:ascii="Arial" w:hAnsi="Arial"/>
          <w:b/>
          <w:sz w:val="20"/>
          <w:szCs w:val="20"/>
        </w:rPr>
        <w:t>VIÁVEL</w:t>
      </w:r>
      <w:r>
        <w:rPr>
          <w:rFonts w:ascii="Arial" w:hAnsi="Arial"/>
          <w:sz w:val="20"/>
          <w:szCs w:val="20"/>
        </w:rPr>
        <w:t xml:space="preserve"> e representa a alternativa mais eficiente para o interesse público. </w:t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Arial" w:hAnsi="Arial"/>
          <w:sz w:val="20"/>
          <w:szCs w:val="20"/>
        </w:rPr>
      </w:pPr>
      <w:r>
        <w:rPr>
          <w:rFonts w:cs="Courier New"/>
          <w:sz w:val="20"/>
          <w:szCs w:val="20"/>
        </w:rPr>
        <w:t xml:space="preserve">Cruzaltense - RS, </w:t>
      </w:r>
      <w:r>
        <w:rPr>
          <w:rFonts w:cs="Courier New"/>
          <w:sz w:val="20"/>
          <w:szCs w:val="20"/>
        </w:rPr>
        <w:t>14 de maio</w:t>
      </w:r>
      <w:r>
        <w:rPr>
          <w:rFonts w:cs="Courier New"/>
          <w:sz w:val="20"/>
          <w:szCs w:val="20"/>
        </w:rPr>
        <w:t xml:space="preserve"> de 2026.</w:t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Courier New" w:hAnsi="Courier New" w:cs="Courier New"/>
          <w:sz w:val="20"/>
        </w:rPr>
      </w:pPr>
      <w:r>
        <w:rPr>
          <w:rFonts w:cs="Courier New" w:ascii="Courier New" w:hAnsi="Courier New"/>
          <w:sz w:val="20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Courier New" w:hAnsi="Courier New" w:cs="Courier New"/>
          <w:sz w:val="20"/>
        </w:rPr>
      </w:pPr>
      <w:r>
        <w:rPr>
          <w:rFonts w:cs="Courier New" w:ascii="Courier New" w:hAnsi="Courier New"/>
          <w:sz w:val="20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Courier New" w:hAnsi="Courier New" w:cs="Courier New"/>
          <w:sz w:val="20"/>
        </w:rPr>
      </w:pPr>
      <w:r>
        <w:rPr>
          <w:rFonts w:cs="Courier New" w:ascii="Courier New" w:hAnsi="Courier New"/>
          <w:sz w:val="20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Courier New" w:hAnsi="Courier New" w:cs="Courier New"/>
          <w:sz w:val="20"/>
        </w:rPr>
      </w:pPr>
      <w:r>
        <w:rPr>
          <w:rFonts w:cs="Courier New" w:ascii="Courier New" w:hAnsi="Courier New"/>
          <w:sz w:val="20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rFonts w:ascii="Courier New" w:hAnsi="Courier New" w:cs="Courier New"/>
          <w:sz w:val="20"/>
        </w:rPr>
      </w:pPr>
      <w:r>
        <w:rPr>
          <w:rFonts w:cs="Courier New" w:ascii="Courier New" w:hAnsi="Courier New"/>
          <w:sz w:val="20"/>
        </w:rPr>
      </w:r>
    </w:p>
    <w:p>
      <w:pPr>
        <w:pStyle w:val="Normal"/>
        <w:tabs>
          <w:tab w:val="clear" w:pos="708"/>
          <w:tab w:val="left" w:pos="1134" w:leader="none"/>
        </w:tabs>
        <w:jc w:val="center"/>
        <w:rPr>
          <w:rFonts w:ascii="Courier New" w:hAnsi="Courier New" w:cs="Courier New"/>
          <w:sz w:val="20"/>
          <w:lang w:eastAsia="pt-BR"/>
        </w:rPr>
      </w:pPr>
      <w:r>
        <w:rPr>
          <w:rFonts w:cs="Courier New" w:ascii="Courier New" w:hAnsi="Courier New"/>
          <w:sz w:val="20"/>
          <w:lang w:eastAsia="pt-BR"/>
        </w:rPr>
        <w:t>_____________________________</w:t>
      </w:r>
    </w:p>
    <w:p>
      <w:pPr>
        <w:pStyle w:val="Normal"/>
        <w:tabs>
          <w:tab w:val="clear" w:pos="708"/>
          <w:tab w:val="left" w:pos="1134" w:leader="none"/>
        </w:tabs>
        <w:jc w:val="center"/>
        <w:rPr>
          <w:rFonts w:ascii="Courier New" w:hAnsi="Courier New" w:cs="Courier New"/>
          <w:sz w:val="20"/>
          <w:lang w:eastAsia="pt-BR"/>
        </w:rPr>
      </w:pPr>
      <w:r>
        <w:rPr>
          <w:rFonts w:cs="Courier New" w:ascii="Courier New" w:hAnsi="Courier New"/>
          <w:sz w:val="20"/>
          <w:lang w:eastAsia="pt-BR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227" w:top="1588" w:footer="212" w:bottom="62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Calibri Light">
    <w:charset w:val="00"/>
    <w:family w:val="swiss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1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jc w:val="center"/>
      <w:rPr>
        <w:b/>
      </w:rPr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-501650</wp:posOffset>
          </wp:positionH>
          <wp:positionV relativeFrom="paragraph">
            <wp:posOffset>-67310</wp:posOffset>
          </wp:positionV>
          <wp:extent cx="805815" cy="866140"/>
          <wp:effectExtent l="0" t="0" r="0" b="0"/>
          <wp:wrapTopAndBottom/>
          <wp:docPr id="1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866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>ESTADO DO RIO GRANDE DO SUL</w:t>
    </w:r>
  </w:p>
  <w:p>
    <w:pPr>
      <w:pStyle w:val="BodyText"/>
      <w:jc w:val="center"/>
      <w:rPr/>
    </w:pPr>
    <w:r>
      <w:rPr/>
      <w:t>MUNICÍPIO DE CRUZALTENSE</w:t>
    </w:r>
  </w:p>
  <w:p>
    <w:pPr>
      <w:pStyle w:val="BodyText"/>
      <w:jc w:val="center"/>
      <w:rPr/>
    </w:pPr>
    <w:r>
      <w:rPr/>
      <w:t>PODER EXECUTIVO</w:t>
    </w:r>
  </w:p>
  <w:p>
    <w:pPr>
      <w:pStyle w:val="BodyText"/>
      <w:jc w:val="center"/>
      <w:rPr/>
    </w:pPr>
    <w:r>
      <w:rPr/>
      <w:t>SECRETARIA DE COORDENAÇÃO E PLANEJAMENTO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jc w:val="center"/>
      <w:rPr>
        <w:b/>
      </w:rPr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-501650</wp:posOffset>
          </wp:positionH>
          <wp:positionV relativeFrom="paragraph">
            <wp:posOffset>-67310</wp:posOffset>
          </wp:positionV>
          <wp:extent cx="805815" cy="866140"/>
          <wp:effectExtent l="0" t="0" r="0" b="0"/>
          <wp:wrapTopAndBottom/>
          <wp:docPr id="2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866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>ESTADO DO RIO GRANDE DO SUL</w:t>
    </w:r>
  </w:p>
  <w:p>
    <w:pPr>
      <w:pStyle w:val="BodyText"/>
      <w:jc w:val="center"/>
      <w:rPr/>
    </w:pPr>
    <w:r>
      <w:rPr/>
      <w:t>MUNICÍPIO DE CRUZALTENSE</w:t>
    </w:r>
  </w:p>
  <w:p>
    <w:pPr>
      <w:pStyle w:val="BodyText"/>
      <w:jc w:val="center"/>
      <w:rPr/>
    </w:pPr>
    <w:r>
      <w:rPr/>
      <w:t>PODER EXECUTIVO</w:t>
    </w:r>
  </w:p>
  <w:p>
    <w:pPr>
      <w:pStyle w:val="BodyText"/>
      <w:jc w:val="center"/>
      <w:rPr/>
    </w:pPr>
    <w:r>
      <w:rPr/>
      <w:t>SECRETARIA DE COORDENAÇÃO E PLANEJAMENTO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4">
    <w:name w:val="Fonte parág. padrão4"/>
    <w:qFormat/>
    <w:rPr/>
  </w:style>
  <w:style w:type="character" w:styleId="Absatz-Standardschriftart">
    <w:name w:val="Absatz-Standardschriftart"/>
    <w:qFormat/>
    <w:rPr/>
  </w:style>
  <w:style w:type="character" w:styleId="Fontepargpadro3">
    <w:name w:val="Fonte parág. padrão3"/>
    <w:qFormat/>
    <w:rPr/>
  </w:style>
  <w:style w:type="character" w:styleId="WW-Absatz-Standardschriftart">
    <w:name w:val="WW-Absatz-Standardschriftart"/>
    <w:qFormat/>
    <w:rPr/>
  </w:style>
  <w:style w:type="character" w:styleId="Fontepargpadro2">
    <w:name w:val="Fonte parág. padrão2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Refdenotaderodap1">
    <w:name w:val="Ref. de nota de rodapé1"/>
    <w:qFormat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WW-Caracteresdenotadefim">
    <w:name w:val="WW-Caracteres de nota de fim"/>
    <w:qFormat/>
    <w:rPr/>
  </w:style>
  <w:style w:type="character" w:styleId="Smbolosdenumeraouser">
    <w:name w:val="Símbolos de numeração (user)"/>
    <w:qFormat/>
    <w:rPr/>
  </w:style>
  <w:style w:type="character" w:styleId="Refdenotadefim1">
    <w:name w:val="Ref. de nota de fim1"/>
    <w:qFormat/>
    <w:rPr>
      <w:vertAlign w:val="superscript"/>
    </w:rPr>
  </w:style>
  <w:style w:type="character" w:styleId="Refdenotaderodap2">
    <w:name w:val="Ref. de nota de rodapé2"/>
    <w:qFormat/>
    <w:rPr>
      <w:vertAlign w:val="superscript"/>
    </w:rPr>
  </w:style>
  <w:style w:type="character" w:styleId="Refdenotadefim2">
    <w:name w:val="Ref. de nota de fim2"/>
    <w:qFormat/>
    <w:rPr>
      <w:vertAlign w:val="superscript"/>
    </w:rPr>
  </w:style>
  <w:style w:type="character" w:styleId="Refdenotaderodap3">
    <w:name w:val="Ref. de nota de rodapé3"/>
    <w:qFormat/>
    <w:rPr>
      <w:vertAlign w:val="superscript"/>
    </w:rPr>
  </w:style>
  <w:style w:type="character" w:styleId="Refdenotadefim3">
    <w:name w:val="Ref. de nota de fim3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>
    <w:name w:val="Rodapé Char"/>
    <w:link w:val="Rodap1"/>
    <w:qFormat/>
    <w:rPr>
      <w:rFonts w:ascii="Arial" w:hAnsi="Arial" w:cs="Arial"/>
      <w:sz w:val="22"/>
      <w:lang w:eastAsia="zh-CN"/>
    </w:rPr>
  </w:style>
  <w:style w:type="character" w:styleId="Refdenotaderodap5">
    <w:name w:val="Ref. de nota de rodapé5"/>
    <w:qFormat/>
    <w:rPr>
      <w:vertAlign w:val="superscript"/>
    </w:rPr>
  </w:style>
  <w:style w:type="character" w:styleId="TextodebaloChar">
    <w:name w:val="Texto de balão Char"/>
    <w:link w:val="BalloonText"/>
    <w:qFormat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qFormat/>
    <w:rPr>
      <w:color w:val="0563C1"/>
      <w:u w:val="single"/>
    </w:rPr>
  </w:style>
  <w:style w:type="character" w:styleId="MenoPendente1">
    <w:name w:val="Menção Pendente1"/>
    <w:qFormat/>
    <w:rPr>
      <w:color w:val="808080"/>
      <w:shd w:fill="E6E6E6" w:val="clear"/>
    </w:rPr>
  </w:style>
  <w:style w:type="character" w:styleId="FollowedHyperlink">
    <w:name w:val="FollowedHyperlink"/>
    <w:basedOn w:val="DefaultParagraphFont"/>
    <w:qFormat/>
    <w:rPr>
      <w:color w:themeColor="followedHyperlink" w:val="954F72"/>
      <w:u w:val="single"/>
    </w:rPr>
  </w:style>
  <w:style w:type="character" w:styleId="Ttulo2Char">
    <w:name w:val="Título 2 Char"/>
    <w:basedOn w:val="DefaultParagraphFont"/>
    <w:link w:val="Ttulo21"/>
    <w:qFormat/>
    <w:rPr>
      <w:rFonts w:ascii="Calibri Light" w:hAnsi="Calibri Light"/>
      <w:b/>
      <w:bCs/>
      <w:i/>
      <w:iCs/>
      <w:sz w:val="28"/>
      <w:szCs w:val="28"/>
    </w:rPr>
  </w:style>
  <w:style w:type="character" w:styleId="Ttulo3Char">
    <w:name w:val="Título 3 Char"/>
    <w:basedOn w:val="DefaultParagraphFont"/>
    <w:link w:val="Ttulo31"/>
    <w:qFormat/>
    <w:rPr>
      <w:rFonts w:ascii="Calibri Light" w:hAnsi="Calibri Light"/>
      <w:b/>
      <w:bCs/>
      <w:sz w:val="26"/>
      <w:szCs w:val="26"/>
    </w:rPr>
  </w:style>
  <w:style w:type="character" w:styleId="Ttulo7Char">
    <w:name w:val="Título 7 Char"/>
    <w:basedOn w:val="DefaultParagraphFont"/>
    <w:link w:val="Ttulo71"/>
    <w:qFormat/>
    <w:rPr>
      <w:b/>
      <w:spacing w:val="14"/>
      <w:sz w:val="24"/>
    </w:rPr>
  </w:style>
  <w:style w:type="character" w:styleId="WW8Num2z0">
    <w:name w:val="WW8Num2z0"/>
    <w:qFormat/>
    <w:rPr>
      <w:rFonts w:ascii="Monotype Sorts" w:hAnsi="Monotype Sorts"/>
    </w:rPr>
  </w:style>
  <w:style w:type="character" w:styleId="WW8Num3z0">
    <w:name w:val="WW8Num3z0"/>
    <w:qFormat/>
    <w:rPr>
      <w:b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/>
    </w:rPr>
  </w:style>
  <w:style w:type="character" w:styleId="WW8Num4z2">
    <w:name w:val="WW8Num4z2"/>
    <w:qFormat/>
    <w:rPr>
      <w:rFonts w:ascii="Wingdings" w:hAnsi="Wingdings"/>
    </w:rPr>
  </w:style>
  <w:style w:type="character" w:styleId="WW8Num4z3">
    <w:name w:val="WW8Num4z3"/>
    <w:qFormat/>
    <w:rPr>
      <w:rFonts w:ascii="Symbol" w:hAnsi="Symbol"/>
    </w:rPr>
  </w:style>
  <w:style w:type="character" w:styleId="WW8Num5z0">
    <w:name w:val="WW8Num5z0"/>
    <w:qFormat/>
    <w:rPr>
      <w:rFonts w:ascii="Times New Roman" w:hAnsi="Times New Roman"/>
      <w:b/>
    </w:rPr>
  </w:style>
  <w:style w:type="character" w:styleId="WW8Num6z0">
    <w:name w:val="WW8Num6z0"/>
    <w:qFormat/>
    <w:rPr>
      <w:b/>
    </w:rPr>
  </w:style>
  <w:style w:type="character" w:styleId="WW8Num7z0">
    <w:name w:val="WW8Num7z0"/>
    <w:qFormat/>
    <w:rPr>
      <w:b/>
    </w:rPr>
  </w:style>
  <w:style w:type="character" w:styleId="citation-205">
    <w:name w:val="citation-205"/>
    <w:basedOn w:val="DefaultParagraphFont"/>
    <w:qFormat/>
    <w:rPr/>
  </w:style>
  <w:style w:type="character" w:styleId="citation-204">
    <w:name w:val="citation-204"/>
    <w:basedOn w:val="DefaultParagraphFont"/>
    <w:qFormat/>
    <w:rPr/>
  </w:style>
  <w:style w:type="character" w:styleId="citation-203">
    <w:name w:val="citation-203"/>
    <w:basedOn w:val="DefaultParagraphFont"/>
    <w:qFormat/>
    <w:rPr/>
  </w:style>
  <w:style w:type="character" w:styleId="citation-202">
    <w:name w:val="citation-202"/>
    <w:basedOn w:val="DefaultParagraphFont"/>
    <w:qFormat/>
    <w:rPr/>
  </w:style>
  <w:style w:type="character" w:styleId="citation-200">
    <w:name w:val="citation-200"/>
    <w:basedOn w:val="DefaultParagraphFont"/>
    <w:qFormat/>
    <w:rPr/>
  </w:style>
  <w:style w:type="character" w:styleId="citation-199">
    <w:name w:val="citation-199"/>
    <w:basedOn w:val="DefaultParagraphFont"/>
    <w:qFormat/>
    <w:rPr/>
  </w:style>
  <w:style w:type="character" w:styleId="citation-198">
    <w:name w:val="citation-198"/>
    <w:basedOn w:val="DefaultParagraphFont"/>
    <w:qFormat/>
    <w:rPr/>
  </w:style>
  <w:style w:type="character" w:styleId="citation-197">
    <w:name w:val="citation-197"/>
    <w:basedOn w:val="DefaultParagraphFont"/>
    <w:qFormat/>
    <w:rPr/>
  </w:style>
  <w:style w:type="character" w:styleId="citation-196">
    <w:name w:val="citation-196"/>
    <w:basedOn w:val="DefaultParagraphFont"/>
    <w:qFormat/>
    <w:rPr/>
  </w:style>
  <w:style w:type="character" w:styleId="citation-195">
    <w:name w:val="citation-195"/>
    <w:basedOn w:val="DefaultParagraphFont"/>
    <w:qFormat/>
    <w:rPr/>
  </w:style>
  <w:style w:type="character" w:styleId="citation-189">
    <w:name w:val="citation-189"/>
    <w:basedOn w:val="DefaultParagraphFont"/>
    <w:qFormat/>
    <w:rPr/>
  </w:style>
  <w:style w:type="character" w:styleId="citation-188">
    <w:name w:val="citation-188"/>
    <w:basedOn w:val="DefaultParagraphFont"/>
    <w:qFormat/>
    <w:rPr/>
  </w:style>
  <w:style w:type="character" w:styleId="citation-187">
    <w:name w:val="citation-187"/>
    <w:basedOn w:val="DefaultParagraphFont"/>
    <w:qFormat/>
    <w:rPr/>
  </w:style>
  <w:style w:type="character" w:styleId="citation-186">
    <w:name w:val="citation-186"/>
    <w:basedOn w:val="DefaultParagraphFont"/>
    <w:qFormat/>
    <w:rPr/>
  </w:style>
  <w:style w:type="character" w:styleId="citation-185">
    <w:name w:val="citation-185"/>
    <w:basedOn w:val="DefaultParagraphFont"/>
    <w:qFormat/>
    <w:rPr/>
  </w:style>
  <w:style w:type="character" w:styleId="citation-184">
    <w:name w:val="citation-184"/>
    <w:basedOn w:val="DefaultParagraphFont"/>
    <w:qFormat/>
    <w:rPr/>
  </w:style>
  <w:style w:type="character" w:styleId="CabealhoChar">
    <w:name w:val="Cabeçalho Char"/>
    <w:basedOn w:val="DefaultParagraphFont"/>
    <w:qFormat/>
    <w:rPr>
      <w:rFonts w:ascii="Arial" w:hAnsi="Arial" w:cs="Arial"/>
      <w:sz w:val="22"/>
      <w:lang w:eastAsia="zh-CN"/>
    </w:rPr>
  </w:style>
  <w:style w:type="character" w:styleId="RodapChar1">
    <w:name w:val="Rodapé Char1"/>
    <w:basedOn w:val="DefaultParagraphFont"/>
    <w:qFormat/>
    <w:rPr>
      <w:rFonts w:ascii="Arial" w:hAnsi="Arial" w:cs="Arial"/>
      <w:sz w:val="22"/>
      <w:lang w:eastAsia="zh-CN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widowControl w:val="false"/>
      <w:jc w:val="both"/>
    </w:pPr>
    <w:rPr>
      <w:rFonts w:ascii="Times New Roman" w:hAnsi="Times New Roman" w:cs="Times New Roman"/>
      <w:sz w:val="28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Tahoma"/>
    </w:rPr>
  </w:style>
  <w:style w:type="paragraph" w:styleId="Ttulo11">
    <w:name w:val="Título 1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1">
    <w:name w:val="Título 21"/>
    <w:basedOn w:val="Normal"/>
    <w:next w:val="Normal"/>
    <w:link w:val="Ttulo2Char"/>
    <w:qFormat/>
    <w:pPr>
      <w:keepNext w:val="true"/>
      <w:numPr>
        <w:ilvl w:val="0"/>
        <w:numId w:val="0"/>
      </w:numPr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1">
    <w:name w:val="Título 31"/>
    <w:basedOn w:val="Normal"/>
    <w:next w:val="Normal"/>
    <w:link w:val="Ttulo3Char"/>
    <w:qFormat/>
    <w:pPr>
      <w:keepNext w:val="true"/>
      <w:numPr>
        <w:ilvl w:val="0"/>
        <w:numId w:val="0"/>
      </w:numPr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1">
    <w:name w:val="Título 71"/>
    <w:basedOn w:val="Normal"/>
    <w:next w:val="Normal"/>
    <w:link w:val="Ttulo7Char"/>
    <w:qFormat/>
    <w:pPr>
      <w:keepNext w:val="true"/>
      <w:numPr>
        <w:ilvl w:val="6"/>
        <w:numId w:val="1"/>
      </w:numPr>
      <w:tabs>
        <w:tab w:val="clear" w:pos="708"/>
        <w:tab w:val="left" w:pos="2835" w:leader="none"/>
      </w:tabs>
      <w:spacing w:lineRule="exact" w:line="280"/>
      <w:ind w:hanging="57" w:left="57" w:right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tulo3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>
    <w:name w:val="Capítulo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Subtitle">
    <w:name w:val="Subtitle"/>
    <w:basedOn w:val="Captulo"/>
    <w:next w:val="BodyText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Rodap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1">
    <w:name w:val="Cabeçalho1"/>
    <w:basedOn w:val="Normal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>
    <w:name w:val="JE1"/>
    <w:basedOn w:val="Ttulo11"/>
    <w:qFormat/>
    <w:pPr>
      <w:numPr>
        <w:ilvl w:val="0"/>
        <w:numId w:val="0"/>
      </w:numPr>
      <w:jc w:val="center"/>
    </w:pPr>
    <w:rPr/>
  </w:style>
  <w:style w:type="paragraph" w:styleId="BodyTextIndent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1">
    <w:name w:val="Texto de nota de rodapé1"/>
    <w:basedOn w:val="Normal"/>
    <w:qFormat/>
    <w:pPr/>
    <w:rPr>
      <w:rFonts w:ascii="Times New Roman" w:hAnsi="Times New Roman" w:cs="Times New Roman"/>
      <w:sz w:val="20"/>
    </w:rPr>
  </w:style>
  <w:style w:type="paragraph" w:styleId="Corpodetexto21">
    <w:name w:val="Corpo de texto 21"/>
    <w:basedOn w:val="Normal"/>
    <w:qFormat/>
    <w:pPr>
      <w:jc w:val="both"/>
    </w:pPr>
    <w:rPr/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styleId="Contedodequadro">
    <w:name w:val="Conteúdo de quadro"/>
    <w:basedOn w:val="BodyText"/>
    <w:qFormat/>
    <w:pPr/>
    <w:rPr/>
  </w:style>
  <w:style w:type="paragraph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styleId="Contedodoquadrouser">
    <w:name w:val="Conteúdo do quadro (user)"/>
    <w:basedOn w:val="BodyText"/>
    <w:qFormat/>
    <w:pPr/>
    <w:rPr/>
  </w:style>
  <w:style w:type="paragraph" w:styleId="BalloonText">
    <w:name w:val="Balloon Text"/>
    <w:basedOn w:val="Normal"/>
    <w:link w:val="TextodebaloChar"/>
    <w:qFormat/>
    <w:pPr/>
    <w:rPr>
      <w:rFonts w:ascii="Segoe UI" w:hAnsi="Segoe UI" w:cs="Segoe UI"/>
      <w:sz w:val="18"/>
      <w:szCs w:val="18"/>
    </w:rPr>
  </w:style>
  <w:style w:type="paragraph" w:styleId="Textoembloco1">
    <w:name w:val="Texto em bloco1"/>
    <w:basedOn w:val="Normal"/>
    <w:qFormat/>
    <w:pPr>
      <w:ind w:firstLine="1134" w:left="4253" w:right="57"/>
      <w:jc w:val="both"/>
    </w:pPr>
    <w:rPr>
      <w:rFonts w:cs="Times New Roman"/>
      <w:i/>
      <w:spacing w:val="14"/>
    </w:rPr>
  </w:style>
  <w:style w:type="paragraph" w:styleId="texto2">
    <w:name w:val="texto2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>
    <w:name w:val="04partenormativa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Default">
    <w:name w:val="Default"/>
    <w:qFormat/>
    <w:pPr>
      <w:widowControl/>
      <w:suppressAutoHyphens w:val="false"/>
      <w:overflowPunct w:val="true"/>
      <w:bidi w:val="0"/>
      <w:spacing w:before="0" w:after="0"/>
      <w:jc w:val="left"/>
    </w:pPr>
    <w:rPr>
      <w:rFonts w:ascii="Tahoma" w:hAnsi="Tahoma" w:eastAsia="Times New Roman" w:cs="Tahoma"/>
      <w:color w:val="000000"/>
      <w:kern w:val="0"/>
      <w:sz w:val="24"/>
      <w:szCs w:val="24"/>
      <w:lang w:val="pt-BR" w:eastAsia="pt-BR" w:bidi="ar-SA"/>
    </w:rPr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1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Application>LibreOffice/25.2.7.2$Windows_X86_64 LibreOffice_project/5cbfd1ab6520636bb5f7b99185aa69bd7456825d</Application>
  <AppVersion>15.0000</AppVersion>
  <Pages>2</Pages>
  <Words>901</Words>
  <Characters>4933</Characters>
  <CharactersWithSpaces>5725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2026-01-21T23:09:00Z</dcterms:created>
  <dc:creator>Marcia Bello</dc:creator>
  <dc:description/>
  <dc:language>pt-BR</dc:language>
  <cp:lastModifiedBy/>
  <cp:lastPrinted>2026-02-10T12:02:00Z</cp:lastPrinted>
  <dcterms:modified xsi:type="dcterms:W3CDTF">2026-05-14T15:54:29Z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