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FD8CCB" w14:textId="77777777" w:rsidR="00DD6EFB" w:rsidRPr="00AC3C0A" w:rsidRDefault="00DD6EFB" w:rsidP="00DD6EFB">
      <w:pPr>
        <w:jc w:val="center"/>
        <w:rPr>
          <w:b/>
        </w:rPr>
      </w:pPr>
      <w:r w:rsidRPr="00AC3C0A">
        <w:rPr>
          <w:b/>
        </w:rPr>
        <w:t>PARECER JURÍDICO</w:t>
      </w:r>
    </w:p>
    <w:p w14:paraId="1FC90240" w14:textId="77777777" w:rsidR="00DD6EFB" w:rsidRPr="00AC3C0A" w:rsidRDefault="00DD6EFB" w:rsidP="00DD6EFB">
      <w:pPr>
        <w:jc w:val="both"/>
      </w:pPr>
    </w:p>
    <w:p w14:paraId="7D680CE4" w14:textId="77777777" w:rsidR="00DD6EFB" w:rsidRPr="00AC3C0A" w:rsidRDefault="00DD6EFB" w:rsidP="00DD6EFB">
      <w:pPr>
        <w:tabs>
          <w:tab w:val="left" w:pos="12399"/>
        </w:tabs>
        <w:jc w:val="both"/>
      </w:pPr>
    </w:p>
    <w:p w14:paraId="01291DAA" w14:textId="77777777" w:rsidR="00DD6EFB" w:rsidRPr="00AC3C0A" w:rsidRDefault="00DD6EFB" w:rsidP="00DD6EFB">
      <w:pPr>
        <w:tabs>
          <w:tab w:val="left" w:pos="12399"/>
        </w:tabs>
        <w:jc w:val="both"/>
      </w:pPr>
    </w:p>
    <w:p w14:paraId="2163BA35" w14:textId="7B35CE01" w:rsidR="00DD6EFB" w:rsidRPr="00AC3C0A" w:rsidRDefault="00743F87" w:rsidP="00DD6EFB">
      <w:pPr>
        <w:tabs>
          <w:tab w:val="left" w:pos="12399"/>
        </w:tabs>
        <w:ind w:left="4111"/>
        <w:jc w:val="both"/>
        <w:rPr>
          <w:b/>
          <w:bCs/>
        </w:rPr>
      </w:pPr>
      <w:r>
        <w:rPr>
          <w:b/>
          <w:bCs/>
        </w:rPr>
        <w:t>Direito Administrativo. Credenciamento de empresas para serviço de maquiagem e penteado para integrantes das Cortes Municipais. Aplicação da Lei Federal nº 14.133/2021. Possibilidade Jurídica. Recomendações necessárias.</w:t>
      </w:r>
    </w:p>
    <w:p w14:paraId="09EB469F" w14:textId="77777777" w:rsidR="00DD6EFB" w:rsidRPr="00AC3C0A" w:rsidRDefault="00DD6EFB" w:rsidP="00DD6EFB">
      <w:pPr>
        <w:tabs>
          <w:tab w:val="left" w:pos="12399"/>
        </w:tabs>
        <w:jc w:val="both"/>
      </w:pPr>
    </w:p>
    <w:p w14:paraId="2200E5B1" w14:textId="77777777" w:rsidR="00DD6EFB" w:rsidRPr="00AC3C0A" w:rsidRDefault="00DD6EFB" w:rsidP="00DD6EFB">
      <w:pPr>
        <w:tabs>
          <w:tab w:val="left" w:pos="12399"/>
        </w:tabs>
        <w:jc w:val="both"/>
      </w:pPr>
    </w:p>
    <w:p w14:paraId="0701DC50" w14:textId="50C7D32D" w:rsidR="00DA7EAE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 xml:space="preserve">Trata-se de solicitação de parecer jurídico, encaminhada a esta Assessoria Jurídica, nos termos do art. 53, da Lei 14.133/21, na qual requer análise jurídica da legalidade do Processo de Licitação em epígrafe, para </w:t>
      </w:r>
      <w:r w:rsidR="00DA7EAE" w:rsidRPr="00AC3C0A">
        <w:t xml:space="preserve">credenciamento </w:t>
      </w:r>
      <w:r w:rsidR="00AC3C0A">
        <w:t xml:space="preserve">de </w:t>
      </w:r>
      <w:r w:rsidR="000F340C">
        <w:t xml:space="preserve">empresas </w:t>
      </w:r>
      <w:r w:rsidR="00A34893">
        <w:t>especializadas em serviços de maquiagem e penteado para as integrantes das cortes municipais.</w:t>
      </w:r>
    </w:p>
    <w:p w14:paraId="64897F6E" w14:textId="03485794" w:rsidR="00DD6EFB" w:rsidRPr="00AC3C0A" w:rsidRDefault="00DD6EFB" w:rsidP="00DA7EAE">
      <w:pPr>
        <w:tabs>
          <w:tab w:val="left" w:pos="12399"/>
        </w:tabs>
        <w:jc w:val="both"/>
      </w:pPr>
    </w:p>
    <w:p w14:paraId="55B610DE" w14:textId="77777777" w:rsidR="00A34893" w:rsidRPr="00AC3C0A" w:rsidRDefault="00A34893" w:rsidP="00DD6EFB">
      <w:pPr>
        <w:tabs>
          <w:tab w:val="left" w:pos="12399"/>
        </w:tabs>
        <w:ind w:firstLine="1843"/>
        <w:jc w:val="both"/>
      </w:pPr>
    </w:p>
    <w:p w14:paraId="068A5B39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04DA3FED" w14:textId="77777777" w:rsidR="00DD6EFB" w:rsidRPr="00AC3C0A" w:rsidRDefault="00DD6EFB" w:rsidP="00DD6EFB">
      <w:pPr>
        <w:tabs>
          <w:tab w:val="left" w:pos="12399"/>
        </w:tabs>
        <w:ind w:firstLine="1843"/>
        <w:jc w:val="both"/>
        <w:rPr>
          <w:b/>
          <w:bCs/>
        </w:rPr>
      </w:pPr>
      <w:r w:rsidRPr="00AC3C0A">
        <w:rPr>
          <w:b/>
          <w:bCs/>
        </w:rPr>
        <w:t xml:space="preserve">Manifestação. </w:t>
      </w:r>
    </w:p>
    <w:p w14:paraId="43D30CA3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1298A322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>De início, ressaltamos que o parecer jurídico tem natureza eminentemente opinativa e consultiva, não vinculando, em regra, os atos administrativos que a ele sucederem, estando excluídos dessa análise aspectos de natureza técnica, econômica, financeira e administrativa, bem como, os aspectos referentes a conveniência e a oportunidade da prática dos atos administrativos, que são de responsabilidade dos demais órgãos municipais.</w:t>
      </w:r>
    </w:p>
    <w:p w14:paraId="04B701A2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7BC652C1" w14:textId="074F1DCC" w:rsidR="00DD6EFB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 xml:space="preserve">Em relação aos aspectos de natureza técnica, alheios </w:t>
      </w:r>
      <w:r w:rsidR="00DA7EAE" w:rsidRPr="00AC3C0A">
        <w:t>à</w:t>
      </w:r>
      <w:r w:rsidRPr="00AC3C0A">
        <w:t xml:space="preserve"> seara jurídica, parte-se da premissa que os setores e servidores competentes para sua apreciação detêm os conhecimentos específicos necessários e os analisaram adequadamente, verificando a exatidão das informações constantes dos autos e atuando em conformidade com as suas atribuições.</w:t>
      </w:r>
    </w:p>
    <w:p w14:paraId="0261AB15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77ECE691" w14:textId="3702692B" w:rsidR="00DD6EFB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 xml:space="preserve">Ao caso concreto, o processo licitatório tem por escopo o objeto acima citado, de acordo com as especificações e quantitativos estabelecidos no edital e seus anexos, </w:t>
      </w:r>
      <w:r w:rsidR="00A34893">
        <w:t xml:space="preserve">mas </w:t>
      </w:r>
      <w:r w:rsidRPr="00AC3C0A">
        <w:t xml:space="preserve">especialmente no termo de referência. Primeiramente, é importante ressaltar que a licitação pública, em regra, é o mais adequado e justo para que a administração pública aliene, alugue, contrate, adquira, outorgue concessões e permissões, conforme inteligência do art. 2º, da Lei 14.1338/2021, in </w:t>
      </w:r>
      <w:proofErr w:type="spellStart"/>
      <w:r w:rsidRPr="00AC3C0A">
        <w:t>verbis</w:t>
      </w:r>
      <w:proofErr w:type="spellEnd"/>
      <w:r w:rsidRPr="00AC3C0A">
        <w:t xml:space="preserve">: </w:t>
      </w:r>
    </w:p>
    <w:p w14:paraId="565653BE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48D795BC" w14:textId="77777777" w:rsidR="00DD6EFB" w:rsidRPr="00AC3C0A" w:rsidRDefault="00DD6EFB" w:rsidP="00DA7EAE">
      <w:pPr>
        <w:tabs>
          <w:tab w:val="left" w:pos="12399"/>
        </w:tabs>
        <w:ind w:left="3402"/>
        <w:jc w:val="both"/>
      </w:pPr>
      <w:hyperlink r:id="rId8" w:tooltip="Art. 2 da Lei 14133/21" w:history="1">
        <w:r w:rsidRPr="00AC3C0A">
          <w:rPr>
            <w:rStyle w:val="Hyperlink"/>
            <w:color w:val="auto"/>
            <w:u w:val="none"/>
          </w:rPr>
          <w:t>Art. 2º</w:t>
        </w:r>
      </w:hyperlink>
      <w:r w:rsidRPr="00AC3C0A">
        <w:t> Esta Lei aplica-se a: </w:t>
      </w:r>
    </w:p>
    <w:p w14:paraId="119834DA" w14:textId="77777777" w:rsidR="00DD6EFB" w:rsidRPr="00AC3C0A" w:rsidRDefault="00DD6EFB" w:rsidP="00DA7EAE">
      <w:pPr>
        <w:tabs>
          <w:tab w:val="left" w:pos="12399"/>
        </w:tabs>
        <w:ind w:left="3402"/>
        <w:jc w:val="both"/>
      </w:pPr>
      <w:hyperlink r:id="rId9" w:tooltip="Art. 2, inc. I da Lei 14133/21" w:history="1">
        <w:r w:rsidRPr="00AC3C0A">
          <w:rPr>
            <w:rStyle w:val="Hyperlink"/>
            <w:color w:val="auto"/>
            <w:u w:val="none"/>
          </w:rPr>
          <w:t>I </w:t>
        </w:r>
      </w:hyperlink>
      <w:r w:rsidRPr="00AC3C0A">
        <w:t xml:space="preserve">- alienação e concessão de direito real de uso de bens;  </w:t>
      </w:r>
    </w:p>
    <w:p w14:paraId="173043B9" w14:textId="77777777" w:rsidR="00DD6EFB" w:rsidRPr="00AC3C0A" w:rsidRDefault="00DD6EFB" w:rsidP="00DA7EAE">
      <w:pPr>
        <w:tabs>
          <w:tab w:val="left" w:pos="12399"/>
        </w:tabs>
        <w:ind w:left="3402"/>
        <w:jc w:val="both"/>
      </w:pPr>
      <w:hyperlink r:id="rId10" w:tooltip="Art. 2, inc. II da Lei 14133/21" w:history="1">
        <w:r w:rsidRPr="00AC3C0A">
          <w:rPr>
            <w:rStyle w:val="Hyperlink"/>
            <w:color w:val="auto"/>
            <w:u w:val="none"/>
          </w:rPr>
          <w:t>II </w:t>
        </w:r>
      </w:hyperlink>
      <w:r w:rsidRPr="00AC3C0A">
        <w:t xml:space="preserve">- compra, inclusive por encomenda;  </w:t>
      </w:r>
    </w:p>
    <w:p w14:paraId="31A2D059" w14:textId="77777777" w:rsidR="00DD6EFB" w:rsidRPr="00AC3C0A" w:rsidRDefault="00DD6EFB" w:rsidP="00DA7EAE">
      <w:pPr>
        <w:tabs>
          <w:tab w:val="left" w:pos="12399"/>
        </w:tabs>
        <w:ind w:left="3402"/>
        <w:jc w:val="both"/>
      </w:pPr>
      <w:hyperlink r:id="rId11" w:tooltip="Art. 2, inc. III da Lei 14133/21" w:history="1">
        <w:r w:rsidRPr="00AC3C0A">
          <w:rPr>
            <w:rStyle w:val="Hyperlink"/>
            <w:color w:val="auto"/>
            <w:u w:val="none"/>
          </w:rPr>
          <w:t>III </w:t>
        </w:r>
      </w:hyperlink>
      <w:r w:rsidRPr="00AC3C0A">
        <w:t xml:space="preserve">- locação;  </w:t>
      </w:r>
    </w:p>
    <w:p w14:paraId="4E1FAC64" w14:textId="77777777" w:rsidR="00DD6EFB" w:rsidRPr="00AC3C0A" w:rsidRDefault="00DD6EFB" w:rsidP="00DA7EAE">
      <w:pPr>
        <w:tabs>
          <w:tab w:val="left" w:pos="12399"/>
        </w:tabs>
        <w:ind w:left="3402"/>
        <w:jc w:val="both"/>
      </w:pPr>
      <w:hyperlink r:id="rId12" w:tooltip="Art. 2, inc. IV da Lei 14133/21" w:history="1">
        <w:r w:rsidRPr="00AC3C0A">
          <w:rPr>
            <w:rStyle w:val="Hyperlink"/>
            <w:color w:val="auto"/>
            <w:u w:val="none"/>
          </w:rPr>
          <w:t>IV </w:t>
        </w:r>
      </w:hyperlink>
      <w:r w:rsidRPr="00AC3C0A">
        <w:t xml:space="preserve">- concessão e permissão de uso de bens públicos;  </w:t>
      </w:r>
    </w:p>
    <w:p w14:paraId="30254BCD" w14:textId="77777777" w:rsidR="00DD6EFB" w:rsidRPr="00AC3C0A" w:rsidRDefault="00DD6EFB" w:rsidP="00DA7EAE">
      <w:pPr>
        <w:tabs>
          <w:tab w:val="left" w:pos="12399"/>
        </w:tabs>
        <w:ind w:left="3402"/>
        <w:jc w:val="both"/>
      </w:pPr>
      <w:hyperlink r:id="rId13" w:tooltip="Art. 2, inc. V da Lei 14133/21" w:history="1">
        <w:r w:rsidRPr="00AC3C0A">
          <w:rPr>
            <w:rStyle w:val="Hyperlink"/>
            <w:color w:val="auto"/>
            <w:u w:val="none"/>
          </w:rPr>
          <w:t>V </w:t>
        </w:r>
      </w:hyperlink>
      <w:r w:rsidRPr="00AC3C0A">
        <w:t xml:space="preserve">- prestação de serviços, inclusive os técnico-profissionais especializados;  </w:t>
      </w:r>
    </w:p>
    <w:p w14:paraId="21D9B84A" w14:textId="77777777" w:rsidR="00DD6EFB" w:rsidRPr="00AC3C0A" w:rsidRDefault="00DD6EFB" w:rsidP="00DA7EAE">
      <w:pPr>
        <w:tabs>
          <w:tab w:val="left" w:pos="12399"/>
        </w:tabs>
        <w:ind w:left="3402"/>
        <w:jc w:val="both"/>
      </w:pPr>
      <w:hyperlink r:id="rId14" w:tooltip="Art. 2, inc. VI da Lei 14133/21" w:history="1">
        <w:r w:rsidRPr="00AC3C0A">
          <w:rPr>
            <w:rStyle w:val="Hyperlink"/>
            <w:color w:val="auto"/>
            <w:u w:val="none"/>
          </w:rPr>
          <w:t>VI </w:t>
        </w:r>
      </w:hyperlink>
      <w:r w:rsidRPr="00AC3C0A">
        <w:t xml:space="preserve">- obras e serviços de arquitetura e engenharia;  </w:t>
      </w:r>
    </w:p>
    <w:p w14:paraId="387FA6EE" w14:textId="77777777" w:rsidR="00DD6EFB" w:rsidRPr="00AC3C0A" w:rsidRDefault="00DD6EFB" w:rsidP="00DA7EAE">
      <w:pPr>
        <w:tabs>
          <w:tab w:val="left" w:pos="12399"/>
        </w:tabs>
        <w:ind w:left="3402"/>
        <w:jc w:val="both"/>
      </w:pPr>
      <w:hyperlink r:id="rId15" w:tooltip="Art. 2, inc. VII da Lei 14133/21" w:history="1">
        <w:r w:rsidRPr="00AC3C0A">
          <w:rPr>
            <w:rStyle w:val="Hyperlink"/>
            <w:color w:val="auto"/>
            <w:u w:val="none"/>
          </w:rPr>
          <w:t>VII </w:t>
        </w:r>
      </w:hyperlink>
      <w:r w:rsidRPr="00AC3C0A">
        <w:t>- contratações de tecnologia da informação e de comunicação.</w:t>
      </w:r>
    </w:p>
    <w:p w14:paraId="1433CD35" w14:textId="77777777" w:rsidR="00DD6EFB" w:rsidRPr="00AC3C0A" w:rsidRDefault="00DD6EFB" w:rsidP="00DA7EAE">
      <w:pPr>
        <w:tabs>
          <w:tab w:val="left" w:pos="12399"/>
        </w:tabs>
        <w:ind w:left="3402"/>
        <w:jc w:val="both"/>
      </w:pPr>
    </w:p>
    <w:p w14:paraId="2C3F1743" w14:textId="7B448884" w:rsidR="00DD6EFB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 xml:space="preserve"> Importante também que se diga que tem sido comum aos órgãos públicos, em determinadas ocasiões, a contratação de serviços complementares àqueles já oferecidos na rede pública (execução direta) por meio do sistema de credenciamento, equivalente à inexigibilidade de licitação pública, sob argumento de que todos os prestadores interessados poderão ser contratados, o que implica na ausência de disputa, afastando a realização de licitação pública.</w:t>
      </w:r>
    </w:p>
    <w:p w14:paraId="0B6C41F4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532AF499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>Destacam-se os casos de credenciamento previstos na legislação brasileira que vem se consolidando como uma alternativa da Administração Pública. No dizer de Diogo de Figueiredo Moreira Neto:</w:t>
      </w:r>
    </w:p>
    <w:p w14:paraId="31F66BF2" w14:textId="77777777" w:rsidR="00DD6EFB" w:rsidRPr="00AC3C0A" w:rsidRDefault="00DD6EFB" w:rsidP="00391D00">
      <w:pPr>
        <w:tabs>
          <w:tab w:val="left" w:pos="12399"/>
        </w:tabs>
        <w:ind w:left="3402"/>
        <w:jc w:val="both"/>
        <w:rPr>
          <w:bCs/>
          <w:iCs/>
        </w:rPr>
      </w:pPr>
    </w:p>
    <w:p w14:paraId="5597FF00" w14:textId="33750439" w:rsidR="00DD6EFB" w:rsidRPr="00AC3C0A" w:rsidRDefault="00DD6EFB" w:rsidP="00391D00">
      <w:pPr>
        <w:tabs>
          <w:tab w:val="left" w:pos="12399"/>
        </w:tabs>
        <w:ind w:left="3402"/>
        <w:jc w:val="both"/>
        <w:rPr>
          <w:bCs/>
          <w:iCs/>
        </w:rPr>
      </w:pPr>
      <w:r w:rsidRPr="00AC3C0A">
        <w:rPr>
          <w:bCs/>
          <w:iCs/>
        </w:rPr>
        <w:t>Delegar unilateral e precariamente, por atos administrativos, a credenciados, atividades de interesse público, reconhecendo-lhes a produção de eficácia administrativa pública e dando-lhes assentimento para que sejam remunerados por seus serviços, diretamente pelos administrados beneficiários ou por ela própria.</w:t>
      </w:r>
    </w:p>
    <w:p w14:paraId="431E85E8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0503E622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>Como dito, a inviabilidade da competição elimina a possibilidade de promover um processo de licitação pública, pois sabe-se que um dos elementos indispensáveis para a imposição do dever de licitar é a competitividade. A interpretação da expressão “inviabilidade de competição”, conforme suscitado, deve ser mais ampla do que a mera ideia de fornecedor exclusivo. Neste contexto, pode-se dizer que a inviabilidade de competição, além da contratação de fornecedor único, pode se dar por contratação de todos, ou seja, nesta hipótese, a inviabilidade de competição não está presente porque existe apenas um fornecedor, mas sim, porque existem vários prestadores do serviço e todos poderão ser contratados.</w:t>
      </w:r>
    </w:p>
    <w:p w14:paraId="01A05975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7F948C55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>Nesta esteira, os ensinamentos de Jorge Ulisses Jacoby</w:t>
      </w:r>
      <w:r w:rsidRPr="00AC3C0A">
        <w:rPr>
          <w:rStyle w:val="Refdenotaderodap"/>
        </w:rPr>
        <w:footnoteReference w:id="1"/>
      </w:r>
      <w:r w:rsidRPr="00AC3C0A">
        <w:t>:</w:t>
      </w:r>
    </w:p>
    <w:p w14:paraId="00D886E1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0DBB1745" w14:textId="53E702E1" w:rsidR="00DD6EFB" w:rsidRPr="00AC3C0A" w:rsidRDefault="00DD6EFB" w:rsidP="00391D00">
      <w:pPr>
        <w:tabs>
          <w:tab w:val="left" w:pos="12399"/>
        </w:tabs>
        <w:ind w:left="3402"/>
        <w:jc w:val="both"/>
        <w:rPr>
          <w:iCs/>
        </w:rPr>
      </w:pPr>
      <w:r w:rsidRPr="00AC3C0A">
        <w:rPr>
          <w:iCs/>
        </w:rPr>
        <w:t>Se a Administração convoca todos os profissionais de determinado setor, dispondo-se a contratar os que tiverem interesse e que satisfaçam os requisitos estabelecidos, ela própria fixando o valor que se dispõe a pagar, os possíveis licitantes não competirão, no estrito sentido da palavra, inviabilizando a competição, uma vez que a todos foi assegurada à contratação.</w:t>
      </w:r>
    </w:p>
    <w:p w14:paraId="5D786804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6F3B3E66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>Em suma, o credenciamento é um conjunto de procedimentos por meio dos quais a Administração credencia, mediante chamamento público, todos os prestadores aptos e interessados em realizar determinados serviços, quando o interesse público for melhor atendido com a contratação do maior número possível de prestadores simultâneos.</w:t>
      </w:r>
    </w:p>
    <w:p w14:paraId="4ED5C896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7A7D144E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 xml:space="preserve">Para Marçal </w:t>
      </w:r>
      <w:proofErr w:type="spellStart"/>
      <w:r w:rsidRPr="00AC3C0A">
        <w:t>Justen</w:t>
      </w:r>
      <w:proofErr w:type="spellEnd"/>
      <w:r w:rsidRPr="00AC3C0A">
        <w:t xml:space="preserve"> Filho:</w:t>
      </w:r>
    </w:p>
    <w:p w14:paraId="2B80F12B" w14:textId="77777777" w:rsidR="00DD6EFB" w:rsidRPr="00AC3C0A" w:rsidRDefault="00DD6EFB" w:rsidP="00391D00">
      <w:pPr>
        <w:tabs>
          <w:tab w:val="left" w:pos="12399"/>
        </w:tabs>
        <w:ind w:left="3402"/>
        <w:jc w:val="both"/>
        <w:rPr>
          <w:iCs/>
        </w:rPr>
      </w:pPr>
    </w:p>
    <w:p w14:paraId="0CB0C9C7" w14:textId="0A579026" w:rsidR="00DD6EFB" w:rsidRPr="00AC3C0A" w:rsidRDefault="00DD6EFB" w:rsidP="00391D00">
      <w:pPr>
        <w:tabs>
          <w:tab w:val="left" w:pos="12399"/>
        </w:tabs>
        <w:ind w:left="3402"/>
        <w:jc w:val="both"/>
        <w:rPr>
          <w:iCs/>
        </w:rPr>
      </w:pPr>
      <w:r w:rsidRPr="00AC3C0A">
        <w:rPr>
          <w:iCs/>
        </w:rPr>
        <w:t xml:space="preserve">Nas hipóteses em que não se verifica o cunho de excludência entre as contratações públicas, a solução será o credenciamento. A Administração deverá editar um ato de cunho regulamentar, fundado no reconhecimento da ausência de excludência de contratação de um número indeterminado de particulares para atendimento a certas necessidades, no qual serão estabelecidas as condições, os requisitos e os limites não apenas para as futuras contratações como também para que os particulares obtenham o credenciamento - ato forma por meio do qual o particular é reconhecido como em condições de contratação. O credenciamento envolve uma espécie de cadastro de prestadores de serviços ou fornecedores. O credenciamento é ato pelo qual o sujeito obtém a inscrição de seu nome no referido cadastro. (JUSTEN FILHO, Marçal. Comentários à Lei de Licitações e Contratos Administrativos. 11. ed. São Paulo: Dialética, 2005. p. 39-40). </w:t>
      </w:r>
    </w:p>
    <w:p w14:paraId="753991E2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292373CB" w14:textId="204AC430" w:rsidR="00391D00" w:rsidRPr="00AC3C0A" w:rsidRDefault="00DD6EFB" w:rsidP="00391D00">
      <w:pPr>
        <w:tabs>
          <w:tab w:val="left" w:pos="12399"/>
        </w:tabs>
        <w:ind w:firstLine="1843"/>
        <w:jc w:val="both"/>
      </w:pPr>
      <w:r w:rsidRPr="00AC3C0A">
        <w:t xml:space="preserve">O credenciamento se justifica nos casos em que, para que haja o atendimento do interesse público, existe a necessidade de se obter várias propostas vantajosas, descaracterizando, assim, a competição. </w:t>
      </w:r>
    </w:p>
    <w:p w14:paraId="123A327A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16739CF5" w14:textId="30A36FD4" w:rsidR="00DD6EFB" w:rsidRPr="00AC3C0A" w:rsidRDefault="00DD6EFB" w:rsidP="00391D00">
      <w:pPr>
        <w:tabs>
          <w:tab w:val="left" w:pos="12399"/>
        </w:tabs>
        <w:ind w:firstLine="1843"/>
        <w:jc w:val="both"/>
      </w:pPr>
      <w:r w:rsidRPr="00AC3C0A">
        <w:t>A nova lei de licitações traz no seu bojo, de forma expressa, a figura do credenciamento</w:t>
      </w:r>
      <w:r w:rsidR="00391D00" w:rsidRPr="00AC3C0A">
        <w:t xml:space="preserve">, no art. 6º, da Lei nº 14.133/2021, inciso XLIII. </w:t>
      </w:r>
      <w:r w:rsidRPr="00AC3C0A">
        <w:t>No caso sob apreço, reconhece</w:t>
      </w:r>
      <w:r w:rsidR="00391D00" w:rsidRPr="00AC3C0A">
        <w:t>-se</w:t>
      </w:r>
      <w:r w:rsidRPr="00AC3C0A">
        <w:t xml:space="preserve"> como legal </w:t>
      </w:r>
      <w:r w:rsidR="00391D00" w:rsidRPr="00AC3C0A">
        <w:t>o</w:t>
      </w:r>
      <w:r w:rsidRPr="00AC3C0A">
        <w:t xml:space="preserve"> credenciamento apresentado, bem como a</w:t>
      </w:r>
      <w:r w:rsidR="00E20E24" w:rsidRPr="00AC3C0A">
        <w:t>s</w:t>
      </w:r>
      <w:r w:rsidRPr="00AC3C0A">
        <w:t xml:space="preserve"> contrataç</w:t>
      </w:r>
      <w:r w:rsidR="00E20E24" w:rsidRPr="00AC3C0A">
        <w:t>ões</w:t>
      </w:r>
      <w:r w:rsidRPr="00AC3C0A">
        <w:t xml:space="preserve"> </w:t>
      </w:r>
      <w:r w:rsidR="00391D00" w:rsidRPr="00AC3C0A">
        <w:t xml:space="preserve">que dele advirão.  </w:t>
      </w:r>
    </w:p>
    <w:p w14:paraId="1DBF2A56" w14:textId="77777777" w:rsidR="00391D00" w:rsidRPr="00AC3C0A" w:rsidRDefault="00391D00" w:rsidP="00391D00">
      <w:pPr>
        <w:tabs>
          <w:tab w:val="left" w:pos="12399"/>
        </w:tabs>
        <w:ind w:firstLine="1843"/>
        <w:jc w:val="both"/>
      </w:pPr>
    </w:p>
    <w:p w14:paraId="327AEA71" w14:textId="13636031" w:rsidR="00DD6EFB" w:rsidRPr="00AC3C0A" w:rsidRDefault="00391D00" w:rsidP="00DD6EFB">
      <w:pPr>
        <w:tabs>
          <w:tab w:val="left" w:pos="12399"/>
        </w:tabs>
        <w:ind w:firstLine="1843"/>
        <w:jc w:val="both"/>
      </w:pPr>
      <w:r w:rsidRPr="00AC3C0A">
        <w:t xml:space="preserve">Além disso, a modalidade de credenciamento de </w:t>
      </w:r>
      <w:r w:rsidR="00AC3C0A">
        <w:t xml:space="preserve">diversas </w:t>
      </w:r>
      <w:r w:rsidR="000F340C">
        <w:t xml:space="preserve">empresas com serviços técnicos especializados </w:t>
      </w:r>
      <w:r w:rsidR="002B166E">
        <w:t>na área de beleza possibilita a padronização das cortes no desempenho de suas atribuições na representação do Município de Cruzaltense</w:t>
      </w:r>
      <w:r w:rsidRPr="00AC3C0A">
        <w:t xml:space="preserve">. </w:t>
      </w:r>
      <w:r w:rsidR="00DD6EFB" w:rsidRPr="00AC3C0A">
        <w:t>Assim, opina</w:t>
      </w:r>
      <w:r w:rsidR="00AC3C0A">
        <w:t>-</w:t>
      </w:r>
      <w:r w:rsidR="00DD6EFB" w:rsidRPr="00AC3C0A">
        <w:t>s</w:t>
      </w:r>
      <w:r w:rsidR="00AC3C0A">
        <w:t>e</w:t>
      </w:r>
      <w:r w:rsidR="00DD6EFB" w:rsidRPr="00AC3C0A">
        <w:t xml:space="preserve"> pela legalidade e continuidade do processo</w:t>
      </w:r>
      <w:r w:rsidR="002B166E">
        <w:t>.</w:t>
      </w:r>
      <w:r w:rsidR="00DD6EFB" w:rsidRPr="00AC3C0A">
        <w:t xml:space="preserve"> </w:t>
      </w:r>
    </w:p>
    <w:p w14:paraId="3080B59D" w14:textId="510F85A2" w:rsidR="00DD6EFB" w:rsidRDefault="00DD6EFB" w:rsidP="00DD6EFB">
      <w:pPr>
        <w:tabs>
          <w:tab w:val="left" w:pos="12399"/>
        </w:tabs>
        <w:ind w:firstLine="1843"/>
        <w:jc w:val="both"/>
      </w:pPr>
    </w:p>
    <w:p w14:paraId="4F68691C" w14:textId="44C4936F" w:rsidR="00267EDA" w:rsidRDefault="00267EDA" w:rsidP="00DD6EFB">
      <w:pPr>
        <w:tabs>
          <w:tab w:val="left" w:pos="12399"/>
        </w:tabs>
        <w:ind w:firstLine="1843"/>
        <w:jc w:val="both"/>
      </w:pPr>
      <w:r>
        <w:t>Não obstante, a sugestão de limitação territorial informada no termo de referência também é possível haja vista a “necessidade administrativa de viabilizar a logística e a otimização dos deslocamentos, a pontualidade dos atendimentos e a adequada execução dos serviços” em razão da proximidade do horário dos eventos que participarão</w:t>
      </w:r>
      <w:r w:rsidR="00701A13">
        <w:t>, considerando-se sempre o princípio da economicidade.</w:t>
      </w:r>
    </w:p>
    <w:p w14:paraId="3FF8B592" w14:textId="77777777" w:rsidR="00267EDA" w:rsidRPr="00AC3C0A" w:rsidRDefault="00267EDA" w:rsidP="00DD6EFB">
      <w:pPr>
        <w:tabs>
          <w:tab w:val="left" w:pos="12399"/>
        </w:tabs>
        <w:ind w:firstLine="1843"/>
        <w:jc w:val="both"/>
      </w:pPr>
    </w:p>
    <w:p w14:paraId="54C4033A" w14:textId="63F90548" w:rsidR="00DD6EFB" w:rsidRPr="00AC3C0A" w:rsidRDefault="00DD6EFB" w:rsidP="00DD6EFB">
      <w:pPr>
        <w:tabs>
          <w:tab w:val="left" w:pos="12399"/>
        </w:tabs>
        <w:ind w:firstLine="1843"/>
        <w:jc w:val="both"/>
      </w:pPr>
      <w:r w:rsidRPr="00AC3C0A">
        <w:t xml:space="preserve">Este e o parecer, </w:t>
      </w:r>
      <w:r w:rsidR="00391D00" w:rsidRPr="00AC3C0A">
        <w:t xml:space="preserve">salvo melhor juízo, </w:t>
      </w:r>
      <w:r w:rsidRPr="00AC3C0A">
        <w:t>que submetemos a apreciação superior para emissão da decisão final administrativa.</w:t>
      </w:r>
    </w:p>
    <w:p w14:paraId="7EBCB4F0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28765878" w14:textId="77777777" w:rsidR="00DD6EFB" w:rsidRPr="00AC3C0A" w:rsidRDefault="00DD6EFB" w:rsidP="00DD6EFB">
      <w:pPr>
        <w:tabs>
          <w:tab w:val="left" w:pos="12399"/>
        </w:tabs>
        <w:ind w:firstLine="1843"/>
        <w:jc w:val="both"/>
      </w:pPr>
    </w:p>
    <w:p w14:paraId="5F2CC20B" w14:textId="6673F5D4" w:rsidR="000A12DB" w:rsidRPr="00AC3C0A" w:rsidRDefault="00E20E24" w:rsidP="00E20E24">
      <w:pPr>
        <w:tabs>
          <w:tab w:val="left" w:pos="12399"/>
        </w:tabs>
        <w:ind w:firstLine="1843"/>
        <w:jc w:val="both"/>
        <w:rPr>
          <w:rFonts w:eastAsia="Arial Unicode MS"/>
          <w:i/>
        </w:rPr>
      </w:pPr>
      <w:r w:rsidRPr="00AC3C0A">
        <w:t>Cruzaltense/</w:t>
      </w:r>
      <w:r w:rsidR="00DD6EFB" w:rsidRPr="00AC3C0A">
        <w:t xml:space="preserve">RS, </w:t>
      </w:r>
      <w:r w:rsidR="002B166E">
        <w:t>2</w:t>
      </w:r>
      <w:r w:rsidR="009A3098">
        <w:t>6</w:t>
      </w:r>
      <w:r w:rsidR="000F340C">
        <w:t xml:space="preserve"> de maio de 2026</w:t>
      </w:r>
      <w:r w:rsidR="00DD6EFB" w:rsidRPr="00AC3C0A">
        <w:t>.</w:t>
      </w:r>
      <w:r w:rsidRPr="00AC3C0A">
        <w:rPr>
          <w:rFonts w:eastAsia="Arial Unicode MS"/>
          <w:i/>
        </w:rPr>
        <w:t xml:space="preserve"> </w:t>
      </w:r>
    </w:p>
    <w:p w14:paraId="531D00A7" w14:textId="77777777" w:rsidR="00124BBB" w:rsidRPr="00AC3C0A" w:rsidRDefault="00124BBB" w:rsidP="00DD6EFB">
      <w:pPr>
        <w:pStyle w:val="Lista"/>
        <w:ind w:firstLine="1418"/>
        <w:rPr>
          <w:rFonts w:eastAsia="Arial Unicode MS" w:cs="Times New Roman"/>
          <w:i/>
        </w:rPr>
      </w:pPr>
    </w:p>
    <w:p w14:paraId="1AAEECA6" w14:textId="77777777" w:rsidR="00124BBB" w:rsidRPr="00AC3C0A" w:rsidRDefault="00124BBB" w:rsidP="00DD6EFB">
      <w:pPr>
        <w:pStyle w:val="Lista"/>
        <w:ind w:firstLine="1418"/>
        <w:rPr>
          <w:rFonts w:eastAsia="Arial Unicode MS" w:cs="Times New Roman"/>
          <w:i/>
        </w:rPr>
      </w:pPr>
    </w:p>
    <w:p w14:paraId="43B957F3" w14:textId="77777777" w:rsidR="00E20E24" w:rsidRPr="00AC3C0A" w:rsidRDefault="00E20E24" w:rsidP="00E20E24">
      <w:pPr>
        <w:pStyle w:val="Lista"/>
        <w:ind w:firstLine="1418"/>
        <w:jc w:val="center"/>
        <w:rPr>
          <w:rFonts w:eastAsia="Arial Unicode MS" w:cs="Times New Roman"/>
          <w:i/>
        </w:rPr>
      </w:pPr>
    </w:p>
    <w:p w14:paraId="386FCF3B" w14:textId="091E6479" w:rsidR="000A12DB" w:rsidRPr="00AC3C0A" w:rsidRDefault="00391D00" w:rsidP="00E20E24">
      <w:pPr>
        <w:pStyle w:val="Lista"/>
        <w:jc w:val="center"/>
        <w:rPr>
          <w:rFonts w:eastAsia="Arial Unicode MS" w:cs="Times New Roman"/>
          <w:b/>
        </w:rPr>
      </w:pPr>
      <w:proofErr w:type="spellStart"/>
      <w:r w:rsidRPr="00AC3C0A">
        <w:rPr>
          <w:rFonts w:eastAsia="Arial Unicode MS" w:cs="Times New Roman"/>
          <w:b/>
        </w:rPr>
        <w:t>Calane</w:t>
      </w:r>
      <w:proofErr w:type="spellEnd"/>
      <w:r w:rsidRPr="00AC3C0A">
        <w:rPr>
          <w:rFonts w:eastAsia="Arial Unicode MS" w:cs="Times New Roman"/>
          <w:b/>
        </w:rPr>
        <w:t xml:space="preserve"> Julia Lazarotto</w:t>
      </w:r>
    </w:p>
    <w:p w14:paraId="346DEEFD" w14:textId="1AA19326" w:rsidR="000A12DB" w:rsidRPr="00AC3C0A" w:rsidRDefault="000A12DB" w:rsidP="00E20E24">
      <w:pPr>
        <w:pStyle w:val="Lista"/>
        <w:jc w:val="center"/>
        <w:rPr>
          <w:rFonts w:eastAsia="Arial Unicode MS" w:cs="Times New Roman"/>
          <w:b/>
        </w:rPr>
      </w:pPr>
      <w:r w:rsidRPr="00AC3C0A">
        <w:rPr>
          <w:rFonts w:eastAsia="Arial Unicode MS" w:cs="Times New Roman"/>
          <w:b/>
        </w:rPr>
        <w:t>Assessora Jurídica</w:t>
      </w:r>
    </w:p>
    <w:p w14:paraId="7876309B" w14:textId="2E7005F7" w:rsidR="000A12DB" w:rsidRPr="00AC3C0A" w:rsidRDefault="000A12DB" w:rsidP="00E20E24">
      <w:pPr>
        <w:pStyle w:val="Lista"/>
        <w:jc w:val="center"/>
        <w:rPr>
          <w:rFonts w:cs="Times New Roman"/>
        </w:rPr>
      </w:pPr>
      <w:r w:rsidRPr="00AC3C0A">
        <w:rPr>
          <w:rFonts w:eastAsia="Arial Unicode MS" w:cs="Times New Roman"/>
          <w:b/>
        </w:rPr>
        <w:t xml:space="preserve">OAB/RS </w:t>
      </w:r>
      <w:r w:rsidR="00391D00" w:rsidRPr="00AC3C0A">
        <w:rPr>
          <w:rFonts w:eastAsia="Arial Unicode MS" w:cs="Times New Roman"/>
          <w:b/>
        </w:rPr>
        <w:t>124525</w:t>
      </w:r>
    </w:p>
    <w:p w14:paraId="69339C33" w14:textId="77777777" w:rsidR="006575F9" w:rsidRPr="00AC3C0A" w:rsidRDefault="006575F9" w:rsidP="00DD6EFB">
      <w:pPr>
        <w:jc w:val="both"/>
      </w:pPr>
    </w:p>
    <w:sectPr w:rsidR="006575F9" w:rsidRPr="00AC3C0A" w:rsidSect="0077055C">
      <w:headerReference w:type="default" r:id="rId16"/>
      <w:footerReference w:type="default" r:id="rId17"/>
      <w:footnotePr>
        <w:pos w:val="beneathText"/>
      </w:footnotePr>
      <w:pgSz w:w="11905" w:h="16837" w:code="9"/>
      <w:pgMar w:top="2268" w:right="1134" w:bottom="567" w:left="1701" w:header="357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413E5" w14:textId="77777777" w:rsidR="00980739" w:rsidRDefault="00980739">
      <w:r>
        <w:separator/>
      </w:r>
    </w:p>
  </w:endnote>
  <w:endnote w:type="continuationSeparator" w:id="0">
    <w:p w14:paraId="47101470" w14:textId="77777777" w:rsidR="00980739" w:rsidRDefault="00980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10 Pitch">
    <w:altName w:val="Arial"/>
    <w:charset w:val="00"/>
    <w:family w:val="moder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3ADB9" w14:textId="77777777" w:rsidR="00E20E24" w:rsidRDefault="00E20E24">
    <w:pPr>
      <w:pStyle w:val="Rodap"/>
      <w:pBdr>
        <w:top w:val="double" w:sz="1" w:space="0" w:color="000000"/>
      </w:pBdr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 xml:space="preserve">Av. Pedro Alvares Cabral, 300 – </w:t>
    </w:r>
    <w:proofErr w:type="gramStart"/>
    <w:r>
      <w:rPr>
        <w:rFonts w:ascii="Arial" w:hAnsi="Arial"/>
        <w:sz w:val="16"/>
        <w:szCs w:val="16"/>
      </w:rPr>
      <w:t>Centro  –</w:t>
    </w:r>
    <w:proofErr w:type="gramEnd"/>
    <w:r>
      <w:rPr>
        <w:rFonts w:ascii="Arial" w:hAnsi="Arial"/>
        <w:sz w:val="16"/>
        <w:szCs w:val="16"/>
      </w:rPr>
      <w:t xml:space="preserve"> </w:t>
    </w:r>
    <w:proofErr w:type="gramStart"/>
    <w:r>
      <w:rPr>
        <w:rFonts w:ascii="Arial" w:hAnsi="Arial"/>
        <w:sz w:val="16"/>
        <w:szCs w:val="16"/>
      </w:rPr>
      <w:t>CEP.-</w:t>
    </w:r>
    <w:proofErr w:type="gramEnd"/>
    <w:r>
      <w:rPr>
        <w:rFonts w:ascii="Arial" w:hAnsi="Arial"/>
        <w:sz w:val="16"/>
        <w:szCs w:val="16"/>
      </w:rPr>
      <w:t>99665-000 – Cruzaltense – RS</w:t>
    </w:r>
  </w:p>
  <w:p w14:paraId="7AFC5FE8" w14:textId="77777777" w:rsidR="00E20E24" w:rsidRDefault="00E20E24">
    <w:pPr>
      <w:pStyle w:val="Rodap"/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Fone: (54) 3613 -6032 – E-mail – cruzaltense@cruzaltense.rs.gov.br</w:t>
    </w:r>
  </w:p>
  <w:p w14:paraId="3EF82EFB" w14:textId="77777777" w:rsidR="00E20E24" w:rsidRDefault="00E20E2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E476F" w14:textId="77777777" w:rsidR="00980739" w:rsidRDefault="00980739">
      <w:r>
        <w:separator/>
      </w:r>
    </w:p>
  </w:footnote>
  <w:footnote w:type="continuationSeparator" w:id="0">
    <w:p w14:paraId="4C343ADE" w14:textId="77777777" w:rsidR="00980739" w:rsidRDefault="00980739">
      <w:r>
        <w:continuationSeparator/>
      </w:r>
    </w:p>
  </w:footnote>
  <w:footnote w:id="1">
    <w:p w14:paraId="15609C45" w14:textId="77777777" w:rsidR="00E20E24" w:rsidRPr="005E6D31" w:rsidRDefault="00E20E24" w:rsidP="00DD6EFB">
      <w:pPr>
        <w:pStyle w:val="Textodenotaderodap"/>
      </w:pPr>
      <w:r w:rsidRPr="005E6D31">
        <w:rPr>
          <w:rStyle w:val="Refdenotaderodap"/>
        </w:rPr>
        <w:footnoteRef/>
      </w:r>
      <w:r w:rsidRPr="005E6D31">
        <w:t xml:space="preserve"> </w:t>
      </w:r>
      <w:r w:rsidRPr="005E6D31">
        <w:rPr>
          <w:rFonts w:ascii="Arial Narrow" w:hAnsi="Arial Narrow"/>
        </w:rPr>
        <w:t xml:space="preserve">ACOBY, Jorge Ulisses, Coleção de Direito Público. 2008. </w:t>
      </w:r>
      <w:proofErr w:type="spellStart"/>
      <w:r w:rsidRPr="005E6D31">
        <w:rPr>
          <w:rFonts w:ascii="Arial Narrow" w:hAnsi="Arial Narrow"/>
        </w:rPr>
        <w:t>Pg</w:t>
      </w:r>
      <w:proofErr w:type="spellEnd"/>
      <w:r w:rsidRPr="005E6D31">
        <w:rPr>
          <w:rFonts w:ascii="Arial Narrow" w:hAnsi="Arial Narrow"/>
        </w:rPr>
        <w:t xml:space="preserve"> 538.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30B0D" w14:textId="77777777" w:rsidR="00E20E24" w:rsidRDefault="00E20E24" w:rsidP="00406708">
    <w:pPr>
      <w:pStyle w:val="Cabealho"/>
    </w:pPr>
  </w:p>
  <w:p w14:paraId="6D9BE197" w14:textId="77777777" w:rsidR="00E20E24" w:rsidRDefault="00E20E24" w:rsidP="00406708">
    <w:pPr>
      <w:pStyle w:val="Cabealho"/>
    </w:pPr>
    <w:r>
      <w:rPr>
        <w:b/>
        <w:noProof/>
        <w:sz w:val="28"/>
        <w:szCs w:val="28"/>
        <w:lang w:eastAsia="pt-BR"/>
      </w:rPr>
      <w:drawing>
        <wp:anchor distT="0" distB="0" distL="114300" distR="114300" simplePos="0" relativeHeight="251657728" behindDoc="0" locked="0" layoutInCell="1" allowOverlap="1" wp14:anchorId="0D990EB9" wp14:editId="43D67558">
          <wp:simplePos x="0" y="0"/>
          <wp:positionH relativeFrom="column">
            <wp:posOffset>2324100</wp:posOffset>
          </wp:positionH>
          <wp:positionV relativeFrom="paragraph">
            <wp:posOffset>-171450</wp:posOffset>
          </wp:positionV>
          <wp:extent cx="680085" cy="770255"/>
          <wp:effectExtent l="19050" t="0" r="571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770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02A3EF7" w14:textId="77777777" w:rsidR="00E20E24" w:rsidRDefault="00E20E24" w:rsidP="00406708">
    <w:pPr>
      <w:pStyle w:val="Cabealho"/>
    </w:pPr>
  </w:p>
  <w:p w14:paraId="3FBE4CCB" w14:textId="77777777" w:rsidR="00E20E24" w:rsidRDefault="00E20E24" w:rsidP="002507CC">
    <w:pPr>
      <w:pStyle w:val="Cabealho"/>
      <w:rPr>
        <w:b/>
        <w:sz w:val="28"/>
        <w:szCs w:val="28"/>
      </w:rPr>
    </w:pPr>
  </w:p>
  <w:p w14:paraId="0294D108" w14:textId="77777777" w:rsidR="00E20E24" w:rsidRPr="00665033" w:rsidRDefault="00E20E24" w:rsidP="00406708">
    <w:pPr>
      <w:pStyle w:val="Cabealho"/>
      <w:jc w:val="center"/>
      <w:rPr>
        <w:b/>
        <w:sz w:val="28"/>
        <w:szCs w:val="28"/>
      </w:rPr>
    </w:pPr>
    <w:r w:rsidRPr="00665033">
      <w:rPr>
        <w:b/>
        <w:sz w:val="28"/>
        <w:szCs w:val="28"/>
      </w:rPr>
      <w:t>ESTADO DO RIO GRANDE DO SUL</w:t>
    </w:r>
  </w:p>
  <w:p w14:paraId="2223C5BF" w14:textId="77777777" w:rsidR="00E20E24" w:rsidRDefault="00E20E24" w:rsidP="002507CC">
    <w:pPr>
      <w:pStyle w:val="Cabealho"/>
      <w:pBdr>
        <w:bottom w:val="single" w:sz="6" w:space="1" w:color="auto"/>
      </w:pBdr>
      <w:jc w:val="center"/>
    </w:pPr>
    <w:r>
      <w:t>MUNICÍPIO DE CRUZALTENSE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5" w15:restartNumberingAfterBreak="0">
    <w:nsid w:val="02023EAA"/>
    <w:multiLevelType w:val="hybridMultilevel"/>
    <w:tmpl w:val="3F44954C"/>
    <w:lvl w:ilvl="0" w:tplc="28605FE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0A395546"/>
    <w:multiLevelType w:val="hybridMultilevel"/>
    <w:tmpl w:val="725802B0"/>
    <w:lvl w:ilvl="0" w:tplc="295ADB24">
      <w:start w:val="1"/>
      <w:numFmt w:val="lowerLetter"/>
      <w:lvlText w:val="%1)"/>
      <w:lvlJc w:val="left"/>
      <w:pPr>
        <w:ind w:left="1494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0FDD4F7E"/>
    <w:multiLevelType w:val="hybridMultilevel"/>
    <w:tmpl w:val="D2965638"/>
    <w:lvl w:ilvl="0" w:tplc="04160001">
      <w:start w:val="1"/>
      <w:numFmt w:val="bullet"/>
      <w:lvlText w:val=""/>
      <w:lvlJc w:val="left"/>
      <w:pPr>
        <w:tabs>
          <w:tab w:val="num" w:pos="2498"/>
        </w:tabs>
        <w:ind w:left="24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18"/>
        </w:tabs>
        <w:ind w:left="32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38"/>
        </w:tabs>
        <w:ind w:left="39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58"/>
        </w:tabs>
        <w:ind w:left="46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78"/>
        </w:tabs>
        <w:ind w:left="53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98"/>
        </w:tabs>
        <w:ind w:left="60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18"/>
        </w:tabs>
        <w:ind w:left="68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38"/>
        </w:tabs>
        <w:ind w:left="75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58"/>
        </w:tabs>
        <w:ind w:left="8258" w:hanging="360"/>
      </w:pPr>
      <w:rPr>
        <w:rFonts w:ascii="Wingdings" w:hAnsi="Wingdings" w:hint="default"/>
      </w:rPr>
    </w:lvl>
  </w:abstractNum>
  <w:abstractNum w:abstractNumId="8" w15:restartNumberingAfterBreak="0">
    <w:nsid w:val="10FE0927"/>
    <w:multiLevelType w:val="hybridMultilevel"/>
    <w:tmpl w:val="7F88FD9E"/>
    <w:lvl w:ilvl="0" w:tplc="04160001">
      <w:start w:val="1"/>
      <w:numFmt w:val="bullet"/>
      <w:lvlText w:val=""/>
      <w:lvlJc w:val="left"/>
      <w:pPr>
        <w:tabs>
          <w:tab w:val="num" w:pos="2498"/>
        </w:tabs>
        <w:ind w:left="24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18"/>
        </w:tabs>
        <w:ind w:left="32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38"/>
        </w:tabs>
        <w:ind w:left="39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58"/>
        </w:tabs>
        <w:ind w:left="46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78"/>
        </w:tabs>
        <w:ind w:left="53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98"/>
        </w:tabs>
        <w:ind w:left="60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18"/>
        </w:tabs>
        <w:ind w:left="68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38"/>
        </w:tabs>
        <w:ind w:left="75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58"/>
        </w:tabs>
        <w:ind w:left="8258" w:hanging="360"/>
      </w:pPr>
      <w:rPr>
        <w:rFonts w:ascii="Wingdings" w:hAnsi="Wingdings" w:hint="default"/>
      </w:rPr>
    </w:lvl>
  </w:abstractNum>
  <w:abstractNum w:abstractNumId="9" w15:restartNumberingAfterBreak="0">
    <w:nsid w:val="179024F5"/>
    <w:multiLevelType w:val="hybridMultilevel"/>
    <w:tmpl w:val="F76ED1B8"/>
    <w:lvl w:ilvl="0" w:tplc="0416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F3E536F"/>
    <w:multiLevelType w:val="hybridMultilevel"/>
    <w:tmpl w:val="C72ECAEC"/>
    <w:lvl w:ilvl="0" w:tplc="CD9A1C44">
      <w:start w:val="1"/>
      <w:numFmt w:val="lowerLetter"/>
      <w:lvlText w:val="%1)"/>
      <w:lvlJc w:val="left"/>
      <w:pPr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1" w15:restartNumberingAfterBreak="0">
    <w:nsid w:val="2B743EA4"/>
    <w:multiLevelType w:val="hybridMultilevel"/>
    <w:tmpl w:val="3FB46B14"/>
    <w:lvl w:ilvl="0" w:tplc="24C62B3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295EC2"/>
    <w:multiLevelType w:val="hybridMultilevel"/>
    <w:tmpl w:val="908CE1F0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1A67B2"/>
    <w:multiLevelType w:val="multilevel"/>
    <w:tmpl w:val="B23C5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A53909"/>
    <w:multiLevelType w:val="hybridMultilevel"/>
    <w:tmpl w:val="891A4D7C"/>
    <w:lvl w:ilvl="0" w:tplc="CD3025A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4E566F27"/>
    <w:multiLevelType w:val="hybridMultilevel"/>
    <w:tmpl w:val="DA64BE30"/>
    <w:lvl w:ilvl="0" w:tplc="762AB608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 w15:restartNumberingAfterBreak="0">
    <w:nsid w:val="50742A5D"/>
    <w:multiLevelType w:val="hybridMultilevel"/>
    <w:tmpl w:val="ED1E37B0"/>
    <w:lvl w:ilvl="0" w:tplc="0416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57120802"/>
    <w:multiLevelType w:val="hybridMultilevel"/>
    <w:tmpl w:val="E20A478E"/>
    <w:lvl w:ilvl="0" w:tplc="0416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586B511B"/>
    <w:multiLevelType w:val="hybridMultilevel"/>
    <w:tmpl w:val="274019C2"/>
    <w:lvl w:ilvl="0" w:tplc="B13E49F8">
      <w:start w:val="1"/>
      <w:numFmt w:val="lowerLetter"/>
      <w:lvlText w:val="%1)"/>
      <w:lvlJc w:val="left"/>
      <w:pPr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9" w15:restartNumberingAfterBreak="0">
    <w:nsid w:val="5AFE14CC"/>
    <w:multiLevelType w:val="multilevel"/>
    <w:tmpl w:val="A45E4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443453"/>
    <w:multiLevelType w:val="multilevel"/>
    <w:tmpl w:val="3B908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1F39D9"/>
    <w:multiLevelType w:val="hybridMultilevel"/>
    <w:tmpl w:val="A77847D0"/>
    <w:lvl w:ilvl="0" w:tplc="83F0335C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6DD83838"/>
    <w:multiLevelType w:val="hybridMultilevel"/>
    <w:tmpl w:val="15C4639A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19F2664"/>
    <w:multiLevelType w:val="hybridMultilevel"/>
    <w:tmpl w:val="F022FED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182941"/>
    <w:multiLevelType w:val="hybridMultilevel"/>
    <w:tmpl w:val="45E4C948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758711">
    <w:abstractNumId w:val="0"/>
  </w:num>
  <w:num w:numId="2" w16cid:durableId="1242326248">
    <w:abstractNumId w:val="1"/>
  </w:num>
  <w:num w:numId="3" w16cid:durableId="2111506680">
    <w:abstractNumId w:val="2"/>
  </w:num>
  <w:num w:numId="4" w16cid:durableId="1920941549">
    <w:abstractNumId w:val="3"/>
  </w:num>
  <w:num w:numId="5" w16cid:durableId="1045905245">
    <w:abstractNumId w:val="4"/>
  </w:num>
  <w:num w:numId="6" w16cid:durableId="677075016">
    <w:abstractNumId w:val="12"/>
  </w:num>
  <w:num w:numId="7" w16cid:durableId="716049143">
    <w:abstractNumId w:val="11"/>
  </w:num>
  <w:num w:numId="8" w16cid:durableId="850490692">
    <w:abstractNumId w:val="7"/>
  </w:num>
  <w:num w:numId="9" w16cid:durableId="2064013761">
    <w:abstractNumId w:val="8"/>
  </w:num>
  <w:num w:numId="10" w16cid:durableId="1592621244">
    <w:abstractNumId w:val="22"/>
  </w:num>
  <w:num w:numId="11" w16cid:durableId="2009359028">
    <w:abstractNumId w:val="16"/>
  </w:num>
  <w:num w:numId="12" w16cid:durableId="1445922915">
    <w:abstractNumId w:val="17"/>
  </w:num>
  <w:num w:numId="13" w16cid:durableId="108283182">
    <w:abstractNumId w:val="15"/>
  </w:num>
  <w:num w:numId="14" w16cid:durableId="1339692463">
    <w:abstractNumId w:val="9"/>
  </w:num>
  <w:num w:numId="15" w16cid:durableId="64069875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93126120">
    <w:abstractNumId w:val="19"/>
  </w:num>
  <w:num w:numId="17" w16cid:durableId="654409125">
    <w:abstractNumId w:val="13"/>
  </w:num>
  <w:num w:numId="18" w16cid:durableId="1675297435">
    <w:abstractNumId w:val="20"/>
  </w:num>
  <w:num w:numId="19" w16cid:durableId="1282808086">
    <w:abstractNumId w:val="23"/>
  </w:num>
  <w:num w:numId="20" w16cid:durableId="63527731">
    <w:abstractNumId w:val="14"/>
  </w:num>
  <w:num w:numId="21" w16cid:durableId="1153178667">
    <w:abstractNumId w:val="21"/>
  </w:num>
  <w:num w:numId="22" w16cid:durableId="1606495398">
    <w:abstractNumId w:val="6"/>
  </w:num>
  <w:num w:numId="23" w16cid:durableId="879587602">
    <w:abstractNumId w:val="5"/>
  </w:num>
  <w:num w:numId="24" w16cid:durableId="881942133">
    <w:abstractNumId w:val="10"/>
  </w:num>
  <w:num w:numId="25" w16cid:durableId="150558808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autoHyphenation/>
  <w:hyphenationZone w:val="142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7772"/>
    <w:rsid w:val="000012A1"/>
    <w:rsid w:val="0001583A"/>
    <w:rsid w:val="00016542"/>
    <w:rsid w:val="0002573A"/>
    <w:rsid w:val="0003490C"/>
    <w:rsid w:val="000426E7"/>
    <w:rsid w:val="00051C67"/>
    <w:rsid w:val="000561B0"/>
    <w:rsid w:val="00060DF5"/>
    <w:rsid w:val="00072754"/>
    <w:rsid w:val="000805F4"/>
    <w:rsid w:val="000979BF"/>
    <w:rsid w:val="000A12DB"/>
    <w:rsid w:val="000A1A28"/>
    <w:rsid w:val="000A20AC"/>
    <w:rsid w:val="000B0BEE"/>
    <w:rsid w:val="000C0E9C"/>
    <w:rsid w:val="000D0702"/>
    <w:rsid w:val="000D35F7"/>
    <w:rsid w:val="000F17A7"/>
    <w:rsid w:val="000F340C"/>
    <w:rsid w:val="000F383B"/>
    <w:rsid w:val="00102BF8"/>
    <w:rsid w:val="00124BBB"/>
    <w:rsid w:val="00127E0E"/>
    <w:rsid w:val="00131BF1"/>
    <w:rsid w:val="001357C7"/>
    <w:rsid w:val="0014615E"/>
    <w:rsid w:val="00150056"/>
    <w:rsid w:val="00155B88"/>
    <w:rsid w:val="001566ED"/>
    <w:rsid w:val="00166B74"/>
    <w:rsid w:val="00175E24"/>
    <w:rsid w:val="00187A43"/>
    <w:rsid w:val="0019071D"/>
    <w:rsid w:val="00191E31"/>
    <w:rsid w:val="00197376"/>
    <w:rsid w:val="001A608E"/>
    <w:rsid w:val="001B2A90"/>
    <w:rsid w:val="001B7BC1"/>
    <w:rsid w:val="001C354D"/>
    <w:rsid w:val="001D4512"/>
    <w:rsid w:val="001D4748"/>
    <w:rsid w:val="001F73B3"/>
    <w:rsid w:val="0021653D"/>
    <w:rsid w:val="00217FB3"/>
    <w:rsid w:val="00223903"/>
    <w:rsid w:val="00227CA1"/>
    <w:rsid w:val="00237757"/>
    <w:rsid w:val="0024429F"/>
    <w:rsid w:val="00246971"/>
    <w:rsid w:val="002507CC"/>
    <w:rsid w:val="00256D9C"/>
    <w:rsid w:val="00262D39"/>
    <w:rsid w:val="002657AE"/>
    <w:rsid w:val="00267765"/>
    <w:rsid w:val="00267EDA"/>
    <w:rsid w:val="002821BD"/>
    <w:rsid w:val="00293018"/>
    <w:rsid w:val="002A592A"/>
    <w:rsid w:val="002B166E"/>
    <w:rsid w:val="002B6BC6"/>
    <w:rsid w:val="002C5926"/>
    <w:rsid w:val="002E5FD1"/>
    <w:rsid w:val="002F41FB"/>
    <w:rsid w:val="00301080"/>
    <w:rsid w:val="00302182"/>
    <w:rsid w:val="00307422"/>
    <w:rsid w:val="0032260A"/>
    <w:rsid w:val="00323EA1"/>
    <w:rsid w:val="0033056C"/>
    <w:rsid w:val="00333AB8"/>
    <w:rsid w:val="003518BD"/>
    <w:rsid w:val="00362308"/>
    <w:rsid w:val="003654CB"/>
    <w:rsid w:val="00372151"/>
    <w:rsid w:val="00391D00"/>
    <w:rsid w:val="003A1B51"/>
    <w:rsid w:val="003A4742"/>
    <w:rsid w:val="003B2FDC"/>
    <w:rsid w:val="003B6420"/>
    <w:rsid w:val="003C1874"/>
    <w:rsid w:val="003C3004"/>
    <w:rsid w:val="003C79EA"/>
    <w:rsid w:val="003D174D"/>
    <w:rsid w:val="003E46BF"/>
    <w:rsid w:val="00406708"/>
    <w:rsid w:val="004250DD"/>
    <w:rsid w:val="00441FA8"/>
    <w:rsid w:val="00442DB3"/>
    <w:rsid w:val="00454365"/>
    <w:rsid w:val="00480129"/>
    <w:rsid w:val="00484EE8"/>
    <w:rsid w:val="00486679"/>
    <w:rsid w:val="00492F2D"/>
    <w:rsid w:val="004943E1"/>
    <w:rsid w:val="00495776"/>
    <w:rsid w:val="004B7DA8"/>
    <w:rsid w:val="004C1914"/>
    <w:rsid w:val="004C5C3A"/>
    <w:rsid w:val="004C5FB7"/>
    <w:rsid w:val="004C65D5"/>
    <w:rsid w:val="004D524C"/>
    <w:rsid w:val="004E13C1"/>
    <w:rsid w:val="004E67A5"/>
    <w:rsid w:val="00502688"/>
    <w:rsid w:val="005046D8"/>
    <w:rsid w:val="005051E0"/>
    <w:rsid w:val="00506E08"/>
    <w:rsid w:val="00511B5F"/>
    <w:rsid w:val="00516DBE"/>
    <w:rsid w:val="005527FC"/>
    <w:rsid w:val="00556574"/>
    <w:rsid w:val="005702A5"/>
    <w:rsid w:val="00584258"/>
    <w:rsid w:val="00596D7A"/>
    <w:rsid w:val="005B2E2D"/>
    <w:rsid w:val="005B7CAB"/>
    <w:rsid w:val="005C1C94"/>
    <w:rsid w:val="005C4FB8"/>
    <w:rsid w:val="005F0E6D"/>
    <w:rsid w:val="005F3B3F"/>
    <w:rsid w:val="006333B6"/>
    <w:rsid w:val="0064651C"/>
    <w:rsid w:val="0065274D"/>
    <w:rsid w:val="006555B8"/>
    <w:rsid w:val="00657213"/>
    <w:rsid w:val="006575F9"/>
    <w:rsid w:val="0066246C"/>
    <w:rsid w:val="00663EBB"/>
    <w:rsid w:val="006662F7"/>
    <w:rsid w:val="0068459A"/>
    <w:rsid w:val="006943FF"/>
    <w:rsid w:val="00695497"/>
    <w:rsid w:val="006A631B"/>
    <w:rsid w:val="006D1DB1"/>
    <w:rsid w:val="006D602E"/>
    <w:rsid w:val="006F0F20"/>
    <w:rsid w:val="0070083B"/>
    <w:rsid w:val="00701A13"/>
    <w:rsid w:val="00701A69"/>
    <w:rsid w:val="00707665"/>
    <w:rsid w:val="00725BC9"/>
    <w:rsid w:val="00733049"/>
    <w:rsid w:val="0073461A"/>
    <w:rsid w:val="00740254"/>
    <w:rsid w:val="00743F87"/>
    <w:rsid w:val="00752AB3"/>
    <w:rsid w:val="00753A30"/>
    <w:rsid w:val="0077055C"/>
    <w:rsid w:val="00777702"/>
    <w:rsid w:val="00777F9C"/>
    <w:rsid w:val="0079065A"/>
    <w:rsid w:val="00797734"/>
    <w:rsid w:val="007A034C"/>
    <w:rsid w:val="007B63AD"/>
    <w:rsid w:val="007D2DEE"/>
    <w:rsid w:val="007D43D5"/>
    <w:rsid w:val="007D6C6C"/>
    <w:rsid w:val="007E2618"/>
    <w:rsid w:val="007E3652"/>
    <w:rsid w:val="007F0643"/>
    <w:rsid w:val="007F114F"/>
    <w:rsid w:val="007F294D"/>
    <w:rsid w:val="007F4B3D"/>
    <w:rsid w:val="0080228E"/>
    <w:rsid w:val="0080595C"/>
    <w:rsid w:val="00810973"/>
    <w:rsid w:val="0082187C"/>
    <w:rsid w:val="00826554"/>
    <w:rsid w:val="00831CD2"/>
    <w:rsid w:val="00837551"/>
    <w:rsid w:val="008548F4"/>
    <w:rsid w:val="00856F1D"/>
    <w:rsid w:val="00857E39"/>
    <w:rsid w:val="00864510"/>
    <w:rsid w:val="00867847"/>
    <w:rsid w:val="00884E7D"/>
    <w:rsid w:val="00892491"/>
    <w:rsid w:val="008A42FE"/>
    <w:rsid w:val="008C2ACF"/>
    <w:rsid w:val="008D33B3"/>
    <w:rsid w:val="008E1E0B"/>
    <w:rsid w:val="008E6A46"/>
    <w:rsid w:val="008F0F94"/>
    <w:rsid w:val="00915248"/>
    <w:rsid w:val="009234C9"/>
    <w:rsid w:val="00927A31"/>
    <w:rsid w:val="00936DF6"/>
    <w:rsid w:val="00940B6D"/>
    <w:rsid w:val="0094275C"/>
    <w:rsid w:val="00946707"/>
    <w:rsid w:val="00955D91"/>
    <w:rsid w:val="00970AB3"/>
    <w:rsid w:val="00971833"/>
    <w:rsid w:val="00973490"/>
    <w:rsid w:val="009734A0"/>
    <w:rsid w:val="00980739"/>
    <w:rsid w:val="00984CB5"/>
    <w:rsid w:val="009871A3"/>
    <w:rsid w:val="00990524"/>
    <w:rsid w:val="009A2F4B"/>
    <w:rsid w:val="009A3098"/>
    <w:rsid w:val="009A6305"/>
    <w:rsid w:val="009B120D"/>
    <w:rsid w:val="009C0679"/>
    <w:rsid w:val="009D3E36"/>
    <w:rsid w:val="009D7B84"/>
    <w:rsid w:val="009E355A"/>
    <w:rsid w:val="009E7BC0"/>
    <w:rsid w:val="00A0744F"/>
    <w:rsid w:val="00A11863"/>
    <w:rsid w:val="00A1595B"/>
    <w:rsid w:val="00A34893"/>
    <w:rsid w:val="00A376E6"/>
    <w:rsid w:val="00A378C2"/>
    <w:rsid w:val="00A4200C"/>
    <w:rsid w:val="00A4727E"/>
    <w:rsid w:val="00A5061A"/>
    <w:rsid w:val="00A670B5"/>
    <w:rsid w:val="00A86B11"/>
    <w:rsid w:val="00A91082"/>
    <w:rsid w:val="00A95F0F"/>
    <w:rsid w:val="00A965DD"/>
    <w:rsid w:val="00AA5302"/>
    <w:rsid w:val="00AC2FBB"/>
    <w:rsid w:val="00AC3C0A"/>
    <w:rsid w:val="00AC6E8E"/>
    <w:rsid w:val="00AD4E09"/>
    <w:rsid w:val="00AE3089"/>
    <w:rsid w:val="00AE682C"/>
    <w:rsid w:val="00AF0B27"/>
    <w:rsid w:val="00AF3CBC"/>
    <w:rsid w:val="00AF5480"/>
    <w:rsid w:val="00AF6314"/>
    <w:rsid w:val="00B02B55"/>
    <w:rsid w:val="00B1714E"/>
    <w:rsid w:val="00B208DE"/>
    <w:rsid w:val="00B2300C"/>
    <w:rsid w:val="00B2534D"/>
    <w:rsid w:val="00B27822"/>
    <w:rsid w:val="00B35B0D"/>
    <w:rsid w:val="00B407AE"/>
    <w:rsid w:val="00B47692"/>
    <w:rsid w:val="00B47CBF"/>
    <w:rsid w:val="00B80E11"/>
    <w:rsid w:val="00B833A0"/>
    <w:rsid w:val="00B9559B"/>
    <w:rsid w:val="00B96E0B"/>
    <w:rsid w:val="00BA153F"/>
    <w:rsid w:val="00BA3146"/>
    <w:rsid w:val="00BA4A4D"/>
    <w:rsid w:val="00BA60A8"/>
    <w:rsid w:val="00BA7DB8"/>
    <w:rsid w:val="00BB4827"/>
    <w:rsid w:val="00BB4E07"/>
    <w:rsid w:val="00BC1557"/>
    <w:rsid w:val="00BD33C9"/>
    <w:rsid w:val="00BD759B"/>
    <w:rsid w:val="00BE095F"/>
    <w:rsid w:val="00BE09BE"/>
    <w:rsid w:val="00BE28C6"/>
    <w:rsid w:val="00C02816"/>
    <w:rsid w:val="00C06A82"/>
    <w:rsid w:val="00C22168"/>
    <w:rsid w:val="00C23300"/>
    <w:rsid w:val="00C26EFC"/>
    <w:rsid w:val="00C43DB0"/>
    <w:rsid w:val="00C62AA8"/>
    <w:rsid w:val="00C667E6"/>
    <w:rsid w:val="00C83A67"/>
    <w:rsid w:val="00C92F23"/>
    <w:rsid w:val="00CB467B"/>
    <w:rsid w:val="00CB49A5"/>
    <w:rsid w:val="00CB4FC2"/>
    <w:rsid w:val="00CC2E59"/>
    <w:rsid w:val="00CC31AB"/>
    <w:rsid w:val="00CC479C"/>
    <w:rsid w:val="00CD67C4"/>
    <w:rsid w:val="00CD6F51"/>
    <w:rsid w:val="00CE2107"/>
    <w:rsid w:val="00CE6877"/>
    <w:rsid w:val="00CF1224"/>
    <w:rsid w:val="00CF18AF"/>
    <w:rsid w:val="00CF1A60"/>
    <w:rsid w:val="00D042CC"/>
    <w:rsid w:val="00D12971"/>
    <w:rsid w:val="00D20A10"/>
    <w:rsid w:val="00D3124C"/>
    <w:rsid w:val="00D46465"/>
    <w:rsid w:val="00D51635"/>
    <w:rsid w:val="00D63DD2"/>
    <w:rsid w:val="00D657E8"/>
    <w:rsid w:val="00D76214"/>
    <w:rsid w:val="00D820A3"/>
    <w:rsid w:val="00D913F5"/>
    <w:rsid w:val="00D928D2"/>
    <w:rsid w:val="00D97911"/>
    <w:rsid w:val="00DA7EAE"/>
    <w:rsid w:val="00DC4C72"/>
    <w:rsid w:val="00DC58E7"/>
    <w:rsid w:val="00DC7772"/>
    <w:rsid w:val="00DD65C8"/>
    <w:rsid w:val="00DD6EFB"/>
    <w:rsid w:val="00DE1BEA"/>
    <w:rsid w:val="00DE34DB"/>
    <w:rsid w:val="00DF2C19"/>
    <w:rsid w:val="00E161A6"/>
    <w:rsid w:val="00E17756"/>
    <w:rsid w:val="00E20E24"/>
    <w:rsid w:val="00E2556D"/>
    <w:rsid w:val="00E37068"/>
    <w:rsid w:val="00E41662"/>
    <w:rsid w:val="00E43179"/>
    <w:rsid w:val="00E431E2"/>
    <w:rsid w:val="00E46109"/>
    <w:rsid w:val="00E47408"/>
    <w:rsid w:val="00E54A8E"/>
    <w:rsid w:val="00E55290"/>
    <w:rsid w:val="00E56193"/>
    <w:rsid w:val="00E93DC6"/>
    <w:rsid w:val="00E9618A"/>
    <w:rsid w:val="00EA106D"/>
    <w:rsid w:val="00ED0006"/>
    <w:rsid w:val="00EE79AB"/>
    <w:rsid w:val="00F1781A"/>
    <w:rsid w:val="00F32703"/>
    <w:rsid w:val="00F43DE8"/>
    <w:rsid w:val="00F43E0A"/>
    <w:rsid w:val="00F46191"/>
    <w:rsid w:val="00F62714"/>
    <w:rsid w:val="00F76DB7"/>
    <w:rsid w:val="00F80551"/>
    <w:rsid w:val="00F90131"/>
    <w:rsid w:val="00FA21F6"/>
    <w:rsid w:val="00FA288A"/>
    <w:rsid w:val="00FA6206"/>
    <w:rsid w:val="00FA6306"/>
    <w:rsid w:val="00FB043C"/>
    <w:rsid w:val="00FC26C2"/>
    <w:rsid w:val="00FD4824"/>
    <w:rsid w:val="00FD6481"/>
    <w:rsid w:val="00FF55C0"/>
    <w:rsid w:val="00FF5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C2EFAC"/>
  <w15:docId w15:val="{CE873654-C6F8-48D4-A5F4-274C44A3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59A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F1781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8459A"/>
    <w:pPr>
      <w:keepNext/>
      <w:numPr>
        <w:ilvl w:val="1"/>
        <w:numId w:val="1"/>
      </w:numPr>
      <w:jc w:val="both"/>
      <w:outlineLvl w:val="1"/>
    </w:pPr>
    <w:rPr>
      <w:b/>
      <w:sz w:val="32"/>
    </w:rPr>
  </w:style>
  <w:style w:type="paragraph" w:styleId="Ttulo3">
    <w:name w:val="heading 3"/>
    <w:basedOn w:val="Normal"/>
    <w:next w:val="Normal"/>
    <w:qFormat/>
    <w:rsid w:val="0068459A"/>
    <w:pPr>
      <w:keepNext/>
      <w:numPr>
        <w:ilvl w:val="2"/>
        <w:numId w:val="1"/>
      </w:numPr>
      <w:ind w:left="708"/>
      <w:jc w:val="both"/>
      <w:outlineLvl w:val="2"/>
    </w:pPr>
    <w:rPr>
      <w:b/>
      <w:sz w:val="32"/>
    </w:rPr>
  </w:style>
  <w:style w:type="paragraph" w:styleId="Ttulo4">
    <w:name w:val="heading 4"/>
    <w:basedOn w:val="Normal"/>
    <w:next w:val="Normal"/>
    <w:qFormat/>
    <w:rsid w:val="0068459A"/>
    <w:pPr>
      <w:keepNext/>
      <w:numPr>
        <w:ilvl w:val="3"/>
        <w:numId w:val="1"/>
      </w:numPr>
      <w:ind w:left="708"/>
      <w:jc w:val="both"/>
      <w:outlineLvl w:val="3"/>
    </w:pPr>
    <w:rPr>
      <w:b/>
      <w:sz w:val="32"/>
    </w:rPr>
  </w:style>
  <w:style w:type="paragraph" w:styleId="Ttulo5">
    <w:name w:val="heading 5"/>
    <w:basedOn w:val="Normal"/>
    <w:next w:val="Normal"/>
    <w:qFormat/>
    <w:rsid w:val="0068459A"/>
    <w:pPr>
      <w:keepNext/>
      <w:numPr>
        <w:ilvl w:val="4"/>
        <w:numId w:val="1"/>
      </w:numPr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781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sid w:val="0068459A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68459A"/>
  </w:style>
  <w:style w:type="character" w:customStyle="1" w:styleId="WW-Absatz-Standardschriftart">
    <w:name w:val="WW-Absatz-Standardschriftart"/>
    <w:rsid w:val="0068459A"/>
  </w:style>
  <w:style w:type="character" w:customStyle="1" w:styleId="WW-Absatz-Standardschriftart1">
    <w:name w:val="WW-Absatz-Standardschriftart1"/>
    <w:rsid w:val="0068459A"/>
  </w:style>
  <w:style w:type="character" w:customStyle="1" w:styleId="WW-Absatz-Standardschriftart11">
    <w:name w:val="WW-Absatz-Standardschriftart11"/>
    <w:rsid w:val="0068459A"/>
  </w:style>
  <w:style w:type="character" w:customStyle="1" w:styleId="WW-Absatz-Standardschriftart111">
    <w:name w:val="WW-Absatz-Standardschriftart111"/>
    <w:rsid w:val="0068459A"/>
  </w:style>
  <w:style w:type="character" w:customStyle="1" w:styleId="WW8Num2z0">
    <w:name w:val="WW8Num2z0"/>
    <w:rsid w:val="0068459A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68459A"/>
  </w:style>
  <w:style w:type="character" w:customStyle="1" w:styleId="WW-Absatz-Standardschriftart11111">
    <w:name w:val="WW-Absatz-Standardschriftart11111"/>
    <w:rsid w:val="0068459A"/>
  </w:style>
  <w:style w:type="character" w:customStyle="1" w:styleId="WW-Absatz-Standardschriftart111111">
    <w:name w:val="WW-Absatz-Standardschriftart111111"/>
    <w:rsid w:val="0068459A"/>
  </w:style>
  <w:style w:type="character" w:customStyle="1" w:styleId="WW-Absatz-Standardschriftart1111111">
    <w:name w:val="WW-Absatz-Standardschriftart1111111"/>
    <w:rsid w:val="0068459A"/>
  </w:style>
  <w:style w:type="character" w:customStyle="1" w:styleId="WW-Absatz-Standardschriftart11111111">
    <w:name w:val="WW-Absatz-Standardschriftart11111111"/>
    <w:rsid w:val="0068459A"/>
  </w:style>
  <w:style w:type="character" w:customStyle="1" w:styleId="WW-Absatz-Standardschriftart111111111">
    <w:name w:val="WW-Absatz-Standardschriftart111111111"/>
    <w:rsid w:val="0068459A"/>
  </w:style>
  <w:style w:type="character" w:customStyle="1" w:styleId="WW8Num1z0">
    <w:name w:val="WW8Num1z0"/>
    <w:rsid w:val="0068459A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68459A"/>
    <w:rPr>
      <w:rFonts w:ascii="Courier New" w:hAnsi="Courier New"/>
    </w:rPr>
  </w:style>
  <w:style w:type="character" w:customStyle="1" w:styleId="WW8Num1z2">
    <w:name w:val="WW8Num1z2"/>
    <w:rsid w:val="0068459A"/>
    <w:rPr>
      <w:rFonts w:ascii="Wingdings" w:hAnsi="Wingdings"/>
    </w:rPr>
  </w:style>
  <w:style w:type="character" w:customStyle="1" w:styleId="WW8Num1z3">
    <w:name w:val="WW8Num1z3"/>
    <w:rsid w:val="0068459A"/>
    <w:rPr>
      <w:rFonts w:ascii="Symbol" w:hAnsi="Symbol"/>
    </w:rPr>
  </w:style>
  <w:style w:type="character" w:customStyle="1" w:styleId="Fontepargpadro1">
    <w:name w:val="Fonte parág. padrão1"/>
    <w:rsid w:val="0068459A"/>
  </w:style>
  <w:style w:type="character" w:styleId="Hyperlink">
    <w:name w:val="Hyperlink"/>
    <w:rsid w:val="0068459A"/>
    <w:rPr>
      <w:color w:val="0000FF"/>
      <w:u w:val="single"/>
    </w:rPr>
  </w:style>
  <w:style w:type="character" w:customStyle="1" w:styleId="Smbolosdenumerao">
    <w:name w:val="Símbolos de numeração"/>
    <w:rsid w:val="0068459A"/>
  </w:style>
  <w:style w:type="paragraph" w:customStyle="1" w:styleId="Captulo">
    <w:name w:val="Capítulo"/>
    <w:basedOn w:val="Normal"/>
    <w:next w:val="Corpodetexto"/>
    <w:rsid w:val="0068459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68459A"/>
    <w:pPr>
      <w:jc w:val="both"/>
    </w:pPr>
    <w:rPr>
      <w:bCs/>
    </w:rPr>
  </w:style>
  <w:style w:type="paragraph" w:styleId="Lista">
    <w:name w:val="List"/>
    <w:basedOn w:val="Corpodetexto"/>
    <w:rsid w:val="0068459A"/>
    <w:rPr>
      <w:rFonts w:cs="Tahoma"/>
    </w:rPr>
  </w:style>
  <w:style w:type="paragraph" w:customStyle="1" w:styleId="Legenda1">
    <w:name w:val="Legenda1"/>
    <w:basedOn w:val="Normal"/>
    <w:rsid w:val="0068459A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68459A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rsid w:val="0068459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8459A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rsid w:val="0068459A"/>
    <w:pPr>
      <w:spacing w:before="280" w:after="280"/>
    </w:pPr>
    <w:rPr>
      <w:color w:val="FFFFFF"/>
    </w:rPr>
  </w:style>
  <w:style w:type="paragraph" w:styleId="Textodebalo">
    <w:name w:val="Balloon Text"/>
    <w:basedOn w:val="Normal"/>
    <w:rsid w:val="0068459A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68459A"/>
    <w:pPr>
      <w:ind w:firstLine="708"/>
      <w:jc w:val="both"/>
    </w:pPr>
    <w:rPr>
      <w:b/>
      <w:sz w:val="32"/>
    </w:rPr>
  </w:style>
  <w:style w:type="paragraph" w:customStyle="1" w:styleId="Recuodecorpodetexto31">
    <w:name w:val="Recuo de corpo de texto 31"/>
    <w:basedOn w:val="Normal"/>
    <w:rsid w:val="0068459A"/>
    <w:pPr>
      <w:ind w:firstLine="720"/>
      <w:jc w:val="both"/>
    </w:pPr>
  </w:style>
  <w:style w:type="paragraph" w:customStyle="1" w:styleId="Corpodetexto21">
    <w:name w:val="Corpo de texto 21"/>
    <w:basedOn w:val="Normal"/>
    <w:rsid w:val="0068459A"/>
    <w:pPr>
      <w:jc w:val="both"/>
    </w:pPr>
    <w:rPr>
      <w:rFonts w:ascii="Arial" w:hAnsi="Arial"/>
      <w:b/>
      <w:bCs/>
      <w:sz w:val="32"/>
      <w:szCs w:val="20"/>
    </w:rPr>
  </w:style>
  <w:style w:type="paragraph" w:customStyle="1" w:styleId="Contedodatabela">
    <w:name w:val="Conteúdo da tabela"/>
    <w:basedOn w:val="Normal"/>
    <w:rsid w:val="0068459A"/>
    <w:pPr>
      <w:suppressLineNumbers/>
    </w:pPr>
  </w:style>
  <w:style w:type="paragraph" w:customStyle="1" w:styleId="Ttulodatabela">
    <w:name w:val="Título da tabela"/>
    <w:basedOn w:val="Contedodatabela"/>
    <w:rsid w:val="0068459A"/>
    <w:pPr>
      <w:jc w:val="center"/>
    </w:pPr>
    <w:rPr>
      <w:b/>
      <w:bCs/>
    </w:rPr>
  </w:style>
  <w:style w:type="paragraph" w:customStyle="1" w:styleId="western">
    <w:name w:val="western"/>
    <w:basedOn w:val="Normal"/>
    <w:rsid w:val="00970AB3"/>
    <w:pPr>
      <w:suppressAutoHyphens w:val="0"/>
      <w:spacing w:before="100" w:beforeAutospacing="1" w:after="119"/>
    </w:pPr>
    <w:rPr>
      <w:lang w:eastAsia="pt-BR"/>
    </w:rPr>
  </w:style>
  <w:style w:type="character" w:customStyle="1" w:styleId="Ttulo1Char">
    <w:name w:val="Título 1 Char"/>
    <w:link w:val="Ttulo1"/>
    <w:uiPriority w:val="9"/>
    <w:rsid w:val="00F1781A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Ttulo6Char">
    <w:name w:val="Título 6 Char"/>
    <w:link w:val="Ttulo6"/>
    <w:uiPriority w:val="9"/>
    <w:semiHidden/>
    <w:rsid w:val="00F1781A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Corpo">
    <w:name w:val="Corpo"/>
    <w:basedOn w:val="Normal"/>
    <w:rsid w:val="00F1781A"/>
    <w:rPr>
      <w:rFonts w:ascii="Courier 10 Pitch" w:hAnsi="Courier 10 Pitch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F1781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F1781A"/>
    <w:rPr>
      <w:sz w:val="24"/>
      <w:szCs w:val="24"/>
      <w:lang w:eastAsia="ar-SA"/>
    </w:rPr>
  </w:style>
  <w:style w:type="character" w:customStyle="1" w:styleId="CorpodetextoChar">
    <w:name w:val="Corpo de texto Char"/>
    <w:link w:val="Corpodetexto"/>
    <w:rsid w:val="00441FA8"/>
    <w:rPr>
      <w:bCs/>
      <w:sz w:val="24"/>
      <w:szCs w:val="24"/>
      <w:lang w:eastAsia="ar-SA"/>
    </w:rPr>
  </w:style>
  <w:style w:type="character" w:customStyle="1" w:styleId="apple-converted-space">
    <w:name w:val="apple-converted-space"/>
    <w:rsid w:val="00E43179"/>
  </w:style>
  <w:style w:type="character" w:customStyle="1" w:styleId="CabealhoChar">
    <w:name w:val="Cabeçalho Char"/>
    <w:link w:val="Cabealho"/>
    <w:rsid w:val="00406708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DE34DB"/>
    <w:rPr>
      <w:b/>
      <w:sz w:val="32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867847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nhideWhenUsed/>
    <w:rsid w:val="0077055C"/>
    <w:rPr>
      <w:sz w:val="20"/>
      <w:szCs w:val="20"/>
    </w:rPr>
  </w:style>
  <w:style w:type="character" w:customStyle="1" w:styleId="TextodenotaderodapChar">
    <w:name w:val="Texto de nota de rodapé Char"/>
    <w:link w:val="Textodenotaderodap"/>
    <w:rsid w:val="0077055C"/>
    <w:rPr>
      <w:lang w:eastAsia="ar-SA"/>
    </w:rPr>
  </w:style>
  <w:style w:type="character" w:styleId="Refdenotaderodap">
    <w:name w:val="footnote reference"/>
    <w:unhideWhenUsed/>
    <w:rsid w:val="0077055C"/>
    <w:rPr>
      <w:vertAlign w:val="superscript"/>
    </w:rPr>
  </w:style>
  <w:style w:type="table" w:styleId="Tabelacomgrade">
    <w:name w:val="Table Grid"/>
    <w:basedOn w:val="Tabelanormal"/>
    <w:uiPriority w:val="59"/>
    <w:rsid w:val="00A96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E67A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brasil.com.br/topicos/386674775/art-2-da-lei-14133-21" TargetMode="External"/><Relationship Id="rId13" Type="http://schemas.openxmlformats.org/officeDocument/2006/relationships/hyperlink" Target="https://www.jusbrasil.com.br/topicos/386674760/art-2-inc-v-da-lei-14133-2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jusbrasil.com.br/topicos/386674764/art-2-inc-iv-da-lei-14133-21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usbrasil.com.br/topicos/386674766/art-2-inc-iii-da-lei-14133-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jusbrasil.com.br/topicos/386674755/art-2-inc-vii-da-lei-14133-21" TargetMode="External"/><Relationship Id="rId10" Type="http://schemas.openxmlformats.org/officeDocument/2006/relationships/hyperlink" Target="https://www.jusbrasil.com.br/topicos/386674769/art-2-inc-ii-da-lei-14133-2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jusbrasil.com.br/topicos/386674773/art-2-inc-i-da-lei-14133-21" TargetMode="External"/><Relationship Id="rId14" Type="http://schemas.openxmlformats.org/officeDocument/2006/relationships/hyperlink" Target="https://www.jusbrasil.com.br/topicos/386674757/art-2-inc-vi-da-lei-14133-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FE2DC-6CBC-4800-82FE-5B9F1D10E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1247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Art</vt:lpstr>
    </vt:vector>
  </TitlesOfParts>
  <Company/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</dc:title>
  <dc:creator>lk</dc:creator>
  <cp:lastModifiedBy>Jurídico</cp:lastModifiedBy>
  <cp:revision>11</cp:revision>
  <cp:lastPrinted>2026-05-28T18:15:00Z</cp:lastPrinted>
  <dcterms:created xsi:type="dcterms:W3CDTF">2024-04-15T16:38:00Z</dcterms:created>
  <dcterms:modified xsi:type="dcterms:W3CDTF">2026-05-28T18:15:00Z</dcterms:modified>
</cp:coreProperties>
</file>