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59/2025</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lineRule="auto" w:line="360"/>
        <w:rPr>
          <w:rFonts w:ascii="Times New Roman" w:hAnsi="Times New Roman" w:cs="Times New Roman" w:eastAsia="Times New Roman"/>
          <w:sz w:val="24"/>
          <w:shd w:val="clear" w:color="auto" w:fill="FFCC00"/>
        </w:rPr>
      </w:pPr>
      <w:r>
        <w:rPr>
          <w:rFonts w:ascii="Times New Roman" w:hAnsi="Times New Roman" w:cs="Times New Roman" w:eastAsia="Times New Roman"/>
          <w:sz w:val="24"/>
          <w:shd w:val="clear" w:color="auto" w:fill="FFCC00"/>
        </w:rPr>
        <w:t>REGISTRO DE PREÇOS</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Município de Quatro Irmãos</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59/2025</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Tipo de julgamento: </w:t>
      </w:r>
      <w:r>
        <w:rPr>
          <w:rFonts w:ascii="Times New Roman" w:hAnsi="Times New Roman" w:cs="Times New Roman" w:eastAsia="Times New Roman"/>
          <w:b/>
          <w:sz w:val="24"/>
        </w:rPr>
        <w:t>Menor Preco Unitario</w:t>
      </w:r>
    </w:p>
    <w:p>
      <w:pPr>
        <w:jc w:val="center"/>
        <w:widowControl/>
        <w:spacing w:lineRule="auto" w:line="360"/>
        <w:rPr>
          <w:rFonts w:ascii="Times New Roman" w:hAnsi="Times New Roman" w:cs="Times New Roman" w:eastAsia="Times New Roman"/>
        </w:rPr>
      </w:pPr>
      <w:r>
        <w:rPr>
          <w:rFonts w:ascii="Times New Roman" w:hAnsi="Times New Roman" w:cs="Times New Roman" w:eastAsia="Times New Roman"/>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Processo nº 000425/25</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2268" w:right="57" w:firstLine="5"/>
        <w:spacing w:lineRule="auto" w:line="360"/>
        <w:rPr>
          <w:rFonts w:ascii="Times New Roman" w:hAnsi="Times New Roman" w:cs="Times New Roman" w:eastAsia="Times New Roman"/>
          <w:sz w:val="24"/>
          <w:shd w:val="clear" w:color="auto" w:fill="FFFF00"/>
        </w:rPr>
      </w:pPr>
      <w:r>
        <w:rPr>
          <w:rFonts w:ascii="Times New Roman" w:hAnsi="Times New Roman" w:cs="Times New Roman" w:eastAsia="Times New Roman"/>
          <w:sz w:val="24"/>
        </w:rPr>
        <w:t xml:space="preserve">Edital de pregão eletrônico para a contratação de empresa para prestação de serviços de </w:t>
      </w:r>
      <w:r>
        <w:rPr>
          <w:rFonts w:ascii="Times New Roman" w:hAnsi="Times New Roman" w:cs="Times New Roman" w:eastAsia="Times New Roman"/>
          <w:sz w:val="24"/>
          <w:shd w:val="clear" w:color="auto" w:fill="FFFF00"/>
        </w:rPr>
        <w:t>Registro de Preços para Contratação de Empresa para Prestação de Serviços de Horas Máquinas (Trator de Esteira e Caminhão).</w:t>
      </w:r>
    </w:p>
    <w:p>
      <w:pPr>
        <w:jc w:val="both"/>
        <w:widowControl/>
        <w:ind w:right="57"/>
        <w:spacing w:lineRule="auto" w:line="36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lineRule="auto" w:line="36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ab/>
      </w: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a prestação de serviços de </w:t>
      </w:r>
      <w:r>
        <w:rPr>
          <w:rFonts w:ascii="Times New Roman" w:hAnsi="Times New Roman" w:cs="Times New Roman" w:eastAsia="Times New Roman"/>
          <w:b/>
          <w:sz w:val="24"/>
          <w:shd w:val="clear" w:color="auto" w:fill="FFFF00"/>
        </w:rPr>
        <w:t>Registro de Preços para Contratação de Empresa para Prestação de Serviços de Horas Máquinas (Trator de Esteira e Caminhão)</w:t>
      </w:r>
      <w:r>
        <w:rPr>
          <w:rFonts w:ascii="Times New Roman" w:hAnsi="Times New Roman" w:cs="Times New Roman" w:eastAsia="Times New Roman"/>
          <w:sz w:val="24"/>
        </w:rPr>
        <w:t xml:space="preserve">, </w:t>
      </w:r>
      <w:bookmarkStart w:id="0" w:name="_Hlk108091163"/>
      <w:bookmarkEnd w:id="0"/>
      <w:r>
        <w:rPr>
          <w:rFonts w:ascii="Times New Roman" w:hAnsi="Times New Roman" w:cs="Times New Roman" w:eastAsia="Times New Roman"/>
          <w:sz w:val="24"/>
        </w:rPr>
        <w:t>conforme descrito nesse edital e seus anexos, e nos termos da Lei Federal nº 14.133 de 1º de abril de 2021</w:t>
      </w:r>
      <w:r>
        <w:rPr>
          <w:rFonts w:ascii="Times New Roman" w:hAnsi="Times New Roman" w:cs="Times New Roman" w:eastAsia="Times New Roman"/>
          <w:b/>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11/11/2025</w:t>
      </w:r>
      <w:r>
        <w:rPr>
          <w:rFonts w:ascii="Times New Roman" w:hAnsi="Times New Roman" w:cs="Times New Roman" w:eastAsia="Times New Roman"/>
          <w:sz w:val="24"/>
        </w:rPr>
        <w:t xml:space="preserve">, às </w:t>
      </w:r>
      <w:r>
        <w:rPr>
          <w:rFonts w:ascii="Times New Roman" w:hAnsi="Times New Roman" w:cs="Times New Roman" w:eastAsia="Times New Roman"/>
          <w:sz w:val="24"/>
          <w:shd w:val="clear" w:color="auto" w:fill="FFFF00"/>
        </w:rPr>
        <w:t>13:15</w:t>
      </w:r>
      <w:r>
        <w:rPr>
          <w:rFonts w:ascii="Times New Roman" w:hAnsi="Times New Roman" w:cs="Times New Roman" w:eastAsia="Times New Roman"/>
          <w:sz w:val="24"/>
        </w:rPr>
        <w:t xml:space="preserve"> podendo as propostas e os documentos serem enviados até às </w:t>
      </w:r>
      <w:r>
        <w:rPr>
          <w:rFonts w:ascii="Times New Roman" w:hAnsi="Times New Roman" w:cs="Times New Roman" w:eastAsia="Times New Roman"/>
          <w:sz w:val="24"/>
          <w:shd w:val="clear" w:color="auto" w:fill="FFFF00"/>
        </w:rPr>
        <w:t>13:00</w:t>
      </w:r>
      <w:r>
        <w:rPr>
          <w:rFonts w:ascii="Times New Roman" w:hAnsi="Times New Roman" w:cs="Times New Roman" w:eastAsia="Times New Roman"/>
          <w:sz w:val="24"/>
        </w:rPr>
        <w:t>, sendo que todas as referências de tempo observam o horário de Brasília.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pPr>
      <w:r>
        <w:rPr>
          <w:rFonts w:ascii="Times New Roman" w:hAnsi="Times New Roman" w:cs="Times New Roman" w:eastAsia="Times New Roman"/>
          <w:sz w:val="24"/>
        </w:rPr>
        <w:tab/>
      </w:r>
    </w:p>
    <w:p>
      <w:pPr>
        <w:jc w:val="both"/>
        <w:widowControl/>
        <w:ind w:firstLine="1418"/>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bookmarkStart w:id="1" w:name="_Hlk108091216"/>
      <w:bookmarkEnd w:id="1"/>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Constitui objeto da presente licitação a prestação dos serviços de </w:t>
      </w:r>
      <w:r>
        <w:rPr>
          <w:rFonts w:ascii="Times New Roman" w:hAnsi="Times New Roman" w:cs="Times New Roman" w:eastAsia="Times New Roman"/>
          <w:b/>
          <w:sz w:val="24"/>
          <w:shd w:val="clear" w:color="auto" w:fill="FFFF00"/>
        </w:rPr>
        <w:t>Registro de Preços para Contratação de Empresa para Prestação de Serviços de Horas Máquinas (Trator de Esteira e Caminhão)</w:t>
      </w:r>
      <w:r>
        <w:rPr>
          <w:rFonts w:ascii="Times New Roman" w:hAnsi="Times New Roman" w:cs="Times New Roman" w:eastAsia="Times New Roman"/>
          <w:sz w:val="24"/>
        </w:rPr>
        <w:t>, a serem executados conforme especificações técnicas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HORÁ/MÁQUINA CAMINHÃO BASCULANTE 16M³</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CAMINHÃO TRAÇADO, ANO MININO 2015, BASCULANTE COM CAPACIDADE MÍNIMA DE CARGA DE 16M³, COM OPERADOR HABILITADO, DIESEL E CUSTOS COM MANUTENÇÃO DE RESPONSABILIDADE DA CONTRATADA, PODERÁ O VEÍCULO ESTAR REGISTRADO NA NOME DA EMPRESA OU A MESMA APRESENTAR CONTRATO REGISTRADO DE LOCAÇÃO.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H</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253,03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278.333,00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HORA/MÁQUINA TRATOR ESTEIRA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PRESTAÇÃO DE SERVIÇO DE HORA/MÁQUINA PARA TRATOR ESTEIRA, COM PESO OPERACIONAL DE NO MÍNIMO 19 TONELADAS, COM LÂMINA ARTICULADA HIDRÁULICA DE NO MÍNIMO 3,20M, COM OPERADOR HABILITADO DIESEL TRANSPORTE E CUSTOS COM MANUTENÇÃO DE RESPONSABILIDADE DA CONTRATADA, COM NO MÁXIMO 10 ANOS DE USO, PODERÁ A MÁQUINA ESTAR REGISTRADO NA NOME DA EMPRESA OU A MESMA APRESENTAR CONTRATO REGISTRADO DE LOCAÇÃO.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H</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359,29</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143.716,00</w:t>
            </w:r>
          </w:p>
        </w:tc>
      </w:tr>
    </w:tbl>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hyperlink r:id="hrId3">
        <w:r>
          <w:rPr>
            <w:rFonts w:ascii="Times New Roman" w:hAnsi="Times New Roman" w:cs="Times New Roman" w:eastAsia="Times New Roman"/>
            <w:b/>
            <w:u w:val="single"/>
            <w:sz w:val="24"/>
            <w:color w:val="0000FF"/>
          </w:rPr>
          <w:t>)</w:t>
        </w:r>
      </w:hyperlink>
      <w:r>
        <w:rPr>
          <w:rFonts w:ascii="Times New Roman" w:hAnsi="Times New Roman" w:cs="Times New Roman" w:eastAsia="Times New Roman"/>
          <w:sz w:val="24"/>
        </w:rPr>
        <w:t xml:space="preserve"> ou solicitadas por meio do seguinte endereço de email: </w:t>
      </w:r>
      <w:hyperlink r:id="hrId4">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5">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como condição para aplicação do disposto nos itens </w:t>
      </w:r>
      <w:r>
        <w:rPr>
          <w:rFonts w:ascii="Times New Roman" w:hAnsi="Times New Roman" w:cs="Times New Roman" w:eastAsia="Times New Roman"/>
          <w:b/>
          <w:sz w:val="24"/>
          <w:color w:val="000000"/>
        </w:rPr>
        <w:t>[...]</w:t>
      </w:r>
      <w:r>
        <w:rPr>
          <w:rFonts w:ascii="Times New Roman" w:hAnsi="Times New Roman" w:cs="Times New Roman" w:eastAsia="Times New Roman"/>
          <w:sz w:val="24"/>
          <w:color w:val="000000"/>
        </w:rPr>
        <w:t xml:space="preserve"> deste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 xml:space="preserve">Outros eventuais </w:t>
      </w:r>
      <w:r>
        <w:rPr>
          <w:rFonts w:ascii="Times New Roman" w:hAnsi="Times New Roman" w:cs="Times New Roman" w:eastAsia="Times New Roman"/>
          <w:sz w:val="24"/>
          <w:color w:val="000000"/>
        </w:rPr>
        <w:t>documentos complementares à proposta e à habilitação, que venham a ser solicitados pelo pregoeiro, deverão ser encaminhados no prazo máximo de 3</w:t>
      </w:r>
      <w:r>
        <w:rPr>
          <w:rFonts w:ascii="Times New Roman" w:hAnsi="Times New Roman" w:cs="Times New Roman" w:eastAsia="Times New Roman"/>
          <w:b/>
          <w:sz w:val="24"/>
        </w:rPr>
        <w:t xml:space="preserve"> </w:t>
      </w:r>
      <w:r>
        <w:rPr>
          <w:rFonts w:ascii="Times New Roman" w:hAnsi="Times New Roman" w:cs="Times New Roman" w:eastAsia="Times New Roman"/>
          <w:sz w:val="24"/>
        </w:rPr>
        <w:t>dias úteis</w:t>
      </w:r>
      <w:r>
        <w:rPr>
          <w:rFonts w:ascii="Times New Roman" w:hAnsi="Times New Roman" w:cs="Times New Roman" w:eastAsia="Times New Roman"/>
          <w:sz w:val="24"/>
          <w:color w:val="000000"/>
        </w:rPr>
        <w:t>.</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 xml:space="preserve">O prazo de validade da proposta será de </w:t>
      </w:r>
      <w:r>
        <w:rPr>
          <w:rFonts w:ascii="Times New Roman" w:hAnsi="Times New Roman" w:cs="Times New Roman" w:eastAsia="Times New Roman"/>
          <w:i/>
          <w:sz w:val="24"/>
        </w:rPr>
        <w:t>60 dias</w:t>
      </w:r>
      <w:r>
        <w:rPr>
          <w:rFonts w:ascii="Times New Roman" w:hAnsi="Times New Roman" w:cs="Times New Roman" w:eastAsia="Times New Roman"/>
          <w:sz w:val="24"/>
        </w:rPr>
        <w:t>, a contar da data de abertura da sessão do pregão, estabelecida no preâmbulo desse edital.</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inscrição no Cadastro Nacional de Pessoa Jurídica (CNPJ/MF);</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d)</w:t>
      </w:r>
      <w:r>
        <w:rPr>
          <w:rFonts w:ascii="Times New Roman" w:hAnsi="Times New Roman" w:cs="Times New Roman" w:eastAsia="Times New Roman"/>
          <w:sz w:val="24"/>
        </w:rPr>
        <w:t xml:space="preserve"> 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lineRule="auto" w:line="360"/>
        <w:rPr>
          <w:rFonts w:ascii="Times New Roman" w:hAnsi="Times New Roman" w:cs="Times New Roman" w:eastAsia="Times New Roman"/>
          <w:sz w:val="24"/>
          <w:color w:val="000000"/>
        </w:rPr>
      </w:pPr>
      <w:bookmarkStart w:id="2" w:name="art68i"/>
      <w:bookmarkEnd w:id="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no caso de pessoas naturais, ou no Cadastro Nacional da Pessoa Jurídica (CNPJ);</w:t>
      </w:r>
    </w:p>
    <w:p>
      <w:pPr>
        <w:jc w:val="both"/>
        <w:widowControl/>
        <w:spacing w:lineRule="auto" w:line="360"/>
        <w:rPr>
          <w:rFonts w:ascii="Times New Roman" w:hAnsi="Times New Roman" w:cs="Times New Roman" w:eastAsia="Times New Roman"/>
          <w:sz w:val="24"/>
          <w:color w:val="000000"/>
        </w:rPr>
      </w:pPr>
      <w:bookmarkStart w:id="3" w:name="art68ii"/>
      <w:bookmarkEnd w:id="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lineRule="auto" w:line="360"/>
        <w:rPr>
          <w:rFonts w:ascii="Times New Roman" w:hAnsi="Times New Roman" w:cs="Times New Roman" w:eastAsia="Times New Roman"/>
          <w:sz w:val="24"/>
          <w:color w:val="000000"/>
        </w:rPr>
      </w:pPr>
      <w:bookmarkStart w:id="4" w:name="art68iii"/>
      <w:bookmarkEnd w:id="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e regularidade com o Município de Quatro Irmãos, nos termos do art. 193 do Código Tributário Nacional, ou outra equivalente, na forma da lei;</w:t>
      </w:r>
    </w:p>
    <w:p>
      <w:pPr>
        <w:jc w:val="both"/>
        <w:widowControl/>
        <w:spacing w:lineRule="auto" w:line="360"/>
        <w:rPr>
          <w:rFonts w:ascii="Times New Roman" w:hAnsi="Times New Roman" w:cs="Times New Roman" w:eastAsia="Times New Roman"/>
          <w:sz w:val="24"/>
          <w:color w:val="000000"/>
        </w:rPr>
      </w:pPr>
      <w:bookmarkStart w:id="5" w:name="art68iv"/>
      <w:bookmarkEnd w:id="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lineRule="auto" w:line="360"/>
        <w:rPr>
          <w:rFonts w:ascii="Times New Roman" w:hAnsi="Times New Roman" w:cs="Times New Roman" w:eastAsia="Times New Roman"/>
          <w:sz w:val="24"/>
          <w:color w:val="000000"/>
        </w:rPr>
      </w:pPr>
      <w:bookmarkStart w:id="6" w:name="art68v"/>
      <w:bookmarkEnd w:id="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lineRule="auto" w:line="360"/>
        <w:rPr>
          <w:rFonts w:ascii="Times New Roman" w:hAnsi="Times New Roman" w:cs="Times New Roman" w:eastAsia="Times New Roman"/>
          <w:sz w:val="24"/>
        </w:rPr>
      </w:pPr>
      <w:bookmarkStart w:id="7" w:name="art68vi"/>
      <w:bookmarkEnd w:id="7"/>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6"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215"/>
        </w:tabs>
        <w:rPr>
          <w:rFonts w:ascii="Times New Roman" w:hAnsi="Times New Roman" w:cs="Times New Roman" w:eastAsia="Times New Roman"/>
          <w:b/>
          <w:sz w:val="24"/>
        </w:rPr>
      </w:pPr>
      <w:bookmarkStart w:id="8" w:name="art68_1"/>
      <w:bookmarkEnd w:id="8"/>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9" w:name="_Hlk508883518"/>
      <w:bookmarkEnd w:id="9"/>
      <w:r>
        <w:rPr>
          <w:rFonts w:ascii="Times New Roman" w:hAnsi="Times New Roman" w:cs="Times New Roman" w:eastAsia="Times New Roman"/>
          <w:b/>
          <w:sz w:val="24"/>
        </w:rPr>
        <w:t>a)</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balanço patrimonial, demonstração de resultado de exercício e demais demonstrações contábeis dos 2 (dois) últimos exercícios sociais;</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certidão negativa de falência expedida pelo distribuidor da sede da pessoa jurídica, em prazo não superior a 90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5.3.1.</w:t>
      </w:r>
      <w:r>
        <w:rPr>
          <w:rFonts w:ascii="Times New Roman" w:hAnsi="Times New Roman" w:cs="Times New Roman" w:eastAsia="Times New Roman"/>
          <w:sz w:val="24"/>
        </w:rPr>
        <w:t xml:space="preserve"> É</w:t>
      </w:r>
      <w:r>
        <w:rPr>
          <w:rFonts w:ascii="Times New Roman" w:hAnsi="Times New Roman" w:cs="Times New Roman" w:eastAsia="Times New Roman"/>
          <w:b/>
          <w:sz w:val="24"/>
        </w:rPr>
        <w:t xml:space="preserve"> </w:t>
      </w:r>
      <w:r>
        <w:rPr>
          <w:rFonts w:ascii="Times New Roman" w:hAnsi="Times New Roman" w:cs="Times New Roman" w:eastAsia="Times New Roman"/>
          <w:sz w:val="24"/>
        </w:rPr>
        <w:t>vedada a substituição do balanço por balancete ou balanço provisório.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5.3.2.</w:t>
      </w:r>
      <w:r>
        <w:rPr>
          <w:rFonts w:ascii="Times New Roman" w:hAnsi="Times New Roman" w:cs="Times New Roman" w:eastAsia="Times New Roman"/>
          <w:sz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5.3.3.</w:t>
      </w:r>
      <w:r>
        <w:rPr>
          <w:rFonts w:ascii="Times New Roman" w:hAnsi="Times New Roman" w:cs="Times New Roman" w:eastAsia="Times New Roman"/>
          <w:sz w:val="24"/>
          <w:color w:val="000000"/>
        </w:rPr>
        <w:t xml:space="preserve"> As empresas criadas no exercício financeiro da licitação deverão atender a todas as exigências da habilitação e ficarão autorizadas a substituir os demonstrativos contábeis pelo balanço de abertura.</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 </w:t>
      </w:r>
      <w:r>
        <w:rPr>
          <w:rFonts w:ascii="Times New Roman" w:hAnsi="Times New Roman" w:cs="Times New Roman" w:eastAsia="Times New Roman"/>
          <w:sz w:val="24"/>
        </w:rPr>
        <w:t>Para as empresas cadastradas no Município, a documentação poderá ser substituída pelo seu Certificado de Registro de Fornecedor, desde que seu objetivo social comporte o objeto licitado e o registro cadastral esteja no prazo de validade.</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5.3.4.1. </w:t>
      </w:r>
      <w:r>
        <w:rPr>
          <w:rFonts w:ascii="Times New Roman" w:hAnsi="Times New Roman" w:cs="Times New Roman" w:eastAsia="Times New Roman"/>
          <w:sz w:val="24"/>
        </w:rPr>
        <w:t>A substituição referida no item 5.3.4. somente terá eficácia em relação aos documentos que tenham sido efetivamente apresentados para o cadastro e desde que estejam atualizados na data da sessão, constante no preâmbulo.</w:t>
      </w:r>
    </w:p>
    <w:p>
      <w:pPr>
        <w:jc w:val="both"/>
        <w:widowControl/>
        <w:spacing w:lineRule="auto" w:line="360"/>
        <w:tabs>
          <w:tab w:val="left" w:pos="993"/>
        </w:tabs>
        <w:rPr>
          <w:rFonts w:ascii="Times New Roman" w:hAnsi="Times New Roman" w:cs="Times New Roman" w:eastAsia="Times New Roman"/>
          <w:sz w:val="24"/>
        </w:rPr>
      </w:pPr>
      <w:r>
        <w:rPr>
          <w:rFonts w:ascii="Times New Roman" w:hAnsi="Times New Roman" w:cs="Times New Roman" w:eastAsia="Times New Roman"/>
          <w:b/>
          <w:sz w:val="24"/>
        </w:rPr>
        <w:t>5.3.5.</w:t>
      </w:r>
      <w:r>
        <w:rPr>
          <w:rFonts w:ascii="Times New Roman" w:hAnsi="Times New Roman" w:cs="Times New Roman" w:eastAsia="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5.3.6</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10" w:name="art64i"/>
      <w:bookmarkEnd w:id="10"/>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11" w:name="art64ii"/>
      <w:bookmarkEnd w:id="11"/>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5.3.7.</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5.3.8.</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spacing w:lineRule="auto" w:line="360"/>
        <w:rPr>
          <w:rFonts w:ascii="Times New Roman" w:hAnsi="Times New Roman" w:cs="Times New Roman" w:eastAsia="Times New Roman"/>
          <w:sz w:val="24"/>
          <w:color w:val="FF0000"/>
        </w:rPr>
      </w:pPr>
      <w:r>
        <w:rPr>
          <w:rFonts w:ascii="Times New Roman" w:hAnsi="Times New Roman" w:cs="Times New Roman" w:eastAsia="Times New Roman"/>
          <w:sz w:val="24"/>
          <w:color w:val="FF0000"/>
        </w:rPr>
        <w:t/>
      </w:r>
    </w:p>
    <w:p>
      <w:pPr>
        <w:jc w:val="both"/>
        <w:widowControl/>
        <w:spacing w:lineRule="auto" w:line="360"/>
        <w:rPr>
          <w:rFonts w:ascii="Times New Roman" w:hAnsi="Times New Roman" w:cs="Times New Roman" w:eastAsia="Times New Roman"/>
          <w:b/>
          <w:sz w:val="24"/>
          <w:color w:val="000000"/>
        </w:rPr>
      </w:pPr>
      <w:bookmarkStart w:id="12" w:name="_Hlk108091864"/>
      <w:bookmarkEnd w:id="12"/>
      <w:r>
        <w:rPr>
          <w:rFonts w:ascii="Times New Roman" w:hAnsi="Times New Roman" w:cs="Times New Roman" w:eastAsia="Times New Roman"/>
          <w:b/>
          <w:sz w:val="24"/>
          <w:color w:val="000000"/>
        </w:rPr>
        <w:t>5.4. QUALIFICAÇÃO TÉCNICO-PROFISSIONAL E TÉCNICO-OPERACIONAL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5.4.1. </w:t>
      </w:r>
      <w:r>
        <w:rPr>
          <w:rFonts w:ascii="Times New Roman" w:hAnsi="Times New Roman" w:cs="Times New Roman" w:eastAsia="Times New Roman"/>
          <w:sz w:val="24"/>
          <w:color w:val="000000"/>
        </w:rPr>
        <w:t>A documentação relativa à qualificação técnico-profissional e técnico-operacional será restrita a:</w:t>
      </w:r>
    </w:p>
    <w:p>
      <w:pPr>
        <w:jc w:val="both"/>
        <w:widowControl/>
        <w:spacing w:lineRule="auto" w:line="360"/>
        <w:rPr>
          <w:rFonts w:ascii="Times New Roman" w:hAnsi="Times New Roman" w:cs="Times New Roman" w:eastAsia="Times New Roman"/>
          <w:sz w:val="24"/>
          <w:color w:val="000000"/>
        </w:rPr>
      </w:pPr>
      <w:bookmarkStart w:id="13" w:name="art67i"/>
      <w:bookmarkEnd w:id="1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Atestado de capacidade Técnica, fornecido por Pessoa Jurídica de Direito Público ou Privado, com objeto e características semelhantes ao objeto do presente Edital.</w:t>
      </w:r>
    </w:p>
    <w:p>
      <w:pPr>
        <w:jc w:val="both"/>
        <w:widowControl/>
        <w:spacing w:lineRule="auto" w:line="360"/>
        <w:rPr>
          <w:rFonts w:ascii="Times New Roman" w:hAnsi="Times New Roman" w:cs="Times New Roman" w:eastAsia="Times New Roman"/>
          <w:sz w:val="24"/>
        </w:rPr>
      </w:pPr>
      <w:bookmarkStart w:id="14" w:name="art67_1"/>
      <w:bookmarkEnd w:id="14"/>
      <w:r>
        <w:rPr>
          <w:rFonts w:ascii="Times New Roman" w:hAnsi="Times New Roman" w:cs="Times New Roman" w:eastAsia="Times New Roman"/>
          <w:sz w:val="24"/>
        </w:rPr>
        <w:t xml:space="preserve"> </w:t>
      </w:r>
    </w:p>
    <w:p>
      <w:pPr>
        <w:jc w:val="both"/>
        <w:widowControl/>
        <w:spacing w:lineRule="auto" w:line="360"/>
        <w:tabs>
          <w:tab w:val="left" w:pos="1134"/>
        </w:tabs>
        <w:rPr>
          <w:rFonts w:ascii="Times New Roman" w:hAnsi="Times New Roman" w:cs="Times New Roman" w:eastAsia="Times New Roman"/>
          <w:b/>
          <w:sz w:val="24"/>
        </w:rPr>
      </w:pPr>
      <w:bookmarkStart w:id="15" w:name="art67_3"/>
      <w:bookmarkEnd w:id="15"/>
      <w:r>
        <w:rPr>
          <w:rFonts w:ascii="Times New Roman" w:hAnsi="Times New Roman" w:cs="Times New Roman" w:eastAsia="Times New Roman"/>
          <w:b/>
          <w:sz w:val="24"/>
        </w:rPr>
        <w:t>6. GARANTIA DE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do contrato, direta ou indiretamente: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lineRule="auto" w:line="360"/>
        <w:rPr>
          <w:rFonts w:ascii="Times New Roman" w:hAnsi="Times New Roman" w:cs="Times New Roman" w:eastAsia="Times New Roman"/>
          <w:sz w:val="24"/>
          <w:color w:val="000000"/>
        </w:rPr>
      </w:pPr>
      <w:bookmarkStart w:id="16" w:name="art14iv"/>
      <w:bookmarkEnd w:id="1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lineRule="auto" w:line="360"/>
        <w:rPr>
          <w:rFonts w:ascii="Times New Roman" w:hAnsi="Times New Roman" w:cs="Times New Roman" w:eastAsia="Times New Roman"/>
          <w:sz w:val="24"/>
          <w:color w:val="000000"/>
        </w:rPr>
      </w:pPr>
      <w:bookmarkStart w:id="17" w:name="art14v"/>
      <w:bookmarkEnd w:id="17"/>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7">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lineRule="auto" w:line="360"/>
        <w:rPr>
          <w:rFonts w:ascii="Times New Roman" w:hAnsi="Times New Roman" w:cs="Times New Roman" w:eastAsia="Times New Roman"/>
          <w:sz w:val="24"/>
          <w:color w:val="000000"/>
        </w:rPr>
      </w:pPr>
      <w:bookmarkStart w:id="18" w:name="art14vi"/>
      <w:bookmarkEnd w:id="1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Iniciada a sessão, as propostas de preços contendo a descrição do objeto e do valor estarão disponíveis na internet.</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lineRule="auto" w:line="360"/>
        <w:rPr>
          <w:rFonts w:ascii="Times New Roman" w:hAnsi="Times New Roman" w:cs="Times New Roman" w:eastAsia="Times New Roman"/>
          <w:sz w:val="24"/>
          <w:color w:val="000000"/>
        </w:rPr>
      </w:pPr>
      <w:bookmarkStart w:id="19" w:name="art59ii"/>
      <w:bookmarkEnd w:id="1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lineRule="auto" w:line="360"/>
        <w:rPr>
          <w:rFonts w:ascii="Times New Roman" w:hAnsi="Times New Roman" w:cs="Times New Roman" w:eastAsia="Times New Roman"/>
          <w:sz w:val="24"/>
          <w:color w:val="000000"/>
        </w:rPr>
      </w:pPr>
      <w:bookmarkStart w:id="20" w:name="art59iii"/>
      <w:bookmarkEnd w:id="20"/>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lineRule="auto" w:line="360"/>
        <w:rPr>
          <w:rFonts w:ascii="Times New Roman" w:hAnsi="Times New Roman" w:cs="Times New Roman" w:eastAsia="Times New Roman"/>
          <w:sz w:val="24"/>
          <w:color w:val="000000"/>
        </w:rPr>
      </w:pPr>
      <w:bookmarkStart w:id="21" w:name="art59iv"/>
      <w:bookmarkEnd w:id="21"/>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lineRule="auto" w:line="360"/>
        <w:rPr>
          <w:rFonts w:ascii="Times New Roman" w:hAnsi="Times New Roman" w:cs="Times New Roman" w:eastAsia="Times New Roman"/>
          <w:sz w:val="24"/>
          <w:color w:val="000000"/>
        </w:rPr>
      </w:pPr>
      <w:bookmarkStart w:id="22" w:name="art59v"/>
      <w:bookmarkEnd w:id="22"/>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lineRule="auto" w:line="360"/>
        <w:tabs>
          <w:tab w:val="left" w:pos="1134"/>
        </w:tabs>
        <w:rPr>
          <w:rFonts w:ascii="Times New Roman" w:hAnsi="Times New Roman" w:cs="Times New Roman" w:eastAsia="Times New Roman"/>
          <w:sz w:val="24"/>
        </w:rPr>
      </w:pPr>
      <w:bookmarkStart w:id="23" w:name="art59_2"/>
      <w:bookmarkEnd w:id="23"/>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O intervalo mínimo de diferença de valores entre os lances será de 1 %, que incidirá tanto em relação aos lances intermediários, quanto em relação do lance que cobrir a melhor oferta.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9.7.5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lineRule="auto" w:line="360"/>
        <w:rPr>
          <w:rFonts w:ascii="Times New Roman" w:hAnsi="Times New Roman" w:cs="Times New Roman" w:eastAsia="Times New Roman"/>
          <w:sz w:val="24"/>
          <w:color w:val="000000"/>
        </w:rPr>
      </w:pPr>
      <w:bookmarkStart w:id="24" w:name="art56_3ii"/>
      <w:bookmarkEnd w:id="24"/>
      <w:r>
        <w:rPr>
          <w:rFonts w:ascii="Times New Roman" w:hAnsi="Times New Roman" w:cs="Times New Roman" w:eastAsia="Times New Roman"/>
          <w:b/>
          <w:sz w:val="24"/>
          <w:color w:val="000000"/>
        </w:rPr>
        <w:t>9.7.6</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lineRule="auto" w:line="360"/>
        <w:tabs>
          <w:tab w:val="left" w:pos="1134"/>
        </w:tabs>
        <w:rPr>
          <w:rFonts w:ascii="Times New Roman" w:hAnsi="Times New Roman" w:cs="Times New Roman" w:eastAsia="Times New Roman"/>
          <w:b/>
          <w:sz w:val="24"/>
          <w:color w:val="000000"/>
        </w:rPr>
      </w:pPr>
      <w:bookmarkStart w:id="25" w:name="art58_4"/>
      <w:bookmarkEnd w:id="25"/>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8">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lineRule="auto" w:line="360"/>
        <w:rPr>
          <w:rFonts w:ascii="Times New Roman" w:hAnsi="Times New Roman" w:cs="Times New Roman" w:eastAsia="Times New Roman"/>
          <w:sz w:val="24"/>
          <w:color w:val="000000"/>
        </w:rPr>
      </w:pPr>
      <w:bookmarkStart w:id="26" w:name="art60i"/>
      <w:bookmarkEnd w:id="2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lineRule="auto" w:line="360"/>
        <w:rPr>
          <w:rFonts w:ascii="Times New Roman" w:hAnsi="Times New Roman" w:cs="Times New Roman" w:eastAsia="Times New Roman"/>
          <w:u w:color="auto"/>
          <w:sz w:val="24"/>
          <w:color w:val="000000"/>
        </w:rPr>
      </w:pPr>
      <w:bookmarkStart w:id="27" w:name="art60ii"/>
      <w:bookmarkEnd w:id="2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w:t>
      </w:r>
      <w:r>
        <w:rPr>
          <w:rFonts w:ascii="Times New Roman" w:hAnsi="Times New Roman" w:cs="Times New Roman" w:eastAsia="Times New Roman"/>
          <w:u w:color="auto"/>
          <w:sz w:val="24"/>
          <w:color w:val="000000"/>
        </w:rPr>
        <w:t>sorteio.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lineRule="auto" w:line="360"/>
        <w:rPr>
          <w:rFonts w:ascii="Times New Roman" w:hAnsi="Times New Roman" w:cs="Times New Roman" w:eastAsia="Times New Roman"/>
          <w:sz w:val="24"/>
          <w:color w:val="000000"/>
        </w:rPr>
      </w:pPr>
      <w:bookmarkStart w:id="28" w:name="art165ia"/>
      <w:bookmarkEnd w:id="28"/>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lineRule="auto" w:line="360"/>
        <w:rPr>
          <w:rFonts w:ascii="Times New Roman" w:hAnsi="Times New Roman" w:cs="Times New Roman" w:eastAsia="Times New Roman"/>
          <w:sz w:val="24"/>
          <w:color w:val="000000"/>
        </w:rPr>
      </w:pPr>
      <w:bookmarkStart w:id="29" w:name="art165ib"/>
      <w:bookmarkEnd w:id="2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lineRule="auto" w:line="360"/>
        <w:rPr>
          <w:rFonts w:ascii="Times New Roman" w:hAnsi="Times New Roman" w:cs="Times New Roman" w:eastAsia="Times New Roman"/>
          <w:sz w:val="24"/>
          <w:color w:val="000000"/>
        </w:rPr>
      </w:pPr>
      <w:bookmarkStart w:id="30" w:name="art165ic"/>
      <w:bookmarkEnd w:id="30"/>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lineRule="auto" w:line="360"/>
        <w:rPr>
          <w:rFonts w:ascii="Times New Roman" w:hAnsi="Times New Roman" w:cs="Times New Roman" w:eastAsia="Times New Roman"/>
          <w:sz w:val="24"/>
          <w:color w:val="000000"/>
        </w:rPr>
      </w:pPr>
      <w:bookmarkStart w:id="31" w:name="art165id"/>
      <w:bookmarkEnd w:id="31"/>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lineRule="auto" w:line="360"/>
        <w:rPr>
          <w:rFonts w:ascii="Times New Roman" w:hAnsi="Times New Roman" w:cs="Times New Roman" w:eastAsia="Times New Roman"/>
          <w:sz w:val="24"/>
          <w:color w:val="000000"/>
        </w:rPr>
      </w:pPr>
      <w:bookmarkStart w:id="32" w:name="art165_1i"/>
      <w:bookmarkEnd w:id="3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lineRule="auto" w:line="360"/>
        <w:rPr>
          <w:rFonts w:ascii="Times New Roman" w:hAnsi="Times New Roman" w:cs="Times New Roman" w:eastAsia="Times New Roman"/>
          <w:sz w:val="24"/>
          <w:color w:val="000000"/>
        </w:rPr>
      </w:pPr>
      <w:bookmarkStart w:id="33" w:name="art165_1ii"/>
      <w:bookmarkEnd w:id="3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bookmarkStart w:id="34" w:name="art165ie"/>
      <w:bookmarkEnd w:id="34"/>
      <w:r>
        <w:rPr>
          <w:rFonts w:ascii="Times New Roman" w:hAnsi="Times New Roman" w:cs="Times New Roman" w:eastAsia="Times New Roman"/>
          <w:b/>
          <w:sz w:val="24"/>
        </w:rPr>
        <w:t>15. ENCERRAMENTO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lineRule="auto" w:line="360"/>
        <w:rPr>
          <w:rFonts w:ascii="Times New Roman" w:hAnsi="Times New Roman" w:cs="Times New Roman" w:eastAsia="Times New Roman"/>
          <w:sz w:val="24"/>
          <w:color w:val="000000"/>
        </w:rPr>
      </w:pPr>
      <w:bookmarkStart w:id="35" w:name="art71i"/>
      <w:bookmarkEnd w:id="35"/>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lineRule="auto" w:line="360"/>
        <w:rPr>
          <w:rFonts w:ascii="Times New Roman" w:hAnsi="Times New Roman" w:cs="Times New Roman" w:eastAsia="Times New Roman"/>
          <w:sz w:val="24"/>
          <w:color w:val="000000"/>
        </w:rPr>
      </w:pPr>
      <w:bookmarkStart w:id="36" w:name="art71ii"/>
      <w:bookmarkEnd w:id="3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lineRule="auto" w:line="360"/>
        <w:rPr>
          <w:rFonts w:ascii="Times New Roman" w:hAnsi="Times New Roman" w:cs="Times New Roman" w:eastAsia="Times New Roman"/>
          <w:sz w:val="24"/>
          <w:color w:val="000000"/>
        </w:rPr>
      </w:pPr>
      <w:bookmarkStart w:id="37" w:name="art71iii"/>
      <w:bookmarkEnd w:id="37"/>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lineRule="auto" w:line="360"/>
        <w:rPr>
          <w:rFonts w:ascii="Times New Roman" w:hAnsi="Times New Roman" w:cs="Times New Roman" w:eastAsia="Times New Roman"/>
          <w:sz w:val="24"/>
          <w:color w:val="000000"/>
        </w:rPr>
      </w:pPr>
      <w:bookmarkStart w:id="38" w:name="art71iv"/>
      <w:bookmarkEnd w:id="3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lineRule="auto" w:line="360"/>
        <w:tabs>
          <w:tab w:val="left" w:pos="1134"/>
        </w:tabs>
        <w:rPr>
          <w:rFonts w:ascii="Times New Roman" w:hAnsi="Times New Roman" w:cs="Times New Roman" w:eastAsia="Times New Roman"/>
          <w:b/>
          <w:sz w:val="24"/>
          <w:color w:val="000000"/>
        </w:rPr>
      </w:pPr>
      <w:bookmarkStart w:id="39" w:name="art71_1"/>
      <w:bookmarkEnd w:id="39"/>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úteis, sob pena de decair o direito à contratação, sem prejuízo das sanções previstas neste Edital.</w:t>
      </w:r>
    </w:p>
    <w:p>
      <w:pPr>
        <w:jc w:val="both"/>
        <w:widowControl/>
        <w:spacing w:lineRule="auto" w:line="360"/>
        <w:rPr>
          <w:rFonts w:ascii="Times New Roman" w:hAnsi="Times New Roman" w:cs="Times New Roman" w:eastAsia="Times New Roman"/>
          <w:sz w:val="24"/>
          <w:color w:val="000000"/>
        </w:rPr>
      </w:pPr>
      <w:bookmarkStart w:id="40" w:name="art90_1"/>
      <w:bookmarkEnd w:id="40"/>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lineRule="auto" w:line="360"/>
        <w:rPr>
          <w:rFonts w:ascii="Times New Roman" w:hAnsi="Times New Roman" w:cs="Times New Roman" w:eastAsia="Times New Roman"/>
          <w:sz w:val="24"/>
          <w:color w:val="000000"/>
        </w:rPr>
      </w:pPr>
      <w:bookmarkStart w:id="41" w:name="art90_2"/>
      <w:bookmarkEnd w:id="41"/>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lineRule="auto" w:line="360"/>
        <w:rPr>
          <w:rFonts w:ascii="Times New Roman" w:hAnsi="Times New Roman" w:cs="Times New Roman" w:eastAsia="Times New Roman"/>
          <w:sz w:val="24"/>
          <w:color w:val="000000"/>
        </w:rPr>
      </w:pPr>
      <w:bookmarkStart w:id="42" w:name="art90_3"/>
      <w:bookmarkEnd w:id="42"/>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lineRule="auto" w:line="360"/>
        <w:rPr>
          <w:rFonts w:ascii="Times New Roman" w:hAnsi="Times New Roman" w:cs="Times New Roman" w:eastAsia="Times New Roman"/>
          <w:sz w:val="24"/>
          <w:color w:val="000000"/>
        </w:rPr>
      </w:pPr>
      <w:bookmarkStart w:id="43" w:name="art90_4"/>
      <w:bookmarkEnd w:id="43"/>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lineRule="auto" w:line="360"/>
        <w:rPr>
          <w:rFonts w:ascii="Times New Roman" w:hAnsi="Times New Roman" w:cs="Times New Roman" w:eastAsia="Times New Roman"/>
          <w:sz w:val="24"/>
          <w:color w:val="000000"/>
        </w:rPr>
      </w:pPr>
      <w:bookmarkStart w:id="44" w:name="art90_4i"/>
      <w:bookmarkEnd w:id="4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lineRule="auto" w:line="360"/>
        <w:rPr>
          <w:rFonts w:ascii="Times New Roman" w:hAnsi="Times New Roman" w:cs="Times New Roman" w:eastAsia="Times New Roman"/>
          <w:sz w:val="24"/>
          <w:color w:val="000000"/>
        </w:rPr>
      </w:pPr>
      <w:bookmarkStart w:id="45" w:name="art90_4ii"/>
      <w:bookmarkEnd w:id="4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lineRule="auto" w:line="360"/>
        <w:rPr>
          <w:rFonts w:ascii="Times New Roman" w:hAnsi="Times New Roman" w:cs="Times New Roman" w:eastAsia="Times New Roman"/>
          <w:sz w:val="24"/>
          <w:color w:val="000000"/>
        </w:rPr>
      </w:pPr>
      <w:bookmarkStart w:id="46" w:name="art90_5"/>
      <w:bookmarkEnd w:id="46"/>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lineRule="auto" w:line="360"/>
        <w:tabs>
          <w:tab w:val="left" w:pos="1134"/>
        </w:tabs>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17. OBRIGAÇÕES DA VENCEDORA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A vencedora deverá observar durante a execução do contrato as normas técnicas aplicáveis ao serviço, bem como as normas de segurança do trabalho.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17.2</w:t>
      </w:r>
      <w:r>
        <w:rPr>
          <w:rFonts w:ascii="Times New Roman" w:hAnsi="Times New Roman" w:cs="Times New Roman" w:eastAsia="Times New Roman"/>
          <w:sz w:val="24"/>
        </w:rPr>
        <w:t xml:space="preserve"> A vencedora deverá executar os serviços observando fielmente o projeto básico, Anexo I, inclusive em relação à qualidade dos materiais e ao cronograma de execução, e os termos da sua proposta.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17.3</w:t>
      </w:r>
      <w:r>
        <w:rPr>
          <w:rFonts w:ascii="Times New Roman" w:hAnsi="Times New Roman" w:cs="Times New Roman" w:eastAsia="Times New Roman"/>
          <w:sz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18. PRAZOS DE EXECUÇÃO E DE VIGÊNCIA DO CONTRATO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contrato decorrente da presente licitação terá o prazo de vigência de 12 meses, a contar da publicação do seu extrato no Diário Oficial do órgão licitante, podendo ser prorrogado uma vez, justificadamente, a critério da Administração, por igual período.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18.2.</w:t>
      </w:r>
      <w:r>
        <w:rPr>
          <w:rFonts w:ascii="Times New Roman" w:hAnsi="Times New Roman" w:cs="Times New Roman" w:eastAsia="Times New Roman"/>
          <w:sz w:val="24"/>
        </w:rPr>
        <w:t xml:space="preserve"> O objeto da presente licitação deverá ser executado no prazo de , a contar da ordem de início emitida pela Administração, podendo ser prorrogado uma vez, justificadamente, a critério da Administração, por igual período. </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CONDIÇÕES DE PAGAMENTO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19.1.</w:t>
      </w:r>
      <w:r>
        <w:rPr>
          <w:rFonts w:ascii="Times New Roman" w:hAnsi="Times New Roman" w:cs="Times New Roman" w:eastAsia="Times New Roman"/>
          <w:sz w:val="24"/>
        </w:rPr>
        <w:t xml:space="preserve"> O pagamento será efetuado contra empenho, no prazo de </w:t>
      </w:r>
      <w:r>
        <w:rPr>
          <w:rFonts w:ascii="Times New Roman" w:hAnsi="Times New Roman" w:cs="Times New Roman" w:eastAsia="Times New Roman"/>
          <w:i/>
          <w:sz w:val="24"/>
        </w:rPr>
        <w:t xml:space="preserve">em até 30 dias após a prestação dos serviços, </w:t>
      </w:r>
      <w:r>
        <w:rPr>
          <w:rFonts w:ascii="Times New Roman" w:hAnsi="Times New Roman" w:cs="Times New Roman" w:eastAsia="Times New Roman"/>
          <w:sz w:val="24"/>
        </w:rPr>
        <w:t>a contar do recebimento da fatura acompanhada da planilha de medição, aprovada pelo servidor responsável pela fiscalização do contrato e pelo Secretário Municipal da Pasta responsável pela Obra.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Serão processadas as retenções tributárias e previdenciárias nos termos da legislação que regula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19.4. </w:t>
      </w:r>
      <w:r>
        <w:rPr>
          <w:rFonts w:ascii="Times New Roman" w:hAnsi="Times New Roman" w:cs="Times New Roman" w:eastAsia="Times New Roman"/>
          <w:sz w:val="24"/>
        </w:rPr>
        <w:t>A despesa correrá na seguinte dotação orçamentária: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01/05/02 - UNIDADES SUBORDINADAS; 01/09/01 - SECRETARIA MUNICIPAL DE MEIO AMBIENTE, HABITAÇÃO E URBANISMO</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18.542.0010.2103.0000 - Manutenção das atividades da Secretaria Municipal de Meio ambiente e habitação; 26.782.0101.2025.0000 - Conservação e Manutenção da Frota, Estradas e Pontes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3.3.90.39.21 - MANUTENCAO E CONSERVACAO  DE ESTRADAS E VIAS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- 129; 409</w:t>
      </w:r>
    </w:p>
    <w:p>
      <w:pPr>
        <w:jc w:val="both"/>
        <w:widowControl/>
        <w:spacing w:lineRule="auto" w:line="360"/>
        <w:tabs>
          <w:tab w:val="left" w:pos="1134"/>
        </w:tabs>
        <w:rPr>
          <w:rFonts w:ascii="Times New Roman" w:hAnsi="Times New Roman" w:cs="Times New Roman" w:eastAsia="Times New Roman"/>
          <w:b/>
          <w:sz w:val="24"/>
        </w:rPr>
      </w:pPr>
      <w:bookmarkStart w:id="47" w:name="_Hlk108092172"/>
      <w:bookmarkEnd w:id="47"/>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lineRule="auto" w:line="360"/>
        <w:rPr>
          <w:rFonts w:ascii="Times New Roman" w:hAnsi="Times New Roman" w:cs="Times New Roman" w:eastAsia="Times New Roman"/>
          <w:sz w:val="24"/>
          <w:color w:val="000000"/>
        </w:rPr>
      </w:pPr>
      <w:bookmarkStart w:id="48" w:name="art155i"/>
      <w:bookmarkEnd w:id="48"/>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lineRule="auto" w:line="360"/>
        <w:rPr>
          <w:rFonts w:ascii="Times New Roman" w:hAnsi="Times New Roman" w:cs="Times New Roman" w:eastAsia="Times New Roman"/>
          <w:sz w:val="24"/>
          <w:color w:val="000000"/>
        </w:rPr>
      </w:pPr>
      <w:bookmarkStart w:id="49" w:name="art155ii"/>
      <w:bookmarkEnd w:id="4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lineRule="auto" w:line="360"/>
        <w:rPr>
          <w:rFonts w:ascii="Times New Roman" w:hAnsi="Times New Roman" w:cs="Times New Roman" w:eastAsia="Times New Roman"/>
          <w:sz w:val="24"/>
          <w:color w:val="000000"/>
        </w:rPr>
      </w:pPr>
      <w:bookmarkStart w:id="50" w:name="art155iii"/>
      <w:bookmarkEnd w:id="50"/>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lineRule="auto" w:line="360"/>
        <w:rPr>
          <w:rFonts w:ascii="Times New Roman" w:hAnsi="Times New Roman" w:cs="Times New Roman" w:eastAsia="Times New Roman"/>
          <w:sz w:val="24"/>
          <w:color w:val="000000"/>
        </w:rPr>
      </w:pPr>
      <w:bookmarkStart w:id="51" w:name="art155iv"/>
      <w:bookmarkEnd w:id="51"/>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lineRule="auto" w:line="360"/>
        <w:rPr>
          <w:rFonts w:ascii="Times New Roman" w:hAnsi="Times New Roman" w:cs="Times New Roman" w:eastAsia="Times New Roman"/>
          <w:sz w:val="24"/>
          <w:color w:val="000000"/>
        </w:rPr>
      </w:pPr>
      <w:bookmarkStart w:id="52" w:name="art155v"/>
      <w:bookmarkEnd w:id="52"/>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lineRule="auto" w:line="360"/>
        <w:rPr>
          <w:rFonts w:ascii="Times New Roman" w:hAnsi="Times New Roman" w:cs="Times New Roman" w:eastAsia="Times New Roman"/>
          <w:sz w:val="24"/>
          <w:color w:val="000000"/>
        </w:rPr>
      </w:pPr>
      <w:bookmarkStart w:id="53" w:name="art155vi"/>
      <w:bookmarkEnd w:id="53"/>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lineRule="auto" w:line="360"/>
        <w:rPr>
          <w:rFonts w:ascii="Times New Roman" w:hAnsi="Times New Roman" w:cs="Times New Roman" w:eastAsia="Times New Roman"/>
          <w:sz w:val="24"/>
          <w:color w:val="000000"/>
        </w:rPr>
      </w:pPr>
      <w:bookmarkStart w:id="54" w:name="art155vii"/>
      <w:bookmarkEnd w:id="54"/>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lineRule="auto" w:line="360"/>
        <w:rPr>
          <w:rFonts w:ascii="Times New Roman" w:hAnsi="Times New Roman" w:cs="Times New Roman" w:eastAsia="Times New Roman"/>
          <w:sz w:val="24"/>
          <w:color w:val="000000"/>
        </w:rPr>
      </w:pPr>
      <w:bookmarkStart w:id="55" w:name="art155viii"/>
      <w:bookmarkEnd w:id="55"/>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lineRule="auto" w:line="360"/>
        <w:rPr>
          <w:rFonts w:ascii="Times New Roman" w:hAnsi="Times New Roman" w:cs="Times New Roman" w:eastAsia="Times New Roman"/>
          <w:sz w:val="24"/>
          <w:color w:val="000000"/>
        </w:rPr>
      </w:pPr>
      <w:bookmarkStart w:id="56" w:name="art155ix"/>
      <w:bookmarkEnd w:id="56"/>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lineRule="auto" w:line="360"/>
        <w:rPr>
          <w:rFonts w:ascii="Times New Roman" w:hAnsi="Times New Roman" w:cs="Times New Roman" w:eastAsia="Times New Roman"/>
          <w:sz w:val="24"/>
          <w:color w:val="000000"/>
        </w:rPr>
      </w:pPr>
      <w:bookmarkStart w:id="57" w:name="art155x"/>
      <w:bookmarkEnd w:id="57"/>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lineRule="auto" w:line="360"/>
        <w:rPr>
          <w:rFonts w:ascii="Times New Roman" w:hAnsi="Times New Roman" w:cs="Times New Roman" w:eastAsia="Times New Roman"/>
          <w:sz w:val="24"/>
          <w:color w:val="000000"/>
        </w:rPr>
      </w:pPr>
      <w:bookmarkStart w:id="58" w:name="art155xi"/>
      <w:bookmarkEnd w:id="58"/>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lineRule="auto" w:line="360"/>
        <w:rPr>
          <w:rFonts w:ascii="Times New Roman" w:hAnsi="Times New Roman" w:cs="Times New Roman" w:eastAsia="Times New Roman"/>
          <w:u w:val="single" w:color="auto"/>
          <w:sz w:val="24"/>
          <w:color w:val="0000FF"/>
        </w:rPr>
      </w:pPr>
      <w:bookmarkStart w:id="59" w:name="art155xii"/>
      <w:bookmarkEnd w:id="59"/>
      <w:r>
        <w:rPr>
          <w:rFonts w:ascii="Times New Roman" w:hAnsi="Times New Roman" w:cs="Times New Roman" w:eastAsia="Times New Roman"/>
          <w:b/>
          <w:sz w:val="24"/>
          <w:color w:val="000000"/>
        </w:rPr>
        <w:t>m)</w:t>
      </w:r>
      <w:r>
        <w:rPr>
          <w:rFonts w:ascii="Times New Roman" w:hAnsi="Times New Roman" w:cs="Times New Roman" w:eastAsia="Times New Roman"/>
          <w:sz w:val="24"/>
          <w:color w:val="000000"/>
        </w:rPr>
        <w:t xml:space="preserve"> praticar ato lesivo previsto no </w:t>
      </w:r>
      <w:hyperlink r:id="hrId9"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lineRule="auto" w:line="360"/>
        <w:rPr>
          <w:rFonts w:ascii="Times New Roman" w:hAnsi="Times New Roman" w:cs="Times New Roman" w:eastAsia="Times New Roman"/>
          <w:sz w:val="24"/>
          <w:color w:val="000000"/>
        </w:rPr>
      </w:pPr>
      <w:bookmarkStart w:id="60" w:name="art156"/>
      <w:bookmarkEnd w:id="60"/>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lineRule="auto" w:line="360"/>
        <w:rPr>
          <w:rFonts w:ascii="Times New Roman" w:hAnsi="Times New Roman" w:cs="Times New Roman" w:eastAsia="Times New Roman"/>
          <w:sz w:val="24"/>
          <w:color w:val="000000"/>
        </w:rPr>
      </w:pPr>
      <w:bookmarkStart w:id="61" w:name="art156i"/>
      <w:bookmarkEnd w:id="6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lineRule="auto" w:line="360"/>
        <w:rPr>
          <w:rFonts w:ascii="Times New Roman" w:hAnsi="Times New Roman" w:cs="Times New Roman" w:eastAsia="Times New Roman"/>
          <w:sz w:val="24"/>
          <w:color w:val="000000"/>
        </w:rPr>
      </w:pPr>
      <w:bookmarkStart w:id="62" w:name="art156ii"/>
      <w:bookmarkEnd w:id="6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lineRule="auto" w:line="360"/>
        <w:rPr>
          <w:rFonts w:ascii="Times New Roman" w:hAnsi="Times New Roman" w:cs="Times New Roman" w:eastAsia="Times New Roman"/>
          <w:sz w:val="24"/>
          <w:color w:val="000000"/>
        </w:rPr>
      </w:pPr>
      <w:bookmarkStart w:id="63" w:name="art156iii"/>
      <w:bookmarkEnd w:id="63"/>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lineRule="auto" w:line="360"/>
        <w:rPr>
          <w:rFonts w:ascii="Times New Roman" w:hAnsi="Times New Roman" w:cs="Times New Roman" w:eastAsia="Times New Roman"/>
          <w:sz w:val="24"/>
          <w:color w:val="000000"/>
        </w:rPr>
      </w:pPr>
      <w:bookmarkStart w:id="64" w:name="art156iv"/>
      <w:bookmarkEnd w:id="64"/>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5" w:name="art156_5"/>
      <w:bookmarkEnd w:id="65"/>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lineRule="auto" w:line="360"/>
        <w:rPr>
          <w:rFonts w:ascii="Times New Roman" w:hAnsi="Times New Roman" w:cs="Times New Roman" w:eastAsia="Times New Roman"/>
          <w:sz w:val="24"/>
          <w:color w:val="000000"/>
        </w:rPr>
      </w:pPr>
      <w:bookmarkStart w:id="66" w:name="art156_7"/>
      <w:bookmarkEnd w:id="66"/>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lineRule="auto" w:line="360"/>
        <w:rPr>
          <w:rFonts w:ascii="Times New Roman" w:hAnsi="Times New Roman" w:cs="Times New Roman" w:eastAsia="Times New Roman"/>
          <w:sz w:val="24"/>
          <w:color w:val="000000"/>
        </w:rPr>
      </w:pPr>
      <w:bookmarkStart w:id="67" w:name="art156_8"/>
      <w:bookmarkEnd w:id="67"/>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lineRule="auto" w:line="360"/>
        <w:rPr>
          <w:rFonts w:ascii="Times New Roman" w:hAnsi="Times New Roman" w:cs="Times New Roman" w:eastAsia="Times New Roman"/>
          <w:sz w:val="24"/>
          <w:color w:val="000000"/>
        </w:rPr>
      </w:pPr>
      <w:bookmarkStart w:id="68" w:name="art156_9"/>
      <w:bookmarkEnd w:id="68"/>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69" w:name="art157"/>
      <w:bookmarkEnd w:id="69"/>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lineRule="auto" w:line="360"/>
        <w:rPr>
          <w:rFonts w:ascii="Times New Roman" w:hAnsi="Times New Roman" w:cs="Times New Roman" w:eastAsia="Times New Roman"/>
          <w:sz w:val="24"/>
          <w:color w:val="000000"/>
        </w:rPr>
      </w:pPr>
      <w:bookmarkStart w:id="70" w:name="art158"/>
      <w:bookmarkEnd w:id="70"/>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lineRule="auto" w:line="360"/>
        <w:rPr>
          <w:rFonts w:ascii="Times New Roman" w:hAnsi="Times New Roman" w:cs="Times New Roman" w:eastAsia="Times New Roman"/>
          <w:sz w:val="24"/>
          <w:color w:val="000000"/>
        </w:rPr>
      </w:pPr>
      <w:bookmarkStart w:id="71" w:name="art158_2"/>
      <w:bookmarkEnd w:id="71"/>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lineRule="auto" w:line="360"/>
        <w:rPr>
          <w:rFonts w:ascii="Times New Roman" w:hAnsi="Times New Roman" w:cs="Times New Roman" w:eastAsia="Times New Roman"/>
          <w:sz w:val="24"/>
          <w:color w:val="000000"/>
        </w:rPr>
      </w:pPr>
      <w:bookmarkStart w:id="72" w:name="art158_3"/>
      <w:bookmarkEnd w:id="72"/>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lineRule="auto" w:line="360"/>
        <w:rPr>
          <w:rFonts w:ascii="Times New Roman" w:hAnsi="Times New Roman" w:cs="Times New Roman" w:eastAsia="Times New Roman"/>
          <w:sz w:val="24"/>
          <w:color w:val="000000"/>
        </w:rPr>
      </w:pPr>
      <w:bookmarkStart w:id="73" w:name="art160"/>
      <w:bookmarkEnd w:id="73"/>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lineRule="auto" w:line="360"/>
        <w:rPr>
          <w:rFonts w:ascii="Times New Roman" w:hAnsi="Times New Roman" w:cs="Times New Roman" w:eastAsia="Times New Roman"/>
          <w:sz w:val="24"/>
          <w:color w:val="000000"/>
        </w:rPr>
      </w:pPr>
      <w:bookmarkStart w:id="74" w:name="art163"/>
      <w:bookmarkEnd w:id="74"/>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lineRule="auto" w:line="360"/>
        <w:rPr>
          <w:rFonts w:ascii="Times New Roman" w:hAnsi="Times New Roman" w:cs="Times New Roman" w:eastAsia="Times New Roman"/>
          <w:sz w:val="24"/>
          <w:color w:val="000000"/>
        </w:rPr>
      </w:pPr>
      <w:bookmarkStart w:id="75" w:name="art163i"/>
      <w:bookmarkEnd w:id="75"/>
      <w:r>
        <w:rPr>
          <w:rFonts w:ascii="Times New Roman" w:hAnsi="Times New Roman" w:cs="Times New Roman" w:eastAsia="Times New Roman"/>
          <w:sz w:val="24"/>
          <w:color w:val="000000"/>
        </w:rPr>
        <w:t>a)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76" w:name="art163ii"/>
      <w:bookmarkEnd w:id="76"/>
      <w:r>
        <w:rPr>
          <w:rFonts w:ascii="Times New Roman" w:hAnsi="Times New Roman" w:cs="Times New Roman" w:eastAsia="Times New Roman"/>
          <w:sz w:val="24"/>
          <w:color w:val="000000"/>
        </w:rPr>
        <w:t>b) pagamento da multa;</w:t>
      </w:r>
    </w:p>
    <w:p>
      <w:pPr>
        <w:jc w:val="both"/>
        <w:widowControl/>
        <w:spacing w:lineRule="auto" w:line="360"/>
        <w:rPr>
          <w:rFonts w:ascii="Times New Roman" w:hAnsi="Times New Roman" w:cs="Times New Roman" w:eastAsia="Times New Roman"/>
          <w:sz w:val="24"/>
          <w:color w:val="000000"/>
        </w:rPr>
      </w:pPr>
      <w:bookmarkStart w:id="77" w:name="art163iii"/>
      <w:bookmarkEnd w:id="77"/>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lineRule="auto" w:line="360"/>
        <w:rPr>
          <w:rFonts w:ascii="Times New Roman" w:hAnsi="Times New Roman" w:cs="Times New Roman" w:eastAsia="Times New Roman"/>
          <w:sz w:val="24"/>
          <w:color w:val="000000"/>
        </w:rPr>
      </w:pPr>
      <w:bookmarkStart w:id="78" w:name="art163iv"/>
      <w:bookmarkEnd w:id="78"/>
      <w:r>
        <w:rPr>
          <w:rFonts w:ascii="Times New Roman" w:hAnsi="Times New Roman" w:cs="Times New Roman" w:eastAsia="Times New Roman"/>
          <w:sz w:val="24"/>
          <w:color w:val="000000"/>
        </w:rPr>
        <w:t>d) cumprimento das condições de reabilitação definidas no ato punitivo;</w:t>
      </w:r>
    </w:p>
    <w:p>
      <w:pPr>
        <w:jc w:val="both"/>
        <w:widowControl/>
        <w:spacing w:lineRule="auto" w:line="360"/>
        <w:rPr>
          <w:rFonts w:ascii="Times New Roman" w:hAnsi="Times New Roman" w:cs="Times New Roman" w:eastAsia="Times New Roman"/>
          <w:sz w:val="24"/>
          <w:color w:val="000000"/>
        </w:rPr>
      </w:pPr>
      <w:bookmarkStart w:id="79" w:name="art163v"/>
      <w:bookmarkEnd w:id="79"/>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lineRule="auto" w:line="360"/>
        <w:rPr>
          <w:rFonts w:ascii="Times New Roman" w:hAnsi="Times New Roman" w:cs="Times New Roman" w:eastAsia="Times New Roman"/>
          <w:sz w:val="24"/>
          <w:color w:val="000000"/>
        </w:rPr>
      </w:pPr>
      <w:bookmarkStart w:id="80" w:name="art163p"/>
      <w:bookmarkEnd w:id="80"/>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“m” do item 20.2 do presente Edital exigirá, como condição de reabilitação do licitante ou contratado, a implantação ou aperfeiçoamento de programa de integridade pelo responsável.</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hrId10">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1">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jc w:val="both"/>
        <w:widowControl/>
        <w:ind w:firstLine="1418"/>
        <w:spacing w:lineRule="auto" w:line="360"/>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p>
    <w:p>
      <w:pPr>
        <w:jc w:val="both"/>
        <w:widowControl/>
        <w:spacing w:lineRule="auto" w:line="360"/>
        <w:tabs>
          <w:tab w:val="left" w:pos="1134"/>
        </w:tabs>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Quatro Irmãos, 24/10/2025</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
      <w:bookmarkEnd w:id="81"/>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i"/>
      <w:bookmarkEnd w:id="82"/>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3" w:name="art156iii"/>
      <w:bookmarkEnd w:id="83"/>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4" w:name="art156iv"/>
      <w:bookmarkEnd w:id="84"/>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5" w:name="art156_5"/>
      <w:bookmarkEnd w:id="85"/>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Arial">
    <w:charset w:val="00"/>
  </w:font>
  <w:font w:name="Times New Roman">
    <w:charset w:val="00"/>
  </w:font>
  <w:font w:name="Courier New">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http://transparencia.quatroirmaos.rs.gov.br:8079/comprasedital/" TargetMode="External"/><Relationship Id="hrId4" Type="http://schemas.openxmlformats.org/officeDocument/2006/relationships/hyperlink" Target="mailto:compras@quatroirmaos.rs.gov.br" TargetMode="External"/><Relationship Id="hrId5" Type="http://schemas.openxmlformats.org/officeDocument/2006/relationships/hyperlink" Target="mailto:contabilidade@quatroirmaos.rs.gov.br" TargetMode="External"/><Relationship Id="hrId6" Type="http://schemas.openxmlformats.org/officeDocument/2006/relationships/hyperlink" Target="http://www.planalto.gov.br/ccivil_03/Constituicao/Constituicao.htm" TargetMode="External"/><Relationship Id="hrId7" Type="http://schemas.openxmlformats.org/officeDocument/2006/relationships/hyperlink" Target="http://www.planalto.gov.br/ccivil_03/LEIS/L6404consol.htm" TargetMode="External"/><Relationship Id="hrId8" Type="http://schemas.openxmlformats.org/officeDocument/2006/relationships/hyperlink" Target="www.quatroirmaos.rs.gov.br" TargetMode="External"/><Relationship Id="hrId9" Type="http://schemas.openxmlformats.org/officeDocument/2006/relationships/hyperlink" Target="http://www.planalto.gov.br/ccivil_03/_Ato2011-2014/2013/Lei/L12846.htm" TargetMode="External"/><Relationship Id="hrId10" Type="http://schemas.openxmlformats.org/officeDocument/2006/relationships/hyperlink" Target="mailto:compras@quatroirmaos.rs.gov.br" TargetMode="External"/><Relationship Id="hrId11" Type="http://schemas.openxmlformats.org/officeDocument/2006/relationships/hyperlink" Target="mailto:contabilidade@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