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ackground w:color="FFFFFF"/>
  <w:body>
    <w:p>
      <w:pPr>
        <w:jc w:val="both"/>
        <w:widowControl/>
        <w:spacing w:before="120" w:lineRule="auto" w:line="360"/>
        <w:tabs>
          <w:tab w:val="left" w:pos="4253"/>
        </w:tabs>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 xml:space="preserve">                  </w:t>
      </w:r>
    </w:p>
    <w:p>
      <w:pPr>
        <w:jc w:val="center"/>
        <w:widowControl/>
        <w:spacing w:after="120"/>
        <w:rPr>
          <w:rFonts w:ascii="Times New Roman" w:hAnsi="Times New Roman" w:cs="Times New Roman" w:eastAsia="Times New Roman"/>
          <w:b/>
          <w:sz w:val="24"/>
        </w:rPr>
      </w:pPr>
      <w:r>
        <w:rPr>
          <w:rFonts w:ascii="Times New Roman" w:hAnsi="Times New Roman" w:cs="Times New Roman" w:eastAsia="Times New Roman"/>
          <w:b/>
          <w:sz w:val="24"/>
        </w:rPr>
        <w:t>EDITAL DE PREGÃO ELETRÔNICO Nº 66/2025</w:t>
      </w:r>
    </w:p>
    <w:p>
      <w:pPr>
        <w:widowControl/>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4253" w:right="57"/>
        <w:rPr>
          <w:rFonts w:ascii="Times New Roman" w:hAnsi="Times New Roman" w:cs="Times New Roman" w:eastAsia="Times New Roman"/>
          <w:sz w:val="24"/>
        </w:rPr>
      </w:pPr>
      <w:r>
        <w:rPr>
          <w:rFonts w:ascii="Times New Roman" w:hAnsi="Times New Roman" w:cs="Times New Roman" w:eastAsia="Times New Roman"/>
          <w:sz w:val="24"/>
        </w:rPr>
        <w:t/>
      </w:r>
    </w:p>
    <w:p>
      <w:pPr>
        <w:jc w:val="center"/>
        <w:widowControl/>
        <w:spacing w:before="120"/>
        <w:rPr>
          <w:rFonts w:ascii="Times New Roman" w:hAnsi="Times New Roman" w:cs="Times New Roman" w:eastAsia="Times New Roman"/>
          <w:b/>
          <w:sz w:val="24"/>
        </w:rPr>
      </w:pPr>
      <w:r>
        <w:rPr>
          <w:rFonts w:ascii="Times New Roman" w:hAnsi="Times New Roman" w:cs="Times New Roman" w:eastAsia="Times New Roman"/>
          <w:sz w:val="24"/>
        </w:rPr>
        <w:t xml:space="preserve">Edital de Pregão Eletrônico nº </w:t>
      </w:r>
      <w:r>
        <w:rPr>
          <w:rFonts w:ascii="Times New Roman" w:hAnsi="Times New Roman" w:cs="Times New Roman" w:eastAsia="Times New Roman"/>
          <w:b/>
          <w:sz w:val="24"/>
        </w:rPr>
        <w:t>66/2025</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Tipo de julgamento: Menor Preco Unitario</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Modo de disputa: aberto</w:t>
      </w:r>
    </w:p>
    <w:p>
      <w:pPr>
        <w:jc w:val="center"/>
        <w:widowControl/>
        <w:ind w:firstLine="1134"/>
        <w:spacing w:before="120"/>
        <w:rPr>
          <w:rFonts w:ascii="Times New Roman" w:hAnsi="Times New Roman" w:cs="Times New Roman" w:eastAsia="Times New Roman"/>
          <w:b/>
          <w:sz w:val="24"/>
        </w:rPr>
      </w:pPr>
      <w:r>
        <w:rPr>
          <w:rFonts w:ascii="Times New Roman" w:hAnsi="Times New Roman" w:cs="Times New Roman" w:eastAsia="Times New Roman"/>
          <w:b/>
          <w:sz w:val="24"/>
        </w:rPr>
        <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Processo nº 000475/25</w:t>
      </w:r>
    </w:p>
    <w:p>
      <w:pPr>
        <w:jc w:val="both"/>
        <w:widowControl/>
        <w:ind w:firstLine="1134"/>
        <w:spacing w:before="12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4248" w:right="57" w:firstLine="5"/>
        <w:rPr>
          <w:rFonts w:ascii="Times New Roman" w:hAnsi="Times New Roman" w:cs="Times New Roman" w:eastAsia="Times New Roman"/>
          <w:b/>
          <w:sz w:val="24"/>
          <w:shd w:val="clear" w:color="auto" w:fill="FFFF00"/>
        </w:rPr>
      </w:pPr>
      <w:r>
        <w:rPr>
          <w:rFonts w:ascii="Times New Roman" w:hAnsi="Times New Roman" w:cs="Times New Roman" w:eastAsia="Times New Roman"/>
          <w:sz w:val="24"/>
        </w:rPr>
        <w:t xml:space="preserve">Edital de pregão eletrônico para a contratação de empresa para o fornecimento de </w:t>
      </w:r>
      <w:r>
        <w:rPr>
          <w:rFonts w:ascii="Times New Roman" w:hAnsi="Times New Roman" w:cs="Times New Roman" w:eastAsia="Times New Roman"/>
          <w:b/>
          <w:sz w:val="24"/>
          <w:shd w:val="clear" w:color="auto" w:fill="FFFF00"/>
        </w:rPr>
        <w:t>Aquisição de Equipamentos Odontológicos - Rede Bem Cuidar - Portaria 109/2024.</w:t>
      </w:r>
    </w:p>
    <w:p>
      <w:pPr>
        <w:jc w:val="both"/>
        <w:widowControl/>
        <w:ind w:left="57" w:right="57" w:firstLine="397"/>
        <w:spacing w:before="120" w:lineRule="exact" w:line="280"/>
        <w:tabs>
          <w:tab w:val="left" w:pos="2835"/>
        </w:tabs>
        <w:rPr>
          <w:rFonts w:ascii="Times New Roman" w:hAnsi="Times New Roman" w:cs="Times New Roman" w:eastAsia="Times New Roman"/>
          <w:i/>
          <w:sz w:val="24"/>
        </w:rPr>
      </w:pPr>
      <w:r>
        <w:rPr>
          <w:rFonts w:ascii="Times New Roman" w:hAnsi="Times New Roman" w:cs="Times New Roman" w:eastAsia="Times New Roman"/>
          <w:i/>
          <w:sz w:val="24"/>
        </w:rPr>
        <w:t/>
      </w:r>
    </w:p>
    <w:p>
      <w:pPr>
        <w:jc w:val="both"/>
        <w:widowControl/>
        <w:ind w:left="57" w:right="57" w:firstLine="397"/>
        <w:spacing w:before="120" w:lineRule="exact" w:line="280"/>
        <w:tabs>
          <w:tab w:val="left" w:pos="2835"/>
        </w:tabs>
        <w:rPr>
          <w:rFonts w:ascii="Times New Roman" w:hAnsi="Times New Roman" w:cs="Times New Roman" w:eastAsia="Times New Roman"/>
          <w:sz w:val="24"/>
          <w:spacing w:val="14"/>
        </w:rPr>
      </w:pPr>
      <w:r>
        <w:rPr>
          <w:rFonts w:ascii="Times New Roman" w:hAnsi="Times New Roman" w:cs="Times New Roman" w:eastAsia="Times New Roman"/>
          <w:sz w:val="24"/>
          <w:spacing w:val="14"/>
        </w:rPr>
        <w:t/>
      </w:r>
    </w:p>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O PREFEITO MUNICIPAL DE QUATRO IRMÃOS</w:t>
      </w:r>
      <w:r>
        <w:rPr>
          <w:rFonts w:ascii="Times New Roman" w:hAnsi="Times New Roman" w:cs="Times New Roman" w:eastAsia="Times New Roman"/>
          <w:sz w:val="24"/>
        </w:rPr>
        <w:t xml:space="preserve">, no uso de suas atribuições, torna público, para conhecimento dos interessados, a realização de licitação na modalidade pregão, na forma eletrônica, do tipo menor preço por item, objetivando a contratação de empresa para o fornecimento, com a entrega imediata e integral, de </w:t>
      </w:r>
      <w:r>
        <w:rPr>
          <w:rFonts w:ascii="Times New Roman" w:hAnsi="Times New Roman" w:cs="Times New Roman" w:eastAsia="Times New Roman"/>
          <w:b/>
          <w:sz w:val="24"/>
          <w:shd w:val="clear" w:color="auto" w:fill="FFFF00"/>
        </w:rPr>
        <w:t>Aquisição de Equipamentos Odontológicos - Rede Bem Cuidar - Portaria 109/2024</w:t>
      </w:r>
      <w:r>
        <w:rPr>
          <w:rFonts w:ascii="Times New Roman" w:hAnsi="Times New Roman" w:cs="Times New Roman" w:eastAsia="Times New Roman"/>
          <w:sz w:val="24"/>
        </w:rPr>
        <w:t>, conforme descrito nesse edital e seus anexos, e nos termos da Lei Federal nº 14.133 de 1º de abril de 2021.</w:t>
      </w:r>
    </w:p>
    <w:p>
      <w:pPr>
        <w:jc w:val="both"/>
        <w:widowControl/>
        <w:ind w:firstLine="70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A sessão virtual do pregão eletrônico será realizada no seguinte endereço: </w:t>
      </w:r>
      <w:hyperlink r:id="hrId1">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no dia </w:t>
      </w:r>
      <w:r>
        <w:rPr>
          <w:rFonts w:ascii="Times New Roman" w:hAnsi="Times New Roman" w:cs="Times New Roman" w:eastAsia="Times New Roman"/>
          <w:sz w:val="24"/>
          <w:shd w:val="clear" w:color="auto" w:fill="FFFF00"/>
        </w:rPr>
        <w:t>02/12/2025</w:t>
      </w:r>
      <w:r>
        <w:rPr>
          <w:rFonts w:ascii="Times New Roman" w:hAnsi="Times New Roman" w:cs="Times New Roman" w:eastAsia="Times New Roman"/>
          <w:sz w:val="24"/>
        </w:rPr>
        <w:t>, às 13:15, podendo as propostas e os documentos serem enviados até às 13:00, sendo que todas as referências de tempo observam o horário de Brasília.</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1. DO OBJETO:</w:t>
      </w:r>
      <w:r>
        <w:rPr>
          <w:rFonts w:ascii="Times New Roman" w:hAnsi="Times New Roman" w:cs="Times New Roman" w:eastAsia="Times New Roman"/>
          <w:sz w:val="24"/>
        </w:rPr>
        <w:t xml:space="preserve"> </w:t>
      </w:r>
    </w:p>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Constitui objeto da presente licitação a contratação para o fornecimento dos seguintes produtos, cujas descrições e condições de entrega estão detalhadas no Termo de Referência (Anexo I):</w:t>
      </w:r>
    </w:p>
    <w:tbl>
      <w:tblPr>
        <w:tblW w:w="5000" w:type="pct"/>
        <w:tblLayout w:type="fixed"/>
        <w:tblCellMar>
          <w:top w:w="0" w:type="dxa"/>
          <w:left w:w="1" w:type="dxa"/>
          <w:bottom w:w="0" w:type="dxa"/>
          <w:right w:w="1" w:type="dxa"/>
        </w:tblCellMar>
        <w:shd w:val="clear" w:color="auto" w:fill="FFFFFF"/>
      </w:tblPr>
      <w:tblGrid>
        <w:gridCol w:w="633"/>
        <w:gridCol w:w="3978"/>
        <w:gridCol w:w="828"/>
        <w:gridCol w:w="828"/>
        <w:gridCol w:w="843"/>
        <w:gridCol w:w="843"/>
        <w:gridCol w:w="843"/>
      </w:tblGrid>
      <w:tr>
        <w:tc>
          <w:tcPr>
            <w:tcW w:w="66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Item</w:t>
            </w:r>
          </w:p>
        </w:tc>
        <w:tc>
          <w:tcPr>
            <w:tcW w:w="400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Descrição do Produto</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Qte</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Unid.</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Marca</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Unit.</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Total</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COMPUTADOR (DESKTOP)COMPATÍVEL COM SCANNER DIGITALIZADOR DE PLACAS DE FÓSFORO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Computadores (Desktop )– Configuração mínima exigida: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Sistema Operacional: Windows 10 Professional 64 Bits ou Windows 11 (licenciado).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Processador: Intel Core i5, 3.0 GHz ou superior.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Memória RAM: 8 GB DDR4 ou superior.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Armazenamento: SSD 480 GB ou superior.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Conexões: Mínimo 4 portas USB 2.0 ou superior.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Fonte de alimentação: Compatível com rede elétrica 127V ou 220V (bivolt automático ou chaveado).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Acessórios inclusos: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Monitor: LED ou LCD, resolução mínima Full HD (1920x1080), tamanho mínimo de 21 polegadas.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Mouse: Óptico, USB, com dois botões e scroll.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Teclado: ABNT2 (padrão brasileiro), conexão USB.</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Caixas de Som: Estéreo, externas ou embutidas no monitor, com potência compatível para uso em ambiente de escritório.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3.585,00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7.170,00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JATO DE BICARBONATO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-Características do Jato de Bicarbonato Acoplado Jet Hand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Recipiente de bicarbonato de fácil acesso acoplado à peça de mão;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Ponta do jato de bicarbonato autoclavável;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Irrigação com sistema pneumático;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Tampa transparente, posicionada na parte superior do corpo da caneta;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Efetua mistura de ar + água + bicarbonato a uma pequena distância da ponta, evitando entupimentos nos condutos do produto;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Resistente à oxidação;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Instalação através de engate rápido;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Fácil limpeza e desinfecção;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Possibilita uma esterilização segura, evitando contaminação cruzada;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Privilegia a ergonomia com excelente facilidade no manuseio;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Permite verificar a quantidade de bicarbonato no reservatório, tornando fácil e rápida sua adição;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Permite ligar o aparelho ao terminal da peça de mão do equipo, utilizando assim um único pedal para acionamento.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Conteúdo do Jato de Bicarbonato Acoplado Jet Hand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Embalagem com 01 unidade.</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Peso 0.0424 kg;</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Dimensões 22 × 10 × 10.2 cm;</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Conexão: Borden;</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Também disponível na versão Midwest;</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Pressão da entrada de ar comprimido:30 a 40 PSI (regulada no equipo);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Pressão da entrada de água: 20 a 40 PSI (regulada no equipo);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Acionamento: através do pedal do equipo;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Corpo da caneta: confeccionado em alumínio anodizado;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Peso líquido: 145 gramas;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Origem: Brasil;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683,60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683,60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KIT  APARELHO DE RAIOS PORTÁTIL DIGITAL - SCANER E PLACAS DE FÓSFORO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Kit aparelho de Raio X: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Kit composto  de 01 aparelho de Raios X para uso odontológico portátil, de alta frequência, com tensão nominal de 60kVp, corrente no tubo de 2,5 mA e ponto focal de 0.4×0.4mm. a radiação de fuga do equipamento deve reduzida por um colimador de material radiopaco, evitando exposição desnecessária do usuário e direcionando a radiação para o alvo do exame. Aparelho com empunhadura dupla ( duas mãos) para maior firmeza estabilidade no disparo) para uso com películas/filmes, sensores e placas de fosforo e com a seguintes características técnicas. Distância foco-pele 200 mm; Distância foco-receptor 220 mm; Eixo de Referência: No centro do cone de posicionamento; Energia Máxima Acumulada em 1h : 150 mAs. Faixa Selecionável de Tempo de Irradiação:0,01 a 1 segundo (Com passos de 0,01s).Peso não superior a 2.2 kg, Ponto Focal 0,4 x 0,4 mm; Potência na Saída Máxima 150 W (60kV x 2,5mA);Tensão de Carregamento 24 V Bateria Tipo Li-ion recarregável – mínimo 10 hs em uso. E de um Scanner com Sistema digitalizador de imagens radiográficas para exame radiográfico odontológico intra-oral, através de leitura óptica e ao processamento de dados de imagem de placas de fósforo para o diagnóstico das doenças dos dentes, mandíbula e estruturas orais. Esse aparelho deve conter, Placas de Fosforo e software livre para edição das imagens radiográficas.  Deve acompanhar o aparelho, placas intraorais de fósforo sendo 4 unidades no tamanho "2" e 4 unidade no tamanho "0". O software deve atender amplo alcance de ferramentas para edição com no mínimo as funções de: rotação ,zoom, ajuste de brilho, contraste e gama, conversão de cores, inserção de texto, setas, círculos, seleção e recorte de áreas, medição de ângulos e segmentos, barra para laudos/ diagnóstico, odontograma e comparação de imagens em tela cheia; ainda, permite o cadastro de pacientes, captura imagens instantaneamente, laudo e organização todas as imagens; além disso, deve permitir o uso compartilhado do software em rede com várias salas e redes de clínicas. Deve permitir configurar vários usuários e definir as permissões de cada um. Ainda permitir, a exposição em vários formatos, inclusive Dicom e é compatível com o Studio 2 eStudio 3 da Radio Memory; O sistema tem driver TWAIN para compatibilização com outros softwares, contar ainda com sistema para fácil envio de imagens por e mail ,portátil medidas máximas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Medidas do Scanner (L x C x A) A = 285mm x L 175mm x P = 240mm , plug and play, software de fácil instalação. Número de pixels de 1050 X 1450 Nível de cinza: 14 bits;Resolução (PL/mm, dpi): 25;</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O sistema deve permitir o uso de qualquer marca de placa de fósforo periapical disponível no mercado.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Tensão de alimentação do Scanner : 110/127/220 ou 240V 24 (V,CC)</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Todos os itens do conjunto deverão ser da mesma marca e fabricante.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Devem ter registro na Anvisa, garantia de 12 meses, suporte técnico por acesso remoto no fabricante e ter assistência técnica física credenciada no estado do RS, identificada no site do fabricante/marca ou por declaração específica do fabricante.</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O licitante deve ser também assistência técnica credenciada com registro no CREA.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41.397,50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41.397,50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MOTO-COMPRESSOR AR ODONTOLÓGICO ISENTO DE ÓLEO 30L 1HP 220V</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 excelência do desempenho e da qualidade estão presente neste produto que reúnem os maiores graus de exigência para esta categoria. Além da segurança operacional, a biossegurança também está presente na pintura especial, com aditivo antimicrobiano, proporciona rendimento volumétrico acima da média.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Especificações Técnicas: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Tensão: 220V</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Deslocamento teórico: 6pcm / 170l/min</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Pressão de operação: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Máxima: 120lbf/pol² (8,3bar)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Mínima: 80lbf/pol² (5,5bar)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Unidade compressora: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Número de estágios: 1</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Número de pistões: 2-V</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Potência do motor: 1hp / 0,75kW</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Número de polos: 4</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Volume do reservatório: 30Litros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Dimensões: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Largura: 500mm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Altura: 630mm</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Profundidade: 460mm</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Garantia: 12 meses (3 meses de garantia legal por lei, contando a partir da data de emissão da Nota Fiscal de Venda e 9 meses de garantia concedido pelo fabricante contra defeito de fabricação)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6.845,60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6.845,60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ULTRASSOM PNEUMÁTICO AS2000</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Características do Ultrassom Pneumático AS2000 - NSK:</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Frequência de oscilação 5.600~5.850 Hz;</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Peso : 64 g;</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Comprimento: 18 cm;</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Largura: 8 cm;</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Altura: 3 cm;</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Encaixe: Borden (2 vias).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1.249,68</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1.249,68</w:t>
            </w:r>
          </w:p>
        </w:tc>
      </w:tr>
    </w:tbl>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A entrega dos produtos deverá ser feita no seguinte endereço: Rua Isidoro Eisenberg, s/n - Centro, em até </w:t>
      </w:r>
      <w:r>
        <w:rPr>
          <w:rFonts w:ascii="Times New Roman" w:hAnsi="Times New Roman" w:cs="Times New Roman" w:eastAsia="Times New Roman"/>
          <w:i/>
          <w:sz w:val="24"/>
        </w:rPr>
        <w:t>em até 30 dias após a solicitação dos produtos</w:t>
      </w:r>
      <w:r>
        <w:rPr>
          <w:rFonts w:ascii="Times New Roman" w:hAnsi="Times New Roman" w:cs="Times New Roman" w:eastAsia="Times New Roman"/>
          <w:sz w:val="24"/>
        </w:rPr>
        <w:t xml:space="preserve"> , em horário de expediente, devendo comunicar-se previamente com o fiscal do contrato, para que este acompanhe a entrega.</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2. CREDENCIAMENTO E PARTICIPAÇÃO DO CERTAME</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 </w:t>
      </w:r>
      <w:r>
        <w:rPr>
          <w:rFonts w:ascii="Times New Roman" w:hAnsi="Times New Roman" w:cs="Times New Roman" w:eastAsia="Times New Roman"/>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2.2. </w:t>
      </w:r>
      <w:r>
        <w:rPr>
          <w:rFonts w:ascii="Times New Roman" w:hAnsi="Times New Roman" w:cs="Times New Roman" w:eastAsia="Times New Roman"/>
          <w:sz w:val="24"/>
        </w:rPr>
        <w:t xml:space="preserve">As instruções para o credenciamento podem ser acessadas no seguinte sítio eletrônico: </w:t>
      </w:r>
      <w:hyperlink r:id="hrId2">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ou solicitadas por meio do seguinte endereço de email: </w:t>
      </w:r>
      <w:hyperlink r:id="hrId3">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4">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2.3. </w:t>
      </w:r>
      <w:r>
        <w:rPr>
          <w:rFonts w:ascii="Times New Roman" w:hAnsi="Times New Roman" w:cs="Times New Roman" w:eastAsia="Times New Roman"/>
          <w:sz w:val="24"/>
        </w:rPr>
        <w:t>É de responsabilidade do licitante, além de credenciar-se previamente no sistema eletrônico utilizado no certame e de cumprir as regras do presente edital:</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2.3.1.</w:t>
      </w:r>
      <w:r>
        <w:rPr>
          <w:rFonts w:ascii="Times New Roman" w:hAnsi="Times New Roman" w:cs="Times New Roman" w:eastAsia="Times New Roman"/>
          <w:sz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2.3.2.</w:t>
      </w:r>
      <w:r>
        <w:rPr>
          <w:rFonts w:ascii="Times New Roman" w:hAnsi="Times New Roman" w:cs="Times New Roman" w:eastAsia="Times New Roman"/>
          <w:sz w:val="24"/>
        </w:rPr>
        <w:t xml:space="preserve"> Acompanhar as operações no sistema eletrônico durante o processo licitatório e responsabilizar-se pelo ônus decorrente da perda de negócios diante da inobservância de mensagens emitidas pelo sistema ou de sua desconexão;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2.3.3.</w:t>
      </w:r>
      <w:r>
        <w:rPr>
          <w:rFonts w:ascii="Times New Roman" w:hAnsi="Times New Roman" w:cs="Times New Roman" w:eastAsia="Times New Roman"/>
          <w:sz w:val="24"/>
        </w:rPr>
        <w:t xml:space="preserve"> Comunicar imediatamente ao provedor do sistema qualquer acontecimento que possa comprometer o sigilo ou a inviabilidade do uso da senha, para imediato bloqueio de acesso;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2.3.4.</w:t>
      </w:r>
      <w:r>
        <w:rPr>
          <w:rFonts w:ascii="Times New Roman" w:hAnsi="Times New Roman" w:cs="Times New Roman" w:eastAsia="Times New Roman"/>
          <w:sz w:val="24"/>
        </w:rPr>
        <w:t xml:space="preserve"> Utilizar a chave de identificação e a senha de acesso para participar do pregão na forma eletrônica; e</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2.3.5.</w:t>
      </w:r>
      <w:r>
        <w:rPr>
          <w:rFonts w:ascii="Times New Roman" w:hAnsi="Times New Roman" w:cs="Times New Roman" w:eastAsia="Times New Roman"/>
          <w:sz w:val="24"/>
        </w:rPr>
        <w:t xml:space="preserve"> Solicitar o cancelamento da chave de identificação ou da senha de acesso por interesse próprio.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3. ENVIO DAS PROPOSTAS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3.1. </w:t>
      </w:r>
      <w:r>
        <w:rPr>
          <w:rFonts w:ascii="Times New Roman" w:hAnsi="Times New Roman" w:cs="Times New Roman" w:eastAsia="Times New Roman"/>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3.2. </w:t>
      </w:r>
      <w:r>
        <w:rPr>
          <w:rFonts w:ascii="Times New Roman" w:hAnsi="Times New Roman" w:cs="Times New Roman" w:eastAsia="Times New Roman"/>
          <w:sz w:val="24"/>
        </w:rPr>
        <w:t>O licitante deverá declarar, em campo próprio do sistema, sendo que a falsidade da declaração sujeitará o licitante às sanções legais: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3.2.1.</w:t>
      </w:r>
      <w:r>
        <w:rPr>
          <w:rFonts w:ascii="Times New Roman" w:hAnsi="Times New Roman" w:cs="Times New Roman" w:eastAsia="Times New Roman"/>
          <w:sz w:val="24"/>
        </w:rPr>
        <w:t xml:space="preserve"> O cumprimento dos requisitos para a habilitação e a conformidade de sua proposta com as exigências do edital, respondendo o declarante pela veracidade das suas informações, na forma da lei;</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3.2.2.</w:t>
      </w:r>
      <w:r>
        <w:rPr>
          <w:rFonts w:ascii="Times New Roman" w:hAnsi="Times New Roman" w:cs="Times New Roman" w:eastAsia="Times New Roman"/>
          <w:sz w:val="24"/>
          <w:color w:val="000000"/>
        </w:rPr>
        <w:t xml:space="preserve"> Que cumpre as exigências de reserva de cargos para pessoa com deficiência e para reabilitado da Previdência Social, previstas em lei e em outras normas específicas.</w:t>
      </w:r>
    </w:p>
    <w:p>
      <w:pPr>
        <w:jc w:val="both"/>
        <w:widowControl/>
        <w:spacing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3.2.3.</w:t>
      </w:r>
      <w:r>
        <w:rPr>
          <w:rFonts w:ascii="Times New Roman" w:hAnsi="Times New Roman" w:cs="Times New Roman" w:eastAsia="Times New Roman"/>
          <w:sz w:val="24"/>
          <w:color w:val="000000"/>
        </w:rPr>
        <w:t xml:space="preserve"> O cumprimento dos requisitos legais para a qualificação como microempresa ou empresa de pequeno porte, microempreendedor individual, produtor rural pessoa física, agricultor familiar ou sociedade cooperativa de consumo, </w:t>
      </w:r>
      <w:r>
        <w:rPr>
          <w:rFonts w:ascii="Times New Roman" w:hAnsi="Times New Roman" w:cs="Times New Roman" w:eastAsia="Times New Roman"/>
          <w:b/>
          <w:sz w:val="24"/>
          <w:color w:val="000000"/>
        </w:rPr>
        <w:t>se for o caso</w:t>
      </w:r>
      <w:r>
        <w:rPr>
          <w:rFonts w:ascii="Times New Roman" w:hAnsi="Times New Roman" w:cs="Times New Roman" w:eastAsia="Times New Roman"/>
          <w:sz w:val="24"/>
          <w:color w:val="000000"/>
        </w:rPr>
        <w:t xml:space="preserve">, estando apto a usufruir do tratamento favorecido estabelecido nos arts. 42 ao 49 da Lei Complementar nº 123 de 14 de dezembro de 2006.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3.2.4.</w:t>
      </w:r>
      <w:r>
        <w:rPr>
          <w:rFonts w:ascii="Times New Roman" w:hAnsi="Times New Roman" w:cs="Times New Roman" w:eastAsia="Times New Roman"/>
          <w:sz w:val="24"/>
          <w:color w:val="00000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3.2.5.</w:t>
      </w:r>
      <w:r>
        <w:rPr>
          <w:rFonts w:ascii="Times New Roman" w:hAnsi="Times New Roman" w:cs="Times New Roman" w:eastAsia="Times New Roman"/>
          <w:sz w:val="24"/>
          <w:color w:val="00000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3.3. </w:t>
      </w:r>
      <w:r>
        <w:rPr>
          <w:rFonts w:ascii="Times New Roman" w:hAnsi="Times New Roman" w:cs="Times New Roman" w:eastAsia="Times New Roman"/>
          <w:sz w:val="24"/>
        </w:rPr>
        <w:t>Outros eventuais documentos complementares à proposta e à habilitação, que venham a ser solicitados pelo pregoeiro, deverão ser encaminhados no prazo máximo de 1 dia útil.</w:t>
      </w:r>
    </w:p>
    <w:p>
      <w:pPr>
        <w:jc w:val="both"/>
        <w:widowControl/>
        <w:spacing w:before="120" w:lineRule="auto" w:line="360"/>
        <w:rPr>
          <w:rFonts w:ascii="Times New Roman" w:hAnsi="Times New Roman" w:cs="Times New Roman" w:eastAsia="Times New Roman"/>
        </w:rPr>
      </w:pPr>
      <w:r>
        <w:rPr>
          <w:rFonts w:ascii="Times New Roman" w:hAnsi="Times New Roman" w:cs="Times New Roman" w:eastAsia="Times New Roman"/>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4.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4.1. </w:t>
      </w:r>
      <w:r>
        <w:rPr>
          <w:rFonts w:ascii="Times New Roman" w:hAnsi="Times New Roman" w:cs="Times New Roman" w:eastAsia="Times New Roman"/>
          <w:sz w:val="24"/>
        </w:rPr>
        <w:t>O prazo de validade da proposta será de 60 dias, a contar da data de abertura da sessão do pregão, estabelecida no preâmbulo desse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4.2. </w:t>
      </w:r>
      <w:r>
        <w:rPr>
          <w:rFonts w:ascii="Times New Roman" w:hAnsi="Times New Roman" w:cs="Times New Roman" w:eastAsia="Times New Roman"/>
          <w:sz w:val="24"/>
        </w:rPr>
        <w:t>Os licitantes deverão registrar suas propostas no sistema eletrônico, com a indicação completa do produto ofertado, incluindo marca, modelo, referências e demais dados técnicos, bem como com a indicação dos valores unitários e totais dos itens, englobando a tributação, os custos de entrega e quaisquer outras despesas incidentes para o cumprimento das obrigações assumidas.</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5. DOCUMENTOS DE HABILITAÇÃO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Para fins de habilitação neste pregão, a licitante deverá enviar os seguintes documentos, observando o procedimento disposto no item 3 deste Edital:</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5.1. HABILITAÇÃO JURÍDICA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a)</w:t>
      </w:r>
      <w:r>
        <w:rPr>
          <w:rFonts w:ascii="Times New Roman" w:hAnsi="Times New Roman" w:cs="Times New Roman" w:eastAsia="Times New Roman"/>
          <w:sz w:val="24"/>
        </w:rPr>
        <w:t xml:space="preserve"> cópia do registro comercial, no caso de empresa individual;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b)</w:t>
      </w:r>
      <w:r>
        <w:rPr>
          <w:rFonts w:ascii="Times New Roman" w:hAnsi="Times New Roman" w:cs="Times New Roman" w:eastAsia="Times New Roman"/>
          <w:sz w:val="24"/>
        </w:rPr>
        <w:t xml:space="preserve"> cópia do ato constitutivo, estatuto ou contrato social em vigor, devidamente registrado, em se tratando de sociedades comerciais, e, no caso de sociedade por ações, acompanhado de documentos de eleição de seus administradores;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c) </w:t>
      </w:r>
      <w:r>
        <w:rPr>
          <w:rFonts w:ascii="Times New Roman" w:hAnsi="Times New Roman" w:cs="Times New Roman" w:eastAsia="Times New Roman"/>
          <w:sz w:val="24"/>
        </w:rPr>
        <w:t>cópia do decreto de autorização, em se tratando de empresa ou sociedade estrangeira em funcionamento no País, e ato de registro ou autorização para funcionamento expedido pelo órgão competente, quando a atividade assim o exigir.</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5.2. HABILITAÇÃO FISCAL, SOCIAL E TRABALHISTA</w:t>
      </w:r>
    </w:p>
    <w:p>
      <w:pPr>
        <w:jc w:val="both"/>
        <w:widowControl/>
        <w:spacing w:before="120" w:lineRule="auto" w:line="360"/>
        <w:rPr>
          <w:rFonts w:ascii="Times New Roman" w:hAnsi="Times New Roman" w:cs="Times New Roman" w:eastAsia="Times New Roman"/>
          <w:sz w:val="24"/>
          <w:color w:val="000000"/>
        </w:rPr>
      </w:pPr>
      <w:bookmarkStart w:id="0" w:name="art68i"/>
      <w:bookmarkEnd w:id="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comprovante de inscrição no Cadastro de Pessoas Físicas (CPF) ou no Cadastro Nacional da Pessoa Jurídica (CNPJ);</w:t>
      </w:r>
    </w:p>
    <w:p>
      <w:pPr>
        <w:jc w:val="both"/>
        <w:widowControl/>
        <w:spacing w:before="120" w:lineRule="auto" w:line="360"/>
        <w:rPr>
          <w:rFonts w:ascii="Times New Roman" w:hAnsi="Times New Roman" w:cs="Times New Roman" w:eastAsia="Times New Roman"/>
          <w:sz w:val="24"/>
          <w:color w:val="000000"/>
        </w:rPr>
      </w:pPr>
      <w:bookmarkStart w:id="1" w:name="art68ii"/>
      <w:bookmarkEnd w:id="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comprovante de inscrição no cadastro de contribuintes estadual e/ou municipal, se houver, relativo ao domicílio ou sede do licitante, pertinente ao seu ramo de atividade e compatível com o objeto contratual;</w:t>
      </w:r>
    </w:p>
    <w:p>
      <w:pPr>
        <w:jc w:val="both"/>
        <w:widowControl/>
        <w:spacing w:before="120" w:lineRule="auto" w:line="360"/>
        <w:rPr>
          <w:rFonts w:ascii="Times New Roman" w:hAnsi="Times New Roman" w:cs="Times New Roman" w:eastAsia="Times New Roman"/>
          <w:sz w:val="24"/>
          <w:color w:val="000000"/>
        </w:rPr>
      </w:pPr>
      <w:bookmarkStart w:id="2" w:name="art68iii"/>
      <w:bookmarkEnd w:id="2"/>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prova de regularidade perante a Fazenda federal, estadual e/ou municipal do domicílio ou sede do licitante, ou outra equivalente, na forma da lei;</w:t>
      </w:r>
    </w:p>
    <w:p>
      <w:pPr>
        <w:jc w:val="both"/>
        <w:widowControl/>
        <w:spacing w:before="120" w:lineRule="auto" w:line="360"/>
        <w:rPr>
          <w:rFonts w:ascii="Times New Roman" w:hAnsi="Times New Roman" w:cs="Times New Roman" w:eastAsia="Times New Roman"/>
          <w:sz w:val="24"/>
          <w:color w:val="000000"/>
        </w:rPr>
      </w:pPr>
      <w:bookmarkStart w:id="3" w:name="art68iv"/>
      <w:bookmarkEnd w:id="3"/>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prova de regularidade relativa à Seguridade Social e ao FGTS, que demonstre cumprimento dos encargos sociais instituídos por lei;</w:t>
      </w:r>
    </w:p>
    <w:p>
      <w:pPr>
        <w:jc w:val="both"/>
        <w:widowControl/>
        <w:spacing w:before="120" w:lineRule="auto" w:line="360"/>
        <w:rPr>
          <w:rFonts w:ascii="Times New Roman" w:hAnsi="Times New Roman" w:cs="Times New Roman" w:eastAsia="Times New Roman"/>
          <w:sz w:val="24"/>
          <w:color w:val="000000"/>
        </w:rPr>
      </w:pPr>
      <w:bookmarkStart w:id="4" w:name="art68v"/>
      <w:bookmarkEnd w:id="4"/>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prova de regularidade perante a Justiça do Trabalho;</w:t>
      </w:r>
    </w:p>
    <w:p>
      <w:pPr>
        <w:jc w:val="both"/>
        <w:widowControl/>
        <w:spacing w:before="120" w:lineRule="auto" w:line="360"/>
        <w:rPr>
          <w:rFonts w:ascii="Times New Roman" w:hAnsi="Times New Roman" w:cs="Times New Roman" w:eastAsia="Times New Roman"/>
          <w:sz w:val="24"/>
        </w:rPr>
      </w:pPr>
      <w:bookmarkStart w:id="5" w:name="art68vi"/>
      <w:bookmarkEnd w:id="5"/>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declaração de cumprimento do disposto no </w:t>
      </w:r>
      <w:hyperlink r:id="hrId5" w:anchor="art7xxxiii">
        <w:r>
          <w:rPr>
            <w:rFonts w:ascii="Times New Roman" w:hAnsi="Times New Roman" w:cs="Times New Roman" w:eastAsia="Times New Roman"/>
            <w:u w:color="auto"/>
            <w:sz w:val="24"/>
            <w:color w:val="000000"/>
          </w:rPr>
          <w:t>inciso XXXIII do art. 7º da Constituição Federal.</w:t>
        </w:r>
      </w:hyperlink>
      <w:r>
        <w:rPr>
          <w:rFonts w:ascii="Times New Roman" w:hAnsi="Times New Roman" w:cs="Times New Roman" w:eastAsia="Times New Roman"/>
          <w:sz w:val="24"/>
          <w:color w:val="000000"/>
        </w:rPr>
        <w:t xml:space="preserve"> </w:t>
      </w:r>
      <w:r>
        <w:rPr>
          <w:rFonts w:ascii="Times New Roman" w:hAnsi="Times New Roman" w:cs="Times New Roman" w:eastAsia="Times New Roman"/>
          <w:sz w:val="24"/>
        </w:rPr>
        <w:t>conforme o modelo do Decreto Federal n° 4.358/2002.</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215"/>
        </w:tabs>
        <w:rPr>
          <w:rFonts w:ascii="Times New Roman" w:hAnsi="Times New Roman" w:cs="Times New Roman" w:eastAsia="Times New Roman"/>
          <w:b/>
          <w:sz w:val="24"/>
        </w:rPr>
      </w:pPr>
      <w:bookmarkStart w:id="6" w:name="art68_1"/>
      <w:bookmarkEnd w:id="6"/>
      <w:r>
        <w:rPr>
          <w:rFonts w:ascii="Times New Roman" w:hAnsi="Times New Roman" w:cs="Times New Roman" w:eastAsia="Times New Roman"/>
          <w:b/>
          <w:sz w:val="24"/>
        </w:rPr>
        <w:t>5.3. HABILITAÇÃO ECONÔMICO-FINANCEIRA:</w:t>
      </w:r>
    </w:p>
    <w:p>
      <w:pPr>
        <w:jc w:val="both"/>
        <w:widowControl/>
        <w:spacing w:lineRule="auto" w:line="360"/>
        <w:rPr>
          <w:rFonts w:ascii="Times New Roman" w:hAnsi="Times New Roman" w:cs="Times New Roman" w:eastAsia="Times New Roman"/>
          <w:sz w:val="24"/>
        </w:rPr>
      </w:pPr>
      <w:bookmarkStart w:id="7" w:name="_Hlk508883518"/>
      <w:bookmarkEnd w:id="7"/>
      <w:r>
        <w:rPr>
          <w:rFonts w:ascii="Times New Roman" w:hAnsi="Times New Roman" w:cs="Times New Roman" w:eastAsia="Times New Roman"/>
          <w:b/>
          <w:sz w:val="24"/>
        </w:rPr>
        <w:t>a)</w:t>
      </w:r>
      <w:r>
        <w:rPr>
          <w:rFonts w:ascii="Times New Roman" w:hAnsi="Times New Roman" w:cs="Times New Roman" w:eastAsia="Times New Roman"/>
          <w:sz w:val="24"/>
        </w:rPr>
        <w:t xml:space="preserve"> certidão negativa de falência expedida pelo distribuidor da sede da pessoa jurídica, em prazo não superior a 90 (noventa) dias da data designada para a apresentação do documento;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5.4.1.</w:t>
      </w:r>
      <w:r>
        <w:rPr>
          <w:rFonts w:ascii="Times New Roman" w:hAnsi="Times New Roman" w:cs="Times New Roman" w:eastAsia="Times New Roman"/>
          <w:sz w:val="24"/>
          <w:color w:val="000000"/>
        </w:rPr>
        <w:t xml:space="preserve"> Após a entrega dos documentos para habilitação, não será permitida a substituição ou a apresentação de novos documentos, salvo em sede de diligência, para:</w:t>
      </w:r>
      <w:bookmarkStart w:id="8" w:name="art64i"/>
      <w:bookmarkEnd w:id="8"/>
      <w:r>
        <w:rPr>
          <w:rFonts w:ascii="Times New Roman" w:hAnsi="Times New Roman" w:cs="Times New Roman" w:eastAsia="Times New Roman"/>
          <w:sz w:val="24"/>
          <w:color w:val="000000"/>
        </w:rPr>
        <w:t xml:space="preserve">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complementação de informações acerca dos documentos já apresentados pelos licitantes e desde que necessária para apurar fatos existentes à época da abertura do certame;</w:t>
      </w:r>
      <w:bookmarkStart w:id="9" w:name="art64ii"/>
      <w:bookmarkEnd w:id="9"/>
      <w:r>
        <w:rPr>
          <w:rFonts w:ascii="Times New Roman" w:hAnsi="Times New Roman" w:cs="Times New Roman" w:eastAsia="Times New Roman"/>
          <w:sz w:val="24"/>
          <w:color w:val="000000"/>
        </w:rPr>
        <w:t xml:space="preserve">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atualização de documentos cuja validade tenha expirado após a data de recebimento das propostas.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5.4.2.</w:t>
      </w:r>
      <w:r>
        <w:rPr>
          <w:rFonts w:ascii="Times New Roman" w:hAnsi="Times New Roman" w:cs="Times New Roman" w:eastAsia="Times New Roman"/>
          <w:sz w:val="24"/>
          <w:color w:val="00000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5.2.5.</w:t>
      </w:r>
      <w:r>
        <w:rPr>
          <w:rFonts w:ascii="Times New Roman" w:hAnsi="Times New Roman" w:cs="Times New Roman" w:eastAsia="Times New Roman"/>
          <w:sz w:val="24"/>
          <w:color w:val="000000"/>
        </w:rPr>
        <w:t xml:space="preserve"> A habilitação poderá ser realizada por processo eletrônico de comunicação a distância, nos termos dispostos em regulamento (necessário que o órgão público regulamente essa possibilidade).</w:t>
      </w:r>
    </w:p>
    <w:p>
      <w:pPr>
        <w:jc w:val="both"/>
        <w:widowControl/>
        <w:ind w:firstLine="1418"/>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6. GARANTIA DE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6.1</w:t>
      </w:r>
      <w:r>
        <w:rPr>
          <w:rFonts w:ascii="Times New Roman" w:hAnsi="Times New Roman" w:cs="Times New Roman" w:eastAsia="Times New Roman"/>
          <w:sz w:val="24"/>
        </w:rPr>
        <w:t xml:space="preserve"> Não será exigida garantia da proposta.</w:t>
      </w:r>
    </w:p>
    <w:p>
      <w:pPr>
        <w:jc w:val="both"/>
        <w:widowControl/>
        <w:spacing w:before="120"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7. VEDAÇÕES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7.1 </w:t>
      </w:r>
      <w:r>
        <w:rPr>
          <w:rFonts w:ascii="Times New Roman" w:hAnsi="Times New Roman" w:cs="Times New Roman" w:eastAsia="Times New Roman"/>
          <w:sz w:val="24"/>
          <w:color w:val="000000"/>
        </w:rPr>
        <w:t>Não poderão disputar licitação ou participar da execução de contrato, direta ou indiretamente: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pessoa física ou jurídica que se encontre, ao tempo da licitação, impossibilitada de participar da licitação em decorrência de sanção que lhe foi imposta;</w:t>
      </w:r>
    </w:p>
    <w:p>
      <w:pPr>
        <w:jc w:val="both"/>
        <w:widowControl/>
        <w:spacing w:before="120" w:lineRule="auto" w:line="360"/>
        <w:rPr>
          <w:rFonts w:ascii="Times New Roman" w:hAnsi="Times New Roman" w:cs="Times New Roman" w:eastAsia="Times New Roman"/>
          <w:sz w:val="24"/>
          <w:color w:val="000000"/>
        </w:rPr>
      </w:pPr>
      <w:bookmarkStart w:id="10" w:name="art14iv"/>
      <w:bookmarkEnd w:id="1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jc w:val="both"/>
        <w:widowControl/>
        <w:spacing w:before="120" w:lineRule="auto" w:line="360"/>
        <w:rPr>
          <w:rFonts w:ascii="Times New Roman" w:hAnsi="Times New Roman" w:cs="Times New Roman" w:eastAsia="Times New Roman"/>
          <w:sz w:val="24"/>
          <w:color w:val="000000"/>
        </w:rPr>
      </w:pPr>
      <w:bookmarkStart w:id="11" w:name="art14v"/>
      <w:bookmarkEnd w:id="1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controladoras, controladas ou coligadas, nos termos da </w:t>
      </w:r>
      <w:hyperlink r:id="hrId6">
        <w:r>
          <w:rPr>
            <w:rFonts w:ascii="Times New Roman" w:hAnsi="Times New Roman" w:cs="Times New Roman" w:eastAsia="Times New Roman"/>
            <w:u w:val="single" w:color="auto"/>
            <w:sz w:val="24"/>
            <w:color w:val="0000FF"/>
          </w:rPr>
          <w:t>Lei nº 6.404, de 15 de dezembro de 1976</w:t>
        </w:r>
      </w:hyperlink>
      <w:r>
        <w:rPr>
          <w:rFonts w:ascii="Times New Roman" w:hAnsi="Times New Roman" w:cs="Times New Roman" w:eastAsia="Times New Roman"/>
          <w:sz w:val="24"/>
          <w:color w:val="000000"/>
        </w:rPr>
        <w:t>, concorrendo entre si;</w:t>
      </w:r>
    </w:p>
    <w:p>
      <w:pPr>
        <w:jc w:val="both"/>
        <w:widowControl/>
        <w:spacing w:before="120" w:lineRule="auto" w:line="360"/>
        <w:rPr>
          <w:rFonts w:ascii="Times New Roman" w:hAnsi="Times New Roman" w:cs="Times New Roman" w:eastAsia="Times New Roman"/>
          <w:sz w:val="24"/>
          <w:color w:val="000000"/>
        </w:rPr>
      </w:pPr>
      <w:bookmarkStart w:id="12" w:name="art14vi"/>
      <w:bookmarkEnd w:id="12"/>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agente público do órgão licitante, devendo ser observadas as situações que possam configurar conflito de interesses no exercício ou após o exercício do cargo ou emprego, nos termos da legislação que disciplina a matéria.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7.2.</w:t>
      </w:r>
      <w:r>
        <w:rPr>
          <w:rFonts w:ascii="Times New Roman" w:hAnsi="Times New Roman" w:cs="Times New Roman" w:eastAsia="Times New Roman"/>
          <w:sz w:val="24"/>
          <w:color w:val="000000"/>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7.3.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8. ABERTURA DA SESSÃO PÚBLICA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8.1. </w:t>
      </w:r>
      <w:r>
        <w:rPr>
          <w:rFonts w:ascii="Times New Roman" w:hAnsi="Times New Roman" w:cs="Times New Roman" w:eastAsia="Times New Roman"/>
          <w:sz w:val="24"/>
        </w:rPr>
        <w:t>No dia e hora indicados no preâmbulo, o pregoeiro abrirá a sessão pública, mediante a utilização de sua chave e senha.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8.2. </w:t>
      </w:r>
      <w:r>
        <w:rPr>
          <w:rFonts w:ascii="Times New Roman" w:hAnsi="Times New Roman" w:cs="Times New Roman" w:eastAsia="Times New Roman"/>
          <w:sz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8.3.</w:t>
      </w:r>
      <w:r>
        <w:rPr>
          <w:rFonts w:ascii="Times New Roman" w:hAnsi="Times New Roman" w:cs="Times New Roman" w:eastAsia="Times New Roman"/>
          <w:sz w:val="24"/>
        </w:rPr>
        <w:t>A comunicação entre o pregoeiro e os licitantes ocorrerá mediante troca de mensagens em campo próprio do sistema eletrônico.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8.4. </w:t>
      </w:r>
      <w:r>
        <w:rPr>
          <w:rFonts w:ascii="Times New Roman" w:hAnsi="Times New Roman" w:cs="Times New Roman" w:eastAsia="Times New Roman"/>
          <w:sz w:val="24"/>
        </w:rPr>
        <w:t xml:space="preserve">Iniciada a sessão, as propostas de preços contendo a descrição do objeto e do valor estarão disponíveis na </w:t>
      </w:r>
      <w:r>
        <w:rPr>
          <w:rFonts w:ascii="Times New Roman" w:hAnsi="Times New Roman" w:cs="Times New Roman" w:eastAsia="Times New Roman"/>
          <w:i/>
          <w:sz w:val="24"/>
        </w:rPr>
        <w:t>internet</w:t>
      </w:r>
      <w:r>
        <w:rPr>
          <w:rFonts w:ascii="Times New Roman" w:hAnsi="Times New Roman" w:cs="Times New Roman" w:eastAsia="Times New Roman"/>
          <w:sz w:val="24"/>
        </w:rPr>
        <w:t>.</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9. CLASSIFICAÇÃO INICIAL DAS PROPOSTAS E FORMULAÇÃO DE LANCES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9.1. </w:t>
      </w:r>
      <w:r>
        <w:rPr>
          <w:rFonts w:ascii="Times New Roman" w:hAnsi="Times New Roman" w:cs="Times New Roman" w:eastAsia="Times New Roman"/>
          <w:sz w:val="24"/>
        </w:rPr>
        <w:t>O pregoeiro verificará as propostas apresentadas e desclassificará fundamentadamente aquelas que não estejam em conformidade com os requisitos estabelecidos no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Serão desclassificadas as propostas que: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a) </w:t>
      </w:r>
      <w:r>
        <w:rPr>
          <w:rFonts w:ascii="Times New Roman" w:hAnsi="Times New Roman" w:cs="Times New Roman" w:eastAsia="Times New Roman"/>
          <w:sz w:val="24"/>
          <w:color w:val="000000"/>
        </w:rPr>
        <w:t>contiverem vícios insanáveis;</w:t>
      </w:r>
    </w:p>
    <w:p>
      <w:pPr>
        <w:jc w:val="both"/>
        <w:widowControl/>
        <w:spacing w:before="120" w:lineRule="auto" w:line="360"/>
        <w:rPr>
          <w:rFonts w:ascii="Times New Roman" w:hAnsi="Times New Roman" w:cs="Times New Roman" w:eastAsia="Times New Roman"/>
          <w:sz w:val="24"/>
          <w:color w:val="000000"/>
        </w:rPr>
      </w:pPr>
      <w:bookmarkStart w:id="13" w:name="art59ii"/>
      <w:bookmarkEnd w:id="13"/>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não obedecerem às especificações técnicas pormenorizadas no edital;</w:t>
      </w:r>
    </w:p>
    <w:p>
      <w:pPr>
        <w:jc w:val="both"/>
        <w:widowControl/>
        <w:spacing w:before="120" w:lineRule="auto" w:line="360"/>
        <w:rPr>
          <w:rFonts w:ascii="Times New Roman" w:hAnsi="Times New Roman" w:cs="Times New Roman" w:eastAsia="Times New Roman"/>
          <w:sz w:val="24"/>
          <w:color w:val="000000"/>
        </w:rPr>
      </w:pPr>
      <w:bookmarkStart w:id="14" w:name="art59iii"/>
      <w:bookmarkEnd w:id="14"/>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apresentarem preços inexequíveis ou permanecerem acima do orçamento estimado para a contratação;</w:t>
      </w:r>
    </w:p>
    <w:p>
      <w:pPr>
        <w:jc w:val="both"/>
        <w:widowControl/>
        <w:spacing w:before="120" w:lineRule="auto" w:line="360"/>
        <w:rPr>
          <w:rFonts w:ascii="Times New Roman" w:hAnsi="Times New Roman" w:cs="Times New Roman" w:eastAsia="Times New Roman"/>
          <w:sz w:val="24"/>
          <w:color w:val="000000"/>
        </w:rPr>
      </w:pPr>
      <w:bookmarkStart w:id="15" w:name="art59iv"/>
      <w:bookmarkEnd w:id="15"/>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não tiverem sua exequibilidade demonstrada, quando exigido pela Administração;</w:t>
      </w:r>
    </w:p>
    <w:p>
      <w:pPr>
        <w:jc w:val="both"/>
        <w:widowControl/>
        <w:spacing w:before="120" w:lineRule="auto" w:line="360"/>
        <w:rPr>
          <w:rFonts w:ascii="Times New Roman" w:hAnsi="Times New Roman" w:cs="Times New Roman" w:eastAsia="Times New Roman"/>
          <w:sz w:val="24"/>
          <w:color w:val="000000"/>
        </w:rPr>
      </w:pPr>
      <w:bookmarkStart w:id="16" w:name="art59v"/>
      <w:bookmarkEnd w:id="1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apresentarem desconformidade com quaisquer outras exigências do edital, desde que insanável.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9.3</w:t>
      </w:r>
      <w:r>
        <w:rPr>
          <w:rFonts w:ascii="Times New Roman" w:hAnsi="Times New Roman" w:cs="Times New Roman" w:eastAsia="Times New Roman"/>
          <w:sz w:val="24"/>
          <w:color w:val="000000"/>
        </w:rPr>
        <w:t xml:space="preserve"> A verificação da conformidade das propostas poderá ser feita exclusivamente em relação à proposta mais bem classificada.</w:t>
      </w:r>
    </w:p>
    <w:p>
      <w:pPr>
        <w:jc w:val="both"/>
        <w:widowControl/>
        <w:spacing w:before="120" w:lineRule="auto" w:line="360"/>
        <w:tabs>
          <w:tab w:val="left" w:pos="1134"/>
        </w:tabs>
        <w:rPr>
          <w:rFonts w:ascii="Times New Roman" w:hAnsi="Times New Roman" w:cs="Times New Roman" w:eastAsia="Times New Roman"/>
          <w:sz w:val="24"/>
        </w:rPr>
      </w:pPr>
      <w:bookmarkStart w:id="17" w:name="art59_2"/>
      <w:bookmarkEnd w:id="17"/>
      <w:r>
        <w:rPr>
          <w:rFonts w:ascii="Times New Roman" w:hAnsi="Times New Roman" w:cs="Times New Roman" w:eastAsia="Times New Roman"/>
          <w:b/>
          <w:sz w:val="24"/>
        </w:rPr>
        <w:t xml:space="preserve">9.4 </w:t>
      </w:r>
      <w:r>
        <w:rPr>
          <w:rFonts w:ascii="Times New Roman" w:hAnsi="Times New Roman" w:cs="Times New Roman" w:eastAsia="Times New Roman"/>
          <w:sz w:val="24"/>
        </w:rPr>
        <w:t>Quaisquer inserções na proposta que visem modificar, extinguir ou criar direitos, sem previsão no edital, serão tidas como inexistentes, aproveitando-se a proposta no que não for conflitante com o instrumento convocatório.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9.5</w:t>
      </w:r>
      <w:r>
        <w:rPr>
          <w:rFonts w:ascii="Times New Roman" w:hAnsi="Times New Roman" w:cs="Times New Roman" w:eastAsia="Times New Roman"/>
          <w:sz w:val="24"/>
        </w:rPr>
        <w:t xml:space="preserve"> As propostas classificadas serão ordenadas pelo sistema e o pregoeiro dará início à fase competitiva, oportunidade em que os licitantes poderão encaminhar lances exclusivamente por meio do sistema eletrônico.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9.6 </w:t>
      </w:r>
      <w:r>
        <w:rPr>
          <w:rFonts w:ascii="Times New Roman" w:hAnsi="Times New Roman" w:cs="Times New Roman" w:eastAsia="Times New Roman"/>
          <w:sz w:val="24"/>
        </w:rPr>
        <w:t>Somente poderão participar da fase competitiva os autores das propostas classificadas.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8.7 </w:t>
      </w:r>
      <w:r>
        <w:rPr>
          <w:rFonts w:ascii="Times New Roman" w:hAnsi="Times New Roman" w:cs="Times New Roman" w:eastAsia="Times New Roman"/>
          <w:sz w:val="24"/>
          <w:color w:val="000000"/>
        </w:rPr>
        <w:t>Os licitantes poderão oferecer lances sucessivos e serão informados, em tempo real, do valor do menor lance registrado, vedada a identificação do seu autor, observando o horário fixado para duração da etapa competitiva</w:t>
      </w:r>
      <w:r>
        <w:rPr>
          <w:rFonts w:ascii="Times New Roman" w:hAnsi="Times New Roman" w:cs="Times New Roman" w:eastAsia="Times New Roman"/>
          <w:sz w:val="24"/>
        </w:rPr>
        <w:t>, e as seguintes regras: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9.7.1</w:t>
      </w:r>
      <w:r>
        <w:rPr>
          <w:rFonts w:ascii="Times New Roman" w:hAnsi="Times New Roman" w:cs="Times New Roman" w:eastAsia="Times New Roman"/>
          <w:sz w:val="24"/>
        </w:rPr>
        <w:t xml:space="preserve"> O licitante será imediatamente informado do recebimento do lance e do valor consignado no registro.</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9.7.2 </w:t>
      </w:r>
      <w:r>
        <w:rPr>
          <w:rFonts w:ascii="Times New Roman" w:hAnsi="Times New Roman" w:cs="Times New Roman" w:eastAsia="Times New Roman"/>
          <w:sz w:val="24"/>
          <w:color w:val="000000"/>
        </w:rPr>
        <w:t>O licitante somente poderá oferecer valor inferior ao último lance por ele ofertado e registrado pelo sistema.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9.7.3 </w:t>
      </w:r>
      <w:r>
        <w:rPr>
          <w:rFonts w:ascii="Times New Roman" w:hAnsi="Times New Roman" w:cs="Times New Roman" w:eastAsia="Times New Roman"/>
          <w:sz w:val="24"/>
          <w:color w:val="000000"/>
        </w:rPr>
        <w:t>Não serão aceitos dois ou mais lances iguais e prevalecerá aquele que for recebido e registrado primeiro.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9.7.4 </w:t>
      </w:r>
      <w:r>
        <w:rPr>
          <w:rFonts w:ascii="Times New Roman" w:hAnsi="Times New Roman" w:cs="Times New Roman" w:eastAsia="Times New Roman"/>
          <w:sz w:val="24"/>
          <w:color w:val="000000"/>
        </w:rPr>
        <w:t>Serão considerados intermediários os lances iguais ou superiores ao menor já ofertado;</w:t>
      </w:r>
    </w:p>
    <w:p>
      <w:pPr>
        <w:jc w:val="both"/>
        <w:widowControl/>
        <w:spacing w:before="120" w:lineRule="auto" w:line="360"/>
        <w:rPr>
          <w:rFonts w:ascii="Times New Roman" w:hAnsi="Times New Roman" w:cs="Times New Roman" w:eastAsia="Times New Roman"/>
          <w:sz w:val="24"/>
          <w:color w:val="000000"/>
        </w:rPr>
      </w:pPr>
      <w:bookmarkStart w:id="18" w:name="art56_3ii"/>
      <w:bookmarkEnd w:id="18"/>
      <w:r>
        <w:rPr>
          <w:rFonts w:ascii="Times New Roman" w:hAnsi="Times New Roman" w:cs="Times New Roman" w:eastAsia="Times New Roman"/>
          <w:b/>
          <w:sz w:val="24"/>
          <w:color w:val="000000"/>
        </w:rPr>
        <w:t>9.7.5</w:t>
      </w:r>
      <w:r>
        <w:rPr>
          <w:rFonts w:ascii="Times New Roman" w:hAnsi="Times New Roman" w:cs="Times New Roman" w:eastAsia="Times New Roman"/>
          <w:sz w:val="24"/>
          <w:color w:val="00000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9.8</w:t>
      </w:r>
      <w:r>
        <w:rPr>
          <w:rFonts w:ascii="Times New Roman" w:hAnsi="Times New Roman" w:cs="Times New Roman" w:eastAsia="Times New Roman"/>
          <w:sz w:val="24"/>
          <w:color w:val="000000"/>
        </w:rPr>
        <w:t xml:space="preserve"> A Administração poderá realizar diligências para aferir a exequibilidade das propostas ou exigir dos licitantes que ela seja demonstrada</w:t>
      </w:r>
    </w:p>
    <w:p>
      <w:pPr>
        <w:jc w:val="both"/>
        <w:widowControl/>
        <w:spacing w:before="120" w:lineRule="auto" w:line="360"/>
        <w:tabs>
          <w:tab w:val="left" w:pos="1134"/>
        </w:tabs>
        <w:rPr>
          <w:rFonts w:ascii="Times New Roman" w:hAnsi="Times New Roman" w:cs="Times New Roman" w:eastAsia="Times New Roman"/>
          <w:b/>
          <w:sz w:val="24"/>
          <w:color w:val="000000"/>
        </w:rPr>
      </w:pPr>
      <w:bookmarkStart w:id="19" w:name="art58_4"/>
      <w:bookmarkEnd w:id="19"/>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10. MODO DE DISPUTA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10.1. </w:t>
      </w:r>
      <w:r>
        <w:rPr>
          <w:rFonts w:ascii="Times New Roman" w:hAnsi="Times New Roman" w:cs="Times New Roman" w:eastAsia="Times New Roman"/>
          <w:sz w:val="24"/>
        </w:rPr>
        <w:t>Será adotado o modo de disputa aberto, em que os licitantes apresentarão lances públicos e sucessivos, observando as regras constantes no item 8.</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 xml:space="preserve">A etapa competitiva, de envio de lances na sessão pública, </w:t>
      </w:r>
      <w:r>
        <w:rPr>
          <w:rFonts w:ascii="Times New Roman" w:hAnsi="Times New Roman" w:cs="Times New Roman" w:eastAsia="Times New Roman"/>
          <w:sz w:val="24"/>
          <w:color w:val="000000"/>
        </w:rPr>
        <w:t>durará 10 (dez) minutos e, após isso, será prorrogada automaticamente pelo sistema quando houver lance ofertado nos últimos dois minutos do período de duração da sessão pública.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10.3. </w:t>
      </w:r>
      <w:r>
        <w:rPr>
          <w:rFonts w:ascii="Times New Roman" w:hAnsi="Times New Roman" w:cs="Times New Roman" w:eastAsia="Times New Roman"/>
          <w:sz w:val="24"/>
          <w:color w:val="000000"/>
        </w:rPr>
        <w:t>A prorrogação automática da etapa de envio de lances será de dois minutos e ocorrerá sucessivamente sempre que houver lances enviados nesse período de prorrogação, inclusive quando se tratar de lances intermediários.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10.4. </w:t>
      </w:r>
      <w:r>
        <w:rPr>
          <w:rFonts w:ascii="Times New Roman" w:hAnsi="Times New Roman" w:cs="Times New Roman" w:eastAsia="Times New Roman"/>
          <w:sz w:val="24"/>
          <w:color w:val="000000"/>
        </w:rPr>
        <w:t>Na hipótese de não haver novos lances, a sessão pública será encerrada automaticamente.</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10.5.</w:t>
      </w:r>
      <w:r>
        <w:rPr>
          <w:rFonts w:ascii="Times New Roman" w:hAnsi="Times New Roman" w:cs="Times New Roman" w:eastAsia="Times New Roman"/>
          <w:sz w:val="24"/>
          <w:color w:val="000000"/>
        </w:rPr>
        <w:t xml:space="preserve"> Encerrada a sessão pública sem prorrogação automática pelo sistema, o pregoeiro poderá, assessorado pela equipe de apoio, admitir o reinício da etapa de envio de lances, em prol da consecução do melhor preço, mediante justificativa.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10.6. </w:t>
      </w:r>
      <w:r>
        <w:rPr>
          <w:rFonts w:ascii="Times New Roman" w:hAnsi="Times New Roman" w:cs="Times New Roman" w:eastAsia="Times New Roman"/>
          <w:sz w:val="24"/>
          <w:color w:val="000000"/>
        </w:rPr>
        <w:t>Na hipótese de o sistema eletrônico desconectar para o pregoeiro no decorrer da etapa de envio de lances da sessão pública e permanecer acessível aos licitantes, os lances continuarão sendo recebidos, sem prejuízo dos atos realizados.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10.7. </w:t>
      </w:r>
      <w:r>
        <w:rPr>
          <w:rFonts w:ascii="Times New Roman" w:hAnsi="Times New Roman" w:cs="Times New Roman" w:eastAsia="Times New Roman"/>
          <w:sz w:val="24"/>
          <w:color w:val="000000"/>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hrId7">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color w:val="000000"/>
        </w:rPr>
        <w:t>.</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11. CRITÉRIOS DE DESEMPATE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 </w:t>
      </w:r>
      <w:r>
        <w:rPr>
          <w:rFonts w:ascii="Times New Roman" w:hAnsi="Times New Roman" w:cs="Times New Roman" w:eastAsia="Times New Roman"/>
          <w:sz w:val="24"/>
          <w:color w:val="000000"/>
        </w:rPr>
        <w:t xml:space="preserve">Encerrada etapa de envio de lances, será apurada a ocorrência de empate, nos termos dos arts. 44 e 45 da Lei Complementar nº 123/2006, </w:t>
      </w:r>
      <w:r>
        <w:rPr>
          <w:rFonts w:ascii="Times New Roman" w:hAnsi="Times New Roman" w:cs="Times New Roman" w:eastAsia="Times New Roman"/>
          <w:sz w:val="24"/>
        </w:rPr>
        <w:t>sendo assegurada, como critério do desempate, preferência de contratação para as beneficiárias que tiverem apresentado as declarações de que tratam os itens 3.2.3 e 3.2.4 deste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11.1.2. </w:t>
      </w:r>
      <w:r>
        <w:rPr>
          <w:rFonts w:ascii="Times New Roman" w:hAnsi="Times New Roman" w:cs="Times New Roman" w:eastAsia="Times New Roman"/>
          <w:sz w:val="24"/>
        </w:rPr>
        <w:t>Entende-se como empate, para fins da Lei Complementar nº 123/2006, aquelas situações em que as propostas apresentadas pelas beneficiárias sejam iguais ou superiores em até 5% (cinco por cento) à proposta de menor valor.</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11.1.3. </w:t>
      </w:r>
      <w:r>
        <w:rPr>
          <w:rFonts w:ascii="Times New Roman" w:hAnsi="Times New Roman" w:cs="Times New Roman" w:eastAsia="Times New Roman"/>
          <w:sz w:val="24"/>
        </w:rPr>
        <w:t>Ocorrendo o empate, na forma do subitem anterior, proceder-se-á da seguinte forma: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a) </w:t>
      </w:r>
      <w:r>
        <w:rPr>
          <w:rFonts w:ascii="Times New Roman" w:hAnsi="Times New Roman" w:cs="Times New Roman" w:eastAsia="Times New Roman"/>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w:t>
      </w:r>
      <w:r>
        <w:rPr>
          <w:rFonts w:ascii="Times New Roman" w:hAnsi="Times New Roman" w:cs="Times New Roman" w:eastAsia="Times New Roman"/>
          <w:i/>
          <w:sz w:val="24"/>
        </w:rPr>
        <w:t>a</w:t>
      </w:r>
      <w:r>
        <w:rPr>
          <w:rFonts w:ascii="Times New Roman" w:hAnsi="Times New Roman" w:cs="Times New Roman" w:eastAsia="Times New Roman"/>
          <w:sz w:val="24"/>
        </w:rPr>
        <w:t xml:space="preserve"> deste item.</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11.1.4.</w:t>
      </w:r>
      <w:r>
        <w:rPr>
          <w:rFonts w:ascii="Times New Roman" w:hAnsi="Times New Roman" w:cs="Times New Roman" w:eastAsia="Times New Roman"/>
          <w:sz w:val="24"/>
        </w:rPr>
        <w:t xml:space="preserve"> O disposto no item 11.1.2. não se aplica às hipóteses em que a proposta de menor valor inicial tiver sido apresentado por beneficiária da Lei Complementar nº 123/2006.</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11.2. </w:t>
      </w:r>
      <w:r>
        <w:rPr>
          <w:rFonts w:ascii="Times New Roman" w:hAnsi="Times New Roman" w:cs="Times New Roman" w:eastAsia="Times New Roman"/>
          <w:sz w:val="24"/>
          <w:color w:val="000000"/>
        </w:rPr>
        <w:t>Se não houver licitante que atenda ao item 11.1 e seus subitens, serão utilizados os seguintes critérios de desempate, nesta ordem:</w:t>
      </w:r>
    </w:p>
    <w:p>
      <w:pPr>
        <w:jc w:val="both"/>
        <w:widowControl/>
        <w:spacing w:before="120" w:lineRule="auto" w:line="360"/>
        <w:rPr>
          <w:rFonts w:ascii="Times New Roman" w:hAnsi="Times New Roman" w:cs="Times New Roman" w:eastAsia="Times New Roman"/>
          <w:sz w:val="24"/>
          <w:color w:val="000000"/>
        </w:rPr>
      </w:pPr>
      <w:bookmarkStart w:id="20" w:name="art60i"/>
      <w:bookmarkEnd w:id="2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disputa final, hipótese em que os licitantes empatados poderão apresentar nova proposta em ato contínuo à classificação;</w:t>
      </w:r>
    </w:p>
    <w:p>
      <w:pPr>
        <w:jc w:val="both"/>
        <w:widowControl/>
        <w:spacing w:before="120" w:lineRule="auto" w:line="360"/>
        <w:rPr>
          <w:rFonts w:ascii="Times New Roman" w:hAnsi="Times New Roman" w:cs="Times New Roman" w:eastAsia="Times New Roman"/>
          <w:sz w:val="24"/>
          <w:color w:val="000000"/>
        </w:rPr>
      </w:pPr>
      <w:bookmarkStart w:id="21" w:name="art60ii"/>
      <w:bookmarkEnd w:id="2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avaliação do desempenho contratual prévio dos licitantes, para a qual serão ser utilizados registros cadastrais para efeito de atesto de cumprimento de obrigações decorrentes de outras contratações;</w:t>
      </w:r>
    </w:p>
    <w:p>
      <w:pPr>
        <w:jc w:val="both"/>
        <w:widowControl/>
        <w:spacing w:before="120" w:lineRule="auto" w:line="360"/>
        <w:rPr>
          <w:rFonts w:ascii="Times New Roman" w:hAnsi="Times New Roman" w:cs="Times New Roman" w:eastAsia="Times New Roman"/>
          <w:b/>
          <w:sz w:val="24"/>
          <w:color w:val="000000"/>
          <w:shd w:val="clear" w:color="auto" w:fill="FF0000"/>
        </w:rPr>
      </w:pPr>
      <w:r>
        <w:rPr>
          <w:rFonts w:ascii="Times New Roman" w:hAnsi="Times New Roman" w:cs="Times New Roman" w:eastAsia="Times New Roman"/>
          <w:b/>
          <w:sz w:val="24"/>
          <w:color w:val="000000"/>
          <w:shd w:val="clear" w:color="auto" w:fill="FF0000"/>
        </w:rPr>
        <w:t/>
      </w:r>
    </w:p>
    <w:p>
      <w:pPr>
        <w:jc w:val="both"/>
        <w:widowControl/>
        <w:spacing w:before="120" w:lineRule="auto" w:line="360"/>
        <w:rPr>
          <w:rFonts w:ascii="Times New Roman" w:hAnsi="Times New Roman" w:cs="Times New Roman" w:eastAsia="Times New Roman"/>
          <w:sz w:val="24"/>
          <w:color w:val="000000"/>
        </w:rPr>
      </w:pPr>
      <w:bookmarkStart w:id="22" w:name="art60_1"/>
      <w:bookmarkEnd w:id="22"/>
      <w:r>
        <w:rPr>
          <w:rFonts w:ascii="Times New Roman" w:hAnsi="Times New Roman" w:cs="Times New Roman" w:eastAsia="Times New Roman"/>
          <w:b/>
          <w:sz w:val="24"/>
          <w:color w:val="000000"/>
        </w:rPr>
        <w:t>11.3</w:t>
      </w:r>
      <w:r>
        <w:rPr>
          <w:rFonts w:ascii="Times New Roman" w:hAnsi="Times New Roman" w:cs="Times New Roman" w:eastAsia="Times New Roman"/>
          <w:sz w:val="24"/>
          <w:color w:val="000000"/>
        </w:rPr>
        <w:t xml:space="preserve"> Em igualdade de condições, se não houver desempate, será assegurada preferência, sucessivamente, aos bens e serviços produzidos ou prestados por:</w:t>
      </w:r>
    </w:p>
    <w:p>
      <w:pPr>
        <w:jc w:val="both"/>
        <w:widowControl/>
        <w:spacing w:before="120" w:lineRule="auto" w:line="360"/>
        <w:rPr>
          <w:rFonts w:ascii="Times New Roman" w:hAnsi="Times New Roman" w:cs="Times New Roman" w:eastAsia="Times New Roman"/>
          <w:sz w:val="24"/>
          <w:color w:val="000000"/>
        </w:rPr>
      </w:pPr>
      <w:bookmarkStart w:id="23" w:name="art60_1i"/>
      <w:bookmarkEnd w:id="2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empresas estabelecidas no território do Estado do Rio Grande do Sul;</w:t>
      </w:r>
    </w:p>
    <w:p>
      <w:pPr>
        <w:jc w:val="both"/>
        <w:widowControl/>
        <w:spacing w:before="120" w:lineRule="auto" w:line="360"/>
        <w:rPr>
          <w:rFonts w:ascii="Times New Roman" w:hAnsi="Times New Roman" w:cs="Times New Roman" w:eastAsia="Times New Roman"/>
          <w:sz w:val="24"/>
          <w:color w:val="000000"/>
        </w:rPr>
      </w:pPr>
      <w:bookmarkStart w:id="24" w:name="art60_1ii"/>
      <w:bookmarkEnd w:id="2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empresas brasileiras;</w:t>
      </w:r>
    </w:p>
    <w:p>
      <w:pPr>
        <w:jc w:val="both"/>
        <w:widowControl/>
        <w:spacing w:before="120" w:lineRule="auto" w:line="360"/>
        <w:rPr>
          <w:rFonts w:ascii="Times New Roman" w:hAnsi="Times New Roman" w:cs="Times New Roman" w:eastAsia="Times New Roman"/>
          <w:sz w:val="24"/>
          <w:color w:val="000000"/>
        </w:rPr>
      </w:pPr>
      <w:bookmarkStart w:id="25" w:name="art60_1iii"/>
      <w:bookmarkEnd w:id="25"/>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que invistam em pesquisa e no desenvolvimento de tecnologia no País;</w:t>
      </w:r>
    </w:p>
    <w:p>
      <w:pPr>
        <w:jc w:val="both"/>
        <w:widowControl/>
        <w:spacing w:before="120" w:lineRule="auto" w:line="360"/>
        <w:rPr>
          <w:rFonts w:ascii="Times New Roman" w:hAnsi="Times New Roman" w:cs="Times New Roman" w:eastAsia="Times New Roman"/>
          <w:u w:color="auto"/>
          <w:sz w:val="24"/>
          <w:color w:val="000000"/>
        </w:rPr>
      </w:pPr>
      <w:bookmarkStart w:id="26" w:name="art60_1iv"/>
      <w:bookmarkEnd w:id="2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empresas que comprovem a prática de mitigação, nos termos da </w:t>
      </w:r>
      <w:hyperlink r:id="hrId8">
        <w:r>
          <w:rPr>
            <w:rFonts w:ascii="Times New Roman" w:hAnsi="Times New Roman" w:cs="Times New Roman" w:eastAsia="Times New Roman"/>
            <w:u w:color="auto"/>
            <w:sz w:val="24"/>
            <w:color w:val="000000"/>
          </w:rPr>
          <w:t>Lei nº 12.187, de 29 de dezembro de 2009.</w:t>
        </w:r>
      </w:hyperlink>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12. NEGOCIAÇÃO E JULGAMENTO</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12.1. </w:t>
      </w:r>
      <w:r>
        <w:rPr>
          <w:rFonts w:ascii="Times New Roman" w:hAnsi="Times New Roman" w:cs="Times New Roman" w:eastAsia="Times New Roman"/>
          <w:sz w:val="24"/>
          <w:color w:val="000000"/>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12.2. </w:t>
      </w:r>
      <w:r>
        <w:rPr>
          <w:rFonts w:ascii="Times New Roman" w:hAnsi="Times New Roman" w:cs="Times New Roman" w:eastAsia="Times New Roman"/>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12.3. </w:t>
      </w:r>
      <w:r>
        <w:rPr>
          <w:rFonts w:ascii="Times New Roman" w:hAnsi="Times New Roman" w:cs="Times New Roman" w:eastAsia="Times New Roman"/>
          <w:sz w:val="24"/>
          <w:color w:val="000000"/>
        </w:rPr>
        <w:t>Encerrada a etapa de negociação, será examinada a proposta classificada em primeiro lugar quanto à adequação ao objeto e à compatibilidade do preço em relação valor de referência da Administração.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12.4. </w:t>
      </w:r>
      <w:r>
        <w:rPr>
          <w:rFonts w:ascii="Times New Roman" w:hAnsi="Times New Roman" w:cs="Times New Roman" w:eastAsia="Times New Roman"/>
          <w:sz w:val="24"/>
        </w:rPr>
        <w:t>Não serão consideradas, para julgamento das propostas, vantagens não previstas no edital.</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13. VERIFICAÇÃO DA HABILITAÇÃO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13.1. </w:t>
      </w:r>
      <w:r>
        <w:rPr>
          <w:rFonts w:ascii="Times New Roman" w:hAnsi="Times New Roman" w:cs="Times New Roman" w:eastAsia="Times New Roman"/>
          <w:sz w:val="24"/>
          <w:color w:val="000000"/>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13.2.</w:t>
      </w:r>
      <w:r>
        <w:rPr>
          <w:rFonts w:ascii="Times New Roman" w:hAnsi="Times New Roman" w:cs="Times New Roman" w:eastAsia="Times New Roman"/>
          <w:sz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13.3.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A prova de autenticidade de cópia de documento público ou particular poderá ser feita perante agente da Administração, mediante apresentação de original ou de declaração de autenticidade por advogado, sob sua responsabilidade pessoal.</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13.4. </w:t>
      </w:r>
      <w:r>
        <w:rPr>
          <w:rFonts w:ascii="Times New Roman" w:hAnsi="Times New Roman" w:cs="Times New Roman" w:eastAsia="Times New Roman"/>
          <w:sz w:val="24"/>
          <w:color w:val="000000"/>
        </w:rPr>
        <w:t xml:space="preserve">A beneficiária da Lei Complementar nº 123/2006, que tenha apresentado a declaração exigida no item 3.2.3 e 3.2.4 deste Edital e que possua alguma restrição na comprovação de regularidade fiscal e/ou trabalhista, </w:t>
      </w:r>
      <w:r>
        <w:rPr>
          <w:rFonts w:ascii="Times New Roman" w:hAnsi="Times New Roman" w:cs="Times New Roman" w:eastAsia="Times New Roman"/>
          <w:sz w:val="24"/>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13.5.</w:t>
      </w:r>
      <w:r>
        <w:rPr>
          <w:rFonts w:ascii="Times New Roman" w:hAnsi="Times New Roman" w:cs="Times New Roman" w:eastAsia="Times New Roman"/>
          <w:sz w:val="24"/>
          <w:color w:val="000000"/>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13.6. </w:t>
      </w:r>
      <w:r>
        <w:rPr>
          <w:rFonts w:ascii="Times New Roman" w:hAnsi="Times New Roman" w:cs="Times New Roman" w:eastAsia="Times New Roman"/>
          <w:sz w:val="24"/>
          <w:color w:val="000000"/>
        </w:rPr>
        <w:t>Constatado o atendimento às exigências estabelecidas no Edital, o licitante será declarado vencedor, oportunizando-se a manifestação da intenção de recurso.</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14. RECURSO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14.1. </w:t>
      </w:r>
      <w:r>
        <w:rPr>
          <w:rFonts w:ascii="Times New Roman" w:hAnsi="Times New Roman" w:cs="Times New Roman" w:eastAsia="Times New Roman"/>
          <w:sz w:val="24"/>
        </w:rPr>
        <w:t xml:space="preserve">Caberá recurso, </w:t>
      </w:r>
      <w:r>
        <w:rPr>
          <w:rFonts w:ascii="Times New Roman" w:hAnsi="Times New Roman" w:cs="Times New Roman" w:eastAsia="Times New Roman"/>
          <w:sz w:val="24"/>
          <w:color w:val="000000"/>
        </w:rPr>
        <w:t>no prazo de 3 (três) dias úteis, contado da data de intimação ou de lavratura da ata, em face de:</w:t>
      </w:r>
    </w:p>
    <w:p>
      <w:pPr>
        <w:jc w:val="both"/>
        <w:widowControl/>
        <w:spacing w:before="120" w:lineRule="auto" w:line="360"/>
        <w:rPr>
          <w:rFonts w:ascii="Times New Roman" w:hAnsi="Times New Roman" w:cs="Times New Roman" w:eastAsia="Times New Roman"/>
          <w:sz w:val="24"/>
          <w:color w:val="000000"/>
        </w:rPr>
      </w:pPr>
      <w:bookmarkStart w:id="27" w:name="art165ia"/>
      <w:bookmarkEnd w:id="27"/>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ato que defira ou indefira pedido de pré-qualificação de interessado ou de inscrição em registro cadastral, sua alteração ou cancelamento;</w:t>
      </w:r>
    </w:p>
    <w:p>
      <w:pPr>
        <w:jc w:val="both"/>
        <w:widowControl/>
        <w:spacing w:before="120" w:lineRule="auto" w:line="360"/>
        <w:rPr>
          <w:rFonts w:ascii="Times New Roman" w:hAnsi="Times New Roman" w:cs="Times New Roman" w:eastAsia="Times New Roman"/>
          <w:sz w:val="24"/>
          <w:color w:val="000000"/>
        </w:rPr>
      </w:pPr>
      <w:bookmarkStart w:id="28" w:name="art165ib"/>
      <w:bookmarkEnd w:id="28"/>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julgamento das propostas;</w:t>
      </w:r>
    </w:p>
    <w:p>
      <w:pPr>
        <w:jc w:val="both"/>
        <w:widowControl/>
        <w:spacing w:before="120" w:lineRule="auto" w:line="360"/>
        <w:rPr>
          <w:rFonts w:ascii="Times New Roman" w:hAnsi="Times New Roman" w:cs="Times New Roman" w:eastAsia="Times New Roman"/>
          <w:sz w:val="24"/>
          <w:color w:val="000000"/>
        </w:rPr>
      </w:pPr>
      <w:bookmarkStart w:id="29" w:name="art165ic"/>
      <w:bookmarkEnd w:id="29"/>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ato de habilitação ou inabilitação de licitante;</w:t>
      </w:r>
    </w:p>
    <w:p>
      <w:pPr>
        <w:jc w:val="both"/>
        <w:widowControl/>
        <w:spacing w:before="120" w:lineRule="auto" w:line="360"/>
        <w:rPr>
          <w:rFonts w:ascii="Times New Roman" w:hAnsi="Times New Roman" w:cs="Times New Roman" w:eastAsia="Times New Roman"/>
          <w:sz w:val="24"/>
          <w:color w:val="000000"/>
        </w:rPr>
      </w:pPr>
      <w:bookmarkStart w:id="30" w:name="art165id"/>
      <w:bookmarkEnd w:id="30"/>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anulação ou revogação da licitação.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14.2.</w:t>
      </w:r>
      <w:r>
        <w:rPr>
          <w:rFonts w:ascii="Times New Roman" w:hAnsi="Times New Roman" w:cs="Times New Roman" w:eastAsia="Times New Roman"/>
          <w:sz w:val="24"/>
          <w:color w:val="000000"/>
        </w:rPr>
        <w:t xml:space="preserve"> O prazo para apresentação de contrarrazões será o mesmo do recurso e terá início na data de intimação pessoal ou de divulgação da interposição do recurso.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14.3.</w:t>
      </w:r>
      <w:r>
        <w:rPr>
          <w:rFonts w:ascii="Times New Roman" w:hAnsi="Times New Roman" w:cs="Times New Roman" w:eastAsia="Times New Roman"/>
          <w:sz w:val="24"/>
          <w:color w:val="000000"/>
        </w:rPr>
        <w:t xml:space="preserve"> Quanto ao recurso apresentado em virtude do disposto nas alíneas “b” e “c” do item 14.1 do presente Edital, serão observadas as seguintes disposições:</w:t>
      </w:r>
    </w:p>
    <w:p>
      <w:pPr>
        <w:jc w:val="both"/>
        <w:widowControl/>
        <w:spacing w:before="120" w:lineRule="auto" w:line="360"/>
        <w:rPr>
          <w:rFonts w:ascii="Times New Roman" w:hAnsi="Times New Roman" w:cs="Times New Roman" w:eastAsia="Times New Roman"/>
          <w:sz w:val="24"/>
          <w:color w:val="000000"/>
        </w:rPr>
      </w:pPr>
      <w:bookmarkStart w:id="31" w:name="art165_1i"/>
      <w:bookmarkEnd w:id="31"/>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 intenção de recorrer deverá ser manifestada imediatamente, sob pena de preclusão, e o prazo para apresentação das razões recursais será iniciado na data de intimação ou de lavratura da ata de habilitação ou inabilitação;</w:t>
      </w:r>
    </w:p>
    <w:p>
      <w:pPr>
        <w:jc w:val="both"/>
        <w:widowControl/>
        <w:spacing w:before="120" w:lineRule="auto" w:line="360"/>
        <w:rPr>
          <w:rFonts w:ascii="Times New Roman" w:hAnsi="Times New Roman" w:cs="Times New Roman" w:eastAsia="Times New Roman"/>
          <w:sz w:val="24"/>
          <w:color w:val="000000"/>
        </w:rPr>
      </w:pPr>
      <w:bookmarkStart w:id="32" w:name="art165_1ii"/>
      <w:bookmarkEnd w:id="32"/>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 apreciação dar-se-á em fase única.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14.4.</w:t>
      </w:r>
      <w:r>
        <w:rPr>
          <w:rFonts w:ascii="Times New Roman" w:hAnsi="Times New Roman" w:cs="Times New Roman" w:eastAsia="Times New Roman"/>
          <w:sz w:val="24"/>
          <w:color w:val="000000"/>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14.5.</w:t>
      </w:r>
      <w:r>
        <w:rPr>
          <w:rFonts w:ascii="Times New Roman" w:hAnsi="Times New Roman" w:cs="Times New Roman" w:eastAsia="Times New Roman"/>
          <w:sz w:val="24"/>
          <w:color w:val="000000"/>
        </w:rPr>
        <w:t xml:space="preserve"> O acolhimento do recurso implicará invalidação apenas de ato insuscetível de aproveitamento.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14.6.</w:t>
      </w:r>
      <w:r>
        <w:rPr>
          <w:rFonts w:ascii="Times New Roman" w:hAnsi="Times New Roman" w:cs="Times New Roman" w:eastAsia="Times New Roman"/>
          <w:sz w:val="24"/>
          <w:color w:val="000000"/>
        </w:rPr>
        <w:t xml:space="preserve"> O recurso interposto dará efeito suspensivo ao ato ou à decisão recorrida, até que sobrevenha decisão final da autoridade competente.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bookmarkStart w:id="33" w:name="art165ie"/>
      <w:bookmarkEnd w:id="33"/>
      <w:r>
        <w:rPr>
          <w:rFonts w:ascii="Times New Roman" w:hAnsi="Times New Roman" w:cs="Times New Roman" w:eastAsia="Times New Roman"/>
          <w:b/>
          <w:sz w:val="24"/>
        </w:rPr>
        <w:t>15. ENCERRAMENTO DA LICITAÇÃO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15.1.</w:t>
      </w:r>
      <w:r>
        <w:rPr>
          <w:rFonts w:ascii="Times New Roman" w:hAnsi="Times New Roman" w:cs="Times New Roman" w:eastAsia="Times New Roman"/>
          <w:sz w:val="24"/>
          <w:color w:val="000000"/>
        </w:rPr>
        <w:t xml:space="preserve"> Encerradas as fases de julgamento e habilitação, e exauridos os recursos administrativos, o processo licitatório será encaminhado à autoridade superior, que poderá:</w:t>
      </w:r>
    </w:p>
    <w:p>
      <w:pPr>
        <w:jc w:val="both"/>
        <w:widowControl/>
        <w:spacing w:before="120" w:lineRule="auto" w:line="360"/>
        <w:rPr>
          <w:rFonts w:ascii="Times New Roman" w:hAnsi="Times New Roman" w:cs="Times New Roman" w:eastAsia="Times New Roman"/>
          <w:sz w:val="24"/>
          <w:color w:val="000000"/>
        </w:rPr>
      </w:pPr>
      <w:bookmarkStart w:id="34" w:name="art71i"/>
      <w:bookmarkEnd w:id="34"/>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determinar o retorno dos autos para saneamento de irregularidades;</w:t>
      </w:r>
    </w:p>
    <w:p>
      <w:pPr>
        <w:jc w:val="both"/>
        <w:widowControl/>
        <w:spacing w:before="120" w:lineRule="auto" w:line="360"/>
        <w:rPr>
          <w:rFonts w:ascii="Times New Roman" w:hAnsi="Times New Roman" w:cs="Times New Roman" w:eastAsia="Times New Roman"/>
          <w:sz w:val="24"/>
          <w:color w:val="000000"/>
        </w:rPr>
      </w:pPr>
      <w:bookmarkStart w:id="35" w:name="art71ii"/>
      <w:bookmarkEnd w:id="35"/>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revogar a licitação por motivo de conveniência e oportunidade;</w:t>
      </w:r>
    </w:p>
    <w:p>
      <w:pPr>
        <w:jc w:val="both"/>
        <w:widowControl/>
        <w:spacing w:before="120" w:lineRule="auto" w:line="360"/>
        <w:rPr>
          <w:rFonts w:ascii="Times New Roman" w:hAnsi="Times New Roman" w:cs="Times New Roman" w:eastAsia="Times New Roman"/>
          <w:sz w:val="24"/>
          <w:color w:val="000000"/>
        </w:rPr>
      </w:pPr>
      <w:bookmarkStart w:id="36" w:name="art71iii"/>
      <w:bookmarkEnd w:id="36"/>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proceder à anulação da licitação, de ofício ou mediante provocação de terceiros, sempre que presente ilegalidade insanável;</w:t>
      </w:r>
    </w:p>
    <w:p>
      <w:pPr>
        <w:jc w:val="both"/>
        <w:widowControl/>
        <w:spacing w:before="120" w:lineRule="auto" w:line="360"/>
        <w:rPr>
          <w:rFonts w:ascii="Times New Roman" w:hAnsi="Times New Roman" w:cs="Times New Roman" w:eastAsia="Times New Roman"/>
          <w:sz w:val="24"/>
          <w:color w:val="000000"/>
        </w:rPr>
      </w:pPr>
      <w:bookmarkStart w:id="37" w:name="art71iv"/>
      <w:bookmarkEnd w:id="37"/>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adjudicar o objeto e homologar a licitação.</w:t>
      </w:r>
    </w:p>
    <w:p>
      <w:pPr>
        <w:jc w:val="both"/>
        <w:widowControl/>
        <w:spacing w:before="120" w:lineRule="auto" w:line="360"/>
        <w:tabs>
          <w:tab w:val="left" w:pos="1134"/>
        </w:tabs>
        <w:rPr>
          <w:rFonts w:ascii="Times New Roman" w:hAnsi="Times New Roman" w:cs="Times New Roman" w:eastAsia="Times New Roman"/>
          <w:b/>
          <w:sz w:val="24"/>
          <w:color w:val="000000"/>
        </w:rPr>
      </w:pPr>
      <w:bookmarkStart w:id="38" w:name="art71_1"/>
      <w:bookmarkEnd w:id="38"/>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16. CONDIÇÕES DE CONTRATAÇÃO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16.1.</w:t>
      </w:r>
      <w:r>
        <w:rPr>
          <w:rFonts w:ascii="Times New Roman" w:hAnsi="Times New Roman" w:cs="Times New Roman" w:eastAsia="Times New Roman"/>
          <w:sz w:val="24"/>
          <w:color w:val="000000"/>
        </w:rPr>
        <w:t xml:space="preserve"> O licitante vencedor será convocado para assinar o termo de contrato ou para aceitar ou retirar o instrumento equivalente, dentro do prazo de 5 dias, sob pena de decair o direito à contratação, sem prejuízo das sanções previstas neste Edital.</w:t>
      </w:r>
    </w:p>
    <w:p>
      <w:pPr>
        <w:jc w:val="both"/>
        <w:widowControl/>
        <w:spacing w:before="120" w:lineRule="auto" w:line="360"/>
        <w:rPr>
          <w:rFonts w:ascii="Times New Roman" w:hAnsi="Times New Roman" w:cs="Times New Roman" w:eastAsia="Times New Roman"/>
          <w:sz w:val="24"/>
          <w:color w:val="000000"/>
        </w:rPr>
      </w:pPr>
      <w:bookmarkStart w:id="39" w:name="art90_1"/>
      <w:bookmarkEnd w:id="39"/>
      <w:r>
        <w:rPr>
          <w:rFonts w:ascii="Times New Roman" w:hAnsi="Times New Roman" w:cs="Times New Roman" w:eastAsia="Times New Roman"/>
          <w:b/>
          <w:sz w:val="24"/>
          <w:color w:val="000000"/>
        </w:rPr>
        <w:t>16.2.</w:t>
      </w:r>
      <w:r>
        <w:rPr>
          <w:rFonts w:ascii="Times New Roman" w:hAnsi="Times New Roman" w:cs="Times New Roman" w:eastAsia="Times New Roman"/>
          <w:sz w:val="24"/>
          <w:color w:val="000000"/>
        </w:rPr>
        <w:t xml:space="preserve"> O prazo de convocação poderá ser prorrogado 1 (uma) vez, por igual período, mediante solicitação da parte, durante seu transcurso, devidamente justificada, e desde que o motivo apresentado seja aceito pela Administração.</w:t>
      </w:r>
    </w:p>
    <w:p>
      <w:pPr>
        <w:jc w:val="both"/>
        <w:widowControl/>
        <w:spacing w:before="120" w:lineRule="auto" w:line="360"/>
        <w:rPr>
          <w:rFonts w:ascii="Times New Roman" w:hAnsi="Times New Roman" w:cs="Times New Roman" w:eastAsia="Times New Roman"/>
          <w:sz w:val="24"/>
          <w:color w:val="000000"/>
        </w:rPr>
      </w:pPr>
      <w:bookmarkStart w:id="40" w:name="art90_2"/>
      <w:bookmarkEnd w:id="40"/>
      <w:r>
        <w:rPr>
          <w:rFonts w:ascii="Times New Roman" w:hAnsi="Times New Roman" w:cs="Times New Roman" w:eastAsia="Times New Roman"/>
          <w:b/>
          <w:sz w:val="24"/>
          <w:color w:val="000000"/>
        </w:rPr>
        <w:t>16.3.</w:t>
      </w:r>
      <w:r>
        <w:rPr>
          <w:rFonts w:ascii="Times New Roman" w:hAnsi="Times New Roman" w:cs="Times New Roman" w:eastAsia="Times New Roman"/>
          <w:sz w:val="24"/>
          <w:color w:val="00000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pPr>
        <w:jc w:val="both"/>
        <w:widowControl/>
        <w:spacing w:before="120" w:lineRule="auto" w:line="360"/>
        <w:rPr>
          <w:rFonts w:ascii="Times New Roman" w:hAnsi="Times New Roman" w:cs="Times New Roman" w:eastAsia="Times New Roman"/>
          <w:sz w:val="24"/>
          <w:color w:val="000000"/>
        </w:rPr>
      </w:pPr>
      <w:bookmarkStart w:id="41" w:name="art90_3"/>
      <w:bookmarkEnd w:id="41"/>
      <w:r>
        <w:rPr>
          <w:rFonts w:ascii="Times New Roman" w:hAnsi="Times New Roman" w:cs="Times New Roman" w:eastAsia="Times New Roman"/>
          <w:b/>
          <w:sz w:val="24"/>
          <w:color w:val="000000"/>
        </w:rPr>
        <w:t>16.4.</w:t>
      </w:r>
      <w:r>
        <w:rPr>
          <w:rFonts w:ascii="Times New Roman" w:hAnsi="Times New Roman" w:cs="Times New Roman" w:eastAsia="Times New Roman"/>
          <w:sz w:val="24"/>
          <w:color w:val="000000"/>
        </w:rPr>
        <w:t xml:space="preserve"> Decorrido o prazo de validade da proposta indicado no item 4.1 deste Edital, sem convocação para a contratação, ficarão os licitantes liberados dos compromissos assumidos.</w:t>
      </w:r>
    </w:p>
    <w:p>
      <w:pPr>
        <w:jc w:val="both"/>
        <w:widowControl/>
        <w:spacing w:before="120" w:lineRule="auto" w:line="360"/>
        <w:rPr>
          <w:rFonts w:ascii="Times New Roman" w:hAnsi="Times New Roman" w:cs="Times New Roman" w:eastAsia="Times New Roman"/>
          <w:sz w:val="24"/>
          <w:color w:val="000000"/>
        </w:rPr>
      </w:pPr>
      <w:bookmarkStart w:id="42" w:name="art90_4"/>
      <w:bookmarkEnd w:id="42"/>
      <w:r>
        <w:rPr>
          <w:rFonts w:ascii="Times New Roman" w:hAnsi="Times New Roman" w:cs="Times New Roman" w:eastAsia="Times New Roman"/>
          <w:b/>
          <w:sz w:val="24"/>
          <w:color w:val="000000"/>
        </w:rPr>
        <w:t>16.5.</w:t>
      </w:r>
      <w:r>
        <w:rPr>
          <w:rFonts w:ascii="Times New Roman" w:hAnsi="Times New Roman" w:cs="Times New Roman" w:eastAsia="Times New Roman"/>
          <w:sz w:val="24"/>
          <w:color w:val="000000"/>
        </w:rPr>
        <w:t xml:space="preserve"> Na hipótese de nenhum dos licitantes aceitar a contratação, nos termos do 16.3 deste Edital, a Administração, observados o valor estimado e sua eventual atualização nos termos do edital, poderá:</w:t>
      </w:r>
    </w:p>
    <w:p>
      <w:pPr>
        <w:jc w:val="both"/>
        <w:widowControl/>
        <w:spacing w:before="120" w:lineRule="auto" w:line="360"/>
        <w:rPr>
          <w:rFonts w:ascii="Times New Roman" w:hAnsi="Times New Roman" w:cs="Times New Roman" w:eastAsia="Times New Roman"/>
          <w:sz w:val="24"/>
          <w:color w:val="000000"/>
        </w:rPr>
      </w:pPr>
      <w:bookmarkStart w:id="43" w:name="art90_4i"/>
      <w:bookmarkEnd w:id="4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convocar os licitantes remanescentes para negociação, na ordem de classificação, com vistas à obtenção de preço melhor, mesmo que acima do preço do adjudicatário;</w:t>
      </w:r>
    </w:p>
    <w:p>
      <w:pPr>
        <w:jc w:val="both"/>
        <w:widowControl/>
        <w:spacing w:before="120" w:lineRule="auto" w:line="360"/>
        <w:rPr>
          <w:rFonts w:ascii="Times New Roman" w:hAnsi="Times New Roman" w:cs="Times New Roman" w:eastAsia="Times New Roman"/>
          <w:sz w:val="24"/>
          <w:color w:val="000000"/>
        </w:rPr>
      </w:pPr>
      <w:bookmarkStart w:id="44" w:name="art90_4ii"/>
      <w:bookmarkEnd w:id="4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adjudicar e celebrar o contrato nas condições ofertadas pelos licitantes remanescentes, atendida a ordem classificatória, quando frustrada a negociação de melhor condição.</w:t>
      </w:r>
    </w:p>
    <w:p>
      <w:pPr>
        <w:jc w:val="both"/>
        <w:widowControl/>
        <w:spacing w:before="120" w:lineRule="auto" w:line="360"/>
        <w:rPr>
          <w:rFonts w:ascii="Times New Roman" w:hAnsi="Times New Roman" w:cs="Times New Roman" w:eastAsia="Times New Roman"/>
          <w:sz w:val="24"/>
          <w:color w:val="000000"/>
        </w:rPr>
      </w:pPr>
      <w:bookmarkStart w:id="45" w:name="art90_5"/>
      <w:bookmarkEnd w:id="45"/>
      <w:r>
        <w:rPr>
          <w:rFonts w:ascii="Times New Roman" w:hAnsi="Times New Roman" w:cs="Times New Roman" w:eastAsia="Times New Roman"/>
          <w:b/>
          <w:sz w:val="24"/>
          <w:color w:val="000000"/>
        </w:rPr>
        <w:t>16.6.</w:t>
      </w:r>
      <w:r>
        <w:rPr>
          <w:rFonts w:ascii="Times New Roman" w:hAnsi="Times New Roman" w:cs="Times New Roman" w:eastAsia="Times New Roman"/>
          <w:sz w:val="24"/>
          <w:color w:val="00000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xml:space="preserve">17. VIGÊNCIA DO CONTRATO </w:t>
      </w:r>
    </w:p>
    <w:p>
      <w:pPr>
        <w:jc w:val="both"/>
        <w:widowControl/>
        <w:rPr>
          <w:rFonts w:ascii="Times New Roman" w:hAnsi="Times New Roman" w:cs="Times New Roman" w:eastAsia="Times New Roman"/>
          <w:sz w:val="24"/>
        </w:rPr>
      </w:pPr>
      <w:r>
        <w:rPr>
          <w:rFonts w:ascii="Times New Roman" w:hAnsi="Times New Roman" w:cs="Times New Roman" w:eastAsia="Times New Roman"/>
          <w:b/>
          <w:sz w:val="24"/>
        </w:rPr>
        <w:t>17.1.</w:t>
      </w:r>
      <w:r>
        <w:rPr>
          <w:rFonts w:ascii="Times New Roman" w:hAnsi="Times New Roman" w:cs="Times New Roman" w:eastAsia="Times New Roman"/>
          <w:sz w:val="24"/>
        </w:rPr>
        <w:t xml:space="preserve"> O termo inicial do contrato será o de sua assinatura e o final ocorrerá ao final do exercício vigente.</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18. PRAZOS E CONDIÇÕES DE PAGAMENTO</w:t>
      </w:r>
    </w:p>
    <w:p>
      <w:pPr>
        <w:jc w:val="both"/>
        <w:widowControl/>
        <w:spacing w:before="120" w:lineRule="auto" w:line="360"/>
        <w:tabs>
          <w:tab w:val="left" w:pos="1134"/>
        </w:tabs>
        <w:rPr>
          <w:rFonts w:ascii="Times New Roman" w:hAnsi="Times New Roman" w:cs="Times New Roman" w:eastAsia="Times New Roman"/>
        </w:rPr>
      </w:pPr>
      <w:r>
        <w:rPr>
          <w:rFonts w:ascii="Times New Roman" w:hAnsi="Times New Roman" w:cs="Times New Roman" w:eastAsia="Times New Roman"/>
          <w:b/>
          <w:sz w:val="24"/>
        </w:rPr>
        <w:t>18.1.</w:t>
      </w:r>
      <w:r>
        <w:rPr>
          <w:rFonts w:ascii="Times New Roman" w:hAnsi="Times New Roman" w:cs="Times New Roman" w:eastAsia="Times New Roman"/>
          <w:sz w:val="24"/>
        </w:rPr>
        <w:t xml:space="preserve"> O pagamento será efetuado contra empenho, após o recebimento do objeto, e mediante apresentação da Nota Fiscal/Fatura, correndo a despesa na seguinte dotação orçamentária: </w:t>
      </w:r>
      <w:r>
        <w:rPr>
          <w:rFonts w:ascii="Times New Roman" w:hAnsi="Times New Roman" w:cs="Times New Roman" w:eastAsia="Times New Roman"/>
        </w:rPr>
        <w:t>01/08/03 - RECURSOS DE PROGRAMAS ESTADUAIS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10.301.0107.2084.0000 - EXECUÇÃO DO BLOCO DE ATENÇÃO BÁSICA</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4.4.90.52.08 - APARELHOS, EQUIPAMENTOS E UTENSILIOS MEDICOS, ODONTOLOGICOS,; 4.4.90.52.35 - MATERIAL DE T.I.C. (PERMANENTE)</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Ficha - 619</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18.2. </w:t>
      </w:r>
      <w:r>
        <w:rPr>
          <w:rFonts w:ascii="Times New Roman" w:hAnsi="Times New Roman" w:cs="Times New Roman" w:eastAsia="Times New Roman"/>
          <w:sz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18.3. </w:t>
      </w:r>
      <w:r>
        <w:rPr>
          <w:rFonts w:ascii="Times New Roman" w:hAnsi="Times New Roman" w:cs="Times New Roman" w:eastAsia="Times New Roman"/>
          <w:sz w:val="24"/>
        </w:rPr>
        <w:t xml:space="preserve">O pagamento será efetuado no prazo de máximo de </w:t>
      </w:r>
      <w:r>
        <w:rPr>
          <w:rFonts w:ascii="Times New Roman" w:hAnsi="Times New Roman" w:cs="Times New Roman" w:eastAsia="Times New Roman"/>
          <w:i/>
          <w:sz w:val="24"/>
        </w:rPr>
        <w:t>em até 30 dias após a entrega dos produtosda</w:t>
      </w:r>
      <w:r>
        <w:rPr>
          <w:rFonts w:ascii="Times New Roman" w:hAnsi="Times New Roman" w:cs="Times New Roman" w:eastAsia="Times New Roman"/>
          <w:sz w:val="24"/>
        </w:rPr>
        <w:t xml:space="preserve"> entrega total do(s) produto(s).</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19. RECEBIMENTO DO OBJETO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O prazo de entrega integral dos produtos é de em até 30 dias após a solicitação dos produtos, a contar da emissão da ordem de fornecimento.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19.2. </w:t>
      </w:r>
      <w:r>
        <w:rPr>
          <w:rFonts w:ascii="Times New Roman" w:hAnsi="Times New Roman" w:cs="Times New Roman" w:eastAsia="Times New Roman"/>
          <w:sz w:val="24"/>
        </w:rPr>
        <w:t>Os materiais deverão ser entregues no Almoxarifado Central, sito na Rua Isidoro Eisenberg, s/n, no horário das 08:00 às 12:00 e das 13:00 às 17:00.</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Verificada a desconformidade de algum dos produtos, a licitante vencedora deverá promover as correções necessárias no prazo máximo de 10 dias, sujeitando-se às penalidades previstas neste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19.4.</w:t>
      </w:r>
      <w:r>
        <w:rPr>
          <w:rFonts w:ascii="Times New Roman" w:hAnsi="Times New Roman" w:cs="Times New Roman" w:eastAsia="Times New Roman"/>
          <w:sz w:val="24"/>
        </w:rPr>
        <w:t xml:space="preserve"> O material a ser entregue deverá ser adequadamente acondicionado, de forma a permitir a completa preservação do mesmo e sua segurança durante o transporte.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19.5.</w:t>
      </w:r>
      <w:r>
        <w:rPr>
          <w:rFonts w:ascii="Times New Roman" w:hAnsi="Times New Roman" w:cs="Times New Roman" w:eastAsia="Times New Roman"/>
          <w:sz w:val="24"/>
        </w:rPr>
        <w:t xml:space="preserve"> A nota fiscal/fatura deverá, obrigatoriamente, ser entregue junto com o seu objeto.</w:t>
      </w:r>
    </w:p>
    <w:p>
      <w:pPr>
        <w:jc w:val="both"/>
        <w:widowControl/>
        <w:ind w:firstLine="1418"/>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20. SANÇÕES ADMINISTRATIVAS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20.1.</w:t>
      </w:r>
      <w:r>
        <w:rPr>
          <w:rFonts w:ascii="Times New Roman" w:hAnsi="Times New Roman" w:cs="Times New Roman" w:eastAsia="Times New Roman"/>
          <w:b/>
          <w:sz w:val="24"/>
          <w:color w:val="000000"/>
        </w:rPr>
        <w:t> </w:t>
      </w:r>
      <w:r>
        <w:rPr>
          <w:rFonts w:ascii="Times New Roman" w:hAnsi="Times New Roman" w:cs="Times New Roman" w:eastAsia="Times New Roman"/>
          <w:sz w:val="24"/>
          <w:color w:val="000000"/>
        </w:rPr>
        <w:t>O licitante ou o contratado será responsabilizado administrativamente pelas seguintes infrações:</w:t>
      </w:r>
    </w:p>
    <w:p>
      <w:pPr>
        <w:jc w:val="both"/>
        <w:widowControl/>
        <w:spacing w:before="120" w:lineRule="auto" w:line="360"/>
        <w:rPr>
          <w:rFonts w:ascii="Times New Roman" w:hAnsi="Times New Roman" w:cs="Times New Roman" w:eastAsia="Times New Roman"/>
          <w:sz w:val="24"/>
          <w:color w:val="000000"/>
        </w:rPr>
      </w:pPr>
      <w:bookmarkStart w:id="46" w:name="art155i"/>
      <w:bookmarkEnd w:id="46"/>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dar causa à inexecução parcial do contrato;</w:t>
      </w:r>
    </w:p>
    <w:p>
      <w:pPr>
        <w:jc w:val="both"/>
        <w:widowControl/>
        <w:spacing w:before="120" w:lineRule="auto" w:line="360"/>
        <w:rPr>
          <w:rFonts w:ascii="Times New Roman" w:hAnsi="Times New Roman" w:cs="Times New Roman" w:eastAsia="Times New Roman"/>
          <w:sz w:val="24"/>
          <w:color w:val="000000"/>
        </w:rPr>
      </w:pPr>
      <w:bookmarkStart w:id="47" w:name="art155ii"/>
      <w:bookmarkEnd w:id="47"/>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dar causa à inexecução parcial do contrato que cause grave dano à Administração, ao funcionamento dos serviços públicos ou ao interesse coletivo;</w:t>
      </w:r>
    </w:p>
    <w:p>
      <w:pPr>
        <w:jc w:val="both"/>
        <w:widowControl/>
        <w:spacing w:before="120" w:lineRule="auto" w:line="360"/>
        <w:rPr>
          <w:rFonts w:ascii="Times New Roman" w:hAnsi="Times New Roman" w:cs="Times New Roman" w:eastAsia="Times New Roman"/>
          <w:sz w:val="24"/>
          <w:color w:val="000000"/>
        </w:rPr>
      </w:pPr>
      <w:bookmarkStart w:id="48" w:name="art155iii"/>
      <w:bookmarkEnd w:id="48"/>
      <w:r>
        <w:rPr>
          <w:rFonts w:ascii="Times New Roman" w:hAnsi="Times New Roman" w:cs="Times New Roman" w:eastAsia="Times New Roman"/>
          <w:b/>
          <w:sz w:val="24"/>
          <w:color w:val="000000"/>
        </w:rPr>
        <w:t xml:space="preserve">c) </w:t>
      </w:r>
      <w:r>
        <w:rPr>
          <w:rFonts w:ascii="Times New Roman" w:hAnsi="Times New Roman" w:cs="Times New Roman" w:eastAsia="Times New Roman"/>
          <w:sz w:val="24"/>
          <w:color w:val="000000"/>
        </w:rPr>
        <w:t>dar causa à inexecução total do contrato;</w:t>
      </w:r>
    </w:p>
    <w:p>
      <w:pPr>
        <w:jc w:val="both"/>
        <w:widowControl/>
        <w:spacing w:before="120" w:lineRule="auto" w:line="360"/>
        <w:rPr>
          <w:rFonts w:ascii="Times New Roman" w:hAnsi="Times New Roman" w:cs="Times New Roman" w:eastAsia="Times New Roman"/>
          <w:sz w:val="24"/>
          <w:color w:val="000000"/>
        </w:rPr>
      </w:pPr>
      <w:bookmarkStart w:id="49" w:name="art155iv"/>
      <w:bookmarkEnd w:id="49"/>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deixar de entregar a documentação exigida para o certame;</w:t>
      </w:r>
    </w:p>
    <w:p>
      <w:pPr>
        <w:jc w:val="both"/>
        <w:widowControl/>
        <w:spacing w:before="120" w:lineRule="auto" w:line="360"/>
        <w:rPr>
          <w:rFonts w:ascii="Times New Roman" w:hAnsi="Times New Roman" w:cs="Times New Roman" w:eastAsia="Times New Roman"/>
          <w:sz w:val="24"/>
          <w:color w:val="000000"/>
        </w:rPr>
      </w:pPr>
      <w:bookmarkStart w:id="50" w:name="art155v"/>
      <w:bookmarkEnd w:id="50"/>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não manter a proposta, salvo em decorrência de fato superveniente devidamente justificado;</w:t>
      </w:r>
    </w:p>
    <w:p>
      <w:pPr>
        <w:jc w:val="both"/>
        <w:widowControl/>
        <w:spacing w:before="120" w:lineRule="auto" w:line="360"/>
        <w:rPr>
          <w:rFonts w:ascii="Times New Roman" w:hAnsi="Times New Roman" w:cs="Times New Roman" w:eastAsia="Times New Roman"/>
          <w:sz w:val="24"/>
          <w:color w:val="000000"/>
        </w:rPr>
      </w:pPr>
      <w:bookmarkStart w:id="51" w:name="art155vi"/>
      <w:bookmarkEnd w:id="51"/>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não celebrar o contrato ou não entregar a documentação exigida para a contratação, quando convocado dentro do prazo de validade de sua proposta;</w:t>
      </w:r>
    </w:p>
    <w:p>
      <w:pPr>
        <w:jc w:val="both"/>
        <w:widowControl/>
        <w:spacing w:before="120" w:lineRule="auto" w:line="360"/>
        <w:rPr>
          <w:rFonts w:ascii="Times New Roman" w:hAnsi="Times New Roman" w:cs="Times New Roman" w:eastAsia="Times New Roman"/>
          <w:sz w:val="24"/>
          <w:color w:val="000000"/>
        </w:rPr>
      </w:pPr>
      <w:bookmarkStart w:id="52" w:name="art155vii"/>
      <w:bookmarkEnd w:id="52"/>
      <w:r>
        <w:rPr>
          <w:rFonts w:ascii="Times New Roman" w:hAnsi="Times New Roman" w:cs="Times New Roman" w:eastAsia="Times New Roman"/>
          <w:b/>
          <w:sz w:val="24"/>
          <w:color w:val="000000"/>
        </w:rPr>
        <w:t>g)</w:t>
      </w:r>
      <w:r>
        <w:rPr>
          <w:rFonts w:ascii="Times New Roman" w:hAnsi="Times New Roman" w:cs="Times New Roman" w:eastAsia="Times New Roman"/>
          <w:sz w:val="24"/>
          <w:color w:val="000000"/>
        </w:rPr>
        <w:t xml:space="preserve"> ensejar o retardamento da execução ou da entrega do objeto da licitação sem motivo justificado;</w:t>
      </w:r>
    </w:p>
    <w:p>
      <w:pPr>
        <w:jc w:val="both"/>
        <w:widowControl/>
        <w:spacing w:before="120" w:lineRule="auto" w:line="360"/>
        <w:rPr>
          <w:rFonts w:ascii="Times New Roman" w:hAnsi="Times New Roman" w:cs="Times New Roman" w:eastAsia="Times New Roman"/>
          <w:sz w:val="24"/>
          <w:color w:val="000000"/>
        </w:rPr>
      </w:pPr>
      <w:bookmarkStart w:id="53" w:name="art155viii"/>
      <w:bookmarkEnd w:id="53"/>
      <w:r>
        <w:rPr>
          <w:rFonts w:ascii="Times New Roman" w:hAnsi="Times New Roman" w:cs="Times New Roman" w:eastAsia="Times New Roman"/>
          <w:b/>
          <w:sz w:val="24"/>
          <w:color w:val="000000"/>
        </w:rPr>
        <w:t>h)</w:t>
      </w:r>
      <w:r>
        <w:rPr>
          <w:rFonts w:ascii="Times New Roman" w:hAnsi="Times New Roman" w:cs="Times New Roman" w:eastAsia="Times New Roman"/>
          <w:sz w:val="24"/>
          <w:color w:val="000000"/>
        </w:rPr>
        <w:t xml:space="preserve"> apresentar declaração ou documentação falsa exigida para o certame ou prestar declaração falsa durante a licitação ou a execução do contrato;</w:t>
      </w:r>
    </w:p>
    <w:p>
      <w:pPr>
        <w:jc w:val="both"/>
        <w:widowControl/>
        <w:spacing w:before="120" w:lineRule="auto" w:line="360"/>
        <w:rPr>
          <w:rFonts w:ascii="Times New Roman" w:hAnsi="Times New Roman" w:cs="Times New Roman" w:eastAsia="Times New Roman"/>
          <w:sz w:val="24"/>
          <w:color w:val="000000"/>
        </w:rPr>
      </w:pPr>
      <w:bookmarkStart w:id="54" w:name="art155ix"/>
      <w:bookmarkEnd w:id="54"/>
      <w:r>
        <w:rPr>
          <w:rFonts w:ascii="Times New Roman" w:hAnsi="Times New Roman" w:cs="Times New Roman" w:eastAsia="Times New Roman"/>
          <w:b/>
          <w:sz w:val="24"/>
          <w:color w:val="000000"/>
        </w:rPr>
        <w:t>i)</w:t>
      </w:r>
      <w:r>
        <w:rPr>
          <w:rFonts w:ascii="Times New Roman" w:hAnsi="Times New Roman" w:cs="Times New Roman" w:eastAsia="Times New Roman"/>
          <w:sz w:val="24"/>
          <w:color w:val="000000"/>
        </w:rPr>
        <w:t xml:space="preserve"> fraudar a licitação ou praticar ato fraudulento na execução do contrato;</w:t>
      </w:r>
    </w:p>
    <w:p>
      <w:pPr>
        <w:jc w:val="both"/>
        <w:widowControl/>
        <w:spacing w:before="120" w:lineRule="auto" w:line="360"/>
        <w:rPr>
          <w:rFonts w:ascii="Times New Roman" w:hAnsi="Times New Roman" w:cs="Times New Roman" w:eastAsia="Times New Roman"/>
          <w:sz w:val="24"/>
          <w:color w:val="000000"/>
        </w:rPr>
      </w:pPr>
      <w:bookmarkStart w:id="55" w:name="art155x"/>
      <w:bookmarkEnd w:id="55"/>
      <w:r>
        <w:rPr>
          <w:rFonts w:ascii="Times New Roman" w:hAnsi="Times New Roman" w:cs="Times New Roman" w:eastAsia="Times New Roman"/>
          <w:b/>
          <w:sz w:val="24"/>
          <w:color w:val="000000"/>
        </w:rPr>
        <w:t>j)</w:t>
      </w:r>
      <w:r>
        <w:rPr>
          <w:rFonts w:ascii="Times New Roman" w:hAnsi="Times New Roman" w:cs="Times New Roman" w:eastAsia="Times New Roman"/>
          <w:sz w:val="24"/>
          <w:color w:val="000000"/>
        </w:rPr>
        <w:t xml:space="preserve"> comportar-se de modo inidôneo ou cometer fraude de qualquer natureza;</w:t>
      </w:r>
    </w:p>
    <w:p>
      <w:pPr>
        <w:jc w:val="both"/>
        <w:widowControl/>
        <w:spacing w:before="120" w:lineRule="auto" w:line="360"/>
        <w:rPr>
          <w:rFonts w:ascii="Times New Roman" w:hAnsi="Times New Roman" w:cs="Times New Roman" w:eastAsia="Times New Roman"/>
          <w:sz w:val="24"/>
          <w:color w:val="000000"/>
        </w:rPr>
      </w:pPr>
      <w:bookmarkStart w:id="56" w:name="art155xi"/>
      <w:bookmarkEnd w:id="56"/>
      <w:r>
        <w:rPr>
          <w:rFonts w:ascii="Times New Roman" w:hAnsi="Times New Roman" w:cs="Times New Roman" w:eastAsia="Times New Roman"/>
          <w:b/>
          <w:sz w:val="24"/>
          <w:color w:val="000000"/>
        </w:rPr>
        <w:t>k)</w:t>
      </w:r>
      <w:r>
        <w:rPr>
          <w:rFonts w:ascii="Times New Roman" w:hAnsi="Times New Roman" w:cs="Times New Roman" w:eastAsia="Times New Roman"/>
          <w:sz w:val="24"/>
          <w:color w:val="000000"/>
        </w:rPr>
        <w:t xml:space="preserve"> praticar atos ilícitos com vistas a frustrar os objetivos da licitação;</w:t>
      </w:r>
    </w:p>
    <w:p>
      <w:pPr>
        <w:jc w:val="both"/>
        <w:widowControl/>
        <w:spacing w:before="120" w:lineRule="auto" w:line="360"/>
        <w:rPr>
          <w:rFonts w:ascii="Times New Roman" w:hAnsi="Times New Roman" w:cs="Times New Roman" w:eastAsia="Times New Roman"/>
          <w:u w:val="single" w:color="auto"/>
          <w:sz w:val="24"/>
          <w:color w:val="0000FF"/>
        </w:rPr>
      </w:pPr>
      <w:bookmarkStart w:id="57" w:name="art155xii"/>
      <w:bookmarkEnd w:id="57"/>
      <w:r>
        <w:rPr>
          <w:rFonts w:ascii="Times New Roman" w:hAnsi="Times New Roman" w:cs="Times New Roman" w:eastAsia="Times New Roman"/>
          <w:b/>
          <w:sz w:val="24"/>
          <w:color w:val="000000"/>
        </w:rPr>
        <w:t>l)</w:t>
      </w:r>
      <w:r>
        <w:rPr>
          <w:rFonts w:ascii="Times New Roman" w:hAnsi="Times New Roman" w:cs="Times New Roman" w:eastAsia="Times New Roman"/>
          <w:sz w:val="24"/>
          <w:color w:val="000000"/>
        </w:rPr>
        <w:t xml:space="preserve"> praticar ato lesivo previsto no </w:t>
      </w:r>
      <w:hyperlink r:id="hrId9" w:anchor="art5">
        <w:r>
          <w:rPr>
            <w:rFonts w:ascii="Times New Roman" w:hAnsi="Times New Roman" w:cs="Times New Roman" w:eastAsia="Times New Roman"/>
            <w:u w:val="single" w:color="auto"/>
            <w:sz w:val="24"/>
            <w:color w:val="0000FF"/>
          </w:rPr>
          <w:t>art. 5º da Lei nº 12.846, de 1º de agosto de 2013.</w:t>
        </w:r>
      </w:hyperlink>
    </w:p>
    <w:p>
      <w:pPr>
        <w:jc w:val="both"/>
        <w:widowControl/>
        <w:spacing w:before="120" w:lineRule="auto" w:line="360"/>
        <w:rPr>
          <w:rFonts w:ascii="Times New Roman" w:hAnsi="Times New Roman" w:cs="Times New Roman" w:eastAsia="Times New Roman"/>
          <w:sz w:val="24"/>
          <w:color w:val="000000"/>
        </w:rPr>
      </w:pPr>
      <w:bookmarkStart w:id="58" w:name="art156"/>
      <w:bookmarkEnd w:id="58"/>
      <w:r>
        <w:rPr>
          <w:rFonts w:ascii="Times New Roman" w:hAnsi="Times New Roman" w:cs="Times New Roman" w:eastAsia="Times New Roman"/>
          <w:b/>
          <w:sz w:val="24"/>
          <w:color w:val="000000"/>
        </w:rPr>
        <w:t>20.2.</w:t>
      </w:r>
      <w:r>
        <w:rPr>
          <w:rFonts w:ascii="Times New Roman" w:hAnsi="Times New Roman" w:cs="Times New Roman" w:eastAsia="Times New Roman"/>
          <w:sz w:val="24"/>
          <w:color w:val="000000"/>
        </w:rPr>
        <w:t xml:space="preserve"> Serão aplicadas ao responsável pelas infrações administrativas previstas no item 20.1 deste edital as seguintes sanções:</w:t>
      </w:r>
    </w:p>
    <w:p>
      <w:pPr>
        <w:jc w:val="both"/>
        <w:widowControl/>
        <w:spacing w:before="120" w:lineRule="auto" w:line="360"/>
        <w:rPr>
          <w:rFonts w:ascii="Times New Roman" w:hAnsi="Times New Roman" w:cs="Times New Roman" w:eastAsia="Times New Roman"/>
          <w:sz w:val="24"/>
          <w:color w:val="000000"/>
        </w:rPr>
      </w:pPr>
      <w:bookmarkStart w:id="59" w:name="art156i"/>
      <w:bookmarkEnd w:id="59"/>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advertência;</w:t>
      </w:r>
    </w:p>
    <w:p>
      <w:pPr>
        <w:jc w:val="both"/>
        <w:widowControl/>
        <w:spacing w:before="120" w:lineRule="auto" w:line="360"/>
        <w:rPr>
          <w:rFonts w:ascii="Times New Roman" w:hAnsi="Times New Roman" w:cs="Times New Roman" w:eastAsia="Times New Roman"/>
          <w:sz w:val="24"/>
          <w:color w:val="000000"/>
        </w:rPr>
      </w:pPr>
      <w:bookmarkStart w:id="60" w:name="art156ii"/>
      <w:bookmarkEnd w:id="6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multa de no mínimo 0,5% (cinco décimos por cento) e máximo de 30% (trinta por cento) do valor do objeto licitado ou contratado;</w:t>
      </w:r>
    </w:p>
    <w:p>
      <w:pPr>
        <w:jc w:val="both"/>
        <w:widowControl/>
        <w:spacing w:before="120" w:lineRule="auto" w:line="360"/>
        <w:rPr>
          <w:rFonts w:ascii="Times New Roman" w:hAnsi="Times New Roman" w:cs="Times New Roman" w:eastAsia="Times New Roman"/>
          <w:sz w:val="24"/>
          <w:color w:val="000000"/>
        </w:rPr>
      </w:pPr>
      <w:bookmarkStart w:id="61" w:name="art156iii"/>
      <w:bookmarkEnd w:id="6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impedimento de licitar e contratar, no âmbito da Administração Pública direta e indireta do órgão licitante, pelo prazo máximo de 3 (três) anos.</w:t>
      </w:r>
    </w:p>
    <w:p>
      <w:pPr>
        <w:jc w:val="both"/>
        <w:widowControl/>
        <w:spacing w:before="120" w:lineRule="auto" w:line="360"/>
        <w:rPr>
          <w:rFonts w:ascii="Times New Roman" w:hAnsi="Times New Roman" w:cs="Times New Roman" w:eastAsia="Times New Roman"/>
          <w:sz w:val="24"/>
          <w:color w:val="000000"/>
        </w:rPr>
      </w:pPr>
      <w:bookmarkStart w:id="62" w:name="art156iv"/>
      <w:bookmarkEnd w:id="62"/>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declaração de inidoneidade para licitar ou contratar</w:t>
      </w:r>
      <w:bookmarkStart w:id="63" w:name="art156_5"/>
      <w:bookmarkEnd w:id="63"/>
      <w:r>
        <w:rPr>
          <w:rFonts w:ascii="Times New Roman" w:hAnsi="Times New Roman" w:cs="Times New Roman" w:eastAsia="Times New Roman"/>
          <w:sz w:val="24"/>
          <w:color w:val="000000"/>
        </w:rPr>
        <w:t xml:space="preserve"> no âmbito da Administração Pública direta e indireta de todos os entes federativos, pelo prazo mínimo de 3 (três) anos e máximo de 6 (seis) anos.</w:t>
      </w:r>
    </w:p>
    <w:p>
      <w:pPr>
        <w:jc w:val="both"/>
        <w:widowControl/>
        <w:spacing w:before="120" w:lineRule="auto" w:line="360"/>
        <w:rPr>
          <w:rFonts w:ascii="Times New Roman" w:hAnsi="Times New Roman" w:cs="Times New Roman" w:eastAsia="Times New Roman"/>
          <w:sz w:val="24"/>
          <w:color w:val="000000"/>
        </w:rPr>
      </w:pPr>
      <w:bookmarkStart w:id="64" w:name="art156_7"/>
      <w:bookmarkEnd w:id="64"/>
      <w:r>
        <w:rPr>
          <w:rFonts w:ascii="Times New Roman" w:hAnsi="Times New Roman" w:cs="Times New Roman" w:eastAsia="Times New Roman"/>
          <w:b/>
          <w:sz w:val="24"/>
          <w:color w:val="000000"/>
        </w:rPr>
        <w:t>20.3</w:t>
      </w:r>
      <w:r>
        <w:rPr>
          <w:rFonts w:ascii="Times New Roman" w:hAnsi="Times New Roman" w:cs="Times New Roman" w:eastAsia="Times New Roman"/>
          <w:sz w:val="24"/>
          <w:color w:val="000000"/>
        </w:rPr>
        <w:t xml:space="preserve"> As sanções previstas nas alíneas “a”, “c” e “d” do item 20.2. do presente Edital poderão ser aplicadas cumulativamente com a prevista na alínea “b” do mesmo item.</w:t>
      </w:r>
    </w:p>
    <w:p>
      <w:pPr>
        <w:jc w:val="both"/>
        <w:widowControl/>
        <w:spacing w:before="120" w:lineRule="auto" w:line="360"/>
        <w:rPr>
          <w:rFonts w:ascii="Times New Roman" w:hAnsi="Times New Roman" w:cs="Times New Roman" w:eastAsia="Times New Roman"/>
          <w:sz w:val="24"/>
          <w:color w:val="000000"/>
        </w:rPr>
      </w:pPr>
      <w:bookmarkStart w:id="65" w:name="art156_8"/>
      <w:bookmarkEnd w:id="65"/>
      <w:r>
        <w:rPr>
          <w:rFonts w:ascii="Times New Roman" w:hAnsi="Times New Roman" w:cs="Times New Roman" w:eastAsia="Times New Roman"/>
          <w:b/>
          <w:sz w:val="24"/>
          <w:color w:val="000000"/>
        </w:rPr>
        <w:t xml:space="preserve">20.4. </w:t>
      </w:r>
      <w:r>
        <w:rPr>
          <w:rFonts w:ascii="Times New Roman" w:hAnsi="Times New Roman" w:cs="Times New Roman" w:eastAsia="Times New Roman"/>
          <w:sz w:val="24"/>
          <w:color w:val="000000"/>
        </w:rPr>
        <w:t xml:space="preserve">A aplicação de multa de mora não impedirá que a Administração a converta em compensatória e promova a extinção unilateral do contrato com a aplicação cumulada de outras sanções, conforme previsto no item 20.2 do presente Edital.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20.5.</w:t>
      </w:r>
      <w:r>
        <w:rPr>
          <w:rFonts w:ascii="Times New Roman" w:hAnsi="Times New Roman" w:cs="Times New Roman" w:eastAsia="Times New Roman"/>
          <w:sz w:val="24"/>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jc w:val="both"/>
        <w:widowControl/>
        <w:spacing w:before="120" w:lineRule="auto" w:line="360"/>
        <w:rPr>
          <w:rFonts w:ascii="Times New Roman" w:hAnsi="Times New Roman" w:cs="Times New Roman" w:eastAsia="Times New Roman"/>
          <w:sz w:val="24"/>
          <w:color w:val="000000"/>
        </w:rPr>
      </w:pPr>
      <w:bookmarkStart w:id="66" w:name="art156_9"/>
      <w:bookmarkEnd w:id="66"/>
      <w:r>
        <w:rPr>
          <w:rFonts w:ascii="Times New Roman" w:hAnsi="Times New Roman" w:cs="Times New Roman" w:eastAsia="Times New Roman"/>
          <w:b/>
          <w:sz w:val="24"/>
          <w:color w:val="000000"/>
        </w:rPr>
        <w:t>20.6.</w:t>
      </w:r>
      <w:r>
        <w:rPr>
          <w:rFonts w:ascii="Times New Roman" w:hAnsi="Times New Roman" w:cs="Times New Roman" w:eastAsia="Times New Roman"/>
          <w:sz w:val="24"/>
          <w:color w:val="000000"/>
        </w:rPr>
        <w:t xml:space="preserve"> A aplicação das sanções previstas no item 20.2. deste Edital não exclui, em hipótese alguma, a obrigação de reparação integral do dano causado à Administração Pública.</w:t>
      </w:r>
    </w:p>
    <w:p>
      <w:pPr>
        <w:jc w:val="both"/>
        <w:widowControl/>
        <w:spacing w:before="120" w:lineRule="auto" w:line="360"/>
        <w:rPr>
          <w:rFonts w:ascii="Times New Roman" w:hAnsi="Times New Roman" w:cs="Times New Roman" w:eastAsia="Times New Roman"/>
          <w:sz w:val="24"/>
          <w:color w:val="000000"/>
        </w:rPr>
      </w:pPr>
      <w:bookmarkStart w:id="67" w:name="art157"/>
      <w:bookmarkEnd w:id="67"/>
      <w:r>
        <w:rPr>
          <w:rFonts w:ascii="Times New Roman" w:hAnsi="Times New Roman" w:cs="Times New Roman" w:eastAsia="Times New Roman"/>
          <w:b/>
          <w:sz w:val="24"/>
          <w:color w:val="000000"/>
        </w:rPr>
        <w:t>20.7.</w:t>
      </w:r>
      <w:r>
        <w:rPr>
          <w:rFonts w:ascii="Times New Roman" w:hAnsi="Times New Roman" w:cs="Times New Roman" w:eastAsia="Times New Roman"/>
          <w:sz w:val="24"/>
          <w:color w:val="000000"/>
        </w:rPr>
        <w:t xml:space="preserve"> Na aplicação da sanção prevista no item 20.2, alínea “b”, do presente edital, será facultada a defesa do interessado no prazo de 15 (quinze) dias úteis, contado da data de sua intimação.</w:t>
      </w:r>
    </w:p>
    <w:p>
      <w:pPr>
        <w:jc w:val="both"/>
        <w:widowControl/>
        <w:spacing w:before="120" w:lineRule="auto" w:line="360"/>
        <w:rPr>
          <w:rFonts w:ascii="Times New Roman" w:hAnsi="Times New Roman" w:cs="Times New Roman" w:eastAsia="Times New Roman"/>
          <w:sz w:val="24"/>
          <w:color w:val="000000"/>
        </w:rPr>
      </w:pPr>
      <w:bookmarkStart w:id="68" w:name="art158"/>
      <w:bookmarkEnd w:id="68"/>
      <w:r>
        <w:rPr>
          <w:rFonts w:ascii="Times New Roman" w:hAnsi="Times New Roman" w:cs="Times New Roman" w:eastAsia="Times New Roman"/>
          <w:b/>
          <w:sz w:val="24"/>
          <w:color w:val="000000"/>
        </w:rPr>
        <w:t>20.8.</w:t>
      </w:r>
      <w:r>
        <w:rPr>
          <w:rFonts w:ascii="Times New Roman" w:hAnsi="Times New Roman" w:cs="Times New Roman" w:eastAsia="Times New Roman"/>
          <w:sz w:val="24"/>
          <w:color w:val="000000"/>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pPr>
        <w:jc w:val="both"/>
        <w:widowControl/>
        <w:spacing w:before="120" w:lineRule="auto" w:line="360"/>
        <w:rPr>
          <w:rFonts w:ascii="Times New Roman" w:hAnsi="Times New Roman" w:cs="Times New Roman" w:eastAsia="Times New Roman"/>
          <w:sz w:val="24"/>
          <w:color w:val="000000"/>
        </w:rPr>
      </w:pPr>
      <w:bookmarkStart w:id="69" w:name="art158_2"/>
      <w:bookmarkEnd w:id="69"/>
      <w:r>
        <w:rPr>
          <w:rFonts w:ascii="Times New Roman" w:hAnsi="Times New Roman" w:cs="Times New Roman" w:eastAsia="Times New Roman"/>
          <w:b/>
          <w:sz w:val="24"/>
          <w:color w:val="000000"/>
        </w:rPr>
        <w:t>20.9.</w:t>
      </w:r>
      <w:r>
        <w:rPr>
          <w:rFonts w:ascii="Times New Roman" w:hAnsi="Times New Roman" w:cs="Times New Roman" w:eastAsia="Times New Roman"/>
          <w:sz w:val="24"/>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jc w:val="both"/>
        <w:widowControl/>
        <w:spacing w:before="120" w:lineRule="auto" w:line="360"/>
        <w:rPr>
          <w:rFonts w:ascii="Times New Roman" w:hAnsi="Times New Roman" w:cs="Times New Roman" w:eastAsia="Times New Roman"/>
          <w:sz w:val="24"/>
          <w:color w:val="000000"/>
        </w:rPr>
      </w:pPr>
      <w:bookmarkStart w:id="70" w:name="art158_3"/>
      <w:bookmarkEnd w:id="70"/>
      <w:r>
        <w:rPr>
          <w:rFonts w:ascii="Times New Roman" w:hAnsi="Times New Roman" w:cs="Times New Roman" w:eastAsia="Times New Roman"/>
          <w:b/>
          <w:sz w:val="24"/>
          <w:color w:val="000000"/>
        </w:rPr>
        <w:t>20.10.</w:t>
      </w:r>
      <w:r>
        <w:rPr>
          <w:rFonts w:ascii="Times New Roman" w:hAnsi="Times New Roman" w:cs="Times New Roman" w:eastAsia="Times New Roman"/>
          <w:sz w:val="24"/>
          <w:color w:val="000000"/>
        </w:rPr>
        <w:t xml:space="preserve"> Serão indeferidas pela comissão, mediante decisão fundamentada, provas ilícitas, impertinentes, desnecessárias, protelatórias ou intempestivas.</w:t>
      </w:r>
    </w:p>
    <w:p>
      <w:pPr>
        <w:jc w:val="both"/>
        <w:widowControl/>
        <w:spacing w:before="120" w:lineRule="auto" w:line="360"/>
        <w:rPr>
          <w:rFonts w:ascii="Times New Roman" w:hAnsi="Times New Roman" w:cs="Times New Roman" w:eastAsia="Times New Roman"/>
          <w:sz w:val="24"/>
          <w:color w:val="000000"/>
        </w:rPr>
      </w:pPr>
      <w:bookmarkStart w:id="71" w:name="art160"/>
      <w:bookmarkEnd w:id="71"/>
      <w:r>
        <w:rPr>
          <w:rFonts w:ascii="Times New Roman" w:hAnsi="Times New Roman" w:cs="Times New Roman" w:eastAsia="Times New Roman"/>
          <w:b/>
          <w:sz w:val="24"/>
          <w:color w:val="000000"/>
        </w:rPr>
        <w:t>20.11.</w:t>
      </w:r>
      <w:r>
        <w:rPr>
          <w:rFonts w:ascii="Times New Roman" w:hAnsi="Times New Roman" w:cs="Times New Roman" w:eastAsia="Times New Roman"/>
          <w:sz w:val="24"/>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jc w:val="both"/>
        <w:widowControl/>
        <w:spacing w:before="120" w:lineRule="auto" w:line="360"/>
        <w:rPr>
          <w:rFonts w:ascii="Times New Roman" w:hAnsi="Times New Roman" w:cs="Times New Roman" w:eastAsia="Times New Roman"/>
          <w:sz w:val="24"/>
          <w:color w:val="000000"/>
        </w:rPr>
      </w:pPr>
      <w:bookmarkStart w:id="72" w:name="art163"/>
      <w:bookmarkEnd w:id="72"/>
      <w:r>
        <w:rPr>
          <w:rFonts w:ascii="Times New Roman" w:hAnsi="Times New Roman" w:cs="Times New Roman" w:eastAsia="Times New Roman"/>
          <w:b/>
          <w:sz w:val="24"/>
          <w:color w:val="000000"/>
        </w:rPr>
        <w:t>20.12.</w:t>
      </w:r>
      <w:r>
        <w:rPr>
          <w:rFonts w:ascii="Times New Roman" w:hAnsi="Times New Roman" w:cs="Times New Roman" w:eastAsia="Times New Roman"/>
          <w:sz w:val="24"/>
          <w:color w:val="000000"/>
        </w:rPr>
        <w:t xml:space="preserve"> É admitida a reabilitação do licitante ou contratado perante a própria autoridade que aplicou a penalidade, exigidos, cumulativamente:</w:t>
      </w:r>
    </w:p>
    <w:p>
      <w:pPr>
        <w:jc w:val="both"/>
        <w:widowControl/>
        <w:spacing w:before="120" w:lineRule="auto" w:line="360"/>
        <w:rPr>
          <w:rFonts w:ascii="Times New Roman" w:hAnsi="Times New Roman" w:cs="Times New Roman" w:eastAsia="Times New Roman"/>
          <w:sz w:val="24"/>
          <w:color w:val="000000"/>
        </w:rPr>
      </w:pPr>
      <w:bookmarkStart w:id="73" w:name="art163i"/>
      <w:bookmarkEnd w:id="73"/>
      <w:r>
        <w:rPr>
          <w:rFonts w:ascii="Times New Roman" w:hAnsi="Times New Roman" w:cs="Times New Roman" w:eastAsia="Times New Roman"/>
          <w:sz w:val="24"/>
          <w:color w:val="000000"/>
        </w:rPr>
        <w:t>a) reparação integral do dano causado à Administração Pública;</w:t>
      </w:r>
    </w:p>
    <w:p>
      <w:pPr>
        <w:jc w:val="both"/>
        <w:widowControl/>
        <w:spacing w:before="120" w:lineRule="auto" w:line="360"/>
        <w:rPr>
          <w:rFonts w:ascii="Times New Roman" w:hAnsi="Times New Roman" w:cs="Times New Roman" w:eastAsia="Times New Roman"/>
          <w:sz w:val="24"/>
          <w:color w:val="000000"/>
        </w:rPr>
      </w:pPr>
      <w:bookmarkStart w:id="74" w:name="art163ii"/>
      <w:bookmarkEnd w:id="74"/>
      <w:r>
        <w:rPr>
          <w:rFonts w:ascii="Times New Roman" w:hAnsi="Times New Roman" w:cs="Times New Roman" w:eastAsia="Times New Roman"/>
          <w:sz w:val="24"/>
          <w:color w:val="000000"/>
        </w:rPr>
        <w:t>b) pagamento da multa;</w:t>
      </w:r>
    </w:p>
    <w:p>
      <w:pPr>
        <w:jc w:val="both"/>
        <w:widowControl/>
        <w:spacing w:before="120" w:lineRule="auto" w:line="360"/>
        <w:rPr>
          <w:rFonts w:ascii="Times New Roman" w:hAnsi="Times New Roman" w:cs="Times New Roman" w:eastAsia="Times New Roman"/>
          <w:sz w:val="24"/>
          <w:color w:val="000000"/>
        </w:rPr>
      </w:pPr>
      <w:bookmarkStart w:id="75" w:name="art163iii"/>
      <w:bookmarkEnd w:id="75"/>
      <w:r>
        <w:rPr>
          <w:rFonts w:ascii="Times New Roman" w:hAnsi="Times New Roman" w:cs="Times New Roman" w:eastAsia="Times New Roman"/>
          <w:sz w:val="24"/>
          <w:color w:val="000000"/>
        </w:rPr>
        <w:t>c) transcurso do prazo mínimo de 1 (um) ano da aplicação da penalidade, no caso de impedimento de licitar e contratar, ou de 3 (três) anos da aplicação da penalidade, no caso de declaração de inidoneidade;</w:t>
      </w:r>
    </w:p>
    <w:p>
      <w:pPr>
        <w:jc w:val="both"/>
        <w:widowControl/>
        <w:spacing w:before="120" w:lineRule="auto" w:line="360"/>
        <w:rPr>
          <w:rFonts w:ascii="Times New Roman" w:hAnsi="Times New Roman" w:cs="Times New Roman" w:eastAsia="Times New Roman"/>
          <w:sz w:val="24"/>
          <w:color w:val="000000"/>
        </w:rPr>
      </w:pPr>
      <w:bookmarkStart w:id="76" w:name="art163iv"/>
      <w:bookmarkEnd w:id="76"/>
      <w:r>
        <w:rPr>
          <w:rFonts w:ascii="Times New Roman" w:hAnsi="Times New Roman" w:cs="Times New Roman" w:eastAsia="Times New Roman"/>
          <w:sz w:val="24"/>
          <w:color w:val="000000"/>
        </w:rPr>
        <w:t>d) cumprimento das condições de reabilitação definidas no ato punitivo;</w:t>
      </w:r>
    </w:p>
    <w:p>
      <w:pPr>
        <w:jc w:val="both"/>
        <w:widowControl/>
        <w:spacing w:before="120" w:lineRule="auto" w:line="360"/>
        <w:rPr>
          <w:rFonts w:ascii="Times New Roman" w:hAnsi="Times New Roman" w:cs="Times New Roman" w:eastAsia="Times New Roman"/>
          <w:sz w:val="24"/>
          <w:color w:val="000000"/>
        </w:rPr>
      </w:pPr>
      <w:bookmarkStart w:id="77" w:name="art163v"/>
      <w:bookmarkEnd w:id="77"/>
      <w:r>
        <w:rPr>
          <w:rFonts w:ascii="Times New Roman" w:hAnsi="Times New Roman" w:cs="Times New Roman" w:eastAsia="Times New Roman"/>
          <w:sz w:val="24"/>
          <w:color w:val="000000"/>
        </w:rPr>
        <w:t>e) análise jurídica prévia, com posicionamento conclusivo quanto ao cumprimento dos requisitos definidos neste artigo.</w:t>
      </w:r>
    </w:p>
    <w:p>
      <w:pPr>
        <w:jc w:val="both"/>
        <w:widowControl/>
        <w:spacing w:before="120" w:lineRule="auto" w:line="360"/>
        <w:rPr>
          <w:rFonts w:ascii="Times New Roman" w:hAnsi="Times New Roman" w:cs="Times New Roman" w:eastAsia="Times New Roman"/>
          <w:sz w:val="24"/>
          <w:color w:val="000000"/>
        </w:rPr>
      </w:pPr>
      <w:bookmarkStart w:id="78" w:name="art163p"/>
      <w:bookmarkEnd w:id="78"/>
      <w:r>
        <w:rPr>
          <w:rFonts w:ascii="Times New Roman" w:hAnsi="Times New Roman" w:cs="Times New Roman" w:eastAsia="Times New Roman"/>
          <w:b/>
          <w:sz w:val="24"/>
          <w:color w:val="000000"/>
        </w:rPr>
        <w:t>20.13.</w:t>
      </w:r>
      <w:r>
        <w:rPr>
          <w:rFonts w:ascii="Times New Roman" w:hAnsi="Times New Roman" w:cs="Times New Roman" w:eastAsia="Times New Roman"/>
          <w:sz w:val="24"/>
          <w:color w:val="000000"/>
        </w:rPr>
        <w:t xml:space="preserve"> A sanção pelas infrações previstas nas alíneas “h” e “l” do item 20.2 do presente Edital exigirá, como condição de reabilitação do licitante ou contratado, a implantação ou aperfeiçoamento de programa de integridade pelo responsável.</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21. PEDIDOS DE ESCLARECIMENTOS E IMPUGNAÇÕES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21.1. </w:t>
      </w:r>
      <w:r>
        <w:rPr>
          <w:rFonts w:ascii="Times New Roman" w:hAnsi="Times New Roman" w:cs="Times New Roman" w:eastAsia="Times New Roman"/>
          <w:sz w:val="24"/>
        </w:rPr>
        <w:t>Os pedidos de esclarecimentos referentes ao processo licitatório e os pedidos de impugnações poderão ser enviados até três dias úteis anteriores à data fixada para abertura da sessão pública, por meio do seguinte endereço eletrônico:</w:t>
      </w:r>
      <w:hyperlink r:id="hrId10">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11">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21.2.</w:t>
      </w:r>
      <w:r>
        <w:rPr>
          <w:rFonts w:ascii="Times New Roman" w:hAnsi="Times New Roman" w:cs="Times New Roman" w:eastAsia="Times New Roman"/>
          <w:sz w:val="24"/>
        </w:rPr>
        <w:t xml:space="preserve">  As respostas aos pedidos de esclarecimentos e às impugnações serão divulgadas no seguinte sítio eletrônico da Administração </w:t>
      </w:r>
      <w:hyperlink r:id="hrId12">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rPr>
        <w:t xml:space="preserve"> no local em que o respectivo pregão foi divulgado.</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22. DAS DISPOSIÇÕES GERAIS: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22.1. </w:t>
      </w:r>
      <w:r>
        <w:rPr>
          <w:rFonts w:ascii="Times New Roman" w:hAnsi="Times New Roman" w:cs="Times New Roman" w:eastAsia="Times New Roman"/>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22.2. </w:t>
      </w:r>
      <w:r>
        <w:rPr>
          <w:rFonts w:ascii="Times New Roman" w:hAnsi="Times New Roman" w:cs="Times New Roman" w:eastAsia="Times New Roman"/>
          <w:sz w:val="24"/>
        </w:rPr>
        <w:t>Após a apresentação da proposta, não caberá desistência, salvo por motivo justo decorrente de fato superveniente e aceito pelo pregoeiro.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22.3.</w:t>
      </w:r>
      <w:r>
        <w:rPr>
          <w:rFonts w:ascii="Times New Roman" w:hAnsi="Times New Roman" w:cs="Times New Roman" w:eastAsia="Times New Roman"/>
          <w:sz w:val="24"/>
        </w:rPr>
        <w:t xml:space="preserve"> A Administração tem a prerrogativa de fiscalizar o cumprimento satisfatório do objeto da presente licitação, por meio de agente designado para tal função, conforme o disposto na Lei nº 14.133/2021.</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22.4. </w:t>
      </w:r>
      <w:r>
        <w:rPr>
          <w:rFonts w:ascii="Times New Roman" w:hAnsi="Times New Roman" w:cs="Times New Roman" w:eastAsia="Times New Roman"/>
          <w:sz w:val="24"/>
        </w:rPr>
        <w:t xml:space="preserve">Fica eleito o Foro da Comarca de Erechim para dirimir quaisquer litígios oriundos da licitação e do contrato dela decorrente, com expressa renúncia a outro qualquer, por mais privilegiado que seja. </w:t>
      </w:r>
    </w:p>
    <w:p>
      <w:pPr>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Quatro Irmãos, 18/11/2025</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b/>
          <w:sz w:val="24"/>
        </w:rPr>
      </w:pPr>
      <w:r>
        <w:rPr>
          <w:rFonts w:ascii="Times New Roman" w:hAnsi="Times New Roman" w:cs="Times New Roman" w:eastAsia="Times New Roman"/>
          <w:b/>
          <w:sz w:val="24"/>
        </w:rPr>
        <w:t>JOÃO PAULO BALBINOT</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Prefeito Municipal</w:t>
      </w:r>
    </w:p>
    <w:p>
      <w:r>
        <w:br w:type="page"/>
      </w:r>
    </w:p>
    <w:p>
      <w:pPr>
        <w:jc w:val="center"/>
        <w:keepNext/>
        <w:rPr>
          <w:rFonts w:ascii="Times New Roman" w:hAnsi="Times New Roman" w:cs="Times New Roman" w:eastAsia="Times New Roman"/>
          <w:b/>
          <w:u w:color="auto"/>
          <w:sz w:val="22"/>
        </w:rPr>
      </w:pPr>
      <w:r>
        <w:rPr>
          <w:rFonts w:ascii="Times New Roman" w:hAnsi="Times New Roman" w:cs="Times New Roman" w:eastAsia="Times New Roman"/>
          <w:b/>
          <w:sz w:val="22"/>
        </w:rPr>
        <w:t xml:space="preserve">MINUTA DE CONTRATO Nº </w:t>
      </w:r>
      <w:r>
        <w:rPr>
          <w:rFonts w:ascii="Times New Roman" w:hAnsi="Times New Roman" w:cs="Times New Roman" w:eastAsia="Times New Roman"/>
          <w:b/>
          <w:u w:color="auto"/>
          <w:sz w:val="22"/>
        </w:rPr>
        <w:t>{NRO_CONTRATO}}</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Aos {DT_ASSINATURA_EXTENSO}}, de um lado o Município de Quatro Irmãos, pessoa jurídica de direito público, inscrito no CNPJ sob o nº 04.215.994/0001-14, com sede na Rua Isidoro Eisenberg, s/nº, bairro Centro, cidade de Quatro Irmãos - RS, neste ato representado pelo Prefeito Municipal, JOÃO PAULO BALBINOT, brasileiro(a), maior, residente e domiciliado, Município de Quatro Irmãos-RS, portador(a) do CPF nº 026.157.340-32, doravante denominado simplesmente de CONTRATANTE e, de outro lado, a empresa {NOME_FORN}} estabelecido (a) / {ENDERECO_FORN}}, {ENDERECO_NUM_FORN}} - {BAIRRO_FORN}} na cidade {CIDADE_FORN}}, inscrito (a) no CNPJ/CPF sob o nº {CNPJ_FORN}}, neste ato representado por seu representante legal, doravante denominada simplesmente CONTRATADA, celebram entre si o presente Contrato que será regido pelas cláusulas e condições que seguem.</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xml:space="preserve"> </w:t>
      </w:r>
    </w:p>
    <w:p>
      <w:pPr>
        <w:jc w:val="both"/>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PRIMEIRA – DA FUNDAMENTAÇÃO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instrumento é fundamentado no procedimento realizado pela CONTRATANTE através Processo Geral n° {NRO_PROC_LICITACAO}}, {MODALIDADE_LICITACAO}}/{NRO_MODALIDADE_LICITACAO}} e na proposta vencedora, conforme termos de homologação e de adjudicação, e se regerá pelas cláusulas aqui previstas, bem como pelas normas da Lei Federal nº 14.133/2021 (inclusive nos casos omissos), suas alterações posteriores e demais dispositivos legais aplicáveis.</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rPr>
          <w:rFonts w:ascii="Times New Roman" w:hAnsi="Times New Roman" w:cs="Times New Roman" w:eastAsia="Times New Roman"/>
          <w:b/>
          <w:sz w:val="22"/>
        </w:rPr>
      </w:pPr>
      <w:r>
        <w:rPr>
          <w:rFonts w:ascii="Times New Roman" w:hAnsi="Times New Roman" w:cs="Times New Roman" w:eastAsia="Times New Roman"/>
          <w:b/>
          <w:sz w:val="22"/>
        </w:rPr>
        <w:t>CLÁUSULA SEGUNDA –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contrato tem por objeto o fornecimento de {OBJETO_COMPLETO_CONTRATO}} pela CONTRATADA, conforme proposta vencedora.</w:t>
      </w:r>
    </w:p>
    <w:p>
      <w:pPr>
        <w:jc w:val="both"/>
        <w:rPr>
          <w:rFonts w:ascii="Times New Roman" w:hAnsi="Times New Roman" w:cs="Times New Roman" w:eastAsia="Times New Roman"/>
          <w:sz w:val="16"/>
        </w:rPr>
      </w:pPr>
      <w:r>
        <w:rPr>
          <w:rFonts w:ascii="Times New Roman" w:hAnsi="Times New Roman" w:cs="Times New Roman" w:eastAsia="Times New Roman"/>
          <w:sz w:val="16"/>
        </w:rPr>
        <w:t>{LISTA_ITENS_LICITACAO_FORNECEDOR}}</w:t>
      </w:r>
    </w:p>
    <w:p>
      <w:pPr>
        <w:jc w:val="both"/>
        <w:rPr>
          <w:rFonts w:ascii="Times New Roman" w:hAnsi="Times New Roman" w:cs="Times New Roman" w:eastAsia="Times New Roman"/>
          <w:sz w:val="24"/>
        </w:rPr>
      </w:pPr>
      <w:r>
        <w:rPr>
          <w:rFonts w:ascii="Times New Roman" w:hAnsi="Times New Roman" w:cs="Times New Roman" w:eastAsia="Times New Roman"/>
          <w:sz w:val="24"/>
        </w:rPr>
        <w:t/>
      </w:r>
    </w:p>
    <w:p>
      <w:pPr>
        <w:outlineLvl w:val="2"/>
        <w:keepNext/>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TERCEIRA </w:t>
      </w:r>
      <w:r>
        <w:rPr>
          <w:rFonts w:ascii="Times New Roman" w:hAnsi="Times New Roman" w:cs="Times New Roman" w:eastAsia="Times New Roman"/>
          <w:sz w:val="22"/>
        </w:rPr>
        <w:t xml:space="preserve">- </w:t>
      </w:r>
      <w:r>
        <w:rPr>
          <w:rFonts w:ascii="Times New Roman" w:hAnsi="Times New Roman" w:cs="Times New Roman" w:eastAsia="Times New Roman"/>
          <w:b/>
          <w:sz w:val="22"/>
        </w:rPr>
        <w:t>DO PRAZO, FORMA E LOCAL DO FORNECIMENTO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3.1. O prazo para o fornecimento do objeto é de conforme está descrito no processo licitatório que deu origem ao presente contrato.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3.2. O objeto deverá ser entregue/prestado de acordo com previsto no processo licitatório e na proposta vencedora da licitação.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3.3. Aplicam-se ao presente contrato os seguintes prazos: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O prazo de vigência do terá como prazo inicial dia {DT_VIGENCIA_INICIAL}} e prazo final dia {DT_VIGENCIA_FINAL}}.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presente contrato poderá ser prorrogado sucessivamente, respeitada a vigência máxima decenal, mediante demonstração de que as condições e os preços permanecem vantajosos para a CONTRATANTE, sendo permitidas eventuais negociações entre as partes.</w:t>
      </w:r>
    </w:p>
    <w:p>
      <w:pPr>
        <w:jc w:val="both"/>
        <w:widowControl/>
        <w:tabs>
          <w:tab w:val="left" w:pos="1418"/>
          <w:tab w:val="left" w:pos="4253"/>
        </w:tabs>
      </w:pPr>
      <w:r>
        <w:rPr>
          <w:rFonts w:ascii="Times New Roman" w:hAnsi="Times New Roman" w:cs="Times New Roman" w:eastAsia="Times New Roman"/>
          <w:b/>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QUARTA– DO PREÇO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O preço a ser pago pelo fornecimento do objeto do presente contrato é de R$ {VALOR_CONTRATO}} ({VALOR_CONTRATO_EXTENSO}}), conforme a proposta ofertada pela CONTRATADA.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QUINTA – DO PAGAMENTO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O pagamento será efetuado {FORMA_PAGAMENTO_CONTRATO}}, mediante a entrega do objeto e a apresentação de nota fiscal e aprovação da fiscalização da CONTRATANTE.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Se o término desse prazo coincidir com dia não útil, considerar-se-á como vencimento o primeiro dia útil imediatamente posterior.</w:t>
      </w:r>
      <w:r>
        <w:rPr>
          <w:rFonts w:ascii="Times New Roman" w:hAnsi="Times New Roman" w:cs="Times New Roman" w:eastAsia="Times New Roman"/>
          <w:sz w:val="22"/>
        </w:rPr>
        <w:tab/>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SEXTA – DO RECURSO 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despesas do presente contrato correrão à conta da seguinte dotação orçamentária:</w:t>
      </w:r>
    </w:p>
    <w:p>
      <w:pPr>
        <w:jc w:val="both"/>
        <w:widowControl/>
        <w:tabs>
          <w:tab w:val="left" w:pos="1418"/>
          <w:tab w:val="left" w:pos="4253"/>
        </w:tabs>
        <w:rPr>
          <w:rFonts w:ascii="Times New Roman" w:hAnsi="Times New Roman" w:cs="Times New Roman" w:eastAsia="Times New Roman"/>
        </w:rPr>
      </w:pPr>
      <w:r>
        <w:rPr>
          <w:rFonts w:ascii="Times New Roman" w:hAnsi="Times New Roman" w:cs="Times New Roman" w:eastAsia="Times New Roman"/>
        </w:rPr>
        <w:t>{DESCRITIVO_DOTACOES_CONTRATOS}}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s>
        <w:rPr>
          <w:rFonts w:ascii="Times New Roman" w:hAnsi="Times New Roman" w:cs="Times New Roman" w:eastAsia="Times New Roman"/>
          <w:b/>
          <w:sz w:val="22"/>
        </w:rPr>
      </w:pPr>
      <w:r>
        <w:rPr>
          <w:rFonts w:ascii="Times New Roman" w:hAnsi="Times New Roman" w:cs="Times New Roman" w:eastAsia="Times New Roman"/>
          <w:b/>
          <w:sz w:val="22"/>
        </w:rPr>
        <w:t>CLÁUSULA SÉTIMA – DA ATUALIZAÇÃO MONETÁRIA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Ocorrendo atraso no pagamento, os valores serão atualizados monetariamente pelo índice IPCA do período, ou outro índice que vier a substituí-lo, e a CONTRATANTE compensará a CONTRATADA com juros de 0,5% ao mês calculados pró-rata dia, até o efetivo pagamento.</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OITAVA – DO REAJUSTAMENTO </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 xml:space="preserve">O valor relativo ao objeto do presente contrato poderá ser reajustado a contar da data-base vinculada à data do orçamento estimado, através do índice IPCA ou índice que vier a substitui-lo;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NONA – DO REEQUILÍBRIO ECONÔMICO-FINANCEIRO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Em sendo solicitado o reequilíbrio econômico-financeiro, a CONTRATANTE responderá ao pedido dentro do prazo máximo de 15 (quinze) dias contados da data do fornecimento da documentação que o instruiu.</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 DAS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Efetuar o devido pagamento à CONTRATADA, nos termos do presente instrumento;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Dar à CONTRATADA as condições necessárias à regular execução do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Determinar as providências necessárias quando o fornecimento do objeto não observar a forma estipulada no edital e no presente contrato, sem prejuízo da aplicação das sanções cabíveis, quando for o caso;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Designar servidor pertencente ao quadro da CONTRATANTE, para ser responsável pelo acompanhamento e fiscalização da execução do objeto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Cumprir todas as demais cláusulas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PRIMEIRA – DAS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Fornecer o objeto de acordo com as especificações, quantidade e prazos do edital e do presente contrato, bem como nos termos da sua proposta;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Cumprir as exigências de reserva de cargos prevista em lei, bem como em outras normas específicas, para pessoa com deficiência, para reabilitado da Previdência Social e para aprendiz;</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Zelar pelo cumprimento, por parte de seus empregados, das normas do Ministério do Trabalho, cabendo à CONTRATADA o fornecimento de equipamentos de proteção individual (EPI);</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 - Responsabilizar-se por todos os danos causados por seus funcionários à CONTRATANTE e/ou terceiros, decorrentes de culpa ou dolo, devidamente apurados mediante processo administrativo, quando da execução do objeto contratado;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 - Reparar e/ou corrigir, às suas expensas, o fornecimento em que se verificar vícios, defeitos ou incorreções resultantes da execução do objeto em desacordo com o pactuado;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VIII - Executar as obrigações assumidas no presente contrato por seus próprios meios, não sendo admitida a subcontratação não prevista em edital e no presente contrato.</w:t>
      </w:r>
    </w:p>
    <w:p>
      <w:pPr>
        <w:jc w:val="both"/>
        <w:widowControl/>
        <w:tabs>
          <w:tab w:val="left" w:pos="1418"/>
          <w:tab w:val="left" w:pos="4253"/>
        </w:tabs>
      </w:pPr>
      <w:r>
        <w:rPr>
          <w:rFonts w:ascii="Times New Roman" w:hAnsi="Times New Roman" w:cs="Times New Roman" w:eastAsia="Times New Roman"/>
          <w:sz w:val="22"/>
        </w:rPr>
        <w:tab/>
      </w: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SEGUNDA – DA GESTÃO DO CONTRATO</w:t>
      </w:r>
    </w:p>
    <w:p>
      <w:pPr>
        <w:jc w:val="both"/>
        <w:widowControl/>
        <w:tabs>
          <w:tab w:val="left" w:pos="1418"/>
          <w:tab w:val="left" w:pos="4253"/>
        </w:tabs>
        <w:rPr>
          <w:rFonts w:ascii="Times New Roman" w:hAnsi="Times New Roman" w:cs="Times New Roman" w:eastAsia="Times New Roman"/>
          <w:sz w:val="22"/>
          <w:color w:val="FF0000"/>
        </w:rPr>
      </w:pPr>
      <w:r>
        <w:rPr>
          <w:rFonts w:ascii="Times New Roman" w:hAnsi="Times New Roman" w:cs="Times New Roman" w:eastAsia="Times New Roman"/>
          <w:b/>
          <w:sz w:val="22"/>
        </w:rPr>
        <w:tab/>
      </w:r>
      <w:r>
        <w:rPr>
          <w:rFonts w:ascii="Times New Roman" w:hAnsi="Times New Roman" w:cs="Times New Roman" w:eastAsia="Times New Roman"/>
          <w:sz w:val="22"/>
          <w:color w:val="FF0000"/>
        </w:rPr>
        <w:t>I - A execução do contrato deverá ser acompanhada e fiscalizada por {RESPONSAVEL_CONTRATO}} ({CARGO_RESPONSAVEL_CONTRATO}} ou por seu respectivo substituto;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pPr>
        <w:jc w:val="both"/>
        <w:widowControl/>
        <w:tabs>
          <w:tab w:val="left" w:pos="1418"/>
          <w:tab w:val="left" w:pos="4253"/>
        </w:tabs>
      </w:pP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TERCEIRA – DO RECEBIMENTO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objeto do presente contrato será recebido: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 - Provisoriamente, de forma sumária, pelo responsável por seu acompanhamento e fiscalização, designado pela CONTRATANTE, com verificação posterior da conformidade do material com 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II - Definitivamente por servidor ou comissão designada pela autoridade competente, mediante assinatura de termo circunstanciado comprovando o atendimento das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recebimento provisório ou definitivo não eximirá a CONTRATADA de eventual responsabilização em âmbito civil pela perfeita execução do contrato.</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QUARTA – DAS PENALIDADES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CONTRATADA estará sujeita às seguintes penalidades:</w:t>
      </w:r>
    </w:p>
    <w:p>
      <w:pPr>
        <w:jc w:val="both"/>
        <w:widowControl/>
        <w:tabs>
          <w:tab w:val="clear" w:pos="-19"/>
          <w:tab w:val="clear" w:pos="-4"/>
        </w:tabs>
        <w:rPr>
          <w:rFonts w:ascii="Times New Roman" w:hAnsi="Times New Roman" w:cs="Times New Roman" w:eastAsia="Times New Roman"/>
          <w:sz w:val="22"/>
        </w:rPr>
      </w:pPr>
      <w:r>
        <w:rPr>
          <w:rFonts w:ascii="Times New Roman" w:hAnsi="Times New Roman" w:cs="Times New Roman" w:eastAsia="Times New Roman"/>
          <w:b/>
          <w:sz w:val="22"/>
        </w:rPr>
        <w:tab/>
      </w:r>
      <w:bookmarkStart w:id="79" w:name="art156i"/>
      <w:bookmarkEnd w:id="79"/>
      <w:r>
        <w:rPr>
          <w:rFonts w:ascii="Times New Roman" w:hAnsi="Times New Roman" w:cs="Times New Roman" w:eastAsia="Times New Roman"/>
          <w:b/>
          <w:sz w:val="22"/>
        </w:rPr>
        <w:t>a)</w:t>
      </w:r>
      <w:r>
        <w:rPr>
          <w:rFonts w:ascii="Times New Roman" w:hAnsi="Times New Roman" w:cs="Times New Roman" w:eastAsia="Times New Roman"/>
          <w:sz w:val="22"/>
        </w:rPr>
        <w:t xml:space="preserve"> advertência;</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0" w:name="art156ii"/>
      <w:bookmarkEnd w:id="80"/>
      <w:r>
        <w:rPr>
          <w:rFonts w:ascii="Times New Roman" w:hAnsi="Times New Roman" w:cs="Times New Roman" w:eastAsia="Times New Roman"/>
          <w:b/>
          <w:sz w:val="22"/>
        </w:rPr>
        <w:t>b)</w:t>
      </w:r>
      <w:r>
        <w:rPr>
          <w:rFonts w:ascii="Times New Roman" w:hAnsi="Times New Roman" w:cs="Times New Roman" w:eastAsia="Times New Roman"/>
          <w:sz w:val="22"/>
        </w:rPr>
        <w:t xml:space="preserve"> multa de no mínimo 0,5% (cinco décimos por cento) e máximo de 30% (trinta por cento) do valor do objeto licitado ou contratado;</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1" w:name="art156iii"/>
      <w:bookmarkEnd w:id="81"/>
      <w:r>
        <w:rPr>
          <w:rFonts w:ascii="Times New Roman" w:hAnsi="Times New Roman" w:cs="Times New Roman" w:eastAsia="Times New Roman"/>
          <w:b/>
          <w:sz w:val="22"/>
        </w:rPr>
        <w:t>c)</w:t>
      </w:r>
      <w:r>
        <w:rPr>
          <w:rFonts w:ascii="Times New Roman" w:hAnsi="Times New Roman" w:cs="Times New Roman" w:eastAsia="Times New Roman"/>
          <w:sz w:val="22"/>
        </w:rPr>
        <w:t xml:space="preserve"> impedimento de licitar e contratar, no âmbito da Administração Pública direta e indireta do órgão licitante, pelo prazo máximo de 3 (três) anos.</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2" w:name="art156iv"/>
      <w:bookmarkEnd w:id="82"/>
      <w:r>
        <w:rPr>
          <w:rFonts w:ascii="Times New Roman" w:hAnsi="Times New Roman" w:cs="Times New Roman" w:eastAsia="Times New Roman"/>
          <w:b/>
          <w:sz w:val="22"/>
        </w:rPr>
        <w:t>d)</w:t>
      </w:r>
      <w:r>
        <w:rPr>
          <w:rFonts w:ascii="Times New Roman" w:hAnsi="Times New Roman" w:cs="Times New Roman" w:eastAsia="Times New Roman"/>
          <w:sz w:val="22"/>
        </w:rPr>
        <w:t xml:space="preserve"> declaração de inidoneidade para licitar ou contratar</w:t>
      </w:r>
      <w:bookmarkStart w:id="83" w:name="art156_5"/>
      <w:bookmarkEnd w:id="83"/>
      <w:r>
        <w:rPr>
          <w:rFonts w:ascii="Times New Roman" w:hAnsi="Times New Roman" w:cs="Times New Roman" w:eastAsia="Times New Roman"/>
          <w:sz w:val="22"/>
        </w:rPr>
        <w:t xml:space="preserve"> no âmbito da Administração Pública direta e indireta de todos os entes federativos, pelo prazo mínimo de 3 (três) anos e máximo de 6 (seis) anos.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DÉCIMA QUINTA – DA EXTINÇÃO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As hipóteses que constituem motivo para extinção contratual estão elencadas no art. 137 da Lei nº 14.133/2021, que poderão se dar, após assegurados o contraditório e a ampla defesa à CONTRATADA.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extinção do contrato poderá ser:</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determinada por ato unilateral e escrito da Administração, exceto no caso de descumprimento decorrente de sua própria conduta;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consensual, por acordo entre as partes, por conciliação, por mediação ou por comitê de resolução de disputas, desde que haja interesse da Administração;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determinada por decisão arbitral, em decorrência de cláusula compromissória ou compromisso arbitral, ou por decisão judicial.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SEXTA – DO FORO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partes elegem o foro da Comarca de Erechim para dirimir quaisquer questões relacionadas ao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E, por estarem justos e contratados, firmam o presente instrumento em 02 (duas) vias de igual teor e forma.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Quatro Irmãos - RS{DT_ASSINATURA_EXTENSO}}</w:t>
      </w:r>
    </w:p>
    <w:p>
      <w:pPr>
        <w:jc w:val="both"/>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JOÃO PAULO BALBINOT</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Prefeito Municipal</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{NOME_FORN}}</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Representante da CONTRATADO</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Testemunhas:</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rPr>
          <w:rFonts w:ascii="Times New Roman" w:hAnsi="Times New Roman" w:cs="Times New Roman" w:eastAsia="Times New Roman"/>
          <w:b/>
          <w:sz w:val="22"/>
        </w:rPr>
      </w:pPr>
      <w:r>
        <w:rPr>
          <w:rFonts w:ascii="Times New Roman" w:hAnsi="Times New Roman" w:cs="Times New Roman" w:eastAsia="Times New Roman"/>
          <w:b/>
          <w:sz w:val="22"/>
        </w:rPr>
        <w:t xml:space="preserve">     __________________________          </w:t>
      </w:r>
      <w:r>
        <w:rPr>
          <w:rFonts w:ascii="Times New Roman" w:hAnsi="Times New Roman" w:cs="Times New Roman" w:eastAsia="Times New Roman"/>
          <w:b/>
          <w:sz w:val="22"/>
        </w:rPr>
        <w:tab/>
      </w:r>
      <w:r>
        <w:rPr>
          <w:rFonts w:ascii="Times New Roman" w:hAnsi="Times New Roman" w:cs="Times New Roman" w:eastAsia="Times New Roman"/>
          <w:b/>
          <w:sz w:val="22"/>
        </w:rPr>
        <w:tab/>
      </w:r>
      <w:r>
        <w:rPr>
          <w:rFonts w:ascii="Times New Roman" w:hAnsi="Times New Roman" w:cs="Times New Roman" w:eastAsia="Times New Roman"/>
          <w:b/>
          <w:sz w:val="22"/>
        </w:rPr>
        <w:t xml:space="preserve">   _____________________________</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sectPr>
      <w:headerReference w:type="default" r:id="rIdHF0"/>
      <w:pgSz w:w="11906" w:h="16838"/>
      <w:pgMar w:top="1417" w:right="850" w:bottom="1417" w:left="198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Tahoma">
    <w:charset w:val="01"/>
  </w:font>
  <w:font w:name="Times New Roman">
    <w:charset w:val="00"/>
  </w:font>
  <w:font w:name="Courier New">
    <w:charset w:val="00"/>
  </w:font>
  <w:font w:name="Liberation Sans">
    <w:charset w:val="00"/>
  </w:font>
  <w:font w:name="Times New Roman">
    <w:charset w:val="01"/>
  </w:font>
</w:fonts>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pBdr>
        <w:top w:val="" w:sz="6"/>
        <w:left w:val="" w:sz="6"/>
        <w:bottom w:val="" w:sz="6"/>
        <w:right w:val="" w:sz="6"/>
        <w:between w:val="" w:sz="6"/>
      </w:pBdr>
    </w:pPr>
    <w:r>
      <w:drawing>
        <wp:inline distT="0" distB="0" distL="0" distR="0">
          <wp:extent cx="5419725" cy="8953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jpg"/>
                  <pic:cNvPicPr/>
                </pic:nvPicPr>
                <pic:blipFill>
                  <a:blip r:embed="prId1" cstate="print"/>
                  <a:stretch>
                    <a:fillRect/>
                  </a:stretch>
                </pic:blipFill>
                <pic:spPr>
                  <a:xfrm>
                    <a:off x="0" y="0"/>
                    <a:ext cx="5419725" cy="89535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displayBackgroundShape/>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 Id="hrId1" Type="http://schemas.openxmlformats.org/officeDocument/2006/relationships/hyperlink" Target="https://quatroirmaos.msgestaopublica.app.br:8079/comprasedital" TargetMode="External"/><Relationship Id="hrId2" Type="http://schemas.openxmlformats.org/officeDocument/2006/relationships/hyperlink" Target="https://quatroirmaos.msgestaopublica.app.br:8079/comprasedital" TargetMode="External"/><Relationship Id="hrId3" Type="http://schemas.openxmlformats.org/officeDocument/2006/relationships/hyperlink" Target="mailto:compras@quatroirmaos.rs.gov.br" TargetMode="External"/><Relationship Id="hrId4" Type="http://schemas.openxmlformats.org/officeDocument/2006/relationships/hyperlink" Target="mailto:contabilidade@quatroirmaos.rs.gov.br" TargetMode="External"/><Relationship Id="hrId5" Type="http://schemas.openxmlformats.org/officeDocument/2006/relationships/hyperlink" Target="http://www.planalto.gov.br/ccivil_03/Constituicao/Constituicao.htm" TargetMode="External"/><Relationship Id="hrId6" Type="http://schemas.openxmlformats.org/officeDocument/2006/relationships/hyperlink" Target="http://www.planalto.gov.br/ccivil_03/LEIS/L6404consol.htm" TargetMode="External"/><Relationship Id="hrId7" Type="http://schemas.openxmlformats.org/officeDocument/2006/relationships/hyperlink" Target="www.quatroirmaos.rs.gov.br" TargetMode="External"/><Relationship Id="hrId8" Type="http://schemas.openxmlformats.org/officeDocument/2006/relationships/hyperlink" Target="http://www.planalto.gov.br/ccivil_03/_Ato2007-2010/2009/Lei/L12187.htm" TargetMode="External"/><Relationship Id="hrId9" Type="http://schemas.openxmlformats.org/officeDocument/2006/relationships/hyperlink" Target="http://www.planalto.gov.br/ccivil_03/_Ato2011-2014/2013/Lei/L12846.htm" TargetMode="External"/><Relationship Id="hrId10" Type="http://schemas.openxmlformats.org/officeDocument/2006/relationships/hyperlink" Target="mailto:compras@quatroirmaos.rs.gov.br" TargetMode="External"/><Relationship Id="hrId11" Type="http://schemas.openxmlformats.org/officeDocument/2006/relationships/hyperlink" Target="mailto:contabilidade@quatroirmaos.rs.gov.br" TargetMode="External"/><Relationship Id="hrId12" Type="http://schemas.openxmlformats.org/officeDocument/2006/relationships/hyperlink" Target="www.quatroirmaos.rs.gov.br" TargetMode="External"/></Relationships>
</file>

<file path=word/_rels/header.xml.rels><?xml version="1.0" encoding="UTF-8" standalone="yes"?>
<Relationships xmlns="http://schemas.openxmlformats.org/package/2006/relationships"><Relationship Id="prId1" Type="http://schemas.openxmlformats.org/officeDocument/2006/relationships/image" Target="media/img1.jpg"/></Relationships>
</file>