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67/2025</w:t>
      </w:r>
    </w:p>
    <w:p>
      <w:pP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67/2025</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Unitario</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000495/25</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Contratação de Empresa para Prestação de serviço de transporte de Estudantes, para os Municípios de Erechim e Getúlio Vargas, com aproximadamente 292 km diários.</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Contratação de Empresa para Prestação de serviço de transporte de Estudantes, para os Municípios de Erechim e Getúlio Vargas, com aproximadamente 292 km diários</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23/12/2025</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08:15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08:00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pPr>
      <w:r>
        <w:rPr>
          <w:rFonts w:ascii="Times New Roman" w:hAnsi="Times New Roman" w:cs="Times New Roman" w:eastAsia="Times New Roman"/>
          <w:sz w:val="24"/>
        </w:rPr>
        <w:tab/>
      </w:r>
    </w:p>
    <w:p>
      <w:pPr>
        <w:jc w:val="both"/>
        <w:widowControl/>
        <w:spacing w:lineRule="auto" w:line="360"/>
        <w:rPr>
          <w:rFonts w:ascii="Times New Roman" w:hAnsi="Times New Roman" w:cs="Times New Roman" w:eastAsia="Times New Roman"/>
          <w:sz w:val="24"/>
        </w:rPr>
      </w:pP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Contratação de Empresa para Prestação de serviço de transporte de Estudantes, para os Municípios de Erechim e Getúlio Vargas, com aproximadamente 292 km diários</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PRESTAÇÃO DE SERVIÇO DE TRANSPORTE DE ESTUDANTES, PARA OS MUNICÍPIOS DE ERECHIM E GETÚLIO VARGAS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Prestação de serviço de transporte de Estudantes, para os Municípios de Erechim e Getúlio Vargas, com aproximadamente 292 km diários. A empresa deverá apresentar a sua proposta com o valor do Quilometro rodado, conforme planilha em anexo.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Tendo o seguinte roteiro: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Trajetos Quatro Irmãos x Erechim - Alunos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Linha 01 - Mapa 06:00h - 50,7Km - Saída de Quatro Irmãos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Locais: Posto SIM Petrobras; Colégio Agrícola; CEJA; Escola Dr Sidney Guerra; Hospital Santa Terezinha; Colégio Imlau / Igreja; Colégio Haidée Tedesco Reali; Colégio JB – José Bonifácio; Colégio Mantovani; Colégio São José; URI Campus I</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Linha 01 - Mapa 11:45h - 41,4Km - Saída de Erechim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Locais: URI – Campus I; Colégio Haidée Tedesco Reali; Colégio São José; Colégio Mantovani; Escola JB – José Bonifácio; Escola Imlau; Hospital Santa Terezinha; CEJA; Posto SIM Petrobras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Linha 02 - Mapa 12:00h - 37,5Km - Saída de Quatro Irmãos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Locais: via Três Vendas; Locais: Colégio JB – José Bonifácio; URI Campus I</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Linha 02 -17:10 Alunos - 51,7Km - saída de Erechim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Locais: Colégio Agrícola; Escola Dr Sidney Guerra; Hospital Santa Terezinha; Escola José Bonifácio; Colégio São José; URI Campus I; Posto SIM Petrobras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Linha 03 - 17:55 e 22:45 Ida e volta a Erechim – 55,3Km x  2= total diário: 110,60 km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Locais: Posto SIM Petrobras; IFRS – Três Vendas; Unopar; Garra pré vestibular; Ávila; URI Campus I; URI Campus II</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b/>
            </w:r>
            <w:r>
              <w:rPr>
                <w:rFonts w:ascii="Courier New" w:hAnsi="Courier New" w:cs="Courier New" w:eastAsia="Courier New"/>
                <w:sz w:val="14"/>
              </w:rPr>
              <w:t>O ônibus deverá ter capacidade mínima de 40 passageiros, possuir banheiro, ar condicionado e calefação, com no máximo 12 anos de uso;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Linha 03 - Trajeto alternativo, com Getúlio Vargas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Mapa: 17:55 e 22:00 até IDEAU – 81,3Km - Saída de Quatro Irmãos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Locais: Posto SIM Petrobras; IFRS – Três Vendas; Unopar; Garra pré vestibular; Ávila; URI Campus I; URI Campus II; UFFS; IDEAU – Getúlio Vargas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65000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7,28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473.200,00</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60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balanço patrimonial, demonstração de resultado de exercício e demais demonstrações contábeis dos 2 (dois) últimos exercícios sociais;</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rPr>
      </w:pPr>
      <w:bookmarkStart w:id="12" w:name="art67_1"/>
      <w:bookmarkEnd w:id="12"/>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bookmarkStart w:id="13" w:name="art67_3"/>
      <w:bookmarkEnd w:id="13"/>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da proposta.</w:t>
      </w:r>
    </w:p>
    <w:p>
      <w:pPr>
        <w:jc w:val="both"/>
        <w:widowControl/>
        <w:spacing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4" w:name="art14iv"/>
      <w:bookmarkEnd w:id="1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5" w:name="art14v"/>
      <w:bookmarkEnd w:id="1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6" w:name="art14vi"/>
      <w:bookmarkEnd w:id="1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7" w:name="art59ii"/>
      <w:bookmarkEnd w:id="1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18" w:name="art59iii"/>
      <w:bookmarkEnd w:id="1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19" w:name="art59iv"/>
      <w:bookmarkEnd w:id="1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0" w:name="art59v"/>
      <w:bookmarkEnd w:id="2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1" w:name="art59_2"/>
      <w:bookmarkEnd w:id="21"/>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O intervalo mínimo de diferença de valores entre os lances será de 1 %,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2" w:name="art56_3ii"/>
      <w:bookmarkEnd w:id="22"/>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3" w:name="art58_4"/>
      <w:bookmarkEnd w:id="23"/>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4" w:name="art60i"/>
      <w:bookmarkEnd w:id="2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color w:val="000000"/>
        </w:rPr>
      </w:pPr>
      <w:bookmarkStart w:id="25" w:name="art60ii"/>
      <w:bookmarkEnd w:id="2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lineRule="auto" w:line="360"/>
        <w:rPr>
          <w:rFonts w:ascii="Times New Roman" w:hAnsi="Times New Roman" w:cs="Times New Roman" w:eastAsia="Times New Roman"/>
          <w:sz w:val="24"/>
          <w:color w:val="000000"/>
        </w:rPr>
      </w:pPr>
      <w:bookmarkStart w:id="26" w:name="art60iii"/>
      <w:bookmarkEnd w:id="2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desenvolvimento pelo licitante de ações de equidade entre homens e mulheres no ambiente de trabalho, conforme regulamento </w:t>
      </w:r>
      <w:r>
        <w:rPr>
          <w:rFonts w:ascii="Times New Roman" w:hAnsi="Times New Roman" w:cs="Times New Roman" w:eastAsia="Times New Roman"/>
          <w:b/>
          <w:sz w:val="24"/>
          <w:color w:val="FF0000"/>
        </w:rPr>
        <w:t>(SE HOUVER REGULAMENTO)</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sz w:val="24"/>
          <w:color w:val="000000"/>
        </w:rPr>
      </w:pPr>
      <w:bookmarkStart w:id="27" w:name="art60iv"/>
      <w:bookmarkEnd w:id="2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desenvolvimento pelo licitante de programa de integridade, conforme orientações dos órgãos de controle.</w:t>
      </w:r>
    </w:p>
    <w:p>
      <w:pPr>
        <w:jc w:val="both"/>
        <w:widowControl/>
        <w:spacing w:lineRule="auto" w:line="360"/>
        <w:rPr>
          <w:rFonts w:ascii="Times New Roman" w:hAnsi="Times New Roman" w:cs="Times New Roman" w:eastAsia="Times New Roman"/>
          <w:sz w:val="24"/>
          <w:color w:val="000000"/>
        </w:rPr>
      </w:pPr>
      <w:bookmarkStart w:id="28" w:name="art60_1"/>
      <w:bookmarkEnd w:id="28"/>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color w:val="000000"/>
        </w:rPr>
      </w:pPr>
      <w:bookmarkStart w:id="29" w:name="art60_1i"/>
      <w:bookmarkEnd w:id="2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color w:val="000000"/>
        </w:rPr>
      </w:pPr>
      <w:bookmarkStart w:id="30" w:name="art60_1ii"/>
      <w:bookmarkEnd w:id="3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lineRule="auto" w:line="360"/>
        <w:rPr>
          <w:rFonts w:ascii="Times New Roman" w:hAnsi="Times New Roman" w:cs="Times New Roman" w:eastAsia="Times New Roman"/>
          <w:sz w:val="24"/>
          <w:color w:val="000000"/>
        </w:rPr>
      </w:pPr>
      <w:bookmarkStart w:id="31" w:name="art60_1iii"/>
      <w:bookmarkEnd w:id="3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2" w:name="art60_1iv"/>
      <w:bookmarkEnd w:id="3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9">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33" w:name="art165ia"/>
      <w:bookmarkEnd w:id="3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34" w:name="art165ib"/>
      <w:bookmarkEnd w:id="3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5" w:name="art165ic"/>
      <w:bookmarkEnd w:id="3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6" w:name="art165id"/>
      <w:bookmarkEnd w:id="3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7" w:name="art165_1i"/>
      <w:bookmarkEnd w:id="3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38" w:name="art165_1ii"/>
      <w:bookmarkEnd w:id="3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39" w:name="art165ie"/>
      <w:bookmarkEnd w:id="39"/>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40" w:name="art71i"/>
      <w:bookmarkEnd w:id="4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41" w:name="art71ii"/>
      <w:bookmarkEnd w:id="4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42" w:name="art71iii"/>
      <w:bookmarkEnd w:id="4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43" w:name="art71iv"/>
      <w:bookmarkEnd w:id="4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44" w:name="art71_1"/>
      <w:bookmarkEnd w:id="44"/>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5" w:name="art90_1"/>
      <w:bookmarkEnd w:id="45"/>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6" w:name="art90_2"/>
      <w:bookmarkEnd w:id="46"/>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7" w:name="art90_3"/>
      <w:bookmarkEnd w:id="47"/>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48" w:name="art90_4"/>
      <w:bookmarkEnd w:id="48"/>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49" w:name="art90_4i"/>
      <w:bookmarkEnd w:id="4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50" w:name="art90_4ii"/>
      <w:bookmarkEnd w:id="5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51" w:name="art90_5"/>
      <w:bookmarkEnd w:id="51"/>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a contar da publicação do seu extrato no Diário Oficial do órgão licitante, podendo ser prorrogado uma vez, justificadamente, a critério da Administração, por igual período.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w:t>
      </w:r>
      <w:r>
        <w:rPr>
          <w:rFonts w:ascii="Times New Roman" w:hAnsi="Times New Roman" w:cs="Times New Roman" w:eastAsia="Times New Roman"/>
          <w:i/>
          <w:sz w:val="24"/>
        </w:rPr>
        <w:t>a partir do início do ano letivo de 2026</w:t>
      </w:r>
      <w:r>
        <w:rPr>
          <w:rFonts w:ascii="Times New Roman" w:hAnsi="Times New Roman" w:cs="Times New Roman" w:eastAsia="Times New Roman"/>
          <w:sz w:val="24"/>
        </w:rPr>
        <w:t xml:space="preserve">, a contar da ordem de início emitida pela Administração, podendo ser prorrogado uma vez, justificadamente, a critério da Administração, por igual período. </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w:t>
      </w:r>
      <w:r>
        <w:rPr>
          <w:rFonts w:ascii="Times New Roman" w:hAnsi="Times New Roman" w:cs="Times New Roman" w:eastAsia="Times New Roman"/>
          <w:i/>
          <w:sz w:val="24"/>
        </w:rPr>
        <w:t xml:space="preserve">Mensal conforme prestação do serviço, </w:t>
      </w:r>
      <w:r>
        <w:rPr>
          <w:rFonts w:ascii="Times New Roman" w:hAnsi="Times New Roman" w:cs="Times New Roman" w:eastAsia="Times New Roman"/>
          <w:sz w:val="24"/>
        </w:rPr>
        <w:t>a contar do recebimento da fatura acompanhada da planilha de medição, aprovada pelo servidor responsável pela fiscalização do contrato e pelo Secretário Municipal da Pasta responsável pela Obra.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01/06/03 - OUTROS GASTOS NA EDUCAÇÃO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12.364.0050.2043.0000 - Transporte Escolar do Ensino Superior com recursos proprios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3.3.90.39.74 - FRETES E TRANSPORTES  DE ENCOMENDAS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- 580</w:t>
      </w:r>
    </w:p>
    <w:p>
      <w:pPr>
        <w:jc w:val="both"/>
        <w:widowControl/>
        <w:spacing w:lineRule="auto" w:line="360"/>
        <w:tabs>
          <w:tab w:val="left" w:pos="1134"/>
        </w:tabs>
        <w:rPr>
          <w:rFonts w:ascii="Times New Roman" w:hAnsi="Times New Roman" w:cs="Times New Roman" w:eastAsia="Times New Roman"/>
          <w:b/>
          <w:sz w:val="24"/>
        </w:rPr>
      </w:pPr>
      <w:bookmarkStart w:id="52" w:name="_Hlk108092172"/>
      <w:bookmarkEnd w:id="52"/>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53" w:name="art155i"/>
      <w:bookmarkEnd w:id="5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54" w:name="art155ii"/>
      <w:bookmarkEnd w:id="5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5" w:name="art155iii"/>
      <w:bookmarkEnd w:id="55"/>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6" w:name="art155iv"/>
      <w:bookmarkEnd w:id="5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7" w:name="art155v"/>
      <w:bookmarkEnd w:id="57"/>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58" w:name="art155vi"/>
      <w:bookmarkEnd w:id="58"/>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59" w:name="art155vii"/>
      <w:bookmarkEnd w:id="59"/>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60" w:name="art155viii"/>
      <w:bookmarkEnd w:id="60"/>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61" w:name="art155ix"/>
      <w:bookmarkEnd w:id="61"/>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62" w:name="art155x"/>
      <w:bookmarkEnd w:id="62"/>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63" w:name="art155xi"/>
      <w:bookmarkEnd w:id="63"/>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64" w:name="art155xii"/>
      <w:bookmarkEnd w:id="64"/>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10"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5" w:name="art156"/>
      <w:bookmarkEnd w:id="65"/>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6" w:name="art156i"/>
      <w:bookmarkEnd w:id="6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7" w:name="art156ii"/>
      <w:bookmarkEnd w:id="6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68" w:name="art156iii"/>
      <w:bookmarkEnd w:id="6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69" w:name="art156iv"/>
      <w:bookmarkEnd w:id="6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70" w:name="art156_5"/>
      <w:bookmarkEnd w:id="70"/>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71" w:name="art156_7"/>
      <w:bookmarkEnd w:id="71"/>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72" w:name="art156_8"/>
      <w:bookmarkEnd w:id="72"/>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73" w:name="art156_9"/>
      <w:bookmarkEnd w:id="73"/>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4" w:name="art157"/>
      <w:bookmarkEnd w:id="74"/>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5" w:name="art158"/>
      <w:bookmarkEnd w:id="75"/>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6" w:name="art158_2"/>
      <w:bookmarkEnd w:id="76"/>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7" w:name="art158_3"/>
      <w:bookmarkEnd w:id="77"/>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78" w:name="art160"/>
      <w:bookmarkEnd w:id="78"/>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79" w:name="art163"/>
      <w:bookmarkEnd w:id="79"/>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80" w:name="art163i"/>
      <w:bookmarkEnd w:id="80"/>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81" w:name="art163ii"/>
      <w:bookmarkEnd w:id="81"/>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82" w:name="art163iii"/>
      <w:bookmarkEnd w:id="82"/>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83" w:name="art163iv"/>
      <w:bookmarkEnd w:id="83"/>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84" w:name="art163v"/>
      <w:bookmarkEnd w:id="84"/>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5" w:name="art163p"/>
      <w:bookmarkEnd w:id="85"/>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1">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2">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r>
        <w:rPr>
          <w:rFonts w:ascii="Times New Roman" w:hAnsi="Times New Roman" w:cs="Times New Roman" w:eastAsia="Times New Roman"/>
          <w:vertAlign w:val="superscript"/>
          <w:sz w:val="24"/>
        </w:rPr>
        <w:footnoteReference w:id="1"/>
      </w:r>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05/12/2025</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6" w:name="art156i"/>
      <w:bookmarkEnd w:id="86"/>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7" w:name="art156ii"/>
      <w:bookmarkEnd w:id="87"/>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8" w:name="art156iii"/>
      <w:bookmarkEnd w:id="88"/>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9" w:name="art156iv"/>
      <w:bookmarkEnd w:id="89"/>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90" w:name="art156_5"/>
      <w:bookmarkEnd w:id="90"/>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pPr>
        <w:spacing w:after="0" w:line="240" w:lineRule="auto"/>
      </w:pPr>
      <w:r>
        <w:separator/>
      </w:r>
    </w:p>
  </w:footnote>
  <w:footnote w:type="continuationSeparator" w:id="0">
    <w:p>
      <w:pPr>
        <w:spacing w:after="0" w:line="240" w:lineRule="auto"/>
      </w:pPr>
      <w:r>
        <w:continuationSeparator/>
      </w:r>
    </w:p>
  </w:footnote>
  <w:footnote w:id="1">
    <w:p>
      <w:pPr>
        <w:jc w:val="both"/>
        <w:widowControl/>
        <w:spacing w:lineRule="auto" w:line="360"/>
        <w:tabs>
          <w:tab w:val="left" w:pos="1134"/>
        </w:tabs>
      </w:pPr>
      <w:r>
        <w:rPr>
          <w:vertAlign w:val="superscript"/>
          <w:sz w:val="24"/>
        </w:rPr>
        <w:footnoteRef/>
      </w:r>
      <w:r>
        <w:t xml:space="preserve"> Essa disposição não consta na Lei nº 14.133/2021.</w:t>
      </w:r>
    </w:p>
  </w:footnote>
</w:footnote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Fn" Type="http://schemas.openxmlformats.org/officeDocument/2006/relationships/footnotes" Target="footnot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07-2010/2009/Lei/L12187.htm" TargetMode="External"/><Relationship Id="hrId10" Type="http://schemas.openxmlformats.org/officeDocument/2006/relationships/hyperlink" Target="http://www.planalto.gov.br/ccivil_03/_Ato2011-2014/2013/Lei/L12846.htm" TargetMode="External"/><Relationship Id="hrId11" Type="http://schemas.openxmlformats.org/officeDocument/2006/relationships/hyperlink" Target="mailto:compras@quatroirmaos.rs.gov.br" TargetMode="External"/><Relationship Id="hrId12"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