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31/2026</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31/2026</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Global</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000194/26</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Manutenção Escavadeira Hidráulica 922E.</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Manutenção Escavadeira Hidráulica 922E</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28/05/2026</w:t>
      </w:r>
      <w:r>
        <w:rPr>
          <w:rFonts w:ascii="Times New Roman" w:hAnsi="Times New Roman" w:cs="Times New Roman" w:eastAsia="Times New Roman"/>
          <w:sz w:val="24"/>
        </w:rPr>
        <w:t>, às 08:15, podendo as propostas e os documentos serem enviados até às 08:00,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ESTEIRA SEM SAPATA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20Y3200023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13.250,00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26.500,00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MAO DE OBRA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trocar rodante</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PARAFUSO C/PORCA 20Y3211210-093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392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7.056,00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PARAFUSO MOTRIZ 01B0489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RODA GUIA 20010200052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3.475,00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6.950,00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RODA MOTRIZ 81EM10013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ROLETE INFERIOR 71401360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915,00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12.810,00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ROLETE SUPERIOR 8E5600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3.200,00</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entrega dos produtos deverá ser feita no seguinte endereço: Rua Isidoro Eisenberg, s/n - Centro, em até </w:t>
      </w:r>
      <w:r>
        <w:rPr>
          <w:rFonts w:ascii="Times New Roman" w:hAnsi="Times New Roman" w:cs="Times New Roman" w:eastAsia="Times New Roman"/>
          <w:i/>
          <w:sz w:val="24"/>
        </w:rPr>
        <w:t>imediato</w:t>
      </w:r>
      <w:r>
        <w:rPr>
          <w:rFonts w:ascii="Times New Roman" w:hAnsi="Times New Roman" w:cs="Times New Roman" w:eastAsia="Times New Roman"/>
          <w:sz w:val="24"/>
        </w:rPr>
        <w:t xml:space="preserve"> , em horário de expediente, devendo comunicar-se previamente com o fiscal do contrato, para que este acompanhe a entrega.</w:t>
      </w:r>
    </w:p>
    <w:p>
      <w:pPr>
        <w:jc w:val="both"/>
        <w:spacing w:lineRule="auto" w:line="360"/>
        <w:pBdr>
          <w:top w:val="" w:sz="6"/>
          <w:left w:val="" w:sz="6"/>
          <w:bottom w:val="" w:sz="6"/>
          <w:right w:val="" w:sz="6"/>
          <w:between w:val="" w:sz="6"/>
        </w:pBdr>
        <w:rPr>
          <w:rFonts w:ascii="Times New Roman" w:hAnsi="Times New Roman" w:cs="Times New Roman" w:eastAsia="Times New Roman"/>
          <w:i/>
          <w:sz w:val="24"/>
          <w:color w:val="231F20"/>
          <w:shd w:val="clear" w:color="auto" w:fill="FFFF00"/>
        </w:rPr>
      </w:pPr>
      <w:r>
        <w:rPr>
          <w:rFonts w:ascii="Times New Roman" w:hAnsi="Times New Roman" w:cs="Times New Roman" w:eastAsia="Times New Roman"/>
          <w:i/>
          <w:sz w:val="24"/>
          <w:color w:val="231F20"/>
        </w:rPr>
        <w:tab/>
      </w:r>
      <w:r>
        <w:rPr>
          <w:rFonts w:ascii="Times New Roman" w:hAnsi="Times New Roman" w:cs="Times New Roman" w:eastAsia="Times New Roman"/>
          <w:i/>
          <w:sz w:val="24"/>
          <w:color w:val="231F20"/>
          <w:shd w:val="clear" w:color="auto" w:fill="FFFF00"/>
        </w:rPr>
        <w:t>Todas as despesas com o transporte do equipamento para execução dos serviços correrão por conta da empresa vencedora.</w:t>
      </w:r>
    </w:p>
    <w:p>
      <w:pPr>
        <w:jc w:val="both"/>
        <w:spacing w:lineRule="auto" w:line="360"/>
        <w:pBdr>
          <w:top w:val="" w:sz="6"/>
          <w:left w:val="" w:sz="6"/>
          <w:bottom w:val="" w:sz="6"/>
          <w:right w:val="" w:sz="6"/>
          <w:between w:val="" w:sz="6"/>
        </w:pBdr>
        <w:rPr>
          <w:rFonts w:ascii="Times New Roman" w:hAnsi="Times New Roman" w:cs="Times New Roman" w:eastAsia="Times New Roman"/>
          <w:i/>
          <w:sz w:val="24"/>
          <w:color w:val="231F20"/>
          <w:shd w:val="clear" w:color="auto" w:fill="FFFF00"/>
        </w:rPr>
      </w:pPr>
      <w:r>
        <w:rPr>
          <w:rFonts w:ascii="Times New Roman" w:hAnsi="Times New Roman" w:cs="Times New Roman" w:eastAsia="Times New Roman"/>
          <w:i/>
          <w:sz w:val="24"/>
          <w:color w:val="231F20"/>
        </w:rPr>
        <w:tab/>
      </w:r>
      <w:r>
        <w:rPr>
          <w:rFonts w:ascii="Times New Roman" w:hAnsi="Times New Roman" w:cs="Times New Roman" w:eastAsia="Times New Roman"/>
          <w:i/>
          <w:sz w:val="24"/>
          <w:color w:val="231F20"/>
          <w:shd w:val="clear" w:color="auto" w:fill="FFFF00"/>
        </w:rPr>
        <w:t xml:space="preserve">Acompanhamento dos Serviços: </w:t>
      </w:r>
    </w:p>
    <w:p>
      <w:pPr>
        <w:jc w:val="both"/>
        <w:spacing w:lineRule="auto" w:line="360"/>
        <w:pBdr>
          <w:top w:val="" w:sz="6"/>
          <w:left w:val="" w:sz="6"/>
          <w:bottom w:val="" w:sz="6"/>
          <w:right w:val="" w:sz="6"/>
          <w:between w:val="" w:sz="6"/>
        </w:pBdr>
        <w:rPr>
          <w:rFonts w:ascii="Times New Roman" w:hAnsi="Times New Roman" w:cs="Times New Roman" w:eastAsia="Times New Roman"/>
          <w:i/>
          <w:sz w:val="24"/>
          <w:color w:val="231F20"/>
          <w:shd w:val="clear" w:color="auto" w:fill="FFFF00"/>
        </w:rPr>
      </w:pPr>
      <w:r>
        <w:rPr>
          <w:rFonts w:ascii="Times New Roman" w:hAnsi="Times New Roman" w:cs="Times New Roman" w:eastAsia="Times New Roman"/>
          <w:i/>
          <w:sz w:val="24"/>
          <w:color w:val="231F20"/>
        </w:rPr>
        <w:tab/>
      </w:r>
      <w:r>
        <w:rPr>
          <w:rFonts w:ascii="Times New Roman" w:hAnsi="Times New Roman" w:cs="Times New Roman" w:eastAsia="Times New Roman"/>
          <w:i/>
          <w:sz w:val="24"/>
          <w:color w:val="231F20"/>
          <w:shd w:val="clear" w:color="auto" w:fill="FFFF00"/>
        </w:rPr>
        <w:t>O acompanhamento dos serviços será realizado conforme o que segue:</w:t>
      </w:r>
    </w:p>
    <w:p>
      <w:pPr>
        <w:jc w:val="both"/>
        <w:spacing w:lineRule="auto" w:line="360"/>
        <w:pBdr>
          <w:top w:val="" w:sz="6"/>
          <w:left w:val="" w:sz="6"/>
          <w:bottom w:val="" w:sz="6"/>
          <w:right w:val="" w:sz="6"/>
          <w:between w:val="" w:sz="6"/>
        </w:pBdr>
        <w:rPr>
          <w:rFonts w:ascii="Times New Roman" w:hAnsi="Times New Roman" w:cs="Times New Roman" w:eastAsia="Times New Roman"/>
          <w:i/>
          <w:sz w:val="24"/>
          <w:color w:val="231F20"/>
          <w:shd w:val="clear" w:color="auto" w:fill="FFFF00"/>
        </w:rPr>
      </w:pPr>
      <w:r>
        <w:rPr>
          <w:rFonts w:ascii="Times New Roman" w:hAnsi="Times New Roman" w:cs="Times New Roman" w:eastAsia="Times New Roman"/>
          <w:i/>
          <w:sz w:val="24"/>
          <w:color w:val="231F20"/>
        </w:rPr>
        <w:tab/>
      </w:r>
      <w:r>
        <w:rPr>
          <w:rFonts w:ascii="Times New Roman" w:hAnsi="Times New Roman" w:cs="Times New Roman" w:eastAsia="Times New Roman"/>
          <w:i/>
          <w:sz w:val="24"/>
          <w:color w:val="231F20"/>
          <w:shd w:val="clear" w:color="auto" w:fill="FFFF00"/>
        </w:rPr>
        <w:t>Primeira etapa: Um engenheiro mecânico, autorizado pelo Município, verificará a qualidade e a especificação das peças que foram solicitadas, o qual verificará se as mesmas atendem as especificações, antes delas serem instaladas.</w:t>
      </w:r>
    </w:p>
    <w:p>
      <w:pPr>
        <w:jc w:val="both"/>
        <w:spacing w:lineRule="auto" w:line="360"/>
        <w:pBdr>
          <w:top w:val="" w:sz="6"/>
          <w:left w:val="" w:sz="6"/>
          <w:bottom w:val="" w:sz="6"/>
          <w:right w:val="" w:sz="6"/>
          <w:between w:val="" w:sz="6"/>
        </w:pBdr>
        <w:rPr>
          <w:rFonts w:ascii="Times New Roman" w:hAnsi="Times New Roman" w:cs="Times New Roman" w:eastAsia="Times New Roman"/>
          <w:i/>
          <w:sz w:val="24"/>
          <w:color w:val="231F20"/>
          <w:shd w:val="clear" w:color="auto" w:fill="FFFF00"/>
        </w:rPr>
      </w:pPr>
      <w:r>
        <w:rPr>
          <w:rFonts w:ascii="Times New Roman" w:hAnsi="Times New Roman" w:cs="Times New Roman" w:eastAsia="Times New Roman"/>
          <w:i/>
          <w:sz w:val="24"/>
          <w:color w:val="231F20"/>
        </w:rPr>
        <w:tab/>
      </w:r>
      <w:r>
        <w:rPr>
          <w:rFonts w:ascii="Times New Roman" w:hAnsi="Times New Roman" w:cs="Times New Roman" w:eastAsia="Times New Roman"/>
          <w:i/>
          <w:sz w:val="24"/>
          <w:color w:val="231F20"/>
          <w:shd w:val="clear" w:color="auto" w:fill="FFFF00"/>
        </w:rPr>
        <w:t>Ao final: O engenheiro mecânico atestará que o produto fora devidamente instalado e entregue em conformidade.</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4">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5"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5.4.3.</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spacing w:lineRule="auto" w:line="360"/>
        <w:pBdr>
          <w:top w:val="" w:sz="6"/>
          <w:left w:val="" w:sz="6"/>
          <w:bottom w:val="" w:sz="6"/>
          <w:right w:val="" w:sz="6"/>
          <w:between w:val="" w:sz="6"/>
        </w:pBdr>
        <w:rPr>
          <w:rFonts w:ascii="Times New Roman" w:hAnsi="Times New Roman" w:cs="Times New Roman" w:eastAsia="Times New Roman"/>
          <w:b/>
          <w:sz w:val="24"/>
          <w:color w:val="231F20"/>
        </w:rPr>
      </w:pPr>
      <w:r>
        <w:rPr>
          <w:rFonts w:ascii="Times New Roman" w:hAnsi="Times New Roman" w:cs="Times New Roman" w:eastAsia="Times New Roman"/>
          <w:b/>
          <w:sz w:val="24"/>
          <w:color w:val="231F20"/>
        </w:rPr>
        <w:t>5.5 – QUALIFICAÇÃO TÉCNICA:</w:t>
      </w:r>
    </w:p>
    <w:p>
      <w:pPr>
        <w:jc w:val="both"/>
        <w:spacing w:lineRule="auto" w:line="360"/>
        <w:pBdr>
          <w:top w:val="" w:sz="6"/>
          <w:left w:val="" w:sz="6"/>
          <w:bottom w:val="" w:sz="6"/>
          <w:right w:val="" w:sz="6"/>
          <w:between w:val="" w:sz="6"/>
        </w:pBdr>
        <w:rPr>
          <w:rFonts w:ascii="Times New Roman" w:hAnsi="Times New Roman" w:cs="Times New Roman" w:eastAsia="Times New Roman"/>
          <w:sz w:val="24"/>
          <w:color w:val="231F20"/>
        </w:rPr>
      </w:pPr>
      <w:r>
        <w:rPr>
          <w:rFonts w:ascii="Times New Roman" w:hAnsi="Times New Roman" w:cs="Times New Roman" w:eastAsia="Times New Roman"/>
          <w:b/>
          <w:sz w:val="24"/>
          <w:color w:val="231F20"/>
        </w:rPr>
        <w:t>a)</w:t>
      </w:r>
      <w:r>
        <w:rPr>
          <w:rFonts w:ascii="Times New Roman" w:hAnsi="Times New Roman" w:cs="Times New Roman" w:eastAsia="Times New Roman"/>
          <w:sz w:val="24"/>
          <w:color w:val="231F20"/>
        </w:rPr>
        <w:t xml:space="preserve"> Certidão do CREA, em nome da proponente/licitante, atestando possuir responsável técnico na área de Engenharia Mecânica;</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6">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9.9</w:t>
      </w:r>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O intervalo mínimo de diferença de valores entre os lances será de 1 %, que incidirá tanto</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em relação aos lances intermediários, quanto em relação do lance que cobrir a melhor oferta.</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b/>
          <w:sz w:val="24"/>
        </w:rPr>
        <w:t>9.10</w:t>
      </w:r>
      <w:r>
        <w:rPr>
          <w:rFonts w:ascii="Times New Roman" w:hAnsi="Times New Roman" w:cs="Times New Roman" w:eastAsia="Times New Roman"/>
          <w:sz w:val="24"/>
        </w:rPr>
        <w:t xml:space="preserve"> O tempo total dos lances poderá ser comunicado formalmente pelo chat às empresas, quando se contatar que os lances são meramente protelatórios.</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7">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8">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01/05/02 - UNIDADES SUBORDINADAS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26.782.0101.2025.0000 - Conservação e Manutenção da Frota, Estradas e Pontes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3.3.90.30.39 - MATERIAL PARA MANUTENÇÃO DE VEÍCULOS; 3.3.90.39.19 - MANUTENCAO E CONSERVACAO DE VEICULOS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- 124; 129</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prestação dos serviçosda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imediato,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9"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Os pedidos de esclarecimentos referentes ao processo licitatório e os pedidos de impugnações poderão ser enviados até três dias úteis anteriores à data fixada para abertura da sessão pública, por meio do seguinte endereço eletrônico:</w:t>
      </w:r>
      <w:hyperlink r:id="hrId10">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1">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2">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 xml:space="preserve"> no local em que o respectivo pregão foi divulgado.</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12/05/2026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compras@quatroirmaos.rs.gov.br" TargetMode="External"/><Relationship Id="hrId4" Type="http://schemas.openxmlformats.org/officeDocument/2006/relationships/hyperlink" Target="mailto:contabilidade@quatroirmaos.rs.gov.br" TargetMode="External"/><Relationship Id="hrId5" Type="http://schemas.openxmlformats.org/officeDocument/2006/relationships/hyperlink" Target="http://www.planalto.gov.br/ccivil_03/Constituicao/Constituicao.htm" TargetMode="External"/><Relationship Id="hrId6" Type="http://schemas.openxmlformats.org/officeDocument/2006/relationships/hyperlink" Target="http://www.planalto.gov.br/ccivil_03/LEIS/L6404consol.htm" TargetMode="External"/><Relationship Id="hrId7" Type="http://schemas.openxmlformats.org/officeDocument/2006/relationships/hyperlink" Target="www.quatroirmaos.rs.gov.br" TargetMode="External"/><Relationship Id="hrId8" Type="http://schemas.openxmlformats.org/officeDocument/2006/relationships/hyperlink" Target="http://www.planalto.gov.br/ccivil_03/_Ato2007-2010/2009/Lei/L12187.htm" TargetMode="External"/><Relationship Id="hrId9" Type="http://schemas.openxmlformats.org/officeDocument/2006/relationships/hyperlink" Target="http://www.planalto.gov.br/ccivil_03/_Ato2011-2014/2013/Lei/L12846.htm" TargetMode="External"/><Relationship Id="hrId10" Type="http://schemas.openxmlformats.org/officeDocument/2006/relationships/hyperlink" Target="mailto:compras@quatroirmaos.rs.gov.br" TargetMode="External"/><Relationship Id="hrId11" Type="http://schemas.openxmlformats.org/officeDocument/2006/relationships/hyperlink" Target="mailto:contabilidade@quatroirmaos.rs.gov.br" TargetMode="External"/><Relationship Id="hrId12"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