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before="120"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41/2026</w:t>
      </w:r>
    </w:p>
    <w:p>
      <w:pPr>
        <w:jc w:val="center"/>
        <w:widowControl/>
        <w:spacing w:after="120"/>
        <w:rPr>
          <w:rFonts w:ascii="Times New Roman" w:hAnsi="Times New Roman" w:cs="Times New Roman" w:eastAsia="Times New Roman"/>
          <w:b/>
          <w:sz w:val="24"/>
        </w:rPr>
      </w:pPr>
      <w:r>
        <w:rPr>
          <w:rFonts w:ascii="Times New Roman" w:hAnsi="Times New Roman" w:cs="Times New Roman" w:eastAsia="Times New Roman"/>
          <w:b/>
          <w:sz w:val="24"/>
        </w:rPr>
        <w:t>REGISTRO DE PREÇOS</w:t>
      </w:r>
    </w:p>
    <w:p>
      <w:pPr>
        <w:widowControl/>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53" w:right="57"/>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before="12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41/2026</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Tipo de julgamento: Menor Preco Unitario</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ind w:firstLine="1134"/>
        <w:spacing w:before="12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before="120"/>
        <w:rPr>
          <w:rFonts w:ascii="Times New Roman" w:hAnsi="Times New Roman" w:cs="Times New Roman" w:eastAsia="Times New Roman"/>
          <w:sz w:val="24"/>
        </w:rPr>
      </w:pPr>
      <w:r>
        <w:rPr>
          <w:rFonts w:ascii="Times New Roman" w:hAnsi="Times New Roman" w:cs="Times New Roman" w:eastAsia="Times New Roman"/>
          <w:sz w:val="24"/>
        </w:rPr>
        <w:t>Processo nº 000277/26</w:t>
      </w:r>
    </w:p>
    <w:p>
      <w:pPr>
        <w:jc w:val="both"/>
        <w:widowControl/>
        <w:ind w:firstLine="1134"/>
        <w:spacing w:before="12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4248" w:right="57" w:firstLine="5"/>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 xml:space="preserve">Edital de pregão eletrônico para a contratação de empresa para o fornecimento de </w:t>
      </w:r>
      <w:r>
        <w:rPr>
          <w:rFonts w:ascii="Times New Roman" w:hAnsi="Times New Roman" w:cs="Times New Roman" w:eastAsia="Times New Roman"/>
          <w:b/>
          <w:sz w:val="24"/>
          <w:shd w:val="clear" w:color="auto" w:fill="FFFF00"/>
        </w:rPr>
        <w:t>Registro de Preços para Aquisição de Materiais de Informática (Computadores e Periféricos).</w:t>
      </w:r>
    </w:p>
    <w:p>
      <w:pPr>
        <w:jc w:val="both"/>
        <w:widowControl/>
        <w:ind w:left="57" w:right="57" w:firstLine="397"/>
        <w:spacing w:before="120" w:lineRule="exact" w:line="28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before="120" w:lineRule="exact" w:line="28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o fornecimento, com a entrega imediata e integral, de </w:t>
      </w:r>
      <w:r>
        <w:rPr>
          <w:rFonts w:ascii="Times New Roman" w:hAnsi="Times New Roman" w:cs="Times New Roman" w:eastAsia="Times New Roman"/>
          <w:b/>
          <w:sz w:val="24"/>
          <w:shd w:val="clear" w:color="auto" w:fill="FFFF00"/>
        </w:rPr>
        <w:t>Registro de Preços para Aquisição de Materiais de Informática (Computadores e Periféricos)</w:t>
      </w:r>
      <w:r>
        <w:rPr>
          <w:rFonts w:ascii="Times New Roman" w:hAnsi="Times New Roman" w:cs="Times New Roman" w:eastAsia="Times New Roman"/>
          <w:sz w:val="24"/>
        </w:rPr>
        <w:t>, conforme descrito nesse edital e seus anexos, e nos termos da Lei Federal nº 14.133 de 1º de abril de 2021.</w:t>
      </w:r>
    </w:p>
    <w:p>
      <w:pPr>
        <w:jc w:val="both"/>
        <w:widowControl/>
        <w:ind w:firstLine="70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09/07/2026</w:t>
      </w:r>
      <w:r>
        <w:rPr>
          <w:rFonts w:ascii="Times New Roman" w:hAnsi="Times New Roman" w:cs="Times New Roman" w:eastAsia="Times New Roman"/>
          <w:sz w:val="24"/>
        </w:rPr>
        <w:t>, às 13:15, podendo as propostas e os documentos serem enviados até às 13:00, sendo que todas as referências de tempo observam o horário de Brasília.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Constitui objeto da presente licitação a contratação para o fornecimento dos seguintes produtos, cujas descrições e condições de entrega estão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COMPUTADOR (DESKTOP-BÁSICO)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Microcomputador desktop de primeiro uso (novo), acondicionado em embalagem original do fabricante, composto por gabinete, CPU, sistema operacional e acessórios, com as seguintes especificações mínimas: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Processador: Processador de arquitetura x86, com no mínimo 4 (quatro) núcleos físicos, frequência básica de operação de no mínimo 3.0 GHz, memória cache de no mínimo 6 MB. Deve possuir gráficos integrados de alta definição e ser compatível nativamente com o sistema operacional ofertado.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Memória RAM: Mínimo de 8 GB, tecnologia DDR4 ou superior, operando em frequência mínima de 2666 MHz.</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Armazenamento: Unidade de estado sólido (SSD) com capacidade mínima de 240 GB, interface SATA III ou NVMe, com velocidade de leitura de no mínimo 500 MB/s.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Placa-Mãe: Integrada ao gabinete, com suporte aos componentes cotados, possuindo no mínimo: 1 (uma) porta de rede Gigabit Ethernet (10/100/1000 Mbps) RJ-45; no mínimo 4 (quatro) portas USB (sendo pelo menos duas USB 3.0 ou superior); 1 (uma) saída de vídeo digital (HDMI ou DisplayPort) e 1 (uma) saída VGA; conexões de áudio (microfone e fone de ouvido).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Gabinete e Fonte: Gabinete tipo torre ou minitorre, com fonte de alimentação compatível com a demanda energética dos componentes, com PFC ativo, bivolt automático (110V/220V).</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Periféricos Inclusos: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01 (um) Teclado padrão ABNT2, conexão USB.</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01 (um) Mouse óptico com scroll, resolução mínima de 1000 DPI, conexão USB.</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Sistema Operacional: Pré-instalado de fábrica, com licença original, perpétua e regularizada do Sistema Operacional Windows 11 Pro (64 bits) ou equivalente corporativo, em língua portuguesa, com suporte a ingresso em domínio de rede e direito a atualizações de segurança.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Garantia: Garantia técnica integral dos equipamentos de, no mínimo, 12 (doze) meses, modalidade on-site (atendimento no local de instalação).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33</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2.359,75</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77.871,75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CONDICIONADOR DE ENERGIA (NOBREAK)</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Alimentação Ininterrupta (Nobreak) Monofásico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Potência Nominal: Mínimo de 1200 VA (Volt-Amperes) / Potência real mínima de 600 W (Watts).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Topologia: Interativo com Regulação Automática de Voltagem (AVR) integrada, atuando na correção de sub/sobretensões da rede elétrica sem descarregar as baterias.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Forma de Onda: Senoidal por aproximação (semi-senoidal / PWM) em modo bateria.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Tensão/Voltagem: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Entrada: Bivolt Automático (115V / 127V / 220V).</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Saída: Selecionável ou fixa em 115V (conforme padrão dos computadores do órgão).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Conectividade de Saída: No mínimo 06 tomadas de saída no padrão brasileiro (NBR 14136, 3 pinos), todas conectadas à bateria e com proteção contra surtos.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Autonomia: Tempo de autonomia mínimo de 15 a 30 minutos para 01 microcomputador de escritório com monitor LED (carga típica de 100W a 120W), garantindo tempo suficiente para salvamento de arquivos e desligamento seguro do sistema.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Bateria: Bateria(s) interna(s) selada(s), livre(s) de manutenção (VRLA). Deve possuir a função Cold Start (permite ligar o nobreak e alimentar os equipamentos mesmo na ausência total de energia da rede elétrica).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Sinalizações e Alertas: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Sinalização visual (via LEDs no painel frontal) para indicar o status do equipamento (Rede Elétrica, Bateria, Carga, Falha/Sobrecarga).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Sinalização sonora para alertas de queda de rede, fim da vida útil da bateria e sobrecarga.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Proteções Integradas: Proteção contra curto-circuito na saída, surtos de tensão (surtos atmosféricos/raios), descarga total das baterias e sobreaquecimento.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961,87</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19.237,40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DISPOSITIVO DE ARMAZENAMENTO PORTATIL (PEN DRIVE)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Capacidade de Armazenamento: Mínimo de 64 GB (Gigabytes).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Interface/Conectividade: Conexão USB 3.0 (também denominada USB 3.1 Gen 1 ou USB 3.2 Gen 1) ou superior, com conector padrão Tipo-A. Deve possuir retrocompatibilidade total com portas USB 2.0.</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Desempenho (Velocidade):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Velocidade mínima de leitura sequencial: 100 MB/s (Megabytes por segundo).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Velocidade mínima de escrita/gravação sequencial: 15 MB/s.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Compatibilidade de Sistemas: Compatibilidade nativa (Plug and Play, dispensando instalação de drivers adicionais) com sistemas operacionais Microsoft Windows (10, 11 e versões corporativas), macOS e distribuições Linux.</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Construção e Design:</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Gabinete/Corpo fabricado em material de alta resistência (plástico ABS injetado, alumínio ou metal).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Design que ofereça proteção ao conector USB (seja por meio de tampa removível, conector retrátil ou corpo giratório).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Presença de orifício ou argola integrada ao corpo do dispositivo para fixação em chaveiros ou cordões de identificação.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Tipo de Memória: Tecnologia de memória flash NAND de alta durabilidade e confiabilidade na retenção de dados.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69,48</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2.779,20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MICROCOMPUTADOR (DESKTOP INTERMEDIARIO)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Processador: Intel Core i5 de 12ª geração ou superior (ou processador de outra marca com desempenho equivalente ou superior, avaliado por testes de benchmark reconhecidos, como PassMark); mínimo de 6 núcleos físicos e frequência base de 2.5 GHz.</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Memória RAM: Mínimo de 16 GB, padrão DDR4 ou DDR5, operando em modo Dual Channel (2x 8 GB ou suporte a expansão); frequência mínima de 3200 MHz.</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Armazenamento: SSD (Solid State Drive) com capacidade mínima de 500 GB, tecnologia NVMe PCIe, com velocidade de leitura sequencial mínima de 2000 MB/s.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Placa-Mãe: Compatível com o processador ofertado, possuindo no mínimo: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01 porta de rede Gigabit Ethernet (10/100/1000 Mbps) integrada (RJ-45).</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04 portas USB (sendo pelo menos duas USB 3.0 ou superior).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01 saída de vídeo digital (HDMI 1.4 ou DisplayPort).</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Canais de áudio integrados (entrada de microfone e saída de som).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Gabinete: Tipo torre (ATX ou Micro-ATX) ou Formato Compacto (SFF), com fonte de alimentação compatível com a demanda energética dos componentes instalados (com certificação mínima 80 Plus), chaveamento automático de tensão (110V/220V).</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Periféricos Inclusos: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01 Teclado padrão ABNT2, conexão USB.</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01 Mouse óptico, com scroll, resolução mínima de 1000 DPI, conexão USB.</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Sistema Operacional: Microsoft Windows 11 Pro de 64 bits (ou versão corporativa mais recente disponível no mercado), devidamente licenciado de fábrica (licença OEM ou por volume vinculada ao equipamento), em português do Brasil.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24</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3.531,13</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84.747,12</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MONITOR DE VIDEO LED DESEMPENHO INSTITUCIONAL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Tamanho da Tela: Mínimo de 18,5 polegadas a 19,5 polegadas (medida diagonal).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Tecnologia do Painel: Tecnologia LED (Light Emitting Diode) ou superior.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Resolução Nativa Mínima: HD ou superior, com suporte a resoluções de no mínimo 1366x768 (proporção 16:9 ou 16:10).</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Acabamento da Tela: Tratamento antirreflexo (Anti-glare), visando o conforto visual em ambientes com iluminação de escritório.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Conectividade (Interfaces de Vídeo):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No mínimo 01 entrada de vídeo digital HDMI (com cabo incluso).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No mínimo 01 entrada de vídeo analógica VGA (D-Sub), garantindo retrocompatibilidade com computadores antigos da frota institucional.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Parâmetros de Imagem: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Brilho mínimo: 200 cd/m².</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Contraste estático mínimo: 600:1.</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Tempo de resposta máximo: 5 ms (milissegundos).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Ergonomia e Ajustes: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Acompanhado de base/suporte de mesa original com ajuste de inclinação (tilt) vertical.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Furação traseira padrão VESA (mínimo de 75x75mm ou 100x100mm) para fixação do monitor em suportes articulados de mesa ou parede.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Alimentação Elétrica: Fonte de alimentação integrada ao gabinete do monitor ou externa, bivolt automático (110V/220V), acompanhada de cabo de força no padrão brasileiro (NBR 14136).</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Cor: Predominantemente preta ou cinza-escura.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471,31</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12.254,06</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MONITOR DE VIDEO LED FULL  HD</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Tamanho da Tela: Mínimo de 23,8 polegadas a 24 polegadas (medida diagonal).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Tecnologia do Painel: Tecnologia LED (Light Emitting Diode), com painel do tipo IPS (In-Plane Switching) ou VA (Vertical Alignment), garantindo amplo ângulo de visão (mínimo de 178° horizontal e vertical) sem distorção de cores.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Resolução Nativa Mínima: Full HD (1920 x 1080 pixels), na proporção Widescreen (16:9).</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Taxa de Atualização: Mínima de 60 Hz ou superior.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Acabamento da Tela: Tratamento antirreflexo (Anti-glare).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Conectividade (Interfaces de Vídeo):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No mínimo 01 entrada de vídeo digital HDMI (com cabo incluso).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No mínimo 01 entrada de vídeo digital DisplayPort OU 01 entrada analógica VGA (D-Sub).</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Parâmetros de Imagem: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Brilho mínimo: 250 cd/m².</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Contraste estático mínimo: 1000:1.</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Tempo de resposta máximo: 5 ms (milissegundos).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Recursos de Conforto Visual: Presença de tecnologias de redução de cintilação (Flicker-Free) e filtro de emissão de luz azul (Low Blue Light), visando diminuir a fadiga ocular do usuário durante longas jornadas de trabalho.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Ergonomia e Ajustes: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Acompanhado de base/suporte de mesa original com ajuste de inclinação (tilt) vertical.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Furação traseira padrão VESA (mínimo de 100x100mm) para fixação do monitor em braços articulados ou suportes de parede.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Alimentação Elétrica: Fonte de alimentação bivolt automático (110V/220V), acompanhada de cabo de força no padrão brasileiro (NBR 14136).</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Cor: Predominantemente preta ou cinza-escura.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25</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840,09</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21.002,25</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MOUSE ÓPTICO PERIFERICO P/COMPUTADOR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Tecnologia de Rastreamento: Sensor óptico de alta precisão.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Resolução: Resolução mínima de 1000 DPI (Dots Per Inch), garantindo movimentação fluida e precisa do cursor em telas de alta definição.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Conectividade: Conexão com fio via interface USB 2.0 (ou superior), sistema Plug and Play (reconhecimento automático pelo sistema operacional, sem necessidade de instalação de drivers manuais).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Comprimento do Cabo: Cabo flexível com comprimento mínimo de 1,5 metros.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Botões e Recursos: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No mínimo 03 botões funcionais (botão esquerdo, botão direito e botão central integrado à roda de rolagem).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Presença de roda de rolagem (Scroll Wheel) emborrachada ou com textura aderente, para navegação vertical em documentos e páginas web.</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Ergonomia e Design:</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Design ergonômico e ambidestro (formato simétrico que permita a utilização confortável tanto por usuários destros quanto canhotos).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Dimensões de tamanho padrão (Full Size/Tamanho convencional de escritório), com comprimento do corpo do mouse adequado para ergonomia (aproximadamente entre 10 cm e 12 cm), evitando mini-mouses.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Compatibilidade: Compatibilidade nativa com os sistemas operacionais Microsoft Windows (versões 10, 11 e corporativas) e distribuições Linux.</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Cor: Predominantemente preta ou cinza-escura.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40,09</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801,80</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MOUSE ÓPTICO PERIFERICO S/FIO P/COMPUTADOR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Tecnologia de Rastreamento: Sensor óptico de alta precisão.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Resolução: Resolução mínima de 1000 DPI (Dots Per Inch), garantindo movimentação fluida e precisa do cursor em telas de alta definição.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Conectividade Sem Fio: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Conexão sem fio via radiofrequência digital de 2.4 GHz com alcance mínimo de funcionamento de até 10 metros de distância do receptor.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Acompanhado de micro receptor USB (formato Nano ou Plug-and-Forget), com sistema Plug and Play (reconhecimento automático pelo sistema operacional sem necessidade de instalação manual de drivers).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Gerenciamento de Energia: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Alimentação por pilha(s) comercial(is) (AA ou AAA) inclusa(s) na embalagem do produto.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Presença de recurso de gerenciamento inteligente de energia (modo de repouso/espera automático após período de inatividade) e/ou chave física liga/desliga (On/Off) na parte inferior, visando prolongar a vida útil da bateria.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Botões e Recursos: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No mínimo 03 botões funcionais (botão esquerdo, botão direito e botão central integrado à roda de rolagem).</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Presença de roda de rolagem (Scroll Wheel) para navegação vertical em documentos.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Ergonomia e Design:</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Design ergonômico e ambidestro (formato simétrico que permita a utilização confortável tanto por usuários destros quanto canhotos).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Tamanho padrão de escritório (Full Size), com comprimento do corpo do mouse adequado para ergonomia (aproximadamente entre 10 cm e 12 cm), evitando mini-mouses portáteis.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Compatibilidade: Compatibilidade nativa com os sistemas operacionais Microsoft Windows (versões 10, 11 e corporativas) e distribuições Linux.</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Cor: Predominantemente preta ou cinza-escura.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16</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69,64</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1.114,24</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9</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NOTEBOOK (INTERMEDIARIO)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Processador: Intel Core i5 de 12ª geração ou superior, ou processador de outra marca com desempenho equivalente ou superior (avaliado por testes de benchmark reconhecidos, como PassMark); mínimo de 6 núcleos físicos.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Memória RAM: Mínimo de 8 GB, padrão DDR4 ou DDR5, com frequência mínima de 3200 MHz.</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Armazenamento: SSD (Solid State Drive) com capacidade mínima de 240 GB (ou 256 GB, conforme padrão comercial atual), tecnologia NVMe PCIe.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Tela/Vídeo: Tela de no mínimo 15,6 polegadas, com resolução nativa mínima Full HD (1920x1080), tecnologia antirreflexo. Placa de vídeo integrada ao processador.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Conectividade e Portas: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Placa de rede sem fio (Wi-Fi) padrão 802.11ac (Wi-Fi 5) ou superior.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Conexão Bluetooth 5.0 ou superior.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No mínimo 02 portas USB (sendo pelo menos uma USB 3.0 ou superior / Tipo-C).</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01 saída de vídeo digital HDMI.</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01 conector combinado para fone de ouvido / microfone.</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Recursos Integrados: Webcam com resolução mínima HD (720p), microfone e alto-falantes integrados.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Teclado e Touchpad: Teclado padrão ABNT2 (com teclado numérico dedicado integrado) e touchpad com suporte a gestos múltiplos.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Bateria e Alimentação: Bateria interna recarregável com autonomia mínima de 4 horas em uso moderado, acompanhada de fonte de alimentação/carregador compatível, bivolt automático (110V/220V), padrão de tomada brasileiro (NBR 14136).</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Sistema Operacional: Microsoft Windows 11 Pro de 64 bits (ou versão corporativa mais recente disponível no mercado), devidamente licenciado de fábrica (licença OEM ou por volume vinculada ao equipamento), em português do Brasil.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19</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4.634,86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88.062,34</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10</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TECLADO PERIFERICO P/MICROCOMPUTADOR</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Padrão de Layout: Padrão brasileiro ABNT2 (com a tecla "Ç" física e disposição de acentos conforme normas técnicas vigentes).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Conectividade: Conexão com fio via interface USB 2.0 (ou superior), sistema Plug and Play (dispensando a necessidade de instalação de softwares ou drivers adicionais para funcionamento básico).</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Comprimento do Cabo: Cabo com comprimento mínimo de 1,5 metros.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Teclas e Recursos: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Mínimo de 104 teclas no total.</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Presença de teclado numérico integrado (bloco numérico dedicado à direita).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Teclas com caracteres impressos de alta durabilidade (gravação a laser ou processo equivalente que evite o desgaste prematuro da identificação das letras).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Ergonomia e Design:</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Design ergonômico, contendo pés de apoio retráteis na base inferior para ajuste de inclinação e altura.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Canais de escoamento para proteção contra derramamento acidental de líquidos (sistema de resistência a respingos).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Compatibilidade: Compatibilidade total com os sistemas operacionais Microsoft Windows (versões 10, 11 e corporativas) e distribuições Linux.</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w:t>
            </w:r>
            <w:r>
              <w:rPr>
                <w:rFonts w:ascii="Courier New" w:hAnsi="Courier New" w:cs="Courier New" w:eastAsia="Courier New"/>
                <w:sz w:val="14"/>
              </w:rPr>
              <w:tab/>
            </w:r>
            <w:r>
              <w:rPr>
                <w:rFonts w:ascii="Courier New" w:hAnsi="Courier New" w:cs="Courier New" w:eastAsia="Courier New"/>
                <w:sz w:val="14"/>
              </w:rPr>
              <w:t>Cor: Predominantemente preta ou cinza-escura.</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40</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56,76</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2.270,40</w:t>
            </w:r>
          </w:p>
        </w:tc>
      </w:tr>
    </w:tbl>
    <w:p>
      <w:pPr>
        <w:jc w:val="both"/>
        <w:widowControl/>
        <w:ind w:firstLine="1134"/>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 entrega dos produtos deverá ser feita no seguinte endereço: Rua Isidoro Eisenberg, s/n - Centro, em até  , em horário de expediente, devendo comunicar-se previamente com o fiscal do contrato, para que este acompanhe a entrega.</w:t>
      </w:r>
    </w:p>
    <w:p>
      <w:pPr>
        <w:jc w:val="both"/>
        <w:widowControl/>
        <w:ind w:firstLine="1418"/>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 xml:space="preserve">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ou solicitadas por meio do seguinte endereço de email: </w:t>
      </w:r>
      <w:hyperlink r:id="hrId3">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4">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Outros eventuais documentos complementares à proposta e à habilitação, que venham a ser solicitados pelo pregoeiro, deverão ser encaminhados no prazo máximo de 1 dia útil.</w:t>
      </w:r>
    </w:p>
    <w:p>
      <w:pPr>
        <w:jc w:val="both"/>
        <w:widowControl/>
        <w:spacing w:before="120" w:lineRule="auto" w:line="36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60 dias, a contar da data de abertura da sessão do pregão, estabelecida no preâmbulo desse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com a indicação completa do produto ofertado, incluindo marca, modelo, referências e demais dados técnicos, bem como com a indicação dos valores unitários e totais dos itens, englobando a tributação, os custos de entrega e quaisquer outras despesas incidentes para o cumprimento das obrigações assumidas.</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c) </w:t>
      </w:r>
      <w:r>
        <w:rPr>
          <w:rFonts w:ascii="Times New Roman" w:hAnsi="Times New Roman" w:cs="Times New Roman" w:eastAsia="Times New Roman"/>
          <w:sz w:val="24"/>
        </w:rPr>
        <w:t>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before="120" w:lineRule="auto" w:line="360"/>
        <w:rPr>
          <w:rFonts w:ascii="Times New Roman" w:hAnsi="Times New Roman" w:cs="Times New Roman" w:eastAsia="Times New Roman"/>
          <w:sz w:val="24"/>
          <w:color w:val="000000"/>
        </w:rPr>
      </w:pPr>
      <w:bookmarkStart w:id="0" w:name="art68i"/>
      <w:bookmarkEnd w:id="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ou no Cadastro Nacional da Pessoa Jurídica (CNPJ);</w:t>
      </w:r>
    </w:p>
    <w:p>
      <w:pPr>
        <w:jc w:val="both"/>
        <w:widowControl/>
        <w:spacing w:before="120" w:lineRule="auto" w:line="360"/>
        <w:rPr>
          <w:rFonts w:ascii="Times New Roman" w:hAnsi="Times New Roman" w:cs="Times New Roman" w:eastAsia="Times New Roman"/>
          <w:sz w:val="24"/>
          <w:color w:val="000000"/>
        </w:rPr>
      </w:pPr>
      <w:bookmarkStart w:id="1" w:name="art68ii"/>
      <w:bookmarkEnd w:id="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before="120" w:lineRule="auto" w:line="360"/>
        <w:rPr>
          <w:rFonts w:ascii="Times New Roman" w:hAnsi="Times New Roman" w:cs="Times New Roman" w:eastAsia="Times New Roman"/>
          <w:sz w:val="24"/>
          <w:color w:val="000000"/>
        </w:rPr>
      </w:pPr>
      <w:bookmarkStart w:id="2" w:name="art68iii"/>
      <w:bookmarkEnd w:id="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ou outra equivalente, na forma da lei;</w:t>
      </w:r>
    </w:p>
    <w:p>
      <w:pPr>
        <w:jc w:val="both"/>
        <w:widowControl/>
        <w:spacing w:before="120" w:lineRule="auto" w:line="360"/>
        <w:rPr>
          <w:rFonts w:ascii="Times New Roman" w:hAnsi="Times New Roman" w:cs="Times New Roman" w:eastAsia="Times New Roman"/>
          <w:sz w:val="24"/>
          <w:color w:val="000000"/>
        </w:rPr>
      </w:pPr>
      <w:bookmarkStart w:id="3" w:name="art68iv"/>
      <w:bookmarkEnd w:id="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before="120" w:lineRule="auto" w:line="360"/>
        <w:rPr>
          <w:rFonts w:ascii="Times New Roman" w:hAnsi="Times New Roman" w:cs="Times New Roman" w:eastAsia="Times New Roman"/>
          <w:sz w:val="24"/>
          <w:color w:val="000000"/>
        </w:rPr>
      </w:pPr>
      <w:bookmarkStart w:id="4" w:name="art68v"/>
      <w:bookmarkEnd w:id="4"/>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before="120" w:lineRule="auto" w:line="360"/>
        <w:rPr>
          <w:rFonts w:ascii="Times New Roman" w:hAnsi="Times New Roman" w:cs="Times New Roman" w:eastAsia="Times New Roman"/>
          <w:sz w:val="24"/>
        </w:rPr>
      </w:pPr>
      <w:bookmarkStart w:id="5" w:name="art68vi"/>
      <w:bookmarkEnd w:id="5"/>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5"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tabs>
          <w:tab w:val="left" w:pos="1215"/>
        </w:tabs>
        <w:rPr>
          <w:rFonts w:ascii="Times New Roman" w:hAnsi="Times New Roman" w:cs="Times New Roman" w:eastAsia="Times New Roman"/>
          <w:b/>
          <w:sz w:val="24"/>
        </w:rPr>
      </w:pPr>
      <w:bookmarkStart w:id="6" w:name="art68_1"/>
      <w:bookmarkEnd w:id="6"/>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7" w:name="_Hlk508883518"/>
      <w:bookmarkEnd w:id="7"/>
      <w:r>
        <w:rPr>
          <w:rFonts w:ascii="Times New Roman" w:hAnsi="Times New Roman" w:cs="Times New Roman" w:eastAsia="Times New Roman"/>
          <w:b/>
          <w:sz w:val="24"/>
        </w:rPr>
        <w:t>a)</w:t>
      </w:r>
      <w:r>
        <w:rPr>
          <w:rFonts w:ascii="Times New Roman" w:hAnsi="Times New Roman" w:cs="Times New Roman" w:eastAsia="Times New Roman"/>
          <w:sz w:val="24"/>
        </w:rPr>
        <w:t xml:space="preserve"> certidão negativa de falência expedida pelo distribuidor da sede da pessoa jurídica, em prazo não superior a 90 (noventa)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5.4.1.</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8" w:name="art64i"/>
      <w:bookmarkEnd w:id="8"/>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9" w:name="art64ii"/>
      <w:bookmarkEnd w:id="9"/>
      <w:r>
        <w:rPr>
          <w:rFonts w:ascii="Times New Roman" w:hAnsi="Times New Roman" w:cs="Times New Roman" w:eastAsia="Times New Roman"/>
          <w:sz w:val="24"/>
          <w:color w:val="000000"/>
        </w:rPr>
        <w:t xml:space="preserve">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5.4.2.</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5.2.5.</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6. GARANTIA DE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garantia da proposta.</w:t>
      </w:r>
    </w:p>
    <w:p>
      <w:pPr>
        <w:jc w:val="both"/>
        <w:widowControl/>
        <w:spacing w:before="120" w:lineRule="auto" w:line="360"/>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de contrato, direta ou indiretamente: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before="120" w:lineRule="auto" w:line="360"/>
        <w:rPr>
          <w:rFonts w:ascii="Times New Roman" w:hAnsi="Times New Roman" w:cs="Times New Roman" w:eastAsia="Times New Roman"/>
          <w:sz w:val="24"/>
          <w:color w:val="000000"/>
        </w:rPr>
      </w:pPr>
      <w:bookmarkStart w:id="10" w:name="art14iv"/>
      <w:bookmarkEnd w:id="1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before="120" w:lineRule="auto" w:line="360"/>
        <w:rPr>
          <w:rFonts w:ascii="Times New Roman" w:hAnsi="Times New Roman" w:cs="Times New Roman" w:eastAsia="Times New Roman"/>
          <w:sz w:val="24"/>
          <w:color w:val="000000"/>
        </w:rPr>
      </w:pPr>
      <w:bookmarkStart w:id="11" w:name="art14v"/>
      <w:bookmarkEnd w:id="1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6">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before="120" w:lineRule="auto" w:line="360"/>
        <w:rPr>
          <w:rFonts w:ascii="Times New Roman" w:hAnsi="Times New Roman" w:cs="Times New Roman" w:eastAsia="Times New Roman"/>
          <w:sz w:val="24"/>
          <w:color w:val="000000"/>
        </w:rPr>
      </w:pPr>
      <w:bookmarkStart w:id="12" w:name="art14vi"/>
      <w:bookmarkEnd w:id="1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before="120"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 xml:space="preserve">Iniciada a sessão, as propostas de preços contendo a descrição do objeto e do valor estarão disponíveis na </w:t>
      </w:r>
      <w:r>
        <w:rPr>
          <w:rFonts w:ascii="Times New Roman" w:hAnsi="Times New Roman" w:cs="Times New Roman" w:eastAsia="Times New Roman"/>
          <w:i/>
          <w:sz w:val="24"/>
        </w:rPr>
        <w:t>internet</w:t>
      </w:r>
      <w:r>
        <w:rPr>
          <w:rFonts w:ascii="Times New Roman" w:hAnsi="Times New Roman" w:cs="Times New Roman" w:eastAsia="Times New Roman"/>
          <w:sz w:val="24"/>
        </w:rPr>
        <w:t>.</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before="120" w:lineRule="auto" w:line="360"/>
        <w:rPr>
          <w:rFonts w:ascii="Times New Roman" w:hAnsi="Times New Roman" w:cs="Times New Roman" w:eastAsia="Times New Roman"/>
          <w:sz w:val="24"/>
          <w:color w:val="000000"/>
        </w:rPr>
      </w:pPr>
      <w:bookmarkStart w:id="13" w:name="art59ii"/>
      <w:bookmarkEnd w:id="1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before="120" w:lineRule="auto" w:line="360"/>
        <w:rPr>
          <w:rFonts w:ascii="Times New Roman" w:hAnsi="Times New Roman" w:cs="Times New Roman" w:eastAsia="Times New Roman"/>
          <w:sz w:val="24"/>
          <w:color w:val="000000"/>
        </w:rPr>
      </w:pPr>
      <w:bookmarkStart w:id="14" w:name="art59iii"/>
      <w:bookmarkEnd w:id="1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before="120" w:lineRule="auto" w:line="360"/>
        <w:rPr>
          <w:rFonts w:ascii="Times New Roman" w:hAnsi="Times New Roman" w:cs="Times New Roman" w:eastAsia="Times New Roman"/>
          <w:sz w:val="24"/>
          <w:color w:val="000000"/>
        </w:rPr>
      </w:pPr>
      <w:bookmarkStart w:id="15" w:name="art59iv"/>
      <w:bookmarkEnd w:id="1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before="120" w:lineRule="auto" w:line="360"/>
        <w:rPr>
          <w:rFonts w:ascii="Times New Roman" w:hAnsi="Times New Roman" w:cs="Times New Roman" w:eastAsia="Times New Roman"/>
          <w:sz w:val="24"/>
          <w:color w:val="000000"/>
        </w:rPr>
      </w:pPr>
      <w:bookmarkStart w:id="16" w:name="art59v"/>
      <w:bookmarkEnd w:id="1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before="120" w:lineRule="auto" w:line="360"/>
        <w:tabs>
          <w:tab w:val="left" w:pos="1134"/>
        </w:tabs>
        <w:rPr>
          <w:rFonts w:ascii="Times New Roman" w:hAnsi="Times New Roman" w:cs="Times New Roman" w:eastAsia="Times New Roman"/>
          <w:sz w:val="24"/>
        </w:rPr>
      </w:pPr>
      <w:bookmarkStart w:id="17" w:name="art59_2"/>
      <w:bookmarkEnd w:id="17"/>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before="120" w:lineRule="auto" w:line="360"/>
        <w:rPr>
          <w:rFonts w:ascii="Times New Roman" w:hAnsi="Times New Roman" w:cs="Times New Roman" w:eastAsia="Times New Roman"/>
          <w:sz w:val="24"/>
          <w:color w:val="000000"/>
        </w:rPr>
      </w:pPr>
      <w:bookmarkStart w:id="18" w:name="art56_3ii"/>
      <w:bookmarkEnd w:id="18"/>
      <w:r>
        <w:rPr>
          <w:rFonts w:ascii="Times New Roman" w:hAnsi="Times New Roman" w:cs="Times New Roman" w:eastAsia="Times New Roman"/>
          <w:b/>
          <w:sz w:val="24"/>
          <w:color w:val="000000"/>
        </w:rPr>
        <w:t>9.7.5</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9.9</w:t>
      </w:r>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O intervalo mínimo de diferença de valores entre os lances será de 1 %, que incidirá tanto</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em relação aos lances intermediários, quanto em relação do lance que cobrir a melhor oferta.</w:t>
      </w:r>
    </w:p>
    <w:p>
      <w:pPr>
        <w:jc w:val="both"/>
        <w:spacing w:lineRule="auto" w:line="360"/>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b/>
          <w:sz w:val="24"/>
        </w:rPr>
        <w:t>9.10</w:t>
      </w:r>
      <w:r>
        <w:rPr>
          <w:rFonts w:ascii="Times New Roman" w:hAnsi="Times New Roman" w:cs="Times New Roman" w:eastAsia="Times New Roman"/>
          <w:sz w:val="24"/>
        </w:rPr>
        <w:t xml:space="preserve"> O tempo total dos lances poderá ser comunicado formalmente pelo chat às empresas, quando se contatar que os lances são meramente protelatórios.</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19" w:name="art58_4"/>
      <w:bookmarkEnd w:id="19"/>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7">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w:t>
      </w:r>
      <w:r>
        <w:rPr>
          <w:rFonts w:ascii="Times New Roman" w:hAnsi="Times New Roman" w:cs="Times New Roman" w:eastAsia="Times New Roman"/>
          <w:i/>
          <w:sz w:val="24"/>
        </w:rPr>
        <w:t>a</w:t>
      </w:r>
      <w:r>
        <w:rPr>
          <w:rFonts w:ascii="Times New Roman" w:hAnsi="Times New Roman" w:cs="Times New Roman" w:eastAsia="Times New Roman"/>
          <w:sz w:val="24"/>
        </w:rPr>
        <w:t xml:space="preserve"> deste item.</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before="120" w:lineRule="auto" w:line="360"/>
        <w:rPr>
          <w:rFonts w:ascii="Times New Roman" w:hAnsi="Times New Roman" w:cs="Times New Roman" w:eastAsia="Times New Roman"/>
          <w:sz w:val="24"/>
          <w:color w:val="000000"/>
        </w:rPr>
      </w:pPr>
      <w:bookmarkStart w:id="20" w:name="art60i"/>
      <w:bookmarkEnd w:id="2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before="120" w:lineRule="auto" w:line="360"/>
        <w:rPr>
          <w:rFonts w:ascii="Times New Roman" w:hAnsi="Times New Roman" w:cs="Times New Roman" w:eastAsia="Times New Roman"/>
          <w:sz w:val="24"/>
          <w:color w:val="000000"/>
        </w:rPr>
      </w:pPr>
      <w:bookmarkStart w:id="21" w:name="art60ii"/>
      <w:bookmarkEnd w:id="2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before="120"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before="120" w:lineRule="auto" w:line="360"/>
        <w:rPr>
          <w:rFonts w:ascii="Times New Roman" w:hAnsi="Times New Roman" w:cs="Times New Roman" w:eastAsia="Times New Roman"/>
          <w:sz w:val="24"/>
          <w:color w:val="000000"/>
        </w:rPr>
      </w:pPr>
      <w:bookmarkStart w:id="22" w:name="art60_1"/>
      <w:bookmarkEnd w:id="22"/>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before="120" w:lineRule="auto" w:line="360"/>
        <w:rPr>
          <w:rFonts w:ascii="Times New Roman" w:hAnsi="Times New Roman" w:cs="Times New Roman" w:eastAsia="Times New Roman"/>
          <w:sz w:val="24"/>
          <w:color w:val="000000"/>
        </w:rPr>
      </w:pPr>
      <w:bookmarkStart w:id="23" w:name="art60_1i"/>
      <w:bookmarkEnd w:id="2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before="120" w:lineRule="auto" w:line="360"/>
        <w:rPr>
          <w:rFonts w:ascii="Times New Roman" w:hAnsi="Times New Roman" w:cs="Times New Roman" w:eastAsia="Times New Roman"/>
          <w:sz w:val="24"/>
          <w:color w:val="000000"/>
        </w:rPr>
      </w:pPr>
      <w:bookmarkStart w:id="24" w:name="art60_1ii"/>
      <w:bookmarkEnd w:id="2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before="120" w:lineRule="auto" w:line="360"/>
        <w:rPr>
          <w:rFonts w:ascii="Times New Roman" w:hAnsi="Times New Roman" w:cs="Times New Roman" w:eastAsia="Times New Roman"/>
          <w:sz w:val="24"/>
          <w:color w:val="000000"/>
        </w:rPr>
      </w:pPr>
      <w:bookmarkStart w:id="25" w:name="art60_1iii"/>
      <w:bookmarkEnd w:id="2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before="120" w:lineRule="auto" w:line="360"/>
        <w:rPr>
          <w:rFonts w:ascii="Times New Roman" w:hAnsi="Times New Roman" w:cs="Times New Roman" w:eastAsia="Times New Roman"/>
          <w:u w:color="auto"/>
          <w:sz w:val="24"/>
          <w:color w:val="000000"/>
        </w:rPr>
      </w:pPr>
      <w:bookmarkStart w:id="26" w:name="art60_1iv"/>
      <w:bookmarkEnd w:id="2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8">
        <w:r>
          <w:rPr>
            <w:rFonts w:ascii="Times New Roman" w:hAnsi="Times New Roman" w:cs="Times New Roman" w:eastAsia="Times New Roman"/>
            <w:u w:color="auto"/>
            <w:sz w:val="24"/>
            <w:color w:val="000000"/>
          </w:rPr>
          <w:t>Lei nº 12.187, de 29 de dezembro de 2009.</w:t>
        </w:r>
      </w:hyperlink>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before="120" w:lineRule="auto" w:line="360"/>
        <w:rPr>
          <w:rFonts w:ascii="Times New Roman" w:hAnsi="Times New Roman" w:cs="Times New Roman" w:eastAsia="Times New Roman"/>
          <w:sz w:val="24"/>
          <w:color w:val="000000"/>
        </w:rPr>
      </w:pPr>
      <w:bookmarkStart w:id="27" w:name="art165ia"/>
      <w:bookmarkEnd w:id="2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before="120" w:lineRule="auto" w:line="360"/>
        <w:rPr>
          <w:rFonts w:ascii="Times New Roman" w:hAnsi="Times New Roman" w:cs="Times New Roman" w:eastAsia="Times New Roman"/>
          <w:sz w:val="24"/>
          <w:color w:val="000000"/>
        </w:rPr>
      </w:pPr>
      <w:bookmarkStart w:id="28" w:name="art165ib"/>
      <w:bookmarkEnd w:id="2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before="120" w:lineRule="auto" w:line="360"/>
        <w:rPr>
          <w:rFonts w:ascii="Times New Roman" w:hAnsi="Times New Roman" w:cs="Times New Roman" w:eastAsia="Times New Roman"/>
          <w:sz w:val="24"/>
          <w:color w:val="000000"/>
        </w:rPr>
      </w:pPr>
      <w:bookmarkStart w:id="29" w:name="art165ic"/>
      <w:bookmarkEnd w:id="29"/>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before="120" w:lineRule="auto" w:line="360"/>
        <w:rPr>
          <w:rFonts w:ascii="Times New Roman" w:hAnsi="Times New Roman" w:cs="Times New Roman" w:eastAsia="Times New Roman"/>
          <w:sz w:val="24"/>
          <w:color w:val="000000"/>
        </w:rPr>
      </w:pPr>
      <w:bookmarkStart w:id="30" w:name="art165id"/>
      <w:bookmarkEnd w:id="30"/>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before="120" w:lineRule="auto" w:line="360"/>
        <w:rPr>
          <w:rFonts w:ascii="Times New Roman" w:hAnsi="Times New Roman" w:cs="Times New Roman" w:eastAsia="Times New Roman"/>
          <w:sz w:val="24"/>
          <w:color w:val="000000"/>
        </w:rPr>
      </w:pPr>
      <w:bookmarkStart w:id="31" w:name="art165_1i"/>
      <w:bookmarkEnd w:id="31"/>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before="120" w:lineRule="auto" w:line="360"/>
        <w:rPr>
          <w:rFonts w:ascii="Times New Roman" w:hAnsi="Times New Roman" w:cs="Times New Roman" w:eastAsia="Times New Roman"/>
          <w:sz w:val="24"/>
          <w:color w:val="000000"/>
        </w:rPr>
      </w:pPr>
      <w:bookmarkStart w:id="32" w:name="art165_1ii"/>
      <w:bookmarkEnd w:id="32"/>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bookmarkStart w:id="33" w:name="art165ie"/>
      <w:bookmarkEnd w:id="33"/>
      <w:r>
        <w:rPr>
          <w:rFonts w:ascii="Times New Roman" w:hAnsi="Times New Roman" w:cs="Times New Roman" w:eastAsia="Times New Roman"/>
          <w:b/>
          <w:sz w:val="24"/>
        </w:rPr>
        <w:t>15. ENCERRAMENTO DA LICITAÇÃO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before="120" w:lineRule="auto" w:line="360"/>
        <w:rPr>
          <w:rFonts w:ascii="Times New Roman" w:hAnsi="Times New Roman" w:cs="Times New Roman" w:eastAsia="Times New Roman"/>
          <w:sz w:val="24"/>
          <w:color w:val="000000"/>
        </w:rPr>
      </w:pPr>
      <w:bookmarkStart w:id="34" w:name="art71i"/>
      <w:bookmarkEnd w:id="3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before="120" w:lineRule="auto" w:line="360"/>
        <w:rPr>
          <w:rFonts w:ascii="Times New Roman" w:hAnsi="Times New Roman" w:cs="Times New Roman" w:eastAsia="Times New Roman"/>
          <w:sz w:val="24"/>
          <w:color w:val="000000"/>
        </w:rPr>
      </w:pPr>
      <w:bookmarkStart w:id="35" w:name="art71ii"/>
      <w:bookmarkEnd w:id="3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before="120" w:lineRule="auto" w:line="360"/>
        <w:rPr>
          <w:rFonts w:ascii="Times New Roman" w:hAnsi="Times New Roman" w:cs="Times New Roman" w:eastAsia="Times New Roman"/>
          <w:sz w:val="24"/>
          <w:color w:val="000000"/>
        </w:rPr>
      </w:pPr>
      <w:bookmarkStart w:id="36" w:name="art71iii"/>
      <w:bookmarkEnd w:id="3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before="120" w:lineRule="auto" w:line="360"/>
        <w:rPr>
          <w:rFonts w:ascii="Times New Roman" w:hAnsi="Times New Roman" w:cs="Times New Roman" w:eastAsia="Times New Roman"/>
          <w:sz w:val="24"/>
          <w:color w:val="000000"/>
        </w:rPr>
      </w:pPr>
      <w:bookmarkStart w:id="37" w:name="art71iv"/>
      <w:bookmarkEnd w:id="3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before="120" w:lineRule="auto" w:line="360"/>
        <w:tabs>
          <w:tab w:val="left" w:pos="1134"/>
        </w:tabs>
        <w:rPr>
          <w:rFonts w:ascii="Times New Roman" w:hAnsi="Times New Roman" w:cs="Times New Roman" w:eastAsia="Times New Roman"/>
          <w:b/>
          <w:sz w:val="24"/>
          <w:color w:val="000000"/>
        </w:rPr>
      </w:pPr>
      <w:bookmarkStart w:id="38" w:name="art71_1"/>
      <w:bookmarkEnd w:id="38"/>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sob pena de decair o direito à contratação, sem prejuízo das sanções previstas neste Edital.</w:t>
      </w:r>
    </w:p>
    <w:p>
      <w:pPr>
        <w:jc w:val="both"/>
        <w:widowControl/>
        <w:spacing w:before="120" w:lineRule="auto" w:line="360"/>
        <w:rPr>
          <w:rFonts w:ascii="Times New Roman" w:hAnsi="Times New Roman" w:cs="Times New Roman" w:eastAsia="Times New Roman"/>
          <w:sz w:val="24"/>
          <w:color w:val="000000"/>
        </w:rPr>
      </w:pPr>
      <w:bookmarkStart w:id="39" w:name="art90_1"/>
      <w:bookmarkEnd w:id="39"/>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before="120" w:lineRule="auto" w:line="360"/>
        <w:rPr>
          <w:rFonts w:ascii="Times New Roman" w:hAnsi="Times New Roman" w:cs="Times New Roman" w:eastAsia="Times New Roman"/>
          <w:sz w:val="24"/>
          <w:color w:val="000000"/>
        </w:rPr>
      </w:pPr>
      <w:bookmarkStart w:id="40" w:name="art90_2"/>
      <w:bookmarkEnd w:id="40"/>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before="120" w:lineRule="auto" w:line="360"/>
        <w:rPr>
          <w:rFonts w:ascii="Times New Roman" w:hAnsi="Times New Roman" w:cs="Times New Roman" w:eastAsia="Times New Roman"/>
          <w:sz w:val="24"/>
          <w:color w:val="000000"/>
        </w:rPr>
      </w:pPr>
      <w:bookmarkStart w:id="41" w:name="art90_3"/>
      <w:bookmarkEnd w:id="41"/>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before="120" w:lineRule="auto" w:line="360"/>
        <w:rPr>
          <w:rFonts w:ascii="Times New Roman" w:hAnsi="Times New Roman" w:cs="Times New Roman" w:eastAsia="Times New Roman"/>
          <w:sz w:val="24"/>
          <w:color w:val="000000"/>
        </w:rPr>
      </w:pPr>
      <w:bookmarkStart w:id="42" w:name="art90_4"/>
      <w:bookmarkEnd w:id="42"/>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before="120" w:lineRule="auto" w:line="360"/>
        <w:rPr>
          <w:rFonts w:ascii="Times New Roman" w:hAnsi="Times New Roman" w:cs="Times New Roman" w:eastAsia="Times New Roman"/>
          <w:sz w:val="24"/>
          <w:color w:val="000000"/>
        </w:rPr>
      </w:pPr>
      <w:bookmarkStart w:id="43" w:name="art90_4i"/>
      <w:bookmarkEnd w:id="4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before="120" w:lineRule="auto" w:line="360"/>
        <w:rPr>
          <w:rFonts w:ascii="Times New Roman" w:hAnsi="Times New Roman" w:cs="Times New Roman" w:eastAsia="Times New Roman"/>
          <w:sz w:val="24"/>
          <w:color w:val="000000"/>
        </w:rPr>
      </w:pPr>
      <w:bookmarkStart w:id="44" w:name="art90_4ii"/>
      <w:bookmarkEnd w:id="4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before="120" w:lineRule="auto" w:line="360"/>
        <w:rPr>
          <w:rFonts w:ascii="Times New Roman" w:hAnsi="Times New Roman" w:cs="Times New Roman" w:eastAsia="Times New Roman"/>
          <w:sz w:val="24"/>
          <w:color w:val="000000"/>
        </w:rPr>
      </w:pPr>
      <w:bookmarkStart w:id="45" w:name="art90_5"/>
      <w:bookmarkEnd w:id="45"/>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before="120"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17. VIGÊNCIA DO CONTRATO </w:t>
      </w:r>
    </w:p>
    <w:p>
      <w:pPr>
        <w:jc w:val="both"/>
        <w:widowControl/>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O termo inicial do contrato será o de sua assinatura e o final ocorrerá ao final do exercício vigente.</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18. PRAZOS E CONDIÇÕES DE PAGAMENTO</w:t>
      </w:r>
    </w:p>
    <w:p>
      <w:pPr>
        <w:jc w:val="both"/>
        <w:widowControl/>
        <w:spacing w:before="120" w:lineRule="auto" w:line="360"/>
        <w:tabs>
          <w:tab w:val="left" w:pos="1134"/>
        </w:tabs>
        <w:rPr>
          <w:rFonts w:ascii="Times New Roman" w:hAnsi="Times New Roman" w:cs="Times New Roman" w:eastAsia="Times New Roman"/>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pagamento será efetuado contra empenho, após o recebimento do objeto, e mediante apresentação da Nota Fiscal/Fatura, correndo a despesa na seguinte dotação orçamentária: </w:t>
      </w:r>
      <w:r>
        <w:rPr>
          <w:rFonts w:ascii="Times New Roman" w:hAnsi="Times New Roman" w:cs="Times New Roman" w:eastAsia="Times New Roman"/>
        </w:rPr>
        <w:t>01/03/01 - SECRETARIA DA ADMINISTRAÇÃO; 01/06/02 - GASTOS NA EDUCAÇÃO MANUTENÇAO DO ENSINO - MDE; 01/08/01 - FUNDO MUNICIPAL DE SAÚDE; 01/09/04 - SETOR DE URBANISMO E ILUMINAÇÃO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04.122.0010.2007.0000 - Atividades da Secretaria Municipal da Administração; 04.126.0017.1003.0000 - Informatização dos Serviços Administrativos; 10.302.0107.1013.0000 - Aquisição de Equipamentos e Aparelhos Ambulatoriais - ASPS; 10.302.0107.2071.0000 - Assistencia Médica, Sanitária e Odontologica a população com recursos do ASPS; 12.361.0047.2030.0000 - Manutenção Geral do Ensino Fundamental (MDE); 12.365.0041.2034.0000 - Manutenção Geral do Ensino Infantil (Pre-Escolar) c/recursos dos 25% da Educação; 15.452.0057.2156.0000 - Manutenção do Setor de Urbanismo</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3.3.90.30.17 - MATERIAL DE T.I.C. (CONSUMO); 4.4.90.52.35 - MATERIAL DE T.I.C. (PERMANENTE); 4.4.90.52.41 - EQUIPAMENTOS DE T.I.C. - COMPUTADORES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- 38; 45; 59; 183; 202; 340; 346; 501</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18.2. </w:t>
      </w:r>
      <w:r>
        <w:rPr>
          <w:rFonts w:ascii="Times New Roman" w:hAnsi="Times New Roman" w:cs="Times New Roman" w:eastAsia="Times New Roman"/>
          <w:sz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18.3. </w:t>
      </w:r>
      <w:r>
        <w:rPr>
          <w:rFonts w:ascii="Times New Roman" w:hAnsi="Times New Roman" w:cs="Times New Roman" w:eastAsia="Times New Roman"/>
          <w:sz w:val="24"/>
        </w:rPr>
        <w:t xml:space="preserve">O pagamento será efetuado no prazo de máximo de </w:t>
      </w:r>
      <w:r>
        <w:rPr>
          <w:rFonts w:ascii="Times New Roman" w:hAnsi="Times New Roman" w:cs="Times New Roman" w:eastAsia="Times New Roman"/>
          <w:i/>
          <w:sz w:val="24"/>
        </w:rPr>
        <w:t>em até 30 dias após a entrega dos produtosda</w:t>
      </w:r>
      <w:r>
        <w:rPr>
          <w:rFonts w:ascii="Times New Roman" w:hAnsi="Times New Roman" w:cs="Times New Roman" w:eastAsia="Times New Roman"/>
          <w:sz w:val="24"/>
        </w:rPr>
        <w:t xml:space="preserve"> entrega total do(s) produto(s).</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RECEBIMENTO DO OBJETO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O prazo de entrega integral dos produtos é de , a contar da emissão da ordem de fornecimento.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Os materiais deverão ser entregues no Almoxarifado Central, sito na Rua Isidoro Eisenberg, s/n, no horário das 08:00 às 12:00 e das 13:00 às 17:00.</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Verificada a desconformidade de algum dos produtos, a licitante vencedora deverá promover as correções necessárias no prazo máximo de 10 dias, sujeitando-se às penalidades previstas neste edital.</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19.4.</w:t>
      </w:r>
      <w:r>
        <w:rPr>
          <w:rFonts w:ascii="Times New Roman" w:hAnsi="Times New Roman" w:cs="Times New Roman" w:eastAsia="Times New Roman"/>
          <w:sz w:val="24"/>
        </w:rPr>
        <w:t xml:space="preserve"> O material a ser entregue deverá ser adequadamente acondicionado, de forma a permitir a completa preservação do mesmo e sua segurança durante o transporte.</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19.5.</w:t>
      </w:r>
      <w:r>
        <w:rPr>
          <w:rFonts w:ascii="Times New Roman" w:hAnsi="Times New Roman" w:cs="Times New Roman" w:eastAsia="Times New Roman"/>
          <w:sz w:val="24"/>
        </w:rPr>
        <w:t xml:space="preserve"> A nota fiscal/fatura deverá, obrigatoriamente, ser entregue junto com o seu objeto.</w:t>
      </w:r>
    </w:p>
    <w:p>
      <w:pPr>
        <w:jc w:val="both"/>
        <w:widowControl/>
        <w:ind w:firstLine="1418"/>
        <w:spacing w:before="120"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before="120" w:lineRule="auto" w:line="360"/>
        <w:rPr>
          <w:rFonts w:ascii="Times New Roman" w:hAnsi="Times New Roman" w:cs="Times New Roman" w:eastAsia="Times New Roman"/>
          <w:sz w:val="24"/>
          <w:color w:val="000000"/>
        </w:rPr>
      </w:pPr>
      <w:bookmarkStart w:id="46" w:name="art155i"/>
      <w:bookmarkEnd w:id="4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before="120" w:lineRule="auto" w:line="360"/>
        <w:rPr>
          <w:rFonts w:ascii="Times New Roman" w:hAnsi="Times New Roman" w:cs="Times New Roman" w:eastAsia="Times New Roman"/>
          <w:sz w:val="24"/>
          <w:color w:val="000000"/>
        </w:rPr>
      </w:pPr>
      <w:bookmarkStart w:id="47" w:name="art155ii"/>
      <w:bookmarkEnd w:id="4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before="120" w:lineRule="auto" w:line="360"/>
        <w:rPr>
          <w:rFonts w:ascii="Times New Roman" w:hAnsi="Times New Roman" w:cs="Times New Roman" w:eastAsia="Times New Roman"/>
          <w:sz w:val="24"/>
          <w:color w:val="000000"/>
        </w:rPr>
      </w:pPr>
      <w:bookmarkStart w:id="48" w:name="art155iii"/>
      <w:bookmarkEnd w:id="48"/>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before="120" w:lineRule="auto" w:line="360"/>
        <w:rPr>
          <w:rFonts w:ascii="Times New Roman" w:hAnsi="Times New Roman" w:cs="Times New Roman" w:eastAsia="Times New Roman"/>
          <w:sz w:val="24"/>
          <w:color w:val="000000"/>
        </w:rPr>
      </w:pPr>
      <w:bookmarkStart w:id="49" w:name="art155iv"/>
      <w:bookmarkEnd w:id="4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before="120" w:lineRule="auto" w:line="360"/>
        <w:rPr>
          <w:rFonts w:ascii="Times New Roman" w:hAnsi="Times New Roman" w:cs="Times New Roman" w:eastAsia="Times New Roman"/>
          <w:sz w:val="24"/>
          <w:color w:val="000000"/>
        </w:rPr>
      </w:pPr>
      <w:bookmarkStart w:id="50" w:name="art155v"/>
      <w:bookmarkEnd w:id="5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before="120" w:lineRule="auto" w:line="360"/>
        <w:rPr>
          <w:rFonts w:ascii="Times New Roman" w:hAnsi="Times New Roman" w:cs="Times New Roman" w:eastAsia="Times New Roman"/>
          <w:sz w:val="24"/>
          <w:color w:val="000000"/>
        </w:rPr>
      </w:pPr>
      <w:bookmarkStart w:id="51" w:name="art155vi"/>
      <w:bookmarkEnd w:id="51"/>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before="120" w:lineRule="auto" w:line="360"/>
        <w:rPr>
          <w:rFonts w:ascii="Times New Roman" w:hAnsi="Times New Roman" w:cs="Times New Roman" w:eastAsia="Times New Roman"/>
          <w:sz w:val="24"/>
          <w:color w:val="000000"/>
        </w:rPr>
      </w:pPr>
      <w:bookmarkStart w:id="52" w:name="art155vii"/>
      <w:bookmarkEnd w:id="52"/>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before="120" w:lineRule="auto" w:line="360"/>
        <w:rPr>
          <w:rFonts w:ascii="Times New Roman" w:hAnsi="Times New Roman" w:cs="Times New Roman" w:eastAsia="Times New Roman"/>
          <w:sz w:val="24"/>
          <w:color w:val="000000"/>
        </w:rPr>
      </w:pPr>
      <w:bookmarkStart w:id="53" w:name="art155viii"/>
      <w:bookmarkEnd w:id="53"/>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before="120" w:lineRule="auto" w:line="360"/>
        <w:rPr>
          <w:rFonts w:ascii="Times New Roman" w:hAnsi="Times New Roman" w:cs="Times New Roman" w:eastAsia="Times New Roman"/>
          <w:sz w:val="24"/>
          <w:color w:val="000000"/>
        </w:rPr>
      </w:pPr>
      <w:bookmarkStart w:id="54" w:name="art155ix"/>
      <w:bookmarkEnd w:id="54"/>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before="120" w:lineRule="auto" w:line="360"/>
        <w:rPr>
          <w:rFonts w:ascii="Times New Roman" w:hAnsi="Times New Roman" w:cs="Times New Roman" w:eastAsia="Times New Roman"/>
          <w:sz w:val="24"/>
          <w:color w:val="000000"/>
        </w:rPr>
      </w:pPr>
      <w:bookmarkStart w:id="55" w:name="art155x"/>
      <w:bookmarkEnd w:id="55"/>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before="120" w:lineRule="auto" w:line="360"/>
        <w:rPr>
          <w:rFonts w:ascii="Times New Roman" w:hAnsi="Times New Roman" w:cs="Times New Roman" w:eastAsia="Times New Roman"/>
          <w:sz w:val="24"/>
          <w:color w:val="000000"/>
        </w:rPr>
      </w:pPr>
      <w:bookmarkStart w:id="56" w:name="art155xi"/>
      <w:bookmarkEnd w:id="56"/>
      <w:r>
        <w:rPr>
          <w:rFonts w:ascii="Times New Roman" w:hAnsi="Times New Roman" w:cs="Times New Roman" w:eastAsia="Times New Roman"/>
          <w:b/>
          <w:sz w:val="24"/>
          <w:color w:val="000000"/>
        </w:rPr>
        <w:t>k)</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before="120" w:lineRule="auto" w:line="360"/>
        <w:rPr>
          <w:rFonts w:ascii="Times New Roman" w:hAnsi="Times New Roman" w:cs="Times New Roman" w:eastAsia="Times New Roman"/>
          <w:u w:val="single" w:color="auto"/>
          <w:sz w:val="24"/>
          <w:color w:val="0000FF"/>
        </w:rPr>
      </w:pPr>
      <w:bookmarkStart w:id="57" w:name="art155xii"/>
      <w:bookmarkEnd w:id="57"/>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 lesivo previsto no </w:t>
      </w:r>
      <w:hyperlink r:id="hrId9"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before="120" w:lineRule="auto" w:line="360"/>
        <w:rPr>
          <w:rFonts w:ascii="Times New Roman" w:hAnsi="Times New Roman" w:cs="Times New Roman" w:eastAsia="Times New Roman"/>
          <w:sz w:val="24"/>
          <w:color w:val="000000"/>
        </w:rPr>
      </w:pPr>
      <w:bookmarkStart w:id="58" w:name="art156"/>
      <w:bookmarkEnd w:id="58"/>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before="120" w:lineRule="auto" w:line="360"/>
        <w:rPr>
          <w:rFonts w:ascii="Times New Roman" w:hAnsi="Times New Roman" w:cs="Times New Roman" w:eastAsia="Times New Roman"/>
          <w:sz w:val="24"/>
          <w:color w:val="000000"/>
        </w:rPr>
      </w:pPr>
      <w:bookmarkStart w:id="59" w:name="art156i"/>
      <w:bookmarkEnd w:id="5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before="120" w:lineRule="auto" w:line="360"/>
        <w:rPr>
          <w:rFonts w:ascii="Times New Roman" w:hAnsi="Times New Roman" w:cs="Times New Roman" w:eastAsia="Times New Roman"/>
          <w:sz w:val="24"/>
          <w:color w:val="000000"/>
        </w:rPr>
      </w:pPr>
      <w:bookmarkStart w:id="60" w:name="art156ii"/>
      <w:bookmarkEnd w:id="6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before="120" w:lineRule="auto" w:line="360"/>
        <w:rPr>
          <w:rFonts w:ascii="Times New Roman" w:hAnsi="Times New Roman" w:cs="Times New Roman" w:eastAsia="Times New Roman"/>
          <w:sz w:val="24"/>
          <w:color w:val="000000"/>
        </w:rPr>
      </w:pPr>
      <w:bookmarkStart w:id="61" w:name="art156iii"/>
      <w:bookmarkEnd w:id="6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before="120" w:lineRule="auto" w:line="360"/>
        <w:rPr>
          <w:rFonts w:ascii="Times New Roman" w:hAnsi="Times New Roman" w:cs="Times New Roman" w:eastAsia="Times New Roman"/>
          <w:sz w:val="24"/>
          <w:color w:val="000000"/>
        </w:rPr>
      </w:pPr>
      <w:bookmarkStart w:id="62" w:name="art156iv"/>
      <w:bookmarkEnd w:id="62"/>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63" w:name="art156_5"/>
      <w:bookmarkEnd w:id="63"/>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before="120" w:lineRule="auto" w:line="360"/>
        <w:rPr>
          <w:rFonts w:ascii="Times New Roman" w:hAnsi="Times New Roman" w:cs="Times New Roman" w:eastAsia="Times New Roman"/>
          <w:sz w:val="24"/>
          <w:color w:val="000000"/>
        </w:rPr>
      </w:pPr>
      <w:bookmarkStart w:id="64" w:name="art156_7"/>
      <w:bookmarkEnd w:id="64"/>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before="120" w:lineRule="auto" w:line="360"/>
        <w:rPr>
          <w:rFonts w:ascii="Times New Roman" w:hAnsi="Times New Roman" w:cs="Times New Roman" w:eastAsia="Times New Roman"/>
          <w:sz w:val="24"/>
          <w:color w:val="000000"/>
        </w:rPr>
      </w:pPr>
      <w:bookmarkStart w:id="65" w:name="art156_8"/>
      <w:bookmarkEnd w:id="65"/>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before="120"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before="120" w:lineRule="auto" w:line="360"/>
        <w:rPr>
          <w:rFonts w:ascii="Times New Roman" w:hAnsi="Times New Roman" w:cs="Times New Roman" w:eastAsia="Times New Roman"/>
          <w:sz w:val="24"/>
          <w:color w:val="000000"/>
        </w:rPr>
      </w:pPr>
      <w:bookmarkStart w:id="66" w:name="art156_9"/>
      <w:bookmarkEnd w:id="66"/>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67" w:name="art157"/>
      <w:bookmarkEnd w:id="67"/>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before="120" w:lineRule="auto" w:line="360"/>
        <w:rPr>
          <w:rFonts w:ascii="Times New Roman" w:hAnsi="Times New Roman" w:cs="Times New Roman" w:eastAsia="Times New Roman"/>
          <w:sz w:val="24"/>
          <w:color w:val="000000"/>
        </w:rPr>
      </w:pPr>
      <w:bookmarkStart w:id="68" w:name="art158"/>
      <w:bookmarkEnd w:id="68"/>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before="120" w:lineRule="auto" w:line="360"/>
        <w:rPr>
          <w:rFonts w:ascii="Times New Roman" w:hAnsi="Times New Roman" w:cs="Times New Roman" w:eastAsia="Times New Roman"/>
          <w:sz w:val="24"/>
          <w:color w:val="000000"/>
        </w:rPr>
      </w:pPr>
      <w:bookmarkStart w:id="69" w:name="art158_2"/>
      <w:bookmarkEnd w:id="69"/>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before="120" w:lineRule="auto" w:line="360"/>
        <w:rPr>
          <w:rFonts w:ascii="Times New Roman" w:hAnsi="Times New Roman" w:cs="Times New Roman" w:eastAsia="Times New Roman"/>
          <w:sz w:val="24"/>
          <w:color w:val="000000"/>
        </w:rPr>
      </w:pPr>
      <w:bookmarkStart w:id="70" w:name="art158_3"/>
      <w:bookmarkEnd w:id="70"/>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before="120" w:lineRule="auto" w:line="360"/>
        <w:rPr>
          <w:rFonts w:ascii="Times New Roman" w:hAnsi="Times New Roman" w:cs="Times New Roman" w:eastAsia="Times New Roman"/>
          <w:sz w:val="24"/>
          <w:color w:val="000000"/>
        </w:rPr>
      </w:pPr>
      <w:bookmarkStart w:id="71" w:name="art160"/>
      <w:bookmarkEnd w:id="71"/>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before="120" w:lineRule="auto" w:line="360"/>
        <w:rPr>
          <w:rFonts w:ascii="Times New Roman" w:hAnsi="Times New Roman" w:cs="Times New Roman" w:eastAsia="Times New Roman"/>
          <w:sz w:val="24"/>
          <w:color w:val="000000"/>
        </w:rPr>
      </w:pPr>
      <w:bookmarkStart w:id="72" w:name="art163"/>
      <w:bookmarkEnd w:id="72"/>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before="120" w:lineRule="auto" w:line="360"/>
        <w:rPr>
          <w:rFonts w:ascii="Times New Roman" w:hAnsi="Times New Roman" w:cs="Times New Roman" w:eastAsia="Times New Roman"/>
          <w:sz w:val="24"/>
          <w:color w:val="000000"/>
        </w:rPr>
      </w:pPr>
      <w:bookmarkStart w:id="73" w:name="art163i"/>
      <w:bookmarkEnd w:id="73"/>
      <w:r>
        <w:rPr>
          <w:rFonts w:ascii="Times New Roman" w:hAnsi="Times New Roman" w:cs="Times New Roman" w:eastAsia="Times New Roman"/>
          <w:sz w:val="24"/>
          <w:color w:val="000000"/>
        </w:rPr>
        <w:t>a) reparação integral do dano causado à Administração Pública;</w:t>
      </w:r>
    </w:p>
    <w:p>
      <w:pPr>
        <w:jc w:val="both"/>
        <w:widowControl/>
        <w:spacing w:before="120" w:lineRule="auto" w:line="360"/>
        <w:rPr>
          <w:rFonts w:ascii="Times New Roman" w:hAnsi="Times New Roman" w:cs="Times New Roman" w:eastAsia="Times New Roman"/>
          <w:sz w:val="24"/>
          <w:color w:val="000000"/>
        </w:rPr>
      </w:pPr>
      <w:bookmarkStart w:id="74" w:name="art163ii"/>
      <w:bookmarkEnd w:id="74"/>
      <w:r>
        <w:rPr>
          <w:rFonts w:ascii="Times New Roman" w:hAnsi="Times New Roman" w:cs="Times New Roman" w:eastAsia="Times New Roman"/>
          <w:sz w:val="24"/>
          <w:color w:val="000000"/>
        </w:rPr>
        <w:t>b) pagamento da multa;</w:t>
      </w:r>
    </w:p>
    <w:p>
      <w:pPr>
        <w:jc w:val="both"/>
        <w:widowControl/>
        <w:spacing w:before="120" w:lineRule="auto" w:line="360"/>
        <w:rPr>
          <w:rFonts w:ascii="Times New Roman" w:hAnsi="Times New Roman" w:cs="Times New Roman" w:eastAsia="Times New Roman"/>
          <w:sz w:val="24"/>
          <w:color w:val="000000"/>
        </w:rPr>
      </w:pPr>
      <w:bookmarkStart w:id="75" w:name="art163iii"/>
      <w:bookmarkEnd w:id="75"/>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before="120" w:lineRule="auto" w:line="360"/>
        <w:rPr>
          <w:rFonts w:ascii="Times New Roman" w:hAnsi="Times New Roman" w:cs="Times New Roman" w:eastAsia="Times New Roman"/>
          <w:sz w:val="24"/>
          <w:color w:val="000000"/>
        </w:rPr>
      </w:pPr>
      <w:bookmarkStart w:id="76" w:name="art163iv"/>
      <w:bookmarkEnd w:id="76"/>
      <w:r>
        <w:rPr>
          <w:rFonts w:ascii="Times New Roman" w:hAnsi="Times New Roman" w:cs="Times New Roman" w:eastAsia="Times New Roman"/>
          <w:sz w:val="24"/>
          <w:color w:val="000000"/>
        </w:rPr>
        <w:t>d) cumprimento das condições de reabilitação definidas no ato punitivo;</w:t>
      </w:r>
    </w:p>
    <w:p>
      <w:pPr>
        <w:jc w:val="both"/>
        <w:widowControl/>
        <w:spacing w:before="120" w:lineRule="auto" w:line="360"/>
        <w:rPr>
          <w:rFonts w:ascii="Times New Roman" w:hAnsi="Times New Roman" w:cs="Times New Roman" w:eastAsia="Times New Roman"/>
          <w:sz w:val="24"/>
          <w:color w:val="000000"/>
        </w:rPr>
      </w:pPr>
      <w:bookmarkStart w:id="77" w:name="art163v"/>
      <w:bookmarkEnd w:id="77"/>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before="120" w:lineRule="auto" w:line="360"/>
        <w:rPr>
          <w:rFonts w:ascii="Times New Roman" w:hAnsi="Times New Roman" w:cs="Times New Roman" w:eastAsia="Times New Roman"/>
          <w:sz w:val="24"/>
          <w:color w:val="000000"/>
        </w:rPr>
      </w:pPr>
      <w:bookmarkStart w:id="78" w:name="art163p"/>
      <w:bookmarkEnd w:id="78"/>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“l” do item 20.2 do presente Edital exigirá, como condição de reabilitação do licitante ou contratado, a implantação ou aperfeiçoamento de programa de integridade pelo responsável.</w:t>
      </w:r>
    </w:p>
    <w:p>
      <w:pPr>
        <w:jc w:val="both"/>
        <w:widowControl/>
        <w:spacing w:before="120"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Os pedidos de esclarecimentos referentes ao processo licitatório e os pedidos de impugnações poderão ser enviados até três dias úteis anteriores à data fixada para abertura da sessão pública, por meio do seguinte endereço eletrônico:</w:t>
      </w:r>
      <w:hyperlink r:id="hrId10">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1">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12">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 xml:space="preserve"> no local em que o respectivo pregão foi divulgado.</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before="120"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before="120"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widowControl/>
        <w:spacing w:before="120"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Quatro Irmãos, 25/06/2026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79" w:name="art156i"/>
      <w:bookmarkEnd w:id="79"/>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0" w:name="art156ii"/>
      <w:bookmarkEnd w:id="80"/>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1" w:name="art156iii"/>
      <w:bookmarkEnd w:id="81"/>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2" w:name="art156iv"/>
      <w:bookmarkEnd w:id="82"/>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83" w:name="art156_5"/>
      <w:bookmarkEnd w:id="83"/>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Courier New">
    <w:charset w:val="00"/>
  </w:font>
  <w:font w:name="Liberation Sans">
    <w:charset w:val="00"/>
  </w:font>
  <w:font w:name="Times New Roman">
    <w:charset w:val="01"/>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mailto:compras@quatroirmaos.rs.gov.br" TargetMode="External"/><Relationship Id="hrId4" Type="http://schemas.openxmlformats.org/officeDocument/2006/relationships/hyperlink" Target="mailto:contabilidade@quatroirmaos.rs.gov.br" TargetMode="External"/><Relationship Id="hrId5" Type="http://schemas.openxmlformats.org/officeDocument/2006/relationships/hyperlink" Target="http://www.planalto.gov.br/ccivil_03/Constituicao/Constituicao.htm" TargetMode="External"/><Relationship Id="hrId6" Type="http://schemas.openxmlformats.org/officeDocument/2006/relationships/hyperlink" Target="http://www.planalto.gov.br/ccivil_03/LEIS/L6404consol.htm" TargetMode="External"/><Relationship Id="hrId7" Type="http://schemas.openxmlformats.org/officeDocument/2006/relationships/hyperlink" Target="www.quatroirmaos.rs.gov.br" TargetMode="External"/><Relationship Id="hrId8" Type="http://schemas.openxmlformats.org/officeDocument/2006/relationships/hyperlink" Target="http://www.planalto.gov.br/ccivil_03/_Ato2007-2010/2009/Lei/L12187.htm" TargetMode="External"/><Relationship Id="hrId9" Type="http://schemas.openxmlformats.org/officeDocument/2006/relationships/hyperlink" Target="http://www.planalto.gov.br/ccivil_03/_Ato2011-2014/2013/Lei/L12846.htm" TargetMode="External"/><Relationship Id="hrId10" Type="http://schemas.openxmlformats.org/officeDocument/2006/relationships/hyperlink" Target="mailto:compras@quatroirmaos.rs.gov.br" TargetMode="External"/><Relationship Id="hrId11" Type="http://schemas.openxmlformats.org/officeDocument/2006/relationships/hyperlink" Target="mailto:contabilidade@quatroirmaos.rs.gov.br" TargetMode="External"/><Relationship Id="hrId12"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