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42/2026</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42/2026</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000278/26</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Aquisição de Medicamentos.</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Aquisição de Medicamentos</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10/07/2026</w:t>
      </w:r>
      <w:r>
        <w:rPr>
          <w:rFonts w:ascii="Times New Roman" w:hAnsi="Times New Roman" w:cs="Times New Roman" w:eastAsia="Times New Roman"/>
          <w:sz w:val="24"/>
        </w:rPr>
        <w:t>, às 08:15, podendo as propostas e os documentos serem enviados até às 08:00,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(PREVIANE, TAMISA 20) GESTO+ETINILES. 75/20 MCG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CT</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0,84</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3.360,00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(SELENE, FERRANE) ETINILESTRADIOL0,035+ACET.CIPROTERONA2,0MG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CT</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0,96</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3.840,00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ALOPURINOL 300MG CP</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CP</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0,45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CERUMIN 10 ML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FR</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CLONAZEPAN 2 MG CP</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CM</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0,25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CLOR DE CIPROFLOXACINO+DEXAM-3,5MG/ML+1,0MG /ML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FR</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CLORIDRATO DE  TANSULOSINA 0,4MG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CP</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DEPAKENE  500 MG CP</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Não genérico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CP</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10.680,00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DEXPANTENOL DERMA CR.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TB</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11,99</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1.199,00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FORMOTEROL 12MCG CP</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CP</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2,49</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2.490,00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LOSARTANA POTASSICA 25 MG CP</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CM</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6.850,00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NISTATINA+OXIDO DE ZINCO POM 60 gr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TB</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9,09</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1.818,00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PROTETOR SOLAR - FPS 50 - 120ML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FR</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5.600,00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SAIS DE REIDRATAÇÃO ORAL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VITAMINA D3 50.000UI - COLECALCIFEROL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CM</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1.165,00</w:t>
            </w:r>
          </w:p>
        </w:tc>
      </w:tr>
    </w:tbl>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entrega dos produtos deverá ser feita no seguinte endereço: Rua Isidoro Eisenberg, s/n - Centro, em até </w:t>
      </w:r>
      <w:r>
        <w:rPr>
          <w:rFonts w:ascii="Times New Roman" w:hAnsi="Times New Roman" w:cs="Times New Roman" w:eastAsia="Times New Roman"/>
          <w:i/>
          <w:sz w:val="24"/>
        </w:rPr>
        <w:t>conforme solicitação da secretaria municipal de saúde</w:t>
      </w:r>
      <w:r>
        <w:rPr>
          <w:rFonts w:ascii="Times New Roman" w:hAnsi="Times New Roman" w:cs="Times New Roman" w:eastAsia="Times New Roman"/>
          <w:sz w:val="24"/>
        </w:rPr>
        <w:t xml:space="preserve">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Observação : Os Medicamentos deverão ser entregues com prazo de validade de no mínimo 18 meses ou apresentar declaração de que a empresa compromete-se a efetuar a troca dos mesmos, caso os medicamentos venham a ser entregues com prazo de validade menor que o estipulado.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4">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90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5"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pBdr>
          <w:top w:val="" w:sz="6"/>
          <w:left w:val="" w:sz="6"/>
          <w:bottom w:val="" w:sz="6"/>
          <w:right w:val="" w:sz="6"/>
          <w:between w:val="" w:sz="6"/>
        </w:pBdr>
        <w:rPr>
          <w:rFonts w:ascii="Times New Roman" w:hAnsi="Times New Roman" w:cs="Times New Roman" w:eastAsia="Times New Roman"/>
          <w:b/>
          <w:caps/>
          <w:sz w:val="24"/>
          <w:shd w:val="clear" w:color="auto" w:fill="FFFF00"/>
        </w:rPr>
      </w:pPr>
      <w:r>
        <w:rPr>
          <w:rFonts w:ascii="Times New Roman" w:hAnsi="Times New Roman" w:cs="Times New Roman" w:eastAsia="Times New Roman"/>
          <w:b/>
          <w:caps/>
          <w:sz w:val="24"/>
          <w:shd w:val="clear" w:color="auto" w:fill="FFFF00"/>
        </w:rPr>
        <w:t xml:space="preserve">5.4 </w:t>
      </w:r>
      <w:r>
        <w:rPr>
          <w:rFonts w:ascii="Times New Roman" w:hAnsi="Times New Roman" w:cs="Times New Roman" w:eastAsia="Times New Roman"/>
          <w:b/>
          <w:caps/>
          <w:sz w:val="24"/>
          <w:shd w:val="clear" w:color="auto" w:fill="FFFF00"/>
        </w:rPr>
        <w:t>–</w:t>
      </w:r>
      <w:r>
        <w:rPr>
          <w:rFonts w:ascii="Times New Roman" w:hAnsi="Times New Roman" w:cs="Times New Roman" w:eastAsia="Times New Roman"/>
          <w:b/>
          <w:caps/>
          <w:sz w:val="24"/>
          <w:shd w:val="clear" w:color="auto" w:fill="FFFF00"/>
        </w:rPr>
        <w:t xml:space="preserve"> Qualifica</w:t>
      </w:r>
      <w:r>
        <w:rPr>
          <w:rFonts w:ascii="Times New Roman" w:hAnsi="Times New Roman" w:cs="Times New Roman" w:eastAsia="Times New Roman"/>
          <w:b/>
          <w:caps/>
          <w:sz w:val="24"/>
          <w:shd w:val="clear" w:color="auto" w:fill="FFFF00"/>
        </w:rPr>
        <w:t>çã</w:t>
      </w:r>
      <w:r>
        <w:rPr>
          <w:rFonts w:ascii="Times New Roman" w:hAnsi="Times New Roman" w:cs="Times New Roman" w:eastAsia="Times New Roman"/>
          <w:b/>
          <w:caps/>
          <w:sz w:val="24"/>
          <w:shd w:val="clear" w:color="auto" w:fill="FFFF00"/>
        </w:rPr>
        <w:t>o T</w:t>
      </w:r>
      <w:r>
        <w:rPr>
          <w:rFonts w:ascii="Times New Roman" w:hAnsi="Times New Roman" w:cs="Times New Roman" w:eastAsia="Times New Roman"/>
          <w:b/>
          <w:caps/>
          <w:sz w:val="24"/>
          <w:shd w:val="clear" w:color="auto" w:fill="FFFF00"/>
        </w:rPr>
        <w:t>é</w:t>
      </w:r>
      <w:r>
        <w:rPr>
          <w:rFonts w:ascii="Times New Roman" w:hAnsi="Times New Roman" w:cs="Times New Roman" w:eastAsia="Times New Roman"/>
          <w:b/>
          <w:caps/>
          <w:sz w:val="24"/>
          <w:shd w:val="clear" w:color="auto" w:fill="FFFF00"/>
        </w:rPr>
        <w:t>cnica:</w:t>
      </w:r>
    </w:p>
    <w:p>
      <w:pPr>
        <w:pBdr>
          <w:top w:val="" w:sz="6"/>
          <w:left w:val="" w:sz="6"/>
          <w:bottom w:val="" w:sz="6"/>
          <w:right w:val="" w:sz="6"/>
          <w:between w:val="" w:sz="6"/>
        </w:pBdr>
      </w:pPr>
      <w:r>
        <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5.4.1 - Declaração formal, sob as penas da Lei, firmada pelo representante legal da licitante, de possuir condições de fornecer, durante o prazo contratado, bens de iguais características ao que se encontram descritas no Edital.</w:t>
      </w:r>
    </w:p>
    <w:p>
      <w:pPr>
        <w:jc w:val="both"/>
        <w:spacing w:lineRule="auto" w:line="360"/>
        <w:pBdr>
          <w:top w:val="" w:sz="6"/>
          <w:left w:val="" w:sz="6"/>
          <w:bottom w:val="" w:sz="6"/>
          <w:right w:val="" w:sz="6"/>
          <w:between w:val="" w:sz="6"/>
        </w:pBdr>
      </w:pPr>
      <w:r>
        <w:t/>
      </w:r>
    </w:p>
    <w:p>
      <w:pPr>
        <w:jc w:val="both"/>
        <w:spacing w:lineRule="auto" w:line="360"/>
        <w:pBdr>
          <w:top w:val="" w:sz="6"/>
          <w:left w:val="" w:sz="6"/>
          <w:bottom w:val="" w:sz="6"/>
          <w:right w:val="" w:sz="6"/>
          <w:between w:val="" w:sz="6"/>
        </w:pBdr>
        <w:rPr>
          <w:rFonts w:ascii="Times New Roman" w:hAnsi="Times New Roman" w:cs="Times New Roman" w:eastAsia="Times New Roman"/>
          <w:i/>
          <w:sz w:val="24"/>
        </w:rPr>
      </w:pPr>
      <w:r>
        <w:rPr>
          <w:rFonts w:ascii="Times New Roman" w:hAnsi="Times New Roman" w:cs="Times New Roman" w:eastAsia="Times New Roman"/>
          <w:i/>
          <w:sz w:val="24"/>
        </w:rPr>
        <w:t>5.4.2 - Os fabricantes deverão apresentar:</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1) Autorização de funcionamento emitido pela Agência Nacional de Vigilância Sanitária do Ministério da Saúde.</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2) Alvará de funcionamento expedido pelo órgão da Vigilância Sanitária Estadual ou Municipal da sede da distribuidora para exercer atividades de comercialização e venda de medicamentos;</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3) Certidão de regularidade emitida pelo Conselho Regional de Farmácia para comprovação de regularidade do estabelecimento de saúde.</w:t>
      </w:r>
    </w:p>
    <w:p>
      <w:pPr>
        <w:jc w:val="both"/>
        <w:spacing w:lineRule="auto" w:line="360"/>
        <w:pBdr>
          <w:top w:val="" w:sz="6"/>
          <w:left w:val="" w:sz="6"/>
          <w:bottom w:val="" w:sz="6"/>
          <w:right w:val="" w:sz="6"/>
          <w:between w:val="" w:sz="6"/>
        </w:pBdr>
      </w:pPr>
      <w:r>
        <w:t/>
      </w:r>
    </w:p>
    <w:p>
      <w:pPr>
        <w:jc w:val="both"/>
        <w:spacing w:lineRule="auto" w:line="360"/>
        <w:pBdr>
          <w:top w:val="" w:sz="6"/>
          <w:left w:val="" w:sz="6"/>
          <w:bottom w:val="" w:sz="6"/>
          <w:right w:val="" w:sz="6"/>
          <w:between w:val="" w:sz="6"/>
        </w:pBdr>
        <w:rPr>
          <w:rFonts w:ascii="Times New Roman" w:hAnsi="Times New Roman" w:cs="Times New Roman" w:eastAsia="Times New Roman"/>
          <w:i/>
          <w:sz w:val="24"/>
        </w:rPr>
      </w:pPr>
      <w:r>
        <w:rPr>
          <w:rFonts w:ascii="Times New Roman" w:hAnsi="Times New Roman" w:cs="Times New Roman" w:eastAsia="Times New Roman"/>
          <w:i/>
          <w:sz w:val="24"/>
        </w:rPr>
        <w:t>5.4.3 - Os distribuidores deverão apresentar:</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1) Autorização de funcionamento emitido pela Agência Nacional de Vigilância Sanitária do Ministério da Saúde.</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2) Alvará de funcionamento expedido pelo órgão da Vigilância Sanitária Estadual ou Municipal da sede da distribuidora para exercer atividades de comercialização e venda de medicamentos;</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3) Certidão de regularidade emitida pelo Conselho Regional de Farmácia para comprovação de regularidade do estabelecimento de saúde.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5.4.3.</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5.4.4.</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6">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9.9</w:t>
      </w:r>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O intervalo mínimo de diferença de valores entre os lances será de 1 %, que incidirá tanto</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em relação aos lances intermediários, quanto em relação do lance que cobrir a melhor oferta.</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b/>
          <w:sz w:val="24"/>
        </w:rPr>
        <w:t>9.10</w:t>
      </w:r>
      <w:r>
        <w:rPr>
          <w:rFonts w:ascii="Times New Roman" w:hAnsi="Times New Roman" w:cs="Times New Roman" w:eastAsia="Times New Roman"/>
          <w:sz w:val="24"/>
        </w:rPr>
        <w:t xml:space="preserve"> O tempo total dos lances poderá ser comunicado formalmente pelo chat às empresas, quando se contatar que os lances são meramente protelatórios.</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7">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8">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01/08/01 - FUNDO MUNICIPAL DE SAÚDE</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10.303.0107.2160.0000 - Controle e Distribuição de Medicamentos com Recursos Próprios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3.3.90.32.02 - MEDICAMENTOS PARA USO DOMICILIAR</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- 347</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entrega dos produtosda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conforme solicitação da secretaria municipal de saúde,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9"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Os pedidos de esclarecimentos referentes ao processo licitatório e os pedidos de impugnações poderão ser enviados até três dias úteis anteriores à data fixada para abertura da sessão pública, por meio do seguinte endereço eletrônico:</w:t>
      </w:r>
      <w:hyperlink r:id="hrId10">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1">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2">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 xml:space="preserve"> no local em que o respectivo pregão foi divulgado.</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26/06/2026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 w:name="Liberation Sans">
    <w:charset w:val="00"/>
  </w:font>
  <w:font w:name="Times New Roman">
    <w:charset w:val="01"/>
  </w:font>
  <w:font w:name="Arial">
    <w:charset w:val="00"/>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mailto:compras@quatroirmaos.rs.gov.br" TargetMode="External"/><Relationship Id="hrId4" Type="http://schemas.openxmlformats.org/officeDocument/2006/relationships/hyperlink" Target="mailto:contabilidade@quatroirmaos.rs.gov.br" TargetMode="External"/><Relationship Id="hrId5" Type="http://schemas.openxmlformats.org/officeDocument/2006/relationships/hyperlink" Target="http://www.planalto.gov.br/ccivil_03/Constituicao/Constituicao.htm" TargetMode="External"/><Relationship Id="hrId6" Type="http://schemas.openxmlformats.org/officeDocument/2006/relationships/hyperlink" Target="http://www.planalto.gov.br/ccivil_03/LEIS/L6404consol.htm" TargetMode="External"/><Relationship Id="hrId7" Type="http://schemas.openxmlformats.org/officeDocument/2006/relationships/hyperlink" Target="www.quatroirmaos.rs.gov.br" TargetMode="External"/><Relationship Id="hrId8" Type="http://schemas.openxmlformats.org/officeDocument/2006/relationships/hyperlink" Target="http://www.planalto.gov.br/ccivil_03/_Ato2007-2010/2009/Lei/L12187.htm" TargetMode="External"/><Relationship Id="hrId9" Type="http://schemas.openxmlformats.org/officeDocument/2006/relationships/hyperlink" Target="http://www.planalto.gov.br/ccivil_03/_Ato2011-2014/2013/Lei/L12846.htm" TargetMode="External"/><Relationship Id="hrId10" Type="http://schemas.openxmlformats.org/officeDocument/2006/relationships/hyperlink" Target="mailto:compras@quatroirmaos.rs.gov.br" TargetMode="External"/><Relationship Id="hrId11" Type="http://schemas.openxmlformats.org/officeDocument/2006/relationships/hyperlink" Target="mailto:contabilidade@quatroirmaos.rs.gov.br" TargetMode="External"/><Relationship Id="hrId12"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