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47/2026</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47/2026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000334/26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Contratação de pessoa jurídica especializada para a prestação de serviços médicos na especialidade de Ginecologia e Obstetrícia, de forma continuada, com vistas a atender as demandas da rede de Atenção Básica à Saúde do Município, observadas as diretrizes de humanização, qualificação e acolhimento da Portaria nº 132/2011 do Ministério da Saúde..</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Contratação de pessoa jurídica especializada para a prestação de serviços médicos na especialidade de Ginecologia e Obstetrícia, de forma continuada, com vistas a atender as demandas da rede de Atenção Básica à Saúde do Município, observadas as diretrizes de humanização, qualificação e acolhimento da Portaria nº 132/2011 do Ministério da Saúde.</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13/08/2026</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08:15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08:00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Contratação de pessoa jurídica especializada para a prestação de serviços médicos na especialidade de Ginecologia e Obstetrícia, de forma continuada, com vistas a atender as demandas da rede de Atenção Básica à Saúde do Município, observadas as diretrizes de humanização, qualificação e acolhimento da Portaria nº 132/2011 do Ministério da Saúde.</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SERVIÇOS ESPECIALIZADOS DE GINECOLOGISTA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Os serviços médico-hospitalares e ambulatoriais abrangerão todas as atribuições inerentes à profissão de Médico Ginecologista e Obstetra na atenção primária, compreendendo, mas não se limitando 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Realização de consultas médicas eletivas, preventivas e de acompanhamento ginecológico;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Assistência pré-natal qualificada e humanizada (baixo e alto risco), conforme as diretrizes do Ministério da Saúde para redução da morbimortalidade materna e perinatal;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Realização de procedimentos ginecológicos ambulatoriais, tais como: criocauterização do colo do útero, eletrocauterização, biópsias de colo uterino, vagina e vulva;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Procedimentos cirúrgicos de pequeno porte em âmbito ambulatorial, incluindo exérese de cistos de inclusão epidérmica na vulva e exérese de nevus suspeitos na região vulvar com encaminhamento para análise histopatológica, se necessário;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Planejamento familiar e reprodutivo, incluindo a inserção e retirada de Dispositivo Intrauterino (DIU), tanto hormonal quanto de cobre.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REGIME DE EXECUÇÃO E CARGA HORÁRIA: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Os serviços serão prestados de forma mensal e contínua, com carga horária de 8 (oitos) horas semanais, a serem distribuídas conforme cronograma, dias e horários preestabelecidos pela Secretaria Municipal de Saúde, nas dependências da Unidade Básica de Saúde (UBS).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120.000,00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90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5.4. QUALIFICAÇÃO TÉCNICO-PROFISSIONAL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5.4.1. O licitante deverá apresentar a documentação referente ao(s) profissional(is) médico(s) indicado(s) para a prestação dos serviços/profissional(is) que será(ão) responsável(is) pela execução dos serviços: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a) Comprovação de diploma de Graduação em Medicina e Registro Ativo e regular junto ao Conselho Regional de Medicina (CRM);</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b) Comprovação de Título de Especialista em Ginecologia e Obstetrícia reconhecido pela Associação Médica Brasileira (AMB), ou Registro de Qualificação de Especialista (RQE), ou comprovação de conclusão de Residência Médica reconhecida pelo Ministério da Educação (MEC);</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c) Comprovação da disponibilidade do profissional para execução do objeto, mediante vínculo societário, empregatício, contrato de prestação de serviços, contrato de associação, declaração de disponibilidade firmada pelo profissional ou outro instrumento jurídico idôneo que demonstre sua vinculação ou compromisso de atuação CASO A LICITANTE VENHA A SER CONTRATADA;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d) Comprovação de aptidão para desempenho de atividade pertinente e compatível com o objeto mediante a apresentação de pelo menos 1 (um) Atestado de Capacidade Técnica fornecido por pessoa jurídica de direito público ou privado.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e) O profissional indicado deverá permanecer vinculado à execução contratual durante toda a vigência do contrato, admitida sua substituição por outro profissional de qualificação equivalente ou superior, mediante prévia comunicação e aprovação da Administração.</w:t>
      </w:r>
    </w:p>
    <w:p>
      <w:pPr>
        <w:jc w:val="both"/>
        <w:widowControl/>
        <w:spacing w:lineRule="auto" w:line="360"/>
        <w:rPr>
          <w:rFonts w:ascii="Times New Roman" w:hAnsi="Times New Roman" w:cs="Times New Roman" w:eastAsia="Times New Roman"/>
          <w:sz w:val="24"/>
        </w:rPr>
      </w:pPr>
      <w:bookmarkStart w:id="12" w:name="art67_1"/>
      <w:bookmarkEnd w:id="12"/>
      <w:r>
        <w:rPr>
          <w:rFonts w:ascii="Times New Roman" w:hAnsi="Times New Roman" w:cs="Times New Roman" w:eastAsia="Times New Roman"/>
          <w:sz w:val="24"/>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3" w:name="art67_3"/>
      <w:bookmarkEnd w:id="13"/>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4" w:name="art14iv"/>
      <w:bookmarkEnd w:id="1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5" w:name="art14v"/>
      <w:bookmarkEnd w:id="1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6" w:name="art14vi"/>
      <w:bookmarkEnd w:id="1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7" w:name="art59ii"/>
      <w:bookmarkEnd w:id="1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18" w:name="art59iii"/>
      <w:bookmarkEnd w:id="1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19" w:name="art59iv"/>
      <w:bookmarkEnd w:id="1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0" w:name="art59v"/>
      <w:bookmarkEnd w:id="2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1" w:name="art59_2"/>
      <w:bookmarkEnd w:id="21"/>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de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2" w:name="art56_3ii"/>
      <w:bookmarkEnd w:id="22"/>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3" w:name="art58_4"/>
      <w:bookmarkEnd w:id="23"/>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4" w:name="art60i"/>
      <w:bookmarkEnd w:id="2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5" w:name="art60ii"/>
      <w:bookmarkEnd w:id="2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6" w:name="art60iii"/>
      <w:bookmarkEnd w:id="2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w:t>
      </w:r>
    </w:p>
    <w:p>
      <w:pPr>
        <w:jc w:val="both"/>
        <w:widowControl/>
        <w:spacing w:lineRule="auto" w:line="360"/>
        <w:rPr>
          <w:rFonts w:ascii="Times New Roman" w:hAnsi="Times New Roman" w:cs="Times New Roman" w:eastAsia="Times New Roman"/>
          <w:sz w:val="24"/>
          <w:color w:val="000000"/>
        </w:rPr>
      </w:pPr>
      <w:bookmarkStart w:id="27" w:name="art60iv"/>
      <w:bookmarkEnd w:id="2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28" w:name="art60_1"/>
      <w:bookmarkEnd w:id="28"/>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29" w:name="art60_1i"/>
      <w:bookmarkEnd w:id="2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0" w:name="art60_1ii"/>
      <w:bookmarkEnd w:id="3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1" w:name="art60_1iii"/>
      <w:bookmarkEnd w:id="3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2" w:name="art60_1iv"/>
      <w:bookmarkEnd w:id="3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3" w:name="art165ia"/>
      <w:bookmarkEnd w:id="3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4" w:name="art165ib"/>
      <w:bookmarkEnd w:id="3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5" w:name="art165ic"/>
      <w:bookmarkEnd w:id="3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6" w:name="art165id"/>
      <w:bookmarkEnd w:id="3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7" w:name="art165_1i"/>
      <w:bookmarkEnd w:id="3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38" w:name="art165_1ii"/>
      <w:bookmarkEnd w:id="3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39" w:name="art165ie"/>
      <w:bookmarkEnd w:id="39"/>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0" w:name="art71i"/>
      <w:bookmarkEnd w:id="4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1" w:name="art71ii"/>
      <w:bookmarkEnd w:id="4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2" w:name="art71iii"/>
      <w:bookmarkEnd w:id="4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3" w:name="art71iv"/>
      <w:bookmarkEnd w:id="4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4" w:name="art71_1"/>
      <w:bookmarkEnd w:id="44"/>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5" w:name="art90_1"/>
      <w:bookmarkEnd w:id="45"/>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6" w:name="art90_2"/>
      <w:bookmarkEnd w:id="46"/>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7" w:name="art90_3"/>
      <w:bookmarkEnd w:id="47"/>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48" w:name="art90_4"/>
      <w:bookmarkEnd w:id="48"/>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49" w:name="art90_4i"/>
      <w:bookmarkEnd w:id="4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0" w:name="art90_4ii"/>
      <w:bookmarkEnd w:id="5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1" w:name="art90_5"/>
      <w:bookmarkEnd w:id="51"/>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podendo ser prorrogado.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w:t>
      </w:r>
      <w:r>
        <w:rPr>
          <w:rFonts w:ascii="Times New Roman" w:hAnsi="Times New Roman" w:cs="Times New Roman" w:eastAsia="Times New Roman"/>
          <w:i/>
          <w:sz w:val="24"/>
        </w:rPr>
        <w:t>imediato</w:t>
      </w:r>
      <w:r>
        <w:rPr>
          <w:rFonts w:ascii="Times New Roman" w:hAnsi="Times New Roman" w:cs="Times New Roman" w:eastAsia="Times New Roman"/>
          <w:sz w:val="24"/>
        </w:rPr>
        <w:t>, a contar da ordem de início emitida pela Administração.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i/>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mensalmente após a prestação de serviço,.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01/08/01 - FUNDO MUNICIPAL DE SAÚDE</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10.302.0107.2071.0000 - Assistencia Médica, Sanitária e Odontologica a população com recursos do ASPS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3.3.90.34.01 - SUBSTITUIÇÃO DE MÃO DE OBRA  (ART. 18, §1º DA LRF)</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- 530</w:t>
      </w:r>
    </w:p>
    <w:p>
      <w:pPr>
        <w:jc w:val="both"/>
        <w:widowControl/>
        <w:spacing w:lineRule="auto" w:line="360"/>
        <w:tabs>
          <w:tab w:val="left" w:pos="1134"/>
        </w:tabs>
        <w:rPr>
          <w:rFonts w:ascii="Times New Roman" w:hAnsi="Times New Roman" w:cs="Times New Roman" w:eastAsia="Times New Roman"/>
          <w:b/>
          <w:sz w:val="24"/>
        </w:rPr>
      </w:pPr>
      <w:bookmarkStart w:id="52" w:name="_Hlk108092172"/>
      <w:bookmarkEnd w:id="52"/>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3" w:name="art155i"/>
      <w:bookmarkEnd w:id="5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4" w:name="art155ii"/>
      <w:bookmarkEnd w:id="5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5" w:name="art155iii"/>
      <w:bookmarkEnd w:id="55"/>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6" w:name="art155iv"/>
      <w:bookmarkEnd w:id="5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7" w:name="art155v"/>
      <w:bookmarkEnd w:id="57"/>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58" w:name="art155vi"/>
      <w:bookmarkEnd w:id="58"/>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59" w:name="art155vii"/>
      <w:bookmarkEnd w:id="59"/>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0" w:name="art155viii"/>
      <w:bookmarkEnd w:id="60"/>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1" w:name="art155ix"/>
      <w:bookmarkEnd w:id="61"/>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2" w:name="art155x"/>
      <w:bookmarkEnd w:id="62"/>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3" w:name="art155xi"/>
      <w:bookmarkEnd w:id="63"/>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4" w:name="art155xii"/>
      <w:bookmarkEnd w:id="64"/>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5" w:name="art156"/>
      <w:bookmarkEnd w:id="65"/>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6" w:name="art156i"/>
      <w:bookmarkEnd w:id="6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7" w:name="art156ii"/>
      <w:bookmarkEnd w:id="6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68" w:name="art156iii"/>
      <w:bookmarkEnd w:id="6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69" w:name="art156iv"/>
      <w:bookmarkEnd w:id="6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0" w:name="art156_5"/>
      <w:bookmarkEnd w:id="70"/>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1" w:name="art156_7"/>
      <w:bookmarkEnd w:id="71"/>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2" w:name="art156_8"/>
      <w:bookmarkEnd w:id="72"/>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3" w:name="art156_9"/>
      <w:bookmarkEnd w:id="73"/>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4" w:name="art157"/>
      <w:bookmarkEnd w:id="74"/>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5" w:name="art158"/>
      <w:bookmarkEnd w:id="75"/>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6" w:name="art158_2"/>
      <w:bookmarkEnd w:id="76"/>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7" w:name="art158_3"/>
      <w:bookmarkEnd w:id="77"/>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78" w:name="art160"/>
      <w:bookmarkEnd w:id="78"/>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79" w:name="art163"/>
      <w:bookmarkEnd w:id="79"/>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0" w:name="art163i"/>
      <w:bookmarkEnd w:id="80"/>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1" w:name="art163ii"/>
      <w:bookmarkEnd w:id="81"/>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2" w:name="art163iii"/>
      <w:bookmarkEnd w:id="82"/>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3" w:name="art163iv"/>
      <w:bookmarkEnd w:id="83"/>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4" w:name="art163v"/>
      <w:bookmarkEnd w:id="84"/>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5" w:name="art163p"/>
      <w:bookmarkEnd w:id="85"/>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r>
        <w:rPr>
          <w:rFonts w:ascii="Times New Roman" w:hAnsi="Times New Roman" w:cs="Times New Roman" w:eastAsia="Times New Roman"/>
          <w:vertAlign w:val="superscript"/>
          <w:sz w:val="24"/>
        </w:rPr>
        <w:footnoteReference w:id="1"/>
      </w:r>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28/07/2026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6" w:name="art156i"/>
      <w:bookmarkEnd w:id="86"/>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7" w:name="art156ii"/>
      <w:bookmarkEnd w:id="87"/>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ii"/>
      <w:bookmarkEnd w:id="88"/>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v"/>
      <w:bookmarkEnd w:id="89"/>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0" w:name="art156_5"/>
      <w:bookmarkEnd w:id="90"/>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pPr>
        <w:spacing w:after="0" w:line="240" w:lineRule="auto"/>
      </w:pPr>
      <w:r>
        <w:separator/>
      </w:r>
    </w:p>
  </w:footnote>
  <w:footnote w:type="continuationSeparator" w:id="0">
    <w:p>
      <w:pPr>
        <w:spacing w:after="0" w:line="240" w:lineRule="auto"/>
      </w:pPr>
      <w:r>
        <w:continuationSeparator/>
      </w:r>
    </w:p>
  </w:footnote>
  <w:footnote w:id="1">
    <w:p>
      <w:pPr>
        <w:jc w:val="both"/>
        <w:widowControl/>
        <w:spacing w:lineRule="auto" w:line="360"/>
        <w:tabs>
          <w:tab w:val="left" w:pos="1134"/>
        </w:tabs>
      </w:pPr>
      <w:r>
        <w:rPr>
          <w:vertAlign w:val="superscript"/>
          <w:sz w:val="24"/>
        </w:rPr>
        <w:footnoteRef/>
      </w:r>
      <w:r>
        <w:t xml:space="preserve"> Essa disposição não consta na Lei nº 14.133/2021.</w:t>
      </w:r>
    </w:p>
  </w:footnote>
</w:footnote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Fn" Type="http://schemas.openxmlformats.org/officeDocument/2006/relationships/footnotes" Target="footnot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