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302" w:rsidRPr="00A44302" w:rsidRDefault="00A44302" w:rsidP="00A4430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</w:pPr>
      <w:r w:rsidRPr="00A44302"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t>1. Indicadores de Desempenho para Serviços de Vigilância Patrimonial Armada</w:t>
      </w:r>
    </w:p>
    <w:p w:rsidR="00A44302" w:rsidRPr="00A44302" w:rsidRDefault="00A44302" w:rsidP="00A4430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t-BR"/>
        </w:rPr>
      </w:pPr>
      <w:r w:rsidRPr="00A44302">
        <w:rPr>
          <w:rFonts w:ascii="Segoe UI" w:eastAsia="Times New Roman" w:hAnsi="Segoe UI" w:cs="Segoe UI"/>
          <w:sz w:val="21"/>
          <w:szCs w:val="21"/>
          <w:lang w:eastAsia="pt-BR"/>
        </w:rPr>
        <w:t xml:space="preserve">Os indicadores devem ser </w:t>
      </w:r>
      <w:r w:rsidRPr="00A44302">
        <w:rPr>
          <w:rFonts w:ascii="Segoe UI" w:eastAsia="Times New Roman" w:hAnsi="Segoe UI" w:cs="Segoe UI"/>
          <w:b/>
          <w:bCs/>
          <w:sz w:val="21"/>
          <w:szCs w:val="21"/>
          <w:lang w:eastAsia="pt-BR"/>
        </w:rPr>
        <w:t>objetivos, mensuráveis e vinculados à fiscalização contratual</w:t>
      </w:r>
      <w:r w:rsidRPr="00A44302">
        <w:rPr>
          <w:rFonts w:ascii="Segoe UI" w:eastAsia="Times New Roman" w:hAnsi="Segoe UI" w:cs="Segoe UI"/>
          <w:sz w:val="21"/>
          <w:szCs w:val="21"/>
          <w:lang w:eastAsia="pt-BR"/>
        </w:rPr>
        <w:t>, conforme art. 117 da Lei nº 14.133/2021.</w:t>
      </w:r>
    </w:p>
    <w:p w:rsidR="00A44302" w:rsidRPr="00A44302" w:rsidRDefault="00A44302" w:rsidP="00A44302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pt-BR"/>
        </w:rPr>
      </w:pPr>
      <w:r w:rsidRPr="00A44302">
        <w:rPr>
          <w:rFonts w:ascii="Segoe UI" w:eastAsia="Times New Roman" w:hAnsi="Segoe UI" w:cs="Segoe UI"/>
          <w:b/>
          <w:bCs/>
          <w:sz w:val="27"/>
          <w:szCs w:val="27"/>
          <w:lang w:eastAsia="pt-BR"/>
        </w:rPr>
        <w:t>Indicadores Propostos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4"/>
        <w:gridCol w:w="3485"/>
        <w:gridCol w:w="780"/>
        <w:gridCol w:w="1519"/>
      </w:tblGrid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Indicador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Periodicidade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Cobertura de Postos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Percentual de postos ocupados conforme escala prevista (12x36)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Diário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Pontualidade na Rendição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Troca de turno realizada no horário previsto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≥ 95%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Diário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Registro de Ocorrências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Percentual de ocorrências registradas no livro ou sistema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Diário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Cumprimento de Rondas Motorizadas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Percentual de rondas realizadas conforme plano (ex.: 1/hora)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≥ 95%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Diário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Disponibilidade de Equipamentos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EPIs, armamento e uniformes entregues e em conformidade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Mensal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Tempo de Resposta a Incidentes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Intervalo entre comunicação e ação inicial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≤ 10 min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Por evento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Índice de Substituição de Vigilantes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Substituição em até 24h após ausência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Por ocorrência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Treinamento Periódico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Percentual de vigilantes treinados conforme cronograma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Semestral</w:t>
            </w:r>
          </w:p>
        </w:tc>
      </w:tr>
    </w:tbl>
    <w:p w:rsidR="00A44302" w:rsidRPr="00A44302" w:rsidRDefault="00A44302" w:rsidP="00A4430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t-BR"/>
        </w:rPr>
      </w:pPr>
      <w:r w:rsidRPr="00A44302">
        <w:rPr>
          <w:rFonts w:ascii="Segoe UI" w:eastAsia="Times New Roman" w:hAnsi="Segoe UI" w:cs="Segoe UI"/>
          <w:b/>
          <w:bCs/>
          <w:sz w:val="21"/>
          <w:szCs w:val="21"/>
          <w:lang w:eastAsia="pt-BR"/>
        </w:rPr>
        <w:t>Observação:</w:t>
      </w:r>
      <w:r w:rsidRPr="00A44302">
        <w:rPr>
          <w:rFonts w:ascii="Segoe UI" w:eastAsia="Times New Roman" w:hAnsi="Segoe UI" w:cs="Segoe UI"/>
          <w:sz w:val="21"/>
          <w:szCs w:val="21"/>
          <w:lang w:eastAsia="pt-BR"/>
        </w:rPr>
        <w:t xml:space="preserve"> Recomenda-se que esses indicadores sejam inseridos no Termo de Referência e monitorados via relatórios mensais.</w:t>
      </w:r>
    </w:p>
    <w:p w:rsidR="00A44302" w:rsidRPr="00A44302" w:rsidRDefault="00A44302" w:rsidP="00A4430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t-BR"/>
        </w:rPr>
      </w:pPr>
      <w:r w:rsidRPr="00A44302">
        <w:rPr>
          <w:rFonts w:ascii="Segoe UI" w:eastAsia="Times New Roman" w:hAnsi="Segoe UI" w:cs="Segoe UI"/>
          <w:sz w:val="21"/>
          <w:szCs w:val="21"/>
          <w:lang w:eastAsia="pt-BR"/>
        </w:rPr>
        <w:pict>
          <v:rect id="_x0000_i1025" style="width:0;height:1.5pt" o:hralign="center" o:hrstd="t" o:hr="t" fillcolor="#a0a0a0" stroked="f"/>
        </w:pict>
      </w:r>
    </w:p>
    <w:p w:rsidR="00A44302" w:rsidRDefault="00A44302">
      <w:pPr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</w:pPr>
      <w:r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br w:type="page"/>
      </w:r>
    </w:p>
    <w:p w:rsidR="00A44302" w:rsidRPr="00A44302" w:rsidRDefault="00A44302" w:rsidP="00A4430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</w:pPr>
      <w:r w:rsidRPr="00A44302"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lastRenderedPageBreak/>
        <w:t>2. Matriz de Risco Simplificada</w:t>
      </w:r>
    </w:p>
    <w:p w:rsidR="00A44302" w:rsidRPr="00A44302" w:rsidRDefault="00A44302" w:rsidP="00A4430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t-BR"/>
        </w:rPr>
      </w:pPr>
      <w:r w:rsidRPr="00A44302">
        <w:rPr>
          <w:rFonts w:ascii="Segoe UI" w:eastAsia="Times New Roman" w:hAnsi="Segoe UI" w:cs="Segoe UI"/>
          <w:sz w:val="21"/>
          <w:szCs w:val="21"/>
          <w:lang w:eastAsia="pt-BR"/>
        </w:rPr>
        <w:t>Conforme art. 22 da Lei nº 14.133/2021, a matriz deve identificar riscos, responsabilidades e medidas mitigadoras.</w:t>
      </w:r>
    </w:p>
    <w:p w:rsidR="00A44302" w:rsidRPr="00A44302" w:rsidRDefault="00A44302" w:rsidP="00A44302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pt-BR"/>
        </w:rPr>
      </w:pPr>
      <w:r w:rsidRPr="00A44302">
        <w:rPr>
          <w:rFonts w:ascii="Segoe UI" w:eastAsia="Times New Roman" w:hAnsi="Segoe UI" w:cs="Segoe UI"/>
          <w:b/>
          <w:bCs/>
          <w:sz w:val="27"/>
          <w:szCs w:val="27"/>
          <w:lang w:eastAsia="pt-BR"/>
        </w:rPr>
        <w:t>Modelo Proposto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1544"/>
        <w:gridCol w:w="944"/>
        <w:gridCol w:w="1530"/>
        <w:gridCol w:w="2198"/>
      </w:tblGrid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Impacto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Responsável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Mitigação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Inadimplemento trabalhista pela 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Exigir garantia contratual + fiscalização de encargos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Ausência de vigilante no posto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Cláusula de substituição em até 24h + penalidade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Falha na ronda motorizada (veículo indisponível)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Previsão de veículo reserva + manutenção preventiva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Roubo ou dano ao patrimônio durante execução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Seguro de responsabilidade civil + plano de contingência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Descumprimento de requisitos legais (PF, CNV)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Conferência documental antes da assinatura + auditorias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Interrupção por greve ou força maior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Compartilhado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Plano de contingência + comunicação imediata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Não conformidade em EPIs e armamento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Checklist</w:t>
            </w:r>
            <w:proofErr w:type="spellEnd"/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mensal + penalidade por não conformidade</w:t>
            </w:r>
          </w:p>
        </w:tc>
      </w:tr>
    </w:tbl>
    <w:p w:rsidR="00504C07" w:rsidRDefault="00504C07"/>
    <w:p w:rsidR="00A44302" w:rsidRDefault="00A44302">
      <w:pPr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</w:pPr>
      <w:r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br w:type="page"/>
      </w:r>
    </w:p>
    <w:p w:rsidR="00A44302" w:rsidRPr="00A44302" w:rsidRDefault="00A44302" w:rsidP="00A4430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</w:pPr>
      <w:bookmarkStart w:id="0" w:name="_GoBack"/>
      <w:bookmarkEnd w:id="0"/>
      <w:r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lastRenderedPageBreak/>
        <w:t xml:space="preserve">3. </w:t>
      </w:r>
      <w:r w:rsidRPr="00A44302">
        <w:rPr>
          <w:rFonts w:ascii="Segoe UI" w:eastAsia="Times New Roman" w:hAnsi="Segoe UI" w:cs="Segoe UI"/>
          <w:b/>
          <w:bCs/>
          <w:sz w:val="36"/>
          <w:szCs w:val="36"/>
          <w:lang w:eastAsia="pt-BR"/>
        </w:rPr>
        <w:t>Quadro de Penalidades por Descumprimento de Indicadores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3"/>
        <w:gridCol w:w="2046"/>
        <w:gridCol w:w="2538"/>
        <w:gridCol w:w="1621"/>
      </w:tblGrid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Indicador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Infração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Penalidade Sugerida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Base Legal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Cobertura de Postos (100%)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Ausência de vigilante no posto sem substituição imediata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até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2% do valor mensal do posto</w:t>
            </w: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por ocorrência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§1º,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Pontualidade na Rendição (≥95%)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Rendição fora do horário previsto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Advertência formal; reincidência: 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0,5% do valor mensal do posto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Registro de Ocorrências (100%)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Falta de registro ou registro incompleto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R$ 500,00 por ocorrência não registrada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Cumprimento de Rondas Motorizadas (≥95%)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Ronda não realizada conforme cronograma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1% do valor mensal do posto motorizado</w:t>
            </w: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por falha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Disponibilidade de Equipamentos (100%)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Falta de EPIs, armamento ou uniformes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R$ 1.000,00 por item não fornecido</w:t>
            </w: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 reincidência: suspensão temporária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Tempo de Resposta a Incidentes (≤10 min)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Resposta superior ao tempo máximo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R$ 1.500,00 por ocorrência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Índice de Substituição (100%)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Substituição não realizada em até 24h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2% do valor mensal do posto</w:t>
            </w: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por dia de atraso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  <w:tr w:rsidR="00A44302" w:rsidRPr="00A44302" w:rsidTr="00A44302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Treinamento Periódico (100%)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Não realização do treinamento sem justificativa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Multa de </w:t>
            </w:r>
            <w:r w:rsidRPr="00A443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R$ 2.000,00 por profissional não treinado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A44302" w:rsidRPr="00A44302" w:rsidRDefault="00A44302" w:rsidP="00A443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43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Art. 156, Lei 14.133/2021</w:t>
            </w:r>
          </w:p>
        </w:tc>
      </w:tr>
    </w:tbl>
    <w:p w:rsidR="00A44302" w:rsidRDefault="00A44302"/>
    <w:sectPr w:rsidR="00A443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302"/>
    <w:rsid w:val="00504C07"/>
    <w:rsid w:val="00A4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A0C69-A903-4CB9-BDAE-A0009343E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443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443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A4430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4430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A44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4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6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Felipe Do Nascimento Taveira</dc:creator>
  <cp:keywords/>
  <dc:description/>
  <cp:lastModifiedBy>Artur Felipe Do Nascimento Taveira</cp:lastModifiedBy>
  <cp:revision>1</cp:revision>
  <dcterms:created xsi:type="dcterms:W3CDTF">2025-12-24T13:57:00Z</dcterms:created>
  <dcterms:modified xsi:type="dcterms:W3CDTF">2025-12-24T13:59:00Z</dcterms:modified>
</cp:coreProperties>
</file>